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785" w:rsidRPr="006E709F" w:rsidRDefault="00320785" w:rsidP="00C7136B">
      <w:r w:rsidRPr="006E709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1pt" o:ole="" fillcolor="window">
            <v:imagedata r:id="rId8" o:title=""/>
          </v:shape>
          <o:OLEObject Type="Embed" ProgID="Word.Picture.8" ShapeID="_x0000_i1025" DrawAspect="Content" ObjectID="_1781163621" r:id="rId9"/>
        </w:object>
      </w:r>
    </w:p>
    <w:p w:rsidR="00320785" w:rsidRPr="006E709F" w:rsidRDefault="00320785" w:rsidP="00C7136B">
      <w:pPr>
        <w:pStyle w:val="ShortT"/>
        <w:spacing w:before="240"/>
      </w:pPr>
      <w:r w:rsidRPr="006E709F">
        <w:t xml:space="preserve">Corporations </w:t>
      </w:r>
      <w:r w:rsidR="000C4237">
        <w:t>Regulations 2</w:t>
      </w:r>
      <w:r w:rsidRPr="006E709F">
        <w:t>001</w:t>
      </w:r>
    </w:p>
    <w:p w:rsidR="00320785" w:rsidRPr="006E709F" w:rsidRDefault="00320785" w:rsidP="00C7136B">
      <w:pPr>
        <w:pStyle w:val="CompiledActNo"/>
        <w:spacing w:before="240"/>
      </w:pPr>
      <w:r w:rsidRPr="006E709F">
        <w:t>Statutory Rules No.</w:t>
      </w:r>
      <w:r w:rsidR="00DA13DE" w:rsidRPr="006E709F">
        <w:t> </w:t>
      </w:r>
      <w:r w:rsidRPr="006E709F">
        <w:t>193, 2001</w:t>
      </w:r>
    </w:p>
    <w:p w:rsidR="00320785" w:rsidRPr="006E709F" w:rsidRDefault="00320785" w:rsidP="00320785">
      <w:pPr>
        <w:pStyle w:val="MadeunderText"/>
      </w:pPr>
      <w:r w:rsidRPr="006E709F">
        <w:t>made under the</w:t>
      </w:r>
    </w:p>
    <w:p w:rsidR="00320785" w:rsidRPr="006E709F" w:rsidRDefault="00320785" w:rsidP="00320785">
      <w:pPr>
        <w:pStyle w:val="CompiledMadeUnder"/>
        <w:spacing w:before="240"/>
      </w:pPr>
      <w:r w:rsidRPr="006E709F">
        <w:t>Corporations Act 2001</w:t>
      </w:r>
    </w:p>
    <w:p w:rsidR="00320785" w:rsidRPr="006E709F" w:rsidRDefault="00320785" w:rsidP="00C7136B">
      <w:pPr>
        <w:spacing w:before="1000"/>
        <w:rPr>
          <w:rFonts w:cs="Arial"/>
          <w:b/>
          <w:sz w:val="32"/>
          <w:szCs w:val="32"/>
        </w:rPr>
      </w:pPr>
      <w:r w:rsidRPr="006E709F">
        <w:rPr>
          <w:rFonts w:cs="Arial"/>
          <w:b/>
          <w:sz w:val="32"/>
          <w:szCs w:val="32"/>
        </w:rPr>
        <w:t>Compilation No.</w:t>
      </w:r>
      <w:r w:rsidR="00DA13DE" w:rsidRPr="006E709F">
        <w:rPr>
          <w:rFonts w:cs="Arial"/>
          <w:b/>
          <w:sz w:val="32"/>
          <w:szCs w:val="32"/>
        </w:rPr>
        <w:t> </w:t>
      </w:r>
      <w:r w:rsidRPr="006E709F">
        <w:rPr>
          <w:rFonts w:cs="Arial"/>
          <w:b/>
          <w:sz w:val="32"/>
          <w:szCs w:val="32"/>
        </w:rPr>
        <w:fldChar w:fldCharType="begin"/>
      </w:r>
      <w:r w:rsidRPr="006E709F">
        <w:rPr>
          <w:rFonts w:cs="Arial"/>
          <w:b/>
          <w:sz w:val="32"/>
          <w:szCs w:val="32"/>
        </w:rPr>
        <w:instrText xml:space="preserve"> DOCPROPERTY  CompilationNumber </w:instrText>
      </w:r>
      <w:r w:rsidRPr="006E709F">
        <w:rPr>
          <w:rFonts w:cs="Arial"/>
          <w:b/>
          <w:sz w:val="32"/>
          <w:szCs w:val="32"/>
        </w:rPr>
        <w:fldChar w:fldCharType="separate"/>
      </w:r>
      <w:r w:rsidR="00DE3E82">
        <w:rPr>
          <w:rFonts w:cs="Arial"/>
          <w:b/>
          <w:sz w:val="32"/>
          <w:szCs w:val="32"/>
        </w:rPr>
        <w:t>196</w:t>
      </w:r>
      <w:r w:rsidRPr="006E709F">
        <w:rPr>
          <w:rFonts w:cs="Arial"/>
          <w:b/>
          <w:sz w:val="32"/>
          <w:szCs w:val="32"/>
        </w:rPr>
        <w:fldChar w:fldCharType="end"/>
      </w:r>
    </w:p>
    <w:p w:rsidR="00320785" w:rsidRPr="006E709F" w:rsidRDefault="00320785" w:rsidP="00F335F7">
      <w:pPr>
        <w:tabs>
          <w:tab w:val="left" w:pos="2551"/>
        </w:tabs>
        <w:spacing w:before="480"/>
        <w:rPr>
          <w:rFonts w:cs="Arial"/>
          <w:sz w:val="24"/>
        </w:rPr>
      </w:pPr>
      <w:r w:rsidRPr="006E709F">
        <w:rPr>
          <w:rFonts w:cs="Arial"/>
          <w:b/>
          <w:sz w:val="24"/>
        </w:rPr>
        <w:t>Compilation date:</w:t>
      </w:r>
      <w:r w:rsidR="005E4A95" w:rsidRPr="006E709F">
        <w:rPr>
          <w:rFonts w:cs="Arial"/>
          <w:sz w:val="24"/>
        </w:rPr>
        <w:tab/>
      </w:r>
      <w:r w:rsidR="00D23153" w:rsidRPr="00DE3E82">
        <w:rPr>
          <w:rFonts w:cs="Arial"/>
          <w:sz w:val="24"/>
        </w:rPr>
        <w:fldChar w:fldCharType="begin"/>
      </w:r>
      <w:r w:rsidR="005C7F32" w:rsidRPr="00DE3E82">
        <w:rPr>
          <w:rFonts w:cs="Arial"/>
          <w:sz w:val="24"/>
        </w:rPr>
        <w:instrText>DOCPROPERTY StartDate \@ "d MMMM yyyy" \* MERGEFORMAT</w:instrText>
      </w:r>
      <w:r w:rsidR="00D23153" w:rsidRPr="00DE3E82">
        <w:rPr>
          <w:rFonts w:cs="Arial"/>
          <w:sz w:val="24"/>
        </w:rPr>
        <w:fldChar w:fldCharType="separate"/>
      </w:r>
      <w:r w:rsidR="00DE3E82" w:rsidRPr="00DE3E82">
        <w:rPr>
          <w:rFonts w:cs="Arial"/>
          <w:bCs/>
          <w:sz w:val="24"/>
        </w:rPr>
        <w:t>22</w:t>
      </w:r>
      <w:r w:rsidR="00DE3E82" w:rsidRPr="00DE3E82">
        <w:rPr>
          <w:rFonts w:cs="Arial"/>
          <w:sz w:val="24"/>
        </w:rPr>
        <w:t xml:space="preserve"> June 2024</w:t>
      </w:r>
      <w:r w:rsidR="00D23153" w:rsidRPr="00DE3E82">
        <w:rPr>
          <w:rFonts w:cs="Arial"/>
          <w:sz w:val="24"/>
        </w:rPr>
        <w:fldChar w:fldCharType="end"/>
      </w:r>
    </w:p>
    <w:p w:rsidR="00320785" w:rsidRPr="006E709F" w:rsidRDefault="00F335F7" w:rsidP="00F335F7">
      <w:pPr>
        <w:tabs>
          <w:tab w:val="left" w:pos="2551"/>
        </w:tabs>
        <w:spacing w:before="240"/>
        <w:ind w:left="2551" w:hanging="2551"/>
        <w:rPr>
          <w:rFonts w:cs="Arial"/>
          <w:sz w:val="24"/>
        </w:rPr>
      </w:pPr>
      <w:r>
        <w:rPr>
          <w:rFonts w:cs="Arial"/>
          <w:b/>
          <w:sz w:val="24"/>
        </w:rPr>
        <w:t>Includes amendments:</w:t>
      </w:r>
      <w:r w:rsidR="00320785" w:rsidRPr="006E709F">
        <w:rPr>
          <w:rFonts w:cs="Arial"/>
          <w:sz w:val="24"/>
        </w:rPr>
        <w:tab/>
      </w:r>
      <w:r w:rsidR="007A1CA7" w:rsidRPr="00DE3E82">
        <w:rPr>
          <w:rFonts w:cs="Arial"/>
          <w:sz w:val="24"/>
        </w:rPr>
        <w:fldChar w:fldCharType="begin"/>
      </w:r>
      <w:r w:rsidR="007A1CA7" w:rsidRPr="00DE3E82">
        <w:rPr>
          <w:rFonts w:cs="Arial"/>
          <w:sz w:val="24"/>
        </w:rPr>
        <w:instrText xml:space="preserve"> DOCPROPERTY IncludesUpTo </w:instrText>
      </w:r>
      <w:r w:rsidR="007A1CA7" w:rsidRPr="00DE3E82">
        <w:rPr>
          <w:rFonts w:cs="Arial"/>
          <w:sz w:val="24"/>
        </w:rPr>
        <w:fldChar w:fldCharType="separate"/>
      </w:r>
      <w:r w:rsidR="00DE3E82" w:rsidRPr="00DE3E82">
        <w:rPr>
          <w:rFonts w:cs="Arial"/>
          <w:sz w:val="24"/>
        </w:rPr>
        <w:t>F2024L00725</w:t>
      </w:r>
      <w:r w:rsidR="007A1CA7" w:rsidRPr="00DE3E82">
        <w:rPr>
          <w:rFonts w:cs="Arial"/>
          <w:sz w:val="24"/>
        </w:rPr>
        <w:fldChar w:fldCharType="end"/>
      </w:r>
    </w:p>
    <w:p w:rsidR="00320785" w:rsidRPr="006E709F" w:rsidRDefault="00320785" w:rsidP="00F335F7">
      <w:pPr>
        <w:tabs>
          <w:tab w:val="left" w:pos="2551"/>
        </w:tabs>
        <w:spacing w:before="240" w:after="240"/>
        <w:rPr>
          <w:rFonts w:cs="Arial"/>
          <w:sz w:val="24"/>
          <w:szCs w:val="24"/>
        </w:rPr>
      </w:pPr>
      <w:r w:rsidRPr="006E709F">
        <w:rPr>
          <w:rFonts w:cs="Arial"/>
          <w:b/>
          <w:sz w:val="24"/>
        </w:rPr>
        <w:t>Registered:</w:t>
      </w:r>
      <w:r w:rsidR="005E4A95" w:rsidRPr="006E709F">
        <w:rPr>
          <w:rFonts w:cs="Arial"/>
          <w:sz w:val="24"/>
        </w:rPr>
        <w:tab/>
      </w:r>
      <w:r w:rsidR="00D23153" w:rsidRPr="00DE3E82">
        <w:rPr>
          <w:rFonts w:cs="Arial"/>
          <w:sz w:val="24"/>
        </w:rPr>
        <w:fldChar w:fldCharType="begin"/>
      </w:r>
      <w:r w:rsidR="00D23153" w:rsidRPr="00DE3E82">
        <w:rPr>
          <w:rFonts w:cs="Arial"/>
          <w:sz w:val="24"/>
        </w:rPr>
        <w:instrText xml:space="preserve"> IF </w:instrText>
      </w:r>
      <w:r w:rsidR="00D23153" w:rsidRPr="00DE3E82">
        <w:rPr>
          <w:rFonts w:cs="Arial"/>
          <w:sz w:val="24"/>
        </w:rPr>
        <w:fldChar w:fldCharType="begin"/>
      </w:r>
      <w:r w:rsidR="00D23153" w:rsidRPr="00DE3E82">
        <w:rPr>
          <w:rFonts w:cs="Arial"/>
          <w:sz w:val="24"/>
        </w:rPr>
        <w:instrText xml:space="preserve"> DOCPROPERTY RegisteredDate </w:instrText>
      </w:r>
      <w:r w:rsidR="00D23153" w:rsidRPr="00DE3E82">
        <w:rPr>
          <w:rFonts w:cs="Arial"/>
          <w:sz w:val="24"/>
        </w:rPr>
        <w:fldChar w:fldCharType="separate"/>
      </w:r>
      <w:r w:rsidR="00DE3E82" w:rsidRPr="00DE3E82">
        <w:rPr>
          <w:rFonts w:cs="Arial"/>
          <w:sz w:val="24"/>
        </w:rPr>
        <w:instrText>29 June 2024</w:instrText>
      </w:r>
      <w:r w:rsidR="00D23153" w:rsidRPr="00DE3E82">
        <w:rPr>
          <w:rFonts w:cs="Arial"/>
          <w:sz w:val="24"/>
        </w:rPr>
        <w:fldChar w:fldCharType="end"/>
      </w:r>
      <w:r w:rsidR="00D23153" w:rsidRPr="00DE3E82">
        <w:rPr>
          <w:rFonts w:cs="Arial"/>
          <w:sz w:val="24"/>
        </w:rPr>
        <w:instrText xml:space="preserve"> = #1/1/1901# "Unknown" </w:instrText>
      </w:r>
      <w:r w:rsidR="00D23153" w:rsidRPr="00DE3E82">
        <w:rPr>
          <w:rFonts w:cs="Arial"/>
          <w:sz w:val="24"/>
        </w:rPr>
        <w:fldChar w:fldCharType="begin"/>
      </w:r>
      <w:r w:rsidR="00D23153" w:rsidRPr="00DE3E82">
        <w:rPr>
          <w:rFonts w:cs="Arial"/>
          <w:sz w:val="24"/>
        </w:rPr>
        <w:instrText xml:space="preserve"> DOCPROPERTY RegisteredDate \@ "d MMMM yyyy" </w:instrText>
      </w:r>
      <w:r w:rsidR="00D23153" w:rsidRPr="00DE3E82">
        <w:rPr>
          <w:rFonts w:cs="Arial"/>
          <w:sz w:val="24"/>
        </w:rPr>
        <w:fldChar w:fldCharType="separate"/>
      </w:r>
      <w:r w:rsidR="00DE3E82" w:rsidRPr="00DE3E82">
        <w:rPr>
          <w:rFonts w:cs="Arial"/>
          <w:sz w:val="24"/>
        </w:rPr>
        <w:instrText>29 June 2024</w:instrText>
      </w:r>
      <w:r w:rsidR="00D23153" w:rsidRPr="00DE3E82">
        <w:rPr>
          <w:rFonts w:cs="Arial"/>
          <w:sz w:val="24"/>
        </w:rPr>
        <w:fldChar w:fldCharType="end"/>
      </w:r>
      <w:r w:rsidR="00D23153" w:rsidRPr="00DE3E82">
        <w:rPr>
          <w:rFonts w:cs="Arial"/>
          <w:sz w:val="24"/>
        </w:rPr>
        <w:instrText xml:space="preserve"> \*MERGEFORMAT </w:instrText>
      </w:r>
      <w:r w:rsidR="00D23153" w:rsidRPr="00DE3E82">
        <w:rPr>
          <w:rFonts w:cs="Arial"/>
          <w:sz w:val="24"/>
        </w:rPr>
        <w:fldChar w:fldCharType="separate"/>
      </w:r>
      <w:r w:rsidR="00DE3E82" w:rsidRPr="00DE3E82">
        <w:rPr>
          <w:rFonts w:cs="Arial"/>
          <w:noProof/>
          <w:sz w:val="24"/>
        </w:rPr>
        <w:t>29 June</w:t>
      </w:r>
      <w:bookmarkStart w:id="0" w:name="_GoBack"/>
      <w:bookmarkEnd w:id="0"/>
      <w:r w:rsidR="00DE3E82" w:rsidRPr="00DE3E82">
        <w:rPr>
          <w:rFonts w:cs="Arial"/>
          <w:noProof/>
          <w:sz w:val="24"/>
        </w:rPr>
        <w:t xml:space="preserve"> 2024</w:t>
      </w:r>
      <w:r w:rsidR="00D23153" w:rsidRPr="00DE3E82">
        <w:rPr>
          <w:rFonts w:cs="Arial"/>
          <w:sz w:val="24"/>
        </w:rPr>
        <w:fldChar w:fldCharType="end"/>
      </w:r>
    </w:p>
    <w:p w:rsidR="00320785" w:rsidRPr="006E709F" w:rsidRDefault="00320785" w:rsidP="00320785">
      <w:pPr>
        <w:spacing w:before="120"/>
        <w:rPr>
          <w:rFonts w:cs="Arial"/>
          <w:sz w:val="24"/>
        </w:rPr>
      </w:pPr>
      <w:r w:rsidRPr="006E709F">
        <w:rPr>
          <w:rFonts w:cs="Arial"/>
          <w:sz w:val="24"/>
        </w:rPr>
        <w:t>This compilation is in 7 volumes</w:t>
      </w:r>
    </w:p>
    <w:p w:rsidR="00320785" w:rsidRPr="006E709F" w:rsidRDefault="00320785" w:rsidP="005C7F32">
      <w:pPr>
        <w:tabs>
          <w:tab w:val="left" w:pos="1440"/>
        </w:tabs>
        <w:spacing w:before="240"/>
        <w:rPr>
          <w:rFonts w:cs="Arial"/>
          <w:sz w:val="24"/>
          <w:szCs w:val="24"/>
        </w:rPr>
      </w:pPr>
      <w:r w:rsidRPr="006E709F">
        <w:rPr>
          <w:rFonts w:cs="Arial"/>
          <w:sz w:val="24"/>
          <w:szCs w:val="24"/>
        </w:rPr>
        <w:t>Volume 1:</w:t>
      </w:r>
      <w:r w:rsidRPr="006E709F">
        <w:rPr>
          <w:rFonts w:cs="Arial"/>
          <w:sz w:val="24"/>
          <w:szCs w:val="24"/>
        </w:rPr>
        <w:tab/>
        <w:t>regulations</w:t>
      </w:r>
      <w:r w:rsidR="00DA13DE" w:rsidRPr="006E709F">
        <w:rPr>
          <w:rFonts w:cs="Arial"/>
          <w:sz w:val="24"/>
          <w:szCs w:val="24"/>
        </w:rPr>
        <w:t> </w:t>
      </w:r>
      <w:r w:rsidRPr="006E709F">
        <w:rPr>
          <w:rFonts w:cs="Arial"/>
          <w:sz w:val="24"/>
          <w:szCs w:val="24"/>
        </w:rPr>
        <w:t>1.0.01–6D.5.</w:t>
      </w:r>
      <w:r w:rsidR="0039239A" w:rsidRPr="006E709F">
        <w:rPr>
          <w:rFonts w:cs="Arial"/>
          <w:sz w:val="24"/>
          <w:szCs w:val="24"/>
        </w:rPr>
        <w:t>03</w:t>
      </w:r>
    </w:p>
    <w:p w:rsidR="00320785" w:rsidRPr="006E709F" w:rsidRDefault="00320785" w:rsidP="005C7F32">
      <w:pPr>
        <w:tabs>
          <w:tab w:val="left" w:pos="1440"/>
        </w:tabs>
        <w:rPr>
          <w:rFonts w:cs="Arial"/>
          <w:sz w:val="24"/>
          <w:szCs w:val="24"/>
        </w:rPr>
      </w:pPr>
      <w:r w:rsidRPr="006E709F">
        <w:rPr>
          <w:rFonts w:cs="Arial"/>
          <w:sz w:val="24"/>
          <w:szCs w:val="24"/>
        </w:rPr>
        <w:t>Volume 2:</w:t>
      </w:r>
      <w:r w:rsidRPr="006E709F">
        <w:rPr>
          <w:rFonts w:cs="Arial"/>
          <w:sz w:val="24"/>
          <w:szCs w:val="24"/>
        </w:rPr>
        <w:tab/>
        <w:t>regulations</w:t>
      </w:r>
      <w:r w:rsidR="00DA13DE" w:rsidRPr="006E709F">
        <w:rPr>
          <w:rFonts w:cs="Arial"/>
          <w:sz w:val="24"/>
          <w:szCs w:val="24"/>
        </w:rPr>
        <w:t> </w:t>
      </w:r>
      <w:r w:rsidRPr="006E709F">
        <w:rPr>
          <w:rFonts w:cs="Arial"/>
          <w:sz w:val="24"/>
          <w:szCs w:val="24"/>
        </w:rPr>
        <w:t>7.1.0</w:t>
      </w:r>
      <w:r w:rsidR="0054260B">
        <w:rPr>
          <w:rFonts w:cs="Arial"/>
          <w:sz w:val="24"/>
          <w:szCs w:val="24"/>
        </w:rPr>
        <w:t>4</w:t>
      </w:r>
      <w:r w:rsidRPr="006E709F">
        <w:rPr>
          <w:rFonts w:cs="Arial"/>
          <w:sz w:val="24"/>
          <w:szCs w:val="24"/>
        </w:rPr>
        <w:t>–7.6.08E</w:t>
      </w:r>
    </w:p>
    <w:p w:rsidR="00320785" w:rsidRPr="006E709F" w:rsidRDefault="00320785" w:rsidP="005C7F32">
      <w:pPr>
        <w:tabs>
          <w:tab w:val="left" w:pos="1440"/>
        </w:tabs>
        <w:rPr>
          <w:rFonts w:cs="Arial"/>
          <w:sz w:val="24"/>
          <w:szCs w:val="24"/>
        </w:rPr>
      </w:pPr>
      <w:r w:rsidRPr="006E709F">
        <w:rPr>
          <w:rFonts w:cs="Arial"/>
          <w:sz w:val="24"/>
          <w:szCs w:val="24"/>
        </w:rPr>
        <w:t>Volume 3:</w:t>
      </w:r>
      <w:r w:rsidRPr="006E709F">
        <w:rPr>
          <w:rFonts w:cs="Arial"/>
          <w:sz w:val="24"/>
          <w:szCs w:val="24"/>
        </w:rPr>
        <w:tab/>
        <w:t>regulations</w:t>
      </w:r>
      <w:r w:rsidR="00DA13DE" w:rsidRPr="006E709F">
        <w:rPr>
          <w:rFonts w:cs="Arial"/>
          <w:sz w:val="24"/>
          <w:szCs w:val="24"/>
        </w:rPr>
        <w:t> </w:t>
      </w:r>
      <w:r w:rsidRPr="006E709F">
        <w:rPr>
          <w:rFonts w:cs="Arial"/>
          <w:sz w:val="24"/>
          <w:szCs w:val="24"/>
        </w:rPr>
        <w:t>7.7.01–</w:t>
      </w:r>
      <w:r w:rsidR="006C30E7" w:rsidRPr="006E709F">
        <w:rPr>
          <w:rFonts w:cs="Arial"/>
          <w:sz w:val="24"/>
          <w:szCs w:val="24"/>
        </w:rPr>
        <w:t>8B.5.20</w:t>
      </w:r>
    </w:p>
    <w:p w:rsidR="00320785" w:rsidRPr="006E709F" w:rsidRDefault="00320785" w:rsidP="005C7F32">
      <w:pPr>
        <w:tabs>
          <w:tab w:val="left" w:pos="1440"/>
        </w:tabs>
        <w:rPr>
          <w:rFonts w:cs="Arial"/>
          <w:sz w:val="24"/>
          <w:szCs w:val="24"/>
        </w:rPr>
      </w:pPr>
      <w:r w:rsidRPr="006E709F">
        <w:rPr>
          <w:rFonts w:cs="Arial"/>
          <w:sz w:val="24"/>
          <w:szCs w:val="24"/>
        </w:rPr>
        <w:t>Volume 4:</w:t>
      </w:r>
      <w:r w:rsidRPr="006E709F">
        <w:rPr>
          <w:rFonts w:cs="Arial"/>
          <w:sz w:val="24"/>
          <w:szCs w:val="24"/>
        </w:rPr>
        <w:tab/>
        <w:t>regulations</w:t>
      </w:r>
      <w:r w:rsidR="00DA13DE" w:rsidRPr="006E709F">
        <w:rPr>
          <w:rFonts w:cs="Arial"/>
          <w:sz w:val="24"/>
          <w:szCs w:val="24"/>
        </w:rPr>
        <w:t> </w:t>
      </w:r>
      <w:r w:rsidRPr="006E709F">
        <w:rPr>
          <w:rFonts w:cs="Arial"/>
          <w:sz w:val="24"/>
          <w:szCs w:val="24"/>
        </w:rPr>
        <w:t>9.1.01–12.9.03</w:t>
      </w:r>
    </w:p>
    <w:p w:rsidR="00320785" w:rsidRPr="006E709F" w:rsidRDefault="00320785" w:rsidP="005C7F32">
      <w:pPr>
        <w:tabs>
          <w:tab w:val="left" w:pos="1440"/>
        </w:tabs>
        <w:rPr>
          <w:rFonts w:cs="Arial"/>
          <w:sz w:val="24"/>
          <w:szCs w:val="24"/>
        </w:rPr>
      </w:pPr>
      <w:r w:rsidRPr="006E709F">
        <w:rPr>
          <w:rFonts w:cs="Arial"/>
          <w:sz w:val="24"/>
          <w:szCs w:val="24"/>
        </w:rPr>
        <w:t>Volume 5:</w:t>
      </w:r>
      <w:r w:rsidRPr="006E709F">
        <w:rPr>
          <w:rFonts w:cs="Arial"/>
          <w:sz w:val="24"/>
          <w:szCs w:val="24"/>
        </w:rPr>
        <w:tab/>
        <w:t>Schedules</w:t>
      </w:r>
      <w:r w:rsidR="00DA13DE" w:rsidRPr="006E709F">
        <w:rPr>
          <w:rFonts w:cs="Arial"/>
          <w:sz w:val="24"/>
          <w:szCs w:val="24"/>
        </w:rPr>
        <w:t> </w:t>
      </w:r>
      <w:r w:rsidRPr="006E709F">
        <w:rPr>
          <w:rFonts w:cs="Arial"/>
          <w:sz w:val="24"/>
          <w:szCs w:val="24"/>
        </w:rPr>
        <w:t>1, 2 and 2A</w:t>
      </w:r>
    </w:p>
    <w:p w:rsidR="00320785" w:rsidRPr="006E709F" w:rsidRDefault="00320785" w:rsidP="005C7F32">
      <w:pPr>
        <w:tabs>
          <w:tab w:val="left" w:pos="1440"/>
        </w:tabs>
        <w:rPr>
          <w:rFonts w:cs="Arial"/>
          <w:b/>
          <w:sz w:val="24"/>
          <w:szCs w:val="24"/>
        </w:rPr>
      </w:pPr>
      <w:r w:rsidRPr="006E709F">
        <w:rPr>
          <w:rFonts w:cs="Arial"/>
          <w:b/>
          <w:sz w:val="24"/>
          <w:szCs w:val="24"/>
        </w:rPr>
        <w:t>Volume 6:</w:t>
      </w:r>
      <w:r w:rsidRPr="006E709F">
        <w:rPr>
          <w:rFonts w:cs="Arial"/>
          <w:b/>
          <w:sz w:val="24"/>
          <w:szCs w:val="24"/>
        </w:rPr>
        <w:tab/>
        <w:t>Schedules</w:t>
      </w:r>
      <w:r w:rsidR="00DA13DE" w:rsidRPr="006E709F">
        <w:rPr>
          <w:rFonts w:cs="Arial"/>
          <w:b/>
          <w:sz w:val="24"/>
          <w:szCs w:val="24"/>
        </w:rPr>
        <w:t> </w:t>
      </w:r>
      <w:r w:rsidRPr="006E709F">
        <w:rPr>
          <w:rFonts w:cs="Arial"/>
          <w:b/>
          <w:sz w:val="24"/>
          <w:szCs w:val="24"/>
        </w:rPr>
        <w:t>3–1</w:t>
      </w:r>
      <w:r w:rsidR="005B6849" w:rsidRPr="006E709F">
        <w:rPr>
          <w:rFonts w:cs="Arial"/>
          <w:b/>
          <w:sz w:val="24"/>
          <w:szCs w:val="24"/>
        </w:rPr>
        <w:t>3</w:t>
      </w:r>
    </w:p>
    <w:p w:rsidR="00320785" w:rsidRPr="006E709F" w:rsidRDefault="00320785" w:rsidP="005C7F32">
      <w:pPr>
        <w:tabs>
          <w:tab w:val="left" w:pos="1440"/>
        </w:tabs>
        <w:rPr>
          <w:rFonts w:cs="Arial"/>
          <w:sz w:val="24"/>
          <w:szCs w:val="24"/>
        </w:rPr>
      </w:pPr>
      <w:r w:rsidRPr="006E709F">
        <w:rPr>
          <w:rFonts w:cs="Arial"/>
          <w:sz w:val="24"/>
          <w:szCs w:val="24"/>
        </w:rPr>
        <w:t>Volume 7:</w:t>
      </w:r>
      <w:r w:rsidRPr="006E709F">
        <w:rPr>
          <w:rFonts w:cs="Arial"/>
          <w:sz w:val="24"/>
          <w:szCs w:val="24"/>
        </w:rPr>
        <w:tab/>
        <w:t>Endnotes</w:t>
      </w:r>
    </w:p>
    <w:p w:rsidR="00FF147E" w:rsidRPr="006E709F" w:rsidRDefault="00320785" w:rsidP="00A71E0C">
      <w:pPr>
        <w:spacing w:before="120" w:after="240"/>
        <w:rPr>
          <w:rFonts w:cs="Arial"/>
          <w:sz w:val="24"/>
        </w:rPr>
      </w:pPr>
      <w:r w:rsidRPr="006E709F">
        <w:rPr>
          <w:rFonts w:cs="Arial"/>
          <w:sz w:val="24"/>
        </w:rPr>
        <w:t>Each volume has its own contents</w:t>
      </w:r>
    </w:p>
    <w:p w:rsidR="00320785" w:rsidRPr="006E709F" w:rsidRDefault="00320785" w:rsidP="00C7136B">
      <w:pPr>
        <w:pageBreakBefore/>
        <w:rPr>
          <w:rFonts w:cs="Arial"/>
          <w:b/>
          <w:sz w:val="32"/>
          <w:szCs w:val="32"/>
        </w:rPr>
      </w:pPr>
      <w:r w:rsidRPr="006E709F">
        <w:rPr>
          <w:rFonts w:cs="Arial"/>
          <w:b/>
          <w:sz w:val="32"/>
          <w:szCs w:val="32"/>
        </w:rPr>
        <w:lastRenderedPageBreak/>
        <w:t>About this compilation</w:t>
      </w:r>
    </w:p>
    <w:p w:rsidR="00320785" w:rsidRPr="006E709F" w:rsidRDefault="00320785" w:rsidP="00C7136B">
      <w:pPr>
        <w:spacing w:before="240"/>
        <w:rPr>
          <w:rFonts w:cs="Arial"/>
        </w:rPr>
      </w:pPr>
      <w:r w:rsidRPr="006E709F">
        <w:rPr>
          <w:rFonts w:cs="Arial"/>
          <w:b/>
          <w:szCs w:val="22"/>
        </w:rPr>
        <w:t>This compilation</w:t>
      </w:r>
    </w:p>
    <w:p w:rsidR="00320785" w:rsidRPr="006E709F" w:rsidRDefault="00320785" w:rsidP="00C7136B">
      <w:pPr>
        <w:spacing w:before="120" w:after="120"/>
        <w:rPr>
          <w:rFonts w:cs="Arial"/>
          <w:szCs w:val="22"/>
        </w:rPr>
      </w:pPr>
      <w:r w:rsidRPr="006E709F">
        <w:rPr>
          <w:rFonts w:cs="Arial"/>
          <w:szCs w:val="22"/>
        </w:rPr>
        <w:t xml:space="preserve">This is a compilation of the </w:t>
      </w:r>
      <w:r w:rsidRPr="006E709F">
        <w:rPr>
          <w:rFonts w:cs="Arial"/>
          <w:i/>
          <w:szCs w:val="22"/>
        </w:rPr>
        <w:fldChar w:fldCharType="begin"/>
      </w:r>
      <w:r w:rsidRPr="006E709F">
        <w:rPr>
          <w:rFonts w:cs="Arial"/>
          <w:i/>
          <w:szCs w:val="22"/>
        </w:rPr>
        <w:instrText xml:space="preserve"> STYLEREF  ShortT </w:instrText>
      </w:r>
      <w:r w:rsidRPr="006E709F">
        <w:rPr>
          <w:rFonts w:cs="Arial"/>
          <w:i/>
          <w:szCs w:val="22"/>
        </w:rPr>
        <w:fldChar w:fldCharType="separate"/>
      </w:r>
      <w:r w:rsidR="00DE3E82">
        <w:rPr>
          <w:rFonts w:cs="Arial"/>
          <w:i/>
          <w:noProof/>
          <w:szCs w:val="22"/>
        </w:rPr>
        <w:t>Corporations Regulations 2001</w:t>
      </w:r>
      <w:r w:rsidRPr="006E709F">
        <w:rPr>
          <w:rFonts w:cs="Arial"/>
          <w:i/>
          <w:szCs w:val="22"/>
        </w:rPr>
        <w:fldChar w:fldCharType="end"/>
      </w:r>
      <w:r w:rsidRPr="006E709F">
        <w:rPr>
          <w:rFonts w:cs="Arial"/>
          <w:szCs w:val="22"/>
        </w:rPr>
        <w:t xml:space="preserve"> that shows the text of the law as amended and in force on </w:t>
      </w:r>
      <w:r w:rsidRPr="00DE3E82">
        <w:rPr>
          <w:rFonts w:cs="Arial"/>
          <w:szCs w:val="22"/>
        </w:rPr>
        <w:fldChar w:fldCharType="begin"/>
      </w:r>
      <w:r w:rsidR="005C7F32" w:rsidRPr="00DE3E82">
        <w:rPr>
          <w:rFonts w:cs="Arial"/>
          <w:szCs w:val="22"/>
        </w:rPr>
        <w:instrText>DOCPROPERTY StartDate \@ "d MMMM yyyy" \* MERGEFORMAT</w:instrText>
      </w:r>
      <w:r w:rsidRPr="00DE3E82">
        <w:rPr>
          <w:rFonts w:cs="Arial"/>
          <w:szCs w:val="22"/>
        </w:rPr>
        <w:fldChar w:fldCharType="separate"/>
      </w:r>
      <w:r w:rsidR="00DE3E82" w:rsidRPr="00DE3E82">
        <w:rPr>
          <w:rFonts w:cs="Arial"/>
          <w:szCs w:val="22"/>
        </w:rPr>
        <w:t>22 June 2024</w:t>
      </w:r>
      <w:r w:rsidRPr="00DE3E82">
        <w:rPr>
          <w:rFonts w:cs="Arial"/>
          <w:szCs w:val="22"/>
        </w:rPr>
        <w:fldChar w:fldCharType="end"/>
      </w:r>
      <w:r w:rsidRPr="006E709F">
        <w:rPr>
          <w:rFonts w:cs="Arial"/>
          <w:szCs w:val="22"/>
        </w:rPr>
        <w:t xml:space="preserve"> (the </w:t>
      </w:r>
      <w:r w:rsidRPr="006E709F">
        <w:rPr>
          <w:rFonts w:cs="Arial"/>
          <w:b/>
          <w:i/>
          <w:szCs w:val="22"/>
        </w:rPr>
        <w:t>compilation date</w:t>
      </w:r>
      <w:r w:rsidRPr="006E709F">
        <w:rPr>
          <w:rFonts w:cs="Arial"/>
          <w:szCs w:val="22"/>
        </w:rPr>
        <w:t>).</w:t>
      </w:r>
    </w:p>
    <w:p w:rsidR="00320785" w:rsidRPr="006E709F" w:rsidRDefault="00320785" w:rsidP="00C7136B">
      <w:pPr>
        <w:spacing w:after="120"/>
        <w:rPr>
          <w:rFonts w:cs="Arial"/>
          <w:szCs w:val="22"/>
        </w:rPr>
      </w:pPr>
      <w:r w:rsidRPr="006E709F">
        <w:rPr>
          <w:rFonts w:cs="Arial"/>
          <w:szCs w:val="22"/>
        </w:rPr>
        <w:t xml:space="preserve">The notes at the end of this compilation (the </w:t>
      </w:r>
      <w:r w:rsidRPr="006E709F">
        <w:rPr>
          <w:rFonts w:cs="Arial"/>
          <w:b/>
          <w:i/>
          <w:szCs w:val="22"/>
        </w:rPr>
        <w:t>endnotes</w:t>
      </w:r>
      <w:r w:rsidRPr="006E709F">
        <w:rPr>
          <w:rFonts w:cs="Arial"/>
          <w:szCs w:val="22"/>
        </w:rPr>
        <w:t>) include information about amending laws and the amendment history of provisions of the compiled law.</w:t>
      </w:r>
    </w:p>
    <w:p w:rsidR="00320785" w:rsidRPr="006E709F" w:rsidRDefault="00320785" w:rsidP="00C7136B">
      <w:pPr>
        <w:tabs>
          <w:tab w:val="left" w:pos="5640"/>
        </w:tabs>
        <w:spacing w:before="120" w:after="120"/>
        <w:rPr>
          <w:rFonts w:cs="Arial"/>
          <w:b/>
          <w:szCs w:val="22"/>
        </w:rPr>
      </w:pPr>
      <w:r w:rsidRPr="006E709F">
        <w:rPr>
          <w:rFonts w:cs="Arial"/>
          <w:b/>
          <w:szCs w:val="22"/>
        </w:rPr>
        <w:t>Uncommenced amendments</w:t>
      </w:r>
    </w:p>
    <w:p w:rsidR="00320785" w:rsidRPr="006E709F" w:rsidRDefault="00320785" w:rsidP="00C7136B">
      <w:pPr>
        <w:spacing w:after="120"/>
        <w:rPr>
          <w:rFonts w:cs="Arial"/>
          <w:szCs w:val="22"/>
        </w:rPr>
      </w:pPr>
      <w:r w:rsidRPr="006E709F">
        <w:rPr>
          <w:rFonts w:cs="Arial"/>
          <w:szCs w:val="22"/>
        </w:rPr>
        <w:t xml:space="preserve">The effect of uncommenced amendments is not shown in the text of the compiled law. Any uncommenced amendments affecting the law are accessible on the </w:t>
      </w:r>
      <w:r w:rsidR="00A57DDC" w:rsidRPr="006E709F">
        <w:rPr>
          <w:rFonts w:cs="Arial"/>
          <w:szCs w:val="22"/>
        </w:rPr>
        <w:t>Register</w:t>
      </w:r>
      <w:r w:rsidRPr="006E709F">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320785" w:rsidRPr="006E709F" w:rsidRDefault="00320785" w:rsidP="00C7136B">
      <w:pPr>
        <w:spacing w:before="120" w:after="120"/>
        <w:rPr>
          <w:rFonts w:cs="Arial"/>
          <w:b/>
          <w:szCs w:val="22"/>
        </w:rPr>
      </w:pPr>
      <w:r w:rsidRPr="006E709F">
        <w:rPr>
          <w:rFonts w:cs="Arial"/>
          <w:b/>
          <w:szCs w:val="22"/>
        </w:rPr>
        <w:t>Application, saving and transitional provisions for provisions and amendments</w:t>
      </w:r>
    </w:p>
    <w:p w:rsidR="00320785" w:rsidRPr="006E709F" w:rsidRDefault="00320785" w:rsidP="00C7136B">
      <w:pPr>
        <w:spacing w:after="120"/>
        <w:rPr>
          <w:rFonts w:cs="Arial"/>
          <w:szCs w:val="22"/>
        </w:rPr>
      </w:pPr>
      <w:r w:rsidRPr="006E709F">
        <w:rPr>
          <w:rFonts w:cs="Arial"/>
          <w:szCs w:val="22"/>
        </w:rPr>
        <w:t>If the operation of a provision or amendment of the compiled law is affected by an application, saving or transitional provision that is not included in this compilation, details are included in the endnotes.</w:t>
      </w:r>
    </w:p>
    <w:p w:rsidR="00320785" w:rsidRPr="006E709F" w:rsidRDefault="00320785" w:rsidP="00C7136B">
      <w:pPr>
        <w:spacing w:after="120"/>
        <w:rPr>
          <w:rFonts w:cs="Arial"/>
          <w:b/>
          <w:szCs w:val="22"/>
        </w:rPr>
      </w:pPr>
      <w:r w:rsidRPr="006E709F">
        <w:rPr>
          <w:rFonts w:cs="Arial"/>
          <w:b/>
          <w:szCs w:val="22"/>
        </w:rPr>
        <w:t>Editorial changes</w:t>
      </w:r>
    </w:p>
    <w:p w:rsidR="00320785" w:rsidRPr="006E709F" w:rsidRDefault="00320785" w:rsidP="00C7136B">
      <w:pPr>
        <w:spacing w:after="120"/>
        <w:rPr>
          <w:rFonts w:cs="Arial"/>
          <w:szCs w:val="22"/>
        </w:rPr>
      </w:pPr>
      <w:r w:rsidRPr="006E709F">
        <w:rPr>
          <w:rFonts w:cs="Arial"/>
          <w:szCs w:val="22"/>
        </w:rPr>
        <w:t>For more information about any editorial changes made in this compilation, see the endnotes.</w:t>
      </w:r>
    </w:p>
    <w:p w:rsidR="00320785" w:rsidRPr="006E709F" w:rsidRDefault="00320785" w:rsidP="00C7136B">
      <w:pPr>
        <w:spacing w:before="120" w:after="120"/>
        <w:rPr>
          <w:rFonts w:cs="Arial"/>
          <w:b/>
          <w:szCs w:val="22"/>
        </w:rPr>
      </w:pPr>
      <w:r w:rsidRPr="006E709F">
        <w:rPr>
          <w:rFonts w:cs="Arial"/>
          <w:b/>
          <w:szCs w:val="22"/>
        </w:rPr>
        <w:t>Modifications</w:t>
      </w:r>
    </w:p>
    <w:p w:rsidR="00320785" w:rsidRPr="006E709F" w:rsidRDefault="00320785" w:rsidP="00C7136B">
      <w:pPr>
        <w:spacing w:after="120"/>
        <w:rPr>
          <w:rFonts w:cs="Arial"/>
          <w:szCs w:val="22"/>
        </w:rPr>
      </w:pPr>
      <w:r w:rsidRPr="006E709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320785" w:rsidRPr="006E709F" w:rsidRDefault="00320785" w:rsidP="00C7136B">
      <w:pPr>
        <w:spacing w:before="80" w:after="120"/>
        <w:rPr>
          <w:rFonts w:cs="Arial"/>
          <w:b/>
          <w:szCs w:val="22"/>
        </w:rPr>
      </w:pPr>
      <w:r w:rsidRPr="006E709F">
        <w:rPr>
          <w:rFonts w:cs="Arial"/>
          <w:b/>
          <w:szCs w:val="22"/>
        </w:rPr>
        <w:t>Self</w:t>
      </w:r>
      <w:r w:rsidR="000C4237">
        <w:rPr>
          <w:rFonts w:cs="Arial"/>
          <w:b/>
          <w:szCs w:val="22"/>
        </w:rPr>
        <w:noBreakHyphen/>
      </w:r>
      <w:r w:rsidRPr="006E709F">
        <w:rPr>
          <w:rFonts w:cs="Arial"/>
          <w:b/>
          <w:szCs w:val="22"/>
        </w:rPr>
        <w:t>repealing provisions</w:t>
      </w:r>
    </w:p>
    <w:p w:rsidR="00320785" w:rsidRPr="006E709F" w:rsidRDefault="00320785" w:rsidP="00C7136B">
      <w:pPr>
        <w:spacing w:after="120"/>
        <w:rPr>
          <w:rFonts w:cs="Arial"/>
          <w:szCs w:val="22"/>
        </w:rPr>
      </w:pPr>
      <w:r w:rsidRPr="006E709F">
        <w:rPr>
          <w:rFonts w:cs="Arial"/>
          <w:szCs w:val="22"/>
        </w:rPr>
        <w:t>If a provision of the compiled law has been repealed in accordance with a provision of the law, details are included in the endnotes.</w:t>
      </w:r>
    </w:p>
    <w:p w:rsidR="00320785" w:rsidRPr="006E709F" w:rsidRDefault="00320785" w:rsidP="00C7136B">
      <w:pPr>
        <w:pStyle w:val="Header"/>
        <w:tabs>
          <w:tab w:val="clear" w:pos="4150"/>
          <w:tab w:val="clear" w:pos="8307"/>
        </w:tabs>
      </w:pPr>
      <w:r w:rsidRPr="000C4237">
        <w:rPr>
          <w:rStyle w:val="CharChapNo"/>
        </w:rPr>
        <w:t xml:space="preserve"> </w:t>
      </w:r>
      <w:r w:rsidRPr="000C4237">
        <w:rPr>
          <w:rStyle w:val="CharChapText"/>
        </w:rPr>
        <w:t xml:space="preserve"> </w:t>
      </w:r>
    </w:p>
    <w:p w:rsidR="00320785" w:rsidRPr="006E709F" w:rsidRDefault="00320785" w:rsidP="00C7136B">
      <w:pPr>
        <w:pStyle w:val="Header"/>
        <w:tabs>
          <w:tab w:val="clear" w:pos="4150"/>
          <w:tab w:val="clear" w:pos="8307"/>
        </w:tabs>
      </w:pPr>
      <w:r w:rsidRPr="000C4237">
        <w:rPr>
          <w:rStyle w:val="CharPartNo"/>
        </w:rPr>
        <w:t xml:space="preserve"> </w:t>
      </w:r>
      <w:r w:rsidRPr="000C4237">
        <w:rPr>
          <w:rStyle w:val="CharPartText"/>
        </w:rPr>
        <w:t xml:space="preserve"> </w:t>
      </w:r>
    </w:p>
    <w:p w:rsidR="00320785" w:rsidRPr="006E709F" w:rsidRDefault="00320785" w:rsidP="00C7136B">
      <w:pPr>
        <w:pStyle w:val="Header"/>
        <w:tabs>
          <w:tab w:val="clear" w:pos="4150"/>
          <w:tab w:val="clear" w:pos="8307"/>
        </w:tabs>
      </w:pPr>
      <w:r w:rsidRPr="000C4237">
        <w:rPr>
          <w:rStyle w:val="CharDivNo"/>
        </w:rPr>
        <w:t xml:space="preserve"> </w:t>
      </w:r>
      <w:r w:rsidRPr="000C4237">
        <w:rPr>
          <w:rStyle w:val="CharDivText"/>
        </w:rPr>
        <w:t xml:space="preserve"> </w:t>
      </w:r>
    </w:p>
    <w:p w:rsidR="00320785" w:rsidRPr="006E709F" w:rsidRDefault="00320785" w:rsidP="00C7136B">
      <w:pPr>
        <w:sectPr w:rsidR="00320785" w:rsidRPr="006E709F" w:rsidSect="0054047A">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9E74E8" w:rsidRPr="006E709F" w:rsidRDefault="009E74E8" w:rsidP="00F61F77">
      <w:pPr>
        <w:keepNext/>
        <w:keepLines/>
        <w:tabs>
          <w:tab w:val="left" w:pos="7230"/>
        </w:tabs>
        <w:rPr>
          <w:sz w:val="36"/>
        </w:rPr>
      </w:pPr>
      <w:r w:rsidRPr="006E709F">
        <w:rPr>
          <w:sz w:val="36"/>
        </w:rPr>
        <w:lastRenderedPageBreak/>
        <w:t>Contents</w:t>
      </w:r>
    </w:p>
    <w:p w:rsidR="00292944" w:rsidRDefault="00DC7276">
      <w:pPr>
        <w:pStyle w:val="TOC1"/>
        <w:rPr>
          <w:rFonts w:asciiTheme="minorHAnsi" w:eastAsiaTheme="minorEastAsia" w:hAnsiTheme="minorHAnsi" w:cstheme="minorBidi"/>
          <w:b w:val="0"/>
          <w:noProof/>
          <w:kern w:val="0"/>
          <w:sz w:val="22"/>
          <w:szCs w:val="22"/>
        </w:rPr>
      </w:pPr>
      <w:r w:rsidRPr="006E709F">
        <w:fldChar w:fldCharType="begin"/>
      </w:r>
      <w:r w:rsidRPr="006E709F">
        <w:instrText xml:space="preserve"> TOC \o "1-9" </w:instrText>
      </w:r>
      <w:r w:rsidRPr="006E709F">
        <w:fldChar w:fldCharType="separate"/>
      </w:r>
      <w:r w:rsidR="00292944">
        <w:rPr>
          <w:noProof/>
        </w:rPr>
        <w:t>Schedule 3—Specified offices</w:t>
      </w:r>
      <w:r w:rsidR="00292944" w:rsidRPr="00292944">
        <w:rPr>
          <w:b w:val="0"/>
          <w:noProof/>
          <w:sz w:val="18"/>
        </w:rPr>
        <w:tab/>
      </w:r>
      <w:r w:rsidR="00292944" w:rsidRPr="00292944">
        <w:rPr>
          <w:b w:val="0"/>
          <w:noProof/>
          <w:sz w:val="18"/>
        </w:rPr>
        <w:fldChar w:fldCharType="begin"/>
      </w:r>
      <w:r w:rsidR="00292944" w:rsidRPr="00292944">
        <w:rPr>
          <w:b w:val="0"/>
          <w:noProof/>
          <w:sz w:val="18"/>
        </w:rPr>
        <w:instrText xml:space="preserve"> PAGEREF _Toc170547824 \h </w:instrText>
      </w:r>
      <w:r w:rsidR="00292944" w:rsidRPr="00292944">
        <w:rPr>
          <w:b w:val="0"/>
          <w:noProof/>
          <w:sz w:val="18"/>
        </w:rPr>
      </w:r>
      <w:r w:rsidR="00292944" w:rsidRPr="00292944">
        <w:rPr>
          <w:b w:val="0"/>
          <w:noProof/>
          <w:sz w:val="18"/>
        </w:rPr>
        <w:fldChar w:fldCharType="separate"/>
      </w:r>
      <w:r w:rsidR="00DE3E82">
        <w:rPr>
          <w:b w:val="0"/>
          <w:noProof/>
          <w:sz w:val="18"/>
        </w:rPr>
        <w:t>1</w:t>
      </w:r>
      <w:r w:rsidR="00292944" w:rsidRPr="00292944">
        <w:rPr>
          <w:b w:val="0"/>
          <w:noProof/>
          <w:sz w:val="18"/>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4—Prescribed amounts</w:t>
      </w:r>
      <w:r w:rsidRPr="00292944">
        <w:rPr>
          <w:b w:val="0"/>
          <w:noProof/>
          <w:sz w:val="18"/>
        </w:rPr>
        <w:tab/>
      </w:r>
      <w:r w:rsidRPr="00292944">
        <w:rPr>
          <w:b w:val="0"/>
          <w:noProof/>
          <w:sz w:val="18"/>
        </w:rPr>
        <w:fldChar w:fldCharType="begin"/>
      </w:r>
      <w:r w:rsidRPr="00292944">
        <w:rPr>
          <w:b w:val="0"/>
          <w:noProof/>
          <w:sz w:val="18"/>
        </w:rPr>
        <w:instrText xml:space="preserve"> PAGEREF _Toc170547825 \h </w:instrText>
      </w:r>
      <w:r w:rsidRPr="00292944">
        <w:rPr>
          <w:b w:val="0"/>
          <w:noProof/>
          <w:sz w:val="18"/>
        </w:rPr>
      </w:r>
      <w:r w:rsidRPr="00292944">
        <w:rPr>
          <w:b w:val="0"/>
          <w:noProof/>
          <w:sz w:val="18"/>
        </w:rPr>
        <w:fldChar w:fldCharType="separate"/>
      </w:r>
      <w:r w:rsidR="00DE3E82">
        <w:rPr>
          <w:b w:val="0"/>
          <w:noProof/>
          <w:sz w:val="18"/>
        </w:rPr>
        <w:t>3</w:t>
      </w:r>
      <w:r w:rsidRPr="00292944">
        <w:rPr>
          <w:b w:val="0"/>
          <w:noProof/>
          <w:sz w:val="18"/>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5C—Conduct of auditor—relevant relationships</w:t>
      </w:r>
      <w:r w:rsidRPr="00292944">
        <w:rPr>
          <w:b w:val="0"/>
          <w:noProof/>
          <w:sz w:val="18"/>
        </w:rPr>
        <w:tab/>
      </w:r>
      <w:r w:rsidRPr="00292944">
        <w:rPr>
          <w:b w:val="0"/>
          <w:noProof/>
          <w:sz w:val="18"/>
        </w:rPr>
        <w:fldChar w:fldCharType="begin"/>
      </w:r>
      <w:r w:rsidRPr="00292944">
        <w:rPr>
          <w:b w:val="0"/>
          <w:noProof/>
          <w:sz w:val="18"/>
        </w:rPr>
        <w:instrText xml:space="preserve"> PAGEREF _Toc170547826 \h </w:instrText>
      </w:r>
      <w:r w:rsidRPr="00292944">
        <w:rPr>
          <w:b w:val="0"/>
          <w:noProof/>
          <w:sz w:val="18"/>
        </w:rPr>
      </w:r>
      <w:r w:rsidRPr="00292944">
        <w:rPr>
          <w:b w:val="0"/>
          <w:noProof/>
          <w:sz w:val="18"/>
        </w:rPr>
        <w:fldChar w:fldCharType="separate"/>
      </w:r>
      <w:r w:rsidR="00DE3E82">
        <w:rPr>
          <w:b w:val="0"/>
          <w:noProof/>
          <w:sz w:val="18"/>
        </w:rPr>
        <w:t>6</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1</w:t>
      </w:r>
      <w:r>
        <w:rPr>
          <w:noProof/>
        </w:rPr>
        <w:tab/>
        <w:t>Money owed—debt</w:t>
      </w:r>
      <w:r w:rsidRPr="00292944">
        <w:rPr>
          <w:noProof/>
        </w:rPr>
        <w:tab/>
      </w:r>
      <w:r w:rsidRPr="00292944">
        <w:rPr>
          <w:noProof/>
        </w:rPr>
        <w:fldChar w:fldCharType="begin"/>
      </w:r>
      <w:r w:rsidRPr="00292944">
        <w:rPr>
          <w:noProof/>
        </w:rPr>
        <w:instrText xml:space="preserve"> PAGEREF _Toc170547827 \h </w:instrText>
      </w:r>
      <w:r w:rsidRPr="00292944">
        <w:rPr>
          <w:noProof/>
        </w:rPr>
      </w:r>
      <w:r w:rsidRPr="00292944">
        <w:rPr>
          <w:noProof/>
        </w:rPr>
        <w:fldChar w:fldCharType="separate"/>
      </w:r>
      <w:r w:rsidR="00DE3E82">
        <w:rPr>
          <w:noProof/>
        </w:rPr>
        <w:t>6</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w:t>
      </w:r>
      <w:r>
        <w:rPr>
          <w:noProof/>
        </w:rPr>
        <w:tab/>
        <w:t>Money owed—deposit account</w:t>
      </w:r>
      <w:r w:rsidRPr="00292944">
        <w:rPr>
          <w:noProof/>
        </w:rPr>
        <w:tab/>
      </w:r>
      <w:r w:rsidRPr="00292944">
        <w:rPr>
          <w:noProof/>
        </w:rPr>
        <w:fldChar w:fldCharType="begin"/>
      </w:r>
      <w:r w:rsidRPr="00292944">
        <w:rPr>
          <w:noProof/>
        </w:rPr>
        <w:instrText xml:space="preserve"> PAGEREF _Toc170547828 \h </w:instrText>
      </w:r>
      <w:r w:rsidRPr="00292944">
        <w:rPr>
          <w:noProof/>
        </w:rPr>
      </w:r>
      <w:r w:rsidRPr="00292944">
        <w:rPr>
          <w:noProof/>
        </w:rPr>
        <w:fldChar w:fldCharType="separate"/>
      </w:r>
      <w:r w:rsidR="00DE3E82">
        <w:rPr>
          <w:noProof/>
        </w:rPr>
        <w:t>6</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3</w:t>
      </w:r>
      <w:r>
        <w:rPr>
          <w:noProof/>
        </w:rPr>
        <w:tab/>
        <w:t>Public company auditor (annual appointments at AGMs to fill vacancies)</w:t>
      </w:r>
      <w:r w:rsidRPr="00292944">
        <w:rPr>
          <w:noProof/>
        </w:rPr>
        <w:tab/>
      </w:r>
      <w:r w:rsidRPr="00292944">
        <w:rPr>
          <w:noProof/>
        </w:rPr>
        <w:fldChar w:fldCharType="begin"/>
      </w:r>
      <w:r w:rsidRPr="00292944">
        <w:rPr>
          <w:noProof/>
        </w:rPr>
        <w:instrText xml:space="preserve"> PAGEREF _Toc170547829 \h </w:instrText>
      </w:r>
      <w:r w:rsidRPr="00292944">
        <w:rPr>
          <w:noProof/>
        </w:rPr>
      </w:r>
      <w:r w:rsidRPr="00292944">
        <w:rPr>
          <w:noProof/>
        </w:rPr>
        <w:fldChar w:fldCharType="separate"/>
      </w:r>
      <w:r w:rsidR="00DE3E82">
        <w:rPr>
          <w:noProof/>
        </w:rPr>
        <w:t>7</w:t>
      </w:r>
      <w:r w:rsidRPr="00292944">
        <w:rPr>
          <w:noProof/>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6—Availability of names</w:t>
      </w:r>
      <w:r w:rsidRPr="00292944">
        <w:rPr>
          <w:b w:val="0"/>
          <w:noProof/>
          <w:sz w:val="18"/>
        </w:rPr>
        <w:tab/>
      </w:r>
      <w:r w:rsidRPr="00292944">
        <w:rPr>
          <w:b w:val="0"/>
          <w:noProof/>
          <w:sz w:val="18"/>
        </w:rPr>
        <w:fldChar w:fldCharType="begin"/>
      </w:r>
      <w:r w:rsidRPr="00292944">
        <w:rPr>
          <w:b w:val="0"/>
          <w:noProof/>
          <w:sz w:val="18"/>
        </w:rPr>
        <w:instrText xml:space="preserve"> PAGEREF _Toc170547830 \h </w:instrText>
      </w:r>
      <w:r w:rsidRPr="00292944">
        <w:rPr>
          <w:b w:val="0"/>
          <w:noProof/>
          <w:sz w:val="18"/>
        </w:rPr>
      </w:r>
      <w:r w:rsidRPr="00292944">
        <w:rPr>
          <w:b w:val="0"/>
          <w:noProof/>
          <w:sz w:val="18"/>
        </w:rPr>
        <w:fldChar w:fldCharType="separate"/>
      </w:r>
      <w:r w:rsidR="00DE3E82">
        <w:rPr>
          <w:b w:val="0"/>
          <w:noProof/>
          <w:sz w:val="18"/>
        </w:rPr>
        <w:t>8</w:t>
      </w:r>
      <w:r w:rsidRPr="00292944">
        <w:rPr>
          <w:b w:val="0"/>
          <w:noProof/>
          <w:sz w:val="18"/>
        </w:rPr>
        <w:fldChar w:fldCharType="end"/>
      </w:r>
    </w:p>
    <w:p w:rsidR="00292944" w:rsidRDefault="00292944">
      <w:pPr>
        <w:pStyle w:val="TOC2"/>
        <w:rPr>
          <w:rFonts w:asciiTheme="minorHAnsi" w:eastAsiaTheme="minorEastAsia" w:hAnsiTheme="minorHAnsi" w:cstheme="minorBidi"/>
          <w:b w:val="0"/>
          <w:noProof/>
          <w:kern w:val="0"/>
          <w:sz w:val="22"/>
          <w:szCs w:val="22"/>
        </w:rPr>
      </w:pPr>
      <w:r>
        <w:rPr>
          <w:noProof/>
        </w:rPr>
        <w:t>Part 1—Rules for ascertaining whether names are identical</w:t>
      </w:r>
      <w:r w:rsidRPr="00292944">
        <w:rPr>
          <w:b w:val="0"/>
          <w:noProof/>
          <w:sz w:val="18"/>
        </w:rPr>
        <w:tab/>
      </w:r>
      <w:r w:rsidRPr="00292944">
        <w:rPr>
          <w:b w:val="0"/>
          <w:noProof/>
          <w:sz w:val="18"/>
        </w:rPr>
        <w:fldChar w:fldCharType="begin"/>
      </w:r>
      <w:r w:rsidRPr="00292944">
        <w:rPr>
          <w:b w:val="0"/>
          <w:noProof/>
          <w:sz w:val="18"/>
        </w:rPr>
        <w:instrText xml:space="preserve"> PAGEREF _Toc170547831 \h </w:instrText>
      </w:r>
      <w:r w:rsidRPr="00292944">
        <w:rPr>
          <w:b w:val="0"/>
          <w:noProof/>
          <w:sz w:val="18"/>
        </w:rPr>
      </w:r>
      <w:r w:rsidRPr="00292944">
        <w:rPr>
          <w:b w:val="0"/>
          <w:noProof/>
          <w:sz w:val="18"/>
        </w:rPr>
        <w:fldChar w:fldCharType="separate"/>
      </w:r>
      <w:r w:rsidR="00DE3E82">
        <w:rPr>
          <w:b w:val="0"/>
          <w:noProof/>
          <w:sz w:val="18"/>
        </w:rPr>
        <w:t>8</w:t>
      </w:r>
      <w:r w:rsidRPr="00292944">
        <w:rPr>
          <w:b w:val="0"/>
          <w:noProof/>
          <w:sz w:val="18"/>
        </w:rPr>
        <w:fldChar w:fldCharType="end"/>
      </w:r>
    </w:p>
    <w:p w:rsidR="00292944" w:rsidRDefault="00292944">
      <w:pPr>
        <w:pStyle w:val="TOC2"/>
        <w:rPr>
          <w:rFonts w:asciiTheme="minorHAnsi" w:eastAsiaTheme="minorEastAsia" w:hAnsiTheme="minorHAnsi" w:cstheme="minorBidi"/>
          <w:b w:val="0"/>
          <w:noProof/>
          <w:kern w:val="0"/>
          <w:sz w:val="22"/>
          <w:szCs w:val="22"/>
        </w:rPr>
      </w:pPr>
      <w:r>
        <w:rPr>
          <w:noProof/>
        </w:rPr>
        <w:t>Part 2—Names unacceptable for registration</w:t>
      </w:r>
      <w:r w:rsidRPr="00292944">
        <w:rPr>
          <w:b w:val="0"/>
          <w:noProof/>
          <w:sz w:val="18"/>
        </w:rPr>
        <w:tab/>
      </w:r>
      <w:r w:rsidRPr="00292944">
        <w:rPr>
          <w:b w:val="0"/>
          <w:noProof/>
          <w:sz w:val="18"/>
        </w:rPr>
        <w:fldChar w:fldCharType="begin"/>
      </w:r>
      <w:r w:rsidRPr="00292944">
        <w:rPr>
          <w:b w:val="0"/>
          <w:noProof/>
          <w:sz w:val="18"/>
        </w:rPr>
        <w:instrText xml:space="preserve"> PAGEREF _Toc170547832 \h </w:instrText>
      </w:r>
      <w:r w:rsidRPr="00292944">
        <w:rPr>
          <w:b w:val="0"/>
          <w:noProof/>
          <w:sz w:val="18"/>
        </w:rPr>
      </w:r>
      <w:r w:rsidRPr="00292944">
        <w:rPr>
          <w:b w:val="0"/>
          <w:noProof/>
          <w:sz w:val="18"/>
        </w:rPr>
        <w:fldChar w:fldCharType="separate"/>
      </w:r>
      <w:r w:rsidR="00DE3E82">
        <w:rPr>
          <w:b w:val="0"/>
          <w:noProof/>
          <w:sz w:val="18"/>
        </w:rPr>
        <w:t>9</w:t>
      </w:r>
      <w:r w:rsidRPr="00292944">
        <w:rPr>
          <w:b w:val="0"/>
          <w:noProof/>
          <w:sz w:val="18"/>
        </w:rPr>
        <w:fldChar w:fldCharType="end"/>
      </w:r>
    </w:p>
    <w:p w:rsidR="00292944" w:rsidRDefault="00292944">
      <w:pPr>
        <w:pStyle w:val="TOC2"/>
        <w:rPr>
          <w:rFonts w:asciiTheme="minorHAnsi" w:eastAsiaTheme="minorEastAsia" w:hAnsiTheme="minorHAnsi" w:cstheme="minorBidi"/>
          <w:b w:val="0"/>
          <w:noProof/>
          <w:kern w:val="0"/>
          <w:sz w:val="22"/>
          <w:szCs w:val="22"/>
        </w:rPr>
      </w:pPr>
      <w:r>
        <w:rPr>
          <w:noProof/>
        </w:rPr>
        <w:t>Part 3—Restricted words and phrases</w:t>
      </w:r>
      <w:r w:rsidRPr="00292944">
        <w:rPr>
          <w:b w:val="0"/>
          <w:noProof/>
          <w:sz w:val="18"/>
        </w:rPr>
        <w:tab/>
      </w:r>
      <w:r w:rsidRPr="00292944">
        <w:rPr>
          <w:b w:val="0"/>
          <w:noProof/>
          <w:sz w:val="18"/>
        </w:rPr>
        <w:fldChar w:fldCharType="begin"/>
      </w:r>
      <w:r w:rsidRPr="00292944">
        <w:rPr>
          <w:b w:val="0"/>
          <w:noProof/>
          <w:sz w:val="18"/>
        </w:rPr>
        <w:instrText xml:space="preserve"> PAGEREF _Toc170547833 \h </w:instrText>
      </w:r>
      <w:r w:rsidRPr="00292944">
        <w:rPr>
          <w:b w:val="0"/>
          <w:noProof/>
          <w:sz w:val="18"/>
        </w:rPr>
      </w:r>
      <w:r w:rsidRPr="00292944">
        <w:rPr>
          <w:b w:val="0"/>
          <w:noProof/>
          <w:sz w:val="18"/>
        </w:rPr>
        <w:fldChar w:fldCharType="separate"/>
      </w:r>
      <w:r w:rsidR="00DE3E82">
        <w:rPr>
          <w:b w:val="0"/>
          <w:noProof/>
          <w:sz w:val="18"/>
        </w:rPr>
        <w:t>11</w:t>
      </w:r>
      <w:r w:rsidRPr="00292944">
        <w:rPr>
          <w:b w:val="0"/>
          <w:noProof/>
          <w:sz w:val="18"/>
        </w:rPr>
        <w:fldChar w:fldCharType="end"/>
      </w:r>
    </w:p>
    <w:p w:rsidR="00292944" w:rsidRDefault="00292944">
      <w:pPr>
        <w:pStyle w:val="TOC2"/>
        <w:rPr>
          <w:rFonts w:asciiTheme="minorHAnsi" w:eastAsiaTheme="minorEastAsia" w:hAnsiTheme="minorHAnsi" w:cstheme="minorBidi"/>
          <w:b w:val="0"/>
          <w:noProof/>
          <w:kern w:val="0"/>
          <w:sz w:val="22"/>
          <w:szCs w:val="22"/>
        </w:rPr>
      </w:pPr>
      <w:r>
        <w:rPr>
          <w:noProof/>
        </w:rPr>
        <w:t>Part 4—Consent required to use restricted words and phrases</w:t>
      </w:r>
      <w:r w:rsidRPr="00292944">
        <w:rPr>
          <w:b w:val="0"/>
          <w:noProof/>
          <w:sz w:val="18"/>
        </w:rPr>
        <w:tab/>
      </w:r>
      <w:r w:rsidRPr="00292944">
        <w:rPr>
          <w:b w:val="0"/>
          <w:noProof/>
          <w:sz w:val="18"/>
        </w:rPr>
        <w:fldChar w:fldCharType="begin"/>
      </w:r>
      <w:r w:rsidRPr="00292944">
        <w:rPr>
          <w:b w:val="0"/>
          <w:noProof/>
          <w:sz w:val="18"/>
        </w:rPr>
        <w:instrText xml:space="preserve"> PAGEREF _Toc170547834 \h </w:instrText>
      </w:r>
      <w:r w:rsidRPr="00292944">
        <w:rPr>
          <w:b w:val="0"/>
          <w:noProof/>
          <w:sz w:val="18"/>
        </w:rPr>
      </w:r>
      <w:r w:rsidRPr="00292944">
        <w:rPr>
          <w:b w:val="0"/>
          <w:noProof/>
          <w:sz w:val="18"/>
        </w:rPr>
        <w:fldChar w:fldCharType="separate"/>
      </w:r>
      <w:r w:rsidR="00DE3E82">
        <w:rPr>
          <w:b w:val="0"/>
          <w:noProof/>
          <w:sz w:val="18"/>
        </w:rPr>
        <w:t>12</w:t>
      </w:r>
      <w:r w:rsidRPr="00292944">
        <w:rPr>
          <w:b w:val="0"/>
          <w:noProof/>
          <w:sz w:val="18"/>
        </w:rPr>
        <w:fldChar w:fldCharType="end"/>
      </w:r>
    </w:p>
    <w:p w:rsidR="00292944" w:rsidRDefault="00292944">
      <w:pPr>
        <w:pStyle w:val="TOC2"/>
        <w:rPr>
          <w:rFonts w:asciiTheme="minorHAnsi" w:eastAsiaTheme="minorEastAsia" w:hAnsiTheme="minorHAnsi" w:cstheme="minorBidi"/>
          <w:b w:val="0"/>
          <w:noProof/>
          <w:kern w:val="0"/>
          <w:sz w:val="22"/>
          <w:szCs w:val="22"/>
        </w:rPr>
      </w:pPr>
      <w:r>
        <w:rPr>
          <w:noProof/>
        </w:rPr>
        <w:t>Part 5—Names relating to financial institutions for use of which consent is required</w:t>
      </w:r>
      <w:r w:rsidRPr="00292944">
        <w:rPr>
          <w:b w:val="0"/>
          <w:noProof/>
          <w:sz w:val="18"/>
        </w:rPr>
        <w:tab/>
      </w:r>
      <w:r w:rsidRPr="00292944">
        <w:rPr>
          <w:b w:val="0"/>
          <w:noProof/>
          <w:sz w:val="18"/>
        </w:rPr>
        <w:fldChar w:fldCharType="begin"/>
      </w:r>
      <w:r w:rsidRPr="00292944">
        <w:rPr>
          <w:b w:val="0"/>
          <w:noProof/>
          <w:sz w:val="18"/>
        </w:rPr>
        <w:instrText xml:space="preserve"> PAGEREF _Toc170547835 \h </w:instrText>
      </w:r>
      <w:r w:rsidRPr="00292944">
        <w:rPr>
          <w:b w:val="0"/>
          <w:noProof/>
          <w:sz w:val="18"/>
        </w:rPr>
      </w:r>
      <w:r w:rsidRPr="00292944">
        <w:rPr>
          <w:b w:val="0"/>
          <w:noProof/>
          <w:sz w:val="18"/>
        </w:rPr>
        <w:fldChar w:fldCharType="separate"/>
      </w:r>
      <w:r w:rsidR="00DE3E82">
        <w:rPr>
          <w:b w:val="0"/>
          <w:noProof/>
          <w:sz w:val="18"/>
        </w:rPr>
        <w:t>13</w:t>
      </w:r>
      <w:r w:rsidRPr="00292944">
        <w:rPr>
          <w:b w:val="0"/>
          <w:noProof/>
          <w:sz w:val="18"/>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7—Exemptions from requirements to set out certain corporate particulars</w:t>
      </w:r>
      <w:r w:rsidRPr="00292944">
        <w:rPr>
          <w:b w:val="0"/>
          <w:noProof/>
          <w:sz w:val="18"/>
        </w:rPr>
        <w:tab/>
      </w:r>
      <w:r w:rsidRPr="00292944">
        <w:rPr>
          <w:b w:val="0"/>
          <w:noProof/>
          <w:sz w:val="18"/>
        </w:rPr>
        <w:fldChar w:fldCharType="begin"/>
      </w:r>
      <w:r w:rsidRPr="00292944">
        <w:rPr>
          <w:b w:val="0"/>
          <w:noProof/>
          <w:sz w:val="18"/>
        </w:rPr>
        <w:instrText xml:space="preserve"> PAGEREF _Toc170547836 \h </w:instrText>
      </w:r>
      <w:r w:rsidRPr="00292944">
        <w:rPr>
          <w:b w:val="0"/>
          <w:noProof/>
          <w:sz w:val="18"/>
        </w:rPr>
      </w:r>
      <w:r w:rsidRPr="00292944">
        <w:rPr>
          <w:b w:val="0"/>
          <w:noProof/>
          <w:sz w:val="18"/>
        </w:rPr>
        <w:fldChar w:fldCharType="separate"/>
      </w:r>
      <w:r w:rsidR="00DE3E82">
        <w:rPr>
          <w:b w:val="0"/>
          <w:noProof/>
          <w:sz w:val="18"/>
        </w:rPr>
        <w:t>14</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7001</w:t>
      </w:r>
      <w:r>
        <w:rPr>
          <w:noProof/>
        </w:rPr>
        <w:tab/>
        <w:t>Definitions for Schedule 7</w:t>
      </w:r>
      <w:r w:rsidRPr="00292944">
        <w:rPr>
          <w:noProof/>
        </w:rPr>
        <w:tab/>
      </w:r>
      <w:r w:rsidRPr="00292944">
        <w:rPr>
          <w:noProof/>
        </w:rPr>
        <w:fldChar w:fldCharType="begin"/>
      </w:r>
      <w:r w:rsidRPr="00292944">
        <w:rPr>
          <w:noProof/>
        </w:rPr>
        <w:instrText xml:space="preserve"> PAGEREF _Toc170547837 \h </w:instrText>
      </w:r>
      <w:r w:rsidRPr="00292944">
        <w:rPr>
          <w:noProof/>
        </w:rPr>
      </w:r>
      <w:r w:rsidRPr="00292944">
        <w:rPr>
          <w:noProof/>
        </w:rPr>
        <w:fldChar w:fldCharType="separate"/>
      </w:r>
      <w:r w:rsidR="00DE3E82">
        <w:rPr>
          <w:noProof/>
        </w:rPr>
        <w:t>14</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7002</w:t>
      </w:r>
      <w:r>
        <w:rPr>
          <w:noProof/>
        </w:rPr>
        <w:tab/>
        <w:t>Exemption for certain IATA documents</w:t>
      </w:r>
      <w:r w:rsidRPr="00292944">
        <w:rPr>
          <w:noProof/>
        </w:rPr>
        <w:tab/>
      </w:r>
      <w:r w:rsidRPr="00292944">
        <w:rPr>
          <w:noProof/>
        </w:rPr>
        <w:fldChar w:fldCharType="begin"/>
      </w:r>
      <w:r w:rsidRPr="00292944">
        <w:rPr>
          <w:noProof/>
        </w:rPr>
        <w:instrText xml:space="preserve"> PAGEREF _Toc170547838 \h </w:instrText>
      </w:r>
      <w:r w:rsidRPr="00292944">
        <w:rPr>
          <w:noProof/>
        </w:rPr>
      </w:r>
      <w:r w:rsidRPr="00292944">
        <w:rPr>
          <w:noProof/>
        </w:rPr>
        <w:fldChar w:fldCharType="separate"/>
      </w:r>
      <w:r w:rsidR="00DE3E82">
        <w:rPr>
          <w:noProof/>
        </w:rPr>
        <w:t>14</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7003</w:t>
      </w:r>
      <w:r>
        <w:rPr>
          <w:noProof/>
        </w:rPr>
        <w:tab/>
        <w:t>Exemption for bills of lading and sea waybills</w:t>
      </w:r>
      <w:r w:rsidRPr="00292944">
        <w:rPr>
          <w:noProof/>
        </w:rPr>
        <w:tab/>
      </w:r>
      <w:r w:rsidRPr="00292944">
        <w:rPr>
          <w:noProof/>
        </w:rPr>
        <w:fldChar w:fldCharType="begin"/>
      </w:r>
      <w:r w:rsidRPr="00292944">
        <w:rPr>
          <w:noProof/>
        </w:rPr>
        <w:instrText xml:space="preserve"> PAGEREF _Toc170547839 \h </w:instrText>
      </w:r>
      <w:r w:rsidRPr="00292944">
        <w:rPr>
          <w:noProof/>
        </w:rPr>
      </w:r>
      <w:r w:rsidRPr="00292944">
        <w:rPr>
          <w:noProof/>
        </w:rPr>
        <w:fldChar w:fldCharType="separate"/>
      </w:r>
      <w:r w:rsidR="00DE3E82">
        <w:rPr>
          <w:noProof/>
        </w:rPr>
        <w:t>14</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7004</w:t>
      </w:r>
      <w:r>
        <w:rPr>
          <w:noProof/>
        </w:rPr>
        <w:tab/>
        <w:t>Exemptions—quotation of ACNs and ARBNs</w:t>
      </w:r>
      <w:r w:rsidRPr="00292944">
        <w:rPr>
          <w:noProof/>
        </w:rPr>
        <w:tab/>
      </w:r>
      <w:r w:rsidRPr="00292944">
        <w:rPr>
          <w:noProof/>
        </w:rPr>
        <w:fldChar w:fldCharType="begin"/>
      </w:r>
      <w:r w:rsidRPr="00292944">
        <w:rPr>
          <w:noProof/>
        </w:rPr>
        <w:instrText xml:space="preserve"> PAGEREF _Toc170547840 \h </w:instrText>
      </w:r>
      <w:r w:rsidRPr="00292944">
        <w:rPr>
          <w:noProof/>
        </w:rPr>
      </w:r>
      <w:r w:rsidRPr="00292944">
        <w:rPr>
          <w:noProof/>
        </w:rPr>
        <w:fldChar w:fldCharType="separate"/>
      </w:r>
      <w:r w:rsidR="00DE3E82">
        <w:rPr>
          <w:noProof/>
        </w:rPr>
        <w:t>15</w:t>
      </w:r>
      <w:r w:rsidRPr="00292944">
        <w:rPr>
          <w:noProof/>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7A—Content of annual transparency report</w:t>
      </w:r>
      <w:r w:rsidRPr="00292944">
        <w:rPr>
          <w:b w:val="0"/>
          <w:noProof/>
          <w:sz w:val="18"/>
        </w:rPr>
        <w:tab/>
      </w:r>
      <w:r w:rsidRPr="00292944">
        <w:rPr>
          <w:b w:val="0"/>
          <w:noProof/>
          <w:sz w:val="18"/>
        </w:rPr>
        <w:fldChar w:fldCharType="begin"/>
      </w:r>
      <w:r w:rsidRPr="00292944">
        <w:rPr>
          <w:b w:val="0"/>
          <w:noProof/>
          <w:sz w:val="18"/>
        </w:rPr>
        <w:instrText xml:space="preserve"> PAGEREF _Toc170547841 \h </w:instrText>
      </w:r>
      <w:r w:rsidRPr="00292944">
        <w:rPr>
          <w:b w:val="0"/>
          <w:noProof/>
          <w:sz w:val="18"/>
        </w:rPr>
      </w:r>
      <w:r w:rsidRPr="00292944">
        <w:rPr>
          <w:b w:val="0"/>
          <w:noProof/>
          <w:sz w:val="18"/>
        </w:rPr>
        <w:fldChar w:fldCharType="separate"/>
      </w:r>
      <w:r w:rsidR="00DE3E82">
        <w:rPr>
          <w:b w:val="0"/>
          <w:noProof/>
          <w:sz w:val="18"/>
        </w:rPr>
        <w:t>16</w:t>
      </w:r>
      <w:r w:rsidRPr="00292944">
        <w:rPr>
          <w:b w:val="0"/>
          <w:noProof/>
          <w:sz w:val="18"/>
        </w:rPr>
        <w:fldChar w:fldCharType="end"/>
      </w:r>
    </w:p>
    <w:p w:rsidR="00292944" w:rsidRDefault="00292944">
      <w:pPr>
        <w:pStyle w:val="TOC2"/>
        <w:rPr>
          <w:rFonts w:asciiTheme="minorHAnsi" w:eastAsiaTheme="minorEastAsia" w:hAnsiTheme="minorHAnsi" w:cstheme="minorBidi"/>
          <w:b w:val="0"/>
          <w:noProof/>
          <w:kern w:val="0"/>
          <w:sz w:val="22"/>
          <w:szCs w:val="22"/>
        </w:rPr>
      </w:pPr>
      <w:r>
        <w:rPr>
          <w:noProof/>
        </w:rPr>
        <w:t>Part 1—Interpretation for Schedule 7A</w:t>
      </w:r>
      <w:r w:rsidRPr="00292944">
        <w:rPr>
          <w:b w:val="0"/>
          <w:noProof/>
          <w:sz w:val="18"/>
        </w:rPr>
        <w:tab/>
      </w:r>
      <w:r w:rsidRPr="00292944">
        <w:rPr>
          <w:b w:val="0"/>
          <w:noProof/>
          <w:sz w:val="18"/>
        </w:rPr>
        <w:fldChar w:fldCharType="begin"/>
      </w:r>
      <w:r w:rsidRPr="00292944">
        <w:rPr>
          <w:b w:val="0"/>
          <w:noProof/>
          <w:sz w:val="18"/>
        </w:rPr>
        <w:instrText xml:space="preserve"> PAGEREF _Toc170547842 \h </w:instrText>
      </w:r>
      <w:r w:rsidRPr="00292944">
        <w:rPr>
          <w:b w:val="0"/>
          <w:noProof/>
          <w:sz w:val="18"/>
        </w:rPr>
      </w:r>
      <w:r w:rsidRPr="00292944">
        <w:rPr>
          <w:b w:val="0"/>
          <w:noProof/>
          <w:sz w:val="18"/>
        </w:rPr>
        <w:fldChar w:fldCharType="separate"/>
      </w:r>
      <w:r w:rsidR="00DE3E82">
        <w:rPr>
          <w:b w:val="0"/>
          <w:noProof/>
          <w:sz w:val="18"/>
        </w:rPr>
        <w:t>16</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7A101</w:t>
      </w:r>
      <w:r>
        <w:rPr>
          <w:noProof/>
        </w:rPr>
        <w:tab/>
        <w:t>Interpretation</w:t>
      </w:r>
      <w:r w:rsidRPr="00292944">
        <w:rPr>
          <w:noProof/>
        </w:rPr>
        <w:tab/>
      </w:r>
      <w:r w:rsidRPr="00292944">
        <w:rPr>
          <w:noProof/>
        </w:rPr>
        <w:fldChar w:fldCharType="begin"/>
      </w:r>
      <w:r w:rsidRPr="00292944">
        <w:rPr>
          <w:noProof/>
        </w:rPr>
        <w:instrText xml:space="preserve"> PAGEREF _Toc170547843 \h </w:instrText>
      </w:r>
      <w:r w:rsidRPr="00292944">
        <w:rPr>
          <w:noProof/>
        </w:rPr>
      </w:r>
      <w:r w:rsidRPr="00292944">
        <w:rPr>
          <w:noProof/>
        </w:rPr>
        <w:fldChar w:fldCharType="separate"/>
      </w:r>
      <w:r w:rsidR="00DE3E82">
        <w:rPr>
          <w:noProof/>
        </w:rPr>
        <w:t>16</w:t>
      </w:r>
      <w:r w:rsidRPr="00292944">
        <w:rPr>
          <w:noProof/>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2—Prescribed information for audit firm or authorised audit company</w:t>
      </w:r>
      <w:r w:rsidRPr="00292944">
        <w:rPr>
          <w:b w:val="0"/>
          <w:noProof/>
          <w:sz w:val="18"/>
        </w:rPr>
        <w:tab/>
      </w:r>
      <w:r w:rsidRPr="00292944">
        <w:rPr>
          <w:b w:val="0"/>
          <w:noProof/>
          <w:sz w:val="18"/>
        </w:rPr>
        <w:fldChar w:fldCharType="begin"/>
      </w:r>
      <w:r w:rsidRPr="00292944">
        <w:rPr>
          <w:b w:val="0"/>
          <w:noProof/>
          <w:sz w:val="18"/>
        </w:rPr>
        <w:instrText xml:space="preserve"> PAGEREF _Toc170547844 \h </w:instrText>
      </w:r>
      <w:r w:rsidRPr="00292944">
        <w:rPr>
          <w:b w:val="0"/>
          <w:noProof/>
          <w:sz w:val="18"/>
        </w:rPr>
      </w:r>
      <w:r w:rsidRPr="00292944">
        <w:rPr>
          <w:b w:val="0"/>
          <w:noProof/>
          <w:sz w:val="18"/>
        </w:rPr>
        <w:fldChar w:fldCharType="separate"/>
      </w:r>
      <w:r w:rsidR="00DE3E82">
        <w:rPr>
          <w:b w:val="0"/>
          <w:noProof/>
          <w:sz w:val="18"/>
        </w:rPr>
        <w:t>17</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3—Prescribed information for individual auditor</w:t>
      </w:r>
      <w:r w:rsidRPr="00292944">
        <w:rPr>
          <w:b w:val="0"/>
          <w:noProof/>
          <w:sz w:val="18"/>
        </w:rPr>
        <w:tab/>
      </w:r>
      <w:r w:rsidRPr="00292944">
        <w:rPr>
          <w:b w:val="0"/>
          <w:noProof/>
          <w:sz w:val="18"/>
        </w:rPr>
        <w:fldChar w:fldCharType="begin"/>
      </w:r>
      <w:r w:rsidRPr="00292944">
        <w:rPr>
          <w:b w:val="0"/>
          <w:noProof/>
          <w:sz w:val="18"/>
        </w:rPr>
        <w:instrText xml:space="preserve"> PAGEREF _Toc170547845 \h </w:instrText>
      </w:r>
      <w:r w:rsidRPr="00292944">
        <w:rPr>
          <w:b w:val="0"/>
          <w:noProof/>
          <w:sz w:val="18"/>
        </w:rPr>
      </w:r>
      <w:r w:rsidRPr="00292944">
        <w:rPr>
          <w:b w:val="0"/>
          <w:noProof/>
          <w:sz w:val="18"/>
        </w:rPr>
        <w:fldChar w:fldCharType="separate"/>
      </w:r>
      <w:r w:rsidR="00DE3E82">
        <w:rPr>
          <w:b w:val="0"/>
          <w:noProof/>
          <w:sz w:val="18"/>
        </w:rPr>
        <w:t>18</w:t>
      </w:r>
      <w:r w:rsidRPr="00292944">
        <w:rPr>
          <w:b w:val="0"/>
          <w:noProof/>
          <w:sz w:val="18"/>
        </w:rPr>
        <w:fldChar w:fldCharType="end"/>
      </w:r>
    </w:p>
    <w:p w:rsidR="00292944" w:rsidRDefault="00292944" w:rsidP="00292944">
      <w:pPr>
        <w:pStyle w:val="TOC1"/>
        <w:keepNext w:val="0"/>
        <w:keepLines w:val="0"/>
        <w:rPr>
          <w:rFonts w:asciiTheme="minorHAnsi" w:eastAsiaTheme="minorEastAsia" w:hAnsiTheme="minorHAnsi" w:cstheme="minorBidi"/>
          <w:b w:val="0"/>
          <w:noProof/>
          <w:kern w:val="0"/>
          <w:sz w:val="22"/>
          <w:szCs w:val="22"/>
        </w:rPr>
      </w:pPr>
      <w:r>
        <w:rPr>
          <w:noProof/>
        </w:rPr>
        <w:t>Schedule 8—Schemes of arrangement under Part 5.1 of the Act</w:t>
      </w:r>
      <w:r w:rsidRPr="00292944">
        <w:rPr>
          <w:b w:val="0"/>
          <w:noProof/>
          <w:sz w:val="18"/>
        </w:rPr>
        <w:tab/>
      </w:r>
      <w:r w:rsidRPr="00292944">
        <w:rPr>
          <w:b w:val="0"/>
          <w:noProof/>
          <w:sz w:val="18"/>
        </w:rPr>
        <w:fldChar w:fldCharType="begin"/>
      </w:r>
      <w:r w:rsidRPr="00292944">
        <w:rPr>
          <w:b w:val="0"/>
          <w:noProof/>
          <w:sz w:val="18"/>
        </w:rPr>
        <w:instrText xml:space="preserve"> PAGEREF _Toc170547846 \h </w:instrText>
      </w:r>
      <w:r w:rsidRPr="00292944">
        <w:rPr>
          <w:b w:val="0"/>
          <w:noProof/>
          <w:sz w:val="18"/>
        </w:rPr>
      </w:r>
      <w:r w:rsidRPr="00292944">
        <w:rPr>
          <w:b w:val="0"/>
          <w:noProof/>
          <w:sz w:val="18"/>
        </w:rPr>
        <w:fldChar w:fldCharType="separate"/>
      </w:r>
      <w:r w:rsidR="00DE3E82">
        <w:rPr>
          <w:b w:val="0"/>
          <w:noProof/>
          <w:sz w:val="18"/>
        </w:rPr>
        <w:t>19</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Chapter 5—External administration</w:t>
      </w:r>
      <w:r w:rsidRPr="00292944">
        <w:rPr>
          <w:b w:val="0"/>
          <w:noProof/>
          <w:sz w:val="18"/>
        </w:rPr>
        <w:tab/>
      </w:r>
      <w:r w:rsidRPr="00292944">
        <w:rPr>
          <w:b w:val="0"/>
          <w:noProof/>
          <w:sz w:val="18"/>
        </w:rPr>
        <w:fldChar w:fldCharType="begin"/>
      </w:r>
      <w:r w:rsidRPr="00292944">
        <w:rPr>
          <w:b w:val="0"/>
          <w:noProof/>
          <w:sz w:val="18"/>
        </w:rPr>
        <w:instrText xml:space="preserve"> PAGEREF _Toc170547847 \h </w:instrText>
      </w:r>
      <w:r w:rsidRPr="00292944">
        <w:rPr>
          <w:b w:val="0"/>
          <w:noProof/>
          <w:sz w:val="18"/>
        </w:rPr>
      </w:r>
      <w:r w:rsidRPr="00292944">
        <w:rPr>
          <w:b w:val="0"/>
          <w:noProof/>
          <w:sz w:val="18"/>
        </w:rPr>
        <w:fldChar w:fldCharType="separate"/>
      </w:r>
      <w:r w:rsidR="00DE3E82">
        <w:rPr>
          <w:b w:val="0"/>
          <w:noProof/>
          <w:sz w:val="18"/>
        </w:rPr>
        <w:t>19</w:t>
      </w:r>
      <w:r w:rsidRPr="00292944">
        <w:rPr>
          <w:b w:val="0"/>
          <w:noProof/>
          <w:sz w:val="18"/>
        </w:rPr>
        <w:fldChar w:fldCharType="end"/>
      </w:r>
    </w:p>
    <w:p w:rsidR="00292944" w:rsidRDefault="00292944" w:rsidP="00292944">
      <w:pPr>
        <w:pStyle w:val="TOC3"/>
        <w:keepNext w:val="0"/>
        <w:keepLines w:val="0"/>
        <w:rPr>
          <w:rFonts w:asciiTheme="minorHAnsi" w:eastAsiaTheme="minorEastAsia" w:hAnsiTheme="minorHAnsi" w:cstheme="minorBidi"/>
          <w:b w:val="0"/>
          <w:noProof/>
          <w:kern w:val="0"/>
          <w:szCs w:val="22"/>
        </w:rPr>
      </w:pPr>
      <w:r>
        <w:rPr>
          <w:noProof/>
        </w:rPr>
        <w:t>Part 1—Interpretation and application</w:t>
      </w:r>
      <w:r w:rsidRPr="00292944">
        <w:rPr>
          <w:b w:val="0"/>
          <w:noProof/>
          <w:sz w:val="18"/>
        </w:rPr>
        <w:tab/>
      </w:r>
      <w:r w:rsidRPr="00292944">
        <w:rPr>
          <w:b w:val="0"/>
          <w:noProof/>
          <w:sz w:val="18"/>
        </w:rPr>
        <w:fldChar w:fldCharType="begin"/>
      </w:r>
      <w:r w:rsidRPr="00292944">
        <w:rPr>
          <w:b w:val="0"/>
          <w:noProof/>
          <w:sz w:val="18"/>
        </w:rPr>
        <w:instrText xml:space="preserve"> PAGEREF _Toc170547848 \h </w:instrText>
      </w:r>
      <w:r w:rsidRPr="00292944">
        <w:rPr>
          <w:b w:val="0"/>
          <w:noProof/>
          <w:sz w:val="18"/>
        </w:rPr>
      </w:r>
      <w:r w:rsidRPr="00292944">
        <w:rPr>
          <w:b w:val="0"/>
          <w:noProof/>
          <w:sz w:val="18"/>
        </w:rPr>
        <w:fldChar w:fldCharType="separate"/>
      </w:r>
      <w:r w:rsidR="00DE3E82">
        <w:rPr>
          <w:b w:val="0"/>
          <w:noProof/>
          <w:sz w:val="18"/>
        </w:rPr>
        <w:t>19</w:t>
      </w:r>
      <w:r w:rsidRPr="00292944">
        <w:rPr>
          <w:b w:val="0"/>
          <w:noProof/>
          <w:sz w:val="18"/>
        </w:rPr>
        <w:fldChar w:fldCharType="end"/>
      </w:r>
    </w:p>
    <w:p w:rsidR="00292944" w:rsidRDefault="00292944" w:rsidP="00292944">
      <w:pPr>
        <w:pStyle w:val="TOC3"/>
        <w:keepNext w:val="0"/>
        <w:keepLines w:val="0"/>
        <w:rPr>
          <w:rFonts w:asciiTheme="minorHAnsi" w:eastAsiaTheme="minorEastAsia" w:hAnsiTheme="minorHAnsi" w:cstheme="minorBidi"/>
          <w:b w:val="0"/>
          <w:noProof/>
          <w:kern w:val="0"/>
          <w:szCs w:val="22"/>
        </w:rPr>
      </w:pPr>
      <w:r>
        <w:rPr>
          <w:noProof/>
        </w:rPr>
        <w:t>Part 2—Prescribed information relating to proposed compromise or arrangement with creditors or class of creditors</w:t>
      </w:r>
      <w:r w:rsidRPr="00292944">
        <w:rPr>
          <w:b w:val="0"/>
          <w:noProof/>
          <w:sz w:val="18"/>
        </w:rPr>
        <w:tab/>
      </w:r>
      <w:r w:rsidRPr="00292944">
        <w:rPr>
          <w:b w:val="0"/>
          <w:noProof/>
          <w:sz w:val="18"/>
        </w:rPr>
        <w:fldChar w:fldCharType="begin"/>
      </w:r>
      <w:r w:rsidRPr="00292944">
        <w:rPr>
          <w:b w:val="0"/>
          <w:noProof/>
          <w:sz w:val="18"/>
        </w:rPr>
        <w:instrText xml:space="preserve"> PAGEREF _Toc170547849 \h </w:instrText>
      </w:r>
      <w:r w:rsidRPr="00292944">
        <w:rPr>
          <w:b w:val="0"/>
          <w:noProof/>
          <w:sz w:val="18"/>
        </w:rPr>
      </w:r>
      <w:r w:rsidRPr="00292944">
        <w:rPr>
          <w:b w:val="0"/>
          <w:noProof/>
          <w:sz w:val="18"/>
        </w:rPr>
        <w:fldChar w:fldCharType="separate"/>
      </w:r>
      <w:r w:rsidR="00DE3E82">
        <w:rPr>
          <w:b w:val="0"/>
          <w:noProof/>
          <w:sz w:val="18"/>
        </w:rPr>
        <w:t>20</w:t>
      </w:r>
      <w:r w:rsidRPr="00292944">
        <w:rPr>
          <w:b w:val="0"/>
          <w:noProof/>
          <w:sz w:val="18"/>
        </w:rPr>
        <w:fldChar w:fldCharType="end"/>
      </w:r>
    </w:p>
    <w:p w:rsidR="00292944" w:rsidRDefault="00292944" w:rsidP="00292944">
      <w:pPr>
        <w:pStyle w:val="TOC3"/>
        <w:keepNext w:val="0"/>
        <w:keepLines w:val="0"/>
        <w:rPr>
          <w:rFonts w:asciiTheme="minorHAnsi" w:eastAsiaTheme="minorEastAsia" w:hAnsiTheme="minorHAnsi" w:cstheme="minorBidi"/>
          <w:b w:val="0"/>
          <w:noProof/>
          <w:kern w:val="0"/>
          <w:szCs w:val="22"/>
        </w:rPr>
      </w:pPr>
      <w:r>
        <w:rPr>
          <w:noProof/>
        </w:rPr>
        <w:t>Part 3—Prescribed information relating to proposed compromise or arrangement with members or a class of members</w:t>
      </w:r>
      <w:r w:rsidRPr="00292944">
        <w:rPr>
          <w:b w:val="0"/>
          <w:noProof/>
          <w:sz w:val="18"/>
        </w:rPr>
        <w:tab/>
      </w:r>
      <w:r w:rsidRPr="00292944">
        <w:rPr>
          <w:b w:val="0"/>
          <w:noProof/>
          <w:sz w:val="18"/>
        </w:rPr>
        <w:fldChar w:fldCharType="begin"/>
      </w:r>
      <w:r w:rsidRPr="00292944">
        <w:rPr>
          <w:b w:val="0"/>
          <w:noProof/>
          <w:sz w:val="18"/>
        </w:rPr>
        <w:instrText xml:space="preserve"> PAGEREF _Toc170547850 \h </w:instrText>
      </w:r>
      <w:r w:rsidRPr="00292944">
        <w:rPr>
          <w:b w:val="0"/>
          <w:noProof/>
          <w:sz w:val="18"/>
        </w:rPr>
      </w:r>
      <w:r w:rsidRPr="00292944">
        <w:rPr>
          <w:b w:val="0"/>
          <w:noProof/>
          <w:sz w:val="18"/>
        </w:rPr>
        <w:fldChar w:fldCharType="separate"/>
      </w:r>
      <w:r w:rsidR="00DE3E82">
        <w:rPr>
          <w:b w:val="0"/>
          <w:noProof/>
          <w:sz w:val="18"/>
        </w:rPr>
        <w:t>21</w:t>
      </w:r>
      <w:r w:rsidRPr="00292944">
        <w:rPr>
          <w:b w:val="0"/>
          <w:noProof/>
          <w:sz w:val="18"/>
        </w:rPr>
        <w:fldChar w:fldCharType="end"/>
      </w:r>
    </w:p>
    <w:p w:rsidR="00292944" w:rsidRDefault="00292944" w:rsidP="00292944">
      <w:pPr>
        <w:pStyle w:val="TOC3"/>
        <w:keepNext w:val="0"/>
        <w:keepLines w:val="0"/>
        <w:rPr>
          <w:rFonts w:asciiTheme="minorHAnsi" w:eastAsiaTheme="minorEastAsia" w:hAnsiTheme="minorHAnsi" w:cstheme="minorBidi"/>
          <w:b w:val="0"/>
          <w:noProof/>
          <w:kern w:val="0"/>
          <w:szCs w:val="22"/>
        </w:rPr>
      </w:pPr>
      <w:r>
        <w:rPr>
          <w:noProof/>
        </w:rPr>
        <w:t>Part 4—Prescribed information relating to proposed compromise or arrangement with members or class of members for transfer to a trustee</w:t>
      </w:r>
      <w:r w:rsidRPr="00292944">
        <w:rPr>
          <w:b w:val="0"/>
          <w:noProof/>
          <w:sz w:val="18"/>
        </w:rPr>
        <w:tab/>
      </w:r>
      <w:r w:rsidRPr="00292944">
        <w:rPr>
          <w:b w:val="0"/>
          <w:noProof/>
          <w:sz w:val="18"/>
        </w:rPr>
        <w:fldChar w:fldCharType="begin"/>
      </w:r>
      <w:r w:rsidRPr="00292944">
        <w:rPr>
          <w:b w:val="0"/>
          <w:noProof/>
          <w:sz w:val="18"/>
        </w:rPr>
        <w:instrText xml:space="preserve"> PAGEREF _Toc170547851 \h </w:instrText>
      </w:r>
      <w:r w:rsidRPr="00292944">
        <w:rPr>
          <w:b w:val="0"/>
          <w:noProof/>
          <w:sz w:val="18"/>
        </w:rPr>
      </w:r>
      <w:r w:rsidRPr="00292944">
        <w:rPr>
          <w:b w:val="0"/>
          <w:noProof/>
          <w:sz w:val="18"/>
        </w:rPr>
        <w:fldChar w:fldCharType="separate"/>
      </w:r>
      <w:r w:rsidR="00DE3E82">
        <w:rPr>
          <w:b w:val="0"/>
          <w:noProof/>
          <w:sz w:val="18"/>
        </w:rPr>
        <w:t>25</w:t>
      </w:r>
      <w:r w:rsidRPr="00292944">
        <w:rPr>
          <w:b w:val="0"/>
          <w:noProof/>
          <w:sz w:val="18"/>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lastRenderedPageBreak/>
        <w:t>Schedule 8A—Deed of company arrangement—prescribed provisions</w:t>
      </w:r>
      <w:r w:rsidRPr="00292944">
        <w:rPr>
          <w:b w:val="0"/>
          <w:noProof/>
          <w:sz w:val="18"/>
        </w:rPr>
        <w:tab/>
      </w:r>
      <w:r w:rsidRPr="00292944">
        <w:rPr>
          <w:b w:val="0"/>
          <w:noProof/>
          <w:sz w:val="18"/>
        </w:rPr>
        <w:fldChar w:fldCharType="begin"/>
      </w:r>
      <w:r w:rsidRPr="00292944">
        <w:rPr>
          <w:b w:val="0"/>
          <w:noProof/>
          <w:sz w:val="18"/>
        </w:rPr>
        <w:instrText xml:space="preserve"> PAGEREF _Toc170547852 \h </w:instrText>
      </w:r>
      <w:r w:rsidRPr="00292944">
        <w:rPr>
          <w:b w:val="0"/>
          <w:noProof/>
          <w:sz w:val="18"/>
        </w:rPr>
      </w:r>
      <w:r w:rsidRPr="00292944">
        <w:rPr>
          <w:b w:val="0"/>
          <w:noProof/>
          <w:sz w:val="18"/>
        </w:rPr>
        <w:fldChar w:fldCharType="separate"/>
      </w:r>
      <w:r w:rsidR="00DE3E82">
        <w:rPr>
          <w:b w:val="0"/>
          <w:noProof/>
          <w:sz w:val="18"/>
        </w:rPr>
        <w:t>26</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1</w:t>
      </w:r>
      <w:r>
        <w:rPr>
          <w:noProof/>
        </w:rPr>
        <w:tab/>
        <w:t>Administrator deemed agent of company</w:t>
      </w:r>
      <w:r w:rsidRPr="00292944">
        <w:rPr>
          <w:noProof/>
        </w:rPr>
        <w:tab/>
      </w:r>
      <w:r w:rsidRPr="00292944">
        <w:rPr>
          <w:noProof/>
        </w:rPr>
        <w:fldChar w:fldCharType="begin"/>
      </w:r>
      <w:r w:rsidRPr="00292944">
        <w:rPr>
          <w:noProof/>
        </w:rPr>
        <w:instrText xml:space="preserve"> PAGEREF _Toc170547853 \h </w:instrText>
      </w:r>
      <w:r w:rsidRPr="00292944">
        <w:rPr>
          <w:noProof/>
        </w:rPr>
      </w:r>
      <w:r w:rsidRPr="00292944">
        <w:rPr>
          <w:noProof/>
        </w:rPr>
        <w:fldChar w:fldCharType="separate"/>
      </w:r>
      <w:r w:rsidR="00DE3E82">
        <w:rPr>
          <w:noProof/>
        </w:rPr>
        <w:t>26</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w:t>
      </w:r>
      <w:r>
        <w:rPr>
          <w:noProof/>
        </w:rPr>
        <w:tab/>
        <w:t>Powers of administrator</w:t>
      </w:r>
      <w:r w:rsidRPr="00292944">
        <w:rPr>
          <w:noProof/>
        </w:rPr>
        <w:tab/>
      </w:r>
      <w:r w:rsidRPr="00292944">
        <w:rPr>
          <w:noProof/>
        </w:rPr>
        <w:fldChar w:fldCharType="begin"/>
      </w:r>
      <w:r w:rsidRPr="00292944">
        <w:rPr>
          <w:noProof/>
        </w:rPr>
        <w:instrText xml:space="preserve"> PAGEREF _Toc170547854 \h </w:instrText>
      </w:r>
      <w:r w:rsidRPr="00292944">
        <w:rPr>
          <w:noProof/>
        </w:rPr>
      </w:r>
      <w:r w:rsidRPr="00292944">
        <w:rPr>
          <w:noProof/>
        </w:rPr>
        <w:fldChar w:fldCharType="separate"/>
      </w:r>
      <w:r w:rsidR="00DE3E82">
        <w:rPr>
          <w:noProof/>
        </w:rPr>
        <w:t>26</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3</w:t>
      </w:r>
      <w:r>
        <w:rPr>
          <w:noProof/>
        </w:rPr>
        <w:tab/>
        <w:t>Termination of deed where arrangement fails</w:t>
      </w:r>
      <w:r w:rsidRPr="00292944">
        <w:rPr>
          <w:noProof/>
        </w:rPr>
        <w:tab/>
      </w:r>
      <w:r w:rsidRPr="00292944">
        <w:rPr>
          <w:noProof/>
        </w:rPr>
        <w:fldChar w:fldCharType="begin"/>
      </w:r>
      <w:r w:rsidRPr="00292944">
        <w:rPr>
          <w:noProof/>
        </w:rPr>
        <w:instrText xml:space="preserve"> PAGEREF _Toc170547855 \h </w:instrText>
      </w:r>
      <w:r w:rsidRPr="00292944">
        <w:rPr>
          <w:noProof/>
        </w:rPr>
      </w:r>
      <w:r w:rsidRPr="00292944">
        <w:rPr>
          <w:noProof/>
        </w:rPr>
        <w:fldChar w:fldCharType="separate"/>
      </w:r>
      <w:r w:rsidR="00DE3E82">
        <w:rPr>
          <w:noProof/>
        </w:rPr>
        <w:t>28</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4</w:t>
      </w:r>
      <w:r>
        <w:rPr>
          <w:noProof/>
        </w:rPr>
        <w:tab/>
        <w:t>Priority</w:t>
      </w:r>
      <w:r w:rsidRPr="00292944">
        <w:rPr>
          <w:noProof/>
        </w:rPr>
        <w:tab/>
      </w:r>
      <w:r w:rsidRPr="00292944">
        <w:rPr>
          <w:noProof/>
        </w:rPr>
        <w:fldChar w:fldCharType="begin"/>
      </w:r>
      <w:r w:rsidRPr="00292944">
        <w:rPr>
          <w:noProof/>
        </w:rPr>
        <w:instrText xml:space="preserve"> PAGEREF _Toc170547856 \h </w:instrText>
      </w:r>
      <w:r w:rsidRPr="00292944">
        <w:rPr>
          <w:noProof/>
        </w:rPr>
      </w:r>
      <w:r w:rsidRPr="00292944">
        <w:rPr>
          <w:noProof/>
        </w:rPr>
        <w:fldChar w:fldCharType="separate"/>
      </w:r>
      <w:r w:rsidR="00DE3E82">
        <w:rPr>
          <w:noProof/>
        </w:rPr>
        <w:t>28</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5</w:t>
      </w:r>
      <w:r>
        <w:rPr>
          <w:noProof/>
        </w:rPr>
        <w:tab/>
        <w:t>Discharge of debts</w:t>
      </w:r>
      <w:r w:rsidRPr="00292944">
        <w:rPr>
          <w:noProof/>
        </w:rPr>
        <w:tab/>
      </w:r>
      <w:r w:rsidRPr="00292944">
        <w:rPr>
          <w:noProof/>
        </w:rPr>
        <w:fldChar w:fldCharType="begin"/>
      </w:r>
      <w:r w:rsidRPr="00292944">
        <w:rPr>
          <w:noProof/>
        </w:rPr>
        <w:instrText xml:space="preserve"> PAGEREF _Toc170547857 \h </w:instrText>
      </w:r>
      <w:r w:rsidRPr="00292944">
        <w:rPr>
          <w:noProof/>
        </w:rPr>
      </w:r>
      <w:r w:rsidRPr="00292944">
        <w:rPr>
          <w:noProof/>
        </w:rPr>
        <w:fldChar w:fldCharType="separate"/>
      </w:r>
      <w:r w:rsidR="00DE3E82">
        <w:rPr>
          <w:noProof/>
        </w:rPr>
        <w:t>28</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6</w:t>
      </w:r>
      <w:r>
        <w:rPr>
          <w:noProof/>
        </w:rPr>
        <w:tab/>
        <w:t>Claims extinguished</w:t>
      </w:r>
      <w:r w:rsidRPr="00292944">
        <w:rPr>
          <w:noProof/>
        </w:rPr>
        <w:tab/>
      </w:r>
      <w:r w:rsidRPr="00292944">
        <w:rPr>
          <w:noProof/>
        </w:rPr>
        <w:fldChar w:fldCharType="begin"/>
      </w:r>
      <w:r w:rsidRPr="00292944">
        <w:rPr>
          <w:noProof/>
        </w:rPr>
        <w:instrText xml:space="preserve"> PAGEREF _Toc170547858 \h </w:instrText>
      </w:r>
      <w:r w:rsidRPr="00292944">
        <w:rPr>
          <w:noProof/>
        </w:rPr>
      </w:r>
      <w:r w:rsidRPr="00292944">
        <w:rPr>
          <w:noProof/>
        </w:rPr>
        <w:fldChar w:fldCharType="separate"/>
      </w:r>
      <w:r w:rsidR="00DE3E82">
        <w:rPr>
          <w:noProof/>
        </w:rPr>
        <w:t>28</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7</w:t>
      </w:r>
      <w:r>
        <w:rPr>
          <w:noProof/>
        </w:rPr>
        <w:tab/>
        <w:t>Bar to creditors’ claims</w:t>
      </w:r>
      <w:r w:rsidRPr="00292944">
        <w:rPr>
          <w:noProof/>
        </w:rPr>
        <w:tab/>
      </w:r>
      <w:r w:rsidRPr="00292944">
        <w:rPr>
          <w:noProof/>
        </w:rPr>
        <w:fldChar w:fldCharType="begin"/>
      </w:r>
      <w:r w:rsidRPr="00292944">
        <w:rPr>
          <w:noProof/>
        </w:rPr>
        <w:instrText xml:space="preserve"> PAGEREF _Toc170547859 \h </w:instrText>
      </w:r>
      <w:r w:rsidRPr="00292944">
        <w:rPr>
          <w:noProof/>
        </w:rPr>
      </w:r>
      <w:r w:rsidRPr="00292944">
        <w:rPr>
          <w:noProof/>
        </w:rPr>
        <w:fldChar w:fldCharType="separate"/>
      </w:r>
      <w:r w:rsidR="00DE3E82">
        <w:rPr>
          <w:noProof/>
        </w:rPr>
        <w:t>28</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8</w:t>
      </w:r>
      <w:r>
        <w:rPr>
          <w:noProof/>
        </w:rPr>
        <w:tab/>
        <w:t>Making claims</w:t>
      </w:r>
      <w:r w:rsidRPr="00292944">
        <w:rPr>
          <w:noProof/>
        </w:rPr>
        <w:tab/>
      </w:r>
      <w:r w:rsidRPr="00292944">
        <w:rPr>
          <w:noProof/>
        </w:rPr>
        <w:fldChar w:fldCharType="begin"/>
      </w:r>
      <w:r w:rsidRPr="00292944">
        <w:rPr>
          <w:noProof/>
        </w:rPr>
        <w:instrText xml:space="preserve"> PAGEREF _Toc170547860 \h </w:instrText>
      </w:r>
      <w:r w:rsidRPr="00292944">
        <w:rPr>
          <w:noProof/>
        </w:rPr>
      </w:r>
      <w:r w:rsidRPr="00292944">
        <w:rPr>
          <w:noProof/>
        </w:rPr>
        <w:fldChar w:fldCharType="separate"/>
      </w:r>
      <w:r w:rsidR="00DE3E82">
        <w:rPr>
          <w:noProof/>
        </w:rPr>
        <w:t>29</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10</w:t>
      </w:r>
      <w:r>
        <w:rPr>
          <w:noProof/>
        </w:rPr>
        <w:tab/>
        <w:t>Lodging of accounts</w:t>
      </w:r>
      <w:r w:rsidRPr="00292944">
        <w:rPr>
          <w:noProof/>
        </w:rPr>
        <w:tab/>
      </w:r>
      <w:r w:rsidRPr="00292944">
        <w:rPr>
          <w:noProof/>
        </w:rPr>
        <w:fldChar w:fldCharType="begin"/>
      </w:r>
      <w:r w:rsidRPr="00292944">
        <w:rPr>
          <w:noProof/>
        </w:rPr>
        <w:instrText xml:space="preserve"> PAGEREF _Toc170547861 \h </w:instrText>
      </w:r>
      <w:r w:rsidRPr="00292944">
        <w:rPr>
          <w:noProof/>
        </w:rPr>
      </w:r>
      <w:r w:rsidRPr="00292944">
        <w:rPr>
          <w:noProof/>
        </w:rPr>
        <w:fldChar w:fldCharType="separate"/>
      </w:r>
      <w:r w:rsidR="00DE3E82">
        <w:rPr>
          <w:noProof/>
        </w:rPr>
        <w:t>29</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11</w:t>
      </w:r>
      <w:r>
        <w:rPr>
          <w:noProof/>
        </w:rPr>
        <w:tab/>
        <w:t>Committee of inspection</w:t>
      </w:r>
      <w:r w:rsidRPr="00292944">
        <w:rPr>
          <w:noProof/>
        </w:rPr>
        <w:tab/>
      </w:r>
      <w:r w:rsidRPr="00292944">
        <w:rPr>
          <w:noProof/>
        </w:rPr>
        <w:fldChar w:fldCharType="begin"/>
      </w:r>
      <w:r w:rsidRPr="00292944">
        <w:rPr>
          <w:noProof/>
        </w:rPr>
        <w:instrText xml:space="preserve"> PAGEREF _Toc170547862 \h </w:instrText>
      </w:r>
      <w:r w:rsidRPr="00292944">
        <w:rPr>
          <w:noProof/>
        </w:rPr>
      </w:r>
      <w:r w:rsidRPr="00292944">
        <w:rPr>
          <w:noProof/>
        </w:rPr>
        <w:fldChar w:fldCharType="separate"/>
      </w:r>
      <w:r w:rsidR="00DE3E82">
        <w:rPr>
          <w:noProof/>
        </w:rPr>
        <w:t>29</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12</w:t>
      </w:r>
      <w:r>
        <w:rPr>
          <w:noProof/>
        </w:rPr>
        <w:tab/>
        <w:t>Termination of deed where arrangement achieves purpose</w:t>
      </w:r>
      <w:r w:rsidRPr="00292944">
        <w:rPr>
          <w:noProof/>
        </w:rPr>
        <w:tab/>
      </w:r>
      <w:r w:rsidRPr="00292944">
        <w:rPr>
          <w:noProof/>
        </w:rPr>
        <w:fldChar w:fldCharType="begin"/>
      </w:r>
      <w:r w:rsidRPr="00292944">
        <w:rPr>
          <w:noProof/>
        </w:rPr>
        <w:instrText xml:space="preserve"> PAGEREF _Toc170547863 \h </w:instrText>
      </w:r>
      <w:r w:rsidRPr="00292944">
        <w:rPr>
          <w:noProof/>
        </w:rPr>
      </w:r>
      <w:r w:rsidRPr="00292944">
        <w:rPr>
          <w:noProof/>
        </w:rPr>
        <w:fldChar w:fldCharType="separate"/>
      </w:r>
      <w:r w:rsidR="00DE3E82">
        <w:rPr>
          <w:noProof/>
        </w:rPr>
        <w:t>30</w:t>
      </w:r>
      <w:r w:rsidRPr="00292944">
        <w:rPr>
          <w:noProof/>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8AA—Trustee companies</w:t>
      </w:r>
      <w:r w:rsidRPr="00292944">
        <w:rPr>
          <w:b w:val="0"/>
          <w:noProof/>
          <w:sz w:val="18"/>
        </w:rPr>
        <w:tab/>
      </w:r>
      <w:r w:rsidRPr="00292944">
        <w:rPr>
          <w:b w:val="0"/>
          <w:noProof/>
          <w:sz w:val="18"/>
        </w:rPr>
        <w:fldChar w:fldCharType="begin"/>
      </w:r>
      <w:r w:rsidRPr="00292944">
        <w:rPr>
          <w:b w:val="0"/>
          <w:noProof/>
          <w:sz w:val="18"/>
        </w:rPr>
        <w:instrText xml:space="preserve"> PAGEREF _Toc170547864 \h </w:instrText>
      </w:r>
      <w:r w:rsidRPr="00292944">
        <w:rPr>
          <w:b w:val="0"/>
          <w:noProof/>
          <w:sz w:val="18"/>
        </w:rPr>
      </w:r>
      <w:r w:rsidRPr="00292944">
        <w:rPr>
          <w:b w:val="0"/>
          <w:noProof/>
          <w:sz w:val="18"/>
        </w:rPr>
        <w:fldChar w:fldCharType="separate"/>
      </w:r>
      <w:r w:rsidR="00DE3E82">
        <w:rPr>
          <w:b w:val="0"/>
          <w:noProof/>
          <w:sz w:val="18"/>
        </w:rPr>
        <w:t>31</w:t>
      </w:r>
      <w:r w:rsidRPr="00292944">
        <w:rPr>
          <w:b w:val="0"/>
          <w:noProof/>
          <w:sz w:val="18"/>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8AB—Prescribed State and Territory provisions for paragraph 601RAE(4)(a) of the Act</w:t>
      </w:r>
      <w:r w:rsidRPr="00292944">
        <w:rPr>
          <w:b w:val="0"/>
          <w:noProof/>
          <w:sz w:val="18"/>
        </w:rPr>
        <w:tab/>
      </w:r>
      <w:r w:rsidRPr="00292944">
        <w:rPr>
          <w:b w:val="0"/>
          <w:noProof/>
          <w:sz w:val="18"/>
        </w:rPr>
        <w:fldChar w:fldCharType="begin"/>
      </w:r>
      <w:r w:rsidRPr="00292944">
        <w:rPr>
          <w:b w:val="0"/>
          <w:noProof/>
          <w:sz w:val="18"/>
        </w:rPr>
        <w:instrText xml:space="preserve"> PAGEREF _Toc170547865 \h </w:instrText>
      </w:r>
      <w:r w:rsidRPr="00292944">
        <w:rPr>
          <w:b w:val="0"/>
          <w:noProof/>
          <w:sz w:val="18"/>
        </w:rPr>
      </w:r>
      <w:r w:rsidRPr="00292944">
        <w:rPr>
          <w:b w:val="0"/>
          <w:noProof/>
          <w:sz w:val="18"/>
        </w:rPr>
        <w:fldChar w:fldCharType="separate"/>
      </w:r>
      <w:r w:rsidR="00DE3E82">
        <w:rPr>
          <w:b w:val="0"/>
          <w:noProof/>
          <w:sz w:val="18"/>
        </w:rPr>
        <w:t>32</w:t>
      </w:r>
      <w:r w:rsidRPr="00292944">
        <w:rPr>
          <w:b w:val="0"/>
          <w:noProof/>
          <w:sz w:val="18"/>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8AC—Prescribed State and Territory laws and provisions for paragraph 601RAE(4)(b) of the Act—estate administration</w:t>
      </w:r>
      <w:r w:rsidRPr="00292944">
        <w:rPr>
          <w:b w:val="0"/>
          <w:noProof/>
          <w:sz w:val="18"/>
        </w:rPr>
        <w:tab/>
      </w:r>
      <w:r w:rsidRPr="00292944">
        <w:rPr>
          <w:b w:val="0"/>
          <w:noProof/>
          <w:sz w:val="18"/>
        </w:rPr>
        <w:fldChar w:fldCharType="begin"/>
      </w:r>
      <w:r w:rsidRPr="00292944">
        <w:rPr>
          <w:b w:val="0"/>
          <w:noProof/>
          <w:sz w:val="18"/>
        </w:rPr>
        <w:instrText xml:space="preserve"> PAGEREF _Toc170547866 \h </w:instrText>
      </w:r>
      <w:r w:rsidRPr="00292944">
        <w:rPr>
          <w:b w:val="0"/>
          <w:noProof/>
          <w:sz w:val="18"/>
        </w:rPr>
      </w:r>
      <w:r w:rsidRPr="00292944">
        <w:rPr>
          <w:b w:val="0"/>
          <w:noProof/>
          <w:sz w:val="18"/>
        </w:rPr>
        <w:fldChar w:fldCharType="separate"/>
      </w:r>
      <w:r w:rsidR="00DE3E82">
        <w:rPr>
          <w:b w:val="0"/>
          <w:noProof/>
          <w:sz w:val="18"/>
        </w:rPr>
        <w:t>33</w:t>
      </w:r>
      <w:r w:rsidRPr="00292944">
        <w:rPr>
          <w:b w:val="0"/>
          <w:noProof/>
          <w:sz w:val="18"/>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8AD—Prescribed State and Territory laws and provisions for paragraph 601RAE(4)(b) of the Act</w:t>
      </w:r>
      <w:r w:rsidRPr="00292944">
        <w:rPr>
          <w:b w:val="0"/>
          <w:noProof/>
          <w:sz w:val="18"/>
        </w:rPr>
        <w:tab/>
      </w:r>
      <w:r w:rsidRPr="00292944">
        <w:rPr>
          <w:b w:val="0"/>
          <w:noProof/>
          <w:sz w:val="18"/>
        </w:rPr>
        <w:fldChar w:fldCharType="begin"/>
      </w:r>
      <w:r w:rsidRPr="00292944">
        <w:rPr>
          <w:b w:val="0"/>
          <w:noProof/>
          <w:sz w:val="18"/>
        </w:rPr>
        <w:instrText xml:space="preserve"> PAGEREF _Toc170547867 \h </w:instrText>
      </w:r>
      <w:r w:rsidRPr="00292944">
        <w:rPr>
          <w:b w:val="0"/>
          <w:noProof/>
          <w:sz w:val="18"/>
        </w:rPr>
      </w:r>
      <w:r w:rsidRPr="00292944">
        <w:rPr>
          <w:b w:val="0"/>
          <w:noProof/>
          <w:sz w:val="18"/>
        </w:rPr>
        <w:fldChar w:fldCharType="separate"/>
      </w:r>
      <w:r w:rsidR="00DE3E82">
        <w:rPr>
          <w:b w:val="0"/>
          <w:noProof/>
          <w:sz w:val="18"/>
        </w:rPr>
        <w:t>34</w:t>
      </w:r>
      <w:r w:rsidRPr="00292944">
        <w:rPr>
          <w:b w:val="0"/>
          <w:noProof/>
          <w:sz w:val="18"/>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8AE—Relevant State and Territory provisions</w:t>
      </w:r>
      <w:r w:rsidRPr="00292944">
        <w:rPr>
          <w:b w:val="0"/>
          <w:noProof/>
          <w:sz w:val="18"/>
        </w:rPr>
        <w:tab/>
      </w:r>
      <w:r w:rsidRPr="00292944">
        <w:rPr>
          <w:b w:val="0"/>
          <w:noProof/>
          <w:sz w:val="18"/>
        </w:rPr>
        <w:fldChar w:fldCharType="begin"/>
      </w:r>
      <w:r w:rsidRPr="00292944">
        <w:rPr>
          <w:b w:val="0"/>
          <w:noProof/>
          <w:sz w:val="18"/>
        </w:rPr>
        <w:instrText xml:space="preserve"> PAGEREF _Toc170547868 \h </w:instrText>
      </w:r>
      <w:r w:rsidRPr="00292944">
        <w:rPr>
          <w:b w:val="0"/>
          <w:noProof/>
          <w:sz w:val="18"/>
        </w:rPr>
      </w:r>
      <w:r w:rsidRPr="00292944">
        <w:rPr>
          <w:b w:val="0"/>
          <w:noProof/>
          <w:sz w:val="18"/>
        </w:rPr>
        <w:fldChar w:fldCharType="separate"/>
      </w:r>
      <w:r w:rsidR="00DE3E82">
        <w:rPr>
          <w:b w:val="0"/>
          <w:noProof/>
          <w:sz w:val="18"/>
        </w:rPr>
        <w:t>36</w:t>
      </w:r>
      <w:r w:rsidRPr="00292944">
        <w:rPr>
          <w:b w:val="0"/>
          <w:noProof/>
          <w:sz w:val="18"/>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8C—Modifications of Part 7.5 of the Act—compensation regimes</w:t>
      </w:r>
      <w:r w:rsidRPr="00292944">
        <w:rPr>
          <w:b w:val="0"/>
          <w:noProof/>
          <w:sz w:val="18"/>
        </w:rPr>
        <w:tab/>
      </w:r>
      <w:r w:rsidRPr="00292944">
        <w:rPr>
          <w:b w:val="0"/>
          <w:noProof/>
          <w:sz w:val="18"/>
        </w:rPr>
        <w:fldChar w:fldCharType="begin"/>
      </w:r>
      <w:r w:rsidRPr="00292944">
        <w:rPr>
          <w:b w:val="0"/>
          <w:noProof/>
          <w:sz w:val="18"/>
        </w:rPr>
        <w:instrText xml:space="preserve"> PAGEREF _Toc170547869 \h </w:instrText>
      </w:r>
      <w:r w:rsidRPr="00292944">
        <w:rPr>
          <w:b w:val="0"/>
          <w:noProof/>
          <w:sz w:val="18"/>
        </w:rPr>
      </w:r>
      <w:r w:rsidRPr="00292944">
        <w:rPr>
          <w:b w:val="0"/>
          <w:noProof/>
          <w:sz w:val="18"/>
        </w:rPr>
        <w:fldChar w:fldCharType="separate"/>
      </w:r>
      <w:r w:rsidR="00DE3E82">
        <w:rPr>
          <w:b w:val="0"/>
          <w:noProof/>
          <w:sz w:val="18"/>
        </w:rPr>
        <w:t>37</w:t>
      </w:r>
      <w:r w:rsidRPr="00292944">
        <w:rPr>
          <w:b w:val="0"/>
          <w:noProof/>
          <w:sz w:val="18"/>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8D—Tables for reporting portfolio holding information</w:t>
      </w:r>
      <w:r w:rsidRPr="00292944">
        <w:rPr>
          <w:b w:val="0"/>
          <w:noProof/>
          <w:sz w:val="18"/>
        </w:rPr>
        <w:tab/>
      </w:r>
      <w:r w:rsidRPr="00292944">
        <w:rPr>
          <w:b w:val="0"/>
          <w:noProof/>
          <w:sz w:val="18"/>
        </w:rPr>
        <w:fldChar w:fldCharType="begin"/>
      </w:r>
      <w:r w:rsidRPr="00292944">
        <w:rPr>
          <w:b w:val="0"/>
          <w:noProof/>
          <w:sz w:val="18"/>
        </w:rPr>
        <w:instrText xml:space="preserve"> PAGEREF _Toc170547870 \h </w:instrText>
      </w:r>
      <w:r w:rsidRPr="00292944">
        <w:rPr>
          <w:b w:val="0"/>
          <w:noProof/>
          <w:sz w:val="18"/>
        </w:rPr>
      </w:r>
      <w:r w:rsidRPr="00292944">
        <w:rPr>
          <w:b w:val="0"/>
          <w:noProof/>
          <w:sz w:val="18"/>
        </w:rPr>
        <w:fldChar w:fldCharType="separate"/>
      </w:r>
      <w:r w:rsidR="00DE3E82">
        <w:rPr>
          <w:b w:val="0"/>
          <w:noProof/>
          <w:sz w:val="18"/>
        </w:rPr>
        <w:t>41</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1</w:t>
      </w:r>
      <w:r>
        <w:rPr>
          <w:noProof/>
        </w:rPr>
        <w:tab/>
        <w:t>Table 1—Assets</w:t>
      </w:r>
      <w:r w:rsidRPr="00292944">
        <w:rPr>
          <w:noProof/>
        </w:rPr>
        <w:tab/>
      </w:r>
      <w:r w:rsidRPr="00292944">
        <w:rPr>
          <w:noProof/>
        </w:rPr>
        <w:fldChar w:fldCharType="begin"/>
      </w:r>
      <w:r w:rsidRPr="00292944">
        <w:rPr>
          <w:noProof/>
        </w:rPr>
        <w:instrText xml:space="preserve"> PAGEREF _Toc170547871 \h </w:instrText>
      </w:r>
      <w:r w:rsidRPr="00292944">
        <w:rPr>
          <w:noProof/>
        </w:rPr>
      </w:r>
      <w:r w:rsidRPr="00292944">
        <w:rPr>
          <w:noProof/>
        </w:rPr>
        <w:fldChar w:fldCharType="separate"/>
      </w:r>
      <w:r w:rsidR="00DE3E82">
        <w:rPr>
          <w:noProof/>
        </w:rPr>
        <w:t>41</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w:t>
      </w:r>
      <w:r>
        <w:rPr>
          <w:noProof/>
        </w:rPr>
        <w:tab/>
        <w:t>Table 2—Derivatives by kind of derivative</w:t>
      </w:r>
      <w:r w:rsidRPr="00292944">
        <w:rPr>
          <w:noProof/>
        </w:rPr>
        <w:tab/>
      </w:r>
      <w:r w:rsidRPr="00292944">
        <w:rPr>
          <w:noProof/>
        </w:rPr>
        <w:fldChar w:fldCharType="begin"/>
      </w:r>
      <w:r w:rsidRPr="00292944">
        <w:rPr>
          <w:noProof/>
        </w:rPr>
        <w:instrText xml:space="preserve"> PAGEREF _Toc170547872 \h </w:instrText>
      </w:r>
      <w:r w:rsidRPr="00292944">
        <w:rPr>
          <w:noProof/>
        </w:rPr>
      </w:r>
      <w:r w:rsidRPr="00292944">
        <w:rPr>
          <w:noProof/>
        </w:rPr>
        <w:fldChar w:fldCharType="separate"/>
      </w:r>
      <w:r w:rsidR="00DE3E82">
        <w:rPr>
          <w:noProof/>
        </w:rPr>
        <w:t>44</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3</w:t>
      </w:r>
      <w:r>
        <w:rPr>
          <w:noProof/>
        </w:rPr>
        <w:tab/>
        <w:t>Table 3—Derivatives by asset class</w:t>
      </w:r>
      <w:r w:rsidRPr="00292944">
        <w:rPr>
          <w:noProof/>
        </w:rPr>
        <w:tab/>
      </w:r>
      <w:r w:rsidRPr="00292944">
        <w:rPr>
          <w:noProof/>
        </w:rPr>
        <w:fldChar w:fldCharType="begin"/>
      </w:r>
      <w:r w:rsidRPr="00292944">
        <w:rPr>
          <w:noProof/>
        </w:rPr>
        <w:instrText xml:space="preserve"> PAGEREF _Toc170547873 \h </w:instrText>
      </w:r>
      <w:r w:rsidRPr="00292944">
        <w:rPr>
          <w:noProof/>
        </w:rPr>
      </w:r>
      <w:r w:rsidRPr="00292944">
        <w:rPr>
          <w:noProof/>
        </w:rPr>
        <w:fldChar w:fldCharType="separate"/>
      </w:r>
      <w:r w:rsidR="00DE3E82">
        <w:rPr>
          <w:noProof/>
        </w:rPr>
        <w:t>44</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4</w:t>
      </w:r>
      <w:r>
        <w:rPr>
          <w:noProof/>
        </w:rPr>
        <w:tab/>
        <w:t>Table 4—Derivatives by currency</w:t>
      </w:r>
      <w:r w:rsidRPr="00292944">
        <w:rPr>
          <w:noProof/>
        </w:rPr>
        <w:tab/>
      </w:r>
      <w:r w:rsidRPr="00292944">
        <w:rPr>
          <w:noProof/>
        </w:rPr>
        <w:fldChar w:fldCharType="begin"/>
      </w:r>
      <w:r w:rsidRPr="00292944">
        <w:rPr>
          <w:noProof/>
        </w:rPr>
        <w:instrText xml:space="preserve"> PAGEREF _Toc170547874 \h </w:instrText>
      </w:r>
      <w:r w:rsidRPr="00292944">
        <w:rPr>
          <w:noProof/>
        </w:rPr>
      </w:r>
      <w:r w:rsidRPr="00292944">
        <w:rPr>
          <w:noProof/>
        </w:rPr>
        <w:fldChar w:fldCharType="separate"/>
      </w:r>
      <w:r w:rsidR="00DE3E82">
        <w:rPr>
          <w:noProof/>
        </w:rPr>
        <w:t>44</w:t>
      </w:r>
      <w:r w:rsidRPr="00292944">
        <w:rPr>
          <w:noProof/>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9—Companies authorised to effect transfers under Part 7.11 of the Act</w:t>
      </w:r>
      <w:r w:rsidRPr="00292944">
        <w:rPr>
          <w:b w:val="0"/>
          <w:noProof/>
          <w:sz w:val="18"/>
        </w:rPr>
        <w:tab/>
      </w:r>
      <w:r w:rsidRPr="00292944">
        <w:rPr>
          <w:b w:val="0"/>
          <w:noProof/>
          <w:sz w:val="18"/>
        </w:rPr>
        <w:fldChar w:fldCharType="begin"/>
      </w:r>
      <w:r w:rsidRPr="00292944">
        <w:rPr>
          <w:b w:val="0"/>
          <w:noProof/>
          <w:sz w:val="18"/>
        </w:rPr>
        <w:instrText xml:space="preserve"> PAGEREF _Toc170547875 \h </w:instrText>
      </w:r>
      <w:r w:rsidRPr="00292944">
        <w:rPr>
          <w:b w:val="0"/>
          <w:noProof/>
          <w:sz w:val="18"/>
        </w:rPr>
      </w:r>
      <w:r w:rsidRPr="00292944">
        <w:rPr>
          <w:b w:val="0"/>
          <w:noProof/>
          <w:sz w:val="18"/>
        </w:rPr>
        <w:fldChar w:fldCharType="separate"/>
      </w:r>
      <w:r w:rsidR="00DE3E82">
        <w:rPr>
          <w:b w:val="0"/>
          <w:noProof/>
          <w:sz w:val="18"/>
        </w:rPr>
        <w:t>45</w:t>
      </w:r>
      <w:r w:rsidRPr="00292944">
        <w:rPr>
          <w:b w:val="0"/>
          <w:noProof/>
          <w:sz w:val="18"/>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10—Disclosure of fees and other costs</w:t>
      </w:r>
      <w:r w:rsidRPr="00292944">
        <w:rPr>
          <w:b w:val="0"/>
          <w:noProof/>
          <w:sz w:val="18"/>
        </w:rPr>
        <w:tab/>
      </w:r>
      <w:r w:rsidRPr="00292944">
        <w:rPr>
          <w:b w:val="0"/>
          <w:noProof/>
          <w:sz w:val="18"/>
        </w:rPr>
        <w:fldChar w:fldCharType="begin"/>
      </w:r>
      <w:r w:rsidRPr="00292944">
        <w:rPr>
          <w:b w:val="0"/>
          <w:noProof/>
          <w:sz w:val="18"/>
        </w:rPr>
        <w:instrText xml:space="preserve"> PAGEREF _Toc170547876 \h </w:instrText>
      </w:r>
      <w:r w:rsidRPr="00292944">
        <w:rPr>
          <w:b w:val="0"/>
          <w:noProof/>
          <w:sz w:val="18"/>
        </w:rPr>
      </w:r>
      <w:r w:rsidRPr="00292944">
        <w:rPr>
          <w:b w:val="0"/>
          <w:noProof/>
          <w:sz w:val="18"/>
        </w:rPr>
        <w:fldChar w:fldCharType="separate"/>
      </w:r>
      <w:r w:rsidR="00DE3E82">
        <w:rPr>
          <w:b w:val="0"/>
          <w:noProof/>
          <w:sz w:val="18"/>
        </w:rPr>
        <w:t>46</w:t>
      </w:r>
      <w:r w:rsidRPr="00292944">
        <w:rPr>
          <w:b w:val="0"/>
          <w:noProof/>
          <w:sz w:val="18"/>
        </w:rPr>
        <w:fldChar w:fldCharType="end"/>
      </w:r>
    </w:p>
    <w:p w:rsidR="00292944" w:rsidRDefault="00292944">
      <w:pPr>
        <w:pStyle w:val="TOC2"/>
        <w:rPr>
          <w:rFonts w:asciiTheme="minorHAnsi" w:eastAsiaTheme="minorEastAsia" w:hAnsiTheme="minorHAnsi" w:cstheme="minorBidi"/>
          <w:b w:val="0"/>
          <w:noProof/>
          <w:kern w:val="0"/>
          <w:sz w:val="22"/>
          <w:szCs w:val="22"/>
        </w:rPr>
      </w:pPr>
      <w:r>
        <w:rPr>
          <w:noProof/>
        </w:rPr>
        <w:t>Part 1—Interpretation</w:t>
      </w:r>
      <w:r w:rsidRPr="00292944">
        <w:rPr>
          <w:b w:val="0"/>
          <w:noProof/>
          <w:sz w:val="18"/>
        </w:rPr>
        <w:tab/>
      </w:r>
      <w:r w:rsidRPr="00292944">
        <w:rPr>
          <w:b w:val="0"/>
          <w:noProof/>
          <w:sz w:val="18"/>
        </w:rPr>
        <w:fldChar w:fldCharType="begin"/>
      </w:r>
      <w:r w:rsidRPr="00292944">
        <w:rPr>
          <w:b w:val="0"/>
          <w:noProof/>
          <w:sz w:val="18"/>
        </w:rPr>
        <w:instrText xml:space="preserve"> PAGEREF _Toc170547877 \h </w:instrText>
      </w:r>
      <w:r w:rsidRPr="00292944">
        <w:rPr>
          <w:b w:val="0"/>
          <w:noProof/>
          <w:sz w:val="18"/>
        </w:rPr>
      </w:r>
      <w:r w:rsidRPr="00292944">
        <w:rPr>
          <w:b w:val="0"/>
          <w:noProof/>
          <w:sz w:val="18"/>
        </w:rPr>
        <w:fldChar w:fldCharType="separate"/>
      </w:r>
      <w:r w:rsidR="00DE3E82">
        <w:rPr>
          <w:b w:val="0"/>
          <w:noProof/>
          <w:sz w:val="18"/>
        </w:rPr>
        <w:t>46</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101</w:t>
      </w:r>
      <w:r>
        <w:rPr>
          <w:noProof/>
        </w:rPr>
        <w:tab/>
        <w:t>Definitions</w:t>
      </w:r>
      <w:r w:rsidRPr="00292944">
        <w:rPr>
          <w:noProof/>
        </w:rPr>
        <w:tab/>
      </w:r>
      <w:r w:rsidRPr="00292944">
        <w:rPr>
          <w:noProof/>
        </w:rPr>
        <w:fldChar w:fldCharType="begin"/>
      </w:r>
      <w:r w:rsidRPr="00292944">
        <w:rPr>
          <w:noProof/>
        </w:rPr>
        <w:instrText xml:space="preserve"> PAGEREF _Toc170547878 \h </w:instrText>
      </w:r>
      <w:r w:rsidRPr="00292944">
        <w:rPr>
          <w:noProof/>
        </w:rPr>
      </w:r>
      <w:r w:rsidRPr="00292944">
        <w:rPr>
          <w:noProof/>
        </w:rPr>
        <w:fldChar w:fldCharType="separate"/>
      </w:r>
      <w:r w:rsidR="00DE3E82">
        <w:rPr>
          <w:noProof/>
        </w:rPr>
        <w:t>46</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102</w:t>
      </w:r>
      <w:r>
        <w:rPr>
          <w:noProof/>
        </w:rPr>
        <w:tab/>
        <w:t xml:space="preserve">Meaning of </w:t>
      </w:r>
      <w:r w:rsidRPr="00C80281">
        <w:rPr>
          <w:i/>
          <w:noProof/>
        </w:rPr>
        <w:t>management costs</w:t>
      </w:r>
      <w:r w:rsidRPr="00292944">
        <w:rPr>
          <w:noProof/>
        </w:rPr>
        <w:tab/>
      </w:r>
      <w:r w:rsidRPr="00292944">
        <w:rPr>
          <w:noProof/>
        </w:rPr>
        <w:fldChar w:fldCharType="begin"/>
      </w:r>
      <w:r w:rsidRPr="00292944">
        <w:rPr>
          <w:noProof/>
        </w:rPr>
        <w:instrText xml:space="preserve"> PAGEREF _Toc170547879 \h </w:instrText>
      </w:r>
      <w:r w:rsidRPr="00292944">
        <w:rPr>
          <w:noProof/>
        </w:rPr>
      </w:r>
      <w:r w:rsidRPr="00292944">
        <w:rPr>
          <w:noProof/>
        </w:rPr>
        <w:fldChar w:fldCharType="separate"/>
      </w:r>
      <w:r w:rsidR="00DE3E82">
        <w:rPr>
          <w:noProof/>
        </w:rPr>
        <w:t>48</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103</w:t>
      </w:r>
      <w:r>
        <w:rPr>
          <w:noProof/>
        </w:rPr>
        <w:tab/>
        <w:t xml:space="preserve">Meaning of </w:t>
      </w:r>
      <w:r w:rsidRPr="00C80281">
        <w:rPr>
          <w:i/>
          <w:noProof/>
        </w:rPr>
        <w:t>transactional and operational costs</w:t>
      </w:r>
      <w:r w:rsidRPr="00292944">
        <w:rPr>
          <w:noProof/>
        </w:rPr>
        <w:tab/>
      </w:r>
      <w:r w:rsidRPr="00292944">
        <w:rPr>
          <w:noProof/>
        </w:rPr>
        <w:fldChar w:fldCharType="begin"/>
      </w:r>
      <w:r w:rsidRPr="00292944">
        <w:rPr>
          <w:noProof/>
        </w:rPr>
        <w:instrText xml:space="preserve"> PAGEREF _Toc170547880 \h </w:instrText>
      </w:r>
      <w:r w:rsidRPr="00292944">
        <w:rPr>
          <w:noProof/>
        </w:rPr>
      </w:r>
      <w:r w:rsidRPr="00292944">
        <w:rPr>
          <w:noProof/>
        </w:rPr>
        <w:fldChar w:fldCharType="separate"/>
      </w:r>
      <w:r w:rsidR="00DE3E82">
        <w:rPr>
          <w:noProof/>
        </w:rPr>
        <w:t>49</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104</w:t>
      </w:r>
      <w:r>
        <w:rPr>
          <w:noProof/>
        </w:rPr>
        <w:tab/>
        <w:t xml:space="preserve">Meaning of </w:t>
      </w:r>
      <w:r w:rsidRPr="00C80281">
        <w:rPr>
          <w:i/>
          <w:noProof/>
        </w:rPr>
        <w:t>indirect cost ratio (ICR)</w:t>
      </w:r>
      <w:r w:rsidRPr="00292944">
        <w:rPr>
          <w:noProof/>
        </w:rPr>
        <w:tab/>
      </w:r>
      <w:r w:rsidRPr="00292944">
        <w:rPr>
          <w:noProof/>
        </w:rPr>
        <w:fldChar w:fldCharType="begin"/>
      </w:r>
      <w:r w:rsidRPr="00292944">
        <w:rPr>
          <w:noProof/>
        </w:rPr>
        <w:instrText xml:space="preserve"> PAGEREF _Toc170547881 \h </w:instrText>
      </w:r>
      <w:r w:rsidRPr="00292944">
        <w:rPr>
          <w:noProof/>
        </w:rPr>
      </w:r>
      <w:r w:rsidRPr="00292944">
        <w:rPr>
          <w:noProof/>
        </w:rPr>
        <w:fldChar w:fldCharType="separate"/>
      </w:r>
      <w:r w:rsidR="00DE3E82">
        <w:rPr>
          <w:noProof/>
        </w:rPr>
        <w:t>49</w:t>
      </w:r>
      <w:r w:rsidRPr="00292944">
        <w:rPr>
          <w:noProof/>
        </w:rPr>
        <w:fldChar w:fldCharType="end"/>
      </w:r>
    </w:p>
    <w:p w:rsidR="00292944" w:rsidRDefault="00292944">
      <w:pPr>
        <w:pStyle w:val="TOC2"/>
        <w:rPr>
          <w:rFonts w:asciiTheme="minorHAnsi" w:eastAsiaTheme="minorEastAsia" w:hAnsiTheme="minorHAnsi" w:cstheme="minorBidi"/>
          <w:b w:val="0"/>
          <w:noProof/>
          <w:kern w:val="0"/>
          <w:sz w:val="22"/>
          <w:szCs w:val="22"/>
        </w:rPr>
      </w:pPr>
      <w:r>
        <w:rPr>
          <w:noProof/>
        </w:rPr>
        <w:lastRenderedPageBreak/>
        <w:t>Part 2—Fees and Costs Template, example of annual fees and costs and Consumer Advisory Warning for Product Disclosure Statements</w:t>
      </w:r>
      <w:r w:rsidRPr="00292944">
        <w:rPr>
          <w:b w:val="0"/>
          <w:noProof/>
          <w:sz w:val="18"/>
        </w:rPr>
        <w:tab/>
      </w:r>
      <w:r w:rsidRPr="00292944">
        <w:rPr>
          <w:b w:val="0"/>
          <w:noProof/>
          <w:sz w:val="18"/>
        </w:rPr>
        <w:fldChar w:fldCharType="begin"/>
      </w:r>
      <w:r w:rsidRPr="00292944">
        <w:rPr>
          <w:b w:val="0"/>
          <w:noProof/>
          <w:sz w:val="18"/>
        </w:rPr>
        <w:instrText xml:space="preserve"> PAGEREF _Toc170547882 \h </w:instrText>
      </w:r>
      <w:r w:rsidRPr="00292944">
        <w:rPr>
          <w:b w:val="0"/>
          <w:noProof/>
          <w:sz w:val="18"/>
        </w:rPr>
      </w:r>
      <w:r w:rsidRPr="00292944">
        <w:rPr>
          <w:b w:val="0"/>
          <w:noProof/>
          <w:sz w:val="18"/>
        </w:rPr>
        <w:fldChar w:fldCharType="separate"/>
      </w:r>
      <w:r w:rsidR="00DE3E82">
        <w:rPr>
          <w:b w:val="0"/>
          <w:noProof/>
          <w:sz w:val="18"/>
        </w:rPr>
        <w:t>51</w:t>
      </w:r>
      <w:r w:rsidRPr="00292944">
        <w:rPr>
          <w:b w:val="0"/>
          <w:noProof/>
          <w:sz w:val="18"/>
        </w:rPr>
        <w:fldChar w:fldCharType="end"/>
      </w:r>
    </w:p>
    <w:p w:rsidR="00292944" w:rsidRDefault="00292944">
      <w:pPr>
        <w:pStyle w:val="TOC3"/>
        <w:rPr>
          <w:rFonts w:asciiTheme="minorHAnsi" w:eastAsiaTheme="minorEastAsia" w:hAnsiTheme="minorHAnsi" w:cstheme="minorBidi"/>
          <w:b w:val="0"/>
          <w:noProof/>
          <w:kern w:val="0"/>
          <w:szCs w:val="22"/>
        </w:rPr>
      </w:pPr>
      <w:r>
        <w:rPr>
          <w:noProof/>
        </w:rPr>
        <w:t>Division 1—The fees and costs template for superannuation products</w:t>
      </w:r>
      <w:r w:rsidRPr="00292944">
        <w:rPr>
          <w:b w:val="0"/>
          <w:noProof/>
          <w:sz w:val="18"/>
        </w:rPr>
        <w:tab/>
      </w:r>
      <w:r w:rsidRPr="00292944">
        <w:rPr>
          <w:b w:val="0"/>
          <w:noProof/>
          <w:sz w:val="18"/>
        </w:rPr>
        <w:fldChar w:fldCharType="begin"/>
      </w:r>
      <w:r w:rsidRPr="00292944">
        <w:rPr>
          <w:b w:val="0"/>
          <w:noProof/>
          <w:sz w:val="18"/>
        </w:rPr>
        <w:instrText xml:space="preserve"> PAGEREF _Toc170547883 \h </w:instrText>
      </w:r>
      <w:r w:rsidRPr="00292944">
        <w:rPr>
          <w:b w:val="0"/>
          <w:noProof/>
          <w:sz w:val="18"/>
        </w:rPr>
      </w:r>
      <w:r w:rsidRPr="00292944">
        <w:rPr>
          <w:b w:val="0"/>
          <w:noProof/>
          <w:sz w:val="18"/>
        </w:rPr>
        <w:fldChar w:fldCharType="separate"/>
      </w:r>
      <w:r w:rsidR="00DE3E82">
        <w:rPr>
          <w:b w:val="0"/>
          <w:noProof/>
          <w:sz w:val="18"/>
        </w:rPr>
        <w:t>51</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201</w:t>
      </w:r>
      <w:r>
        <w:rPr>
          <w:noProof/>
        </w:rPr>
        <w:tab/>
        <w:t>Template for superannuation products</w:t>
      </w:r>
      <w:r w:rsidRPr="00292944">
        <w:rPr>
          <w:noProof/>
        </w:rPr>
        <w:tab/>
      </w:r>
      <w:r w:rsidRPr="00292944">
        <w:rPr>
          <w:noProof/>
        </w:rPr>
        <w:fldChar w:fldCharType="begin"/>
      </w:r>
      <w:r w:rsidRPr="00292944">
        <w:rPr>
          <w:noProof/>
        </w:rPr>
        <w:instrText xml:space="preserve"> PAGEREF _Toc170547884 \h </w:instrText>
      </w:r>
      <w:r w:rsidRPr="00292944">
        <w:rPr>
          <w:noProof/>
        </w:rPr>
      </w:r>
      <w:r w:rsidRPr="00292944">
        <w:rPr>
          <w:noProof/>
        </w:rPr>
        <w:fldChar w:fldCharType="separate"/>
      </w:r>
      <w:r w:rsidR="00DE3E82">
        <w:rPr>
          <w:noProof/>
        </w:rPr>
        <w:t>51</w:t>
      </w:r>
      <w:r w:rsidRPr="00292944">
        <w:rPr>
          <w:noProof/>
        </w:rPr>
        <w:fldChar w:fldCharType="end"/>
      </w:r>
    </w:p>
    <w:p w:rsidR="00292944" w:rsidRDefault="00292944">
      <w:pPr>
        <w:pStyle w:val="TOC3"/>
        <w:rPr>
          <w:rFonts w:asciiTheme="minorHAnsi" w:eastAsiaTheme="minorEastAsia" w:hAnsiTheme="minorHAnsi" w:cstheme="minorBidi"/>
          <w:b w:val="0"/>
          <w:noProof/>
          <w:kern w:val="0"/>
          <w:szCs w:val="22"/>
        </w:rPr>
      </w:pPr>
      <w:r>
        <w:rPr>
          <w:noProof/>
        </w:rPr>
        <w:t>Division 2—The fees and costs template for collective investment products</w:t>
      </w:r>
      <w:r w:rsidRPr="00292944">
        <w:rPr>
          <w:b w:val="0"/>
          <w:noProof/>
          <w:sz w:val="18"/>
        </w:rPr>
        <w:tab/>
      </w:r>
      <w:r w:rsidRPr="00292944">
        <w:rPr>
          <w:b w:val="0"/>
          <w:noProof/>
          <w:sz w:val="18"/>
        </w:rPr>
        <w:fldChar w:fldCharType="begin"/>
      </w:r>
      <w:r w:rsidRPr="00292944">
        <w:rPr>
          <w:b w:val="0"/>
          <w:noProof/>
          <w:sz w:val="18"/>
        </w:rPr>
        <w:instrText xml:space="preserve"> PAGEREF _Toc170547885 \h </w:instrText>
      </w:r>
      <w:r w:rsidRPr="00292944">
        <w:rPr>
          <w:b w:val="0"/>
          <w:noProof/>
          <w:sz w:val="18"/>
        </w:rPr>
      </w:r>
      <w:r w:rsidRPr="00292944">
        <w:rPr>
          <w:b w:val="0"/>
          <w:noProof/>
          <w:sz w:val="18"/>
        </w:rPr>
        <w:fldChar w:fldCharType="separate"/>
      </w:r>
      <w:r w:rsidR="00DE3E82">
        <w:rPr>
          <w:b w:val="0"/>
          <w:noProof/>
          <w:sz w:val="18"/>
        </w:rPr>
        <w:t>53</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202</w:t>
      </w:r>
      <w:r>
        <w:rPr>
          <w:noProof/>
        </w:rPr>
        <w:tab/>
        <w:t>Template for a multiple fee structure—collective investment products</w:t>
      </w:r>
      <w:r w:rsidRPr="00292944">
        <w:rPr>
          <w:noProof/>
        </w:rPr>
        <w:tab/>
      </w:r>
      <w:r w:rsidRPr="00292944">
        <w:rPr>
          <w:noProof/>
        </w:rPr>
        <w:fldChar w:fldCharType="begin"/>
      </w:r>
      <w:r w:rsidRPr="00292944">
        <w:rPr>
          <w:noProof/>
        </w:rPr>
        <w:instrText xml:space="preserve"> PAGEREF _Toc170547886 \h </w:instrText>
      </w:r>
      <w:r w:rsidRPr="00292944">
        <w:rPr>
          <w:noProof/>
        </w:rPr>
      </w:r>
      <w:r w:rsidRPr="00292944">
        <w:rPr>
          <w:noProof/>
        </w:rPr>
        <w:fldChar w:fldCharType="separate"/>
      </w:r>
      <w:r w:rsidR="00DE3E82">
        <w:rPr>
          <w:noProof/>
        </w:rPr>
        <w:t>53</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202A</w:t>
      </w:r>
      <w:r>
        <w:rPr>
          <w:noProof/>
        </w:rPr>
        <w:tab/>
        <w:t>Template for single fee structure—collective investment products</w:t>
      </w:r>
      <w:r w:rsidRPr="00292944">
        <w:rPr>
          <w:noProof/>
        </w:rPr>
        <w:tab/>
      </w:r>
      <w:r w:rsidRPr="00292944">
        <w:rPr>
          <w:noProof/>
        </w:rPr>
        <w:fldChar w:fldCharType="begin"/>
      </w:r>
      <w:r w:rsidRPr="00292944">
        <w:rPr>
          <w:noProof/>
        </w:rPr>
        <w:instrText xml:space="preserve"> PAGEREF _Toc170547887 \h </w:instrText>
      </w:r>
      <w:r w:rsidRPr="00292944">
        <w:rPr>
          <w:noProof/>
        </w:rPr>
      </w:r>
      <w:r w:rsidRPr="00292944">
        <w:rPr>
          <w:noProof/>
        </w:rPr>
        <w:fldChar w:fldCharType="separate"/>
      </w:r>
      <w:r w:rsidR="00DE3E82">
        <w:rPr>
          <w:noProof/>
        </w:rPr>
        <w:t>54</w:t>
      </w:r>
      <w:r w:rsidRPr="00292944">
        <w:rPr>
          <w:noProof/>
        </w:rPr>
        <w:fldChar w:fldCharType="end"/>
      </w:r>
    </w:p>
    <w:p w:rsidR="00292944" w:rsidRDefault="00292944">
      <w:pPr>
        <w:pStyle w:val="TOC3"/>
        <w:rPr>
          <w:rFonts w:asciiTheme="minorHAnsi" w:eastAsiaTheme="minorEastAsia" w:hAnsiTheme="minorHAnsi" w:cstheme="minorBidi"/>
          <w:b w:val="0"/>
          <w:noProof/>
          <w:kern w:val="0"/>
          <w:szCs w:val="22"/>
        </w:rPr>
      </w:pPr>
      <w:r>
        <w:rPr>
          <w:noProof/>
        </w:rPr>
        <w:t>Division 3—How to fill in the template</w:t>
      </w:r>
      <w:r w:rsidRPr="00292944">
        <w:rPr>
          <w:b w:val="0"/>
          <w:noProof/>
          <w:sz w:val="18"/>
        </w:rPr>
        <w:tab/>
      </w:r>
      <w:r w:rsidRPr="00292944">
        <w:rPr>
          <w:b w:val="0"/>
          <w:noProof/>
          <w:sz w:val="18"/>
        </w:rPr>
        <w:fldChar w:fldCharType="begin"/>
      </w:r>
      <w:r w:rsidRPr="00292944">
        <w:rPr>
          <w:b w:val="0"/>
          <w:noProof/>
          <w:sz w:val="18"/>
        </w:rPr>
        <w:instrText xml:space="preserve"> PAGEREF _Toc170547888 \h </w:instrText>
      </w:r>
      <w:r w:rsidRPr="00292944">
        <w:rPr>
          <w:b w:val="0"/>
          <w:noProof/>
          <w:sz w:val="18"/>
        </w:rPr>
      </w:r>
      <w:r w:rsidRPr="00292944">
        <w:rPr>
          <w:b w:val="0"/>
          <w:noProof/>
          <w:sz w:val="18"/>
        </w:rPr>
        <w:fldChar w:fldCharType="separate"/>
      </w:r>
      <w:r w:rsidR="00DE3E82">
        <w:rPr>
          <w:b w:val="0"/>
          <w:noProof/>
          <w:sz w:val="18"/>
        </w:rPr>
        <w:t>56</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203</w:t>
      </w:r>
      <w:r>
        <w:rPr>
          <w:noProof/>
        </w:rPr>
        <w:tab/>
        <w:t>The preamble</w:t>
      </w:r>
      <w:r w:rsidRPr="00292944">
        <w:rPr>
          <w:noProof/>
        </w:rPr>
        <w:tab/>
      </w:r>
      <w:r w:rsidRPr="00292944">
        <w:rPr>
          <w:noProof/>
        </w:rPr>
        <w:fldChar w:fldCharType="begin"/>
      </w:r>
      <w:r w:rsidRPr="00292944">
        <w:rPr>
          <w:noProof/>
        </w:rPr>
        <w:instrText xml:space="preserve"> PAGEREF _Toc170547889 \h </w:instrText>
      </w:r>
      <w:r w:rsidRPr="00292944">
        <w:rPr>
          <w:noProof/>
        </w:rPr>
      </w:r>
      <w:r w:rsidRPr="00292944">
        <w:rPr>
          <w:noProof/>
        </w:rPr>
        <w:fldChar w:fldCharType="separate"/>
      </w:r>
      <w:r w:rsidR="00DE3E82">
        <w:rPr>
          <w:noProof/>
        </w:rPr>
        <w:t>56</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204</w:t>
      </w:r>
      <w:r>
        <w:rPr>
          <w:noProof/>
        </w:rPr>
        <w:tab/>
        <w:t>Column 2—presentation of amounts</w:t>
      </w:r>
      <w:r w:rsidRPr="00292944">
        <w:rPr>
          <w:noProof/>
        </w:rPr>
        <w:tab/>
      </w:r>
      <w:r w:rsidRPr="00292944">
        <w:rPr>
          <w:noProof/>
        </w:rPr>
        <w:fldChar w:fldCharType="begin"/>
      </w:r>
      <w:r w:rsidRPr="00292944">
        <w:rPr>
          <w:noProof/>
        </w:rPr>
        <w:instrText xml:space="preserve"> PAGEREF _Toc170547890 \h </w:instrText>
      </w:r>
      <w:r w:rsidRPr="00292944">
        <w:rPr>
          <w:noProof/>
        </w:rPr>
      </w:r>
      <w:r w:rsidRPr="00292944">
        <w:rPr>
          <w:noProof/>
        </w:rPr>
        <w:fldChar w:fldCharType="separate"/>
      </w:r>
      <w:r w:rsidR="00DE3E82">
        <w:rPr>
          <w:noProof/>
        </w:rPr>
        <w:t>56</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205</w:t>
      </w:r>
      <w:r>
        <w:rPr>
          <w:noProof/>
        </w:rPr>
        <w:tab/>
        <w:t>Column 2—include information for each MySuper product or investment option</w:t>
      </w:r>
      <w:r w:rsidRPr="00292944">
        <w:rPr>
          <w:noProof/>
        </w:rPr>
        <w:tab/>
      </w:r>
      <w:r w:rsidRPr="00292944">
        <w:rPr>
          <w:noProof/>
        </w:rPr>
        <w:fldChar w:fldCharType="begin"/>
      </w:r>
      <w:r w:rsidRPr="00292944">
        <w:rPr>
          <w:noProof/>
        </w:rPr>
        <w:instrText xml:space="preserve"> PAGEREF _Toc170547891 \h </w:instrText>
      </w:r>
      <w:r w:rsidRPr="00292944">
        <w:rPr>
          <w:noProof/>
        </w:rPr>
      </w:r>
      <w:r w:rsidRPr="00292944">
        <w:rPr>
          <w:noProof/>
        </w:rPr>
        <w:fldChar w:fldCharType="separate"/>
      </w:r>
      <w:r w:rsidR="00DE3E82">
        <w:rPr>
          <w:noProof/>
        </w:rPr>
        <w:t>56</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206</w:t>
      </w:r>
      <w:r>
        <w:rPr>
          <w:noProof/>
        </w:rPr>
        <w:tab/>
        <w:t>Presentation of multiple fee payment options</w:t>
      </w:r>
      <w:r w:rsidRPr="00292944">
        <w:rPr>
          <w:noProof/>
        </w:rPr>
        <w:tab/>
      </w:r>
      <w:r w:rsidRPr="00292944">
        <w:rPr>
          <w:noProof/>
        </w:rPr>
        <w:fldChar w:fldCharType="begin"/>
      </w:r>
      <w:r w:rsidRPr="00292944">
        <w:rPr>
          <w:noProof/>
        </w:rPr>
        <w:instrText xml:space="preserve"> PAGEREF _Toc170547892 \h </w:instrText>
      </w:r>
      <w:r w:rsidRPr="00292944">
        <w:rPr>
          <w:noProof/>
        </w:rPr>
      </w:r>
      <w:r w:rsidRPr="00292944">
        <w:rPr>
          <w:noProof/>
        </w:rPr>
        <w:fldChar w:fldCharType="separate"/>
      </w:r>
      <w:r w:rsidR="00DE3E82">
        <w:rPr>
          <w:noProof/>
        </w:rPr>
        <w:t>57</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207</w:t>
      </w:r>
      <w:r>
        <w:rPr>
          <w:noProof/>
        </w:rPr>
        <w:tab/>
        <w:t>Column 3—how and when fees and costs are payable</w:t>
      </w:r>
      <w:r w:rsidRPr="00292944">
        <w:rPr>
          <w:noProof/>
        </w:rPr>
        <w:tab/>
      </w:r>
      <w:r w:rsidRPr="00292944">
        <w:rPr>
          <w:noProof/>
        </w:rPr>
        <w:fldChar w:fldCharType="begin"/>
      </w:r>
      <w:r w:rsidRPr="00292944">
        <w:rPr>
          <w:noProof/>
        </w:rPr>
        <w:instrText xml:space="preserve"> PAGEREF _Toc170547893 \h </w:instrText>
      </w:r>
      <w:r w:rsidRPr="00292944">
        <w:rPr>
          <w:noProof/>
        </w:rPr>
      </w:r>
      <w:r w:rsidRPr="00292944">
        <w:rPr>
          <w:noProof/>
        </w:rPr>
        <w:fldChar w:fldCharType="separate"/>
      </w:r>
      <w:r w:rsidR="00DE3E82">
        <w:rPr>
          <w:noProof/>
        </w:rPr>
        <w:t>57</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208</w:t>
      </w:r>
      <w:r>
        <w:rPr>
          <w:noProof/>
        </w:rPr>
        <w:tab/>
        <w:t>Other material to be included in the template</w:t>
      </w:r>
      <w:r w:rsidRPr="00292944">
        <w:rPr>
          <w:noProof/>
        </w:rPr>
        <w:tab/>
      </w:r>
      <w:r w:rsidRPr="00292944">
        <w:rPr>
          <w:noProof/>
        </w:rPr>
        <w:fldChar w:fldCharType="begin"/>
      </w:r>
      <w:r w:rsidRPr="00292944">
        <w:rPr>
          <w:noProof/>
        </w:rPr>
        <w:instrText xml:space="preserve"> PAGEREF _Toc170547894 \h </w:instrText>
      </w:r>
      <w:r w:rsidRPr="00292944">
        <w:rPr>
          <w:noProof/>
        </w:rPr>
      </w:r>
      <w:r w:rsidRPr="00292944">
        <w:rPr>
          <w:noProof/>
        </w:rPr>
        <w:fldChar w:fldCharType="separate"/>
      </w:r>
      <w:r w:rsidR="00DE3E82">
        <w:rPr>
          <w:noProof/>
        </w:rPr>
        <w:t>57</w:t>
      </w:r>
      <w:r w:rsidRPr="00292944">
        <w:rPr>
          <w:noProof/>
        </w:rPr>
        <w:fldChar w:fldCharType="end"/>
      </w:r>
    </w:p>
    <w:p w:rsidR="00292944" w:rsidRDefault="00292944">
      <w:pPr>
        <w:pStyle w:val="TOC3"/>
        <w:rPr>
          <w:rFonts w:asciiTheme="minorHAnsi" w:eastAsiaTheme="minorEastAsia" w:hAnsiTheme="minorHAnsi" w:cstheme="minorBidi"/>
          <w:b w:val="0"/>
          <w:noProof/>
          <w:kern w:val="0"/>
          <w:szCs w:val="22"/>
        </w:rPr>
      </w:pPr>
      <w:r>
        <w:rPr>
          <w:noProof/>
        </w:rPr>
        <w:t>Division 4—Additional explanation of fees and costs</w:t>
      </w:r>
      <w:r w:rsidRPr="00292944">
        <w:rPr>
          <w:b w:val="0"/>
          <w:noProof/>
          <w:sz w:val="18"/>
        </w:rPr>
        <w:tab/>
      </w:r>
      <w:r w:rsidRPr="00292944">
        <w:rPr>
          <w:b w:val="0"/>
          <w:noProof/>
          <w:sz w:val="18"/>
        </w:rPr>
        <w:fldChar w:fldCharType="begin"/>
      </w:r>
      <w:r w:rsidRPr="00292944">
        <w:rPr>
          <w:b w:val="0"/>
          <w:noProof/>
          <w:sz w:val="18"/>
        </w:rPr>
        <w:instrText xml:space="preserve"> PAGEREF _Toc170547895 \h </w:instrText>
      </w:r>
      <w:r w:rsidRPr="00292944">
        <w:rPr>
          <w:b w:val="0"/>
          <w:noProof/>
          <w:sz w:val="18"/>
        </w:rPr>
      </w:r>
      <w:r w:rsidRPr="00292944">
        <w:rPr>
          <w:b w:val="0"/>
          <w:noProof/>
          <w:sz w:val="18"/>
        </w:rPr>
        <w:fldChar w:fldCharType="separate"/>
      </w:r>
      <w:r w:rsidR="00DE3E82">
        <w:rPr>
          <w:b w:val="0"/>
          <w:noProof/>
          <w:sz w:val="18"/>
        </w:rPr>
        <w:t>58</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209</w:t>
      </w:r>
      <w:r>
        <w:rPr>
          <w:noProof/>
        </w:rPr>
        <w:tab/>
        <w:t>Matters to be included as additional explanation of fees and costs</w:t>
      </w:r>
      <w:r w:rsidRPr="00292944">
        <w:rPr>
          <w:noProof/>
        </w:rPr>
        <w:tab/>
      </w:r>
      <w:r w:rsidRPr="00292944">
        <w:rPr>
          <w:noProof/>
        </w:rPr>
        <w:fldChar w:fldCharType="begin"/>
      </w:r>
      <w:r w:rsidRPr="00292944">
        <w:rPr>
          <w:noProof/>
        </w:rPr>
        <w:instrText xml:space="preserve"> PAGEREF _Toc170547896 \h </w:instrText>
      </w:r>
      <w:r w:rsidRPr="00292944">
        <w:rPr>
          <w:noProof/>
        </w:rPr>
      </w:r>
      <w:r w:rsidRPr="00292944">
        <w:rPr>
          <w:noProof/>
        </w:rPr>
        <w:fldChar w:fldCharType="separate"/>
      </w:r>
      <w:r w:rsidR="00DE3E82">
        <w:rPr>
          <w:noProof/>
        </w:rPr>
        <w:t>58</w:t>
      </w:r>
      <w:r w:rsidRPr="00292944">
        <w:rPr>
          <w:noProof/>
        </w:rPr>
        <w:fldChar w:fldCharType="end"/>
      </w:r>
    </w:p>
    <w:p w:rsidR="00292944" w:rsidRDefault="00292944">
      <w:pPr>
        <w:pStyle w:val="TOC3"/>
        <w:rPr>
          <w:rFonts w:asciiTheme="minorHAnsi" w:eastAsiaTheme="minorEastAsia" w:hAnsiTheme="minorHAnsi" w:cstheme="minorBidi"/>
          <w:b w:val="0"/>
          <w:noProof/>
          <w:kern w:val="0"/>
          <w:szCs w:val="22"/>
        </w:rPr>
      </w:pPr>
      <w:r>
        <w:rPr>
          <w:noProof/>
        </w:rPr>
        <w:t>Division 4A—Defined fees for superannuation products</w:t>
      </w:r>
      <w:r w:rsidRPr="00292944">
        <w:rPr>
          <w:b w:val="0"/>
          <w:noProof/>
          <w:sz w:val="18"/>
        </w:rPr>
        <w:tab/>
      </w:r>
      <w:r w:rsidRPr="00292944">
        <w:rPr>
          <w:b w:val="0"/>
          <w:noProof/>
          <w:sz w:val="18"/>
        </w:rPr>
        <w:fldChar w:fldCharType="begin"/>
      </w:r>
      <w:r w:rsidRPr="00292944">
        <w:rPr>
          <w:b w:val="0"/>
          <w:noProof/>
          <w:sz w:val="18"/>
        </w:rPr>
        <w:instrText xml:space="preserve"> PAGEREF _Toc170547897 \h </w:instrText>
      </w:r>
      <w:r w:rsidRPr="00292944">
        <w:rPr>
          <w:b w:val="0"/>
          <w:noProof/>
          <w:sz w:val="18"/>
        </w:rPr>
      </w:r>
      <w:r w:rsidRPr="00292944">
        <w:rPr>
          <w:b w:val="0"/>
          <w:noProof/>
          <w:sz w:val="18"/>
        </w:rPr>
        <w:fldChar w:fldCharType="separate"/>
      </w:r>
      <w:r w:rsidR="00DE3E82">
        <w:rPr>
          <w:b w:val="0"/>
          <w:noProof/>
          <w:sz w:val="18"/>
        </w:rPr>
        <w:t>60</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209A</w:t>
      </w:r>
      <w:r>
        <w:rPr>
          <w:noProof/>
        </w:rPr>
        <w:tab/>
        <w:t>Defined fees for superannuation products</w:t>
      </w:r>
      <w:r w:rsidRPr="00292944">
        <w:rPr>
          <w:noProof/>
        </w:rPr>
        <w:tab/>
      </w:r>
      <w:r w:rsidRPr="00292944">
        <w:rPr>
          <w:noProof/>
        </w:rPr>
        <w:fldChar w:fldCharType="begin"/>
      </w:r>
      <w:r w:rsidRPr="00292944">
        <w:rPr>
          <w:noProof/>
        </w:rPr>
        <w:instrText xml:space="preserve"> PAGEREF _Toc170547898 \h </w:instrText>
      </w:r>
      <w:r w:rsidRPr="00292944">
        <w:rPr>
          <w:noProof/>
        </w:rPr>
      </w:r>
      <w:r w:rsidRPr="00292944">
        <w:rPr>
          <w:noProof/>
        </w:rPr>
        <w:fldChar w:fldCharType="separate"/>
      </w:r>
      <w:r w:rsidR="00DE3E82">
        <w:rPr>
          <w:noProof/>
        </w:rPr>
        <w:t>60</w:t>
      </w:r>
      <w:r w:rsidRPr="00292944">
        <w:rPr>
          <w:noProof/>
        </w:rPr>
        <w:fldChar w:fldCharType="end"/>
      </w:r>
    </w:p>
    <w:p w:rsidR="00292944" w:rsidRDefault="00292944">
      <w:pPr>
        <w:pStyle w:val="TOC3"/>
        <w:rPr>
          <w:rFonts w:asciiTheme="minorHAnsi" w:eastAsiaTheme="minorEastAsia" w:hAnsiTheme="minorHAnsi" w:cstheme="minorBidi"/>
          <w:b w:val="0"/>
          <w:noProof/>
          <w:kern w:val="0"/>
          <w:szCs w:val="22"/>
        </w:rPr>
      </w:pPr>
      <w:r>
        <w:rPr>
          <w:noProof/>
        </w:rPr>
        <w:t>Division 5—Example of annual fees and costs</w:t>
      </w:r>
      <w:r w:rsidRPr="00292944">
        <w:rPr>
          <w:b w:val="0"/>
          <w:noProof/>
          <w:sz w:val="18"/>
        </w:rPr>
        <w:tab/>
      </w:r>
      <w:r w:rsidRPr="00292944">
        <w:rPr>
          <w:b w:val="0"/>
          <w:noProof/>
          <w:sz w:val="18"/>
        </w:rPr>
        <w:fldChar w:fldCharType="begin"/>
      </w:r>
      <w:r w:rsidRPr="00292944">
        <w:rPr>
          <w:b w:val="0"/>
          <w:noProof/>
          <w:sz w:val="18"/>
        </w:rPr>
        <w:instrText xml:space="preserve"> PAGEREF _Toc170547899 \h </w:instrText>
      </w:r>
      <w:r w:rsidRPr="00292944">
        <w:rPr>
          <w:b w:val="0"/>
          <w:noProof/>
          <w:sz w:val="18"/>
        </w:rPr>
      </w:r>
      <w:r w:rsidRPr="00292944">
        <w:rPr>
          <w:b w:val="0"/>
          <w:noProof/>
          <w:sz w:val="18"/>
        </w:rPr>
        <w:fldChar w:fldCharType="separate"/>
      </w:r>
      <w:r w:rsidR="00DE3E82">
        <w:rPr>
          <w:b w:val="0"/>
          <w:noProof/>
          <w:sz w:val="18"/>
        </w:rPr>
        <w:t>62</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210</w:t>
      </w:r>
      <w:r>
        <w:rPr>
          <w:noProof/>
        </w:rPr>
        <w:tab/>
        <w:t>Example of annual fees and costs</w:t>
      </w:r>
      <w:r w:rsidRPr="00292944">
        <w:rPr>
          <w:noProof/>
        </w:rPr>
        <w:tab/>
      </w:r>
      <w:r w:rsidRPr="00292944">
        <w:rPr>
          <w:noProof/>
        </w:rPr>
        <w:fldChar w:fldCharType="begin"/>
      </w:r>
      <w:r w:rsidRPr="00292944">
        <w:rPr>
          <w:noProof/>
        </w:rPr>
        <w:instrText xml:space="preserve"> PAGEREF _Toc170547900 \h </w:instrText>
      </w:r>
      <w:r w:rsidRPr="00292944">
        <w:rPr>
          <w:noProof/>
        </w:rPr>
      </w:r>
      <w:r w:rsidRPr="00292944">
        <w:rPr>
          <w:noProof/>
        </w:rPr>
        <w:fldChar w:fldCharType="separate"/>
      </w:r>
      <w:r w:rsidR="00DE3E82">
        <w:rPr>
          <w:noProof/>
        </w:rPr>
        <w:t>62</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211</w:t>
      </w:r>
      <w:r>
        <w:rPr>
          <w:noProof/>
        </w:rPr>
        <w:tab/>
        <w:t>Superannuation products—Example of annual fees and costs for a MySuper product</w:t>
      </w:r>
      <w:r w:rsidRPr="00292944">
        <w:rPr>
          <w:noProof/>
        </w:rPr>
        <w:tab/>
      </w:r>
      <w:r w:rsidRPr="00292944">
        <w:rPr>
          <w:noProof/>
        </w:rPr>
        <w:fldChar w:fldCharType="begin"/>
      </w:r>
      <w:r w:rsidRPr="00292944">
        <w:rPr>
          <w:noProof/>
        </w:rPr>
        <w:instrText xml:space="preserve"> PAGEREF _Toc170547901 \h </w:instrText>
      </w:r>
      <w:r w:rsidRPr="00292944">
        <w:rPr>
          <w:noProof/>
        </w:rPr>
      </w:r>
      <w:r w:rsidRPr="00292944">
        <w:rPr>
          <w:noProof/>
        </w:rPr>
        <w:fldChar w:fldCharType="separate"/>
      </w:r>
      <w:r w:rsidR="00DE3E82">
        <w:rPr>
          <w:noProof/>
        </w:rPr>
        <w:t>62</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212</w:t>
      </w:r>
      <w:r>
        <w:rPr>
          <w:noProof/>
        </w:rPr>
        <w:tab/>
        <w:t>Collective investment products—Example of annual fees and costs for a balanced investment option</w:t>
      </w:r>
      <w:r w:rsidRPr="00292944">
        <w:rPr>
          <w:noProof/>
        </w:rPr>
        <w:tab/>
      </w:r>
      <w:r w:rsidRPr="00292944">
        <w:rPr>
          <w:noProof/>
        </w:rPr>
        <w:fldChar w:fldCharType="begin"/>
      </w:r>
      <w:r w:rsidRPr="00292944">
        <w:rPr>
          <w:noProof/>
        </w:rPr>
        <w:instrText xml:space="preserve"> PAGEREF _Toc170547902 \h </w:instrText>
      </w:r>
      <w:r w:rsidRPr="00292944">
        <w:rPr>
          <w:noProof/>
        </w:rPr>
      </w:r>
      <w:r w:rsidRPr="00292944">
        <w:rPr>
          <w:noProof/>
        </w:rPr>
        <w:fldChar w:fldCharType="separate"/>
      </w:r>
      <w:r w:rsidR="00DE3E82">
        <w:rPr>
          <w:noProof/>
        </w:rPr>
        <w:t>62</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213</w:t>
      </w:r>
      <w:r>
        <w:rPr>
          <w:noProof/>
        </w:rPr>
        <w:tab/>
        <w:t>Defined benefit funds</w:t>
      </w:r>
      <w:r w:rsidRPr="00292944">
        <w:rPr>
          <w:noProof/>
        </w:rPr>
        <w:tab/>
      </w:r>
      <w:r w:rsidRPr="00292944">
        <w:rPr>
          <w:noProof/>
        </w:rPr>
        <w:fldChar w:fldCharType="begin"/>
      </w:r>
      <w:r w:rsidRPr="00292944">
        <w:rPr>
          <w:noProof/>
        </w:rPr>
        <w:instrText xml:space="preserve"> PAGEREF _Toc170547903 \h </w:instrText>
      </w:r>
      <w:r w:rsidRPr="00292944">
        <w:rPr>
          <w:noProof/>
        </w:rPr>
      </w:r>
      <w:r w:rsidRPr="00292944">
        <w:rPr>
          <w:noProof/>
        </w:rPr>
        <w:fldChar w:fldCharType="separate"/>
      </w:r>
      <w:r w:rsidR="00DE3E82">
        <w:rPr>
          <w:noProof/>
        </w:rPr>
        <w:t>63</w:t>
      </w:r>
      <w:r w:rsidRPr="00292944">
        <w:rPr>
          <w:noProof/>
        </w:rPr>
        <w:fldChar w:fldCharType="end"/>
      </w:r>
    </w:p>
    <w:p w:rsidR="00292944" w:rsidRDefault="00292944">
      <w:pPr>
        <w:pStyle w:val="TOC3"/>
        <w:rPr>
          <w:rFonts w:asciiTheme="minorHAnsi" w:eastAsiaTheme="minorEastAsia" w:hAnsiTheme="minorHAnsi" w:cstheme="minorBidi"/>
          <w:b w:val="0"/>
          <w:noProof/>
          <w:kern w:val="0"/>
          <w:szCs w:val="22"/>
        </w:rPr>
      </w:pPr>
      <w:r>
        <w:rPr>
          <w:noProof/>
        </w:rPr>
        <w:t>Division 6—How to fill in the example of annual fees and costs</w:t>
      </w:r>
      <w:r w:rsidRPr="00292944">
        <w:rPr>
          <w:b w:val="0"/>
          <w:noProof/>
          <w:sz w:val="18"/>
        </w:rPr>
        <w:tab/>
      </w:r>
      <w:r w:rsidRPr="00292944">
        <w:rPr>
          <w:b w:val="0"/>
          <w:noProof/>
          <w:sz w:val="18"/>
        </w:rPr>
        <w:fldChar w:fldCharType="begin"/>
      </w:r>
      <w:r w:rsidRPr="00292944">
        <w:rPr>
          <w:b w:val="0"/>
          <w:noProof/>
          <w:sz w:val="18"/>
        </w:rPr>
        <w:instrText xml:space="preserve"> PAGEREF _Toc170547904 \h </w:instrText>
      </w:r>
      <w:r w:rsidRPr="00292944">
        <w:rPr>
          <w:b w:val="0"/>
          <w:noProof/>
          <w:sz w:val="18"/>
        </w:rPr>
      </w:r>
      <w:r w:rsidRPr="00292944">
        <w:rPr>
          <w:b w:val="0"/>
          <w:noProof/>
          <w:sz w:val="18"/>
        </w:rPr>
        <w:fldChar w:fldCharType="separate"/>
      </w:r>
      <w:r w:rsidR="00DE3E82">
        <w:rPr>
          <w:b w:val="0"/>
          <w:noProof/>
          <w:sz w:val="18"/>
        </w:rPr>
        <w:t>64</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214</w:t>
      </w:r>
      <w:r>
        <w:rPr>
          <w:noProof/>
        </w:rPr>
        <w:tab/>
        <w:t>Fees and costs must be ongoing amounts</w:t>
      </w:r>
      <w:r w:rsidRPr="00292944">
        <w:rPr>
          <w:noProof/>
        </w:rPr>
        <w:tab/>
      </w:r>
      <w:r w:rsidRPr="00292944">
        <w:rPr>
          <w:noProof/>
        </w:rPr>
        <w:fldChar w:fldCharType="begin"/>
      </w:r>
      <w:r w:rsidRPr="00292944">
        <w:rPr>
          <w:noProof/>
        </w:rPr>
        <w:instrText xml:space="preserve"> PAGEREF _Toc170547905 \h </w:instrText>
      </w:r>
      <w:r w:rsidRPr="00292944">
        <w:rPr>
          <w:noProof/>
        </w:rPr>
      </w:r>
      <w:r w:rsidRPr="00292944">
        <w:rPr>
          <w:noProof/>
        </w:rPr>
        <w:fldChar w:fldCharType="separate"/>
      </w:r>
      <w:r w:rsidR="00DE3E82">
        <w:rPr>
          <w:noProof/>
        </w:rPr>
        <w:t>64</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214A</w:t>
      </w:r>
      <w:r>
        <w:rPr>
          <w:noProof/>
        </w:rPr>
        <w:tab/>
        <w:t>Example of annual fees and costs for a MySuper product—lifecycle MySuper product</w:t>
      </w:r>
      <w:r w:rsidRPr="00292944">
        <w:rPr>
          <w:noProof/>
        </w:rPr>
        <w:tab/>
      </w:r>
      <w:r w:rsidRPr="00292944">
        <w:rPr>
          <w:noProof/>
        </w:rPr>
        <w:fldChar w:fldCharType="begin"/>
      </w:r>
      <w:r w:rsidRPr="00292944">
        <w:rPr>
          <w:noProof/>
        </w:rPr>
        <w:instrText xml:space="preserve"> PAGEREF _Toc170547906 \h </w:instrText>
      </w:r>
      <w:r w:rsidRPr="00292944">
        <w:rPr>
          <w:noProof/>
        </w:rPr>
      </w:r>
      <w:r w:rsidRPr="00292944">
        <w:rPr>
          <w:noProof/>
        </w:rPr>
        <w:fldChar w:fldCharType="separate"/>
      </w:r>
      <w:r w:rsidR="00DE3E82">
        <w:rPr>
          <w:noProof/>
        </w:rPr>
        <w:t>64</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215</w:t>
      </w:r>
      <w:r>
        <w:rPr>
          <w:noProof/>
        </w:rPr>
        <w:tab/>
        <w:t>Minimum entry balance rule</w:t>
      </w:r>
      <w:r w:rsidRPr="00292944">
        <w:rPr>
          <w:noProof/>
        </w:rPr>
        <w:tab/>
      </w:r>
      <w:r w:rsidRPr="00292944">
        <w:rPr>
          <w:noProof/>
        </w:rPr>
        <w:fldChar w:fldCharType="begin"/>
      </w:r>
      <w:r w:rsidRPr="00292944">
        <w:rPr>
          <w:noProof/>
        </w:rPr>
        <w:instrText xml:space="preserve"> PAGEREF _Toc170547907 \h </w:instrText>
      </w:r>
      <w:r w:rsidRPr="00292944">
        <w:rPr>
          <w:noProof/>
        </w:rPr>
      </w:r>
      <w:r w:rsidRPr="00292944">
        <w:rPr>
          <w:noProof/>
        </w:rPr>
        <w:fldChar w:fldCharType="separate"/>
      </w:r>
      <w:r w:rsidR="00DE3E82">
        <w:rPr>
          <w:noProof/>
        </w:rPr>
        <w:t>64</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216</w:t>
      </w:r>
      <w:r>
        <w:rPr>
          <w:noProof/>
        </w:rPr>
        <w:tab/>
        <w:t>Exit fees</w:t>
      </w:r>
      <w:r w:rsidRPr="00292944">
        <w:rPr>
          <w:noProof/>
        </w:rPr>
        <w:tab/>
      </w:r>
      <w:r w:rsidRPr="00292944">
        <w:rPr>
          <w:noProof/>
        </w:rPr>
        <w:fldChar w:fldCharType="begin"/>
      </w:r>
      <w:r w:rsidRPr="00292944">
        <w:rPr>
          <w:noProof/>
        </w:rPr>
        <w:instrText xml:space="preserve"> PAGEREF _Toc170547908 \h </w:instrText>
      </w:r>
      <w:r w:rsidRPr="00292944">
        <w:rPr>
          <w:noProof/>
        </w:rPr>
      </w:r>
      <w:r w:rsidRPr="00292944">
        <w:rPr>
          <w:noProof/>
        </w:rPr>
        <w:fldChar w:fldCharType="separate"/>
      </w:r>
      <w:r w:rsidR="00DE3E82">
        <w:rPr>
          <w:noProof/>
        </w:rPr>
        <w:t>64</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217</w:t>
      </w:r>
      <w:r>
        <w:rPr>
          <w:noProof/>
        </w:rPr>
        <w:tab/>
        <w:t>Contribution fees</w:t>
      </w:r>
      <w:r w:rsidRPr="00292944">
        <w:rPr>
          <w:noProof/>
        </w:rPr>
        <w:tab/>
      </w:r>
      <w:r w:rsidRPr="00292944">
        <w:rPr>
          <w:noProof/>
        </w:rPr>
        <w:fldChar w:fldCharType="begin"/>
      </w:r>
      <w:r w:rsidRPr="00292944">
        <w:rPr>
          <w:noProof/>
        </w:rPr>
        <w:instrText xml:space="preserve"> PAGEREF _Toc170547909 \h </w:instrText>
      </w:r>
      <w:r w:rsidRPr="00292944">
        <w:rPr>
          <w:noProof/>
        </w:rPr>
      </w:r>
      <w:r w:rsidRPr="00292944">
        <w:rPr>
          <w:noProof/>
        </w:rPr>
        <w:fldChar w:fldCharType="separate"/>
      </w:r>
      <w:r w:rsidR="00DE3E82">
        <w:rPr>
          <w:noProof/>
        </w:rPr>
        <w:t>64</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218</w:t>
      </w:r>
      <w:r>
        <w:rPr>
          <w:noProof/>
        </w:rPr>
        <w:tab/>
        <w:t>Administration fees and investment fees for a superannuation product</w:t>
      </w:r>
      <w:r w:rsidRPr="00292944">
        <w:rPr>
          <w:noProof/>
        </w:rPr>
        <w:tab/>
      </w:r>
      <w:r w:rsidRPr="00292944">
        <w:rPr>
          <w:noProof/>
        </w:rPr>
        <w:fldChar w:fldCharType="begin"/>
      </w:r>
      <w:r w:rsidRPr="00292944">
        <w:rPr>
          <w:noProof/>
        </w:rPr>
        <w:instrText xml:space="preserve"> PAGEREF _Toc170547910 \h </w:instrText>
      </w:r>
      <w:r w:rsidRPr="00292944">
        <w:rPr>
          <w:noProof/>
        </w:rPr>
      </w:r>
      <w:r w:rsidRPr="00292944">
        <w:rPr>
          <w:noProof/>
        </w:rPr>
        <w:fldChar w:fldCharType="separate"/>
      </w:r>
      <w:r w:rsidR="00DE3E82">
        <w:rPr>
          <w:noProof/>
        </w:rPr>
        <w:t>65</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218A</w:t>
      </w:r>
      <w:r>
        <w:rPr>
          <w:noProof/>
        </w:rPr>
        <w:tab/>
        <w:t>Management costs for a collective investment product</w:t>
      </w:r>
      <w:r w:rsidRPr="00292944">
        <w:rPr>
          <w:noProof/>
        </w:rPr>
        <w:tab/>
      </w:r>
      <w:r w:rsidRPr="00292944">
        <w:rPr>
          <w:noProof/>
        </w:rPr>
        <w:fldChar w:fldCharType="begin"/>
      </w:r>
      <w:r w:rsidRPr="00292944">
        <w:rPr>
          <w:noProof/>
        </w:rPr>
        <w:instrText xml:space="preserve"> PAGEREF _Toc170547911 \h </w:instrText>
      </w:r>
      <w:r w:rsidRPr="00292944">
        <w:rPr>
          <w:noProof/>
        </w:rPr>
      </w:r>
      <w:r w:rsidRPr="00292944">
        <w:rPr>
          <w:noProof/>
        </w:rPr>
        <w:fldChar w:fldCharType="separate"/>
      </w:r>
      <w:r w:rsidR="00DE3E82">
        <w:rPr>
          <w:noProof/>
        </w:rPr>
        <w:t>65</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219</w:t>
      </w:r>
      <w:r>
        <w:rPr>
          <w:noProof/>
        </w:rPr>
        <w:tab/>
        <w:t>Withdrawal fees and exit fees</w:t>
      </w:r>
      <w:r w:rsidRPr="00292944">
        <w:rPr>
          <w:noProof/>
        </w:rPr>
        <w:tab/>
      </w:r>
      <w:r w:rsidRPr="00292944">
        <w:rPr>
          <w:noProof/>
        </w:rPr>
        <w:fldChar w:fldCharType="begin"/>
      </w:r>
      <w:r w:rsidRPr="00292944">
        <w:rPr>
          <w:noProof/>
        </w:rPr>
        <w:instrText xml:space="preserve"> PAGEREF _Toc170547912 \h </w:instrText>
      </w:r>
      <w:r w:rsidRPr="00292944">
        <w:rPr>
          <w:noProof/>
        </w:rPr>
      </w:r>
      <w:r w:rsidRPr="00292944">
        <w:rPr>
          <w:noProof/>
        </w:rPr>
        <w:fldChar w:fldCharType="separate"/>
      </w:r>
      <w:r w:rsidR="00DE3E82">
        <w:rPr>
          <w:noProof/>
        </w:rPr>
        <w:t>66</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220</w:t>
      </w:r>
      <w:r>
        <w:rPr>
          <w:noProof/>
        </w:rPr>
        <w:tab/>
        <w:t>If there is no generic MySuper product or balanced investment option</w:t>
      </w:r>
      <w:r w:rsidRPr="00292944">
        <w:rPr>
          <w:noProof/>
        </w:rPr>
        <w:tab/>
      </w:r>
      <w:r w:rsidRPr="00292944">
        <w:rPr>
          <w:noProof/>
        </w:rPr>
        <w:fldChar w:fldCharType="begin"/>
      </w:r>
      <w:r w:rsidRPr="00292944">
        <w:rPr>
          <w:noProof/>
        </w:rPr>
        <w:instrText xml:space="preserve"> PAGEREF _Toc170547913 \h </w:instrText>
      </w:r>
      <w:r w:rsidRPr="00292944">
        <w:rPr>
          <w:noProof/>
        </w:rPr>
      </w:r>
      <w:r w:rsidRPr="00292944">
        <w:rPr>
          <w:noProof/>
        </w:rPr>
        <w:fldChar w:fldCharType="separate"/>
      </w:r>
      <w:r w:rsidR="00DE3E82">
        <w:rPr>
          <w:noProof/>
        </w:rPr>
        <w:t>66</w:t>
      </w:r>
      <w:r w:rsidRPr="00292944">
        <w:rPr>
          <w:noProof/>
        </w:rPr>
        <w:fldChar w:fldCharType="end"/>
      </w:r>
    </w:p>
    <w:p w:rsidR="00292944" w:rsidRDefault="00292944">
      <w:pPr>
        <w:pStyle w:val="TOC3"/>
        <w:rPr>
          <w:rFonts w:asciiTheme="minorHAnsi" w:eastAsiaTheme="minorEastAsia" w:hAnsiTheme="minorHAnsi" w:cstheme="minorBidi"/>
          <w:b w:val="0"/>
          <w:noProof/>
          <w:kern w:val="0"/>
          <w:szCs w:val="22"/>
        </w:rPr>
      </w:pPr>
      <w:r>
        <w:rPr>
          <w:noProof/>
        </w:rPr>
        <w:t>Division 7—Consumer Advisory Warning</w:t>
      </w:r>
      <w:r w:rsidRPr="00292944">
        <w:rPr>
          <w:b w:val="0"/>
          <w:noProof/>
          <w:sz w:val="18"/>
        </w:rPr>
        <w:tab/>
      </w:r>
      <w:r w:rsidRPr="00292944">
        <w:rPr>
          <w:b w:val="0"/>
          <w:noProof/>
          <w:sz w:val="18"/>
        </w:rPr>
        <w:fldChar w:fldCharType="begin"/>
      </w:r>
      <w:r w:rsidRPr="00292944">
        <w:rPr>
          <w:b w:val="0"/>
          <w:noProof/>
          <w:sz w:val="18"/>
        </w:rPr>
        <w:instrText xml:space="preserve"> PAGEREF _Toc170547914 \h </w:instrText>
      </w:r>
      <w:r w:rsidRPr="00292944">
        <w:rPr>
          <w:b w:val="0"/>
          <w:noProof/>
          <w:sz w:val="18"/>
        </w:rPr>
      </w:r>
      <w:r w:rsidRPr="00292944">
        <w:rPr>
          <w:b w:val="0"/>
          <w:noProof/>
          <w:sz w:val="18"/>
        </w:rPr>
        <w:fldChar w:fldCharType="separate"/>
      </w:r>
      <w:r w:rsidR="00DE3E82">
        <w:rPr>
          <w:b w:val="0"/>
          <w:noProof/>
          <w:sz w:val="18"/>
        </w:rPr>
        <w:t>68</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221</w:t>
      </w:r>
      <w:r>
        <w:rPr>
          <w:noProof/>
        </w:rPr>
        <w:tab/>
        <w:t>Consumer advisory warning</w:t>
      </w:r>
      <w:r w:rsidRPr="00292944">
        <w:rPr>
          <w:noProof/>
        </w:rPr>
        <w:tab/>
      </w:r>
      <w:r w:rsidRPr="00292944">
        <w:rPr>
          <w:noProof/>
        </w:rPr>
        <w:fldChar w:fldCharType="begin"/>
      </w:r>
      <w:r w:rsidRPr="00292944">
        <w:rPr>
          <w:noProof/>
        </w:rPr>
        <w:instrText xml:space="preserve"> PAGEREF _Toc170547915 \h </w:instrText>
      </w:r>
      <w:r w:rsidRPr="00292944">
        <w:rPr>
          <w:noProof/>
        </w:rPr>
      </w:r>
      <w:r w:rsidRPr="00292944">
        <w:rPr>
          <w:noProof/>
        </w:rPr>
        <w:fldChar w:fldCharType="separate"/>
      </w:r>
      <w:r w:rsidR="00DE3E82">
        <w:rPr>
          <w:noProof/>
        </w:rPr>
        <w:t>68</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222</w:t>
      </w:r>
      <w:r>
        <w:rPr>
          <w:noProof/>
        </w:rPr>
        <w:tab/>
        <w:t>Where to place the Consumer Advisory Warning</w:t>
      </w:r>
      <w:r w:rsidRPr="00292944">
        <w:rPr>
          <w:noProof/>
        </w:rPr>
        <w:tab/>
      </w:r>
      <w:r w:rsidRPr="00292944">
        <w:rPr>
          <w:noProof/>
        </w:rPr>
        <w:fldChar w:fldCharType="begin"/>
      </w:r>
      <w:r w:rsidRPr="00292944">
        <w:rPr>
          <w:noProof/>
        </w:rPr>
        <w:instrText xml:space="preserve"> PAGEREF _Toc170547916 \h </w:instrText>
      </w:r>
      <w:r w:rsidRPr="00292944">
        <w:rPr>
          <w:noProof/>
        </w:rPr>
      </w:r>
      <w:r w:rsidRPr="00292944">
        <w:rPr>
          <w:noProof/>
        </w:rPr>
        <w:fldChar w:fldCharType="separate"/>
      </w:r>
      <w:r w:rsidR="00DE3E82">
        <w:rPr>
          <w:noProof/>
        </w:rPr>
        <w:t>68</w:t>
      </w:r>
      <w:r w:rsidRPr="00292944">
        <w:rPr>
          <w:noProof/>
        </w:rPr>
        <w:fldChar w:fldCharType="end"/>
      </w:r>
    </w:p>
    <w:p w:rsidR="00292944" w:rsidRDefault="00292944">
      <w:pPr>
        <w:pStyle w:val="TOC2"/>
        <w:rPr>
          <w:rFonts w:asciiTheme="minorHAnsi" w:eastAsiaTheme="minorEastAsia" w:hAnsiTheme="minorHAnsi" w:cstheme="minorBidi"/>
          <w:b w:val="0"/>
          <w:noProof/>
          <w:kern w:val="0"/>
          <w:sz w:val="22"/>
          <w:szCs w:val="22"/>
        </w:rPr>
      </w:pPr>
      <w:r>
        <w:rPr>
          <w:noProof/>
        </w:rPr>
        <w:t>Part 3—Fees and costs in periodic statements</w:t>
      </w:r>
      <w:r w:rsidRPr="00292944">
        <w:rPr>
          <w:b w:val="0"/>
          <w:noProof/>
          <w:sz w:val="18"/>
        </w:rPr>
        <w:tab/>
      </w:r>
      <w:r w:rsidRPr="00292944">
        <w:rPr>
          <w:b w:val="0"/>
          <w:noProof/>
          <w:sz w:val="18"/>
        </w:rPr>
        <w:fldChar w:fldCharType="begin"/>
      </w:r>
      <w:r w:rsidRPr="00292944">
        <w:rPr>
          <w:b w:val="0"/>
          <w:noProof/>
          <w:sz w:val="18"/>
        </w:rPr>
        <w:instrText xml:space="preserve"> PAGEREF _Toc170547917 \h </w:instrText>
      </w:r>
      <w:r w:rsidRPr="00292944">
        <w:rPr>
          <w:b w:val="0"/>
          <w:noProof/>
          <w:sz w:val="18"/>
        </w:rPr>
      </w:r>
      <w:r w:rsidRPr="00292944">
        <w:rPr>
          <w:b w:val="0"/>
          <w:noProof/>
          <w:sz w:val="18"/>
        </w:rPr>
        <w:fldChar w:fldCharType="separate"/>
      </w:r>
      <w:r w:rsidR="00DE3E82">
        <w:rPr>
          <w:b w:val="0"/>
          <w:noProof/>
          <w:sz w:val="18"/>
        </w:rPr>
        <w:t>69</w:t>
      </w:r>
      <w:r w:rsidRPr="00292944">
        <w:rPr>
          <w:b w:val="0"/>
          <w:noProof/>
          <w:sz w:val="18"/>
        </w:rPr>
        <w:fldChar w:fldCharType="end"/>
      </w:r>
    </w:p>
    <w:p w:rsidR="00292944" w:rsidRDefault="00292944">
      <w:pPr>
        <w:pStyle w:val="TOC3"/>
        <w:rPr>
          <w:rFonts w:asciiTheme="minorHAnsi" w:eastAsiaTheme="minorEastAsia" w:hAnsiTheme="minorHAnsi" w:cstheme="minorBidi"/>
          <w:b w:val="0"/>
          <w:noProof/>
          <w:kern w:val="0"/>
          <w:szCs w:val="22"/>
        </w:rPr>
      </w:pPr>
      <w:r>
        <w:rPr>
          <w:noProof/>
        </w:rPr>
        <w:t>Division 1—Other Management Costs</w:t>
      </w:r>
      <w:r w:rsidRPr="00292944">
        <w:rPr>
          <w:b w:val="0"/>
          <w:noProof/>
          <w:sz w:val="18"/>
        </w:rPr>
        <w:tab/>
      </w:r>
      <w:r w:rsidRPr="00292944">
        <w:rPr>
          <w:b w:val="0"/>
          <w:noProof/>
          <w:sz w:val="18"/>
        </w:rPr>
        <w:fldChar w:fldCharType="begin"/>
      </w:r>
      <w:r w:rsidRPr="00292944">
        <w:rPr>
          <w:b w:val="0"/>
          <w:noProof/>
          <w:sz w:val="18"/>
        </w:rPr>
        <w:instrText xml:space="preserve"> PAGEREF _Toc170547918 \h </w:instrText>
      </w:r>
      <w:r w:rsidRPr="00292944">
        <w:rPr>
          <w:b w:val="0"/>
          <w:noProof/>
          <w:sz w:val="18"/>
        </w:rPr>
      </w:r>
      <w:r w:rsidRPr="00292944">
        <w:rPr>
          <w:b w:val="0"/>
          <w:noProof/>
          <w:sz w:val="18"/>
        </w:rPr>
        <w:fldChar w:fldCharType="separate"/>
      </w:r>
      <w:r w:rsidR="00DE3E82">
        <w:rPr>
          <w:b w:val="0"/>
          <w:noProof/>
          <w:sz w:val="18"/>
        </w:rPr>
        <w:t>69</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301</w:t>
      </w:r>
      <w:r>
        <w:rPr>
          <w:noProof/>
        </w:rPr>
        <w:tab/>
        <w:t>Indirect costs related to investment and administration of accounts</w:t>
      </w:r>
      <w:r w:rsidRPr="00292944">
        <w:rPr>
          <w:noProof/>
        </w:rPr>
        <w:tab/>
      </w:r>
      <w:r w:rsidRPr="00292944">
        <w:rPr>
          <w:noProof/>
        </w:rPr>
        <w:fldChar w:fldCharType="begin"/>
      </w:r>
      <w:r w:rsidRPr="00292944">
        <w:rPr>
          <w:noProof/>
        </w:rPr>
        <w:instrText xml:space="preserve"> PAGEREF _Toc170547919 \h </w:instrText>
      </w:r>
      <w:r w:rsidRPr="00292944">
        <w:rPr>
          <w:noProof/>
        </w:rPr>
      </w:r>
      <w:r w:rsidRPr="00292944">
        <w:rPr>
          <w:noProof/>
        </w:rPr>
        <w:fldChar w:fldCharType="separate"/>
      </w:r>
      <w:r w:rsidR="00DE3E82">
        <w:rPr>
          <w:noProof/>
        </w:rPr>
        <w:t>69</w:t>
      </w:r>
      <w:r w:rsidRPr="00292944">
        <w:rPr>
          <w:noProof/>
        </w:rPr>
        <w:fldChar w:fldCharType="end"/>
      </w:r>
    </w:p>
    <w:p w:rsidR="00292944" w:rsidRDefault="00292944">
      <w:pPr>
        <w:pStyle w:val="TOC3"/>
        <w:rPr>
          <w:rFonts w:asciiTheme="minorHAnsi" w:eastAsiaTheme="minorEastAsia" w:hAnsiTheme="minorHAnsi" w:cstheme="minorBidi"/>
          <w:b w:val="0"/>
          <w:noProof/>
          <w:kern w:val="0"/>
          <w:szCs w:val="22"/>
        </w:rPr>
      </w:pPr>
      <w:r>
        <w:rPr>
          <w:noProof/>
        </w:rPr>
        <w:t>Division 2—Total fees</w:t>
      </w:r>
      <w:r w:rsidRPr="00292944">
        <w:rPr>
          <w:b w:val="0"/>
          <w:noProof/>
          <w:sz w:val="18"/>
        </w:rPr>
        <w:tab/>
      </w:r>
      <w:r w:rsidRPr="00292944">
        <w:rPr>
          <w:b w:val="0"/>
          <w:noProof/>
          <w:sz w:val="18"/>
        </w:rPr>
        <w:fldChar w:fldCharType="begin"/>
      </w:r>
      <w:r w:rsidRPr="00292944">
        <w:rPr>
          <w:b w:val="0"/>
          <w:noProof/>
          <w:sz w:val="18"/>
        </w:rPr>
        <w:instrText xml:space="preserve"> PAGEREF _Toc170547920 \h </w:instrText>
      </w:r>
      <w:r w:rsidRPr="00292944">
        <w:rPr>
          <w:b w:val="0"/>
          <w:noProof/>
          <w:sz w:val="18"/>
        </w:rPr>
      </w:r>
      <w:r w:rsidRPr="00292944">
        <w:rPr>
          <w:b w:val="0"/>
          <w:noProof/>
          <w:sz w:val="18"/>
        </w:rPr>
        <w:fldChar w:fldCharType="separate"/>
      </w:r>
      <w:r w:rsidR="00DE3E82">
        <w:rPr>
          <w:b w:val="0"/>
          <w:noProof/>
          <w:sz w:val="18"/>
        </w:rPr>
        <w:t>70</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302</w:t>
      </w:r>
      <w:r>
        <w:rPr>
          <w:noProof/>
        </w:rPr>
        <w:tab/>
        <w:t>Total of fees in the periodic statement</w:t>
      </w:r>
      <w:r w:rsidRPr="00292944">
        <w:rPr>
          <w:noProof/>
        </w:rPr>
        <w:tab/>
      </w:r>
      <w:r w:rsidRPr="00292944">
        <w:rPr>
          <w:noProof/>
        </w:rPr>
        <w:fldChar w:fldCharType="begin"/>
      </w:r>
      <w:r w:rsidRPr="00292944">
        <w:rPr>
          <w:noProof/>
        </w:rPr>
        <w:instrText xml:space="preserve"> PAGEREF _Toc170547921 \h </w:instrText>
      </w:r>
      <w:r w:rsidRPr="00292944">
        <w:rPr>
          <w:noProof/>
        </w:rPr>
      </w:r>
      <w:r w:rsidRPr="00292944">
        <w:rPr>
          <w:noProof/>
        </w:rPr>
        <w:fldChar w:fldCharType="separate"/>
      </w:r>
      <w:r w:rsidR="00DE3E82">
        <w:rPr>
          <w:noProof/>
        </w:rPr>
        <w:t>70</w:t>
      </w:r>
      <w:r w:rsidRPr="00292944">
        <w:rPr>
          <w:noProof/>
        </w:rPr>
        <w:fldChar w:fldCharType="end"/>
      </w:r>
    </w:p>
    <w:p w:rsidR="00292944" w:rsidRDefault="00292944">
      <w:pPr>
        <w:pStyle w:val="TOC3"/>
        <w:rPr>
          <w:rFonts w:asciiTheme="minorHAnsi" w:eastAsiaTheme="minorEastAsia" w:hAnsiTheme="minorHAnsi" w:cstheme="minorBidi"/>
          <w:b w:val="0"/>
          <w:noProof/>
          <w:kern w:val="0"/>
          <w:szCs w:val="22"/>
        </w:rPr>
      </w:pPr>
      <w:r>
        <w:rPr>
          <w:noProof/>
        </w:rPr>
        <w:lastRenderedPageBreak/>
        <w:t>Division 3—Additional Explanation of Fees and Costs</w:t>
      </w:r>
      <w:r w:rsidRPr="00292944">
        <w:rPr>
          <w:b w:val="0"/>
          <w:noProof/>
          <w:sz w:val="18"/>
        </w:rPr>
        <w:tab/>
      </w:r>
      <w:r w:rsidRPr="00292944">
        <w:rPr>
          <w:b w:val="0"/>
          <w:noProof/>
          <w:sz w:val="18"/>
        </w:rPr>
        <w:fldChar w:fldCharType="begin"/>
      </w:r>
      <w:r w:rsidRPr="00292944">
        <w:rPr>
          <w:b w:val="0"/>
          <w:noProof/>
          <w:sz w:val="18"/>
        </w:rPr>
        <w:instrText xml:space="preserve"> PAGEREF _Toc170547922 \h </w:instrText>
      </w:r>
      <w:r w:rsidRPr="00292944">
        <w:rPr>
          <w:b w:val="0"/>
          <w:noProof/>
          <w:sz w:val="18"/>
        </w:rPr>
      </w:r>
      <w:r w:rsidRPr="00292944">
        <w:rPr>
          <w:b w:val="0"/>
          <w:noProof/>
          <w:sz w:val="18"/>
        </w:rPr>
        <w:fldChar w:fldCharType="separate"/>
      </w:r>
      <w:r w:rsidR="00DE3E82">
        <w:rPr>
          <w:b w:val="0"/>
          <w:noProof/>
          <w:sz w:val="18"/>
        </w:rPr>
        <w:t>71</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303</w:t>
      </w:r>
      <w:r>
        <w:rPr>
          <w:noProof/>
        </w:rPr>
        <w:tab/>
        <w:t>Matters to be included as additional explanation of fees and costs</w:t>
      </w:r>
      <w:r w:rsidRPr="00292944">
        <w:rPr>
          <w:noProof/>
        </w:rPr>
        <w:tab/>
      </w:r>
      <w:r w:rsidRPr="00292944">
        <w:rPr>
          <w:noProof/>
        </w:rPr>
        <w:fldChar w:fldCharType="begin"/>
      </w:r>
      <w:r w:rsidRPr="00292944">
        <w:rPr>
          <w:noProof/>
        </w:rPr>
        <w:instrText xml:space="preserve"> PAGEREF _Toc170547923 \h </w:instrText>
      </w:r>
      <w:r w:rsidRPr="00292944">
        <w:rPr>
          <w:noProof/>
        </w:rPr>
      </w:r>
      <w:r w:rsidRPr="00292944">
        <w:rPr>
          <w:noProof/>
        </w:rPr>
        <w:fldChar w:fldCharType="separate"/>
      </w:r>
      <w:r w:rsidR="00DE3E82">
        <w:rPr>
          <w:noProof/>
        </w:rPr>
        <w:t>71</w:t>
      </w:r>
      <w:r w:rsidRPr="00292944">
        <w:rPr>
          <w:noProof/>
        </w:rPr>
        <w:fldChar w:fldCharType="end"/>
      </w:r>
    </w:p>
    <w:p w:rsidR="00292944" w:rsidRDefault="00292944" w:rsidP="00292944">
      <w:pPr>
        <w:pStyle w:val="TOC1"/>
        <w:keepNext w:val="0"/>
        <w:keepLines w:val="0"/>
        <w:rPr>
          <w:rFonts w:asciiTheme="minorHAnsi" w:eastAsiaTheme="minorEastAsia" w:hAnsiTheme="minorHAnsi" w:cstheme="minorBidi"/>
          <w:b w:val="0"/>
          <w:noProof/>
          <w:kern w:val="0"/>
          <w:sz w:val="22"/>
          <w:szCs w:val="22"/>
        </w:rPr>
      </w:pPr>
      <w:r>
        <w:rPr>
          <w:noProof/>
        </w:rPr>
        <w:t>Schedule 10A—Modifications of Part 7.9 of the Act</w:t>
      </w:r>
      <w:r w:rsidRPr="00292944">
        <w:rPr>
          <w:b w:val="0"/>
          <w:noProof/>
          <w:sz w:val="18"/>
        </w:rPr>
        <w:tab/>
      </w:r>
      <w:r w:rsidRPr="00292944">
        <w:rPr>
          <w:b w:val="0"/>
          <w:noProof/>
          <w:sz w:val="18"/>
        </w:rPr>
        <w:fldChar w:fldCharType="begin"/>
      </w:r>
      <w:r w:rsidRPr="00292944">
        <w:rPr>
          <w:b w:val="0"/>
          <w:noProof/>
          <w:sz w:val="18"/>
        </w:rPr>
        <w:instrText xml:space="preserve"> PAGEREF _Toc170547924 \h </w:instrText>
      </w:r>
      <w:r w:rsidRPr="00292944">
        <w:rPr>
          <w:b w:val="0"/>
          <w:noProof/>
          <w:sz w:val="18"/>
        </w:rPr>
      </w:r>
      <w:r w:rsidRPr="00292944">
        <w:rPr>
          <w:b w:val="0"/>
          <w:noProof/>
          <w:sz w:val="18"/>
        </w:rPr>
        <w:fldChar w:fldCharType="separate"/>
      </w:r>
      <w:r w:rsidR="00DE3E82">
        <w:rPr>
          <w:b w:val="0"/>
          <w:noProof/>
          <w:sz w:val="18"/>
        </w:rPr>
        <w:t>72</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1—Modifications relating to sub</w:t>
      </w:r>
      <w:r>
        <w:rPr>
          <w:noProof/>
        </w:rPr>
        <w:noBreakHyphen/>
        <w:t>plans</w:t>
      </w:r>
      <w:r w:rsidRPr="00292944">
        <w:rPr>
          <w:b w:val="0"/>
          <w:noProof/>
          <w:sz w:val="18"/>
        </w:rPr>
        <w:tab/>
      </w:r>
      <w:r w:rsidRPr="00292944">
        <w:rPr>
          <w:b w:val="0"/>
          <w:noProof/>
          <w:sz w:val="18"/>
        </w:rPr>
        <w:fldChar w:fldCharType="begin"/>
      </w:r>
      <w:r w:rsidRPr="00292944">
        <w:rPr>
          <w:b w:val="0"/>
          <w:noProof/>
          <w:sz w:val="18"/>
        </w:rPr>
        <w:instrText xml:space="preserve"> PAGEREF _Toc170547925 \h </w:instrText>
      </w:r>
      <w:r w:rsidRPr="00292944">
        <w:rPr>
          <w:b w:val="0"/>
          <w:noProof/>
          <w:sz w:val="18"/>
        </w:rPr>
      </w:r>
      <w:r w:rsidRPr="00292944">
        <w:rPr>
          <w:b w:val="0"/>
          <w:noProof/>
          <w:sz w:val="18"/>
        </w:rPr>
        <w:fldChar w:fldCharType="separate"/>
      </w:r>
      <w:r w:rsidR="00DE3E82">
        <w:rPr>
          <w:b w:val="0"/>
          <w:noProof/>
          <w:sz w:val="18"/>
        </w:rPr>
        <w:t>72</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2—Modifications relating to Product Disclosure Statements for RSAs</w:t>
      </w:r>
      <w:r w:rsidRPr="00292944">
        <w:rPr>
          <w:b w:val="0"/>
          <w:noProof/>
          <w:sz w:val="18"/>
        </w:rPr>
        <w:tab/>
      </w:r>
      <w:r w:rsidRPr="00292944">
        <w:rPr>
          <w:b w:val="0"/>
          <w:noProof/>
          <w:sz w:val="18"/>
        </w:rPr>
        <w:fldChar w:fldCharType="begin"/>
      </w:r>
      <w:r w:rsidRPr="00292944">
        <w:rPr>
          <w:b w:val="0"/>
          <w:noProof/>
          <w:sz w:val="18"/>
        </w:rPr>
        <w:instrText xml:space="preserve"> PAGEREF _Toc170547926 \h </w:instrText>
      </w:r>
      <w:r w:rsidRPr="00292944">
        <w:rPr>
          <w:b w:val="0"/>
          <w:noProof/>
          <w:sz w:val="18"/>
        </w:rPr>
      </w:r>
      <w:r w:rsidRPr="00292944">
        <w:rPr>
          <w:b w:val="0"/>
          <w:noProof/>
          <w:sz w:val="18"/>
        </w:rPr>
        <w:fldChar w:fldCharType="separate"/>
      </w:r>
      <w:r w:rsidR="00DE3E82">
        <w:rPr>
          <w:b w:val="0"/>
          <w:noProof/>
          <w:sz w:val="18"/>
        </w:rPr>
        <w:t>73</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3—Modifications relating to insurance options under contract associated with superannuation interest</w:t>
      </w:r>
      <w:r w:rsidRPr="00292944">
        <w:rPr>
          <w:b w:val="0"/>
          <w:noProof/>
          <w:sz w:val="18"/>
        </w:rPr>
        <w:tab/>
      </w:r>
      <w:r w:rsidRPr="00292944">
        <w:rPr>
          <w:b w:val="0"/>
          <w:noProof/>
          <w:sz w:val="18"/>
        </w:rPr>
        <w:fldChar w:fldCharType="begin"/>
      </w:r>
      <w:r w:rsidRPr="00292944">
        <w:rPr>
          <w:b w:val="0"/>
          <w:noProof/>
          <w:sz w:val="18"/>
        </w:rPr>
        <w:instrText xml:space="preserve"> PAGEREF _Toc170547927 \h </w:instrText>
      </w:r>
      <w:r w:rsidRPr="00292944">
        <w:rPr>
          <w:b w:val="0"/>
          <w:noProof/>
          <w:sz w:val="18"/>
        </w:rPr>
      </w:r>
      <w:r w:rsidRPr="00292944">
        <w:rPr>
          <w:b w:val="0"/>
          <w:noProof/>
          <w:sz w:val="18"/>
        </w:rPr>
        <w:fldChar w:fldCharType="separate"/>
      </w:r>
      <w:r w:rsidR="00DE3E82">
        <w:rPr>
          <w:b w:val="0"/>
          <w:noProof/>
          <w:sz w:val="18"/>
        </w:rPr>
        <w:t>74</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5A—Modifications for standard margin lending facilities</w:t>
      </w:r>
      <w:r w:rsidRPr="00292944">
        <w:rPr>
          <w:b w:val="0"/>
          <w:noProof/>
          <w:sz w:val="18"/>
        </w:rPr>
        <w:tab/>
      </w:r>
      <w:r w:rsidRPr="00292944">
        <w:rPr>
          <w:b w:val="0"/>
          <w:noProof/>
          <w:sz w:val="18"/>
        </w:rPr>
        <w:fldChar w:fldCharType="begin"/>
      </w:r>
      <w:r w:rsidRPr="00292944">
        <w:rPr>
          <w:b w:val="0"/>
          <w:noProof/>
          <w:sz w:val="18"/>
        </w:rPr>
        <w:instrText xml:space="preserve"> PAGEREF _Toc170547928 \h </w:instrText>
      </w:r>
      <w:r w:rsidRPr="00292944">
        <w:rPr>
          <w:b w:val="0"/>
          <w:noProof/>
          <w:sz w:val="18"/>
        </w:rPr>
      </w:r>
      <w:r w:rsidRPr="00292944">
        <w:rPr>
          <w:b w:val="0"/>
          <w:noProof/>
          <w:sz w:val="18"/>
        </w:rPr>
        <w:fldChar w:fldCharType="separate"/>
      </w:r>
      <w:r w:rsidR="00DE3E82">
        <w:rPr>
          <w:b w:val="0"/>
          <w:noProof/>
          <w:sz w:val="18"/>
        </w:rPr>
        <w:t>75</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5B—Modifications for superannuation products to which Subdivision 4.2B of Division 4 of Part 7.9 applies</w:t>
      </w:r>
      <w:r w:rsidRPr="00292944">
        <w:rPr>
          <w:b w:val="0"/>
          <w:noProof/>
          <w:sz w:val="18"/>
        </w:rPr>
        <w:tab/>
      </w:r>
      <w:r w:rsidRPr="00292944">
        <w:rPr>
          <w:b w:val="0"/>
          <w:noProof/>
          <w:sz w:val="18"/>
        </w:rPr>
        <w:fldChar w:fldCharType="begin"/>
      </w:r>
      <w:r w:rsidRPr="00292944">
        <w:rPr>
          <w:b w:val="0"/>
          <w:noProof/>
          <w:sz w:val="18"/>
        </w:rPr>
        <w:instrText xml:space="preserve"> PAGEREF _Toc170547929 \h </w:instrText>
      </w:r>
      <w:r w:rsidRPr="00292944">
        <w:rPr>
          <w:b w:val="0"/>
          <w:noProof/>
          <w:sz w:val="18"/>
        </w:rPr>
      </w:r>
      <w:r w:rsidRPr="00292944">
        <w:rPr>
          <w:b w:val="0"/>
          <w:noProof/>
          <w:sz w:val="18"/>
        </w:rPr>
        <w:fldChar w:fldCharType="separate"/>
      </w:r>
      <w:r w:rsidR="00DE3E82">
        <w:rPr>
          <w:b w:val="0"/>
          <w:noProof/>
          <w:sz w:val="18"/>
        </w:rPr>
        <w:t>77</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5C—Modifications for simple managed investment scheme</w:t>
      </w:r>
      <w:r w:rsidRPr="00292944">
        <w:rPr>
          <w:b w:val="0"/>
          <w:noProof/>
          <w:sz w:val="18"/>
        </w:rPr>
        <w:tab/>
      </w:r>
      <w:r w:rsidRPr="00292944">
        <w:rPr>
          <w:b w:val="0"/>
          <w:noProof/>
          <w:sz w:val="18"/>
        </w:rPr>
        <w:fldChar w:fldCharType="begin"/>
      </w:r>
      <w:r w:rsidRPr="00292944">
        <w:rPr>
          <w:b w:val="0"/>
          <w:noProof/>
          <w:sz w:val="18"/>
        </w:rPr>
        <w:instrText xml:space="preserve"> PAGEREF _Toc170547930 \h </w:instrText>
      </w:r>
      <w:r w:rsidRPr="00292944">
        <w:rPr>
          <w:b w:val="0"/>
          <w:noProof/>
          <w:sz w:val="18"/>
        </w:rPr>
      </w:r>
      <w:r w:rsidRPr="00292944">
        <w:rPr>
          <w:b w:val="0"/>
          <w:noProof/>
          <w:sz w:val="18"/>
        </w:rPr>
        <w:fldChar w:fldCharType="separate"/>
      </w:r>
      <w:r w:rsidR="00DE3E82">
        <w:rPr>
          <w:b w:val="0"/>
          <w:noProof/>
          <w:sz w:val="18"/>
        </w:rPr>
        <w:t>79</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5D—Modifications for simple sub</w:t>
      </w:r>
      <w:r>
        <w:rPr>
          <w:noProof/>
        </w:rPr>
        <w:noBreakHyphen/>
        <w:t>fund product</w:t>
      </w:r>
      <w:r w:rsidRPr="00292944">
        <w:rPr>
          <w:b w:val="0"/>
          <w:noProof/>
          <w:sz w:val="18"/>
        </w:rPr>
        <w:tab/>
      </w:r>
      <w:r w:rsidRPr="00292944">
        <w:rPr>
          <w:b w:val="0"/>
          <w:noProof/>
          <w:sz w:val="18"/>
        </w:rPr>
        <w:fldChar w:fldCharType="begin"/>
      </w:r>
      <w:r w:rsidRPr="00292944">
        <w:rPr>
          <w:b w:val="0"/>
          <w:noProof/>
          <w:sz w:val="18"/>
        </w:rPr>
        <w:instrText xml:space="preserve"> PAGEREF _Toc170547931 \h </w:instrText>
      </w:r>
      <w:r w:rsidRPr="00292944">
        <w:rPr>
          <w:b w:val="0"/>
          <w:noProof/>
          <w:sz w:val="18"/>
        </w:rPr>
      </w:r>
      <w:r w:rsidRPr="00292944">
        <w:rPr>
          <w:b w:val="0"/>
          <w:noProof/>
          <w:sz w:val="18"/>
        </w:rPr>
        <w:fldChar w:fldCharType="separate"/>
      </w:r>
      <w:r w:rsidR="00DE3E82">
        <w:rPr>
          <w:b w:val="0"/>
          <w:noProof/>
          <w:sz w:val="18"/>
        </w:rPr>
        <w:t>81</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6—Modifications relating to application forms and Product Disclosure Statements for standard employer</w:t>
      </w:r>
      <w:r>
        <w:rPr>
          <w:noProof/>
        </w:rPr>
        <w:noBreakHyphen/>
        <w:t>sponsor arrangements and successor funds</w:t>
      </w:r>
      <w:r w:rsidRPr="00292944">
        <w:rPr>
          <w:b w:val="0"/>
          <w:noProof/>
          <w:sz w:val="18"/>
        </w:rPr>
        <w:tab/>
      </w:r>
      <w:r w:rsidRPr="00292944">
        <w:rPr>
          <w:b w:val="0"/>
          <w:noProof/>
          <w:sz w:val="18"/>
        </w:rPr>
        <w:fldChar w:fldCharType="begin"/>
      </w:r>
      <w:r w:rsidRPr="00292944">
        <w:rPr>
          <w:b w:val="0"/>
          <w:noProof/>
          <w:sz w:val="18"/>
        </w:rPr>
        <w:instrText xml:space="preserve"> PAGEREF _Toc170547932 \h </w:instrText>
      </w:r>
      <w:r w:rsidRPr="00292944">
        <w:rPr>
          <w:b w:val="0"/>
          <w:noProof/>
          <w:sz w:val="18"/>
        </w:rPr>
      </w:r>
      <w:r w:rsidRPr="00292944">
        <w:rPr>
          <w:b w:val="0"/>
          <w:noProof/>
          <w:sz w:val="18"/>
        </w:rPr>
        <w:fldChar w:fldCharType="separate"/>
      </w:r>
      <w:r w:rsidR="00DE3E82">
        <w:rPr>
          <w:b w:val="0"/>
          <w:noProof/>
          <w:sz w:val="18"/>
        </w:rPr>
        <w:t>83</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6A—Modifications relating to MySuper measures</w:t>
      </w:r>
      <w:r w:rsidRPr="00292944">
        <w:rPr>
          <w:b w:val="0"/>
          <w:noProof/>
          <w:sz w:val="18"/>
        </w:rPr>
        <w:tab/>
      </w:r>
      <w:r w:rsidRPr="00292944">
        <w:rPr>
          <w:b w:val="0"/>
          <w:noProof/>
          <w:sz w:val="18"/>
        </w:rPr>
        <w:fldChar w:fldCharType="begin"/>
      </w:r>
      <w:r w:rsidRPr="00292944">
        <w:rPr>
          <w:b w:val="0"/>
          <w:noProof/>
          <w:sz w:val="18"/>
        </w:rPr>
        <w:instrText xml:space="preserve"> PAGEREF _Toc170547933 \h </w:instrText>
      </w:r>
      <w:r w:rsidRPr="00292944">
        <w:rPr>
          <w:b w:val="0"/>
          <w:noProof/>
          <w:sz w:val="18"/>
        </w:rPr>
      </w:r>
      <w:r w:rsidRPr="00292944">
        <w:rPr>
          <w:b w:val="0"/>
          <w:noProof/>
          <w:sz w:val="18"/>
        </w:rPr>
        <w:fldChar w:fldCharType="separate"/>
      </w:r>
      <w:r w:rsidR="00DE3E82">
        <w:rPr>
          <w:b w:val="0"/>
          <w:noProof/>
          <w:sz w:val="18"/>
        </w:rPr>
        <w:t>84</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7—Modifications relating to life pensioners, members subject to compulsory protection of small amounts and members with small amounts that are expected to grow quickly</w:t>
      </w:r>
      <w:r w:rsidRPr="00292944">
        <w:rPr>
          <w:b w:val="0"/>
          <w:noProof/>
          <w:sz w:val="18"/>
        </w:rPr>
        <w:tab/>
      </w:r>
      <w:r w:rsidRPr="00292944">
        <w:rPr>
          <w:b w:val="0"/>
          <w:noProof/>
          <w:sz w:val="18"/>
        </w:rPr>
        <w:fldChar w:fldCharType="begin"/>
      </w:r>
      <w:r w:rsidRPr="00292944">
        <w:rPr>
          <w:b w:val="0"/>
          <w:noProof/>
          <w:sz w:val="18"/>
        </w:rPr>
        <w:instrText xml:space="preserve"> PAGEREF _Toc170547934 \h </w:instrText>
      </w:r>
      <w:r w:rsidRPr="00292944">
        <w:rPr>
          <w:b w:val="0"/>
          <w:noProof/>
          <w:sz w:val="18"/>
        </w:rPr>
      </w:r>
      <w:r w:rsidRPr="00292944">
        <w:rPr>
          <w:b w:val="0"/>
          <w:noProof/>
          <w:sz w:val="18"/>
        </w:rPr>
        <w:fldChar w:fldCharType="separate"/>
      </w:r>
      <w:r w:rsidR="00DE3E82">
        <w:rPr>
          <w:b w:val="0"/>
          <w:noProof/>
          <w:sz w:val="18"/>
        </w:rPr>
        <w:t>85</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8—Modifications relating to periodic statements for RSA providers</w:t>
      </w:r>
      <w:r w:rsidRPr="00292944">
        <w:rPr>
          <w:b w:val="0"/>
          <w:noProof/>
          <w:sz w:val="18"/>
        </w:rPr>
        <w:tab/>
      </w:r>
      <w:r w:rsidRPr="00292944">
        <w:rPr>
          <w:b w:val="0"/>
          <w:noProof/>
          <w:sz w:val="18"/>
        </w:rPr>
        <w:fldChar w:fldCharType="begin"/>
      </w:r>
      <w:r w:rsidRPr="00292944">
        <w:rPr>
          <w:b w:val="0"/>
          <w:noProof/>
          <w:sz w:val="18"/>
        </w:rPr>
        <w:instrText xml:space="preserve"> PAGEREF _Toc170547935 \h </w:instrText>
      </w:r>
      <w:r w:rsidRPr="00292944">
        <w:rPr>
          <w:b w:val="0"/>
          <w:noProof/>
          <w:sz w:val="18"/>
        </w:rPr>
      </w:r>
      <w:r w:rsidRPr="00292944">
        <w:rPr>
          <w:b w:val="0"/>
          <w:noProof/>
          <w:sz w:val="18"/>
        </w:rPr>
        <w:fldChar w:fldCharType="separate"/>
      </w:r>
      <w:r w:rsidR="00DE3E82">
        <w:rPr>
          <w:b w:val="0"/>
          <w:noProof/>
          <w:sz w:val="18"/>
        </w:rPr>
        <w:t>87</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9—Modifications relating to periodic statements for superannuation entities and RSA providers</w:t>
      </w:r>
      <w:r w:rsidRPr="00292944">
        <w:rPr>
          <w:b w:val="0"/>
          <w:noProof/>
          <w:sz w:val="18"/>
        </w:rPr>
        <w:tab/>
      </w:r>
      <w:r w:rsidRPr="00292944">
        <w:rPr>
          <w:b w:val="0"/>
          <w:noProof/>
          <w:sz w:val="18"/>
        </w:rPr>
        <w:fldChar w:fldCharType="begin"/>
      </w:r>
      <w:r w:rsidRPr="00292944">
        <w:rPr>
          <w:b w:val="0"/>
          <w:noProof/>
          <w:sz w:val="18"/>
        </w:rPr>
        <w:instrText xml:space="preserve"> PAGEREF _Toc170547936 \h </w:instrText>
      </w:r>
      <w:r w:rsidRPr="00292944">
        <w:rPr>
          <w:b w:val="0"/>
          <w:noProof/>
          <w:sz w:val="18"/>
        </w:rPr>
      </w:r>
      <w:r w:rsidRPr="00292944">
        <w:rPr>
          <w:b w:val="0"/>
          <w:noProof/>
          <w:sz w:val="18"/>
        </w:rPr>
        <w:fldChar w:fldCharType="separate"/>
      </w:r>
      <w:r w:rsidR="00DE3E82">
        <w:rPr>
          <w:b w:val="0"/>
          <w:noProof/>
          <w:sz w:val="18"/>
        </w:rPr>
        <w:t>89</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10—Modifications relating to ongoing disclosure of material changes and significant events in relation to superannuation products and RSAs</w:t>
      </w:r>
      <w:r w:rsidRPr="00292944">
        <w:rPr>
          <w:b w:val="0"/>
          <w:noProof/>
          <w:sz w:val="18"/>
        </w:rPr>
        <w:tab/>
      </w:r>
      <w:r w:rsidRPr="00292944">
        <w:rPr>
          <w:b w:val="0"/>
          <w:noProof/>
          <w:sz w:val="18"/>
        </w:rPr>
        <w:fldChar w:fldCharType="begin"/>
      </w:r>
      <w:r w:rsidRPr="00292944">
        <w:rPr>
          <w:b w:val="0"/>
          <w:noProof/>
          <w:sz w:val="18"/>
        </w:rPr>
        <w:instrText xml:space="preserve"> PAGEREF _Toc170547937 \h </w:instrText>
      </w:r>
      <w:r w:rsidRPr="00292944">
        <w:rPr>
          <w:b w:val="0"/>
          <w:noProof/>
          <w:sz w:val="18"/>
        </w:rPr>
      </w:r>
      <w:r w:rsidRPr="00292944">
        <w:rPr>
          <w:b w:val="0"/>
          <w:noProof/>
          <w:sz w:val="18"/>
        </w:rPr>
        <w:fldChar w:fldCharType="separate"/>
      </w:r>
      <w:r w:rsidR="00DE3E82">
        <w:rPr>
          <w:b w:val="0"/>
          <w:noProof/>
          <w:sz w:val="18"/>
        </w:rPr>
        <w:t>90</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11—Modifications relating to charges for information requested</w:t>
      </w:r>
      <w:r w:rsidRPr="00292944">
        <w:rPr>
          <w:b w:val="0"/>
          <w:noProof/>
          <w:sz w:val="18"/>
        </w:rPr>
        <w:tab/>
      </w:r>
      <w:r w:rsidRPr="00292944">
        <w:rPr>
          <w:b w:val="0"/>
          <w:noProof/>
          <w:sz w:val="18"/>
        </w:rPr>
        <w:fldChar w:fldCharType="begin"/>
      </w:r>
      <w:r w:rsidRPr="00292944">
        <w:rPr>
          <w:b w:val="0"/>
          <w:noProof/>
          <w:sz w:val="18"/>
        </w:rPr>
        <w:instrText xml:space="preserve"> PAGEREF _Toc170547938 \h </w:instrText>
      </w:r>
      <w:r w:rsidRPr="00292944">
        <w:rPr>
          <w:b w:val="0"/>
          <w:noProof/>
          <w:sz w:val="18"/>
        </w:rPr>
      </w:r>
      <w:r w:rsidRPr="00292944">
        <w:rPr>
          <w:b w:val="0"/>
          <w:noProof/>
          <w:sz w:val="18"/>
        </w:rPr>
        <w:fldChar w:fldCharType="separate"/>
      </w:r>
      <w:r w:rsidR="00DE3E82">
        <w:rPr>
          <w:b w:val="0"/>
          <w:noProof/>
          <w:sz w:val="18"/>
        </w:rPr>
        <w:t>92</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12—Modifications relating to information when member leaves a fund</w:t>
      </w:r>
      <w:r w:rsidRPr="00292944">
        <w:rPr>
          <w:b w:val="0"/>
          <w:noProof/>
          <w:sz w:val="18"/>
        </w:rPr>
        <w:tab/>
      </w:r>
      <w:r w:rsidRPr="00292944">
        <w:rPr>
          <w:b w:val="0"/>
          <w:noProof/>
          <w:sz w:val="18"/>
        </w:rPr>
        <w:fldChar w:fldCharType="begin"/>
      </w:r>
      <w:r w:rsidRPr="00292944">
        <w:rPr>
          <w:b w:val="0"/>
          <w:noProof/>
          <w:sz w:val="18"/>
        </w:rPr>
        <w:instrText xml:space="preserve"> PAGEREF _Toc170547939 \h </w:instrText>
      </w:r>
      <w:r w:rsidRPr="00292944">
        <w:rPr>
          <w:b w:val="0"/>
          <w:noProof/>
          <w:sz w:val="18"/>
        </w:rPr>
      </w:r>
      <w:r w:rsidRPr="00292944">
        <w:rPr>
          <w:b w:val="0"/>
          <w:noProof/>
          <w:sz w:val="18"/>
        </w:rPr>
        <w:fldChar w:fldCharType="separate"/>
      </w:r>
      <w:r w:rsidR="00DE3E82">
        <w:rPr>
          <w:b w:val="0"/>
          <w:noProof/>
          <w:sz w:val="18"/>
        </w:rPr>
        <w:t>93</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13—Modifications relating to exceptions to exit reporting period provisions</w:t>
      </w:r>
      <w:r w:rsidRPr="00292944">
        <w:rPr>
          <w:b w:val="0"/>
          <w:noProof/>
          <w:sz w:val="18"/>
        </w:rPr>
        <w:tab/>
      </w:r>
      <w:r w:rsidRPr="00292944">
        <w:rPr>
          <w:b w:val="0"/>
          <w:noProof/>
          <w:sz w:val="18"/>
        </w:rPr>
        <w:fldChar w:fldCharType="begin"/>
      </w:r>
      <w:r w:rsidRPr="00292944">
        <w:rPr>
          <w:b w:val="0"/>
          <w:noProof/>
          <w:sz w:val="18"/>
        </w:rPr>
        <w:instrText xml:space="preserve"> PAGEREF _Toc170547940 \h </w:instrText>
      </w:r>
      <w:r w:rsidRPr="00292944">
        <w:rPr>
          <w:b w:val="0"/>
          <w:noProof/>
          <w:sz w:val="18"/>
        </w:rPr>
      </w:r>
      <w:r w:rsidRPr="00292944">
        <w:rPr>
          <w:b w:val="0"/>
          <w:noProof/>
          <w:sz w:val="18"/>
        </w:rPr>
        <w:fldChar w:fldCharType="separate"/>
      </w:r>
      <w:r w:rsidR="00DE3E82">
        <w:rPr>
          <w:b w:val="0"/>
          <w:noProof/>
          <w:sz w:val="18"/>
        </w:rPr>
        <w:t>94</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14—Modifications relating to obligation to give information about financial products</w:t>
      </w:r>
      <w:r w:rsidRPr="00292944">
        <w:rPr>
          <w:b w:val="0"/>
          <w:noProof/>
          <w:sz w:val="18"/>
        </w:rPr>
        <w:tab/>
      </w:r>
      <w:r w:rsidRPr="00292944">
        <w:rPr>
          <w:b w:val="0"/>
          <w:noProof/>
          <w:sz w:val="18"/>
        </w:rPr>
        <w:fldChar w:fldCharType="begin"/>
      </w:r>
      <w:r w:rsidRPr="00292944">
        <w:rPr>
          <w:b w:val="0"/>
          <w:noProof/>
          <w:sz w:val="18"/>
        </w:rPr>
        <w:instrText xml:space="preserve"> PAGEREF _Toc170547941 \h </w:instrText>
      </w:r>
      <w:r w:rsidRPr="00292944">
        <w:rPr>
          <w:b w:val="0"/>
          <w:noProof/>
          <w:sz w:val="18"/>
        </w:rPr>
      </w:r>
      <w:r w:rsidRPr="00292944">
        <w:rPr>
          <w:b w:val="0"/>
          <w:noProof/>
          <w:sz w:val="18"/>
        </w:rPr>
        <w:fldChar w:fldCharType="separate"/>
      </w:r>
      <w:r w:rsidR="00DE3E82">
        <w:rPr>
          <w:b w:val="0"/>
          <w:noProof/>
          <w:sz w:val="18"/>
        </w:rPr>
        <w:t>95</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15—Modifications for confirmation of transactions</w:t>
      </w:r>
      <w:r w:rsidRPr="00292944">
        <w:rPr>
          <w:b w:val="0"/>
          <w:noProof/>
          <w:sz w:val="18"/>
        </w:rPr>
        <w:tab/>
      </w:r>
      <w:r w:rsidRPr="00292944">
        <w:rPr>
          <w:b w:val="0"/>
          <w:noProof/>
          <w:sz w:val="18"/>
        </w:rPr>
        <w:fldChar w:fldCharType="begin"/>
      </w:r>
      <w:r w:rsidRPr="00292944">
        <w:rPr>
          <w:b w:val="0"/>
          <w:noProof/>
          <w:sz w:val="18"/>
        </w:rPr>
        <w:instrText xml:space="preserve"> PAGEREF _Toc170547942 \h </w:instrText>
      </w:r>
      <w:r w:rsidRPr="00292944">
        <w:rPr>
          <w:b w:val="0"/>
          <w:noProof/>
          <w:sz w:val="18"/>
        </w:rPr>
      </w:r>
      <w:r w:rsidRPr="00292944">
        <w:rPr>
          <w:b w:val="0"/>
          <w:noProof/>
          <w:sz w:val="18"/>
        </w:rPr>
        <w:fldChar w:fldCharType="separate"/>
      </w:r>
      <w:r w:rsidR="00DE3E82">
        <w:rPr>
          <w:b w:val="0"/>
          <w:noProof/>
          <w:sz w:val="18"/>
        </w:rPr>
        <w:t>97</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16—Modifications relating to reporting periods</w:t>
      </w:r>
      <w:r w:rsidRPr="00292944">
        <w:rPr>
          <w:b w:val="0"/>
          <w:noProof/>
          <w:sz w:val="18"/>
        </w:rPr>
        <w:tab/>
      </w:r>
      <w:r w:rsidRPr="00292944">
        <w:rPr>
          <w:b w:val="0"/>
          <w:noProof/>
          <w:sz w:val="18"/>
        </w:rPr>
        <w:fldChar w:fldCharType="begin"/>
      </w:r>
      <w:r w:rsidRPr="00292944">
        <w:rPr>
          <w:b w:val="0"/>
          <w:noProof/>
          <w:sz w:val="18"/>
        </w:rPr>
        <w:instrText xml:space="preserve"> PAGEREF _Toc170547943 \h </w:instrText>
      </w:r>
      <w:r w:rsidRPr="00292944">
        <w:rPr>
          <w:b w:val="0"/>
          <w:noProof/>
          <w:sz w:val="18"/>
        </w:rPr>
      </w:r>
      <w:r w:rsidRPr="00292944">
        <w:rPr>
          <w:b w:val="0"/>
          <w:noProof/>
          <w:sz w:val="18"/>
        </w:rPr>
        <w:fldChar w:fldCharType="separate"/>
      </w:r>
      <w:r w:rsidR="00DE3E82">
        <w:rPr>
          <w:b w:val="0"/>
          <w:noProof/>
          <w:sz w:val="18"/>
        </w:rPr>
        <w:t>98</w:t>
      </w:r>
      <w:r w:rsidRPr="00292944">
        <w:rPr>
          <w:b w:val="0"/>
          <w:noProof/>
          <w:sz w:val="18"/>
        </w:rPr>
        <w:fldChar w:fldCharType="end"/>
      </w:r>
    </w:p>
    <w:p w:rsidR="00292944" w:rsidRDefault="00292944" w:rsidP="00292944">
      <w:pPr>
        <w:pStyle w:val="TOC2"/>
        <w:keepNext w:val="0"/>
        <w:keepLines w:val="0"/>
        <w:rPr>
          <w:rFonts w:asciiTheme="minorHAnsi" w:eastAsiaTheme="minorEastAsia" w:hAnsiTheme="minorHAnsi" w:cstheme="minorBidi"/>
          <w:b w:val="0"/>
          <w:noProof/>
          <w:kern w:val="0"/>
          <w:sz w:val="22"/>
          <w:szCs w:val="22"/>
        </w:rPr>
      </w:pPr>
      <w:r>
        <w:rPr>
          <w:noProof/>
        </w:rPr>
        <w:t>Part 17—Modifications relating to application forms for specified superannuation products</w:t>
      </w:r>
      <w:r w:rsidRPr="00292944">
        <w:rPr>
          <w:b w:val="0"/>
          <w:noProof/>
          <w:sz w:val="18"/>
        </w:rPr>
        <w:tab/>
      </w:r>
      <w:r w:rsidRPr="00292944">
        <w:rPr>
          <w:b w:val="0"/>
          <w:noProof/>
          <w:sz w:val="18"/>
        </w:rPr>
        <w:fldChar w:fldCharType="begin"/>
      </w:r>
      <w:r w:rsidRPr="00292944">
        <w:rPr>
          <w:b w:val="0"/>
          <w:noProof/>
          <w:sz w:val="18"/>
        </w:rPr>
        <w:instrText xml:space="preserve"> PAGEREF _Toc170547944 \h </w:instrText>
      </w:r>
      <w:r w:rsidRPr="00292944">
        <w:rPr>
          <w:b w:val="0"/>
          <w:noProof/>
          <w:sz w:val="18"/>
        </w:rPr>
      </w:r>
      <w:r w:rsidRPr="00292944">
        <w:rPr>
          <w:b w:val="0"/>
          <w:noProof/>
          <w:sz w:val="18"/>
        </w:rPr>
        <w:fldChar w:fldCharType="separate"/>
      </w:r>
      <w:r w:rsidR="00DE3E82">
        <w:rPr>
          <w:b w:val="0"/>
          <w:noProof/>
          <w:sz w:val="18"/>
        </w:rPr>
        <w:t>99</w:t>
      </w:r>
      <w:r w:rsidRPr="00292944">
        <w:rPr>
          <w:b w:val="0"/>
          <w:noProof/>
          <w:sz w:val="18"/>
        </w:rPr>
        <w:fldChar w:fldCharType="end"/>
      </w:r>
    </w:p>
    <w:p w:rsidR="00292944" w:rsidRDefault="00292944">
      <w:pPr>
        <w:pStyle w:val="TOC2"/>
        <w:rPr>
          <w:rFonts w:asciiTheme="minorHAnsi" w:eastAsiaTheme="minorEastAsia" w:hAnsiTheme="minorHAnsi" w:cstheme="minorBidi"/>
          <w:b w:val="0"/>
          <w:noProof/>
          <w:kern w:val="0"/>
          <w:sz w:val="22"/>
          <w:szCs w:val="22"/>
        </w:rPr>
      </w:pPr>
      <w:r>
        <w:rPr>
          <w:noProof/>
        </w:rPr>
        <w:lastRenderedPageBreak/>
        <w:t>Part 18—Modification of Part 7.9 of the Act—New Zealand offer documents replace Product Disclosure Statements where an offer relates to interests in a New Zealand managed investment scheme</w:t>
      </w:r>
      <w:r w:rsidRPr="00292944">
        <w:rPr>
          <w:b w:val="0"/>
          <w:noProof/>
          <w:sz w:val="18"/>
        </w:rPr>
        <w:tab/>
      </w:r>
      <w:r w:rsidRPr="00292944">
        <w:rPr>
          <w:b w:val="0"/>
          <w:noProof/>
          <w:sz w:val="18"/>
        </w:rPr>
        <w:fldChar w:fldCharType="begin"/>
      </w:r>
      <w:r w:rsidRPr="00292944">
        <w:rPr>
          <w:b w:val="0"/>
          <w:noProof/>
          <w:sz w:val="18"/>
        </w:rPr>
        <w:instrText xml:space="preserve"> PAGEREF _Toc170547945 \h </w:instrText>
      </w:r>
      <w:r w:rsidRPr="00292944">
        <w:rPr>
          <w:b w:val="0"/>
          <w:noProof/>
          <w:sz w:val="18"/>
        </w:rPr>
      </w:r>
      <w:r w:rsidRPr="00292944">
        <w:rPr>
          <w:b w:val="0"/>
          <w:noProof/>
          <w:sz w:val="18"/>
        </w:rPr>
        <w:fldChar w:fldCharType="separate"/>
      </w:r>
      <w:r w:rsidR="00DE3E82">
        <w:rPr>
          <w:b w:val="0"/>
          <w:noProof/>
          <w:sz w:val="18"/>
        </w:rPr>
        <w:t>100</w:t>
      </w:r>
      <w:r w:rsidRPr="00292944">
        <w:rPr>
          <w:b w:val="0"/>
          <w:noProof/>
          <w:sz w:val="18"/>
        </w:rPr>
        <w:fldChar w:fldCharType="end"/>
      </w:r>
    </w:p>
    <w:p w:rsidR="00292944" w:rsidRDefault="00292944">
      <w:pPr>
        <w:pStyle w:val="TOC2"/>
        <w:rPr>
          <w:rFonts w:asciiTheme="minorHAnsi" w:eastAsiaTheme="minorEastAsia" w:hAnsiTheme="minorHAnsi" w:cstheme="minorBidi"/>
          <w:b w:val="0"/>
          <w:noProof/>
          <w:kern w:val="0"/>
          <w:sz w:val="22"/>
          <w:szCs w:val="22"/>
        </w:rPr>
      </w:pPr>
      <w:r>
        <w:rPr>
          <w:noProof/>
        </w:rPr>
        <w:t>Part 19—Modifications for carbon units, Australian carbon credit units and eligible international emissions units</w:t>
      </w:r>
      <w:r w:rsidRPr="00292944">
        <w:rPr>
          <w:b w:val="0"/>
          <w:noProof/>
          <w:sz w:val="18"/>
        </w:rPr>
        <w:tab/>
      </w:r>
      <w:r w:rsidRPr="00292944">
        <w:rPr>
          <w:b w:val="0"/>
          <w:noProof/>
          <w:sz w:val="18"/>
        </w:rPr>
        <w:fldChar w:fldCharType="begin"/>
      </w:r>
      <w:r w:rsidRPr="00292944">
        <w:rPr>
          <w:b w:val="0"/>
          <w:noProof/>
          <w:sz w:val="18"/>
        </w:rPr>
        <w:instrText xml:space="preserve"> PAGEREF _Toc170547946 \h </w:instrText>
      </w:r>
      <w:r w:rsidRPr="00292944">
        <w:rPr>
          <w:b w:val="0"/>
          <w:noProof/>
          <w:sz w:val="18"/>
        </w:rPr>
      </w:r>
      <w:r w:rsidRPr="00292944">
        <w:rPr>
          <w:b w:val="0"/>
          <w:noProof/>
          <w:sz w:val="18"/>
        </w:rPr>
        <w:fldChar w:fldCharType="separate"/>
      </w:r>
      <w:r w:rsidR="00DE3E82">
        <w:rPr>
          <w:b w:val="0"/>
          <w:noProof/>
          <w:sz w:val="18"/>
        </w:rPr>
        <w:t>101</w:t>
      </w:r>
      <w:r w:rsidRPr="00292944">
        <w:rPr>
          <w:b w:val="0"/>
          <w:noProof/>
          <w:sz w:val="18"/>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10AA—Modifications of the Act in relation to their application in respect of a recognised offer or a proposed offer of securities that may become a recognised offer</w:t>
      </w:r>
      <w:r w:rsidRPr="00292944">
        <w:rPr>
          <w:b w:val="0"/>
          <w:noProof/>
          <w:sz w:val="18"/>
        </w:rPr>
        <w:tab/>
      </w:r>
      <w:r w:rsidRPr="00292944">
        <w:rPr>
          <w:b w:val="0"/>
          <w:noProof/>
          <w:sz w:val="18"/>
        </w:rPr>
        <w:fldChar w:fldCharType="begin"/>
      </w:r>
      <w:r w:rsidRPr="00292944">
        <w:rPr>
          <w:b w:val="0"/>
          <w:noProof/>
          <w:sz w:val="18"/>
        </w:rPr>
        <w:instrText xml:space="preserve"> PAGEREF _Toc170547947 \h </w:instrText>
      </w:r>
      <w:r w:rsidRPr="00292944">
        <w:rPr>
          <w:b w:val="0"/>
          <w:noProof/>
          <w:sz w:val="18"/>
        </w:rPr>
      </w:r>
      <w:r w:rsidRPr="00292944">
        <w:rPr>
          <w:b w:val="0"/>
          <w:noProof/>
          <w:sz w:val="18"/>
        </w:rPr>
        <w:fldChar w:fldCharType="separate"/>
      </w:r>
      <w:r w:rsidR="00DE3E82">
        <w:rPr>
          <w:b w:val="0"/>
          <w:noProof/>
          <w:sz w:val="18"/>
        </w:rPr>
        <w:t>112</w:t>
      </w:r>
      <w:r w:rsidRPr="00292944">
        <w:rPr>
          <w:b w:val="0"/>
          <w:noProof/>
          <w:sz w:val="18"/>
        </w:rPr>
        <w:fldChar w:fldCharType="end"/>
      </w:r>
    </w:p>
    <w:p w:rsidR="00292944" w:rsidRDefault="00292944">
      <w:pPr>
        <w:pStyle w:val="TOC2"/>
        <w:rPr>
          <w:rFonts w:asciiTheme="minorHAnsi" w:eastAsiaTheme="minorEastAsia" w:hAnsiTheme="minorHAnsi" w:cstheme="minorBidi"/>
          <w:b w:val="0"/>
          <w:noProof/>
          <w:kern w:val="0"/>
          <w:sz w:val="22"/>
          <w:szCs w:val="22"/>
        </w:rPr>
      </w:pPr>
      <w:r>
        <w:rPr>
          <w:noProof/>
        </w:rPr>
        <w:t>Part 1—Modification of Part 6D.2 of the Act—disclosure to investors not required for recognised offer under Chapter 8</w:t>
      </w:r>
      <w:r w:rsidRPr="00292944">
        <w:rPr>
          <w:b w:val="0"/>
          <w:noProof/>
          <w:sz w:val="18"/>
        </w:rPr>
        <w:tab/>
      </w:r>
      <w:r w:rsidRPr="00292944">
        <w:rPr>
          <w:b w:val="0"/>
          <w:noProof/>
          <w:sz w:val="18"/>
        </w:rPr>
        <w:fldChar w:fldCharType="begin"/>
      </w:r>
      <w:r w:rsidRPr="00292944">
        <w:rPr>
          <w:b w:val="0"/>
          <w:noProof/>
          <w:sz w:val="18"/>
        </w:rPr>
        <w:instrText xml:space="preserve"> PAGEREF _Toc170547948 \h </w:instrText>
      </w:r>
      <w:r w:rsidRPr="00292944">
        <w:rPr>
          <w:b w:val="0"/>
          <w:noProof/>
          <w:sz w:val="18"/>
        </w:rPr>
      </w:r>
      <w:r w:rsidRPr="00292944">
        <w:rPr>
          <w:b w:val="0"/>
          <w:noProof/>
          <w:sz w:val="18"/>
        </w:rPr>
        <w:fldChar w:fldCharType="separate"/>
      </w:r>
      <w:r w:rsidR="00DE3E82">
        <w:rPr>
          <w:b w:val="0"/>
          <w:noProof/>
          <w:sz w:val="18"/>
        </w:rPr>
        <w:t>112</w:t>
      </w:r>
      <w:r w:rsidRPr="00292944">
        <w:rPr>
          <w:b w:val="0"/>
          <w:noProof/>
          <w:sz w:val="18"/>
        </w:rPr>
        <w:fldChar w:fldCharType="end"/>
      </w:r>
    </w:p>
    <w:p w:rsidR="00292944" w:rsidRDefault="00292944">
      <w:pPr>
        <w:pStyle w:val="TOC2"/>
        <w:rPr>
          <w:rFonts w:asciiTheme="minorHAnsi" w:eastAsiaTheme="minorEastAsia" w:hAnsiTheme="minorHAnsi" w:cstheme="minorBidi"/>
          <w:b w:val="0"/>
          <w:noProof/>
          <w:kern w:val="0"/>
          <w:sz w:val="22"/>
          <w:szCs w:val="22"/>
        </w:rPr>
      </w:pPr>
      <w:r>
        <w:rPr>
          <w:noProof/>
        </w:rPr>
        <w:t>Part 2—Modification of Part 7.9 of the Act—disclosure to investors not required for recognised offer under Chapter 8</w:t>
      </w:r>
      <w:r w:rsidRPr="00292944">
        <w:rPr>
          <w:b w:val="0"/>
          <w:noProof/>
          <w:sz w:val="18"/>
        </w:rPr>
        <w:tab/>
      </w:r>
      <w:r w:rsidRPr="00292944">
        <w:rPr>
          <w:b w:val="0"/>
          <w:noProof/>
          <w:sz w:val="18"/>
        </w:rPr>
        <w:fldChar w:fldCharType="begin"/>
      </w:r>
      <w:r w:rsidRPr="00292944">
        <w:rPr>
          <w:b w:val="0"/>
          <w:noProof/>
          <w:sz w:val="18"/>
        </w:rPr>
        <w:instrText xml:space="preserve"> PAGEREF _Toc170547949 \h </w:instrText>
      </w:r>
      <w:r w:rsidRPr="00292944">
        <w:rPr>
          <w:b w:val="0"/>
          <w:noProof/>
          <w:sz w:val="18"/>
        </w:rPr>
      </w:r>
      <w:r w:rsidRPr="00292944">
        <w:rPr>
          <w:b w:val="0"/>
          <w:noProof/>
          <w:sz w:val="18"/>
        </w:rPr>
        <w:fldChar w:fldCharType="separate"/>
      </w:r>
      <w:r w:rsidR="00DE3E82">
        <w:rPr>
          <w:b w:val="0"/>
          <w:noProof/>
          <w:sz w:val="18"/>
        </w:rPr>
        <w:t>113</w:t>
      </w:r>
      <w:r w:rsidRPr="00292944">
        <w:rPr>
          <w:b w:val="0"/>
          <w:noProof/>
          <w:sz w:val="18"/>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10BA—Modifications of the Act relating to Short</w:t>
      </w:r>
      <w:r>
        <w:rPr>
          <w:noProof/>
        </w:rPr>
        <w:noBreakHyphen/>
        <w:t>Form Product Disclosure Statements</w:t>
      </w:r>
      <w:r w:rsidRPr="00292944">
        <w:rPr>
          <w:b w:val="0"/>
          <w:noProof/>
          <w:sz w:val="18"/>
        </w:rPr>
        <w:tab/>
      </w:r>
      <w:r w:rsidRPr="00292944">
        <w:rPr>
          <w:b w:val="0"/>
          <w:noProof/>
          <w:sz w:val="18"/>
        </w:rPr>
        <w:fldChar w:fldCharType="begin"/>
      </w:r>
      <w:r w:rsidRPr="00292944">
        <w:rPr>
          <w:b w:val="0"/>
          <w:noProof/>
          <w:sz w:val="18"/>
        </w:rPr>
        <w:instrText xml:space="preserve"> PAGEREF _Toc170547950 \h </w:instrText>
      </w:r>
      <w:r w:rsidRPr="00292944">
        <w:rPr>
          <w:b w:val="0"/>
          <w:noProof/>
          <w:sz w:val="18"/>
        </w:rPr>
      </w:r>
      <w:r w:rsidRPr="00292944">
        <w:rPr>
          <w:b w:val="0"/>
          <w:noProof/>
          <w:sz w:val="18"/>
        </w:rPr>
        <w:fldChar w:fldCharType="separate"/>
      </w:r>
      <w:r w:rsidR="00DE3E82">
        <w:rPr>
          <w:b w:val="0"/>
          <w:noProof/>
          <w:sz w:val="18"/>
        </w:rPr>
        <w:t>115</w:t>
      </w:r>
      <w:r w:rsidRPr="00292944">
        <w:rPr>
          <w:b w:val="0"/>
          <w:noProof/>
          <w:sz w:val="18"/>
        </w:rPr>
        <w:fldChar w:fldCharType="end"/>
      </w:r>
    </w:p>
    <w:p w:rsidR="00292944" w:rsidRDefault="00292944">
      <w:pPr>
        <w:pStyle w:val="TOC2"/>
        <w:rPr>
          <w:rFonts w:asciiTheme="minorHAnsi" w:eastAsiaTheme="minorEastAsia" w:hAnsiTheme="minorHAnsi" w:cstheme="minorBidi"/>
          <w:b w:val="0"/>
          <w:noProof/>
          <w:kern w:val="0"/>
          <w:sz w:val="22"/>
          <w:szCs w:val="22"/>
        </w:rPr>
      </w:pPr>
      <w:r>
        <w:rPr>
          <w:noProof/>
        </w:rPr>
        <w:t>Part 1—Modifications of Part 7.7 of the Act</w:t>
      </w:r>
      <w:r w:rsidRPr="00292944">
        <w:rPr>
          <w:b w:val="0"/>
          <w:noProof/>
          <w:sz w:val="18"/>
        </w:rPr>
        <w:tab/>
      </w:r>
      <w:r w:rsidRPr="00292944">
        <w:rPr>
          <w:b w:val="0"/>
          <w:noProof/>
          <w:sz w:val="18"/>
        </w:rPr>
        <w:fldChar w:fldCharType="begin"/>
      </w:r>
      <w:r w:rsidRPr="00292944">
        <w:rPr>
          <w:b w:val="0"/>
          <w:noProof/>
          <w:sz w:val="18"/>
        </w:rPr>
        <w:instrText xml:space="preserve"> PAGEREF _Toc170547951 \h </w:instrText>
      </w:r>
      <w:r w:rsidRPr="00292944">
        <w:rPr>
          <w:b w:val="0"/>
          <w:noProof/>
          <w:sz w:val="18"/>
        </w:rPr>
      </w:r>
      <w:r w:rsidRPr="00292944">
        <w:rPr>
          <w:b w:val="0"/>
          <w:noProof/>
          <w:sz w:val="18"/>
        </w:rPr>
        <w:fldChar w:fldCharType="separate"/>
      </w:r>
      <w:r w:rsidR="00DE3E82">
        <w:rPr>
          <w:b w:val="0"/>
          <w:noProof/>
          <w:sz w:val="18"/>
        </w:rPr>
        <w:t>115</w:t>
      </w:r>
      <w:r w:rsidRPr="00292944">
        <w:rPr>
          <w:b w:val="0"/>
          <w:noProof/>
          <w:sz w:val="18"/>
        </w:rPr>
        <w:fldChar w:fldCharType="end"/>
      </w:r>
    </w:p>
    <w:p w:rsidR="00292944" w:rsidRDefault="00292944">
      <w:pPr>
        <w:pStyle w:val="TOC2"/>
        <w:rPr>
          <w:rFonts w:asciiTheme="minorHAnsi" w:eastAsiaTheme="minorEastAsia" w:hAnsiTheme="minorHAnsi" w:cstheme="minorBidi"/>
          <w:b w:val="0"/>
          <w:noProof/>
          <w:kern w:val="0"/>
          <w:sz w:val="22"/>
          <w:szCs w:val="22"/>
        </w:rPr>
      </w:pPr>
      <w:r>
        <w:rPr>
          <w:noProof/>
        </w:rPr>
        <w:t>Part 3—Modifications of Part 7.9 of the Act</w:t>
      </w:r>
      <w:r w:rsidRPr="00292944">
        <w:rPr>
          <w:b w:val="0"/>
          <w:noProof/>
          <w:sz w:val="18"/>
        </w:rPr>
        <w:tab/>
      </w:r>
      <w:r w:rsidRPr="00292944">
        <w:rPr>
          <w:b w:val="0"/>
          <w:noProof/>
          <w:sz w:val="18"/>
        </w:rPr>
        <w:fldChar w:fldCharType="begin"/>
      </w:r>
      <w:r w:rsidRPr="00292944">
        <w:rPr>
          <w:b w:val="0"/>
          <w:noProof/>
          <w:sz w:val="18"/>
        </w:rPr>
        <w:instrText xml:space="preserve"> PAGEREF _Toc170547952 \h </w:instrText>
      </w:r>
      <w:r w:rsidRPr="00292944">
        <w:rPr>
          <w:b w:val="0"/>
          <w:noProof/>
          <w:sz w:val="18"/>
        </w:rPr>
      </w:r>
      <w:r w:rsidRPr="00292944">
        <w:rPr>
          <w:b w:val="0"/>
          <w:noProof/>
          <w:sz w:val="18"/>
        </w:rPr>
        <w:fldChar w:fldCharType="separate"/>
      </w:r>
      <w:r w:rsidR="00DE3E82">
        <w:rPr>
          <w:b w:val="0"/>
          <w:noProof/>
          <w:sz w:val="18"/>
        </w:rPr>
        <w:t>116</w:t>
      </w:r>
      <w:r w:rsidRPr="00292944">
        <w:rPr>
          <w:b w:val="0"/>
          <w:noProof/>
          <w:sz w:val="18"/>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10C—Form and content of Product Disclosure Statement—standard margin lending facility</w:t>
      </w:r>
      <w:r w:rsidRPr="00292944">
        <w:rPr>
          <w:b w:val="0"/>
          <w:noProof/>
          <w:sz w:val="18"/>
        </w:rPr>
        <w:tab/>
      </w:r>
      <w:r w:rsidRPr="00292944">
        <w:rPr>
          <w:b w:val="0"/>
          <w:noProof/>
          <w:sz w:val="18"/>
        </w:rPr>
        <w:fldChar w:fldCharType="begin"/>
      </w:r>
      <w:r w:rsidRPr="00292944">
        <w:rPr>
          <w:b w:val="0"/>
          <w:noProof/>
          <w:sz w:val="18"/>
        </w:rPr>
        <w:instrText xml:space="preserve"> PAGEREF _Toc170547953 \h </w:instrText>
      </w:r>
      <w:r w:rsidRPr="00292944">
        <w:rPr>
          <w:b w:val="0"/>
          <w:noProof/>
          <w:sz w:val="18"/>
        </w:rPr>
      </w:r>
      <w:r w:rsidRPr="00292944">
        <w:rPr>
          <w:b w:val="0"/>
          <w:noProof/>
          <w:sz w:val="18"/>
        </w:rPr>
        <w:fldChar w:fldCharType="separate"/>
      </w:r>
      <w:r w:rsidR="00DE3E82">
        <w:rPr>
          <w:b w:val="0"/>
          <w:noProof/>
          <w:sz w:val="18"/>
        </w:rPr>
        <w:t>125</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1</w:t>
      </w:r>
      <w:r>
        <w:rPr>
          <w:noProof/>
        </w:rPr>
        <w:tab/>
        <w:t>Length and font size for Product Disclosure Statement for standard margin lending facility</w:t>
      </w:r>
      <w:r w:rsidRPr="00292944">
        <w:rPr>
          <w:noProof/>
        </w:rPr>
        <w:tab/>
      </w:r>
      <w:r w:rsidRPr="00292944">
        <w:rPr>
          <w:noProof/>
        </w:rPr>
        <w:fldChar w:fldCharType="begin"/>
      </w:r>
      <w:r w:rsidRPr="00292944">
        <w:rPr>
          <w:noProof/>
        </w:rPr>
        <w:instrText xml:space="preserve"> PAGEREF _Toc170547954 \h </w:instrText>
      </w:r>
      <w:r w:rsidRPr="00292944">
        <w:rPr>
          <w:noProof/>
        </w:rPr>
      </w:r>
      <w:r w:rsidRPr="00292944">
        <w:rPr>
          <w:noProof/>
        </w:rPr>
        <w:fldChar w:fldCharType="separate"/>
      </w:r>
      <w:r w:rsidR="00DE3E82">
        <w:rPr>
          <w:noProof/>
        </w:rPr>
        <w:t>125</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w:t>
      </w:r>
      <w:r>
        <w:rPr>
          <w:noProof/>
        </w:rPr>
        <w:tab/>
        <w:t>Minimum content of Product Disclosure Statement for standard margin lending facility</w:t>
      </w:r>
      <w:r w:rsidRPr="00292944">
        <w:rPr>
          <w:noProof/>
        </w:rPr>
        <w:tab/>
      </w:r>
      <w:r w:rsidRPr="00292944">
        <w:rPr>
          <w:noProof/>
        </w:rPr>
        <w:fldChar w:fldCharType="begin"/>
      </w:r>
      <w:r w:rsidRPr="00292944">
        <w:rPr>
          <w:noProof/>
        </w:rPr>
        <w:instrText xml:space="preserve"> PAGEREF _Toc170547955 \h </w:instrText>
      </w:r>
      <w:r w:rsidRPr="00292944">
        <w:rPr>
          <w:noProof/>
        </w:rPr>
      </w:r>
      <w:r w:rsidRPr="00292944">
        <w:rPr>
          <w:noProof/>
        </w:rPr>
        <w:fldChar w:fldCharType="separate"/>
      </w:r>
      <w:r w:rsidR="00DE3E82">
        <w:rPr>
          <w:noProof/>
        </w:rPr>
        <w:t>125</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3</w:t>
      </w:r>
      <w:r>
        <w:rPr>
          <w:noProof/>
        </w:rPr>
        <w:tab/>
        <w:t>Contents of section 1 (About [name of provider of the standard margin lending facility] and [name of standard margin lending facility])</w:t>
      </w:r>
      <w:r w:rsidRPr="00292944">
        <w:rPr>
          <w:noProof/>
        </w:rPr>
        <w:tab/>
      </w:r>
      <w:r w:rsidRPr="00292944">
        <w:rPr>
          <w:noProof/>
        </w:rPr>
        <w:fldChar w:fldCharType="begin"/>
      </w:r>
      <w:r w:rsidRPr="00292944">
        <w:rPr>
          <w:noProof/>
        </w:rPr>
        <w:instrText xml:space="preserve"> PAGEREF _Toc170547956 \h </w:instrText>
      </w:r>
      <w:r w:rsidRPr="00292944">
        <w:rPr>
          <w:noProof/>
        </w:rPr>
      </w:r>
      <w:r w:rsidRPr="00292944">
        <w:rPr>
          <w:noProof/>
        </w:rPr>
        <w:fldChar w:fldCharType="separate"/>
      </w:r>
      <w:r w:rsidR="00DE3E82">
        <w:rPr>
          <w:noProof/>
        </w:rPr>
        <w:t>126</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4</w:t>
      </w:r>
      <w:r>
        <w:rPr>
          <w:noProof/>
        </w:rPr>
        <w:tab/>
        <w:t>Contents of section 2 (Benefits of [name of standard margin lending facility])</w:t>
      </w:r>
      <w:r w:rsidRPr="00292944">
        <w:rPr>
          <w:noProof/>
        </w:rPr>
        <w:tab/>
      </w:r>
      <w:r w:rsidRPr="00292944">
        <w:rPr>
          <w:noProof/>
        </w:rPr>
        <w:fldChar w:fldCharType="begin"/>
      </w:r>
      <w:r w:rsidRPr="00292944">
        <w:rPr>
          <w:noProof/>
        </w:rPr>
        <w:instrText xml:space="preserve"> PAGEREF _Toc170547957 \h </w:instrText>
      </w:r>
      <w:r w:rsidRPr="00292944">
        <w:rPr>
          <w:noProof/>
        </w:rPr>
      </w:r>
      <w:r w:rsidRPr="00292944">
        <w:rPr>
          <w:noProof/>
        </w:rPr>
        <w:fldChar w:fldCharType="separate"/>
      </w:r>
      <w:r w:rsidR="00DE3E82">
        <w:rPr>
          <w:noProof/>
        </w:rPr>
        <w:t>127</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5</w:t>
      </w:r>
      <w:r>
        <w:rPr>
          <w:noProof/>
        </w:rPr>
        <w:tab/>
        <w:t>Contents of section 3 (How [name of standard margin lending facility] works)</w:t>
      </w:r>
      <w:r w:rsidRPr="00292944">
        <w:rPr>
          <w:noProof/>
        </w:rPr>
        <w:tab/>
      </w:r>
      <w:r w:rsidRPr="00292944">
        <w:rPr>
          <w:noProof/>
        </w:rPr>
        <w:fldChar w:fldCharType="begin"/>
      </w:r>
      <w:r w:rsidRPr="00292944">
        <w:rPr>
          <w:noProof/>
        </w:rPr>
        <w:instrText xml:space="preserve"> PAGEREF _Toc170547958 \h </w:instrText>
      </w:r>
      <w:r w:rsidRPr="00292944">
        <w:rPr>
          <w:noProof/>
        </w:rPr>
      </w:r>
      <w:r w:rsidRPr="00292944">
        <w:rPr>
          <w:noProof/>
        </w:rPr>
        <w:fldChar w:fldCharType="separate"/>
      </w:r>
      <w:r w:rsidR="00DE3E82">
        <w:rPr>
          <w:noProof/>
        </w:rPr>
        <w:t>127</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6</w:t>
      </w:r>
      <w:r>
        <w:rPr>
          <w:noProof/>
        </w:rPr>
        <w:tab/>
        <w:t>Contents of section 4 (What is a margin call?)</w:t>
      </w:r>
      <w:r w:rsidRPr="00292944">
        <w:rPr>
          <w:noProof/>
        </w:rPr>
        <w:tab/>
      </w:r>
      <w:r w:rsidRPr="00292944">
        <w:rPr>
          <w:noProof/>
        </w:rPr>
        <w:fldChar w:fldCharType="begin"/>
      </w:r>
      <w:r w:rsidRPr="00292944">
        <w:rPr>
          <w:noProof/>
        </w:rPr>
        <w:instrText xml:space="preserve"> PAGEREF _Toc170547959 \h </w:instrText>
      </w:r>
      <w:r w:rsidRPr="00292944">
        <w:rPr>
          <w:noProof/>
        </w:rPr>
      </w:r>
      <w:r w:rsidRPr="00292944">
        <w:rPr>
          <w:noProof/>
        </w:rPr>
        <w:fldChar w:fldCharType="separate"/>
      </w:r>
      <w:r w:rsidR="00DE3E82">
        <w:rPr>
          <w:noProof/>
        </w:rPr>
        <w:t>128</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7</w:t>
      </w:r>
      <w:r>
        <w:rPr>
          <w:noProof/>
        </w:rPr>
        <w:tab/>
        <w:t>Contents of section 5 (The risk of losing money)</w:t>
      </w:r>
      <w:r w:rsidRPr="00292944">
        <w:rPr>
          <w:noProof/>
        </w:rPr>
        <w:tab/>
      </w:r>
      <w:r w:rsidRPr="00292944">
        <w:rPr>
          <w:noProof/>
        </w:rPr>
        <w:fldChar w:fldCharType="begin"/>
      </w:r>
      <w:r w:rsidRPr="00292944">
        <w:rPr>
          <w:noProof/>
        </w:rPr>
        <w:instrText xml:space="preserve"> PAGEREF _Toc170547960 \h </w:instrText>
      </w:r>
      <w:r w:rsidRPr="00292944">
        <w:rPr>
          <w:noProof/>
        </w:rPr>
      </w:r>
      <w:r w:rsidRPr="00292944">
        <w:rPr>
          <w:noProof/>
        </w:rPr>
        <w:fldChar w:fldCharType="separate"/>
      </w:r>
      <w:r w:rsidR="00DE3E82">
        <w:rPr>
          <w:noProof/>
        </w:rPr>
        <w:t>129</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8</w:t>
      </w:r>
      <w:r>
        <w:rPr>
          <w:noProof/>
        </w:rPr>
        <w:tab/>
        <w:t>Contents of section 6 (The costs)</w:t>
      </w:r>
      <w:r w:rsidRPr="00292944">
        <w:rPr>
          <w:noProof/>
        </w:rPr>
        <w:tab/>
      </w:r>
      <w:r w:rsidRPr="00292944">
        <w:rPr>
          <w:noProof/>
        </w:rPr>
        <w:fldChar w:fldCharType="begin"/>
      </w:r>
      <w:r w:rsidRPr="00292944">
        <w:rPr>
          <w:noProof/>
        </w:rPr>
        <w:instrText xml:space="preserve"> PAGEREF _Toc170547961 \h </w:instrText>
      </w:r>
      <w:r w:rsidRPr="00292944">
        <w:rPr>
          <w:noProof/>
        </w:rPr>
      </w:r>
      <w:r w:rsidRPr="00292944">
        <w:rPr>
          <w:noProof/>
        </w:rPr>
        <w:fldChar w:fldCharType="separate"/>
      </w:r>
      <w:r w:rsidR="00DE3E82">
        <w:rPr>
          <w:noProof/>
        </w:rPr>
        <w:t>130</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9</w:t>
      </w:r>
      <w:r>
        <w:rPr>
          <w:noProof/>
        </w:rPr>
        <w:tab/>
        <w:t>Contents of section 7 (How to apply)</w:t>
      </w:r>
      <w:r w:rsidRPr="00292944">
        <w:rPr>
          <w:noProof/>
        </w:rPr>
        <w:tab/>
      </w:r>
      <w:r w:rsidRPr="00292944">
        <w:rPr>
          <w:noProof/>
        </w:rPr>
        <w:fldChar w:fldCharType="begin"/>
      </w:r>
      <w:r w:rsidRPr="00292944">
        <w:rPr>
          <w:noProof/>
        </w:rPr>
        <w:instrText xml:space="preserve"> PAGEREF _Toc170547962 \h </w:instrText>
      </w:r>
      <w:r w:rsidRPr="00292944">
        <w:rPr>
          <w:noProof/>
        </w:rPr>
      </w:r>
      <w:r w:rsidRPr="00292944">
        <w:rPr>
          <w:noProof/>
        </w:rPr>
        <w:fldChar w:fldCharType="separate"/>
      </w:r>
      <w:r w:rsidR="00DE3E82">
        <w:rPr>
          <w:noProof/>
        </w:rPr>
        <w:t>131</w:t>
      </w:r>
      <w:r w:rsidRPr="00292944">
        <w:rPr>
          <w:noProof/>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10D—Form and content of Product Disclosure Statement—superannuation product to which Subdivision 4.2B of Division 4 of Part 7.9 applies</w:t>
      </w:r>
      <w:r w:rsidRPr="00292944">
        <w:rPr>
          <w:b w:val="0"/>
          <w:noProof/>
          <w:sz w:val="18"/>
        </w:rPr>
        <w:tab/>
      </w:r>
      <w:r w:rsidRPr="00292944">
        <w:rPr>
          <w:b w:val="0"/>
          <w:noProof/>
          <w:sz w:val="18"/>
        </w:rPr>
        <w:fldChar w:fldCharType="begin"/>
      </w:r>
      <w:r w:rsidRPr="00292944">
        <w:rPr>
          <w:b w:val="0"/>
          <w:noProof/>
          <w:sz w:val="18"/>
        </w:rPr>
        <w:instrText xml:space="preserve"> PAGEREF _Toc170547963 \h </w:instrText>
      </w:r>
      <w:r w:rsidRPr="00292944">
        <w:rPr>
          <w:b w:val="0"/>
          <w:noProof/>
          <w:sz w:val="18"/>
        </w:rPr>
      </w:r>
      <w:r w:rsidRPr="00292944">
        <w:rPr>
          <w:b w:val="0"/>
          <w:noProof/>
          <w:sz w:val="18"/>
        </w:rPr>
        <w:fldChar w:fldCharType="separate"/>
      </w:r>
      <w:r w:rsidR="00DE3E82">
        <w:rPr>
          <w:b w:val="0"/>
          <w:noProof/>
          <w:sz w:val="18"/>
        </w:rPr>
        <w:t>132</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1</w:t>
      </w:r>
      <w:r>
        <w:rPr>
          <w:noProof/>
        </w:rPr>
        <w:tab/>
        <w:t>Length and font size for Product Disclosure Statement for superannuation product</w:t>
      </w:r>
      <w:r w:rsidRPr="00292944">
        <w:rPr>
          <w:noProof/>
        </w:rPr>
        <w:tab/>
      </w:r>
      <w:r w:rsidRPr="00292944">
        <w:rPr>
          <w:noProof/>
        </w:rPr>
        <w:fldChar w:fldCharType="begin"/>
      </w:r>
      <w:r w:rsidRPr="00292944">
        <w:rPr>
          <w:noProof/>
        </w:rPr>
        <w:instrText xml:space="preserve"> PAGEREF _Toc170547964 \h </w:instrText>
      </w:r>
      <w:r w:rsidRPr="00292944">
        <w:rPr>
          <w:noProof/>
        </w:rPr>
      </w:r>
      <w:r w:rsidRPr="00292944">
        <w:rPr>
          <w:noProof/>
        </w:rPr>
        <w:fldChar w:fldCharType="separate"/>
      </w:r>
      <w:r w:rsidR="00DE3E82">
        <w:rPr>
          <w:noProof/>
        </w:rPr>
        <w:t>132</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w:t>
      </w:r>
      <w:r>
        <w:rPr>
          <w:noProof/>
        </w:rPr>
        <w:tab/>
        <w:t>Minimum content of Product Disclosure Statement for superannuation product</w:t>
      </w:r>
      <w:r w:rsidRPr="00292944">
        <w:rPr>
          <w:noProof/>
        </w:rPr>
        <w:tab/>
      </w:r>
      <w:r w:rsidRPr="00292944">
        <w:rPr>
          <w:noProof/>
        </w:rPr>
        <w:fldChar w:fldCharType="begin"/>
      </w:r>
      <w:r w:rsidRPr="00292944">
        <w:rPr>
          <w:noProof/>
        </w:rPr>
        <w:instrText xml:space="preserve"> PAGEREF _Toc170547965 \h </w:instrText>
      </w:r>
      <w:r w:rsidRPr="00292944">
        <w:rPr>
          <w:noProof/>
        </w:rPr>
      </w:r>
      <w:r w:rsidRPr="00292944">
        <w:rPr>
          <w:noProof/>
        </w:rPr>
        <w:fldChar w:fldCharType="separate"/>
      </w:r>
      <w:r w:rsidR="00DE3E82">
        <w:rPr>
          <w:noProof/>
        </w:rPr>
        <w:t>132</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3</w:t>
      </w:r>
      <w:r>
        <w:rPr>
          <w:noProof/>
        </w:rPr>
        <w:tab/>
        <w:t xml:space="preserve">Contents of section 1 (About </w:t>
      </w:r>
      <w:r w:rsidRPr="00C80281">
        <w:rPr>
          <w:i/>
          <w:noProof/>
        </w:rPr>
        <w:t>[name of superannuation product]</w:t>
      </w:r>
      <w:r>
        <w:rPr>
          <w:noProof/>
        </w:rPr>
        <w:t>)</w:t>
      </w:r>
      <w:r w:rsidRPr="00292944">
        <w:rPr>
          <w:noProof/>
        </w:rPr>
        <w:tab/>
      </w:r>
      <w:r w:rsidRPr="00292944">
        <w:rPr>
          <w:noProof/>
        </w:rPr>
        <w:fldChar w:fldCharType="begin"/>
      </w:r>
      <w:r w:rsidRPr="00292944">
        <w:rPr>
          <w:noProof/>
        </w:rPr>
        <w:instrText xml:space="preserve"> PAGEREF _Toc170547966 \h </w:instrText>
      </w:r>
      <w:r w:rsidRPr="00292944">
        <w:rPr>
          <w:noProof/>
        </w:rPr>
      </w:r>
      <w:r w:rsidRPr="00292944">
        <w:rPr>
          <w:noProof/>
        </w:rPr>
        <w:fldChar w:fldCharType="separate"/>
      </w:r>
      <w:r w:rsidR="00DE3E82">
        <w:rPr>
          <w:noProof/>
        </w:rPr>
        <w:t>133</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4</w:t>
      </w:r>
      <w:r>
        <w:rPr>
          <w:noProof/>
        </w:rPr>
        <w:tab/>
        <w:t>Contents of section 2 (How super works)</w:t>
      </w:r>
      <w:r w:rsidRPr="00292944">
        <w:rPr>
          <w:noProof/>
        </w:rPr>
        <w:tab/>
      </w:r>
      <w:r w:rsidRPr="00292944">
        <w:rPr>
          <w:noProof/>
        </w:rPr>
        <w:fldChar w:fldCharType="begin"/>
      </w:r>
      <w:r w:rsidRPr="00292944">
        <w:rPr>
          <w:noProof/>
        </w:rPr>
        <w:instrText xml:space="preserve"> PAGEREF _Toc170547967 \h </w:instrText>
      </w:r>
      <w:r w:rsidRPr="00292944">
        <w:rPr>
          <w:noProof/>
        </w:rPr>
      </w:r>
      <w:r w:rsidRPr="00292944">
        <w:rPr>
          <w:noProof/>
        </w:rPr>
        <w:fldChar w:fldCharType="separate"/>
      </w:r>
      <w:r w:rsidR="00DE3E82">
        <w:rPr>
          <w:noProof/>
        </w:rPr>
        <w:t>134</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5</w:t>
      </w:r>
      <w:r>
        <w:rPr>
          <w:noProof/>
        </w:rPr>
        <w:tab/>
        <w:t>Contents of section 3 (Benefits of investing with [name of superannuation product])</w:t>
      </w:r>
      <w:r w:rsidRPr="00292944">
        <w:rPr>
          <w:noProof/>
        </w:rPr>
        <w:tab/>
      </w:r>
      <w:r w:rsidRPr="00292944">
        <w:rPr>
          <w:noProof/>
        </w:rPr>
        <w:fldChar w:fldCharType="begin"/>
      </w:r>
      <w:r w:rsidRPr="00292944">
        <w:rPr>
          <w:noProof/>
        </w:rPr>
        <w:instrText xml:space="preserve"> PAGEREF _Toc170547968 \h </w:instrText>
      </w:r>
      <w:r w:rsidRPr="00292944">
        <w:rPr>
          <w:noProof/>
        </w:rPr>
      </w:r>
      <w:r w:rsidRPr="00292944">
        <w:rPr>
          <w:noProof/>
        </w:rPr>
        <w:fldChar w:fldCharType="separate"/>
      </w:r>
      <w:r w:rsidR="00DE3E82">
        <w:rPr>
          <w:noProof/>
        </w:rPr>
        <w:t>134</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lastRenderedPageBreak/>
        <w:t>6</w:t>
      </w:r>
      <w:r>
        <w:rPr>
          <w:noProof/>
        </w:rPr>
        <w:tab/>
        <w:t>Contents of section 4 (Risks of super)</w:t>
      </w:r>
      <w:r w:rsidRPr="00292944">
        <w:rPr>
          <w:noProof/>
        </w:rPr>
        <w:tab/>
      </w:r>
      <w:r w:rsidRPr="00292944">
        <w:rPr>
          <w:noProof/>
        </w:rPr>
        <w:fldChar w:fldCharType="begin"/>
      </w:r>
      <w:r w:rsidRPr="00292944">
        <w:rPr>
          <w:noProof/>
        </w:rPr>
        <w:instrText xml:space="preserve"> PAGEREF _Toc170547969 \h </w:instrText>
      </w:r>
      <w:r w:rsidRPr="00292944">
        <w:rPr>
          <w:noProof/>
        </w:rPr>
      </w:r>
      <w:r w:rsidRPr="00292944">
        <w:rPr>
          <w:noProof/>
        </w:rPr>
        <w:fldChar w:fldCharType="separate"/>
      </w:r>
      <w:r w:rsidR="00DE3E82">
        <w:rPr>
          <w:noProof/>
        </w:rPr>
        <w:t>135</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7</w:t>
      </w:r>
      <w:r>
        <w:rPr>
          <w:noProof/>
        </w:rPr>
        <w:tab/>
        <w:t>Contents of section 5 (How we invest your money)</w:t>
      </w:r>
      <w:r w:rsidRPr="00292944">
        <w:rPr>
          <w:noProof/>
        </w:rPr>
        <w:tab/>
      </w:r>
      <w:r w:rsidRPr="00292944">
        <w:rPr>
          <w:noProof/>
        </w:rPr>
        <w:fldChar w:fldCharType="begin"/>
      </w:r>
      <w:r w:rsidRPr="00292944">
        <w:rPr>
          <w:noProof/>
        </w:rPr>
        <w:instrText xml:space="preserve"> PAGEREF _Toc170547970 \h </w:instrText>
      </w:r>
      <w:r w:rsidRPr="00292944">
        <w:rPr>
          <w:noProof/>
        </w:rPr>
      </w:r>
      <w:r w:rsidRPr="00292944">
        <w:rPr>
          <w:noProof/>
        </w:rPr>
        <w:fldChar w:fldCharType="separate"/>
      </w:r>
      <w:r w:rsidR="00DE3E82">
        <w:rPr>
          <w:noProof/>
        </w:rPr>
        <w:t>135</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8</w:t>
      </w:r>
      <w:r>
        <w:rPr>
          <w:noProof/>
        </w:rPr>
        <w:tab/>
        <w:t>Contents of section 6 (Fees and costs)</w:t>
      </w:r>
      <w:r w:rsidRPr="00292944">
        <w:rPr>
          <w:noProof/>
        </w:rPr>
        <w:tab/>
      </w:r>
      <w:r w:rsidRPr="00292944">
        <w:rPr>
          <w:noProof/>
        </w:rPr>
        <w:fldChar w:fldCharType="begin"/>
      </w:r>
      <w:r w:rsidRPr="00292944">
        <w:rPr>
          <w:noProof/>
        </w:rPr>
        <w:instrText xml:space="preserve"> PAGEREF _Toc170547971 \h </w:instrText>
      </w:r>
      <w:r w:rsidRPr="00292944">
        <w:rPr>
          <w:noProof/>
        </w:rPr>
      </w:r>
      <w:r w:rsidRPr="00292944">
        <w:rPr>
          <w:noProof/>
        </w:rPr>
        <w:fldChar w:fldCharType="separate"/>
      </w:r>
      <w:r w:rsidR="00DE3E82">
        <w:rPr>
          <w:noProof/>
        </w:rPr>
        <w:t>137</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9</w:t>
      </w:r>
      <w:r>
        <w:rPr>
          <w:noProof/>
        </w:rPr>
        <w:tab/>
        <w:t>Contents of section 7 (How super is taxed)</w:t>
      </w:r>
      <w:r w:rsidRPr="00292944">
        <w:rPr>
          <w:noProof/>
        </w:rPr>
        <w:tab/>
      </w:r>
      <w:r w:rsidRPr="00292944">
        <w:rPr>
          <w:noProof/>
        </w:rPr>
        <w:fldChar w:fldCharType="begin"/>
      </w:r>
      <w:r w:rsidRPr="00292944">
        <w:rPr>
          <w:noProof/>
        </w:rPr>
        <w:instrText xml:space="preserve"> PAGEREF _Toc170547972 \h </w:instrText>
      </w:r>
      <w:r w:rsidRPr="00292944">
        <w:rPr>
          <w:noProof/>
        </w:rPr>
      </w:r>
      <w:r w:rsidRPr="00292944">
        <w:rPr>
          <w:noProof/>
        </w:rPr>
        <w:fldChar w:fldCharType="separate"/>
      </w:r>
      <w:r w:rsidR="00DE3E82">
        <w:rPr>
          <w:noProof/>
        </w:rPr>
        <w:t>139</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10</w:t>
      </w:r>
      <w:r>
        <w:rPr>
          <w:noProof/>
        </w:rPr>
        <w:tab/>
        <w:t>Contents of section 8 (Insurance in your super)</w:t>
      </w:r>
      <w:r w:rsidRPr="00292944">
        <w:rPr>
          <w:noProof/>
        </w:rPr>
        <w:tab/>
      </w:r>
      <w:r w:rsidRPr="00292944">
        <w:rPr>
          <w:noProof/>
        </w:rPr>
        <w:fldChar w:fldCharType="begin"/>
      </w:r>
      <w:r w:rsidRPr="00292944">
        <w:rPr>
          <w:noProof/>
        </w:rPr>
        <w:instrText xml:space="preserve"> PAGEREF _Toc170547973 \h </w:instrText>
      </w:r>
      <w:r w:rsidRPr="00292944">
        <w:rPr>
          <w:noProof/>
        </w:rPr>
      </w:r>
      <w:r w:rsidRPr="00292944">
        <w:rPr>
          <w:noProof/>
        </w:rPr>
        <w:fldChar w:fldCharType="separate"/>
      </w:r>
      <w:r w:rsidR="00DE3E82">
        <w:rPr>
          <w:noProof/>
        </w:rPr>
        <w:t>139</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11</w:t>
      </w:r>
      <w:r>
        <w:rPr>
          <w:noProof/>
        </w:rPr>
        <w:tab/>
        <w:t>Contents of section 9 (How to open an account)</w:t>
      </w:r>
      <w:r w:rsidRPr="00292944">
        <w:rPr>
          <w:noProof/>
        </w:rPr>
        <w:tab/>
      </w:r>
      <w:r w:rsidRPr="00292944">
        <w:rPr>
          <w:noProof/>
        </w:rPr>
        <w:fldChar w:fldCharType="begin"/>
      </w:r>
      <w:r w:rsidRPr="00292944">
        <w:rPr>
          <w:noProof/>
        </w:rPr>
        <w:instrText xml:space="preserve"> PAGEREF _Toc170547974 \h </w:instrText>
      </w:r>
      <w:r w:rsidRPr="00292944">
        <w:rPr>
          <w:noProof/>
        </w:rPr>
      </w:r>
      <w:r w:rsidRPr="00292944">
        <w:rPr>
          <w:noProof/>
        </w:rPr>
        <w:fldChar w:fldCharType="separate"/>
      </w:r>
      <w:r w:rsidR="00DE3E82">
        <w:rPr>
          <w:noProof/>
        </w:rPr>
        <w:t>141</w:t>
      </w:r>
      <w:r w:rsidRPr="00292944">
        <w:rPr>
          <w:noProof/>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10E—Form and content of Product Disclosure Statement—simple managed investment scheme</w:t>
      </w:r>
      <w:r w:rsidRPr="00292944">
        <w:rPr>
          <w:b w:val="0"/>
          <w:noProof/>
          <w:sz w:val="18"/>
        </w:rPr>
        <w:tab/>
      </w:r>
      <w:r w:rsidRPr="00292944">
        <w:rPr>
          <w:b w:val="0"/>
          <w:noProof/>
          <w:sz w:val="18"/>
        </w:rPr>
        <w:fldChar w:fldCharType="begin"/>
      </w:r>
      <w:r w:rsidRPr="00292944">
        <w:rPr>
          <w:b w:val="0"/>
          <w:noProof/>
          <w:sz w:val="18"/>
        </w:rPr>
        <w:instrText xml:space="preserve"> PAGEREF _Toc170547975 \h </w:instrText>
      </w:r>
      <w:r w:rsidRPr="00292944">
        <w:rPr>
          <w:b w:val="0"/>
          <w:noProof/>
          <w:sz w:val="18"/>
        </w:rPr>
      </w:r>
      <w:r w:rsidRPr="00292944">
        <w:rPr>
          <w:b w:val="0"/>
          <w:noProof/>
          <w:sz w:val="18"/>
        </w:rPr>
        <w:fldChar w:fldCharType="separate"/>
      </w:r>
      <w:r w:rsidR="00DE3E82">
        <w:rPr>
          <w:b w:val="0"/>
          <w:noProof/>
          <w:sz w:val="18"/>
        </w:rPr>
        <w:t>142</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1</w:t>
      </w:r>
      <w:r>
        <w:rPr>
          <w:noProof/>
        </w:rPr>
        <w:tab/>
        <w:t>Length and font size for Product Disclosure Statement for simple managed investment scheme</w:t>
      </w:r>
      <w:r w:rsidRPr="00292944">
        <w:rPr>
          <w:noProof/>
        </w:rPr>
        <w:tab/>
      </w:r>
      <w:r w:rsidRPr="00292944">
        <w:rPr>
          <w:noProof/>
        </w:rPr>
        <w:fldChar w:fldCharType="begin"/>
      </w:r>
      <w:r w:rsidRPr="00292944">
        <w:rPr>
          <w:noProof/>
        </w:rPr>
        <w:instrText xml:space="preserve"> PAGEREF _Toc170547976 \h </w:instrText>
      </w:r>
      <w:r w:rsidRPr="00292944">
        <w:rPr>
          <w:noProof/>
        </w:rPr>
      </w:r>
      <w:r w:rsidRPr="00292944">
        <w:rPr>
          <w:noProof/>
        </w:rPr>
        <w:fldChar w:fldCharType="separate"/>
      </w:r>
      <w:r w:rsidR="00DE3E82">
        <w:rPr>
          <w:noProof/>
        </w:rPr>
        <w:t>142</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w:t>
      </w:r>
      <w:r>
        <w:rPr>
          <w:noProof/>
        </w:rPr>
        <w:tab/>
        <w:t>Minimum content of Product Disclosure Statement for simple managed investment scheme</w:t>
      </w:r>
      <w:r w:rsidRPr="00292944">
        <w:rPr>
          <w:noProof/>
        </w:rPr>
        <w:tab/>
      </w:r>
      <w:r w:rsidRPr="00292944">
        <w:rPr>
          <w:noProof/>
        </w:rPr>
        <w:fldChar w:fldCharType="begin"/>
      </w:r>
      <w:r w:rsidRPr="00292944">
        <w:rPr>
          <w:noProof/>
        </w:rPr>
        <w:instrText xml:space="preserve"> PAGEREF _Toc170547977 \h </w:instrText>
      </w:r>
      <w:r w:rsidRPr="00292944">
        <w:rPr>
          <w:noProof/>
        </w:rPr>
      </w:r>
      <w:r w:rsidRPr="00292944">
        <w:rPr>
          <w:noProof/>
        </w:rPr>
        <w:fldChar w:fldCharType="separate"/>
      </w:r>
      <w:r w:rsidR="00DE3E82">
        <w:rPr>
          <w:noProof/>
        </w:rPr>
        <w:t>142</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3</w:t>
      </w:r>
      <w:r>
        <w:rPr>
          <w:noProof/>
        </w:rPr>
        <w:tab/>
        <w:t>Contents of section 1 (About [name of responsible entity])</w:t>
      </w:r>
      <w:r w:rsidRPr="00292944">
        <w:rPr>
          <w:noProof/>
        </w:rPr>
        <w:tab/>
      </w:r>
      <w:r w:rsidRPr="00292944">
        <w:rPr>
          <w:noProof/>
        </w:rPr>
        <w:fldChar w:fldCharType="begin"/>
      </w:r>
      <w:r w:rsidRPr="00292944">
        <w:rPr>
          <w:noProof/>
        </w:rPr>
        <w:instrText xml:space="preserve"> PAGEREF _Toc170547978 \h </w:instrText>
      </w:r>
      <w:r w:rsidRPr="00292944">
        <w:rPr>
          <w:noProof/>
        </w:rPr>
      </w:r>
      <w:r w:rsidRPr="00292944">
        <w:rPr>
          <w:noProof/>
        </w:rPr>
        <w:fldChar w:fldCharType="separate"/>
      </w:r>
      <w:r w:rsidR="00DE3E82">
        <w:rPr>
          <w:noProof/>
        </w:rPr>
        <w:t>143</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4</w:t>
      </w:r>
      <w:r>
        <w:rPr>
          <w:noProof/>
        </w:rPr>
        <w:tab/>
        <w:t>Contents of section 2 (How [name of simple managed investment scheme] works)</w:t>
      </w:r>
      <w:r w:rsidRPr="00292944">
        <w:rPr>
          <w:noProof/>
        </w:rPr>
        <w:tab/>
      </w:r>
      <w:r w:rsidRPr="00292944">
        <w:rPr>
          <w:noProof/>
        </w:rPr>
        <w:fldChar w:fldCharType="begin"/>
      </w:r>
      <w:r w:rsidRPr="00292944">
        <w:rPr>
          <w:noProof/>
        </w:rPr>
        <w:instrText xml:space="preserve"> PAGEREF _Toc170547979 \h </w:instrText>
      </w:r>
      <w:r w:rsidRPr="00292944">
        <w:rPr>
          <w:noProof/>
        </w:rPr>
      </w:r>
      <w:r w:rsidRPr="00292944">
        <w:rPr>
          <w:noProof/>
        </w:rPr>
        <w:fldChar w:fldCharType="separate"/>
      </w:r>
      <w:r w:rsidR="00DE3E82">
        <w:rPr>
          <w:noProof/>
        </w:rPr>
        <w:t>144</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5</w:t>
      </w:r>
      <w:r>
        <w:rPr>
          <w:noProof/>
        </w:rPr>
        <w:tab/>
        <w:t>Contents of section 3 (Benefits of investing in [name of simple managed investment scheme])</w:t>
      </w:r>
      <w:r w:rsidRPr="00292944">
        <w:rPr>
          <w:noProof/>
        </w:rPr>
        <w:tab/>
      </w:r>
      <w:r w:rsidRPr="00292944">
        <w:rPr>
          <w:noProof/>
        </w:rPr>
        <w:fldChar w:fldCharType="begin"/>
      </w:r>
      <w:r w:rsidRPr="00292944">
        <w:rPr>
          <w:noProof/>
        </w:rPr>
        <w:instrText xml:space="preserve"> PAGEREF _Toc170547980 \h </w:instrText>
      </w:r>
      <w:r w:rsidRPr="00292944">
        <w:rPr>
          <w:noProof/>
        </w:rPr>
      </w:r>
      <w:r w:rsidRPr="00292944">
        <w:rPr>
          <w:noProof/>
        </w:rPr>
        <w:fldChar w:fldCharType="separate"/>
      </w:r>
      <w:r w:rsidR="00DE3E82">
        <w:rPr>
          <w:noProof/>
        </w:rPr>
        <w:t>144</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6</w:t>
      </w:r>
      <w:r>
        <w:rPr>
          <w:noProof/>
        </w:rPr>
        <w:tab/>
        <w:t>Contents of section 4 (Risks of managed investment schemes)</w:t>
      </w:r>
      <w:r w:rsidRPr="00292944">
        <w:rPr>
          <w:noProof/>
        </w:rPr>
        <w:tab/>
      </w:r>
      <w:r w:rsidRPr="00292944">
        <w:rPr>
          <w:noProof/>
        </w:rPr>
        <w:fldChar w:fldCharType="begin"/>
      </w:r>
      <w:r w:rsidRPr="00292944">
        <w:rPr>
          <w:noProof/>
        </w:rPr>
        <w:instrText xml:space="preserve"> PAGEREF _Toc170547981 \h </w:instrText>
      </w:r>
      <w:r w:rsidRPr="00292944">
        <w:rPr>
          <w:noProof/>
        </w:rPr>
      </w:r>
      <w:r w:rsidRPr="00292944">
        <w:rPr>
          <w:noProof/>
        </w:rPr>
        <w:fldChar w:fldCharType="separate"/>
      </w:r>
      <w:r w:rsidR="00DE3E82">
        <w:rPr>
          <w:noProof/>
        </w:rPr>
        <w:t>144</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7</w:t>
      </w:r>
      <w:r>
        <w:rPr>
          <w:noProof/>
        </w:rPr>
        <w:tab/>
        <w:t>Contents of section 5 (How we invest your money)</w:t>
      </w:r>
      <w:r w:rsidRPr="00292944">
        <w:rPr>
          <w:noProof/>
        </w:rPr>
        <w:tab/>
      </w:r>
      <w:r w:rsidRPr="00292944">
        <w:rPr>
          <w:noProof/>
        </w:rPr>
        <w:fldChar w:fldCharType="begin"/>
      </w:r>
      <w:r w:rsidRPr="00292944">
        <w:rPr>
          <w:noProof/>
        </w:rPr>
        <w:instrText xml:space="preserve"> PAGEREF _Toc170547982 \h </w:instrText>
      </w:r>
      <w:r w:rsidRPr="00292944">
        <w:rPr>
          <w:noProof/>
        </w:rPr>
      </w:r>
      <w:r w:rsidRPr="00292944">
        <w:rPr>
          <w:noProof/>
        </w:rPr>
        <w:fldChar w:fldCharType="separate"/>
      </w:r>
      <w:r w:rsidR="00DE3E82">
        <w:rPr>
          <w:noProof/>
        </w:rPr>
        <w:t>145</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8</w:t>
      </w:r>
      <w:r>
        <w:rPr>
          <w:noProof/>
        </w:rPr>
        <w:tab/>
        <w:t>Contents of section 6 (Fees and costs)</w:t>
      </w:r>
      <w:r w:rsidRPr="00292944">
        <w:rPr>
          <w:noProof/>
        </w:rPr>
        <w:tab/>
      </w:r>
      <w:r w:rsidRPr="00292944">
        <w:rPr>
          <w:noProof/>
        </w:rPr>
        <w:fldChar w:fldCharType="begin"/>
      </w:r>
      <w:r w:rsidRPr="00292944">
        <w:rPr>
          <w:noProof/>
        </w:rPr>
        <w:instrText xml:space="preserve"> PAGEREF _Toc170547983 \h </w:instrText>
      </w:r>
      <w:r w:rsidRPr="00292944">
        <w:rPr>
          <w:noProof/>
        </w:rPr>
      </w:r>
      <w:r w:rsidRPr="00292944">
        <w:rPr>
          <w:noProof/>
        </w:rPr>
        <w:fldChar w:fldCharType="separate"/>
      </w:r>
      <w:r w:rsidR="00DE3E82">
        <w:rPr>
          <w:noProof/>
        </w:rPr>
        <w:t>147</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9</w:t>
      </w:r>
      <w:r>
        <w:rPr>
          <w:noProof/>
        </w:rPr>
        <w:tab/>
        <w:t>Contents of section 7 (How managed investment schemes are taxed)</w:t>
      </w:r>
      <w:r w:rsidRPr="00292944">
        <w:rPr>
          <w:noProof/>
        </w:rPr>
        <w:tab/>
      </w:r>
      <w:r w:rsidRPr="00292944">
        <w:rPr>
          <w:noProof/>
        </w:rPr>
        <w:fldChar w:fldCharType="begin"/>
      </w:r>
      <w:r w:rsidRPr="00292944">
        <w:rPr>
          <w:noProof/>
        </w:rPr>
        <w:instrText xml:space="preserve"> PAGEREF _Toc170547984 \h </w:instrText>
      </w:r>
      <w:r w:rsidRPr="00292944">
        <w:rPr>
          <w:noProof/>
        </w:rPr>
      </w:r>
      <w:r w:rsidRPr="00292944">
        <w:rPr>
          <w:noProof/>
        </w:rPr>
        <w:fldChar w:fldCharType="separate"/>
      </w:r>
      <w:r w:rsidR="00DE3E82">
        <w:rPr>
          <w:noProof/>
        </w:rPr>
        <w:t>149</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10</w:t>
      </w:r>
      <w:r>
        <w:rPr>
          <w:noProof/>
        </w:rPr>
        <w:tab/>
        <w:t>Contents of section 8 (How to apply)</w:t>
      </w:r>
      <w:r w:rsidRPr="00292944">
        <w:rPr>
          <w:noProof/>
        </w:rPr>
        <w:tab/>
      </w:r>
      <w:r w:rsidRPr="00292944">
        <w:rPr>
          <w:noProof/>
        </w:rPr>
        <w:fldChar w:fldCharType="begin"/>
      </w:r>
      <w:r w:rsidRPr="00292944">
        <w:rPr>
          <w:noProof/>
        </w:rPr>
        <w:instrText xml:space="preserve"> PAGEREF _Toc170547985 \h </w:instrText>
      </w:r>
      <w:r w:rsidRPr="00292944">
        <w:rPr>
          <w:noProof/>
        </w:rPr>
      </w:r>
      <w:r w:rsidRPr="00292944">
        <w:rPr>
          <w:noProof/>
        </w:rPr>
        <w:fldChar w:fldCharType="separate"/>
      </w:r>
      <w:r w:rsidR="00DE3E82">
        <w:rPr>
          <w:noProof/>
        </w:rPr>
        <w:t>149</w:t>
      </w:r>
      <w:r w:rsidRPr="00292944">
        <w:rPr>
          <w:noProof/>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10F—Form and content of Product Disclosure Statement—simple sub</w:t>
      </w:r>
      <w:r>
        <w:rPr>
          <w:noProof/>
        </w:rPr>
        <w:noBreakHyphen/>
        <w:t>fund products</w:t>
      </w:r>
      <w:r w:rsidRPr="00292944">
        <w:rPr>
          <w:b w:val="0"/>
          <w:noProof/>
          <w:sz w:val="18"/>
        </w:rPr>
        <w:tab/>
      </w:r>
      <w:r w:rsidRPr="00292944">
        <w:rPr>
          <w:b w:val="0"/>
          <w:noProof/>
          <w:sz w:val="18"/>
        </w:rPr>
        <w:fldChar w:fldCharType="begin"/>
      </w:r>
      <w:r w:rsidRPr="00292944">
        <w:rPr>
          <w:b w:val="0"/>
          <w:noProof/>
          <w:sz w:val="18"/>
        </w:rPr>
        <w:instrText xml:space="preserve"> PAGEREF _Toc170547986 \h </w:instrText>
      </w:r>
      <w:r w:rsidRPr="00292944">
        <w:rPr>
          <w:b w:val="0"/>
          <w:noProof/>
          <w:sz w:val="18"/>
        </w:rPr>
      </w:r>
      <w:r w:rsidRPr="00292944">
        <w:rPr>
          <w:b w:val="0"/>
          <w:noProof/>
          <w:sz w:val="18"/>
        </w:rPr>
        <w:fldChar w:fldCharType="separate"/>
      </w:r>
      <w:r w:rsidR="00DE3E82">
        <w:rPr>
          <w:b w:val="0"/>
          <w:noProof/>
          <w:sz w:val="18"/>
        </w:rPr>
        <w:t>150</w:t>
      </w:r>
      <w:r w:rsidRPr="00292944">
        <w:rPr>
          <w:b w:val="0"/>
          <w:noProof/>
          <w:sz w:val="18"/>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1</w:t>
      </w:r>
      <w:r>
        <w:rPr>
          <w:noProof/>
        </w:rPr>
        <w:tab/>
        <w:t>Length and font size for Product Disclosure Statement for simple sub</w:t>
      </w:r>
      <w:r>
        <w:rPr>
          <w:noProof/>
        </w:rPr>
        <w:noBreakHyphen/>
        <w:t>fund product</w:t>
      </w:r>
      <w:r w:rsidRPr="00292944">
        <w:rPr>
          <w:noProof/>
        </w:rPr>
        <w:tab/>
      </w:r>
      <w:r w:rsidRPr="00292944">
        <w:rPr>
          <w:noProof/>
        </w:rPr>
        <w:fldChar w:fldCharType="begin"/>
      </w:r>
      <w:r w:rsidRPr="00292944">
        <w:rPr>
          <w:noProof/>
        </w:rPr>
        <w:instrText xml:space="preserve"> PAGEREF _Toc170547987 \h </w:instrText>
      </w:r>
      <w:r w:rsidRPr="00292944">
        <w:rPr>
          <w:noProof/>
        </w:rPr>
      </w:r>
      <w:r w:rsidRPr="00292944">
        <w:rPr>
          <w:noProof/>
        </w:rPr>
        <w:fldChar w:fldCharType="separate"/>
      </w:r>
      <w:r w:rsidR="00DE3E82">
        <w:rPr>
          <w:noProof/>
        </w:rPr>
        <w:t>150</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2</w:t>
      </w:r>
      <w:r>
        <w:rPr>
          <w:noProof/>
        </w:rPr>
        <w:tab/>
        <w:t>Minimum content of Product Disclosure Statement for simple sub</w:t>
      </w:r>
      <w:r>
        <w:rPr>
          <w:noProof/>
        </w:rPr>
        <w:noBreakHyphen/>
        <w:t>fund product</w:t>
      </w:r>
      <w:r w:rsidRPr="00292944">
        <w:rPr>
          <w:noProof/>
        </w:rPr>
        <w:tab/>
      </w:r>
      <w:r w:rsidRPr="00292944">
        <w:rPr>
          <w:noProof/>
        </w:rPr>
        <w:fldChar w:fldCharType="begin"/>
      </w:r>
      <w:r w:rsidRPr="00292944">
        <w:rPr>
          <w:noProof/>
        </w:rPr>
        <w:instrText xml:space="preserve"> PAGEREF _Toc170547988 \h </w:instrText>
      </w:r>
      <w:r w:rsidRPr="00292944">
        <w:rPr>
          <w:noProof/>
        </w:rPr>
      </w:r>
      <w:r w:rsidRPr="00292944">
        <w:rPr>
          <w:noProof/>
        </w:rPr>
        <w:fldChar w:fldCharType="separate"/>
      </w:r>
      <w:r w:rsidR="00DE3E82">
        <w:rPr>
          <w:noProof/>
        </w:rPr>
        <w:t>150</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3</w:t>
      </w:r>
      <w:r>
        <w:rPr>
          <w:noProof/>
        </w:rPr>
        <w:tab/>
        <w:t>Contents of section 1 (About [name of corporate director])</w:t>
      </w:r>
      <w:r w:rsidRPr="00292944">
        <w:rPr>
          <w:noProof/>
        </w:rPr>
        <w:tab/>
      </w:r>
      <w:r w:rsidRPr="00292944">
        <w:rPr>
          <w:noProof/>
        </w:rPr>
        <w:fldChar w:fldCharType="begin"/>
      </w:r>
      <w:r w:rsidRPr="00292944">
        <w:rPr>
          <w:noProof/>
        </w:rPr>
        <w:instrText xml:space="preserve"> PAGEREF _Toc170547989 \h </w:instrText>
      </w:r>
      <w:r w:rsidRPr="00292944">
        <w:rPr>
          <w:noProof/>
        </w:rPr>
      </w:r>
      <w:r w:rsidRPr="00292944">
        <w:rPr>
          <w:noProof/>
        </w:rPr>
        <w:fldChar w:fldCharType="separate"/>
      </w:r>
      <w:r w:rsidR="00DE3E82">
        <w:rPr>
          <w:noProof/>
        </w:rPr>
        <w:t>151</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4</w:t>
      </w:r>
      <w:r>
        <w:rPr>
          <w:noProof/>
        </w:rPr>
        <w:tab/>
        <w:t>Contents of section 2 (How [name of CCIV and sub</w:t>
      </w:r>
      <w:r>
        <w:rPr>
          <w:noProof/>
        </w:rPr>
        <w:noBreakHyphen/>
        <w:t>fund] work)</w:t>
      </w:r>
      <w:r w:rsidRPr="00292944">
        <w:rPr>
          <w:noProof/>
        </w:rPr>
        <w:tab/>
      </w:r>
      <w:r w:rsidRPr="00292944">
        <w:rPr>
          <w:noProof/>
        </w:rPr>
        <w:fldChar w:fldCharType="begin"/>
      </w:r>
      <w:r w:rsidRPr="00292944">
        <w:rPr>
          <w:noProof/>
        </w:rPr>
        <w:instrText xml:space="preserve"> PAGEREF _Toc170547990 \h </w:instrText>
      </w:r>
      <w:r w:rsidRPr="00292944">
        <w:rPr>
          <w:noProof/>
        </w:rPr>
      </w:r>
      <w:r w:rsidRPr="00292944">
        <w:rPr>
          <w:noProof/>
        </w:rPr>
        <w:fldChar w:fldCharType="separate"/>
      </w:r>
      <w:r w:rsidR="00DE3E82">
        <w:rPr>
          <w:noProof/>
        </w:rPr>
        <w:t>152</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5</w:t>
      </w:r>
      <w:r>
        <w:rPr>
          <w:noProof/>
        </w:rPr>
        <w:tab/>
        <w:t>Contents of section 3 (Benefits of investing in [name of simple sub</w:t>
      </w:r>
      <w:r>
        <w:rPr>
          <w:noProof/>
        </w:rPr>
        <w:noBreakHyphen/>
        <w:t>fund product])</w:t>
      </w:r>
      <w:r w:rsidRPr="00292944">
        <w:rPr>
          <w:noProof/>
        </w:rPr>
        <w:tab/>
      </w:r>
      <w:r w:rsidRPr="00292944">
        <w:rPr>
          <w:noProof/>
        </w:rPr>
        <w:fldChar w:fldCharType="begin"/>
      </w:r>
      <w:r w:rsidRPr="00292944">
        <w:rPr>
          <w:noProof/>
        </w:rPr>
        <w:instrText xml:space="preserve"> PAGEREF _Toc170547991 \h </w:instrText>
      </w:r>
      <w:r w:rsidRPr="00292944">
        <w:rPr>
          <w:noProof/>
        </w:rPr>
      </w:r>
      <w:r w:rsidRPr="00292944">
        <w:rPr>
          <w:noProof/>
        </w:rPr>
        <w:fldChar w:fldCharType="separate"/>
      </w:r>
      <w:r w:rsidR="00DE3E82">
        <w:rPr>
          <w:noProof/>
        </w:rPr>
        <w:t>152</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6</w:t>
      </w:r>
      <w:r>
        <w:rPr>
          <w:noProof/>
        </w:rPr>
        <w:tab/>
        <w:t>Contents of section 4 (Risks of simple sub</w:t>
      </w:r>
      <w:r>
        <w:rPr>
          <w:noProof/>
        </w:rPr>
        <w:noBreakHyphen/>
        <w:t>fund products)</w:t>
      </w:r>
      <w:r w:rsidRPr="00292944">
        <w:rPr>
          <w:noProof/>
        </w:rPr>
        <w:tab/>
      </w:r>
      <w:r w:rsidRPr="00292944">
        <w:rPr>
          <w:noProof/>
        </w:rPr>
        <w:fldChar w:fldCharType="begin"/>
      </w:r>
      <w:r w:rsidRPr="00292944">
        <w:rPr>
          <w:noProof/>
        </w:rPr>
        <w:instrText xml:space="preserve"> PAGEREF _Toc170547992 \h </w:instrText>
      </w:r>
      <w:r w:rsidRPr="00292944">
        <w:rPr>
          <w:noProof/>
        </w:rPr>
      </w:r>
      <w:r w:rsidRPr="00292944">
        <w:rPr>
          <w:noProof/>
        </w:rPr>
        <w:fldChar w:fldCharType="separate"/>
      </w:r>
      <w:r w:rsidR="00DE3E82">
        <w:rPr>
          <w:noProof/>
        </w:rPr>
        <w:t>153</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7</w:t>
      </w:r>
      <w:r>
        <w:rPr>
          <w:noProof/>
        </w:rPr>
        <w:tab/>
        <w:t>Contents of section 5 (How we invest your money)</w:t>
      </w:r>
      <w:r w:rsidRPr="00292944">
        <w:rPr>
          <w:noProof/>
        </w:rPr>
        <w:tab/>
      </w:r>
      <w:r w:rsidRPr="00292944">
        <w:rPr>
          <w:noProof/>
        </w:rPr>
        <w:fldChar w:fldCharType="begin"/>
      </w:r>
      <w:r w:rsidRPr="00292944">
        <w:rPr>
          <w:noProof/>
        </w:rPr>
        <w:instrText xml:space="preserve"> PAGEREF _Toc170547993 \h </w:instrText>
      </w:r>
      <w:r w:rsidRPr="00292944">
        <w:rPr>
          <w:noProof/>
        </w:rPr>
      </w:r>
      <w:r w:rsidRPr="00292944">
        <w:rPr>
          <w:noProof/>
        </w:rPr>
        <w:fldChar w:fldCharType="separate"/>
      </w:r>
      <w:r w:rsidR="00DE3E82">
        <w:rPr>
          <w:noProof/>
        </w:rPr>
        <w:t>153</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8</w:t>
      </w:r>
      <w:r>
        <w:rPr>
          <w:noProof/>
        </w:rPr>
        <w:tab/>
        <w:t>Contents of section 6 (Fees and costs)</w:t>
      </w:r>
      <w:r w:rsidRPr="00292944">
        <w:rPr>
          <w:noProof/>
        </w:rPr>
        <w:tab/>
      </w:r>
      <w:r w:rsidRPr="00292944">
        <w:rPr>
          <w:noProof/>
        </w:rPr>
        <w:fldChar w:fldCharType="begin"/>
      </w:r>
      <w:r w:rsidRPr="00292944">
        <w:rPr>
          <w:noProof/>
        </w:rPr>
        <w:instrText xml:space="preserve"> PAGEREF _Toc170547994 \h </w:instrText>
      </w:r>
      <w:r w:rsidRPr="00292944">
        <w:rPr>
          <w:noProof/>
        </w:rPr>
      </w:r>
      <w:r w:rsidRPr="00292944">
        <w:rPr>
          <w:noProof/>
        </w:rPr>
        <w:fldChar w:fldCharType="separate"/>
      </w:r>
      <w:r w:rsidR="00DE3E82">
        <w:rPr>
          <w:noProof/>
        </w:rPr>
        <w:t>155</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9</w:t>
      </w:r>
      <w:r>
        <w:rPr>
          <w:noProof/>
        </w:rPr>
        <w:tab/>
        <w:t>Contents of section 7 (How sub</w:t>
      </w:r>
      <w:r>
        <w:rPr>
          <w:noProof/>
        </w:rPr>
        <w:noBreakHyphen/>
        <w:t>funds of CCIVs are taxed)</w:t>
      </w:r>
      <w:r w:rsidRPr="00292944">
        <w:rPr>
          <w:noProof/>
        </w:rPr>
        <w:tab/>
      </w:r>
      <w:r w:rsidRPr="00292944">
        <w:rPr>
          <w:noProof/>
        </w:rPr>
        <w:fldChar w:fldCharType="begin"/>
      </w:r>
      <w:r w:rsidRPr="00292944">
        <w:rPr>
          <w:noProof/>
        </w:rPr>
        <w:instrText xml:space="preserve"> PAGEREF _Toc170547995 \h </w:instrText>
      </w:r>
      <w:r w:rsidRPr="00292944">
        <w:rPr>
          <w:noProof/>
        </w:rPr>
      </w:r>
      <w:r w:rsidRPr="00292944">
        <w:rPr>
          <w:noProof/>
        </w:rPr>
        <w:fldChar w:fldCharType="separate"/>
      </w:r>
      <w:r w:rsidR="00DE3E82">
        <w:rPr>
          <w:noProof/>
        </w:rPr>
        <w:t>157</w:t>
      </w:r>
      <w:r w:rsidRPr="00292944">
        <w:rPr>
          <w:noProof/>
        </w:rPr>
        <w:fldChar w:fldCharType="end"/>
      </w:r>
    </w:p>
    <w:p w:rsidR="00292944" w:rsidRDefault="00292944">
      <w:pPr>
        <w:pStyle w:val="TOC5"/>
        <w:rPr>
          <w:rFonts w:asciiTheme="minorHAnsi" w:eastAsiaTheme="minorEastAsia" w:hAnsiTheme="minorHAnsi" w:cstheme="minorBidi"/>
          <w:noProof/>
          <w:kern w:val="0"/>
          <w:sz w:val="22"/>
          <w:szCs w:val="22"/>
        </w:rPr>
      </w:pPr>
      <w:r>
        <w:rPr>
          <w:noProof/>
        </w:rPr>
        <w:t>10</w:t>
      </w:r>
      <w:r>
        <w:rPr>
          <w:noProof/>
        </w:rPr>
        <w:tab/>
        <w:t>Contents of section 8 (How to apply)</w:t>
      </w:r>
      <w:r w:rsidRPr="00292944">
        <w:rPr>
          <w:noProof/>
        </w:rPr>
        <w:tab/>
      </w:r>
      <w:r w:rsidRPr="00292944">
        <w:rPr>
          <w:noProof/>
        </w:rPr>
        <w:fldChar w:fldCharType="begin"/>
      </w:r>
      <w:r w:rsidRPr="00292944">
        <w:rPr>
          <w:noProof/>
        </w:rPr>
        <w:instrText xml:space="preserve"> PAGEREF _Toc170547996 \h </w:instrText>
      </w:r>
      <w:r w:rsidRPr="00292944">
        <w:rPr>
          <w:noProof/>
        </w:rPr>
      </w:r>
      <w:r w:rsidRPr="00292944">
        <w:rPr>
          <w:noProof/>
        </w:rPr>
        <w:fldChar w:fldCharType="separate"/>
      </w:r>
      <w:r w:rsidR="00DE3E82">
        <w:rPr>
          <w:noProof/>
        </w:rPr>
        <w:t>157</w:t>
      </w:r>
      <w:r w:rsidRPr="00292944">
        <w:rPr>
          <w:noProof/>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11—Persons who are not covered by section 1433 of the Act</w:t>
      </w:r>
      <w:r w:rsidRPr="00292944">
        <w:rPr>
          <w:b w:val="0"/>
          <w:noProof/>
          <w:sz w:val="18"/>
        </w:rPr>
        <w:tab/>
      </w:r>
      <w:r w:rsidRPr="00292944">
        <w:rPr>
          <w:b w:val="0"/>
          <w:noProof/>
          <w:sz w:val="18"/>
        </w:rPr>
        <w:fldChar w:fldCharType="begin"/>
      </w:r>
      <w:r w:rsidRPr="00292944">
        <w:rPr>
          <w:b w:val="0"/>
          <w:noProof/>
          <w:sz w:val="18"/>
        </w:rPr>
        <w:instrText xml:space="preserve"> PAGEREF _Toc170547997 \h </w:instrText>
      </w:r>
      <w:r w:rsidRPr="00292944">
        <w:rPr>
          <w:b w:val="0"/>
          <w:noProof/>
          <w:sz w:val="18"/>
        </w:rPr>
      </w:r>
      <w:r w:rsidRPr="00292944">
        <w:rPr>
          <w:b w:val="0"/>
          <w:noProof/>
          <w:sz w:val="18"/>
        </w:rPr>
        <w:fldChar w:fldCharType="separate"/>
      </w:r>
      <w:r w:rsidR="00DE3E82">
        <w:rPr>
          <w:b w:val="0"/>
          <w:noProof/>
          <w:sz w:val="18"/>
        </w:rPr>
        <w:t>158</w:t>
      </w:r>
      <w:r w:rsidRPr="00292944">
        <w:rPr>
          <w:b w:val="0"/>
          <w:noProof/>
          <w:sz w:val="18"/>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12—ASIC transitional standards</w:t>
      </w:r>
      <w:r w:rsidRPr="00292944">
        <w:rPr>
          <w:b w:val="0"/>
          <w:noProof/>
          <w:sz w:val="18"/>
        </w:rPr>
        <w:tab/>
      </w:r>
      <w:r w:rsidRPr="00292944">
        <w:rPr>
          <w:b w:val="0"/>
          <w:noProof/>
          <w:sz w:val="18"/>
        </w:rPr>
        <w:fldChar w:fldCharType="begin"/>
      </w:r>
      <w:r w:rsidRPr="00292944">
        <w:rPr>
          <w:b w:val="0"/>
          <w:noProof/>
          <w:sz w:val="18"/>
        </w:rPr>
        <w:instrText xml:space="preserve"> PAGEREF _Toc170547998 \h </w:instrText>
      </w:r>
      <w:r w:rsidRPr="00292944">
        <w:rPr>
          <w:b w:val="0"/>
          <w:noProof/>
          <w:sz w:val="18"/>
        </w:rPr>
      </w:r>
      <w:r w:rsidRPr="00292944">
        <w:rPr>
          <w:b w:val="0"/>
          <w:noProof/>
          <w:sz w:val="18"/>
        </w:rPr>
        <w:fldChar w:fldCharType="separate"/>
      </w:r>
      <w:r w:rsidR="00DE3E82">
        <w:rPr>
          <w:b w:val="0"/>
          <w:noProof/>
          <w:sz w:val="18"/>
        </w:rPr>
        <w:t>160</w:t>
      </w:r>
      <w:r w:rsidRPr="00292944">
        <w:rPr>
          <w:b w:val="0"/>
          <w:noProof/>
          <w:sz w:val="18"/>
        </w:rPr>
        <w:fldChar w:fldCharType="end"/>
      </w:r>
    </w:p>
    <w:p w:rsidR="00292944" w:rsidRDefault="00292944">
      <w:pPr>
        <w:pStyle w:val="TOC1"/>
        <w:rPr>
          <w:rFonts w:asciiTheme="minorHAnsi" w:eastAsiaTheme="minorEastAsia" w:hAnsiTheme="minorHAnsi" w:cstheme="minorBidi"/>
          <w:b w:val="0"/>
          <w:noProof/>
          <w:kern w:val="0"/>
          <w:sz w:val="22"/>
          <w:szCs w:val="22"/>
        </w:rPr>
      </w:pPr>
      <w:r>
        <w:rPr>
          <w:noProof/>
        </w:rPr>
        <w:t>Schedule 13—Transition to Part 3 of the Insolvency Practice Schedule (Corporations)</w:t>
      </w:r>
      <w:r w:rsidRPr="00292944">
        <w:rPr>
          <w:b w:val="0"/>
          <w:noProof/>
          <w:sz w:val="18"/>
        </w:rPr>
        <w:tab/>
      </w:r>
      <w:r w:rsidRPr="00292944">
        <w:rPr>
          <w:b w:val="0"/>
          <w:noProof/>
          <w:sz w:val="18"/>
        </w:rPr>
        <w:fldChar w:fldCharType="begin"/>
      </w:r>
      <w:r w:rsidRPr="00292944">
        <w:rPr>
          <w:b w:val="0"/>
          <w:noProof/>
          <w:sz w:val="18"/>
        </w:rPr>
        <w:instrText xml:space="preserve"> PAGEREF _Toc170547999 \h </w:instrText>
      </w:r>
      <w:r w:rsidRPr="00292944">
        <w:rPr>
          <w:b w:val="0"/>
          <w:noProof/>
          <w:sz w:val="18"/>
        </w:rPr>
      </w:r>
      <w:r w:rsidRPr="00292944">
        <w:rPr>
          <w:b w:val="0"/>
          <w:noProof/>
          <w:sz w:val="18"/>
        </w:rPr>
        <w:fldChar w:fldCharType="separate"/>
      </w:r>
      <w:r w:rsidR="00DE3E82">
        <w:rPr>
          <w:b w:val="0"/>
          <w:noProof/>
          <w:sz w:val="18"/>
        </w:rPr>
        <w:t>161</w:t>
      </w:r>
      <w:r w:rsidRPr="00292944">
        <w:rPr>
          <w:b w:val="0"/>
          <w:noProof/>
          <w:sz w:val="18"/>
        </w:rPr>
        <w:fldChar w:fldCharType="end"/>
      </w:r>
    </w:p>
    <w:p w:rsidR="003811A2" w:rsidRPr="006E709F" w:rsidRDefault="00DC7276" w:rsidP="009625E6">
      <w:pPr>
        <w:tabs>
          <w:tab w:val="left" w:pos="6521"/>
          <w:tab w:val="right" w:pos="7097"/>
          <w:tab w:val="left" w:pos="7230"/>
          <w:tab w:val="left" w:pos="7655"/>
        </w:tabs>
        <w:ind w:right="1792"/>
        <w:sectPr w:rsidR="003811A2" w:rsidRPr="006E709F" w:rsidSect="0054047A">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6E709F">
        <w:rPr>
          <w:rFonts w:cs="Times New Roman"/>
          <w:sz w:val="18"/>
        </w:rPr>
        <w:fldChar w:fldCharType="end"/>
      </w:r>
    </w:p>
    <w:p w:rsidR="002A22A4" w:rsidRPr="006E709F" w:rsidRDefault="00A801D0" w:rsidP="00A801D0">
      <w:pPr>
        <w:pStyle w:val="ActHead1"/>
        <w:pageBreakBefore/>
      </w:pPr>
      <w:bookmarkStart w:id="1" w:name="_Toc170547824"/>
      <w:r w:rsidRPr="000C4237">
        <w:rPr>
          <w:rStyle w:val="CharChapNo"/>
        </w:rPr>
        <w:lastRenderedPageBreak/>
        <w:t>Schedule</w:t>
      </w:r>
      <w:r w:rsidR="00DA13DE" w:rsidRPr="000C4237">
        <w:rPr>
          <w:rStyle w:val="CharChapNo"/>
        </w:rPr>
        <w:t> </w:t>
      </w:r>
      <w:r w:rsidR="002A22A4" w:rsidRPr="000C4237">
        <w:rPr>
          <w:rStyle w:val="CharChapNo"/>
        </w:rPr>
        <w:t>3</w:t>
      </w:r>
      <w:r w:rsidRPr="006E709F">
        <w:t>—</w:t>
      </w:r>
      <w:r w:rsidR="002A22A4" w:rsidRPr="000C4237">
        <w:rPr>
          <w:rStyle w:val="CharChapText"/>
        </w:rPr>
        <w:t>Specified offices</w:t>
      </w:r>
      <w:bookmarkEnd w:id="1"/>
    </w:p>
    <w:p w:rsidR="002A22A4" w:rsidRPr="006E709F" w:rsidRDefault="002A22A4" w:rsidP="00A801D0">
      <w:pPr>
        <w:pStyle w:val="notemargin"/>
      </w:pPr>
      <w:r w:rsidRPr="006E709F">
        <w:t>(regulation</w:t>
      </w:r>
      <w:r w:rsidR="00DA13DE" w:rsidRPr="006E709F">
        <w:t> </w:t>
      </w:r>
      <w:r w:rsidRPr="006E709F">
        <w:t>6.2.02)</w:t>
      </w:r>
    </w:p>
    <w:p w:rsidR="002A22A4" w:rsidRPr="006E709F" w:rsidRDefault="00A801D0" w:rsidP="002A22A4">
      <w:pPr>
        <w:pStyle w:val="Header"/>
      </w:pPr>
      <w:r w:rsidRPr="000C4237">
        <w:rPr>
          <w:rStyle w:val="CharPartNo"/>
        </w:rPr>
        <w:t xml:space="preserve"> </w:t>
      </w:r>
      <w:r w:rsidRPr="000C4237">
        <w:rPr>
          <w:rStyle w:val="CharPartText"/>
        </w:rPr>
        <w:t xml:space="preserve"> </w:t>
      </w:r>
    </w:p>
    <w:p w:rsidR="00A801D0" w:rsidRPr="006E709F"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79"/>
        <w:gridCol w:w="2472"/>
        <w:gridCol w:w="2472"/>
        <w:gridCol w:w="2306"/>
      </w:tblGrid>
      <w:tr w:rsidR="002A22A4" w:rsidRPr="006E709F" w:rsidTr="00E118FA">
        <w:trPr>
          <w:tblHeader/>
        </w:trPr>
        <w:tc>
          <w:tcPr>
            <w:tcW w:w="750" w:type="pct"/>
            <w:tcBorders>
              <w:top w:val="single" w:sz="12" w:space="0" w:color="auto"/>
              <w:bottom w:val="single" w:sz="6" w:space="0" w:color="auto"/>
            </w:tcBorders>
            <w:shd w:val="clear" w:color="auto" w:fill="auto"/>
          </w:tcPr>
          <w:p w:rsidR="002A22A4" w:rsidRPr="006E709F" w:rsidRDefault="002A22A4" w:rsidP="00A801D0">
            <w:pPr>
              <w:pStyle w:val="TableHeading"/>
            </w:pPr>
            <w:r w:rsidRPr="006E709F">
              <w:t>Column 1</w:t>
            </w:r>
          </w:p>
        </w:tc>
        <w:tc>
          <w:tcPr>
            <w:tcW w:w="1449" w:type="pct"/>
            <w:tcBorders>
              <w:top w:val="single" w:sz="12" w:space="0" w:color="auto"/>
              <w:bottom w:val="single" w:sz="6" w:space="0" w:color="auto"/>
            </w:tcBorders>
            <w:shd w:val="clear" w:color="auto" w:fill="auto"/>
          </w:tcPr>
          <w:p w:rsidR="002A22A4" w:rsidRPr="006E709F" w:rsidRDefault="002A22A4" w:rsidP="00A801D0">
            <w:pPr>
              <w:pStyle w:val="TableHeading"/>
            </w:pPr>
            <w:r w:rsidRPr="006E709F">
              <w:t>Column 2</w:t>
            </w:r>
          </w:p>
        </w:tc>
        <w:tc>
          <w:tcPr>
            <w:tcW w:w="1449" w:type="pct"/>
            <w:tcBorders>
              <w:top w:val="single" w:sz="12" w:space="0" w:color="auto"/>
              <w:bottom w:val="single" w:sz="6" w:space="0" w:color="auto"/>
            </w:tcBorders>
            <w:shd w:val="clear" w:color="auto" w:fill="auto"/>
          </w:tcPr>
          <w:p w:rsidR="002A22A4" w:rsidRPr="006E709F" w:rsidRDefault="002A22A4" w:rsidP="00A801D0">
            <w:pPr>
              <w:pStyle w:val="TableHeading"/>
            </w:pPr>
            <w:r w:rsidRPr="006E709F">
              <w:t>Column 3</w:t>
            </w:r>
          </w:p>
        </w:tc>
        <w:tc>
          <w:tcPr>
            <w:tcW w:w="1352" w:type="pct"/>
            <w:tcBorders>
              <w:top w:val="single" w:sz="12" w:space="0" w:color="auto"/>
              <w:bottom w:val="single" w:sz="6" w:space="0" w:color="auto"/>
            </w:tcBorders>
            <w:shd w:val="clear" w:color="auto" w:fill="auto"/>
          </w:tcPr>
          <w:p w:rsidR="002A22A4" w:rsidRPr="006E709F" w:rsidRDefault="002A22A4" w:rsidP="00A801D0">
            <w:pPr>
              <w:pStyle w:val="TableHeading"/>
            </w:pPr>
            <w:r w:rsidRPr="006E709F">
              <w:t>Column 4</w:t>
            </w:r>
          </w:p>
        </w:tc>
      </w:tr>
      <w:tr w:rsidR="002A22A4" w:rsidRPr="006E709F" w:rsidTr="00E118FA">
        <w:trPr>
          <w:tblHeader/>
        </w:trPr>
        <w:tc>
          <w:tcPr>
            <w:tcW w:w="750" w:type="pct"/>
            <w:tcBorders>
              <w:top w:val="single" w:sz="6" w:space="0" w:color="auto"/>
              <w:bottom w:val="single" w:sz="12" w:space="0" w:color="auto"/>
            </w:tcBorders>
            <w:shd w:val="clear" w:color="auto" w:fill="auto"/>
          </w:tcPr>
          <w:p w:rsidR="002A22A4" w:rsidRPr="006E709F" w:rsidRDefault="002A22A4" w:rsidP="000858E6">
            <w:pPr>
              <w:pStyle w:val="TableHeading"/>
            </w:pPr>
            <w:r w:rsidRPr="006E709F">
              <w:t>Item</w:t>
            </w:r>
          </w:p>
        </w:tc>
        <w:tc>
          <w:tcPr>
            <w:tcW w:w="1449" w:type="pct"/>
            <w:tcBorders>
              <w:top w:val="single" w:sz="6" w:space="0" w:color="auto"/>
              <w:bottom w:val="single" w:sz="12" w:space="0" w:color="auto"/>
            </w:tcBorders>
            <w:shd w:val="clear" w:color="auto" w:fill="auto"/>
          </w:tcPr>
          <w:p w:rsidR="002A22A4" w:rsidRPr="006E709F" w:rsidRDefault="002A22A4" w:rsidP="000858E6">
            <w:pPr>
              <w:pStyle w:val="TableHeading"/>
            </w:pPr>
            <w:r w:rsidRPr="006E709F">
              <w:t>Office</w:t>
            </w:r>
          </w:p>
        </w:tc>
        <w:tc>
          <w:tcPr>
            <w:tcW w:w="1449" w:type="pct"/>
            <w:tcBorders>
              <w:top w:val="single" w:sz="6" w:space="0" w:color="auto"/>
              <w:bottom w:val="single" w:sz="12" w:space="0" w:color="auto"/>
            </w:tcBorders>
            <w:shd w:val="clear" w:color="auto" w:fill="auto"/>
          </w:tcPr>
          <w:p w:rsidR="002A22A4" w:rsidRPr="006E709F" w:rsidRDefault="002A22A4" w:rsidP="000858E6">
            <w:pPr>
              <w:pStyle w:val="TableHeading"/>
            </w:pPr>
            <w:r w:rsidRPr="006E709F">
              <w:t>Law</w:t>
            </w:r>
          </w:p>
        </w:tc>
        <w:tc>
          <w:tcPr>
            <w:tcW w:w="1352" w:type="pct"/>
            <w:tcBorders>
              <w:top w:val="single" w:sz="6" w:space="0" w:color="auto"/>
              <w:bottom w:val="single" w:sz="12" w:space="0" w:color="auto"/>
            </w:tcBorders>
            <w:shd w:val="clear" w:color="auto" w:fill="auto"/>
          </w:tcPr>
          <w:p w:rsidR="002A22A4" w:rsidRPr="006E709F" w:rsidRDefault="002A22A4" w:rsidP="000858E6">
            <w:pPr>
              <w:pStyle w:val="TableHeading"/>
            </w:pPr>
            <w:r w:rsidRPr="006E709F">
              <w:t>Jurisdiction</w:t>
            </w:r>
          </w:p>
        </w:tc>
      </w:tr>
      <w:tr w:rsidR="002A22A4" w:rsidRPr="006E709F" w:rsidTr="00E118FA">
        <w:tc>
          <w:tcPr>
            <w:tcW w:w="750" w:type="pct"/>
            <w:tcBorders>
              <w:top w:val="single" w:sz="12" w:space="0" w:color="auto"/>
            </w:tcBorders>
            <w:shd w:val="clear" w:color="auto" w:fill="auto"/>
          </w:tcPr>
          <w:p w:rsidR="002A22A4" w:rsidRPr="006E709F" w:rsidRDefault="002A22A4" w:rsidP="00A801D0">
            <w:pPr>
              <w:pStyle w:val="Tabletext"/>
            </w:pPr>
            <w:r w:rsidRPr="006E709F">
              <w:t>1</w:t>
            </w:r>
          </w:p>
        </w:tc>
        <w:tc>
          <w:tcPr>
            <w:tcW w:w="1449" w:type="pct"/>
            <w:tcBorders>
              <w:top w:val="single" w:sz="12" w:space="0" w:color="auto"/>
            </w:tcBorders>
            <w:shd w:val="clear" w:color="auto" w:fill="auto"/>
          </w:tcPr>
          <w:p w:rsidR="002A22A4" w:rsidRPr="006E709F" w:rsidRDefault="002A22A4" w:rsidP="00A801D0">
            <w:pPr>
              <w:pStyle w:val="Tabletext"/>
            </w:pPr>
            <w:r w:rsidRPr="006E709F">
              <w:t>Treasurer</w:t>
            </w:r>
          </w:p>
        </w:tc>
        <w:tc>
          <w:tcPr>
            <w:tcW w:w="1449" w:type="pct"/>
            <w:tcBorders>
              <w:top w:val="single" w:sz="12" w:space="0" w:color="auto"/>
            </w:tcBorders>
            <w:shd w:val="clear" w:color="auto" w:fill="auto"/>
          </w:tcPr>
          <w:p w:rsidR="002A22A4" w:rsidRPr="006E709F" w:rsidRDefault="002A22A4" w:rsidP="00C328E8">
            <w:pPr>
              <w:pStyle w:val="Tabletext"/>
            </w:pPr>
          </w:p>
        </w:tc>
        <w:tc>
          <w:tcPr>
            <w:tcW w:w="1352" w:type="pct"/>
            <w:tcBorders>
              <w:top w:val="single" w:sz="12" w:space="0" w:color="auto"/>
            </w:tcBorders>
            <w:shd w:val="clear" w:color="auto" w:fill="auto"/>
          </w:tcPr>
          <w:p w:rsidR="002A22A4" w:rsidRPr="006E709F" w:rsidRDefault="002A22A4" w:rsidP="00A801D0">
            <w:pPr>
              <w:pStyle w:val="Tabletext"/>
            </w:pPr>
            <w:r w:rsidRPr="006E709F">
              <w:t>Commonwealth</w:t>
            </w:r>
          </w:p>
        </w:tc>
      </w:tr>
      <w:tr w:rsidR="002A22A4" w:rsidRPr="006E709F" w:rsidTr="00E118FA">
        <w:tc>
          <w:tcPr>
            <w:tcW w:w="750" w:type="pct"/>
            <w:shd w:val="clear" w:color="auto" w:fill="auto"/>
          </w:tcPr>
          <w:p w:rsidR="002A22A4" w:rsidRPr="006E709F" w:rsidRDefault="002A22A4" w:rsidP="00A801D0">
            <w:pPr>
              <w:pStyle w:val="Tabletext"/>
            </w:pPr>
            <w:r w:rsidRPr="006E709F">
              <w:t>2</w:t>
            </w:r>
          </w:p>
        </w:tc>
        <w:tc>
          <w:tcPr>
            <w:tcW w:w="1449" w:type="pct"/>
            <w:shd w:val="clear" w:color="auto" w:fill="auto"/>
          </w:tcPr>
          <w:p w:rsidR="002A22A4" w:rsidRPr="006E709F" w:rsidRDefault="002A22A4" w:rsidP="00A801D0">
            <w:pPr>
              <w:pStyle w:val="Tabletext"/>
            </w:pPr>
            <w:r w:rsidRPr="006E709F">
              <w:t>Trustee</w:t>
            </w:r>
          </w:p>
        </w:tc>
        <w:tc>
          <w:tcPr>
            <w:tcW w:w="1449" w:type="pct"/>
            <w:shd w:val="clear" w:color="auto" w:fill="auto"/>
          </w:tcPr>
          <w:p w:rsidR="002A22A4" w:rsidRPr="006E709F" w:rsidRDefault="002A22A4" w:rsidP="00A801D0">
            <w:pPr>
              <w:pStyle w:val="Tabletext"/>
            </w:pPr>
            <w:r w:rsidRPr="006E709F">
              <w:t xml:space="preserve">Parts IV, X and XI of the </w:t>
            </w:r>
            <w:r w:rsidRPr="006E709F">
              <w:rPr>
                <w:i/>
              </w:rPr>
              <w:t>Bankruptcy Act 1966</w:t>
            </w:r>
          </w:p>
        </w:tc>
        <w:tc>
          <w:tcPr>
            <w:tcW w:w="1352" w:type="pct"/>
            <w:shd w:val="clear" w:color="auto" w:fill="auto"/>
          </w:tcPr>
          <w:p w:rsidR="002A22A4" w:rsidRPr="006E709F" w:rsidRDefault="002A22A4" w:rsidP="00A801D0">
            <w:pPr>
              <w:pStyle w:val="Tabletext"/>
            </w:pPr>
            <w:r w:rsidRPr="006E709F">
              <w:t>Commonwealth</w:t>
            </w:r>
          </w:p>
        </w:tc>
      </w:tr>
      <w:tr w:rsidR="002A22A4" w:rsidRPr="006E709F" w:rsidTr="00E118FA">
        <w:tc>
          <w:tcPr>
            <w:tcW w:w="750" w:type="pct"/>
            <w:shd w:val="clear" w:color="auto" w:fill="auto"/>
          </w:tcPr>
          <w:p w:rsidR="002A22A4" w:rsidRPr="006E709F" w:rsidRDefault="002A22A4" w:rsidP="00A801D0">
            <w:pPr>
              <w:pStyle w:val="Tabletext"/>
            </w:pPr>
            <w:r w:rsidRPr="006E709F">
              <w:t>3</w:t>
            </w:r>
          </w:p>
        </w:tc>
        <w:tc>
          <w:tcPr>
            <w:tcW w:w="1449" w:type="pct"/>
            <w:shd w:val="clear" w:color="auto" w:fill="auto"/>
          </w:tcPr>
          <w:p w:rsidR="002A22A4" w:rsidRPr="006E709F" w:rsidRDefault="002A22A4" w:rsidP="00A801D0">
            <w:pPr>
              <w:pStyle w:val="Tabletext"/>
            </w:pPr>
            <w:r w:rsidRPr="006E709F">
              <w:t>Chairperson of the Australian Securities and Investments Commission</w:t>
            </w:r>
          </w:p>
        </w:tc>
        <w:tc>
          <w:tcPr>
            <w:tcW w:w="1449" w:type="pct"/>
            <w:shd w:val="clear" w:color="auto" w:fill="auto"/>
          </w:tcPr>
          <w:p w:rsidR="002A22A4" w:rsidRPr="006E709F" w:rsidRDefault="002A22A4" w:rsidP="00A801D0">
            <w:pPr>
              <w:pStyle w:val="Tabletext"/>
            </w:pPr>
            <w:r w:rsidRPr="006E709F">
              <w:rPr>
                <w:i/>
              </w:rPr>
              <w:t>Australian Securities and Investments Commission Act 2001</w:t>
            </w:r>
          </w:p>
        </w:tc>
        <w:tc>
          <w:tcPr>
            <w:tcW w:w="1352" w:type="pct"/>
            <w:shd w:val="clear" w:color="auto" w:fill="auto"/>
          </w:tcPr>
          <w:p w:rsidR="002A22A4" w:rsidRPr="006E709F" w:rsidRDefault="002A22A4" w:rsidP="00A801D0">
            <w:pPr>
              <w:pStyle w:val="Tabletext"/>
            </w:pPr>
            <w:r w:rsidRPr="006E709F">
              <w:t>Commonwealth</w:t>
            </w:r>
          </w:p>
        </w:tc>
      </w:tr>
      <w:tr w:rsidR="002A22A4" w:rsidRPr="006E709F" w:rsidTr="00E118FA">
        <w:tc>
          <w:tcPr>
            <w:tcW w:w="750" w:type="pct"/>
            <w:shd w:val="clear" w:color="auto" w:fill="auto"/>
          </w:tcPr>
          <w:p w:rsidR="002A22A4" w:rsidRPr="006E709F" w:rsidRDefault="002A22A4" w:rsidP="00A801D0">
            <w:pPr>
              <w:pStyle w:val="Tabletext"/>
            </w:pPr>
            <w:r w:rsidRPr="006E709F">
              <w:t>4</w:t>
            </w:r>
          </w:p>
        </w:tc>
        <w:tc>
          <w:tcPr>
            <w:tcW w:w="1449" w:type="pct"/>
            <w:shd w:val="clear" w:color="auto" w:fill="auto"/>
          </w:tcPr>
          <w:p w:rsidR="002A22A4" w:rsidRPr="006E709F" w:rsidRDefault="002A22A4" w:rsidP="00A801D0">
            <w:pPr>
              <w:pStyle w:val="Tabletext"/>
            </w:pPr>
            <w:r w:rsidRPr="006E709F">
              <w:t>Deputy Chairperson of the Australian Securities and Investments Commission</w:t>
            </w:r>
          </w:p>
        </w:tc>
        <w:tc>
          <w:tcPr>
            <w:tcW w:w="1449" w:type="pct"/>
            <w:shd w:val="clear" w:color="auto" w:fill="auto"/>
          </w:tcPr>
          <w:p w:rsidR="002A22A4" w:rsidRPr="006E709F" w:rsidRDefault="002A22A4" w:rsidP="00A801D0">
            <w:pPr>
              <w:pStyle w:val="Tabletext"/>
            </w:pPr>
            <w:r w:rsidRPr="006E709F">
              <w:rPr>
                <w:i/>
              </w:rPr>
              <w:t>Australian Securities and Investments Commission Act 2001</w:t>
            </w:r>
          </w:p>
        </w:tc>
        <w:tc>
          <w:tcPr>
            <w:tcW w:w="1352" w:type="pct"/>
            <w:shd w:val="clear" w:color="auto" w:fill="auto"/>
          </w:tcPr>
          <w:p w:rsidR="002A22A4" w:rsidRPr="006E709F" w:rsidRDefault="002A22A4" w:rsidP="00A801D0">
            <w:pPr>
              <w:pStyle w:val="Tabletext"/>
            </w:pPr>
            <w:r w:rsidRPr="006E709F">
              <w:t>Commonwealth</w:t>
            </w:r>
          </w:p>
        </w:tc>
      </w:tr>
      <w:tr w:rsidR="002A22A4" w:rsidRPr="006E709F" w:rsidTr="00E118FA">
        <w:tc>
          <w:tcPr>
            <w:tcW w:w="750" w:type="pct"/>
            <w:shd w:val="clear" w:color="auto" w:fill="auto"/>
          </w:tcPr>
          <w:p w:rsidR="002A22A4" w:rsidRPr="006E709F" w:rsidRDefault="002A22A4" w:rsidP="00A801D0">
            <w:pPr>
              <w:pStyle w:val="Tabletext"/>
            </w:pPr>
            <w:r w:rsidRPr="006E709F">
              <w:t>5</w:t>
            </w:r>
          </w:p>
        </w:tc>
        <w:tc>
          <w:tcPr>
            <w:tcW w:w="1449" w:type="pct"/>
            <w:shd w:val="clear" w:color="auto" w:fill="auto"/>
          </w:tcPr>
          <w:p w:rsidR="002A22A4" w:rsidRPr="006E709F" w:rsidRDefault="002A22A4" w:rsidP="00A801D0">
            <w:pPr>
              <w:pStyle w:val="Tabletext"/>
            </w:pPr>
            <w:r w:rsidRPr="006E709F">
              <w:t>Member of the Australian Securities and Investments Commission</w:t>
            </w:r>
          </w:p>
        </w:tc>
        <w:tc>
          <w:tcPr>
            <w:tcW w:w="1449" w:type="pct"/>
            <w:shd w:val="clear" w:color="auto" w:fill="auto"/>
          </w:tcPr>
          <w:p w:rsidR="002A22A4" w:rsidRPr="006E709F" w:rsidRDefault="002A22A4" w:rsidP="00A801D0">
            <w:pPr>
              <w:pStyle w:val="Tabletext"/>
            </w:pPr>
            <w:r w:rsidRPr="006E709F">
              <w:rPr>
                <w:i/>
              </w:rPr>
              <w:t>Australian Securities and Investments Commission Act 2001</w:t>
            </w:r>
          </w:p>
        </w:tc>
        <w:tc>
          <w:tcPr>
            <w:tcW w:w="1352" w:type="pct"/>
            <w:shd w:val="clear" w:color="auto" w:fill="auto"/>
          </w:tcPr>
          <w:p w:rsidR="002A22A4" w:rsidRPr="006E709F" w:rsidRDefault="002A22A4" w:rsidP="00A801D0">
            <w:pPr>
              <w:pStyle w:val="Tabletext"/>
            </w:pPr>
            <w:r w:rsidRPr="006E709F">
              <w:t>Commonwealth</w:t>
            </w:r>
          </w:p>
        </w:tc>
      </w:tr>
      <w:tr w:rsidR="002A22A4" w:rsidRPr="006E709F" w:rsidTr="00E118FA">
        <w:tc>
          <w:tcPr>
            <w:tcW w:w="750" w:type="pct"/>
            <w:shd w:val="clear" w:color="auto" w:fill="auto"/>
          </w:tcPr>
          <w:p w:rsidR="002A22A4" w:rsidRPr="006E709F" w:rsidRDefault="002A22A4" w:rsidP="00A801D0">
            <w:pPr>
              <w:pStyle w:val="Tabletext"/>
            </w:pPr>
            <w:r w:rsidRPr="006E709F">
              <w:t>7</w:t>
            </w:r>
          </w:p>
        </w:tc>
        <w:tc>
          <w:tcPr>
            <w:tcW w:w="1449" w:type="pct"/>
            <w:shd w:val="clear" w:color="auto" w:fill="auto"/>
          </w:tcPr>
          <w:p w:rsidR="002A22A4" w:rsidRPr="006E709F" w:rsidRDefault="002A22A4" w:rsidP="00A801D0">
            <w:pPr>
              <w:pStyle w:val="Tabletext"/>
            </w:pPr>
            <w:r w:rsidRPr="006E709F">
              <w:rPr>
                <w:color w:val="000000"/>
              </w:rPr>
              <w:t>Member of the Takeovers Panel</w:t>
            </w:r>
          </w:p>
        </w:tc>
        <w:tc>
          <w:tcPr>
            <w:tcW w:w="1449" w:type="pct"/>
            <w:shd w:val="clear" w:color="auto" w:fill="auto"/>
          </w:tcPr>
          <w:p w:rsidR="002A22A4" w:rsidRPr="006E709F" w:rsidRDefault="002A22A4" w:rsidP="00A801D0">
            <w:pPr>
              <w:pStyle w:val="Tabletext"/>
            </w:pPr>
            <w:r w:rsidRPr="006E709F">
              <w:rPr>
                <w:i/>
              </w:rPr>
              <w:t>Australian Securities and Investments Commission Act 2001</w:t>
            </w:r>
          </w:p>
        </w:tc>
        <w:tc>
          <w:tcPr>
            <w:tcW w:w="1352" w:type="pct"/>
            <w:shd w:val="clear" w:color="auto" w:fill="auto"/>
          </w:tcPr>
          <w:p w:rsidR="002A22A4" w:rsidRPr="006E709F" w:rsidRDefault="002A22A4" w:rsidP="00A801D0">
            <w:pPr>
              <w:pStyle w:val="Tabletext"/>
            </w:pPr>
            <w:r w:rsidRPr="006E709F">
              <w:t>Commonwealth</w:t>
            </w:r>
          </w:p>
        </w:tc>
      </w:tr>
      <w:tr w:rsidR="002A22A4" w:rsidRPr="006E709F" w:rsidTr="00E118FA">
        <w:tc>
          <w:tcPr>
            <w:tcW w:w="750" w:type="pct"/>
            <w:shd w:val="clear" w:color="auto" w:fill="auto"/>
          </w:tcPr>
          <w:p w:rsidR="002A22A4" w:rsidRPr="006E709F" w:rsidRDefault="002A22A4" w:rsidP="00A801D0">
            <w:pPr>
              <w:pStyle w:val="Tabletext"/>
            </w:pPr>
            <w:r w:rsidRPr="006E709F">
              <w:t>8</w:t>
            </w:r>
          </w:p>
        </w:tc>
        <w:tc>
          <w:tcPr>
            <w:tcW w:w="1449" w:type="pct"/>
            <w:shd w:val="clear" w:color="auto" w:fill="auto"/>
          </w:tcPr>
          <w:p w:rsidR="002A22A4" w:rsidRPr="006E709F" w:rsidRDefault="002A22A4" w:rsidP="00A801D0">
            <w:pPr>
              <w:pStyle w:val="Tabletext"/>
            </w:pPr>
            <w:r w:rsidRPr="006E709F">
              <w:t>Treasurer</w:t>
            </w:r>
          </w:p>
        </w:tc>
        <w:tc>
          <w:tcPr>
            <w:tcW w:w="1449" w:type="pct"/>
            <w:shd w:val="clear" w:color="auto" w:fill="auto"/>
          </w:tcPr>
          <w:p w:rsidR="002A22A4" w:rsidRPr="006E709F" w:rsidRDefault="002A22A4" w:rsidP="00C328E8">
            <w:pPr>
              <w:pStyle w:val="Tabletext"/>
            </w:pPr>
          </w:p>
        </w:tc>
        <w:tc>
          <w:tcPr>
            <w:tcW w:w="1352" w:type="pct"/>
            <w:shd w:val="clear" w:color="auto" w:fill="auto"/>
          </w:tcPr>
          <w:p w:rsidR="002A22A4" w:rsidRPr="006E709F" w:rsidRDefault="002A22A4" w:rsidP="00A801D0">
            <w:pPr>
              <w:pStyle w:val="Tabletext"/>
            </w:pPr>
            <w:r w:rsidRPr="006E709F">
              <w:t>Western Australia</w:t>
            </w:r>
          </w:p>
        </w:tc>
      </w:tr>
      <w:tr w:rsidR="002A22A4" w:rsidRPr="006E709F" w:rsidTr="00E118FA">
        <w:tc>
          <w:tcPr>
            <w:tcW w:w="750" w:type="pct"/>
            <w:shd w:val="clear" w:color="auto" w:fill="auto"/>
          </w:tcPr>
          <w:p w:rsidR="002A22A4" w:rsidRPr="006E709F" w:rsidRDefault="002A22A4" w:rsidP="00A801D0">
            <w:pPr>
              <w:pStyle w:val="Tabletext"/>
            </w:pPr>
            <w:r w:rsidRPr="006E709F">
              <w:t>9</w:t>
            </w:r>
          </w:p>
        </w:tc>
        <w:tc>
          <w:tcPr>
            <w:tcW w:w="1449" w:type="pct"/>
            <w:shd w:val="clear" w:color="auto" w:fill="auto"/>
          </w:tcPr>
          <w:p w:rsidR="002A22A4" w:rsidRPr="006E709F" w:rsidRDefault="002A22A4" w:rsidP="00A801D0">
            <w:pPr>
              <w:pStyle w:val="Tabletext"/>
            </w:pPr>
            <w:r w:rsidRPr="006E709F">
              <w:t>Commissioner for Corporate Affairs</w:t>
            </w:r>
          </w:p>
        </w:tc>
        <w:tc>
          <w:tcPr>
            <w:tcW w:w="1449" w:type="pct"/>
            <w:shd w:val="clear" w:color="auto" w:fill="auto"/>
          </w:tcPr>
          <w:p w:rsidR="002A22A4" w:rsidRPr="006E709F" w:rsidRDefault="002A22A4" w:rsidP="00C328E8">
            <w:pPr>
              <w:pStyle w:val="Tabletext"/>
            </w:pPr>
          </w:p>
        </w:tc>
        <w:tc>
          <w:tcPr>
            <w:tcW w:w="1352" w:type="pct"/>
            <w:shd w:val="clear" w:color="auto" w:fill="auto"/>
          </w:tcPr>
          <w:p w:rsidR="002A22A4" w:rsidRPr="006E709F" w:rsidRDefault="002A22A4" w:rsidP="00A801D0">
            <w:pPr>
              <w:pStyle w:val="Tabletext"/>
            </w:pPr>
            <w:r w:rsidRPr="006E709F">
              <w:t>Western Australia</w:t>
            </w:r>
          </w:p>
        </w:tc>
      </w:tr>
      <w:tr w:rsidR="002A22A4" w:rsidRPr="006E709F" w:rsidTr="00E118FA">
        <w:tc>
          <w:tcPr>
            <w:tcW w:w="750" w:type="pct"/>
            <w:shd w:val="clear" w:color="auto" w:fill="auto"/>
          </w:tcPr>
          <w:p w:rsidR="002A22A4" w:rsidRPr="006E709F" w:rsidRDefault="002A22A4" w:rsidP="00A801D0">
            <w:pPr>
              <w:pStyle w:val="Tabletext"/>
            </w:pPr>
            <w:r w:rsidRPr="006E709F">
              <w:t>10</w:t>
            </w:r>
          </w:p>
        </w:tc>
        <w:tc>
          <w:tcPr>
            <w:tcW w:w="1449" w:type="pct"/>
            <w:shd w:val="clear" w:color="auto" w:fill="auto"/>
          </w:tcPr>
          <w:p w:rsidR="002A22A4" w:rsidRPr="006E709F" w:rsidRDefault="002A22A4" w:rsidP="00A801D0">
            <w:pPr>
              <w:pStyle w:val="Tabletext"/>
            </w:pPr>
            <w:r w:rsidRPr="006E709F">
              <w:t>Public Trustee</w:t>
            </w:r>
          </w:p>
        </w:tc>
        <w:tc>
          <w:tcPr>
            <w:tcW w:w="1449" w:type="pct"/>
            <w:shd w:val="clear" w:color="auto" w:fill="auto"/>
          </w:tcPr>
          <w:p w:rsidR="002A22A4" w:rsidRPr="006E709F" w:rsidRDefault="002A22A4" w:rsidP="00A801D0">
            <w:pPr>
              <w:pStyle w:val="Tabletext"/>
            </w:pPr>
            <w:r w:rsidRPr="006E709F">
              <w:rPr>
                <w:i/>
              </w:rPr>
              <w:t>Public Trustee Act 1941</w:t>
            </w:r>
          </w:p>
        </w:tc>
        <w:tc>
          <w:tcPr>
            <w:tcW w:w="1352" w:type="pct"/>
            <w:shd w:val="clear" w:color="auto" w:fill="auto"/>
          </w:tcPr>
          <w:p w:rsidR="002A22A4" w:rsidRPr="006E709F" w:rsidRDefault="002A22A4" w:rsidP="00A801D0">
            <w:pPr>
              <w:pStyle w:val="Tabletext"/>
            </w:pPr>
            <w:r w:rsidRPr="006E709F">
              <w:t>Western Australia</w:t>
            </w:r>
          </w:p>
        </w:tc>
      </w:tr>
      <w:tr w:rsidR="002A22A4" w:rsidRPr="006E709F" w:rsidTr="00E118FA">
        <w:tc>
          <w:tcPr>
            <w:tcW w:w="750" w:type="pct"/>
            <w:shd w:val="clear" w:color="auto" w:fill="auto"/>
          </w:tcPr>
          <w:p w:rsidR="002A22A4" w:rsidRPr="006E709F" w:rsidRDefault="002A22A4" w:rsidP="00A801D0">
            <w:pPr>
              <w:pStyle w:val="Tabletext"/>
            </w:pPr>
            <w:r w:rsidRPr="006E709F">
              <w:t>11</w:t>
            </w:r>
          </w:p>
        </w:tc>
        <w:tc>
          <w:tcPr>
            <w:tcW w:w="1449" w:type="pct"/>
            <w:shd w:val="clear" w:color="auto" w:fill="auto"/>
          </w:tcPr>
          <w:p w:rsidR="002A22A4" w:rsidRPr="006E709F" w:rsidRDefault="002A22A4" w:rsidP="00A801D0">
            <w:pPr>
              <w:pStyle w:val="Tabletext"/>
            </w:pPr>
            <w:r w:rsidRPr="006E709F">
              <w:t>Master of the Supreme Court</w:t>
            </w:r>
          </w:p>
        </w:tc>
        <w:tc>
          <w:tcPr>
            <w:tcW w:w="1449" w:type="pct"/>
            <w:shd w:val="clear" w:color="auto" w:fill="auto"/>
          </w:tcPr>
          <w:p w:rsidR="002A22A4" w:rsidRPr="006E709F" w:rsidRDefault="002A22A4" w:rsidP="00A801D0">
            <w:pPr>
              <w:pStyle w:val="Tabletext"/>
            </w:pPr>
            <w:r w:rsidRPr="006E709F">
              <w:rPr>
                <w:i/>
              </w:rPr>
              <w:t>Supreme Court Act 1935</w:t>
            </w:r>
          </w:p>
        </w:tc>
        <w:tc>
          <w:tcPr>
            <w:tcW w:w="1352" w:type="pct"/>
            <w:shd w:val="clear" w:color="auto" w:fill="auto"/>
          </w:tcPr>
          <w:p w:rsidR="002A22A4" w:rsidRPr="006E709F" w:rsidRDefault="002A22A4" w:rsidP="00A801D0">
            <w:pPr>
              <w:pStyle w:val="Tabletext"/>
            </w:pPr>
            <w:r w:rsidRPr="006E709F">
              <w:t>Western Australia</w:t>
            </w:r>
          </w:p>
        </w:tc>
      </w:tr>
      <w:tr w:rsidR="002A22A4" w:rsidRPr="006E709F" w:rsidTr="00E118FA">
        <w:tc>
          <w:tcPr>
            <w:tcW w:w="750" w:type="pct"/>
            <w:shd w:val="clear" w:color="auto" w:fill="auto"/>
          </w:tcPr>
          <w:p w:rsidR="002A22A4" w:rsidRPr="006E709F" w:rsidRDefault="002A22A4" w:rsidP="00A801D0">
            <w:pPr>
              <w:pStyle w:val="Tabletext"/>
            </w:pPr>
            <w:r w:rsidRPr="006E709F">
              <w:t>12</w:t>
            </w:r>
          </w:p>
        </w:tc>
        <w:tc>
          <w:tcPr>
            <w:tcW w:w="1449" w:type="pct"/>
            <w:shd w:val="clear" w:color="auto" w:fill="auto"/>
          </w:tcPr>
          <w:p w:rsidR="002A22A4" w:rsidRPr="006E709F" w:rsidRDefault="002A22A4" w:rsidP="00A801D0">
            <w:pPr>
              <w:pStyle w:val="Tabletext"/>
            </w:pPr>
            <w:r w:rsidRPr="006E709F">
              <w:t>Registrar of the Supreme Court</w:t>
            </w:r>
          </w:p>
        </w:tc>
        <w:tc>
          <w:tcPr>
            <w:tcW w:w="1449" w:type="pct"/>
            <w:shd w:val="clear" w:color="auto" w:fill="auto"/>
          </w:tcPr>
          <w:p w:rsidR="002A22A4" w:rsidRPr="006E709F" w:rsidRDefault="002A22A4" w:rsidP="00A801D0">
            <w:pPr>
              <w:pStyle w:val="Tabletext"/>
            </w:pPr>
            <w:r w:rsidRPr="006E709F">
              <w:rPr>
                <w:i/>
              </w:rPr>
              <w:t>Supreme Court Act 1935</w:t>
            </w:r>
          </w:p>
        </w:tc>
        <w:tc>
          <w:tcPr>
            <w:tcW w:w="1352" w:type="pct"/>
            <w:shd w:val="clear" w:color="auto" w:fill="auto"/>
          </w:tcPr>
          <w:p w:rsidR="002A22A4" w:rsidRPr="006E709F" w:rsidRDefault="002A22A4" w:rsidP="00A801D0">
            <w:pPr>
              <w:pStyle w:val="Tabletext"/>
            </w:pPr>
            <w:r w:rsidRPr="006E709F">
              <w:t>Western Australia</w:t>
            </w:r>
          </w:p>
        </w:tc>
      </w:tr>
      <w:tr w:rsidR="002A22A4" w:rsidRPr="006E709F" w:rsidTr="00E118FA">
        <w:tc>
          <w:tcPr>
            <w:tcW w:w="750" w:type="pct"/>
            <w:tcBorders>
              <w:bottom w:val="single" w:sz="4" w:space="0" w:color="auto"/>
            </w:tcBorders>
            <w:shd w:val="clear" w:color="auto" w:fill="auto"/>
          </w:tcPr>
          <w:p w:rsidR="002A22A4" w:rsidRPr="006E709F" w:rsidRDefault="002A22A4" w:rsidP="00A801D0">
            <w:pPr>
              <w:pStyle w:val="Tabletext"/>
            </w:pPr>
            <w:r w:rsidRPr="006E709F">
              <w:t>13</w:t>
            </w:r>
          </w:p>
        </w:tc>
        <w:tc>
          <w:tcPr>
            <w:tcW w:w="1449" w:type="pct"/>
            <w:tcBorders>
              <w:bottom w:val="single" w:sz="4" w:space="0" w:color="auto"/>
            </w:tcBorders>
            <w:shd w:val="clear" w:color="auto" w:fill="auto"/>
          </w:tcPr>
          <w:p w:rsidR="002A22A4" w:rsidRPr="006E709F" w:rsidRDefault="002A22A4" w:rsidP="00A801D0">
            <w:pPr>
              <w:pStyle w:val="Tabletext"/>
            </w:pPr>
            <w:r w:rsidRPr="006E709F">
              <w:t>Treasurer</w:t>
            </w:r>
          </w:p>
        </w:tc>
        <w:tc>
          <w:tcPr>
            <w:tcW w:w="1449" w:type="pct"/>
            <w:tcBorders>
              <w:bottom w:val="single" w:sz="4" w:space="0" w:color="auto"/>
            </w:tcBorders>
            <w:shd w:val="clear" w:color="auto" w:fill="auto"/>
          </w:tcPr>
          <w:p w:rsidR="002A22A4" w:rsidRPr="006E709F" w:rsidRDefault="002A22A4" w:rsidP="00C328E8">
            <w:pPr>
              <w:pStyle w:val="Tabletext"/>
            </w:pPr>
          </w:p>
        </w:tc>
        <w:tc>
          <w:tcPr>
            <w:tcW w:w="1352" w:type="pct"/>
            <w:tcBorders>
              <w:bottom w:val="single" w:sz="4" w:space="0" w:color="auto"/>
            </w:tcBorders>
            <w:shd w:val="clear" w:color="auto" w:fill="auto"/>
          </w:tcPr>
          <w:p w:rsidR="002A22A4" w:rsidRPr="006E709F" w:rsidRDefault="002A22A4" w:rsidP="00A801D0">
            <w:pPr>
              <w:pStyle w:val="Tabletext"/>
            </w:pPr>
            <w:r w:rsidRPr="006E709F">
              <w:t>Victoria</w:t>
            </w:r>
          </w:p>
        </w:tc>
      </w:tr>
      <w:tr w:rsidR="002A22A4" w:rsidRPr="006E709F" w:rsidTr="00E118FA">
        <w:tc>
          <w:tcPr>
            <w:tcW w:w="750" w:type="pct"/>
            <w:tcBorders>
              <w:bottom w:val="single" w:sz="4" w:space="0" w:color="auto"/>
            </w:tcBorders>
            <w:shd w:val="clear" w:color="auto" w:fill="auto"/>
          </w:tcPr>
          <w:p w:rsidR="002A22A4" w:rsidRPr="006E709F" w:rsidRDefault="002A22A4" w:rsidP="00A801D0">
            <w:pPr>
              <w:pStyle w:val="Tabletext"/>
            </w:pPr>
            <w:r w:rsidRPr="006E709F">
              <w:t>14</w:t>
            </w:r>
          </w:p>
        </w:tc>
        <w:tc>
          <w:tcPr>
            <w:tcW w:w="1449" w:type="pct"/>
            <w:tcBorders>
              <w:bottom w:val="single" w:sz="4" w:space="0" w:color="auto"/>
            </w:tcBorders>
            <w:shd w:val="clear" w:color="auto" w:fill="auto"/>
          </w:tcPr>
          <w:p w:rsidR="002A22A4" w:rsidRPr="006E709F" w:rsidRDefault="002A22A4" w:rsidP="00A801D0">
            <w:pPr>
              <w:pStyle w:val="Tabletext"/>
            </w:pPr>
            <w:r w:rsidRPr="006E709F">
              <w:t>Commissioner for Corporate Affairs</w:t>
            </w:r>
          </w:p>
        </w:tc>
        <w:tc>
          <w:tcPr>
            <w:tcW w:w="1449" w:type="pct"/>
            <w:tcBorders>
              <w:bottom w:val="single" w:sz="4" w:space="0" w:color="auto"/>
            </w:tcBorders>
            <w:shd w:val="clear" w:color="auto" w:fill="auto"/>
          </w:tcPr>
          <w:p w:rsidR="002A22A4" w:rsidRPr="006E709F" w:rsidRDefault="002A22A4" w:rsidP="00C328E8">
            <w:pPr>
              <w:pStyle w:val="Tabletext"/>
            </w:pPr>
          </w:p>
        </w:tc>
        <w:tc>
          <w:tcPr>
            <w:tcW w:w="1352" w:type="pct"/>
            <w:tcBorders>
              <w:bottom w:val="single" w:sz="4" w:space="0" w:color="auto"/>
            </w:tcBorders>
            <w:shd w:val="clear" w:color="auto" w:fill="auto"/>
          </w:tcPr>
          <w:p w:rsidR="002A22A4" w:rsidRPr="006E709F" w:rsidRDefault="002A22A4" w:rsidP="00A801D0">
            <w:pPr>
              <w:pStyle w:val="Tabletext"/>
            </w:pPr>
            <w:r w:rsidRPr="006E709F">
              <w:t>Victoria</w:t>
            </w:r>
          </w:p>
        </w:tc>
      </w:tr>
      <w:tr w:rsidR="002A22A4" w:rsidRPr="006E709F" w:rsidTr="00E118FA">
        <w:trPr>
          <w:cantSplit/>
        </w:trPr>
        <w:tc>
          <w:tcPr>
            <w:tcW w:w="750" w:type="pct"/>
            <w:tcBorders>
              <w:top w:val="single" w:sz="4" w:space="0" w:color="auto"/>
            </w:tcBorders>
            <w:shd w:val="clear" w:color="auto" w:fill="auto"/>
          </w:tcPr>
          <w:p w:rsidR="002A22A4" w:rsidRPr="006E709F" w:rsidRDefault="002A22A4" w:rsidP="00A801D0">
            <w:pPr>
              <w:pStyle w:val="Tabletext"/>
            </w:pPr>
            <w:r w:rsidRPr="006E709F">
              <w:t>15</w:t>
            </w:r>
          </w:p>
        </w:tc>
        <w:tc>
          <w:tcPr>
            <w:tcW w:w="1449" w:type="pct"/>
            <w:tcBorders>
              <w:top w:val="single" w:sz="4" w:space="0" w:color="auto"/>
            </w:tcBorders>
            <w:shd w:val="clear" w:color="auto" w:fill="auto"/>
          </w:tcPr>
          <w:p w:rsidR="002A22A4" w:rsidRPr="006E709F" w:rsidRDefault="002A22A4" w:rsidP="00A801D0">
            <w:pPr>
              <w:pStyle w:val="Tabletext"/>
            </w:pPr>
            <w:r w:rsidRPr="006E709F">
              <w:t>Public Trustee</w:t>
            </w:r>
          </w:p>
        </w:tc>
        <w:tc>
          <w:tcPr>
            <w:tcW w:w="1449" w:type="pct"/>
            <w:tcBorders>
              <w:top w:val="single" w:sz="4" w:space="0" w:color="auto"/>
            </w:tcBorders>
            <w:shd w:val="clear" w:color="auto" w:fill="auto"/>
          </w:tcPr>
          <w:p w:rsidR="002A22A4" w:rsidRPr="006E709F" w:rsidRDefault="002A22A4" w:rsidP="00A801D0">
            <w:pPr>
              <w:pStyle w:val="Tabletext"/>
            </w:pPr>
            <w:r w:rsidRPr="006E709F">
              <w:rPr>
                <w:i/>
              </w:rPr>
              <w:t>Public Trustee Act 1958</w:t>
            </w:r>
          </w:p>
        </w:tc>
        <w:tc>
          <w:tcPr>
            <w:tcW w:w="1352" w:type="pct"/>
            <w:tcBorders>
              <w:top w:val="single" w:sz="4" w:space="0" w:color="auto"/>
            </w:tcBorders>
            <w:shd w:val="clear" w:color="auto" w:fill="auto"/>
          </w:tcPr>
          <w:p w:rsidR="002A22A4" w:rsidRPr="006E709F" w:rsidRDefault="002A22A4" w:rsidP="00A801D0">
            <w:pPr>
              <w:pStyle w:val="Tabletext"/>
            </w:pPr>
            <w:r w:rsidRPr="006E709F">
              <w:t>Victoria</w:t>
            </w:r>
          </w:p>
        </w:tc>
      </w:tr>
      <w:tr w:rsidR="002A22A4" w:rsidRPr="006E709F" w:rsidTr="00E118FA">
        <w:tc>
          <w:tcPr>
            <w:tcW w:w="750" w:type="pct"/>
            <w:shd w:val="clear" w:color="auto" w:fill="auto"/>
          </w:tcPr>
          <w:p w:rsidR="002A22A4" w:rsidRPr="006E709F" w:rsidRDefault="002A22A4" w:rsidP="00A801D0">
            <w:pPr>
              <w:pStyle w:val="Tabletext"/>
            </w:pPr>
            <w:r w:rsidRPr="006E709F">
              <w:t>16</w:t>
            </w:r>
          </w:p>
        </w:tc>
        <w:tc>
          <w:tcPr>
            <w:tcW w:w="1449" w:type="pct"/>
            <w:shd w:val="clear" w:color="auto" w:fill="auto"/>
          </w:tcPr>
          <w:p w:rsidR="002A22A4" w:rsidRPr="006E709F" w:rsidRDefault="002A22A4" w:rsidP="00A801D0">
            <w:pPr>
              <w:pStyle w:val="Tabletext"/>
            </w:pPr>
            <w:r w:rsidRPr="006E709F">
              <w:t>Master of the Supreme Court</w:t>
            </w:r>
          </w:p>
        </w:tc>
        <w:tc>
          <w:tcPr>
            <w:tcW w:w="1449" w:type="pct"/>
            <w:shd w:val="clear" w:color="auto" w:fill="auto"/>
          </w:tcPr>
          <w:p w:rsidR="002A22A4" w:rsidRPr="006E709F" w:rsidRDefault="002A22A4" w:rsidP="00A801D0">
            <w:pPr>
              <w:pStyle w:val="Tabletext"/>
            </w:pPr>
            <w:r w:rsidRPr="006E709F">
              <w:rPr>
                <w:i/>
              </w:rPr>
              <w:t>Supreme Court Act 1958</w:t>
            </w:r>
          </w:p>
        </w:tc>
        <w:tc>
          <w:tcPr>
            <w:tcW w:w="1352" w:type="pct"/>
            <w:shd w:val="clear" w:color="auto" w:fill="auto"/>
          </w:tcPr>
          <w:p w:rsidR="002A22A4" w:rsidRPr="006E709F" w:rsidRDefault="002A22A4" w:rsidP="00A801D0">
            <w:pPr>
              <w:pStyle w:val="Tabletext"/>
            </w:pPr>
            <w:r w:rsidRPr="006E709F">
              <w:t>Victoria</w:t>
            </w:r>
          </w:p>
        </w:tc>
      </w:tr>
      <w:tr w:rsidR="002A22A4" w:rsidRPr="006E709F" w:rsidTr="00E118FA">
        <w:tc>
          <w:tcPr>
            <w:tcW w:w="750" w:type="pct"/>
            <w:shd w:val="clear" w:color="auto" w:fill="auto"/>
          </w:tcPr>
          <w:p w:rsidR="002A22A4" w:rsidRPr="006E709F" w:rsidRDefault="002A22A4" w:rsidP="00A801D0">
            <w:pPr>
              <w:pStyle w:val="Tabletext"/>
            </w:pPr>
            <w:r w:rsidRPr="006E709F">
              <w:t>17</w:t>
            </w:r>
          </w:p>
        </w:tc>
        <w:tc>
          <w:tcPr>
            <w:tcW w:w="1449" w:type="pct"/>
            <w:shd w:val="clear" w:color="auto" w:fill="auto"/>
          </w:tcPr>
          <w:p w:rsidR="002A22A4" w:rsidRPr="006E709F" w:rsidRDefault="002A22A4" w:rsidP="00A801D0">
            <w:pPr>
              <w:pStyle w:val="Tabletext"/>
            </w:pPr>
            <w:r w:rsidRPr="006E709F">
              <w:t>Treasurer</w:t>
            </w:r>
          </w:p>
        </w:tc>
        <w:tc>
          <w:tcPr>
            <w:tcW w:w="1449" w:type="pct"/>
            <w:shd w:val="clear" w:color="auto" w:fill="auto"/>
          </w:tcPr>
          <w:p w:rsidR="002A22A4" w:rsidRPr="006E709F" w:rsidRDefault="002A22A4" w:rsidP="00C328E8">
            <w:pPr>
              <w:pStyle w:val="Tabletext"/>
            </w:pPr>
          </w:p>
        </w:tc>
        <w:tc>
          <w:tcPr>
            <w:tcW w:w="1352" w:type="pct"/>
            <w:shd w:val="clear" w:color="auto" w:fill="auto"/>
          </w:tcPr>
          <w:p w:rsidR="002A22A4" w:rsidRPr="006E709F" w:rsidRDefault="002A22A4" w:rsidP="00A801D0">
            <w:pPr>
              <w:pStyle w:val="Tabletext"/>
            </w:pPr>
            <w:r w:rsidRPr="006E709F">
              <w:t>New South Wales</w:t>
            </w:r>
          </w:p>
        </w:tc>
      </w:tr>
      <w:tr w:rsidR="002A22A4" w:rsidRPr="006E709F" w:rsidTr="00E118FA">
        <w:tc>
          <w:tcPr>
            <w:tcW w:w="750" w:type="pct"/>
            <w:shd w:val="clear" w:color="auto" w:fill="auto"/>
          </w:tcPr>
          <w:p w:rsidR="002A22A4" w:rsidRPr="006E709F" w:rsidRDefault="002A22A4" w:rsidP="00A801D0">
            <w:pPr>
              <w:pStyle w:val="Tabletext"/>
            </w:pPr>
            <w:r w:rsidRPr="006E709F">
              <w:t>18</w:t>
            </w:r>
          </w:p>
        </w:tc>
        <w:tc>
          <w:tcPr>
            <w:tcW w:w="1449" w:type="pct"/>
            <w:shd w:val="clear" w:color="auto" w:fill="auto"/>
          </w:tcPr>
          <w:p w:rsidR="002A22A4" w:rsidRPr="006E709F" w:rsidRDefault="002A22A4" w:rsidP="00A801D0">
            <w:pPr>
              <w:pStyle w:val="Tabletext"/>
            </w:pPr>
            <w:r w:rsidRPr="006E709F">
              <w:t>Public Trustee</w:t>
            </w:r>
          </w:p>
        </w:tc>
        <w:tc>
          <w:tcPr>
            <w:tcW w:w="1449" w:type="pct"/>
            <w:shd w:val="clear" w:color="auto" w:fill="auto"/>
          </w:tcPr>
          <w:p w:rsidR="002A22A4" w:rsidRPr="006E709F" w:rsidRDefault="002A22A4" w:rsidP="00A801D0">
            <w:pPr>
              <w:pStyle w:val="Tabletext"/>
            </w:pPr>
            <w:r w:rsidRPr="006E709F">
              <w:rPr>
                <w:i/>
              </w:rPr>
              <w:t>Public Trustee Act 1913</w:t>
            </w:r>
          </w:p>
        </w:tc>
        <w:tc>
          <w:tcPr>
            <w:tcW w:w="1352" w:type="pct"/>
            <w:shd w:val="clear" w:color="auto" w:fill="auto"/>
          </w:tcPr>
          <w:p w:rsidR="002A22A4" w:rsidRPr="006E709F" w:rsidRDefault="002A22A4" w:rsidP="00A801D0">
            <w:pPr>
              <w:pStyle w:val="Tabletext"/>
            </w:pPr>
            <w:r w:rsidRPr="006E709F">
              <w:t>New South Wales</w:t>
            </w:r>
          </w:p>
        </w:tc>
      </w:tr>
      <w:tr w:rsidR="002A22A4" w:rsidRPr="006E709F" w:rsidTr="00E118FA">
        <w:tc>
          <w:tcPr>
            <w:tcW w:w="750" w:type="pct"/>
            <w:shd w:val="clear" w:color="auto" w:fill="auto"/>
          </w:tcPr>
          <w:p w:rsidR="002A22A4" w:rsidRPr="006E709F" w:rsidRDefault="002A22A4" w:rsidP="00A801D0">
            <w:pPr>
              <w:pStyle w:val="Tabletext"/>
            </w:pPr>
            <w:r w:rsidRPr="006E709F">
              <w:t>19</w:t>
            </w:r>
          </w:p>
        </w:tc>
        <w:tc>
          <w:tcPr>
            <w:tcW w:w="1449" w:type="pct"/>
            <w:shd w:val="clear" w:color="auto" w:fill="auto"/>
          </w:tcPr>
          <w:p w:rsidR="002A22A4" w:rsidRPr="006E709F" w:rsidRDefault="002A22A4" w:rsidP="00A801D0">
            <w:pPr>
              <w:pStyle w:val="Tabletext"/>
            </w:pPr>
            <w:r w:rsidRPr="006E709F">
              <w:t>Master</w:t>
            </w:r>
          </w:p>
        </w:tc>
        <w:tc>
          <w:tcPr>
            <w:tcW w:w="1449" w:type="pct"/>
            <w:shd w:val="clear" w:color="auto" w:fill="auto"/>
          </w:tcPr>
          <w:p w:rsidR="002A22A4" w:rsidRPr="006E709F" w:rsidRDefault="00A801D0" w:rsidP="00A801D0">
            <w:pPr>
              <w:pStyle w:val="Tabletext"/>
            </w:pPr>
            <w:r w:rsidRPr="006E709F">
              <w:t>Division</w:t>
            </w:r>
            <w:r w:rsidR="00DA13DE" w:rsidRPr="006E709F">
              <w:t> </w:t>
            </w:r>
            <w:r w:rsidR="002A22A4" w:rsidRPr="006E709F">
              <w:t xml:space="preserve">1 of </w:t>
            </w:r>
            <w:r w:rsidRPr="006E709F">
              <w:t>Part</w:t>
            </w:r>
            <w:r w:rsidR="00E376FA" w:rsidRPr="006E709F">
              <w:t> </w:t>
            </w:r>
            <w:r w:rsidR="002A22A4" w:rsidRPr="006E709F">
              <w:t xml:space="preserve">VIII of the </w:t>
            </w:r>
            <w:r w:rsidR="002A22A4" w:rsidRPr="006E709F">
              <w:rPr>
                <w:i/>
              </w:rPr>
              <w:t>Supreme Court Act 1970</w:t>
            </w:r>
          </w:p>
        </w:tc>
        <w:tc>
          <w:tcPr>
            <w:tcW w:w="1352" w:type="pct"/>
            <w:shd w:val="clear" w:color="auto" w:fill="auto"/>
          </w:tcPr>
          <w:p w:rsidR="002A22A4" w:rsidRPr="006E709F" w:rsidRDefault="002A22A4" w:rsidP="00A801D0">
            <w:pPr>
              <w:pStyle w:val="Tabletext"/>
            </w:pPr>
            <w:r w:rsidRPr="006E709F">
              <w:t>New South Wales</w:t>
            </w:r>
          </w:p>
        </w:tc>
      </w:tr>
      <w:tr w:rsidR="002A22A4" w:rsidRPr="006E709F" w:rsidTr="00E118FA">
        <w:tc>
          <w:tcPr>
            <w:tcW w:w="750" w:type="pct"/>
            <w:shd w:val="clear" w:color="auto" w:fill="auto"/>
          </w:tcPr>
          <w:p w:rsidR="002A22A4" w:rsidRPr="006E709F" w:rsidRDefault="002A22A4" w:rsidP="00A801D0">
            <w:pPr>
              <w:pStyle w:val="Tabletext"/>
            </w:pPr>
            <w:r w:rsidRPr="006E709F">
              <w:t>20</w:t>
            </w:r>
          </w:p>
        </w:tc>
        <w:tc>
          <w:tcPr>
            <w:tcW w:w="1449" w:type="pct"/>
            <w:shd w:val="clear" w:color="auto" w:fill="auto"/>
          </w:tcPr>
          <w:p w:rsidR="002A22A4" w:rsidRPr="006E709F" w:rsidRDefault="002A22A4" w:rsidP="00A801D0">
            <w:pPr>
              <w:pStyle w:val="Tabletext"/>
            </w:pPr>
            <w:r w:rsidRPr="006E709F">
              <w:t>Supervisor of Loan Fund Companies</w:t>
            </w:r>
          </w:p>
        </w:tc>
        <w:tc>
          <w:tcPr>
            <w:tcW w:w="1449" w:type="pct"/>
            <w:shd w:val="clear" w:color="auto" w:fill="auto"/>
          </w:tcPr>
          <w:p w:rsidR="002A22A4" w:rsidRPr="006E709F" w:rsidRDefault="002A22A4" w:rsidP="00A801D0">
            <w:pPr>
              <w:pStyle w:val="Tabletext"/>
            </w:pPr>
            <w:r w:rsidRPr="006E709F">
              <w:rPr>
                <w:i/>
              </w:rPr>
              <w:t>Loan Fund Companies Act 1976</w:t>
            </w:r>
          </w:p>
        </w:tc>
        <w:tc>
          <w:tcPr>
            <w:tcW w:w="1352" w:type="pct"/>
            <w:shd w:val="clear" w:color="auto" w:fill="auto"/>
          </w:tcPr>
          <w:p w:rsidR="002A22A4" w:rsidRPr="006E709F" w:rsidRDefault="002A22A4" w:rsidP="00A801D0">
            <w:pPr>
              <w:pStyle w:val="Tabletext"/>
            </w:pPr>
            <w:r w:rsidRPr="006E709F">
              <w:t>New South Wales</w:t>
            </w:r>
          </w:p>
        </w:tc>
      </w:tr>
      <w:tr w:rsidR="002A22A4" w:rsidRPr="006E709F" w:rsidTr="00E118FA">
        <w:tc>
          <w:tcPr>
            <w:tcW w:w="750" w:type="pct"/>
            <w:shd w:val="clear" w:color="auto" w:fill="auto"/>
          </w:tcPr>
          <w:p w:rsidR="002A22A4" w:rsidRPr="006E709F" w:rsidRDefault="002A22A4" w:rsidP="00A801D0">
            <w:pPr>
              <w:pStyle w:val="Tabletext"/>
            </w:pPr>
            <w:r w:rsidRPr="006E709F">
              <w:t>21</w:t>
            </w:r>
          </w:p>
        </w:tc>
        <w:tc>
          <w:tcPr>
            <w:tcW w:w="1449" w:type="pct"/>
            <w:shd w:val="clear" w:color="auto" w:fill="auto"/>
          </w:tcPr>
          <w:p w:rsidR="002A22A4" w:rsidRPr="006E709F" w:rsidRDefault="002A22A4" w:rsidP="00A801D0">
            <w:pPr>
              <w:pStyle w:val="Tabletext"/>
            </w:pPr>
            <w:r w:rsidRPr="006E709F">
              <w:t>Protective Commissioner</w:t>
            </w:r>
          </w:p>
        </w:tc>
        <w:tc>
          <w:tcPr>
            <w:tcW w:w="1449" w:type="pct"/>
            <w:shd w:val="clear" w:color="auto" w:fill="auto"/>
          </w:tcPr>
          <w:p w:rsidR="002A22A4" w:rsidRPr="006E709F" w:rsidRDefault="002A22A4" w:rsidP="00A801D0">
            <w:pPr>
              <w:pStyle w:val="Tabletext"/>
            </w:pPr>
            <w:r w:rsidRPr="006E709F">
              <w:rPr>
                <w:i/>
              </w:rPr>
              <w:t>Mental Health Act 1958</w:t>
            </w:r>
          </w:p>
        </w:tc>
        <w:tc>
          <w:tcPr>
            <w:tcW w:w="1352" w:type="pct"/>
            <w:shd w:val="clear" w:color="auto" w:fill="auto"/>
          </w:tcPr>
          <w:p w:rsidR="002A22A4" w:rsidRPr="006E709F" w:rsidRDefault="002A22A4" w:rsidP="00A801D0">
            <w:pPr>
              <w:pStyle w:val="Tabletext"/>
            </w:pPr>
            <w:r w:rsidRPr="006E709F">
              <w:t>New South Wales</w:t>
            </w:r>
          </w:p>
        </w:tc>
      </w:tr>
      <w:tr w:rsidR="002A22A4" w:rsidRPr="006E709F" w:rsidTr="00E118FA">
        <w:tc>
          <w:tcPr>
            <w:tcW w:w="750" w:type="pct"/>
            <w:shd w:val="clear" w:color="auto" w:fill="auto"/>
          </w:tcPr>
          <w:p w:rsidR="002A22A4" w:rsidRPr="006E709F" w:rsidRDefault="002A22A4" w:rsidP="00A801D0">
            <w:pPr>
              <w:pStyle w:val="Tabletext"/>
            </w:pPr>
            <w:r w:rsidRPr="006E709F">
              <w:t>22</w:t>
            </w:r>
          </w:p>
        </w:tc>
        <w:tc>
          <w:tcPr>
            <w:tcW w:w="1449" w:type="pct"/>
            <w:shd w:val="clear" w:color="auto" w:fill="auto"/>
          </w:tcPr>
          <w:p w:rsidR="002A22A4" w:rsidRPr="006E709F" w:rsidRDefault="002A22A4" w:rsidP="00A801D0">
            <w:pPr>
              <w:pStyle w:val="Tabletext"/>
            </w:pPr>
            <w:r w:rsidRPr="006E709F">
              <w:t>Treasurer</w:t>
            </w:r>
          </w:p>
        </w:tc>
        <w:tc>
          <w:tcPr>
            <w:tcW w:w="1449" w:type="pct"/>
            <w:shd w:val="clear" w:color="auto" w:fill="auto"/>
          </w:tcPr>
          <w:p w:rsidR="002A22A4" w:rsidRPr="006E709F" w:rsidRDefault="002A22A4" w:rsidP="00C328E8">
            <w:pPr>
              <w:pStyle w:val="Tabletext"/>
            </w:pPr>
          </w:p>
        </w:tc>
        <w:tc>
          <w:tcPr>
            <w:tcW w:w="1352" w:type="pct"/>
            <w:shd w:val="clear" w:color="auto" w:fill="auto"/>
          </w:tcPr>
          <w:p w:rsidR="002A22A4" w:rsidRPr="006E709F" w:rsidRDefault="002A22A4" w:rsidP="00A801D0">
            <w:pPr>
              <w:pStyle w:val="Tabletext"/>
            </w:pPr>
            <w:r w:rsidRPr="006E709F">
              <w:t>Queensland</w:t>
            </w:r>
          </w:p>
        </w:tc>
      </w:tr>
      <w:tr w:rsidR="002A22A4" w:rsidRPr="006E709F" w:rsidTr="00E118FA">
        <w:tc>
          <w:tcPr>
            <w:tcW w:w="750" w:type="pct"/>
            <w:shd w:val="clear" w:color="auto" w:fill="auto"/>
          </w:tcPr>
          <w:p w:rsidR="002A22A4" w:rsidRPr="006E709F" w:rsidRDefault="002A22A4" w:rsidP="00A801D0">
            <w:pPr>
              <w:pStyle w:val="Tabletext"/>
            </w:pPr>
            <w:r w:rsidRPr="006E709F">
              <w:lastRenderedPageBreak/>
              <w:t>23</w:t>
            </w:r>
          </w:p>
        </w:tc>
        <w:tc>
          <w:tcPr>
            <w:tcW w:w="1449" w:type="pct"/>
            <w:shd w:val="clear" w:color="auto" w:fill="auto"/>
          </w:tcPr>
          <w:p w:rsidR="002A22A4" w:rsidRPr="006E709F" w:rsidRDefault="002A22A4" w:rsidP="00A801D0">
            <w:pPr>
              <w:pStyle w:val="Tabletext"/>
            </w:pPr>
            <w:r w:rsidRPr="006E709F">
              <w:t>Commissioner for Corporate Affairs</w:t>
            </w:r>
          </w:p>
        </w:tc>
        <w:tc>
          <w:tcPr>
            <w:tcW w:w="1449" w:type="pct"/>
            <w:shd w:val="clear" w:color="auto" w:fill="auto"/>
          </w:tcPr>
          <w:p w:rsidR="002A22A4" w:rsidRPr="006E709F" w:rsidRDefault="002A22A4" w:rsidP="00C328E8">
            <w:pPr>
              <w:pStyle w:val="Tabletext"/>
            </w:pPr>
          </w:p>
        </w:tc>
        <w:tc>
          <w:tcPr>
            <w:tcW w:w="1352" w:type="pct"/>
            <w:shd w:val="clear" w:color="auto" w:fill="auto"/>
          </w:tcPr>
          <w:p w:rsidR="002A22A4" w:rsidRPr="006E709F" w:rsidRDefault="002A22A4" w:rsidP="00A801D0">
            <w:pPr>
              <w:pStyle w:val="Tabletext"/>
            </w:pPr>
            <w:r w:rsidRPr="006E709F">
              <w:t>Queensland</w:t>
            </w:r>
          </w:p>
        </w:tc>
      </w:tr>
      <w:tr w:rsidR="002A22A4" w:rsidRPr="006E709F" w:rsidTr="00E118FA">
        <w:tc>
          <w:tcPr>
            <w:tcW w:w="750" w:type="pct"/>
            <w:shd w:val="clear" w:color="auto" w:fill="auto"/>
          </w:tcPr>
          <w:p w:rsidR="002A22A4" w:rsidRPr="006E709F" w:rsidRDefault="002A22A4" w:rsidP="00A801D0">
            <w:pPr>
              <w:pStyle w:val="Tabletext"/>
            </w:pPr>
            <w:r w:rsidRPr="006E709F">
              <w:t>24</w:t>
            </w:r>
          </w:p>
        </w:tc>
        <w:tc>
          <w:tcPr>
            <w:tcW w:w="1449" w:type="pct"/>
            <w:shd w:val="clear" w:color="auto" w:fill="auto"/>
          </w:tcPr>
          <w:p w:rsidR="002A22A4" w:rsidRPr="006E709F" w:rsidRDefault="002A22A4" w:rsidP="00A801D0">
            <w:pPr>
              <w:pStyle w:val="Tabletext"/>
            </w:pPr>
            <w:r w:rsidRPr="006E709F">
              <w:t>Public Trustee</w:t>
            </w:r>
          </w:p>
        </w:tc>
        <w:tc>
          <w:tcPr>
            <w:tcW w:w="1449" w:type="pct"/>
            <w:shd w:val="clear" w:color="auto" w:fill="auto"/>
          </w:tcPr>
          <w:p w:rsidR="002A22A4" w:rsidRPr="006E709F" w:rsidRDefault="002A22A4" w:rsidP="00A801D0">
            <w:pPr>
              <w:pStyle w:val="Tabletext"/>
            </w:pPr>
            <w:r w:rsidRPr="006E709F">
              <w:rPr>
                <w:i/>
              </w:rPr>
              <w:t>Public Trustee Act 1978</w:t>
            </w:r>
          </w:p>
        </w:tc>
        <w:tc>
          <w:tcPr>
            <w:tcW w:w="1352" w:type="pct"/>
            <w:shd w:val="clear" w:color="auto" w:fill="auto"/>
          </w:tcPr>
          <w:p w:rsidR="002A22A4" w:rsidRPr="006E709F" w:rsidRDefault="002A22A4" w:rsidP="00A801D0">
            <w:pPr>
              <w:pStyle w:val="Tabletext"/>
            </w:pPr>
            <w:r w:rsidRPr="006E709F">
              <w:t>Queensland</w:t>
            </w:r>
          </w:p>
        </w:tc>
      </w:tr>
      <w:tr w:rsidR="002A22A4" w:rsidRPr="006E709F" w:rsidTr="00E118FA">
        <w:tc>
          <w:tcPr>
            <w:tcW w:w="750" w:type="pct"/>
            <w:shd w:val="clear" w:color="auto" w:fill="auto"/>
          </w:tcPr>
          <w:p w:rsidR="002A22A4" w:rsidRPr="006E709F" w:rsidRDefault="002A22A4" w:rsidP="00A801D0">
            <w:pPr>
              <w:pStyle w:val="Tabletext"/>
            </w:pPr>
            <w:r w:rsidRPr="006E709F">
              <w:t>25</w:t>
            </w:r>
          </w:p>
        </w:tc>
        <w:tc>
          <w:tcPr>
            <w:tcW w:w="1449" w:type="pct"/>
            <w:shd w:val="clear" w:color="auto" w:fill="auto"/>
          </w:tcPr>
          <w:p w:rsidR="002A22A4" w:rsidRPr="006E709F" w:rsidRDefault="002A22A4" w:rsidP="00A801D0">
            <w:pPr>
              <w:pStyle w:val="Tabletext"/>
            </w:pPr>
            <w:r w:rsidRPr="006E709F">
              <w:t>Registrar</w:t>
            </w:r>
          </w:p>
        </w:tc>
        <w:tc>
          <w:tcPr>
            <w:tcW w:w="1449" w:type="pct"/>
            <w:shd w:val="clear" w:color="auto" w:fill="auto"/>
          </w:tcPr>
          <w:p w:rsidR="002A22A4" w:rsidRPr="006E709F" w:rsidRDefault="002A22A4" w:rsidP="00A801D0">
            <w:pPr>
              <w:pStyle w:val="Tabletext"/>
            </w:pPr>
            <w:r w:rsidRPr="006E709F">
              <w:t>Supreme Court Acts 1861</w:t>
            </w:r>
            <w:r w:rsidR="000C4237">
              <w:noBreakHyphen/>
            </w:r>
            <w:r w:rsidRPr="006E709F">
              <w:t>1980</w:t>
            </w:r>
          </w:p>
        </w:tc>
        <w:tc>
          <w:tcPr>
            <w:tcW w:w="1352" w:type="pct"/>
            <w:shd w:val="clear" w:color="auto" w:fill="auto"/>
          </w:tcPr>
          <w:p w:rsidR="002A22A4" w:rsidRPr="006E709F" w:rsidRDefault="002A22A4" w:rsidP="00A801D0">
            <w:pPr>
              <w:pStyle w:val="Tabletext"/>
            </w:pPr>
            <w:r w:rsidRPr="006E709F">
              <w:t>Queensland</w:t>
            </w:r>
          </w:p>
        </w:tc>
      </w:tr>
      <w:tr w:rsidR="002A22A4" w:rsidRPr="006E709F" w:rsidTr="00E118FA">
        <w:tc>
          <w:tcPr>
            <w:tcW w:w="750" w:type="pct"/>
            <w:shd w:val="clear" w:color="auto" w:fill="auto"/>
          </w:tcPr>
          <w:p w:rsidR="002A22A4" w:rsidRPr="006E709F" w:rsidRDefault="002A22A4" w:rsidP="00A801D0">
            <w:pPr>
              <w:pStyle w:val="Tabletext"/>
            </w:pPr>
            <w:r w:rsidRPr="006E709F">
              <w:t>26</w:t>
            </w:r>
          </w:p>
        </w:tc>
        <w:tc>
          <w:tcPr>
            <w:tcW w:w="1449" w:type="pct"/>
            <w:shd w:val="clear" w:color="auto" w:fill="auto"/>
          </w:tcPr>
          <w:p w:rsidR="002A22A4" w:rsidRPr="006E709F" w:rsidRDefault="002A22A4" w:rsidP="00A801D0">
            <w:pPr>
              <w:pStyle w:val="Tabletext"/>
            </w:pPr>
            <w:r w:rsidRPr="006E709F">
              <w:t>Treasurer</w:t>
            </w:r>
          </w:p>
        </w:tc>
        <w:tc>
          <w:tcPr>
            <w:tcW w:w="1449" w:type="pct"/>
            <w:shd w:val="clear" w:color="auto" w:fill="auto"/>
          </w:tcPr>
          <w:p w:rsidR="002A22A4" w:rsidRPr="006E709F" w:rsidRDefault="002A22A4" w:rsidP="00C328E8">
            <w:pPr>
              <w:pStyle w:val="Tabletext"/>
            </w:pPr>
          </w:p>
        </w:tc>
        <w:tc>
          <w:tcPr>
            <w:tcW w:w="1352" w:type="pct"/>
            <w:shd w:val="clear" w:color="auto" w:fill="auto"/>
          </w:tcPr>
          <w:p w:rsidR="002A22A4" w:rsidRPr="006E709F" w:rsidRDefault="002A22A4" w:rsidP="00A801D0">
            <w:pPr>
              <w:pStyle w:val="Tabletext"/>
            </w:pPr>
            <w:r w:rsidRPr="006E709F">
              <w:t>South Australia</w:t>
            </w:r>
          </w:p>
        </w:tc>
      </w:tr>
      <w:tr w:rsidR="002A22A4" w:rsidRPr="006E709F" w:rsidTr="00E118FA">
        <w:tc>
          <w:tcPr>
            <w:tcW w:w="750" w:type="pct"/>
            <w:shd w:val="clear" w:color="auto" w:fill="auto"/>
          </w:tcPr>
          <w:p w:rsidR="002A22A4" w:rsidRPr="006E709F" w:rsidRDefault="002A22A4" w:rsidP="00A801D0">
            <w:pPr>
              <w:pStyle w:val="Tabletext"/>
            </w:pPr>
            <w:r w:rsidRPr="006E709F">
              <w:t>27</w:t>
            </w:r>
          </w:p>
        </w:tc>
        <w:tc>
          <w:tcPr>
            <w:tcW w:w="1449" w:type="pct"/>
            <w:shd w:val="clear" w:color="auto" w:fill="auto"/>
          </w:tcPr>
          <w:p w:rsidR="002A22A4" w:rsidRPr="006E709F" w:rsidRDefault="002A22A4" w:rsidP="00A801D0">
            <w:pPr>
              <w:pStyle w:val="Tabletext"/>
            </w:pPr>
            <w:r w:rsidRPr="006E709F">
              <w:t>Curator of Prisoners Property</w:t>
            </w:r>
          </w:p>
        </w:tc>
        <w:tc>
          <w:tcPr>
            <w:tcW w:w="1449" w:type="pct"/>
            <w:shd w:val="clear" w:color="auto" w:fill="auto"/>
          </w:tcPr>
          <w:p w:rsidR="002A22A4" w:rsidRPr="006E709F" w:rsidRDefault="002A22A4" w:rsidP="00A801D0">
            <w:pPr>
              <w:pStyle w:val="Tabletext"/>
            </w:pPr>
            <w:r w:rsidRPr="006E709F">
              <w:rPr>
                <w:i/>
              </w:rPr>
              <w:t>Criminal Law Consolidation Act 1935</w:t>
            </w:r>
            <w:r w:rsidR="000C4237">
              <w:rPr>
                <w:i/>
              </w:rPr>
              <w:noBreakHyphen/>
            </w:r>
            <w:r w:rsidRPr="006E709F">
              <w:rPr>
                <w:i/>
              </w:rPr>
              <w:t>80</w:t>
            </w:r>
          </w:p>
        </w:tc>
        <w:tc>
          <w:tcPr>
            <w:tcW w:w="1352" w:type="pct"/>
            <w:shd w:val="clear" w:color="auto" w:fill="auto"/>
          </w:tcPr>
          <w:p w:rsidR="002A22A4" w:rsidRPr="006E709F" w:rsidRDefault="002A22A4" w:rsidP="00A801D0">
            <w:pPr>
              <w:pStyle w:val="Tabletext"/>
            </w:pPr>
            <w:r w:rsidRPr="006E709F">
              <w:t>South Australia</w:t>
            </w:r>
          </w:p>
        </w:tc>
      </w:tr>
      <w:tr w:rsidR="002A22A4" w:rsidRPr="006E709F" w:rsidTr="00E118FA">
        <w:tc>
          <w:tcPr>
            <w:tcW w:w="750" w:type="pct"/>
            <w:shd w:val="clear" w:color="auto" w:fill="auto"/>
          </w:tcPr>
          <w:p w:rsidR="002A22A4" w:rsidRPr="006E709F" w:rsidRDefault="002A22A4" w:rsidP="00A801D0">
            <w:pPr>
              <w:pStyle w:val="Tabletext"/>
            </w:pPr>
            <w:r w:rsidRPr="006E709F">
              <w:t>28</w:t>
            </w:r>
          </w:p>
        </w:tc>
        <w:tc>
          <w:tcPr>
            <w:tcW w:w="1449" w:type="pct"/>
            <w:shd w:val="clear" w:color="auto" w:fill="auto"/>
          </w:tcPr>
          <w:p w:rsidR="002A22A4" w:rsidRPr="006E709F" w:rsidRDefault="002A22A4" w:rsidP="00A801D0">
            <w:pPr>
              <w:pStyle w:val="Tabletext"/>
            </w:pPr>
            <w:r w:rsidRPr="006E709F">
              <w:t>Public Trustee</w:t>
            </w:r>
          </w:p>
        </w:tc>
        <w:tc>
          <w:tcPr>
            <w:tcW w:w="1449" w:type="pct"/>
            <w:shd w:val="clear" w:color="auto" w:fill="auto"/>
          </w:tcPr>
          <w:p w:rsidR="002A22A4" w:rsidRPr="006E709F" w:rsidRDefault="002A22A4" w:rsidP="00A801D0">
            <w:pPr>
              <w:pStyle w:val="Tabletext"/>
            </w:pPr>
            <w:r w:rsidRPr="006E709F">
              <w:rPr>
                <w:i/>
              </w:rPr>
              <w:t>Administration and Probate Act 1919</w:t>
            </w:r>
            <w:r w:rsidR="000C4237">
              <w:rPr>
                <w:i/>
              </w:rPr>
              <w:noBreakHyphen/>
            </w:r>
            <w:r w:rsidRPr="006E709F">
              <w:rPr>
                <w:i/>
              </w:rPr>
              <w:t>1980</w:t>
            </w:r>
          </w:p>
        </w:tc>
        <w:tc>
          <w:tcPr>
            <w:tcW w:w="1352" w:type="pct"/>
            <w:shd w:val="clear" w:color="auto" w:fill="auto"/>
          </w:tcPr>
          <w:p w:rsidR="002A22A4" w:rsidRPr="006E709F" w:rsidRDefault="002A22A4" w:rsidP="00A801D0">
            <w:pPr>
              <w:pStyle w:val="Tabletext"/>
            </w:pPr>
            <w:r w:rsidRPr="006E709F">
              <w:t>South Australia</w:t>
            </w:r>
          </w:p>
        </w:tc>
      </w:tr>
      <w:tr w:rsidR="002A22A4" w:rsidRPr="006E709F" w:rsidTr="00E118FA">
        <w:tc>
          <w:tcPr>
            <w:tcW w:w="750" w:type="pct"/>
            <w:shd w:val="clear" w:color="auto" w:fill="auto"/>
          </w:tcPr>
          <w:p w:rsidR="002A22A4" w:rsidRPr="006E709F" w:rsidRDefault="002A22A4" w:rsidP="00A801D0">
            <w:pPr>
              <w:pStyle w:val="Tabletext"/>
            </w:pPr>
            <w:r w:rsidRPr="006E709F">
              <w:t>29</w:t>
            </w:r>
          </w:p>
        </w:tc>
        <w:tc>
          <w:tcPr>
            <w:tcW w:w="1449" w:type="pct"/>
            <w:shd w:val="clear" w:color="auto" w:fill="auto"/>
          </w:tcPr>
          <w:p w:rsidR="002A22A4" w:rsidRPr="006E709F" w:rsidRDefault="002A22A4" w:rsidP="00A801D0">
            <w:pPr>
              <w:pStyle w:val="Tabletext"/>
            </w:pPr>
            <w:r w:rsidRPr="006E709F">
              <w:t>Master or accountant</w:t>
            </w:r>
          </w:p>
        </w:tc>
        <w:tc>
          <w:tcPr>
            <w:tcW w:w="1449" w:type="pct"/>
            <w:shd w:val="clear" w:color="auto" w:fill="auto"/>
          </w:tcPr>
          <w:p w:rsidR="002A22A4" w:rsidRPr="006E709F" w:rsidRDefault="002A22A4" w:rsidP="00A801D0">
            <w:pPr>
              <w:pStyle w:val="Tabletext"/>
            </w:pPr>
            <w:r w:rsidRPr="006E709F">
              <w:t>Supreme Court Act 1935</w:t>
            </w:r>
            <w:r w:rsidR="000C4237">
              <w:noBreakHyphen/>
            </w:r>
            <w:r w:rsidRPr="006E709F">
              <w:t>1980</w:t>
            </w:r>
          </w:p>
        </w:tc>
        <w:tc>
          <w:tcPr>
            <w:tcW w:w="1352" w:type="pct"/>
            <w:shd w:val="clear" w:color="auto" w:fill="auto"/>
          </w:tcPr>
          <w:p w:rsidR="002A22A4" w:rsidRPr="006E709F" w:rsidRDefault="002A22A4" w:rsidP="00A801D0">
            <w:pPr>
              <w:pStyle w:val="Tabletext"/>
            </w:pPr>
            <w:r w:rsidRPr="006E709F">
              <w:t>South Australia</w:t>
            </w:r>
          </w:p>
        </w:tc>
      </w:tr>
      <w:tr w:rsidR="002A22A4" w:rsidRPr="006E709F" w:rsidTr="00E118FA">
        <w:trPr>
          <w:cantSplit/>
        </w:trPr>
        <w:tc>
          <w:tcPr>
            <w:tcW w:w="750" w:type="pct"/>
            <w:shd w:val="clear" w:color="auto" w:fill="auto"/>
          </w:tcPr>
          <w:p w:rsidR="002A22A4" w:rsidRPr="006E709F" w:rsidRDefault="002A22A4" w:rsidP="00A801D0">
            <w:pPr>
              <w:pStyle w:val="Tabletext"/>
            </w:pPr>
            <w:r w:rsidRPr="006E709F">
              <w:t>30</w:t>
            </w:r>
          </w:p>
        </w:tc>
        <w:tc>
          <w:tcPr>
            <w:tcW w:w="1449" w:type="pct"/>
            <w:shd w:val="clear" w:color="auto" w:fill="auto"/>
          </w:tcPr>
          <w:p w:rsidR="002A22A4" w:rsidRPr="006E709F" w:rsidRDefault="002A22A4" w:rsidP="00A801D0">
            <w:pPr>
              <w:pStyle w:val="Tabletext"/>
            </w:pPr>
            <w:r w:rsidRPr="006E709F">
              <w:t>Administrator</w:t>
            </w:r>
          </w:p>
        </w:tc>
        <w:tc>
          <w:tcPr>
            <w:tcW w:w="1449" w:type="pct"/>
            <w:shd w:val="clear" w:color="auto" w:fill="auto"/>
          </w:tcPr>
          <w:p w:rsidR="002A22A4" w:rsidRPr="006E709F" w:rsidRDefault="00A801D0" w:rsidP="00A801D0">
            <w:pPr>
              <w:pStyle w:val="Tabletext"/>
            </w:pPr>
            <w:r w:rsidRPr="006E709F">
              <w:t>Chapter</w:t>
            </w:r>
            <w:r w:rsidR="00E376FA" w:rsidRPr="006E709F">
              <w:t xml:space="preserve"> </w:t>
            </w:r>
            <w:r w:rsidR="002A22A4" w:rsidRPr="006E709F">
              <w:t xml:space="preserve">XLIX of the </w:t>
            </w:r>
            <w:r w:rsidR="002A22A4" w:rsidRPr="006E709F">
              <w:rPr>
                <w:i/>
              </w:rPr>
              <w:t>Criminal Code</w:t>
            </w:r>
          </w:p>
        </w:tc>
        <w:tc>
          <w:tcPr>
            <w:tcW w:w="1352" w:type="pct"/>
            <w:shd w:val="clear" w:color="auto" w:fill="auto"/>
          </w:tcPr>
          <w:p w:rsidR="002A22A4" w:rsidRPr="006E709F" w:rsidRDefault="002A22A4" w:rsidP="00A801D0">
            <w:pPr>
              <w:pStyle w:val="Tabletext"/>
            </w:pPr>
            <w:r w:rsidRPr="006E709F">
              <w:t>Tasmania</w:t>
            </w:r>
          </w:p>
        </w:tc>
      </w:tr>
      <w:tr w:rsidR="002A22A4" w:rsidRPr="006E709F" w:rsidTr="00E118FA">
        <w:tc>
          <w:tcPr>
            <w:tcW w:w="750" w:type="pct"/>
            <w:shd w:val="clear" w:color="auto" w:fill="auto"/>
          </w:tcPr>
          <w:p w:rsidR="002A22A4" w:rsidRPr="006E709F" w:rsidRDefault="002A22A4" w:rsidP="00A801D0">
            <w:pPr>
              <w:pStyle w:val="Tabletext"/>
            </w:pPr>
            <w:r w:rsidRPr="006E709F">
              <w:t>31</w:t>
            </w:r>
          </w:p>
        </w:tc>
        <w:tc>
          <w:tcPr>
            <w:tcW w:w="1449" w:type="pct"/>
            <w:shd w:val="clear" w:color="auto" w:fill="auto"/>
          </w:tcPr>
          <w:p w:rsidR="002A22A4" w:rsidRPr="006E709F" w:rsidRDefault="002A22A4" w:rsidP="00A801D0">
            <w:pPr>
              <w:pStyle w:val="Tabletext"/>
            </w:pPr>
            <w:r w:rsidRPr="006E709F">
              <w:t>Treasurer</w:t>
            </w:r>
          </w:p>
        </w:tc>
        <w:tc>
          <w:tcPr>
            <w:tcW w:w="1449" w:type="pct"/>
            <w:shd w:val="clear" w:color="auto" w:fill="auto"/>
          </w:tcPr>
          <w:p w:rsidR="002A22A4" w:rsidRPr="006E709F" w:rsidRDefault="002A22A4" w:rsidP="00C328E8">
            <w:pPr>
              <w:pStyle w:val="Tabletext"/>
            </w:pPr>
          </w:p>
        </w:tc>
        <w:tc>
          <w:tcPr>
            <w:tcW w:w="1352" w:type="pct"/>
            <w:shd w:val="clear" w:color="auto" w:fill="auto"/>
          </w:tcPr>
          <w:p w:rsidR="002A22A4" w:rsidRPr="006E709F" w:rsidRDefault="002A22A4" w:rsidP="00A801D0">
            <w:pPr>
              <w:pStyle w:val="Tabletext"/>
            </w:pPr>
            <w:r w:rsidRPr="006E709F">
              <w:t>Tasmania</w:t>
            </w:r>
          </w:p>
        </w:tc>
      </w:tr>
      <w:tr w:rsidR="002A22A4" w:rsidRPr="006E709F" w:rsidTr="00E118FA">
        <w:tc>
          <w:tcPr>
            <w:tcW w:w="750" w:type="pct"/>
            <w:tcBorders>
              <w:bottom w:val="single" w:sz="4" w:space="0" w:color="auto"/>
            </w:tcBorders>
            <w:shd w:val="clear" w:color="auto" w:fill="auto"/>
          </w:tcPr>
          <w:p w:rsidR="002A22A4" w:rsidRPr="006E709F" w:rsidRDefault="002A22A4" w:rsidP="00A801D0">
            <w:pPr>
              <w:pStyle w:val="Tabletext"/>
            </w:pPr>
            <w:r w:rsidRPr="006E709F">
              <w:t>32</w:t>
            </w:r>
          </w:p>
        </w:tc>
        <w:tc>
          <w:tcPr>
            <w:tcW w:w="1449" w:type="pct"/>
            <w:tcBorders>
              <w:bottom w:val="single" w:sz="4" w:space="0" w:color="auto"/>
            </w:tcBorders>
            <w:shd w:val="clear" w:color="auto" w:fill="auto"/>
          </w:tcPr>
          <w:p w:rsidR="002A22A4" w:rsidRPr="006E709F" w:rsidRDefault="002A22A4" w:rsidP="00A801D0">
            <w:pPr>
              <w:pStyle w:val="Tabletext"/>
            </w:pPr>
            <w:r w:rsidRPr="006E709F">
              <w:t>Commissioner for Corporate Affairs</w:t>
            </w:r>
          </w:p>
        </w:tc>
        <w:tc>
          <w:tcPr>
            <w:tcW w:w="1449" w:type="pct"/>
            <w:tcBorders>
              <w:bottom w:val="single" w:sz="4" w:space="0" w:color="auto"/>
            </w:tcBorders>
            <w:shd w:val="clear" w:color="auto" w:fill="auto"/>
          </w:tcPr>
          <w:p w:rsidR="002A22A4" w:rsidRPr="006E709F" w:rsidRDefault="002A22A4" w:rsidP="00C328E8">
            <w:pPr>
              <w:pStyle w:val="Tabletext"/>
            </w:pPr>
          </w:p>
        </w:tc>
        <w:tc>
          <w:tcPr>
            <w:tcW w:w="1352" w:type="pct"/>
            <w:tcBorders>
              <w:bottom w:val="single" w:sz="4" w:space="0" w:color="auto"/>
            </w:tcBorders>
            <w:shd w:val="clear" w:color="auto" w:fill="auto"/>
          </w:tcPr>
          <w:p w:rsidR="002A22A4" w:rsidRPr="006E709F" w:rsidRDefault="002A22A4" w:rsidP="00A801D0">
            <w:pPr>
              <w:pStyle w:val="Tabletext"/>
            </w:pPr>
            <w:r w:rsidRPr="006E709F">
              <w:t>Tasmania</w:t>
            </w:r>
          </w:p>
        </w:tc>
      </w:tr>
      <w:tr w:rsidR="002A22A4" w:rsidRPr="006E709F" w:rsidTr="00E118FA">
        <w:trPr>
          <w:cantSplit/>
        </w:trPr>
        <w:tc>
          <w:tcPr>
            <w:tcW w:w="750" w:type="pct"/>
            <w:tcBorders>
              <w:bottom w:val="single" w:sz="4" w:space="0" w:color="auto"/>
            </w:tcBorders>
            <w:shd w:val="clear" w:color="auto" w:fill="auto"/>
          </w:tcPr>
          <w:p w:rsidR="002A22A4" w:rsidRPr="006E709F" w:rsidRDefault="002A22A4" w:rsidP="00A801D0">
            <w:pPr>
              <w:pStyle w:val="Tabletext"/>
            </w:pPr>
            <w:r w:rsidRPr="006E709F">
              <w:t>33</w:t>
            </w:r>
          </w:p>
        </w:tc>
        <w:tc>
          <w:tcPr>
            <w:tcW w:w="1449" w:type="pct"/>
            <w:tcBorders>
              <w:bottom w:val="single" w:sz="4" w:space="0" w:color="auto"/>
            </w:tcBorders>
            <w:shd w:val="clear" w:color="auto" w:fill="auto"/>
          </w:tcPr>
          <w:p w:rsidR="002A22A4" w:rsidRPr="006E709F" w:rsidRDefault="002A22A4" w:rsidP="00A801D0">
            <w:pPr>
              <w:pStyle w:val="Tabletext"/>
            </w:pPr>
            <w:r w:rsidRPr="006E709F">
              <w:t>Public Trustee</w:t>
            </w:r>
          </w:p>
        </w:tc>
        <w:tc>
          <w:tcPr>
            <w:tcW w:w="1449" w:type="pct"/>
            <w:tcBorders>
              <w:bottom w:val="single" w:sz="4" w:space="0" w:color="auto"/>
            </w:tcBorders>
            <w:shd w:val="clear" w:color="auto" w:fill="auto"/>
          </w:tcPr>
          <w:p w:rsidR="002A22A4" w:rsidRPr="006E709F" w:rsidRDefault="002A22A4" w:rsidP="00A801D0">
            <w:pPr>
              <w:pStyle w:val="Tabletext"/>
            </w:pPr>
            <w:r w:rsidRPr="006E709F">
              <w:rPr>
                <w:i/>
              </w:rPr>
              <w:t>Public Trustee Office Act 1930</w:t>
            </w:r>
          </w:p>
        </w:tc>
        <w:tc>
          <w:tcPr>
            <w:tcW w:w="1352" w:type="pct"/>
            <w:tcBorders>
              <w:bottom w:val="single" w:sz="4" w:space="0" w:color="auto"/>
            </w:tcBorders>
            <w:shd w:val="clear" w:color="auto" w:fill="auto"/>
          </w:tcPr>
          <w:p w:rsidR="002A22A4" w:rsidRPr="006E709F" w:rsidRDefault="002A22A4" w:rsidP="00A801D0">
            <w:pPr>
              <w:pStyle w:val="Tabletext"/>
            </w:pPr>
            <w:r w:rsidRPr="006E709F">
              <w:t>Tasmania</w:t>
            </w:r>
          </w:p>
        </w:tc>
      </w:tr>
      <w:tr w:rsidR="002A22A4" w:rsidRPr="006E709F" w:rsidTr="00E118FA">
        <w:trPr>
          <w:cantSplit/>
        </w:trPr>
        <w:tc>
          <w:tcPr>
            <w:tcW w:w="750" w:type="pct"/>
            <w:tcBorders>
              <w:top w:val="single" w:sz="4" w:space="0" w:color="auto"/>
            </w:tcBorders>
            <w:shd w:val="clear" w:color="auto" w:fill="auto"/>
          </w:tcPr>
          <w:p w:rsidR="002A22A4" w:rsidRPr="006E709F" w:rsidRDefault="002A22A4" w:rsidP="00A801D0">
            <w:pPr>
              <w:pStyle w:val="Tabletext"/>
            </w:pPr>
            <w:r w:rsidRPr="006E709F">
              <w:t>34</w:t>
            </w:r>
          </w:p>
        </w:tc>
        <w:tc>
          <w:tcPr>
            <w:tcW w:w="1449" w:type="pct"/>
            <w:tcBorders>
              <w:top w:val="single" w:sz="4" w:space="0" w:color="auto"/>
            </w:tcBorders>
            <w:shd w:val="clear" w:color="auto" w:fill="auto"/>
          </w:tcPr>
          <w:p w:rsidR="002A22A4" w:rsidRPr="006E709F" w:rsidRDefault="002A22A4" w:rsidP="00A801D0">
            <w:pPr>
              <w:pStyle w:val="Tabletext"/>
            </w:pPr>
            <w:r w:rsidRPr="006E709F">
              <w:t>Registrar of the Supreme Court</w:t>
            </w:r>
          </w:p>
        </w:tc>
        <w:tc>
          <w:tcPr>
            <w:tcW w:w="1449" w:type="pct"/>
            <w:tcBorders>
              <w:top w:val="single" w:sz="4" w:space="0" w:color="auto"/>
            </w:tcBorders>
            <w:shd w:val="clear" w:color="auto" w:fill="auto"/>
          </w:tcPr>
          <w:p w:rsidR="002A22A4" w:rsidRPr="006E709F" w:rsidRDefault="002A22A4" w:rsidP="00A801D0">
            <w:pPr>
              <w:pStyle w:val="Tabletext"/>
            </w:pPr>
            <w:r w:rsidRPr="006E709F">
              <w:rPr>
                <w:i/>
              </w:rPr>
              <w:t>Supreme Court Act 1959</w:t>
            </w:r>
          </w:p>
        </w:tc>
        <w:tc>
          <w:tcPr>
            <w:tcW w:w="1352" w:type="pct"/>
            <w:tcBorders>
              <w:top w:val="single" w:sz="4" w:space="0" w:color="auto"/>
            </w:tcBorders>
            <w:shd w:val="clear" w:color="auto" w:fill="auto"/>
          </w:tcPr>
          <w:p w:rsidR="002A22A4" w:rsidRPr="006E709F" w:rsidRDefault="002A22A4" w:rsidP="00A801D0">
            <w:pPr>
              <w:pStyle w:val="Tabletext"/>
            </w:pPr>
            <w:r w:rsidRPr="006E709F">
              <w:t>Tasmania</w:t>
            </w:r>
          </w:p>
        </w:tc>
      </w:tr>
      <w:tr w:rsidR="002A22A4" w:rsidRPr="006E709F" w:rsidTr="00E118FA">
        <w:tc>
          <w:tcPr>
            <w:tcW w:w="750" w:type="pct"/>
            <w:shd w:val="clear" w:color="auto" w:fill="auto"/>
          </w:tcPr>
          <w:p w:rsidR="002A22A4" w:rsidRPr="006E709F" w:rsidRDefault="002A22A4" w:rsidP="00A801D0">
            <w:pPr>
              <w:pStyle w:val="Tabletext"/>
            </w:pPr>
            <w:r w:rsidRPr="006E709F">
              <w:t>35</w:t>
            </w:r>
          </w:p>
        </w:tc>
        <w:tc>
          <w:tcPr>
            <w:tcW w:w="1449" w:type="pct"/>
            <w:shd w:val="clear" w:color="auto" w:fill="auto"/>
          </w:tcPr>
          <w:p w:rsidR="002A22A4" w:rsidRPr="006E709F" w:rsidRDefault="002A22A4" w:rsidP="00A801D0">
            <w:pPr>
              <w:pStyle w:val="Tabletext"/>
            </w:pPr>
            <w:r w:rsidRPr="006E709F">
              <w:t>Treasurer</w:t>
            </w:r>
          </w:p>
        </w:tc>
        <w:tc>
          <w:tcPr>
            <w:tcW w:w="1449" w:type="pct"/>
            <w:shd w:val="clear" w:color="auto" w:fill="auto"/>
          </w:tcPr>
          <w:p w:rsidR="002A22A4" w:rsidRPr="006E709F" w:rsidRDefault="002A22A4" w:rsidP="00C328E8">
            <w:pPr>
              <w:pStyle w:val="Tabletext"/>
            </w:pPr>
          </w:p>
        </w:tc>
        <w:tc>
          <w:tcPr>
            <w:tcW w:w="1352" w:type="pct"/>
            <w:shd w:val="clear" w:color="auto" w:fill="auto"/>
          </w:tcPr>
          <w:p w:rsidR="002A22A4" w:rsidRPr="006E709F" w:rsidRDefault="002A22A4" w:rsidP="00A801D0">
            <w:pPr>
              <w:pStyle w:val="Tabletext"/>
            </w:pPr>
            <w:r w:rsidRPr="006E709F">
              <w:t>Australian Capital Territory</w:t>
            </w:r>
          </w:p>
        </w:tc>
      </w:tr>
      <w:tr w:rsidR="002A22A4" w:rsidRPr="006E709F" w:rsidTr="00E118FA">
        <w:tc>
          <w:tcPr>
            <w:tcW w:w="750" w:type="pct"/>
            <w:shd w:val="clear" w:color="auto" w:fill="auto"/>
          </w:tcPr>
          <w:p w:rsidR="002A22A4" w:rsidRPr="006E709F" w:rsidRDefault="002A22A4" w:rsidP="00A801D0">
            <w:pPr>
              <w:pStyle w:val="Tabletext"/>
            </w:pPr>
            <w:r w:rsidRPr="006E709F">
              <w:t>36</w:t>
            </w:r>
          </w:p>
        </w:tc>
        <w:tc>
          <w:tcPr>
            <w:tcW w:w="1449" w:type="pct"/>
            <w:shd w:val="clear" w:color="auto" w:fill="auto"/>
          </w:tcPr>
          <w:p w:rsidR="002A22A4" w:rsidRPr="006E709F" w:rsidRDefault="002A22A4" w:rsidP="00A801D0">
            <w:pPr>
              <w:pStyle w:val="Tabletext"/>
            </w:pPr>
            <w:r w:rsidRPr="006E709F">
              <w:t>Public Trustee</w:t>
            </w:r>
          </w:p>
        </w:tc>
        <w:tc>
          <w:tcPr>
            <w:tcW w:w="1449" w:type="pct"/>
            <w:shd w:val="clear" w:color="auto" w:fill="auto"/>
          </w:tcPr>
          <w:p w:rsidR="002A22A4" w:rsidRPr="006E709F" w:rsidRDefault="002A22A4" w:rsidP="00A801D0">
            <w:pPr>
              <w:pStyle w:val="Tabletext"/>
            </w:pPr>
            <w:r w:rsidRPr="006E709F">
              <w:rPr>
                <w:i/>
              </w:rPr>
              <w:t xml:space="preserve">Administration and Probate Ordinance 1929 </w:t>
            </w:r>
            <w:r w:rsidRPr="006E709F">
              <w:t xml:space="preserve">and the </w:t>
            </w:r>
            <w:r w:rsidRPr="006E709F">
              <w:rPr>
                <w:i/>
              </w:rPr>
              <w:t>Public Trustee Act 1985</w:t>
            </w:r>
          </w:p>
        </w:tc>
        <w:tc>
          <w:tcPr>
            <w:tcW w:w="1352" w:type="pct"/>
            <w:shd w:val="clear" w:color="auto" w:fill="auto"/>
          </w:tcPr>
          <w:p w:rsidR="002A22A4" w:rsidRPr="006E709F" w:rsidRDefault="002A22A4" w:rsidP="00A801D0">
            <w:pPr>
              <w:pStyle w:val="Tabletext"/>
            </w:pPr>
            <w:r w:rsidRPr="006E709F">
              <w:t>Australian Capital Territory</w:t>
            </w:r>
          </w:p>
        </w:tc>
      </w:tr>
      <w:tr w:rsidR="002A22A4" w:rsidRPr="006E709F" w:rsidTr="00E118FA">
        <w:tc>
          <w:tcPr>
            <w:tcW w:w="750" w:type="pct"/>
            <w:shd w:val="clear" w:color="auto" w:fill="auto"/>
          </w:tcPr>
          <w:p w:rsidR="002A22A4" w:rsidRPr="006E709F" w:rsidRDefault="002A22A4" w:rsidP="00A801D0">
            <w:pPr>
              <w:pStyle w:val="Tabletext"/>
            </w:pPr>
            <w:r w:rsidRPr="006E709F">
              <w:t>37</w:t>
            </w:r>
          </w:p>
        </w:tc>
        <w:tc>
          <w:tcPr>
            <w:tcW w:w="1449" w:type="pct"/>
            <w:shd w:val="clear" w:color="auto" w:fill="auto"/>
          </w:tcPr>
          <w:p w:rsidR="002A22A4" w:rsidRPr="006E709F" w:rsidRDefault="002A22A4" w:rsidP="00A801D0">
            <w:pPr>
              <w:pStyle w:val="Tabletext"/>
            </w:pPr>
            <w:r w:rsidRPr="006E709F">
              <w:t>Registrar of the Supreme Court</w:t>
            </w:r>
          </w:p>
        </w:tc>
        <w:tc>
          <w:tcPr>
            <w:tcW w:w="1449" w:type="pct"/>
            <w:shd w:val="clear" w:color="auto" w:fill="auto"/>
          </w:tcPr>
          <w:p w:rsidR="002A22A4" w:rsidRPr="006E709F" w:rsidRDefault="002A22A4" w:rsidP="00A801D0">
            <w:pPr>
              <w:pStyle w:val="Tabletext"/>
            </w:pPr>
            <w:r w:rsidRPr="006E709F">
              <w:rPr>
                <w:i/>
              </w:rPr>
              <w:t>Australian Capital Territory Supreme Court Act 1933</w:t>
            </w:r>
          </w:p>
        </w:tc>
        <w:tc>
          <w:tcPr>
            <w:tcW w:w="1352" w:type="pct"/>
            <w:shd w:val="clear" w:color="auto" w:fill="auto"/>
          </w:tcPr>
          <w:p w:rsidR="002A22A4" w:rsidRPr="006E709F" w:rsidRDefault="002A22A4" w:rsidP="00A801D0">
            <w:pPr>
              <w:pStyle w:val="Tabletext"/>
            </w:pPr>
            <w:r w:rsidRPr="006E709F">
              <w:t>Commonwealth</w:t>
            </w:r>
          </w:p>
        </w:tc>
      </w:tr>
      <w:tr w:rsidR="002A22A4" w:rsidRPr="006E709F" w:rsidTr="00E118FA">
        <w:tc>
          <w:tcPr>
            <w:tcW w:w="750" w:type="pct"/>
            <w:shd w:val="clear" w:color="auto" w:fill="auto"/>
          </w:tcPr>
          <w:p w:rsidR="002A22A4" w:rsidRPr="006E709F" w:rsidRDefault="002A22A4" w:rsidP="00A801D0">
            <w:pPr>
              <w:pStyle w:val="Tabletext"/>
            </w:pPr>
            <w:r w:rsidRPr="006E709F">
              <w:t>38</w:t>
            </w:r>
          </w:p>
        </w:tc>
        <w:tc>
          <w:tcPr>
            <w:tcW w:w="1449" w:type="pct"/>
            <w:shd w:val="clear" w:color="auto" w:fill="auto"/>
          </w:tcPr>
          <w:p w:rsidR="002A22A4" w:rsidRPr="006E709F" w:rsidRDefault="002A22A4" w:rsidP="00A801D0">
            <w:pPr>
              <w:pStyle w:val="Tabletext"/>
            </w:pPr>
            <w:r w:rsidRPr="006E709F">
              <w:t>Master of the Supreme Court</w:t>
            </w:r>
          </w:p>
        </w:tc>
        <w:tc>
          <w:tcPr>
            <w:tcW w:w="1449" w:type="pct"/>
            <w:shd w:val="clear" w:color="auto" w:fill="auto"/>
          </w:tcPr>
          <w:p w:rsidR="002A22A4" w:rsidRPr="006E709F" w:rsidRDefault="002A22A4" w:rsidP="00A801D0">
            <w:pPr>
              <w:pStyle w:val="Tabletext"/>
            </w:pPr>
            <w:r w:rsidRPr="006E709F">
              <w:rPr>
                <w:i/>
              </w:rPr>
              <w:t>Australian Capital Territory Supreme Court Act 1933</w:t>
            </w:r>
          </w:p>
        </w:tc>
        <w:tc>
          <w:tcPr>
            <w:tcW w:w="1352" w:type="pct"/>
            <w:shd w:val="clear" w:color="auto" w:fill="auto"/>
          </w:tcPr>
          <w:p w:rsidR="002A22A4" w:rsidRPr="006E709F" w:rsidRDefault="002A22A4" w:rsidP="00A801D0">
            <w:pPr>
              <w:pStyle w:val="Tabletext"/>
            </w:pPr>
            <w:r w:rsidRPr="006E709F">
              <w:t>Commonwealth</w:t>
            </w:r>
          </w:p>
        </w:tc>
      </w:tr>
      <w:tr w:rsidR="002A22A4" w:rsidRPr="006E709F" w:rsidTr="00E118FA">
        <w:tc>
          <w:tcPr>
            <w:tcW w:w="750" w:type="pct"/>
            <w:shd w:val="clear" w:color="auto" w:fill="auto"/>
          </w:tcPr>
          <w:p w:rsidR="002A22A4" w:rsidRPr="006E709F" w:rsidRDefault="002A22A4" w:rsidP="00A801D0">
            <w:pPr>
              <w:pStyle w:val="Tabletext"/>
            </w:pPr>
            <w:r w:rsidRPr="006E709F">
              <w:t>39</w:t>
            </w:r>
          </w:p>
        </w:tc>
        <w:tc>
          <w:tcPr>
            <w:tcW w:w="1449" w:type="pct"/>
            <w:shd w:val="clear" w:color="auto" w:fill="auto"/>
          </w:tcPr>
          <w:p w:rsidR="002A22A4" w:rsidRPr="006E709F" w:rsidRDefault="002A22A4" w:rsidP="00A801D0">
            <w:pPr>
              <w:pStyle w:val="Tabletext"/>
            </w:pPr>
            <w:r w:rsidRPr="006E709F">
              <w:t>Treasurer</w:t>
            </w:r>
          </w:p>
        </w:tc>
        <w:tc>
          <w:tcPr>
            <w:tcW w:w="1449" w:type="pct"/>
            <w:shd w:val="clear" w:color="auto" w:fill="auto"/>
          </w:tcPr>
          <w:p w:rsidR="002A22A4" w:rsidRPr="006E709F" w:rsidRDefault="002A22A4" w:rsidP="00C328E8">
            <w:pPr>
              <w:pStyle w:val="Tabletext"/>
            </w:pPr>
          </w:p>
        </w:tc>
        <w:tc>
          <w:tcPr>
            <w:tcW w:w="1352" w:type="pct"/>
            <w:shd w:val="clear" w:color="auto" w:fill="auto"/>
          </w:tcPr>
          <w:p w:rsidR="002A22A4" w:rsidRPr="006E709F" w:rsidRDefault="002A22A4" w:rsidP="00A801D0">
            <w:pPr>
              <w:pStyle w:val="Tabletext"/>
            </w:pPr>
            <w:r w:rsidRPr="006E709F">
              <w:t>Northern Territory</w:t>
            </w:r>
          </w:p>
        </w:tc>
      </w:tr>
      <w:tr w:rsidR="002A22A4" w:rsidRPr="006E709F" w:rsidTr="00E118FA">
        <w:tc>
          <w:tcPr>
            <w:tcW w:w="750" w:type="pct"/>
            <w:shd w:val="clear" w:color="auto" w:fill="auto"/>
          </w:tcPr>
          <w:p w:rsidR="002A22A4" w:rsidRPr="006E709F" w:rsidRDefault="002A22A4" w:rsidP="00A801D0">
            <w:pPr>
              <w:pStyle w:val="Tabletext"/>
            </w:pPr>
            <w:r w:rsidRPr="006E709F">
              <w:t>40</w:t>
            </w:r>
          </w:p>
        </w:tc>
        <w:tc>
          <w:tcPr>
            <w:tcW w:w="1449" w:type="pct"/>
            <w:shd w:val="clear" w:color="auto" w:fill="auto"/>
          </w:tcPr>
          <w:p w:rsidR="002A22A4" w:rsidRPr="006E709F" w:rsidRDefault="002A22A4" w:rsidP="00A801D0">
            <w:pPr>
              <w:pStyle w:val="Tabletext"/>
            </w:pPr>
            <w:r w:rsidRPr="006E709F">
              <w:t>Public Trustee</w:t>
            </w:r>
          </w:p>
        </w:tc>
        <w:tc>
          <w:tcPr>
            <w:tcW w:w="1449" w:type="pct"/>
            <w:shd w:val="clear" w:color="auto" w:fill="auto"/>
          </w:tcPr>
          <w:p w:rsidR="002A22A4" w:rsidRPr="006E709F" w:rsidRDefault="002A22A4" w:rsidP="00A801D0">
            <w:pPr>
              <w:pStyle w:val="Tabletext"/>
            </w:pPr>
            <w:r w:rsidRPr="006E709F">
              <w:rPr>
                <w:i/>
              </w:rPr>
              <w:t>Public Trustee Act 1979</w:t>
            </w:r>
          </w:p>
        </w:tc>
        <w:tc>
          <w:tcPr>
            <w:tcW w:w="1352" w:type="pct"/>
            <w:shd w:val="clear" w:color="auto" w:fill="auto"/>
          </w:tcPr>
          <w:p w:rsidR="002A22A4" w:rsidRPr="006E709F" w:rsidRDefault="002A22A4" w:rsidP="00A801D0">
            <w:pPr>
              <w:pStyle w:val="Tabletext"/>
            </w:pPr>
            <w:r w:rsidRPr="006E709F">
              <w:t>Northern Territory</w:t>
            </w:r>
          </w:p>
        </w:tc>
      </w:tr>
      <w:tr w:rsidR="002A22A4" w:rsidRPr="006E709F" w:rsidTr="00E118FA">
        <w:tc>
          <w:tcPr>
            <w:tcW w:w="750" w:type="pct"/>
            <w:tcBorders>
              <w:bottom w:val="single" w:sz="4" w:space="0" w:color="auto"/>
            </w:tcBorders>
            <w:shd w:val="clear" w:color="auto" w:fill="auto"/>
          </w:tcPr>
          <w:p w:rsidR="002A22A4" w:rsidRPr="006E709F" w:rsidRDefault="002A22A4" w:rsidP="00A801D0">
            <w:pPr>
              <w:pStyle w:val="Tabletext"/>
            </w:pPr>
            <w:r w:rsidRPr="006E709F">
              <w:t>41</w:t>
            </w:r>
          </w:p>
        </w:tc>
        <w:tc>
          <w:tcPr>
            <w:tcW w:w="1449" w:type="pct"/>
            <w:tcBorders>
              <w:bottom w:val="single" w:sz="4" w:space="0" w:color="auto"/>
            </w:tcBorders>
            <w:shd w:val="clear" w:color="auto" w:fill="auto"/>
          </w:tcPr>
          <w:p w:rsidR="002A22A4" w:rsidRPr="006E709F" w:rsidRDefault="002A22A4" w:rsidP="00A801D0">
            <w:pPr>
              <w:pStyle w:val="Tabletext"/>
            </w:pPr>
            <w:r w:rsidRPr="006E709F">
              <w:t>Master of the Supreme Court</w:t>
            </w:r>
          </w:p>
        </w:tc>
        <w:tc>
          <w:tcPr>
            <w:tcW w:w="1449" w:type="pct"/>
            <w:tcBorders>
              <w:bottom w:val="single" w:sz="4" w:space="0" w:color="auto"/>
            </w:tcBorders>
            <w:shd w:val="clear" w:color="auto" w:fill="auto"/>
          </w:tcPr>
          <w:p w:rsidR="002A22A4" w:rsidRPr="006E709F" w:rsidRDefault="002A22A4" w:rsidP="00C328E8">
            <w:pPr>
              <w:pStyle w:val="Tabletext"/>
            </w:pPr>
          </w:p>
        </w:tc>
        <w:tc>
          <w:tcPr>
            <w:tcW w:w="1352" w:type="pct"/>
            <w:tcBorders>
              <w:bottom w:val="single" w:sz="4" w:space="0" w:color="auto"/>
            </w:tcBorders>
            <w:shd w:val="clear" w:color="auto" w:fill="auto"/>
          </w:tcPr>
          <w:p w:rsidR="002A22A4" w:rsidRPr="006E709F" w:rsidRDefault="002A22A4" w:rsidP="00A801D0">
            <w:pPr>
              <w:pStyle w:val="Tabletext"/>
            </w:pPr>
            <w:r w:rsidRPr="006E709F">
              <w:t>Northern Territory</w:t>
            </w:r>
          </w:p>
        </w:tc>
      </w:tr>
      <w:tr w:rsidR="002A22A4" w:rsidRPr="006E709F" w:rsidTr="00E118FA">
        <w:tc>
          <w:tcPr>
            <w:tcW w:w="750" w:type="pct"/>
            <w:tcBorders>
              <w:bottom w:val="single" w:sz="12" w:space="0" w:color="auto"/>
            </w:tcBorders>
            <w:shd w:val="clear" w:color="auto" w:fill="auto"/>
          </w:tcPr>
          <w:p w:rsidR="002A22A4" w:rsidRPr="006E709F" w:rsidRDefault="002A22A4" w:rsidP="00A801D0">
            <w:pPr>
              <w:pStyle w:val="Tabletext"/>
            </w:pPr>
            <w:r w:rsidRPr="006E709F">
              <w:t>42</w:t>
            </w:r>
          </w:p>
        </w:tc>
        <w:tc>
          <w:tcPr>
            <w:tcW w:w="1449" w:type="pct"/>
            <w:tcBorders>
              <w:bottom w:val="single" w:sz="12" w:space="0" w:color="auto"/>
            </w:tcBorders>
            <w:shd w:val="clear" w:color="auto" w:fill="auto"/>
          </w:tcPr>
          <w:p w:rsidR="002A22A4" w:rsidRPr="006E709F" w:rsidRDefault="002A22A4" w:rsidP="00A801D0">
            <w:pPr>
              <w:pStyle w:val="Tabletext"/>
            </w:pPr>
            <w:r w:rsidRPr="006E709F">
              <w:t>Commissioner for Corporate Affairs</w:t>
            </w:r>
          </w:p>
        </w:tc>
        <w:tc>
          <w:tcPr>
            <w:tcW w:w="1449" w:type="pct"/>
            <w:tcBorders>
              <w:bottom w:val="single" w:sz="12" w:space="0" w:color="auto"/>
            </w:tcBorders>
            <w:shd w:val="clear" w:color="auto" w:fill="auto"/>
          </w:tcPr>
          <w:p w:rsidR="002A22A4" w:rsidRPr="006E709F" w:rsidRDefault="002A22A4" w:rsidP="00A801D0">
            <w:pPr>
              <w:pStyle w:val="Tabletext"/>
            </w:pPr>
            <w:r w:rsidRPr="006E709F">
              <w:rPr>
                <w:i/>
              </w:rPr>
              <w:t>Companies (Administration) Act 1986</w:t>
            </w:r>
          </w:p>
        </w:tc>
        <w:tc>
          <w:tcPr>
            <w:tcW w:w="1352" w:type="pct"/>
            <w:tcBorders>
              <w:bottom w:val="single" w:sz="12" w:space="0" w:color="auto"/>
            </w:tcBorders>
            <w:shd w:val="clear" w:color="auto" w:fill="auto"/>
          </w:tcPr>
          <w:p w:rsidR="002A22A4" w:rsidRPr="006E709F" w:rsidRDefault="002A22A4" w:rsidP="00A801D0">
            <w:pPr>
              <w:pStyle w:val="Tabletext"/>
            </w:pPr>
            <w:r w:rsidRPr="006E709F">
              <w:t>Northern Territory</w:t>
            </w:r>
          </w:p>
        </w:tc>
      </w:tr>
    </w:tbl>
    <w:p w:rsidR="002A22A4" w:rsidRPr="006E709F" w:rsidRDefault="00A801D0" w:rsidP="00A801D0">
      <w:pPr>
        <w:pStyle w:val="ActHead1"/>
        <w:pageBreakBefore/>
      </w:pPr>
      <w:bookmarkStart w:id="2" w:name="_Toc170547825"/>
      <w:r w:rsidRPr="000C4237">
        <w:rPr>
          <w:rStyle w:val="CharChapNo"/>
        </w:rPr>
        <w:lastRenderedPageBreak/>
        <w:t>Schedule</w:t>
      </w:r>
      <w:r w:rsidR="00DA13DE" w:rsidRPr="000C4237">
        <w:rPr>
          <w:rStyle w:val="CharChapNo"/>
        </w:rPr>
        <w:t> </w:t>
      </w:r>
      <w:r w:rsidR="002A22A4" w:rsidRPr="000C4237">
        <w:rPr>
          <w:rStyle w:val="CharChapNo"/>
        </w:rPr>
        <w:t>4</w:t>
      </w:r>
      <w:r w:rsidRPr="006E709F">
        <w:t>—</w:t>
      </w:r>
      <w:r w:rsidR="002A22A4" w:rsidRPr="000C4237">
        <w:rPr>
          <w:rStyle w:val="CharChapText"/>
        </w:rPr>
        <w:t>Prescribed amounts</w:t>
      </w:r>
      <w:bookmarkEnd w:id="2"/>
    </w:p>
    <w:p w:rsidR="002A22A4" w:rsidRPr="006E709F" w:rsidRDefault="002A22A4" w:rsidP="00A801D0">
      <w:pPr>
        <w:pStyle w:val="notemargin"/>
      </w:pPr>
      <w:r w:rsidRPr="006E709F">
        <w:t>(regulation</w:t>
      </w:r>
      <w:r w:rsidR="00DA13DE" w:rsidRPr="006E709F">
        <w:t> </w:t>
      </w:r>
      <w:r w:rsidRPr="006E709F">
        <w:t>1.1.01)</w:t>
      </w:r>
    </w:p>
    <w:p w:rsidR="002A22A4" w:rsidRPr="006E709F" w:rsidRDefault="00A801D0" w:rsidP="002A22A4">
      <w:pPr>
        <w:pStyle w:val="Header"/>
      </w:pPr>
      <w:r w:rsidRPr="000C4237">
        <w:rPr>
          <w:rStyle w:val="CharPartNo"/>
        </w:rPr>
        <w:t xml:space="preserve"> </w:t>
      </w:r>
      <w:r w:rsidRPr="000C4237">
        <w:rPr>
          <w:rStyle w:val="CharPartText"/>
        </w:rPr>
        <w:t xml:space="preserve"> </w:t>
      </w:r>
    </w:p>
    <w:p w:rsidR="00A801D0" w:rsidRPr="006E709F"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80"/>
        <w:gridCol w:w="5184"/>
        <w:gridCol w:w="1965"/>
      </w:tblGrid>
      <w:tr w:rsidR="002A22A4" w:rsidRPr="006E709F" w:rsidTr="00E118FA">
        <w:trPr>
          <w:tblHeader/>
        </w:trPr>
        <w:tc>
          <w:tcPr>
            <w:tcW w:w="809" w:type="pct"/>
            <w:tcBorders>
              <w:top w:val="single" w:sz="12" w:space="0" w:color="auto"/>
              <w:bottom w:val="single" w:sz="6" w:space="0" w:color="auto"/>
            </w:tcBorders>
            <w:shd w:val="clear" w:color="auto" w:fill="auto"/>
          </w:tcPr>
          <w:p w:rsidR="002A22A4" w:rsidRPr="006E709F" w:rsidRDefault="002A22A4" w:rsidP="00A801D0">
            <w:pPr>
              <w:pStyle w:val="TableHeading"/>
            </w:pPr>
            <w:r w:rsidRPr="006E709F">
              <w:t>Column 1</w:t>
            </w:r>
          </w:p>
        </w:tc>
        <w:tc>
          <w:tcPr>
            <w:tcW w:w="3039" w:type="pct"/>
            <w:tcBorders>
              <w:top w:val="single" w:sz="12" w:space="0" w:color="auto"/>
              <w:bottom w:val="single" w:sz="6" w:space="0" w:color="auto"/>
            </w:tcBorders>
            <w:shd w:val="clear" w:color="auto" w:fill="auto"/>
          </w:tcPr>
          <w:p w:rsidR="002A22A4" w:rsidRPr="006E709F" w:rsidRDefault="002A22A4" w:rsidP="00A801D0">
            <w:pPr>
              <w:pStyle w:val="TableHeading"/>
            </w:pPr>
            <w:r w:rsidRPr="006E709F">
              <w:t>Column 2</w:t>
            </w:r>
          </w:p>
        </w:tc>
        <w:tc>
          <w:tcPr>
            <w:tcW w:w="1152" w:type="pct"/>
            <w:tcBorders>
              <w:top w:val="single" w:sz="12" w:space="0" w:color="auto"/>
              <w:bottom w:val="single" w:sz="6" w:space="0" w:color="auto"/>
            </w:tcBorders>
            <w:shd w:val="clear" w:color="auto" w:fill="auto"/>
          </w:tcPr>
          <w:p w:rsidR="002A22A4" w:rsidRPr="006E709F" w:rsidRDefault="002A22A4" w:rsidP="00A801D0">
            <w:pPr>
              <w:pStyle w:val="TableHeading"/>
            </w:pPr>
            <w:r w:rsidRPr="006E709F">
              <w:t>Column 3</w:t>
            </w:r>
          </w:p>
        </w:tc>
      </w:tr>
      <w:tr w:rsidR="002A22A4" w:rsidRPr="006E709F" w:rsidTr="00E118FA">
        <w:trPr>
          <w:tblHeader/>
        </w:trPr>
        <w:tc>
          <w:tcPr>
            <w:tcW w:w="809" w:type="pct"/>
            <w:tcBorders>
              <w:top w:val="single" w:sz="6" w:space="0" w:color="auto"/>
              <w:bottom w:val="single" w:sz="12" w:space="0" w:color="auto"/>
            </w:tcBorders>
            <w:shd w:val="clear" w:color="auto" w:fill="auto"/>
          </w:tcPr>
          <w:p w:rsidR="002A22A4" w:rsidRPr="006E709F" w:rsidRDefault="002A22A4" w:rsidP="000858E6">
            <w:pPr>
              <w:pStyle w:val="TableHeading"/>
            </w:pPr>
            <w:r w:rsidRPr="006E709F">
              <w:t>Item</w:t>
            </w:r>
          </w:p>
        </w:tc>
        <w:tc>
          <w:tcPr>
            <w:tcW w:w="3039" w:type="pct"/>
            <w:tcBorders>
              <w:top w:val="single" w:sz="6" w:space="0" w:color="auto"/>
              <w:bottom w:val="single" w:sz="12" w:space="0" w:color="auto"/>
            </w:tcBorders>
            <w:shd w:val="clear" w:color="auto" w:fill="auto"/>
          </w:tcPr>
          <w:p w:rsidR="002A22A4" w:rsidRPr="006E709F" w:rsidRDefault="002A22A4" w:rsidP="000858E6">
            <w:pPr>
              <w:pStyle w:val="TableHeading"/>
            </w:pPr>
            <w:r w:rsidRPr="006E709F">
              <w:t>Matter</w:t>
            </w:r>
          </w:p>
        </w:tc>
        <w:tc>
          <w:tcPr>
            <w:tcW w:w="1152" w:type="pct"/>
            <w:tcBorders>
              <w:top w:val="single" w:sz="6" w:space="0" w:color="auto"/>
              <w:bottom w:val="single" w:sz="12" w:space="0" w:color="auto"/>
            </w:tcBorders>
            <w:shd w:val="clear" w:color="auto" w:fill="auto"/>
          </w:tcPr>
          <w:p w:rsidR="002A22A4" w:rsidRPr="006E709F" w:rsidRDefault="002A22A4" w:rsidP="000858E6">
            <w:pPr>
              <w:pStyle w:val="TableHeading"/>
            </w:pPr>
            <w:r w:rsidRPr="006E709F">
              <w:t>Amount ($)</w:t>
            </w:r>
          </w:p>
        </w:tc>
      </w:tr>
      <w:tr w:rsidR="002A22A4" w:rsidRPr="006E709F" w:rsidTr="00E118FA">
        <w:tc>
          <w:tcPr>
            <w:tcW w:w="809" w:type="pct"/>
            <w:tcBorders>
              <w:top w:val="single" w:sz="12" w:space="0" w:color="auto"/>
              <w:bottom w:val="nil"/>
              <w:right w:val="nil"/>
            </w:tcBorders>
            <w:shd w:val="clear" w:color="auto" w:fill="auto"/>
          </w:tcPr>
          <w:p w:rsidR="002A22A4" w:rsidRPr="006E709F" w:rsidRDefault="002A22A4" w:rsidP="00A801D0">
            <w:pPr>
              <w:pStyle w:val="Tabletext"/>
            </w:pPr>
            <w:r w:rsidRPr="006E709F">
              <w:t>1</w:t>
            </w:r>
          </w:p>
        </w:tc>
        <w:tc>
          <w:tcPr>
            <w:tcW w:w="3039" w:type="pct"/>
            <w:tcBorders>
              <w:top w:val="single" w:sz="12" w:space="0" w:color="auto"/>
              <w:left w:val="nil"/>
              <w:bottom w:val="nil"/>
              <w:right w:val="nil"/>
            </w:tcBorders>
            <w:shd w:val="clear" w:color="auto" w:fill="auto"/>
          </w:tcPr>
          <w:p w:rsidR="002A22A4" w:rsidRPr="006E709F" w:rsidRDefault="002A22A4" w:rsidP="00A801D0">
            <w:pPr>
              <w:pStyle w:val="Tabletext"/>
            </w:pPr>
            <w:r w:rsidRPr="006E709F">
              <w:t>Inspection of registers for the purposes of:</w:t>
            </w:r>
          </w:p>
        </w:tc>
        <w:tc>
          <w:tcPr>
            <w:tcW w:w="1152" w:type="pct"/>
            <w:tcBorders>
              <w:top w:val="single" w:sz="12" w:space="0" w:color="auto"/>
              <w:left w:val="nil"/>
              <w:bottom w:val="nil"/>
            </w:tcBorders>
            <w:shd w:val="clear" w:color="auto" w:fill="auto"/>
          </w:tcPr>
          <w:p w:rsidR="002A22A4" w:rsidRPr="006E709F" w:rsidRDefault="002A22A4" w:rsidP="00A801D0">
            <w:pPr>
              <w:pStyle w:val="Tabletext"/>
            </w:pPr>
          </w:p>
        </w:tc>
      </w:tr>
      <w:tr w:rsidR="002A22A4" w:rsidRPr="006E709F" w:rsidTr="00E118FA">
        <w:tc>
          <w:tcPr>
            <w:tcW w:w="809" w:type="pct"/>
            <w:tcBorders>
              <w:top w:val="nil"/>
              <w:bottom w:val="nil"/>
              <w:right w:val="nil"/>
            </w:tcBorders>
            <w:shd w:val="clear" w:color="auto" w:fill="auto"/>
          </w:tcPr>
          <w:p w:rsidR="002A22A4" w:rsidRPr="006E709F" w:rsidRDefault="002A22A4" w:rsidP="00C328E8">
            <w:pPr>
              <w:pStyle w:val="Tabletext"/>
            </w:pPr>
          </w:p>
        </w:tc>
        <w:tc>
          <w:tcPr>
            <w:tcW w:w="3039" w:type="pct"/>
            <w:tcBorders>
              <w:top w:val="nil"/>
              <w:left w:val="nil"/>
              <w:bottom w:val="nil"/>
              <w:right w:val="nil"/>
            </w:tcBorders>
            <w:shd w:val="clear" w:color="auto" w:fill="auto"/>
          </w:tcPr>
          <w:p w:rsidR="002A22A4" w:rsidRPr="006E709F" w:rsidRDefault="00A801D0" w:rsidP="00C36BD7">
            <w:pPr>
              <w:pStyle w:val="Tablea"/>
            </w:pPr>
            <w:r w:rsidRPr="006E709F">
              <w:t>(</w:t>
            </w:r>
            <w:r w:rsidR="002A22A4" w:rsidRPr="006E709F">
              <w:t>a</w:t>
            </w:r>
            <w:r w:rsidRPr="006E709F">
              <w:t xml:space="preserve">) </w:t>
            </w:r>
            <w:r w:rsidR="002A22A4" w:rsidRPr="006E709F">
              <w:t>subsection</w:t>
            </w:r>
            <w:r w:rsidR="00DA13DE" w:rsidRPr="006E709F">
              <w:t> </w:t>
            </w:r>
            <w:r w:rsidR="002A22A4" w:rsidRPr="006E709F">
              <w:t>173(2) or subsection</w:t>
            </w:r>
            <w:r w:rsidR="00DA13DE" w:rsidRPr="006E709F">
              <w:t> </w:t>
            </w:r>
            <w:r w:rsidR="002A22A4" w:rsidRPr="006E709F">
              <w:t>672DA(7):</w:t>
            </w:r>
          </w:p>
        </w:tc>
        <w:tc>
          <w:tcPr>
            <w:tcW w:w="1152" w:type="pct"/>
            <w:tcBorders>
              <w:top w:val="nil"/>
              <w:left w:val="nil"/>
              <w:bottom w:val="nil"/>
            </w:tcBorders>
            <w:shd w:val="clear" w:color="auto" w:fill="auto"/>
          </w:tcPr>
          <w:p w:rsidR="002A22A4" w:rsidRPr="006E709F" w:rsidRDefault="002A22A4" w:rsidP="00C328E8">
            <w:pPr>
              <w:pStyle w:val="Tabletext"/>
            </w:pPr>
          </w:p>
        </w:tc>
      </w:tr>
      <w:tr w:rsidR="002A22A4" w:rsidRPr="006E709F" w:rsidTr="00E118FA">
        <w:tc>
          <w:tcPr>
            <w:tcW w:w="809" w:type="pct"/>
            <w:tcBorders>
              <w:top w:val="nil"/>
              <w:bottom w:val="nil"/>
              <w:right w:val="nil"/>
            </w:tcBorders>
            <w:shd w:val="clear" w:color="auto" w:fill="auto"/>
          </w:tcPr>
          <w:p w:rsidR="002A22A4" w:rsidRPr="006E709F" w:rsidRDefault="002A22A4" w:rsidP="00C328E8">
            <w:pPr>
              <w:pStyle w:val="Tabletext"/>
            </w:pPr>
          </w:p>
        </w:tc>
        <w:tc>
          <w:tcPr>
            <w:tcW w:w="3039" w:type="pct"/>
            <w:tcBorders>
              <w:top w:val="nil"/>
              <w:left w:val="nil"/>
              <w:bottom w:val="nil"/>
              <w:right w:val="nil"/>
            </w:tcBorders>
            <w:shd w:val="clear" w:color="auto" w:fill="auto"/>
          </w:tcPr>
          <w:p w:rsidR="002A22A4" w:rsidRPr="006E709F" w:rsidRDefault="00A801D0" w:rsidP="00A801D0">
            <w:pPr>
              <w:pStyle w:val="Tablei"/>
            </w:pPr>
            <w:r w:rsidRPr="006E709F">
              <w:t>(</w:t>
            </w:r>
            <w:r w:rsidR="002A22A4" w:rsidRPr="006E709F">
              <w:t>i</w:t>
            </w:r>
            <w:r w:rsidRPr="006E709F">
              <w:t xml:space="preserve">) </w:t>
            </w:r>
            <w:r w:rsidR="002A22A4" w:rsidRPr="006E709F">
              <w:t>if a register is not kept on a computer</w:t>
            </w:r>
            <w:r w:rsidRPr="006E709F">
              <w:t>—</w:t>
            </w:r>
            <w:r w:rsidR="002A22A4" w:rsidRPr="006E709F">
              <w:t>for each inspection</w:t>
            </w:r>
          </w:p>
        </w:tc>
        <w:tc>
          <w:tcPr>
            <w:tcW w:w="1152" w:type="pct"/>
            <w:tcBorders>
              <w:top w:val="nil"/>
              <w:left w:val="nil"/>
              <w:bottom w:val="nil"/>
            </w:tcBorders>
            <w:shd w:val="clear" w:color="auto" w:fill="auto"/>
          </w:tcPr>
          <w:p w:rsidR="002A22A4" w:rsidRPr="006E709F" w:rsidRDefault="002A22A4" w:rsidP="000858E6">
            <w:pPr>
              <w:pStyle w:val="Tabletext"/>
            </w:pPr>
            <w:r w:rsidRPr="006E709F">
              <w:t>5.00</w:t>
            </w:r>
          </w:p>
        </w:tc>
      </w:tr>
      <w:tr w:rsidR="002A22A4" w:rsidRPr="006E709F" w:rsidTr="00E118FA">
        <w:tc>
          <w:tcPr>
            <w:tcW w:w="809" w:type="pct"/>
            <w:tcBorders>
              <w:top w:val="nil"/>
              <w:bottom w:val="single" w:sz="4" w:space="0" w:color="auto"/>
              <w:right w:val="nil"/>
            </w:tcBorders>
            <w:shd w:val="clear" w:color="auto" w:fill="auto"/>
          </w:tcPr>
          <w:p w:rsidR="002A22A4" w:rsidRPr="006E709F" w:rsidRDefault="002A22A4" w:rsidP="00A801D0">
            <w:pPr>
              <w:pStyle w:val="Tabletext"/>
            </w:pPr>
          </w:p>
        </w:tc>
        <w:tc>
          <w:tcPr>
            <w:tcW w:w="3039" w:type="pct"/>
            <w:tcBorders>
              <w:top w:val="nil"/>
              <w:left w:val="nil"/>
              <w:bottom w:val="single" w:sz="4" w:space="0" w:color="auto"/>
              <w:right w:val="nil"/>
            </w:tcBorders>
            <w:shd w:val="clear" w:color="auto" w:fill="auto"/>
          </w:tcPr>
          <w:p w:rsidR="002A22A4" w:rsidRPr="006E709F" w:rsidRDefault="00A801D0" w:rsidP="00A801D0">
            <w:pPr>
              <w:pStyle w:val="Tablei"/>
            </w:pPr>
            <w:r w:rsidRPr="006E709F">
              <w:t>(</w:t>
            </w:r>
            <w:r w:rsidR="002A22A4" w:rsidRPr="006E709F">
              <w:t>ii</w:t>
            </w:r>
            <w:r w:rsidRPr="006E709F">
              <w:t xml:space="preserve">) </w:t>
            </w:r>
            <w:r w:rsidR="002A22A4" w:rsidRPr="006E709F">
              <w:t>if a register is kept on a computer</w:t>
            </w:r>
            <w:r w:rsidRPr="006E709F">
              <w:t>—</w:t>
            </w:r>
            <w:r w:rsidR="002A22A4" w:rsidRPr="006E709F">
              <w:t>for each inspection</w:t>
            </w:r>
          </w:p>
        </w:tc>
        <w:tc>
          <w:tcPr>
            <w:tcW w:w="1152" w:type="pct"/>
            <w:tcBorders>
              <w:top w:val="nil"/>
              <w:left w:val="nil"/>
              <w:bottom w:val="single" w:sz="4" w:space="0" w:color="auto"/>
            </w:tcBorders>
            <w:shd w:val="clear" w:color="auto" w:fill="auto"/>
          </w:tcPr>
          <w:p w:rsidR="002A22A4" w:rsidRPr="006E709F" w:rsidRDefault="002A22A4" w:rsidP="00A801D0">
            <w:pPr>
              <w:pStyle w:val="Tabletext"/>
            </w:pPr>
            <w:r w:rsidRPr="006E709F">
              <w:t>a reasonable amount that does not exceed the marginal cost to the company of providing an inspection</w:t>
            </w:r>
          </w:p>
        </w:tc>
      </w:tr>
      <w:tr w:rsidR="00875880" w:rsidRPr="006E709F" w:rsidTr="00E118FA">
        <w:tc>
          <w:tcPr>
            <w:tcW w:w="809" w:type="pct"/>
            <w:tcBorders>
              <w:top w:val="single" w:sz="4" w:space="0" w:color="auto"/>
              <w:bottom w:val="nil"/>
              <w:right w:val="nil"/>
            </w:tcBorders>
            <w:shd w:val="clear" w:color="auto" w:fill="auto"/>
          </w:tcPr>
          <w:p w:rsidR="00875880" w:rsidRPr="006E709F" w:rsidRDefault="00875880" w:rsidP="00A801D0">
            <w:pPr>
              <w:pStyle w:val="Tabletext"/>
            </w:pPr>
            <w:r w:rsidRPr="006E709F">
              <w:t>1AA</w:t>
            </w:r>
          </w:p>
        </w:tc>
        <w:tc>
          <w:tcPr>
            <w:tcW w:w="3039" w:type="pct"/>
            <w:tcBorders>
              <w:top w:val="single" w:sz="4" w:space="0" w:color="auto"/>
              <w:left w:val="nil"/>
              <w:bottom w:val="nil"/>
              <w:right w:val="nil"/>
            </w:tcBorders>
            <w:shd w:val="clear" w:color="auto" w:fill="auto"/>
          </w:tcPr>
          <w:p w:rsidR="00875880" w:rsidRPr="006E709F" w:rsidRDefault="00875880" w:rsidP="00875880">
            <w:pPr>
              <w:pStyle w:val="Tabletext"/>
            </w:pPr>
            <w:r w:rsidRPr="006E709F">
              <w:t>Supply of copies for subsection</w:t>
            </w:r>
            <w:r w:rsidR="00DA13DE" w:rsidRPr="006E709F">
              <w:t> </w:t>
            </w:r>
            <w:r w:rsidRPr="006E709F">
              <w:t>173(3)</w:t>
            </w:r>
          </w:p>
          <w:p w:rsidR="00875880" w:rsidRPr="006E709F" w:rsidRDefault="00875880" w:rsidP="00A801D0">
            <w:pPr>
              <w:pStyle w:val="Tabletext"/>
            </w:pPr>
            <w:r w:rsidRPr="006E709F">
              <w:t>In addition, if information is provided about 5,000 or more members:</w:t>
            </w:r>
          </w:p>
        </w:tc>
        <w:tc>
          <w:tcPr>
            <w:tcW w:w="1152" w:type="pct"/>
            <w:tcBorders>
              <w:top w:val="single" w:sz="4" w:space="0" w:color="auto"/>
              <w:left w:val="nil"/>
              <w:bottom w:val="nil"/>
            </w:tcBorders>
            <w:shd w:val="clear" w:color="auto" w:fill="auto"/>
          </w:tcPr>
          <w:p w:rsidR="00875880" w:rsidRPr="006E709F" w:rsidRDefault="00875880" w:rsidP="00A801D0">
            <w:pPr>
              <w:pStyle w:val="Tabletext"/>
            </w:pPr>
            <w:r w:rsidRPr="006E709F">
              <w:t>250.00</w:t>
            </w:r>
          </w:p>
        </w:tc>
      </w:tr>
      <w:tr w:rsidR="00875880" w:rsidRPr="006E709F" w:rsidTr="00E118FA">
        <w:tc>
          <w:tcPr>
            <w:tcW w:w="809" w:type="pct"/>
            <w:tcBorders>
              <w:top w:val="nil"/>
              <w:bottom w:val="nil"/>
              <w:right w:val="nil"/>
            </w:tcBorders>
            <w:shd w:val="clear" w:color="auto" w:fill="auto"/>
          </w:tcPr>
          <w:p w:rsidR="00875880" w:rsidRPr="006E709F" w:rsidRDefault="00875880" w:rsidP="00A801D0">
            <w:pPr>
              <w:pStyle w:val="Tabletext"/>
            </w:pPr>
          </w:p>
        </w:tc>
        <w:tc>
          <w:tcPr>
            <w:tcW w:w="3039" w:type="pct"/>
            <w:tcBorders>
              <w:top w:val="nil"/>
              <w:left w:val="nil"/>
              <w:bottom w:val="nil"/>
              <w:right w:val="nil"/>
            </w:tcBorders>
            <w:shd w:val="clear" w:color="auto" w:fill="auto"/>
          </w:tcPr>
          <w:p w:rsidR="00875880" w:rsidRPr="006E709F" w:rsidRDefault="00875880" w:rsidP="00A801D0">
            <w:pPr>
              <w:pStyle w:val="Tablea"/>
            </w:pPr>
            <w:r w:rsidRPr="006E709F">
              <w:t>(a) for the 5,000th member and for each additional member up to and including the 19,999th member</w:t>
            </w:r>
          </w:p>
        </w:tc>
        <w:tc>
          <w:tcPr>
            <w:tcW w:w="1152" w:type="pct"/>
            <w:tcBorders>
              <w:top w:val="nil"/>
              <w:left w:val="nil"/>
              <w:bottom w:val="nil"/>
            </w:tcBorders>
            <w:shd w:val="clear" w:color="auto" w:fill="auto"/>
          </w:tcPr>
          <w:p w:rsidR="00875880" w:rsidRPr="006E709F" w:rsidRDefault="00875880" w:rsidP="00A801D0">
            <w:pPr>
              <w:pStyle w:val="Tabletext"/>
            </w:pPr>
            <w:r w:rsidRPr="006E709F">
              <w:t>0.05</w:t>
            </w:r>
          </w:p>
        </w:tc>
      </w:tr>
      <w:tr w:rsidR="00875880" w:rsidRPr="006E709F" w:rsidTr="00E118FA">
        <w:tc>
          <w:tcPr>
            <w:tcW w:w="809" w:type="pct"/>
            <w:tcBorders>
              <w:top w:val="nil"/>
              <w:bottom w:val="single" w:sz="4" w:space="0" w:color="auto"/>
              <w:right w:val="nil"/>
            </w:tcBorders>
            <w:shd w:val="clear" w:color="auto" w:fill="auto"/>
          </w:tcPr>
          <w:p w:rsidR="00875880" w:rsidRPr="006E709F" w:rsidRDefault="00875880" w:rsidP="00A801D0">
            <w:pPr>
              <w:pStyle w:val="Tabletext"/>
            </w:pPr>
          </w:p>
        </w:tc>
        <w:tc>
          <w:tcPr>
            <w:tcW w:w="3039" w:type="pct"/>
            <w:tcBorders>
              <w:top w:val="nil"/>
              <w:left w:val="nil"/>
              <w:bottom w:val="single" w:sz="4" w:space="0" w:color="auto"/>
              <w:right w:val="nil"/>
            </w:tcBorders>
            <w:shd w:val="clear" w:color="auto" w:fill="auto"/>
          </w:tcPr>
          <w:p w:rsidR="00875880" w:rsidRPr="006E709F" w:rsidRDefault="00875880" w:rsidP="00A801D0">
            <w:pPr>
              <w:pStyle w:val="Tablea"/>
            </w:pPr>
            <w:r w:rsidRPr="006E709F">
              <w:t>(b) for the 20,000th member and for each additional member</w:t>
            </w:r>
          </w:p>
        </w:tc>
        <w:tc>
          <w:tcPr>
            <w:tcW w:w="1152" w:type="pct"/>
            <w:tcBorders>
              <w:top w:val="nil"/>
              <w:left w:val="nil"/>
              <w:bottom w:val="single" w:sz="4" w:space="0" w:color="auto"/>
            </w:tcBorders>
            <w:shd w:val="clear" w:color="auto" w:fill="auto"/>
          </w:tcPr>
          <w:p w:rsidR="00875880" w:rsidRPr="006E709F" w:rsidRDefault="00875880" w:rsidP="00A801D0">
            <w:pPr>
              <w:pStyle w:val="Tabletext"/>
            </w:pPr>
            <w:r w:rsidRPr="006E709F">
              <w:t>0.01</w:t>
            </w:r>
          </w:p>
        </w:tc>
      </w:tr>
      <w:tr w:rsidR="002A22A4" w:rsidRPr="006E709F" w:rsidTr="00E118FA">
        <w:tc>
          <w:tcPr>
            <w:tcW w:w="809" w:type="pct"/>
            <w:tcBorders>
              <w:top w:val="single" w:sz="4" w:space="0" w:color="auto"/>
              <w:bottom w:val="nil"/>
              <w:right w:val="nil"/>
            </w:tcBorders>
            <w:shd w:val="clear" w:color="auto" w:fill="auto"/>
          </w:tcPr>
          <w:p w:rsidR="002A22A4" w:rsidRPr="006E709F" w:rsidRDefault="002A22A4" w:rsidP="00A801D0">
            <w:pPr>
              <w:pStyle w:val="Tabletext"/>
            </w:pPr>
            <w:r w:rsidRPr="006E709F">
              <w:t>1A</w:t>
            </w:r>
          </w:p>
        </w:tc>
        <w:tc>
          <w:tcPr>
            <w:tcW w:w="3039" w:type="pct"/>
            <w:tcBorders>
              <w:top w:val="single" w:sz="4" w:space="0" w:color="auto"/>
              <w:left w:val="nil"/>
              <w:bottom w:val="nil"/>
              <w:right w:val="nil"/>
            </w:tcBorders>
            <w:shd w:val="clear" w:color="auto" w:fill="auto"/>
          </w:tcPr>
          <w:p w:rsidR="002A22A4" w:rsidRPr="006E709F" w:rsidRDefault="002A22A4" w:rsidP="00A801D0">
            <w:pPr>
              <w:pStyle w:val="Tabletext"/>
            </w:pPr>
            <w:r w:rsidRPr="006E709F">
              <w:t>Inspection of registers or records for:</w:t>
            </w:r>
          </w:p>
        </w:tc>
        <w:tc>
          <w:tcPr>
            <w:tcW w:w="1152" w:type="pct"/>
            <w:tcBorders>
              <w:top w:val="single" w:sz="4" w:space="0" w:color="auto"/>
              <w:left w:val="nil"/>
              <w:bottom w:val="nil"/>
            </w:tcBorders>
            <w:shd w:val="clear" w:color="auto" w:fill="auto"/>
          </w:tcPr>
          <w:p w:rsidR="002A22A4" w:rsidRPr="006E709F" w:rsidRDefault="002A22A4" w:rsidP="00A801D0">
            <w:pPr>
              <w:pStyle w:val="Tabletext"/>
            </w:pPr>
          </w:p>
        </w:tc>
      </w:tr>
      <w:tr w:rsidR="002A22A4" w:rsidRPr="006E709F" w:rsidTr="00E118FA">
        <w:tc>
          <w:tcPr>
            <w:tcW w:w="809" w:type="pct"/>
            <w:tcBorders>
              <w:top w:val="nil"/>
              <w:bottom w:val="nil"/>
              <w:right w:val="nil"/>
            </w:tcBorders>
            <w:shd w:val="clear" w:color="auto" w:fill="auto"/>
          </w:tcPr>
          <w:p w:rsidR="002A22A4" w:rsidRPr="006E709F" w:rsidRDefault="002A22A4" w:rsidP="00C328E8">
            <w:pPr>
              <w:pStyle w:val="Tabletext"/>
            </w:pPr>
          </w:p>
        </w:tc>
        <w:tc>
          <w:tcPr>
            <w:tcW w:w="3039" w:type="pct"/>
            <w:tcBorders>
              <w:top w:val="nil"/>
              <w:left w:val="nil"/>
              <w:bottom w:val="nil"/>
              <w:right w:val="nil"/>
            </w:tcBorders>
            <w:shd w:val="clear" w:color="auto" w:fill="auto"/>
          </w:tcPr>
          <w:p w:rsidR="002A22A4" w:rsidRPr="006E709F" w:rsidRDefault="00A801D0" w:rsidP="007678F7">
            <w:pPr>
              <w:pStyle w:val="Tablea"/>
            </w:pPr>
            <w:r w:rsidRPr="006E709F">
              <w:t>(</w:t>
            </w:r>
            <w:r w:rsidR="002A22A4" w:rsidRPr="006E709F">
              <w:t>a</w:t>
            </w:r>
            <w:r w:rsidRPr="006E709F">
              <w:t xml:space="preserve">) </w:t>
            </w:r>
            <w:r w:rsidR="002A22A4" w:rsidRPr="006E709F">
              <w:t>subsection</w:t>
            </w:r>
            <w:r w:rsidR="00DA13DE" w:rsidRPr="006E709F">
              <w:t> </w:t>
            </w:r>
            <w:r w:rsidR="002A22A4" w:rsidRPr="006E709F">
              <w:t>271(3)</w:t>
            </w:r>
          </w:p>
        </w:tc>
        <w:tc>
          <w:tcPr>
            <w:tcW w:w="1152" w:type="pct"/>
            <w:tcBorders>
              <w:top w:val="nil"/>
              <w:left w:val="nil"/>
              <w:bottom w:val="nil"/>
            </w:tcBorders>
            <w:shd w:val="clear" w:color="auto" w:fill="auto"/>
          </w:tcPr>
          <w:p w:rsidR="002A22A4" w:rsidRPr="006E709F" w:rsidRDefault="002A22A4" w:rsidP="00C328E8">
            <w:pPr>
              <w:pStyle w:val="Tabletext"/>
            </w:pPr>
          </w:p>
        </w:tc>
      </w:tr>
      <w:tr w:rsidR="002A22A4" w:rsidRPr="006E709F" w:rsidTr="00E118FA">
        <w:tc>
          <w:tcPr>
            <w:tcW w:w="809" w:type="pct"/>
            <w:tcBorders>
              <w:top w:val="nil"/>
              <w:bottom w:val="nil"/>
              <w:right w:val="nil"/>
            </w:tcBorders>
            <w:shd w:val="clear" w:color="auto" w:fill="auto"/>
          </w:tcPr>
          <w:p w:rsidR="002A22A4" w:rsidRPr="006E709F" w:rsidRDefault="002A22A4" w:rsidP="00C328E8">
            <w:pPr>
              <w:pStyle w:val="Tabletext"/>
            </w:pPr>
          </w:p>
        </w:tc>
        <w:tc>
          <w:tcPr>
            <w:tcW w:w="3039" w:type="pct"/>
            <w:tcBorders>
              <w:top w:val="nil"/>
              <w:left w:val="nil"/>
              <w:bottom w:val="nil"/>
              <w:right w:val="nil"/>
            </w:tcBorders>
            <w:shd w:val="clear" w:color="auto" w:fill="auto"/>
          </w:tcPr>
          <w:p w:rsidR="002A22A4" w:rsidRPr="006E709F" w:rsidRDefault="00A801D0" w:rsidP="007678F7">
            <w:pPr>
              <w:pStyle w:val="Tablea"/>
            </w:pPr>
            <w:r w:rsidRPr="006E709F">
              <w:t>(</w:t>
            </w:r>
            <w:r w:rsidR="002A22A4" w:rsidRPr="006E709F">
              <w:t>b</w:t>
            </w:r>
            <w:r w:rsidRPr="006E709F">
              <w:t xml:space="preserve">) </w:t>
            </w:r>
            <w:r w:rsidR="002A22A4" w:rsidRPr="006E709F">
              <w:t>subsection</w:t>
            </w:r>
            <w:r w:rsidR="00DA13DE" w:rsidRPr="006E709F">
              <w:t> </w:t>
            </w:r>
            <w:r w:rsidR="002A22A4" w:rsidRPr="006E709F">
              <w:t>668A(3);</w:t>
            </w:r>
          </w:p>
        </w:tc>
        <w:tc>
          <w:tcPr>
            <w:tcW w:w="1152" w:type="pct"/>
            <w:tcBorders>
              <w:top w:val="nil"/>
              <w:left w:val="nil"/>
              <w:bottom w:val="nil"/>
            </w:tcBorders>
            <w:shd w:val="clear" w:color="auto" w:fill="auto"/>
          </w:tcPr>
          <w:p w:rsidR="002A22A4" w:rsidRPr="006E709F" w:rsidRDefault="002A22A4" w:rsidP="00C328E8">
            <w:pPr>
              <w:pStyle w:val="Tabletext"/>
            </w:pPr>
          </w:p>
        </w:tc>
      </w:tr>
      <w:tr w:rsidR="002A22A4" w:rsidRPr="006E709F" w:rsidTr="00E118FA">
        <w:tc>
          <w:tcPr>
            <w:tcW w:w="809" w:type="pct"/>
            <w:tcBorders>
              <w:top w:val="nil"/>
              <w:bottom w:val="single" w:sz="4" w:space="0" w:color="auto"/>
              <w:right w:val="nil"/>
            </w:tcBorders>
            <w:shd w:val="clear" w:color="auto" w:fill="auto"/>
          </w:tcPr>
          <w:p w:rsidR="002A22A4" w:rsidRPr="006E709F" w:rsidRDefault="002A22A4" w:rsidP="00C328E8">
            <w:pPr>
              <w:pStyle w:val="Tabletext"/>
            </w:pPr>
          </w:p>
        </w:tc>
        <w:tc>
          <w:tcPr>
            <w:tcW w:w="3039" w:type="pct"/>
            <w:tcBorders>
              <w:top w:val="nil"/>
              <w:left w:val="nil"/>
              <w:bottom w:val="single" w:sz="4" w:space="0" w:color="auto"/>
              <w:right w:val="nil"/>
            </w:tcBorders>
            <w:shd w:val="clear" w:color="auto" w:fill="auto"/>
          </w:tcPr>
          <w:p w:rsidR="002A22A4" w:rsidRPr="006E709F" w:rsidRDefault="002A22A4" w:rsidP="00A801D0">
            <w:pPr>
              <w:pStyle w:val="Tabletext"/>
            </w:pPr>
            <w:r w:rsidRPr="006E709F">
              <w:t>for each inspection</w:t>
            </w:r>
          </w:p>
        </w:tc>
        <w:tc>
          <w:tcPr>
            <w:tcW w:w="1152" w:type="pct"/>
            <w:tcBorders>
              <w:top w:val="nil"/>
              <w:left w:val="nil"/>
              <w:bottom w:val="single" w:sz="4" w:space="0" w:color="auto"/>
            </w:tcBorders>
            <w:shd w:val="clear" w:color="auto" w:fill="auto"/>
          </w:tcPr>
          <w:p w:rsidR="002A22A4" w:rsidRPr="006E709F" w:rsidRDefault="002A22A4" w:rsidP="00A801D0">
            <w:pPr>
              <w:pStyle w:val="Tabletext"/>
            </w:pPr>
            <w:r w:rsidRPr="006E709F">
              <w:t>5.00</w:t>
            </w:r>
          </w:p>
        </w:tc>
      </w:tr>
      <w:tr w:rsidR="002A22A4" w:rsidRPr="006E709F" w:rsidTr="00E118FA">
        <w:tc>
          <w:tcPr>
            <w:tcW w:w="809" w:type="pct"/>
            <w:tcBorders>
              <w:top w:val="single" w:sz="4" w:space="0" w:color="auto"/>
              <w:bottom w:val="single" w:sz="4" w:space="0" w:color="auto"/>
            </w:tcBorders>
            <w:shd w:val="clear" w:color="auto" w:fill="auto"/>
          </w:tcPr>
          <w:p w:rsidR="002A22A4" w:rsidRPr="006E709F" w:rsidRDefault="002A22A4" w:rsidP="00A801D0">
            <w:pPr>
              <w:pStyle w:val="Tabletext"/>
            </w:pPr>
            <w:r w:rsidRPr="006E709F">
              <w:t>2</w:t>
            </w:r>
          </w:p>
        </w:tc>
        <w:tc>
          <w:tcPr>
            <w:tcW w:w="3039" w:type="pct"/>
            <w:tcBorders>
              <w:top w:val="single" w:sz="4" w:space="0" w:color="auto"/>
              <w:bottom w:val="single" w:sz="4" w:space="0" w:color="auto"/>
            </w:tcBorders>
            <w:shd w:val="clear" w:color="auto" w:fill="auto"/>
          </w:tcPr>
          <w:p w:rsidR="002A22A4" w:rsidRPr="006E709F" w:rsidRDefault="002A22A4" w:rsidP="00A801D0">
            <w:pPr>
              <w:pStyle w:val="Tabletext"/>
            </w:pPr>
            <w:r w:rsidRPr="006E709F">
              <w:t>Supply under section</w:t>
            </w:r>
            <w:r w:rsidR="00DA13DE" w:rsidRPr="006E709F">
              <w:t> </w:t>
            </w:r>
            <w:r w:rsidRPr="006E709F">
              <w:t>139 by a company to a member of the company of a copy of the company’s constitution</w:t>
            </w:r>
          </w:p>
        </w:tc>
        <w:tc>
          <w:tcPr>
            <w:tcW w:w="1152" w:type="pct"/>
            <w:tcBorders>
              <w:top w:val="single" w:sz="4" w:space="0" w:color="auto"/>
              <w:bottom w:val="single" w:sz="4" w:space="0" w:color="auto"/>
            </w:tcBorders>
            <w:shd w:val="clear" w:color="auto" w:fill="auto"/>
          </w:tcPr>
          <w:p w:rsidR="002A22A4" w:rsidRPr="006E709F" w:rsidRDefault="002A22A4" w:rsidP="00A801D0">
            <w:pPr>
              <w:pStyle w:val="Tabletext"/>
            </w:pPr>
            <w:r w:rsidRPr="006E709F">
              <w:t>10.00</w:t>
            </w:r>
          </w:p>
        </w:tc>
      </w:tr>
      <w:tr w:rsidR="002A22A4" w:rsidRPr="006E709F" w:rsidTr="00E118FA">
        <w:tc>
          <w:tcPr>
            <w:tcW w:w="809" w:type="pct"/>
            <w:tcBorders>
              <w:bottom w:val="nil"/>
              <w:right w:val="nil"/>
            </w:tcBorders>
            <w:shd w:val="clear" w:color="auto" w:fill="auto"/>
          </w:tcPr>
          <w:p w:rsidR="002A22A4" w:rsidRPr="006E709F" w:rsidRDefault="002A22A4" w:rsidP="00C86594">
            <w:pPr>
              <w:pStyle w:val="Tabletext"/>
            </w:pPr>
            <w:r w:rsidRPr="006E709F">
              <w:t>3</w:t>
            </w:r>
          </w:p>
        </w:tc>
        <w:tc>
          <w:tcPr>
            <w:tcW w:w="3039" w:type="pct"/>
            <w:tcBorders>
              <w:left w:val="nil"/>
              <w:bottom w:val="nil"/>
              <w:right w:val="nil"/>
            </w:tcBorders>
            <w:shd w:val="clear" w:color="auto" w:fill="auto"/>
          </w:tcPr>
          <w:p w:rsidR="002A22A4" w:rsidRPr="006E709F" w:rsidRDefault="002A22A4" w:rsidP="00750EE3">
            <w:pPr>
              <w:pStyle w:val="Tabletext"/>
            </w:pPr>
            <w:r w:rsidRPr="006E709F">
              <w:t>Supply of copies for subsection</w:t>
            </w:r>
            <w:r w:rsidR="00DA13DE" w:rsidRPr="006E709F">
              <w:t> </w:t>
            </w:r>
            <w:r w:rsidR="00C36BD7" w:rsidRPr="006E709F">
              <w:t>672DA</w:t>
            </w:r>
            <w:r w:rsidRPr="006E709F">
              <w:t>(8):</w:t>
            </w:r>
          </w:p>
        </w:tc>
        <w:tc>
          <w:tcPr>
            <w:tcW w:w="1152" w:type="pct"/>
            <w:tcBorders>
              <w:left w:val="nil"/>
              <w:bottom w:val="nil"/>
            </w:tcBorders>
            <w:shd w:val="clear" w:color="auto" w:fill="auto"/>
          </w:tcPr>
          <w:p w:rsidR="002A22A4" w:rsidRPr="006E709F" w:rsidRDefault="002A22A4" w:rsidP="00C86594">
            <w:pPr>
              <w:pStyle w:val="Tabletext"/>
            </w:pPr>
          </w:p>
        </w:tc>
      </w:tr>
      <w:tr w:rsidR="002A22A4" w:rsidRPr="006E709F" w:rsidTr="00E118FA">
        <w:tc>
          <w:tcPr>
            <w:tcW w:w="809" w:type="pct"/>
            <w:tcBorders>
              <w:top w:val="nil"/>
              <w:bottom w:val="nil"/>
              <w:right w:val="nil"/>
            </w:tcBorders>
            <w:shd w:val="clear" w:color="auto" w:fill="auto"/>
          </w:tcPr>
          <w:p w:rsidR="002A22A4" w:rsidRPr="006E709F" w:rsidRDefault="002A22A4" w:rsidP="00C86594">
            <w:pPr>
              <w:pStyle w:val="Tabletext"/>
            </w:pPr>
          </w:p>
        </w:tc>
        <w:tc>
          <w:tcPr>
            <w:tcW w:w="3039" w:type="pct"/>
            <w:tcBorders>
              <w:top w:val="nil"/>
              <w:left w:val="nil"/>
              <w:bottom w:val="nil"/>
              <w:right w:val="nil"/>
            </w:tcBorders>
            <w:shd w:val="clear" w:color="auto" w:fill="auto"/>
          </w:tcPr>
          <w:p w:rsidR="002A22A4" w:rsidRPr="006E709F" w:rsidRDefault="00A801D0" w:rsidP="00C86594">
            <w:pPr>
              <w:pStyle w:val="Tablea"/>
            </w:pPr>
            <w:r w:rsidRPr="006E709F">
              <w:t>(</w:t>
            </w:r>
            <w:r w:rsidR="002A22A4" w:rsidRPr="006E709F">
              <w:t>a</w:t>
            </w:r>
            <w:r w:rsidRPr="006E709F">
              <w:t xml:space="preserve">) </w:t>
            </w:r>
            <w:r w:rsidR="002A22A4" w:rsidRPr="006E709F">
              <w:t>if a register is not kept on a computer</w:t>
            </w:r>
            <w:r w:rsidRPr="006E709F">
              <w:t>—</w:t>
            </w:r>
            <w:r w:rsidR="002A22A4" w:rsidRPr="006E709F">
              <w:t xml:space="preserve">for each page, or part of a page, not exceeding international sheet size A4 of the copy supplied or, at the option of the supplier, for each 100 words or part of 100 words </w:t>
            </w:r>
          </w:p>
        </w:tc>
        <w:tc>
          <w:tcPr>
            <w:tcW w:w="1152" w:type="pct"/>
            <w:tcBorders>
              <w:top w:val="nil"/>
              <w:left w:val="nil"/>
              <w:bottom w:val="nil"/>
            </w:tcBorders>
            <w:shd w:val="clear" w:color="auto" w:fill="auto"/>
          </w:tcPr>
          <w:p w:rsidR="002A22A4" w:rsidRPr="006E709F" w:rsidRDefault="002A22A4" w:rsidP="00C86594">
            <w:pPr>
              <w:pStyle w:val="Tabletext"/>
            </w:pPr>
            <w:r w:rsidRPr="006E709F">
              <w:t xml:space="preserve">0.50 </w:t>
            </w:r>
          </w:p>
        </w:tc>
      </w:tr>
      <w:tr w:rsidR="002A22A4" w:rsidRPr="006E709F" w:rsidTr="00E118FA">
        <w:trPr>
          <w:cantSplit/>
        </w:trPr>
        <w:tc>
          <w:tcPr>
            <w:tcW w:w="809" w:type="pct"/>
            <w:tcBorders>
              <w:top w:val="nil"/>
              <w:bottom w:val="single" w:sz="4" w:space="0" w:color="auto"/>
              <w:right w:val="nil"/>
            </w:tcBorders>
            <w:shd w:val="clear" w:color="auto" w:fill="auto"/>
          </w:tcPr>
          <w:p w:rsidR="002A22A4" w:rsidRPr="006E709F" w:rsidRDefault="002A22A4" w:rsidP="00A801D0">
            <w:pPr>
              <w:pStyle w:val="Tabletext"/>
            </w:pPr>
          </w:p>
        </w:tc>
        <w:tc>
          <w:tcPr>
            <w:tcW w:w="3039" w:type="pct"/>
            <w:tcBorders>
              <w:top w:val="nil"/>
              <w:left w:val="nil"/>
              <w:bottom w:val="single" w:sz="4" w:space="0" w:color="auto"/>
              <w:right w:val="nil"/>
            </w:tcBorders>
            <w:shd w:val="clear" w:color="auto" w:fill="auto"/>
          </w:tcPr>
          <w:p w:rsidR="002A22A4" w:rsidRPr="006E709F" w:rsidRDefault="00A801D0" w:rsidP="00A801D0">
            <w:pPr>
              <w:pStyle w:val="Tablea"/>
            </w:pPr>
            <w:r w:rsidRPr="006E709F">
              <w:t>(</w:t>
            </w:r>
            <w:r w:rsidR="002A22A4" w:rsidRPr="006E709F">
              <w:t>b</w:t>
            </w:r>
            <w:r w:rsidRPr="006E709F">
              <w:t xml:space="preserve">) </w:t>
            </w:r>
            <w:r w:rsidR="002A22A4" w:rsidRPr="006E709F">
              <w:t>if a register is kept on a computer</w:t>
            </w:r>
            <w:r w:rsidRPr="006E709F">
              <w:t>—</w:t>
            </w:r>
            <w:r w:rsidR="002A22A4" w:rsidRPr="006E709F">
              <w:t xml:space="preserve">for each inspection </w:t>
            </w:r>
          </w:p>
        </w:tc>
        <w:tc>
          <w:tcPr>
            <w:tcW w:w="1152" w:type="pct"/>
            <w:tcBorders>
              <w:top w:val="nil"/>
              <w:left w:val="nil"/>
              <w:bottom w:val="single" w:sz="4" w:space="0" w:color="auto"/>
            </w:tcBorders>
            <w:shd w:val="clear" w:color="auto" w:fill="auto"/>
          </w:tcPr>
          <w:p w:rsidR="002A22A4" w:rsidRPr="006E709F" w:rsidRDefault="002A22A4" w:rsidP="00A801D0">
            <w:pPr>
              <w:pStyle w:val="Tabletext"/>
            </w:pPr>
            <w:r w:rsidRPr="006E709F">
              <w:t xml:space="preserve">a reasonable amount that does not exceed the marginal cost to the company of providing a copy </w:t>
            </w:r>
          </w:p>
        </w:tc>
      </w:tr>
      <w:tr w:rsidR="002A22A4" w:rsidRPr="006E709F" w:rsidTr="00E118FA">
        <w:tc>
          <w:tcPr>
            <w:tcW w:w="809" w:type="pct"/>
            <w:tcBorders>
              <w:top w:val="single" w:sz="4" w:space="0" w:color="auto"/>
              <w:bottom w:val="nil"/>
              <w:right w:val="nil"/>
            </w:tcBorders>
            <w:shd w:val="clear" w:color="auto" w:fill="auto"/>
          </w:tcPr>
          <w:p w:rsidR="002A22A4" w:rsidRPr="006E709F" w:rsidRDefault="00C328E8" w:rsidP="00A801D0">
            <w:pPr>
              <w:pStyle w:val="Tabletext"/>
            </w:pPr>
            <w:r w:rsidRPr="006E709F">
              <w:t>3A</w:t>
            </w:r>
          </w:p>
        </w:tc>
        <w:tc>
          <w:tcPr>
            <w:tcW w:w="3039" w:type="pct"/>
            <w:tcBorders>
              <w:top w:val="single" w:sz="4" w:space="0" w:color="auto"/>
              <w:left w:val="nil"/>
              <w:bottom w:val="nil"/>
              <w:right w:val="nil"/>
            </w:tcBorders>
            <w:shd w:val="clear" w:color="auto" w:fill="auto"/>
          </w:tcPr>
          <w:p w:rsidR="002A22A4" w:rsidRPr="006E709F" w:rsidRDefault="002A22A4" w:rsidP="00A801D0">
            <w:pPr>
              <w:pStyle w:val="Tabletext"/>
            </w:pPr>
            <w:r w:rsidRPr="006E709F">
              <w:t>Supply of copies for:</w:t>
            </w:r>
          </w:p>
        </w:tc>
        <w:tc>
          <w:tcPr>
            <w:tcW w:w="1152" w:type="pct"/>
            <w:tcBorders>
              <w:top w:val="single" w:sz="4" w:space="0" w:color="auto"/>
              <w:left w:val="nil"/>
              <w:bottom w:val="nil"/>
            </w:tcBorders>
            <w:shd w:val="clear" w:color="auto" w:fill="auto"/>
          </w:tcPr>
          <w:p w:rsidR="002A22A4" w:rsidRPr="006E709F" w:rsidRDefault="002A22A4" w:rsidP="00A801D0">
            <w:pPr>
              <w:pStyle w:val="Tabletext"/>
            </w:pPr>
          </w:p>
        </w:tc>
      </w:tr>
      <w:tr w:rsidR="002A22A4" w:rsidRPr="006E709F" w:rsidTr="00E118FA">
        <w:tc>
          <w:tcPr>
            <w:tcW w:w="809" w:type="pct"/>
            <w:tcBorders>
              <w:top w:val="nil"/>
              <w:bottom w:val="nil"/>
              <w:right w:val="nil"/>
            </w:tcBorders>
            <w:shd w:val="clear" w:color="auto" w:fill="auto"/>
          </w:tcPr>
          <w:p w:rsidR="002A22A4" w:rsidRPr="006E709F" w:rsidRDefault="002A22A4" w:rsidP="00C328E8">
            <w:pPr>
              <w:pStyle w:val="Tabletext"/>
            </w:pPr>
          </w:p>
        </w:tc>
        <w:tc>
          <w:tcPr>
            <w:tcW w:w="3039" w:type="pct"/>
            <w:tcBorders>
              <w:top w:val="nil"/>
              <w:left w:val="nil"/>
              <w:bottom w:val="nil"/>
              <w:right w:val="nil"/>
            </w:tcBorders>
            <w:shd w:val="clear" w:color="auto" w:fill="auto"/>
          </w:tcPr>
          <w:p w:rsidR="002A22A4" w:rsidRPr="006E709F" w:rsidRDefault="00A801D0" w:rsidP="00C36BD7">
            <w:pPr>
              <w:pStyle w:val="Tablea"/>
            </w:pPr>
            <w:r w:rsidRPr="006E709F">
              <w:t>(</w:t>
            </w:r>
            <w:r w:rsidR="002A22A4" w:rsidRPr="006E709F">
              <w:t>a</w:t>
            </w:r>
            <w:r w:rsidRPr="006E709F">
              <w:t xml:space="preserve">) </w:t>
            </w:r>
            <w:r w:rsidR="002A22A4" w:rsidRPr="006E709F">
              <w:t>subsection</w:t>
            </w:r>
            <w:r w:rsidR="00DA13DE" w:rsidRPr="006E709F">
              <w:t> </w:t>
            </w:r>
            <w:r w:rsidR="002A22A4" w:rsidRPr="006E709F">
              <w:t>246G(3)</w:t>
            </w:r>
          </w:p>
        </w:tc>
        <w:tc>
          <w:tcPr>
            <w:tcW w:w="1152" w:type="pct"/>
            <w:tcBorders>
              <w:top w:val="nil"/>
              <w:left w:val="nil"/>
              <w:bottom w:val="nil"/>
            </w:tcBorders>
            <w:shd w:val="clear" w:color="auto" w:fill="auto"/>
          </w:tcPr>
          <w:p w:rsidR="002A22A4" w:rsidRPr="006E709F" w:rsidRDefault="002A22A4" w:rsidP="00C328E8">
            <w:pPr>
              <w:pStyle w:val="Tabletext"/>
            </w:pPr>
          </w:p>
        </w:tc>
      </w:tr>
      <w:tr w:rsidR="002A22A4" w:rsidRPr="006E709F" w:rsidTr="00E118FA">
        <w:tc>
          <w:tcPr>
            <w:tcW w:w="809" w:type="pct"/>
            <w:tcBorders>
              <w:top w:val="nil"/>
              <w:bottom w:val="nil"/>
              <w:right w:val="nil"/>
            </w:tcBorders>
            <w:shd w:val="clear" w:color="auto" w:fill="auto"/>
          </w:tcPr>
          <w:p w:rsidR="002A22A4" w:rsidRPr="006E709F" w:rsidRDefault="002A22A4" w:rsidP="00C328E8">
            <w:pPr>
              <w:pStyle w:val="Tabletext"/>
            </w:pPr>
          </w:p>
        </w:tc>
        <w:tc>
          <w:tcPr>
            <w:tcW w:w="3039" w:type="pct"/>
            <w:tcBorders>
              <w:top w:val="nil"/>
              <w:left w:val="nil"/>
              <w:bottom w:val="nil"/>
              <w:right w:val="nil"/>
            </w:tcBorders>
            <w:shd w:val="clear" w:color="auto" w:fill="auto"/>
          </w:tcPr>
          <w:p w:rsidR="002A22A4" w:rsidRPr="006E709F" w:rsidRDefault="00A801D0" w:rsidP="00C36BD7">
            <w:pPr>
              <w:pStyle w:val="Tablea"/>
            </w:pPr>
            <w:r w:rsidRPr="006E709F">
              <w:t>(</w:t>
            </w:r>
            <w:r w:rsidR="002A22A4" w:rsidRPr="006E709F">
              <w:t>b</w:t>
            </w:r>
            <w:r w:rsidRPr="006E709F">
              <w:t xml:space="preserve">) </w:t>
            </w:r>
            <w:r w:rsidR="002A22A4" w:rsidRPr="006E709F">
              <w:t>subsection</w:t>
            </w:r>
            <w:r w:rsidR="00DA13DE" w:rsidRPr="006E709F">
              <w:t> </w:t>
            </w:r>
            <w:r w:rsidR="002A22A4" w:rsidRPr="006E709F">
              <w:t>251B(4)</w:t>
            </w:r>
          </w:p>
        </w:tc>
        <w:tc>
          <w:tcPr>
            <w:tcW w:w="1152" w:type="pct"/>
            <w:tcBorders>
              <w:top w:val="nil"/>
              <w:left w:val="nil"/>
              <w:bottom w:val="nil"/>
            </w:tcBorders>
            <w:shd w:val="clear" w:color="auto" w:fill="auto"/>
          </w:tcPr>
          <w:p w:rsidR="002A22A4" w:rsidRPr="006E709F" w:rsidRDefault="002A22A4" w:rsidP="00C328E8">
            <w:pPr>
              <w:pStyle w:val="Tabletext"/>
            </w:pPr>
          </w:p>
        </w:tc>
      </w:tr>
      <w:tr w:rsidR="002A22A4" w:rsidRPr="006E709F" w:rsidTr="00E118FA">
        <w:tc>
          <w:tcPr>
            <w:tcW w:w="809" w:type="pct"/>
            <w:tcBorders>
              <w:top w:val="nil"/>
              <w:bottom w:val="nil"/>
              <w:right w:val="nil"/>
            </w:tcBorders>
            <w:shd w:val="clear" w:color="auto" w:fill="auto"/>
          </w:tcPr>
          <w:p w:rsidR="002A22A4" w:rsidRPr="006E709F" w:rsidRDefault="002A22A4" w:rsidP="00C328E8">
            <w:pPr>
              <w:pStyle w:val="Tabletext"/>
            </w:pPr>
          </w:p>
        </w:tc>
        <w:tc>
          <w:tcPr>
            <w:tcW w:w="3039" w:type="pct"/>
            <w:tcBorders>
              <w:top w:val="nil"/>
              <w:left w:val="nil"/>
              <w:bottom w:val="nil"/>
              <w:right w:val="nil"/>
            </w:tcBorders>
            <w:shd w:val="clear" w:color="auto" w:fill="auto"/>
          </w:tcPr>
          <w:p w:rsidR="002A22A4" w:rsidRPr="006E709F" w:rsidRDefault="00A801D0" w:rsidP="00C36BD7">
            <w:pPr>
              <w:pStyle w:val="Tablea"/>
            </w:pPr>
            <w:r w:rsidRPr="006E709F">
              <w:t>(</w:t>
            </w:r>
            <w:r w:rsidR="002A22A4" w:rsidRPr="006E709F">
              <w:t>ba</w:t>
            </w:r>
            <w:r w:rsidRPr="006E709F">
              <w:t xml:space="preserve">) </w:t>
            </w:r>
            <w:r w:rsidR="002A22A4" w:rsidRPr="006E709F">
              <w:t>subsection</w:t>
            </w:r>
            <w:r w:rsidR="00DA13DE" w:rsidRPr="006E709F">
              <w:t> </w:t>
            </w:r>
            <w:r w:rsidR="002A22A4" w:rsidRPr="006E709F">
              <w:t>253N(4)</w:t>
            </w:r>
          </w:p>
        </w:tc>
        <w:tc>
          <w:tcPr>
            <w:tcW w:w="1152" w:type="pct"/>
            <w:tcBorders>
              <w:top w:val="nil"/>
              <w:left w:val="nil"/>
              <w:bottom w:val="nil"/>
            </w:tcBorders>
            <w:shd w:val="clear" w:color="auto" w:fill="auto"/>
          </w:tcPr>
          <w:p w:rsidR="002A22A4" w:rsidRPr="006E709F" w:rsidRDefault="002A22A4" w:rsidP="00C328E8">
            <w:pPr>
              <w:pStyle w:val="Tabletext"/>
            </w:pPr>
          </w:p>
        </w:tc>
      </w:tr>
      <w:tr w:rsidR="002A22A4" w:rsidRPr="006E709F" w:rsidTr="00E118FA">
        <w:tc>
          <w:tcPr>
            <w:tcW w:w="809" w:type="pct"/>
            <w:tcBorders>
              <w:top w:val="nil"/>
              <w:bottom w:val="nil"/>
              <w:right w:val="nil"/>
            </w:tcBorders>
            <w:shd w:val="clear" w:color="auto" w:fill="auto"/>
          </w:tcPr>
          <w:p w:rsidR="002A22A4" w:rsidRPr="006E709F" w:rsidRDefault="002A22A4" w:rsidP="00C328E8">
            <w:pPr>
              <w:pStyle w:val="Tabletext"/>
            </w:pPr>
          </w:p>
        </w:tc>
        <w:tc>
          <w:tcPr>
            <w:tcW w:w="3039" w:type="pct"/>
            <w:tcBorders>
              <w:top w:val="nil"/>
              <w:left w:val="nil"/>
              <w:bottom w:val="nil"/>
              <w:right w:val="nil"/>
            </w:tcBorders>
            <w:shd w:val="clear" w:color="auto" w:fill="auto"/>
          </w:tcPr>
          <w:p w:rsidR="002A22A4" w:rsidRPr="006E709F" w:rsidRDefault="00A801D0" w:rsidP="007678F7">
            <w:pPr>
              <w:pStyle w:val="Tablea"/>
            </w:pPr>
            <w:r w:rsidRPr="006E709F">
              <w:t>(</w:t>
            </w:r>
            <w:r w:rsidR="002A22A4" w:rsidRPr="006E709F">
              <w:t>c</w:t>
            </w:r>
            <w:r w:rsidRPr="006E709F">
              <w:t xml:space="preserve">) </w:t>
            </w:r>
            <w:r w:rsidR="002A22A4" w:rsidRPr="006E709F">
              <w:t>subsection</w:t>
            </w:r>
            <w:r w:rsidR="00DA13DE" w:rsidRPr="006E709F">
              <w:t> </w:t>
            </w:r>
            <w:r w:rsidR="002A22A4" w:rsidRPr="006E709F">
              <w:t>271(4)</w:t>
            </w:r>
          </w:p>
        </w:tc>
        <w:tc>
          <w:tcPr>
            <w:tcW w:w="1152" w:type="pct"/>
            <w:tcBorders>
              <w:top w:val="nil"/>
              <w:left w:val="nil"/>
              <w:bottom w:val="nil"/>
            </w:tcBorders>
            <w:shd w:val="clear" w:color="auto" w:fill="auto"/>
          </w:tcPr>
          <w:p w:rsidR="002A22A4" w:rsidRPr="006E709F" w:rsidRDefault="002A22A4" w:rsidP="00C328E8">
            <w:pPr>
              <w:pStyle w:val="Tabletext"/>
            </w:pPr>
          </w:p>
        </w:tc>
      </w:tr>
      <w:tr w:rsidR="002A22A4" w:rsidRPr="006E709F" w:rsidTr="00E118FA">
        <w:tc>
          <w:tcPr>
            <w:tcW w:w="809" w:type="pct"/>
            <w:tcBorders>
              <w:top w:val="nil"/>
              <w:bottom w:val="nil"/>
              <w:right w:val="nil"/>
            </w:tcBorders>
            <w:shd w:val="clear" w:color="auto" w:fill="auto"/>
          </w:tcPr>
          <w:p w:rsidR="002A22A4" w:rsidRPr="006E709F" w:rsidRDefault="002A22A4" w:rsidP="00C328E8">
            <w:pPr>
              <w:pStyle w:val="Tabletext"/>
            </w:pPr>
          </w:p>
        </w:tc>
        <w:tc>
          <w:tcPr>
            <w:tcW w:w="3039" w:type="pct"/>
            <w:tcBorders>
              <w:top w:val="nil"/>
              <w:left w:val="nil"/>
              <w:bottom w:val="nil"/>
              <w:right w:val="nil"/>
            </w:tcBorders>
            <w:shd w:val="clear" w:color="auto" w:fill="auto"/>
          </w:tcPr>
          <w:p w:rsidR="002A22A4" w:rsidRPr="006E709F" w:rsidRDefault="00A801D0" w:rsidP="007678F7">
            <w:pPr>
              <w:pStyle w:val="Tablea"/>
            </w:pPr>
            <w:r w:rsidRPr="006E709F">
              <w:t>(</w:t>
            </w:r>
            <w:r w:rsidR="002A22A4" w:rsidRPr="006E709F">
              <w:t>d</w:t>
            </w:r>
            <w:r w:rsidRPr="006E709F">
              <w:t xml:space="preserve">) </w:t>
            </w:r>
            <w:r w:rsidR="002A22A4" w:rsidRPr="006E709F">
              <w:t>subsection</w:t>
            </w:r>
            <w:r w:rsidR="00DA13DE" w:rsidRPr="006E709F">
              <w:t> </w:t>
            </w:r>
            <w:r w:rsidR="002A22A4" w:rsidRPr="006E709F">
              <w:t>812(3)</w:t>
            </w:r>
          </w:p>
        </w:tc>
        <w:tc>
          <w:tcPr>
            <w:tcW w:w="1152" w:type="pct"/>
            <w:tcBorders>
              <w:top w:val="nil"/>
              <w:left w:val="nil"/>
              <w:bottom w:val="nil"/>
            </w:tcBorders>
            <w:shd w:val="clear" w:color="auto" w:fill="auto"/>
          </w:tcPr>
          <w:p w:rsidR="002A22A4" w:rsidRPr="006E709F" w:rsidRDefault="002A22A4" w:rsidP="00C328E8">
            <w:pPr>
              <w:pStyle w:val="Tabletext"/>
            </w:pPr>
          </w:p>
        </w:tc>
      </w:tr>
      <w:tr w:rsidR="002A22A4" w:rsidRPr="006E709F" w:rsidTr="00E118FA">
        <w:tc>
          <w:tcPr>
            <w:tcW w:w="809" w:type="pct"/>
            <w:tcBorders>
              <w:top w:val="nil"/>
              <w:bottom w:val="nil"/>
              <w:right w:val="nil"/>
            </w:tcBorders>
            <w:shd w:val="clear" w:color="auto" w:fill="auto"/>
          </w:tcPr>
          <w:p w:rsidR="002A22A4" w:rsidRPr="006E709F" w:rsidRDefault="002A22A4" w:rsidP="00C328E8">
            <w:pPr>
              <w:pStyle w:val="Tabletext"/>
            </w:pPr>
          </w:p>
        </w:tc>
        <w:tc>
          <w:tcPr>
            <w:tcW w:w="3039" w:type="pct"/>
            <w:tcBorders>
              <w:top w:val="nil"/>
              <w:left w:val="nil"/>
              <w:bottom w:val="nil"/>
              <w:right w:val="nil"/>
            </w:tcBorders>
            <w:shd w:val="clear" w:color="auto" w:fill="auto"/>
          </w:tcPr>
          <w:p w:rsidR="002A22A4" w:rsidRPr="006E709F" w:rsidRDefault="00A801D0" w:rsidP="007678F7">
            <w:pPr>
              <w:pStyle w:val="Tablea"/>
            </w:pPr>
            <w:r w:rsidRPr="006E709F">
              <w:t>(</w:t>
            </w:r>
            <w:r w:rsidR="002A22A4" w:rsidRPr="006E709F">
              <w:t>e</w:t>
            </w:r>
            <w:r w:rsidRPr="006E709F">
              <w:t xml:space="preserve">) </w:t>
            </w:r>
            <w:r w:rsidR="002A22A4" w:rsidRPr="006E709F">
              <w:t>paragraph</w:t>
            </w:r>
            <w:r w:rsidR="00DA13DE" w:rsidRPr="006E709F">
              <w:t> </w:t>
            </w:r>
            <w:r w:rsidR="002A22A4" w:rsidRPr="006E709F">
              <w:t>1178(3</w:t>
            </w:r>
            <w:r w:rsidRPr="006E709F">
              <w:t>)(</w:t>
            </w:r>
            <w:r w:rsidR="002A22A4" w:rsidRPr="006E709F">
              <w:t>a);</w:t>
            </w:r>
          </w:p>
        </w:tc>
        <w:tc>
          <w:tcPr>
            <w:tcW w:w="1152" w:type="pct"/>
            <w:tcBorders>
              <w:top w:val="nil"/>
              <w:left w:val="nil"/>
              <w:bottom w:val="nil"/>
            </w:tcBorders>
            <w:shd w:val="clear" w:color="auto" w:fill="auto"/>
          </w:tcPr>
          <w:p w:rsidR="002A22A4" w:rsidRPr="006E709F" w:rsidRDefault="002A22A4" w:rsidP="00C328E8">
            <w:pPr>
              <w:pStyle w:val="Tabletext"/>
            </w:pPr>
          </w:p>
        </w:tc>
      </w:tr>
      <w:tr w:rsidR="002A22A4" w:rsidRPr="006E709F" w:rsidTr="00E118FA">
        <w:tc>
          <w:tcPr>
            <w:tcW w:w="809" w:type="pct"/>
            <w:tcBorders>
              <w:top w:val="nil"/>
              <w:bottom w:val="single" w:sz="4" w:space="0" w:color="auto"/>
              <w:right w:val="nil"/>
            </w:tcBorders>
            <w:shd w:val="clear" w:color="auto" w:fill="auto"/>
          </w:tcPr>
          <w:p w:rsidR="002A22A4" w:rsidRPr="006E709F" w:rsidRDefault="002A22A4" w:rsidP="00C328E8">
            <w:pPr>
              <w:pStyle w:val="Tabletext"/>
            </w:pPr>
          </w:p>
        </w:tc>
        <w:tc>
          <w:tcPr>
            <w:tcW w:w="3039" w:type="pct"/>
            <w:tcBorders>
              <w:top w:val="nil"/>
              <w:left w:val="nil"/>
              <w:bottom w:val="single" w:sz="4" w:space="0" w:color="auto"/>
              <w:right w:val="nil"/>
            </w:tcBorders>
            <w:shd w:val="clear" w:color="auto" w:fill="auto"/>
          </w:tcPr>
          <w:p w:rsidR="002A22A4" w:rsidRPr="006E709F" w:rsidRDefault="002A22A4" w:rsidP="00A801D0">
            <w:pPr>
              <w:pStyle w:val="Tabletext"/>
            </w:pPr>
            <w:r w:rsidRPr="006E709F">
              <w:t>for each page, or part of a page, not exceeding international sheet size A4 of the copy supplied or, at the option of the supplier, for each 100 words or part of 100 words</w:t>
            </w:r>
          </w:p>
        </w:tc>
        <w:tc>
          <w:tcPr>
            <w:tcW w:w="1152" w:type="pct"/>
            <w:tcBorders>
              <w:top w:val="nil"/>
              <w:left w:val="nil"/>
              <w:bottom w:val="single" w:sz="4" w:space="0" w:color="auto"/>
            </w:tcBorders>
            <w:shd w:val="clear" w:color="auto" w:fill="auto"/>
          </w:tcPr>
          <w:p w:rsidR="002A22A4" w:rsidRPr="006E709F" w:rsidRDefault="002A22A4" w:rsidP="00A801D0">
            <w:pPr>
              <w:pStyle w:val="Tabletext"/>
            </w:pPr>
            <w:r w:rsidRPr="006E709F">
              <w:t>0.50</w:t>
            </w:r>
          </w:p>
        </w:tc>
      </w:tr>
      <w:tr w:rsidR="002A22A4" w:rsidRPr="006E709F" w:rsidTr="00E118FA">
        <w:tc>
          <w:tcPr>
            <w:tcW w:w="809" w:type="pct"/>
            <w:tcBorders>
              <w:top w:val="single" w:sz="4" w:space="0" w:color="auto"/>
            </w:tcBorders>
            <w:shd w:val="clear" w:color="auto" w:fill="auto"/>
          </w:tcPr>
          <w:p w:rsidR="002A22A4" w:rsidRPr="006E709F" w:rsidRDefault="002A22A4" w:rsidP="00A801D0">
            <w:pPr>
              <w:pStyle w:val="Tabletext"/>
            </w:pPr>
            <w:r w:rsidRPr="006E709F">
              <w:t>4</w:t>
            </w:r>
          </w:p>
        </w:tc>
        <w:tc>
          <w:tcPr>
            <w:tcW w:w="3039" w:type="pct"/>
            <w:tcBorders>
              <w:top w:val="single" w:sz="4" w:space="0" w:color="auto"/>
            </w:tcBorders>
            <w:shd w:val="clear" w:color="auto" w:fill="auto"/>
          </w:tcPr>
          <w:p w:rsidR="002A22A4" w:rsidRPr="006E709F" w:rsidRDefault="002A22A4" w:rsidP="007678F7">
            <w:pPr>
              <w:pStyle w:val="Tabletext"/>
            </w:pPr>
            <w:r w:rsidRPr="006E709F">
              <w:t>Payment for each name and address provided under subsection</w:t>
            </w:r>
            <w:r w:rsidR="00DA13DE" w:rsidRPr="006E709F">
              <w:t> </w:t>
            </w:r>
            <w:r w:rsidRPr="006E709F">
              <w:t>641(5)</w:t>
            </w:r>
          </w:p>
        </w:tc>
        <w:tc>
          <w:tcPr>
            <w:tcW w:w="1152" w:type="pct"/>
            <w:tcBorders>
              <w:top w:val="single" w:sz="4" w:space="0" w:color="auto"/>
            </w:tcBorders>
            <w:shd w:val="clear" w:color="auto" w:fill="auto"/>
          </w:tcPr>
          <w:p w:rsidR="002A22A4" w:rsidRPr="006E709F" w:rsidRDefault="002A22A4" w:rsidP="00A801D0">
            <w:pPr>
              <w:pStyle w:val="Tabletext"/>
            </w:pPr>
            <w:r w:rsidRPr="006E709F">
              <w:t>0.10</w:t>
            </w:r>
          </w:p>
        </w:tc>
      </w:tr>
      <w:tr w:rsidR="002A22A4" w:rsidRPr="006E709F" w:rsidTr="00E118FA">
        <w:tc>
          <w:tcPr>
            <w:tcW w:w="809" w:type="pct"/>
            <w:shd w:val="clear" w:color="auto" w:fill="auto"/>
          </w:tcPr>
          <w:p w:rsidR="002A22A4" w:rsidRPr="006E709F" w:rsidRDefault="002A22A4" w:rsidP="00A801D0">
            <w:pPr>
              <w:pStyle w:val="Tabletext"/>
            </w:pPr>
            <w:r w:rsidRPr="006E709F">
              <w:t>5</w:t>
            </w:r>
          </w:p>
        </w:tc>
        <w:tc>
          <w:tcPr>
            <w:tcW w:w="3039" w:type="pct"/>
            <w:shd w:val="clear" w:color="auto" w:fill="auto"/>
          </w:tcPr>
          <w:p w:rsidR="002A22A4" w:rsidRPr="006E709F" w:rsidRDefault="002A22A4" w:rsidP="00A801D0">
            <w:pPr>
              <w:pStyle w:val="Tabletext"/>
            </w:pPr>
            <w:r w:rsidRPr="006E709F">
              <w:t>For compliance with a direction under section</w:t>
            </w:r>
            <w:r w:rsidR="00DA13DE" w:rsidRPr="006E709F">
              <w:t> </w:t>
            </w:r>
            <w:r w:rsidRPr="006E709F">
              <w:t>672A</w:t>
            </w:r>
          </w:p>
        </w:tc>
        <w:tc>
          <w:tcPr>
            <w:tcW w:w="1152" w:type="pct"/>
            <w:shd w:val="clear" w:color="auto" w:fill="auto"/>
          </w:tcPr>
          <w:p w:rsidR="002A22A4" w:rsidRPr="006E709F" w:rsidRDefault="002A22A4" w:rsidP="00A801D0">
            <w:pPr>
              <w:pStyle w:val="Tabletext"/>
            </w:pPr>
            <w:r w:rsidRPr="006E709F">
              <w:t xml:space="preserve">5.00 </w:t>
            </w:r>
          </w:p>
        </w:tc>
      </w:tr>
      <w:tr w:rsidR="002A22A4" w:rsidRPr="006E709F" w:rsidTr="00E118FA">
        <w:tc>
          <w:tcPr>
            <w:tcW w:w="809" w:type="pct"/>
            <w:shd w:val="clear" w:color="auto" w:fill="auto"/>
          </w:tcPr>
          <w:p w:rsidR="002A22A4" w:rsidRPr="006E709F" w:rsidRDefault="007C7D49" w:rsidP="00A801D0">
            <w:pPr>
              <w:pStyle w:val="Tabletext"/>
            </w:pPr>
            <w:r w:rsidRPr="006E709F">
              <w:t>6</w:t>
            </w:r>
          </w:p>
        </w:tc>
        <w:tc>
          <w:tcPr>
            <w:tcW w:w="3039" w:type="pct"/>
            <w:shd w:val="clear" w:color="auto" w:fill="auto"/>
          </w:tcPr>
          <w:p w:rsidR="002A22A4" w:rsidRPr="006E709F" w:rsidRDefault="002A22A4" w:rsidP="007678F7">
            <w:pPr>
              <w:pStyle w:val="Tabletext"/>
            </w:pPr>
            <w:r w:rsidRPr="006E709F">
              <w:t xml:space="preserve">Replacement of lost or destroyed certificate for </w:t>
            </w:r>
            <w:r w:rsidRPr="006E709F">
              <w:rPr>
                <w:color w:val="000000"/>
              </w:rPr>
              <w:t>paragraph</w:t>
            </w:r>
            <w:r w:rsidR="00DA13DE" w:rsidRPr="006E709F">
              <w:rPr>
                <w:color w:val="000000"/>
              </w:rPr>
              <w:t> </w:t>
            </w:r>
            <w:r w:rsidRPr="006E709F">
              <w:rPr>
                <w:color w:val="000000"/>
              </w:rPr>
              <w:t>1070D(4</w:t>
            </w:r>
            <w:r w:rsidR="00A801D0" w:rsidRPr="006E709F">
              <w:rPr>
                <w:color w:val="000000"/>
              </w:rPr>
              <w:t>)(</w:t>
            </w:r>
            <w:r w:rsidRPr="006E709F">
              <w:rPr>
                <w:color w:val="000000"/>
              </w:rPr>
              <w:t>a)</w:t>
            </w:r>
          </w:p>
        </w:tc>
        <w:tc>
          <w:tcPr>
            <w:tcW w:w="1152" w:type="pct"/>
            <w:shd w:val="clear" w:color="auto" w:fill="auto"/>
          </w:tcPr>
          <w:p w:rsidR="002A22A4" w:rsidRPr="006E709F" w:rsidRDefault="002A22A4" w:rsidP="00A801D0">
            <w:pPr>
              <w:pStyle w:val="Tabletext"/>
            </w:pPr>
            <w:r w:rsidRPr="006E709F">
              <w:t>10.00</w:t>
            </w:r>
          </w:p>
        </w:tc>
      </w:tr>
      <w:tr w:rsidR="002A22A4" w:rsidRPr="006E709F" w:rsidTr="00E118FA">
        <w:tc>
          <w:tcPr>
            <w:tcW w:w="809" w:type="pct"/>
            <w:tcBorders>
              <w:bottom w:val="single" w:sz="4" w:space="0" w:color="auto"/>
            </w:tcBorders>
            <w:shd w:val="clear" w:color="auto" w:fill="auto"/>
          </w:tcPr>
          <w:p w:rsidR="002A22A4" w:rsidRPr="006E709F" w:rsidRDefault="002A22A4" w:rsidP="00A801D0">
            <w:pPr>
              <w:pStyle w:val="Tabletext"/>
            </w:pPr>
            <w:r w:rsidRPr="006E709F">
              <w:t>7</w:t>
            </w:r>
          </w:p>
        </w:tc>
        <w:tc>
          <w:tcPr>
            <w:tcW w:w="3039" w:type="pct"/>
            <w:tcBorders>
              <w:bottom w:val="single" w:sz="4" w:space="0" w:color="auto"/>
            </w:tcBorders>
            <w:shd w:val="clear" w:color="auto" w:fill="auto"/>
          </w:tcPr>
          <w:p w:rsidR="002A22A4" w:rsidRPr="006E709F" w:rsidRDefault="002A22A4" w:rsidP="007678F7">
            <w:pPr>
              <w:pStyle w:val="Tabletext"/>
            </w:pPr>
            <w:r w:rsidRPr="006E709F">
              <w:t>Fee for supply by a responsible entity of a copy of the constitution of a registered scheme under subsection</w:t>
            </w:r>
            <w:r w:rsidR="00DA13DE" w:rsidRPr="006E709F">
              <w:t> </w:t>
            </w:r>
            <w:r w:rsidRPr="006E709F">
              <w:t>601GC(4)</w:t>
            </w:r>
          </w:p>
        </w:tc>
        <w:tc>
          <w:tcPr>
            <w:tcW w:w="1152" w:type="pct"/>
            <w:tcBorders>
              <w:bottom w:val="single" w:sz="4" w:space="0" w:color="auto"/>
            </w:tcBorders>
            <w:shd w:val="clear" w:color="auto" w:fill="auto"/>
          </w:tcPr>
          <w:p w:rsidR="002A22A4" w:rsidRPr="006E709F" w:rsidRDefault="002A22A4" w:rsidP="00A801D0">
            <w:pPr>
              <w:pStyle w:val="Tabletext"/>
            </w:pPr>
            <w:r w:rsidRPr="006E709F">
              <w:t>10.00</w:t>
            </w:r>
          </w:p>
        </w:tc>
      </w:tr>
      <w:tr w:rsidR="00875880" w:rsidRPr="006E709F" w:rsidTr="00E118FA">
        <w:tc>
          <w:tcPr>
            <w:tcW w:w="809" w:type="pct"/>
            <w:tcBorders>
              <w:bottom w:val="single" w:sz="4" w:space="0" w:color="auto"/>
            </w:tcBorders>
            <w:shd w:val="clear" w:color="auto" w:fill="auto"/>
          </w:tcPr>
          <w:p w:rsidR="00875880" w:rsidRPr="006E709F" w:rsidRDefault="00875880" w:rsidP="00A801D0">
            <w:pPr>
              <w:pStyle w:val="Tabletext"/>
            </w:pPr>
            <w:r w:rsidRPr="006E709F">
              <w:t>7A</w:t>
            </w:r>
          </w:p>
        </w:tc>
        <w:tc>
          <w:tcPr>
            <w:tcW w:w="3039" w:type="pct"/>
            <w:tcBorders>
              <w:bottom w:val="single" w:sz="4" w:space="0" w:color="auto"/>
            </w:tcBorders>
            <w:shd w:val="clear" w:color="auto" w:fill="auto"/>
          </w:tcPr>
          <w:p w:rsidR="00875880" w:rsidRPr="006E709F" w:rsidRDefault="00875880" w:rsidP="007678F7">
            <w:pPr>
              <w:pStyle w:val="Tabletext"/>
            </w:pPr>
            <w:r w:rsidRPr="006E709F">
              <w:t>Costs of the operator in providing a copy of the consolidated constitution of a notified foreign passport fund under section</w:t>
            </w:r>
            <w:r w:rsidR="00DA13DE" w:rsidRPr="006E709F">
              <w:t> </w:t>
            </w:r>
            <w:r w:rsidRPr="006E709F">
              <w:t>1213J</w:t>
            </w:r>
          </w:p>
        </w:tc>
        <w:tc>
          <w:tcPr>
            <w:tcW w:w="1152" w:type="pct"/>
            <w:tcBorders>
              <w:bottom w:val="single" w:sz="4" w:space="0" w:color="auto"/>
            </w:tcBorders>
            <w:shd w:val="clear" w:color="auto" w:fill="auto"/>
          </w:tcPr>
          <w:p w:rsidR="00875880" w:rsidRPr="006E709F" w:rsidRDefault="00875880" w:rsidP="00A801D0">
            <w:pPr>
              <w:pStyle w:val="Tabletext"/>
            </w:pPr>
            <w:r w:rsidRPr="006E709F">
              <w:t>10.00</w:t>
            </w:r>
          </w:p>
        </w:tc>
      </w:tr>
      <w:tr w:rsidR="00875880" w:rsidRPr="006E709F" w:rsidTr="00E118FA">
        <w:tc>
          <w:tcPr>
            <w:tcW w:w="809" w:type="pct"/>
            <w:tcBorders>
              <w:bottom w:val="nil"/>
            </w:tcBorders>
            <w:shd w:val="clear" w:color="auto" w:fill="auto"/>
          </w:tcPr>
          <w:p w:rsidR="00875880" w:rsidRPr="006E709F" w:rsidRDefault="00875880" w:rsidP="00A801D0">
            <w:pPr>
              <w:pStyle w:val="Tabletext"/>
            </w:pPr>
            <w:r w:rsidRPr="006E709F">
              <w:t>7B</w:t>
            </w:r>
          </w:p>
        </w:tc>
        <w:tc>
          <w:tcPr>
            <w:tcW w:w="3039" w:type="pct"/>
            <w:tcBorders>
              <w:bottom w:val="nil"/>
            </w:tcBorders>
            <w:shd w:val="clear" w:color="auto" w:fill="auto"/>
          </w:tcPr>
          <w:p w:rsidR="00875880" w:rsidRPr="006E709F" w:rsidRDefault="00875880" w:rsidP="00875880">
            <w:pPr>
              <w:pStyle w:val="Tabletext"/>
            </w:pPr>
            <w:r w:rsidRPr="006E709F">
              <w:t>Costs of the operator in providing a copy of the register of members of a notified foreign passport fund under section</w:t>
            </w:r>
            <w:r w:rsidR="00DA13DE" w:rsidRPr="006E709F">
              <w:t> </w:t>
            </w:r>
            <w:r w:rsidRPr="006E709F">
              <w:t>1213K</w:t>
            </w:r>
          </w:p>
          <w:p w:rsidR="00875880" w:rsidRPr="006E709F" w:rsidRDefault="00875880" w:rsidP="007678F7">
            <w:pPr>
              <w:pStyle w:val="Tabletext"/>
            </w:pPr>
            <w:r w:rsidRPr="006E709F">
              <w:t>In addition, if information is provided about 5,000 or more members:</w:t>
            </w:r>
          </w:p>
        </w:tc>
        <w:tc>
          <w:tcPr>
            <w:tcW w:w="1152" w:type="pct"/>
            <w:tcBorders>
              <w:bottom w:val="nil"/>
            </w:tcBorders>
            <w:shd w:val="clear" w:color="auto" w:fill="auto"/>
          </w:tcPr>
          <w:p w:rsidR="00875880" w:rsidRPr="006E709F" w:rsidRDefault="00875880" w:rsidP="00A801D0">
            <w:pPr>
              <w:pStyle w:val="Tabletext"/>
            </w:pPr>
            <w:r w:rsidRPr="006E709F">
              <w:t>250.00</w:t>
            </w:r>
          </w:p>
        </w:tc>
      </w:tr>
      <w:tr w:rsidR="00875880" w:rsidRPr="006E709F" w:rsidTr="00E118FA">
        <w:tc>
          <w:tcPr>
            <w:tcW w:w="809" w:type="pct"/>
            <w:tcBorders>
              <w:top w:val="nil"/>
              <w:bottom w:val="nil"/>
            </w:tcBorders>
            <w:shd w:val="clear" w:color="auto" w:fill="auto"/>
          </w:tcPr>
          <w:p w:rsidR="00875880" w:rsidRPr="006E709F" w:rsidRDefault="00875880" w:rsidP="00A801D0">
            <w:pPr>
              <w:pStyle w:val="Tabletext"/>
            </w:pPr>
          </w:p>
        </w:tc>
        <w:tc>
          <w:tcPr>
            <w:tcW w:w="3039" w:type="pct"/>
            <w:tcBorders>
              <w:top w:val="nil"/>
              <w:bottom w:val="nil"/>
            </w:tcBorders>
            <w:shd w:val="clear" w:color="auto" w:fill="auto"/>
          </w:tcPr>
          <w:p w:rsidR="00875880" w:rsidRPr="006E709F" w:rsidRDefault="00875880" w:rsidP="000D3A49">
            <w:pPr>
              <w:pStyle w:val="Tablea"/>
            </w:pPr>
            <w:r w:rsidRPr="006E709F">
              <w:t>(a) for the 5,000th member and for each additional member up to and including the 19,999th member</w:t>
            </w:r>
          </w:p>
        </w:tc>
        <w:tc>
          <w:tcPr>
            <w:tcW w:w="1152" w:type="pct"/>
            <w:tcBorders>
              <w:top w:val="nil"/>
              <w:bottom w:val="nil"/>
            </w:tcBorders>
            <w:shd w:val="clear" w:color="auto" w:fill="auto"/>
          </w:tcPr>
          <w:p w:rsidR="00875880" w:rsidRPr="006E709F" w:rsidRDefault="00875880" w:rsidP="00A801D0">
            <w:pPr>
              <w:pStyle w:val="Tabletext"/>
            </w:pPr>
            <w:r w:rsidRPr="006E709F">
              <w:t>0.05</w:t>
            </w:r>
          </w:p>
        </w:tc>
      </w:tr>
      <w:tr w:rsidR="00875880" w:rsidRPr="006E709F" w:rsidTr="00E118FA">
        <w:tc>
          <w:tcPr>
            <w:tcW w:w="809" w:type="pct"/>
            <w:tcBorders>
              <w:top w:val="nil"/>
              <w:bottom w:val="single" w:sz="4" w:space="0" w:color="auto"/>
            </w:tcBorders>
            <w:shd w:val="clear" w:color="auto" w:fill="auto"/>
          </w:tcPr>
          <w:p w:rsidR="00875880" w:rsidRPr="006E709F" w:rsidRDefault="00875880" w:rsidP="00A801D0">
            <w:pPr>
              <w:pStyle w:val="Tabletext"/>
            </w:pPr>
          </w:p>
        </w:tc>
        <w:tc>
          <w:tcPr>
            <w:tcW w:w="3039" w:type="pct"/>
            <w:tcBorders>
              <w:top w:val="nil"/>
              <w:bottom w:val="single" w:sz="4" w:space="0" w:color="auto"/>
            </w:tcBorders>
            <w:shd w:val="clear" w:color="auto" w:fill="auto"/>
          </w:tcPr>
          <w:p w:rsidR="00875880" w:rsidRPr="006E709F" w:rsidRDefault="00875880" w:rsidP="000D3A49">
            <w:pPr>
              <w:pStyle w:val="Tablea"/>
            </w:pPr>
            <w:r w:rsidRPr="006E709F">
              <w:t>(b) for the 20,000th member and for each additional member</w:t>
            </w:r>
          </w:p>
        </w:tc>
        <w:tc>
          <w:tcPr>
            <w:tcW w:w="1152" w:type="pct"/>
            <w:tcBorders>
              <w:top w:val="nil"/>
              <w:bottom w:val="single" w:sz="4" w:space="0" w:color="auto"/>
            </w:tcBorders>
            <w:shd w:val="clear" w:color="auto" w:fill="auto"/>
          </w:tcPr>
          <w:p w:rsidR="00875880" w:rsidRPr="006E709F" w:rsidRDefault="00875880" w:rsidP="00A801D0">
            <w:pPr>
              <w:pStyle w:val="Tabletext"/>
            </w:pPr>
            <w:r w:rsidRPr="006E709F">
              <w:t>0.01</w:t>
            </w:r>
          </w:p>
        </w:tc>
      </w:tr>
      <w:tr w:rsidR="00875880" w:rsidRPr="006E709F" w:rsidTr="00E118FA">
        <w:tc>
          <w:tcPr>
            <w:tcW w:w="809" w:type="pct"/>
            <w:tcBorders>
              <w:bottom w:val="nil"/>
              <w:right w:val="nil"/>
            </w:tcBorders>
            <w:shd w:val="clear" w:color="auto" w:fill="auto"/>
          </w:tcPr>
          <w:p w:rsidR="00875880" w:rsidRPr="006E709F" w:rsidRDefault="00875880" w:rsidP="00C328E8">
            <w:pPr>
              <w:pStyle w:val="Tabletext"/>
            </w:pPr>
            <w:r w:rsidRPr="006E709F">
              <w:t>8</w:t>
            </w:r>
          </w:p>
        </w:tc>
        <w:tc>
          <w:tcPr>
            <w:tcW w:w="3039" w:type="pct"/>
            <w:tcBorders>
              <w:left w:val="nil"/>
              <w:bottom w:val="nil"/>
              <w:right w:val="nil"/>
            </w:tcBorders>
            <w:shd w:val="clear" w:color="auto" w:fill="auto"/>
          </w:tcPr>
          <w:p w:rsidR="00875880" w:rsidRPr="006E709F" w:rsidRDefault="00875880" w:rsidP="009365FD">
            <w:pPr>
              <w:pStyle w:val="Tabletext"/>
              <w:keepNext/>
              <w:keepLines/>
            </w:pPr>
            <w:r w:rsidRPr="006E709F">
              <w:t>Inspection of register for subsection</w:t>
            </w:r>
            <w:r w:rsidR="00DA13DE" w:rsidRPr="006E709F">
              <w:t> </w:t>
            </w:r>
            <w:r w:rsidRPr="006E709F">
              <w:t>919E(3):</w:t>
            </w:r>
          </w:p>
        </w:tc>
        <w:tc>
          <w:tcPr>
            <w:tcW w:w="1152" w:type="pct"/>
            <w:tcBorders>
              <w:left w:val="nil"/>
              <w:bottom w:val="nil"/>
            </w:tcBorders>
            <w:shd w:val="clear" w:color="auto" w:fill="auto"/>
          </w:tcPr>
          <w:p w:rsidR="00875880" w:rsidRPr="006E709F" w:rsidRDefault="00875880" w:rsidP="009365FD">
            <w:pPr>
              <w:pStyle w:val="Tabletext"/>
              <w:keepNext/>
              <w:keepLines/>
            </w:pPr>
          </w:p>
        </w:tc>
      </w:tr>
      <w:tr w:rsidR="00875880" w:rsidRPr="006E709F" w:rsidTr="00E118FA">
        <w:tc>
          <w:tcPr>
            <w:tcW w:w="809" w:type="pct"/>
            <w:tcBorders>
              <w:top w:val="nil"/>
              <w:bottom w:val="nil"/>
              <w:right w:val="nil"/>
            </w:tcBorders>
            <w:shd w:val="clear" w:color="auto" w:fill="auto"/>
          </w:tcPr>
          <w:p w:rsidR="00875880" w:rsidRPr="006E709F" w:rsidRDefault="00875880" w:rsidP="00C328E8">
            <w:pPr>
              <w:pStyle w:val="Tabletext"/>
            </w:pPr>
          </w:p>
        </w:tc>
        <w:tc>
          <w:tcPr>
            <w:tcW w:w="3039" w:type="pct"/>
            <w:tcBorders>
              <w:top w:val="nil"/>
              <w:left w:val="nil"/>
              <w:bottom w:val="nil"/>
              <w:right w:val="nil"/>
            </w:tcBorders>
            <w:shd w:val="clear" w:color="auto" w:fill="auto"/>
          </w:tcPr>
          <w:p w:rsidR="00875880" w:rsidRPr="006E709F" w:rsidRDefault="00875880" w:rsidP="00A801D0">
            <w:pPr>
              <w:pStyle w:val="Tablea"/>
            </w:pPr>
            <w:r w:rsidRPr="006E709F">
              <w:t>(a) if the register is not kept on a computer—for each inspection</w:t>
            </w:r>
          </w:p>
        </w:tc>
        <w:tc>
          <w:tcPr>
            <w:tcW w:w="1152" w:type="pct"/>
            <w:tcBorders>
              <w:top w:val="nil"/>
              <w:left w:val="nil"/>
              <w:bottom w:val="nil"/>
            </w:tcBorders>
            <w:shd w:val="clear" w:color="auto" w:fill="auto"/>
          </w:tcPr>
          <w:p w:rsidR="00875880" w:rsidRPr="006E709F" w:rsidRDefault="00875880" w:rsidP="00C328E8">
            <w:pPr>
              <w:pStyle w:val="Tabletext"/>
              <w:keepNext/>
              <w:keepLines/>
            </w:pPr>
            <w:r w:rsidRPr="006E709F">
              <w:t>12.50</w:t>
            </w:r>
          </w:p>
        </w:tc>
      </w:tr>
      <w:tr w:rsidR="00875880" w:rsidRPr="006E709F" w:rsidTr="00E118FA">
        <w:trPr>
          <w:cantSplit/>
        </w:trPr>
        <w:tc>
          <w:tcPr>
            <w:tcW w:w="809" w:type="pct"/>
            <w:tcBorders>
              <w:top w:val="nil"/>
              <w:bottom w:val="nil"/>
              <w:right w:val="nil"/>
            </w:tcBorders>
            <w:shd w:val="clear" w:color="auto" w:fill="auto"/>
          </w:tcPr>
          <w:p w:rsidR="00875880" w:rsidRPr="006E709F" w:rsidRDefault="00875880" w:rsidP="00A801D0">
            <w:pPr>
              <w:pStyle w:val="Tabletext"/>
            </w:pPr>
          </w:p>
        </w:tc>
        <w:tc>
          <w:tcPr>
            <w:tcW w:w="3039" w:type="pct"/>
            <w:tcBorders>
              <w:top w:val="nil"/>
              <w:left w:val="nil"/>
              <w:bottom w:val="nil"/>
              <w:right w:val="nil"/>
            </w:tcBorders>
            <w:shd w:val="clear" w:color="auto" w:fill="auto"/>
          </w:tcPr>
          <w:p w:rsidR="00875880" w:rsidRPr="006E709F" w:rsidRDefault="00875880" w:rsidP="00A801D0">
            <w:pPr>
              <w:pStyle w:val="Tablea"/>
            </w:pPr>
            <w:r w:rsidRPr="006E709F">
              <w:t>(b) if the register is kept on a computer—for each inspection</w:t>
            </w:r>
          </w:p>
        </w:tc>
        <w:tc>
          <w:tcPr>
            <w:tcW w:w="1152" w:type="pct"/>
            <w:tcBorders>
              <w:top w:val="nil"/>
              <w:left w:val="nil"/>
              <w:bottom w:val="nil"/>
            </w:tcBorders>
            <w:shd w:val="clear" w:color="auto" w:fill="auto"/>
          </w:tcPr>
          <w:p w:rsidR="00875880" w:rsidRPr="006E709F" w:rsidRDefault="00875880" w:rsidP="00A801D0">
            <w:pPr>
              <w:pStyle w:val="Tabletext"/>
            </w:pPr>
            <w:r w:rsidRPr="006E709F">
              <w:t>a reasonable amount that does not exceed the marginal cost to the declared professional body of providing an inspection</w:t>
            </w:r>
          </w:p>
        </w:tc>
      </w:tr>
      <w:tr w:rsidR="00875880" w:rsidRPr="006E709F" w:rsidTr="00E118FA">
        <w:tc>
          <w:tcPr>
            <w:tcW w:w="809" w:type="pct"/>
            <w:tcBorders>
              <w:top w:val="nil"/>
              <w:bottom w:val="single" w:sz="4" w:space="0" w:color="auto"/>
              <w:right w:val="nil"/>
            </w:tcBorders>
            <w:shd w:val="clear" w:color="auto" w:fill="auto"/>
          </w:tcPr>
          <w:p w:rsidR="00875880" w:rsidRPr="006E709F" w:rsidRDefault="00875880" w:rsidP="00A801D0">
            <w:pPr>
              <w:pStyle w:val="Tabletext"/>
            </w:pPr>
          </w:p>
        </w:tc>
        <w:tc>
          <w:tcPr>
            <w:tcW w:w="3039" w:type="pct"/>
            <w:tcBorders>
              <w:top w:val="nil"/>
              <w:left w:val="nil"/>
              <w:bottom w:val="single" w:sz="4" w:space="0" w:color="auto"/>
              <w:right w:val="nil"/>
            </w:tcBorders>
            <w:shd w:val="clear" w:color="auto" w:fill="auto"/>
          </w:tcPr>
          <w:p w:rsidR="00875880" w:rsidRPr="006E709F" w:rsidRDefault="00875880" w:rsidP="00A801D0">
            <w:pPr>
              <w:pStyle w:val="Tablea"/>
            </w:pPr>
            <w:r w:rsidRPr="006E709F">
              <w:t xml:space="preserve">(c) despite </w:t>
            </w:r>
            <w:r w:rsidR="00DA13DE" w:rsidRPr="006E709F">
              <w:t>paragraphs (</w:t>
            </w:r>
            <w:r w:rsidRPr="006E709F">
              <w:t>a) and (b), if the inspection is by a member of the declared professional body</w:t>
            </w:r>
          </w:p>
        </w:tc>
        <w:tc>
          <w:tcPr>
            <w:tcW w:w="1152" w:type="pct"/>
            <w:tcBorders>
              <w:top w:val="nil"/>
              <w:left w:val="nil"/>
              <w:bottom w:val="single" w:sz="4" w:space="0" w:color="auto"/>
            </w:tcBorders>
            <w:shd w:val="clear" w:color="auto" w:fill="auto"/>
          </w:tcPr>
          <w:p w:rsidR="00875880" w:rsidRPr="006E709F" w:rsidRDefault="00875880" w:rsidP="00A801D0">
            <w:pPr>
              <w:pStyle w:val="Tabletext"/>
            </w:pPr>
            <w:r w:rsidRPr="006E709F">
              <w:t>No fee</w:t>
            </w:r>
          </w:p>
        </w:tc>
      </w:tr>
      <w:tr w:rsidR="00875880" w:rsidRPr="006E709F" w:rsidTr="00E118FA">
        <w:tc>
          <w:tcPr>
            <w:tcW w:w="809" w:type="pct"/>
            <w:tcBorders>
              <w:top w:val="single" w:sz="4" w:space="0" w:color="auto"/>
              <w:bottom w:val="nil"/>
              <w:right w:val="nil"/>
            </w:tcBorders>
            <w:shd w:val="clear" w:color="auto" w:fill="auto"/>
          </w:tcPr>
          <w:p w:rsidR="00875880" w:rsidRPr="006E709F" w:rsidRDefault="00875880" w:rsidP="00A801D0">
            <w:pPr>
              <w:pStyle w:val="Tabletext"/>
            </w:pPr>
            <w:r w:rsidRPr="006E709F">
              <w:t>9</w:t>
            </w:r>
          </w:p>
        </w:tc>
        <w:tc>
          <w:tcPr>
            <w:tcW w:w="3039" w:type="pct"/>
            <w:tcBorders>
              <w:top w:val="single" w:sz="4" w:space="0" w:color="auto"/>
              <w:left w:val="nil"/>
              <w:bottom w:val="nil"/>
              <w:right w:val="nil"/>
            </w:tcBorders>
            <w:shd w:val="clear" w:color="auto" w:fill="auto"/>
          </w:tcPr>
          <w:p w:rsidR="00875880" w:rsidRPr="006E709F" w:rsidRDefault="00875880" w:rsidP="007678F7">
            <w:pPr>
              <w:pStyle w:val="Tabletext"/>
            </w:pPr>
            <w:r w:rsidRPr="006E709F">
              <w:t>Making copies of, or taking extracts from, a register for subsection</w:t>
            </w:r>
            <w:r w:rsidR="00DA13DE" w:rsidRPr="006E709F">
              <w:t> </w:t>
            </w:r>
            <w:r w:rsidRPr="006E709F">
              <w:t xml:space="preserve">919E(3): </w:t>
            </w:r>
          </w:p>
        </w:tc>
        <w:tc>
          <w:tcPr>
            <w:tcW w:w="1152" w:type="pct"/>
            <w:tcBorders>
              <w:top w:val="single" w:sz="4" w:space="0" w:color="auto"/>
              <w:left w:val="nil"/>
              <w:bottom w:val="nil"/>
            </w:tcBorders>
            <w:shd w:val="clear" w:color="auto" w:fill="auto"/>
          </w:tcPr>
          <w:p w:rsidR="00875880" w:rsidRPr="006E709F" w:rsidRDefault="00875880" w:rsidP="00A801D0">
            <w:pPr>
              <w:pStyle w:val="Tabletext"/>
            </w:pPr>
          </w:p>
        </w:tc>
      </w:tr>
      <w:tr w:rsidR="00875880" w:rsidRPr="006E709F" w:rsidTr="00E118FA">
        <w:tc>
          <w:tcPr>
            <w:tcW w:w="809" w:type="pct"/>
            <w:tcBorders>
              <w:top w:val="nil"/>
              <w:bottom w:val="nil"/>
              <w:right w:val="nil"/>
            </w:tcBorders>
            <w:shd w:val="clear" w:color="auto" w:fill="auto"/>
          </w:tcPr>
          <w:p w:rsidR="00875880" w:rsidRPr="006E709F" w:rsidRDefault="00875880" w:rsidP="00A801D0">
            <w:pPr>
              <w:pStyle w:val="Tabletext"/>
            </w:pPr>
          </w:p>
        </w:tc>
        <w:tc>
          <w:tcPr>
            <w:tcW w:w="3039" w:type="pct"/>
            <w:tcBorders>
              <w:top w:val="nil"/>
              <w:left w:val="nil"/>
              <w:bottom w:val="nil"/>
              <w:right w:val="nil"/>
            </w:tcBorders>
            <w:shd w:val="clear" w:color="auto" w:fill="auto"/>
          </w:tcPr>
          <w:p w:rsidR="00875880" w:rsidRPr="006E709F" w:rsidRDefault="00875880" w:rsidP="00A801D0">
            <w:pPr>
              <w:pStyle w:val="Tablea"/>
            </w:pPr>
            <w:r w:rsidRPr="006E709F">
              <w:t>(a) if the register is not kept on a computer—for each page, or part of a page, not exceeding international sheet size A4 of the copy supplied or, at the option of the supplier, for each 100 words or part of 100 words</w:t>
            </w:r>
          </w:p>
        </w:tc>
        <w:tc>
          <w:tcPr>
            <w:tcW w:w="1152" w:type="pct"/>
            <w:tcBorders>
              <w:top w:val="nil"/>
              <w:left w:val="nil"/>
              <w:bottom w:val="nil"/>
            </w:tcBorders>
            <w:shd w:val="clear" w:color="auto" w:fill="auto"/>
          </w:tcPr>
          <w:p w:rsidR="00875880" w:rsidRPr="006E709F" w:rsidRDefault="00875880" w:rsidP="00A801D0">
            <w:pPr>
              <w:pStyle w:val="Tabletext"/>
            </w:pPr>
            <w:r w:rsidRPr="006E709F">
              <w:t>1.25</w:t>
            </w:r>
          </w:p>
        </w:tc>
      </w:tr>
      <w:tr w:rsidR="00875880" w:rsidRPr="006E709F" w:rsidTr="00E118FA">
        <w:tc>
          <w:tcPr>
            <w:tcW w:w="809" w:type="pct"/>
            <w:tcBorders>
              <w:top w:val="nil"/>
              <w:bottom w:val="single" w:sz="12" w:space="0" w:color="auto"/>
              <w:right w:val="nil"/>
            </w:tcBorders>
            <w:shd w:val="clear" w:color="auto" w:fill="auto"/>
          </w:tcPr>
          <w:p w:rsidR="00875880" w:rsidRPr="006E709F" w:rsidRDefault="00875880" w:rsidP="00A801D0">
            <w:pPr>
              <w:pStyle w:val="Tabletext"/>
            </w:pPr>
          </w:p>
        </w:tc>
        <w:tc>
          <w:tcPr>
            <w:tcW w:w="3039" w:type="pct"/>
            <w:tcBorders>
              <w:top w:val="nil"/>
              <w:left w:val="nil"/>
              <w:bottom w:val="single" w:sz="12" w:space="0" w:color="auto"/>
              <w:right w:val="nil"/>
            </w:tcBorders>
            <w:shd w:val="clear" w:color="auto" w:fill="auto"/>
          </w:tcPr>
          <w:p w:rsidR="00875880" w:rsidRPr="006E709F" w:rsidRDefault="00875880" w:rsidP="00A801D0">
            <w:pPr>
              <w:pStyle w:val="Tablea"/>
            </w:pPr>
            <w:r w:rsidRPr="006E709F">
              <w:t>(b) if a register is kept on a computer—for each copy or extract</w:t>
            </w:r>
          </w:p>
        </w:tc>
        <w:tc>
          <w:tcPr>
            <w:tcW w:w="1152" w:type="pct"/>
            <w:tcBorders>
              <w:top w:val="nil"/>
              <w:left w:val="nil"/>
              <w:bottom w:val="single" w:sz="12" w:space="0" w:color="auto"/>
            </w:tcBorders>
            <w:shd w:val="clear" w:color="auto" w:fill="auto"/>
          </w:tcPr>
          <w:p w:rsidR="00875880" w:rsidRPr="006E709F" w:rsidRDefault="00875880" w:rsidP="00A801D0">
            <w:pPr>
              <w:pStyle w:val="Tabletext"/>
            </w:pPr>
            <w:r w:rsidRPr="006E709F">
              <w:t xml:space="preserve">a reasonable amount that does not exceed the marginal cost to </w:t>
            </w:r>
            <w:r w:rsidRPr="006E709F">
              <w:lastRenderedPageBreak/>
              <w:t>the declared professional body of providing a copy or extract</w:t>
            </w:r>
          </w:p>
        </w:tc>
      </w:tr>
    </w:tbl>
    <w:p w:rsidR="00583C00" w:rsidRPr="006E709F" w:rsidRDefault="00583C00" w:rsidP="00871026">
      <w:pPr>
        <w:widowControl w:val="0"/>
        <w:tabs>
          <w:tab w:val="right" w:pos="7097"/>
          <w:tab w:val="left" w:pos="7230"/>
          <w:tab w:val="left" w:pos="7655"/>
        </w:tabs>
        <w:ind w:right="1792"/>
        <w:sectPr w:rsidR="00583C00" w:rsidRPr="006E709F" w:rsidSect="0054047A">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20"/>
          <w:docGrid w:linePitch="299"/>
        </w:sectPr>
      </w:pPr>
    </w:p>
    <w:p w:rsidR="002A22A4" w:rsidRPr="006E709F" w:rsidRDefault="00A801D0" w:rsidP="00E376FA">
      <w:pPr>
        <w:pStyle w:val="ActHead1"/>
        <w:pageBreakBefore/>
      </w:pPr>
      <w:bookmarkStart w:id="3" w:name="_Toc170547826"/>
      <w:r w:rsidRPr="000C4237">
        <w:rPr>
          <w:rStyle w:val="CharChapNo"/>
        </w:rPr>
        <w:lastRenderedPageBreak/>
        <w:t>Schedule</w:t>
      </w:r>
      <w:r w:rsidR="00DA13DE" w:rsidRPr="000C4237">
        <w:rPr>
          <w:rStyle w:val="CharChapNo"/>
        </w:rPr>
        <w:t> </w:t>
      </w:r>
      <w:r w:rsidR="002A22A4" w:rsidRPr="000C4237">
        <w:rPr>
          <w:rStyle w:val="CharChapNo"/>
        </w:rPr>
        <w:t>5C</w:t>
      </w:r>
      <w:r w:rsidRPr="006E709F">
        <w:t>—</w:t>
      </w:r>
      <w:r w:rsidR="002A22A4" w:rsidRPr="000C4237">
        <w:rPr>
          <w:rStyle w:val="CharChapText"/>
        </w:rPr>
        <w:t>Conduct of auditor</w:t>
      </w:r>
      <w:r w:rsidRPr="000C4237">
        <w:rPr>
          <w:rStyle w:val="CharChapText"/>
        </w:rPr>
        <w:t>—</w:t>
      </w:r>
      <w:r w:rsidR="002A22A4" w:rsidRPr="000C4237">
        <w:rPr>
          <w:rStyle w:val="CharChapText"/>
        </w:rPr>
        <w:t>relevant relationships</w:t>
      </w:r>
      <w:bookmarkEnd w:id="3"/>
    </w:p>
    <w:p w:rsidR="002A22A4" w:rsidRPr="006E709F" w:rsidRDefault="002A22A4" w:rsidP="00A801D0">
      <w:pPr>
        <w:pStyle w:val="notemargin"/>
      </w:pPr>
      <w:r w:rsidRPr="006E709F">
        <w:t>(regulation</w:t>
      </w:r>
      <w:r w:rsidR="00DA13DE" w:rsidRPr="006E709F">
        <w:t> </w:t>
      </w:r>
      <w:r w:rsidRPr="006E709F">
        <w:t>2M.6.05)</w:t>
      </w:r>
    </w:p>
    <w:p w:rsidR="002A22A4" w:rsidRPr="006E709F" w:rsidRDefault="00A801D0" w:rsidP="002A22A4">
      <w:pPr>
        <w:pStyle w:val="Header"/>
      </w:pPr>
      <w:r w:rsidRPr="000C4237">
        <w:rPr>
          <w:rStyle w:val="CharPartNo"/>
        </w:rPr>
        <w:t xml:space="preserve"> </w:t>
      </w:r>
      <w:r w:rsidRPr="000C4237">
        <w:rPr>
          <w:rStyle w:val="CharPartText"/>
        </w:rPr>
        <w:t xml:space="preserve"> </w:t>
      </w:r>
    </w:p>
    <w:p w:rsidR="002A22A4" w:rsidRPr="006E709F" w:rsidRDefault="00C44525" w:rsidP="00A801D0">
      <w:pPr>
        <w:pStyle w:val="ActHead5"/>
      </w:pPr>
      <w:bookmarkStart w:id="4" w:name="_Toc170547827"/>
      <w:r w:rsidRPr="000C4237">
        <w:rPr>
          <w:rStyle w:val="CharSectno"/>
        </w:rPr>
        <w:t>1</w:t>
      </w:r>
      <w:r w:rsidRPr="006E709F">
        <w:t xml:space="preserve">  </w:t>
      </w:r>
      <w:r w:rsidR="002A22A4" w:rsidRPr="006E709F">
        <w:t>Money owed</w:t>
      </w:r>
      <w:r w:rsidR="00A801D0" w:rsidRPr="006E709F">
        <w:t>—</w:t>
      </w:r>
      <w:r w:rsidR="002A22A4" w:rsidRPr="006E709F">
        <w:t>debt</w:t>
      </w:r>
      <w:bookmarkEnd w:id="4"/>
    </w:p>
    <w:p w:rsidR="002A22A4" w:rsidRPr="006E709F" w:rsidRDefault="002A22A4" w:rsidP="00A801D0">
      <w:pPr>
        <w:pStyle w:val="subsection"/>
      </w:pPr>
      <w:r w:rsidRPr="006E709F">
        <w:tab/>
        <w:t>(1)</w:t>
      </w:r>
      <w:r w:rsidRPr="006E709F">
        <w:tab/>
      </w:r>
      <w:r w:rsidR="00DA13DE" w:rsidRPr="006E709F">
        <w:t>Subclause (</w:t>
      </w:r>
      <w:r w:rsidRPr="006E709F">
        <w:t>2) applies in relation to audit activity in relation to a financial year that ends on or after the commencement of this Schedule.</w:t>
      </w:r>
    </w:p>
    <w:p w:rsidR="002A22A4" w:rsidRPr="006E709F" w:rsidRDefault="002A22A4" w:rsidP="00A801D0">
      <w:pPr>
        <w:pStyle w:val="subsection"/>
      </w:pPr>
      <w:r w:rsidRPr="006E709F">
        <w:tab/>
        <w:t>(2)</w:t>
      </w:r>
      <w:r w:rsidRPr="006E709F">
        <w:tab/>
        <w:t xml:space="preserve">The operation of </w:t>
      </w:r>
      <w:r w:rsidR="00A801D0" w:rsidRPr="006E709F">
        <w:t>Chapter</w:t>
      </w:r>
      <w:r w:rsidR="00DA13DE" w:rsidRPr="006E709F">
        <w:t> </w:t>
      </w:r>
      <w:r w:rsidRPr="006E709F">
        <w:t>2M of the Act is modified by omitting subsection</w:t>
      </w:r>
      <w:r w:rsidR="00DA13DE" w:rsidRPr="006E709F">
        <w:t> </w:t>
      </w:r>
      <w:r w:rsidRPr="006E709F">
        <w:t>324CH(5) of the Act (including the subheading) and substituting the following subheading and subsection:</w:t>
      </w:r>
    </w:p>
    <w:p w:rsidR="002A22A4" w:rsidRPr="006E709F" w:rsidRDefault="002A22A4" w:rsidP="002A22A4">
      <w:pPr>
        <w:pStyle w:val="SubsectionHead"/>
      </w:pPr>
      <w:r w:rsidRPr="006E709F">
        <w:t>Ordinary course of business exception</w:t>
      </w:r>
    </w:p>
    <w:p w:rsidR="002A22A4" w:rsidRPr="006E709F" w:rsidRDefault="002A22A4" w:rsidP="002A22A4">
      <w:pPr>
        <w:pStyle w:val="subsection"/>
      </w:pPr>
      <w:r w:rsidRPr="006E709F">
        <w:tab/>
        <w:t>(5)</w:t>
      </w:r>
      <w:r w:rsidRPr="006E709F">
        <w:tab/>
        <w:t>For the purposes of item</w:t>
      </w:r>
      <w:r w:rsidR="00DA13DE" w:rsidRPr="006E709F">
        <w:t> </w:t>
      </w:r>
      <w:r w:rsidRPr="006E709F">
        <w:t xml:space="preserve">15 of the table in </w:t>
      </w:r>
      <w:r w:rsidR="00DA13DE" w:rsidRPr="006E709F">
        <w:t>subsection (</w:t>
      </w:r>
      <w:r w:rsidRPr="006E709F">
        <w:t>1):</w:t>
      </w:r>
    </w:p>
    <w:p w:rsidR="002A22A4" w:rsidRPr="006E709F" w:rsidRDefault="002A22A4" w:rsidP="002A22A4">
      <w:pPr>
        <w:pStyle w:val="paragraph"/>
      </w:pPr>
      <w:r w:rsidRPr="006E709F">
        <w:tab/>
        <w:t>(a)</w:t>
      </w:r>
      <w:r w:rsidRPr="006E709F">
        <w:tab/>
        <w:t>disregard a debt owed by an individual to a body corporate or entity if:</w:t>
      </w:r>
    </w:p>
    <w:p w:rsidR="002A22A4" w:rsidRPr="006E709F" w:rsidRDefault="002A22A4" w:rsidP="002A22A4">
      <w:pPr>
        <w:pStyle w:val="paragraphsub"/>
      </w:pPr>
      <w:r w:rsidRPr="006E709F">
        <w:tab/>
        <w:t>(i)</w:t>
      </w:r>
      <w:r w:rsidRPr="006E709F">
        <w:tab/>
        <w:t>the body corporate or entity is:</w:t>
      </w:r>
    </w:p>
    <w:p w:rsidR="002A22A4" w:rsidRPr="006E709F" w:rsidRDefault="002A22A4" w:rsidP="002A22A4">
      <w:pPr>
        <w:pStyle w:val="paragraphsub-sub"/>
      </w:pPr>
      <w:r w:rsidRPr="006E709F">
        <w:tab/>
        <w:t>(A)</w:t>
      </w:r>
      <w:r w:rsidRPr="006E709F">
        <w:tab/>
        <w:t>an Australian ADI; or</w:t>
      </w:r>
    </w:p>
    <w:p w:rsidR="002A22A4" w:rsidRPr="006E709F" w:rsidRDefault="002A22A4" w:rsidP="002A22A4">
      <w:pPr>
        <w:pStyle w:val="paragraphsub-sub"/>
      </w:pPr>
      <w:r w:rsidRPr="006E709F">
        <w:tab/>
        <w:t>(B)</w:t>
      </w:r>
      <w:r w:rsidRPr="006E709F">
        <w:tab/>
        <w:t xml:space="preserve">a body corporate registered under the </w:t>
      </w:r>
      <w:r w:rsidRPr="006E709F">
        <w:rPr>
          <w:i/>
        </w:rPr>
        <w:t>Life Insurance Act 1995</w:t>
      </w:r>
      <w:r w:rsidRPr="006E709F">
        <w:t>; and</w:t>
      </w:r>
    </w:p>
    <w:p w:rsidR="002A22A4" w:rsidRPr="006E709F" w:rsidRDefault="002A22A4" w:rsidP="002A22A4">
      <w:pPr>
        <w:pStyle w:val="paragraphsub"/>
      </w:pPr>
      <w:r w:rsidRPr="006E709F">
        <w:tab/>
        <w:t>(ii)</w:t>
      </w:r>
      <w:r w:rsidRPr="006E709F">
        <w:tab/>
        <w:t>the debt arose because of a loan that the body corporate or entity made to the person in the ordinary course of its ordinary business; and</w:t>
      </w:r>
    </w:p>
    <w:p w:rsidR="002A22A4" w:rsidRPr="006E709F" w:rsidRDefault="002A22A4" w:rsidP="002A22A4">
      <w:pPr>
        <w:pStyle w:val="paragraphsub"/>
      </w:pPr>
      <w:r w:rsidRPr="006E709F">
        <w:tab/>
        <w:t>(iii)</w:t>
      </w:r>
      <w:r w:rsidRPr="006E709F">
        <w:tab/>
        <w:t>the person used the amount of the loan to pay the whole or part of the purchase price of premises that the person uses as their principal place of residence; and</w:t>
      </w:r>
    </w:p>
    <w:p w:rsidR="002A22A4" w:rsidRPr="006E709F" w:rsidRDefault="002A22A4" w:rsidP="002A22A4">
      <w:pPr>
        <w:pStyle w:val="paragraph"/>
      </w:pPr>
      <w:r w:rsidRPr="006E709F">
        <w:tab/>
        <w:t>(b)</w:t>
      </w:r>
      <w:r w:rsidRPr="006E709F">
        <w:tab/>
        <w:t>disregard a debt owed by the person or firm to a body corporate or entity if:</w:t>
      </w:r>
    </w:p>
    <w:p w:rsidR="002A22A4" w:rsidRPr="006E709F" w:rsidRDefault="002A22A4" w:rsidP="002A22A4">
      <w:pPr>
        <w:pStyle w:val="paragraphsub"/>
      </w:pPr>
      <w:r w:rsidRPr="006E709F">
        <w:tab/>
        <w:t>(i)</w:t>
      </w:r>
      <w:r w:rsidRPr="006E709F">
        <w:tab/>
        <w:t>the debt is on normal terms and conditions, and arises from the acquisition of goods or services on normal trading terms from:</w:t>
      </w:r>
    </w:p>
    <w:p w:rsidR="002A22A4" w:rsidRPr="006E709F" w:rsidRDefault="002A22A4" w:rsidP="002A22A4">
      <w:pPr>
        <w:pStyle w:val="paragraphsub-sub"/>
      </w:pPr>
      <w:r w:rsidRPr="006E709F">
        <w:tab/>
        <w:t>(A)</w:t>
      </w:r>
      <w:r w:rsidRPr="006E709F">
        <w:tab/>
        <w:t>the audited body; or</w:t>
      </w:r>
    </w:p>
    <w:p w:rsidR="002A22A4" w:rsidRPr="006E709F" w:rsidRDefault="002A22A4" w:rsidP="002A22A4">
      <w:pPr>
        <w:pStyle w:val="paragraphsub-sub"/>
      </w:pPr>
      <w:r w:rsidRPr="006E709F">
        <w:tab/>
        <w:t>(B)</w:t>
      </w:r>
      <w:r w:rsidRPr="006E709F">
        <w:tab/>
        <w:t>an entity that the audited body controls; or</w:t>
      </w:r>
    </w:p>
    <w:p w:rsidR="002A22A4" w:rsidRPr="006E709F" w:rsidRDefault="002A22A4" w:rsidP="002A22A4">
      <w:pPr>
        <w:pStyle w:val="paragraphsub-sub"/>
      </w:pPr>
      <w:r w:rsidRPr="006E709F">
        <w:tab/>
        <w:t>(C)</w:t>
      </w:r>
      <w:r w:rsidRPr="006E709F">
        <w:tab/>
        <w:t>a related body corporate; and</w:t>
      </w:r>
    </w:p>
    <w:p w:rsidR="002A22A4" w:rsidRPr="006E709F" w:rsidRDefault="002A22A4" w:rsidP="002A22A4">
      <w:pPr>
        <w:pStyle w:val="paragraphsub"/>
      </w:pPr>
      <w:r w:rsidRPr="006E709F">
        <w:tab/>
        <w:t>(ii)</w:t>
      </w:r>
      <w:r w:rsidRPr="006E709F">
        <w:tab/>
        <w:t>the goods or services will be used by the person or firm:</w:t>
      </w:r>
    </w:p>
    <w:p w:rsidR="002A22A4" w:rsidRPr="006E709F" w:rsidRDefault="002A22A4" w:rsidP="002A22A4">
      <w:pPr>
        <w:pStyle w:val="paragraphsub-sub"/>
      </w:pPr>
      <w:r w:rsidRPr="006E709F">
        <w:tab/>
        <w:t>(A)</w:t>
      </w:r>
      <w:r w:rsidRPr="006E709F">
        <w:tab/>
        <w:t>for the personal use of the person or firm; or</w:t>
      </w:r>
    </w:p>
    <w:p w:rsidR="002A22A4" w:rsidRPr="006E709F" w:rsidRDefault="002A22A4" w:rsidP="002A22A4">
      <w:pPr>
        <w:pStyle w:val="paragraphsub-sub"/>
      </w:pPr>
      <w:r w:rsidRPr="006E709F">
        <w:tab/>
        <w:t>(B)</w:t>
      </w:r>
      <w:r w:rsidRPr="006E709F">
        <w:tab/>
        <w:t>in the ordinary course of business of the person or firm.</w:t>
      </w:r>
    </w:p>
    <w:p w:rsidR="002A22A4" w:rsidRPr="006E709F" w:rsidRDefault="00C44525" w:rsidP="00A801D0">
      <w:pPr>
        <w:pStyle w:val="ActHead5"/>
      </w:pPr>
      <w:bookmarkStart w:id="5" w:name="_Toc170547828"/>
      <w:r w:rsidRPr="000C4237">
        <w:rPr>
          <w:rStyle w:val="CharSectno"/>
        </w:rPr>
        <w:t>2</w:t>
      </w:r>
      <w:r w:rsidRPr="006E709F">
        <w:t xml:space="preserve">  </w:t>
      </w:r>
      <w:r w:rsidR="002A22A4" w:rsidRPr="006E709F">
        <w:t>Money owed</w:t>
      </w:r>
      <w:r w:rsidR="00A801D0" w:rsidRPr="006E709F">
        <w:t>—</w:t>
      </w:r>
      <w:r w:rsidR="002A22A4" w:rsidRPr="006E709F">
        <w:t>deposit account</w:t>
      </w:r>
      <w:bookmarkEnd w:id="5"/>
    </w:p>
    <w:p w:rsidR="002A22A4" w:rsidRPr="006E709F" w:rsidRDefault="002A22A4" w:rsidP="00A801D0">
      <w:pPr>
        <w:pStyle w:val="subsection"/>
      </w:pPr>
      <w:r w:rsidRPr="006E709F">
        <w:tab/>
        <w:t>(1)</w:t>
      </w:r>
      <w:r w:rsidRPr="006E709F">
        <w:tab/>
      </w:r>
      <w:r w:rsidR="00DA13DE" w:rsidRPr="006E709F">
        <w:t>Subclause (</w:t>
      </w:r>
      <w:r w:rsidRPr="006E709F">
        <w:t>2) applies in relation to audit activity in relation to a financial year that ends on or after the commencement of this Schedule.</w:t>
      </w:r>
    </w:p>
    <w:p w:rsidR="002A22A4" w:rsidRPr="006E709F" w:rsidRDefault="002A22A4" w:rsidP="00A801D0">
      <w:pPr>
        <w:pStyle w:val="subsection"/>
      </w:pPr>
      <w:r w:rsidRPr="006E709F">
        <w:tab/>
        <w:t>(2)</w:t>
      </w:r>
      <w:r w:rsidRPr="006E709F">
        <w:tab/>
        <w:t xml:space="preserve">The operation of </w:t>
      </w:r>
      <w:r w:rsidR="00A801D0" w:rsidRPr="006E709F">
        <w:t>Chapter</w:t>
      </w:r>
      <w:r w:rsidR="00DA13DE" w:rsidRPr="006E709F">
        <w:t> </w:t>
      </w:r>
      <w:r w:rsidRPr="006E709F">
        <w:t>2M of the Act is modified by omitting subsection</w:t>
      </w:r>
      <w:r w:rsidR="00DA13DE" w:rsidRPr="006E709F">
        <w:t> </w:t>
      </w:r>
      <w:r w:rsidRPr="006E709F">
        <w:t>324CH(6) of the Act (including the subheading) and substituting the following subheading and subsection:</w:t>
      </w:r>
    </w:p>
    <w:p w:rsidR="002A22A4" w:rsidRPr="006E709F" w:rsidRDefault="002A22A4" w:rsidP="002A22A4">
      <w:pPr>
        <w:pStyle w:val="SubsectionHead"/>
      </w:pPr>
      <w:r w:rsidRPr="006E709F">
        <w:lastRenderedPageBreak/>
        <w:t>Loans by immediate family members and amounts on call</w:t>
      </w:r>
    </w:p>
    <w:p w:rsidR="002A22A4" w:rsidRPr="006E709F" w:rsidRDefault="002A22A4" w:rsidP="002A22A4">
      <w:pPr>
        <w:pStyle w:val="subsection"/>
      </w:pPr>
      <w:r w:rsidRPr="006E709F">
        <w:tab/>
        <w:t>(6)</w:t>
      </w:r>
      <w:r w:rsidRPr="006E709F">
        <w:tab/>
        <w:t>For the purposes of item</w:t>
      </w:r>
      <w:r w:rsidR="00DA13DE" w:rsidRPr="006E709F">
        <w:t> </w:t>
      </w:r>
      <w:r w:rsidRPr="006E709F">
        <w:t xml:space="preserve">16 of the table in </w:t>
      </w:r>
      <w:r w:rsidR="00DA13DE" w:rsidRPr="006E709F">
        <w:t>subsection (</w:t>
      </w:r>
      <w:r w:rsidRPr="006E709F">
        <w:t>1):</w:t>
      </w:r>
    </w:p>
    <w:p w:rsidR="002A22A4" w:rsidRPr="006E709F" w:rsidRDefault="002A22A4" w:rsidP="002A22A4">
      <w:pPr>
        <w:pStyle w:val="paragraph"/>
      </w:pPr>
      <w:r w:rsidRPr="006E709F">
        <w:tab/>
        <w:t>(a)</w:t>
      </w:r>
      <w:r w:rsidRPr="006E709F">
        <w:tab/>
        <w:t>disregard a debt owed to a person by a body corporate or entity if:</w:t>
      </w:r>
    </w:p>
    <w:p w:rsidR="002A22A4" w:rsidRPr="006E709F" w:rsidRDefault="002A22A4" w:rsidP="002A22A4">
      <w:pPr>
        <w:pStyle w:val="paragraphsub"/>
      </w:pPr>
      <w:r w:rsidRPr="006E709F">
        <w:tab/>
        <w:t>(i)</w:t>
      </w:r>
      <w:r w:rsidRPr="006E709F">
        <w:tab/>
        <w:t>the item applies to the person because the person is an immediate family member of:</w:t>
      </w:r>
    </w:p>
    <w:p w:rsidR="002A22A4" w:rsidRPr="006E709F" w:rsidRDefault="002A22A4" w:rsidP="002A22A4">
      <w:pPr>
        <w:pStyle w:val="paragraphsub-sub"/>
      </w:pPr>
      <w:r w:rsidRPr="006E709F">
        <w:tab/>
        <w:t>(A)</w:t>
      </w:r>
      <w:r w:rsidRPr="006E709F">
        <w:tab/>
        <w:t>a professional member of the audit team conducting the audit of the audited body; or</w:t>
      </w:r>
    </w:p>
    <w:p w:rsidR="002A22A4" w:rsidRPr="006E709F" w:rsidRDefault="002A22A4" w:rsidP="002A22A4">
      <w:pPr>
        <w:pStyle w:val="paragraphsub-sub"/>
      </w:pPr>
      <w:r w:rsidRPr="006E709F">
        <w:tab/>
        <w:t>(B)</w:t>
      </w:r>
      <w:r w:rsidRPr="006E709F">
        <w:tab/>
        <w:t>a non</w:t>
      </w:r>
      <w:r w:rsidR="000C4237">
        <w:noBreakHyphen/>
      </w:r>
      <w:r w:rsidRPr="006E709F">
        <w:t>audit services provider; and</w:t>
      </w:r>
    </w:p>
    <w:p w:rsidR="002A22A4" w:rsidRPr="006E709F" w:rsidRDefault="002A22A4" w:rsidP="002A22A4">
      <w:pPr>
        <w:pStyle w:val="paragraphsub"/>
      </w:pPr>
      <w:r w:rsidRPr="006E709F">
        <w:tab/>
        <w:t>(ii)</w:t>
      </w:r>
      <w:r w:rsidRPr="006E709F">
        <w:tab/>
        <w:t>the debt is incurred in the ordinary course of business of the body corporate or entity; and</w:t>
      </w:r>
    </w:p>
    <w:p w:rsidR="002A22A4" w:rsidRPr="006E709F" w:rsidRDefault="002A22A4" w:rsidP="002A22A4">
      <w:pPr>
        <w:pStyle w:val="paragraph"/>
      </w:pPr>
      <w:r w:rsidRPr="006E709F">
        <w:tab/>
        <w:t>(b)</w:t>
      </w:r>
      <w:r w:rsidRPr="006E709F">
        <w:tab/>
        <w:t>disregard an amount owed to the person or firm by the audited body, a related body corporate or an entity that the audited body controls if:</w:t>
      </w:r>
    </w:p>
    <w:p w:rsidR="002A22A4" w:rsidRPr="006E709F" w:rsidRDefault="002A22A4" w:rsidP="002A22A4">
      <w:pPr>
        <w:pStyle w:val="paragraphsub"/>
      </w:pPr>
      <w:r w:rsidRPr="006E709F">
        <w:tab/>
        <w:t>(i)</w:t>
      </w:r>
      <w:r w:rsidRPr="006E709F">
        <w:tab/>
        <w:t>the body, body corporate or entity is an Australian ADI; and</w:t>
      </w:r>
    </w:p>
    <w:p w:rsidR="002A22A4" w:rsidRPr="006E709F" w:rsidRDefault="002A22A4" w:rsidP="002A22A4">
      <w:pPr>
        <w:pStyle w:val="paragraphsub"/>
      </w:pPr>
      <w:r w:rsidRPr="006E709F">
        <w:tab/>
        <w:t>(ii)</w:t>
      </w:r>
      <w:r w:rsidRPr="006E709F">
        <w:tab/>
        <w:t>the amount is in a basic deposit product provided by the body, body corporate or entity; and</w:t>
      </w:r>
    </w:p>
    <w:p w:rsidR="002A22A4" w:rsidRPr="006E709F" w:rsidRDefault="002A22A4" w:rsidP="001A78D8">
      <w:pPr>
        <w:pStyle w:val="paragraphsub"/>
        <w:keepNext/>
        <w:keepLines/>
      </w:pPr>
      <w:r w:rsidRPr="006E709F">
        <w:tab/>
        <w:t>(iii)</w:t>
      </w:r>
      <w:r w:rsidRPr="006E709F">
        <w:tab/>
        <w:t>the amount was deposited in the ordinary course of the business of the audited body, body corporate or entity, and on the terms and conditions that normally apply to basic deposit products provided by the body, body corporate or entity.</w:t>
      </w:r>
    </w:p>
    <w:p w:rsidR="002A22A4" w:rsidRPr="006E709F" w:rsidRDefault="00C44525" w:rsidP="00A801D0">
      <w:pPr>
        <w:pStyle w:val="ActHead5"/>
      </w:pPr>
      <w:bookmarkStart w:id="6" w:name="_Toc170547829"/>
      <w:r w:rsidRPr="000C4237">
        <w:rPr>
          <w:rStyle w:val="CharSectno"/>
        </w:rPr>
        <w:t>3</w:t>
      </w:r>
      <w:r w:rsidRPr="006E709F">
        <w:t xml:space="preserve">  </w:t>
      </w:r>
      <w:r w:rsidR="002A22A4" w:rsidRPr="006E709F">
        <w:t>Public company auditor (annual appointments at AGMs to fill vacancies)</w:t>
      </w:r>
      <w:bookmarkEnd w:id="6"/>
    </w:p>
    <w:p w:rsidR="002A22A4" w:rsidRPr="006E709F" w:rsidRDefault="002A22A4" w:rsidP="00A801D0">
      <w:pPr>
        <w:pStyle w:val="subsection"/>
      </w:pPr>
      <w:r w:rsidRPr="006E709F">
        <w:tab/>
        <w:t>(1)</w:t>
      </w:r>
      <w:r w:rsidRPr="006E709F">
        <w:tab/>
      </w:r>
      <w:r w:rsidR="00DA13DE" w:rsidRPr="006E709F">
        <w:t>Subclause (</w:t>
      </w:r>
      <w:r w:rsidRPr="006E709F">
        <w:t>2) applies to:</w:t>
      </w:r>
    </w:p>
    <w:p w:rsidR="002A22A4" w:rsidRPr="006E709F" w:rsidRDefault="002A22A4" w:rsidP="00A801D0">
      <w:pPr>
        <w:pStyle w:val="paragraph"/>
      </w:pPr>
      <w:r w:rsidRPr="006E709F">
        <w:tab/>
        <w:t>(a)</w:t>
      </w:r>
      <w:r w:rsidRPr="006E709F">
        <w:tab/>
        <w:t>all companies; and</w:t>
      </w:r>
    </w:p>
    <w:p w:rsidR="002A22A4" w:rsidRPr="006E709F" w:rsidRDefault="002A22A4" w:rsidP="00A801D0">
      <w:pPr>
        <w:pStyle w:val="paragraph"/>
      </w:pPr>
      <w:r w:rsidRPr="006E709F">
        <w:tab/>
        <w:t>(b)</w:t>
      </w:r>
      <w:r w:rsidRPr="006E709F">
        <w:tab/>
        <w:t>all registered schemes; and</w:t>
      </w:r>
    </w:p>
    <w:p w:rsidR="002A22A4" w:rsidRPr="006E709F" w:rsidRDefault="002A22A4" w:rsidP="00A801D0">
      <w:pPr>
        <w:pStyle w:val="paragraph"/>
      </w:pPr>
      <w:r w:rsidRPr="006E709F">
        <w:tab/>
        <w:t>(c)</w:t>
      </w:r>
      <w:r w:rsidRPr="006E709F">
        <w:tab/>
        <w:t>all disclosing entities;</w:t>
      </w:r>
    </w:p>
    <w:p w:rsidR="002A22A4" w:rsidRPr="006E709F" w:rsidRDefault="002A22A4" w:rsidP="00A801D0">
      <w:pPr>
        <w:pStyle w:val="subsection2"/>
      </w:pPr>
      <w:r w:rsidRPr="006E709F">
        <w:t>only in relation to audit activity that is conducted on or after the commencement of this Schedule.</w:t>
      </w:r>
    </w:p>
    <w:p w:rsidR="002A22A4" w:rsidRPr="006E709F" w:rsidRDefault="002A22A4" w:rsidP="00A801D0">
      <w:pPr>
        <w:pStyle w:val="subsection"/>
      </w:pPr>
      <w:r w:rsidRPr="006E709F">
        <w:tab/>
        <w:t>(2)</w:t>
      </w:r>
      <w:r w:rsidRPr="006E709F">
        <w:tab/>
        <w:t xml:space="preserve">The operation of </w:t>
      </w:r>
      <w:r w:rsidR="00A801D0" w:rsidRPr="006E709F">
        <w:t>Chapter</w:t>
      </w:r>
      <w:r w:rsidR="00DA13DE" w:rsidRPr="006E709F">
        <w:t> </w:t>
      </w:r>
      <w:r w:rsidRPr="006E709F">
        <w:t>2M of the Act is modified by omitting from subsections</w:t>
      </w:r>
      <w:r w:rsidR="00DA13DE" w:rsidRPr="006E709F">
        <w:t> </w:t>
      </w:r>
      <w:r w:rsidRPr="006E709F">
        <w:t>327B(2A), (2B) and (2C) of the Act “21 days” and inserting “21 days, or such longer period as ASIC allows,”.</w:t>
      </w:r>
    </w:p>
    <w:p w:rsidR="00E118FA" w:rsidRPr="006E709F" w:rsidRDefault="00E118FA" w:rsidP="006F5FE9">
      <w:pPr>
        <w:sectPr w:rsidR="00E118FA" w:rsidRPr="006E709F" w:rsidSect="0054047A">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bookmarkStart w:id="7" w:name="OPCSB_NonAmendClausesB5"/>
    </w:p>
    <w:p w:rsidR="002A22A4" w:rsidRPr="006E709F" w:rsidRDefault="00A801D0" w:rsidP="002F332A">
      <w:pPr>
        <w:pStyle w:val="ActHead1"/>
        <w:pageBreakBefore/>
        <w:spacing w:before="120"/>
      </w:pPr>
      <w:bookmarkStart w:id="8" w:name="_Toc170547830"/>
      <w:bookmarkEnd w:id="7"/>
      <w:r w:rsidRPr="000C4237">
        <w:rPr>
          <w:rStyle w:val="CharChapNo"/>
        </w:rPr>
        <w:lastRenderedPageBreak/>
        <w:t>Schedule</w:t>
      </w:r>
      <w:r w:rsidR="00DA13DE" w:rsidRPr="000C4237">
        <w:rPr>
          <w:rStyle w:val="CharChapNo"/>
        </w:rPr>
        <w:t> </w:t>
      </w:r>
      <w:r w:rsidR="002A22A4" w:rsidRPr="000C4237">
        <w:rPr>
          <w:rStyle w:val="CharChapNo"/>
        </w:rPr>
        <w:t>6</w:t>
      </w:r>
      <w:r w:rsidRPr="006E709F">
        <w:t>—</w:t>
      </w:r>
      <w:r w:rsidR="002A22A4" w:rsidRPr="000C4237">
        <w:rPr>
          <w:rStyle w:val="CharChapText"/>
        </w:rPr>
        <w:t>Availability of names</w:t>
      </w:r>
      <w:bookmarkEnd w:id="8"/>
    </w:p>
    <w:p w:rsidR="002A22A4" w:rsidRPr="006E709F" w:rsidRDefault="002A22A4" w:rsidP="00A801D0">
      <w:pPr>
        <w:pStyle w:val="notemargin"/>
      </w:pPr>
      <w:r w:rsidRPr="006E709F">
        <w:t>(regulations</w:t>
      </w:r>
      <w:r w:rsidR="00DA13DE" w:rsidRPr="006E709F">
        <w:t> </w:t>
      </w:r>
      <w:r w:rsidRPr="006E709F">
        <w:t>2B.6.01</w:t>
      </w:r>
      <w:r w:rsidR="0048795D" w:rsidRPr="006E709F">
        <w:t>, 2B.6.02, 5B.3.01</w:t>
      </w:r>
      <w:r w:rsidR="00875880" w:rsidRPr="006E709F">
        <w:t>, 5B.3.02 and 8A.4.10</w:t>
      </w:r>
      <w:r w:rsidR="0048795D" w:rsidRPr="006E709F">
        <w:t>)</w:t>
      </w:r>
    </w:p>
    <w:p w:rsidR="002A22A4" w:rsidRPr="006E709F" w:rsidRDefault="00A801D0" w:rsidP="00A801D0">
      <w:pPr>
        <w:pStyle w:val="ActHead2"/>
      </w:pPr>
      <w:bookmarkStart w:id="9" w:name="_Toc170547831"/>
      <w:r w:rsidRPr="000C4237">
        <w:rPr>
          <w:rStyle w:val="CharPartNo"/>
        </w:rPr>
        <w:t>Part</w:t>
      </w:r>
      <w:r w:rsidR="00DA13DE" w:rsidRPr="000C4237">
        <w:rPr>
          <w:rStyle w:val="CharPartNo"/>
        </w:rPr>
        <w:t> </w:t>
      </w:r>
      <w:r w:rsidR="002A22A4" w:rsidRPr="000C4237">
        <w:rPr>
          <w:rStyle w:val="CharPartNo"/>
        </w:rPr>
        <w:t>1</w:t>
      </w:r>
      <w:r w:rsidRPr="006E709F">
        <w:t>—</w:t>
      </w:r>
      <w:r w:rsidR="002A22A4" w:rsidRPr="000C4237">
        <w:rPr>
          <w:rStyle w:val="CharPartText"/>
        </w:rPr>
        <w:t>Rules for ascertaining whether names are identical</w:t>
      </w:r>
      <w:bookmarkEnd w:id="9"/>
    </w:p>
    <w:p w:rsidR="002A22A4" w:rsidRPr="006E709F" w:rsidRDefault="002A22A4" w:rsidP="00042A1F">
      <w:pPr>
        <w:pStyle w:val="ItemHead"/>
      </w:pPr>
      <w:r w:rsidRPr="006E709F">
        <w:t>6101</w:t>
      </w:r>
      <w:r w:rsidR="009D0870" w:rsidRPr="006E709F">
        <w:t xml:space="preserve">  </w:t>
      </w:r>
    </w:p>
    <w:p w:rsidR="002A22A4" w:rsidRPr="006E709F" w:rsidRDefault="002A22A4" w:rsidP="00A801D0">
      <w:pPr>
        <w:pStyle w:val="subsection"/>
      </w:pPr>
      <w:r w:rsidRPr="006E709F">
        <w:tab/>
      </w:r>
      <w:r w:rsidRPr="006E709F">
        <w:tab/>
        <w:t>In comparing one name with another for paragraph</w:t>
      </w:r>
      <w:r w:rsidR="00DA13DE" w:rsidRPr="006E709F">
        <w:t> </w:t>
      </w:r>
      <w:r w:rsidRPr="006E709F">
        <w:t>147(1</w:t>
      </w:r>
      <w:r w:rsidR="00A801D0" w:rsidRPr="006E709F">
        <w:t>)(</w:t>
      </w:r>
      <w:r w:rsidRPr="006E709F">
        <w:t>a) or (b) or 601DC(1</w:t>
      </w:r>
      <w:r w:rsidR="00A801D0" w:rsidRPr="006E709F">
        <w:t>)(</w:t>
      </w:r>
      <w:r w:rsidRPr="006E709F">
        <w:t>a) or (b)</w:t>
      </w:r>
      <w:r w:rsidR="00875880" w:rsidRPr="006E709F">
        <w:t xml:space="preserve"> or for subparagraph</w:t>
      </w:r>
      <w:r w:rsidR="00DA13DE" w:rsidRPr="006E709F">
        <w:t> </w:t>
      </w:r>
      <w:r w:rsidR="00875880" w:rsidRPr="006E709F">
        <w:t>1213B(5)(a)(i), (ii), (iii) or (iv)</w:t>
      </w:r>
      <w:r w:rsidRPr="006E709F">
        <w:t xml:space="preserve"> of the Act, the following matters are to be disregarded:</w:t>
      </w:r>
    </w:p>
    <w:p w:rsidR="002A22A4" w:rsidRPr="006E709F" w:rsidRDefault="002A22A4" w:rsidP="00A801D0">
      <w:pPr>
        <w:pStyle w:val="paragraph"/>
      </w:pPr>
      <w:r w:rsidRPr="006E709F">
        <w:tab/>
        <w:t>(a)</w:t>
      </w:r>
      <w:r w:rsidRPr="006E709F">
        <w:tab/>
        <w:t>the use of the definite or indefinite article as the first word in one or both of those names;</w:t>
      </w:r>
    </w:p>
    <w:p w:rsidR="002A22A4" w:rsidRPr="006E709F" w:rsidRDefault="002A22A4" w:rsidP="00A801D0">
      <w:pPr>
        <w:pStyle w:val="paragraph"/>
      </w:pPr>
      <w:r w:rsidRPr="006E709F">
        <w:tab/>
        <w:t>(b)</w:t>
      </w:r>
      <w:r w:rsidRPr="006E709F">
        <w:tab/>
        <w:t>the use of ‘Proprietary’, ‘Pty’, ‘Limited’, ‘Ltd’, ‘No Liability’ or ‘NL’ in one or both of the names;</w:t>
      </w:r>
    </w:p>
    <w:p w:rsidR="002A22A4" w:rsidRPr="006E709F" w:rsidRDefault="002A22A4" w:rsidP="00A801D0">
      <w:pPr>
        <w:pStyle w:val="paragraph"/>
      </w:pPr>
      <w:r w:rsidRPr="006E709F">
        <w:tab/>
        <w:t>(c)</w:t>
      </w:r>
      <w:r w:rsidRPr="006E709F">
        <w:tab/>
        <w:t>whether a word is in the plural or singular number in one or both names;</w:t>
      </w:r>
    </w:p>
    <w:p w:rsidR="002A22A4" w:rsidRPr="006E709F" w:rsidRDefault="002A22A4" w:rsidP="00A801D0">
      <w:pPr>
        <w:pStyle w:val="paragraph"/>
      </w:pPr>
      <w:r w:rsidRPr="006E709F">
        <w:tab/>
        <w:t>(d)</w:t>
      </w:r>
      <w:r w:rsidRPr="006E709F">
        <w:tab/>
        <w:t>the type, size and case of letters, the size of any numbers or other characters, and any accents, spaces between letters, numbers or characters, and punctuation marks, used in one or both names;</w:t>
      </w:r>
    </w:p>
    <w:p w:rsidR="002A22A4" w:rsidRPr="006E709F" w:rsidRDefault="002A22A4" w:rsidP="00A801D0">
      <w:pPr>
        <w:pStyle w:val="paragraph"/>
      </w:pPr>
      <w:r w:rsidRPr="006E709F">
        <w:tab/>
        <w:t>(e)</w:t>
      </w:r>
      <w:r w:rsidRPr="006E709F">
        <w:tab/>
        <w:t>the fact that one name contains a word or expression in column 2 of the following table and the other name contains an alternative for that word or expression in column 3:</w:t>
      </w:r>
    </w:p>
    <w:p w:rsidR="00A801D0" w:rsidRPr="006E709F"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829"/>
        <w:gridCol w:w="3744"/>
        <w:gridCol w:w="2956"/>
      </w:tblGrid>
      <w:tr w:rsidR="002A22A4" w:rsidRPr="006E709F" w:rsidTr="00E118FA">
        <w:trPr>
          <w:tblHeader/>
        </w:trPr>
        <w:tc>
          <w:tcPr>
            <w:tcW w:w="1072" w:type="pct"/>
            <w:tcBorders>
              <w:top w:val="single" w:sz="12" w:space="0" w:color="auto"/>
              <w:bottom w:val="single" w:sz="12" w:space="0" w:color="auto"/>
            </w:tcBorders>
            <w:shd w:val="clear" w:color="auto" w:fill="auto"/>
          </w:tcPr>
          <w:p w:rsidR="002A22A4" w:rsidRPr="006E709F" w:rsidRDefault="002A22A4" w:rsidP="007678F7">
            <w:pPr>
              <w:pStyle w:val="TableHeading"/>
            </w:pPr>
            <w:r w:rsidRPr="006E709F">
              <w:t>Column 1</w:t>
            </w:r>
          </w:p>
          <w:p w:rsidR="002A22A4" w:rsidRPr="006E709F" w:rsidRDefault="002A22A4" w:rsidP="007678F7">
            <w:pPr>
              <w:pStyle w:val="TableHeading"/>
            </w:pPr>
            <w:r w:rsidRPr="006E709F">
              <w:t>Item</w:t>
            </w:r>
          </w:p>
        </w:tc>
        <w:tc>
          <w:tcPr>
            <w:tcW w:w="2195" w:type="pct"/>
            <w:tcBorders>
              <w:top w:val="single" w:sz="12" w:space="0" w:color="auto"/>
              <w:bottom w:val="single" w:sz="12" w:space="0" w:color="auto"/>
            </w:tcBorders>
            <w:shd w:val="clear" w:color="auto" w:fill="auto"/>
          </w:tcPr>
          <w:p w:rsidR="002A22A4" w:rsidRPr="006E709F" w:rsidRDefault="002A22A4" w:rsidP="007678F7">
            <w:pPr>
              <w:pStyle w:val="TableHeading"/>
            </w:pPr>
            <w:r w:rsidRPr="006E709F">
              <w:t>Column 2</w:t>
            </w:r>
          </w:p>
          <w:p w:rsidR="002A22A4" w:rsidRPr="006E709F" w:rsidRDefault="002A22A4" w:rsidP="007678F7">
            <w:pPr>
              <w:pStyle w:val="TableHeading"/>
            </w:pPr>
            <w:r w:rsidRPr="006E709F">
              <w:t>Word or expression</w:t>
            </w:r>
          </w:p>
        </w:tc>
        <w:tc>
          <w:tcPr>
            <w:tcW w:w="1733" w:type="pct"/>
            <w:tcBorders>
              <w:top w:val="single" w:sz="12" w:space="0" w:color="auto"/>
              <w:bottom w:val="single" w:sz="12" w:space="0" w:color="auto"/>
            </w:tcBorders>
            <w:shd w:val="clear" w:color="auto" w:fill="auto"/>
          </w:tcPr>
          <w:p w:rsidR="002A22A4" w:rsidRPr="006E709F" w:rsidRDefault="002A22A4" w:rsidP="007678F7">
            <w:pPr>
              <w:pStyle w:val="TableHeading"/>
            </w:pPr>
            <w:r w:rsidRPr="006E709F">
              <w:t>Column 3</w:t>
            </w:r>
          </w:p>
          <w:p w:rsidR="002A22A4" w:rsidRPr="006E709F" w:rsidRDefault="002A22A4" w:rsidP="007678F7">
            <w:pPr>
              <w:pStyle w:val="TableHeading"/>
            </w:pPr>
            <w:r w:rsidRPr="006E709F">
              <w:t>Alternative</w:t>
            </w:r>
          </w:p>
        </w:tc>
      </w:tr>
      <w:tr w:rsidR="002A22A4" w:rsidRPr="006E709F" w:rsidTr="00E118FA">
        <w:tc>
          <w:tcPr>
            <w:tcW w:w="1072" w:type="pct"/>
            <w:tcBorders>
              <w:top w:val="single" w:sz="12" w:space="0" w:color="auto"/>
            </w:tcBorders>
            <w:shd w:val="clear" w:color="auto" w:fill="auto"/>
          </w:tcPr>
          <w:p w:rsidR="002A22A4" w:rsidRPr="006E709F" w:rsidRDefault="002A22A4" w:rsidP="00A801D0">
            <w:pPr>
              <w:pStyle w:val="Tabletext"/>
            </w:pPr>
            <w:r w:rsidRPr="006E709F">
              <w:t>1</w:t>
            </w:r>
          </w:p>
        </w:tc>
        <w:tc>
          <w:tcPr>
            <w:tcW w:w="2195" w:type="pct"/>
            <w:tcBorders>
              <w:top w:val="single" w:sz="12" w:space="0" w:color="auto"/>
            </w:tcBorders>
            <w:shd w:val="clear" w:color="auto" w:fill="auto"/>
          </w:tcPr>
          <w:p w:rsidR="002A22A4" w:rsidRPr="006E709F" w:rsidRDefault="002A22A4" w:rsidP="00A801D0">
            <w:pPr>
              <w:pStyle w:val="Tabletext"/>
            </w:pPr>
            <w:r w:rsidRPr="006E709F">
              <w:t>Australian</w:t>
            </w:r>
          </w:p>
        </w:tc>
        <w:tc>
          <w:tcPr>
            <w:tcW w:w="1733" w:type="pct"/>
            <w:tcBorders>
              <w:top w:val="single" w:sz="12" w:space="0" w:color="auto"/>
            </w:tcBorders>
            <w:shd w:val="clear" w:color="auto" w:fill="auto"/>
          </w:tcPr>
          <w:p w:rsidR="002A22A4" w:rsidRPr="006E709F" w:rsidRDefault="002A22A4" w:rsidP="00A801D0">
            <w:pPr>
              <w:pStyle w:val="Tabletext"/>
            </w:pPr>
            <w:r w:rsidRPr="006E709F">
              <w:t>Aust</w:t>
            </w:r>
          </w:p>
        </w:tc>
      </w:tr>
      <w:tr w:rsidR="002A22A4" w:rsidRPr="006E709F" w:rsidTr="00E118FA">
        <w:tc>
          <w:tcPr>
            <w:tcW w:w="1072" w:type="pct"/>
            <w:shd w:val="clear" w:color="auto" w:fill="auto"/>
          </w:tcPr>
          <w:p w:rsidR="002A22A4" w:rsidRPr="006E709F" w:rsidRDefault="002A22A4" w:rsidP="00A801D0">
            <w:pPr>
              <w:pStyle w:val="Tabletext"/>
            </w:pPr>
            <w:r w:rsidRPr="006E709F">
              <w:t>2</w:t>
            </w:r>
          </w:p>
        </w:tc>
        <w:tc>
          <w:tcPr>
            <w:tcW w:w="2195" w:type="pct"/>
            <w:shd w:val="clear" w:color="auto" w:fill="auto"/>
          </w:tcPr>
          <w:p w:rsidR="002A22A4" w:rsidRPr="006E709F" w:rsidRDefault="002A22A4" w:rsidP="00A801D0">
            <w:pPr>
              <w:pStyle w:val="Tabletext"/>
            </w:pPr>
            <w:r w:rsidRPr="006E709F">
              <w:t>Company</w:t>
            </w:r>
          </w:p>
        </w:tc>
        <w:tc>
          <w:tcPr>
            <w:tcW w:w="1733" w:type="pct"/>
            <w:shd w:val="clear" w:color="auto" w:fill="auto"/>
          </w:tcPr>
          <w:p w:rsidR="002A22A4" w:rsidRPr="006E709F" w:rsidRDefault="002A22A4" w:rsidP="00A801D0">
            <w:pPr>
              <w:pStyle w:val="Tabletext"/>
            </w:pPr>
            <w:r w:rsidRPr="006E709F">
              <w:t xml:space="preserve">Co </w:t>
            </w:r>
            <w:r w:rsidRPr="006E709F">
              <w:rPr>
                <w:i/>
              </w:rPr>
              <w:t xml:space="preserve">or </w:t>
            </w:r>
            <w:r w:rsidRPr="006E709F">
              <w:t>Coy</w:t>
            </w:r>
          </w:p>
        </w:tc>
      </w:tr>
      <w:tr w:rsidR="002A22A4" w:rsidRPr="006E709F" w:rsidTr="00E118FA">
        <w:tc>
          <w:tcPr>
            <w:tcW w:w="1072" w:type="pct"/>
            <w:shd w:val="clear" w:color="auto" w:fill="auto"/>
          </w:tcPr>
          <w:p w:rsidR="002A22A4" w:rsidRPr="006E709F" w:rsidRDefault="002A22A4" w:rsidP="00A801D0">
            <w:pPr>
              <w:pStyle w:val="Tabletext"/>
            </w:pPr>
            <w:r w:rsidRPr="006E709F">
              <w:t>3</w:t>
            </w:r>
          </w:p>
        </w:tc>
        <w:tc>
          <w:tcPr>
            <w:tcW w:w="2195" w:type="pct"/>
            <w:shd w:val="clear" w:color="auto" w:fill="auto"/>
          </w:tcPr>
          <w:p w:rsidR="002A22A4" w:rsidRPr="006E709F" w:rsidRDefault="002A22A4" w:rsidP="00A801D0">
            <w:pPr>
              <w:pStyle w:val="Tabletext"/>
            </w:pPr>
            <w:r w:rsidRPr="006E709F">
              <w:t>Co</w:t>
            </w:r>
          </w:p>
        </w:tc>
        <w:tc>
          <w:tcPr>
            <w:tcW w:w="1733" w:type="pct"/>
            <w:shd w:val="clear" w:color="auto" w:fill="auto"/>
          </w:tcPr>
          <w:p w:rsidR="002A22A4" w:rsidRPr="006E709F" w:rsidRDefault="002A22A4" w:rsidP="00A801D0">
            <w:pPr>
              <w:pStyle w:val="Tabletext"/>
            </w:pPr>
            <w:r w:rsidRPr="006E709F">
              <w:t xml:space="preserve">Company </w:t>
            </w:r>
            <w:r w:rsidRPr="006E709F">
              <w:rPr>
                <w:i/>
              </w:rPr>
              <w:t>or</w:t>
            </w:r>
            <w:r w:rsidRPr="006E709F">
              <w:t xml:space="preserve"> Coy</w:t>
            </w:r>
          </w:p>
        </w:tc>
      </w:tr>
      <w:tr w:rsidR="002A22A4" w:rsidRPr="006E709F" w:rsidTr="00E118FA">
        <w:tc>
          <w:tcPr>
            <w:tcW w:w="1072" w:type="pct"/>
            <w:shd w:val="clear" w:color="auto" w:fill="auto"/>
          </w:tcPr>
          <w:p w:rsidR="002A22A4" w:rsidRPr="006E709F" w:rsidRDefault="002A22A4" w:rsidP="00A801D0">
            <w:pPr>
              <w:pStyle w:val="Tabletext"/>
            </w:pPr>
            <w:r w:rsidRPr="006E709F">
              <w:t>4</w:t>
            </w:r>
          </w:p>
        </w:tc>
        <w:tc>
          <w:tcPr>
            <w:tcW w:w="2195" w:type="pct"/>
            <w:shd w:val="clear" w:color="auto" w:fill="auto"/>
          </w:tcPr>
          <w:p w:rsidR="002A22A4" w:rsidRPr="006E709F" w:rsidRDefault="002A22A4" w:rsidP="00A801D0">
            <w:pPr>
              <w:pStyle w:val="Tabletext"/>
            </w:pPr>
            <w:r w:rsidRPr="006E709F">
              <w:t>Coy</w:t>
            </w:r>
          </w:p>
        </w:tc>
        <w:tc>
          <w:tcPr>
            <w:tcW w:w="1733" w:type="pct"/>
            <w:shd w:val="clear" w:color="auto" w:fill="auto"/>
          </w:tcPr>
          <w:p w:rsidR="002A22A4" w:rsidRPr="006E709F" w:rsidRDefault="002A22A4" w:rsidP="00A801D0">
            <w:pPr>
              <w:pStyle w:val="Tabletext"/>
            </w:pPr>
            <w:r w:rsidRPr="006E709F">
              <w:t xml:space="preserve">Company </w:t>
            </w:r>
            <w:r w:rsidRPr="006E709F">
              <w:rPr>
                <w:i/>
              </w:rPr>
              <w:t>or</w:t>
            </w:r>
            <w:r w:rsidRPr="006E709F">
              <w:t xml:space="preserve"> Co</w:t>
            </w:r>
          </w:p>
        </w:tc>
      </w:tr>
      <w:tr w:rsidR="002A22A4" w:rsidRPr="006E709F" w:rsidTr="00E118FA">
        <w:tc>
          <w:tcPr>
            <w:tcW w:w="1072" w:type="pct"/>
            <w:shd w:val="clear" w:color="auto" w:fill="auto"/>
          </w:tcPr>
          <w:p w:rsidR="002A22A4" w:rsidRPr="006E709F" w:rsidRDefault="002A22A4" w:rsidP="00A801D0">
            <w:pPr>
              <w:pStyle w:val="Tabletext"/>
            </w:pPr>
            <w:r w:rsidRPr="006E709F">
              <w:t>5</w:t>
            </w:r>
          </w:p>
        </w:tc>
        <w:tc>
          <w:tcPr>
            <w:tcW w:w="2195" w:type="pct"/>
            <w:shd w:val="clear" w:color="auto" w:fill="auto"/>
          </w:tcPr>
          <w:p w:rsidR="002A22A4" w:rsidRPr="006E709F" w:rsidRDefault="002A22A4" w:rsidP="00A801D0">
            <w:pPr>
              <w:pStyle w:val="Tabletext"/>
            </w:pPr>
            <w:r w:rsidRPr="006E709F">
              <w:t>Number</w:t>
            </w:r>
          </w:p>
        </w:tc>
        <w:tc>
          <w:tcPr>
            <w:tcW w:w="1733" w:type="pct"/>
            <w:shd w:val="clear" w:color="auto" w:fill="auto"/>
          </w:tcPr>
          <w:p w:rsidR="002A22A4" w:rsidRPr="006E709F" w:rsidRDefault="002A22A4" w:rsidP="00A801D0">
            <w:pPr>
              <w:pStyle w:val="Tabletext"/>
            </w:pPr>
            <w:r w:rsidRPr="006E709F">
              <w:t>No</w:t>
            </w:r>
          </w:p>
        </w:tc>
      </w:tr>
      <w:tr w:rsidR="002A22A4" w:rsidRPr="006E709F" w:rsidTr="00E118FA">
        <w:tc>
          <w:tcPr>
            <w:tcW w:w="1072" w:type="pct"/>
            <w:shd w:val="clear" w:color="auto" w:fill="auto"/>
          </w:tcPr>
          <w:p w:rsidR="002A22A4" w:rsidRPr="006E709F" w:rsidRDefault="002A22A4" w:rsidP="00A801D0">
            <w:pPr>
              <w:pStyle w:val="Tabletext"/>
            </w:pPr>
            <w:r w:rsidRPr="006E709F">
              <w:t>6</w:t>
            </w:r>
          </w:p>
        </w:tc>
        <w:tc>
          <w:tcPr>
            <w:tcW w:w="2195" w:type="pct"/>
            <w:shd w:val="clear" w:color="auto" w:fill="auto"/>
          </w:tcPr>
          <w:p w:rsidR="002A22A4" w:rsidRPr="006E709F" w:rsidRDefault="002A22A4" w:rsidP="00A801D0">
            <w:pPr>
              <w:pStyle w:val="Tabletext"/>
            </w:pPr>
            <w:r w:rsidRPr="006E709F">
              <w:t>and</w:t>
            </w:r>
          </w:p>
        </w:tc>
        <w:tc>
          <w:tcPr>
            <w:tcW w:w="1733" w:type="pct"/>
            <w:shd w:val="clear" w:color="auto" w:fill="auto"/>
          </w:tcPr>
          <w:p w:rsidR="002A22A4" w:rsidRPr="006E709F" w:rsidRDefault="002A22A4" w:rsidP="00A801D0">
            <w:pPr>
              <w:pStyle w:val="Tabletext"/>
            </w:pPr>
            <w:r w:rsidRPr="006E709F">
              <w:t>&amp;</w:t>
            </w:r>
          </w:p>
        </w:tc>
      </w:tr>
      <w:tr w:rsidR="002A22A4" w:rsidRPr="006E709F" w:rsidTr="00E118FA">
        <w:tc>
          <w:tcPr>
            <w:tcW w:w="1072" w:type="pct"/>
            <w:tcBorders>
              <w:bottom w:val="single" w:sz="4" w:space="0" w:color="auto"/>
            </w:tcBorders>
            <w:shd w:val="clear" w:color="auto" w:fill="auto"/>
          </w:tcPr>
          <w:p w:rsidR="002A22A4" w:rsidRPr="006E709F" w:rsidRDefault="002A22A4" w:rsidP="00A801D0">
            <w:pPr>
              <w:pStyle w:val="Tabletext"/>
            </w:pPr>
            <w:r w:rsidRPr="006E709F">
              <w:t>7</w:t>
            </w:r>
          </w:p>
        </w:tc>
        <w:tc>
          <w:tcPr>
            <w:tcW w:w="2195" w:type="pct"/>
            <w:tcBorders>
              <w:bottom w:val="single" w:sz="4" w:space="0" w:color="auto"/>
            </w:tcBorders>
            <w:shd w:val="clear" w:color="auto" w:fill="auto"/>
          </w:tcPr>
          <w:p w:rsidR="002A22A4" w:rsidRPr="006E709F" w:rsidRDefault="002A22A4" w:rsidP="00A801D0">
            <w:pPr>
              <w:pStyle w:val="Tabletext"/>
            </w:pPr>
            <w:r w:rsidRPr="006E709F">
              <w:t>Incorporated</w:t>
            </w:r>
          </w:p>
        </w:tc>
        <w:tc>
          <w:tcPr>
            <w:tcW w:w="1733" w:type="pct"/>
            <w:tcBorders>
              <w:bottom w:val="single" w:sz="4" w:space="0" w:color="auto"/>
            </w:tcBorders>
            <w:shd w:val="clear" w:color="auto" w:fill="auto"/>
          </w:tcPr>
          <w:p w:rsidR="002A22A4" w:rsidRPr="006E709F" w:rsidRDefault="002A22A4" w:rsidP="00A801D0">
            <w:pPr>
              <w:pStyle w:val="Tabletext"/>
            </w:pPr>
            <w:r w:rsidRPr="006E709F">
              <w:t>Inc</w:t>
            </w:r>
          </w:p>
        </w:tc>
      </w:tr>
      <w:tr w:rsidR="002A22A4" w:rsidRPr="006E709F" w:rsidTr="00E118FA">
        <w:tc>
          <w:tcPr>
            <w:tcW w:w="1072" w:type="pct"/>
            <w:tcBorders>
              <w:bottom w:val="single" w:sz="4" w:space="0" w:color="auto"/>
            </w:tcBorders>
            <w:shd w:val="clear" w:color="auto" w:fill="auto"/>
          </w:tcPr>
          <w:p w:rsidR="002A22A4" w:rsidRPr="006E709F" w:rsidRDefault="002A22A4" w:rsidP="00A801D0">
            <w:pPr>
              <w:pStyle w:val="Tabletext"/>
            </w:pPr>
            <w:r w:rsidRPr="006E709F">
              <w:t>8</w:t>
            </w:r>
          </w:p>
        </w:tc>
        <w:tc>
          <w:tcPr>
            <w:tcW w:w="2195" w:type="pct"/>
            <w:tcBorders>
              <w:bottom w:val="single" w:sz="4" w:space="0" w:color="auto"/>
            </w:tcBorders>
            <w:shd w:val="clear" w:color="auto" w:fill="auto"/>
          </w:tcPr>
          <w:p w:rsidR="002A22A4" w:rsidRPr="006E709F" w:rsidRDefault="002A22A4" w:rsidP="00A801D0">
            <w:pPr>
              <w:pStyle w:val="Tabletext"/>
            </w:pPr>
            <w:r w:rsidRPr="006E709F">
              <w:t>Corporation</w:t>
            </w:r>
          </w:p>
        </w:tc>
        <w:tc>
          <w:tcPr>
            <w:tcW w:w="1733" w:type="pct"/>
            <w:tcBorders>
              <w:bottom w:val="single" w:sz="4" w:space="0" w:color="auto"/>
            </w:tcBorders>
            <w:shd w:val="clear" w:color="auto" w:fill="auto"/>
          </w:tcPr>
          <w:p w:rsidR="002A22A4" w:rsidRPr="006E709F" w:rsidRDefault="002A22A4" w:rsidP="00A801D0">
            <w:pPr>
              <w:pStyle w:val="Tabletext"/>
            </w:pPr>
            <w:r w:rsidRPr="006E709F">
              <w:t>Corp</w:t>
            </w:r>
          </w:p>
        </w:tc>
      </w:tr>
      <w:tr w:rsidR="002A22A4" w:rsidRPr="006E709F" w:rsidTr="00D1214F">
        <w:tc>
          <w:tcPr>
            <w:tcW w:w="1072" w:type="pct"/>
            <w:shd w:val="clear" w:color="auto" w:fill="auto"/>
          </w:tcPr>
          <w:p w:rsidR="002A22A4" w:rsidRPr="006E709F" w:rsidRDefault="002A22A4" w:rsidP="00A801D0">
            <w:pPr>
              <w:pStyle w:val="Tabletext"/>
            </w:pPr>
            <w:r w:rsidRPr="006E709F">
              <w:t>9</w:t>
            </w:r>
          </w:p>
        </w:tc>
        <w:tc>
          <w:tcPr>
            <w:tcW w:w="2195" w:type="pct"/>
            <w:shd w:val="clear" w:color="auto" w:fill="auto"/>
          </w:tcPr>
          <w:p w:rsidR="002A22A4" w:rsidRPr="006E709F" w:rsidRDefault="002A22A4" w:rsidP="00A801D0">
            <w:pPr>
              <w:pStyle w:val="Tabletext"/>
            </w:pPr>
            <w:r w:rsidRPr="006E709F">
              <w:t>Australian</w:t>
            </w:r>
            <w:r w:rsidR="00E376FA" w:rsidRPr="006E709F">
              <w:t xml:space="preserve"> </w:t>
            </w:r>
            <w:r w:rsidRPr="006E709F">
              <w:t>Company Number</w:t>
            </w:r>
          </w:p>
        </w:tc>
        <w:tc>
          <w:tcPr>
            <w:tcW w:w="1733" w:type="pct"/>
            <w:shd w:val="clear" w:color="auto" w:fill="auto"/>
          </w:tcPr>
          <w:p w:rsidR="002A22A4" w:rsidRPr="006E709F" w:rsidRDefault="002A22A4" w:rsidP="00A801D0">
            <w:pPr>
              <w:pStyle w:val="Tabletext"/>
            </w:pPr>
            <w:r w:rsidRPr="006E709F">
              <w:t>ACN</w:t>
            </w:r>
          </w:p>
        </w:tc>
      </w:tr>
      <w:tr w:rsidR="006C30E7" w:rsidRPr="006E709F" w:rsidTr="00E118FA">
        <w:tc>
          <w:tcPr>
            <w:tcW w:w="1072" w:type="pct"/>
            <w:tcBorders>
              <w:bottom w:val="single" w:sz="12" w:space="0" w:color="auto"/>
            </w:tcBorders>
            <w:shd w:val="clear" w:color="auto" w:fill="auto"/>
          </w:tcPr>
          <w:p w:rsidR="006C30E7" w:rsidRPr="006E709F" w:rsidRDefault="006C30E7" w:rsidP="006C30E7">
            <w:pPr>
              <w:pStyle w:val="Tabletext"/>
            </w:pPr>
            <w:r w:rsidRPr="006E709F">
              <w:t>10</w:t>
            </w:r>
          </w:p>
        </w:tc>
        <w:tc>
          <w:tcPr>
            <w:tcW w:w="2195" w:type="pct"/>
            <w:tcBorders>
              <w:bottom w:val="single" w:sz="12" w:space="0" w:color="auto"/>
            </w:tcBorders>
            <w:shd w:val="clear" w:color="auto" w:fill="auto"/>
          </w:tcPr>
          <w:p w:rsidR="006C30E7" w:rsidRPr="006E709F" w:rsidRDefault="006C30E7" w:rsidP="006C30E7">
            <w:pPr>
              <w:pStyle w:val="Tabletext"/>
            </w:pPr>
            <w:r w:rsidRPr="006E709F">
              <w:t>Corporate Collective Investment Vehicle</w:t>
            </w:r>
          </w:p>
        </w:tc>
        <w:tc>
          <w:tcPr>
            <w:tcW w:w="1733" w:type="pct"/>
            <w:tcBorders>
              <w:bottom w:val="single" w:sz="12" w:space="0" w:color="auto"/>
            </w:tcBorders>
            <w:shd w:val="clear" w:color="auto" w:fill="auto"/>
          </w:tcPr>
          <w:p w:rsidR="006C30E7" w:rsidRPr="006E709F" w:rsidRDefault="006C30E7" w:rsidP="006C30E7">
            <w:pPr>
              <w:pStyle w:val="Tabletext"/>
            </w:pPr>
            <w:r w:rsidRPr="006E709F">
              <w:t>CCIV</w:t>
            </w:r>
          </w:p>
        </w:tc>
      </w:tr>
    </w:tbl>
    <w:p w:rsidR="002A22A4" w:rsidRPr="006E709F" w:rsidRDefault="00A801D0" w:rsidP="00A801D0">
      <w:pPr>
        <w:pStyle w:val="ActHead2"/>
        <w:pageBreakBefore/>
      </w:pPr>
      <w:bookmarkStart w:id="10" w:name="_Toc170547832"/>
      <w:r w:rsidRPr="000C4237">
        <w:rPr>
          <w:rStyle w:val="CharPartNo"/>
        </w:rPr>
        <w:lastRenderedPageBreak/>
        <w:t>Part</w:t>
      </w:r>
      <w:r w:rsidR="00DA13DE" w:rsidRPr="000C4237">
        <w:rPr>
          <w:rStyle w:val="CharPartNo"/>
        </w:rPr>
        <w:t> </w:t>
      </w:r>
      <w:r w:rsidR="002A22A4" w:rsidRPr="000C4237">
        <w:rPr>
          <w:rStyle w:val="CharPartNo"/>
        </w:rPr>
        <w:t>2</w:t>
      </w:r>
      <w:r w:rsidRPr="006E709F">
        <w:t>—</w:t>
      </w:r>
      <w:r w:rsidR="002A22A4" w:rsidRPr="000C4237">
        <w:rPr>
          <w:rStyle w:val="CharPartText"/>
        </w:rPr>
        <w:t>Names unacceptable for registration</w:t>
      </w:r>
      <w:bookmarkEnd w:id="10"/>
    </w:p>
    <w:p w:rsidR="002A22A4" w:rsidRPr="006E709F" w:rsidRDefault="002A22A4" w:rsidP="00042A1F">
      <w:pPr>
        <w:pStyle w:val="ItemHead"/>
      </w:pPr>
      <w:r w:rsidRPr="006E709F">
        <w:t>6203</w:t>
      </w:r>
      <w:r w:rsidR="009D0870" w:rsidRPr="006E709F">
        <w:t xml:space="preserve">  </w:t>
      </w:r>
    </w:p>
    <w:p w:rsidR="002A22A4" w:rsidRPr="006E709F" w:rsidRDefault="002A22A4" w:rsidP="00A801D0">
      <w:pPr>
        <w:pStyle w:val="subsection"/>
      </w:pPr>
      <w:r w:rsidRPr="006E709F">
        <w:tab/>
      </w:r>
      <w:r w:rsidRPr="006E709F">
        <w:tab/>
      </w:r>
      <w:r w:rsidR="00875880" w:rsidRPr="006E709F">
        <w:t>For paragraphs 147(1)(c) and 601DC(1)(c) and for subparagraph</w:t>
      </w:r>
      <w:r w:rsidR="00DA13DE" w:rsidRPr="006E709F">
        <w:t> </w:t>
      </w:r>
      <w:r w:rsidR="00875880" w:rsidRPr="006E709F">
        <w:t>1213B(5)(a)(v)</w:t>
      </w:r>
      <w:r w:rsidRPr="006E709F">
        <w:t xml:space="preserve"> of the Act, a name is unacceptable for registration if the name:</w:t>
      </w:r>
    </w:p>
    <w:p w:rsidR="002A22A4" w:rsidRPr="006E709F" w:rsidRDefault="002A22A4" w:rsidP="00A801D0">
      <w:pPr>
        <w:pStyle w:val="paragraph"/>
      </w:pPr>
      <w:r w:rsidRPr="006E709F">
        <w:tab/>
        <w:t>(a)</w:t>
      </w:r>
      <w:r w:rsidRPr="006E709F">
        <w:tab/>
        <w:t>in the opinion of ASIC, is undesirable, or likely to be offensive to:</w:t>
      </w:r>
    </w:p>
    <w:p w:rsidR="002A22A4" w:rsidRPr="006E709F" w:rsidRDefault="002A22A4" w:rsidP="00A801D0">
      <w:pPr>
        <w:pStyle w:val="paragraphsub"/>
      </w:pPr>
      <w:r w:rsidRPr="006E709F">
        <w:tab/>
        <w:t>(i)</w:t>
      </w:r>
      <w:r w:rsidRPr="006E709F">
        <w:tab/>
        <w:t>members of the public; or</w:t>
      </w:r>
    </w:p>
    <w:p w:rsidR="002A22A4" w:rsidRPr="006E709F" w:rsidRDefault="002A22A4" w:rsidP="00A801D0">
      <w:pPr>
        <w:pStyle w:val="paragraphsub"/>
      </w:pPr>
      <w:r w:rsidRPr="006E709F">
        <w:tab/>
        <w:t>(ii)</w:t>
      </w:r>
      <w:r w:rsidRPr="006E709F">
        <w:tab/>
        <w:t>members of any section of the public; or</w:t>
      </w:r>
    </w:p>
    <w:p w:rsidR="002A22A4" w:rsidRPr="006E709F" w:rsidRDefault="002A22A4" w:rsidP="00A801D0">
      <w:pPr>
        <w:pStyle w:val="paragraph"/>
      </w:pPr>
      <w:r w:rsidRPr="006E709F">
        <w:tab/>
        <w:t>(b)</w:t>
      </w:r>
      <w:r w:rsidRPr="006E709F">
        <w:tab/>
        <w:t>subject to rule</w:t>
      </w:r>
      <w:r w:rsidR="00DA13DE" w:rsidRPr="006E709F">
        <w:t> </w:t>
      </w:r>
      <w:r w:rsidRPr="006E709F">
        <w:t>6204:</w:t>
      </w:r>
    </w:p>
    <w:p w:rsidR="002A22A4" w:rsidRPr="006E709F" w:rsidRDefault="002A22A4" w:rsidP="00A801D0">
      <w:pPr>
        <w:pStyle w:val="paragraphsub"/>
      </w:pPr>
      <w:r w:rsidRPr="006E709F">
        <w:tab/>
        <w:t>(i)</w:t>
      </w:r>
      <w:r w:rsidRPr="006E709F">
        <w:tab/>
        <w:t>contains a word or phrase specified in an item in Part</w:t>
      </w:r>
      <w:r w:rsidR="00DA13DE" w:rsidRPr="006E709F">
        <w:t> </w:t>
      </w:r>
      <w:r w:rsidRPr="006E709F">
        <w:t>3, or an abbreviation of that word or phrase; or</w:t>
      </w:r>
    </w:p>
    <w:p w:rsidR="002A22A4" w:rsidRPr="006E709F" w:rsidRDefault="002A22A4" w:rsidP="00A801D0">
      <w:pPr>
        <w:pStyle w:val="paragraphsub"/>
      </w:pPr>
      <w:r w:rsidRPr="006E709F">
        <w:tab/>
        <w:t>(ii)</w:t>
      </w:r>
      <w:r w:rsidRPr="006E709F">
        <w:tab/>
        <w:t>a word or phrase or an abbreviation having the same or a similar meaning; or</w:t>
      </w:r>
    </w:p>
    <w:p w:rsidR="002A22A4" w:rsidRPr="006E709F" w:rsidRDefault="002A22A4" w:rsidP="00A801D0">
      <w:pPr>
        <w:pStyle w:val="paragraph"/>
      </w:pPr>
      <w:r w:rsidRPr="006E709F">
        <w:tab/>
        <w:t>(c)</w:t>
      </w:r>
      <w:r w:rsidRPr="006E709F">
        <w:tab/>
        <w:t>subject to rule</w:t>
      </w:r>
      <w:r w:rsidR="00DA13DE" w:rsidRPr="006E709F">
        <w:t> </w:t>
      </w:r>
      <w:r w:rsidRPr="006E709F">
        <w:t>6205, includes the word ‘Commonwealth’ or ‘Federal’; or</w:t>
      </w:r>
    </w:p>
    <w:p w:rsidR="002A22A4" w:rsidRPr="006E709F" w:rsidRDefault="002A22A4" w:rsidP="00A801D0">
      <w:pPr>
        <w:pStyle w:val="paragraph"/>
      </w:pPr>
      <w:r w:rsidRPr="006E709F">
        <w:tab/>
        <w:t>(d)</w:t>
      </w:r>
      <w:r w:rsidRPr="006E709F">
        <w:tab/>
        <w:t>in the context in which it is proposed to be used, suggests a connection with:</w:t>
      </w:r>
    </w:p>
    <w:p w:rsidR="002A22A4" w:rsidRPr="006E709F" w:rsidRDefault="002A22A4" w:rsidP="00A801D0">
      <w:pPr>
        <w:pStyle w:val="paragraphsub"/>
      </w:pPr>
      <w:r w:rsidRPr="006E709F">
        <w:tab/>
        <w:t>(i)</w:t>
      </w:r>
      <w:r w:rsidRPr="006E709F">
        <w:tab/>
        <w:t>the Crown; or</w:t>
      </w:r>
    </w:p>
    <w:p w:rsidR="002A22A4" w:rsidRPr="006E709F" w:rsidRDefault="002A22A4" w:rsidP="00A801D0">
      <w:pPr>
        <w:pStyle w:val="paragraphsub"/>
      </w:pPr>
      <w:r w:rsidRPr="006E709F">
        <w:tab/>
        <w:t>(ii)</w:t>
      </w:r>
      <w:r w:rsidRPr="006E709F">
        <w:tab/>
        <w:t>the Commonwealth Government; or</w:t>
      </w:r>
    </w:p>
    <w:p w:rsidR="002A22A4" w:rsidRPr="006E709F" w:rsidRDefault="002A22A4" w:rsidP="00A801D0">
      <w:pPr>
        <w:pStyle w:val="paragraphsub"/>
      </w:pPr>
      <w:r w:rsidRPr="006E709F">
        <w:tab/>
        <w:t>(iii)</w:t>
      </w:r>
      <w:r w:rsidRPr="006E709F">
        <w:tab/>
        <w:t>the Government of a State or Territory; or</w:t>
      </w:r>
    </w:p>
    <w:p w:rsidR="002A22A4" w:rsidRPr="006E709F" w:rsidRDefault="002A22A4" w:rsidP="00A801D0">
      <w:pPr>
        <w:pStyle w:val="paragraphsub"/>
      </w:pPr>
      <w:r w:rsidRPr="006E709F">
        <w:tab/>
        <w:t>(iv)</w:t>
      </w:r>
      <w:r w:rsidRPr="006E709F">
        <w:tab/>
        <w:t>a municipal or other local authority; or</w:t>
      </w:r>
    </w:p>
    <w:p w:rsidR="002A22A4" w:rsidRPr="006E709F" w:rsidRDefault="002A22A4" w:rsidP="00A801D0">
      <w:pPr>
        <w:pStyle w:val="paragraphsub"/>
      </w:pPr>
      <w:r w:rsidRPr="006E709F">
        <w:tab/>
        <w:t>(v)</w:t>
      </w:r>
      <w:r w:rsidRPr="006E709F">
        <w:tab/>
        <w:t>the Government of any other part of the Queen’s dominions, possessions or territories; or</w:t>
      </w:r>
    </w:p>
    <w:p w:rsidR="002A22A4" w:rsidRPr="006E709F" w:rsidRDefault="002A22A4" w:rsidP="00A801D0">
      <w:pPr>
        <w:pStyle w:val="paragraphsub"/>
      </w:pPr>
      <w:r w:rsidRPr="006E709F">
        <w:tab/>
        <w:t>(vi)</w:t>
      </w:r>
      <w:r w:rsidRPr="006E709F">
        <w:tab/>
        <w:t>a department, authority or instrumentality of the Commonwealth Government; or</w:t>
      </w:r>
    </w:p>
    <w:p w:rsidR="002A22A4" w:rsidRPr="006E709F" w:rsidRDefault="002A22A4" w:rsidP="00A801D0">
      <w:pPr>
        <w:pStyle w:val="paragraphsub"/>
      </w:pPr>
      <w:r w:rsidRPr="006E709F">
        <w:tab/>
        <w:t>(vii)</w:t>
      </w:r>
      <w:r w:rsidRPr="006E709F">
        <w:tab/>
        <w:t>a department, authority or instrumentality of the Government of a State or Territory; or</w:t>
      </w:r>
    </w:p>
    <w:p w:rsidR="002A22A4" w:rsidRPr="006E709F" w:rsidRDefault="002A22A4" w:rsidP="00A801D0">
      <w:pPr>
        <w:pStyle w:val="paragraphsub"/>
      </w:pPr>
      <w:r w:rsidRPr="006E709F">
        <w:tab/>
        <w:t>(viii)</w:t>
      </w:r>
      <w:r w:rsidRPr="006E709F">
        <w:tab/>
        <w:t>the government of a foreign country;</w:t>
      </w:r>
    </w:p>
    <w:p w:rsidR="002A22A4" w:rsidRPr="006E709F" w:rsidRDefault="002A22A4" w:rsidP="00A801D0">
      <w:pPr>
        <w:pStyle w:val="paragraph"/>
      </w:pPr>
      <w:r w:rsidRPr="006E709F">
        <w:tab/>
      </w:r>
      <w:r w:rsidRPr="006E709F">
        <w:tab/>
        <w:t>if that connection does not exist; or</w:t>
      </w:r>
    </w:p>
    <w:p w:rsidR="002A22A4" w:rsidRPr="006E709F" w:rsidRDefault="002A22A4" w:rsidP="00A801D0">
      <w:pPr>
        <w:pStyle w:val="paragraph"/>
      </w:pPr>
      <w:r w:rsidRPr="006E709F">
        <w:tab/>
        <w:t>(e)</w:t>
      </w:r>
      <w:r w:rsidRPr="006E709F">
        <w:tab/>
        <w:t>in the context in which it is proposed to be used, suggests a connection with:</w:t>
      </w:r>
    </w:p>
    <w:p w:rsidR="002A22A4" w:rsidRPr="006E709F" w:rsidRDefault="002A22A4" w:rsidP="00A801D0">
      <w:pPr>
        <w:pStyle w:val="paragraphsub"/>
      </w:pPr>
      <w:r w:rsidRPr="006E709F">
        <w:tab/>
        <w:t>(i)</w:t>
      </w:r>
      <w:r w:rsidRPr="006E709F">
        <w:tab/>
        <w:t>a member of the Royal Family; or</w:t>
      </w:r>
    </w:p>
    <w:p w:rsidR="002A22A4" w:rsidRPr="006E709F" w:rsidRDefault="002A22A4" w:rsidP="00A801D0">
      <w:pPr>
        <w:pStyle w:val="paragraphsub"/>
      </w:pPr>
      <w:r w:rsidRPr="006E709F">
        <w:tab/>
        <w:t>(ii)</w:t>
      </w:r>
      <w:r w:rsidRPr="006E709F">
        <w:tab/>
        <w:t>the receipt of Royal patronage; or</w:t>
      </w:r>
    </w:p>
    <w:p w:rsidR="002A22A4" w:rsidRPr="006E709F" w:rsidRDefault="002A22A4" w:rsidP="00A801D0">
      <w:pPr>
        <w:pStyle w:val="paragraphsub"/>
      </w:pPr>
      <w:r w:rsidRPr="006E709F">
        <w:tab/>
        <w:t>(iii)</w:t>
      </w:r>
      <w:r w:rsidRPr="006E709F">
        <w:tab/>
        <w:t>an ex</w:t>
      </w:r>
      <w:r w:rsidR="000C4237">
        <w:noBreakHyphen/>
      </w:r>
      <w:r w:rsidRPr="006E709F">
        <w:t>servicemen’s organisation; or</w:t>
      </w:r>
    </w:p>
    <w:p w:rsidR="002A22A4" w:rsidRPr="006E709F" w:rsidRDefault="002A22A4" w:rsidP="00A801D0">
      <w:pPr>
        <w:pStyle w:val="paragraphsub"/>
      </w:pPr>
      <w:r w:rsidRPr="006E709F">
        <w:tab/>
        <w:t>(iv)</w:t>
      </w:r>
      <w:r w:rsidRPr="006E709F">
        <w:tab/>
        <w:t xml:space="preserve">Sir Donald </w:t>
      </w:r>
      <w:r w:rsidR="00A83D26" w:rsidRPr="006E709F">
        <w:t>Bradman; or</w:t>
      </w:r>
    </w:p>
    <w:p w:rsidR="00A83D26" w:rsidRPr="006E709F" w:rsidRDefault="00A83D26" w:rsidP="00A801D0">
      <w:pPr>
        <w:pStyle w:val="paragraphsub"/>
      </w:pPr>
      <w:r w:rsidRPr="006E709F">
        <w:tab/>
        <w:t>(v)</w:t>
      </w:r>
      <w:r w:rsidRPr="006E709F">
        <w:tab/>
        <w:t>Mary MacKillop;</w:t>
      </w:r>
    </w:p>
    <w:p w:rsidR="002A22A4" w:rsidRPr="006E709F" w:rsidRDefault="002A22A4" w:rsidP="00A801D0">
      <w:pPr>
        <w:pStyle w:val="paragraph"/>
      </w:pPr>
      <w:r w:rsidRPr="006E709F">
        <w:tab/>
      </w:r>
      <w:r w:rsidRPr="006E709F">
        <w:tab/>
        <w:t>if that connection does not exist; or</w:t>
      </w:r>
    </w:p>
    <w:p w:rsidR="002A22A4" w:rsidRPr="006E709F" w:rsidRDefault="002A22A4" w:rsidP="00A801D0">
      <w:pPr>
        <w:pStyle w:val="paragraph"/>
      </w:pPr>
      <w:r w:rsidRPr="006E709F">
        <w:tab/>
        <w:t>(f)</w:t>
      </w:r>
      <w:r w:rsidRPr="006E709F">
        <w:tab/>
        <w:t>in the context in which it is proposed to be used, suggests that the members of an organisation are totally or partially incapacitated if those members are not so affected.</w:t>
      </w:r>
    </w:p>
    <w:p w:rsidR="002A22A4" w:rsidRPr="006E709F" w:rsidRDefault="002A22A4" w:rsidP="00042A1F">
      <w:pPr>
        <w:pStyle w:val="ItemHead"/>
      </w:pPr>
      <w:r w:rsidRPr="006E709F">
        <w:t>6204</w:t>
      </w:r>
      <w:r w:rsidR="009D0870" w:rsidRPr="006E709F">
        <w:t xml:space="preserve">  </w:t>
      </w:r>
    </w:p>
    <w:p w:rsidR="002A22A4" w:rsidRPr="006E709F" w:rsidRDefault="002A22A4" w:rsidP="00A801D0">
      <w:pPr>
        <w:pStyle w:val="subsection"/>
      </w:pPr>
      <w:r w:rsidRPr="006E709F">
        <w:tab/>
      </w:r>
      <w:r w:rsidRPr="006E709F">
        <w:tab/>
      </w:r>
      <w:r w:rsidR="00FF4176" w:rsidRPr="006E709F">
        <w:t>Paragraph 6</w:t>
      </w:r>
      <w:r w:rsidRPr="006E709F">
        <w:t>203(b) does not apply to</w:t>
      </w:r>
      <w:r w:rsidR="00875880" w:rsidRPr="006E709F">
        <w:t xml:space="preserve"> the following</w:t>
      </w:r>
      <w:r w:rsidRPr="006E709F">
        <w:t>:</w:t>
      </w:r>
    </w:p>
    <w:p w:rsidR="002A22A4" w:rsidRPr="006E709F" w:rsidRDefault="002A22A4" w:rsidP="00A801D0">
      <w:pPr>
        <w:pStyle w:val="paragraph"/>
      </w:pPr>
      <w:r w:rsidRPr="006E709F">
        <w:lastRenderedPageBreak/>
        <w:tab/>
        <w:t>(a)</w:t>
      </w:r>
      <w:r w:rsidRPr="006E709F">
        <w:tab/>
        <w:t>item</w:t>
      </w:r>
      <w:r w:rsidR="00DA13DE" w:rsidRPr="006E709F">
        <w:t> </w:t>
      </w:r>
      <w:r w:rsidRPr="006E709F">
        <w:t xml:space="preserve">6309, 6312 or 6318 of </w:t>
      </w:r>
      <w:r w:rsidR="00A801D0" w:rsidRPr="006E709F">
        <w:t>Part</w:t>
      </w:r>
      <w:r w:rsidR="00DA13DE" w:rsidRPr="006E709F">
        <w:t> </w:t>
      </w:r>
      <w:r w:rsidRPr="006E709F">
        <w:t xml:space="preserve">3 if a word </w:t>
      </w:r>
      <w:r w:rsidR="00875880" w:rsidRPr="006E709F">
        <w:t xml:space="preserve">or phrase </w:t>
      </w:r>
      <w:r w:rsidRPr="006E709F">
        <w:t>in any of those items must be included in the name of:</w:t>
      </w:r>
    </w:p>
    <w:p w:rsidR="002A22A4" w:rsidRPr="006E709F" w:rsidRDefault="002A22A4" w:rsidP="00A801D0">
      <w:pPr>
        <w:pStyle w:val="paragraphsub"/>
      </w:pPr>
      <w:r w:rsidRPr="006E709F">
        <w:tab/>
        <w:t>(i)</w:t>
      </w:r>
      <w:r w:rsidRPr="006E709F">
        <w:tab/>
        <w:t>a registrable Australian body; or</w:t>
      </w:r>
    </w:p>
    <w:p w:rsidR="002A22A4" w:rsidRPr="006E709F" w:rsidRDefault="002A22A4" w:rsidP="00A801D0">
      <w:pPr>
        <w:pStyle w:val="paragraphsub"/>
      </w:pPr>
      <w:r w:rsidRPr="006E709F">
        <w:tab/>
        <w:t>(ii)</w:t>
      </w:r>
      <w:r w:rsidRPr="006E709F">
        <w:tab/>
        <w:t>a registered Australian body;</w:t>
      </w:r>
    </w:p>
    <w:p w:rsidR="002A22A4" w:rsidRPr="006E709F" w:rsidRDefault="002A22A4" w:rsidP="00A801D0">
      <w:pPr>
        <w:pStyle w:val="paragraph"/>
      </w:pPr>
      <w:r w:rsidRPr="006E709F">
        <w:tab/>
      </w:r>
      <w:r w:rsidRPr="006E709F">
        <w:tab/>
        <w:t xml:space="preserve">because of the Act under which it is </w:t>
      </w:r>
      <w:r w:rsidR="00875880" w:rsidRPr="006E709F">
        <w:t>incorporated or registered;</w:t>
      </w:r>
    </w:p>
    <w:p w:rsidR="002A22A4" w:rsidRPr="006E709F" w:rsidRDefault="002A22A4" w:rsidP="00A801D0">
      <w:pPr>
        <w:pStyle w:val="paragraph"/>
      </w:pPr>
      <w:r w:rsidRPr="006E709F">
        <w:tab/>
        <w:t>(b)</w:t>
      </w:r>
      <w:r w:rsidRPr="006E709F">
        <w:tab/>
        <w:t>item</w:t>
      </w:r>
      <w:r w:rsidR="00DA13DE" w:rsidRPr="006E709F">
        <w:t> </w:t>
      </w:r>
      <w:r w:rsidRPr="006E709F">
        <w:t xml:space="preserve">6314 of </w:t>
      </w:r>
      <w:r w:rsidR="00A801D0" w:rsidRPr="006E709F">
        <w:t>Part</w:t>
      </w:r>
      <w:r w:rsidR="00DA13DE" w:rsidRPr="006E709F">
        <w:t> </w:t>
      </w:r>
      <w:r w:rsidRPr="006E709F">
        <w:t>3 if the word</w:t>
      </w:r>
      <w:r w:rsidR="00875880" w:rsidRPr="006E709F">
        <w:t xml:space="preserve"> in that item</w:t>
      </w:r>
      <w:r w:rsidRPr="006E709F">
        <w:t xml:space="preserve"> must be included in the name of:</w:t>
      </w:r>
    </w:p>
    <w:p w:rsidR="002A22A4" w:rsidRPr="006E709F" w:rsidRDefault="002A22A4" w:rsidP="00A801D0">
      <w:pPr>
        <w:pStyle w:val="paragraphsub"/>
      </w:pPr>
      <w:r w:rsidRPr="006E709F">
        <w:tab/>
        <w:t>(i)</w:t>
      </w:r>
      <w:r w:rsidRPr="006E709F">
        <w:tab/>
        <w:t>a registrable Australian body; or</w:t>
      </w:r>
    </w:p>
    <w:p w:rsidR="002A22A4" w:rsidRPr="006E709F" w:rsidRDefault="002A22A4" w:rsidP="00A801D0">
      <w:pPr>
        <w:pStyle w:val="paragraphsub"/>
      </w:pPr>
      <w:r w:rsidRPr="006E709F">
        <w:tab/>
        <w:t>(ii)</w:t>
      </w:r>
      <w:r w:rsidRPr="006E709F">
        <w:tab/>
        <w:t>a registered Australian body; or</w:t>
      </w:r>
    </w:p>
    <w:p w:rsidR="002A22A4" w:rsidRPr="006E709F" w:rsidRDefault="002A22A4" w:rsidP="00A801D0">
      <w:pPr>
        <w:pStyle w:val="paragraphsub"/>
      </w:pPr>
      <w:r w:rsidRPr="006E709F">
        <w:tab/>
        <w:t>(iii)</w:t>
      </w:r>
      <w:r w:rsidRPr="006E709F">
        <w:tab/>
        <w:t>a registered foreign company; or</w:t>
      </w:r>
    </w:p>
    <w:p w:rsidR="002A22A4" w:rsidRPr="006E709F" w:rsidRDefault="002A22A4" w:rsidP="00A801D0">
      <w:pPr>
        <w:pStyle w:val="paragraphsub"/>
      </w:pPr>
      <w:r w:rsidRPr="006E709F">
        <w:tab/>
        <w:t>(iv)</w:t>
      </w:r>
      <w:r w:rsidRPr="006E709F">
        <w:tab/>
        <w:t>a foreign company;</w:t>
      </w:r>
    </w:p>
    <w:p w:rsidR="002A22A4" w:rsidRPr="006E709F" w:rsidRDefault="002A22A4" w:rsidP="00A801D0">
      <w:pPr>
        <w:pStyle w:val="paragraph"/>
      </w:pPr>
      <w:r w:rsidRPr="006E709F">
        <w:tab/>
      </w:r>
      <w:r w:rsidRPr="006E709F">
        <w:tab/>
        <w:t>because of the Act under which it is incorporated or registered</w:t>
      </w:r>
      <w:r w:rsidR="00875880" w:rsidRPr="006E709F">
        <w:t>;</w:t>
      </w:r>
    </w:p>
    <w:p w:rsidR="00875880" w:rsidRPr="006E709F" w:rsidRDefault="00875880" w:rsidP="00875880">
      <w:pPr>
        <w:pStyle w:val="paragraph"/>
      </w:pPr>
      <w:r w:rsidRPr="006E709F">
        <w:tab/>
        <w:t>(c)</w:t>
      </w:r>
      <w:r w:rsidRPr="006E709F">
        <w:tab/>
        <w:t>item</w:t>
      </w:r>
      <w:r w:rsidR="00DA13DE" w:rsidRPr="006E709F">
        <w:t> </w:t>
      </w:r>
      <w:r w:rsidRPr="006E709F">
        <w:t>6316AA of Part</w:t>
      </w:r>
      <w:r w:rsidR="00DA13DE" w:rsidRPr="006E709F">
        <w:t> </w:t>
      </w:r>
      <w:r w:rsidRPr="006E709F">
        <w:t>3 if the phrase in that item is included in the name of a foreign passport fund in relation to which a notice of intention has been lodged under section</w:t>
      </w:r>
      <w:r w:rsidR="00DA13DE" w:rsidRPr="006E709F">
        <w:t> </w:t>
      </w:r>
      <w:r w:rsidRPr="006E709F">
        <w:t>1213 of the Act (which deals with notices of intention to offer interests in a foreign passport fund).</w:t>
      </w:r>
    </w:p>
    <w:p w:rsidR="002A22A4" w:rsidRPr="006E709F" w:rsidRDefault="002A22A4" w:rsidP="00042A1F">
      <w:pPr>
        <w:pStyle w:val="ItemHead"/>
      </w:pPr>
      <w:r w:rsidRPr="006E709F">
        <w:t>6205</w:t>
      </w:r>
      <w:r w:rsidR="009D0870" w:rsidRPr="006E709F">
        <w:t xml:space="preserve">  </w:t>
      </w:r>
    </w:p>
    <w:p w:rsidR="002A22A4" w:rsidRPr="006E709F" w:rsidRDefault="002A22A4" w:rsidP="00A801D0">
      <w:pPr>
        <w:pStyle w:val="subsection"/>
      </w:pPr>
      <w:r w:rsidRPr="006E709F">
        <w:tab/>
      </w:r>
      <w:r w:rsidRPr="006E709F">
        <w:tab/>
      </w:r>
      <w:r w:rsidR="00FF4176" w:rsidRPr="006E709F">
        <w:t>Paragraph 6</w:t>
      </w:r>
      <w:r w:rsidRPr="006E709F">
        <w:t>203(c) does not apply if ASIC is satisfied that the word is used in a geographical context.</w:t>
      </w:r>
    </w:p>
    <w:p w:rsidR="002A22A4" w:rsidRPr="006E709F" w:rsidRDefault="00A801D0" w:rsidP="00A801D0">
      <w:pPr>
        <w:pStyle w:val="ActHead2"/>
        <w:pageBreakBefore/>
      </w:pPr>
      <w:bookmarkStart w:id="11" w:name="_Toc170547833"/>
      <w:r w:rsidRPr="000C4237">
        <w:rPr>
          <w:rStyle w:val="CharPartNo"/>
        </w:rPr>
        <w:lastRenderedPageBreak/>
        <w:t>Part</w:t>
      </w:r>
      <w:r w:rsidR="00DA13DE" w:rsidRPr="000C4237">
        <w:rPr>
          <w:rStyle w:val="CharPartNo"/>
        </w:rPr>
        <w:t> </w:t>
      </w:r>
      <w:r w:rsidR="002A22A4" w:rsidRPr="000C4237">
        <w:rPr>
          <w:rStyle w:val="CharPartNo"/>
        </w:rPr>
        <w:t>3</w:t>
      </w:r>
      <w:r w:rsidRPr="006E709F">
        <w:t>—</w:t>
      </w:r>
      <w:r w:rsidR="002A22A4" w:rsidRPr="000C4237">
        <w:rPr>
          <w:rStyle w:val="CharPartText"/>
        </w:rPr>
        <w:t>Restricted words and phrases</w:t>
      </w:r>
      <w:bookmarkEnd w:id="11"/>
    </w:p>
    <w:p w:rsidR="00A801D0" w:rsidRPr="006E709F"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98"/>
        <w:gridCol w:w="7231"/>
      </w:tblGrid>
      <w:tr w:rsidR="002A22A4" w:rsidRPr="006E709F" w:rsidTr="00E118FA">
        <w:trPr>
          <w:tblHeader/>
        </w:trPr>
        <w:tc>
          <w:tcPr>
            <w:tcW w:w="761" w:type="pct"/>
            <w:tcBorders>
              <w:top w:val="single" w:sz="12" w:space="0" w:color="auto"/>
              <w:bottom w:val="single" w:sz="6" w:space="0" w:color="auto"/>
            </w:tcBorders>
            <w:shd w:val="clear" w:color="auto" w:fill="auto"/>
          </w:tcPr>
          <w:p w:rsidR="002A22A4" w:rsidRPr="006E709F" w:rsidRDefault="002A22A4" w:rsidP="00A801D0">
            <w:pPr>
              <w:pStyle w:val="TableHeading"/>
            </w:pPr>
            <w:r w:rsidRPr="006E709F">
              <w:t>Column 1</w:t>
            </w:r>
          </w:p>
        </w:tc>
        <w:tc>
          <w:tcPr>
            <w:tcW w:w="4239" w:type="pct"/>
            <w:tcBorders>
              <w:top w:val="single" w:sz="12" w:space="0" w:color="auto"/>
              <w:bottom w:val="single" w:sz="6" w:space="0" w:color="auto"/>
            </w:tcBorders>
            <w:shd w:val="clear" w:color="auto" w:fill="auto"/>
          </w:tcPr>
          <w:p w:rsidR="002A22A4" w:rsidRPr="006E709F" w:rsidRDefault="002A22A4" w:rsidP="00A801D0">
            <w:pPr>
              <w:pStyle w:val="TableHeading"/>
            </w:pPr>
            <w:r w:rsidRPr="006E709F">
              <w:t>Column 2</w:t>
            </w:r>
          </w:p>
        </w:tc>
      </w:tr>
      <w:tr w:rsidR="002A22A4" w:rsidRPr="006E709F" w:rsidTr="00E118FA">
        <w:trPr>
          <w:tblHeader/>
        </w:trPr>
        <w:tc>
          <w:tcPr>
            <w:tcW w:w="761" w:type="pct"/>
            <w:tcBorders>
              <w:top w:val="single" w:sz="6" w:space="0" w:color="auto"/>
              <w:bottom w:val="single" w:sz="12" w:space="0" w:color="auto"/>
            </w:tcBorders>
            <w:shd w:val="clear" w:color="auto" w:fill="auto"/>
          </w:tcPr>
          <w:p w:rsidR="002A22A4" w:rsidRPr="006E709F" w:rsidRDefault="002A22A4" w:rsidP="005133DE">
            <w:pPr>
              <w:pStyle w:val="TableHeading"/>
            </w:pPr>
            <w:r w:rsidRPr="006E709F">
              <w:t>Item</w:t>
            </w:r>
          </w:p>
        </w:tc>
        <w:tc>
          <w:tcPr>
            <w:tcW w:w="4239" w:type="pct"/>
            <w:tcBorders>
              <w:top w:val="single" w:sz="6" w:space="0" w:color="auto"/>
              <w:bottom w:val="single" w:sz="12" w:space="0" w:color="auto"/>
            </w:tcBorders>
            <w:shd w:val="clear" w:color="auto" w:fill="auto"/>
          </w:tcPr>
          <w:p w:rsidR="002A22A4" w:rsidRPr="006E709F" w:rsidRDefault="002A22A4" w:rsidP="005133DE">
            <w:pPr>
              <w:pStyle w:val="TableHeading"/>
            </w:pPr>
            <w:r w:rsidRPr="006E709F">
              <w:t>Word or phrase</w:t>
            </w:r>
          </w:p>
        </w:tc>
      </w:tr>
      <w:tr w:rsidR="00F67947" w:rsidRPr="006E709F" w:rsidTr="00E118FA">
        <w:tc>
          <w:tcPr>
            <w:tcW w:w="761" w:type="pct"/>
            <w:tcBorders>
              <w:top w:val="single" w:sz="12" w:space="0" w:color="auto"/>
              <w:bottom w:val="single" w:sz="4" w:space="0" w:color="auto"/>
            </w:tcBorders>
            <w:shd w:val="clear" w:color="auto" w:fill="auto"/>
          </w:tcPr>
          <w:p w:rsidR="00F67947" w:rsidRPr="006E709F" w:rsidRDefault="00F67947" w:rsidP="004E434B">
            <w:pPr>
              <w:pStyle w:val="Tabletext"/>
            </w:pPr>
            <w:r w:rsidRPr="006E709F">
              <w:t>6301A</w:t>
            </w:r>
          </w:p>
        </w:tc>
        <w:tc>
          <w:tcPr>
            <w:tcW w:w="4239" w:type="pct"/>
            <w:tcBorders>
              <w:top w:val="single" w:sz="12" w:space="0" w:color="auto"/>
              <w:bottom w:val="single" w:sz="4" w:space="0" w:color="auto"/>
            </w:tcBorders>
            <w:shd w:val="clear" w:color="auto" w:fill="auto"/>
          </w:tcPr>
          <w:p w:rsidR="00F67947" w:rsidRPr="006E709F" w:rsidRDefault="00F67947" w:rsidP="004E434B">
            <w:pPr>
              <w:pStyle w:val="Tabletext"/>
            </w:pPr>
            <w:r w:rsidRPr="006E709F">
              <w:t>Aboriginal and Torres Strait Islander Corporation</w:t>
            </w:r>
          </w:p>
        </w:tc>
      </w:tr>
      <w:tr w:rsidR="00F67947" w:rsidRPr="006E709F" w:rsidTr="00E118FA">
        <w:tc>
          <w:tcPr>
            <w:tcW w:w="761" w:type="pct"/>
            <w:tcBorders>
              <w:top w:val="single" w:sz="4" w:space="0" w:color="auto"/>
            </w:tcBorders>
            <w:shd w:val="clear" w:color="auto" w:fill="auto"/>
          </w:tcPr>
          <w:p w:rsidR="00F67947" w:rsidRPr="006E709F" w:rsidRDefault="00F67947" w:rsidP="00A801D0">
            <w:pPr>
              <w:pStyle w:val="Tabletext"/>
            </w:pPr>
            <w:r w:rsidRPr="006E709F">
              <w:t>6301</w:t>
            </w:r>
          </w:p>
        </w:tc>
        <w:tc>
          <w:tcPr>
            <w:tcW w:w="4239" w:type="pct"/>
            <w:tcBorders>
              <w:top w:val="single" w:sz="4" w:space="0" w:color="auto"/>
            </w:tcBorders>
            <w:shd w:val="clear" w:color="auto" w:fill="auto"/>
          </w:tcPr>
          <w:p w:rsidR="00F67947" w:rsidRPr="006E709F" w:rsidRDefault="00F67947" w:rsidP="00A801D0">
            <w:pPr>
              <w:pStyle w:val="Tabletext"/>
            </w:pPr>
            <w:r w:rsidRPr="006E709F">
              <w:t>Aboriginal Corporation</w:t>
            </w:r>
          </w:p>
        </w:tc>
      </w:tr>
      <w:tr w:rsidR="00F67947" w:rsidRPr="006E709F" w:rsidTr="00E118FA">
        <w:tc>
          <w:tcPr>
            <w:tcW w:w="761" w:type="pct"/>
            <w:shd w:val="clear" w:color="auto" w:fill="auto"/>
          </w:tcPr>
          <w:p w:rsidR="00F67947" w:rsidRPr="006E709F" w:rsidRDefault="00F67947" w:rsidP="00A801D0">
            <w:pPr>
              <w:pStyle w:val="Tabletext"/>
            </w:pPr>
            <w:r w:rsidRPr="006E709F">
              <w:t>6302</w:t>
            </w:r>
          </w:p>
        </w:tc>
        <w:tc>
          <w:tcPr>
            <w:tcW w:w="4239" w:type="pct"/>
            <w:shd w:val="clear" w:color="auto" w:fill="auto"/>
          </w:tcPr>
          <w:p w:rsidR="00F67947" w:rsidRPr="006E709F" w:rsidRDefault="00F67947" w:rsidP="00A801D0">
            <w:pPr>
              <w:pStyle w:val="Tabletext"/>
            </w:pPr>
            <w:r w:rsidRPr="006E709F">
              <w:t>Aboriginal Council</w:t>
            </w:r>
          </w:p>
        </w:tc>
      </w:tr>
      <w:tr w:rsidR="00F67947" w:rsidRPr="006E709F" w:rsidTr="00E118FA">
        <w:tc>
          <w:tcPr>
            <w:tcW w:w="761" w:type="pct"/>
            <w:shd w:val="clear" w:color="auto" w:fill="auto"/>
          </w:tcPr>
          <w:p w:rsidR="00F67947" w:rsidRPr="006E709F" w:rsidRDefault="00F67947" w:rsidP="00A801D0">
            <w:pPr>
              <w:pStyle w:val="Tabletext"/>
            </w:pPr>
            <w:r w:rsidRPr="006E709F">
              <w:t>6304</w:t>
            </w:r>
          </w:p>
        </w:tc>
        <w:tc>
          <w:tcPr>
            <w:tcW w:w="4239" w:type="pct"/>
            <w:shd w:val="clear" w:color="auto" w:fill="auto"/>
          </w:tcPr>
          <w:p w:rsidR="00F67947" w:rsidRPr="006E709F" w:rsidRDefault="00F67947" w:rsidP="00A801D0">
            <w:pPr>
              <w:pStyle w:val="Tabletext"/>
            </w:pPr>
            <w:r w:rsidRPr="006E709F">
              <w:t>Chamber of Commerce</w:t>
            </w:r>
          </w:p>
        </w:tc>
      </w:tr>
      <w:tr w:rsidR="00F67947" w:rsidRPr="006E709F" w:rsidTr="00E118FA">
        <w:tc>
          <w:tcPr>
            <w:tcW w:w="761" w:type="pct"/>
            <w:shd w:val="clear" w:color="auto" w:fill="auto"/>
          </w:tcPr>
          <w:p w:rsidR="00F67947" w:rsidRPr="006E709F" w:rsidRDefault="00F67947" w:rsidP="00A801D0">
            <w:pPr>
              <w:pStyle w:val="Tabletext"/>
            </w:pPr>
            <w:r w:rsidRPr="006E709F">
              <w:t>6305</w:t>
            </w:r>
          </w:p>
        </w:tc>
        <w:tc>
          <w:tcPr>
            <w:tcW w:w="4239" w:type="pct"/>
            <w:shd w:val="clear" w:color="auto" w:fill="auto"/>
          </w:tcPr>
          <w:p w:rsidR="00F67947" w:rsidRPr="006E709F" w:rsidRDefault="00F67947" w:rsidP="00A801D0">
            <w:pPr>
              <w:pStyle w:val="Tabletext"/>
            </w:pPr>
            <w:r w:rsidRPr="006E709F">
              <w:t>Chamber of Manufactures</w:t>
            </w:r>
          </w:p>
        </w:tc>
      </w:tr>
      <w:tr w:rsidR="00F67947" w:rsidRPr="006E709F" w:rsidTr="00E118FA">
        <w:tc>
          <w:tcPr>
            <w:tcW w:w="761" w:type="pct"/>
            <w:shd w:val="clear" w:color="auto" w:fill="auto"/>
          </w:tcPr>
          <w:p w:rsidR="00F67947" w:rsidRPr="006E709F" w:rsidRDefault="00F67947" w:rsidP="00A801D0">
            <w:pPr>
              <w:pStyle w:val="Tabletext"/>
            </w:pPr>
            <w:r w:rsidRPr="006E709F">
              <w:t>6306</w:t>
            </w:r>
          </w:p>
        </w:tc>
        <w:tc>
          <w:tcPr>
            <w:tcW w:w="4239" w:type="pct"/>
            <w:shd w:val="clear" w:color="auto" w:fill="auto"/>
          </w:tcPr>
          <w:p w:rsidR="00F67947" w:rsidRPr="006E709F" w:rsidRDefault="00F67947" w:rsidP="00A801D0">
            <w:pPr>
              <w:pStyle w:val="Tabletext"/>
            </w:pPr>
            <w:r w:rsidRPr="006E709F">
              <w:t>Chartered</w:t>
            </w:r>
          </w:p>
        </w:tc>
      </w:tr>
      <w:tr w:rsidR="00F67947" w:rsidRPr="006E709F" w:rsidTr="00E118FA">
        <w:tc>
          <w:tcPr>
            <w:tcW w:w="761" w:type="pct"/>
            <w:shd w:val="clear" w:color="auto" w:fill="auto"/>
          </w:tcPr>
          <w:p w:rsidR="00F67947" w:rsidRPr="006E709F" w:rsidRDefault="00F67947" w:rsidP="00A801D0">
            <w:pPr>
              <w:pStyle w:val="Tabletext"/>
            </w:pPr>
            <w:r w:rsidRPr="006E709F">
              <w:t>6308</w:t>
            </w:r>
          </w:p>
        </w:tc>
        <w:tc>
          <w:tcPr>
            <w:tcW w:w="4239" w:type="pct"/>
            <w:shd w:val="clear" w:color="auto" w:fill="auto"/>
          </w:tcPr>
          <w:p w:rsidR="00F67947" w:rsidRPr="006E709F" w:rsidRDefault="00F67947" w:rsidP="00A801D0">
            <w:pPr>
              <w:pStyle w:val="Tabletext"/>
            </w:pPr>
            <w:r w:rsidRPr="006E709F">
              <w:t>Consumer</w:t>
            </w:r>
          </w:p>
        </w:tc>
      </w:tr>
      <w:tr w:rsidR="00F67947" w:rsidRPr="006E709F" w:rsidTr="00E118FA">
        <w:tc>
          <w:tcPr>
            <w:tcW w:w="761" w:type="pct"/>
            <w:shd w:val="clear" w:color="auto" w:fill="auto"/>
          </w:tcPr>
          <w:p w:rsidR="00F67947" w:rsidRPr="006E709F" w:rsidRDefault="00F67947" w:rsidP="00A801D0">
            <w:pPr>
              <w:pStyle w:val="Tabletext"/>
            </w:pPr>
            <w:r w:rsidRPr="006E709F">
              <w:t>6309</w:t>
            </w:r>
          </w:p>
        </w:tc>
        <w:tc>
          <w:tcPr>
            <w:tcW w:w="4239" w:type="pct"/>
            <w:shd w:val="clear" w:color="auto" w:fill="auto"/>
          </w:tcPr>
          <w:p w:rsidR="00F67947" w:rsidRPr="006E709F" w:rsidRDefault="00F67947" w:rsidP="00A801D0">
            <w:pPr>
              <w:pStyle w:val="Tabletext"/>
            </w:pPr>
            <w:r w:rsidRPr="006E709F">
              <w:t>Co</w:t>
            </w:r>
            <w:r w:rsidR="000C4237">
              <w:noBreakHyphen/>
            </w:r>
            <w:r w:rsidRPr="006E709F">
              <w:t>operative</w:t>
            </w:r>
          </w:p>
        </w:tc>
      </w:tr>
      <w:tr w:rsidR="00F67947" w:rsidRPr="006E709F" w:rsidTr="00E118FA">
        <w:tc>
          <w:tcPr>
            <w:tcW w:w="761" w:type="pct"/>
            <w:shd w:val="clear" w:color="auto" w:fill="auto"/>
          </w:tcPr>
          <w:p w:rsidR="00F67947" w:rsidRPr="006E709F" w:rsidRDefault="00F67947" w:rsidP="00A801D0">
            <w:pPr>
              <w:pStyle w:val="Tabletext"/>
            </w:pPr>
            <w:r w:rsidRPr="006E709F">
              <w:t>6311</w:t>
            </w:r>
          </w:p>
        </w:tc>
        <w:tc>
          <w:tcPr>
            <w:tcW w:w="4239" w:type="pct"/>
            <w:shd w:val="clear" w:color="auto" w:fill="auto"/>
          </w:tcPr>
          <w:p w:rsidR="00F67947" w:rsidRPr="006E709F" w:rsidRDefault="00F67947" w:rsidP="00A801D0">
            <w:pPr>
              <w:pStyle w:val="Tabletext"/>
            </w:pPr>
            <w:r w:rsidRPr="006E709F">
              <w:t>Executor</w:t>
            </w:r>
          </w:p>
        </w:tc>
      </w:tr>
      <w:tr w:rsidR="00F67947" w:rsidRPr="006E709F" w:rsidTr="00E118FA">
        <w:tc>
          <w:tcPr>
            <w:tcW w:w="761" w:type="pct"/>
            <w:shd w:val="clear" w:color="auto" w:fill="auto"/>
          </w:tcPr>
          <w:p w:rsidR="00F67947" w:rsidRPr="006E709F" w:rsidRDefault="00F67947" w:rsidP="00A801D0">
            <w:pPr>
              <w:pStyle w:val="Tabletext"/>
            </w:pPr>
            <w:r w:rsidRPr="006E709F">
              <w:t>6312</w:t>
            </w:r>
          </w:p>
        </w:tc>
        <w:tc>
          <w:tcPr>
            <w:tcW w:w="4239" w:type="pct"/>
            <w:shd w:val="clear" w:color="auto" w:fill="auto"/>
          </w:tcPr>
          <w:p w:rsidR="00F67947" w:rsidRPr="006E709F" w:rsidRDefault="00F67947" w:rsidP="00A801D0">
            <w:pPr>
              <w:pStyle w:val="Tabletext"/>
            </w:pPr>
            <w:r w:rsidRPr="006E709F">
              <w:t>Friendly Society (other than in relation to the conduct of a financial business)</w:t>
            </w:r>
          </w:p>
        </w:tc>
      </w:tr>
      <w:tr w:rsidR="00F67947" w:rsidRPr="006E709F" w:rsidTr="00E118FA">
        <w:tc>
          <w:tcPr>
            <w:tcW w:w="761" w:type="pct"/>
            <w:shd w:val="clear" w:color="auto" w:fill="auto"/>
          </w:tcPr>
          <w:p w:rsidR="00F67947" w:rsidRPr="006E709F" w:rsidRDefault="00F67947" w:rsidP="00A801D0">
            <w:pPr>
              <w:pStyle w:val="Tabletext"/>
            </w:pPr>
            <w:r w:rsidRPr="006E709F">
              <w:t>6312A</w:t>
            </w:r>
          </w:p>
        </w:tc>
        <w:tc>
          <w:tcPr>
            <w:tcW w:w="4239" w:type="pct"/>
            <w:shd w:val="clear" w:color="auto" w:fill="auto"/>
          </w:tcPr>
          <w:p w:rsidR="00F67947" w:rsidRPr="006E709F" w:rsidRDefault="00F67947" w:rsidP="00A801D0">
            <w:pPr>
              <w:pStyle w:val="Tabletext"/>
            </w:pPr>
            <w:r w:rsidRPr="006E709F">
              <w:t>GST</w:t>
            </w:r>
          </w:p>
        </w:tc>
      </w:tr>
      <w:tr w:rsidR="00F67947" w:rsidRPr="006E709F" w:rsidTr="00E118FA">
        <w:tc>
          <w:tcPr>
            <w:tcW w:w="761" w:type="pct"/>
            <w:shd w:val="clear" w:color="auto" w:fill="auto"/>
          </w:tcPr>
          <w:p w:rsidR="00F67947" w:rsidRPr="006E709F" w:rsidRDefault="00F67947" w:rsidP="00A801D0">
            <w:pPr>
              <w:pStyle w:val="Tabletext"/>
            </w:pPr>
            <w:r w:rsidRPr="006E709F">
              <w:t>6312B</w:t>
            </w:r>
          </w:p>
        </w:tc>
        <w:tc>
          <w:tcPr>
            <w:tcW w:w="4239" w:type="pct"/>
            <w:shd w:val="clear" w:color="auto" w:fill="auto"/>
          </w:tcPr>
          <w:p w:rsidR="00F67947" w:rsidRPr="006E709F" w:rsidRDefault="00F67947" w:rsidP="00A801D0">
            <w:pPr>
              <w:pStyle w:val="Tabletext"/>
            </w:pPr>
            <w:r w:rsidRPr="006E709F">
              <w:t>G.S.T.</w:t>
            </w:r>
          </w:p>
        </w:tc>
      </w:tr>
      <w:tr w:rsidR="00F67947" w:rsidRPr="006E709F" w:rsidTr="00E118FA">
        <w:tc>
          <w:tcPr>
            <w:tcW w:w="761" w:type="pct"/>
            <w:shd w:val="clear" w:color="auto" w:fill="auto"/>
          </w:tcPr>
          <w:p w:rsidR="00F67947" w:rsidRPr="006E709F" w:rsidRDefault="00F67947" w:rsidP="00A801D0">
            <w:pPr>
              <w:pStyle w:val="Tabletext"/>
            </w:pPr>
            <w:r w:rsidRPr="006E709F">
              <w:t>6313</w:t>
            </w:r>
          </w:p>
        </w:tc>
        <w:tc>
          <w:tcPr>
            <w:tcW w:w="4239" w:type="pct"/>
            <w:shd w:val="clear" w:color="auto" w:fill="auto"/>
          </w:tcPr>
          <w:p w:rsidR="00F67947" w:rsidRPr="006E709F" w:rsidRDefault="00F67947" w:rsidP="00A801D0">
            <w:pPr>
              <w:pStyle w:val="Tabletext"/>
            </w:pPr>
            <w:r w:rsidRPr="006E709F">
              <w:t>Guarantee</w:t>
            </w:r>
          </w:p>
        </w:tc>
      </w:tr>
      <w:tr w:rsidR="00F67947" w:rsidRPr="006E709F" w:rsidTr="00E118FA">
        <w:tc>
          <w:tcPr>
            <w:tcW w:w="761" w:type="pct"/>
            <w:shd w:val="clear" w:color="auto" w:fill="auto"/>
          </w:tcPr>
          <w:p w:rsidR="00F67947" w:rsidRPr="006E709F" w:rsidRDefault="00F67947" w:rsidP="00A801D0">
            <w:pPr>
              <w:pStyle w:val="Tabletext"/>
            </w:pPr>
            <w:r w:rsidRPr="006E709F">
              <w:t>6314</w:t>
            </w:r>
          </w:p>
        </w:tc>
        <w:tc>
          <w:tcPr>
            <w:tcW w:w="4239" w:type="pct"/>
            <w:shd w:val="clear" w:color="auto" w:fill="auto"/>
          </w:tcPr>
          <w:p w:rsidR="00F67947" w:rsidRPr="006E709F" w:rsidRDefault="00F67947" w:rsidP="00A801D0">
            <w:pPr>
              <w:pStyle w:val="Tabletext"/>
            </w:pPr>
            <w:r w:rsidRPr="006E709F">
              <w:t>Incorporated</w:t>
            </w:r>
          </w:p>
        </w:tc>
      </w:tr>
      <w:tr w:rsidR="003D77A1" w:rsidRPr="006E709F" w:rsidTr="00E118FA">
        <w:tc>
          <w:tcPr>
            <w:tcW w:w="761" w:type="pct"/>
            <w:shd w:val="clear" w:color="auto" w:fill="auto"/>
          </w:tcPr>
          <w:p w:rsidR="003D77A1" w:rsidRPr="006E709F" w:rsidRDefault="003D77A1" w:rsidP="00A801D0">
            <w:pPr>
              <w:pStyle w:val="Tabletext"/>
            </w:pPr>
            <w:r w:rsidRPr="006E709F">
              <w:t>6315</w:t>
            </w:r>
          </w:p>
        </w:tc>
        <w:tc>
          <w:tcPr>
            <w:tcW w:w="4239" w:type="pct"/>
            <w:shd w:val="clear" w:color="auto" w:fill="auto"/>
          </w:tcPr>
          <w:p w:rsidR="003D77A1" w:rsidRPr="006E709F" w:rsidRDefault="003D77A1" w:rsidP="00A801D0">
            <w:pPr>
              <w:pStyle w:val="Tabletext"/>
            </w:pPr>
            <w:r w:rsidRPr="006E709F">
              <w:t>Indigenous Corporation</w:t>
            </w:r>
          </w:p>
        </w:tc>
      </w:tr>
      <w:tr w:rsidR="003D77A1" w:rsidRPr="006E709F" w:rsidTr="00E118FA">
        <w:tc>
          <w:tcPr>
            <w:tcW w:w="761" w:type="pct"/>
            <w:shd w:val="clear" w:color="auto" w:fill="auto"/>
          </w:tcPr>
          <w:p w:rsidR="003D77A1" w:rsidRPr="006E709F" w:rsidRDefault="003D77A1" w:rsidP="00A801D0">
            <w:pPr>
              <w:pStyle w:val="Tabletext"/>
            </w:pPr>
            <w:r w:rsidRPr="006E709F">
              <w:t>6316</w:t>
            </w:r>
          </w:p>
        </w:tc>
        <w:tc>
          <w:tcPr>
            <w:tcW w:w="4239" w:type="pct"/>
            <w:shd w:val="clear" w:color="auto" w:fill="auto"/>
          </w:tcPr>
          <w:p w:rsidR="003D77A1" w:rsidRPr="006E709F" w:rsidRDefault="003D77A1" w:rsidP="00A801D0">
            <w:pPr>
              <w:pStyle w:val="Tabletext"/>
            </w:pPr>
            <w:r w:rsidRPr="006E709F">
              <w:t>Made in Australia</w:t>
            </w:r>
          </w:p>
        </w:tc>
      </w:tr>
      <w:tr w:rsidR="003D77A1" w:rsidRPr="006E709F" w:rsidTr="00E118FA">
        <w:tc>
          <w:tcPr>
            <w:tcW w:w="761" w:type="pct"/>
            <w:shd w:val="clear" w:color="auto" w:fill="auto"/>
          </w:tcPr>
          <w:p w:rsidR="003D77A1" w:rsidRPr="006E709F" w:rsidRDefault="003D77A1" w:rsidP="00A801D0">
            <w:pPr>
              <w:pStyle w:val="Tabletext"/>
            </w:pPr>
            <w:r w:rsidRPr="006E709F">
              <w:t>6316AA</w:t>
            </w:r>
          </w:p>
        </w:tc>
        <w:tc>
          <w:tcPr>
            <w:tcW w:w="4239" w:type="pct"/>
            <w:shd w:val="clear" w:color="auto" w:fill="auto"/>
          </w:tcPr>
          <w:p w:rsidR="003D77A1" w:rsidRPr="006E709F" w:rsidRDefault="003D77A1" w:rsidP="00A801D0">
            <w:pPr>
              <w:pStyle w:val="Tabletext"/>
            </w:pPr>
            <w:r w:rsidRPr="006E709F">
              <w:t>passport fund</w:t>
            </w:r>
          </w:p>
        </w:tc>
      </w:tr>
      <w:tr w:rsidR="003D77A1" w:rsidRPr="006E709F" w:rsidTr="00E118FA">
        <w:tc>
          <w:tcPr>
            <w:tcW w:w="761" w:type="pct"/>
            <w:shd w:val="clear" w:color="auto" w:fill="auto"/>
          </w:tcPr>
          <w:p w:rsidR="003D77A1" w:rsidRPr="006E709F" w:rsidRDefault="003D77A1" w:rsidP="00A801D0">
            <w:pPr>
              <w:pStyle w:val="Tabletext"/>
            </w:pPr>
            <w:r w:rsidRPr="006E709F">
              <w:t>6316A</w:t>
            </w:r>
          </w:p>
        </w:tc>
        <w:tc>
          <w:tcPr>
            <w:tcW w:w="4239" w:type="pct"/>
            <w:shd w:val="clear" w:color="auto" w:fill="auto"/>
          </w:tcPr>
          <w:p w:rsidR="003D77A1" w:rsidRPr="006E709F" w:rsidRDefault="003D77A1" w:rsidP="00A801D0">
            <w:pPr>
              <w:pStyle w:val="Tabletext"/>
            </w:pPr>
            <w:r w:rsidRPr="006E709F">
              <w:t>police</w:t>
            </w:r>
          </w:p>
        </w:tc>
      </w:tr>
      <w:tr w:rsidR="003D77A1" w:rsidRPr="006E709F" w:rsidTr="00E118FA">
        <w:tc>
          <w:tcPr>
            <w:tcW w:w="761" w:type="pct"/>
            <w:shd w:val="clear" w:color="auto" w:fill="auto"/>
          </w:tcPr>
          <w:p w:rsidR="003D77A1" w:rsidRPr="006E709F" w:rsidRDefault="003D77A1" w:rsidP="00A801D0">
            <w:pPr>
              <w:pStyle w:val="Tabletext"/>
            </w:pPr>
            <w:r w:rsidRPr="006E709F">
              <w:t>6316B</w:t>
            </w:r>
          </w:p>
        </w:tc>
        <w:tc>
          <w:tcPr>
            <w:tcW w:w="4239" w:type="pct"/>
            <w:shd w:val="clear" w:color="auto" w:fill="auto"/>
          </w:tcPr>
          <w:p w:rsidR="003D77A1" w:rsidRPr="006E709F" w:rsidRDefault="003D77A1" w:rsidP="00A801D0">
            <w:pPr>
              <w:pStyle w:val="Tabletext"/>
            </w:pPr>
            <w:r w:rsidRPr="006E709F">
              <w:t>policing</w:t>
            </w:r>
          </w:p>
        </w:tc>
      </w:tr>
      <w:tr w:rsidR="003D77A1" w:rsidRPr="006E709F" w:rsidTr="00E118FA">
        <w:tc>
          <w:tcPr>
            <w:tcW w:w="761" w:type="pct"/>
            <w:shd w:val="clear" w:color="auto" w:fill="auto"/>
          </w:tcPr>
          <w:p w:rsidR="003D77A1" w:rsidRPr="006E709F" w:rsidRDefault="003D77A1" w:rsidP="00A801D0">
            <w:pPr>
              <w:pStyle w:val="Tabletext"/>
            </w:pPr>
            <w:r w:rsidRPr="006E709F">
              <w:t>6317</w:t>
            </w:r>
          </w:p>
        </w:tc>
        <w:tc>
          <w:tcPr>
            <w:tcW w:w="4239" w:type="pct"/>
            <w:shd w:val="clear" w:color="auto" w:fill="auto"/>
          </w:tcPr>
          <w:p w:rsidR="003D77A1" w:rsidRPr="006E709F" w:rsidRDefault="003D77A1" w:rsidP="00A801D0">
            <w:pPr>
              <w:pStyle w:val="Tabletext"/>
            </w:pPr>
            <w:r w:rsidRPr="006E709F">
              <w:t>R.S.L.</w:t>
            </w:r>
          </w:p>
        </w:tc>
      </w:tr>
      <w:tr w:rsidR="003D77A1" w:rsidRPr="006E709F" w:rsidTr="00E118FA">
        <w:tc>
          <w:tcPr>
            <w:tcW w:w="761" w:type="pct"/>
            <w:shd w:val="clear" w:color="auto" w:fill="auto"/>
          </w:tcPr>
          <w:p w:rsidR="003D77A1" w:rsidRPr="006E709F" w:rsidRDefault="003D77A1" w:rsidP="00A801D0">
            <w:pPr>
              <w:pStyle w:val="Tabletext"/>
            </w:pPr>
            <w:r w:rsidRPr="006E709F">
              <w:t>6317A</w:t>
            </w:r>
          </w:p>
        </w:tc>
        <w:tc>
          <w:tcPr>
            <w:tcW w:w="4239" w:type="pct"/>
            <w:shd w:val="clear" w:color="auto" w:fill="auto"/>
          </w:tcPr>
          <w:p w:rsidR="003D77A1" w:rsidRPr="006E709F" w:rsidRDefault="003D77A1" w:rsidP="00A801D0">
            <w:pPr>
              <w:pStyle w:val="Tabletext"/>
            </w:pPr>
            <w:r w:rsidRPr="006E709F">
              <w:t>RSL</w:t>
            </w:r>
          </w:p>
        </w:tc>
      </w:tr>
      <w:tr w:rsidR="003D77A1" w:rsidRPr="006E709F" w:rsidTr="00E118FA">
        <w:tc>
          <w:tcPr>
            <w:tcW w:w="761" w:type="pct"/>
            <w:shd w:val="clear" w:color="auto" w:fill="auto"/>
          </w:tcPr>
          <w:p w:rsidR="003D77A1" w:rsidRPr="006E709F" w:rsidRDefault="003D77A1" w:rsidP="00A801D0">
            <w:pPr>
              <w:pStyle w:val="Tabletext"/>
            </w:pPr>
            <w:r w:rsidRPr="006E709F">
              <w:t>6318</w:t>
            </w:r>
          </w:p>
        </w:tc>
        <w:tc>
          <w:tcPr>
            <w:tcW w:w="4239" w:type="pct"/>
            <w:shd w:val="clear" w:color="auto" w:fill="auto"/>
          </w:tcPr>
          <w:p w:rsidR="003D77A1" w:rsidRPr="006E709F" w:rsidRDefault="003D77A1" w:rsidP="00A801D0">
            <w:pPr>
              <w:pStyle w:val="Tabletext"/>
            </w:pPr>
            <w:r w:rsidRPr="006E709F">
              <w:t>Starr Bowkett</w:t>
            </w:r>
          </w:p>
        </w:tc>
      </w:tr>
      <w:tr w:rsidR="003D77A1" w:rsidRPr="006E709F" w:rsidTr="00E118FA">
        <w:tc>
          <w:tcPr>
            <w:tcW w:w="761" w:type="pct"/>
            <w:shd w:val="clear" w:color="auto" w:fill="auto"/>
          </w:tcPr>
          <w:p w:rsidR="003D77A1" w:rsidRPr="006E709F" w:rsidRDefault="003D77A1" w:rsidP="00A801D0">
            <w:pPr>
              <w:pStyle w:val="Tabletext"/>
            </w:pPr>
            <w:r w:rsidRPr="006E709F">
              <w:t>6319</w:t>
            </w:r>
          </w:p>
        </w:tc>
        <w:tc>
          <w:tcPr>
            <w:tcW w:w="4239" w:type="pct"/>
            <w:shd w:val="clear" w:color="auto" w:fill="auto"/>
          </w:tcPr>
          <w:p w:rsidR="003D77A1" w:rsidRPr="006E709F" w:rsidRDefault="003D77A1" w:rsidP="00A801D0">
            <w:pPr>
              <w:pStyle w:val="Tabletext"/>
            </w:pPr>
            <w:r w:rsidRPr="006E709F">
              <w:t>Stock Exchange</w:t>
            </w:r>
          </w:p>
        </w:tc>
      </w:tr>
      <w:tr w:rsidR="005D6BF2" w:rsidRPr="006E709F" w:rsidTr="00E118FA">
        <w:tc>
          <w:tcPr>
            <w:tcW w:w="761" w:type="pct"/>
            <w:shd w:val="clear" w:color="auto" w:fill="auto"/>
          </w:tcPr>
          <w:p w:rsidR="005D6BF2" w:rsidRPr="006E709F" w:rsidRDefault="005D6BF2" w:rsidP="00A801D0">
            <w:pPr>
              <w:pStyle w:val="Tabletext"/>
            </w:pPr>
            <w:r w:rsidRPr="006E709F">
              <w:t>6319A</w:t>
            </w:r>
          </w:p>
        </w:tc>
        <w:tc>
          <w:tcPr>
            <w:tcW w:w="4239" w:type="pct"/>
            <w:shd w:val="clear" w:color="auto" w:fill="auto"/>
          </w:tcPr>
          <w:p w:rsidR="005D6BF2" w:rsidRPr="006E709F" w:rsidRDefault="005D6BF2" w:rsidP="00A801D0">
            <w:pPr>
              <w:pStyle w:val="Tabletext"/>
            </w:pPr>
            <w:r w:rsidRPr="006E709F">
              <w:t>Torres Strait Islander and Aboriginal Corporation</w:t>
            </w:r>
          </w:p>
        </w:tc>
      </w:tr>
      <w:tr w:rsidR="005D6BF2" w:rsidRPr="006E709F" w:rsidTr="00E118FA">
        <w:tc>
          <w:tcPr>
            <w:tcW w:w="761" w:type="pct"/>
            <w:shd w:val="clear" w:color="auto" w:fill="auto"/>
          </w:tcPr>
          <w:p w:rsidR="005D6BF2" w:rsidRPr="006E709F" w:rsidRDefault="005D6BF2" w:rsidP="00A801D0">
            <w:pPr>
              <w:pStyle w:val="Tabletext"/>
            </w:pPr>
            <w:r w:rsidRPr="006E709F">
              <w:t>6320</w:t>
            </w:r>
          </w:p>
        </w:tc>
        <w:tc>
          <w:tcPr>
            <w:tcW w:w="4239" w:type="pct"/>
            <w:shd w:val="clear" w:color="auto" w:fill="auto"/>
          </w:tcPr>
          <w:p w:rsidR="005D6BF2" w:rsidRPr="006E709F" w:rsidRDefault="005D6BF2" w:rsidP="00A801D0">
            <w:pPr>
              <w:pStyle w:val="Tabletext"/>
            </w:pPr>
            <w:r w:rsidRPr="006E709F">
              <w:t>Torres Strait Islander Corporation</w:t>
            </w:r>
          </w:p>
        </w:tc>
      </w:tr>
      <w:tr w:rsidR="005D6BF2" w:rsidRPr="006E709F" w:rsidTr="00E118FA">
        <w:tc>
          <w:tcPr>
            <w:tcW w:w="761" w:type="pct"/>
            <w:tcBorders>
              <w:bottom w:val="single" w:sz="4" w:space="0" w:color="auto"/>
            </w:tcBorders>
            <w:shd w:val="clear" w:color="auto" w:fill="auto"/>
          </w:tcPr>
          <w:p w:rsidR="005D6BF2" w:rsidRPr="006E709F" w:rsidRDefault="005D6BF2" w:rsidP="00A801D0">
            <w:pPr>
              <w:pStyle w:val="Tabletext"/>
            </w:pPr>
            <w:r w:rsidRPr="006E709F">
              <w:t>6321</w:t>
            </w:r>
          </w:p>
        </w:tc>
        <w:tc>
          <w:tcPr>
            <w:tcW w:w="4239" w:type="pct"/>
            <w:tcBorders>
              <w:bottom w:val="single" w:sz="4" w:space="0" w:color="auto"/>
            </w:tcBorders>
            <w:shd w:val="clear" w:color="auto" w:fill="auto"/>
          </w:tcPr>
          <w:p w:rsidR="005D6BF2" w:rsidRPr="006E709F" w:rsidRDefault="005D6BF2" w:rsidP="00A801D0">
            <w:pPr>
              <w:pStyle w:val="Tabletext"/>
            </w:pPr>
            <w:r w:rsidRPr="006E709F">
              <w:t>Trust</w:t>
            </w:r>
          </w:p>
        </w:tc>
      </w:tr>
      <w:tr w:rsidR="005D6BF2" w:rsidRPr="006E709F" w:rsidTr="00E118FA">
        <w:tc>
          <w:tcPr>
            <w:tcW w:w="761" w:type="pct"/>
            <w:tcBorders>
              <w:bottom w:val="single" w:sz="12" w:space="0" w:color="auto"/>
            </w:tcBorders>
            <w:shd w:val="clear" w:color="auto" w:fill="auto"/>
          </w:tcPr>
          <w:p w:rsidR="005D6BF2" w:rsidRPr="006E709F" w:rsidRDefault="005D6BF2" w:rsidP="00A801D0">
            <w:pPr>
              <w:pStyle w:val="Tabletext"/>
            </w:pPr>
            <w:r w:rsidRPr="006E709F">
              <w:t>6322</w:t>
            </w:r>
          </w:p>
        </w:tc>
        <w:tc>
          <w:tcPr>
            <w:tcW w:w="4239" w:type="pct"/>
            <w:tcBorders>
              <w:bottom w:val="single" w:sz="12" w:space="0" w:color="auto"/>
            </w:tcBorders>
            <w:shd w:val="clear" w:color="auto" w:fill="auto"/>
          </w:tcPr>
          <w:p w:rsidR="005D6BF2" w:rsidRPr="006E709F" w:rsidRDefault="005D6BF2" w:rsidP="00A801D0">
            <w:pPr>
              <w:pStyle w:val="Tabletext"/>
            </w:pPr>
            <w:r w:rsidRPr="006E709F">
              <w:t>Trustee</w:t>
            </w:r>
          </w:p>
        </w:tc>
      </w:tr>
    </w:tbl>
    <w:p w:rsidR="002A22A4" w:rsidRPr="006E709F" w:rsidRDefault="00A801D0" w:rsidP="002A717F">
      <w:pPr>
        <w:pStyle w:val="ActHead2"/>
        <w:pageBreakBefore/>
      </w:pPr>
      <w:bookmarkStart w:id="12" w:name="_Toc170547834"/>
      <w:r w:rsidRPr="000C4237">
        <w:rPr>
          <w:rStyle w:val="CharPartNo"/>
        </w:rPr>
        <w:lastRenderedPageBreak/>
        <w:t>Part</w:t>
      </w:r>
      <w:r w:rsidR="00DA13DE" w:rsidRPr="000C4237">
        <w:rPr>
          <w:rStyle w:val="CharPartNo"/>
        </w:rPr>
        <w:t> </w:t>
      </w:r>
      <w:r w:rsidR="002A22A4" w:rsidRPr="000C4237">
        <w:rPr>
          <w:rStyle w:val="CharPartNo"/>
        </w:rPr>
        <w:t>4</w:t>
      </w:r>
      <w:r w:rsidRPr="006E709F">
        <w:t>—</w:t>
      </w:r>
      <w:r w:rsidR="002A22A4" w:rsidRPr="000C4237">
        <w:rPr>
          <w:rStyle w:val="CharPartText"/>
        </w:rPr>
        <w:t>Consent required to use restricted words and phrases</w:t>
      </w:r>
      <w:bookmarkEnd w:id="12"/>
    </w:p>
    <w:p w:rsidR="00A801D0" w:rsidRPr="006E709F"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79"/>
        <w:gridCol w:w="3881"/>
        <w:gridCol w:w="3369"/>
      </w:tblGrid>
      <w:tr w:rsidR="002A22A4" w:rsidRPr="006E709F" w:rsidTr="00E118FA">
        <w:trPr>
          <w:tblHeader/>
        </w:trPr>
        <w:tc>
          <w:tcPr>
            <w:tcW w:w="750" w:type="pct"/>
            <w:tcBorders>
              <w:top w:val="single" w:sz="12" w:space="0" w:color="auto"/>
              <w:bottom w:val="single" w:sz="6" w:space="0" w:color="auto"/>
            </w:tcBorders>
            <w:shd w:val="clear" w:color="auto" w:fill="auto"/>
          </w:tcPr>
          <w:p w:rsidR="002A22A4" w:rsidRPr="006E709F" w:rsidRDefault="002A22A4" w:rsidP="00A801D0">
            <w:pPr>
              <w:pStyle w:val="TableHeading"/>
            </w:pPr>
            <w:r w:rsidRPr="006E709F">
              <w:t>Column 1</w:t>
            </w:r>
          </w:p>
        </w:tc>
        <w:tc>
          <w:tcPr>
            <w:tcW w:w="2275" w:type="pct"/>
            <w:tcBorders>
              <w:top w:val="single" w:sz="12" w:space="0" w:color="auto"/>
              <w:bottom w:val="single" w:sz="6" w:space="0" w:color="auto"/>
            </w:tcBorders>
            <w:shd w:val="clear" w:color="auto" w:fill="auto"/>
          </w:tcPr>
          <w:p w:rsidR="002A22A4" w:rsidRPr="006E709F" w:rsidRDefault="002A22A4" w:rsidP="00A801D0">
            <w:pPr>
              <w:pStyle w:val="TableHeading"/>
            </w:pPr>
            <w:r w:rsidRPr="006E709F">
              <w:t>Column 2</w:t>
            </w:r>
          </w:p>
        </w:tc>
        <w:tc>
          <w:tcPr>
            <w:tcW w:w="1975" w:type="pct"/>
            <w:tcBorders>
              <w:top w:val="single" w:sz="12" w:space="0" w:color="auto"/>
              <w:bottom w:val="single" w:sz="6" w:space="0" w:color="auto"/>
            </w:tcBorders>
            <w:shd w:val="clear" w:color="auto" w:fill="auto"/>
          </w:tcPr>
          <w:p w:rsidR="002A22A4" w:rsidRPr="006E709F" w:rsidRDefault="002A22A4" w:rsidP="00A801D0">
            <w:pPr>
              <w:pStyle w:val="TableHeading"/>
            </w:pPr>
            <w:r w:rsidRPr="006E709F">
              <w:t>Column 3</w:t>
            </w:r>
          </w:p>
        </w:tc>
      </w:tr>
      <w:tr w:rsidR="002A22A4" w:rsidRPr="006E709F" w:rsidTr="00E118FA">
        <w:trPr>
          <w:tblHeader/>
        </w:trPr>
        <w:tc>
          <w:tcPr>
            <w:tcW w:w="750" w:type="pct"/>
            <w:tcBorders>
              <w:top w:val="single" w:sz="6" w:space="0" w:color="auto"/>
              <w:bottom w:val="single" w:sz="12" w:space="0" w:color="auto"/>
            </w:tcBorders>
            <w:shd w:val="clear" w:color="auto" w:fill="auto"/>
          </w:tcPr>
          <w:p w:rsidR="002A22A4" w:rsidRPr="006E709F" w:rsidRDefault="002A22A4" w:rsidP="005133DE">
            <w:pPr>
              <w:pStyle w:val="TableHeading"/>
            </w:pPr>
            <w:r w:rsidRPr="006E709F">
              <w:t>Item</w:t>
            </w:r>
          </w:p>
        </w:tc>
        <w:tc>
          <w:tcPr>
            <w:tcW w:w="2275" w:type="pct"/>
            <w:tcBorders>
              <w:top w:val="single" w:sz="6" w:space="0" w:color="auto"/>
              <w:bottom w:val="single" w:sz="12" w:space="0" w:color="auto"/>
            </w:tcBorders>
            <w:shd w:val="clear" w:color="auto" w:fill="auto"/>
          </w:tcPr>
          <w:p w:rsidR="002A22A4" w:rsidRPr="006E709F" w:rsidRDefault="002A22A4" w:rsidP="005133DE">
            <w:pPr>
              <w:pStyle w:val="TableHeading"/>
            </w:pPr>
            <w:r w:rsidRPr="006E709F">
              <w:t>Word or phrase</w:t>
            </w:r>
          </w:p>
        </w:tc>
        <w:tc>
          <w:tcPr>
            <w:tcW w:w="1975" w:type="pct"/>
            <w:tcBorders>
              <w:top w:val="single" w:sz="6" w:space="0" w:color="auto"/>
              <w:bottom w:val="single" w:sz="12" w:space="0" w:color="auto"/>
            </w:tcBorders>
            <w:shd w:val="clear" w:color="auto" w:fill="auto"/>
          </w:tcPr>
          <w:p w:rsidR="002A22A4" w:rsidRPr="006E709F" w:rsidRDefault="002A22A4" w:rsidP="005133DE">
            <w:pPr>
              <w:pStyle w:val="TableHeading"/>
            </w:pPr>
            <w:r w:rsidRPr="006E709F">
              <w:t>Minister</w:t>
            </w:r>
          </w:p>
        </w:tc>
      </w:tr>
      <w:tr w:rsidR="002A22A4" w:rsidRPr="006E709F" w:rsidTr="00E118FA">
        <w:tc>
          <w:tcPr>
            <w:tcW w:w="750" w:type="pct"/>
            <w:tcBorders>
              <w:top w:val="single" w:sz="12" w:space="0" w:color="auto"/>
            </w:tcBorders>
            <w:shd w:val="clear" w:color="auto" w:fill="auto"/>
          </w:tcPr>
          <w:p w:rsidR="002A22A4" w:rsidRPr="006E709F" w:rsidRDefault="002A22A4" w:rsidP="00A801D0">
            <w:pPr>
              <w:pStyle w:val="Tabletext"/>
            </w:pPr>
            <w:r w:rsidRPr="006E709F">
              <w:t>6401</w:t>
            </w:r>
          </w:p>
        </w:tc>
        <w:tc>
          <w:tcPr>
            <w:tcW w:w="2275" w:type="pct"/>
            <w:tcBorders>
              <w:top w:val="single" w:sz="12" w:space="0" w:color="auto"/>
            </w:tcBorders>
            <w:shd w:val="clear" w:color="auto" w:fill="auto"/>
          </w:tcPr>
          <w:p w:rsidR="002A22A4" w:rsidRPr="006E709F" w:rsidRDefault="002A22A4" w:rsidP="00A801D0">
            <w:pPr>
              <w:pStyle w:val="Tabletext"/>
            </w:pPr>
            <w:r w:rsidRPr="006E709F">
              <w:t>Anzac</w:t>
            </w:r>
          </w:p>
        </w:tc>
        <w:tc>
          <w:tcPr>
            <w:tcW w:w="1975" w:type="pct"/>
            <w:tcBorders>
              <w:top w:val="single" w:sz="12" w:space="0" w:color="auto"/>
            </w:tcBorders>
            <w:shd w:val="clear" w:color="auto" w:fill="auto"/>
          </w:tcPr>
          <w:p w:rsidR="002A22A4" w:rsidRPr="006E709F" w:rsidRDefault="002A22A4" w:rsidP="00A801D0">
            <w:pPr>
              <w:pStyle w:val="Tabletext"/>
            </w:pPr>
            <w:r w:rsidRPr="006E709F">
              <w:t>Minister for Veterans’ Affairs</w:t>
            </w:r>
          </w:p>
        </w:tc>
      </w:tr>
      <w:tr w:rsidR="002A22A4" w:rsidRPr="006E709F" w:rsidTr="00E118FA">
        <w:tc>
          <w:tcPr>
            <w:tcW w:w="750" w:type="pct"/>
            <w:shd w:val="clear" w:color="auto" w:fill="auto"/>
          </w:tcPr>
          <w:p w:rsidR="002A22A4" w:rsidRPr="006E709F" w:rsidRDefault="002A22A4" w:rsidP="00A801D0">
            <w:pPr>
              <w:pStyle w:val="Tabletext"/>
            </w:pPr>
            <w:r w:rsidRPr="006E709F">
              <w:t>6403</w:t>
            </w:r>
          </w:p>
        </w:tc>
        <w:tc>
          <w:tcPr>
            <w:tcW w:w="2275" w:type="pct"/>
            <w:shd w:val="clear" w:color="auto" w:fill="auto"/>
          </w:tcPr>
          <w:p w:rsidR="002A22A4" w:rsidRPr="006E709F" w:rsidRDefault="002A22A4" w:rsidP="00A801D0">
            <w:pPr>
              <w:pStyle w:val="Tabletext"/>
            </w:pPr>
            <w:r w:rsidRPr="006E709F">
              <w:t>Geneva Cross, Red Crescent, Red Cross, Red Lion and Sun</w:t>
            </w:r>
          </w:p>
        </w:tc>
        <w:tc>
          <w:tcPr>
            <w:tcW w:w="1975" w:type="pct"/>
            <w:shd w:val="clear" w:color="auto" w:fill="auto"/>
          </w:tcPr>
          <w:p w:rsidR="002A22A4" w:rsidRPr="006E709F" w:rsidRDefault="002A22A4" w:rsidP="00A801D0">
            <w:pPr>
              <w:pStyle w:val="Tabletext"/>
            </w:pPr>
            <w:r w:rsidRPr="006E709F">
              <w:t>Minister for Defence</w:t>
            </w:r>
          </w:p>
        </w:tc>
      </w:tr>
      <w:tr w:rsidR="002A22A4" w:rsidRPr="006E709F" w:rsidTr="00E118FA">
        <w:tc>
          <w:tcPr>
            <w:tcW w:w="750" w:type="pct"/>
            <w:tcBorders>
              <w:bottom w:val="single" w:sz="4" w:space="0" w:color="auto"/>
            </w:tcBorders>
            <w:shd w:val="clear" w:color="auto" w:fill="auto"/>
          </w:tcPr>
          <w:p w:rsidR="002A22A4" w:rsidRPr="006E709F" w:rsidRDefault="002A22A4" w:rsidP="00A801D0">
            <w:pPr>
              <w:pStyle w:val="Tabletext"/>
            </w:pPr>
            <w:r w:rsidRPr="006E709F">
              <w:t>6405</w:t>
            </w:r>
          </w:p>
        </w:tc>
        <w:tc>
          <w:tcPr>
            <w:tcW w:w="2275" w:type="pct"/>
            <w:tcBorders>
              <w:bottom w:val="single" w:sz="4" w:space="0" w:color="auto"/>
            </w:tcBorders>
            <w:shd w:val="clear" w:color="auto" w:fill="auto"/>
          </w:tcPr>
          <w:p w:rsidR="002A22A4" w:rsidRPr="006E709F" w:rsidRDefault="002A22A4" w:rsidP="00A801D0">
            <w:pPr>
              <w:pStyle w:val="Tabletext"/>
            </w:pPr>
            <w:r w:rsidRPr="006E709F">
              <w:t>United Nations</w:t>
            </w:r>
          </w:p>
        </w:tc>
        <w:tc>
          <w:tcPr>
            <w:tcW w:w="1975" w:type="pct"/>
            <w:tcBorders>
              <w:bottom w:val="single" w:sz="4" w:space="0" w:color="auto"/>
            </w:tcBorders>
            <w:shd w:val="clear" w:color="auto" w:fill="auto"/>
          </w:tcPr>
          <w:p w:rsidR="002A22A4" w:rsidRPr="006E709F" w:rsidRDefault="002A22A4" w:rsidP="00A801D0">
            <w:pPr>
              <w:pStyle w:val="Tabletext"/>
            </w:pPr>
            <w:r w:rsidRPr="006E709F">
              <w:t>Minister for Foreign Affairs</w:t>
            </w:r>
          </w:p>
        </w:tc>
      </w:tr>
      <w:tr w:rsidR="002A22A4" w:rsidRPr="006E709F" w:rsidTr="00E118FA">
        <w:tc>
          <w:tcPr>
            <w:tcW w:w="750" w:type="pct"/>
            <w:tcBorders>
              <w:bottom w:val="single" w:sz="12" w:space="0" w:color="auto"/>
            </w:tcBorders>
            <w:shd w:val="clear" w:color="auto" w:fill="auto"/>
          </w:tcPr>
          <w:p w:rsidR="002A22A4" w:rsidRPr="006E709F" w:rsidRDefault="002A22A4" w:rsidP="00A801D0">
            <w:pPr>
              <w:pStyle w:val="Tabletext"/>
            </w:pPr>
            <w:r w:rsidRPr="006E709F">
              <w:t>6406</w:t>
            </w:r>
          </w:p>
        </w:tc>
        <w:tc>
          <w:tcPr>
            <w:tcW w:w="2275" w:type="pct"/>
            <w:tcBorders>
              <w:bottom w:val="single" w:sz="12" w:space="0" w:color="auto"/>
            </w:tcBorders>
            <w:shd w:val="clear" w:color="auto" w:fill="auto"/>
          </w:tcPr>
          <w:p w:rsidR="002A22A4" w:rsidRPr="006E709F" w:rsidRDefault="002A22A4" w:rsidP="00A801D0">
            <w:pPr>
              <w:pStyle w:val="Tabletext"/>
            </w:pPr>
            <w:r w:rsidRPr="006E709F">
              <w:t>University</w:t>
            </w:r>
          </w:p>
        </w:tc>
        <w:tc>
          <w:tcPr>
            <w:tcW w:w="1975" w:type="pct"/>
            <w:tcBorders>
              <w:bottom w:val="single" w:sz="12" w:space="0" w:color="auto"/>
            </w:tcBorders>
            <w:shd w:val="clear" w:color="auto" w:fill="auto"/>
          </w:tcPr>
          <w:p w:rsidR="002A22A4" w:rsidRPr="006E709F" w:rsidRDefault="002A22A4" w:rsidP="00A801D0">
            <w:pPr>
              <w:pStyle w:val="Tabletext"/>
            </w:pPr>
            <w:r w:rsidRPr="006E709F">
              <w:t>Minister for Education, Training and Youth Affairs</w:t>
            </w:r>
          </w:p>
        </w:tc>
      </w:tr>
    </w:tbl>
    <w:p w:rsidR="002A22A4" w:rsidRPr="006E709F" w:rsidRDefault="00A801D0" w:rsidP="00A801D0">
      <w:pPr>
        <w:pStyle w:val="ActHead2"/>
        <w:pageBreakBefore/>
      </w:pPr>
      <w:bookmarkStart w:id="13" w:name="_Toc170547835"/>
      <w:r w:rsidRPr="000C4237">
        <w:rPr>
          <w:rStyle w:val="CharPartNo"/>
        </w:rPr>
        <w:lastRenderedPageBreak/>
        <w:t>Part</w:t>
      </w:r>
      <w:r w:rsidR="00DA13DE" w:rsidRPr="000C4237">
        <w:rPr>
          <w:rStyle w:val="CharPartNo"/>
        </w:rPr>
        <w:t> </w:t>
      </w:r>
      <w:r w:rsidR="002A22A4" w:rsidRPr="000C4237">
        <w:rPr>
          <w:rStyle w:val="CharPartNo"/>
        </w:rPr>
        <w:t>5</w:t>
      </w:r>
      <w:r w:rsidRPr="006E709F">
        <w:t>—</w:t>
      </w:r>
      <w:r w:rsidR="002A22A4" w:rsidRPr="000C4237">
        <w:rPr>
          <w:rStyle w:val="CharPartText"/>
        </w:rPr>
        <w:t>Names relating to financial institutions for use of which consent is required</w:t>
      </w:r>
      <w:bookmarkEnd w:id="13"/>
    </w:p>
    <w:p w:rsidR="00A801D0" w:rsidRPr="006E709F"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14"/>
        <w:gridCol w:w="3935"/>
        <w:gridCol w:w="3280"/>
      </w:tblGrid>
      <w:tr w:rsidR="002A22A4" w:rsidRPr="006E709F" w:rsidTr="00E118FA">
        <w:trPr>
          <w:tblHeader/>
        </w:trPr>
        <w:tc>
          <w:tcPr>
            <w:tcW w:w="770" w:type="pct"/>
            <w:tcBorders>
              <w:top w:val="single" w:sz="12" w:space="0" w:color="auto"/>
              <w:bottom w:val="single" w:sz="12" w:space="0" w:color="auto"/>
            </w:tcBorders>
            <w:shd w:val="clear" w:color="auto" w:fill="auto"/>
          </w:tcPr>
          <w:p w:rsidR="002A22A4" w:rsidRPr="006E709F" w:rsidRDefault="002A22A4" w:rsidP="00A801D0">
            <w:pPr>
              <w:pStyle w:val="TableHeading"/>
            </w:pPr>
            <w:r w:rsidRPr="006E709F">
              <w:br/>
              <w:t>Item</w:t>
            </w:r>
          </w:p>
        </w:tc>
        <w:tc>
          <w:tcPr>
            <w:tcW w:w="2307" w:type="pct"/>
            <w:tcBorders>
              <w:top w:val="single" w:sz="12" w:space="0" w:color="auto"/>
              <w:bottom w:val="single" w:sz="12" w:space="0" w:color="auto"/>
            </w:tcBorders>
            <w:shd w:val="clear" w:color="auto" w:fill="auto"/>
          </w:tcPr>
          <w:p w:rsidR="002A22A4" w:rsidRPr="006E709F" w:rsidRDefault="002A22A4" w:rsidP="00A801D0">
            <w:pPr>
              <w:pStyle w:val="TableHeading"/>
            </w:pPr>
            <w:r w:rsidRPr="006E709F">
              <w:br/>
              <w:t>Letters, word or expression</w:t>
            </w:r>
          </w:p>
        </w:tc>
        <w:tc>
          <w:tcPr>
            <w:tcW w:w="1923" w:type="pct"/>
            <w:tcBorders>
              <w:top w:val="single" w:sz="12" w:space="0" w:color="auto"/>
              <w:bottom w:val="single" w:sz="12" w:space="0" w:color="auto"/>
            </w:tcBorders>
            <w:shd w:val="clear" w:color="auto" w:fill="auto"/>
          </w:tcPr>
          <w:p w:rsidR="002A22A4" w:rsidRPr="006E709F" w:rsidRDefault="002A22A4" w:rsidP="00A801D0">
            <w:pPr>
              <w:pStyle w:val="TableHeading"/>
            </w:pPr>
            <w:r w:rsidRPr="006E709F">
              <w:t>Public authority, instrumentality or agency</w:t>
            </w:r>
          </w:p>
        </w:tc>
      </w:tr>
      <w:tr w:rsidR="002A22A4" w:rsidRPr="006E709F" w:rsidTr="00E118FA">
        <w:tc>
          <w:tcPr>
            <w:tcW w:w="770" w:type="pct"/>
            <w:tcBorders>
              <w:top w:val="single" w:sz="12" w:space="0" w:color="auto"/>
            </w:tcBorders>
            <w:shd w:val="clear" w:color="auto" w:fill="auto"/>
          </w:tcPr>
          <w:p w:rsidR="002A22A4" w:rsidRPr="006E709F" w:rsidRDefault="002A22A4" w:rsidP="00A801D0">
            <w:pPr>
              <w:pStyle w:val="Tabletext"/>
            </w:pPr>
            <w:r w:rsidRPr="006E709F">
              <w:t>6501</w:t>
            </w:r>
          </w:p>
        </w:tc>
        <w:tc>
          <w:tcPr>
            <w:tcW w:w="2307" w:type="pct"/>
            <w:tcBorders>
              <w:top w:val="single" w:sz="12" w:space="0" w:color="auto"/>
            </w:tcBorders>
            <w:shd w:val="clear" w:color="auto" w:fill="auto"/>
          </w:tcPr>
          <w:p w:rsidR="002A22A4" w:rsidRPr="006E709F" w:rsidRDefault="002A22A4" w:rsidP="00A801D0">
            <w:pPr>
              <w:pStyle w:val="Tabletext"/>
            </w:pPr>
            <w:r w:rsidRPr="006E709F">
              <w:t>ADI</w:t>
            </w:r>
          </w:p>
        </w:tc>
        <w:tc>
          <w:tcPr>
            <w:tcW w:w="1923" w:type="pct"/>
            <w:tcBorders>
              <w:top w:val="single" w:sz="12" w:space="0" w:color="auto"/>
            </w:tcBorders>
            <w:shd w:val="clear" w:color="auto" w:fill="auto"/>
          </w:tcPr>
          <w:p w:rsidR="002A22A4" w:rsidRPr="006E709F" w:rsidRDefault="002A22A4" w:rsidP="00A801D0">
            <w:pPr>
              <w:pStyle w:val="Tabletext"/>
            </w:pPr>
            <w:r w:rsidRPr="006E709F">
              <w:t>APRA</w:t>
            </w:r>
          </w:p>
        </w:tc>
      </w:tr>
      <w:tr w:rsidR="002A22A4" w:rsidRPr="006E709F" w:rsidTr="00E118FA">
        <w:tc>
          <w:tcPr>
            <w:tcW w:w="770" w:type="pct"/>
            <w:shd w:val="clear" w:color="auto" w:fill="auto"/>
          </w:tcPr>
          <w:p w:rsidR="002A22A4" w:rsidRPr="006E709F" w:rsidRDefault="002A22A4" w:rsidP="00A801D0">
            <w:pPr>
              <w:pStyle w:val="Tabletext"/>
            </w:pPr>
            <w:r w:rsidRPr="006E709F">
              <w:t>6502</w:t>
            </w:r>
          </w:p>
        </w:tc>
        <w:tc>
          <w:tcPr>
            <w:tcW w:w="2307" w:type="pct"/>
            <w:shd w:val="clear" w:color="auto" w:fill="auto"/>
          </w:tcPr>
          <w:p w:rsidR="002A22A4" w:rsidRPr="006E709F" w:rsidRDefault="002A22A4" w:rsidP="00A801D0">
            <w:pPr>
              <w:pStyle w:val="Tabletext"/>
            </w:pPr>
            <w:r w:rsidRPr="006E709F">
              <w:t>authorised deposit</w:t>
            </w:r>
            <w:r w:rsidR="000C4237">
              <w:noBreakHyphen/>
            </w:r>
            <w:r w:rsidRPr="006E709F">
              <w:t>taking institution</w:t>
            </w:r>
          </w:p>
        </w:tc>
        <w:tc>
          <w:tcPr>
            <w:tcW w:w="1923" w:type="pct"/>
            <w:shd w:val="clear" w:color="auto" w:fill="auto"/>
          </w:tcPr>
          <w:p w:rsidR="002A22A4" w:rsidRPr="006E709F" w:rsidRDefault="002A22A4" w:rsidP="00A801D0">
            <w:pPr>
              <w:pStyle w:val="Tabletext"/>
            </w:pPr>
            <w:r w:rsidRPr="006E709F">
              <w:t>APRA</w:t>
            </w:r>
          </w:p>
        </w:tc>
      </w:tr>
      <w:tr w:rsidR="002A22A4" w:rsidRPr="006E709F" w:rsidTr="00E118FA">
        <w:tc>
          <w:tcPr>
            <w:tcW w:w="770" w:type="pct"/>
            <w:shd w:val="clear" w:color="auto" w:fill="auto"/>
          </w:tcPr>
          <w:p w:rsidR="002A22A4" w:rsidRPr="006E709F" w:rsidRDefault="002A22A4" w:rsidP="00A801D0">
            <w:pPr>
              <w:pStyle w:val="Tabletext"/>
            </w:pPr>
            <w:r w:rsidRPr="006E709F">
              <w:t>6503</w:t>
            </w:r>
          </w:p>
        </w:tc>
        <w:tc>
          <w:tcPr>
            <w:tcW w:w="2307" w:type="pct"/>
            <w:shd w:val="clear" w:color="auto" w:fill="auto"/>
          </w:tcPr>
          <w:p w:rsidR="002A22A4" w:rsidRPr="006E709F" w:rsidRDefault="002A22A4" w:rsidP="00A801D0">
            <w:pPr>
              <w:pStyle w:val="Tabletext"/>
            </w:pPr>
            <w:r w:rsidRPr="006E709F">
              <w:t>bank</w:t>
            </w:r>
          </w:p>
        </w:tc>
        <w:tc>
          <w:tcPr>
            <w:tcW w:w="1923" w:type="pct"/>
            <w:shd w:val="clear" w:color="auto" w:fill="auto"/>
          </w:tcPr>
          <w:p w:rsidR="002A22A4" w:rsidRPr="006E709F" w:rsidRDefault="002A22A4" w:rsidP="00A801D0">
            <w:pPr>
              <w:pStyle w:val="Tabletext"/>
            </w:pPr>
            <w:r w:rsidRPr="006E709F">
              <w:t>APRA</w:t>
            </w:r>
          </w:p>
        </w:tc>
      </w:tr>
      <w:tr w:rsidR="002A22A4" w:rsidRPr="006E709F" w:rsidTr="00E118FA">
        <w:tc>
          <w:tcPr>
            <w:tcW w:w="770" w:type="pct"/>
            <w:shd w:val="clear" w:color="auto" w:fill="auto"/>
          </w:tcPr>
          <w:p w:rsidR="002A22A4" w:rsidRPr="006E709F" w:rsidRDefault="002A22A4" w:rsidP="00A801D0">
            <w:pPr>
              <w:pStyle w:val="Tabletext"/>
            </w:pPr>
            <w:r w:rsidRPr="006E709F">
              <w:t>6504</w:t>
            </w:r>
          </w:p>
        </w:tc>
        <w:tc>
          <w:tcPr>
            <w:tcW w:w="2307" w:type="pct"/>
            <w:shd w:val="clear" w:color="auto" w:fill="auto"/>
          </w:tcPr>
          <w:p w:rsidR="002A22A4" w:rsidRPr="006E709F" w:rsidRDefault="002A22A4" w:rsidP="00A801D0">
            <w:pPr>
              <w:pStyle w:val="Tabletext"/>
            </w:pPr>
            <w:r w:rsidRPr="006E709F">
              <w:t>banker</w:t>
            </w:r>
          </w:p>
        </w:tc>
        <w:tc>
          <w:tcPr>
            <w:tcW w:w="1923" w:type="pct"/>
            <w:shd w:val="clear" w:color="auto" w:fill="auto"/>
          </w:tcPr>
          <w:p w:rsidR="002A22A4" w:rsidRPr="006E709F" w:rsidRDefault="002A22A4" w:rsidP="00A801D0">
            <w:pPr>
              <w:pStyle w:val="Tabletext"/>
            </w:pPr>
            <w:r w:rsidRPr="006E709F">
              <w:t>APRA</w:t>
            </w:r>
          </w:p>
        </w:tc>
      </w:tr>
      <w:tr w:rsidR="002A22A4" w:rsidRPr="006E709F" w:rsidTr="00E118FA">
        <w:tc>
          <w:tcPr>
            <w:tcW w:w="770" w:type="pct"/>
            <w:shd w:val="clear" w:color="auto" w:fill="auto"/>
          </w:tcPr>
          <w:p w:rsidR="002A22A4" w:rsidRPr="006E709F" w:rsidRDefault="002A22A4" w:rsidP="00A801D0">
            <w:pPr>
              <w:pStyle w:val="Tabletext"/>
            </w:pPr>
            <w:r w:rsidRPr="006E709F">
              <w:t>6505</w:t>
            </w:r>
          </w:p>
        </w:tc>
        <w:tc>
          <w:tcPr>
            <w:tcW w:w="2307" w:type="pct"/>
            <w:shd w:val="clear" w:color="auto" w:fill="auto"/>
          </w:tcPr>
          <w:p w:rsidR="002A22A4" w:rsidRPr="006E709F" w:rsidRDefault="002A22A4" w:rsidP="00A801D0">
            <w:pPr>
              <w:pStyle w:val="Tabletext"/>
            </w:pPr>
            <w:r w:rsidRPr="006E709F">
              <w:t>banking</w:t>
            </w:r>
          </w:p>
        </w:tc>
        <w:tc>
          <w:tcPr>
            <w:tcW w:w="1923" w:type="pct"/>
            <w:shd w:val="clear" w:color="auto" w:fill="auto"/>
          </w:tcPr>
          <w:p w:rsidR="002A22A4" w:rsidRPr="006E709F" w:rsidRDefault="002A22A4" w:rsidP="00A801D0">
            <w:pPr>
              <w:pStyle w:val="Tabletext"/>
            </w:pPr>
            <w:r w:rsidRPr="006E709F">
              <w:t>APRA</w:t>
            </w:r>
          </w:p>
        </w:tc>
      </w:tr>
      <w:tr w:rsidR="002A22A4" w:rsidRPr="006E709F" w:rsidTr="00E118FA">
        <w:tc>
          <w:tcPr>
            <w:tcW w:w="770" w:type="pct"/>
            <w:shd w:val="clear" w:color="auto" w:fill="auto"/>
          </w:tcPr>
          <w:p w:rsidR="002A22A4" w:rsidRPr="006E709F" w:rsidRDefault="002A22A4" w:rsidP="00A801D0">
            <w:pPr>
              <w:pStyle w:val="Tabletext"/>
            </w:pPr>
            <w:r w:rsidRPr="006E709F">
              <w:t>6506</w:t>
            </w:r>
          </w:p>
        </w:tc>
        <w:tc>
          <w:tcPr>
            <w:tcW w:w="2307" w:type="pct"/>
            <w:shd w:val="clear" w:color="auto" w:fill="auto"/>
          </w:tcPr>
          <w:p w:rsidR="002A22A4" w:rsidRPr="006E709F" w:rsidRDefault="002A22A4" w:rsidP="00A801D0">
            <w:pPr>
              <w:pStyle w:val="Tabletext"/>
            </w:pPr>
            <w:r w:rsidRPr="006E709F">
              <w:t>building society</w:t>
            </w:r>
          </w:p>
        </w:tc>
        <w:tc>
          <w:tcPr>
            <w:tcW w:w="1923" w:type="pct"/>
            <w:shd w:val="clear" w:color="auto" w:fill="auto"/>
          </w:tcPr>
          <w:p w:rsidR="002A22A4" w:rsidRPr="006E709F" w:rsidRDefault="002A22A4" w:rsidP="00A801D0">
            <w:pPr>
              <w:pStyle w:val="Tabletext"/>
            </w:pPr>
            <w:r w:rsidRPr="006E709F">
              <w:t>APRA</w:t>
            </w:r>
          </w:p>
        </w:tc>
      </w:tr>
      <w:tr w:rsidR="002A22A4" w:rsidRPr="006E709F" w:rsidTr="00E118FA">
        <w:tc>
          <w:tcPr>
            <w:tcW w:w="770" w:type="pct"/>
            <w:shd w:val="clear" w:color="auto" w:fill="auto"/>
          </w:tcPr>
          <w:p w:rsidR="002A22A4" w:rsidRPr="006E709F" w:rsidRDefault="002A22A4" w:rsidP="00A801D0">
            <w:pPr>
              <w:pStyle w:val="Tabletext"/>
            </w:pPr>
            <w:r w:rsidRPr="006E709F">
              <w:t>6507</w:t>
            </w:r>
          </w:p>
        </w:tc>
        <w:tc>
          <w:tcPr>
            <w:tcW w:w="2307" w:type="pct"/>
            <w:shd w:val="clear" w:color="auto" w:fill="auto"/>
          </w:tcPr>
          <w:p w:rsidR="002A22A4" w:rsidRPr="006E709F" w:rsidRDefault="002A22A4" w:rsidP="00A801D0">
            <w:pPr>
              <w:pStyle w:val="Tabletext"/>
            </w:pPr>
            <w:r w:rsidRPr="006E709F">
              <w:t>credit society</w:t>
            </w:r>
          </w:p>
        </w:tc>
        <w:tc>
          <w:tcPr>
            <w:tcW w:w="1923" w:type="pct"/>
            <w:shd w:val="clear" w:color="auto" w:fill="auto"/>
          </w:tcPr>
          <w:p w:rsidR="002A22A4" w:rsidRPr="006E709F" w:rsidRDefault="002A22A4" w:rsidP="00A801D0">
            <w:pPr>
              <w:pStyle w:val="Tabletext"/>
            </w:pPr>
            <w:r w:rsidRPr="006E709F">
              <w:t>APRA</w:t>
            </w:r>
          </w:p>
        </w:tc>
      </w:tr>
      <w:tr w:rsidR="002A22A4" w:rsidRPr="006E709F" w:rsidTr="00E118FA">
        <w:tc>
          <w:tcPr>
            <w:tcW w:w="770" w:type="pct"/>
            <w:tcBorders>
              <w:bottom w:val="single" w:sz="4" w:space="0" w:color="auto"/>
            </w:tcBorders>
            <w:shd w:val="clear" w:color="auto" w:fill="auto"/>
          </w:tcPr>
          <w:p w:rsidR="002A22A4" w:rsidRPr="006E709F" w:rsidRDefault="002A22A4" w:rsidP="00A801D0">
            <w:pPr>
              <w:pStyle w:val="Tabletext"/>
            </w:pPr>
            <w:r w:rsidRPr="006E709F">
              <w:t>6508</w:t>
            </w:r>
          </w:p>
        </w:tc>
        <w:tc>
          <w:tcPr>
            <w:tcW w:w="2307" w:type="pct"/>
            <w:tcBorders>
              <w:bottom w:val="single" w:sz="4" w:space="0" w:color="auto"/>
            </w:tcBorders>
            <w:shd w:val="clear" w:color="auto" w:fill="auto"/>
          </w:tcPr>
          <w:p w:rsidR="002A22A4" w:rsidRPr="006E709F" w:rsidRDefault="002A22A4" w:rsidP="00A801D0">
            <w:pPr>
              <w:pStyle w:val="Tabletext"/>
            </w:pPr>
            <w:r w:rsidRPr="006E709F">
              <w:t>credit union</w:t>
            </w:r>
          </w:p>
        </w:tc>
        <w:tc>
          <w:tcPr>
            <w:tcW w:w="1923" w:type="pct"/>
            <w:tcBorders>
              <w:bottom w:val="single" w:sz="4" w:space="0" w:color="auto"/>
            </w:tcBorders>
            <w:shd w:val="clear" w:color="auto" w:fill="auto"/>
          </w:tcPr>
          <w:p w:rsidR="002A22A4" w:rsidRPr="006E709F" w:rsidRDefault="002A22A4" w:rsidP="00A801D0">
            <w:pPr>
              <w:pStyle w:val="Tabletext"/>
            </w:pPr>
            <w:r w:rsidRPr="006E709F">
              <w:t>APRA</w:t>
            </w:r>
          </w:p>
        </w:tc>
      </w:tr>
      <w:tr w:rsidR="002A22A4" w:rsidRPr="006E709F" w:rsidTr="00E118FA">
        <w:tc>
          <w:tcPr>
            <w:tcW w:w="770" w:type="pct"/>
            <w:tcBorders>
              <w:bottom w:val="single" w:sz="12" w:space="0" w:color="auto"/>
            </w:tcBorders>
            <w:shd w:val="clear" w:color="auto" w:fill="auto"/>
          </w:tcPr>
          <w:p w:rsidR="002A22A4" w:rsidRPr="006E709F" w:rsidRDefault="002A22A4" w:rsidP="00A801D0">
            <w:pPr>
              <w:pStyle w:val="Tabletext"/>
            </w:pPr>
            <w:r w:rsidRPr="006E709F">
              <w:t>6509</w:t>
            </w:r>
          </w:p>
        </w:tc>
        <w:tc>
          <w:tcPr>
            <w:tcW w:w="2307" w:type="pct"/>
            <w:tcBorders>
              <w:bottom w:val="single" w:sz="12" w:space="0" w:color="auto"/>
            </w:tcBorders>
            <w:shd w:val="clear" w:color="auto" w:fill="auto"/>
          </w:tcPr>
          <w:p w:rsidR="002A22A4" w:rsidRPr="006E709F" w:rsidRDefault="002A22A4" w:rsidP="00A801D0">
            <w:pPr>
              <w:pStyle w:val="Tabletext"/>
            </w:pPr>
            <w:r w:rsidRPr="006E709F">
              <w:t>friendly society (in relation to the conduct of a financial business)</w:t>
            </w:r>
          </w:p>
        </w:tc>
        <w:tc>
          <w:tcPr>
            <w:tcW w:w="1923" w:type="pct"/>
            <w:tcBorders>
              <w:bottom w:val="single" w:sz="12" w:space="0" w:color="auto"/>
            </w:tcBorders>
            <w:shd w:val="clear" w:color="auto" w:fill="auto"/>
          </w:tcPr>
          <w:p w:rsidR="002A22A4" w:rsidRPr="006E709F" w:rsidRDefault="002A22A4" w:rsidP="00A801D0">
            <w:pPr>
              <w:pStyle w:val="Tabletext"/>
            </w:pPr>
            <w:r w:rsidRPr="006E709F">
              <w:t>APRA</w:t>
            </w:r>
          </w:p>
        </w:tc>
      </w:tr>
    </w:tbl>
    <w:p w:rsidR="002A22A4" w:rsidRPr="006E709F" w:rsidRDefault="00A801D0" w:rsidP="002F332A">
      <w:pPr>
        <w:pStyle w:val="ActHead1"/>
        <w:pageBreakBefore/>
        <w:spacing w:before="120"/>
      </w:pPr>
      <w:bookmarkStart w:id="14" w:name="_Toc170547836"/>
      <w:r w:rsidRPr="000C4237">
        <w:rPr>
          <w:rStyle w:val="CharChapNo"/>
        </w:rPr>
        <w:lastRenderedPageBreak/>
        <w:t>Schedule</w:t>
      </w:r>
      <w:r w:rsidR="00DA13DE" w:rsidRPr="000C4237">
        <w:rPr>
          <w:rStyle w:val="CharChapNo"/>
        </w:rPr>
        <w:t> </w:t>
      </w:r>
      <w:r w:rsidR="002A22A4" w:rsidRPr="000C4237">
        <w:rPr>
          <w:rStyle w:val="CharChapNo"/>
        </w:rPr>
        <w:t>7</w:t>
      </w:r>
      <w:r w:rsidRPr="006E709F">
        <w:t>—</w:t>
      </w:r>
      <w:r w:rsidR="002A22A4" w:rsidRPr="000C4237">
        <w:rPr>
          <w:rStyle w:val="CharChapText"/>
        </w:rPr>
        <w:t>Exemptions from requirements to set out certain corporate particulars</w:t>
      </w:r>
      <w:bookmarkEnd w:id="14"/>
    </w:p>
    <w:p w:rsidR="002A22A4" w:rsidRPr="006E709F" w:rsidRDefault="002A22A4" w:rsidP="00A801D0">
      <w:pPr>
        <w:pStyle w:val="notemargin"/>
      </w:pPr>
      <w:r w:rsidRPr="006E709F">
        <w:t>(regulations</w:t>
      </w:r>
      <w:r w:rsidR="00DA13DE" w:rsidRPr="006E709F">
        <w:t> </w:t>
      </w:r>
      <w:r w:rsidRPr="006E709F">
        <w:t>2B.6.03 and 5B.3.03)</w:t>
      </w:r>
    </w:p>
    <w:p w:rsidR="002A22A4" w:rsidRPr="006E709F" w:rsidRDefault="00A801D0" w:rsidP="002A22A4">
      <w:pPr>
        <w:pStyle w:val="Header"/>
      </w:pPr>
      <w:r w:rsidRPr="000C4237">
        <w:rPr>
          <w:rStyle w:val="CharPartNo"/>
        </w:rPr>
        <w:t xml:space="preserve"> </w:t>
      </w:r>
      <w:r w:rsidRPr="000C4237">
        <w:rPr>
          <w:rStyle w:val="CharPartText"/>
        </w:rPr>
        <w:t xml:space="preserve"> </w:t>
      </w:r>
    </w:p>
    <w:p w:rsidR="002A22A4" w:rsidRPr="006E709F" w:rsidRDefault="002A717F" w:rsidP="007C7D49">
      <w:pPr>
        <w:pStyle w:val="ActHead5"/>
      </w:pPr>
      <w:bookmarkStart w:id="15" w:name="_Toc170547837"/>
      <w:r w:rsidRPr="000C4237">
        <w:rPr>
          <w:rStyle w:val="CharSectno"/>
        </w:rPr>
        <w:t>7001</w:t>
      </w:r>
      <w:r w:rsidRPr="006E709F">
        <w:t xml:space="preserve">  </w:t>
      </w:r>
      <w:r w:rsidR="002A22A4" w:rsidRPr="006E709F">
        <w:t xml:space="preserve">Definitions for </w:t>
      </w:r>
      <w:r w:rsidR="00A801D0" w:rsidRPr="006E709F">
        <w:t>Schedule</w:t>
      </w:r>
      <w:r w:rsidR="00DA13DE" w:rsidRPr="006E709F">
        <w:t> </w:t>
      </w:r>
      <w:r w:rsidR="002A22A4" w:rsidRPr="006E709F">
        <w:t>7</w:t>
      </w:r>
      <w:bookmarkEnd w:id="15"/>
    </w:p>
    <w:p w:rsidR="002A22A4" w:rsidRPr="006E709F" w:rsidRDefault="002A22A4" w:rsidP="00A801D0">
      <w:pPr>
        <w:pStyle w:val="subsection"/>
      </w:pPr>
      <w:r w:rsidRPr="006E709F">
        <w:tab/>
      </w:r>
      <w:r w:rsidRPr="006E709F">
        <w:tab/>
        <w:t>In this Schedule:</w:t>
      </w:r>
    </w:p>
    <w:p w:rsidR="002A22A4" w:rsidRPr="006E709F" w:rsidRDefault="002A22A4" w:rsidP="00A801D0">
      <w:pPr>
        <w:pStyle w:val="Definition"/>
      </w:pPr>
      <w:r w:rsidRPr="006E709F">
        <w:rPr>
          <w:b/>
          <w:i/>
        </w:rPr>
        <w:t>IATA</w:t>
      </w:r>
      <w:r w:rsidRPr="006E709F">
        <w:t xml:space="preserve"> means the International Air Transport Association.</w:t>
      </w:r>
    </w:p>
    <w:p w:rsidR="002A22A4" w:rsidRPr="006E709F" w:rsidRDefault="002A22A4" w:rsidP="00A801D0">
      <w:pPr>
        <w:pStyle w:val="Definition"/>
      </w:pPr>
      <w:r w:rsidRPr="006E709F">
        <w:rPr>
          <w:b/>
          <w:i/>
        </w:rPr>
        <w:t>IATA body</w:t>
      </w:r>
      <w:r w:rsidRPr="006E709F">
        <w:t xml:space="preserve"> means a company, registered Australian body or registered foreign company that is a member of IATA, or participates in the program conducted by IATA known as BSP Australia.</w:t>
      </w:r>
    </w:p>
    <w:p w:rsidR="002A22A4" w:rsidRPr="006E709F" w:rsidRDefault="002A22A4" w:rsidP="00A801D0">
      <w:pPr>
        <w:pStyle w:val="Definition"/>
      </w:pPr>
      <w:r w:rsidRPr="006E709F">
        <w:rPr>
          <w:b/>
          <w:i/>
        </w:rPr>
        <w:t>relevant information</w:t>
      </w:r>
      <w:r w:rsidRPr="006E709F">
        <w:t xml:space="preserve"> means the information that is required under subsection</w:t>
      </w:r>
      <w:r w:rsidR="00DA13DE" w:rsidRPr="006E709F">
        <w:t> </w:t>
      </w:r>
      <w:r w:rsidRPr="006E709F">
        <w:t>153(2), or paragraph</w:t>
      </w:r>
      <w:r w:rsidR="00DA13DE" w:rsidRPr="006E709F">
        <w:t> </w:t>
      </w:r>
      <w:r w:rsidRPr="006E709F">
        <w:t>601DE(1</w:t>
      </w:r>
      <w:r w:rsidR="00A801D0" w:rsidRPr="006E709F">
        <w:t>)(</w:t>
      </w:r>
      <w:r w:rsidRPr="006E709F">
        <w:t>b), (c) or (d), of the Act to be set out on a public document or negotiable instrument.</w:t>
      </w:r>
    </w:p>
    <w:p w:rsidR="002A22A4" w:rsidRPr="006E709F" w:rsidRDefault="002A717F" w:rsidP="007C7D49">
      <w:pPr>
        <w:pStyle w:val="ActHead5"/>
      </w:pPr>
      <w:bookmarkStart w:id="16" w:name="_Toc170547838"/>
      <w:r w:rsidRPr="000C4237">
        <w:rPr>
          <w:rStyle w:val="CharSectno"/>
        </w:rPr>
        <w:t>7002</w:t>
      </w:r>
      <w:r w:rsidRPr="006E709F">
        <w:t xml:space="preserve">  </w:t>
      </w:r>
      <w:r w:rsidR="002A22A4" w:rsidRPr="006E709F">
        <w:t>Exemption for certain IATA documents</w:t>
      </w:r>
      <w:bookmarkEnd w:id="16"/>
    </w:p>
    <w:p w:rsidR="002A22A4" w:rsidRPr="006E709F" w:rsidRDefault="002A22A4" w:rsidP="00A801D0">
      <w:pPr>
        <w:pStyle w:val="subsection"/>
      </w:pPr>
      <w:r w:rsidRPr="006E709F">
        <w:tab/>
      </w:r>
      <w:r w:rsidRPr="006E709F">
        <w:tab/>
        <w:t>An IATA Body is exempt from the requirement to set out the relevant information on a document if:</w:t>
      </w:r>
    </w:p>
    <w:p w:rsidR="002A22A4" w:rsidRPr="006E709F" w:rsidRDefault="002A22A4" w:rsidP="00A801D0">
      <w:pPr>
        <w:pStyle w:val="paragraph"/>
      </w:pPr>
      <w:r w:rsidRPr="006E709F">
        <w:tab/>
        <w:t>(a)</w:t>
      </w:r>
      <w:r w:rsidRPr="006E709F">
        <w:tab/>
        <w:t>it is a document of one of the following kinds:</w:t>
      </w:r>
    </w:p>
    <w:p w:rsidR="002A22A4" w:rsidRPr="006E709F" w:rsidRDefault="002A22A4" w:rsidP="00A801D0">
      <w:pPr>
        <w:pStyle w:val="paragraphsub"/>
      </w:pPr>
      <w:r w:rsidRPr="006E709F">
        <w:tab/>
        <w:t>(i)</w:t>
      </w:r>
      <w:r w:rsidRPr="006E709F">
        <w:tab/>
        <w:t>passenger ticket and baggage check;</w:t>
      </w:r>
    </w:p>
    <w:p w:rsidR="002A22A4" w:rsidRPr="006E709F" w:rsidRDefault="002A22A4" w:rsidP="00A801D0">
      <w:pPr>
        <w:pStyle w:val="paragraphsub"/>
      </w:pPr>
      <w:r w:rsidRPr="006E709F">
        <w:tab/>
        <w:t>(ii)</w:t>
      </w:r>
      <w:r w:rsidRPr="006E709F">
        <w:tab/>
        <w:t>excess baggage ticket;</w:t>
      </w:r>
    </w:p>
    <w:p w:rsidR="002A22A4" w:rsidRPr="006E709F" w:rsidRDefault="002A22A4" w:rsidP="00A801D0">
      <w:pPr>
        <w:pStyle w:val="paragraphsub"/>
      </w:pPr>
      <w:r w:rsidRPr="006E709F">
        <w:tab/>
        <w:t>(iii)</w:t>
      </w:r>
      <w:r w:rsidRPr="006E709F">
        <w:tab/>
        <w:t>agency credit or debit memo;</w:t>
      </w:r>
    </w:p>
    <w:p w:rsidR="002A22A4" w:rsidRPr="006E709F" w:rsidRDefault="002A22A4" w:rsidP="00A801D0">
      <w:pPr>
        <w:pStyle w:val="paragraphsub"/>
      </w:pPr>
      <w:r w:rsidRPr="006E709F">
        <w:tab/>
        <w:t>(iv)</w:t>
      </w:r>
      <w:r w:rsidRPr="006E709F">
        <w:tab/>
        <w:t>credit card charge form;</w:t>
      </w:r>
    </w:p>
    <w:p w:rsidR="002A22A4" w:rsidRPr="006E709F" w:rsidRDefault="002A22A4" w:rsidP="00A801D0">
      <w:pPr>
        <w:pStyle w:val="paragraphsub"/>
      </w:pPr>
      <w:r w:rsidRPr="006E709F">
        <w:tab/>
        <w:t>(v)</w:t>
      </w:r>
      <w:r w:rsidRPr="006E709F">
        <w:tab/>
        <w:t>miscellaneous charges order;</w:t>
      </w:r>
    </w:p>
    <w:p w:rsidR="002A22A4" w:rsidRPr="006E709F" w:rsidRDefault="002A22A4" w:rsidP="00A801D0">
      <w:pPr>
        <w:pStyle w:val="paragraphsub"/>
      </w:pPr>
      <w:r w:rsidRPr="006E709F">
        <w:tab/>
        <w:t>(vi)</w:t>
      </w:r>
      <w:r w:rsidRPr="006E709F">
        <w:tab/>
        <w:t>stopover voucher;</w:t>
      </w:r>
    </w:p>
    <w:p w:rsidR="002A22A4" w:rsidRPr="006E709F" w:rsidRDefault="002A22A4" w:rsidP="00A801D0">
      <w:pPr>
        <w:pStyle w:val="paragraphsub"/>
      </w:pPr>
      <w:r w:rsidRPr="006E709F">
        <w:tab/>
        <w:t>(vii)</w:t>
      </w:r>
      <w:r w:rsidRPr="006E709F">
        <w:tab/>
        <w:t>air waybill; and</w:t>
      </w:r>
    </w:p>
    <w:p w:rsidR="002A22A4" w:rsidRPr="006E709F" w:rsidRDefault="002A22A4" w:rsidP="00A801D0">
      <w:pPr>
        <w:pStyle w:val="paragraph"/>
      </w:pPr>
      <w:r w:rsidRPr="006E709F">
        <w:tab/>
        <w:t>(b)</w:t>
      </w:r>
      <w:r w:rsidRPr="006E709F">
        <w:tab/>
        <w:t>either:</w:t>
      </w:r>
    </w:p>
    <w:p w:rsidR="002A22A4" w:rsidRPr="006E709F" w:rsidRDefault="002A22A4" w:rsidP="00A801D0">
      <w:pPr>
        <w:pStyle w:val="paragraphsub"/>
      </w:pPr>
      <w:r w:rsidRPr="006E709F">
        <w:tab/>
        <w:t>(i)</w:t>
      </w:r>
      <w:r w:rsidRPr="006E709F">
        <w:tab/>
        <w:t>it is in a form sponsored by IATA; or</w:t>
      </w:r>
    </w:p>
    <w:p w:rsidR="002A22A4" w:rsidRPr="006E709F" w:rsidRDefault="002A22A4" w:rsidP="00A801D0">
      <w:pPr>
        <w:pStyle w:val="paragraphsub"/>
      </w:pPr>
      <w:r w:rsidRPr="006E709F">
        <w:tab/>
        <w:t>(ii)</w:t>
      </w:r>
      <w:r w:rsidRPr="006E709F">
        <w:tab/>
        <w:t>it is required by IATA to be used by IATA bodies; or</w:t>
      </w:r>
    </w:p>
    <w:p w:rsidR="002A22A4" w:rsidRPr="006E709F" w:rsidRDefault="002A22A4" w:rsidP="00A801D0">
      <w:pPr>
        <w:pStyle w:val="paragraphsub"/>
      </w:pPr>
      <w:r w:rsidRPr="006E709F">
        <w:tab/>
        <w:t>(iii)</w:t>
      </w:r>
      <w:r w:rsidRPr="006E709F">
        <w:tab/>
        <w:t>it is a document printed outside Australia exclusively for use, outside Australia, by or on behalf of that particular IATA body.</w:t>
      </w:r>
    </w:p>
    <w:p w:rsidR="002A22A4" w:rsidRPr="006E709F" w:rsidRDefault="002A22A4" w:rsidP="007C7D49">
      <w:pPr>
        <w:pStyle w:val="ActHead5"/>
      </w:pPr>
      <w:bookmarkStart w:id="17" w:name="_Toc170547839"/>
      <w:r w:rsidRPr="000C4237">
        <w:rPr>
          <w:rStyle w:val="CharSectno"/>
        </w:rPr>
        <w:t>70</w:t>
      </w:r>
      <w:r w:rsidR="007C7D49" w:rsidRPr="000C4237">
        <w:rPr>
          <w:rStyle w:val="CharSectno"/>
        </w:rPr>
        <w:t>03</w:t>
      </w:r>
      <w:r w:rsidR="007C7D49" w:rsidRPr="006E709F">
        <w:t xml:space="preserve">  </w:t>
      </w:r>
      <w:r w:rsidRPr="006E709F">
        <w:t>Exemption for bills of lading and sea waybills</w:t>
      </w:r>
      <w:bookmarkEnd w:id="17"/>
    </w:p>
    <w:p w:rsidR="002A22A4" w:rsidRPr="006E709F" w:rsidRDefault="002A22A4" w:rsidP="00A801D0">
      <w:pPr>
        <w:pStyle w:val="subsection"/>
      </w:pPr>
      <w:r w:rsidRPr="006E709F">
        <w:tab/>
      </w:r>
      <w:r w:rsidRPr="006E709F">
        <w:tab/>
        <w:t>The following companies, registered Australian bodies and registered foreign companies are exempt from the requirement to set out the relevant information on a bill of lading or sea waybill:</w:t>
      </w:r>
    </w:p>
    <w:p w:rsidR="002A22A4" w:rsidRPr="006E709F" w:rsidRDefault="002A22A4" w:rsidP="00A801D0">
      <w:pPr>
        <w:pStyle w:val="paragraph"/>
      </w:pPr>
      <w:r w:rsidRPr="006E709F">
        <w:tab/>
        <w:t>(a)</w:t>
      </w:r>
      <w:r w:rsidRPr="006E709F">
        <w:tab/>
        <w:t>Austrident Shipping Agency Pty Ltd;</w:t>
      </w:r>
    </w:p>
    <w:p w:rsidR="002A22A4" w:rsidRPr="006E709F" w:rsidRDefault="002A22A4" w:rsidP="00A801D0">
      <w:pPr>
        <w:pStyle w:val="paragraph"/>
      </w:pPr>
      <w:r w:rsidRPr="006E709F">
        <w:tab/>
        <w:t>(c)</w:t>
      </w:r>
      <w:r w:rsidRPr="006E709F">
        <w:tab/>
        <w:t>Bakke</w:t>
      </w:r>
      <w:r w:rsidR="000C4237">
        <w:noBreakHyphen/>
      </w:r>
      <w:r w:rsidRPr="006E709F">
        <w:t>WA Pty Limited;</w:t>
      </w:r>
    </w:p>
    <w:p w:rsidR="002A22A4" w:rsidRPr="006E709F" w:rsidRDefault="002A22A4" w:rsidP="00A801D0">
      <w:pPr>
        <w:pStyle w:val="paragraph"/>
      </w:pPr>
      <w:r w:rsidRPr="006E709F">
        <w:tab/>
        <w:t>(d)</w:t>
      </w:r>
      <w:r w:rsidRPr="006E709F">
        <w:tab/>
        <w:t>Blue Star Line Limited;</w:t>
      </w:r>
    </w:p>
    <w:p w:rsidR="002A22A4" w:rsidRPr="006E709F" w:rsidRDefault="002A22A4" w:rsidP="00A801D0">
      <w:pPr>
        <w:pStyle w:val="paragraph"/>
      </w:pPr>
      <w:r w:rsidRPr="006E709F">
        <w:tab/>
        <w:t>(e)</w:t>
      </w:r>
      <w:r w:rsidRPr="006E709F">
        <w:tab/>
        <w:t>Blue Star PACE Limited;</w:t>
      </w:r>
    </w:p>
    <w:p w:rsidR="002A22A4" w:rsidRPr="006E709F" w:rsidRDefault="002A22A4" w:rsidP="00A801D0">
      <w:pPr>
        <w:pStyle w:val="paragraph"/>
      </w:pPr>
      <w:r w:rsidRPr="006E709F">
        <w:lastRenderedPageBreak/>
        <w:tab/>
        <w:t>(f)</w:t>
      </w:r>
      <w:r w:rsidRPr="006E709F">
        <w:tab/>
        <w:t>CSR Limited;</w:t>
      </w:r>
    </w:p>
    <w:p w:rsidR="002A22A4" w:rsidRPr="006E709F" w:rsidRDefault="002A22A4" w:rsidP="00A801D0">
      <w:pPr>
        <w:pStyle w:val="paragraph"/>
      </w:pPr>
      <w:r w:rsidRPr="006E709F">
        <w:tab/>
        <w:t>(g)</w:t>
      </w:r>
      <w:r w:rsidRPr="006E709F">
        <w:tab/>
        <w:t>Dalgety Australia Operations Limited;</w:t>
      </w:r>
    </w:p>
    <w:p w:rsidR="002A22A4" w:rsidRPr="006E709F" w:rsidRDefault="002A22A4" w:rsidP="00A801D0">
      <w:pPr>
        <w:pStyle w:val="paragraph"/>
      </w:pPr>
      <w:r w:rsidRPr="006E709F">
        <w:tab/>
        <w:t>(h)</w:t>
      </w:r>
      <w:r w:rsidRPr="006E709F">
        <w:tab/>
        <w:t>Five Star Shipping &amp; Agency Company Pty Ltd;</w:t>
      </w:r>
    </w:p>
    <w:p w:rsidR="002A22A4" w:rsidRPr="006E709F" w:rsidRDefault="002A22A4" w:rsidP="00A801D0">
      <w:pPr>
        <w:pStyle w:val="paragraph"/>
      </w:pPr>
      <w:r w:rsidRPr="006E709F">
        <w:tab/>
        <w:t>(i)</w:t>
      </w:r>
      <w:r w:rsidRPr="006E709F">
        <w:tab/>
        <w:t>Jebsens International (Australia) Pty Ltd;</w:t>
      </w:r>
    </w:p>
    <w:p w:rsidR="002A22A4" w:rsidRPr="006E709F" w:rsidRDefault="002A22A4" w:rsidP="00A801D0">
      <w:pPr>
        <w:pStyle w:val="paragraph"/>
      </w:pPr>
      <w:r w:rsidRPr="006E709F">
        <w:tab/>
        <w:t>(j)</w:t>
      </w:r>
      <w:r w:rsidRPr="006E709F">
        <w:tab/>
        <w:t>‘K’ Line (Australia) Pty Limited;</w:t>
      </w:r>
    </w:p>
    <w:p w:rsidR="002A22A4" w:rsidRPr="006E709F" w:rsidRDefault="002A22A4" w:rsidP="00A801D0">
      <w:pPr>
        <w:pStyle w:val="paragraph"/>
      </w:pPr>
      <w:r w:rsidRPr="006E709F">
        <w:tab/>
        <w:t>(k)</w:t>
      </w:r>
      <w:r w:rsidRPr="006E709F">
        <w:tab/>
        <w:t>Nedlloyd Australia Pty Ltd;</w:t>
      </w:r>
    </w:p>
    <w:p w:rsidR="002A22A4" w:rsidRPr="006E709F" w:rsidRDefault="002A22A4" w:rsidP="00A801D0">
      <w:pPr>
        <w:pStyle w:val="paragraph"/>
      </w:pPr>
      <w:r w:rsidRPr="006E709F">
        <w:tab/>
        <w:t>(l)</w:t>
      </w:r>
      <w:r w:rsidRPr="006E709F">
        <w:tab/>
        <w:t>OOCL (Australia) Pty Limited;</w:t>
      </w:r>
    </w:p>
    <w:p w:rsidR="002A22A4" w:rsidRPr="006E709F" w:rsidRDefault="002A22A4" w:rsidP="00A801D0">
      <w:pPr>
        <w:pStyle w:val="paragraph"/>
      </w:pPr>
      <w:r w:rsidRPr="006E709F">
        <w:tab/>
        <w:t>(m)</w:t>
      </w:r>
      <w:r w:rsidRPr="006E709F">
        <w:tab/>
        <w:t>Opal Maritime Agencies Pty Limited;</w:t>
      </w:r>
    </w:p>
    <w:p w:rsidR="002A22A4" w:rsidRPr="006E709F" w:rsidRDefault="002A22A4" w:rsidP="00A801D0">
      <w:pPr>
        <w:pStyle w:val="paragraph"/>
      </w:pPr>
      <w:r w:rsidRPr="006E709F">
        <w:tab/>
        <w:t>(n)</w:t>
      </w:r>
      <w:r w:rsidRPr="006E709F">
        <w:tab/>
        <w:t>Patrick Sleigh Shipping Agencies Pty Limited;</w:t>
      </w:r>
    </w:p>
    <w:p w:rsidR="002A22A4" w:rsidRPr="006E709F" w:rsidRDefault="002A22A4" w:rsidP="00A801D0">
      <w:pPr>
        <w:pStyle w:val="paragraph"/>
      </w:pPr>
      <w:r w:rsidRPr="006E709F">
        <w:tab/>
        <w:t>(o)</w:t>
      </w:r>
      <w:r w:rsidRPr="006E709F">
        <w:tab/>
        <w:t>Tasman Express Line Limited;</w:t>
      </w:r>
    </w:p>
    <w:p w:rsidR="002A22A4" w:rsidRPr="006E709F" w:rsidRDefault="002A22A4" w:rsidP="00A801D0">
      <w:pPr>
        <w:pStyle w:val="paragraph"/>
      </w:pPr>
      <w:r w:rsidRPr="006E709F">
        <w:tab/>
        <w:t>(p)</w:t>
      </w:r>
      <w:r w:rsidRPr="006E709F">
        <w:tab/>
        <w:t>Wilhelmsen Lines Australia Pty Ltd;</w:t>
      </w:r>
    </w:p>
    <w:p w:rsidR="002A22A4" w:rsidRPr="006E709F" w:rsidRDefault="002A22A4" w:rsidP="00A801D0">
      <w:pPr>
        <w:pStyle w:val="paragraph"/>
      </w:pPr>
      <w:r w:rsidRPr="006E709F">
        <w:tab/>
        <w:t>(q)</w:t>
      </w:r>
      <w:r w:rsidRPr="006E709F">
        <w:tab/>
        <w:t>Wills Shipping Pty Limited.</w:t>
      </w:r>
    </w:p>
    <w:p w:rsidR="002A22A4" w:rsidRPr="006E709F" w:rsidRDefault="002A22A4" w:rsidP="007C7D49">
      <w:pPr>
        <w:pStyle w:val="ActHead5"/>
      </w:pPr>
      <w:bookmarkStart w:id="18" w:name="_Toc170547840"/>
      <w:r w:rsidRPr="000C4237">
        <w:rPr>
          <w:rStyle w:val="CharSectno"/>
        </w:rPr>
        <w:t>7004</w:t>
      </w:r>
      <w:r w:rsidR="00A801D0" w:rsidRPr="006E709F">
        <w:t xml:space="preserve">  </w:t>
      </w:r>
      <w:r w:rsidRPr="006E709F">
        <w:t>Exemptions</w:t>
      </w:r>
      <w:r w:rsidR="00A801D0" w:rsidRPr="006E709F">
        <w:t>—</w:t>
      </w:r>
      <w:r w:rsidRPr="006E709F">
        <w:t>quotation of ACNs and ARBNs</w:t>
      </w:r>
      <w:bookmarkEnd w:id="18"/>
    </w:p>
    <w:p w:rsidR="002A22A4" w:rsidRPr="006E709F" w:rsidRDefault="002A22A4" w:rsidP="00A801D0">
      <w:pPr>
        <w:pStyle w:val="subsection"/>
      </w:pPr>
      <w:r w:rsidRPr="006E709F">
        <w:tab/>
        <w:t>(1)</w:t>
      </w:r>
      <w:r w:rsidRPr="006E709F">
        <w:tab/>
        <w:t>A company is exempt from the requirement to set out the relevant information on a public document, or a negotiable instrument, of the company if:</w:t>
      </w:r>
    </w:p>
    <w:p w:rsidR="002A22A4" w:rsidRPr="006E709F" w:rsidRDefault="002A22A4" w:rsidP="00A801D0">
      <w:pPr>
        <w:pStyle w:val="paragraph"/>
      </w:pPr>
      <w:r w:rsidRPr="006E709F">
        <w:tab/>
        <w:t>(a)</w:t>
      </w:r>
      <w:r w:rsidRPr="006E709F">
        <w:tab/>
        <w:t>the company is registered on the Australian Business Register; and</w:t>
      </w:r>
    </w:p>
    <w:p w:rsidR="002A22A4" w:rsidRPr="006E709F" w:rsidRDefault="002A22A4" w:rsidP="00A801D0">
      <w:pPr>
        <w:pStyle w:val="paragraph"/>
      </w:pPr>
      <w:r w:rsidRPr="006E709F">
        <w:tab/>
        <w:t>(b)</w:t>
      </w:r>
      <w:r w:rsidRPr="006E709F">
        <w:tab/>
        <w:t>the last 9 digits of its ABN are the same, and in the same order, as the last 9 digits of its ACN; and</w:t>
      </w:r>
    </w:p>
    <w:p w:rsidR="002A22A4" w:rsidRPr="006E709F" w:rsidRDefault="002A22A4" w:rsidP="00A801D0">
      <w:pPr>
        <w:pStyle w:val="paragraph"/>
      </w:pPr>
      <w:r w:rsidRPr="006E709F">
        <w:tab/>
        <w:t>(c)</w:t>
      </w:r>
      <w:r w:rsidRPr="006E709F">
        <w:tab/>
        <w:t>‘Australian Business Number’ or ‘ABN’ is displayed with the name of the company, or with 1 of the references to that name:</w:t>
      </w:r>
    </w:p>
    <w:p w:rsidR="002A22A4" w:rsidRPr="006E709F" w:rsidRDefault="002A22A4" w:rsidP="00A801D0">
      <w:pPr>
        <w:pStyle w:val="paragraphsub"/>
      </w:pPr>
      <w:r w:rsidRPr="006E709F">
        <w:tab/>
        <w:t>(i)</w:t>
      </w:r>
      <w:r w:rsidRPr="006E709F">
        <w:tab/>
        <w:t>in the case of a document or instrument in which the name appears on only 1 page</w:t>
      </w:r>
      <w:r w:rsidR="00A801D0" w:rsidRPr="006E709F">
        <w:t>—</w:t>
      </w:r>
      <w:r w:rsidRPr="006E709F">
        <w:t>on that page; and</w:t>
      </w:r>
    </w:p>
    <w:p w:rsidR="002A22A4" w:rsidRPr="006E709F" w:rsidRDefault="002A22A4" w:rsidP="00A801D0">
      <w:pPr>
        <w:pStyle w:val="paragraphsub"/>
      </w:pPr>
      <w:r w:rsidRPr="006E709F">
        <w:tab/>
        <w:t>(ii)</w:t>
      </w:r>
      <w:r w:rsidRPr="006E709F">
        <w:tab/>
        <w:t>in the case of a document or instrument in which the name appears on 2 or more pages</w:t>
      </w:r>
      <w:r w:rsidR="00A801D0" w:rsidRPr="006E709F">
        <w:t>—</w:t>
      </w:r>
      <w:r w:rsidRPr="006E709F">
        <w:t>on the first of those pages.</w:t>
      </w:r>
    </w:p>
    <w:p w:rsidR="002A22A4" w:rsidRPr="006E709F" w:rsidRDefault="002A22A4" w:rsidP="00A801D0">
      <w:pPr>
        <w:pStyle w:val="subsection"/>
      </w:pPr>
      <w:r w:rsidRPr="006E709F">
        <w:tab/>
        <w:t>(2)</w:t>
      </w:r>
      <w:r w:rsidRPr="006E709F">
        <w:tab/>
        <w:t>A registered Australian body or registered foreign body is exempt from the requirement to set out information mentioned in paragraph</w:t>
      </w:r>
      <w:r w:rsidR="00DA13DE" w:rsidRPr="006E709F">
        <w:t> </w:t>
      </w:r>
      <w:r w:rsidRPr="006E709F">
        <w:t>601DE(1</w:t>
      </w:r>
      <w:r w:rsidR="00A801D0" w:rsidRPr="006E709F">
        <w:t>)(</w:t>
      </w:r>
      <w:r w:rsidRPr="006E709F">
        <w:t>b) and subsection</w:t>
      </w:r>
      <w:r w:rsidR="00DA13DE" w:rsidRPr="006E709F">
        <w:t> </w:t>
      </w:r>
      <w:r w:rsidRPr="006E709F">
        <w:t>601DE(2) of the Act on a public document, or a negotiable instrument, of the registered body or foreign company if:</w:t>
      </w:r>
    </w:p>
    <w:p w:rsidR="002A22A4" w:rsidRPr="006E709F" w:rsidRDefault="002A22A4" w:rsidP="00A801D0">
      <w:pPr>
        <w:pStyle w:val="paragraph"/>
      </w:pPr>
      <w:r w:rsidRPr="006E709F">
        <w:tab/>
        <w:t>(a)</w:t>
      </w:r>
      <w:r w:rsidRPr="006E709F">
        <w:tab/>
        <w:t>the body or company is also registered on the Australian Business Register; and</w:t>
      </w:r>
    </w:p>
    <w:p w:rsidR="002A22A4" w:rsidRPr="006E709F" w:rsidRDefault="002A22A4" w:rsidP="00A801D0">
      <w:pPr>
        <w:pStyle w:val="paragraph"/>
      </w:pPr>
      <w:r w:rsidRPr="006E709F">
        <w:tab/>
        <w:t>(b)</w:t>
      </w:r>
      <w:r w:rsidRPr="006E709F">
        <w:tab/>
        <w:t>the last 9 digits of its ABN are the same, and in the same order, as the last 9 digits of its ARBN; and</w:t>
      </w:r>
    </w:p>
    <w:p w:rsidR="002A22A4" w:rsidRPr="006E709F" w:rsidRDefault="002A22A4" w:rsidP="00A801D0">
      <w:pPr>
        <w:pStyle w:val="paragraph"/>
      </w:pPr>
      <w:r w:rsidRPr="006E709F">
        <w:tab/>
        <w:t>(c)</w:t>
      </w:r>
      <w:r w:rsidRPr="006E709F">
        <w:tab/>
        <w:t>‘Australian Business Number’ or ‘ABN’ is displayed with the name of the body or company, or with 1 of the references to that name:</w:t>
      </w:r>
    </w:p>
    <w:p w:rsidR="002A22A4" w:rsidRPr="006E709F" w:rsidRDefault="002A22A4" w:rsidP="00A801D0">
      <w:pPr>
        <w:pStyle w:val="paragraphsub"/>
      </w:pPr>
      <w:r w:rsidRPr="006E709F">
        <w:tab/>
        <w:t>(i)</w:t>
      </w:r>
      <w:r w:rsidRPr="006E709F">
        <w:tab/>
        <w:t>in the case of a document or instrument in which the name appears on only 1 page</w:t>
      </w:r>
      <w:r w:rsidR="00A801D0" w:rsidRPr="006E709F">
        <w:t>—</w:t>
      </w:r>
      <w:r w:rsidRPr="006E709F">
        <w:t>on that page; and</w:t>
      </w:r>
    </w:p>
    <w:p w:rsidR="002A22A4" w:rsidRPr="006E709F" w:rsidRDefault="002A22A4" w:rsidP="00A801D0">
      <w:pPr>
        <w:pStyle w:val="paragraphsub"/>
      </w:pPr>
      <w:r w:rsidRPr="006E709F">
        <w:tab/>
        <w:t>(ii)</w:t>
      </w:r>
      <w:r w:rsidRPr="006E709F">
        <w:tab/>
        <w:t>in the case of a document or instrument in which the name appears on 2 or more pages</w:t>
      </w:r>
      <w:r w:rsidR="00A801D0" w:rsidRPr="006E709F">
        <w:t>—</w:t>
      </w:r>
      <w:r w:rsidRPr="006E709F">
        <w:t>on the first of those pages.</w:t>
      </w:r>
    </w:p>
    <w:p w:rsidR="002C7155" w:rsidRPr="006E709F" w:rsidRDefault="00A801D0" w:rsidP="00E376FA">
      <w:pPr>
        <w:pStyle w:val="ActHead1"/>
        <w:pageBreakBefore/>
      </w:pPr>
      <w:bookmarkStart w:id="19" w:name="_Toc170547841"/>
      <w:r w:rsidRPr="000C4237">
        <w:rPr>
          <w:rStyle w:val="CharChapNo"/>
        </w:rPr>
        <w:lastRenderedPageBreak/>
        <w:t>Schedule</w:t>
      </w:r>
      <w:r w:rsidR="00DA13DE" w:rsidRPr="000C4237">
        <w:rPr>
          <w:rStyle w:val="CharChapNo"/>
        </w:rPr>
        <w:t> </w:t>
      </w:r>
      <w:r w:rsidR="002C7155" w:rsidRPr="000C4237">
        <w:rPr>
          <w:rStyle w:val="CharChapNo"/>
        </w:rPr>
        <w:t>7A</w:t>
      </w:r>
      <w:r w:rsidRPr="006E709F">
        <w:t>—</w:t>
      </w:r>
      <w:r w:rsidR="002C7155" w:rsidRPr="000C4237">
        <w:rPr>
          <w:rStyle w:val="CharChapText"/>
        </w:rPr>
        <w:t>Content of annual transparency report</w:t>
      </w:r>
      <w:bookmarkEnd w:id="19"/>
    </w:p>
    <w:p w:rsidR="002C7155" w:rsidRPr="006E709F" w:rsidRDefault="002C7155" w:rsidP="00A801D0">
      <w:pPr>
        <w:pStyle w:val="notemargin"/>
      </w:pPr>
      <w:r w:rsidRPr="006E709F">
        <w:t>(subregulation</w:t>
      </w:r>
      <w:r w:rsidR="00DA13DE" w:rsidRPr="006E709F">
        <w:t> </w:t>
      </w:r>
      <w:r w:rsidRPr="006E709F">
        <w:t>2M.4A.02(1))</w:t>
      </w:r>
    </w:p>
    <w:p w:rsidR="002C7155" w:rsidRPr="006E709F" w:rsidRDefault="00A801D0" w:rsidP="00A801D0">
      <w:pPr>
        <w:pStyle w:val="ActHead2"/>
      </w:pPr>
      <w:bookmarkStart w:id="20" w:name="_Toc170547842"/>
      <w:r w:rsidRPr="000C4237">
        <w:rPr>
          <w:rStyle w:val="CharPartNo"/>
        </w:rPr>
        <w:t>Part</w:t>
      </w:r>
      <w:r w:rsidR="00DA13DE" w:rsidRPr="000C4237">
        <w:rPr>
          <w:rStyle w:val="CharPartNo"/>
        </w:rPr>
        <w:t> </w:t>
      </w:r>
      <w:r w:rsidR="002C7155" w:rsidRPr="000C4237">
        <w:rPr>
          <w:rStyle w:val="CharPartNo"/>
        </w:rPr>
        <w:t>1</w:t>
      </w:r>
      <w:r w:rsidRPr="006E709F">
        <w:t>—</w:t>
      </w:r>
      <w:r w:rsidR="002C7155" w:rsidRPr="000C4237">
        <w:rPr>
          <w:rStyle w:val="CharPartText"/>
        </w:rPr>
        <w:t xml:space="preserve">Interpretation for </w:t>
      </w:r>
      <w:r w:rsidRPr="000C4237">
        <w:rPr>
          <w:rStyle w:val="CharPartText"/>
        </w:rPr>
        <w:t>Schedule</w:t>
      </w:r>
      <w:r w:rsidR="00DA13DE" w:rsidRPr="000C4237">
        <w:rPr>
          <w:rStyle w:val="CharPartText"/>
        </w:rPr>
        <w:t> </w:t>
      </w:r>
      <w:r w:rsidR="002C7155" w:rsidRPr="000C4237">
        <w:rPr>
          <w:rStyle w:val="CharPartText"/>
        </w:rPr>
        <w:t>7A</w:t>
      </w:r>
      <w:bookmarkEnd w:id="20"/>
    </w:p>
    <w:p w:rsidR="002C7155" w:rsidRPr="006E709F" w:rsidRDefault="002C7155" w:rsidP="007C7D49">
      <w:pPr>
        <w:pStyle w:val="ActHead5"/>
      </w:pPr>
      <w:bookmarkStart w:id="21" w:name="_Toc170547843"/>
      <w:r w:rsidRPr="000C4237">
        <w:rPr>
          <w:rStyle w:val="CharSectno"/>
        </w:rPr>
        <w:t>7A101</w:t>
      </w:r>
      <w:r w:rsidR="00A801D0" w:rsidRPr="006E709F">
        <w:t xml:space="preserve">  </w:t>
      </w:r>
      <w:r w:rsidRPr="006E709F">
        <w:t>Interpretation</w:t>
      </w:r>
      <w:bookmarkEnd w:id="21"/>
    </w:p>
    <w:p w:rsidR="002C7155" w:rsidRPr="006E709F" w:rsidRDefault="002C7155" w:rsidP="00A801D0">
      <w:pPr>
        <w:pStyle w:val="subsection"/>
      </w:pPr>
      <w:r w:rsidRPr="006E709F">
        <w:tab/>
      </w:r>
      <w:r w:rsidRPr="006E709F">
        <w:tab/>
        <w:t>In this Schedule:</w:t>
      </w:r>
    </w:p>
    <w:p w:rsidR="002C7155" w:rsidRPr="006E709F" w:rsidRDefault="002C7155" w:rsidP="00A801D0">
      <w:pPr>
        <w:pStyle w:val="Definition"/>
      </w:pPr>
      <w:r w:rsidRPr="006E709F">
        <w:rPr>
          <w:b/>
          <w:i/>
        </w:rPr>
        <w:t>management body</w:t>
      </w:r>
      <w:r w:rsidRPr="006E709F">
        <w:t>, for an authorised audit company, means the Board of Directors.</w:t>
      </w:r>
    </w:p>
    <w:p w:rsidR="002C7155" w:rsidRPr="006E709F" w:rsidRDefault="002C7155" w:rsidP="00A801D0">
      <w:pPr>
        <w:pStyle w:val="Definition"/>
      </w:pPr>
      <w:r w:rsidRPr="006E709F">
        <w:rPr>
          <w:b/>
          <w:i/>
        </w:rPr>
        <w:t>relevant transparency reporting year</w:t>
      </w:r>
      <w:r w:rsidRPr="006E709F">
        <w:rPr>
          <w:i/>
        </w:rPr>
        <w:t xml:space="preserve"> </w:t>
      </w:r>
      <w:r w:rsidRPr="006E709F">
        <w:t>means the transparency reporting year to which an annual transparency report relates.</w:t>
      </w:r>
    </w:p>
    <w:p w:rsidR="002C7155" w:rsidRPr="006E709F" w:rsidRDefault="004665D8" w:rsidP="00A801D0">
      <w:pPr>
        <w:pStyle w:val="notetext"/>
      </w:pPr>
      <w:r w:rsidRPr="00BE1284">
        <w:t>Note</w:t>
      </w:r>
      <w:r w:rsidR="00A801D0" w:rsidRPr="006E709F">
        <w:t>:</w:t>
      </w:r>
      <w:r w:rsidR="00A801D0" w:rsidRPr="006E709F">
        <w:tab/>
      </w:r>
      <w:r w:rsidR="002C7155" w:rsidRPr="006E709F">
        <w:t>See regulation</w:t>
      </w:r>
      <w:r w:rsidR="00DA13DE" w:rsidRPr="006E709F">
        <w:t> </w:t>
      </w:r>
      <w:r w:rsidR="002C7155" w:rsidRPr="006E709F">
        <w:t>2M.4A.01 for an application provision that, read in combination with regulation</w:t>
      </w:r>
      <w:r w:rsidR="00DA13DE" w:rsidRPr="006E709F">
        <w:t> </w:t>
      </w:r>
      <w:r w:rsidR="002C7155" w:rsidRPr="006E709F">
        <w:t xml:space="preserve">2M.4A.02, is relevant to </w:t>
      </w:r>
      <w:r w:rsidR="00A801D0" w:rsidRPr="006E709F">
        <w:t>Schedule</w:t>
      </w:r>
      <w:r w:rsidR="00DA13DE" w:rsidRPr="006E709F">
        <w:t> </w:t>
      </w:r>
      <w:r w:rsidR="002C7155" w:rsidRPr="006E709F">
        <w:t>7A.</w:t>
      </w:r>
    </w:p>
    <w:p w:rsidR="002C7155" w:rsidRPr="006E709F" w:rsidRDefault="00A801D0" w:rsidP="00A801D0">
      <w:pPr>
        <w:pStyle w:val="ActHead2"/>
        <w:pageBreakBefore/>
      </w:pPr>
      <w:bookmarkStart w:id="22" w:name="_Toc170547844"/>
      <w:r w:rsidRPr="000C4237">
        <w:rPr>
          <w:rStyle w:val="CharPartNo"/>
        </w:rPr>
        <w:lastRenderedPageBreak/>
        <w:t>Part</w:t>
      </w:r>
      <w:r w:rsidR="00DA13DE" w:rsidRPr="000C4237">
        <w:rPr>
          <w:rStyle w:val="CharPartNo"/>
        </w:rPr>
        <w:t> </w:t>
      </w:r>
      <w:r w:rsidR="002C7155" w:rsidRPr="000C4237">
        <w:rPr>
          <w:rStyle w:val="CharPartNo"/>
        </w:rPr>
        <w:t>2</w:t>
      </w:r>
      <w:r w:rsidRPr="006E709F">
        <w:t>—</w:t>
      </w:r>
      <w:r w:rsidR="002C7155" w:rsidRPr="000C4237">
        <w:rPr>
          <w:rStyle w:val="CharPartText"/>
        </w:rPr>
        <w:t>Prescribed information for audit firm or authorised audit company</w:t>
      </w:r>
      <w:bookmarkEnd w:id="22"/>
    </w:p>
    <w:p w:rsidR="00A801D0" w:rsidRPr="006E709F"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98"/>
        <w:gridCol w:w="7231"/>
      </w:tblGrid>
      <w:tr w:rsidR="002C7155" w:rsidRPr="006E709F" w:rsidTr="00E118FA">
        <w:trPr>
          <w:tblHeader/>
        </w:trPr>
        <w:tc>
          <w:tcPr>
            <w:tcW w:w="761" w:type="pct"/>
            <w:tcBorders>
              <w:top w:val="single" w:sz="12" w:space="0" w:color="auto"/>
              <w:bottom w:val="single" w:sz="12" w:space="0" w:color="auto"/>
            </w:tcBorders>
            <w:shd w:val="clear" w:color="auto" w:fill="auto"/>
          </w:tcPr>
          <w:p w:rsidR="002C7155" w:rsidRPr="006E709F" w:rsidRDefault="002C7155" w:rsidP="00A801D0">
            <w:pPr>
              <w:pStyle w:val="TableHeading"/>
            </w:pPr>
            <w:r w:rsidRPr="006E709F">
              <w:t>Item</w:t>
            </w:r>
          </w:p>
        </w:tc>
        <w:tc>
          <w:tcPr>
            <w:tcW w:w="4239" w:type="pct"/>
            <w:tcBorders>
              <w:top w:val="single" w:sz="12" w:space="0" w:color="auto"/>
              <w:bottom w:val="single" w:sz="12" w:space="0" w:color="auto"/>
            </w:tcBorders>
            <w:shd w:val="clear" w:color="auto" w:fill="auto"/>
          </w:tcPr>
          <w:p w:rsidR="002C7155" w:rsidRPr="006E709F" w:rsidRDefault="002C7155" w:rsidP="00A801D0">
            <w:pPr>
              <w:pStyle w:val="TableHeading"/>
            </w:pPr>
            <w:r w:rsidRPr="006E709F">
              <w:t>Information</w:t>
            </w:r>
          </w:p>
        </w:tc>
      </w:tr>
      <w:tr w:rsidR="002C7155" w:rsidRPr="006E709F" w:rsidTr="00E118FA">
        <w:tc>
          <w:tcPr>
            <w:tcW w:w="761" w:type="pct"/>
            <w:tcBorders>
              <w:top w:val="single" w:sz="12" w:space="0" w:color="auto"/>
              <w:bottom w:val="single" w:sz="4" w:space="0" w:color="auto"/>
            </w:tcBorders>
            <w:shd w:val="clear" w:color="auto" w:fill="auto"/>
          </w:tcPr>
          <w:p w:rsidR="002C7155" w:rsidRPr="006E709F" w:rsidRDefault="002C7155" w:rsidP="00A801D0">
            <w:pPr>
              <w:pStyle w:val="Tabletext"/>
            </w:pPr>
            <w:r w:rsidRPr="006E709F">
              <w:t>7A201</w:t>
            </w:r>
          </w:p>
        </w:tc>
        <w:tc>
          <w:tcPr>
            <w:tcW w:w="4239" w:type="pct"/>
            <w:tcBorders>
              <w:top w:val="single" w:sz="12" w:space="0" w:color="auto"/>
              <w:bottom w:val="single" w:sz="4" w:space="0" w:color="auto"/>
            </w:tcBorders>
            <w:shd w:val="clear" w:color="auto" w:fill="auto"/>
          </w:tcPr>
          <w:p w:rsidR="002C7155" w:rsidRPr="006E709F" w:rsidRDefault="002C7155" w:rsidP="00A801D0">
            <w:pPr>
              <w:pStyle w:val="Tabletext"/>
            </w:pPr>
            <w:r w:rsidRPr="006E709F">
              <w:t>A description of the transparency reporting auditor’s:</w:t>
            </w:r>
          </w:p>
          <w:p w:rsidR="002C7155" w:rsidRPr="006E709F" w:rsidRDefault="00A801D0" w:rsidP="00A801D0">
            <w:pPr>
              <w:pStyle w:val="Tablea"/>
            </w:pPr>
            <w:r w:rsidRPr="006E709F">
              <w:t>(</w:t>
            </w:r>
            <w:r w:rsidR="002C7155" w:rsidRPr="006E709F">
              <w:t>a</w:t>
            </w:r>
            <w:r w:rsidRPr="006E709F">
              <w:t xml:space="preserve">) </w:t>
            </w:r>
            <w:r w:rsidR="002C7155" w:rsidRPr="006E709F">
              <w:t>legal structure; and</w:t>
            </w:r>
          </w:p>
          <w:p w:rsidR="002C7155" w:rsidRPr="006E709F" w:rsidRDefault="00A801D0" w:rsidP="00A801D0">
            <w:pPr>
              <w:pStyle w:val="Tablea"/>
            </w:pPr>
            <w:r w:rsidRPr="006E709F">
              <w:t>(</w:t>
            </w:r>
            <w:r w:rsidR="002C7155" w:rsidRPr="006E709F">
              <w:t>b</w:t>
            </w:r>
            <w:r w:rsidRPr="006E709F">
              <w:t xml:space="preserve">) </w:t>
            </w:r>
            <w:r w:rsidR="002C7155" w:rsidRPr="006E709F">
              <w:t>ownership</w:t>
            </w:r>
          </w:p>
        </w:tc>
      </w:tr>
      <w:tr w:rsidR="002C7155" w:rsidRPr="006E709F" w:rsidTr="00E118FA">
        <w:tc>
          <w:tcPr>
            <w:tcW w:w="761" w:type="pct"/>
            <w:tcBorders>
              <w:bottom w:val="nil"/>
              <w:right w:val="nil"/>
            </w:tcBorders>
            <w:shd w:val="clear" w:color="auto" w:fill="auto"/>
          </w:tcPr>
          <w:p w:rsidR="002C7155" w:rsidRPr="006E709F" w:rsidRDefault="002C7155" w:rsidP="00A801D0">
            <w:pPr>
              <w:pStyle w:val="Tabletext"/>
            </w:pPr>
            <w:r w:rsidRPr="006E709F">
              <w:t>7A202</w:t>
            </w:r>
          </w:p>
        </w:tc>
        <w:tc>
          <w:tcPr>
            <w:tcW w:w="4239" w:type="pct"/>
            <w:tcBorders>
              <w:left w:val="nil"/>
              <w:bottom w:val="nil"/>
            </w:tcBorders>
            <w:shd w:val="clear" w:color="auto" w:fill="auto"/>
          </w:tcPr>
          <w:p w:rsidR="002C7155" w:rsidRPr="006E709F" w:rsidRDefault="002C7155" w:rsidP="00A801D0">
            <w:pPr>
              <w:pStyle w:val="Tabletext"/>
            </w:pPr>
            <w:r w:rsidRPr="006E709F">
              <w:t>If the transparency reporting auditor belongs to a network, a description of:</w:t>
            </w:r>
          </w:p>
        </w:tc>
      </w:tr>
      <w:tr w:rsidR="002C7155" w:rsidRPr="006E709F" w:rsidTr="00E118FA">
        <w:tc>
          <w:tcPr>
            <w:tcW w:w="761" w:type="pct"/>
            <w:tcBorders>
              <w:top w:val="nil"/>
              <w:bottom w:val="single" w:sz="4" w:space="0" w:color="auto"/>
              <w:right w:val="nil"/>
            </w:tcBorders>
            <w:shd w:val="clear" w:color="auto" w:fill="auto"/>
          </w:tcPr>
          <w:p w:rsidR="002C7155" w:rsidRPr="006E709F" w:rsidRDefault="002C7155" w:rsidP="005133DE">
            <w:pPr>
              <w:pStyle w:val="Tabletext"/>
            </w:pPr>
          </w:p>
        </w:tc>
        <w:tc>
          <w:tcPr>
            <w:tcW w:w="4239" w:type="pct"/>
            <w:tcBorders>
              <w:top w:val="nil"/>
              <w:left w:val="nil"/>
              <w:bottom w:val="single" w:sz="4" w:space="0" w:color="auto"/>
            </w:tcBorders>
            <w:shd w:val="clear" w:color="auto" w:fill="auto"/>
          </w:tcPr>
          <w:p w:rsidR="002C7155" w:rsidRPr="006E709F" w:rsidRDefault="00A801D0" w:rsidP="00A801D0">
            <w:pPr>
              <w:pStyle w:val="Tablea"/>
            </w:pPr>
            <w:r w:rsidRPr="006E709F">
              <w:t>(</w:t>
            </w:r>
            <w:r w:rsidR="002C7155" w:rsidRPr="006E709F">
              <w:t>a</w:t>
            </w:r>
            <w:r w:rsidRPr="006E709F">
              <w:t xml:space="preserve">) </w:t>
            </w:r>
            <w:r w:rsidR="002C7155" w:rsidRPr="006E709F">
              <w:t>the network; and</w:t>
            </w:r>
          </w:p>
          <w:p w:rsidR="002C7155" w:rsidRPr="006E709F" w:rsidRDefault="00A801D0" w:rsidP="00A801D0">
            <w:pPr>
              <w:pStyle w:val="Tablea"/>
            </w:pPr>
            <w:r w:rsidRPr="006E709F">
              <w:t>(</w:t>
            </w:r>
            <w:r w:rsidR="002C7155" w:rsidRPr="006E709F">
              <w:t>b</w:t>
            </w:r>
            <w:r w:rsidRPr="006E709F">
              <w:t xml:space="preserve">) </w:t>
            </w:r>
            <w:r w:rsidR="002C7155" w:rsidRPr="006E709F">
              <w:t>the legal arrangements of the network; and</w:t>
            </w:r>
          </w:p>
          <w:p w:rsidR="002C7155" w:rsidRPr="006E709F" w:rsidRDefault="00A801D0" w:rsidP="00A801D0">
            <w:pPr>
              <w:pStyle w:val="Tablea"/>
            </w:pPr>
            <w:r w:rsidRPr="006E709F">
              <w:t>(</w:t>
            </w:r>
            <w:r w:rsidR="002C7155" w:rsidRPr="006E709F">
              <w:t>c</w:t>
            </w:r>
            <w:r w:rsidRPr="006E709F">
              <w:t xml:space="preserve">) </w:t>
            </w:r>
            <w:r w:rsidR="002C7155" w:rsidRPr="006E709F">
              <w:t>the structural arrangements of the network</w:t>
            </w:r>
          </w:p>
        </w:tc>
      </w:tr>
      <w:tr w:rsidR="002C7155" w:rsidRPr="006E709F" w:rsidTr="00E118FA">
        <w:tc>
          <w:tcPr>
            <w:tcW w:w="761" w:type="pct"/>
            <w:tcBorders>
              <w:top w:val="single" w:sz="4" w:space="0" w:color="auto"/>
            </w:tcBorders>
            <w:shd w:val="clear" w:color="auto" w:fill="auto"/>
          </w:tcPr>
          <w:p w:rsidR="002C7155" w:rsidRPr="006E709F" w:rsidRDefault="002C7155" w:rsidP="00A801D0">
            <w:pPr>
              <w:pStyle w:val="Tabletext"/>
            </w:pPr>
            <w:r w:rsidRPr="006E709F">
              <w:t>7A203</w:t>
            </w:r>
          </w:p>
        </w:tc>
        <w:tc>
          <w:tcPr>
            <w:tcW w:w="4239" w:type="pct"/>
            <w:tcBorders>
              <w:top w:val="single" w:sz="4" w:space="0" w:color="auto"/>
            </w:tcBorders>
            <w:shd w:val="clear" w:color="auto" w:fill="auto"/>
          </w:tcPr>
          <w:p w:rsidR="002C7155" w:rsidRPr="006E709F" w:rsidRDefault="002C7155" w:rsidP="00A801D0">
            <w:pPr>
              <w:pStyle w:val="Tabletext"/>
            </w:pPr>
            <w:r w:rsidRPr="006E709F">
              <w:t>A description of the transparency reporting auditor’s governance structure</w:t>
            </w:r>
          </w:p>
        </w:tc>
      </w:tr>
      <w:tr w:rsidR="002C7155" w:rsidRPr="006E709F" w:rsidTr="00E118FA">
        <w:tc>
          <w:tcPr>
            <w:tcW w:w="761" w:type="pct"/>
            <w:shd w:val="clear" w:color="auto" w:fill="auto"/>
          </w:tcPr>
          <w:p w:rsidR="002C7155" w:rsidRPr="006E709F" w:rsidRDefault="002C7155" w:rsidP="00A801D0">
            <w:pPr>
              <w:pStyle w:val="Tabletext"/>
            </w:pPr>
            <w:r w:rsidRPr="006E709F">
              <w:t>7A204</w:t>
            </w:r>
          </w:p>
        </w:tc>
        <w:tc>
          <w:tcPr>
            <w:tcW w:w="4239" w:type="pct"/>
            <w:shd w:val="clear" w:color="auto" w:fill="auto"/>
          </w:tcPr>
          <w:p w:rsidR="002C7155" w:rsidRPr="006E709F" w:rsidRDefault="002C7155" w:rsidP="00A801D0">
            <w:pPr>
              <w:pStyle w:val="Tabletext"/>
            </w:pPr>
            <w:r w:rsidRPr="006E709F">
              <w:t>A description of the transparency reporting auditor’s internal quality control system</w:t>
            </w:r>
          </w:p>
        </w:tc>
      </w:tr>
      <w:tr w:rsidR="002C7155" w:rsidRPr="006E709F" w:rsidTr="00E118FA">
        <w:tc>
          <w:tcPr>
            <w:tcW w:w="761" w:type="pct"/>
            <w:shd w:val="clear" w:color="auto" w:fill="auto"/>
          </w:tcPr>
          <w:p w:rsidR="002C7155" w:rsidRPr="006E709F" w:rsidRDefault="002C7155" w:rsidP="00A801D0">
            <w:pPr>
              <w:pStyle w:val="Tabletext"/>
            </w:pPr>
            <w:r w:rsidRPr="006E709F">
              <w:t>7A205</w:t>
            </w:r>
          </w:p>
        </w:tc>
        <w:tc>
          <w:tcPr>
            <w:tcW w:w="4239" w:type="pct"/>
            <w:shd w:val="clear" w:color="auto" w:fill="auto"/>
          </w:tcPr>
          <w:p w:rsidR="002C7155" w:rsidRPr="006E709F" w:rsidRDefault="002C7155" w:rsidP="00A801D0">
            <w:pPr>
              <w:pStyle w:val="Tabletext"/>
            </w:pPr>
            <w:r w:rsidRPr="006E709F">
              <w:t>A statement by the transparency reporting auditor’s administrative body or management body on the effectiveness of the functioning of the transparency reporting auditor’s internal quality control system in the relevant transparency reporting year</w:t>
            </w:r>
          </w:p>
        </w:tc>
      </w:tr>
      <w:tr w:rsidR="002C7155" w:rsidRPr="006E709F" w:rsidTr="00E118FA">
        <w:tc>
          <w:tcPr>
            <w:tcW w:w="761" w:type="pct"/>
            <w:shd w:val="clear" w:color="auto" w:fill="auto"/>
          </w:tcPr>
          <w:p w:rsidR="002C7155" w:rsidRPr="006E709F" w:rsidRDefault="002C7155" w:rsidP="00A801D0">
            <w:pPr>
              <w:pStyle w:val="Tabletext"/>
            </w:pPr>
            <w:r w:rsidRPr="006E709F">
              <w:rPr>
                <w:color w:val="000000"/>
              </w:rPr>
              <w:t>7A206</w:t>
            </w:r>
          </w:p>
        </w:tc>
        <w:tc>
          <w:tcPr>
            <w:tcW w:w="4239" w:type="pct"/>
            <w:shd w:val="clear" w:color="auto" w:fill="auto"/>
          </w:tcPr>
          <w:p w:rsidR="002C7155" w:rsidRPr="006E709F" w:rsidRDefault="002C7155" w:rsidP="00A801D0">
            <w:pPr>
              <w:pStyle w:val="Tabletext"/>
            </w:pPr>
            <w:r w:rsidRPr="006E709F">
              <w:rPr>
                <w:color w:val="000000"/>
              </w:rPr>
              <w:t>The name of each body that is authorised to review the transparency reporting auditor (for example, ASIC or a professional accounting body) and the date of the most recent review of the transparency reporting auditor conducted by the body</w:t>
            </w:r>
          </w:p>
        </w:tc>
      </w:tr>
      <w:tr w:rsidR="002C7155" w:rsidRPr="006E709F" w:rsidTr="00E118FA">
        <w:tc>
          <w:tcPr>
            <w:tcW w:w="761" w:type="pct"/>
            <w:shd w:val="clear" w:color="auto" w:fill="auto"/>
          </w:tcPr>
          <w:p w:rsidR="002C7155" w:rsidRPr="006E709F" w:rsidRDefault="002C7155" w:rsidP="00A801D0">
            <w:pPr>
              <w:pStyle w:val="Tabletext"/>
            </w:pPr>
            <w:r w:rsidRPr="006E709F">
              <w:t>7A207</w:t>
            </w:r>
          </w:p>
        </w:tc>
        <w:tc>
          <w:tcPr>
            <w:tcW w:w="4239" w:type="pct"/>
            <w:shd w:val="clear" w:color="auto" w:fill="auto"/>
          </w:tcPr>
          <w:p w:rsidR="002C7155" w:rsidRPr="006E709F" w:rsidRDefault="002C7155" w:rsidP="008C457C">
            <w:pPr>
              <w:pStyle w:val="Tabletext"/>
            </w:pPr>
            <w:r w:rsidRPr="006E709F">
              <w:t>The names of bodies of the kinds mentioned in subsection</w:t>
            </w:r>
            <w:r w:rsidR="00DA13DE" w:rsidRPr="006E709F">
              <w:t> </w:t>
            </w:r>
            <w:r w:rsidRPr="006E709F">
              <w:t xml:space="preserve">332A(1) of the Act for which the transparency reporting auditor conducted an audit under </w:t>
            </w:r>
            <w:r w:rsidR="00A801D0" w:rsidRPr="006E709F">
              <w:t>Division</w:t>
            </w:r>
            <w:r w:rsidR="00DA13DE" w:rsidRPr="006E709F">
              <w:t> </w:t>
            </w:r>
            <w:r w:rsidRPr="006E709F">
              <w:t xml:space="preserve">3 of </w:t>
            </w:r>
            <w:r w:rsidR="00A801D0" w:rsidRPr="006E709F">
              <w:t>Part</w:t>
            </w:r>
            <w:r w:rsidR="00DA13DE" w:rsidRPr="006E709F">
              <w:t> </w:t>
            </w:r>
            <w:r w:rsidRPr="006E709F">
              <w:t>2M.3 of the Act in the relevant transparency reporting year</w:t>
            </w:r>
          </w:p>
        </w:tc>
      </w:tr>
      <w:tr w:rsidR="002C7155" w:rsidRPr="006E709F" w:rsidTr="00E118FA">
        <w:tc>
          <w:tcPr>
            <w:tcW w:w="761" w:type="pct"/>
            <w:tcBorders>
              <w:bottom w:val="single" w:sz="4" w:space="0" w:color="auto"/>
            </w:tcBorders>
            <w:shd w:val="clear" w:color="auto" w:fill="auto"/>
          </w:tcPr>
          <w:p w:rsidR="002C7155" w:rsidRPr="006E709F" w:rsidRDefault="002C7155" w:rsidP="00A801D0">
            <w:pPr>
              <w:pStyle w:val="Tabletext"/>
            </w:pPr>
            <w:r w:rsidRPr="006E709F">
              <w:t>7A208</w:t>
            </w:r>
          </w:p>
        </w:tc>
        <w:tc>
          <w:tcPr>
            <w:tcW w:w="4239" w:type="pct"/>
            <w:tcBorders>
              <w:bottom w:val="single" w:sz="4" w:space="0" w:color="auto"/>
            </w:tcBorders>
            <w:shd w:val="clear" w:color="auto" w:fill="auto"/>
          </w:tcPr>
          <w:p w:rsidR="002C7155" w:rsidRPr="006E709F" w:rsidRDefault="002C7155" w:rsidP="00A801D0">
            <w:pPr>
              <w:pStyle w:val="Tabletext"/>
            </w:pPr>
            <w:r w:rsidRPr="006E709F">
              <w:t>A statement about the transparency reporting auditor’s independence practices in the relevant transparency reporting year, including the date on which the transparency reporting auditor most recently conducted an internal review of its independence compliance</w:t>
            </w:r>
          </w:p>
        </w:tc>
      </w:tr>
      <w:tr w:rsidR="002C7155" w:rsidRPr="006E709F" w:rsidTr="00E118FA">
        <w:trPr>
          <w:cantSplit/>
        </w:trPr>
        <w:tc>
          <w:tcPr>
            <w:tcW w:w="761" w:type="pct"/>
            <w:tcBorders>
              <w:bottom w:val="single" w:sz="4" w:space="0" w:color="auto"/>
            </w:tcBorders>
            <w:shd w:val="clear" w:color="auto" w:fill="auto"/>
          </w:tcPr>
          <w:p w:rsidR="002C7155" w:rsidRPr="006E709F" w:rsidRDefault="002C7155" w:rsidP="00A801D0">
            <w:pPr>
              <w:pStyle w:val="Tabletext"/>
            </w:pPr>
            <w:r w:rsidRPr="006E709F">
              <w:t>7A209</w:t>
            </w:r>
          </w:p>
        </w:tc>
        <w:tc>
          <w:tcPr>
            <w:tcW w:w="4239" w:type="pct"/>
            <w:tcBorders>
              <w:bottom w:val="single" w:sz="4" w:space="0" w:color="auto"/>
            </w:tcBorders>
            <w:shd w:val="clear" w:color="auto" w:fill="auto"/>
          </w:tcPr>
          <w:p w:rsidR="002C7155" w:rsidRPr="006E709F" w:rsidRDefault="002C7155" w:rsidP="00A801D0">
            <w:pPr>
              <w:pStyle w:val="Tabletext"/>
            </w:pPr>
            <w:r w:rsidRPr="006E709F">
              <w:t>A statement about the policy that the transparency reporting auditor follows regarding the minimum amount and nature of continuing or other professional education that professional members of an audit team must undertake during the relevant transparency reporting year</w:t>
            </w:r>
          </w:p>
        </w:tc>
      </w:tr>
      <w:tr w:rsidR="002C7155" w:rsidRPr="006E709F" w:rsidTr="00E118FA">
        <w:tc>
          <w:tcPr>
            <w:tcW w:w="761" w:type="pct"/>
            <w:tcBorders>
              <w:bottom w:val="nil"/>
              <w:right w:val="nil"/>
            </w:tcBorders>
            <w:shd w:val="clear" w:color="auto" w:fill="auto"/>
          </w:tcPr>
          <w:p w:rsidR="002C7155" w:rsidRPr="006E709F" w:rsidRDefault="002C7155" w:rsidP="00A801D0">
            <w:pPr>
              <w:pStyle w:val="Tabletext"/>
            </w:pPr>
            <w:r w:rsidRPr="006E709F">
              <w:t>7A210</w:t>
            </w:r>
          </w:p>
        </w:tc>
        <w:tc>
          <w:tcPr>
            <w:tcW w:w="4239" w:type="pct"/>
            <w:tcBorders>
              <w:left w:val="nil"/>
              <w:bottom w:val="nil"/>
            </w:tcBorders>
            <w:shd w:val="clear" w:color="auto" w:fill="auto"/>
          </w:tcPr>
          <w:p w:rsidR="002C7155" w:rsidRPr="006E709F" w:rsidRDefault="002C7155" w:rsidP="00A801D0">
            <w:pPr>
              <w:pStyle w:val="Tabletext"/>
            </w:pPr>
            <w:r w:rsidRPr="006E709F">
              <w:t>Financial information for the transparency reporting auditor that relates to the relevant transparency reporting year, including:</w:t>
            </w:r>
          </w:p>
          <w:p w:rsidR="002C7155" w:rsidRPr="006E709F" w:rsidRDefault="00A801D0" w:rsidP="00A801D0">
            <w:pPr>
              <w:pStyle w:val="Tablea"/>
            </w:pPr>
            <w:r w:rsidRPr="006E709F">
              <w:t>(</w:t>
            </w:r>
            <w:r w:rsidR="002C7155" w:rsidRPr="006E709F">
              <w:t>a</w:t>
            </w:r>
            <w:r w:rsidRPr="006E709F">
              <w:t xml:space="preserve">) </w:t>
            </w:r>
            <w:r w:rsidR="002C7155" w:rsidRPr="006E709F">
              <w:t>total revenue; and</w:t>
            </w:r>
          </w:p>
        </w:tc>
      </w:tr>
      <w:tr w:rsidR="002C7155" w:rsidRPr="006E709F" w:rsidTr="00E118FA">
        <w:tc>
          <w:tcPr>
            <w:tcW w:w="761" w:type="pct"/>
            <w:tcBorders>
              <w:top w:val="nil"/>
              <w:bottom w:val="single" w:sz="4" w:space="0" w:color="auto"/>
              <w:right w:val="nil"/>
            </w:tcBorders>
            <w:shd w:val="clear" w:color="auto" w:fill="auto"/>
          </w:tcPr>
          <w:p w:rsidR="002C7155" w:rsidRPr="006E709F" w:rsidRDefault="002C7155" w:rsidP="00A801D0">
            <w:pPr>
              <w:pStyle w:val="Tabletext"/>
            </w:pPr>
          </w:p>
        </w:tc>
        <w:tc>
          <w:tcPr>
            <w:tcW w:w="4239" w:type="pct"/>
            <w:tcBorders>
              <w:top w:val="nil"/>
              <w:left w:val="nil"/>
              <w:bottom w:val="single" w:sz="4" w:space="0" w:color="auto"/>
            </w:tcBorders>
            <w:shd w:val="clear" w:color="auto" w:fill="auto"/>
          </w:tcPr>
          <w:p w:rsidR="002C7155" w:rsidRPr="006E709F" w:rsidRDefault="00A801D0" w:rsidP="00A801D0">
            <w:pPr>
              <w:pStyle w:val="Tablea"/>
            </w:pPr>
            <w:r w:rsidRPr="006E709F">
              <w:t>(</w:t>
            </w:r>
            <w:r w:rsidR="002C7155" w:rsidRPr="006E709F">
              <w:t>b</w:t>
            </w:r>
            <w:r w:rsidRPr="006E709F">
              <w:t xml:space="preserve">) </w:t>
            </w:r>
            <w:r w:rsidR="002C7155" w:rsidRPr="006E709F">
              <w:t>revenue relating to:</w:t>
            </w:r>
          </w:p>
          <w:p w:rsidR="002C7155" w:rsidRPr="006E709F" w:rsidRDefault="00A801D0" w:rsidP="00A801D0">
            <w:pPr>
              <w:pStyle w:val="Tablei"/>
            </w:pPr>
            <w:r w:rsidRPr="006E709F">
              <w:t>(</w:t>
            </w:r>
            <w:r w:rsidR="002C7155" w:rsidRPr="006E709F">
              <w:t>i</w:t>
            </w:r>
            <w:r w:rsidRPr="006E709F">
              <w:t xml:space="preserve">) </w:t>
            </w:r>
            <w:r w:rsidR="002C7155" w:rsidRPr="006E709F">
              <w:t>audits of financial statements conducted by the transparency reporting auditor; and</w:t>
            </w:r>
          </w:p>
          <w:p w:rsidR="002C7155" w:rsidRPr="006E709F" w:rsidRDefault="00A801D0" w:rsidP="00A801D0">
            <w:pPr>
              <w:pStyle w:val="Tablei"/>
            </w:pPr>
            <w:r w:rsidRPr="006E709F">
              <w:t>(</w:t>
            </w:r>
            <w:r w:rsidR="002C7155" w:rsidRPr="006E709F">
              <w:t>ii</w:t>
            </w:r>
            <w:r w:rsidRPr="006E709F">
              <w:t xml:space="preserve">) </w:t>
            </w:r>
            <w:r w:rsidR="002C7155" w:rsidRPr="006E709F">
              <w:t>other services provided by the transparency reporting auditor</w:t>
            </w:r>
          </w:p>
        </w:tc>
      </w:tr>
      <w:tr w:rsidR="002C7155" w:rsidRPr="006E709F" w:rsidTr="00E118FA">
        <w:tc>
          <w:tcPr>
            <w:tcW w:w="761" w:type="pct"/>
            <w:tcBorders>
              <w:bottom w:val="single" w:sz="12" w:space="0" w:color="auto"/>
            </w:tcBorders>
            <w:shd w:val="clear" w:color="auto" w:fill="auto"/>
          </w:tcPr>
          <w:p w:rsidR="002C7155" w:rsidRPr="006E709F" w:rsidRDefault="002C7155" w:rsidP="00A801D0">
            <w:pPr>
              <w:pStyle w:val="Tabletext"/>
            </w:pPr>
            <w:r w:rsidRPr="006E709F">
              <w:t>7A211</w:t>
            </w:r>
          </w:p>
        </w:tc>
        <w:tc>
          <w:tcPr>
            <w:tcW w:w="4239" w:type="pct"/>
            <w:tcBorders>
              <w:bottom w:val="single" w:sz="12" w:space="0" w:color="auto"/>
            </w:tcBorders>
            <w:shd w:val="clear" w:color="auto" w:fill="auto"/>
          </w:tcPr>
          <w:p w:rsidR="002C7155" w:rsidRPr="006E709F" w:rsidRDefault="002C7155" w:rsidP="00A801D0">
            <w:pPr>
              <w:pStyle w:val="Tabletext"/>
            </w:pPr>
            <w:r w:rsidRPr="006E709F">
              <w:t>Information concerning the basis for remuneration of:</w:t>
            </w:r>
          </w:p>
          <w:p w:rsidR="002C7155" w:rsidRPr="006E709F" w:rsidRDefault="00A801D0" w:rsidP="00A801D0">
            <w:pPr>
              <w:pStyle w:val="Tablea"/>
            </w:pPr>
            <w:r w:rsidRPr="006E709F">
              <w:t>(</w:t>
            </w:r>
            <w:r w:rsidR="002C7155" w:rsidRPr="006E709F">
              <w:t>a</w:t>
            </w:r>
            <w:r w:rsidRPr="006E709F">
              <w:t xml:space="preserve">) </w:t>
            </w:r>
            <w:r w:rsidR="002C7155" w:rsidRPr="006E709F">
              <w:t>the audit firm’s partners; or</w:t>
            </w:r>
          </w:p>
          <w:p w:rsidR="002C7155" w:rsidRPr="006E709F" w:rsidRDefault="00A801D0" w:rsidP="00A801D0">
            <w:pPr>
              <w:pStyle w:val="Tablea"/>
            </w:pPr>
            <w:r w:rsidRPr="006E709F">
              <w:t>(</w:t>
            </w:r>
            <w:r w:rsidR="002C7155" w:rsidRPr="006E709F">
              <w:t>b</w:t>
            </w:r>
            <w:r w:rsidRPr="006E709F">
              <w:t xml:space="preserve">) </w:t>
            </w:r>
            <w:r w:rsidR="002C7155" w:rsidRPr="006E709F">
              <w:t>the authorised audit company’s directors</w:t>
            </w:r>
          </w:p>
        </w:tc>
      </w:tr>
    </w:tbl>
    <w:p w:rsidR="002C7155" w:rsidRPr="006E709F" w:rsidRDefault="00A801D0" w:rsidP="00A801D0">
      <w:pPr>
        <w:pStyle w:val="ActHead2"/>
        <w:pageBreakBefore/>
      </w:pPr>
      <w:bookmarkStart w:id="23" w:name="_Toc170547845"/>
      <w:r w:rsidRPr="000C4237">
        <w:rPr>
          <w:rStyle w:val="CharPartNo"/>
        </w:rPr>
        <w:lastRenderedPageBreak/>
        <w:t>Part</w:t>
      </w:r>
      <w:r w:rsidR="00DA13DE" w:rsidRPr="000C4237">
        <w:rPr>
          <w:rStyle w:val="CharPartNo"/>
        </w:rPr>
        <w:t> </w:t>
      </w:r>
      <w:r w:rsidR="002C7155" w:rsidRPr="000C4237">
        <w:rPr>
          <w:rStyle w:val="CharPartNo"/>
        </w:rPr>
        <w:t>3</w:t>
      </w:r>
      <w:r w:rsidRPr="006E709F">
        <w:t>—</w:t>
      </w:r>
      <w:r w:rsidR="002C7155" w:rsidRPr="000C4237">
        <w:rPr>
          <w:rStyle w:val="CharPartText"/>
        </w:rPr>
        <w:t>Prescribed information for individual auditor</w:t>
      </w:r>
      <w:bookmarkEnd w:id="23"/>
    </w:p>
    <w:p w:rsidR="00A801D0" w:rsidRPr="006E709F"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98"/>
        <w:gridCol w:w="7231"/>
      </w:tblGrid>
      <w:tr w:rsidR="002C7155" w:rsidRPr="006E709F" w:rsidTr="00E118FA">
        <w:trPr>
          <w:tblHeader/>
        </w:trPr>
        <w:tc>
          <w:tcPr>
            <w:tcW w:w="761" w:type="pct"/>
            <w:tcBorders>
              <w:top w:val="single" w:sz="12" w:space="0" w:color="auto"/>
              <w:bottom w:val="single" w:sz="12" w:space="0" w:color="auto"/>
            </w:tcBorders>
            <w:shd w:val="clear" w:color="auto" w:fill="auto"/>
          </w:tcPr>
          <w:p w:rsidR="002C7155" w:rsidRPr="006E709F" w:rsidRDefault="002C7155" w:rsidP="00A801D0">
            <w:pPr>
              <w:pStyle w:val="TableHeading"/>
            </w:pPr>
            <w:r w:rsidRPr="006E709F">
              <w:t>Item</w:t>
            </w:r>
          </w:p>
        </w:tc>
        <w:tc>
          <w:tcPr>
            <w:tcW w:w="4239" w:type="pct"/>
            <w:tcBorders>
              <w:top w:val="single" w:sz="12" w:space="0" w:color="auto"/>
              <w:bottom w:val="single" w:sz="12" w:space="0" w:color="auto"/>
            </w:tcBorders>
            <w:shd w:val="clear" w:color="auto" w:fill="auto"/>
          </w:tcPr>
          <w:p w:rsidR="002C7155" w:rsidRPr="006E709F" w:rsidRDefault="002C7155" w:rsidP="00A801D0">
            <w:pPr>
              <w:pStyle w:val="TableHeading"/>
            </w:pPr>
            <w:r w:rsidRPr="006E709F">
              <w:t>Information</w:t>
            </w:r>
          </w:p>
        </w:tc>
      </w:tr>
      <w:tr w:rsidR="002C7155" w:rsidRPr="006E709F" w:rsidTr="00E118FA">
        <w:tc>
          <w:tcPr>
            <w:tcW w:w="761" w:type="pct"/>
            <w:tcBorders>
              <w:top w:val="single" w:sz="12" w:space="0" w:color="auto"/>
              <w:bottom w:val="nil"/>
              <w:right w:val="nil"/>
            </w:tcBorders>
            <w:shd w:val="clear" w:color="auto" w:fill="auto"/>
          </w:tcPr>
          <w:p w:rsidR="002C7155" w:rsidRPr="006E709F" w:rsidRDefault="002C7155" w:rsidP="00A801D0">
            <w:pPr>
              <w:pStyle w:val="Tabletext"/>
            </w:pPr>
            <w:r w:rsidRPr="006E709F">
              <w:t>7A301</w:t>
            </w:r>
          </w:p>
        </w:tc>
        <w:tc>
          <w:tcPr>
            <w:tcW w:w="4239" w:type="pct"/>
            <w:tcBorders>
              <w:top w:val="single" w:sz="12" w:space="0" w:color="auto"/>
              <w:left w:val="nil"/>
              <w:bottom w:val="nil"/>
            </w:tcBorders>
            <w:shd w:val="clear" w:color="auto" w:fill="auto"/>
          </w:tcPr>
          <w:p w:rsidR="002C7155" w:rsidRPr="006E709F" w:rsidRDefault="002C7155" w:rsidP="00A801D0">
            <w:pPr>
              <w:pStyle w:val="Tabletext"/>
            </w:pPr>
            <w:r w:rsidRPr="006E709F">
              <w:t>If the transparency reporting auditor belongs to a network, a description of:</w:t>
            </w:r>
          </w:p>
        </w:tc>
      </w:tr>
      <w:tr w:rsidR="002C7155" w:rsidRPr="006E709F" w:rsidTr="00E118FA">
        <w:tc>
          <w:tcPr>
            <w:tcW w:w="761" w:type="pct"/>
            <w:tcBorders>
              <w:top w:val="nil"/>
              <w:bottom w:val="single" w:sz="4" w:space="0" w:color="auto"/>
              <w:right w:val="nil"/>
            </w:tcBorders>
            <w:shd w:val="clear" w:color="auto" w:fill="auto"/>
          </w:tcPr>
          <w:p w:rsidR="002C7155" w:rsidRPr="006E709F" w:rsidRDefault="002C7155" w:rsidP="005133DE">
            <w:pPr>
              <w:pStyle w:val="Tabletext"/>
            </w:pPr>
          </w:p>
        </w:tc>
        <w:tc>
          <w:tcPr>
            <w:tcW w:w="4239" w:type="pct"/>
            <w:tcBorders>
              <w:top w:val="nil"/>
              <w:left w:val="nil"/>
              <w:bottom w:val="single" w:sz="4" w:space="0" w:color="auto"/>
            </w:tcBorders>
            <w:shd w:val="clear" w:color="auto" w:fill="auto"/>
          </w:tcPr>
          <w:p w:rsidR="002C7155" w:rsidRPr="006E709F" w:rsidRDefault="00A801D0" w:rsidP="00A801D0">
            <w:pPr>
              <w:pStyle w:val="Tablea"/>
            </w:pPr>
            <w:r w:rsidRPr="006E709F">
              <w:t>(</w:t>
            </w:r>
            <w:r w:rsidR="002C7155" w:rsidRPr="006E709F">
              <w:t>a</w:t>
            </w:r>
            <w:r w:rsidRPr="006E709F">
              <w:t xml:space="preserve">) </w:t>
            </w:r>
            <w:r w:rsidR="002C7155" w:rsidRPr="006E709F">
              <w:t>the network; and</w:t>
            </w:r>
          </w:p>
          <w:p w:rsidR="002C7155" w:rsidRPr="006E709F" w:rsidRDefault="00A801D0" w:rsidP="00A801D0">
            <w:pPr>
              <w:pStyle w:val="Tablea"/>
            </w:pPr>
            <w:r w:rsidRPr="006E709F">
              <w:t>(</w:t>
            </w:r>
            <w:r w:rsidR="002C7155" w:rsidRPr="006E709F">
              <w:t>b</w:t>
            </w:r>
            <w:r w:rsidRPr="006E709F">
              <w:t xml:space="preserve">) </w:t>
            </w:r>
            <w:r w:rsidR="002C7155" w:rsidRPr="006E709F">
              <w:t>the legal arrangements of the network; and</w:t>
            </w:r>
          </w:p>
          <w:p w:rsidR="002C7155" w:rsidRPr="006E709F" w:rsidRDefault="00A801D0" w:rsidP="00A801D0">
            <w:pPr>
              <w:pStyle w:val="Tablea"/>
            </w:pPr>
            <w:r w:rsidRPr="006E709F">
              <w:t>(</w:t>
            </w:r>
            <w:r w:rsidR="002C7155" w:rsidRPr="006E709F">
              <w:t>c</w:t>
            </w:r>
            <w:r w:rsidRPr="006E709F">
              <w:t xml:space="preserve">) </w:t>
            </w:r>
            <w:r w:rsidR="002C7155" w:rsidRPr="006E709F">
              <w:t>the structural arrangements of the network</w:t>
            </w:r>
          </w:p>
        </w:tc>
      </w:tr>
      <w:tr w:rsidR="002C7155" w:rsidRPr="006E709F" w:rsidTr="00E118FA">
        <w:tc>
          <w:tcPr>
            <w:tcW w:w="761" w:type="pct"/>
            <w:tcBorders>
              <w:top w:val="single" w:sz="4" w:space="0" w:color="auto"/>
            </w:tcBorders>
            <w:shd w:val="clear" w:color="auto" w:fill="auto"/>
          </w:tcPr>
          <w:p w:rsidR="002C7155" w:rsidRPr="006E709F" w:rsidRDefault="002C7155" w:rsidP="00A801D0">
            <w:pPr>
              <w:pStyle w:val="Tabletext"/>
            </w:pPr>
            <w:r w:rsidRPr="006E709F">
              <w:t>7A302</w:t>
            </w:r>
          </w:p>
        </w:tc>
        <w:tc>
          <w:tcPr>
            <w:tcW w:w="4239" w:type="pct"/>
            <w:tcBorders>
              <w:top w:val="single" w:sz="4" w:space="0" w:color="auto"/>
            </w:tcBorders>
            <w:shd w:val="clear" w:color="auto" w:fill="auto"/>
          </w:tcPr>
          <w:p w:rsidR="002C7155" w:rsidRPr="006E709F" w:rsidRDefault="002C7155" w:rsidP="00A801D0">
            <w:pPr>
              <w:pStyle w:val="Tabletext"/>
            </w:pPr>
            <w:r w:rsidRPr="006E709F">
              <w:t>A description of the transparency reporting auditor’s internal quality control system</w:t>
            </w:r>
          </w:p>
        </w:tc>
      </w:tr>
      <w:tr w:rsidR="002C7155" w:rsidRPr="006E709F" w:rsidTr="00E118FA">
        <w:tc>
          <w:tcPr>
            <w:tcW w:w="761" w:type="pct"/>
            <w:shd w:val="clear" w:color="auto" w:fill="auto"/>
          </w:tcPr>
          <w:p w:rsidR="002C7155" w:rsidRPr="006E709F" w:rsidRDefault="002C7155" w:rsidP="00A801D0">
            <w:pPr>
              <w:pStyle w:val="Tabletext"/>
            </w:pPr>
            <w:r w:rsidRPr="006E709F">
              <w:rPr>
                <w:color w:val="000000"/>
              </w:rPr>
              <w:t>7A303</w:t>
            </w:r>
          </w:p>
        </w:tc>
        <w:tc>
          <w:tcPr>
            <w:tcW w:w="4239" w:type="pct"/>
            <w:shd w:val="clear" w:color="auto" w:fill="auto"/>
          </w:tcPr>
          <w:p w:rsidR="002C7155" w:rsidRPr="006E709F" w:rsidRDefault="002C7155" w:rsidP="00A801D0">
            <w:pPr>
              <w:pStyle w:val="Tabletext"/>
            </w:pPr>
            <w:r w:rsidRPr="006E709F">
              <w:rPr>
                <w:color w:val="000000"/>
              </w:rPr>
              <w:t>The name of each body that is authorised to review the transparency reporting auditor (for example, ASIC or a professional accounting body) and the date of the most recent review of the transparency reporting auditor conducted by the body</w:t>
            </w:r>
          </w:p>
        </w:tc>
      </w:tr>
      <w:tr w:rsidR="002C7155" w:rsidRPr="006E709F" w:rsidTr="00E118FA">
        <w:tc>
          <w:tcPr>
            <w:tcW w:w="761" w:type="pct"/>
            <w:shd w:val="clear" w:color="auto" w:fill="auto"/>
          </w:tcPr>
          <w:p w:rsidR="002C7155" w:rsidRPr="006E709F" w:rsidRDefault="002C7155" w:rsidP="00A801D0">
            <w:pPr>
              <w:pStyle w:val="Tabletext"/>
            </w:pPr>
            <w:r w:rsidRPr="006E709F">
              <w:rPr>
                <w:color w:val="000000"/>
              </w:rPr>
              <w:t>7A304</w:t>
            </w:r>
          </w:p>
        </w:tc>
        <w:tc>
          <w:tcPr>
            <w:tcW w:w="4239" w:type="pct"/>
            <w:shd w:val="clear" w:color="auto" w:fill="auto"/>
          </w:tcPr>
          <w:p w:rsidR="002C7155" w:rsidRPr="006E709F" w:rsidRDefault="002C7155" w:rsidP="008C457C">
            <w:pPr>
              <w:pStyle w:val="Tabletext"/>
            </w:pPr>
            <w:r w:rsidRPr="006E709F">
              <w:rPr>
                <w:color w:val="000000"/>
              </w:rPr>
              <w:t>The names of bodies of the kinds mentioned in subsection</w:t>
            </w:r>
            <w:r w:rsidR="00DA13DE" w:rsidRPr="006E709F">
              <w:rPr>
                <w:color w:val="000000"/>
              </w:rPr>
              <w:t> </w:t>
            </w:r>
            <w:r w:rsidRPr="006E709F">
              <w:rPr>
                <w:color w:val="000000"/>
              </w:rPr>
              <w:t xml:space="preserve">332A(1) of the Act for which the transparency reporting auditor conducted an audit under </w:t>
            </w:r>
            <w:r w:rsidR="00A801D0" w:rsidRPr="006E709F">
              <w:rPr>
                <w:color w:val="000000"/>
              </w:rPr>
              <w:t>Division</w:t>
            </w:r>
            <w:r w:rsidR="00DA13DE" w:rsidRPr="006E709F">
              <w:rPr>
                <w:color w:val="000000"/>
              </w:rPr>
              <w:t> </w:t>
            </w:r>
            <w:r w:rsidRPr="006E709F">
              <w:rPr>
                <w:color w:val="000000"/>
              </w:rPr>
              <w:t xml:space="preserve">3 of </w:t>
            </w:r>
            <w:r w:rsidR="00A801D0" w:rsidRPr="006E709F">
              <w:rPr>
                <w:color w:val="000000"/>
              </w:rPr>
              <w:t>Part</w:t>
            </w:r>
            <w:r w:rsidR="00DA13DE" w:rsidRPr="006E709F">
              <w:rPr>
                <w:color w:val="000000"/>
              </w:rPr>
              <w:t> </w:t>
            </w:r>
            <w:r w:rsidRPr="006E709F">
              <w:rPr>
                <w:color w:val="000000"/>
              </w:rPr>
              <w:t xml:space="preserve">2M.3 of the Act in the relevant </w:t>
            </w:r>
            <w:r w:rsidRPr="006E709F">
              <w:t>transparency reporting</w:t>
            </w:r>
            <w:r w:rsidRPr="006E709F">
              <w:rPr>
                <w:color w:val="000000"/>
              </w:rPr>
              <w:t xml:space="preserve"> year</w:t>
            </w:r>
          </w:p>
        </w:tc>
      </w:tr>
      <w:tr w:rsidR="002C7155" w:rsidRPr="006E709F" w:rsidTr="00E118FA">
        <w:tc>
          <w:tcPr>
            <w:tcW w:w="761" w:type="pct"/>
            <w:tcBorders>
              <w:bottom w:val="single" w:sz="4" w:space="0" w:color="auto"/>
            </w:tcBorders>
            <w:shd w:val="clear" w:color="auto" w:fill="auto"/>
          </w:tcPr>
          <w:p w:rsidR="002C7155" w:rsidRPr="006E709F" w:rsidRDefault="002C7155" w:rsidP="00A801D0">
            <w:pPr>
              <w:pStyle w:val="Tabletext"/>
            </w:pPr>
            <w:r w:rsidRPr="006E709F">
              <w:rPr>
                <w:color w:val="000000"/>
              </w:rPr>
              <w:t>7A305</w:t>
            </w:r>
          </w:p>
        </w:tc>
        <w:tc>
          <w:tcPr>
            <w:tcW w:w="4239" w:type="pct"/>
            <w:tcBorders>
              <w:bottom w:val="single" w:sz="4" w:space="0" w:color="auto"/>
            </w:tcBorders>
            <w:shd w:val="clear" w:color="auto" w:fill="auto"/>
          </w:tcPr>
          <w:p w:rsidR="002C7155" w:rsidRPr="006E709F" w:rsidRDefault="002C7155" w:rsidP="00A801D0">
            <w:pPr>
              <w:pStyle w:val="Tabletext"/>
            </w:pPr>
            <w:r w:rsidRPr="006E709F">
              <w:rPr>
                <w:color w:val="000000"/>
              </w:rPr>
              <w:t xml:space="preserve">A statement </w:t>
            </w:r>
            <w:r w:rsidRPr="006E709F">
              <w:t>that sets out the transparency reporting auditor’s independence practices</w:t>
            </w:r>
            <w:r w:rsidRPr="006E709F">
              <w:rPr>
                <w:color w:val="7030A0"/>
              </w:rPr>
              <w:t xml:space="preserve"> </w:t>
            </w:r>
            <w:r w:rsidRPr="006E709F">
              <w:rPr>
                <w:color w:val="000000"/>
              </w:rPr>
              <w:t>in the relevant transparency reporting year</w:t>
            </w:r>
          </w:p>
        </w:tc>
      </w:tr>
      <w:tr w:rsidR="002C7155" w:rsidRPr="006E709F" w:rsidTr="00E118FA">
        <w:tc>
          <w:tcPr>
            <w:tcW w:w="761" w:type="pct"/>
            <w:tcBorders>
              <w:bottom w:val="single" w:sz="12" w:space="0" w:color="auto"/>
            </w:tcBorders>
            <w:shd w:val="clear" w:color="auto" w:fill="auto"/>
          </w:tcPr>
          <w:p w:rsidR="002C7155" w:rsidRPr="006E709F" w:rsidRDefault="002C7155" w:rsidP="00A801D0">
            <w:pPr>
              <w:pStyle w:val="Tabletext"/>
            </w:pPr>
            <w:r w:rsidRPr="006E709F">
              <w:t>7A306</w:t>
            </w:r>
          </w:p>
        </w:tc>
        <w:tc>
          <w:tcPr>
            <w:tcW w:w="4239" w:type="pct"/>
            <w:tcBorders>
              <w:bottom w:val="single" w:sz="12" w:space="0" w:color="auto"/>
            </w:tcBorders>
            <w:shd w:val="clear" w:color="auto" w:fill="auto"/>
          </w:tcPr>
          <w:p w:rsidR="002C7155" w:rsidRPr="006E709F" w:rsidRDefault="002C7155" w:rsidP="00A801D0">
            <w:pPr>
              <w:pStyle w:val="Tabletext"/>
            </w:pPr>
            <w:r w:rsidRPr="006E709F">
              <w:t>Financial information for the transparency reporting auditor that relates to the relevant transparency reporting year, including:</w:t>
            </w:r>
          </w:p>
          <w:p w:rsidR="002C7155" w:rsidRPr="006E709F" w:rsidRDefault="00A801D0" w:rsidP="00A801D0">
            <w:pPr>
              <w:pStyle w:val="Tablea"/>
            </w:pPr>
            <w:r w:rsidRPr="006E709F">
              <w:t>(</w:t>
            </w:r>
            <w:r w:rsidR="002C7155" w:rsidRPr="006E709F">
              <w:t>a</w:t>
            </w:r>
            <w:r w:rsidRPr="006E709F">
              <w:t xml:space="preserve">) </w:t>
            </w:r>
            <w:r w:rsidR="002C7155" w:rsidRPr="006E709F">
              <w:t>total revenue; and</w:t>
            </w:r>
          </w:p>
          <w:p w:rsidR="002C7155" w:rsidRPr="006E709F" w:rsidRDefault="00A801D0" w:rsidP="00A801D0">
            <w:pPr>
              <w:pStyle w:val="Tablea"/>
            </w:pPr>
            <w:r w:rsidRPr="006E709F">
              <w:t>(</w:t>
            </w:r>
            <w:r w:rsidR="002C7155" w:rsidRPr="006E709F">
              <w:t>b</w:t>
            </w:r>
            <w:r w:rsidRPr="006E709F">
              <w:t xml:space="preserve">) </w:t>
            </w:r>
            <w:r w:rsidR="002C7155" w:rsidRPr="006E709F">
              <w:t>revenue relating to:</w:t>
            </w:r>
          </w:p>
          <w:p w:rsidR="002C7155" w:rsidRPr="006E709F" w:rsidRDefault="00A801D0" w:rsidP="00A801D0">
            <w:pPr>
              <w:pStyle w:val="Tablei"/>
            </w:pPr>
            <w:r w:rsidRPr="006E709F">
              <w:t>(</w:t>
            </w:r>
            <w:r w:rsidR="002C7155" w:rsidRPr="006E709F">
              <w:t>i</w:t>
            </w:r>
            <w:r w:rsidRPr="006E709F">
              <w:t xml:space="preserve">) </w:t>
            </w:r>
            <w:r w:rsidR="002C7155" w:rsidRPr="006E709F">
              <w:t>audits of financial statements conducted by the transparency reporting auditor; and</w:t>
            </w:r>
          </w:p>
          <w:p w:rsidR="002C7155" w:rsidRPr="006E709F" w:rsidRDefault="00A801D0" w:rsidP="00A801D0">
            <w:pPr>
              <w:pStyle w:val="Tablei"/>
            </w:pPr>
            <w:r w:rsidRPr="006E709F">
              <w:t>(</w:t>
            </w:r>
            <w:r w:rsidR="002C7155" w:rsidRPr="006E709F">
              <w:t>ii</w:t>
            </w:r>
            <w:r w:rsidRPr="006E709F">
              <w:t xml:space="preserve">) </w:t>
            </w:r>
            <w:r w:rsidR="002C7155" w:rsidRPr="006E709F">
              <w:t>other services provided by the transparency reporting auditor</w:t>
            </w:r>
          </w:p>
        </w:tc>
      </w:tr>
    </w:tbl>
    <w:p w:rsidR="002A22A4" w:rsidRPr="006E709F" w:rsidRDefault="004C2BDD" w:rsidP="00065887">
      <w:pPr>
        <w:pStyle w:val="ActHead1"/>
        <w:pageBreakBefore/>
        <w:spacing w:before="120"/>
      </w:pPr>
      <w:bookmarkStart w:id="24" w:name="_Toc170547846"/>
      <w:r w:rsidRPr="000C4237">
        <w:rPr>
          <w:rStyle w:val="CharChapNo"/>
        </w:rPr>
        <w:lastRenderedPageBreak/>
        <w:t>S</w:t>
      </w:r>
      <w:r w:rsidR="00A801D0" w:rsidRPr="000C4237">
        <w:rPr>
          <w:rStyle w:val="CharChapNo"/>
        </w:rPr>
        <w:t>chedule</w:t>
      </w:r>
      <w:r w:rsidR="00DA13DE" w:rsidRPr="000C4237">
        <w:rPr>
          <w:rStyle w:val="CharChapNo"/>
        </w:rPr>
        <w:t> </w:t>
      </w:r>
      <w:r w:rsidR="002A22A4" w:rsidRPr="000C4237">
        <w:rPr>
          <w:rStyle w:val="CharChapNo"/>
        </w:rPr>
        <w:t>8</w:t>
      </w:r>
      <w:r w:rsidR="00A801D0" w:rsidRPr="006E709F">
        <w:t>—</w:t>
      </w:r>
      <w:r w:rsidR="002A22A4" w:rsidRPr="000C4237">
        <w:rPr>
          <w:rStyle w:val="CharChapText"/>
        </w:rPr>
        <w:t xml:space="preserve">Schemes of arrangement under </w:t>
      </w:r>
      <w:r w:rsidR="00A801D0" w:rsidRPr="000C4237">
        <w:rPr>
          <w:rStyle w:val="CharChapText"/>
        </w:rPr>
        <w:t>Part</w:t>
      </w:r>
      <w:r w:rsidR="00DA13DE" w:rsidRPr="000C4237">
        <w:rPr>
          <w:rStyle w:val="CharChapText"/>
        </w:rPr>
        <w:t> </w:t>
      </w:r>
      <w:r w:rsidR="002A22A4" w:rsidRPr="000C4237">
        <w:rPr>
          <w:rStyle w:val="CharChapText"/>
        </w:rPr>
        <w:t>5.1 of the Act</w:t>
      </w:r>
      <w:bookmarkEnd w:id="24"/>
    </w:p>
    <w:p w:rsidR="002A22A4" w:rsidRPr="006E709F" w:rsidRDefault="002A22A4" w:rsidP="00A801D0">
      <w:pPr>
        <w:pStyle w:val="notemargin"/>
      </w:pPr>
      <w:r w:rsidRPr="006E709F">
        <w:t>(regulation</w:t>
      </w:r>
      <w:r w:rsidR="00DA13DE" w:rsidRPr="006E709F">
        <w:t> </w:t>
      </w:r>
      <w:r w:rsidRPr="006E709F">
        <w:t>5.1.01)</w:t>
      </w:r>
    </w:p>
    <w:p w:rsidR="002A22A4" w:rsidRPr="006E709F" w:rsidRDefault="00A801D0" w:rsidP="007C7D49">
      <w:pPr>
        <w:pStyle w:val="ActHead2"/>
      </w:pPr>
      <w:bookmarkStart w:id="25" w:name="_Toc170547847"/>
      <w:r w:rsidRPr="000C4237">
        <w:rPr>
          <w:rStyle w:val="CharPartNo"/>
        </w:rPr>
        <w:t>Chapter</w:t>
      </w:r>
      <w:r w:rsidR="00DA13DE" w:rsidRPr="000C4237">
        <w:rPr>
          <w:rStyle w:val="CharPartNo"/>
        </w:rPr>
        <w:t> </w:t>
      </w:r>
      <w:r w:rsidR="002A22A4" w:rsidRPr="000C4237">
        <w:rPr>
          <w:rStyle w:val="CharPartNo"/>
        </w:rPr>
        <w:t>5</w:t>
      </w:r>
      <w:r w:rsidRPr="006E709F">
        <w:t>—</w:t>
      </w:r>
      <w:r w:rsidR="002A22A4" w:rsidRPr="000C4237">
        <w:rPr>
          <w:rStyle w:val="CharPartText"/>
        </w:rPr>
        <w:t>External administration</w:t>
      </w:r>
      <w:bookmarkEnd w:id="25"/>
    </w:p>
    <w:p w:rsidR="002A22A4" w:rsidRPr="006E709F" w:rsidRDefault="00A801D0" w:rsidP="007C7D49">
      <w:pPr>
        <w:pStyle w:val="ActHead3"/>
      </w:pPr>
      <w:bookmarkStart w:id="26" w:name="_Toc170547848"/>
      <w:r w:rsidRPr="000C4237">
        <w:rPr>
          <w:rStyle w:val="CharDivNo"/>
        </w:rPr>
        <w:t>Part</w:t>
      </w:r>
      <w:r w:rsidR="00DA13DE" w:rsidRPr="000C4237">
        <w:rPr>
          <w:rStyle w:val="CharDivNo"/>
        </w:rPr>
        <w:t> </w:t>
      </w:r>
      <w:r w:rsidR="002A22A4" w:rsidRPr="000C4237">
        <w:rPr>
          <w:rStyle w:val="CharDivNo"/>
        </w:rPr>
        <w:t>1</w:t>
      </w:r>
      <w:r w:rsidRPr="006E709F">
        <w:t>—</w:t>
      </w:r>
      <w:r w:rsidR="002A22A4" w:rsidRPr="000C4237">
        <w:rPr>
          <w:rStyle w:val="CharDivText"/>
        </w:rPr>
        <w:t>Interpretation and application</w:t>
      </w:r>
      <w:bookmarkEnd w:id="26"/>
    </w:p>
    <w:p w:rsidR="002A22A4" w:rsidRPr="006E709F" w:rsidRDefault="002A22A4" w:rsidP="00A801D0">
      <w:pPr>
        <w:pStyle w:val="subsection"/>
      </w:pPr>
      <w:r w:rsidRPr="006E709F">
        <w:rPr>
          <w:b/>
        </w:rPr>
        <w:t>8101</w:t>
      </w:r>
      <w:r w:rsidRPr="006E709F">
        <w:tab/>
      </w:r>
      <w:r w:rsidRPr="006E709F">
        <w:tab/>
        <w:t>In this Schedule:</w:t>
      </w:r>
    </w:p>
    <w:p w:rsidR="002A22A4" w:rsidRPr="006E709F" w:rsidRDefault="002A22A4" w:rsidP="00A801D0">
      <w:pPr>
        <w:pStyle w:val="Definition"/>
      </w:pPr>
      <w:r w:rsidRPr="006E709F">
        <w:rPr>
          <w:b/>
          <w:i/>
        </w:rPr>
        <w:t>internal creditor</w:t>
      </w:r>
      <w:r w:rsidRPr="006E709F">
        <w:t xml:space="preserve"> means:</w:t>
      </w:r>
    </w:p>
    <w:p w:rsidR="002A22A4" w:rsidRPr="006E709F" w:rsidRDefault="002A22A4" w:rsidP="00A801D0">
      <w:pPr>
        <w:pStyle w:val="paragraph"/>
      </w:pPr>
      <w:r w:rsidRPr="006E709F">
        <w:tab/>
        <w:t>(a)</w:t>
      </w:r>
      <w:r w:rsidRPr="006E709F">
        <w:tab/>
        <w:t>a creditor who is a member of the company; or</w:t>
      </w:r>
    </w:p>
    <w:p w:rsidR="002A22A4" w:rsidRPr="006E709F" w:rsidRDefault="002A22A4" w:rsidP="00A801D0">
      <w:pPr>
        <w:pStyle w:val="paragraph"/>
      </w:pPr>
      <w:r w:rsidRPr="006E709F">
        <w:tab/>
        <w:t>(b)</w:t>
      </w:r>
      <w:r w:rsidRPr="006E709F">
        <w:tab/>
        <w:t>a relative or spouse of a member; or</w:t>
      </w:r>
    </w:p>
    <w:p w:rsidR="002A22A4" w:rsidRPr="006E709F" w:rsidRDefault="002A22A4" w:rsidP="00A801D0">
      <w:pPr>
        <w:pStyle w:val="paragraph"/>
      </w:pPr>
      <w:r w:rsidRPr="006E709F">
        <w:tab/>
        <w:t>(c)</w:t>
      </w:r>
      <w:r w:rsidRPr="006E709F">
        <w:tab/>
        <w:t>a relative of the spouse of a member.</w:t>
      </w:r>
    </w:p>
    <w:p w:rsidR="006C30E7" w:rsidRPr="006E709F" w:rsidRDefault="006C30E7" w:rsidP="006C30E7">
      <w:pPr>
        <w:pStyle w:val="Definition"/>
      </w:pPr>
      <w:r w:rsidRPr="006E709F">
        <w:rPr>
          <w:b/>
          <w:i/>
        </w:rPr>
        <w:t>relevant marketable securities</w:t>
      </w:r>
      <w:r w:rsidRPr="006E709F">
        <w:t xml:space="preserve"> means:</w:t>
      </w:r>
    </w:p>
    <w:p w:rsidR="006C30E7" w:rsidRPr="006E709F" w:rsidRDefault="006C30E7" w:rsidP="006C30E7">
      <w:pPr>
        <w:pStyle w:val="paragraph"/>
      </w:pPr>
      <w:r w:rsidRPr="006E709F">
        <w:tab/>
        <w:t>(a)</w:t>
      </w:r>
      <w:r w:rsidRPr="006E709F">
        <w:tab/>
        <w:t>unless paragraph (b) applies—marketable securities; or</w:t>
      </w:r>
    </w:p>
    <w:p w:rsidR="006C30E7" w:rsidRPr="006E709F" w:rsidRDefault="006C30E7" w:rsidP="006C30E7">
      <w:pPr>
        <w:pStyle w:val="paragraph"/>
      </w:pPr>
      <w:r w:rsidRPr="006E709F">
        <w:tab/>
        <w:t>(b)</w:t>
      </w:r>
      <w:r w:rsidRPr="006E709F">
        <w:tab/>
        <w:t>if, because of section 1235C of the Act, the subject of the Scheme is a sub</w:t>
      </w:r>
      <w:r w:rsidR="000C4237">
        <w:noBreakHyphen/>
      </w:r>
      <w:r w:rsidRPr="006E709F">
        <w:t>fund of a CCIV:</w:t>
      </w:r>
    </w:p>
    <w:p w:rsidR="006C30E7" w:rsidRPr="006E709F" w:rsidRDefault="006C30E7" w:rsidP="006C30E7">
      <w:pPr>
        <w:pStyle w:val="paragraphsub"/>
      </w:pPr>
      <w:r w:rsidRPr="006E709F">
        <w:tab/>
        <w:t>(i)</w:t>
      </w:r>
      <w:r w:rsidRPr="006E709F">
        <w:tab/>
        <w:t>shares or debentures; or</w:t>
      </w:r>
    </w:p>
    <w:p w:rsidR="006C30E7" w:rsidRPr="006E709F" w:rsidRDefault="006C30E7" w:rsidP="006C30E7">
      <w:pPr>
        <w:pStyle w:val="paragraphsub"/>
      </w:pPr>
      <w:r w:rsidRPr="006E709F">
        <w:tab/>
        <w:t>(ii)</w:t>
      </w:r>
      <w:r w:rsidRPr="006E709F">
        <w:tab/>
        <w:t>any rights or options in respect of shares.</w:t>
      </w:r>
    </w:p>
    <w:p w:rsidR="006C30E7" w:rsidRPr="006E709F" w:rsidRDefault="006C30E7" w:rsidP="006C30E7">
      <w:pPr>
        <w:pStyle w:val="notetext"/>
      </w:pPr>
      <w:r w:rsidRPr="006E709F">
        <w:t>Note:</w:t>
      </w:r>
      <w:r w:rsidRPr="006E709F">
        <w:tab/>
        <w:t>If, because of section 1235C of the Act, the subject of the Scheme is a sub</w:t>
      </w:r>
      <w:r w:rsidR="000C4237">
        <w:noBreakHyphen/>
      </w:r>
      <w:r w:rsidRPr="006E709F">
        <w:t>fund of a CCIV, that section translates most of this Schedule’s references to the company so that they are references to the sub</w:t>
      </w:r>
      <w:r w:rsidR="000C4237">
        <w:noBreakHyphen/>
      </w:r>
      <w:r w:rsidRPr="006E709F">
        <w:t>fund.</w:t>
      </w:r>
    </w:p>
    <w:p w:rsidR="002A22A4" w:rsidRPr="006E709F" w:rsidRDefault="002A22A4" w:rsidP="00A801D0">
      <w:pPr>
        <w:pStyle w:val="Definition"/>
      </w:pPr>
      <w:r w:rsidRPr="006E709F">
        <w:rPr>
          <w:b/>
          <w:i/>
        </w:rPr>
        <w:t>Scheme</w:t>
      </w:r>
      <w:r w:rsidRPr="006E709F">
        <w:t xml:space="preserve"> means the proposed compromise or arrangement.</w:t>
      </w:r>
    </w:p>
    <w:p w:rsidR="002A22A4" w:rsidRPr="006E709F" w:rsidRDefault="002A22A4" w:rsidP="00A801D0">
      <w:pPr>
        <w:pStyle w:val="Definition"/>
      </w:pPr>
      <w:r w:rsidRPr="006E709F">
        <w:rPr>
          <w:b/>
          <w:i/>
        </w:rPr>
        <w:t>scheme creditors</w:t>
      </w:r>
      <w:r w:rsidRPr="006E709F">
        <w:t xml:space="preserve"> means the creditors or class of creditors of a company, to whom the Scheme would apply.</w:t>
      </w:r>
    </w:p>
    <w:p w:rsidR="002A22A4" w:rsidRPr="006E709F" w:rsidRDefault="002A22A4" w:rsidP="00A801D0">
      <w:pPr>
        <w:pStyle w:val="Definition"/>
      </w:pPr>
      <w:r w:rsidRPr="006E709F">
        <w:rPr>
          <w:b/>
          <w:i/>
        </w:rPr>
        <w:t>scheme members</w:t>
      </w:r>
      <w:r w:rsidRPr="006E709F">
        <w:t xml:space="preserve"> means the members or class of members of a company, to whom the Scheme would apply.</w:t>
      </w:r>
    </w:p>
    <w:p w:rsidR="002A22A4" w:rsidRPr="006E709F" w:rsidRDefault="002A22A4" w:rsidP="00A801D0">
      <w:pPr>
        <w:pStyle w:val="subsection"/>
      </w:pPr>
      <w:r w:rsidRPr="006E709F">
        <w:rPr>
          <w:b/>
        </w:rPr>
        <w:t>8102</w:t>
      </w:r>
      <w:r w:rsidRPr="006E709F">
        <w:tab/>
      </w:r>
      <w:r w:rsidRPr="006E709F">
        <w:tab/>
        <w:t xml:space="preserve">This </w:t>
      </w:r>
      <w:r w:rsidR="00A801D0" w:rsidRPr="006E709F">
        <w:t>Schedule</w:t>
      </w:r>
      <w:r w:rsidR="00E376FA" w:rsidRPr="006E709F">
        <w:t xml:space="preserve"> </w:t>
      </w:r>
      <w:r w:rsidRPr="006E709F">
        <w:t xml:space="preserve">applies to a </w:t>
      </w:r>
      <w:r w:rsidR="00A801D0" w:rsidRPr="006E709F">
        <w:t>Part</w:t>
      </w:r>
      <w:r w:rsidR="00DA13DE" w:rsidRPr="006E709F">
        <w:t> </w:t>
      </w:r>
      <w:r w:rsidRPr="006E709F">
        <w:t>5.1 body that is not a company as if:</w:t>
      </w:r>
    </w:p>
    <w:p w:rsidR="002A22A4" w:rsidRPr="006E709F" w:rsidRDefault="002A22A4" w:rsidP="00A801D0">
      <w:pPr>
        <w:pStyle w:val="paragraph"/>
      </w:pPr>
      <w:r w:rsidRPr="006E709F">
        <w:tab/>
        <w:t>(a)</w:t>
      </w:r>
      <w:r w:rsidRPr="006E709F">
        <w:tab/>
        <w:t xml:space="preserve">references to a company were references to a </w:t>
      </w:r>
      <w:r w:rsidR="00A801D0" w:rsidRPr="006E709F">
        <w:t>Part</w:t>
      </w:r>
      <w:r w:rsidR="00DA13DE" w:rsidRPr="006E709F">
        <w:t> </w:t>
      </w:r>
      <w:r w:rsidRPr="006E709F">
        <w:t>5.1 body that is not a company; and</w:t>
      </w:r>
    </w:p>
    <w:p w:rsidR="002A22A4" w:rsidRPr="006E709F" w:rsidRDefault="002A22A4" w:rsidP="00A801D0">
      <w:pPr>
        <w:pStyle w:val="paragraph"/>
      </w:pPr>
      <w:r w:rsidRPr="006E709F">
        <w:tab/>
        <w:t>(b)</w:t>
      </w:r>
      <w:r w:rsidRPr="006E709F">
        <w:tab/>
        <w:t>references to a director were references to an office bearer, committee member or other office holder of the body; and</w:t>
      </w:r>
    </w:p>
    <w:p w:rsidR="002A22A4" w:rsidRPr="006E709F" w:rsidRDefault="002A22A4" w:rsidP="00A801D0">
      <w:pPr>
        <w:pStyle w:val="paragraph"/>
      </w:pPr>
      <w:r w:rsidRPr="006E709F">
        <w:tab/>
        <w:t>(c)</w:t>
      </w:r>
      <w:r w:rsidRPr="006E709F">
        <w:tab/>
        <w:t>references to entitlements to voting shares were references to an ability to exercise a percentage of the total votes that could be exercised by members of the body.</w:t>
      </w:r>
    </w:p>
    <w:p w:rsidR="002A22A4" w:rsidRPr="006E709F" w:rsidRDefault="00A801D0" w:rsidP="007C7D49">
      <w:pPr>
        <w:pStyle w:val="ActHead3"/>
        <w:pageBreakBefore/>
      </w:pPr>
      <w:bookmarkStart w:id="27" w:name="_Toc170547849"/>
      <w:r w:rsidRPr="000C4237">
        <w:rPr>
          <w:rStyle w:val="CharDivNo"/>
        </w:rPr>
        <w:lastRenderedPageBreak/>
        <w:t>Part</w:t>
      </w:r>
      <w:r w:rsidR="00DA13DE" w:rsidRPr="000C4237">
        <w:rPr>
          <w:rStyle w:val="CharDivNo"/>
        </w:rPr>
        <w:t> </w:t>
      </w:r>
      <w:r w:rsidR="002A22A4" w:rsidRPr="000C4237">
        <w:rPr>
          <w:rStyle w:val="CharDivNo"/>
        </w:rPr>
        <w:t>2</w:t>
      </w:r>
      <w:r w:rsidRPr="006E709F">
        <w:t>—</w:t>
      </w:r>
      <w:r w:rsidR="002A22A4" w:rsidRPr="000C4237">
        <w:rPr>
          <w:rStyle w:val="CharDivText"/>
        </w:rPr>
        <w:t>Prescribed information relating to proposed compromise or arrangement with creditors or class of creditors</w:t>
      </w:r>
      <w:bookmarkEnd w:id="27"/>
    </w:p>
    <w:p w:rsidR="002A22A4" w:rsidRPr="006E709F" w:rsidRDefault="002A22A4" w:rsidP="00A801D0">
      <w:pPr>
        <w:pStyle w:val="subsection"/>
      </w:pPr>
      <w:r w:rsidRPr="006E709F">
        <w:rPr>
          <w:b/>
        </w:rPr>
        <w:t>8201</w:t>
      </w:r>
      <w:r w:rsidRPr="006E709F">
        <w:tab/>
      </w:r>
      <w:r w:rsidRPr="006E709F">
        <w:tab/>
        <w:t>The statement must set out:</w:t>
      </w:r>
    </w:p>
    <w:p w:rsidR="002A22A4" w:rsidRPr="006E709F" w:rsidRDefault="002A22A4" w:rsidP="00A801D0">
      <w:pPr>
        <w:pStyle w:val="paragraph"/>
      </w:pPr>
      <w:r w:rsidRPr="006E709F">
        <w:tab/>
        <w:t>(a)</w:t>
      </w:r>
      <w:r w:rsidRPr="006E709F">
        <w:tab/>
        <w:t>the expected dividend that would be available to scheme creditors if the company were to be wound up within 6</w:t>
      </w:r>
      <w:r w:rsidR="00E376FA" w:rsidRPr="006E709F">
        <w:t xml:space="preserve"> </w:t>
      </w:r>
      <w:r w:rsidRPr="006E709F">
        <w:t>months after the date of the hearing of the application to the Court for an order under subsections</w:t>
      </w:r>
      <w:r w:rsidR="00DA13DE" w:rsidRPr="006E709F">
        <w:t> </w:t>
      </w:r>
      <w:r w:rsidRPr="006E709F">
        <w:t>411(1) and (1A) of the Act; and</w:t>
      </w:r>
    </w:p>
    <w:p w:rsidR="002A22A4" w:rsidRPr="006E709F" w:rsidRDefault="002A22A4" w:rsidP="00A801D0">
      <w:pPr>
        <w:pStyle w:val="paragraph"/>
      </w:pPr>
      <w:r w:rsidRPr="006E709F">
        <w:tab/>
        <w:t>(b)</w:t>
      </w:r>
      <w:r w:rsidRPr="006E709F">
        <w:tab/>
        <w:t>if a composition of debts is proposed</w:t>
      </w:r>
      <w:r w:rsidR="00A801D0" w:rsidRPr="006E709F">
        <w:t>—</w:t>
      </w:r>
      <w:r w:rsidRPr="006E709F">
        <w:t>the expected dividend that would be paid to scheme creditors if the Scheme were put into effect as proposed; and</w:t>
      </w:r>
    </w:p>
    <w:p w:rsidR="002A22A4" w:rsidRPr="006E709F" w:rsidRDefault="002A22A4" w:rsidP="00A801D0">
      <w:pPr>
        <w:pStyle w:val="paragraph"/>
      </w:pPr>
      <w:r w:rsidRPr="006E709F">
        <w:tab/>
        <w:t>(c)</w:t>
      </w:r>
      <w:r w:rsidRPr="006E709F">
        <w:tab/>
        <w:t>a list of the names of all known scheme creditors and the debts owed to those creditors; and</w:t>
      </w:r>
    </w:p>
    <w:p w:rsidR="002A22A4" w:rsidRPr="006E709F" w:rsidRDefault="002A22A4" w:rsidP="00A801D0">
      <w:pPr>
        <w:pStyle w:val="paragraph"/>
      </w:pPr>
      <w:r w:rsidRPr="006E709F">
        <w:tab/>
        <w:t>(d)</w:t>
      </w:r>
      <w:r w:rsidRPr="006E709F">
        <w:tab/>
        <w:t>if a scheme creditor is known to be a guaranteed creditor</w:t>
      </w:r>
      <w:r w:rsidR="00A801D0" w:rsidRPr="006E709F">
        <w:t>—</w:t>
      </w:r>
      <w:r w:rsidRPr="006E709F">
        <w:t>the name of the creditor and the amount of the debt owed; and</w:t>
      </w:r>
    </w:p>
    <w:p w:rsidR="002A22A4" w:rsidRPr="006E709F" w:rsidRDefault="002A22A4" w:rsidP="00A801D0">
      <w:pPr>
        <w:pStyle w:val="paragraph"/>
      </w:pPr>
      <w:r w:rsidRPr="006E709F">
        <w:tab/>
        <w:t>(e)</w:t>
      </w:r>
      <w:r w:rsidRPr="006E709F">
        <w:tab/>
        <w:t>if a scheme creditor is known to be an internal creditor</w:t>
      </w:r>
      <w:r w:rsidR="00A801D0" w:rsidRPr="006E709F">
        <w:t>—</w:t>
      </w:r>
      <w:r w:rsidRPr="006E709F">
        <w:t>the name of the creditor and the amount of the debt owed.</w:t>
      </w:r>
    </w:p>
    <w:p w:rsidR="002A22A4" w:rsidRPr="006E709F" w:rsidRDefault="002A22A4" w:rsidP="00A801D0">
      <w:pPr>
        <w:pStyle w:val="subsection"/>
      </w:pPr>
      <w:r w:rsidRPr="006E709F">
        <w:rPr>
          <w:b/>
        </w:rPr>
        <w:t>8202</w:t>
      </w:r>
      <w:r w:rsidRPr="006E709F">
        <w:tab/>
      </w:r>
      <w:r w:rsidRPr="006E709F">
        <w:tab/>
        <w:t>The statement must contain a statement that an order under subsections</w:t>
      </w:r>
      <w:r w:rsidR="00DA13DE" w:rsidRPr="006E709F">
        <w:t> </w:t>
      </w:r>
      <w:r w:rsidRPr="006E709F">
        <w:t xml:space="preserve">411(1) and (1A) of the Act is not </w:t>
      </w:r>
      <w:r w:rsidR="00366584" w:rsidRPr="006E709F">
        <w:t>an endorsement</w:t>
      </w:r>
      <w:r w:rsidRPr="006E709F">
        <w:t xml:space="preserve"> of, or any other expression of opinion on, the Scheme.</w:t>
      </w:r>
    </w:p>
    <w:p w:rsidR="002A22A4" w:rsidRPr="006E709F" w:rsidRDefault="002A22A4" w:rsidP="00A801D0">
      <w:pPr>
        <w:pStyle w:val="subsection"/>
      </w:pPr>
      <w:r w:rsidRPr="006E709F">
        <w:rPr>
          <w:b/>
        </w:rPr>
        <w:t>8203</w:t>
      </w:r>
      <w:r w:rsidRPr="006E709F">
        <w:tab/>
      </w:r>
      <w:r w:rsidRPr="006E709F">
        <w:tab/>
        <w:t>The statement must contain or have annexed to it:</w:t>
      </w:r>
    </w:p>
    <w:p w:rsidR="002A22A4" w:rsidRPr="006E709F" w:rsidRDefault="002A22A4" w:rsidP="00A801D0">
      <w:pPr>
        <w:pStyle w:val="paragraph"/>
      </w:pPr>
      <w:r w:rsidRPr="006E709F">
        <w:tab/>
        <w:t>(a)</w:t>
      </w:r>
      <w:r w:rsidRPr="006E709F">
        <w:tab/>
        <w:t>a report on the affairs of the company in accordance with Form 507, showing the financial position of the company as at a day within one month of the date on which it is intended to apply to the Court for an order under subsections</w:t>
      </w:r>
      <w:r w:rsidR="00DA13DE" w:rsidRPr="006E709F">
        <w:t> </w:t>
      </w:r>
      <w:r w:rsidRPr="006E709F">
        <w:t>411(1) and (1A) of the Act;</w:t>
      </w:r>
    </w:p>
    <w:p w:rsidR="002A22A4" w:rsidRPr="006E709F" w:rsidRDefault="002A22A4" w:rsidP="00A801D0">
      <w:pPr>
        <w:pStyle w:val="paragraph"/>
      </w:pPr>
      <w:r w:rsidRPr="006E709F">
        <w:tab/>
        <w:t>(b)</w:t>
      </w:r>
      <w:r w:rsidRPr="006E709F">
        <w:tab/>
        <w:t xml:space="preserve">a copy, certified by a director or by a secretary of the company to be a true copy, of all financial statements, required to be lodged with the </w:t>
      </w:r>
      <w:r w:rsidRPr="006E709F">
        <w:rPr>
          <w:color w:val="000000"/>
        </w:rPr>
        <w:t>ASIC</w:t>
      </w:r>
      <w:r w:rsidRPr="006E709F">
        <w:t xml:space="preserve"> by the company, together with a copy of every document required by law to be annexed to the financial statements;</w:t>
      </w:r>
    </w:p>
    <w:p w:rsidR="002A22A4" w:rsidRPr="006E709F" w:rsidRDefault="002A22A4" w:rsidP="00A801D0">
      <w:pPr>
        <w:pStyle w:val="paragraph"/>
      </w:pPr>
      <w:r w:rsidRPr="006E709F">
        <w:tab/>
        <w:t>(c)</w:t>
      </w:r>
      <w:r w:rsidRPr="006E709F">
        <w:tab/>
        <w:t>if the company the subject of the Scheme is a trustee, a statement:</w:t>
      </w:r>
    </w:p>
    <w:p w:rsidR="002A22A4" w:rsidRPr="006E709F" w:rsidRDefault="002A22A4" w:rsidP="00A801D0">
      <w:pPr>
        <w:pStyle w:val="paragraphsub"/>
      </w:pPr>
      <w:r w:rsidRPr="006E709F">
        <w:tab/>
        <w:t>(i)</w:t>
      </w:r>
      <w:r w:rsidRPr="006E709F">
        <w:tab/>
        <w:t>of the number of trusts administered by the trustee; and</w:t>
      </w:r>
    </w:p>
    <w:p w:rsidR="002A22A4" w:rsidRPr="006E709F" w:rsidRDefault="002A22A4" w:rsidP="00A801D0">
      <w:pPr>
        <w:pStyle w:val="paragraphsub"/>
      </w:pPr>
      <w:r w:rsidRPr="006E709F">
        <w:tab/>
        <w:t>(ii)</w:t>
      </w:r>
      <w:r w:rsidRPr="006E709F">
        <w:tab/>
        <w:t>whether the trustee carries on any business separate from that of the trust; and</w:t>
      </w:r>
    </w:p>
    <w:p w:rsidR="002A22A4" w:rsidRPr="006E709F" w:rsidRDefault="002A22A4" w:rsidP="00A801D0">
      <w:pPr>
        <w:pStyle w:val="paragraphsub"/>
      </w:pPr>
      <w:r w:rsidRPr="006E709F">
        <w:tab/>
        <w:t>(iii)</w:t>
      </w:r>
      <w:r w:rsidRPr="006E709F">
        <w:tab/>
        <w:t>how the scheme creditors may obtain a copy of the relevant trust deed, free of charge, prior to the date of the meeting; and</w:t>
      </w:r>
    </w:p>
    <w:p w:rsidR="002A22A4" w:rsidRPr="006E709F" w:rsidRDefault="002A22A4" w:rsidP="00A801D0">
      <w:pPr>
        <w:pStyle w:val="paragraph"/>
      </w:pPr>
      <w:r w:rsidRPr="006E709F">
        <w:tab/>
        <w:t>(d)</w:t>
      </w:r>
      <w:r w:rsidRPr="006E709F">
        <w:tab/>
        <w:t>if the person (if any) who would be appointed to manage the Scheme proposes to charge for his or her services and for the services of his or her staff in accordance with a particular scale of charges, that scale of charges.</w:t>
      </w:r>
    </w:p>
    <w:p w:rsidR="002A22A4" w:rsidRPr="006E709F" w:rsidRDefault="00A801D0" w:rsidP="007C7D49">
      <w:pPr>
        <w:pStyle w:val="ActHead3"/>
        <w:pageBreakBefore/>
      </w:pPr>
      <w:bookmarkStart w:id="28" w:name="_Toc170547850"/>
      <w:r w:rsidRPr="000C4237">
        <w:rPr>
          <w:rStyle w:val="CharDivNo"/>
        </w:rPr>
        <w:lastRenderedPageBreak/>
        <w:t>Part</w:t>
      </w:r>
      <w:r w:rsidR="00DA13DE" w:rsidRPr="000C4237">
        <w:rPr>
          <w:rStyle w:val="CharDivNo"/>
        </w:rPr>
        <w:t> </w:t>
      </w:r>
      <w:r w:rsidR="002A22A4" w:rsidRPr="000C4237">
        <w:rPr>
          <w:rStyle w:val="CharDivNo"/>
        </w:rPr>
        <w:t>3</w:t>
      </w:r>
      <w:r w:rsidRPr="006E709F">
        <w:t>—</w:t>
      </w:r>
      <w:r w:rsidR="002A22A4" w:rsidRPr="000C4237">
        <w:rPr>
          <w:rStyle w:val="CharDivText"/>
        </w:rPr>
        <w:t>Prescribed information relating to proposed compromise or arrangement with members or a class of members</w:t>
      </w:r>
      <w:bookmarkEnd w:id="28"/>
    </w:p>
    <w:p w:rsidR="002A22A4" w:rsidRPr="006E709F" w:rsidRDefault="002A22A4" w:rsidP="00A801D0">
      <w:pPr>
        <w:pStyle w:val="subsection"/>
      </w:pPr>
      <w:r w:rsidRPr="006E709F">
        <w:rPr>
          <w:b/>
        </w:rPr>
        <w:t>8301</w:t>
      </w:r>
      <w:r w:rsidRPr="006E709F">
        <w:tab/>
      </w:r>
      <w:r w:rsidRPr="006E709F">
        <w:tab/>
        <w:t>The statement must set out:</w:t>
      </w:r>
    </w:p>
    <w:p w:rsidR="002A22A4" w:rsidRPr="006E709F" w:rsidRDefault="002A22A4" w:rsidP="00A801D0">
      <w:pPr>
        <w:pStyle w:val="paragraph"/>
      </w:pPr>
      <w:r w:rsidRPr="006E709F">
        <w:tab/>
        <w:t>(a)</w:t>
      </w:r>
      <w:r w:rsidRPr="006E709F">
        <w:tab/>
        <w:t>unless the company the subject of the Scheme is in the course of being wound up or is under official management, in relation to each director of the company:</w:t>
      </w:r>
    </w:p>
    <w:p w:rsidR="002A22A4" w:rsidRPr="006E709F" w:rsidRDefault="002A22A4" w:rsidP="00A801D0">
      <w:pPr>
        <w:pStyle w:val="paragraphsub"/>
      </w:pPr>
      <w:r w:rsidRPr="006E709F">
        <w:tab/>
        <w:t>(i)</w:t>
      </w:r>
      <w:r w:rsidRPr="006E709F">
        <w:tab/>
        <w:t>whether the director recommends the acceptance of the Scheme or recommends against acceptance and, in either case, his or her reasons for so recommending; or</w:t>
      </w:r>
    </w:p>
    <w:p w:rsidR="002A22A4" w:rsidRPr="006E709F" w:rsidRDefault="002A22A4" w:rsidP="00A801D0">
      <w:pPr>
        <w:pStyle w:val="paragraphsub"/>
      </w:pPr>
      <w:r w:rsidRPr="006E709F">
        <w:tab/>
        <w:t>(ii)</w:t>
      </w:r>
      <w:r w:rsidRPr="006E709F">
        <w:tab/>
        <w:t>if the director is not available to consider the Scheme</w:t>
      </w:r>
      <w:r w:rsidR="00A801D0" w:rsidRPr="006E709F">
        <w:t>—</w:t>
      </w:r>
      <w:r w:rsidRPr="006E709F">
        <w:t>that the director is not so available and the cause of his or her not being available; or</w:t>
      </w:r>
    </w:p>
    <w:p w:rsidR="002A22A4" w:rsidRPr="006E709F" w:rsidRDefault="002A22A4" w:rsidP="00A801D0">
      <w:pPr>
        <w:pStyle w:val="paragraphsub"/>
      </w:pPr>
      <w:r w:rsidRPr="006E709F">
        <w:tab/>
        <w:t>(iii)</w:t>
      </w:r>
      <w:r w:rsidRPr="006E709F">
        <w:tab/>
        <w:t>in any other case</w:t>
      </w:r>
      <w:r w:rsidR="00A801D0" w:rsidRPr="006E709F">
        <w:t>—</w:t>
      </w:r>
      <w:r w:rsidRPr="006E709F">
        <w:t>that the director does not desire to make, or does not consider himself or herself justified in making, a recommendation and, if the director so requires, his or her reasons for not wishing to do so; or</w:t>
      </w:r>
    </w:p>
    <w:p w:rsidR="002A22A4" w:rsidRPr="006E709F" w:rsidRDefault="002A22A4" w:rsidP="00A801D0">
      <w:pPr>
        <w:pStyle w:val="paragraph"/>
      </w:pPr>
      <w:r w:rsidRPr="006E709F">
        <w:tab/>
        <w:t>(b)</w:t>
      </w:r>
      <w:r w:rsidRPr="006E709F">
        <w:tab/>
        <w:t>if the company is in the course of being wound up or is under official management</w:t>
      </w:r>
      <w:r w:rsidR="00A801D0" w:rsidRPr="006E709F">
        <w:t>—</w:t>
      </w:r>
      <w:r w:rsidRPr="006E709F">
        <w:t>in relation to each liquidator or each official manager:</w:t>
      </w:r>
    </w:p>
    <w:p w:rsidR="002A22A4" w:rsidRPr="006E709F" w:rsidRDefault="002A22A4" w:rsidP="00A801D0">
      <w:pPr>
        <w:pStyle w:val="paragraphsub"/>
      </w:pPr>
      <w:r w:rsidRPr="006E709F">
        <w:tab/>
        <w:t>(i)</w:t>
      </w:r>
      <w:r w:rsidRPr="006E709F">
        <w:tab/>
        <w:t>whether he or she recommends acceptance of the Scheme or recommends against acceptance and, in either case, his or her reasons for so recommending; or</w:t>
      </w:r>
    </w:p>
    <w:p w:rsidR="002A22A4" w:rsidRPr="006E709F" w:rsidRDefault="002A22A4" w:rsidP="00A801D0">
      <w:pPr>
        <w:pStyle w:val="paragraphsub"/>
      </w:pPr>
      <w:r w:rsidRPr="006E709F">
        <w:tab/>
        <w:t>(ii)</w:t>
      </w:r>
      <w:r w:rsidRPr="006E709F">
        <w:tab/>
        <w:t>in any other case</w:t>
      </w:r>
      <w:r w:rsidR="00A801D0" w:rsidRPr="006E709F">
        <w:t>—</w:t>
      </w:r>
      <w:r w:rsidRPr="006E709F">
        <w:t>that the liquidator or official manager does not wish to make a recommendation and his or her reasons for not wishing to do so.</w:t>
      </w:r>
    </w:p>
    <w:p w:rsidR="002A22A4" w:rsidRPr="006E709F" w:rsidRDefault="002A22A4" w:rsidP="00A801D0">
      <w:pPr>
        <w:pStyle w:val="subsection"/>
      </w:pPr>
      <w:r w:rsidRPr="006E709F">
        <w:rPr>
          <w:b/>
        </w:rPr>
        <w:t>8302</w:t>
      </w:r>
      <w:r w:rsidRPr="006E709F">
        <w:tab/>
      </w:r>
      <w:r w:rsidRPr="006E709F">
        <w:tab/>
        <w:t>The statement must set out:</w:t>
      </w:r>
    </w:p>
    <w:p w:rsidR="002A22A4" w:rsidRPr="006E709F" w:rsidRDefault="002A22A4" w:rsidP="00A801D0">
      <w:pPr>
        <w:pStyle w:val="paragraph"/>
      </w:pPr>
      <w:r w:rsidRPr="006E709F">
        <w:tab/>
        <w:t>(a)</w:t>
      </w:r>
      <w:r w:rsidRPr="006E709F">
        <w:tab/>
        <w:t xml:space="preserve">the number, description and amount of </w:t>
      </w:r>
      <w:r w:rsidR="006C30E7" w:rsidRPr="006E709F">
        <w:t>relevant marketable securities</w:t>
      </w:r>
      <w:r w:rsidRPr="006E709F">
        <w:t xml:space="preserve"> of the company the subject of the Scheme held by or on behalf of each director of the company or, if none are held by or on behalf of a director, a statement to that effect; and</w:t>
      </w:r>
    </w:p>
    <w:p w:rsidR="002A22A4" w:rsidRPr="006E709F" w:rsidRDefault="002A22A4" w:rsidP="00A801D0">
      <w:pPr>
        <w:pStyle w:val="paragraph"/>
      </w:pPr>
      <w:r w:rsidRPr="006E709F">
        <w:tab/>
        <w:t>(b)</w:t>
      </w:r>
      <w:r w:rsidRPr="006E709F">
        <w:tab/>
        <w:t>for each director of the company by whom or on whose behalf shares in that company are held, whether:</w:t>
      </w:r>
    </w:p>
    <w:p w:rsidR="002A22A4" w:rsidRPr="006E709F" w:rsidRDefault="002A22A4" w:rsidP="00A801D0">
      <w:pPr>
        <w:pStyle w:val="paragraphsub"/>
      </w:pPr>
      <w:r w:rsidRPr="006E709F">
        <w:tab/>
        <w:t>(i)</w:t>
      </w:r>
      <w:r w:rsidRPr="006E709F">
        <w:tab/>
        <w:t>the director intends to vote in favour of, or against, the Scheme; or</w:t>
      </w:r>
    </w:p>
    <w:p w:rsidR="002A22A4" w:rsidRPr="006E709F" w:rsidRDefault="002A22A4" w:rsidP="00A801D0">
      <w:pPr>
        <w:pStyle w:val="paragraphsub"/>
      </w:pPr>
      <w:r w:rsidRPr="006E709F">
        <w:tab/>
        <w:t>(ii)</w:t>
      </w:r>
      <w:r w:rsidRPr="006E709F">
        <w:tab/>
        <w:t>the director has not decided whether he or she will vote in favour of, or against, the Scheme; and</w:t>
      </w:r>
    </w:p>
    <w:p w:rsidR="002A22A4" w:rsidRPr="006E709F" w:rsidRDefault="002A22A4" w:rsidP="00A801D0">
      <w:pPr>
        <w:pStyle w:val="paragraph"/>
      </w:pPr>
      <w:r w:rsidRPr="006E709F">
        <w:tab/>
        <w:t>(c)</w:t>
      </w:r>
      <w:r w:rsidRPr="006E709F">
        <w:tab/>
        <w:t>if the other party to the proposed reconstruction or amalgamation is, or includes, a corporation, whether any marketable securities of the corporation are held by, or on behalf of, any director of the company the subject of the Scheme and, if so, the number, description and amount of those marketable securities; and</w:t>
      </w:r>
    </w:p>
    <w:p w:rsidR="002A22A4" w:rsidRPr="006E709F" w:rsidRDefault="002A22A4" w:rsidP="00A801D0">
      <w:pPr>
        <w:pStyle w:val="paragraph"/>
      </w:pPr>
      <w:r w:rsidRPr="006E709F">
        <w:tab/>
        <w:t>(d)</w:t>
      </w:r>
      <w:r w:rsidRPr="006E709F">
        <w:tab/>
        <w:t>particulars of any payment or other benefit that is proposed to:</w:t>
      </w:r>
    </w:p>
    <w:p w:rsidR="002A22A4" w:rsidRPr="006E709F" w:rsidRDefault="002A22A4" w:rsidP="00A801D0">
      <w:pPr>
        <w:pStyle w:val="paragraphsub"/>
      </w:pPr>
      <w:r w:rsidRPr="006E709F">
        <w:tab/>
        <w:t>(i)</w:t>
      </w:r>
      <w:r w:rsidRPr="006E709F">
        <w:tab/>
        <w:t xml:space="preserve">be made or given to any director, secretary or executive officer of the company the subject of the Scheme as compensation for loss of, or as </w:t>
      </w:r>
      <w:r w:rsidRPr="006E709F">
        <w:lastRenderedPageBreak/>
        <w:t>consideration for or in connection with his or her retirement from, office in that company or in a related body corporate; or</w:t>
      </w:r>
    </w:p>
    <w:p w:rsidR="002A22A4" w:rsidRPr="006E709F" w:rsidRDefault="002A22A4" w:rsidP="00A801D0">
      <w:pPr>
        <w:pStyle w:val="paragraphsub"/>
      </w:pPr>
      <w:r w:rsidRPr="006E709F">
        <w:tab/>
        <w:t>(ii)</w:t>
      </w:r>
      <w:r w:rsidRPr="006E709F">
        <w:tab/>
        <w:t>be made or given to any director, secretary or executive officer of any related body corporate as compensation for the loss of, or as consideration for or in connection with his or her retirement from, office in that body corporate or in the company the subject of the Scheme; and</w:t>
      </w:r>
    </w:p>
    <w:p w:rsidR="002A22A4" w:rsidRPr="006E709F" w:rsidRDefault="002A22A4" w:rsidP="00A801D0">
      <w:pPr>
        <w:pStyle w:val="paragraph"/>
      </w:pPr>
      <w:r w:rsidRPr="006E709F">
        <w:tab/>
        <w:t>(e)</w:t>
      </w:r>
      <w:r w:rsidRPr="006E709F">
        <w:tab/>
        <w:t>if there is any other agreement or arrangement made between a director of the company the subject of the Scheme and another person in connection with or conditional on the outcome of the Scheme</w:t>
      </w:r>
      <w:r w:rsidR="00A801D0" w:rsidRPr="006E709F">
        <w:t>—</w:t>
      </w:r>
      <w:r w:rsidRPr="006E709F">
        <w:t>particulars of the agreement or arrangement; and</w:t>
      </w:r>
    </w:p>
    <w:p w:rsidR="002A22A4" w:rsidRPr="006E709F" w:rsidRDefault="002A22A4" w:rsidP="00A801D0">
      <w:pPr>
        <w:pStyle w:val="paragraph"/>
      </w:pPr>
      <w:r w:rsidRPr="006E709F">
        <w:tab/>
        <w:t>(f)</w:t>
      </w:r>
      <w:r w:rsidRPr="006E709F">
        <w:tab/>
        <w:t>if the object of the Scheme is for a corporation to acquire control of another corporation that is a company, particulars of the nature and extent of any interest of a director of that company in any contract entered into by the corporation seeking control; and</w:t>
      </w:r>
    </w:p>
    <w:p w:rsidR="002A22A4" w:rsidRPr="006E709F" w:rsidRDefault="002A22A4" w:rsidP="00A801D0">
      <w:pPr>
        <w:pStyle w:val="paragraph"/>
      </w:pPr>
      <w:r w:rsidRPr="006E709F">
        <w:tab/>
        <w:t>(g)</w:t>
      </w:r>
      <w:r w:rsidRPr="006E709F">
        <w:tab/>
        <w:t>if the shares of the company the subject of the Scheme are not granted official quotation on a securities exchange, all the information that the company has as to the number of shares that have been sold in the 6 months immediately before the date on which the statement is lodged, the amount of those shares and the prices at which they were sold; and</w:t>
      </w:r>
    </w:p>
    <w:p w:rsidR="002A22A4" w:rsidRPr="006E709F" w:rsidRDefault="002A22A4" w:rsidP="00A801D0">
      <w:pPr>
        <w:pStyle w:val="paragraph"/>
      </w:pPr>
      <w:r w:rsidRPr="006E709F">
        <w:tab/>
        <w:t>(h)</w:t>
      </w:r>
      <w:r w:rsidRPr="006E709F">
        <w:tab/>
        <w:t>whether, within the knowledge of the directors of the company the subject of the Scheme, or, if the company is in liquidation or under official management, the knowledge of the liquidator or the official manager, the financial position of the company has materially changed since the date of the last balance sheet laid before the company in general meeting or sent to shareholders in accordance with section</w:t>
      </w:r>
      <w:r w:rsidR="00DA13DE" w:rsidRPr="006E709F">
        <w:t> </w:t>
      </w:r>
      <w:r w:rsidRPr="006E709F">
        <w:t>314 or 317 of the Act and, if so, full particulars of any change; and</w:t>
      </w:r>
    </w:p>
    <w:p w:rsidR="002A22A4" w:rsidRPr="006E709F" w:rsidRDefault="002A22A4" w:rsidP="00A801D0">
      <w:pPr>
        <w:pStyle w:val="paragraph"/>
      </w:pPr>
      <w:r w:rsidRPr="006E709F">
        <w:tab/>
        <w:t>(i)</w:t>
      </w:r>
      <w:r w:rsidRPr="006E709F">
        <w:tab/>
        <w:t>any other information material to the making of a decision in relation to the Scheme, being information that is within the knowledge of any director, liquidator or official manager of a company the subject of the Scheme or of a related company and that has not previously been disclosed to the Scheme members.</w:t>
      </w:r>
    </w:p>
    <w:p w:rsidR="002A22A4" w:rsidRPr="006E709F" w:rsidRDefault="002A22A4" w:rsidP="00A801D0">
      <w:pPr>
        <w:pStyle w:val="subsection"/>
      </w:pPr>
      <w:r w:rsidRPr="006E709F">
        <w:rPr>
          <w:b/>
        </w:rPr>
        <w:t>8303</w:t>
      </w:r>
      <w:r w:rsidRPr="006E709F">
        <w:tab/>
      </w:r>
      <w:r w:rsidRPr="006E709F">
        <w:tab/>
        <w:t>If:</w:t>
      </w:r>
    </w:p>
    <w:p w:rsidR="002A22A4" w:rsidRPr="006E709F" w:rsidRDefault="002A22A4" w:rsidP="00A801D0">
      <w:pPr>
        <w:pStyle w:val="paragraph"/>
      </w:pPr>
      <w:r w:rsidRPr="006E709F">
        <w:tab/>
        <w:t>(a)</w:t>
      </w:r>
      <w:r w:rsidRPr="006E709F">
        <w:tab/>
        <w:t>the other party to the proposed reconstruction or amalgamation of the company the subject of the Scheme has a prescribed shareholding in the company; or</w:t>
      </w:r>
    </w:p>
    <w:p w:rsidR="002A22A4" w:rsidRPr="006E709F" w:rsidRDefault="002A22A4" w:rsidP="00A801D0">
      <w:pPr>
        <w:pStyle w:val="paragraph"/>
      </w:pPr>
      <w:r w:rsidRPr="006E709F">
        <w:tab/>
        <w:t>(b)</w:t>
      </w:r>
      <w:r w:rsidRPr="006E709F">
        <w:tab/>
        <w:t>a director of any corporation that is the other party to the proposed reconstruction or amalgamation is a director of a company the subject of the Scheme;</w:t>
      </w:r>
    </w:p>
    <w:p w:rsidR="002A22A4" w:rsidRPr="006E709F" w:rsidRDefault="002A22A4" w:rsidP="007C7D49">
      <w:pPr>
        <w:pStyle w:val="subsection2"/>
      </w:pPr>
      <w:r w:rsidRPr="006E709F">
        <w:t>the statement must be accompanied by a copy of a report made by an expert who is not associated with the corporation that is the other party, stating whether or not, in his or her opinion, the proposed Scheme is in the best interest of the members of the company the subject of the Scheme and setting out his or her reasons for that opinion.</w:t>
      </w:r>
    </w:p>
    <w:p w:rsidR="002A22A4" w:rsidRPr="006E709F" w:rsidRDefault="002A22A4" w:rsidP="00A801D0">
      <w:pPr>
        <w:pStyle w:val="subsection"/>
      </w:pPr>
      <w:r w:rsidRPr="006E709F">
        <w:rPr>
          <w:b/>
        </w:rPr>
        <w:lastRenderedPageBreak/>
        <w:t>8304</w:t>
      </w:r>
      <w:r w:rsidRPr="006E709F">
        <w:tab/>
      </w:r>
      <w:r w:rsidRPr="006E709F">
        <w:tab/>
        <w:t>If the company the subject of the Scheme obtains 2 or more reports, each of which could be used for clause</w:t>
      </w:r>
      <w:r w:rsidR="00DA13DE" w:rsidRPr="006E709F">
        <w:t> </w:t>
      </w:r>
      <w:r w:rsidRPr="006E709F">
        <w:t>3, the statement must be accompanied by a copy of each report.</w:t>
      </w:r>
    </w:p>
    <w:p w:rsidR="002A22A4" w:rsidRPr="006E709F" w:rsidRDefault="002A22A4" w:rsidP="00A801D0">
      <w:pPr>
        <w:pStyle w:val="subsection"/>
      </w:pPr>
      <w:r w:rsidRPr="006E709F">
        <w:rPr>
          <w:b/>
        </w:rPr>
        <w:t>8305</w:t>
      </w:r>
      <w:r w:rsidRPr="006E709F">
        <w:tab/>
      </w:r>
      <w:r w:rsidRPr="006E709F">
        <w:tab/>
        <w:t>If:</w:t>
      </w:r>
    </w:p>
    <w:p w:rsidR="002A22A4" w:rsidRPr="006E709F" w:rsidRDefault="002A22A4" w:rsidP="00A801D0">
      <w:pPr>
        <w:pStyle w:val="paragraph"/>
      </w:pPr>
      <w:r w:rsidRPr="006E709F">
        <w:tab/>
        <w:t>(a)</w:t>
      </w:r>
      <w:r w:rsidRPr="006E709F">
        <w:tab/>
        <w:t>the company the subject of the Scheme obtains a report for clause</w:t>
      </w:r>
      <w:r w:rsidR="00DA13DE" w:rsidRPr="006E709F">
        <w:t> </w:t>
      </w:r>
      <w:r w:rsidRPr="006E709F">
        <w:t>3; and</w:t>
      </w:r>
    </w:p>
    <w:p w:rsidR="002A22A4" w:rsidRPr="006E709F" w:rsidRDefault="002A22A4" w:rsidP="00A801D0">
      <w:pPr>
        <w:pStyle w:val="paragraph"/>
      </w:pPr>
      <w:r w:rsidRPr="006E709F">
        <w:tab/>
        <w:t>(b)</w:t>
      </w:r>
      <w:r w:rsidRPr="006E709F">
        <w:tab/>
        <w:t>the report contains:</w:t>
      </w:r>
    </w:p>
    <w:p w:rsidR="002A22A4" w:rsidRPr="006E709F" w:rsidRDefault="002A22A4" w:rsidP="00A801D0">
      <w:pPr>
        <w:pStyle w:val="paragraphsub"/>
      </w:pPr>
      <w:r w:rsidRPr="006E709F">
        <w:tab/>
        <w:t>(i)</w:t>
      </w:r>
      <w:r w:rsidRPr="006E709F">
        <w:tab/>
        <w:t>a forecast of the profits or profitability of the company; or</w:t>
      </w:r>
    </w:p>
    <w:p w:rsidR="002A22A4" w:rsidRPr="006E709F" w:rsidRDefault="002A22A4" w:rsidP="00A801D0">
      <w:pPr>
        <w:pStyle w:val="paragraphsub"/>
      </w:pPr>
      <w:r w:rsidRPr="006E709F">
        <w:tab/>
        <w:t>(ii)</w:t>
      </w:r>
      <w:r w:rsidRPr="006E709F">
        <w:tab/>
        <w:t>a statement that the market value of an asset or assets of the company or of a related body corporate differs from an amount at which the value of the asset or assets is shown in the books of the company or the related body corporate;</w:t>
      </w:r>
    </w:p>
    <w:p w:rsidR="002A22A4" w:rsidRPr="006E709F" w:rsidRDefault="002A22A4" w:rsidP="00A801D0">
      <w:pPr>
        <w:pStyle w:val="subsection2"/>
      </w:pPr>
      <w:r w:rsidRPr="006E709F">
        <w:t>that report must not accompany the statement except with the consent in writing of ASIC and in accordance with such conditions (if any) as are stated by ASIC.</w:t>
      </w:r>
    </w:p>
    <w:p w:rsidR="002A22A4" w:rsidRPr="006E709F" w:rsidRDefault="002A22A4" w:rsidP="00A801D0">
      <w:pPr>
        <w:pStyle w:val="subsection"/>
      </w:pPr>
      <w:r w:rsidRPr="006E709F">
        <w:rPr>
          <w:b/>
        </w:rPr>
        <w:t>8306</w:t>
      </w:r>
      <w:r w:rsidRPr="006E709F">
        <w:tab/>
      </w:r>
      <w:r w:rsidRPr="006E709F">
        <w:tab/>
        <w:t>For clause</w:t>
      </w:r>
      <w:r w:rsidR="00DA13DE" w:rsidRPr="006E709F">
        <w:t> </w:t>
      </w:r>
      <w:r w:rsidRPr="006E709F">
        <w:t>3:</w:t>
      </w:r>
    </w:p>
    <w:p w:rsidR="002A22A4" w:rsidRPr="006E709F" w:rsidRDefault="002A22A4" w:rsidP="00A801D0">
      <w:pPr>
        <w:pStyle w:val="paragraph"/>
      </w:pPr>
      <w:r w:rsidRPr="006E709F">
        <w:tab/>
        <w:t>(a)</w:t>
      </w:r>
      <w:r w:rsidRPr="006E709F">
        <w:tab/>
        <w:t>a person has a prescribed shareholding in a company if he or she is entitled to not less than 30% of the voting shares in the company; and</w:t>
      </w:r>
    </w:p>
    <w:p w:rsidR="002A22A4" w:rsidRPr="006E709F" w:rsidRDefault="002A22A4" w:rsidP="00A801D0">
      <w:pPr>
        <w:pStyle w:val="paragraph"/>
      </w:pPr>
      <w:r w:rsidRPr="006E709F">
        <w:tab/>
        <w:t>(b)</w:t>
      </w:r>
      <w:r w:rsidRPr="006E709F">
        <w:tab/>
        <w:t>a person has a prescribed shareholding in a company in which the voting shares are divided into 2 or more classes of shares, if he or she is entitled to not less than 30% of the shares in one of those classes.</w:t>
      </w:r>
    </w:p>
    <w:p w:rsidR="002A22A4" w:rsidRPr="006E709F" w:rsidRDefault="002A22A4" w:rsidP="00A801D0">
      <w:pPr>
        <w:pStyle w:val="subsection"/>
      </w:pPr>
      <w:r w:rsidRPr="006E709F">
        <w:rPr>
          <w:b/>
        </w:rPr>
        <w:t>8307</w:t>
      </w:r>
      <w:r w:rsidRPr="006E709F">
        <w:tab/>
      </w:r>
      <w:r w:rsidRPr="006E709F">
        <w:tab/>
        <w:t>If the consideration to be offered to scheme members consists, in whole or in part, of marketable securities issued, or to be issued, by a corporation, the statement must set out the formula to be applied to find out the number of marketable securities to be issued to each scheme member, and the basis on which that formula was developed.</w:t>
      </w:r>
    </w:p>
    <w:p w:rsidR="002A22A4" w:rsidRPr="006E709F" w:rsidRDefault="002A22A4" w:rsidP="00B13146">
      <w:pPr>
        <w:pStyle w:val="subsection"/>
        <w:keepNext/>
        <w:keepLines/>
      </w:pPr>
      <w:r w:rsidRPr="006E709F">
        <w:rPr>
          <w:b/>
        </w:rPr>
        <w:t>8308</w:t>
      </w:r>
      <w:r w:rsidRPr="006E709F">
        <w:tab/>
      </w:r>
      <w:r w:rsidRPr="006E709F">
        <w:tab/>
        <w:t>If marketable securities of the same class as those mentioned in clause</w:t>
      </w:r>
      <w:r w:rsidR="00DA13DE" w:rsidRPr="006E709F">
        <w:t> </w:t>
      </w:r>
      <w:r w:rsidRPr="006E709F">
        <w:t>7 are granted official quotation on a securities exchange, the statement must state the fact, specify the securities exchange concerned, and set out:</w:t>
      </w:r>
    </w:p>
    <w:p w:rsidR="002A22A4" w:rsidRPr="006E709F" w:rsidRDefault="002A22A4" w:rsidP="00A801D0">
      <w:pPr>
        <w:pStyle w:val="paragraph"/>
      </w:pPr>
      <w:r w:rsidRPr="006E709F">
        <w:tab/>
        <w:t>(a)</w:t>
      </w:r>
      <w:r w:rsidRPr="006E709F">
        <w:tab/>
        <w:t>the latest recorded sale price before the date on which the statement is lodged for registration; and</w:t>
      </w:r>
    </w:p>
    <w:p w:rsidR="002A22A4" w:rsidRPr="006E709F" w:rsidRDefault="002A22A4" w:rsidP="00A801D0">
      <w:pPr>
        <w:pStyle w:val="paragraph"/>
      </w:pPr>
      <w:r w:rsidRPr="006E709F">
        <w:tab/>
        <w:t>(b)</w:t>
      </w:r>
      <w:r w:rsidRPr="006E709F">
        <w:tab/>
        <w:t>the highest and lowest recorded sale prices during the 3</w:t>
      </w:r>
      <w:r w:rsidR="00E376FA" w:rsidRPr="006E709F">
        <w:t xml:space="preserve"> </w:t>
      </w:r>
      <w:r w:rsidRPr="006E709F">
        <w:t>months immediately before that date and the dates of the relevant sales; and</w:t>
      </w:r>
    </w:p>
    <w:p w:rsidR="002A22A4" w:rsidRPr="006E709F" w:rsidRDefault="002A22A4" w:rsidP="00A801D0">
      <w:pPr>
        <w:pStyle w:val="paragraph"/>
      </w:pPr>
      <w:r w:rsidRPr="006E709F">
        <w:tab/>
        <w:t>(c)</w:t>
      </w:r>
      <w:r w:rsidRPr="006E709F">
        <w:tab/>
        <w:t>if the Scheme has been the subject of a public announcement in newspapers or by any other means before the statement has been registered by ASIC</w:t>
      </w:r>
      <w:r w:rsidR="00A801D0" w:rsidRPr="006E709F">
        <w:t>—</w:t>
      </w:r>
      <w:r w:rsidRPr="006E709F">
        <w:t>the latest recorded sale price immediately before the public announcement.</w:t>
      </w:r>
    </w:p>
    <w:p w:rsidR="002A22A4" w:rsidRPr="006E709F" w:rsidRDefault="002A22A4" w:rsidP="00A801D0">
      <w:pPr>
        <w:pStyle w:val="subsection"/>
      </w:pPr>
      <w:r w:rsidRPr="006E709F">
        <w:rPr>
          <w:b/>
        </w:rPr>
        <w:t>8309</w:t>
      </w:r>
      <w:r w:rsidRPr="006E709F">
        <w:tab/>
        <w:t>(1)</w:t>
      </w:r>
      <w:r w:rsidRPr="006E709F">
        <w:tab/>
        <w:t>If the marketable securities mentioned in clause</w:t>
      </w:r>
      <w:r w:rsidR="00DA13DE" w:rsidRPr="006E709F">
        <w:t> </w:t>
      </w:r>
      <w:r w:rsidRPr="006E709F">
        <w:t>8 are granted official quotation on more than one securities exchange, it is sufficient compliance with paragraphs 8(a) and (c) if information on the marketable securities is given for the securities exchange at which there has been the greatest number of recorded dealings in the securities in the 3 months immediately before the date on which the statement is lodged for registration.</w:t>
      </w:r>
    </w:p>
    <w:p w:rsidR="002A22A4" w:rsidRPr="006E709F" w:rsidRDefault="002A22A4" w:rsidP="00A801D0">
      <w:pPr>
        <w:pStyle w:val="subsection"/>
      </w:pPr>
      <w:r w:rsidRPr="006E709F">
        <w:lastRenderedPageBreak/>
        <w:tab/>
        <w:t>(2)</w:t>
      </w:r>
      <w:r w:rsidRPr="006E709F">
        <w:tab/>
        <w:t>If the securities have not been granted official quotation on a securities exchange, the statement must set out all the information that a director, liquidator or official manager of the company the subject of the Scheme or of a related body corporate has about the number of securities that have been sold in the 3 months immediately before the date on which the explanatory statement was prepared and the price of those securities or, if that information or any part of that information cannot be ascertained, a statement to that effect.</w:t>
      </w:r>
    </w:p>
    <w:p w:rsidR="002A22A4" w:rsidRPr="006E709F" w:rsidRDefault="002A22A4" w:rsidP="00A801D0">
      <w:pPr>
        <w:pStyle w:val="subsection"/>
      </w:pPr>
      <w:r w:rsidRPr="006E709F">
        <w:rPr>
          <w:b/>
        </w:rPr>
        <w:t>8310</w:t>
      </w:r>
      <w:r w:rsidRPr="006E709F">
        <w:tab/>
      </w:r>
      <w:r w:rsidRPr="006E709F">
        <w:tab/>
        <w:t>The statement must set out particulars of the intentions of the directors of the company the subject of the Scheme regarding:</w:t>
      </w:r>
    </w:p>
    <w:p w:rsidR="002A22A4" w:rsidRPr="006E709F" w:rsidRDefault="002A22A4" w:rsidP="00A801D0">
      <w:pPr>
        <w:pStyle w:val="paragraph"/>
      </w:pPr>
      <w:r w:rsidRPr="006E709F">
        <w:tab/>
        <w:t>(a)</w:t>
      </w:r>
      <w:r w:rsidRPr="006E709F">
        <w:tab/>
        <w:t xml:space="preserve">the continuation of the business of the company or, if the undertaking, or any part of the undertaking, of a company is to be transferred, how that undertaking or </w:t>
      </w:r>
      <w:r w:rsidR="00FF4176" w:rsidRPr="006E709F">
        <w:t>part i</w:t>
      </w:r>
      <w:r w:rsidRPr="006E709F">
        <w:t>s to be conducted in the future; and</w:t>
      </w:r>
    </w:p>
    <w:p w:rsidR="002A22A4" w:rsidRPr="006E709F" w:rsidRDefault="002A22A4" w:rsidP="00A801D0">
      <w:pPr>
        <w:pStyle w:val="paragraph"/>
      </w:pPr>
      <w:r w:rsidRPr="006E709F">
        <w:tab/>
        <w:t>(b)</w:t>
      </w:r>
      <w:r w:rsidRPr="006E709F">
        <w:tab/>
        <w:t>any major changes to be made to the business of the company, including any redeployment of the fixed assets of the company; and</w:t>
      </w:r>
    </w:p>
    <w:p w:rsidR="002A22A4" w:rsidRPr="006E709F" w:rsidRDefault="002A22A4" w:rsidP="00A801D0">
      <w:pPr>
        <w:pStyle w:val="paragraph"/>
      </w:pPr>
      <w:r w:rsidRPr="006E709F">
        <w:tab/>
        <w:t>(c)</w:t>
      </w:r>
      <w:r w:rsidRPr="006E709F">
        <w:tab/>
        <w:t>the future employment of the present employees of the company.</w:t>
      </w:r>
    </w:p>
    <w:p w:rsidR="002A22A4" w:rsidRPr="006E709F" w:rsidRDefault="00A801D0" w:rsidP="007C7D49">
      <w:pPr>
        <w:pStyle w:val="ActHead3"/>
        <w:pageBreakBefore/>
      </w:pPr>
      <w:bookmarkStart w:id="29" w:name="_Toc170547851"/>
      <w:r w:rsidRPr="000C4237">
        <w:rPr>
          <w:rStyle w:val="CharDivNo"/>
        </w:rPr>
        <w:lastRenderedPageBreak/>
        <w:t>Part</w:t>
      </w:r>
      <w:r w:rsidR="00DA13DE" w:rsidRPr="000C4237">
        <w:rPr>
          <w:rStyle w:val="CharDivNo"/>
        </w:rPr>
        <w:t> </w:t>
      </w:r>
      <w:r w:rsidR="002A22A4" w:rsidRPr="000C4237">
        <w:rPr>
          <w:rStyle w:val="CharDivNo"/>
        </w:rPr>
        <w:t>4</w:t>
      </w:r>
      <w:r w:rsidRPr="006E709F">
        <w:t>—</w:t>
      </w:r>
      <w:r w:rsidR="002A22A4" w:rsidRPr="000C4237">
        <w:rPr>
          <w:rStyle w:val="CharDivText"/>
        </w:rPr>
        <w:t>Prescribed information relating to proposed compromise or arrangement with members or class of members for transfer to a trustee</w:t>
      </w:r>
      <w:bookmarkEnd w:id="29"/>
    </w:p>
    <w:p w:rsidR="002A22A4" w:rsidRPr="006E709F" w:rsidRDefault="002A22A4" w:rsidP="00A801D0">
      <w:pPr>
        <w:pStyle w:val="subsection"/>
      </w:pPr>
      <w:r w:rsidRPr="006E709F">
        <w:rPr>
          <w:b/>
        </w:rPr>
        <w:t>8401</w:t>
      </w:r>
      <w:r w:rsidRPr="006E709F">
        <w:tab/>
      </w:r>
      <w:r w:rsidRPr="006E709F">
        <w:tab/>
        <w:t>The statement must set out:</w:t>
      </w:r>
    </w:p>
    <w:p w:rsidR="002A22A4" w:rsidRPr="006E709F" w:rsidRDefault="002A22A4" w:rsidP="00A801D0">
      <w:pPr>
        <w:pStyle w:val="paragraph"/>
      </w:pPr>
      <w:r w:rsidRPr="006E709F">
        <w:tab/>
        <w:t>(a)</w:t>
      </w:r>
      <w:r w:rsidRPr="006E709F">
        <w:tab/>
        <w:t>in detail, the basis on which units in the unit trust are to be issued to scheme members; and</w:t>
      </w:r>
    </w:p>
    <w:p w:rsidR="002A22A4" w:rsidRPr="006E709F" w:rsidRDefault="002A22A4" w:rsidP="00A801D0">
      <w:pPr>
        <w:pStyle w:val="paragraph"/>
      </w:pPr>
      <w:r w:rsidRPr="006E709F">
        <w:tab/>
        <w:t>(b)</w:t>
      </w:r>
      <w:r w:rsidRPr="006E709F">
        <w:tab/>
        <w:t>if the issue of units in the unit trust is based on the asset backing of shares held by scheme members</w:t>
      </w:r>
      <w:r w:rsidR="00A801D0" w:rsidRPr="006E709F">
        <w:t>—</w:t>
      </w:r>
      <w:r w:rsidRPr="006E709F">
        <w:t>full valuation details of those assets.</w:t>
      </w:r>
    </w:p>
    <w:p w:rsidR="002A22A4" w:rsidRPr="006E709F" w:rsidRDefault="002A22A4" w:rsidP="00A801D0">
      <w:pPr>
        <w:pStyle w:val="subsection"/>
      </w:pPr>
      <w:r w:rsidRPr="006E709F">
        <w:rPr>
          <w:b/>
        </w:rPr>
        <w:t>8402</w:t>
      </w:r>
      <w:r w:rsidRPr="006E709F">
        <w:tab/>
      </w:r>
      <w:r w:rsidRPr="006E709F">
        <w:tab/>
        <w:t>A copy of the trust deed must be annexed, or set out in a schedule, to the statement.</w:t>
      </w:r>
    </w:p>
    <w:p w:rsidR="002A22A4" w:rsidRPr="006E709F" w:rsidRDefault="002A22A4" w:rsidP="00A801D0">
      <w:pPr>
        <w:pStyle w:val="subsection"/>
      </w:pPr>
      <w:r w:rsidRPr="006E709F">
        <w:rPr>
          <w:b/>
        </w:rPr>
        <w:t>8403</w:t>
      </w:r>
      <w:r w:rsidRPr="006E709F">
        <w:tab/>
      </w:r>
      <w:r w:rsidRPr="006E709F">
        <w:tab/>
        <w:t xml:space="preserve">If the effect of the proposed compromise or arrangement will be the merger of 2 companies without substantial common membership, the explanatory statement must, so far as practicable, state the matters, and be accompanied by the documents and reports, mentioned in </w:t>
      </w:r>
      <w:r w:rsidR="00A801D0" w:rsidRPr="006E709F">
        <w:t>Part</w:t>
      </w:r>
      <w:r w:rsidR="00DA13DE" w:rsidRPr="006E709F">
        <w:t> </w:t>
      </w:r>
      <w:r w:rsidRPr="006E709F">
        <w:t>3.</w:t>
      </w:r>
    </w:p>
    <w:p w:rsidR="004B6E7C" w:rsidRPr="006E709F" w:rsidRDefault="004B6E7C" w:rsidP="004B6E7C">
      <w:pPr>
        <w:sectPr w:rsidR="004B6E7C" w:rsidRPr="006E709F" w:rsidSect="0054047A">
          <w:headerReference w:type="even" r:id="rId33"/>
          <w:headerReference w:type="default" r:id="rId34"/>
          <w:footerReference w:type="even" r:id="rId35"/>
          <w:footerReference w:type="default" r:id="rId36"/>
          <w:headerReference w:type="first" r:id="rId37"/>
          <w:footerReference w:type="first" r:id="rId38"/>
          <w:pgSz w:w="11907" w:h="16839" w:code="9"/>
          <w:pgMar w:top="2325" w:right="1797" w:bottom="1440" w:left="1797" w:header="720" w:footer="709" w:gutter="0"/>
          <w:cols w:space="720"/>
          <w:docGrid w:linePitch="299"/>
        </w:sectPr>
      </w:pPr>
    </w:p>
    <w:p w:rsidR="002A22A4" w:rsidRPr="006E709F" w:rsidRDefault="00A801D0" w:rsidP="00E376FA">
      <w:pPr>
        <w:pStyle w:val="ActHead1"/>
        <w:pageBreakBefore/>
      </w:pPr>
      <w:bookmarkStart w:id="30" w:name="_Toc170547852"/>
      <w:r w:rsidRPr="000C4237">
        <w:rPr>
          <w:rStyle w:val="CharChapNo"/>
        </w:rPr>
        <w:lastRenderedPageBreak/>
        <w:t>Schedule</w:t>
      </w:r>
      <w:r w:rsidR="00DA13DE" w:rsidRPr="000C4237">
        <w:rPr>
          <w:rStyle w:val="CharChapNo"/>
        </w:rPr>
        <w:t> </w:t>
      </w:r>
      <w:r w:rsidR="002A22A4" w:rsidRPr="000C4237">
        <w:rPr>
          <w:rStyle w:val="CharChapNo"/>
        </w:rPr>
        <w:t>8A</w:t>
      </w:r>
      <w:r w:rsidRPr="006E709F">
        <w:t>—</w:t>
      </w:r>
      <w:r w:rsidR="002A22A4" w:rsidRPr="000C4237">
        <w:rPr>
          <w:rStyle w:val="CharChapText"/>
        </w:rPr>
        <w:t>Deed of company arrangement</w:t>
      </w:r>
      <w:r w:rsidRPr="000C4237">
        <w:rPr>
          <w:rStyle w:val="CharChapText"/>
        </w:rPr>
        <w:t>—</w:t>
      </w:r>
      <w:r w:rsidR="002A22A4" w:rsidRPr="000C4237">
        <w:rPr>
          <w:rStyle w:val="CharChapText"/>
        </w:rPr>
        <w:t>prescribed provisions</w:t>
      </w:r>
      <w:bookmarkEnd w:id="30"/>
    </w:p>
    <w:p w:rsidR="002A22A4" w:rsidRPr="006E709F" w:rsidRDefault="002A22A4" w:rsidP="00A801D0">
      <w:pPr>
        <w:pStyle w:val="notemargin"/>
      </w:pPr>
      <w:r w:rsidRPr="006E709F">
        <w:t>(regulation</w:t>
      </w:r>
      <w:r w:rsidR="00DA13DE" w:rsidRPr="006E709F">
        <w:t> </w:t>
      </w:r>
      <w:r w:rsidRPr="006E709F">
        <w:t>5.3A.06)</w:t>
      </w:r>
    </w:p>
    <w:p w:rsidR="002A22A4" w:rsidRPr="006E709F" w:rsidRDefault="00A801D0" w:rsidP="002A22A4">
      <w:pPr>
        <w:pStyle w:val="Header"/>
      </w:pPr>
      <w:r w:rsidRPr="000C4237">
        <w:rPr>
          <w:rStyle w:val="CharPartNo"/>
        </w:rPr>
        <w:t xml:space="preserve"> </w:t>
      </w:r>
      <w:r w:rsidRPr="000C4237">
        <w:rPr>
          <w:rStyle w:val="CharPartText"/>
        </w:rPr>
        <w:t xml:space="preserve"> </w:t>
      </w:r>
    </w:p>
    <w:p w:rsidR="00A25488" w:rsidRPr="006E709F" w:rsidRDefault="00A25488" w:rsidP="00A25488">
      <w:pPr>
        <w:pStyle w:val="Header"/>
      </w:pPr>
      <w:r w:rsidRPr="000C4237">
        <w:rPr>
          <w:rStyle w:val="CharDivNo"/>
        </w:rPr>
        <w:t xml:space="preserve"> </w:t>
      </w:r>
      <w:r w:rsidRPr="000C4237">
        <w:rPr>
          <w:rStyle w:val="CharDivText"/>
        </w:rPr>
        <w:t xml:space="preserve"> </w:t>
      </w:r>
    </w:p>
    <w:p w:rsidR="002A22A4" w:rsidRPr="006E709F" w:rsidRDefault="00C44525" w:rsidP="00A801D0">
      <w:pPr>
        <w:pStyle w:val="ActHead5"/>
      </w:pPr>
      <w:bookmarkStart w:id="31" w:name="_Toc170547853"/>
      <w:r w:rsidRPr="000C4237">
        <w:rPr>
          <w:rStyle w:val="CharSectno"/>
        </w:rPr>
        <w:t>1</w:t>
      </w:r>
      <w:r w:rsidRPr="006E709F">
        <w:t xml:space="preserve">  </w:t>
      </w:r>
      <w:r w:rsidR="002A22A4" w:rsidRPr="006E709F">
        <w:t>Administrator deemed agent of company</w:t>
      </w:r>
      <w:bookmarkEnd w:id="31"/>
    </w:p>
    <w:p w:rsidR="002A22A4" w:rsidRPr="006E709F" w:rsidRDefault="002A22A4" w:rsidP="00A801D0">
      <w:pPr>
        <w:pStyle w:val="subsection"/>
      </w:pPr>
      <w:r w:rsidRPr="006E709F">
        <w:tab/>
      </w:r>
      <w:r w:rsidRPr="006E709F">
        <w:tab/>
        <w:t>In exercising the powers conferred by this deed and carrying out the duties arising under this deed, the administrator is taken to act as agent for and on behalf of the company.</w:t>
      </w:r>
    </w:p>
    <w:p w:rsidR="002A22A4" w:rsidRPr="006E709F" w:rsidRDefault="00C44525" w:rsidP="00A801D0">
      <w:pPr>
        <w:pStyle w:val="ActHead5"/>
      </w:pPr>
      <w:bookmarkStart w:id="32" w:name="_Toc170547854"/>
      <w:r w:rsidRPr="000C4237">
        <w:rPr>
          <w:rStyle w:val="CharSectno"/>
        </w:rPr>
        <w:t>2</w:t>
      </w:r>
      <w:r w:rsidRPr="006E709F">
        <w:t xml:space="preserve">  </w:t>
      </w:r>
      <w:r w:rsidR="002A22A4" w:rsidRPr="006E709F">
        <w:t>Powers of administrator</w:t>
      </w:r>
      <w:bookmarkEnd w:id="32"/>
    </w:p>
    <w:p w:rsidR="002A22A4" w:rsidRPr="006E709F" w:rsidRDefault="002A22A4" w:rsidP="00A801D0">
      <w:pPr>
        <w:pStyle w:val="subsection"/>
      </w:pPr>
      <w:r w:rsidRPr="006E709F">
        <w:tab/>
      </w:r>
      <w:r w:rsidRPr="006E709F">
        <w:tab/>
        <w:t>For the purpose only of administering this deed, the administrator has the following powers:</w:t>
      </w:r>
    </w:p>
    <w:p w:rsidR="002A22A4" w:rsidRPr="006E709F" w:rsidRDefault="002A22A4" w:rsidP="00A801D0">
      <w:pPr>
        <w:pStyle w:val="paragraph"/>
      </w:pPr>
      <w:r w:rsidRPr="006E709F">
        <w:tab/>
        <w:t>(a)</w:t>
      </w:r>
      <w:r w:rsidRPr="006E709F">
        <w:tab/>
        <w:t>to enter upon or take possession of the property of the company;</w:t>
      </w:r>
    </w:p>
    <w:p w:rsidR="002A22A4" w:rsidRPr="006E709F" w:rsidRDefault="002A22A4" w:rsidP="00A801D0">
      <w:pPr>
        <w:pStyle w:val="paragraph"/>
      </w:pPr>
      <w:r w:rsidRPr="006E709F">
        <w:tab/>
        <w:t>(b)</w:t>
      </w:r>
      <w:r w:rsidRPr="006E709F">
        <w:tab/>
        <w:t>to lease or let on hire property of the company;</w:t>
      </w:r>
    </w:p>
    <w:p w:rsidR="002A22A4" w:rsidRPr="006E709F" w:rsidRDefault="002A22A4" w:rsidP="00A801D0">
      <w:pPr>
        <w:pStyle w:val="paragraph"/>
      </w:pPr>
      <w:r w:rsidRPr="006E709F">
        <w:tab/>
        <w:t>(c)</w:t>
      </w:r>
      <w:r w:rsidRPr="006E709F">
        <w:tab/>
        <w:t>to grant options over property of the company on such conditions as the administrator thinks fit;</w:t>
      </w:r>
    </w:p>
    <w:p w:rsidR="002A22A4" w:rsidRPr="006E709F" w:rsidRDefault="002A22A4" w:rsidP="00A801D0">
      <w:pPr>
        <w:pStyle w:val="paragraph"/>
      </w:pPr>
      <w:r w:rsidRPr="006E709F">
        <w:tab/>
        <w:t>(d)</w:t>
      </w:r>
      <w:r w:rsidRPr="006E709F">
        <w:tab/>
        <w:t>to insure property of the company;</w:t>
      </w:r>
    </w:p>
    <w:p w:rsidR="002A22A4" w:rsidRPr="006E709F" w:rsidRDefault="002A22A4" w:rsidP="00A801D0">
      <w:pPr>
        <w:pStyle w:val="paragraph"/>
      </w:pPr>
      <w:r w:rsidRPr="006E709F">
        <w:tab/>
        <w:t>(e)</w:t>
      </w:r>
      <w:r w:rsidRPr="006E709F">
        <w:tab/>
        <w:t>to repair, renew or enlarge property of the company;</w:t>
      </w:r>
    </w:p>
    <w:p w:rsidR="002A22A4" w:rsidRPr="006E709F" w:rsidRDefault="002A22A4" w:rsidP="00A801D0">
      <w:pPr>
        <w:pStyle w:val="paragraph"/>
      </w:pPr>
      <w:r w:rsidRPr="006E709F">
        <w:tab/>
        <w:t>(f)</w:t>
      </w:r>
      <w:r w:rsidRPr="006E709F">
        <w:tab/>
        <w:t>to call in, collect or convert into money the property of the company;</w:t>
      </w:r>
    </w:p>
    <w:p w:rsidR="002A22A4" w:rsidRPr="006E709F" w:rsidRDefault="002A22A4" w:rsidP="00A801D0">
      <w:pPr>
        <w:pStyle w:val="paragraph"/>
      </w:pPr>
      <w:r w:rsidRPr="006E709F">
        <w:tab/>
        <w:t>(g)</w:t>
      </w:r>
      <w:r w:rsidRPr="006E709F">
        <w:tab/>
        <w:t>to administer the assets available for the payment of claims of creditors in accordance with the provisions of this deed;</w:t>
      </w:r>
    </w:p>
    <w:p w:rsidR="002A22A4" w:rsidRPr="006E709F" w:rsidRDefault="002A22A4" w:rsidP="00A801D0">
      <w:pPr>
        <w:pStyle w:val="paragraph"/>
      </w:pPr>
      <w:r w:rsidRPr="006E709F">
        <w:tab/>
        <w:t>(h)</w:t>
      </w:r>
      <w:r w:rsidRPr="006E709F">
        <w:tab/>
        <w:t>to purchase, hire, lease or otherwise acquire any property or interest in property from any person or corporation;</w:t>
      </w:r>
    </w:p>
    <w:p w:rsidR="002A22A4" w:rsidRPr="006E709F" w:rsidRDefault="002A22A4" w:rsidP="00A801D0">
      <w:pPr>
        <w:pStyle w:val="paragraph"/>
      </w:pPr>
      <w:r w:rsidRPr="006E709F">
        <w:tab/>
        <w:t>(i)</w:t>
      </w:r>
      <w:r w:rsidRPr="006E709F">
        <w:tab/>
        <w:t>to borrow or raise money, whether secured upon any or all of the assets of the company or unsecured, for any period on such terms as the administrator thinks fit and whether in substitution for any existing security or otherwise;</w:t>
      </w:r>
    </w:p>
    <w:p w:rsidR="002A22A4" w:rsidRPr="006E709F" w:rsidRDefault="002A22A4" w:rsidP="00A801D0">
      <w:pPr>
        <w:pStyle w:val="paragraph"/>
      </w:pPr>
      <w:r w:rsidRPr="006E709F">
        <w:tab/>
        <w:t>(j)</w:t>
      </w:r>
      <w:r w:rsidRPr="006E709F">
        <w:tab/>
        <w:t>to bring, prosecute and defend in the name and on behalf of the company or in the name of the administrator any actions, suits or proceedings;</w:t>
      </w:r>
    </w:p>
    <w:p w:rsidR="002A22A4" w:rsidRPr="006E709F" w:rsidRDefault="002A22A4" w:rsidP="00A801D0">
      <w:pPr>
        <w:pStyle w:val="paragraph"/>
      </w:pPr>
      <w:r w:rsidRPr="006E709F">
        <w:tab/>
        <w:t>(k)</w:t>
      </w:r>
      <w:r w:rsidRPr="006E709F">
        <w:tab/>
        <w:t>to refer to arbitration any question affecting the company;</w:t>
      </w:r>
    </w:p>
    <w:p w:rsidR="002A22A4" w:rsidRPr="006E709F" w:rsidRDefault="002A22A4" w:rsidP="00A801D0">
      <w:pPr>
        <w:pStyle w:val="paragraph"/>
      </w:pPr>
      <w:r w:rsidRPr="006E709F">
        <w:tab/>
        <w:t>(l)</w:t>
      </w:r>
      <w:r w:rsidRPr="006E709F">
        <w:tab/>
        <w:t>to make payments to any secured creditor of the company and any person who is the owner or lessor of property possessed used or occupied by the company;</w:t>
      </w:r>
    </w:p>
    <w:p w:rsidR="002A22A4" w:rsidRPr="006E709F" w:rsidRDefault="002A22A4" w:rsidP="00A801D0">
      <w:pPr>
        <w:pStyle w:val="paragraph"/>
      </w:pPr>
      <w:r w:rsidRPr="006E709F">
        <w:tab/>
        <w:t>(m)</w:t>
      </w:r>
      <w:r w:rsidRPr="006E709F">
        <w:tab/>
        <w:t>to convene and hold meetings of the members or creditors of the company for any purpose the administrator thinks fit;</w:t>
      </w:r>
    </w:p>
    <w:p w:rsidR="002A22A4" w:rsidRPr="006E709F" w:rsidRDefault="002A22A4" w:rsidP="00A801D0">
      <w:pPr>
        <w:pStyle w:val="paragraph"/>
      </w:pPr>
      <w:r w:rsidRPr="006E709F">
        <w:tab/>
        <w:t>(n)</w:t>
      </w:r>
      <w:r w:rsidRPr="006E709F">
        <w:tab/>
        <w:t>to make interim or other distributions of the proceeds of the realisation of the assets available for the payment of claims of creditors as provided in this deed;</w:t>
      </w:r>
    </w:p>
    <w:p w:rsidR="002A22A4" w:rsidRPr="006E709F" w:rsidRDefault="002A22A4" w:rsidP="00A801D0">
      <w:pPr>
        <w:pStyle w:val="paragraph"/>
      </w:pPr>
      <w:r w:rsidRPr="006E709F">
        <w:tab/>
        <w:t>(o)</w:t>
      </w:r>
      <w:r w:rsidRPr="006E709F">
        <w:tab/>
        <w:t>to appoint agents to do any business or to attend to any matter or affairs of the company that the administrator is unable to do, or that it is unreasonable to expect the administrator to do, in person;</w:t>
      </w:r>
    </w:p>
    <w:p w:rsidR="002A22A4" w:rsidRPr="006E709F" w:rsidRDefault="002A22A4" w:rsidP="00A801D0">
      <w:pPr>
        <w:pStyle w:val="paragraph"/>
      </w:pPr>
      <w:r w:rsidRPr="006E709F">
        <w:tab/>
        <w:t>(p)</w:t>
      </w:r>
      <w:r w:rsidRPr="006E709F">
        <w:tab/>
        <w:t>to engage or discharge employees on behalf of the company;</w:t>
      </w:r>
    </w:p>
    <w:p w:rsidR="002A22A4" w:rsidRPr="006E709F" w:rsidRDefault="002A22A4" w:rsidP="00A801D0">
      <w:pPr>
        <w:pStyle w:val="paragraph"/>
      </w:pPr>
      <w:r w:rsidRPr="006E709F">
        <w:lastRenderedPageBreak/>
        <w:tab/>
        <w:t>(q)</w:t>
      </w:r>
      <w:r w:rsidRPr="006E709F">
        <w:tab/>
        <w:t>to appoint a solicitor, accountant or other professionally qualified person to assist the administrator;</w:t>
      </w:r>
    </w:p>
    <w:p w:rsidR="002A22A4" w:rsidRPr="006E709F" w:rsidRDefault="002A22A4" w:rsidP="00A801D0">
      <w:pPr>
        <w:pStyle w:val="paragraph"/>
      </w:pPr>
      <w:r w:rsidRPr="006E709F">
        <w:tab/>
        <w:t>(r)</w:t>
      </w:r>
      <w:r w:rsidRPr="006E709F">
        <w:tab/>
        <w:t>to permit any person authorised by the administrator to operate any account in the name of the company;</w:t>
      </w:r>
    </w:p>
    <w:p w:rsidR="002A22A4" w:rsidRPr="006E709F" w:rsidRDefault="002A22A4" w:rsidP="00A801D0">
      <w:pPr>
        <w:pStyle w:val="paragraph"/>
      </w:pPr>
      <w:r w:rsidRPr="006E709F">
        <w:tab/>
        <w:t>(s)</w:t>
      </w:r>
      <w:r w:rsidRPr="006E709F">
        <w:tab/>
        <w:t>to sell, call in or convert into money any of the property of the company, to apply the money in accordance with this deed and otherwise effectively and properly to carry out his or her duties as administrator;</w:t>
      </w:r>
    </w:p>
    <w:p w:rsidR="002A22A4" w:rsidRPr="006E709F" w:rsidRDefault="002A22A4" w:rsidP="00A801D0">
      <w:pPr>
        <w:pStyle w:val="paragraph"/>
      </w:pPr>
      <w:r w:rsidRPr="006E709F">
        <w:tab/>
        <w:t>(t)</w:t>
      </w:r>
      <w:r w:rsidRPr="006E709F">
        <w:tab/>
        <w:t>to do all acts and execute in the name and on behalf of the company all deeds, receipts and other documents, using the company’s common or official seal when necessary;</w:t>
      </w:r>
    </w:p>
    <w:p w:rsidR="002A22A4" w:rsidRPr="006E709F" w:rsidRDefault="002A22A4" w:rsidP="00A801D0">
      <w:pPr>
        <w:pStyle w:val="paragraph"/>
      </w:pPr>
      <w:r w:rsidRPr="006E709F">
        <w:tab/>
        <w:t>(u)</w:t>
      </w:r>
      <w:r w:rsidRPr="006E709F">
        <w:tab/>
        <w:t xml:space="preserve">subject to the </w:t>
      </w:r>
      <w:r w:rsidRPr="006E709F">
        <w:rPr>
          <w:i/>
        </w:rPr>
        <w:t>Bankruptcy Act 1966</w:t>
      </w:r>
      <w:r w:rsidRPr="006E709F">
        <w:t>, to prove in the bankruptcy of any contributory or debtor of the company or under any deed executed under that Act;</w:t>
      </w:r>
    </w:p>
    <w:p w:rsidR="002A22A4" w:rsidRPr="006E709F" w:rsidRDefault="002A22A4" w:rsidP="00A801D0">
      <w:pPr>
        <w:pStyle w:val="paragraph"/>
      </w:pPr>
      <w:r w:rsidRPr="006E709F">
        <w:tab/>
        <w:t>(v)</w:t>
      </w:r>
      <w:r w:rsidRPr="006E709F">
        <w:tab/>
        <w:t>subject to the Act, to prove in the winding up of any contributory or debtor of the company or under any scheme of arrangement entered into, or deed of company arrangement executed, under the Act;</w:t>
      </w:r>
    </w:p>
    <w:p w:rsidR="002A22A4" w:rsidRPr="006E709F" w:rsidRDefault="002A22A4" w:rsidP="00A801D0">
      <w:pPr>
        <w:pStyle w:val="paragraph"/>
      </w:pPr>
      <w:r w:rsidRPr="006E709F">
        <w:tab/>
        <w:t>(w)</w:t>
      </w:r>
      <w:r w:rsidRPr="006E709F">
        <w:tab/>
        <w:t>to draw, accept, make or endorse any bill of exchange or promissory note in the name and on behalf of the company;</w:t>
      </w:r>
    </w:p>
    <w:p w:rsidR="002A22A4" w:rsidRPr="006E709F" w:rsidRDefault="002A22A4" w:rsidP="00A801D0">
      <w:pPr>
        <w:pStyle w:val="paragraph"/>
      </w:pPr>
      <w:r w:rsidRPr="006E709F">
        <w:tab/>
        <w:t>(x)</w:t>
      </w:r>
      <w:r w:rsidRPr="006E709F">
        <w:tab/>
        <w:t>to take out letters of administration of the estate of a deceased contributory or debtor, and do any other act necessary for obtaining payment of any money due from a contributory or debtor, or the estate of a contributory or debtor, that cannot be conveniently done in the name of the company;</w:t>
      </w:r>
    </w:p>
    <w:p w:rsidR="002A22A4" w:rsidRPr="006E709F" w:rsidRDefault="002A22A4" w:rsidP="00A801D0">
      <w:pPr>
        <w:pStyle w:val="paragraph"/>
      </w:pPr>
      <w:r w:rsidRPr="006E709F">
        <w:tab/>
        <w:t>(y)</w:t>
      </w:r>
      <w:r w:rsidRPr="006E709F">
        <w:tab/>
        <w:t>to bring or defend an application for the winding up of the company;</w:t>
      </w:r>
    </w:p>
    <w:p w:rsidR="002A22A4" w:rsidRPr="006E709F" w:rsidRDefault="002A22A4" w:rsidP="00A801D0">
      <w:pPr>
        <w:pStyle w:val="paragraph"/>
      </w:pPr>
      <w:r w:rsidRPr="006E709F">
        <w:tab/>
        <w:t>(z)</w:t>
      </w:r>
      <w:r w:rsidRPr="006E709F">
        <w:tab/>
        <w:t>to carry on the business of the company on such terms and conditions and for such purposes and times and in such manner as the administrator thinks fit subject only to the limitations imposed by this deed;</w:t>
      </w:r>
    </w:p>
    <w:p w:rsidR="002A22A4" w:rsidRPr="006E709F" w:rsidRDefault="002A22A4" w:rsidP="00A801D0">
      <w:pPr>
        <w:pStyle w:val="paragraph"/>
      </w:pPr>
      <w:r w:rsidRPr="006E709F">
        <w:tab/>
        <w:t>(za)</w:t>
      </w:r>
      <w:r w:rsidRPr="006E709F">
        <w:tab/>
        <w:t>to sell any or all of the property of the company including the whole of the business or undertaking of the company at any time the administrator thinks fit, either by public auction or by private contract and either for a lump sum or for a sum payable by instalments or for a sum on account and to obtain a mortgage charge or encumbrance for the balance or otherwise;</w:t>
      </w:r>
    </w:p>
    <w:p w:rsidR="002A22A4" w:rsidRPr="006E709F" w:rsidRDefault="002A22A4" w:rsidP="00A801D0">
      <w:pPr>
        <w:pStyle w:val="paragraph"/>
      </w:pPr>
      <w:r w:rsidRPr="006E709F">
        <w:tab/>
        <w:t>(zb)</w:t>
      </w:r>
      <w:r w:rsidRPr="006E709F">
        <w:tab/>
        <w:t>to close down the whole or any part of any business of the company;</w:t>
      </w:r>
    </w:p>
    <w:p w:rsidR="002A22A4" w:rsidRPr="006E709F" w:rsidRDefault="002A22A4" w:rsidP="00A801D0">
      <w:pPr>
        <w:pStyle w:val="paragraph"/>
      </w:pPr>
      <w:r w:rsidRPr="006E709F">
        <w:tab/>
        <w:t>(zc)</w:t>
      </w:r>
      <w:r w:rsidRPr="006E709F">
        <w:tab/>
        <w:t>to enter into and complete any contract for the sale of shares in the company;</w:t>
      </w:r>
    </w:p>
    <w:p w:rsidR="002A22A4" w:rsidRPr="006E709F" w:rsidRDefault="002A22A4" w:rsidP="00A801D0">
      <w:pPr>
        <w:pStyle w:val="paragraph"/>
      </w:pPr>
      <w:r w:rsidRPr="006E709F">
        <w:tab/>
        <w:t>(zd)</w:t>
      </w:r>
      <w:r w:rsidRPr="006E709F">
        <w:tab/>
        <w:t>to compromise any debts or claims brought by or against the company on such terms as the administrator thinks fit and to take security for the discharge of any debt forming part of the property of the company;</w:t>
      </w:r>
    </w:p>
    <w:p w:rsidR="002A22A4" w:rsidRPr="006E709F" w:rsidRDefault="002A22A4" w:rsidP="00A801D0">
      <w:pPr>
        <w:pStyle w:val="paragraph"/>
      </w:pPr>
      <w:r w:rsidRPr="006E709F">
        <w:tab/>
        <w:t>(ze)</w:t>
      </w:r>
      <w:r w:rsidRPr="006E709F">
        <w:tab/>
        <w:t xml:space="preserve">to pay any class of creditors in full, subject to </w:t>
      </w:r>
      <w:r w:rsidR="00A801D0" w:rsidRPr="006E709F">
        <w:t>Subdivision</w:t>
      </w:r>
      <w:r w:rsidR="00E376FA" w:rsidRPr="006E709F">
        <w:t xml:space="preserve"> </w:t>
      </w:r>
      <w:r w:rsidRPr="006E709F">
        <w:t xml:space="preserve">D of </w:t>
      </w:r>
      <w:r w:rsidR="00A801D0" w:rsidRPr="006E709F">
        <w:t>Division</w:t>
      </w:r>
      <w:r w:rsidR="00DA13DE" w:rsidRPr="006E709F">
        <w:t> </w:t>
      </w:r>
      <w:r w:rsidRPr="006E709F">
        <w:t xml:space="preserve">6 of </w:t>
      </w:r>
      <w:r w:rsidR="00A801D0" w:rsidRPr="006E709F">
        <w:t>Part</w:t>
      </w:r>
      <w:r w:rsidR="00DA13DE" w:rsidRPr="006E709F">
        <w:t> </w:t>
      </w:r>
      <w:r w:rsidRPr="006E709F">
        <w:t>5.6 of the Act;</w:t>
      </w:r>
    </w:p>
    <w:p w:rsidR="002A22A4" w:rsidRPr="006E709F" w:rsidRDefault="002A22A4" w:rsidP="00A801D0">
      <w:pPr>
        <w:pStyle w:val="paragraph"/>
      </w:pPr>
      <w:r w:rsidRPr="006E709F">
        <w:tab/>
        <w:t>(zf)</w:t>
      </w:r>
      <w:r w:rsidRPr="006E709F">
        <w:tab/>
        <w:t>to do anything that is incidental to exercising a power set out in this clause;</w:t>
      </w:r>
    </w:p>
    <w:p w:rsidR="002A22A4" w:rsidRPr="006E709F" w:rsidRDefault="002A22A4" w:rsidP="00A801D0">
      <w:pPr>
        <w:pStyle w:val="paragraph"/>
      </w:pPr>
      <w:r w:rsidRPr="006E709F">
        <w:tab/>
        <w:t>(zg)</w:t>
      </w:r>
      <w:r w:rsidRPr="006E709F">
        <w:tab/>
        <w:t>to do anything else that is necessary or convenient for the purpose of administering this deed.</w:t>
      </w:r>
    </w:p>
    <w:p w:rsidR="002A22A4" w:rsidRPr="006E709F" w:rsidRDefault="00C44525" w:rsidP="00221306">
      <w:pPr>
        <w:pStyle w:val="ActHead5"/>
      </w:pPr>
      <w:bookmarkStart w:id="33" w:name="_Toc170547855"/>
      <w:r w:rsidRPr="000C4237">
        <w:rPr>
          <w:rStyle w:val="CharSectno"/>
        </w:rPr>
        <w:lastRenderedPageBreak/>
        <w:t>3</w:t>
      </w:r>
      <w:r w:rsidRPr="006E709F">
        <w:t xml:space="preserve">  </w:t>
      </w:r>
      <w:r w:rsidR="002A22A4" w:rsidRPr="006E709F">
        <w:t>Termination of deed where arrangement fails</w:t>
      </w:r>
      <w:bookmarkEnd w:id="33"/>
    </w:p>
    <w:p w:rsidR="002A22A4" w:rsidRPr="006E709F" w:rsidRDefault="002A22A4" w:rsidP="00221306">
      <w:pPr>
        <w:pStyle w:val="subsection"/>
        <w:keepNext/>
        <w:keepLines/>
      </w:pPr>
      <w:r w:rsidRPr="006E709F">
        <w:tab/>
      </w:r>
      <w:r w:rsidRPr="006E709F">
        <w:tab/>
        <w:t>If the administrator or the committee of inspection determines that it is no longer practicable or desirable either to continue to carry on the business of the company or to implement this deed, the administrator:</w:t>
      </w:r>
    </w:p>
    <w:p w:rsidR="002A22A4" w:rsidRPr="006E709F" w:rsidRDefault="002A22A4" w:rsidP="00221306">
      <w:pPr>
        <w:pStyle w:val="paragraph"/>
        <w:keepNext/>
        <w:keepLines/>
      </w:pPr>
      <w:r w:rsidRPr="006E709F">
        <w:tab/>
        <w:t>(a)</w:t>
      </w:r>
      <w:r w:rsidRPr="006E709F">
        <w:tab/>
        <w:t>may cease to carry on the business of the company except so far as is necessary for the beneficial winding up of the company;</w:t>
      </w:r>
    </w:p>
    <w:p w:rsidR="002A22A4" w:rsidRPr="006E709F" w:rsidRDefault="002A22A4" w:rsidP="00A801D0">
      <w:pPr>
        <w:pStyle w:val="paragraph"/>
      </w:pPr>
      <w:r w:rsidRPr="006E709F">
        <w:tab/>
        <w:t>(b)</w:t>
      </w:r>
      <w:r w:rsidRPr="006E709F">
        <w:tab/>
        <w:t>must summon a meeting of creditors for the purpose of passing a resolution under section</w:t>
      </w:r>
      <w:r w:rsidR="00DA13DE" w:rsidRPr="006E709F">
        <w:t> </w:t>
      </w:r>
      <w:r w:rsidRPr="006E709F">
        <w:t>445C(b) of the Act; and</w:t>
      </w:r>
    </w:p>
    <w:p w:rsidR="002A22A4" w:rsidRPr="006E709F" w:rsidRDefault="002A22A4" w:rsidP="00A801D0">
      <w:pPr>
        <w:pStyle w:val="paragraph"/>
      </w:pPr>
      <w:r w:rsidRPr="006E709F">
        <w:tab/>
        <w:t>(c)</w:t>
      </w:r>
      <w:r w:rsidRPr="006E709F">
        <w:tab/>
        <w:t>must forward to each creditor not less than 14 days prior to the meeting an up</w:t>
      </w:r>
      <w:r w:rsidR="000C4237">
        <w:noBreakHyphen/>
      </w:r>
      <w:r w:rsidRPr="006E709F">
        <w:t>to</w:t>
      </w:r>
      <w:r w:rsidR="000C4237">
        <w:noBreakHyphen/>
      </w:r>
      <w:r w:rsidRPr="006E709F">
        <w:t>date report as to the position of the company accompanied by such financial statements as the administrator thinks fit, together with a statement that he or she does not think it practicable or desirable to carry on the business of the company or to continue this deed and that this deed will be terminated if the company’s creditors resolve.</w:t>
      </w:r>
    </w:p>
    <w:p w:rsidR="002A22A4" w:rsidRPr="006E709F" w:rsidRDefault="00C44525" w:rsidP="00A801D0">
      <w:pPr>
        <w:pStyle w:val="ActHead5"/>
      </w:pPr>
      <w:bookmarkStart w:id="34" w:name="_Toc170547856"/>
      <w:r w:rsidRPr="000C4237">
        <w:rPr>
          <w:rStyle w:val="CharSectno"/>
        </w:rPr>
        <w:t>4</w:t>
      </w:r>
      <w:r w:rsidRPr="006E709F">
        <w:t xml:space="preserve">  </w:t>
      </w:r>
      <w:r w:rsidR="002A22A4" w:rsidRPr="006E709F">
        <w:t>Priority</w:t>
      </w:r>
      <w:bookmarkEnd w:id="34"/>
    </w:p>
    <w:p w:rsidR="002A22A4" w:rsidRPr="006E709F" w:rsidRDefault="002A22A4" w:rsidP="00A801D0">
      <w:pPr>
        <w:pStyle w:val="subsection"/>
      </w:pPr>
      <w:r w:rsidRPr="006E709F">
        <w:tab/>
      </w:r>
      <w:r w:rsidRPr="006E709F">
        <w:tab/>
        <w:t>The administrator must apply the property of the company coming under his or her control under this deed in the order of priority specified in section</w:t>
      </w:r>
      <w:r w:rsidR="00DA13DE" w:rsidRPr="006E709F">
        <w:t> </w:t>
      </w:r>
      <w:r w:rsidRPr="006E709F">
        <w:t>556</w:t>
      </w:r>
      <w:r w:rsidR="00B62049" w:rsidRPr="006E709F">
        <w:t>, 560 or 561</w:t>
      </w:r>
      <w:r w:rsidRPr="006E709F">
        <w:t xml:space="preserve"> of the Act.</w:t>
      </w:r>
    </w:p>
    <w:p w:rsidR="002A22A4" w:rsidRPr="006E709F" w:rsidRDefault="00C44525" w:rsidP="00A801D0">
      <w:pPr>
        <w:pStyle w:val="ActHead5"/>
      </w:pPr>
      <w:bookmarkStart w:id="35" w:name="_Toc170547857"/>
      <w:r w:rsidRPr="000C4237">
        <w:rPr>
          <w:rStyle w:val="CharSectno"/>
        </w:rPr>
        <w:t>5</w:t>
      </w:r>
      <w:r w:rsidRPr="006E709F">
        <w:t xml:space="preserve">  </w:t>
      </w:r>
      <w:r w:rsidR="002A22A4" w:rsidRPr="006E709F">
        <w:t>Discharge of debts</w:t>
      </w:r>
      <w:bookmarkEnd w:id="35"/>
    </w:p>
    <w:p w:rsidR="002A22A4" w:rsidRPr="006E709F" w:rsidRDefault="002A22A4" w:rsidP="00A801D0">
      <w:pPr>
        <w:pStyle w:val="subsection"/>
      </w:pPr>
      <w:r w:rsidRPr="006E709F">
        <w:tab/>
      </w:r>
      <w:r w:rsidRPr="006E709F">
        <w:tab/>
        <w:t>The creditors must accept their entitlements under this deed in full satisfaction and complete discharge of all debts or claims which they have or claim to have against the company as at the day when the administration began and each of them will, if called upon to do so, execute and deliver to the company such forms of release of any such claim as the administrator requires.</w:t>
      </w:r>
    </w:p>
    <w:p w:rsidR="002A22A4" w:rsidRPr="006E709F" w:rsidRDefault="00C44525" w:rsidP="00A801D0">
      <w:pPr>
        <w:pStyle w:val="ActHead5"/>
      </w:pPr>
      <w:bookmarkStart w:id="36" w:name="_Toc170547858"/>
      <w:r w:rsidRPr="000C4237">
        <w:rPr>
          <w:rStyle w:val="CharSectno"/>
        </w:rPr>
        <w:t>6</w:t>
      </w:r>
      <w:r w:rsidRPr="006E709F">
        <w:t xml:space="preserve">  </w:t>
      </w:r>
      <w:r w:rsidR="002A22A4" w:rsidRPr="006E709F">
        <w:t>Claims extinguished</w:t>
      </w:r>
      <w:bookmarkEnd w:id="36"/>
    </w:p>
    <w:p w:rsidR="002A22A4" w:rsidRPr="006E709F" w:rsidRDefault="002A22A4" w:rsidP="00A801D0">
      <w:pPr>
        <w:pStyle w:val="subsection"/>
      </w:pPr>
      <w:r w:rsidRPr="006E709F">
        <w:tab/>
      </w:r>
      <w:r w:rsidRPr="006E709F">
        <w:tab/>
        <w:t>If the administrator has paid to the creditors their full entitlements under this deed, all debts or claims, present or future, actual or contingent, due or which may become due by the company as a result of anything done or omitted by or on behalf of the company before the day when the administration began and each claim against the company as a result of anything done or omitted by or on behalf of the company before the day when the administration began is extinguished.</w:t>
      </w:r>
    </w:p>
    <w:p w:rsidR="002A22A4" w:rsidRPr="006E709F" w:rsidRDefault="00C44525" w:rsidP="00A801D0">
      <w:pPr>
        <w:pStyle w:val="ActHead5"/>
      </w:pPr>
      <w:bookmarkStart w:id="37" w:name="_Toc170547859"/>
      <w:r w:rsidRPr="000C4237">
        <w:rPr>
          <w:rStyle w:val="CharSectno"/>
        </w:rPr>
        <w:t>7</w:t>
      </w:r>
      <w:r w:rsidRPr="006E709F">
        <w:t xml:space="preserve">  </w:t>
      </w:r>
      <w:r w:rsidR="002A22A4" w:rsidRPr="006E709F">
        <w:t>Bar to creditors’ claims</w:t>
      </w:r>
      <w:bookmarkEnd w:id="37"/>
    </w:p>
    <w:p w:rsidR="002A22A4" w:rsidRPr="006E709F" w:rsidRDefault="002A22A4" w:rsidP="00A801D0">
      <w:pPr>
        <w:pStyle w:val="subsection"/>
      </w:pPr>
      <w:r w:rsidRPr="006E709F">
        <w:tab/>
      </w:r>
      <w:r w:rsidRPr="006E709F">
        <w:tab/>
        <w:t>Subject to section</w:t>
      </w:r>
      <w:r w:rsidR="00DA13DE" w:rsidRPr="006E709F">
        <w:t> </w:t>
      </w:r>
      <w:r w:rsidRPr="006E709F">
        <w:t>444D of the Act this deed may be pleaded by the company against any creditor in bar of any debt or claim that is admissible under this deed and a creditor (whether the creditor’s debt or claim is or is not admitted or established under this deed) must not, before the termination of this deed:</w:t>
      </w:r>
    </w:p>
    <w:p w:rsidR="002A22A4" w:rsidRPr="006E709F" w:rsidRDefault="002A22A4" w:rsidP="00A801D0">
      <w:pPr>
        <w:pStyle w:val="paragraph"/>
      </w:pPr>
      <w:r w:rsidRPr="006E709F">
        <w:tab/>
        <w:t>(a)</w:t>
      </w:r>
      <w:r w:rsidRPr="006E709F">
        <w:tab/>
        <w:t>take or concur in the taking of any step to wind up the company; or</w:t>
      </w:r>
    </w:p>
    <w:p w:rsidR="002A22A4" w:rsidRPr="006E709F" w:rsidRDefault="002A22A4" w:rsidP="00A801D0">
      <w:pPr>
        <w:pStyle w:val="paragraph"/>
      </w:pPr>
      <w:r w:rsidRPr="006E709F">
        <w:tab/>
        <w:t>(b)</w:t>
      </w:r>
      <w:r w:rsidRPr="006E709F">
        <w:tab/>
        <w:t xml:space="preserve">except for the purpose and to the extent provided in this deed, institute or prosecute any legal proceedings in relation to any debt incurred or alleged </w:t>
      </w:r>
      <w:r w:rsidRPr="006E709F">
        <w:lastRenderedPageBreak/>
        <w:t>to have been incurred by the company before the day when the administration began; or</w:t>
      </w:r>
    </w:p>
    <w:p w:rsidR="002A22A4" w:rsidRPr="006E709F" w:rsidRDefault="002A22A4" w:rsidP="00A801D0">
      <w:pPr>
        <w:pStyle w:val="paragraph"/>
      </w:pPr>
      <w:r w:rsidRPr="006E709F">
        <w:tab/>
        <w:t>(c)</w:t>
      </w:r>
      <w:r w:rsidRPr="006E709F">
        <w:tab/>
        <w:t>take any further step (including any step by way of legal or equitable execution) in any proceedings pending against or in relation to the company at the day when the administration began; or</w:t>
      </w:r>
    </w:p>
    <w:p w:rsidR="002A22A4" w:rsidRPr="006E709F" w:rsidRDefault="002A22A4" w:rsidP="00A801D0">
      <w:pPr>
        <w:pStyle w:val="paragraph"/>
      </w:pPr>
      <w:r w:rsidRPr="006E709F">
        <w:tab/>
        <w:t>(d)</w:t>
      </w:r>
      <w:r w:rsidRPr="006E709F">
        <w:tab/>
        <w:t>exercise any right of set</w:t>
      </w:r>
      <w:r w:rsidR="000C4237">
        <w:noBreakHyphen/>
      </w:r>
      <w:r w:rsidRPr="006E709F">
        <w:t>off or cross</w:t>
      </w:r>
      <w:r w:rsidR="000C4237">
        <w:noBreakHyphen/>
      </w:r>
      <w:r w:rsidRPr="006E709F">
        <w:t>action to which the creditor would not have been entitled had the company been wound up at the day when the administration began; or</w:t>
      </w:r>
    </w:p>
    <w:p w:rsidR="002A22A4" w:rsidRPr="006E709F" w:rsidRDefault="002A22A4" w:rsidP="00A801D0">
      <w:pPr>
        <w:pStyle w:val="paragraph"/>
      </w:pPr>
      <w:r w:rsidRPr="006E709F">
        <w:tab/>
        <w:t>(e)</w:t>
      </w:r>
      <w:r w:rsidRPr="006E709F">
        <w:tab/>
        <w:t>commence or take any further step in any arbitration against the company or to which the company is a party.</w:t>
      </w:r>
    </w:p>
    <w:p w:rsidR="00B62049" w:rsidRPr="006E709F" w:rsidRDefault="00C44525" w:rsidP="00A801D0">
      <w:pPr>
        <w:pStyle w:val="ActHead5"/>
      </w:pPr>
      <w:bookmarkStart w:id="38" w:name="_Toc170547860"/>
      <w:r w:rsidRPr="000C4237">
        <w:rPr>
          <w:rStyle w:val="CharSectno"/>
        </w:rPr>
        <w:t>8</w:t>
      </w:r>
      <w:r w:rsidRPr="006E709F">
        <w:t xml:space="preserve">  </w:t>
      </w:r>
      <w:r w:rsidR="00B62049" w:rsidRPr="006E709F">
        <w:t>Making claims</w:t>
      </w:r>
      <w:bookmarkEnd w:id="38"/>
    </w:p>
    <w:p w:rsidR="00B62049" w:rsidRPr="006E709F" w:rsidRDefault="00B62049" w:rsidP="00A801D0">
      <w:pPr>
        <w:pStyle w:val="subsection"/>
      </w:pPr>
      <w:r w:rsidRPr="006E709F">
        <w:tab/>
        <w:t>(1)</w:t>
      </w:r>
      <w:r w:rsidRPr="006E709F">
        <w:tab/>
        <w:t xml:space="preserve">Subdivisions A, B, C and E of </w:t>
      </w:r>
      <w:r w:rsidR="00A801D0" w:rsidRPr="006E709F">
        <w:t>Division</w:t>
      </w:r>
      <w:r w:rsidR="00DA13DE" w:rsidRPr="006E709F">
        <w:t> </w:t>
      </w:r>
      <w:r w:rsidRPr="006E709F">
        <w:t xml:space="preserve">6 of </w:t>
      </w:r>
      <w:r w:rsidR="00A801D0" w:rsidRPr="006E709F">
        <w:t>Part</w:t>
      </w:r>
      <w:r w:rsidR="00DA13DE" w:rsidRPr="006E709F">
        <w:t> </w:t>
      </w:r>
      <w:r w:rsidRPr="006E709F">
        <w:t xml:space="preserve">5.6 of the </w:t>
      </w:r>
      <w:r w:rsidRPr="006E709F">
        <w:rPr>
          <w:i/>
        </w:rPr>
        <w:t>Corporations Act 2001</w:t>
      </w:r>
      <w:r w:rsidRPr="006E709F">
        <w:t xml:space="preserve"> apply to claims made under this deed as if the references to the liquidator were references to the administrator of this deed.</w:t>
      </w:r>
    </w:p>
    <w:p w:rsidR="00B62049" w:rsidRPr="006E709F" w:rsidRDefault="00B62049" w:rsidP="00A801D0">
      <w:pPr>
        <w:pStyle w:val="subsection"/>
      </w:pPr>
      <w:r w:rsidRPr="006E709F">
        <w:tab/>
        <w:t>(2)</w:t>
      </w:r>
      <w:r w:rsidRPr="006E709F">
        <w:tab/>
        <w:t xml:space="preserve">For </w:t>
      </w:r>
      <w:r w:rsidR="00DA13DE" w:rsidRPr="006E709F">
        <w:t>subclause (</w:t>
      </w:r>
      <w:r w:rsidRPr="006E709F">
        <w:t xml:space="preserve">1), the remainder of that Act, and the </w:t>
      </w:r>
      <w:r w:rsidRPr="006E709F">
        <w:rPr>
          <w:i/>
        </w:rPr>
        <w:t xml:space="preserve">Corporations </w:t>
      </w:r>
      <w:r w:rsidR="000C4237">
        <w:rPr>
          <w:i/>
        </w:rPr>
        <w:t>Regulations 2</w:t>
      </w:r>
      <w:r w:rsidRPr="006E709F">
        <w:rPr>
          <w:i/>
        </w:rPr>
        <w:t>001</w:t>
      </w:r>
      <w:r w:rsidRPr="006E709F">
        <w:t>, are taken to apply, as far as practicable, as if:</w:t>
      </w:r>
    </w:p>
    <w:p w:rsidR="00B62049" w:rsidRPr="006E709F" w:rsidRDefault="00B62049" w:rsidP="00A801D0">
      <w:pPr>
        <w:pStyle w:val="paragraph"/>
      </w:pPr>
      <w:r w:rsidRPr="006E709F">
        <w:tab/>
        <w:t>(a)</w:t>
      </w:r>
      <w:r w:rsidRPr="006E709F">
        <w:tab/>
        <w:t>a reference that is relevant to the liquidator were a reference in a form that is applicable to the administrator; and</w:t>
      </w:r>
    </w:p>
    <w:p w:rsidR="00B62049" w:rsidRPr="006E709F" w:rsidRDefault="00B62049" w:rsidP="00A801D0">
      <w:pPr>
        <w:pStyle w:val="paragraph"/>
      </w:pPr>
      <w:r w:rsidRPr="006E709F">
        <w:tab/>
        <w:t>(b)</w:t>
      </w:r>
      <w:r w:rsidRPr="006E709F">
        <w:tab/>
        <w:t>a reference that is relevant to any other matter relating to liquidation were a reference in a form that is applicable to the administration of this deed; and</w:t>
      </w:r>
    </w:p>
    <w:p w:rsidR="00B62049" w:rsidRPr="006E709F" w:rsidRDefault="00B62049" w:rsidP="00A801D0">
      <w:pPr>
        <w:pStyle w:val="paragraph"/>
      </w:pPr>
      <w:r w:rsidRPr="006E709F">
        <w:tab/>
        <w:t>(c)</w:t>
      </w:r>
      <w:r w:rsidRPr="006E709F">
        <w:tab/>
        <w:t xml:space="preserve">a reference to a </w:t>
      </w:r>
      <w:r w:rsidRPr="006E709F">
        <w:rPr>
          <w:b/>
          <w:i/>
        </w:rPr>
        <w:t xml:space="preserve">relevant date </w:t>
      </w:r>
      <w:r w:rsidRPr="006E709F">
        <w:t xml:space="preserve">were a reference to </w:t>
      </w:r>
      <w:r w:rsidRPr="006E709F">
        <w:rPr>
          <w:color w:val="000000"/>
        </w:rPr>
        <w:t>the date of the administrator’s appointment .</w:t>
      </w:r>
    </w:p>
    <w:p w:rsidR="002A22A4" w:rsidRPr="006E709F" w:rsidRDefault="00C44525" w:rsidP="00A801D0">
      <w:pPr>
        <w:pStyle w:val="ActHead5"/>
      </w:pPr>
      <w:bookmarkStart w:id="39" w:name="_Toc170547861"/>
      <w:r w:rsidRPr="000C4237">
        <w:rPr>
          <w:rStyle w:val="CharSectno"/>
        </w:rPr>
        <w:t>10</w:t>
      </w:r>
      <w:r w:rsidRPr="006E709F">
        <w:t xml:space="preserve">  </w:t>
      </w:r>
      <w:r w:rsidR="002A22A4" w:rsidRPr="006E709F">
        <w:t>Lodging of accounts</w:t>
      </w:r>
      <w:bookmarkEnd w:id="39"/>
    </w:p>
    <w:p w:rsidR="0048795D" w:rsidRPr="006E709F" w:rsidRDefault="002A22A4" w:rsidP="00A801D0">
      <w:pPr>
        <w:pStyle w:val="subsection"/>
      </w:pPr>
      <w:r w:rsidRPr="006E709F">
        <w:tab/>
      </w:r>
      <w:r w:rsidRPr="006E709F">
        <w:tab/>
      </w:r>
      <w:r w:rsidR="00B62049" w:rsidRPr="006E709F">
        <w:t>Section</w:t>
      </w:r>
      <w:r w:rsidR="00DA13DE" w:rsidRPr="006E709F">
        <w:t> </w:t>
      </w:r>
      <w:r w:rsidR="00B62049" w:rsidRPr="006E709F">
        <w:t>434 of the Act applies</w:t>
      </w:r>
      <w:r w:rsidRPr="006E709F">
        <w:t xml:space="preserve"> to the administrator as if the reference to a controller were a reference to the administrator of this deed.</w:t>
      </w:r>
    </w:p>
    <w:p w:rsidR="002A22A4" w:rsidRPr="006E709F" w:rsidRDefault="00C44525" w:rsidP="00A801D0">
      <w:pPr>
        <w:pStyle w:val="ActHead5"/>
      </w:pPr>
      <w:bookmarkStart w:id="40" w:name="_Toc170547862"/>
      <w:r w:rsidRPr="000C4237">
        <w:rPr>
          <w:rStyle w:val="CharSectno"/>
        </w:rPr>
        <w:t>11</w:t>
      </w:r>
      <w:r w:rsidRPr="006E709F">
        <w:t xml:space="preserve">  </w:t>
      </w:r>
      <w:r w:rsidR="002A22A4" w:rsidRPr="006E709F">
        <w:t>Committee of inspection</w:t>
      </w:r>
      <w:bookmarkEnd w:id="40"/>
    </w:p>
    <w:p w:rsidR="002A22A4" w:rsidRPr="006E709F" w:rsidRDefault="002A22A4" w:rsidP="00A801D0">
      <w:pPr>
        <w:pStyle w:val="subsection"/>
      </w:pPr>
      <w:r w:rsidRPr="006E709F">
        <w:tab/>
      </w:r>
      <w:r w:rsidRPr="006E709F">
        <w:tab/>
        <w:t xml:space="preserve">For the purpose of advising and assisting the administrator of this deed, </w:t>
      </w:r>
      <w:r w:rsidR="00B62049" w:rsidRPr="006E709F">
        <w:t>there may be</w:t>
      </w:r>
      <w:r w:rsidRPr="006E709F">
        <w:t xml:space="preserve"> a committee of inspection (the</w:t>
      </w:r>
      <w:r w:rsidRPr="006E709F">
        <w:rPr>
          <w:b/>
          <w:i/>
        </w:rPr>
        <w:t xml:space="preserve"> committee</w:t>
      </w:r>
      <w:r w:rsidRPr="006E709F">
        <w:t>) to which the following rules apply:</w:t>
      </w:r>
    </w:p>
    <w:p w:rsidR="002A22A4" w:rsidRPr="006E709F" w:rsidRDefault="002A22A4" w:rsidP="00A801D0">
      <w:pPr>
        <w:pStyle w:val="paragraph"/>
      </w:pPr>
      <w:r w:rsidRPr="006E709F">
        <w:tab/>
        <w:t>(a)</w:t>
      </w:r>
      <w:r w:rsidRPr="006E709F">
        <w:tab/>
        <w:t>the committee must consist of at least 3 and not more than 5 members;</w:t>
      </w:r>
    </w:p>
    <w:p w:rsidR="002A22A4" w:rsidRPr="006E709F" w:rsidRDefault="002A22A4" w:rsidP="00A801D0">
      <w:pPr>
        <w:pStyle w:val="paragraph"/>
      </w:pPr>
      <w:r w:rsidRPr="006E709F">
        <w:tab/>
        <w:t>(b)</w:t>
      </w:r>
      <w:r w:rsidRPr="006E709F">
        <w:tab/>
        <w:t>the creditors must appoint the members in a general meeting;</w:t>
      </w:r>
    </w:p>
    <w:p w:rsidR="002A22A4" w:rsidRPr="006E709F" w:rsidRDefault="002A22A4" w:rsidP="00A801D0">
      <w:pPr>
        <w:pStyle w:val="paragraph"/>
      </w:pPr>
      <w:r w:rsidRPr="006E709F">
        <w:tab/>
        <w:t>(c)</w:t>
      </w:r>
      <w:r w:rsidRPr="006E709F">
        <w:tab/>
        <w:t>a creditor is not entitled to have more than one representative (including the creditor himself or herself, if a natural person) on the committee;</w:t>
      </w:r>
    </w:p>
    <w:p w:rsidR="002A22A4" w:rsidRPr="006E709F" w:rsidRDefault="002A22A4" w:rsidP="00A801D0">
      <w:pPr>
        <w:pStyle w:val="paragraph"/>
      </w:pPr>
      <w:r w:rsidRPr="006E709F">
        <w:tab/>
        <w:t>(d)</w:t>
      </w:r>
      <w:r w:rsidRPr="006E709F">
        <w:tab/>
        <w:t>minutes of all resolutions and proceedings of each meeting of the committee must be made and duly entered in books to be provided from time to time for that purpose by the administrator under this deed;</w:t>
      </w:r>
    </w:p>
    <w:p w:rsidR="002A22A4" w:rsidRPr="006E709F" w:rsidRDefault="002A22A4" w:rsidP="00A801D0">
      <w:pPr>
        <w:pStyle w:val="paragraph"/>
      </w:pPr>
      <w:r w:rsidRPr="006E709F">
        <w:tab/>
        <w:t>(e)</w:t>
      </w:r>
      <w:r w:rsidRPr="006E709F">
        <w:tab/>
        <w:t xml:space="preserve">if the minutes of a meeting purport to be signed by the chairperson of the meeting at which the resolutions were passed or proceedings taken or by the chairperson of the next meeting of the committee, the minutes are </w:t>
      </w:r>
      <w:r w:rsidRPr="006E709F">
        <w:rPr>
          <w:i/>
        </w:rPr>
        <w:t xml:space="preserve">prima facie </w:t>
      </w:r>
      <w:r w:rsidRPr="006E709F">
        <w:t>evidence of the matters contained in them;</w:t>
      </w:r>
    </w:p>
    <w:p w:rsidR="002A22A4" w:rsidRPr="006E709F" w:rsidRDefault="002A22A4" w:rsidP="00A801D0">
      <w:pPr>
        <w:pStyle w:val="paragraph"/>
      </w:pPr>
      <w:r w:rsidRPr="006E709F">
        <w:lastRenderedPageBreak/>
        <w:tab/>
        <w:t>(f)</w:t>
      </w:r>
      <w:r w:rsidRPr="006E709F">
        <w:tab/>
        <w:t>unless the contrary is proved, the meeting is taken to have been duly had and convened and all resolutions passed and proceedings taken at the meeting are taken to have been duly passed and taken;</w:t>
      </w:r>
    </w:p>
    <w:p w:rsidR="002A22A4" w:rsidRPr="006E709F" w:rsidRDefault="002A22A4" w:rsidP="00A801D0">
      <w:pPr>
        <w:pStyle w:val="paragraph"/>
      </w:pPr>
      <w:r w:rsidRPr="006E709F">
        <w:tab/>
        <w:t>(g)</w:t>
      </w:r>
      <w:r w:rsidRPr="006E709F">
        <w:tab/>
        <w:t>a corporation (being otherwise qualified for membership of the committee) is not entitled to be a member of the committee but may appoint a person to represent it on the committee;</w:t>
      </w:r>
    </w:p>
    <w:p w:rsidR="002A22A4" w:rsidRPr="006E709F" w:rsidRDefault="002A22A4" w:rsidP="00A801D0">
      <w:pPr>
        <w:pStyle w:val="paragraph"/>
      </w:pPr>
      <w:r w:rsidRPr="006E709F">
        <w:tab/>
        <w:t>(h)</w:t>
      </w:r>
      <w:r w:rsidRPr="006E709F">
        <w:tab/>
        <w:t>subsection</w:t>
      </w:r>
      <w:r w:rsidR="00DA13DE" w:rsidRPr="006E709F">
        <w:t> </w:t>
      </w:r>
      <w:r w:rsidRPr="006E709F">
        <w:t>548(3) and sections</w:t>
      </w:r>
      <w:r w:rsidR="00DA13DE" w:rsidRPr="006E709F">
        <w:t> </w:t>
      </w:r>
      <w:r w:rsidRPr="006E709F">
        <w:t>549, 550 and 551 of the Act apply, with such modifications as are necessary, to a committee of inspection established under this deed as if the references to the liquidator were references to the administrator of this deed and the references to contributories were deleted.</w:t>
      </w:r>
    </w:p>
    <w:p w:rsidR="002A22A4" w:rsidRPr="006E709F" w:rsidRDefault="00C44525" w:rsidP="00A801D0">
      <w:pPr>
        <w:pStyle w:val="ActHead5"/>
      </w:pPr>
      <w:bookmarkStart w:id="41" w:name="_Toc170547863"/>
      <w:r w:rsidRPr="000C4237">
        <w:rPr>
          <w:rStyle w:val="CharSectno"/>
        </w:rPr>
        <w:t>12</w:t>
      </w:r>
      <w:r w:rsidRPr="006E709F">
        <w:t xml:space="preserve">  </w:t>
      </w:r>
      <w:r w:rsidR="002A22A4" w:rsidRPr="006E709F">
        <w:t>Termination of deed where arrangement achieves purpose</w:t>
      </w:r>
      <w:bookmarkEnd w:id="41"/>
    </w:p>
    <w:p w:rsidR="002A22A4" w:rsidRPr="006E709F" w:rsidRDefault="002A22A4" w:rsidP="00A801D0">
      <w:pPr>
        <w:pStyle w:val="subsection"/>
      </w:pPr>
      <w:r w:rsidRPr="006E709F">
        <w:tab/>
      </w:r>
      <w:r w:rsidRPr="006E709F">
        <w:tab/>
        <w:t>If the administrator has applied all of the proceeds of the realisation of the assets available for the payment of creditors or has paid to the creditors the sum of 100 cents in the dollar or any lesser sum determined by the creditors at a general meeting, the administrator must certify to that effect in writing and must within 28 days lodge with ASIC a notice of termination of this deed in the following form:</w:t>
      </w:r>
    </w:p>
    <w:p w:rsidR="002A22A4" w:rsidRPr="006E709F" w:rsidRDefault="002A22A4" w:rsidP="00E376FA">
      <w:pPr>
        <w:spacing w:before="400"/>
        <w:jc w:val="center"/>
        <w:rPr>
          <w:rFonts w:cs="Times New Roman"/>
        </w:rPr>
      </w:pPr>
      <w:r w:rsidRPr="006E709F">
        <w:rPr>
          <w:rFonts w:cs="Times New Roman"/>
        </w:rPr>
        <w:t>‘X PTY LIMITED</w:t>
      </w:r>
    </w:p>
    <w:p w:rsidR="002A22A4" w:rsidRPr="006E709F" w:rsidRDefault="002A22A4" w:rsidP="00A801D0">
      <w:pPr>
        <w:pStyle w:val="subsection"/>
      </w:pPr>
      <w:r w:rsidRPr="006E709F">
        <w:tab/>
      </w:r>
      <w:r w:rsidRPr="006E709F">
        <w:tab/>
        <w:t>I, (</w:t>
      </w:r>
      <w:r w:rsidRPr="006E709F">
        <w:rPr>
          <w:i/>
        </w:rPr>
        <w:t>insert name and address</w:t>
      </w:r>
      <w:r w:rsidRPr="006E709F">
        <w:t>) as administrator of the deed of company arrangement executed on (</w:t>
      </w:r>
      <w:r w:rsidRPr="006E709F">
        <w:rPr>
          <w:i/>
        </w:rPr>
        <w:t>insert date</w:t>
      </w:r>
      <w:r w:rsidRPr="006E709F">
        <w:t xml:space="preserve">), </w:t>
      </w:r>
      <w:r w:rsidRPr="006E709F">
        <w:rPr>
          <w:u w:val="single"/>
        </w:rPr>
        <w:t>CERTIFY</w:t>
      </w:r>
      <w:r w:rsidRPr="006E709F">
        <w:t xml:space="preserve"> that the deed has been wholly effectuated.’,</w:t>
      </w:r>
    </w:p>
    <w:p w:rsidR="002A22A4" w:rsidRPr="006E709F" w:rsidRDefault="002A22A4" w:rsidP="00A801D0">
      <w:pPr>
        <w:pStyle w:val="subsection"/>
      </w:pPr>
      <w:r w:rsidRPr="006E709F">
        <w:tab/>
      </w:r>
      <w:r w:rsidRPr="006E709F">
        <w:tab/>
        <w:t>and the execution of the notice terminates this deed, but nothing in this clause relieves the administrator of his or her obligations under clause</w:t>
      </w:r>
      <w:r w:rsidR="00DA13DE" w:rsidRPr="006E709F">
        <w:t> </w:t>
      </w:r>
      <w:r w:rsidRPr="006E709F">
        <w:t>10 of this deed.</w:t>
      </w:r>
    </w:p>
    <w:p w:rsidR="00FF337F" w:rsidRPr="006E709F" w:rsidRDefault="00FF337F" w:rsidP="00FF337F">
      <w:pPr>
        <w:sectPr w:rsidR="00FF337F" w:rsidRPr="006E709F" w:rsidSect="0054047A">
          <w:headerReference w:type="even" r:id="rId39"/>
          <w:headerReference w:type="default" r:id="rId40"/>
          <w:footerReference w:type="even" r:id="rId41"/>
          <w:footerReference w:type="default" r:id="rId42"/>
          <w:headerReference w:type="first" r:id="rId43"/>
          <w:footerReference w:type="first" r:id="rId44"/>
          <w:pgSz w:w="11907" w:h="16839" w:code="9"/>
          <w:pgMar w:top="2325" w:right="1797" w:bottom="1440" w:left="1797" w:header="720" w:footer="709" w:gutter="0"/>
          <w:cols w:space="720"/>
          <w:docGrid w:linePitch="299"/>
        </w:sectPr>
      </w:pPr>
    </w:p>
    <w:p w:rsidR="00BB28C2" w:rsidRPr="006E709F" w:rsidRDefault="00A801D0" w:rsidP="00A801D0">
      <w:pPr>
        <w:pStyle w:val="ActHead1"/>
        <w:pageBreakBefore/>
      </w:pPr>
      <w:bookmarkStart w:id="42" w:name="_Toc170547864"/>
      <w:r w:rsidRPr="000C4237">
        <w:rPr>
          <w:rStyle w:val="CharChapNo"/>
        </w:rPr>
        <w:lastRenderedPageBreak/>
        <w:t>Schedule</w:t>
      </w:r>
      <w:r w:rsidR="00DA13DE" w:rsidRPr="000C4237">
        <w:rPr>
          <w:rStyle w:val="CharChapNo"/>
        </w:rPr>
        <w:t> </w:t>
      </w:r>
      <w:r w:rsidR="00BB28C2" w:rsidRPr="000C4237">
        <w:rPr>
          <w:rStyle w:val="CharChapNo"/>
        </w:rPr>
        <w:t>8AA</w:t>
      </w:r>
      <w:r w:rsidRPr="006E709F">
        <w:t>—</w:t>
      </w:r>
      <w:r w:rsidR="00BB28C2" w:rsidRPr="000C4237">
        <w:rPr>
          <w:rStyle w:val="CharChapText"/>
        </w:rPr>
        <w:t>Trustee companies</w:t>
      </w:r>
      <w:bookmarkEnd w:id="42"/>
    </w:p>
    <w:p w:rsidR="005A7F57" w:rsidRPr="006E709F" w:rsidRDefault="005A7F57" w:rsidP="005A7F57">
      <w:pPr>
        <w:pStyle w:val="notemargin"/>
      </w:pPr>
      <w:r w:rsidRPr="006E709F">
        <w:t>(regulation 5D.1.01A)</w:t>
      </w:r>
    </w:p>
    <w:p w:rsidR="00B13146" w:rsidRPr="006E709F" w:rsidRDefault="00B13146" w:rsidP="00B13146">
      <w:pPr>
        <w:pStyle w:val="Header"/>
      </w:pPr>
      <w:r w:rsidRPr="000C4237">
        <w:rPr>
          <w:rStyle w:val="CharPartNo"/>
        </w:rPr>
        <w:t xml:space="preserve"> </w:t>
      </w:r>
      <w:r w:rsidRPr="000C4237">
        <w:rPr>
          <w:rStyle w:val="CharPartText"/>
        </w:rPr>
        <w:t xml:space="preserve"> </w:t>
      </w:r>
    </w:p>
    <w:p w:rsidR="005133DE" w:rsidRPr="006E709F" w:rsidRDefault="005133DE" w:rsidP="005133DE">
      <w:pPr>
        <w:pStyle w:val="Tabletext"/>
        <w:rPr>
          <w:sz w:val="16"/>
          <w:szCs w:val="16"/>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64"/>
        <w:gridCol w:w="7565"/>
      </w:tblGrid>
      <w:tr w:rsidR="00BB28C2" w:rsidRPr="006E709F" w:rsidTr="00E118FA">
        <w:trPr>
          <w:tblHeader/>
        </w:trPr>
        <w:tc>
          <w:tcPr>
            <w:tcW w:w="565" w:type="pct"/>
            <w:tcBorders>
              <w:top w:val="single" w:sz="12" w:space="0" w:color="auto"/>
              <w:bottom w:val="single" w:sz="12" w:space="0" w:color="auto"/>
            </w:tcBorders>
            <w:shd w:val="clear" w:color="auto" w:fill="auto"/>
          </w:tcPr>
          <w:p w:rsidR="00BB28C2" w:rsidRPr="006E709F" w:rsidRDefault="00BB28C2" w:rsidP="008C457C">
            <w:pPr>
              <w:pStyle w:val="TableHeading"/>
            </w:pPr>
            <w:r w:rsidRPr="006E709F">
              <w:t>Item</w:t>
            </w:r>
          </w:p>
        </w:tc>
        <w:tc>
          <w:tcPr>
            <w:tcW w:w="4435" w:type="pct"/>
            <w:tcBorders>
              <w:top w:val="single" w:sz="12" w:space="0" w:color="auto"/>
              <w:bottom w:val="single" w:sz="12" w:space="0" w:color="auto"/>
            </w:tcBorders>
            <w:shd w:val="clear" w:color="auto" w:fill="auto"/>
          </w:tcPr>
          <w:p w:rsidR="00BB28C2" w:rsidRPr="006E709F" w:rsidRDefault="00BB28C2" w:rsidP="008C457C">
            <w:pPr>
              <w:pStyle w:val="TableHeading"/>
            </w:pPr>
            <w:r w:rsidRPr="006E709F">
              <w:t>Trustee companies</w:t>
            </w:r>
          </w:p>
        </w:tc>
      </w:tr>
      <w:tr w:rsidR="00BB28C2" w:rsidRPr="006E709F" w:rsidTr="00E118FA">
        <w:tc>
          <w:tcPr>
            <w:tcW w:w="565" w:type="pct"/>
            <w:tcBorders>
              <w:top w:val="single" w:sz="12" w:space="0" w:color="auto"/>
            </w:tcBorders>
            <w:shd w:val="clear" w:color="auto" w:fill="auto"/>
          </w:tcPr>
          <w:p w:rsidR="00BB28C2" w:rsidRPr="006E709F" w:rsidRDefault="00BB28C2" w:rsidP="00A801D0">
            <w:pPr>
              <w:pStyle w:val="Tabletext"/>
            </w:pPr>
            <w:r w:rsidRPr="006E709F">
              <w:t>1</w:t>
            </w:r>
          </w:p>
        </w:tc>
        <w:tc>
          <w:tcPr>
            <w:tcW w:w="4435" w:type="pct"/>
            <w:tcBorders>
              <w:top w:val="single" w:sz="12" w:space="0" w:color="auto"/>
            </w:tcBorders>
            <w:shd w:val="clear" w:color="auto" w:fill="auto"/>
          </w:tcPr>
          <w:p w:rsidR="00BB28C2" w:rsidRPr="006E709F" w:rsidRDefault="00BB28C2" w:rsidP="00A801D0">
            <w:pPr>
              <w:pStyle w:val="Tabletext"/>
            </w:pPr>
            <w:r w:rsidRPr="006E709F">
              <w:t>ANZ Trustees (Canberra) Limited</w:t>
            </w:r>
          </w:p>
        </w:tc>
      </w:tr>
      <w:tr w:rsidR="00BB28C2" w:rsidRPr="006E709F" w:rsidTr="00E118FA">
        <w:tc>
          <w:tcPr>
            <w:tcW w:w="565" w:type="pct"/>
            <w:shd w:val="clear" w:color="auto" w:fill="auto"/>
          </w:tcPr>
          <w:p w:rsidR="00BB28C2" w:rsidRPr="006E709F" w:rsidRDefault="00BB28C2" w:rsidP="00A801D0">
            <w:pPr>
              <w:pStyle w:val="Tabletext"/>
            </w:pPr>
            <w:r w:rsidRPr="006E709F">
              <w:t>2</w:t>
            </w:r>
          </w:p>
        </w:tc>
        <w:tc>
          <w:tcPr>
            <w:tcW w:w="4435" w:type="pct"/>
            <w:shd w:val="clear" w:color="auto" w:fill="auto"/>
          </w:tcPr>
          <w:p w:rsidR="00BB28C2" w:rsidRPr="006E709F" w:rsidRDefault="00BB28C2" w:rsidP="00A801D0">
            <w:pPr>
              <w:pStyle w:val="Tabletext"/>
            </w:pPr>
            <w:r w:rsidRPr="006E709F">
              <w:t>ANZ Trustees Limited</w:t>
            </w:r>
          </w:p>
        </w:tc>
      </w:tr>
      <w:tr w:rsidR="00BB28C2" w:rsidRPr="006E709F" w:rsidTr="00E118FA">
        <w:tc>
          <w:tcPr>
            <w:tcW w:w="565" w:type="pct"/>
            <w:shd w:val="clear" w:color="auto" w:fill="auto"/>
          </w:tcPr>
          <w:p w:rsidR="00BB28C2" w:rsidRPr="006E709F" w:rsidRDefault="00BB28C2" w:rsidP="00A801D0">
            <w:pPr>
              <w:pStyle w:val="Tabletext"/>
            </w:pPr>
            <w:r w:rsidRPr="006E709F">
              <w:t>3</w:t>
            </w:r>
          </w:p>
        </w:tc>
        <w:tc>
          <w:tcPr>
            <w:tcW w:w="4435" w:type="pct"/>
            <w:shd w:val="clear" w:color="auto" w:fill="auto"/>
          </w:tcPr>
          <w:p w:rsidR="00BB28C2" w:rsidRPr="006E709F" w:rsidRDefault="00BB28C2" w:rsidP="00A801D0">
            <w:pPr>
              <w:pStyle w:val="Tabletext"/>
            </w:pPr>
            <w:r w:rsidRPr="006E709F">
              <w:t>Australian Executor Trustees Limited</w:t>
            </w:r>
          </w:p>
        </w:tc>
      </w:tr>
      <w:tr w:rsidR="00BB28C2" w:rsidRPr="006E709F" w:rsidTr="00E118FA">
        <w:tc>
          <w:tcPr>
            <w:tcW w:w="565" w:type="pct"/>
            <w:shd w:val="clear" w:color="auto" w:fill="auto"/>
          </w:tcPr>
          <w:p w:rsidR="00BB28C2" w:rsidRPr="006E709F" w:rsidRDefault="00BB28C2" w:rsidP="00A801D0">
            <w:pPr>
              <w:pStyle w:val="Tabletext"/>
            </w:pPr>
            <w:r w:rsidRPr="006E709F">
              <w:t>4</w:t>
            </w:r>
          </w:p>
        </w:tc>
        <w:tc>
          <w:tcPr>
            <w:tcW w:w="4435" w:type="pct"/>
            <w:shd w:val="clear" w:color="auto" w:fill="auto"/>
          </w:tcPr>
          <w:p w:rsidR="00BB28C2" w:rsidRPr="006E709F" w:rsidRDefault="00BB28C2" w:rsidP="00A801D0">
            <w:pPr>
              <w:pStyle w:val="Tabletext"/>
            </w:pPr>
            <w:r w:rsidRPr="006E709F">
              <w:t>Australian Executor Trustees (Canberra) Limited</w:t>
            </w:r>
          </w:p>
        </w:tc>
      </w:tr>
      <w:tr w:rsidR="00BB28C2" w:rsidRPr="006E709F" w:rsidTr="00E118FA">
        <w:tc>
          <w:tcPr>
            <w:tcW w:w="565" w:type="pct"/>
            <w:shd w:val="clear" w:color="auto" w:fill="auto"/>
          </w:tcPr>
          <w:p w:rsidR="00BB28C2" w:rsidRPr="006E709F" w:rsidRDefault="00BB28C2" w:rsidP="00A801D0">
            <w:pPr>
              <w:pStyle w:val="Tabletext"/>
            </w:pPr>
            <w:r w:rsidRPr="006E709F">
              <w:t>5</w:t>
            </w:r>
          </w:p>
        </w:tc>
        <w:tc>
          <w:tcPr>
            <w:tcW w:w="4435" w:type="pct"/>
            <w:shd w:val="clear" w:color="auto" w:fill="auto"/>
          </w:tcPr>
          <w:p w:rsidR="00BB28C2" w:rsidRPr="006E709F" w:rsidRDefault="00BB28C2" w:rsidP="00A801D0">
            <w:pPr>
              <w:pStyle w:val="Tabletext"/>
            </w:pPr>
            <w:r w:rsidRPr="006E709F">
              <w:t>Australian Executor Trustees (NSW) Limited</w:t>
            </w:r>
          </w:p>
        </w:tc>
      </w:tr>
      <w:tr w:rsidR="00BB28C2" w:rsidRPr="006E709F" w:rsidTr="00E118FA">
        <w:tc>
          <w:tcPr>
            <w:tcW w:w="565" w:type="pct"/>
            <w:shd w:val="clear" w:color="auto" w:fill="auto"/>
          </w:tcPr>
          <w:p w:rsidR="00BB28C2" w:rsidRPr="006E709F" w:rsidRDefault="00BB28C2" w:rsidP="00A801D0">
            <w:pPr>
              <w:pStyle w:val="Tabletext"/>
            </w:pPr>
            <w:r w:rsidRPr="006E709F">
              <w:t>6</w:t>
            </w:r>
          </w:p>
        </w:tc>
        <w:tc>
          <w:tcPr>
            <w:tcW w:w="4435" w:type="pct"/>
            <w:shd w:val="clear" w:color="auto" w:fill="auto"/>
          </w:tcPr>
          <w:p w:rsidR="00BB28C2" w:rsidRPr="006E709F" w:rsidRDefault="00BB28C2" w:rsidP="00A801D0">
            <w:pPr>
              <w:pStyle w:val="Tabletext"/>
            </w:pPr>
            <w:r w:rsidRPr="006E709F">
              <w:t>Australian Executor Trustees (SA) Limited</w:t>
            </w:r>
          </w:p>
        </w:tc>
      </w:tr>
      <w:tr w:rsidR="00AB05FF" w:rsidRPr="006E709F" w:rsidTr="00E118FA">
        <w:tc>
          <w:tcPr>
            <w:tcW w:w="565" w:type="pct"/>
            <w:shd w:val="clear" w:color="auto" w:fill="auto"/>
          </w:tcPr>
          <w:p w:rsidR="00AB05FF" w:rsidRPr="006E709F" w:rsidRDefault="00AB05FF" w:rsidP="00A801D0">
            <w:pPr>
              <w:pStyle w:val="Tabletext"/>
            </w:pPr>
            <w:r w:rsidRPr="006E709F">
              <w:t>6A</w:t>
            </w:r>
          </w:p>
        </w:tc>
        <w:tc>
          <w:tcPr>
            <w:tcW w:w="4435" w:type="pct"/>
            <w:shd w:val="clear" w:color="auto" w:fill="auto"/>
          </w:tcPr>
          <w:p w:rsidR="00AB05FF" w:rsidRPr="006E709F" w:rsidRDefault="00AB05FF" w:rsidP="00A801D0">
            <w:pPr>
              <w:pStyle w:val="Tabletext"/>
            </w:pPr>
            <w:r w:rsidRPr="006E709F">
              <w:t>Australian Unity Trustees Limited</w:t>
            </w:r>
          </w:p>
        </w:tc>
      </w:tr>
      <w:tr w:rsidR="00AB05FF" w:rsidRPr="006E709F" w:rsidTr="00E118FA">
        <w:tc>
          <w:tcPr>
            <w:tcW w:w="565" w:type="pct"/>
            <w:shd w:val="clear" w:color="auto" w:fill="auto"/>
          </w:tcPr>
          <w:p w:rsidR="00AB05FF" w:rsidRPr="006E709F" w:rsidRDefault="00AB05FF" w:rsidP="00A801D0">
            <w:pPr>
              <w:pStyle w:val="Tabletext"/>
            </w:pPr>
            <w:r w:rsidRPr="006E709F">
              <w:t>7</w:t>
            </w:r>
          </w:p>
        </w:tc>
        <w:tc>
          <w:tcPr>
            <w:tcW w:w="4435" w:type="pct"/>
            <w:shd w:val="clear" w:color="auto" w:fill="auto"/>
          </w:tcPr>
          <w:p w:rsidR="00AB05FF" w:rsidRPr="006E709F" w:rsidRDefault="00AB05FF" w:rsidP="00A801D0">
            <w:pPr>
              <w:pStyle w:val="Tabletext"/>
            </w:pPr>
            <w:r w:rsidRPr="006E709F">
              <w:t>Bagot’s Executor and Trustee Company Limited</w:t>
            </w:r>
          </w:p>
        </w:tc>
      </w:tr>
      <w:tr w:rsidR="00AB05FF" w:rsidRPr="006E709F" w:rsidTr="00E118FA">
        <w:tc>
          <w:tcPr>
            <w:tcW w:w="565" w:type="pct"/>
            <w:shd w:val="clear" w:color="auto" w:fill="auto"/>
          </w:tcPr>
          <w:p w:rsidR="00AB05FF" w:rsidRPr="006E709F" w:rsidRDefault="00AB05FF" w:rsidP="00A801D0">
            <w:pPr>
              <w:pStyle w:val="Tabletext"/>
            </w:pPr>
            <w:r w:rsidRPr="006E709F">
              <w:t>8</w:t>
            </w:r>
          </w:p>
        </w:tc>
        <w:tc>
          <w:tcPr>
            <w:tcW w:w="4435" w:type="pct"/>
            <w:shd w:val="clear" w:color="auto" w:fill="auto"/>
          </w:tcPr>
          <w:p w:rsidR="00AB05FF" w:rsidRPr="006E709F" w:rsidRDefault="00AB05FF" w:rsidP="00A801D0">
            <w:pPr>
              <w:pStyle w:val="Tabletext"/>
            </w:pPr>
            <w:r w:rsidRPr="006E709F">
              <w:t>Elders Trustees Limited</w:t>
            </w:r>
          </w:p>
        </w:tc>
      </w:tr>
      <w:tr w:rsidR="00AB05FF" w:rsidRPr="006E709F" w:rsidTr="00E118FA">
        <w:tc>
          <w:tcPr>
            <w:tcW w:w="565" w:type="pct"/>
            <w:shd w:val="clear" w:color="auto" w:fill="auto"/>
          </w:tcPr>
          <w:p w:rsidR="00AB05FF" w:rsidRPr="006E709F" w:rsidRDefault="00AB05FF" w:rsidP="00A801D0">
            <w:pPr>
              <w:pStyle w:val="Tabletext"/>
            </w:pPr>
            <w:r w:rsidRPr="006E709F">
              <w:t>9</w:t>
            </w:r>
          </w:p>
        </w:tc>
        <w:tc>
          <w:tcPr>
            <w:tcW w:w="4435" w:type="pct"/>
            <w:shd w:val="clear" w:color="auto" w:fill="auto"/>
          </w:tcPr>
          <w:p w:rsidR="00AB05FF" w:rsidRPr="006E709F" w:rsidRDefault="00AB05FF" w:rsidP="00A801D0">
            <w:pPr>
              <w:pStyle w:val="Tabletext"/>
            </w:pPr>
            <w:r w:rsidRPr="006E709F">
              <w:t>Equity Trustees Limited</w:t>
            </w:r>
          </w:p>
        </w:tc>
      </w:tr>
      <w:tr w:rsidR="00AB05FF" w:rsidRPr="006E709F" w:rsidTr="00E118FA">
        <w:tc>
          <w:tcPr>
            <w:tcW w:w="565" w:type="pct"/>
            <w:shd w:val="clear" w:color="auto" w:fill="auto"/>
          </w:tcPr>
          <w:p w:rsidR="00AB05FF" w:rsidRPr="006E709F" w:rsidRDefault="00AB05FF" w:rsidP="00A801D0">
            <w:pPr>
              <w:pStyle w:val="Tabletext"/>
            </w:pPr>
            <w:r w:rsidRPr="006E709F">
              <w:t>10</w:t>
            </w:r>
          </w:p>
        </w:tc>
        <w:tc>
          <w:tcPr>
            <w:tcW w:w="4435" w:type="pct"/>
            <w:shd w:val="clear" w:color="auto" w:fill="auto"/>
          </w:tcPr>
          <w:p w:rsidR="00AB05FF" w:rsidRPr="006E709F" w:rsidRDefault="00AB05FF" w:rsidP="00A801D0">
            <w:pPr>
              <w:pStyle w:val="Tabletext"/>
            </w:pPr>
            <w:r w:rsidRPr="006E709F">
              <w:t>Executor Trustee Australia Limited</w:t>
            </w:r>
          </w:p>
        </w:tc>
      </w:tr>
      <w:tr w:rsidR="00AB05FF" w:rsidRPr="006E709F" w:rsidDel="00260E53" w:rsidTr="00E118FA">
        <w:tc>
          <w:tcPr>
            <w:tcW w:w="565" w:type="pct"/>
            <w:shd w:val="clear" w:color="auto" w:fill="auto"/>
          </w:tcPr>
          <w:p w:rsidR="00AB05FF" w:rsidRPr="006E709F" w:rsidDel="00260E53" w:rsidRDefault="00AB05FF" w:rsidP="00A801D0">
            <w:pPr>
              <w:pStyle w:val="Tabletext"/>
            </w:pPr>
            <w:r w:rsidRPr="006E709F">
              <w:t>11</w:t>
            </w:r>
          </w:p>
        </w:tc>
        <w:tc>
          <w:tcPr>
            <w:tcW w:w="4435" w:type="pct"/>
            <w:shd w:val="clear" w:color="auto" w:fill="auto"/>
          </w:tcPr>
          <w:p w:rsidR="00AB05FF" w:rsidRPr="006E709F" w:rsidDel="00260E53" w:rsidRDefault="00AB05FF" w:rsidP="00A801D0">
            <w:pPr>
              <w:pStyle w:val="Tabletext"/>
            </w:pPr>
            <w:r w:rsidRPr="006E709F">
              <w:t>Mutual Trust Pty Ltd</w:t>
            </w:r>
          </w:p>
        </w:tc>
      </w:tr>
      <w:tr w:rsidR="00AB05FF" w:rsidRPr="006E709F" w:rsidTr="00E118FA">
        <w:tc>
          <w:tcPr>
            <w:tcW w:w="565" w:type="pct"/>
            <w:shd w:val="clear" w:color="auto" w:fill="auto"/>
          </w:tcPr>
          <w:p w:rsidR="00AB05FF" w:rsidRPr="006E709F" w:rsidRDefault="00AB05FF" w:rsidP="00A801D0">
            <w:pPr>
              <w:pStyle w:val="Tabletext"/>
            </w:pPr>
            <w:r w:rsidRPr="006E709F">
              <w:t>12</w:t>
            </w:r>
          </w:p>
        </w:tc>
        <w:tc>
          <w:tcPr>
            <w:tcW w:w="4435" w:type="pct"/>
            <w:shd w:val="clear" w:color="auto" w:fill="auto"/>
          </w:tcPr>
          <w:p w:rsidR="00AB05FF" w:rsidRPr="006E709F" w:rsidRDefault="00AB05FF" w:rsidP="00A801D0">
            <w:pPr>
              <w:pStyle w:val="Tabletext"/>
            </w:pPr>
            <w:r w:rsidRPr="006E709F">
              <w:t>National Australia Trustees Limited</w:t>
            </w:r>
          </w:p>
        </w:tc>
      </w:tr>
      <w:tr w:rsidR="00AB05FF" w:rsidRPr="006E709F" w:rsidTr="00E118FA">
        <w:tc>
          <w:tcPr>
            <w:tcW w:w="565" w:type="pct"/>
            <w:shd w:val="clear" w:color="auto" w:fill="auto"/>
          </w:tcPr>
          <w:p w:rsidR="00AB05FF" w:rsidRPr="006E709F" w:rsidRDefault="00AB05FF" w:rsidP="00A801D0">
            <w:pPr>
              <w:pStyle w:val="Tabletext"/>
            </w:pPr>
            <w:r w:rsidRPr="006E709F">
              <w:t>14</w:t>
            </w:r>
          </w:p>
        </w:tc>
        <w:tc>
          <w:tcPr>
            <w:tcW w:w="4435" w:type="pct"/>
            <w:shd w:val="clear" w:color="auto" w:fill="auto"/>
          </w:tcPr>
          <w:p w:rsidR="00AB05FF" w:rsidRPr="006E709F" w:rsidRDefault="00AB05FF" w:rsidP="00A801D0">
            <w:pPr>
              <w:pStyle w:val="Tabletext"/>
            </w:pPr>
            <w:r w:rsidRPr="006E709F">
              <w:t>Perpetual Limited</w:t>
            </w:r>
          </w:p>
        </w:tc>
      </w:tr>
      <w:tr w:rsidR="00AB05FF" w:rsidRPr="006E709F" w:rsidTr="00E118FA">
        <w:tc>
          <w:tcPr>
            <w:tcW w:w="565" w:type="pct"/>
            <w:shd w:val="clear" w:color="auto" w:fill="auto"/>
          </w:tcPr>
          <w:p w:rsidR="00AB05FF" w:rsidRPr="006E709F" w:rsidRDefault="00AB05FF" w:rsidP="00A801D0">
            <w:pPr>
              <w:pStyle w:val="Tabletext"/>
            </w:pPr>
            <w:r w:rsidRPr="006E709F">
              <w:t>15</w:t>
            </w:r>
          </w:p>
        </w:tc>
        <w:tc>
          <w:tcPr>
            <w:tcW w:w="4435" w:type="pct"/>
            <w:shd w:val="clear" w:color="auto" w:fill="auto"/>
          </w:tcPr>
          <w:p w:rsidR="00AB05FF" w:rsidRPr="006E709F" w:rsidRDefault="00AB05FF" w:rsidP="00A801D0">
            <w:pPr>
              <w:pStyle w:val="Tabletext"/>
            </w:pPr>
            <w:r w:rsidRPr="006E709F">
              <w:t>Perpetual Trustee Company (Canberra) Limited</w:t>
            </w:r>
          </w:p>
        </w:tc>
      </w:tr>
      <w:tr w:rsidR="00AB05FF" w:rsidRPr="006E709F" w:rsidTr="00E118FA">
        <w:tc>
          <w:tcPr>
            <w:tcW w:w="565" w:type="pct"/>
            <w:shd w:val="clear" w:color="auto" w:fill="auto"/>
          </w:tcPr>
          <w:p w:rsidR="00AB05FF" w:rsidRPr="006E709F" w:rsidRDefault="00AB05FF" w:rsidP="00A801D0">
            <w:pPr>
              <w:pStyle w:val="Tabletext"/>
            </w:pPr>
            <w:r w:rsidRPr="006E709F">
              <w:t>16</w:t>
            </w:r>
          </w:p>
        </w:tc>
        <w:tc>
          <w:tcPr>
            <w:tcW w:w="4435" w:type="pct"/>
            <w:shd w:val="clear" w:color="auto" w:fill="auto"/>
          </w:tcPr>
          <w:p w:rsidR="00AB05FF" w:rsidRPr="006E709F" w:rsidRDefault="00AB05FF" w:rsidP="00A801D0">
            <w:pPr>
              <w:pStyle w:val="Tabletext"/>
            </w:pPr>
            <w:r w:rsidRPr="006E709F">
              <w:t>Perpetual Trustee Company Limited</w:t>
            </w:r>
          </w:p>
        </w:tc>
      </w:tr>
      <w:tr w:rsidR="00AB05FF" w:rsidRPr="006E709F" w:rsidTr="00E118FA">
        <w:tc>
          <w:tcPr>
            <w:tcW w:w="565" w:type="pct"/>
            <w:shd w:val="clear" w:color="auto" w:fill="auto"/>
          </w:tcPr>
          <w:p w:rsidR="00AB05FF" w:rsidRPr="006E709F" w:rsidRDefault="00AB05FF" w:rsidP="00A801D0">
            <w:pPr>
              <w:pStyle w:val="Tabletext"/>
            </w:pPr>
            <w:r w:rsidRPr="006E709F">
              <w:t>17</w:t>
            </w:r>
          </w:p>
        </w:tc>
        <w:tc>
          <w:tcPr>
            <w:tcW w:w="4435" w:type="pct"/>
            <w:shd w:val="clear" w:color="auto" w:fill="auto"/>
          </w:tcPr>
          <w:p w:rsidR="00AB05FF" w:rsidRPr="006E709F" w:rsidRDefault="00AB05FF" w:rsidP="00A801D0">
            <w:pPr>
              <w:pStyle w:val="Tabletext"/>
            </w:pPr>
            <w:r w:rsidRPr="006E709F">
              <w:t>Perpetual Trustees Consolidated Limited</w:t>
            </w:r>
          </w:p>
        </w:tc>
      </w:tr>
      <w:tr w:rsidR="00AB05FF" w:rsidRPr="006E709F" w:rsidTr="00E118FA">
        <w:tc>
          <w:tcPr>
            <w:tcW w:w="565" w:type="pct"/>
            <w:shd w:val="clear" w:color="auto" w:fill="auto"/>
          </w:tcPr>
          <w:p w:rsidR="00AB05FF" w:rsidRPr="006E709F" w:rsidRDefault="00AB05FF" w:rsidP="00A801D0">
            <w:pPr>
              <w:pStyle w:val="Tabletext"/>
            </w:pPr>
            <w:r w:rsidRPr="006E709F">
              <w:t>18</w:t>
            </w:r>
          </w:p>
        </w:tc>
        <w:tc>
          <w:tcPr>
            <w:tcW w:w="4435" w:type="pct"/>
            <w:shd w:val="clear" w:color="auto" w:fill="auto"/>
          </w:tcPr>
          <w:p w:rsidR="00AB05FF" w:rsidRPr="006E709F" w:rsidRDefault="00AB05FF" w:rsidP="00A801D0">
            <w:pPr>
              <w:pStyle w:val="Tabletext"/>
            </w:pPr>
            <w:r w:rsidRPr="006E709F">
              <w:t>Perpetual Trustees Queensland Limited</w:t>
            </w:r>
          </w:p>
        </w:tc>
      </w:tr>
      <w:tr w:rsidR="00AB05FF" w:rsidRPr="006E709F" w:rsidTr="00E118FA">
        <w:tc>
          <w:tcPr>
            <w:tcW w:w="565" w:type="pct"/>
            <w:shd w:val="clear" w:color="auto" w:fill="auto"/>
          </w:tcPr>
          <w:p w:rsidR="00AB05FF" w:rsidRPr="006E709F" w:rsidRDefault="00AB05FF" w:rsidP="00A801D0">
            <w:pPr>
              <w:pStyle w:val="Tabletext"/>
            </w:pPr>
            <w:r w:rsidRPr="006E709F">
              <w:t>19</w:t>
            </w:r>
          </w:p>
        </w:tc>
        <w:tc>
          <w:tcPr>
            <w:tcW w:w="4435" w:type="pct"/>
            <w:shd w:val="clear" w:color="auto" w:fill="auto"/>
          </w:tcPr>
          <w:p w:rsidR="00AB05FF" w:rsidRPr="006E709F" w:rsidRDefault="00AB05FF" w:rsidP="00A801D0">
            <w:pPr>
              <w:pStyle w:val="Tabletext"/>
            </w:pPr>
            <w:r w:rsidRPr="006E709F">
              <w:t>Perpetual Trustees S.A. Limited</w:t>
            </w:r>
          </w:p>
        </w:tc>
      </w:tr>
      <w:tr w:rsidR="00AB05FF" w:rsidRPr="006E709F" w:rsidTr="00E118FA">
        <w:tc>
          <w:tcPr>
            <w:tcW w:w="565" w:type="pct"/>
            <w:shd w:val="clear" w:color="auto" w:fill="auto"/>
          </w:tcPr>
          <w:p w:rsidR="00AB05FF" w:rsidRPr="006E709F" w:rsidRDefault="00AB05FF" w:rsidP="00A801D0">
            <w:pPr>
              <w:pStyle w:val="Tabletext"/>
            </w:pPr>
            <w:r w:rsidRPr="006E709F">
              <w:t>20</w:t>
            </w:r>
          </w:p>
        </w:tc>
        <w:tc>
          <w:tcPr>
            <w:tcW w:w="4435" w:type="pct"/>
            <w:shd w:val="clear" w:color="auto" w:fill="auto"/>
          </w:tcPr>
          <w:p w:rsidR="00AB05FF" w:rsidRPr="006E709F" w:rsidRDefault="00AB05FF" w:rsidP="00A801D0">
            <w:pPr>
              <w:pStyle w:val="Tabletext"/>
            </w:pPr>
            <w:r w:rsidRPr="006E709F">
              <w:t>Perpetual Trustees Victoria Limited</w:t>
            </w:r>
          </w:p>
        </w:tc>
      </w:tr>
      <w:tr w:rsidR="00AB05FF" w:rsidRPr="006E709F" w:rsidTr="00E118FA">
        <w:tc>
          <w:tcPr>
            <w:tcW w:w="565" w:type="pct"/>
            <w:shd w:val="clear" w:color="auto" w:fill="auto"/>
          </w:tcPr>
          <w:p w:rsidR="00AB05FF" w:rsidRPr="006E709F" w:rsidRDefault="00AB05FF" w:rsidP="00A801D0">
            <w:pPr>
              <w:pStyle w:val="Tabletext"/>
            </w:pPr>
            <w:r w:rsidRPr="006E709F">
              <w:t>21</w:t>
            </w:r>
          </w:p>
        </w:tc>
        <w:tc>
          <w:tcPr>
            <w:tcW w:w="4435" w:type="pct"/>
            <w:shd w:val="clear" w:color="auto" w:fill="auto"/>
          </w:tcPr>
          <w:p w:rsidR="00AB05FF" w:rsidRPr="006E709F" w:rsidRDefault="00AB05FF" w:rsidP="00A801D0">
            <w:pPr>
              <w:pStyle w:val="Tabletext"/>
            </w:pPr>
            <w:r w:rsidRPr="006E709F">
              <w:t>Perpetual Trustees W.A. Limited</w:t>
            </w:r>
          </w:p>
        </w:tc>
      </w:tr>
      <w:tr w:rsidR="00AB05FF" w:rsidRPr="006E709F" w:rsidTr="00E118FA">
        <w:tc>
          <w:tcPr>
            <w:tcW w:w="565" w:type="pct"/>
            <w:shd w:val="clear" w:color="auto" w:fill="auto"/>
          </w:tcPr>
          <w:p w:rsidR="00AB05FF" w:rsidRPr="006E709F" w:rsidRDefault="00AB05FF" w:rsidP="00A801D0">
            <w:pPr>
              <w:pStyle w:val="Tabletext"/>
            </w:pPr>
            <w:r w:rsidRPr="006E709F">
              <w:t>22</w:t>
            </w:r>
          </w:p>
        </w:tc>
        <w:tc>
          <w:tcPr>
            <w:tcW w:w="4435" w:type="pct"/>
            <w:shd w:val="clear" w:color="auto" w:fill="auto"/>
          </w:tcPr>
          <w:p w:rsidR="00AB05FF" w:rsidRPr="006E709F" w:rsidRDefault="00AB05FF" w:rsidP="00A801D0">
            <w:pPr>
              <w:pStyle w:val="Tabletext"/>
            </w:pPr>
            <w:r w:rsidRPr="006E709F">
              <w:t>Plan B Trustees Limited</w:t>
            </w:r>
          </w:p>
        </w:tc>
      </w:tr>
      <w:tr w:rsidR="00AB05FF" w:rsidRPr="006E709F" w:rsidTr="00E118FA">
        <w:tc>
          <w:tcPr>
            <w:tcW w:w="565" w:type="pct"/>
            <w:shd w:val="clear" w:color="auto" w:fill="auto"/>
          </w:tcPr>
          <w:p w:rsidR="00AB05FF" w:rsidRPr="006E709F" w:rsidRDefault="00AB05FF" w:rsidP="00A801D0">
            <w:pPr>
              <w:pStyle w:val="Tabletext"/>
            </w:pPr>
            <w:r w:rsidRPr="006E709F">
              <w:t>23</w:t>
            </w:r>
          </w:p>
        </w:tc>
        <w:tc>
          <w:tcPr>
            <w:tcW w:w="4435" w:type="pct"/>
            <w:shd w:val="clear" w:color="auto" w:fill="auto"/>
          </w:tcPr>
          <w:p w:rsidR="00AB05FF" w:rsidRPr="006E709F" w:rsidRDefault="00AB05FF" w:rsidP="00A801D0">
            <w:pPr>
              <w:pStyle w:val="Tabletext"/>
            </w:pPr>
            <w:r w:rsidRPr="006E709F">
              <w:t>Sandhurst Trustees Limited</w:t>
            </w:r>
          </w:p>
        </w:tc>
      </w:tr>
      <w:tr w:rsidR="00AB05FF" w:rsidRPr="006E709F" w:rsidTr="00E118FA">
        <w:tc>
          <w:tcPr>
            <w:tcW w:w="565" w:type="pct"/>
            <w:shd w:val="clear" w:color="auto" w:fill="auto"/>
          </w:tcPr>
          <w:p w:rsidR="00AB05FF" w:rsidRPr="006E709F" w:rsidRDefault="00AB05FF" w:rsidP="00A801D0">
            <w:pPr>
              <w:pStyle w:val="Tabletext"/>
            </w:pPr>
            <w:r w:rsidRPr="006E709F">
              <w:t>24</w:t>
            </w:r>
          </w:p>
        </w:tc>
        <w:tc>
          <w:tcPr>
            <w:tcW w:w="4435" w:type="pct"/>
            <w:shd w:val="clear" w:color="auto" w:fill="auto"/>
          </w:tcPr>
          <w:p w:rsidR="00AB05FF" w:rsidRPr="006E709F" w:rsidRDefault="00AB05FF" w:rsidP="00A801D0">
            <w:pPr>
              <w:pStyle w:val="Tabletext"/>
            </w:pPr>
            <w:r w:rsidRPr="006E709F">
              <w:t>Tasmanian Perpetual Trustees Limited</w:t>
            </w:r>
          </w:p>
        </w:tc>
      </w:tr>
      <w:tr w:rsidR="00AB05FF" w:rsidRPr="006E709F" w:rsidDel="00260E53" w:rsidTr="00E118FA">
        <w:tc>
          <w:tcPr>
            <w:tcW w:w="565" w:type="pct"/>
            <w:shd w:val="clear" w:color="auto" w:fill="auto"/>
          </w:tcPr>
          <w:p w:rsidR="00AB05FF" w:rsidRPr="006E709F" w:rsidDel="00260E53" w:rsidRDefault="00AB05FF" w:rsidP="00A801D0">
            <w:pPr>
              <w:pStyle w:val="Tabletext"/>
            </w:pPr>
            <w:r w:rsidRPr="006E709F">
              <w:t>25</w:t>
            </w:r>
          </w:p>
        </w:tc>
        <w:tc>
          <w:tcPr>
            <w:tcW w:w="4435" w:type="pct"/>
            <w:shd w:val="clear" w:color="auto" w:fill="auto"/>
          </w:tcPr>
          <w:p w:rsidR="00AB05FF" w:rsidRPr="006E709F" w:rsidDel="00260E53" w:rsidRDefault="00AB05FF" w:rsidP="00A801D0">
            <w:pPr>
              <w:pStyle w:val="Tabletext"/>
            </w:pPr>
            <w:r w:rsidRPr="006E709F">
              <w:t>The Myer Family Company Ltd</w:t>
            </w:r>
          </w:p>
        </w:tc>
      </w:tr>
      <w:tr w:rsidR="00AB05FF" w:rsidRPr="006E709F" w:rsidDel="00260E53" w:rsidTr="00E118FA">
        <w:tc>
          <w:tcPr>
            <w:tcW w:w="565" w:type="pct"/>
            <w:shd w:val="clear" w:color="auto" w:fill="auto"/>
          </w:tcPr>
          <w:p w:rsidR="00AB05FF" w:rsidRPr="006E709F" w:rsidDel="00260E53" w:rsidRDefault="00AB05FF" w:rsidP="00A801D0">
            <w:pPr>
              <w:pStyle w:val="Tabletext"/>
            </w:pPr>
            <w:r w:rsidRPr="006E709F">
              <w:t>26</w:t>
            </w:r>
          </w:p>
        </w:tc>
        <w:tc>
          <w:tcPr>
            <w:tcW w:w="4435" w:type="pct"/>
            <w:shd w:val="clear" w:color="auto" w:fill="auto"/>
          </w:tcPr>
          <w:p w:rsidR="00AB05FF" w:rsidRPr="006E709F" w:rsidDel="00260E53" w:rsidRDefault="00AB05FF" w:rsidP="00A801D0">
            <w:pPr>
              <w:pStyle w:val="Tabletext"/>
            </w:pPr>
            <w:r w:rsidRPr="006E709F">
              <w:t>The Trust Company Limited</w:t>
            </w:r>
          </w:p>
        </w:tc>
      </w:tr>
      <w:tr w:rsidR="00AB05FF" w:rsidRPr="006E709F" w:rsidDel="00260E53" w:rsidTr="00E118FA">
        <w:tc>
          <w:tcPr>
            <w:tcW w:w="565" w:type="pct"/>
            <w:shd w:val="clear" w:color="auto" w:fill="auto"/>
          </w:tcPr>
          <w:p w:rsidR="00AB05FF" w:rsidRPr="006E709F" w:rsidDel="00260E53" w:rsidRDefault="00AB05FF" w:rsidP="00A801D0">
            <w:pPr>
              <w:pStyle w:val="Tabletext"/>
            </w:pPr>
            <w:r w:rsidRPr="006E709F">
              <w:t>27</w:t>
            </w:r>
          </w:p>
        </w:tc>
        <w:tc>
          <w:tcPr>
            <w:tcW w:w="4435" w:type="pct"/>
            <w:shd w:val="clear" w:color="auto" w:fill="auto"/>
          </w:tcPr>
          <w:p w:rsidR="00AB05FF" w:rsidRPr="006E709F" w:rsidDel="00260E53" w:rsidRDefault="00AB05FF" w:rsidP="00A801D0">
            <w:pPr>
              <w:pStyle w:val="Tabletext"/>
            </w:pPr>
            <w:r w:rsidRPr="006E709F">
              <w:t>The Trust Company (Australia) Limited</w:t>
            </w:r>
          </w:p>
        </w:tc>
      </w:tr>
      <w:tr w:rsidR="00AB05FF" w:rsidRPr="006E709F" w:rsidDel="00260E53" w:rsidTr="00E118FA">
        <w:tc>
          <w:tcPr>
            <w:tcW w:w="565" w:type="pct"/>
            <w:tcBorders>
              <w:bottom w:val="single" w:sz="4" w:space="0" w:color="auto"/>
            </w:tcBorders>
            <w:shd w:val="clear" w:color="auto" w:fill="auto"/>
          </w:tcPr>
          <w:p w:rsidR="00AB05FF" w:rsidRPr="006E709F" w:rsidDel="00260E53" w:rsidRDefault="00AB05FF" w:rsidP="00A801D0">
            <w:pPr>
              <w:pStyle w:val="Tabletext"/>
            </w:pPr>
            <w:r w:rsidRPr="006E709F">
              <w:t>27A</w:t>
            </w:r>
          </w:p>
        </w:tc>
        <w:tc>
          <w:tcPr>
            <w:tcW w:w="4435" w:type="pct"/>
            <w:tcBorders>
              <w:bottom w:val="single" w:sz="4" w:space="0" w:color="auto"/>
            </w:tcBorders>
            <w:shd w:val="clear" w:color="auto" w:fill="auto"/>
          </w:tcPr>
          <w:p w:rsidR="00AB05FF" w:rsidRPr="006E709F" w:rsidDel="00260E53" w:rsidRDefault="00AB05FF" w:rsidP="00A801D0">
            <w:pPr>
              <w:pStyle w:val="Tabletext"/>
            </w:pPr>
            <w:r w:rsidRPr="006E709F">
              <w:t>The Trust Company (PTCCL) Limited</w:t>
            </w:r>
          </w:p>
        </w:tc>
      </w:tr>
      <w:tr w:rsidR="00AB05FF" w:rsidRPr="006E709F" w:rsidDel="00260E53" w:rsidTr="00E118FA">
        <w:tc>
          <w:tcPr>
            <w:tcW w:w="565" w:type="pct"/>
            <w:tcBorders>
              <w:bottom w:val="single" w:sz="12" w:space="0" w:color="auto"/>
            </w:tcBorders>
            <w:shd w:val="clear" w:color="auto" w:fill="auto"/>
          </w:tcPr>
          <w:p w:rsidR="00AB05FF" w:rsidRPr="006E709F" w:rsidDel="00260E53" w:rsidRDefault="00AB05FF" w:rsidP="00A801D0">
            <w:pPr>
              <w:pStyle w:val="Tabletext"/>
            </w:pPr>
            <w:r w:rsidRPr="006E709F">
              <w:t>28</w:t>
            </w:r>
          </w:p>
        </w:tc>
        <w:tc>
          <w:tcPr>
            <w:tcW w:w="4435" w:type="pct"/>
            <w:tcBorders>
              <w:bottom w:val="single" w:sz="12" w:space="0" w:color="auto"/>
            </w:tcBorders>
            <w:shd w:val="clear" w:color="auto" w:fill="auto"/>
          </w:tcPr>
          <w:p w:rsidR="00AB05FF" w:rsidRPr="006E709F" w:rsidDel="00260E53" w:rsidRDefault="00AB05FF" w:rsidP="00A801D0">
            <w:pPr>
              <w:pStyle w:val="Tabletext"/>
            </w:pPr>
            <w:r w:rsidRPr="006E709F">
              <w:t>The Trust Company (UTCCL) Limited</w:t>
            </w:r>
          </w:p>
        </w:tc>
      </w:tr>
    </w:tbl>
    <w:p w:rsidR="00BB28C2" w:rsidRPr="006E709F" w:rsidRDefault="00A801D0" w:rsidP="00065887">
      <w:pPr>
        <w:pStyle w:val="ActHead1"/>
        <w:pageBreakBefore/>
        <w:spacing w:before="120"/>
      </w:pPr>
      <w:bookmarkStart w:id="43" w:name="_Toc170547865"/>
      <w:r w:rsidRPr="000C4237">
        <w:rPr>
          <w:rStyle w:val="CharChapNo"/>
        </w:rPr>
        <w:lastRenderedPageBreak/>
        <w:t>Schedule</w:t>
      </w:r>
      <w:r w:rsidR="00DA13DE" w:rsidRPr="000C4237">
        <w:rPr>
          <w:rStyle w:val="CharChapNo"/>
        </w:rPr>
        <w:t> </w:t>
      </w:r>
      <w:r w:rsidR="00BB28C2" w:rsidRPr="000C4237">
        <w:rPr>
          <w:rStyle w:val="CharChapNo"/>
        </w:rPr>
        <w:t>8AB</w:t>
      </w:r>
      <w:r w:rsidRPr="006E709F">
        <w:t>—</w:t>
      </w:r>
      <w:r w:rsidR="00BB28C2" w:rsidRPr="000C4237">
        <w:rPr>
          <w:rStyle w:val="CharChapText"/>
        </w:rPr>
        <w:t>Prescribed State and Territory provisions for paragraph</w:t>
      </w:r>
      <w:r w:rsidR="00DA13DE" w:rsidRPr="000C4237">
        <w:rPr>
          <w:rStyle w:val="CharChapText"/>
        </w:rPr>
        <w:t> </w:t>
      </w:r>
      <w:r w:rsidR="00BB28C2" w:rsidRPr="000C4237">
        <w:rPr>
          <w:rStyle w:val="CharChapText"/>
        </w:rPr>
        <w:t>601RAE(4</w:t>
      </w:r>
      <w:r w:rsidRPr="000C4237">
        <w:rPr>
          <w:rStyle w:val="CharChapText"/>
        </w:rPr>
        <w:t>)(</w:t>
      </w:r>
      <w:r w:rsidR="00BB28C2" w:rsidRPr="000C4237">
        <w:rPr>
          <w:rStyle w:val="CharChapText"/>
        </w:rPr>
        <w:t>a) of the Act</w:t>
      </w:r>
      <w:bookmarkEnd w:id="43"/>
    </w:p>
    <w:p w:rsidR="00BB28C2" w:rsidRPr="006E709F" w:rsidRDefault="00BB28C2" w:rsidP="00A801D0">
      <w:pPr>
        <w:pStyle w:val="notemargin"/>
      </w:pPr>
      <w:r w:rsidRPr="006E709F">
        <w:t>(subregulation</w:t>
      </w:r>
      <w:r w:rsidR="00DA13DE" w:rsidRPr="006E709F">
        <w:t> </w:t>
      </w:r>
      <w:r w:rsidRPr="006E709F">
        <w:t>5D.1.04(1))</w:t>
      </w:r>
    </w:p>
    <w:p w:rsidR="00BB28C2" w:rsidRPr="006E709F" w:rsidRDefault="00A801D0" w:rsidP="00BB28C2">
      <w:pPr>
        <w:pStyle w:val="Header"/>
      </w:pPr>
      <w:r w:rsidRPr="000C4237">
        <w:rPr>
          <w:rStyle w:val="CharPartNo"/>
        </w:rPr>
        <w:t xml:space="preserve"> </w:t>
      </w:r>
      <w:r w:rsidRPr="000C4237">
        <w:rPr>
          <w:rStyle w:val="CharPartText"/>
        </w:rPr>
        <w:t xml:space="preserve"> </w:t>
      </w:r>
    </w:p>
    <w:p w:rsidR="00A801D0" w:rsidRPr="006E709F"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64"/>
        <w:gridCol w:w="7565"/>
      </w:tblGrid>
      <w:tr w:rsidR="00BB28C2" w:rsidRPr="006E709F" w:rsidTr="00E118FA">
        <w:trPr>
          <w:tblHeader/>
        </w:trPr>
        <w:tc>
          <w:tcPr>
            <w:tcW w:w="565" w:type="pct"/>
            <w:tcBorders>
              <w:top w:val="single" w:sz="12" w:space="0" w:color="auto"/>
              <w:bottom w:val="single" w:sz="12" w:space="0" w:color="auto"/>
            </w:tcBorders>
            <w:shd w:val="clear" w:color="auto" w:fill="auto"/>
          </w:tcPr>
          <w:p w:rsidR="00BB28C2" w:rsidRPr="006E709F" w:rsidRDefault="00BB28C2" w:rsidP="007678F7">
            <w:pPr>
              <w:pStyle w:val="TableHeading"/>
            </w:pPr>
            <w:r w:rsidRPr="006E709F">
              <w:t>Item</w:t>
            </w:r>
          </w:p>
        </w:tc>
        <w:tc>
          <w:tcPr>
            <w:tcW w:w="4435" w:type="pct"/>
            <w:tcBorders>
              <w:top w:val="single" w:sz="12" w:space="0" w:color="auto"/>
              <w:bottom w:val="single" w:sz="12" w:space="0" w:color="auto"/>
            </w:tcBorders>
            <w:shd w:val="clear" w:color="auto" w:fill="auto"/>
          </w:tcPr>
          <w:p w:rsidR="00BB28C2" w:rsidRPr="006E709F" w:rsidRDefault="00BB28C2" w:rsidP="007678F7">
            <w:pPr>
              <w:pStyle w:val="TableHeading"/>
            </w:pPr>
            <w:r w:rsidRPr="006E709F">
              <w:t>State or Territory law and provisions</w:t>
            </w:r>
          </w:p>
        </w:tc>
      </w:tr>
      <w:tr w:rsidR="00BB28C2" w:rsidRPr="006E709F" w:rsidTr="00E118FA">
        <w:tc>
          <w:tcPr>
            <w:tcW w:w="565" w:type="pct"/>
            <w:tcBorders>
              <w:top w:val="single" w:sz="12" w:space="0" w:color="auto"/>
            </w:tcBorders>
            <w:shd w:val="clear" w:color="auto" w:fill="auto"/>
          </w:tcPr>
          <w:p w:rsidR="00BB28C2" w:rsidRPr="006E709F" w:rsidRDefault="00BB28C2" w:rsidP="00A801D0">
            <w:pPr>
              <w:pStyle w:val="Tabletext"/>
            </w:pPr>
            <w:r w:rsidRPr="006E709F">
              <w:t>1</w:t>
            </w:r>
          </w:p>
        </w:tc>
        <w:tc>
          <w:tcPr>
            <w:tcW w:w="4435" w:type="pct"/>
            <w:tcBorders>
              <w:top w:val="single" w:sz="12" w:space="0" w:color="auto"/>
            </w:tcBorders>
            <w:shd w:val="clear" w:color="auto" w:fill="auto"/>
          </w:tcPr>
          <w:p w:rsidR="00BB28C2" w:rsidRPr="006E709F" w:rsidRDefault="00BB28C2" w:rsidP="00A801D0">
            <w:pPr>
              <w:pStyle w:val="Tabletext"/>
            </w:pPr>
            <w:r w:rsidRPr="006E709F">
              <w:rPr>
                <w:b/>
              </w:rPr>
              <w:t xml:space="preserve">Trustee Companies Act 1984 </w:t>
            </w:r>
            <w:r w:rsidRPr="006E709F">
              <w:t>(Vic), sections</w:t>
            </w:r>
            <w:r w:rsidR="00DA13DE" w:rsidRPr="006E709F">
              <w:t> </w:t>
            </w:r>
            <w:r w:rsidRPr="006E709F">
              <w:t>40–42</w:t>
            </w:r>
          </w:p>
        </w:tc>
      </w:tr>
      <w:tr w:rsidR="00BB28C2" w:rsidRPr="006E709F" w:rsidTr="00E118FA">
        <w:tc>
          <w:tcPr>
            <w:tcW w:w="565" w:type="pct"/>
            <w:shd w:val="clear" w:color="auto" w:fill="auto"/>
          </w:tcPr>
          <w:p w:rsidR="00BB28C2" w:rsidRPr="006E709F" w:rsidRDefault="00BB28C2" w:rsidP="00A801D0">
            <w:pPr>
              <w:pStyle w:val="Tabletext"/>
            </w:pPr>
            <w:r w:rsidRPr="006E709F">
              <w:t>2</w:t>
            </w:r>
          </w:p>
        </w:tc>
        <w:tc>
          <w:tcPr>
            <w:tcW w:w="4435" w:type="pct"/>
            <w:shd w:val="clear" w:color="auto" w:fill="auto"/>
          </w:tcPr>
          <w:p w:rsidR="00BB28C2" w:rsidRPr="006E709F" w:rsidRDefault="00BB28C2" w:rsidP="00A801D0">
            <w:pPr>
              <w:pStyle w:val="Tabletext"/>
            </w:pPr>
            <w:r w:rsidRPr="006E709F">
              <w:rPr>
                <w:i/>
              </w:rPr>
              <w:t>Trustee Companies Act 1987</w:t>
            </w:r>
            <w:r w:rsidRPr="006E709F">
              <w:t xml:space="preserve"> (WA), </w:t>
            </w:r>
            <w:r w:rsidR="00A801D0" w:rsidRPr="006E709F">
              <w:t>Part</w:t>
            </w:r>
            <w:r w:rsidR="00E376FA" w:rsidRPr="006E709F">
              <w:t> </w:t>
            </w:r>
            <w:r w:rsidRPr="006E709F">
              <w:t>IV and section</w:t>
            </w:r>
            <w:r w:rsidR="00DA13DE" w:rsidRPr="006E709F">
              <w:t> </w:t>
            </w:r>
            <w:r w:rsidRPr="006E709F">
              <w:t>34</w:t>
            </w:r>
          </w:p>
        </w:tc>
      </w:tr>
      <w:tr w:rsidR="00BB28C2" w:rsidRPr="006E709F" w:rsidTr="00E118FA">
        <w:tc>
          <w:tcPr>
            <w:tcW w:w="565" w:type="pct"/>
            <w:shd w:val="clear" w:color="auto" w:fill="auto"/>
          </w:tcPr>
          <w:p w:rsidR="00BB28C2" w:rsidRPr="006E709F" w:rsidRDefault="00BB28C2" w:rsidP="00A801D0">
            <w:pPr>
              <w:pStyle w:val="Tabletext"/>
            </w:pPr>
            <w:r w:rsidRPr="006E709F">
              <w:t>3</w:t>
            </w:r>
          </w:p>
        </w:tc>
        <w:tc>
          <w:tcPr>
            <w:tcW w:w="4435" w:type="pct"/>
            <w:shd w:val="clear" w:color="auto" w:fill="auto"/>
          </w:tcPr>
          <w:p w:rsidR="00BB28C2" w:rsidRPr="006E709F" w:rsidRDefault="00BB28C2" w:rsidP="00105963">
            <w:pPr>
              <w:pStyle w:val="Tabletext"/>
            </w:pPr>
            <w:r w:rsidRPr="006E709F">
              <w:rPr>
                <w:i/>
              </w:rPr>
              <w:t xml:space="preserve">Trustee Companies Act 1988 </w:t>
            </w:r>
            <w:r w:rsidRPr="006E709F">
              <w:t>(SA), sections</w:t>
            </w:r>
            <w:r w:rsidR="00DA13DE" w:rsidRPr="006E709F">
              <w:t> </w:t>
            </w:r>
            <w:r w:rsidRPr="006E709F">
              <w:t>15–15B and 19–21</w:t>
            </w:r>
          </w:p>
        </w:tc>
      </w:tr>
      <w:tr w:rsidR="00BB28C2" w:rsidRPr="006E709F" w:rsidTr="00E118FA">
        <w:tc>
          <w:tcPr>
            <w:tcW w:w="565" w:type="pct"/>
            <w:tcBorders>
              <w:bottom w:val="single" w:sz="4" w:space="0" w:color="auto"/>
            </w:tcBorders>
            <w:shd w:val="clear" w:color="auto" w:fill="auto"/>
          </w:tcPr>
          <w:p w:rsidR="00BB28C2" w:rsidRPr="006E709F" w:rsidRDefault="00BB28C2" w:rsidP="00A801D0">
            <w:pPr>
              <w:pStyle w:val="Tabletext"/>
            </w:pPr>
            <w:r w:rsidRPr="006E709F">
              <w:t>4</w:t>
            </w:r>
          </w:p>
        </w:tc>
        <w:tc>
          <w:tcPr>
            <w:tcW w:w="4435" w:type="pct"/>
            <w:tcBorders>
              <w:bottom w:val="single" w:sz="4" w:space="0" w:color="auto"/>
            </w:tcBorders>
            <w:shd w:val="clear" w:color="auto" w:fill="auto"/>
          </w:tcPr>
          <w:p w:rsidR="00BB28C2" w:rsidRPr="006E709F" w:rsidRDefault="00BB28C2" w:rsidP="00452F6B">
            <w:pPr>
              <w:pStyle w:val="Tabletext"/>
            </w:pPr>
            <w:r w:rsidRPr="006E709F">
              <w:rPr>
                <w:i/>
              </w:rPr>
              <w:t>Trustee Companies Act 1953</w:t>
            </w:r>
            <w:r w:rsidRPr="006E709F">
              <w:t xml:space="preserve"> (Tas), subsections</w:t>
            </w:r>
            <w:r w:rsidR="00DA13DE" w:rsidRPr="006E709F">
              <w:t> </w:t>
            </w:r>
            <w:r w:rsidRPr="006E709F">
              <w:t>18C(1), (3)–(13)</w:t>
            </w:r>
          </w:p>
        </w:tc>
      </w:tr>
      <w:tr w:rsidR="00BB28C2" w:rsidRPr="006E709F" w:rsidTr="00E118FA">
        <w:tc>
          <w:tcPr>
            <w:tcW w:w="565" w:type="pct"/>
            <w:tcBorders>
              <w:bottom w:val="single" w:sz="12" w:space="0" w:color="auto"/>
            </w:tcBorders>
            <w:shd w:val="clear" w:color="auto" w:fill="auto"/>
          </w:tcPr>
          <w:p w:rsidR="00BB28C2" w:rsidRPr="006E709F" w:rsidRDefault="00BB28C2" w:rsidP="00A801D0">
            <w:pPr>
              <w:pStyle w:val="Tabletext"/>
            </w:pPr>
            <w:r w:rsidRPr="006E709F">
              <w:t>5</w:t>
            </w:r>
          </w:p>
        </w:tc>
        <w:tc>
          <w:tcPr>
            <w:tcW w:w="4435" w:type="pct"/>
            <w:tcBorders>
              <w:bottom w:val="single" w:sz="12" w:space="0" w:color="auto"/>
            </w:tcBorders>
            <w:shd w:val="clear" w:color="auto" w:fill="auto"/>
          </w:tcPr>
          <w:p w:rsidR="00BB28C2" w:rsidRPr="006E709F" w:rsidRDefault="00BB28C2" w:rsidP="00105963">
            <w:pPr>
              <w:pStyle w:val="Tabletext"/>
            </w:pPr>
            <w:r w:rsidRPr="006E709F">
              <w:rPr>
                <w:i/>
              </w:rPr>
              <w:t>Companies (Trustees and Personal Representatives) Act</w:t>
            </w:r>
            <w:r w:rsidRPr="006E709F">
              <w:t xml:space="preserve"> (NT), section</w:t>
            </w:r>
            <w:r w:rsidR="00DA13DE" w:rsidRPr="006E709F">
              <w:t> </w:t>
            </w:r>
            <w:r w:rsidRPr="006E709F">
              <w:t>25</w:t>
            </w:r>
          </w:p>
        </w:tc>
      </w:tr>
    </w:tbl>
    <w:p w:rsidR="00BB28C2" w:rsidRPr="006E709F" w:rsidRDefault="00A801D0" w:rsidP="00065887">
      <w:pPr>
        <w:pStyle w:val="ActHead1"/>
        <w:pageBreakBefore/>
        <w:spacing w:before="120"/>
      </w:pPr>
      <w:bookmarkStart w:id="44" w:name="_Toc170547866"/>
      <w:r w:rsidRPr="000C4237">
        <w:rPr>
          <w:rStyle w:val="CharChapNo"/>
        </w:rPr>
        <w:lastRenderedPageBreak/>
        <w:t>Schedule</w:t>
      </w:r>
      <w:r w:rsidR="00DA13DE" w:rsidRPr="000C4237">
        <w:rPr>
          <w:rStyle w:val="CharChapNo"/>
        </w:rPr>
        <w:t> </w:t>
      </w:r>
      <w:r w:rsidR="00BB28C2" w:rsidRPr="000C4237">
        <w:rPr>
          <w:rStyle w:val="CharChapNo"/>
        </w:rPr>
        <w:t>8AC</w:t>
      </w:r>
      <w:r w:rsidRPr="006E709F">
        <w:t>—</w:t>
      </w:r>
      <w:r w:rsidR="00BB28C2" w:rsidRPr="000C4237">
        <w:rPr>
          <w:rStyle w:val="CharChapText"/>
        </w:rPr>
        <w:t>Prescribed State and Territory laws and provisions for paragraph</w:t>
      </w:r>
      <w:r w:rsidR="00DA13DE" w:rsidRPr="000C4237">
        <w:rPr>
          <w:rStyle w:val="CharChapText"/>
        </w:rPr>
        <w:t> </w:t>
      </w:r>
      <w:r w:rsidR="00BB28C2" w:rsidRPr="000C4237">
        <w:rPr>
          <w:rStyle w:val="CharChapText"/>
        </w:rPr>
        <w:t>601RAE(4</w:t>
      </w:r>
      <w:r w:rsidRPr="000C4237">
        <w:rPr>
          <w:rStyle w:val="CharChapText"/>
        </w:rPr>
        <w:t>)(</w:t>
      </w:r>
      <w:r w:rsidR="00BB28C2" w:rsidRPr="000C4237">
        <w:rPr>
          <w:rStyle w:val="CharChapText"/>
        </w:rPr>
        <w:t>b) of the Act</w:t>
      </w:r>
      <w:r w:rsidRPr="000C4237">
        <w:rPr>
          <w:rStyle w:val="CharChapText"/>
        </w:rPr>
        <w:t>—</w:t>
      </w:r>
      <w:r w:rsidR="00BB28C2" w:rsidRPr="000C4237">
        <w:rPr>
          <w:rStyle w:val="CharChapText"/>
        </w:rPr>
        <w:t>estate administration</w:t>
      </w:r>
      <w:bookmarkEnd w:id="44"/>
    </w:p>
    <w:p w:rsidR="00BB28C2" w:rsidRPr="006E709F" w:rsidRDefault="00BB28C2" w:rsidP="00A801D0">
      <w:pPr>
        <w:pStyle w:val="notemargin"/>
      </w:pPr>
      <w:r w:rsidRPr="006E709F">
        <w:t>(subregulation</w:t>
      </w:r>
      <w:r w:rsidR="00DA13DE" w:rsidRPr="006E709F">
        <w:t> </w:t>
      </w:r>
      <w:r w:rsidRPr="006E709F">
        <w:t>5D.1.04(2) and sub</w:t>
      </w:r>
      <w:r w:rsidR="005378CE" w:rsidRPr="006E709F">
        <w:t>regulation 7</w:t>
      </w:r>
      <w:r w:rsidRPr="006E709F">
        <w:t>.6.02(6))</w:t>
      </w:r>
    </w:p>
    <w:p w:rsidR="00BB28C2" w:rsidRPr="006E709F" w:rsidRDefault="00A801D0" w:rsidP="00BB28C2">
      <w:pPr>
        <w:pStyle w:val="Header"/>
      </w:pPr>
      <w:r w:rsidRPr="000C4237">
        <w:rPr>
          <w:rStyle w:val="CharPartNo"/>
        </w:rPr>
        <w:t xml:space="preserve"> </w:t>
      </w:r>
      <w:r w:rsidRPr="000C4237">
        <w:rPr>
          <w:rStyle w:val="CharPartText"/>
        </w:rPr>
        <w:t xml:space="preserve"> </w:t>
      </w:r>
    </w:p>
    <w:p w:rsidR="00A801D0" w:rsidRPr="006E709F"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64"/>
        <w:gridCol w:w="7565"/>
      </w:tblGrid>
      <w:tr w:rsidR="00BB28C2" w:rsidRPr="006E709F" w:rsidTr="00E118FA">
        <w:trPr>
          <w:tblHeader/>
        </w:trPr>
        <w:tc>
          <w:tcPr>
            <w:tcW w:w="565" w:type="pct"/>
            <w:tcBorders>
              <w:top w:val="single" w:sz="12" w:space="0" w:color="auto"/>
              <w:bottom w:val="single" w:sz="12" w:space="0" w:color="auto"/>
            </w:tcBorders>
            <w:shd w:val="clear" w:color="auto" w:fill="auto"/>
          </w:tcPr>
          <w:p w:rsidR="00BB28C2" w:rsidRPr="006E709F" w:rsidRDefault="00BB28C2" w:rsidP="007678F7">
            <w:pPr>
              <w:pStyle w:val="TableHeading"/>
            </w:pPr>
            <w:r w:rsidRPr="006E709F">
              <w:t>Item</w:t>
            </w:r>
          </w:p>
        </w:tc>
        <w:tc>
          <w:tcPr>
            <w:tcW w:w="4435" w:type="pct"/>
            <w:tcBorders>
              <w:top w:val="single" w:sz="12" w:space="0" w:color="auto"/>
              <w:bottom w:val="single" w:sz="12" w:space="0" w:color="auto"/>
            </w:tcBorders>
            <w:shd w:val="clear" w:color="auto" w:fill="auto"/>
          </w:tcPr>
          <w:p w:rsidR="00BB28C2" w:rsidRPr="006E709F" w:rsidRDefault="00BB28C2" w:rsidP="007678F7">
            <w:pPr>
              <w:pStyle w:val="TableHeading"/>
            </w:pPr>
            <w:r w:rsidRPr="006E709F">
              <w:t>State or Territory law and provisions</w:t>
            </w:r>
          </w:p>
        </w:tc>
      </w:tr>
      <w:tr w:rsidR="00BB28C2" w:rsidRPr="006E709F" w:rsidTr="00E118FA">
        <w:tc>
          <w:tcPr>
            <w:tcW w:w="565" w:type="pct"/>
            <w:tcBorders>
              <w:top w:val="single" w:sz="12" w:space="0" w:color="auto"/>
            </w:tcBorders>
            <w:shd w:val="clear" w:color="auto" w:fill="auto"/>
          </w:tcPr>
          <w:p w:rsidR="00BB28C2" w:rsidRPr="006E709F" w:rsidRDefault="00BB28C2" w:rsidP="00A801D0">
            <w:pPr>
              <w:pStyle w:val="Tabletext"/>
            </w:pPr>
            <w:r w:rsidRPr="006E709F">
              <w:t>1</w:t>
            </w:r>
          </w:p>
        </w:tc>
        <w:tc>
          <w:tcPr>
            <w:tcW w:w="4435" w:type="pct"/>
            <w:tcBorders>
              <w:top w:val="single" w:sz="12" w:space="0" w:color="auto"/>
            </w:tcBorders>
            <w:shd w:val="clear" w:color="auto" w:fill="auto"/>
          </w:tcPr>
          <w:p w:rsidR="00BB28C2" w:rsidRPr="006E709F" w:rsidRDefault="00BB28C2" w:rsidP="00A801D0">
            <w:pPr>
              <w:pStyle w:val="Tabletext"/>
            </w:pPr>
            <w:r w:rsidRPr="006E709F">
              <w:rPr>
                <w:i/>
              </w:rPr>
              <w:t>Children and Young Persons (Care and Protection) Act 1998</w:t>
            </w:r>
            <w:r w:rsidRPr="006E709F">
              <w:t xml:space="preserve"> (NSW)</w:t>
            </w:r>
          </w:p>
        </w:tc>
      </w:tr>
      <w:tr w:rsidR="00BB28C2" w:rsidRPr="006E709F" w:rsidTr="00E118FA">
        <w:tc>
          <w:tcPr>
            <w:tcW w:w="565" w:type="pct"/>
            <w:shd w:val="clear" w:color="auto" w:fill="auto"/>
          </w:tcPr>
          <w:p w:rsidR="00BB28C2" w:rsidRPr="006E709F" w:rsidRDefault="00BB28C2" w:rsidP="00A801D0">
            <w:pPr>
              <w:pStyle w:val="Tabletext"/>
            </w:pPr>
            <w:r w:rsidRPr="006E709F">
              <w:t>2</w:t>
            </w:r>
          </w:p>
        </w:tc>
        <w:tc>
          <w:tcPr>
            <w:tcW w:w="4435" w:type="pct"/>
            <w:shd w:val="clear" w:color="auto" w:fill="auto"/>
          </w:tcPr>
          <w:p w:rsidR="00BB28C2" w:rsidRPr="006E709F" w:rsidRDefault="00BB28C2" w:rsidP="00A801D0">
            <w:pPr>
              <w:pStyle w:val="Tabletext"/>
            </w:pPr>
            <w:r w:rsidRPr="006E709F">
              <w:rPr>
                <w:i/>
              </w:rPr>
              <w:t>Guardianship Act 1987</w:t>
            </w:r>
            <w:r w:rsidRPr="006E709F">
              <w:t xml:space="preserve"> (NSW)</w:t>
            </w:r>
          </w:p>
        </w:tc>
      </w:tr>
      <w:tr w:rsidR="00BB28C2" w:rsidRPr="006E709F" w:rsidTr="00E118FA">
        <w:tc>
          <w:tcPr>
            <w:tcW w:w="565" w:type="pct"/>
            <w:shd w:val="clear" w:color="auto" w:fill="auto"/>
          </w:tcPr>
          <w:p w:rsidR="00BB28C2" w:rsidRPr="006E709F" w:rsidRDefault="00BB28C2" w:rsidP="00A801D0">
            <w:pPr>
              <w:pStyle w:val="Tabletext"/>
            </w:pPr>
            <w:r w:rsidRPr="006E709F">
              <w:t>3</w:t>
            </w:r>
          </w:p>
        </w:tc>
        <w:tc>
          <w:tcPr>
            <w:tcW w:w="4435" w:type="pct"/>
            <w:shd w:val="clear" w:color="auto" w:fill="auto"/>
          </w:tcPr>
          <w:p w:rsidR="00BB28C2" w:rsidRPr="006E709F" w:rsidRDefault="00BB28C2" w:rsidP="00A801D0">
            <w:pPr>
              <w:pStyle w:val="Tabletext"/>
            </w:pPr>
            <w:r w:rsidRPr="006E709F">
              <w:rPr>
                <w:i/>
              </w:rPr>
              <w:t xml:space="preserve">NSW Trustee and Guardian Act 2009 </w:t>
            </w:r>
            <w:r w:rsidRPr="006E709F">
              <w:t>(NSW)</w:t>
            </w:r>
          </w:p>
        </w:tc>
      </w:tr>
      <w:tr w:rsidR="00BB28C2" w:rsidRPr="006E709F" w:rsidTr="00E118FA">
        <w:tc>
          <w:tcPr>
            <w:tcW w:w="565" w:type="pct"/>
            <w:shd w:val="clear" w:color="auto" w:fill="auto"/>
          </w:tcPr>
          <w:p w:rsidR="00BB28C2" w:rsidRPr="006E709F" w:rsidRDefault="00BB28C2" w:rsidP="00A801D0">
            <w:pPr>
              <w:pStyle w:val="Tabletext"/>
            </w:pPr>
            <w:r w:rsidRPr="006E709F">
              <w:t>4</w:t>
            </w:r>
          </w:p>
        </w:tc>
        <w:tc>
          <w:tcPr>
            <w:tcW w:w="4435" w:type="pct"/>
            <w:shd w:val="clear" w:color="auto" w:fill="auto"/>
          </w:tcPr>
          <w:p w:rsidR="00BB28C2" w:rsidRPr="006E709F" w:rsidRDefault="00BB28C2" w:rsidP="00A801D0">
            <w:pPr>
              <w:pStyle w:val="Tabletext"/>
            </w:pPr>
            <w:r w:rsidRPr="006E709F">
              <w:rPr>
                <w:b/>
              </w:rPr>
              <w:t xml:space="preserve">Victorian Civil and Administrative Tribunal Act 1998 </w:t>
            </w:r>
            <w:r w:rsidRPr="006E709F">
              <w:t>(Vic), Part</w:t>
            </w:r>
            <w:r w:rsidR="00DA13DE" w:rsidRPr="006E709F">
              <w:t> </w:t>
            </w:r>
            <w:r w:rsidRPr="006E709F">
              <w:t xml:space="preserve">9 of </w:t>
            </w:r>
            <w:r w:rsidR="00A801D0" w:rsidRPr="006E709F">
              <w:t>Schedule</w:t>
            </w:r>
            <w:r w:rsidR="00DA13DE" w:rsidRPr="006E709F">
              <w:t> </w:t>
            </w:r>
            <w:r w:rsidRPr="006E709F">
              <w:t>1</w:t>
            </w:r>
          </w:p>
        </w:tc>
      </w:tr>
      <w:tr w:rsidR="00BB28C2" w:rsidRPr="006E709F" w:rsidTr="00E118FA">
        <w:tc>
          <w:tcPr>
            <w:tcW w:w="565" w:type="pct"/>
            <w:shd w:val="clear" w:color="auto" w:fill="auto"/>
          </w:tcPr>
          <w:p w:rsidR="00BB28C2" w:rsidRPr="006E709F" w:rsidRDefault="00BB28C2" w:rsidP="00A801D0">
            <w:pPr>
              <w:pStyle w:val="Tabletext"/>
            </w:pPr>
            <w:r w:rsidRPr="006E709F">
              <w:t>5</w:t>
            </w:r>
          </w:p>
        </w:tc>
        <w:tc>
          <w:tcPr>
            <w:tcW w:w="4435" w:type="pct"/>
            <w:shd w:val="clear" w:color="auto" w:fill="auto"/>
          </w:tcPr>
          <w:p w:rsidR="00BB28C2" w:rsidRPr="006E709F" w:rsidRDefault="00BB28C2" w:rsidP="00A801D0">
            <w:pPr>
              <w:pStyle w:val="Tabletext"/>
            </w:pPr>
            <w:r w:rsidRPr="006E709F">
              <w:rPr>
                <w:b/>
              </w:rPr>
              <w:t xml:space="preserve">Guardianship and Administration Act 1986 </w:t>
            </w:r>
            <w:r w:rsidRPr="006E709F">
              <w:t>(Vic)</w:t>
            </w:r>
          </w:p>
        </w:tc>
      </w:tr>
      <w:tr w:rsidR="00BB28C2" w:rsidRPr="006E709F" w:rsidTr="00E118FA">
        <w:tc>
          <w:tcPr>
            <w:tcW w:w="565" w:type="pct"/>
            <w:shd w:val="clear" w:color="auto" w:fill="auto"/>
          </w:tcPr>
          <w:p w:rsidR="00BB28C2" w:rsidRPr="006E709F" w:rsidRDefault="00BB28C2" w:rsidP="00A801D0">
            <w:pPr>
              <w:pStyle w:val="Tabletext"/>
            </w:pPr>
            <w:r w:rsidRPr="006E709F">
              <w:t>6</w:t>
            </w:r>
          </w:p>
        </w:tc>
        <w:tc>
          <w:tcPr>
            <w:tcW w:w="4435" w:type="pct"/>
            <w:shd w:val="clear" w:color="auto" w:fill="auto"/>
          </w:tcPr>
          <w:p w:rsidR="00BB28C2" w:rsidRPr="006E709F" w:rsidRDefault="00BB28C2" w:rsidP="00A801D0">
            <w:pPr>
              <w:pStyle w:val="Tabletext"/>
            </w:pPr>
            <w:r w:rsidRPr="006E709F">
              <w:rPr>
                <w:i/>
              </w:rPr>
              <w:t xml:space="preserve">Guardianship and Administration Act 2000 </w:t>
            </w:r>
            <w:r w:rsidRPr="006E709F">
              <w:t>(Qld)</w:t>
            </w:r>
          </w:p>
        </w:tc>
      </w:tr>
      <w:tr w:rsidR="00BB28C2" w:rsidRPr="006E709F" w:rsidTr="00E118FA">
        <w:tc>
          <w:tcPr>
            <w:tcW w:w="565" w:type="pct"/>
            <w:shd w:val="clear" w:color="auto" w:fill="auto"/>
          </w:tcPr>
          <w:p w:rsidR="00BB28C2" w:rsidRPr="006E709F" w:rsidRDefault="00BB28C2" w:rsidP="00A801D0">
            <w:pPr>
              <w:pStyle w:val="Tabletext"/>
            </w:pPr>
            <w:r w:rsidRPr="006E709F">
              <w:t>7</w:t>
            </w:r>
          </w:p>
        </w:tc>
        <w:tc>
          <w:tcPr>
            <w:tcW w:w="4435" w:type="pct"/>
            <w:shd w:val="clear" w:color="auto" w:fill="auto"/>
          </w:tcPr>
          <w:p w:rsidR="00BB28C2" w:rsidRPr="006E709F" w:rsidRDefault="00BB28C2" w:rsidP="00A801D0">
            <w:pPr>
              <w:pStyle w:val="Tabletext"/>
            </w:pPr>
            <w:r w:rsidRPr="006E709F">
              <w:rPr>
                <w:i/>
              </w:rPr>
              <w:t xml:space="preserve">Guardianship and Administration Act 1990 </w:t>
            </w:r>
            <w:r w:rsidRPr="006E709F">
              <w:t>(WA)</w:t>
            </w:r>
          </w:p>
        </w:tc>
      </w:tr>
      <w:tr w:rsidR="00BB28C2" w:rsidRPr="006E709F" w:rsidTr="00E118FA">
        <w:tc>
          <w:tcPr>
            <w:tcW w:w="565" w:type="pct"/>
            <w:shd w:val="clear" w:color="auto" w:fill="auto"/>
          </w:tcPr>
          <w:p w:rsidR="00BB28C2" w:rsidRPr="006E709F" w:rsidRDefault="00BB28C2" w:rsidP="00A801D0">
            <w:pPr>
              <w:pStyle w:val="Tabletext"/>
            </w:pPr>
            <w:r w:rsidRPr="006E709F">
              <w:t>8</w:t>
            </w:r>
          </w:p>
        </w:tc>
        <w:tc>
          <w:tcPr>
            <w:tcW w:w="4435" w:type="pct"/>
            <w:shd w:val="clear" w:color="auto" w:fill="auto"/>
          </w:tcPr>
          <w:p w:rsidR="00BB28C2" w:rsidRPr="006E709F" w:rsidRDefault="00BB28C2" w:rsidP="00A801D0">
            <w:pPr>
              <w:pStyle w:val="Tabletext"/>
            </w:pPr>
            <w:r w:rsidRPr="006E709F">
              <w:rPr>
                <w:i/>
              </w:rPr>
              <w:t>Guardianship and Administration Act 1993</w:t>
            </w:r>
            <w:r w:rsidRPr="006E709F">
              <w:t xml:space="preserve"> (SA)</w:t>
            </w:r>
          </w:p>
        </w:tc>
      </w:tr>
      <w:tr w:rsidR="00BB28C2" w:rsidRPr="006E709F" w:rsidTr="00E118FA">
        <w:tc>
          <w:tcPr>
            <w:tcW w:w="565" w:type="pct"/>
            <w:shd w:val="clear" w:color="auto" w:fill="auto"/>
          </w:tcPr>
          <w:p w:rsidR="00BB28C2" w:rsidRPr="006E709F" w:rsidRDefault="00BB28C2" w:rsidP="00A801D0">
            <w:pPr>
              <w:pStyle w:val="Tabletext"/>
            </w:pPr>
            <w:r w:rsidRPr="006E709F">
              <w:t>9</w:t>
            </w:r>
          </w:p>
        </w:tc>
        <w:tc>
          <w:tcPr>
            <w:tcW w:w="4435" w:type="pct"/>
            <w:shd w:val="clear" w:color="auto" w:fill="auto"/>
          </w:tcPr>
          <w:p w:rsidR="00BB28C2" w:rsidRPr="006E709F" w:rsidRDefault="00BB28C2" w:rsidP="00A801D0">
            <w:pPr>
              <w:pStyle w:val="Tabletext"/>
            </w:pPr>
            <w:r w:rsidRPr="006E709F">
              <w:rPr>
                <w:i/>
              </w:rPr>
              <w:t xml:space="preserve">Guardianship of Infants Act 1940 </w:t>
            </w:r>
            <w:r w:rsidRPr="006E709F">
              <w:t>(SA)</w:t>
            </w:r>
          </w:p>
        </w:tc>
      </w:tr>
      <w:tr w:rsidR="00BB28C2" w:rsidRPr="006E709F" w:rsidTr="00E118FA">
        <w:tc>
          <w:tcPr>
            <w:tcW w:w="565" w:type="pct"/>
            <w:shd w:val="clear" w:color="auto" w:fill="auto"/>
          </w:tcPr>
          <w:p w:rsidR="00BB28C2" w:rsidRPr="006E709F" w:rsidRDefault="00BB28C2" w:rsidP="00A801D0">
            <w:pPr>
              <w:pStyle w:val="Tabletext"/>
            </w:pPr>
            <w:r w:rsidRPr="006E709F">
              <w:t>10</w:t>
            </w:r>
          </w:p>
        </w:tc>
        <w:tc>
          <w:tcPr>
            <w:tcW w:w="4435" w:type="pct"/>
            <w:shd w:val="clear" w:color="auto" w:fill="auto"/>
          </w:tcPr>
          <w:p w:rsidR="00BB28C2" w:rsidRPr="006E709F" w:rsidRDefault="00BB28C2" w:rsidP="00A801D0">
            <w:pPr>
              <w:pStyle w:val="Tabletext"/>
            </w:pPr>
            <w:r w:rsidRPr="006E709F">
              <w:rPr>
                <w:i/>
              </w:rPr>
              <w:t xml:space="preserve">Guardianship and Administration Act 1995 </w:t>
            </w:r>
            <w:r w:rsidRPr="006E709F">
              <w:t>(Tas)</w:t>
            </w:r>
          </w:p>
        </w:tc>
      </w:tr>
      <w:tr w:rsidR="00BB28C2" w:rsidRPr="006E709F" w:rsidTr="00E118FA">
        <w:tc>
          <w:tcPr>
            <w:tcW w:w="565" w:type="pct"/>
            <w:shd w:val="clear" w:color="auto" w:fill="auto"/>
          </w:tcPr>
          <w:p w:rsidR="00BB28C2" w:rsidRPr="006E709F" w:rsidRDefault="00BB28C2" w:rsidP="00A801D0">
            <w:pPr>
              <w:pStyle w:val="Tabletext"/>
            </w:pPr>
            <w:r w:rsidRPr="006E709F">
              <w:t>11</w:t>
            </w:r>
          </w:p>
        </w:tc>
        <w:tc>
          <w:tcPr>
            <w:tcW w:w="4435" w:type="pct"/>
            <w:shd w:val="clear" w:color="auto" w:fill="auto"/>
          </w:tcPr>
          <w:p w:rsidR="00BB28C2" w:rsidRPr="006E709F" w:rsidRDefault="00BB28C2" w:rsidP="00A801D0">
            <w:pPr>
              <w:pStyle w:val="Tabletext"/>
            </w:pPr>
            <w:r w:rsidRPr="006E709F">
              <w:rPr>
                <w:i/>
              </w:rPr>
              <w:t xml:space="preserve">Guardianship and Custody of Infants Act 1934 </w:t>
            </w:r>
            <w:r w:rsidRPr="006E709F">
              <w:t>(Tas)</w:t>
            </w:r>
          </w:p>
        </w:tc>
      </w:tr>
      <w:tr w:rsidR="00BB28C2" w:rsidRPr="006E709F" w:rsidTr="00E118FA">
        <w:tc>
          <w:tcPr>
            <w:tcW w:w="565" w:type="pct"/>
            <w:shd w:val="clear" w:color="auto" w:fill="auto"/>
          </w:tcPr>
          <w:p w:rsidR="00BB28C2" w:rsidRPr="006E709F" w:rsidRDefault="00BB28C2" w:rsidP="00A801D0">
            <w:pPr>
              <w:pStyle w:val="Tabletext"/>
            </w:pPr>
            <w:r w:rsidRPr="006E709F">
              <w:t>12</w:t>
            </w:r>
          </w:p>
        </w:tc>
        <w:tc>
          <w:tcPr>
            <w:tcW w:w="4435" w:type="pct"/>
            <w:shd w:val="clear" w:color="auto" w:fill="auto"/>
          </w:tcPr>
          <w:p w:rsidR="00BB28C2" w:rsidRPr="006E709F" w:rsidRDefault="00BB28C2" w:rsidP="00A801D0">
            <w:pPr>
              <w:pStyle w:val="Tabletext"/>
            </w:pPr>
            <w:r w:rsidRPr="006E709F">
              <w:rPr>
                <w:i/>
              </w:rPr>
              <w:t>Guardianship and Management of Property Act 1991</w:t>
            </w:r>
            <w:r w:rsidRPr="006E709F">
              <w:t xml:space="preserve"> (ACT)</w:t>
            </w:r>
          </w:p>
        </w:tc>
      </w:tr>
      <w:tr w:rsidR="00BB28C2" w:rsidRPr="006E709F" w:rsidTr="00E118FA">
        <w:tc>
          <w:tcPr>
            <w:tcW w:w="565" w:type="pct"/>
            <w:shd w:val="clear" w:color="auto" w:fill="auto"/>
          </w:tcPr>
          <w:p w:rsidR="00BB28C2" w:rsidRPr="006E709F" w:rsidRDefault="00BB28C2" w:rsidP="00A801D0">
            <w:pPr>
              <w:pStyle w:val="Tabletext"/>
            </w:pPr>
            <w:r w:rsidRPr="006E709F">
              <w:t>13</w:t>
            </w:r>
          </w:p>
        </w:tc>
        <w:tc>
          <w:tcPr>
            <w:tcW w:w="4435" w:type="pct"/>
            <w:shd w:val="clear" w:color="auto" w:fill="auto"/>
          </w:tcPr>
          <w:p w:rsidR="00BB28C2" w:rsidRPr="006E709F" w:rsidRDefault="00BB28C2" w:rsidP="00A801D0">
            <w:pPr>
              <w:pStyle w:val="Tabletext"/>
            </w:pPr>
            <w:r w:rsidRPr="006E709F">
              <w:rPr>
                <w:i/>
              </w:rPr>
              <w:t xml:space="preserve">Testamentary Guardianship Act 1984 </w:t>
            </w:r>
            <w:r w:rsidRPr="006E709F">
              <w:t>(ACT)</w:t>
            </w:r>
          </w:p>
        </w:tc>
      </w:tr>
      <w:tr w:rsidR="00BB28C2" w:rsidRPr="006E709F" w:rsidTr="00E118FA">
        <w:tc>
          <w:tcPr>
            <w:tcW w:w="565" w:type="pct"/>
            <w:tcBorders>
              <w:bottom w:val="single" w:sz="4" w:space="0" w:color="auto"/>
            </w:tcBorders>
            <w:shd w:val="clear" w:color="auto" w:fill="auto"/>
          </w:tcPr>
          <w:p w:rsidR="00BB28C2" w:rsidRPr="006E709F" w:rsidRDefault="00BB28C2" w:rsidP="00A801D0">
            <w:pPr>
              <w:pStyle w:val="Tabletext"/>
            </w:pPr>
            <w:r w:rsidRPr="006E709F">
              <w:t>14</w:t>
            </w:r>
          </w:p>
        </w:tc>
        <w:tc>
          <w:tcPr>
            <w:tcW w:w="4435" w:type="pct"/>
            <w:tcBorders>
              <w:bottom w:val="single" w:sz="4" w:space="0" w:color="auto"/>
            </w:tcBorders>
            <w:shd w:val="clear" w:color="auto" w:fill="auto"/>
          </w:tcPr>
          <w:p w:rsidR="00BB28C2" w:rsidRPr="006E709F" w:rsidRDefault="00BB28C2" w:rsidP="00A801D0">
            <w:pPr>
              <w:pStyle w:val="Tabletext"/>
            </w:pPr>
            <w:r w:rsidRPr="006E709F">
              <w:rPr>
                <w:i/>
              </w:rPr>
              <w:t xml:space="preserve">Adult Guardianship Act </w:t>
            </w:r>
            <w:r w:rsidRPr="006E709F">
              <w:t>(NT)</w:t>
            </w:r>
          </w:p>
        </w:tc>
      </w:tr>
      <w:tr w:rsidR="00BB28C2" w:rsidRPr="006E709F" w:rsidTr="00E118FA">
        <w:tc>
          <w:tcPr>
            <w:tcW w:w="565" w:type="pct"/>
            <w:tcBorders>
              <w:bottom w:val="single" w:sz="12" w:space="0" w:color="auto"/>
            </w:tcBorders>
            <w:shd w:val="clear" w:color="auto" w:fill="auto"/>
          </w:tcPr>
          <w:p w:rsidR="00BB28C2" w:rsidRPr="006E709F" w:rsidRDefault="00BB28C2" w:rsidP="00A801D0">
            <w:pPr>
              <w:pStyle w:val="Tabletext"/>
            </w:pPr>
            <w:r w:rsidRPr="006E709F">
              <w:t>15</w:t>
            </w:r>
          </w:p>
        </w:tc>
        <w:tc>
          <w:tcPr>
            <w:tcW w:w="4435" w:type="pct"/>
            <w:tcBorders>
              <w:bottom w:val="single" w:sz="12" w:space="0" w:color="auto"/>
            </w:tcBorders>
            <w:shd w:val="clear" w:color="auto" w:fill="auto"/>
          </w:tcPr>
          <w:p w:rsidR="00BB28C2" w:rsidRPr="006E709F" w:rsidRDefault="00BB28C2" w:rsidP="00A801D0">
            <w:pPr>
              <w:pStyle w:val="Tabletext"/>
            </w:pPr>
            <w:r w:rsidRPr="006E709F">
              <w:rPr>
                <w:i/>
              </w:rPr>
              <w:t>Guardianship of Infants Act</w:t>
            </w:r>
            <w:r w:rsidRPr="006E709F">
              <w:t xml:space="preserve"> (NT)</w:t>
            </w:r>
          </w:p>
        </w:tc>
      </w:tr>
    </w:tbl>
    <w:p w:rsidR="00BB28C2" w:rsidRPr="006E709F" w:rsidRDefault="00A801D0" w:rsidP="00065887">
      <w:pPr>
        <w:pStyle w:val="ActHead1"/>
        <w:pageBreakBefore/>
        <w:spacing w:before="120"/>
      </w:pPr>
      <w:bookmarkStart w:id="45" w:name="_Toc170547867"/>
      <w:r w:rsidRPr="000C4237">
        <w:rPr>
          <w:rStyle w:val="CharChapNo"/>
        </w:rPr>
        <w:lastRenderedPageBreak/>
        <w:t>Schedule</w:t>
      </w:r>
      <w:r w:rsidR="00DA13DE" w:rsidRPr="000C4237">
        <w:rPr>
          <w:rStyle w:val="CharChapNo"/>
        </w:rPr>
        <w:t> </w:t>
      </w:r>
      <w:r w:rsidR="00BB28C2" w:rsidRPr="000C4237">
        <w:rPr>
          <w:rStyle w:val="CharChapNo"/>
        </w:rPr>
        <w:t>8AD</w:t>
      </w:r>
      <w:r w:rsidRPr="006E709F">
        <w:t>—</w:t>
      </w:r>
      <w:r w:rsidR="00BB28C2" w:rsidRPr="000C4237">
        <w:rPr>
          <w:rStyle w:val="CharChapText"/>
        </w:rPr>
        <w:t>Prescribed State and Territory laws and provisions for paragraph</w:t>
      </w:r>
      <w:r w:rsidR="00DA13DE" w:rsidRPr="000C4237">
        <w:rPr>
          <w:rStyle w:val="CharChapText"/>
        </w:rPr>
        <w:t> </w:t>
      </w:r>
      <w:r w:rsidR="00BB28C2" w:rsidRPr="000C4237">
        <w:rPr>
          <w:rStyle w:val="CharChapText"/>
        </w:rPr>
        <w:t>601RAE(4</w:t>
      </w:r>
      <w:r w:rsidRPr="000C4237">
        <w:rPr>
          <w:rStyle w:val="CharChapText"/>
        </w:rPr>
        <w:t>)(</w:t>
      </w:r>
      <w:r w:rsidR="00BB28C2" w:rsidRPr="000C4237">
        <w:rPr>
          <w:rStyle w:val="CharChapText"/>
        </w:rPr>
        <w:t>b) of the Act</w:t>
      </w:r>
      <w:bookmarkEnd w:id="45"/>
    </w:p>
    <w:p w:rsidR="00BB28C2" w:rsidRPr="006E709F" w:rsidRDefault="00BB28C2" w:rsidP="00A801D0">
      <w:pPr>
        <w:pStyle w:val="notemargin"/>
      </w:pPr>
      <w:r w:rsidRPr="006E709F">
        <w:t>(subregulation</w:t>
      </w:r>
      <w:r w:rsidR="00DA13DE" w:rsidRPr="006E709F">
        <w:t> </w:t>
      </w:r>
      <w:r w:rsidRPr="006E709F">
        <w:t>5D.1.04(3))</w:t>
      </w:r>
    </w:p>
    <w:p w:rsidR="00BB28C2" w:rsidRPr="006E709F" w:rsidRDefault="00A801D0" w:rsidP="00BB28C2">
      <w:pPr>
        <w:pStyle w:val="Header"/>
      </w:pPr>
      <w:r w:rsidRPr="000C4237">
        <w:rPr>
          <w:rStyle w:val="CharPartNo"/>
        </w:rPr>
        <w:t xml:space="preserve"> </w:t>
      </w:r>
      <w:r w:rsidRPr="000C4237">
        <w:rPr>
          <w:rStyle w:val="CharPartText"/>
        </w:rPr>
        <w:t xml:space="preserve"> </w:t>
      </w:r>
    </w:p>
    <w:p w:rsidR="00A801D0" w:rsidRPr="006E709F"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64"/>
        <w:gridCol w:w="7565"/>
      </w:tblGrid>
      <w:tr w:rsidR="00BB28C2" w:rsidRPr="006E709F" w:rsidTr="00E118FA">
        <w:trPr>
          <w:tblHeader/>
        </w:trPr>
        <w:tc>
          <w:tcPr>
            <w:tcW w:w="565" w:type="pct"/>
            <w:tcBorders>
              <w:top w:val="single" w:sz="12" w:space="0" w:color="auto"/>
              <w:bottom w:val="single" w:sz="12" w:space="0" w:color="auto"/>
            </w:tcBorders>
            <w:shd w:val="clear" w:color="auto" w:fill="auto"/>
          </w:tcPr>
          <w:p w:rsidR="00BB28C2" w:rsidRPr="006E709F" w:rsidRDefault="00BB28C2" w:rsidP="007678F7">
            <w:pPr>
              <w:pStyle w:val="TableHeading"/>
            </w:pPr>
            <w:r w:rsidRPr="006E709F">
              <w:t>Item</w:t>
            </w:r>
          </w:p>
        </w:tc>
        <w:tc>
          <w:tcPr>
            <w:tcW w:w="4435" w:type="pct"/>
            <w:tcBorders>
              <w:top w:val="single" w:sz="12" w:space="0" w:color="auto"/>
              <w:bottom w:val="single" w:sz="12" w:space="0" w:color="auto"/>
            </w:tcBorders>
            <w:shd w:val="clear" w:color="auto" w:fill="auto"/>
          </w:tcPr>
          <w:p w:rsidR="00BB28C2" w:rsidRPr="006E709F" w:rsidRDefault="00BB28C2" w:rsidP="007678F7">
            <w:pPr>
              <w:pStyle w:val="TableHeading"/>
            </w:pPr>
            <w:r w:rsidRPr="006E709F">
              <w:t>State or Territory law and provisions</w:t>
            </w:r>
          </w:p>
        </w:tc>
      </w:tr>
      <w:tr w:rsidR="00BB28C2" w:rsidRPr="006E709F" w:rsidTr="00E118FA">
        <w:tc>
          <w:tcPr>
            <w:tcW w:w="565" w:type="pct"/>
            <w:tcBorders>
              <w:top w:val="single" w:sz="12" w:space="0" w:color="auto"/>
            </w:tcBorders>
            <w:shd w:val="clear" w:color="auto" w:fill="auto"/>
          </w:tcPr>
          <w:p w:rsidR="00BB28C2" w:rsidRPr="006E709F" w:rsidRDefault="00BB28C2" w:rsidP="005133DE">
            <w:pPr>
              <w:pStyle w:val="Tabletext"/>
            </w:pPr>
          </w:p>
        </w:tc>
        <w:tc>
          <w:tcPr>
            <w:tcW w:w="4435" w:type="pct"/>
            <w:tcBorders>
              <w:top w:val="single" w:sz="12" w:space="0" w:color="auto"/>
            </w:tcBorders>
            <w:shd w:val="clear" w:color="auto" w:fill="auto"/>
          </w:tcPr>
          <w:p w:rsidR="00BB28C2" w:rsidRPr="006E709F" w:rsidRDefault="00BB28C2" w:rsidP="00A801D0">
            <w:pPr>
              <w:pStyle w:val="Tabletext"/>
            </w:pPr>
            <w:r w:rsidRPr="006E709F">
              <w:t>NEW SOUTH WALES</w:t>
            </w:r>
          </w:p>
        </w:tc>
      </w:tr>
      <w:tr w:rsidR="00260E53" w:rsidRPr="006E709F" w:rsidTr="00E118FA">
        <w:tc>
          <w:tcPr>
            <w:tcW w:w="565" w:type="pct"/>
            <w:shd w:val="clear" w:color="auto" w:fill="auto"/>
          </w:tcPr>
          <w:p w:rsidR="00260E53" w:rsidRPr="006E709F" w:rsidRDefault="00260E53" w:rsidP="00A801D0">
            <w:pPr>
              <w:pStyle w:val="Tabletext"/>
            </w:pPr>
            <w:r w:rsidRPr="006E709F">
              <w:t>1A</w:t>
            </w:r>
          </w:p>
        </w:tc>
        <w:tc>
          <w:tcPr>
            <w:tcW w:w="4435" w:type="pct"/>
            <w:shd w:val="clear" w:color="auto" w:fill="auto"/>
          </w:tcPr>
          <w:p w:rsidR="00260E53" w:rsidRPr="006E709F" w:rsidRDefault="00260E53" w:rsidP="00A801D0">
            <w:pPr>
              <w:pStyle w:val="Tabletext"/>
            </w:pPr>
            <w:r w:rsidRPr="006E709F">
              <w:rPr>
                <w:i/>
              </w:rPr>
              <w:t xml:space="preserve">Legal Profession Act 2004 </w:t>
            </w:r>
            <w:r w:rsidRPr="006E709F">
              <w:t>and any regulations made under that Act</w:t>
            </w:r>
          </w:p>
        </w:tc>
      </w:tr>
      <w:tr w:rsidR="00BB28C2" w:rsidRPr="006E709F" w:rsidTr="00E118FA">
        <w:tc>
          <w:tcPr>
            <w:tcW w:w="565" w:type="pct"/>
            <w:shd w:val="clear" w:color="auto" w:fill="auto"/>
          </w:tcPr>
          <w:p w:rsidR="00BB28C2" w:rsidRPr="006E709F" w:rsidRDefault="00BB28C2" w:rsidP="00A801D0">
            <w:pPr>
              <w:pStyle w:val="Tabletext"/>
            </w:pPr>
            <w:r w:rsidRPr="006E709F">
              <w:t>1</w:t>
            </w:r>
          </w:p>
        </w:tc>
        <w:tc>
          <w:tcPr>
            <w:tcW w:w="4435" w:type="pct"/>
            <w:shd w:val="clear" w:color="auto" w:fill="auto"/>
          </w:tcPr>
          <w:p w:rsidR="00BB28C2" w:rsidRPr="006E709F" w:rsidRDefault="00BB28C2" w:rsidP="00A801D0">
            <w:pPr>
              <w:pStyle w:val="Tabletext"/>
            </w:pPr>
            <w:r w:rsidRPr="006E709F">
              <w:rPr>
                <w:i/>
              </w:rPr>
              <w:t xml:space="preserve">Probate and Administration Act 1898 </w:t>
            </w:r>
            <w:r w:rsidRPr="006E709F">
              <w:t>and any regulations made under that Act</w:t>
            </w:r>
          </w:p>
        </w:tc>
      </w:tr>
      <w:tr w:rsidR="00BB28C2" w:rsidRPr="006E709F" w:rsidTr="00E118FA">
        <w:tc>
          <w:tcPr>
            <w:tcW w:w="565" w:type="pct"/>
            <w:shd w:val="clear" w:color="auto" w:fill="auto"/>
          </w:tcPr>
          <w:p w:rsidR="00BB28C2" w:rsidRPr="006E709F" w:rsidRDefault="00BB28C2" w:rsidP="00A801D0">
            <w:pPr>
              <w:pStyle w:val="Tabletext"/>
            </w:pPr>
            <w:r w:rsidRPr="006E709F">
              <w:t>2</w:t>
            </w:r>
          </w:p>
        </w:tc>
        <w:tc>
          <w:tcPr>
            <w:tcW w:w="4435" w:type="pct"/>
            <w:shd w:val="clear" w:color="auto" w:fill="auto"/>
          </w:tcPr>
          <w:p w:rsidR="00BB28C2" w:rsidRPr="006E709F" w:rsidRDefault="00BB28C2" w:rsidP="00A801D0">
            <w:pPr>
              <w:pStyle w:val="Tabletext"/>
            </w:pPr>
            <w:r w:rsidRPr="006E709F">
              <w:rPr>
                <w:i/>
              </w:rPr>
              <w:t xml:space="preserve">NSW Trustee and Guardian Act 2009 </w:t>
            </w:r>
            <w:r w:rsidRPr="006E709F">
              <w:t>and any regulations made under that Act</w:t>
            </w:r>
          </w:p>
        </w:tc>
      </w:tr>
      <w:tr w:rsidR="00BB28C2" w:rsidRPr="006E709F" w:rsidTr="00E118FA">
        <w:tc>
          <w:tcPr>
            <w:tcW w:w="565" w:type="pct"/>
            <w:shd w:val="clear" w:color="auto" w:fill="auto"/>
          </w:tcPr>
          <w:p w:rsidR="00BB28C2" w:rsidRPr="006E709F" w:rsidRDefault="00BB28C2" w:rsidP="00A801D0">
            <w:pPr>
              <w:pStyle w:val="Tabletext"/>
            </w:pPr>
            <w:r w:rsidRPr="006E709F">
              <w:t>3</w:t>
            </w:r>
          </w:p>
        </w:tc>
        <w:tc>
          <w:tcPr>
            <w:tcW w:w="4435" w:type="pct"/>
            <w:shd w:val="clear" w:color="auto" w:fill="auto"/>
          </w:tcPr>
          <w:p w:rsidR="00BB28C2" w:rsidRPr="006E709F" w:rsidRDefault="00BB28C2" w:rsidP="00A801D0">
            <w:pPr>
              <w:pStyle w:val="Tabletext"/>
            </w:pPr>
            <w:r w:rsidRPr="006E709F">
              <w:rPr>
                <w:i/>
              </w:rPr>
              <w:t xml:space="preserve">Trustee Act 1925 </w:t>
            </w:r>
            <w:r w:rsidRPr="006E709F">
              <w:t>and any regulations made under that Act</w:t>
            </w:r>
          </w:p>
        </w:tc>
      </w:tr>
      <w:tr w:rsidR="00BB28C2" w:rsidRPr="006E709F" w:rsidTr="00E118FA">
        <w:tc>
          <w:tcPr>
            <w:tcW w:w="565" w:type="pct"/>
            <w:shd w:val="clear" w:color="auto" w:fill="auto"/>
          </w:tcPr>
          <w:p w:rsidR="00BB28C2" w:rsidRPr="006E709F" w:rsidRDefault="00BB28C2" w:rsidP="00A801D0">
            <w:pPr>
              <w:pStyle w:val="Tabletext"/>
            </w:pPr>
            <w:r w:rsidRPr="006E709F">
              <w:t>4</w:t>
            </w:r>
          </w:p>
        </w:tc>
        <w:tc>
          <w:tcPr>
            <w:tcW w:w="4435" w:type="pct"/>
            <w:shd w:val="clear" w:color="auto" w:fill="auto"/>
          </w:tcPr>
          <w:p w:rsidR="00BB28C2" w:rsidRPr="006E709F" w:rsidRDefault="00BB28C2" w:rsidP="00A801D0">
            <w:pPr>
              <w:pStyle w:val="Tabletext"/>
            </w:pPr>
            <w:r w:rsidRPr="006E709F">
              <w:rPr>
                <w:i/>
              </w:rPr>
              <w:t xml:space="preserve">Trustee Companies Act 1964 </w:t>
            </w:r>
            <w:r w:rsidRPr="006E709F">
              <w:t>and any regulations made under that Act</w:t>
            </w:r>
          </w:p>
        </w:tc>
      </w:tr>
      <w:tr w:rsidR="00BB28C2" w:rsidRPr="006E709F" w:rsidTr="00E118FA">
        <w:tc>
          <w:tcPr>
            <w:tcW w:w="565" w:type="pct"/>
            <w:shd w:val="clear" w:color="auto" w:fill="auto"/>
          </w:tcPr>
          <w:p w:rsidR="00BB28C2" w:rsidRPr="006E709F" w:rsidRDefault="00BB28C2" w:rsidP="005133DE">
            <w:pPr>
              <w:pStyle w:val="Tabletext"/>
            </w:pPr>
          </w:p>
        </w:tc>
        <w:tc>
          <w:tcPr>
            <w:tcW w:w="4435" w:type="pct"/>
            <w:shd w:val="clear" w:color="auto" w:fill="auto"/>
          </w:tcPr>
          <w:p w:rsidR="00BB28C2" w:rsidRPr="006E709F" w:rsidRDefault="00BB28C2" w:rsidP="00A801D0">
            <w:pPr>
              <w:pStyle w:val="Tabletext"/>
            </w:pPr>
            <w:r w:rsidRPr="006E709F">
              <w:t>VICTORIA</w:t>
            </w:r>
          </w:p>
        </w:tc>
      </w:tr>
      <w:tr w:rsidR="00BB28C2" w:rsidRPr="006E709F" w:rsidTr="00E118FA">
        <w:tc>
          <w:tcPr>
            <w:tcW w:w="565" w:type="pct"/>
            <w:shd w:val="clear" w:color="auto" w:fill="auto"/>
          </w:tcPr>
          <w:p w:rsidR="00BB28C2" w:rsidRPr="006E709F" w:rsidRDefault="00BB28C2" w:rsidP="00A801D0">
            <w:pPr>
              <w:pStyle w:val="Tabletext"/>
            </w:pPr>
            <w:r w:rsidRPr="006E709F">
              <w:t>5</w:t>
            </w:r>
          </w:p>
        </w:tc>
        <w:tc>
          <w:tcPr>
            <w:tcW w:w="4435" w:type="pct"/>
            <w:shd w:val="clear" w:color="auto" w:fill="auto"/>
          </w:tcPr>
          <w:p w:rsidR="00BB28C2" w:rsidRPr="006E709F" w:rsidRDefault="00BB28C2" w:rsidP="00A801D0">
            <w:pPr>
              <w:pStyle w:val="Tabletext"/>
            </w:pPr>
            <w:r w:rsidRPr="006E709F">
              <w:rPr>
                <w:b/>
              </w:rPr>
              <w:t xml:space="preserve">Administration and Probate Act 1958 </w:t>
            </w:r>
            <w:r w:rsidRPr="006E709F">
              <w:t>and any regulations made under that Act</w:t>
            </w:r>
          </w:p>
        </w:tc>
      </w:tr>
      <w:tr w:rsidR="00BB28C2" w:rsidRPr="006E709F" w:rsidTr="00E118FA">
        <w:tc>
          <w:tcPr>
            <w:tcW w:w="565" w:type="pct"/>
            <w:shd w:val="clear" w:color="auto" w:fill="auto"/>
          </w:tcPr>
          <w:p w:rsidR="00BB28C2" w:rsidRPr="006E709F" w:rsidRDefault="00BB28C2" w:rsidP="00A801D0">
            <w:pPr>
              <w:pStyle w:val="Tabletext"/>
            </w:pPr>
            <w:r w:rsidRPr="006E709F">
              <w:t>6</w:t>
            </w:r>
          </w:p>
        </w:tc>
        <w:tc>
          <w:tcPr>
            <w:tcW w:w="4435" w:type="pct"/>
            <w:shd w:val="clear" w:color="auto" w:fill="auto"/>
          </w:tcPr>
          <w:p w:rsidR="00BB28C2" w:rsidRPr="006E709F" w:rsidRDefault="00BB28C2" w:rsidP="00A801D0">
            <w:pPr>
              <w:pStyle w:val="Tabletext"/>
            </w:pPr>
            <w:r w:rsidRPr="006E709F">
              <w:rPr>
                <w:b/>
              </w:rPr>
              <w:t xml:space="preserve">Guardianship and Administration Act 1986 </w:t>
            </w:r>
            <w:r w:rsidRPr="006E709F">
              <w:t>and any regulations made under that Act</w:t>
            </w:r>
          </w:p>
        </w:tc>
      </w:tr>
      <w:tr w:rsidR="00BB28C2" w:rsidRPr="006E709F" w:rsidTr="00E118FA">
        <w:tc>
          <w:tcPr>
            <w:tcW w:w="565" w:type="pct"/>
            <w:shd w:val="clear" w:color="auto" w:fill="auto"/>
          </w:tcPr>
          <w:p w:rsidR="00BB28C2" w:rsidRPr="006E709F" w:rsidRDefault="00BB28C2" w:rsidP="00A801D0">
            <w:pPr>
              <w:pStyle w:val="Tabletext"/>
            </w:pPr>
            <w:r w:rsidRPr="006E709F">
              <w:t>7</w:t>
            </w:r>
          </w:p>
        </w:tc>
        <w:tc>
          <w:tcPr>
            <w:tcW w:w="4435" w:type="pct"/>
            <w:shd w:val="clear" w:color="auto" w:fill="auto"/>
          </w:tcPr>
          <w:p w:rsidR="00BB28C2" w:rsidRPr="006E709F" w:rsidRDefault="00BB28C2" w:rsidP="00A801D0">
            <w:pPr>
              <w:pStyle w:val="Tabletext"/>
            </w:pPr>
            <w:r w:rsidRPr="006E709F">
              <w:rPr>
                <w:b/>
              </w:rPr>
              <w:t xml:space="preserve">Instruments Act 1958 </w:t>
            </w:r>
            <w:r w:rsidRPr="006E709F">
              <w:t>and any regulations made under that Act</w:t>
            </w:r>
          </w:p>
        </w:tc>
      </w:tr>
      <w:tr w:rsidR="00260E53" w:rsidRPr="006E709F" w:rsidTr="00E118FA">
        <w:tc>
          <w:tcPr>
            <w:tcW w:w="565" w:type="pct"/>
            <w:shd w:val="clear" w:color="auto" w:fill="auto"/>
          </w:tcPr>
          <w:p w:rsidR="00260E53" w:rsidRPr="006E709F" w:rsidRDefault="00260E53" w:rsidP="00A801D0">
            <w:pPr>
              <w:pStyle w:val="Tabletext"/>
            </w:pPr>
            <w:r w:rsidRPr="006E709F">
              <w:t>7A</w:t>
            </w:r>
          </w:p>
        </w:tc>
        <w:tc>
          <w:tcPr>
            <w:tcW w:w="4435" w:type="pct"/>
            <w:shd w:val="clear" w:color="auto" w:fill="auto"/>
          </w:tcPr>
          <w:p w:rsidR="00260E53" w:rsidRPr="006E709F" w:rsidRDefault="00260E53" w:rsidP="00A801D0">
            <w:pPr>
              <w:pStyle w:val="Tabletext"/>
            </w:pPr>
            <w:r w:rsidRPr="006E709F">
              <w:rPr>
                <w:b/>
              </w:rPr>
              <w:t>Legal Profession Act 2004</w:t>
            </w:r>
            <w:r w:rsidRPr="006E709F">
              <w:t xml:space="preserve"> and any regulations made under that Act</w:t>
            </w:r>
          </w:p>
        </w:tc>
      </w:tr>
      <w:tr w:rsidR="00BB28C2" w:rsidRPr="006E709F" w:rsidTr="00E118FA">
        <w:tc>
          <w:tcPr>
            <w:tcW w:w="565" w:type="pct"/>
            <w:shd w:val="clear" w:color="auto" w:fill="auto"/>
          </w:tcPr>
          <w:p w:rsidR="00BB28C2" w:rsidRPr="006E709F" w:rsidRDefault="00BB28C2" w:rsidP="00A801D0">
            <w:pPr>
              <w:pStyle w:val="Tabletext"/>
            </w:pPr>
            <w:r w:rsidRPr="006E709F">
              <w:t>8</w:t>
            </w:r>
          </w:p>
        </w:tc>
        <w:tc>
          <w:tcPr>
            <w:tcW w:w="4435" w:type="pct"/>
            <w:shd w:val="clear" w:color="auto" w:fill="auto"/>
          </w:tcPr>
          <w:p w:rsidR="00BB28C2" w:rsidRPr="006E709F" w:rsidRDefault="00BB28C2" w:rsidP="00A801D0">
            <w:pPr>
              <w:pStyle w:val="Tabletext"/>
            </w:pPr>
            <w:r w:rsidRPr="006E709F">
              <w:rPr>
                <w:b/>
              </w:rPr>
              <w:t xml:space="preserve">Medical Treatment Act 1988 </w:t>
            </w:r>
            <w:r w:rsidRPr="006E709F">
              <w:t>and any regulations made under that Act</w:t>
            </w:r>
          </w:p>
        </w:tc>
      </w:tr>
      <w:tr w:rsidR="00BB28C2" w:rsidRPr="006E709F" w:rsidTr="00E118FA">
        <w:tc>
          <w:tcPr>
            <w:tcW w:w="565" w:type="pct"/>
            <w:shd w:val="clear" w:color="auto" w:fill="auto"/>
          </w:tcPr>
          <w:p w:rsidR="00BB28C2" w:rsidRPr="006E709F" w:rsidRDefault="00BB28C2" w:rsidP="00A801D0">
            <w:pPr>
              <w:pStyle w:val="Tabletext"/>
            </w:pPr>
            <w:r w:rsidRPr="006E709F">
              <w:t>9</w:t>
            </w:r>
          </w:p>
        </w:tc>
        <w:tc>
          <w:tcPr>
            <w:tcW w:w="4435" w:type="pct"/>
            <w:shd w:val="clear" w:color="auto" w:fill="auto"/>
          </w:tcPr>
          <w:p w:rsidR="00BB28C2" w:rsidRPr="006E709F" w:rsidRDefault="00BB28C2" w:rsidP="00A801D0">
            <w:pPr>
              <w:pStyle w:val="Tabletext"/>
            </w:pPr>
            <w:r w:rsidRPr="006E709F">
              <w:rPr>
                <w:b/>
              </w:rPr>
              <w:t xml:space="preserve">State Trustees (State Owned Company) Act 1994 </w:t>
            </w:r>
            <w:r w:rsidRPr="006E709F">
              <w:t>and any regulations made under that Act</w:t>
            </w:r>
          </w:p>
        </w:tc>
      </w:tr>
      <w:tr w:rsidR="00BB28C2" w:rsidRPr="006E709F" w:rsidTr="00E118FA">
        <w:tc>
          <w:tcPr>
            <w:tcW w:w="565" w:type="pct"/>
            <w:shd w:val="clear" w:color="auto" w:fill="auto"/>
          </w:tcPr>
          <w:p w:rsidR="00BB28C2" w:rsidRPr="006E709F" w:rsidRDefault="00BB28C2" w:rsidP="00A801D0">
            <w:pPr>
              <w:pStyle w:val="Tabletext"/>
            </w:pPr>
            <w:r w:rsidRPr="006E709F">
              <w:t>10</w:t>
            </w:r>
          </w:p>
        </w:tc>
        <w:tc>
          <w:tcPr>
            <w:tcW w:w="4435" w:type="pct"/>
            <w:shd w:val="clear" w:color="auto" w:fill="auto"/>
          </w:tcPr>
          <w:p w:rsidR="00BB28C2" w:rsidRPr="006E709F" w:rsidRDefault="00BB28C2" w:rsidP="00A801D0">
            <w:pPr>
              <w:pStyle w:val="Tabletext"/>
            </w:pPr>
            <w:r w:rsidRPr="006E709F">
              <w:rPr>
                <w:b/>
              </w:rPr>
              <w:t xml:space="preserve">Trustee Act 1958 </w:t>
            </w:r>
            <w:r w:rsidRPr="006E709F">
              <w:t>and any regulations made under that Act</w:t>
            </w:r>
          </w:p>
        </w:tc>
      </w:tr>
      <w:tr w:rsidR="00BB28C2" w:rsidRPr="006E709F" w:rsidTr="00E118FA">
        <w:tc>
          <w:tcPr>
            <w:tcW w:w="565" w:type="pct"/>
            <w:shd w:val="clear" w:color="auto" w:fill="auto"/>
          </w:tcPr>
          <w:p w:rsidR="00BB28C2" w:rsidRPr="006E709F" w:rsidRDefault="00BB28C2" w:rsidP="005133DE">
            <w:pPr>
              <w:pStyle w:val="Tabletext"/>
            </w:pPr>
          </w:p>
        </w:tc>
        <w:tc>
          <w:tcPr>
            <w:tcW w:w="4435" w:type="pct"/>
            <w:shd w:val="clear" w:color="auto" w:fill="auto"/>
          </w:tcPr>
          <w:p w:rsidR="00BB28C2" w:rsidRPr="006E709F" w:rsidRDefault="00BB28C2" w:rsidP="00A801D0">
            <w:pPr>
              <w:pStyle w:val="Tabletext"/>
            </w:pPr>
            <w:r w:rsidRPr="006E709F">
              <w:t>QUEENSLAND</w:t>
            </w:r>
          </w:p>
        </w:tc>
      </w:tr>
      <w:tr w:rsidR="00BB28C2" w:rsidRPr="006E709F" w:rsidTr="00E118FA">
        <w:tc>
          <w:tcPr>
            <w:tcW w:w="565" w:type="pct"/>
            <w:shd w:val="clear" w:color="auto" w:fill="auto"/>
          </w:tcPr>
          <w:p w:rsidR="00BB28C2" w:rsidRPr="006E709F" w:rsidRDefault="00BB28C2" w:rsidP="00A801D0">
            <w:pPr>
              <w:pStyle w:val="Tabletext"/>
            </w:pPr>
            <w:r w:rsidRPr="006E709F">
              <w:t>11</w:t>
            </w:r>
          </w:p>
        </w:tc>
        <w:tc>
          <w:tcPr>
            <w:tcW w:w="4435" w:type="pct"/>
            <w:shd w:val="clear" w:color="auto" w:fill="auto"/>
          </w:tcPr>
          <w:p w:rsidR="00BB28C2" w:rsidRPr="006E709F" w:rsidRDefault="00BB28C2" w:rsidP="00A801D0">
            <w:pPr>
              <w:pStyle w:val="Tabletext"/>
            </w:pPr>
            <w:r w:rsidRPr="006E709F">
              <w:rPr>
                <w:i/>
              </w:rPr>
              <w:t xml:space="preserve">Guardianship and Administration Act 2000 </w:t>
            </w:r>
            <w:r w:rsidRPr="006E709F">
              <w:t>and any regulations made under that Act</w:t>
            </w:r>
          </w:p>
        </w:tc>
      </w:tr>
      <w:tr w:rsidR="00BB28C2" w:rsidRPr="006E709F" w:rsidTr="00E118FA">
        <w:tc>
          <w:tcPr>
            <w:tcW w:w="565" w:type="pct"/>
            <w:shd w:val="clear" w:color="auto" w:fill="auto"/>
          </w:tcPr>
          <w:p w:rsidR="00BB28C2" w:rsidRPr="006E709F" w:rsidRDefault="00BB28C2" w:rsidP="00A801D0">
            <w:pPr>
              <w:pStyle w:val="Tabletext"/>
            </w:pPr>
            <w:r w:rsidRPr="006E709F">
              <w:t>12</w:t>
            </w:r>
          </w:p>
        </w:tc>
        <w:tc>
          <w:tcPr>
            <w:tcW w:w="4435" w:type="pct"/>
            <w:shd w:val="clear" w:color="auto" w:fill="auto"/>
          </w:tcPr>
          <w:p w:rsidR="00BB28C2" w:rsidRPr="006E709F" w:rsidRDefault="00BB28C2" w:rsidP="00A801D0">
            <w:pPr>
              <w:pStyle w:val="Tabletext"/>
            </w:pPr>
            <w:r w:rsidRPr="006E709F">
              <w:rPr>
                <w:i/>
              </w:rPr>
              <w:t xml:space="preserve">Legal Profession Act 2007 </w:t>
            </w:r>
            <w:r w:rsidRPr="006E709F">
              <w:t>and any regulations made under that Act</w:t>
            </w:r>
          </w:p>
        </w:tc>
      </w:tr>
      <w:tr w:rsidR="00BB28C2" w:rsidRPr="006E709F" w:rsidTr="00E118FA">
        <w:tc>
          <w:tcPr>
            <w:tcW w:w="565" w:type="pct"/>
            <w:shd w:val="clear" w:color="auto" w:fill="auto"/>
          </w:tcPr>
          <w:p w:rsidR="00BB28C2" w:rsidRPr="006E709F" w:rsidRDefault="00BB28C2" w:rsidP="00A801D0">
            <w:pPr>
              <w:pStyle w:val="Tabletext"/>
            </w:pPr>
            <w:r w:rsidRPr="006E709F">
              <w:t>13</w:t>
            </w:r>
          </w:p>
        </w:tc>
        <w:tc>
          <w:tcPr>
            <w:tcW w:w="4435" w:type="pct"/>
            <w:shd w:val="clear" w:color="auto" w:fill="auto"/>
          </w:tcPr>
          <w:p w:rsidR="00BB28C2" w:rsidRPr="006E709F" w:rsidRDefault="00BB28C2" w:rsidP="00A801D0">
            <w:pPr>
              <w:pStyle w:val="Tabletext"/>
            </w:pPr>
            <w:r w:rsidRPr="006E709F">
              <w:rPr>
                <w:i/>
              </w:rPr>
              <w:t xml:space="preserve">Public Trustee Act 1978 </w:t>
            </w:r>
            <w:r w:rsidRPr="006E709F">
              <w:t>and any regulations made under that Act</w:t>
            </w:r>
          </w:p>
        </w:tc>
      </w:tr>
      <w:tr w:rsidR="00BB28C2" w:rsidRPr="006E709F" w:rsidTr="00E118FA">
        <w:tc>
          <w:tcPr>
            <w:tcW w:w="565" w:type="pct"/>
            <w:shd w:val="clear" w:color="auto" w:fill="auto"/>
          </w:tcPr>
          <w:p w:rsidR="00BB28C2" w:rsidRPr="006E709F" w:rsidRDefault="00BB28C2" w:rsidP="00A801D0">
            <w:pPr>
              <w:pStyle w:val="Tabletext"/>
            </w:pPr>
            <w:r w:rsidRPr="006E709F">
              <w:t>14</w:t>
            </w:r>
          </w:p>
        </w:tc>
        <w:tc>
          <w:tcPr>
            <w:tcW w:w="4435" w:type="pct"/>
            <w:shd w:val="clear" w:color="auto" w:fill="auto"/>
          </w:tcPr>
          <w:p w:rsidR="00BB28C2" w:rsidRPr="006E709F" w:rsidRDefault="00BB28C2" w:rsidP="00A801D0">
            <w:pPr>
              <w:pStyle w:val="Tabletext"/>
            </w:pPr>
            <w:r w:rsidRPr="006E709F">
              <w:rPr>
                <w:i/>
              </w:rPr>
              <w:t xml:space="preserve">Succession Act 1981 </w:t>
            </w:r>
            <w:r w:rsidRPr="006E709F">
              <w:t>and any regulations made under that Act</w:t>
            </w:r>
          </w:p>
        </w:tc>
      </w:tr>
      <w:tr w:rsidR="00BB28C2" w:rsidRPr="006E709F" w:rsidTr="00E118FA">
        <w:tc>
          <w:tcPr>
            <w:tcW w:w="565" w:type="pct"/>
            <w:tcBorders>
              <w:bottom w:val="single" w:sz="4" w:space="0" w:color="auto"/>
            </w:tcBorders>
            <w:shd w:val="clear" w:color="auto" w:fill="auto"/>
          </w:tcPr>
          <w:p w:rsidR="00BB28C2" w:rsidRPr="006E709F" w:rsidRDefault="00BB28C2" w:rsidP="00A801D0">
            <w:pPr>
              <w:pStyle w:val="Tabletext"/>
            </w:pPr>
            <w:r w:rsidRPr="006E709F">
              <w:t>15</w:t>
            </w:r>
          </w:p>
        </w:tc>
        <w:tc>
          <w:tcPr>
            <w:tcW w:w="4435" w:type="pct"/>
            <w:tcBorders>
              <w:bottom w:val="single" w:sz="4" w:space="0" w:color="auto"/>
            </w:tcBorders>
            <w:shd w:val="clear" w:color="auto" w:fill="auto"/>
          </w:tcPr>
          <w:p w:rsidR="00BB28C2" w:rsidRPr="006E709F" w:rsidRDefault="00BB28C2" w:rsidP="00A801D0">
            <w:pPr>
              <w:pStyle w:val="Tabletext"/>
            </w:pPr>
            <w:r w:rsidRPr="006E709F">
              <w:rPr>
                <w:i/>
              </w:rPr>
              <w:t xml:space="preserve">Trustee Companies Act 1968 </w:t>
            </w:r>
            <w:r w:rsidRPr="006E709F">
              <w:t>and any regulations made under that Act</w:t>
            </w:r>
          </w:p>
        </w:tc>
      </w:tr>
      <w:tr w:rsidR="00BB28C2" w:rsidRPr="006E709F" w:rsidTr="00E118FA">
        <w:tc>
          <w:tcPr>
            <w:tcW w:w="565" w:type="pct"/>
            <w:tcBorders>
              <w:bottom w:val="single" w:sz="4" w:space="0" w:color="auto"/>
            </w:tcBorders>
            <w:shd w:val="clear" w:color="auto" w:fill="auto"/>
          </w:tcPr>
          <w:p w:rsidR="00BB28C2" w:rsidRPr="006E709F" w:rsidRDefault="00BB28C2" w:rsidP="00A801D0">
            <w:pPr>
              <w:pStyle w:val="Tabletext"/>
            </w:pPr>
            <w:r w:rsidRPr="006E709F">
              <w:t>16</w:t>
            </w:r>
          </w:p>
        </w:tc>
        <w:tc>
          <w:tcPr>
            <w:tcW w:w="4435" w:type="pct"/>
            <w:tcBorders>
              <w:bottom w:val="single" w:sz="4" w:space="0" w:color="auto"/>
            </w:tcBorders>
            <w:shd w:val="clear" w:color="auto" w:fill="auto"/>
          </w:tcPr>
          <w:p w:rsidR="00BB28C2" w:rsidRPr="006E709F" w:rsidRDefault="00BB28C2" w:rsidP="00A801D0">
            <w:pPr>
              <w:pStyle w:val="Tabletext"/>
            </w:pPr>
            <w:r w:rsidRPr="006E709F">
              <w:rPr>
                <w:i/>
              </w:rPr>
              <w:t xml:space="preserve">Trusts Act 1973 </w:t>
            </w:r>
            <w:r w:rsidRPr="006E709F">
              <w:t>and any regulations made under that Act</w:t>
            </w:r>
          </w:p>
        </w:tc>
      </w:tr>
      <w:tr w:rsidR="00BB28C2" w:rsidRPr="006E709F" w:rsidTr="00E118FA">
        <w:tc>
          <w:tcPr>
            <w:tcW w:w="565" w:type="pct"/>
            <w:tcBorders>
              <w:top w:val="single" w:sz="4" w:space="0" w:color="auto"/>
            </w:tcBorders>
            <w:shd w:val="clear" w:color="auto" w:fill="auto"/>
          </w:tcPr>
          <w:p w:rsidR="00BB28C2" w:rsidRPr="006E709F" w:rsidRDefault="00BB28C2" w:rsidP="00A801D0">
            <w:pPr>
              <w:pStyle w:val="Tabletext"/>
            </w:pPr>
            <w:r w:rsidRPr="006E709F">
              <w:t>17</w:t>
            </w:r>
          </w:p>
        </w:tc>
        <w:tc>
          <w:tcPr>
            <w:tcW w:w="4435" w:type="pct"/>
            <w:tcBorders>
              <w:top w:val="single" w:sz="4" w:space="0" w:color="auto"/>
            </w:tcBorders>
            <w:shd w:val="clear" w:color="auto" w:fill="auto"/>
          </w:tcPr>
          <w:p w:rsidR="00BB28C2" w:rsidRPr="006E709F" w:rsidRDefault="00BB28C2" w:rsidP="00A801D0">
            <w:pPr>
              <w:pStyle w:val="Tabletext"/>
            </w:pPr>
            <w:r w:rsidRPr="006E709F">
              <w:rPr>
                <w:i/>
              </w:rPr>
              <w:t>Uniform Civil Procedure Rules</w:t>
            </w:r>
            <w:r w:rsidR="00DA13DE" w:rsidRPr="006E709F">
              <w:rPr>
                <w:i/>
              </w:rPr>
              <w:t> </w:t>
            </w:r>
            <w:r w:rsidRPr="006E709F">
              <w:rPr>
                <w:i/>
              </w:rPr>
              <w:t>1999</w:t>
            </w:r>
            <w:r w:rsidRPr="006E709F">
              <w:t xml:space="preserve">, </w:t>
            </w:r>
            <w:r w:rsidR="00A801D0" w:rsidRPr="006E709F">
              <w:t>Chapter</w:t>
            </w:r>
            <w:r w:rsidR="00DA13DE" w:rsidRPr="006E709F">
              <w:t> </w:t>
            </w:r>
            <w:r w:rsidRPr="006E709F">
              <w:t>15 and rule</w:t>
            </w:r>
            <w:r w:rsidR="00DA13DE" w:rsidRPr="006E709F">
              <w:t> </w:t>
            </w:r>
            <w:r w:rsidRPr="006E709F">
              <w:t>94</w:t>
            </w:r>
          </w:p>
        </w:tc>
      </w:tr>
      <w:tr w:rsidR="00BB28C2" w:rsidRPr="006E709F" w:rsidTr="00E118FA">
        <w:tc>
          <w:tcPr>
            <w:tcW w:w="565" w:type="pct"/>
            <w:shd w:val="clear" w:color="auto" w:fill="auto"/>
          </w:tcPr>
          <w:p w:rsidR="00BB28C2" w:rsidRPr="006E709F" w:rsidRDefault="00BB28C2" w:rsidP="005133DE">
            <w:pPr>
              <w:pStyle w:val="Tabletext"/>
            </w:pPr>
          </w:p>
        </w:tc>
        <w:tc>
          <w:tcPr>
            <w:tcW w:w="4435" w:type="pct"/>
            <w:shd w:val="clear" w:color="auto" w:fill="auto"/>
          </w:tcPr>
          <w:p w:rsidR="00BB28C2" w:rsidRPr="006E709F" w:rsidRDefault="00BB28C2" w:rsidP="00A801D0">
            <w:pPr>
              <w:pStyle w:val="Tabletext"/>
            </w:pPr>
            <w:r w:rsidRPr="006E709F">
              <w:t>WESTERN AUSTRALIA</w:t>
            </w:r>
          </w:p>
        </w:tc>
      </w:tr>
      <w:tr w:rsidR="00BB28C2" w:rsidRPr="006E709F" w:rsidTr="00E118FA">
        <w:tc>
          <w:tcPr>
            <w:tcW w:w="565" w:type="pct"/>
            <w:shd w:val="clear" w:color="auto" w:fill="auto"/>
          </w:tcPr>
          <w:p w:rsidR="00BB28C2" w:rsidRPr="006E709F" w:rsidRDefault="00BB28C2" w:rsidP="00A801D0">
            <w:pPr>
              <w:pStyle w:val="Tabletext"/>
            </w:pPr>
            <w:r w:rsidRPr="006E709F">
              <w:t>18</w:t>
            </w:r>
          </w:p>
        </w:tc>
        <w:tc>
          <w:tcPr>
            <w:tcW w:w="4435" w:type="pct"/>
            <w:shd w:val="clear" w:color="auto" w:fill="auto"/>
          </w:tcPr>
          <w:p w:rsidR="00BB28C2" w:rsidRPr="006E709F" w:rsidRDefault="00BB28C2" w:rsidP="00A801D0">
            <w:pPr>
              <w:pStyle w:val="Tabletext"/>
            </w:pPr>
            <w:r w:rsidRPr="006E709F">
              <w:rPr>
                <w:i/>
              </w:rPr>
              <w:t xml:space="preserve">Guardianship and Administration Act 1990 </w:t>
            </w:r>
            <w:r w:rsidRPr="006E709F">
              <w:t>and any regulations made under that Act</w:t>
            </w:r>
          </w:p>
        </w:tc>
      </w:tr>
      <w:tr w:rsidR="00260E53" w:rsidRPr="006E709F" w:rsidTr="00E118FA">
        <w:tc>
          <w:tcPr>
            <w:tcW w:w="565" w:type="pct"/>
            <w:shd w:val="clear" w:color="auto" w:fill="auto"/>
          </w:tcPr>
          <w:p w:rsidR="00260E53" w:rsidRPr="006E709F" w:rsidRDefault="00260E53" w:rsidP="00A801D0">
            <w:pPr>
              <w:pStyle w:val="Tabletext"/>
            </w:pPr>
            <w:r w:rsidRPr="006E709F">
              <w:t>18A</w:t>
            </w:r>
          </w:p>
        </w:tc>
        <w:tc>
          <w:tcPr>
            <w:tcW w:w="4435" w:type="pct"/>
            <w:shd w:val="clear" w:color="auto" w:fill="auto"/>
          </w:tcPr>
          <w:p w:rsidR="00260E53" w:rsidRPr="006E709F" w:rsidRDefault="00260E53" w:rsidP="00A801D0">
            <w:pPr>
              <w:pStyle w:val="Tabletext"/>
            </w:pPr>
            <w:r w:rsidRPr="006E709F">
              <w:rPr>
                <w:i/>
              </w:rPr>
              <w:t xml:space="preserve">Legal Profession Act 2008 </w:t>
            </w:r>
            <w:r w:rsidRPr="006E709F">
              <w:t>and any regulations made under that Act</w:t>
            </w:r>
          </w:p>
        </w:tc>
      </w:tr>
      <w:tr w:rsidR="00260E53" w:rsidRPr="006E709F" w:rsidTr="00E118FA">
        <w:tc>
          <w:tcPr>
            <w:tcW w:w="565" w:type="pct"/>
            <w:shd w:val="clear" w:color="auto" w:fill="auto"/>
          </w:tcPr>
          <w:p w:rsidR="00260E53" w:rsidRPr="006E709F" w:rsidRDefault="00260E53" w:rsidP="00A801D0">
            <w:pPr>
              <w:pStyle w:val="Tabletext"/>
            </w:pPr>
            <w:r w:rsidRPr="006E709F">
              <w:t>18B</w:t>
            </w:r>
          </w:p>
        </w:tc>
        <w:tc>
          <w:tcPr>
            <w:tcW w:w="4435" w:type="pct"/>
            <w:shd w:val="clear" w:color="auto" w:fill="auto"/>
          </w:tcPr>
          <w:p w:rsidR="00260E53" w:rsidRPr="006E709F" w:rsidRDefault="00260E53" w:rsidP="00A801D0">
            <w:pPr>
              <w:pStyle w:val="Tabletext"/>
            </w:pPr>
            <w:r w:rsidRPr="006E709F">
              <w:rPr>
                <w:i/>
              </w:rPr>
              <w:t xml:space="preserve">Public Trustee Act 1941 </w:t>
            </w:r>
            <w:r w:rsidRPr="006E709F">
              <w:t>and any regulations made under that Act</w:t>
            </w:r>
          </w:p>
        </w:tc>
      </w:tr>
      <w:tr w:rsidR="00BB28C2" w:rsidRPr="006E709F" w:rsidTr="00E118FA">
        <w:tc>
          <w:tcPr>
            <w:tcW w:w="565" w:type="pct"/>
            <w:shd w:val="clear" w:color="auto" w:fill="auto"/>
          </w:tcPr>
          <w:p w:rsidR="00BB28C2" w:rsidRPr="006E709F" w:rsidRDefault="00BB28C2" w:rsidP="00A801D0">
            <w:pPr>
              <w:pStyle w:val="Tabletext"/>
            </w:pPr>
            <w:r w:rsidRPr="006E709F">
              <w:t>19</w:t>
            </w:r>
          </w:p>
        </w:tc>
        <w:tc>
          <w:tcPr>
            <w:tcW w:w="4435" w:type="pct"/>
            <w:shd w:val="clear" w:color="auto" w:fill="auto"/>
          </w:tcPr>
          <w:p w:rsidR="00BB28C2" w:rsidRPr="006E709F" w:rsidRDefault="00BB28C2" w:rsidP="00A801D0">
            <w:pPr>
              <w:pStyle w:val="Tabletext"/>
            </w:pPr>
            <w:r w:rsidRPr="006E709F">
              <w:rPr>
                <w:i/>
              </w:rPr>
              <w:t xml:space="preserve">Trustees Act 1962 </w:t>
            </w:r>
            <w:r w:rsidRPr="006E709F">
              <w:t>and any regulations made under that Act</w:t>
            </w:r>
          </w:p>
        </w:tc>
      </w:tr>
      <w:tr w:rsidR="00BB28C2" w:rsidRPr="006E709F" w:rsidTr="00E118FA">
        <w:tc>
          <w:tcPr>
            <w:tcW w:w="565" w:type="pct"/>
            <w:shd w:val="clear" w:color="auto" w:fill="auto"/>
          </w:tcPr>
          <w:p w:rsidR="00BB28C2" w:rsidRPr="006E709F" w:rsidRDefault="00BB28C2" w:rsidP="005133DE">
            <w:pPr>
              <w:pStyle w:val="Tabletext"/>
            </w:pPr>
          </w:p>
        </w:tc>
        <w:tc>
          <w:tcPr>
            <w:tcW w:w="4435" w:type="pct"/>
            <w:shd w:val="clear" w:color="auto" w:fill="auto"/>
          </w:tcPr>
          <w:p w:rsidR="00BB28C2" w:rsidRPr="006E709F" w:rsidRDefault="00BB28C2" w:rsidP="00A801D0">
            <w:pPr>
              <w:pStyle w:val="Tabletext"/>
            </w:pPr>
            <w:r w:rsidRPr="006E709F">
              <w:t>SOUTH AUSTRALIA</w:t>
            </w:r>
          </w:p>
        </w:tc>
      </w:tr>
      <w:tr w:rsidR="00BB28C2" w:rsidRPr="006E709F" w:rsidTr="00E118FA">
        <w:tc>
          <w:tcPr>
            <w:tcW w:w="565" w:type="pct"/>
            <w:shd w:val="clear" w:color="auto" w:fill="auto"/>
          </w:tcPr>
          <w:p w:rsidR="00BB28C2" w:rsidRPr="006E709F" w:rsidRDefault="00BB28C2" w:rsidP="00A801D0">
            <w:pPr>
              <w:pStyle w:val="Tabletext"/>
            </w:pPr>
            <w:r w:rsidRPr="006E709F">
              <w:t>20</w:t>
            </w:r>
          </w:p>
        </w:tc>
        <w:tc>
          <w:tcPr>
            <w:tcW w:w="4435" w:type="pct"/>
            <w:shd w:val="clear" w:color="auto" w:fill="auto"/>
          </w:tcPr>
          <w:p w:rsidR="00BB28C2" w:rsidRPr="006E709F" w:rsidRDefault="00BB28C2" w:rsidP="00A801D0">
            <w:pPr>
              <w:pStyle w:val="Tabletext"/>
            </w:pPr>
            <w:r w:rsidRPr="006E709F">
              <w:rPr>
                <w:i/>
              </w:rPr>
              <w:t xml:space="preserve">Administration and Probate Act 1919 </w:t>
            </w:r>
            <w:r w:rsidRPr="006E709F">
              <w:t>and any regulations made under that Act</w:t>
            </w:r>
          </w:p>
        </w:tc>
      </w:tr>
      <w:tr w:rsidR="00260E53" w:rsidRPr="006E709F" w:rsidDel="00260E53" w:rsidTr="00E118FA">
        <w:tc>
          <w:tcPr>
            <w:tcW w:w="565" w:type="pct"/>
            <w:shd w:val="clear" w:color="auto" w:fill="auto"/>
          </w:tcPr>
          <w:p w:rsidR="00260E53" w:rsidRPr="006E709F" w:rsidDel="00260E53" w:rsidRDefault="00260E53" w:rsidP="00A801D0">
            <w:pPr>
              <w:pStyle w:val="Tabletext"/>
            </w:pPr>
            <w:r w:rsidRPr="006E709F">
              <w:t>21</w:t>
            </w:r>
          </w:p>
        </w:tc>
        <w:tc>
          <w:tcPr>
            <w:tcW w:w="4435" w:type="pct"/>
            <w:shd w:val="clear" w:color="auto" w:fill="auto"/>
          </w:tcPr>
          <w:p w:rsidR="00260E53" w:rsidRPr="006E709F" w:rsidDel="00260E53" w:rsidRDefault="00260E53" w:rsidP="00A801D0">
            <w:pPr>
              <w:pStyle w:val="Tabletext"/>
            </w:pPr>
            <w:r w:rsidRPr="006E709F">
              <w:rPr>
                <w:i/>
              </w:rPr>
              <w:t xml:space="preserve">Aged and Infirm Persons’ Property Act 1940 </w:t>
            </w:r>
            <w:r w:rsidRPr="006E709F">
              <w:t>and any regulations made under that Act</w:t>
            </w:r>
          </w:p>
        </w:tc>
      </w:tr>
      <w:tr w:rsidR="00BB28C2" w:rsidRPr="006E709F" w:rsidTr="00E118FA">
        <w:tc>
          <w:tcPr>
            <w:tcW w:w="565" w:type="pct"/>
            <w:shd w:val="clear" w:color="auto" w:fill="auto"/>
          </w:tcPr>
          <w:p w:rsidR="00BB28C2" w:rsidRPr="006E709F" w:rsidRDefault="00BB28C2" w:rsidP="00A801D0">
            <w:pPr>
              <w:pStyle w:val="Tabletext"/>
            </w:pPr>
            <w:r w:rsidRPr="006E709F">
              <w:t>22</w:t>
            </w:r>
          </w:p>
        </w:tc>
        <w:tc>
          <w:tcPr>
            <w:tcW w:w="4435" w:type="pct"/>
            <w:shd w:val="clear" w:color="auto" w:fill="auto"/>
          </w:tcPr>
          <w:p w:rsidR="00BB28C2" w:rsidRPr="006E709F" w:rsidRDefault="00BB28C2" w:rsidP="00A801D0">
            <w:pPr>
              <w:pStyle w:val="Tabletext"/>
            </w:pPr>
            <w:r w:rsidRPr="006E709F">
              <w:rPr>
                <w:i/>
              </w:rPr>
              <w:t xml:space="preserve">Guardianship and Administration Act 1993 </w:t>
            </w:r>
            <w:r w:rsidRPr="006E709F">
              <w:t>and any regulations made under that Act</w:t>
            </w:r>
          </w:p>
        </w:tc>
      </w:tr>
      <w:tr w:rsidR="00260E53" w:rsidRPr="006E709F" w:rsidDel="00260E53" w:rsidTr="00E118FA">
        <w:tc>
          <w:tcPr>
            <w:tcW w:w="565" w:type="pct"/>
            <w:shd w:val="clear" w:color="auto" w:fill="auto"/>
          </w:tcPr>
          <w:p w:rsidR="00260E53" w:rsidRPr="006E709F" w:rsidDel="00260E53" w:rsidRDefault="00260E53" w:rsidP="00A801D0">
            <w:pPr>
              <w:pStyle w:val="Tabletext"/>
            </w:pPr>
            <w:r w:rsidRPr="006E709F">
              <w:lastRenderedPageBreak/>
              <w:t>23</w:t>
            </w:r>
          </w:p>
        </w:tc>
        <w:tc>
          <w:tcPr>
            <w:tcW w:w="4435" w:type="pct"/>
            <w:shd w:val="clear" w:color="auto" w:fill="auto"/>
          </w:tcPr>
          <w:p w:rsidR="00260E53" w:rsidRPr="006E709F" w:rsidDel="00260E53" w:rsidRDefault="00260E53" w:rsidP="00A801D0">
            <w:pPr>
              <w:pStyle w:val="Tabletext"/>
            </w:pPr>
            <w:r w:rsidRPr="006E709F">
              <w:rPr>
                <w:i/>
              </w:rPr>
              <w:t>Legal Practitioners Act 1981</w:t>
            </w:r>
            <w:r w:rsidRPr="006E709F">
              <w:t xml:space="preserve"> and any regulations made under that Act</w:t>
            </w:r>
          </w:p>
        </w:tc>
      </w:tr>
      <w:tr w:rsidR="00BB28C2" w:rsidRPr="006E709F" w:rsidTr="00E118FA">
        <w:tc>
          <w:tcPr>
            <w:tcW w:w="565" w:type="pct"/>
            <w:shd w:val="clear" w:color="auto" w:fill="auto"/>
          </w:tcPr>
          <w:p w:rsidR="00BB28C2" w:rsidRPr="006E709F" w:rsidRDefault="00BB28C2" w:rsidP="00A801D0">
            <w:pPr>
              <w:pStyle w:val="Tabletext"/>
            </w:pPr>
            <w:r w:rsidRPr="006E709F">
              <w:t>24</w:t>
            </w:r>
          </w:p>
        </w:tc>
        <w:tc>
          <w:tcPr>
            <w:tcW w:w="4435" w:type="pct"/>
            <w:shd w:val="clear" w:color="auto" w:fill="auto"/>
          </w:tcPr>
          <w:p w:rsidR="00BB28C2" w:rsidRPr="006E709F" w:rsidRDefault="00BB28C2" w:rsidP="00A801D0">
            <w:pPr>
              <w:pStyle w:val="Tabletext"/>
            </w:pPr>
            <w:r w:rsidRPr="006E709F">
              <w:rPr>
                <w:i/>
              </w:rPr>
              <w:t xml:space="preserve">Public Trustee Act 1995 </w:t>
            </w:r>
            <w:r w:rsidRPr="006E709F">
              <w:t>and any regulations made under that Act</w:t>
            </w:r>
          </w:p>
        </w:tc>
      </w:tr>
      <w:tr w:rsidR="00BB28C2" w:rsidRPr="006E709F" w:rsidTr="00E118FA">
        <w:tc>
          <w:tcPr>
            <w:tcW w:w="565" w:type="pct"/>
            <w:shd w:val="clear" w:color="auto" w:fill="auto"/>
          </w:tcPr>
          <w:p w:rsidR="00BB28C2" w:rsidRPr="006E709F" w:rsidRDefault="00BB28C2" w:rsidP="00A801D0">
            <w:pPr>
              <w:pStyle w:val="Tabletext"/>
            </w:pPr>
            <w:r w:rsidRPr="006E709F">
              <w:t>25</w:t>
            </w:r>
          </w:p>
        </w:tc>
        <w:tc>
          <w:tcPr>
            <w:tcW w:w="4435" w:type="pct"/>
            <w:shd w:val="clear" w:color="auto" w:fill="auto"/>
          </w:tcPr>
          <w:p w:rsidR="00BB28C2" w:rsidRPr="006E709F" w:rsidRDefault="00BB28C2" w:rsidP="00A801D0">
            <w:pPr>
              <w:pStyle w:val="Tabletext"/>
            </w:pPr>
            <w:r w:rsidRPr="006E709F">
              <w:rPr>
                <w:i/>
              </w:rPr>
              <w:t xml:space="preserve">Trustee Act 1936 </w:t>
            </w:r>
            <w:r w:rsidRPr="006E709F">
              <w:t>and any regulations made under that Act</w:t>
            </w:r>
          </w:p>
        </w:tc>
      </w:tr>
      <w:tr w:rsidR="00260E53" w:rsidRPr="006E709F" w:rsidTr="00E118FA">
        <w:tc>
          <w:tcPr>
            <w:tcW w:w="565" w:type="pct"/>
            <w:shd w:val="clear" w:color="auto" w:fill="auto"/>
          </w:tcPr>
          <w:p w:rsidR="00260E53" w:rsidRPr="006E709F" w:rsidRDefault="00260E53" w:rsidP="00A801D0">
            <w:pPr>
              <w:pStyle w:val="Tabletext"/>
            </w:pPr>
            <w:r w:rsidRPr="006E709F">
              <w:t>25A</w:t>
            </w:r>
          </w:p>
        </w:tc>
        <w:tc>
          <w:tcPr>
            <w:tcW w:w="4435" w:type="pct"/>
            <w:shd w:val="clear" w:color="auto" w:fill="auto"/>
          </w:tcPr>
          <w:p w:rsidR="00260E53" w:rsidRPr="006E709F" w:rsidRDefault="00260E53" w:rsidP="00A801D0">
            <w:pPr>
              <w:pStyle w:val="Tabletext"/>
            </w:pPr>
            <w:r w:rsidRPr="006E709F">
              <w:rPr>
                <w:i/>
              </w:rPr>
              <w:t xml:space="preserve">Trustee Companies Act 1988 </w:t>
            </w:r>
            <w:r w:rsidRPr="006E709F">
              <w:t>and any regulations made under that Act</w:t>
            </w:r>
          </w:p>
        </w:tc>
      </w:tr>
      <w:tr w:rsidR="00BB28C2" w:rsidRPr="006E709F" w:rsidTr="00E118FA">
        <w:tc>
          <w:tcPr>
            <w:tcW w:w="565" w:type="pct"/>
            <w:shd w:val="clear" w:color="auto" w:fill="auto"/>
          </w:tcPr>
          <w:p w:rsidR="00BB28C2" w:rsidRPr="006E709F" w:rsidRDefault="00BB28C2" w:rsidP="005133DE">
            <w:pPr>
              <w:pStyle w:val="Tabletext"/>
            </w:pPr>
          </w:p>
        </w:tc>
        <w:tc>
          <w:tcPr>
            <w:tcW w:w="4435" w:type="pct"/>
            <w:shd w:val="clear" w:color="auto" w:fill="auto"/>
          </w:tcPr>
          <w:p w:rsidR="00BB28C2" w:rsidRPr="006E709F" w:rsidRDefault="00BB28C2" w:rsidP="00A801D0">
            <w:pPr>
              <w:pStyle w:val="Tabletext"/>
            </w:pPr>
            <w:r w:rsidRPr="006E709F">
              <w:t>TASMANIA</w:t>
            </w:r>
          </w:p>
        </w:tc>
      </w:tr>
      <w:tr w:rsidR="00BB28C2" w:rsidRPr="006E709F" w:rsidTr="00E118FA">
        <w:tc>
          <w:tcPr>
            <w:tcW w:w="565" w:type="pct"/>
            <w:shd w:val="clear" w:color="auto" w:fill="auto"/>
          </w:tcPr>
          <w:p w:rsidR="00BB28C2" w:rsidRPr="006E709F" w:rsidRDefault="00BB28C2" w:rsidP="00A801D0">
            <w:pPr>
              <w:pStyle w:val="Tabletext"/>
            </w:pPr>
            <w:r w:rsidRPr="006E709F">
              <w:t>26</w:t>
            </w:r>
          </w:p>
        </w:tc>
        <w:tc>
          <w:tcPr>
            <w:tcW w:w="4435" w:type="pct"/>
            <w:shd w:val="clear" w:color="auto" w:fill="auto"/>
          </w:tcPr>
          <w:p w:rsidR="00BB28C2" w:rsidRPr="006E709F" w:rsidRDefault="00BB28C2" w:rsidP="00A801D0">
            <w:pPr>
              <w:pStyle w:val="Tabletext"/>
            </w:pPr>
            <w:r w:rsidRPr="006E709F">
              <w:rPr>
                <w:i/>
              </w:rPr>
              <w:t xml:space="preserve">Administration and Probate Act 1935 </w:t>
            </w:r>
            <w:r w:rsidRPr="006E709F">
              <w:t>and any regulations made under that Act</w:t>
            </w:r>
          </w:p>
        </w:tc>
      </w:tr>
      <w:tr w:rsidR="00260E53" w:rsidRPr="006E709F" w:rsidTr="00E118FA">
        <w:tc>
          <w:tcPr>
            <w:tcW w:w="565" w:type="pct"/>
            <w:shd w:val="clear" w:color="auto" w:fill="auto"/>
          </w:tcPr>
          <w:p w:rsidR="00260E53" w:rsidRPr="006E709F" w:rsidRDefault="00260E53" w:rsidP="00A801D0">
            <w:pPr>
              <w:pStyle w:val="Tabletext"/>
            </w:pPr>
            <w:r w:rsidRPr="006E709F">
              <w:t>26A</w:t>
            </w:r>
          </w:p>
        </w:tc>
        <w:tc>
          <w:tcPr>
            <w:tcW w:w="4435" w:type="pct"/>
            <w:shd w:val="clear" w:color="auto" w:fill="auto"/>
          </w:tcPr>
          <w:p w:rsidR="00260E53" w:rsidRPr="006E709F" w:rsidRDefault="00260E53" w:rsidP="00A801D0">
            <w:pPr>
              <w:pStyle w:val="Tabletext"/>
            </w:pPr>
            <w:r w:rsidRPr="006E709F">
              <w:rPr>
                <w:i/>
              </w:rPr>
              <w:t xml:space="preserve">Legal Profession Act 2007 </w:t>
            </w:r>
            <w:r w:rsidRPr="006E709F">
              <w:t>and any regulations made under that Act</w:t>
            </w:r>
          </w:p>
        </w:tc>
      </w:tr>
      <w:tr w:rsidR="00260E53" w:rsidRPr="006E709F" w:rsidTr="00E118FA">
        <w:tc>
          <w:tcPr>
            <w:tcW w:w="565" w:type="pct"/>
            <w:shd w:val="clear" w:color="auto" w:fill="auto"/>
          </w:tcPr>
          <w:p w:rsidR="00260E53" w:rsidRPr="006E709F" w:rsidRDefault="00260E53" w:rsidP="00A801D0">
            <w:pPr>
              <w:pStyle w:val="Tabletext"/>
            </w:pPr>
            <w:r w:rsidRPr="006E709F">
              <w:t>26B</w:t>
            </w:r>
          </w:p>
        </w:tc>
        <w:tc>
          <w:tcPr>
            <w:tcW w:w="4435" w:type="pct"/>
            <w:shd w:val="clear" w:color="auto" w:fill="auto"/>
          </w:tcPr>
          <w:p w:rsidR="00260E53" w:rsidRPr="006E709F" w:rsidRDefault="00260E53" w:rsidP="00A801D0">
            <w:pPr>
              <w:pStyle w:val="Tabletext"/>
            </w:pPr>
            <w:r w:rsidRPr="006E709F">
              <w:rPr>
                <w:i/>
              </w:rPr>
              <w:t xml:space="preserve">Public Trustee Act 1930 </w:t>
            </w:r>
            <w:r w:rsidRPr="006E709F">
              <w:t>and any regulations made under that Act</w:t>
            </w:r>
          </w:p>
        </w:tc>
      </w:tr>
      <w:tr w:rsidR="00BB28C2" w:rsidRPr="006E709F" w:rsidTr="00E118FA">
        <w:tc>
          <w:tcPr>
            <w:tcW w:w="565" w:type="pct"/>
            <w:shd w:val="clear" w:color="auto" w:fill="auto"/>
          </w:tcPr>
          <w:p w:rsidR="00BB28C2" w:rsidRPr="006E709F" w:rsidRDefault="00BB28C2" w:rsidP="00A801D0">
            <w:pPr>
              <w:pStyle w:val="Tabletext"/>
            </w:pPr>
            <w:r w:rsidRPr="006E709F">
              <w:t>27</w:t>
            </w:r>
          </w:p>
        </w:tc>
        <w:tc>
          <w:tcPr>
            <w:tcW w:w="4435" w:type="pct"/>
            <w:shd w:val="clear" w:color="auto" w:fill="auto"/>
          </w:tcPr>
          <w:p w:rsidR="00BB28C2" w:rsidRPr="006E709F" w:rsidRDefault="00BB28C2" w:rsidP="00A801D0">
            <w:pPr>
              <w:pStyle w:val="Tabletext"/>
            </w:pPr>
            <w:r w:rsidRPr="006E709F">
              <w:rPr>
                <w:i/>
              </w:rPr>
              <w:t xml:space="preserve">Supreme Court Civil Procedure Act 1932 </w:t>
            </w:r>
            <w:r w:rsidRPr="006E709F">
              <w:t>and any regulations made under that Act</w:t>
            </w:r>
          </w:p>
        </w:tc>
      </w:tr>
      <w:tr w:rsidR="00BB28C2" w:rsidRPr="006E709F" w:rsidTr="00E118FA">
        <w:tc>
          <w:tcPr>
            <w:tcW w:w="565" w:type="pct"/>
            <w:shd w:val="clear" w:color="auto" w:fill="auto"/>
          </w:tcPr>
          <w:p w:rsidR="00BB28C2" w:rsidRPr="006E709F" w:rsidRDefault="00BB28C2" w:rsidP="00A801D0">
            <w:pPr>
              <w:pStyle w:val="Tabletext"/>
            </w:pPr>
            <w:r w:rsidRPr="006E709F">
              <w:t>28</w:t>
            </w:r>
          </w:p>
        </w:tc>
        <w:tc>
          <w:tcPr>
            <w:tcW w:w="4435" w:type="pct"/>
            <w:shd w:val="clear" w:color="auto" w:fill="auto"/>
          </w:tcPr>
          <w:p w:rsidR="00BB28C2" w:rsidRPr="006E709F" w:rsidRDefault="00BB28C2" w:rsidP="00A801D0">
            <w:pPr>
              <w:pStyle w:val="Tabletext"/>
            </w:pPr>
            <w:r w:rsidRPr="006E709F">
              <w:rPr>
                <w:i/>
              </w:rPr>
              <w:t xml:space="preserve">Trustee Act 1898 </w:t>
            </w:r>
            <w:r w:rsidRPr="006E709F">
              <w:t>and any regulations made under that Act</w:t>
            </w:r>
          </w:p>
        </w:tc>
      </w:tr>
      <w:tr w:rsidR="00BB28C2" w:rsidRPr="006E709F" w:rsidTr="00E118FA">
        <w:tc>
          <w:tcPr>
            <w:tcW w:w="565" w:type="pct"/>
            <w:shd w:val="clear" w:color="auto" w:fill="auto"/>
          </w:tcPr>
          <w:p w:rsidR="00BB28C2" w:rsidRPr="006E709F" w:rsidRDefault="00BB28C2" w:rsidP="005133DE">
            <w:pPr>
              <w:pStyle w:val="Tabletext"/>
            </w:pPr>
          </w:p>
        </w:tc>
        <w:tc>
          <w:tcPr>
            <w:tcW w:w="4435" w:type="pct"/>
            <w:shd w:val="clear" w:color="auto" w:fill="auto"/>
          </w:tcPr>
          <w:p w:rsidR="00BB28C2" w:rsidRPr="006E709F" w:rsidRDefault="00BB28C2" w:rsidP="00A801D0">
            <w:pPr>
              <w:pStyle w:val="Tabletext"/>
            </w:pPr>
            <w:r w:rsidRPr="006E709F">
              <w:t>AUSTRALIAN CAPITAL TERRITORY</w:t>
            </w:r>
          </w:p>
        </w:tc>
      </w:tr>
      <w:tr w:rsidR="00BB28C2" w:rsidRPr="006E709F" w:rsidTr="00E118FA">
        <w:tc>
          <w:tcPr>
            <w:tcW w:w="565" w:type="pct"/>
            <w:shd w:val="clear" w:color="auto" w:fill="auto"/>
          </w:tcPr>
          <w:p w:rsidR="00BB28C2" w:rsidRPr="006E709F" w:rsidRDefault="00BB28C2" w:rsidP="00A801D0">
            <w:pPr>
              <w:pStyle w:val="Tabletext"/>
            </w:pPr>
            <w:r w:rsidRPr="006E709F">
              <w:t>29</w:t>
            </w:r>
          </w:p>
        </w:tc>
        <w:tc>
          <w:tcPr>
            <w:tcW w:w="4435" w:type="pct"/>
            <w:shd w:val="clear" w:color="auto" w:fill="auto"/>
          </w:tcPr>
          <w:p w:rsidR="00BB28C2" w:rsidRPr="006E709F" w:rsidRDefault="00BB28C2" w:rsidP="00A801D0">
            <w:pPr>
              <w:pStyle w:val="Tabletext"/>
            </w:pPr>
            <w:r w:rsidRPr="006E709F">
              <w:rPr>
                <w:i/>
              </w:rPr>
              <w:t xml:space="preserve">Administration and Probate Act 1929 </w:t>
            </w:r>
            <w:r w:rsidRPr="006E709F">
              <w:t>and any regulations made under that Act</w:t>
            </w:r>
          </w:p>
        </w:tc>
      </w:tr>
      <w:tr w:rsidR="00BB28C2" w:rsidRPr="006E709F" w:rsidTr="00E118FA">
        <w:tc>
          <w:tcPr>
            <w:tcW w:w="565" w:type="pct"/>
            <w:shd w:val="clear" w:color="auto" w:fill="auto"/>
          </w:tcPr>
          <w:p w:rsidR="00BB28C2" w:rsidRPr="006E709F" w:rsidRDefault="00BB28C2" w:rsidP="00A801D0">
            <w:pPr>
              <w:pStyle w:val="Tabletext"/>
            </w:pPr>
            <w:r w:rsidRPr="006E709F">
              <w:t>30</w:t>
            </w:r>
          </w:p>
        </w:tc>
        <w:tc>
          <w:tcPr>
            <w:tcW w:w="4435" w:type="pct"/>
            <w:shd w:val="clear" w:color="auto" w:fill="auto"/>
          </w:tcPr>
          <w:p w:rsidR="00BB28C2" w:rsidRPr="006E709F" w:rsidRDefault="00BB28C2" w:rsidP="00A801D0">
            <w:pPr>
              <w:pStyle w:val="Tabletext"/>
            </w:pPr>
            <w:r w:rsidRPr="006E709F">
              <w:rPr>
                <w:i/>
              </w:rPr>
              <w:t xml:space="preserve">Court Procedures Act 2004 </w:t>
            </w:r>
            <w:r w:rsidRPr="006E709F">
              <w:t>and any regulations made under that Act</w:t>
            </w:r>
          </w:p>
        </w:tc>
      </w:tr>
      <w:tr w:rsidR="00BB28C2" w:rsidRPr="006E709F" w:rsidTr="00E118FA">
        <w:trPr>
          <w:cantSplit/>
        </w:trPr>
        <w:tc>
          <w:tcPr>
            <w:tcW w:w="565" w:type="pct"/>
            <w:shd w:val="clear" w:color="auto" w:fill="auto"/>
          </w:tcPr>
          <w:p w:rsidR="00BB28C2" w:rsidRPr="006E709F" w:rsidRDefault="00BB28C2" w:rsidP="00A801D0">
            <w:pPr>
              <w:pStyle w:val="Tabletext"/>
            </w:pPr>
            <w:r w:rsidRPr="006E709F">
              <w:t>31</w:t>
            </w:r>
          </w:p>
        </w:tc>
        <w:tc>
          <w:tcPr>
            <w:tcW w:w="4435" w:type="pct"/>
            <w:shd w:val="clear" w:color="auto" w:fill="auto"/>
          </w:tcPr>
          <w:p w:rsidR="00BB28C2" w:rsidRPr="006E709F" w:rsidRDefault="00BB28C2" w:rsidP="00A801D0">
            <w:pPr>
              <w:pStyle w:val="Tabletext"/>
            </w:pPr>
            <w:r w:rsidRPr="006E709F">
              <w:rPr>
                <w:i/>
              </w:rPr>
              <w:t xml:space="preserve">Guardianship and Management of Property Act 1991 </w:t>
            </w:r>
            <w:r w:rsidRPr="006E709F">
              <w:t>and any regulations made under that Act</w:t>
            </w:r>
          </w:p>
        </w:tc>
      </w:tr>
      <w:tr w:rsidR="00BB28C2" w:rsidRPr="006E709F" w:rsidTr="00E118FA">
        <w:tc>
          <w:tcPr>
            <w:tcW w:w="565" w:type="pct"/>
            <w:tcBorders>
              <w:bottom w:val="single" w:sz="4" w:space="0" w:color="auto"/>
            </w:tcBorders>
            <w:shd w:val="clear" w:color="auto" w:fill="auto"/>
          </w:tcPr>
          <w:p w:rsidR="00BB28C2" w:rsidRPr="006E709F" w:rsidRDefault="00BB28C2" w:rsidP="00A801D0">
            <w:pPr>
              <w:pStyle w:val="Tabletext"/>
            </w:pPr>
            <w:r w:rsidRPr="006E709F">
              <w:t>32</w:t>
            </w:r>
          </w:p>
        </w:tc>
        <w:tc>
          <w:tcPr>
            <w:tcW w:w="4435" w:type="pct"/>
            <w:tcBorders>
              <w:bottom w:val="single" w:sz="4" w:space="0" w:color="auto"/>
            </w:tcBorders>
            <w:shd w:val="clear" w:color="auto" w:fill="auto"/>
          </w:tcPr>
          <w:p w:rsidR="00BB28C2" w:rsidRPr="006E709F" w:rsidRDefault="00BB28C2" w:rsidP="00A801D0">
            <w:pPr>
              <w:pStyle w:val="Tabletext"/>
            </w:pPr>
            <w:r w:rsidRPr="006E709F">
              <w:rPr>
                <w:i/>
              </w:rPr>
              <w:t xml:space="preserve">Legal Profession Act 2006 </w:t>
            </w:r>
            <w:r w:rsidRPr="006E709F">
              <w:t>and any regulations made under that Act</w:t>
            </w:r>
          </w:p>
        </w:tc>
      </w:tr>
      <w:tr w:rsidR="00BB28C2" w:rsidRPr="006E709F" w:rsidTr="00E118FA">
        <w:tc>
          <w:tcPr>
            <w:tcW w:w="565" w:type="pct"/>
            <w:tcBorders>
              <w:bottom w:val="single" w:sz="4" w:space="0" w:color="auto"/>
            </w:tcBorders>
            <w:shd w:val="clear" w:color="auto" w:fill="auto"/>
          </w:tcPr>
          <w:p w:rsidR="00BB28C2" w:rsidRPr="006E709F" w:rsidRDefault="00BB28C2" w:rsidP="00A801D0">
            <w:pPr>
              <w:pStyle w:val="Tabletext"/>
            </w:pPr>
            <w:r w:rsidRPr="006E709F">
              <w:t>33</w:t>
            </w:r>
          </w:p>
        </w:tc>
        <w:tc>
          <w:tcPr>
            <w:tcW w:w="4435" w:type="pct"/>
            <w:tcBorders>
              <w:bottom w:val="single" w:sz="4" w:space="0" w:color="auto"/>
            </w:tcBorders>
            <w:shd w:val="clear" w:color="auto" w:fill="auto"/>
          </w:tcPr>
          <w:p w:rsidR="00BB28C2" w:rsidRPr="006E709F" w:rsidRDefault="00BB28C2" w:rsidP="00A801D0">
            <w:pPr>
              <w:pStyle w:val="Tabletext"/>
            </w:pPr>
            <w:r w:rsidRPr="006E709F">
              <w:rPr>
                <w:i/>
              </w:rPr>
              <w:t xml:space="preserve">Trustee Act 1925 </w:t>
            </w:r>
            <w:r w:rsidRPr="006E709F">
              <w:t>and any regulations made under that Act</w:t>
            </w:r>
          </w:p>
        </w:tc>
      </w:tr>
      <w:tr w:rsidR="00BB28C2" w:rsidRPr="006E709F" w:rsidTr="00E118FA">
        <w:tc>
          <w:tcPr>
            <w:tcW w:w="565" w:type="pct"/>
            <w:tcBorders>
              <w:top w:val="single" w:sz="4" w:space="0" w:color="auto"/>
            </w:tcBorders>
            <w:shd w:val="clear" w:color="auto" w:fill="auto"/>
          </w:tcPr>
          <w:p w:rsidR="00BB28C2" w:rsidRPr="006E709F" w:rsidRDefault="00BB28C2" w:rsidP="00A801D0">
            <w:pPr>
              <w:pStyle w:val="Tabletext"/>
            </w:pPr>
            <w:r w:rsidRPr="006E709F">
              <w:t>34</w:t>
            </w:r>
          </w:p>
        </w:tc>
        <w:tc>
          <w:tcPr>
            <w:tcW w:w="4435" w:type="pct"/>
            <w:tcBorders>
              <w:top w:val="single" w:sz="4" w:space="0" w:color="auto"/>
            </w:tcBorders>
            <w:shd w:val="clear" w:color="auto" w:fill="auto"/>
          </w:tcPr>
          <w:p w:rsidR="00BB28C2" w:rsidRPr="006E709F" w:rsidRDefault="00BB28C2" w:rsidP="00A801D0">
            <w:pPr>
              <w:pStyle w:val="Tabletext"/>
            </w:pPr>
            <w:r w:rsidRPr="006E709F">
              <w:rPr>
                <w:i/>
              </w:rPr>
              <w:t xml:space="preserve">Trustee Companies Act 1947 </w:t>
            </w:r>
            <w:r w:rsidRPr="006E709F">
              <w:t>and any regulations made under that Act</w:t>
            </w:r>
          </w:p>
        </w:tc>
      </w:tr>
      <w:tr w:rsidR="00BB28C2" w:rsidRPr="006E709F" w:rsidTr="00E118FA">
        <w:tc>
          <w:tcPr>
            <w:tcW w:w="565" w:type="pct"/>
            <w:shd w:val="clear" w:color="auto" w:fill="auto"/>
          </w:tcPr>
          <w:p w:rsidR="00BB28C2" w:rsidRPr="006E709F" w:rsidRDefault="00BB28C2" w:rsidP="005133DE">
            <w:pPr>
              <w:pStyle w:val="Tabletext"/>
            </w:pPr>
          </w:p>
        </w:tc>
        <w:tc>
          <w:tcPr>
            <w:tcW w:w="4435" w:type="pct"/>
            <w:shd w:val="clear" w:color="auto" w:fill="auto"/>
          </w:tcPr>
          <w:p w:rsidR="00BB28C2" w:rsidRPr="006E709F" w:rsidRDefault="00BB28C2" w:rsidP="00A801D0">
            <w:pPr>
              <w:pStyle w:val="Tabletext"/>
            </w:pPr>
            <w:r w:rsidRPr="006E709F">
              <w:t>NORTHERN TERRITORY</w:t>
            </w:r>
          </w:p>
        </w:tc>
      </w:tr>
      <w:tr w:rsidR="00BB28C2" w:rsidRPr="006E709F" w:rsidTr="00E118FA">
        <w:tc>
          <w:tcPr>
            <w:tcW w:w="565" w:type="pct"/>
            <w:tcBorders>
              <w:bottom w:val="single" w:sz="4" w:space="0" w:color="auto"/>
            </w:tcBorders>
            <w:shd w:val="clear" w:color="auto" w:fill="auto"/>
          </w:tcPr>
          <w:p w:rsidR="00BB28C2" w:rsidRPr="006E709F" w:rsidRDefault="00BB28C2" w:rsidP="00A801D0">
            <w:pPr>
              <w:pStyle w:val="Tabletext"/>
            </w:pPr>
            <w:r w:rsidRPr="006E709F">
              <w:t>35</w:t>
            </w:r>
          </w:p>
        </w:tc>
        <w:tc>
          <w:tcPr>
            <w:tcW w:w="4435" w:type="pct"/>
            <w:tcBorders>
              <w:bottom w:val="single" w:sz="4" w:space="0" w:color="auto"/>
            </w:tcBorders>
            <w:shd w:val="clear" w:color="auto" w:fill="auto"/>
          </w:tcPr>
          <w:p w:rsidR="00BB28C2" w:rsidRPr="006E709F" w:rsidRDefault="00BB28C2" w:rsidP="00A801D0">
            <w:pPr>
              <w:pStyle w:val="Tabletext"/>
            </w:pPr>
            <w:r w:rsidRPr="006E709F">
              <w:rPr>
                <w:i/>
              </w:rPr>
              <w:t>Aged and Infirm Persons’ Property Act</w:t>
            </w:r>
            <w:r w:rsidRPr="006E709F">
              <w:t xml:space="preserve"> and any regulations made under that Act</w:t>
            </w:r>
          </w:p>
        </w:tc>
      </w:tr>
      <w:tr w:rsidR="00BB28C2" w:rsidRPr="006E709F" w:rsidTr="00E118FA">
        <w:tc>
          <w:tcPr>
            <w:tcW w:w="565" w:type="pct"/>
            <w:tcBorders>
              <w:bottom w:val="single" w:sz="12" w:space="0" w:color="auto"/>
            </w:tcBorders>
            <w:shd w:val="clear" w:color="auto" w:fill="auto"/>
          </w:tcPr>
          <w:p w:rsidR="00BB28C2" w:rsidRPr="006E709F" w:rsidRDefault="00BB28C2" w:rsidP="00A801D0">
            <w:pPr>
              <w:pStyle w:val="Tabletext"/>
            </w:pPr>
            <w:r w:rsidRPr="006E709F">
              <w:t>36</w:t>
            </w:r>
          </w:p>
        </w:tc>
        <w:tc>
          <w:tcPr>
            <w:tcW w:w="4435" w:type="pct"/>
            <w:tcBorders>
              <w:bottom w:val="single" w:sz="12" w:space="0" w:color="auto"/>
            </w:tcBorders>
            <w:shd w:val="clear" w:color="auto" w:fill="auto"/>
          </w:tcPr>
          <w:p w:rsidR="00BB28C2" w:rsidRPr="006E709F" w:rsidRDefault="00BB28C2" w:rsidP="00A801D0">
            <w:pPr>
              <w:pStyle w:val="Tabletext"/>
            </w:pPr>
            <w:r w:rsidRPr="006E709F">
              <w:rPr>
                <w:i/>
              </w:rPr>
              <w:t xml:space="preserve">Public Trustee Act </w:t>
            </w:r>
            <w:r w:rsidRPr="006E709F">
              <w:t>and any regulations made under that Act</w:t>
            </w:r>
          </w:p>
        </w:tc>
      </w:tr>
    </w:tbl>
    <w:p w:rsidR="00793C32" w:rsidRPr="006E709F" w:rsidRDefault="00A801D0" w:rsidP="00A801D0">
      <w:pPr>
        <w:pStyle w:val="ActHead1"/>
        <w:pageBreakBefore/>
      </w:pPr>
      <w:bookmarkStart w:id="46" w:name="_Toc170547868"/>
      <w:r w:rsidRPr="000C4237">
        <w:rPr>
          <w:rStyle w:val="CharChapNo"/>
        </w:rPr>
        <w:lastRenderedPageBreak/>
        <w:t>Schedule</w:t>
      </w:r>
      <w:r w:rsidR="00DA13DE" w:rsidRPr="000C4237">
        <w:rPr>
          <w:rStyle w:val="CharChapNo"/>
        </w:rPr>
        <w:t> </w:t>
      </w:r>
      <w:r w:rsidR="00793C32" w:rsidRPr="000C4237">
        <w:rPr>
          <w:rStyle w:val="CharChapNo"/>
        </w:rPr>
        <w:t>8AE</w:t>
      </w:r>
      <w:r w:rsidRPr="006E709F">
        <w:t>—</w:t>
      </w:r>
      <w:r w:rsidR="00793C32" w:rsidRPr="000C4237">
        <w:rPr>
          <w:rStyle w:val="CharChapText"/>
        </w:rPr>
        <w:t>Relevant State and Territory provisions</w:t>
      </w:r>
      <w:bookmarkEnd w:id="46"/>
    </w:p>
    <w:p w:rsidR="00793C32" w:rsidRPr="006E709F" w:rsidRDefault="00793C32" w:rsidP="00A801D0">
      <w:pPr>
        <w:pStyle w:val="notemargin"/>
      </w:pPr>
      <w:r w:rsidRPr="006E709F">
        <w:t>(regulation</w:t>
      </w:r>
      <w:r w:rsidR="00DA13DE" w:rsidRPr="006E709F">
        <w:t> </w:t>
      </w:r>
      <w:r w:rsidRPr="006E709F">
        <w:t>5D.2.06)</w:t>
      </w:r>
    </w:p>
    <w:p w:rsidR="00793C32" w:rsidRPr="006E709F" w:rsidRDefault="00A801D0" w:rsidP="00793C32">
      <w:pPr>
        <w:pStyle w:val="Header"/>
      </w:pPr>
      <w:r w:rsidRPr="000C4237">
        <w:rPr>
          <w:rStyle w:val="CharPartNo"/>
        </w:rPr>
        <w:t xml:space="preserve"> </w:t>
      </w:r>
      <w:r w:rsidRPr="000C4237">
        <w:rPr>
          <w:rStyle w:val="CharPartText"/>
        </w:rPr>
        <w:t xml:space="preserve"> </w:t>
      </w:r>
    </w:p>
    <w:p w:rsidR="00A801D0" w:rsidRPr="006E709F"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64"/>
        <w:gridCol w:w="7565"/>
      </w:tblGrid>
      <w:tr w:rsidR="00793C32" w:rsidRPr="006E709F" w:rsidTr="00E118FA">
        <w:trPr>
          <w:tblHeader/>
        </w:trPr>
        <w:tc>
          <w:tcPr>
            <w:tcW w:w="565" w:type="pct"/>
            <w:tcBorders>
              <w:top w:val="single" w:sz="12" w:space="0" w:color="auto"/>
              <w:bottom w:val="single" w:sz="12" w:space="0" w:color="auto"/>
            </w:tcBorders>
            <w:shd w:val="clear" w:color="auto" w:fill="auto"/>
          </w:tcPr>
          <w:p w:rsidR="00793C32" w:rsidRPr="006E709F" w:rsidRDefault="00793C32" w:rsidP="008C457C">
            <w:pPr>
              <w:pStyle w:val="TableHeading"/>
            </w:pPr>
            <w:r w:rsidRPr="006E709F">
              <w:t>Item</w:t>
            </w:r>
          </w:p>
        </w:tc>
        <w:tc>
          <w:tcPr>
            <w:tcW w:w="4435" w:type="pct"/>
            <w:tcBorders>
              <w:top w:val="single" w:sz="12" w:space="0" w:color="auto"/>
              <w:bottom w:val="single" w:sz="12" w:space="0" w:color="auto"/>
            </w:tcBorders>
            <w:shd w:val="clear" w:color="auto" w:fill="auto"/>
          </w:tcPr>
          <w:p w:rsidR="00793C32" w:rsidRPr="006E709F" w:rsidRDefault="00793C32" w:rsidP="008C457C">
            <w:pPr>
              <w:pStyle w:val="TableHeading"/>
            </w:pPr>
            <w:r w:rsidRPr="006E709F">
              <w:t xml:space="preserve">State or Territory provisions </w:t>
            </w:r>
          </w:p>
        </w:tc>
      </w:tr>
      <w:tr w:rsidR="00793C32" w:rsidRPr="006E709F" w:rsidTr="00E118FA">
        <w:tc>
          <w:tcPr>
            <w:tcW w:w="565" w:type="pct"/>
            <w:tcBorders>
              <w:top w:val="single" w:sz="12" w:space="0" w:color="auto"/>
            </w:tcBorders>
            <w:shd w:val="clear" w:color="auto" w:fill="auto"/>
          </w:tcPr>
          <w:p w:rsidR="00793C32" w:rsidRPr="006E709F" w:rsidRDefault="00793C32" w:rsidP="00A801D0">
            <w:pPr>
              <w:pStyle w:val="Tabletext"/>
            </w:pPr>
            <w:r w:rsidRPr="006E709F">
              <w:t>1</w:t>
            </w:r>
          </w:p>
        </w:tc>
        <w:tc>
          <w:tcPr>
            <w:tcW w:w="4435" w:type="pct"/>
            <w:tcBorders>
              <w:top w:val="single" w:sz="12" w:space="0" w:color="auto"/>
            </w:tcBorders>
            <w:shd w:val="clear" w:color="auto" w:fill="auto"/>
          </w:tcPr>
          <w:p w:rsidR="00793C32" w:rsidRPr="006E709F" w:rsidRDefault="00793C32" w:rsidP="00A801D0">
            <w:pPr>
              <w:pStyle w:val="Tabletext"/>
            </w:pPr>
            <w:r w:rsidRPr="006E709F">
              <w:rPr>
                <w:i/>
              </w:rPr>
              <w:t>Trustee Act 1925</w:t>
            </w:r>
            <w:r w:rsidRPr="006E709F">
              <w:t xml:space="preserve"> (NSW), </w:t>
            </w:r>
            <w:r w:rsidR="00A801D0" w:rsidRPr="006E709F">
              <w:t>Part</w:t>
            </w:r>
            <w:r w:rsidR="00DA13DE" w:rsidRPr="006E709F">
              <w:t> </w:t>
            </w:r>
            <w:r w:rsidRPr="006E709F">
              <w:t xml:space="preserve">2, </w:t>
            </w:r>
            <w:r w:rsidR="00A801D0" w:rsidRPr="006E709F">
              <w:t>Division</w:t>
            </w:r>
            <w:r w:rsidR="00DA13DE" w:rsidRPr="006E709F">
              <w:t> </w:t>
            </w:r>
            <w:r w:rsidRPr="006E709F">
              <w:t>2</w:t>
            </w:r>
          </w:p>
        </w:tc>
      </w:tr>
      <w:tr w:rsidR="00793C32" w:rsidRPr="006E709F" w:rsidTr="00E118FA">
        <w:tc>
          <w:tcPr>
            <w:tcW w:w="565" w:type="pct"/>
            <w:shd w:val="clear" w:color="auto" w:fill="auto"/>
          </w:tcPr>
          <w:p w:rsidR="00793C32" w:rsidRPr="006E709F" w:rsidRDefault="00793C32" w:rsidP="00A801D0">
            <w:pPr>
              <w:pStyle w:val="Tabletext"/>
            </w:pPr>
            <w:r w:rsidRPr="006E709F">
              <w:t>2</w:t>
            </w:r>
          </w:p>
        </w:tc>
        <w:tc>
          <w:tcPr>
            <w:tcW w:w="4435" w:type="pct"/>
            <w:shd w:val="clear" w:color="auto" w:fill="auto"/>
          </w:tcPr>
          <w:p w:rsidR="00793C32" w:rsidRPr="006E709F" w:rsidRDefault="00793C32" w:rsidP="00A801D0">
            <w:pPr>
              <w:pStyle w:val="Tabletext"/>
            </w:pPr>
            <w:r w:rsidRPr="006E709F">
              <w:rPr>
                <w:b/>
              </w:rPr>
              <w:t xml:space="preserve">Trustee Act 1958 </w:t>
            </w:r>
            <w:r w:rsidRPr="006E709F">
              <w:t xml:space="preserve">(Vic), </w:t>
            </w:r>
            <w:r w:rsidR="00A801D0" w:rsidRPr="006E709F">
              <w:t>Part</w:t>
            </w:r>
            <w:r w:rsidR="00E376FA" w:rsidRPr="006E709F">
              <w:t> </w:t>
            </w:r>
            <w:r w:rsidRPr="006E709F">
              <w:t>I</w:t>
            </w:r>
          </w:p>
        </w:tc>
      </w:tr>
      <w:tr w:rsidR="00793C32" w:rsidRPr="006E709F" w:rsidTr="00E118FA">
        <w:tc>
          <w:tcPr>
            <w:tcW w:w="565" w:type="pct"/>
            <w:shd w:val="clear" w:color="auto" w:fill="auto"/>
          </w:tcPr>
          <w:p w:rsidR="00793C32" w:rsidRPr="006E709F" w:rsidRDefault="00793C32" w:rsidP="00A801D0">
            <w:pPr>
              <w:pStyle w:val="Tabletext"/>
            </w:pPr>
            <w:r w:rsidRPr="006E709F">
              <w:t>3</w:t>
            </w:r>
          </w:p>
        </w:tc>
        <w:tc>
          <w:tcPr>
            <w:tcW w:w="4435" w:type="pct"/>
            <w:shd w:val="clear" w:color="auto" w:fill="auto"/>
          </w:tcPr>
          <w:p w:rsidR="00793C32" w:rsidRPr="006E709F" w:rsidRDefault="00793C32" w:rsidP="00A801D0">
            <w:pPr>
              <w:pStyle w:val="Tabletext"/>
            </w:pPr>
            <w:r w:rsidRPr="006E709F">
              <w:rPr>
                <w:i/>
              </w:rPr>
              <w:t xml:space="preserve">Trusts Act 1973 </w:t>
            </w:r>
            <w:r w:rsidRPr="006E709F">
              <w:t xml:space="preserve">(Qld), </w:t>
            </w:r>
            <w:r w:rsidR="00A801D0" w:rsidRPr="006E709F">
              <w:t>Part</w:t>
            </w:r>
            <w:r w:rsidR="00DA13DE" w:rsidRPr="006E709F">
              <w:t> </w:t>
            </w:r>
            <w:r w:rsidRPr="006E709F">
              <w:t>3</w:t>
            </w:r>
          </w:p>
        </w:tc>
      </w:tr>
      <w:tr w:rsidR="00793C32" w:rsidRPr="006E709F" w:rsidTr="00E118FA">
        <w:tc>
          <w:tcPr>
            <w:tcW w:w="565" w:type="pct"/>
            <w:shd w:val="clear" w:color="auto" w:fill="auto"/>
          </w:tcPr>
          <w:p w:rsidR="00793C32" w:rsidRPr="006E709F" w:rsidRDefault="00793C32" w:rsidP="00A801D0">
            <w:pPr>
              <w:pStyle w:val="Tabletext"/>
            </w:pPr>
            <w:r w:rsidRPr="006E709F">
              <w:t>4</w:t>
            </w:r>
          </w:p>
        </w:tc>
        <w:tc>
          <w:tcPr>
            <w:tcW w:w="4435" w:type="pct"/>
            <w:shd w:val="clear" w:color="auto" w:fill="auto"/>
          </w:tcPr>
          <w:p w:rsidR="00793C32" w:rsidRPr="006E709F" w:rsidRDefault="00793C32" w:rsidP="00A801D0">
            <w:pPr>
              <w:pStyle w:val="Tabletext"/>
            </w:pPr>
            <w:r w:rsidRPr="006E709F">
              <w:rPr>
                <w:i/>
              </w:rPr>
              <w:t xml:space="preserve">Trustees Act 1962 </w:t>
            </w:r>
            <w:r w:rsidRPr="006E709F">
              <w:t xml:space="preserve">(WA), </w:t>
            </w:r>
            <w:r w:rsidR="00A801D0" w:rsidRPr="006E709F">
              <w:t>Part</w:t>
            </w:r>
            <w:r w:rsidR="00E376FA" w:rsidRPr="006E709F">
              <w:t> </w:t>
            </w:r>
            <w:r w:rsidRPr="006E709F">
              <w:t>III</w:t>
            </w:r>
          </w:p>
        </w:tc>
      </w:tr>
      <w:tr w:rsidR="00793C32" w:rsidRPr="006E709F" w:rsidTr="00E118FA">
        <w:tc>
          <w:tcPr>
            <w:tcW w:w="565" w:type="pct"/>
            <w:shd w:val="clear" w:color="auto" w:fill="auto"/>
          </w:tcPr>
          <w:p w:rsidR="00793C32" w:rsidRPr="006E709F" w:rsidRDefault="00793C32" w:rsidP="00A801D0">
            <w:pPr>
              <w:pStyle w:val="Tabletext"/>
            </w:pPr>
            <w:r w:rsidRPr="006E709F">
              <w:t>5</w:t>
            </w:r>
          </w:p>
        </w:tc>
        <w:tc>
          <w:tcPr>
            <w:tcW w:w="4435" w:type="pct"/>
            <w:shd w:val="clear" w:color="auto" w:fill="auto"/>
          </w:tcPr>
          <w:p w:rsidR="00793C32" w:rsidRPr="006E709F" w:rsidRDefault="00793C32" w:rsidP="00A801D0">
            <w:pPr>
              <w:pStyle w:val="Tabletext"/>
            </w:pPr>
            <w:r w:rsidRPr="006E709F">
              <w:rPr>
                <w:i/>
              </w:rPr>
              <w:t>Trustee Act 1936</w:t>
            </w:r>
            <w:r w:rsidRPr="006E709F">
              <w:t xml:space="preserve"> (SA), </w:t>
            </w:r>
            <w:r w:rsidR="00A801D0" w:rsidRPr="006E709F">
              <w:t>Part</w:t>
            </w:r>
            <w:r w:rsidR="00DA13DE" w:rsidRPr="006E709F">
              <w:t> </w:t>
            </w:r>
            <w:r w:rsidRPr="006E709F">
              <w:t>1</w:t>
            </w:r>
          </w:p>
        </w:tc>
      </w:tr>
      <w:tr w:rsidR="00793C32" w:rsidRPr="006E709F" w:rsidTr="00E118FA">
        <w:tc>
          <w:tcPr>
            <w:tcW w:w="565" w:type="pct"/>
            <w:shd w:val="clear" w:color="auto" w:fill="auto"/>
          </w:tcPr>
          <w:p w:rsidR="00793C32" w:rsidRPr="006E709F" w:rsidRDefault="00793C32" w:rsidP="00A801D0">
            <w:pPr>
              <w:pStyle w:val="Tabletext"/>
            </w:pPr>
            <w:r w:rsidRPr="006E709F">
              <w:t>6</w:t>
            </w:r>
          </w:p>
        </w:tc>
        <w:tc>
          <w:tcPr>
            <w:tcW w:w="4435" w:type="pct"/>
            <w:shd w:val="clear" w:color="auto" w:fill="auto"/>
          </w:tcPr>
          <w:p w:rsidR="00793C32" w:rsidRPr="006E709F" w:rsidRDefault="00793C32" w:rsidP="00A801D0">
            <w:pPr>
              <w:pStyle w:val="Tabletext"/>
            </w:pPr>
            <w:r w:rsidRPr="006E709F">
              <w:rPr>
                <w:i/>
              </w:rPr>
              <w:t>Trustee Act 1898</w:t>
            </w:r>
            <w:r w:rsidRPr="006E709F">
              <w:t xml:space="preserve"> (Tas), </w:t>
            </w:r>
            <w:r w:rsidR="00A801D0" w:rsidRPr="006E709F">
              <w:t>Part</w:t>
            </w:r>
            <w:r w:rsidR="00E376FA" w:rsidRPr="006E709F">
              <w:t> </w:t>
            </w:r>
            <w:r w:rsidRPr="006E709F">
              <w:t>II</w:t>
            </w:r>
          </w:p>
        </w:tc>
      </w:tr>
      <w:tr w:rsidR="00793C32" w:rsidRPr="006E709F" w:rsidTr="00E118FA">
        <w:tc>
          <w:tcPr>
            <w:tcW w:w="565" w:type="pct"/>
            <w:tcBorders>
              <w:bottom w:val="single" w:sz="4" w:space="0" w:color="auto"/>
            </w:tcBorders>
            <w:shd w:val="clear" w:color="auto" w:fill="auto"/>
          </w:tcPr>
          <w:p w:rsidR="00793C32" w:rsidRPr="006E709F" w:rsidRDefault="00793C32" w:rsidP="00A801D0">
            <w:pPr>
              <w:pStyle w:val="Tabletext"/>
            </w:pPr>
            <w:r w:rsidRPr="006E709F">
              <w:t>7</w:t>
            </w:r>
          </w:p>
        </w:tc>
        <w:tc>
          <w:tcPr>
            <w:tcW w:w="4435" w:type="pct"/>
            <w:tcBorders>
              <w:bottom w:val="single" w:sz="4" w:space="0" w:color="auto"/>
            </w:tcBorders>
            <w:shd w:val="clear" w:color="auto" w:fill="auto"/>
          </w:tcPr>
          <w:p w:rsidR="00793C32" w:rsidRPr="006E709F" w:rsidRDefault="00793C32" w:rsidP="00A801D0">
            <w:pPr>
              <w:pStyle w:val="Tabletext"/>
            </w:pPr>
            <w:r w:rsidRPr="006E709F">
              <w:rPr>
                <w:i/>
              </w:rPr>
              <w:t>Trustee Act 1925</w:t>
            </w:r>
            <w:r w:rsidRPr="006E709F">
              <w:t xml:space="preserve"> (ACT), </w:t>
            </w:r>
            <w:r w:rsidR="00A801D0" w:rsidRPr="006E709F">
              <w:t>Part</w:t>
            </w:r>
            <w:r w:rsidR="00DA13DE" w:rsidRPr="006E709F">
              <w:t> </w:t>
            </w:r>
            <w:r w:rsidRPr="006E709F">
              <w:t xml:space="preserve">2, </w:t>
            </w:r>
            <w:r w:rsidR="00A801D0" w:rsidRPr="006E709F">
              <w:t>Subdivision</w:t>
            </w:r>
            <w:r w:rsidR="00DA13DE" w:rsidRPr="006E709F">
              <w:t> </w:t>
            </w:r>
            <w:r w:rsidRPr="006E709F">
              <w:t>2.2.1</w:t>
            </w:r>
          </w:p>
        </w:tc>
      </w:tr>
      <w:tr w:rsidR="00793C32" w:rsidRPr="006E709F" w:rsidTr="00E118FA">
        <w:tc>
          <w:tcPr>
            <w:tcW w:w="565" w:type="pct"/>
            <w:tcBorders>
              <w:bottom w:val="single" w:sz="12" w:space="0" w:color="auto"/>
            </w:tcBorders>
            <w:shd w:val="clear" w:color="auto" w:fill="auto"/>
          </w:tcPr>
          <w:p w:rsidR="00793C32" w:rsidRPr="006E709F" w:rsidRDefault="00793C32" w:rsidP="00A801D0">
            <w:pPr>
              <w:pStyle w:val="Tabletext"/>
            </w:pPr>
            <w:r w:rsidRPr="006E709F">
              <w:t>8</w:t>
            </w:r>
          </w:p>
        </w:tc>
        <w:tc>
          <w:tcPr>
            <w:tcW w:w="4435" w:type="pct"/>
            <w:tcBorders>
              <w:bottom w:val="single" w:sz="12" w:space="0" w:color="auto"/>
            </w:tcBorders>
            <w:shd w:val="clear" w:color="auto" w:fill="auto"/>
          </w:tcPr>
          <w:p w:rsidR="00793C32" w:rsidRPr="006E709F" w:rsidRDefault="00793C32" w:rsidP="00A801D0">
            <w:pPr>
              <w:pStyle w:val="Tabletext"/>
            </w:pPr>
            <w:r w:rsidRPr="006E709F">
              <w:t xml:space="preserve">Trustee Act (NT), </w:t>
            </w:r>
            <w:r w:rsidR="00A801D0" w:rsidRPr="006E709F">
              <w:t>Part</w:t>
            </w:r>
            <w:r w:rsidR="00E376FA" w:rsidRPr="006E709F">
              <w:t> </w:t>
            </w:r>
            <w:r w:rsidRPr="006E709F">
              <w:t>I</w:t>
            </w:r>
          </w:p>
        </w:tc>
      </w:tr>
    </w:tbl>
    <w:p w:rsidR="002A22A4" w:rsidRPr="006E709F" w:rsidRDefault="00A801D0" w:rsidP="00E376FA">
      <w:pPr>
        <w:pStyle w:val="ActHead1"/>
        <w:pageBreakBefore/>
      </w:pPr>
      <w:bookmarkStart w:id="47" w:name="_Toc170547869"/>
      <w:r w:rsidRPr="000C4237">
        <w:rPr>
          <w:rStyle w:val="CharChapNo"/>
        </w:rPr>
        <w:lastRenderedPageBreak/>
        <w:t>Schedule</w:t>
      </w:r>
      <w:r w:rsidR="00DA13DE" w:rsidRPr="000C4237">
        <w:rPr>
          <w:rStyle w:val="CharChapNo"/>
        </w:rPr>
        <w:t> </w:t>
      </w:r>
      <w:r w:rsidR="002A22A4" w:rsidRPr="000C4237">
        <w:rPr>
          <w:rStyle w:val="CharChapNo"/>
        </w:rPr>
        <w:t>8C</w:t>
      </w:r>
      <w:r w:rsidRPr="006E709F">
        <w:t>—</w:t>
      </w:r>
      <w:r w:rsidR="002A22A4" w:rsidRPr="000C4237">
        <w:rPr>
          <w:rStyle w:val="CharChapText"/>
        </w:rPr>
        <w:t xml:space="preserve">Modifications of </w:t>
      </w:r>
      <w:r w:rsidRPr="000C4237">
        <w:rPr>
          <w:rStyle w:val="CharChapText"/>
        </w:rPr>
        <w:t>Part</w:t>
      </w:r>
      <w:r w:rsidR="00DA13DE" w:rsidRPr="000C4237">
        <w:rPr>
          <w:rStyle w:val="CharChapText"/>
        </w:rPr>
        <w:t> </w:t>
      </w:r>
      <w:r w:rsidR="002A22A4" w:rsidRPr="000C4237">
        <w:rPr>
          <w:rStyle w:val="CharChapText"/>
        </w:rPr>
        <w:t>7.5 of the Act</w:t>
      </w:r>
      <w:r w:rsidRPr="000C4237">
        <w:rPr>
          <w:rStyle w:val="CharChapText"/>
        </w:rPr>
        <w:t>—</w:t>
      </w:r>
      <w:r w:rsidR="002A22A4" w:rsidRPr="000C4237">
        <w:rPr>
          <w:rStyle w:val="CharChapText"/>
        </w:rPr>
        <w:t>compensation regimes</w:t>
      </w:r>
      <w:bookmarkEnd w:id="47"/>
    </w:p>
    <w:p w:rsidR="002A22A4" w:rsidRPr="006E709F" w:rsidRDefault="002A22A4" w:rsidP="00A801D0">
      <w:pPr>
        <w:pStyle w:val="notemargin"/>
      </w:pPr>
      <w:r w:rsidRPr="006E709F">
        <w:t>(</w:t>
      </w:r>
      <w:r w:rsidR="005378CE" w:rsidRPr="006E709F">
        <w:t>regulation 7</w:t>
      </w:r>
      <w:r w:rsidRPr="006E709F">
        <w:t>.5.01A)</w:t>
      </w:r>
    </w:p>
    <w:p w:rsidR="00105D3A" w:rsidRPr="006E709F" w:rsidRDefault="00105D3A" w:rsidP="00105D3A">
      <w:pPr>
        <w:pStyle w:val="Header"/>
      </w:pPr>
      <w:r w:rsidRPr="000C4237">
        <w:rPr>
          <w:rStyle w:val="CharPartNo"/>
        </w:rPr>
        <w:t xml:space="preserve"> </w:t>
      </w:r>
      <w:r w:rsidRPr="000C4237">
        <w:rPr>
          <w:rStyle w:val="CharPartText"/>
        </w:rPr>
        <w:t xml:space="preserve"> </w:t>
      </w:r>
    </w:p>
    <w:p w:rsidR="002A22A4" w:rsidRPr="006E709F" w:rsidRDefault="002A22A4" w:rsidP="000406AC">
      <w:pPr>
        <w:pStyle w:val="ItemHead"/>
      </w:pPr>
      <w:r w:rsidRPr="006E709F">
        <w:t>1</w:t>
      </w:r>
      <w:r w:rsidR="00891FC0" w:rsidRPr="006E709F">
        <w:t xml:space="preserve">  </w:t>
      </w:r>
      <w:r w:rsidR="008F4A8A" w:rsidRPr="008F4A8A">
        <w:t>Section 880B</w:t>
      </w:r>
      <w:r w:rsidRPr="006E709F">
        <w:t xml:space="preserve">, definition of </w:t>
      </w:r>
      <w:r w:rsidRPr="006E709F">
        <w:rPr>
          <w:i/>
        </w:rPr>
        <w:t>fidelity fund</w:t>
      </w:r>
      <w:r w:rsidRPr="006E709F">
        <w:t xml:space="preserve">, </w:t>
      </w:r>
      <w:r w:rsidR="00DA13DE" w:rsidRPr="006E709F">
        <w:t>subparagraph (</w:t>
      </w:r>
      <w:r w:rsidRPr="006E709F">
        <w:t>b</w:t>
      </w:r>
      <w:r w:rsidR="00A801D0" w:rsidRPr="006E709F">
        <w:t>)(</w:t>
      </w:r>
      <w:r w:rsidRPr="006E709F">
        <w:t>ii)</w:t>
      </w:r>
    </w:p>
    <w:p w:rsidR="00A801D0" w:rsidRPr="006E709F" w:rsidRDefault="00A801D0" w:rsidP="000406AC">
      <w:pPr>
        <w:pStyle w:val="Item"/>
        <w:rPr>
          <w:i/>
        </w:rPr>
      </w:pPr>
      <w:r w:rsidRPr="006E709F">
        <w:rPr>
          <w:i/>
        </w:rPr>
        <w:t>omit</w:t>
      </w:r>
    </w:p>
    <w:p w:rsidR="002A22A4" w:rsidRPr="006E709F" w:rsidRDefault="002A22A4" w:rsidP="000406AC">
      <w:pPr>
        <w:pStyle w:val="Item"/>
      </w:pPr>
      <w:r w:rsidRPr="006E709F">
        <w:t>markets;</w:t>
      </w:r>
    </w:p>
    <w:p w:rsidR="00A801D0" w:rsidRPr="006E709F" w:rsidRDefault="00A801D0" w:rsidP="000406AC">
      <w:pPr>
        <w:pStyle w:val="Item"/>
        <w:rPr>
          <w:i/>
        </w:rPr>
      </w:pPr>
      <w:r w:rsidRPr="006E709F">
        <w:rPr>
          <w:i/>
        </w:rPr>
        <w:t>insert</w:t>
      </w:r>
    </w:p>
    <w:p w:rsidR="002A22A4" w:rsidRPr="006E709F" w:rsidRDefault="002A22A4" w:rsidP="000406AC">
      <w:pPr>
        <w:pStyle w:val="Item"/>
      </w:pPr>
      <w:r w:rsidRPr="006E709F">
        <w:t>markets; or</w:t>
      </w:r>
    </w:p>
    <w:p w:rsidR="002A22A4" w:rsidRPr="006E709F" w:rsidRDefault="002A22A4" w:rsidP="00714BE7">
      <w:pPr>
        <w:pStyle w:val="ItemHead"/>
      </w:pPr>
      <w:r w:rsidRPr="006E709F">
        <w:t>2</w:t>
      </w:r>
      <w:r w:rsidR="00891FC0" w:rsidRPr="006E709F">
        <w:t xml:space="preserve">  </w:t>
      </w:r>
      <w:r w:rsidR="008E71C9" w:rsidRPr="008E71C9">
        <w:t>Section 880B</w:t>
      </w:r>
      <w:r w:rsidRPr="006E709F">
        <w:t xml:space="preserve">, definition of </w:t>
      </w:r>
      <w:r w:rsidRPr="006E709F">
        <w:rPr>
          <w:i/>
        </w:rPr>
        <w:t>fidelity fund</w:t>
      </w:r>
      <w:r w:rsidRPr="006E709F">
        <w:t xml:space="preserve">, after </w:t>
      </w:r>
      <w:r w:rsidR="00DA13DE" w:rsidRPr="006E709F">
        <w:t>paragraph (</w:t>
      </w:r>
      <w:r w:rsidRPr="006E709F">
        <w:t>b)</w:t>
      </w:r>
    </w:p>
    <w:p w:rsidR="00A801D0" w:rsidRPr="006E709F" w:rsidRDefault="00A801D0" w:rsidP="00714BE7">
      <w:pPr>
        <w:pStyle w:val="Item"/>
        <w:rPr>
          <w:i/>
        </w:rPr>
      </w:pPr>
      <w:r w:rsidRPr="006E709F">
        <w:rPr>
          <w:i/>
        </w:rPr>
        <w:t>insert</w:t>
      </w:r>
    </w:p>
    <w:p w:rsidR="002A22A4" w:rsidRPr="006E709F" w:rsidRDefault="002A22A4" w:rsidP="00A801D0">
      <w:pPr>
        <w:pStyle w:val="paragraph"/>
      </w:pPr>
      <w:r w:rsidRPr="006E709F">
        <w:tab/>
        <w:t>(c)</w:t>
      </w:r>
      <w:r w:rsidRPr="006E709F">
        <w:tab/>
        <w:t>the operator of the market or related body corporate of the operator of the market;</w:t>
      </w:r>
    </w:p>
    <w:p w:rsidR="002A22A4" w:rsidRPr="006E709F" w:rsidRDefault="002A22A4" w:rsidP="00714BE7">
      <w:pPr>
        <w:pStyle w:val="ItemHead"/>
      </w:pPr>
      <w:r w:rsidRPr="006E709F">
        <w:t>3</w:t>
      </w:r>
      <w:r w:rsidR="00891FC0" w:rsidRPr="006E709F">
        <w:t xml:space="preserve">  </w:t>
      </w:r>
      <w:r w:rsidRPr="006E709F">
        <w:t>Subsection</w:t>
      </w:r>
      <w:r w:rsidR="00DA13DE" w:rsidRPr="006E709F">
        <w:t> </w:t>
      </w:r>
      <w:r w:rsidRPr="006E709F">
        <w:t>881A(2)</w:t>
      </w:r>
    </w:p>
    <w:p w:rsidR="00A801D0" w:rsidRPr="006E709F" w:rsidRDefault="00A801D0" w:rsidP="00714BE7">
      <w:pPr>
        <w:pStyle w:val="Item"/>
        <w:rPr>
          <w:i/>
        </w:rPr>
      </w:pPr>
      <w:r w:rsidRPr="006E709F">
        <w:rPr>
          <w:i/>
        </w:rPr>
        <w:t>substitute</w:t>
      </w:r>
    </w:p>
    <w:p w:rsidR="002A22A4" w:rsidRPr="006E709F" w:rsidRDefault="002A22A4" w:rsidP="00A801D0">
      <w:pPr>
        <w:pStyle w:val="subsection"/>
      </w:pPr>
      <w:r w:rsidRPr="006E709F">
        <w:tab/>
        <w:t>(1A)</w:t>
      </w:r>
      <w:r w:rsidRPr="006E709F">
        <w:tab/>
        <w:t>If:</w:t>
      </w:r>
    </w:p>
    <w:p w:rsidR="002A22A4" w:rsidRPr="006E709F" w:rsidRDefault="002A22A4" w:rsidP="00A801D0">
      <w:pPr>
        <w:pStyle w:val="paragraph"/>
      </w:pPr>
      <w:r w:rsidRPr="006E709F">
        <w:tab/>
        <w:t>(a)</w:t>
      </w:r>
      <w:r w:rsidRPr="006E709F">
        <w:tab/>
        <w:t xml:space="preserve">compensation arrangements under </w:t>
      </w:r>
      <w:r w:rsidR="00A801D0" w:rsidRPr="006E709F">
        <w:t>Division</w:t>
      </w:r>
      <w:r w:rsidR="00DA13DE" w:rsidRPr="006E709F">
        <w:t> </w:t>
      </w:r>
      <w:r w:rsidRPr="006E709F">
        <w:t>4 apply to only some financial products acquired or disposed of through a licensed market; and</w:t>
      </w:r>
    </w:p>
    <w:p w:rsidR="002A22A4" w:rsidRPr="006E709F" w:rsidRDefault="002A22A4" w:rsidP="00A801D0">
      <w:pPr>
        <w:pStyle w:val="paragraph"/>
      </w:pPr>
      <w:r w:rsidRPr="006E709F">
        <w:tab/>
        <w:t>(b)</w:t>
      </w:r>
      <w:r w:rsidRPr="006E709F">
        <w:tab/>
      </w:r>
      <w:r w:rsidR="00DA13DE" w:rsidRPr="006E709F">
        <w:t>paragraphs (</w:t>
      </w:r>
      <w:r w:rsidRPr="006E709F">
        <w:t>1</w:t>
      </w:r>
      <w:r w:rsidR="00A801D0" w:rsidRPr="006E709F">
        <w:t>)(</w:t>
      </w:r>
      <w:r w:rsidRPr="006E709F">
        <w:t>a) and (b) are satisfied for the other products acquired or disposed of through the licensed market;</w:t>
      </w:r>
    </w:p>
    <w:p w:rsidR="002A22A4" w:rsidRPr="006E709F" w:rsidRDefault="002A22A4" w:rsidP="00A801D0">
      <w:pPr>
        <w:pStyle w:val="subsection2"/>
      </w:pPr>
      <w:r w:rsidRPr="006E709F">
        <w:t xml:space="preserve">there must be compensation arrangements in relation to the other products that are approved in accordance with </w:t>
      </w:r>
      <w:r w:rsidR="00A801D0" w:rsidRPr="006E709F">
        <w:t>Division</w:t>
      </w:r>
      <w:r w:rsidR="00DA13DE" w:rsidRPr="006E709F">
        <w:t> </w:t>
      </w:r>
      <w:r w:rsidRPr="006E709F">
        <w:t>3.</w:t>
      </w:r>
    </w:p>
    <w:p w:rsidR="002A22A4" w:rsidRPr="006E709F" w:rsidRDefault="002A22A4" w:rsidP="00A801D0">
      <w:pPr>
        <w:pStyle w:val="subsection"/>
      </w:pPr>
      <w:r w:rsidRPr="006E709F">
        <w:tab/>
        <w:t>(2)</w:t>
      </w:r>
      <w:r w:rsidRPr="006E709F">
        <w:tab/>
        <w:t>The compensation regime that applies to a financial market is:</w:t>
      </w:r>
    </w:p>
    <w:p w:rsidR="002A22A4" w:rsidRPr="006E709F" w:rsidRDefault="002A22A4" w:rsidP="00A801D0">
      <w:pPr>
        <w:pStyle w:val="paragraph"/>
      </w:pPr>
      <w:r w:rsidRPr="006E709F">
        <w:tab/>
        <w:t>(a)</w:t>
      </w:r>
      <w:r w:rsidRPr="006E709F">
        <w:tab/>
        <w:t xml:space="preserve">for a financial product to which </w:t>
      </w:r>
      <w:r w:rsidR="00A801D0" w:rsidRPr="006E709F">
        <w:t>Division</w:t>
      </w:r>
      <w:r w:rsidR="00DA13DE" w:rsidRPr="006E709F">
        <w:t> </w:t>
      </w:r>
      <w:r w:rsidRPr="006E709F">
        <w:t>3 applies</w:t>
      </w:r>
      <w:r w:rsidR="00A801D0" w:rsidRPr="006E709F">
        <w:t>—</w:t>
      </w:r>
      <w:r w:rsidRPr="006E709F">
        <w:t xml:space="preserve">the compensation regime constituted by </w:t>
      </w:r>
      <w:r w:rsidR="00A801D0" w:rsidRPr="006E709F">
        <w:t>Division</w:t>
      </w:r>
      <w:r w:rsidR="00DA13DE" w:rsidRPr="006E709F">
        <w:t> </w:t>
      </w:r>
      <w:r w:rsidRPr="006E709F">
        <w:t>3; and</w:t>
      </w:r>
    </w:p>
    <w:p w:rsidR="002A22A4" w:rsidRPr="006E709F" w:rsidRDefault="002A22A4" w:rsidP="00A801D0">
      <w:pPr>
        <w:pStyle w:val="paragraph"/>
      </w:pPr>
      <w:r w:rsidRPr="006E709F">
        <w:tab/>
        <w:t>(b)</w:t>
      </w:r>
      <w:r w:rsidRPr="006E709F">
        <w:tab/>
        <w:t xml:space="preserve">for a financial product to which </w:t>
      </w:r>
      <w:r w:rsidR="00A801D0" w:rsidRPr="006E709F">
        <w:t>Division</w:t>
      </w:r>
      <w:r w:rsidR="00DA13DE" w:rsidRPr="006E709F">
        <w:t> </w:t>
      </w:r>
      <w:r w:rsidRPr="006E709F">
        <w:t>4 applies</w:t>
      </w:r>
      <w:r w:rsidR="00A801D0" w:rsidRPr="006E709F">
        <w:t>—</w:t>
      </w:r>
      <w:r w:rsidRPr="006E709F">
        <w:t xml:space="preserve">the compensation regime constituted by </w:t>
      </w:r>
      <w:r w:rsidR="00A801D0" w:rsidRPr="006E709F">
        <w:t>Division</w:t>
      </w:r>
      <w:r w:rsidR="00DA13DE" w:rsidRPr="006E709F">
        <w:t> </w:t>
      </w:r>
      <w:r w:rsidRPr="006E709F">
        <w:t>4.</w:t>
      </w:r>
    </w:p>
    <w:p w:rsidR="002A22A4" w:rsidRPr="006E709F" w:rsidRDefault="002A22A4" w:rsidP="00714BE7">
      <w:pPr>
        <w:pStyle w:val="ItemHead"/>
      </w:pPr>
      <w:r w:rsidRPr="006E709F">
        <w:t>4</w:t>
      </w:r>
      <w:r w:rsidR="00891FC0" w:rsidRPr="006E709F">
        <w:t xml:space="preserve">  </w:t>
      </w:r>
      <w:r w:rsidR="00FF4176" w:rsidRPr="006E709F">
        <w:t>Paragraph 8</w:t>
      </w:r>
      <w:r w:rsidRPr="006E709F">
        <w:t>85C(1</w:t>
      </w:r>
      <w:r w:rsidR="00A801D0" w:rsidRPr="006E709F">
        <w:t>)(</w:t>
      </w:r>
      <w:r w:rsidRPr="006E709F">
        <w:t>b)</w:t>
      </w:r>
    </w:p>
    <w:p w:rsidR="00A801D0" w:rsidRPr="006E709F" w:rsidRDefault="00A801D0" w:rsidP="00714BE7">
      <w:pPr>
        <w:pStyle w:val="Item"/>
        <w:rPr>
          <w:i/>
        </w:rPr>
      </w:pPr>
      <w:r w:rsidRPr="006E709F">
        <w:rPr>
          <w:i/>
        </w:rPr>
        <w:t>substitute</w:t>
      </w:r>
    </w:p>
    <w:p w:rsidR="002A22A4" w:rsidRPr="006E709F" w:rsidRDefault="002A22A4" w:rsidP="00A801D0">
      <w:pPr>
        <w:pStyle w:val="paragraph"/>
      </w:pPr>
      <w:r w:rsidRPr="006E709F">
        <w:tab/>
        <w:t>(b)</w:t>
      </w:r>
      <w:r w:rsidRPr="006E709F">
        <w:tab/>
        <w:t>the money or other property, or the authority, was given to the participant in connection with effecting a transaction, or proposed transaction, that:</w:t>
      </w:r>
    </w:p>
    <w:p w:rsidR="002A22A4" w:rsidRPr="006E709F" w:rsidRDefault="002A22A4" w:rsidP="00A801D0">
      <w:pPr>
        <w:pStyle w:val="paragraphsub"/>
      </w:pPr>
      <w:r w:rsidRPr="006E709F">
        <w:tab/>
        <w:t>(i)</w:t>
      </w:r>
      <w:r w:rsidRPr="006E709F">
        <w:tab/>
        <w:t>was covered by provisions of the operating rules of the market relating to transactions effected through the market; and</w:t>
      </w:r>
    </w:p>
    <w:p w:rsidR="002A22A4" w:rsidRPr="006E709F" w:rsidRDefault="002A22A4" w:rsidP="00A801D0">
      <w:pPr>
        <w:pStyle w:val="paragraphsub"/>
      </w:pPr>
      <w:r w:rsidRPr="006E709F">
        <w:tab/>
        <w:t>(ii)</w:t>
      </w:r>
      <w:r w:rsidRPr="006E709F">
        <w:tab/>
        <w:t xml:space="preserve">related to a particular financial product that was not covered by the compensation regime constituted by </w:t>
      </w:r>
      <w:r w:rsidR="00A801D0" w:rsidRPr="006E709F">
        <w:t>Division</w:t>
      </w:r>
      <w:r w:rsidR="00DA13DE" w:rsidRPr="006E709F">
        <w:t> </w:t>
      </w:r>
      <w:r w:rsidRPr="006E709F">
        <w:t>4; and</w:t>
      </w:r>
    </w:p>
    <w:p w:rsidR="002A22A4" w:rsidRPr="006E709F" w:rsidRDefault="002A22A4" w:rsidP="00714BE7">
      <w:pPr>
        <w:pStyle w:val="ItemHead"/>
      </w:pPr>
      <w:r w:rsidRPr="006E709F">
        <w:t>5</w:t>
      </w:r>
      <w:r w:rsidR="00714BE7" w:rsidRPr="006E709F">
        <w:t xml:space="preserve">  </w:t>
      </w:r>
      <w:r w:rsidRPr="006E709F">
        <w:t>Section</w:t>
      </w:r>
      <w:r w:rsidR="00DA13DE" w:rsidRPr="006E709F">
        <w:t> </w:t>
      </w:r>
      <w:r w:rsidRPr="006E709F">
        <w:t>885D, heading</w:t>
      </w:r>
    </w:p>
    <w:p w:rsidR="00A801D0" w:rsidRPr="006E709F" w:rsidRDefault="00A801D0" w:rsidP="00714BE7">
      <w:pPr>
        <w:pStyle w:val="Item"/>
        <w:rPr>
          <w:i/>
        </w:rPr>
      </w:pPr>
      <w:r w:rsidRPr="006E709F">
        <w:rPr>
          <w:i/>
        </w:rPr>
        <w:t>substitute</w:t>
      </w:r>
    </w:p>
    <w:p w:rsidR="002A22A4" w:rsidRPr="006E709F" w:rsidRDefault="00714BE7" w:rsidP="00F32DDD">
      <w:pPr>
        <w:pStyle w:val="Specials"/>
      </w:pPr>
      <w:r w:rsidRPr="006E709F">
        <w:lastRenderedPageBreak/>
        <w:t xml:space="preserve">885D  </w:t>
      </w:r>
      <w:r w:rsidR="002A22A4" w:rsidRPr="006E709F">
        <w:t xml:space="preserve">Certain losses that are or are not </w:t>
      </w:r>
      <w:r w:rsidR="00A801D0" w:rsidRPr="006E709F">
        <w:t>Division</w:t>
      </w:r>
      <w:r w:rsidR="00DA13DE" w:rsidRPr="006E709F">
        <w:t> </w:t>
      </w:r>
      <w:r w:rsidR="002A22A4" w:rsidRPr="006E709F">
        <w:t>3 losses</w:t>
      </w:r>
    </w:p>
    <w:p w:rsidR="002A22A4" w:rsidRPr="006E709F" w:rsidRDefault="002A22A4" w:rsidP="00714BE7">
      <w:pPr>
        <w:pStyle w:val="ItemHead"/>
      </w:pPr>
      <w:r w:rsidRPr="006E709F">
        <w:t>6</w:t>
      </w:r>
      <w:r w:rsidR="00714BE7" w:rsidRPr="006E709F">
        <w:t xml:space="preserve">  </w:t>
      </w:r>
      <w:r w:rsidR="000D0B82" w:rsidRPr="006E709F">
        <w:t>After subsection</w:t>
      </w:r>
      <w:r w:rsidR="00DA13DE" w:rsidRPr="006E709F">
        <w:t> </w:t>
      </w:r>
      <w:r w:rsidRPr="006E709F">
        <w:t>885D(2)</w:t>
      </w:r>
    </w:p>
    <w:p w:rsidR="00A801D0" w:rsidRPr="006E709F" w:rsidRDefault="000D0B82" w:rsidP="00714BE7">
      <w:pPr>
        <w:pStyle w:val="Item"/>
        <w:rPr>
          <w:i/>
        </w:rPr>
      </w:pPr>
      <w:r w:rsidRPr="006E709F">
        <w:rPr>
          <w:i/>
        </w:rPr>
        <w:t>Insert:</w:t>
      </w:r>
    </w:p>
    <w:p w:rsidR="002A22A4" w:rsidRPr="006E709F" w:rsidRDefault="002A22A4" w:rsidP="00A801D0">
      <w:pPr>
        <w:pStyle w:val="subsection"/>
      </w:pPr>
      <w:r w:rsidRPr="006E709F">
        <w:tab/>
      </w:r>
      <w:r w:rsidR="005A191D" w:rsidRPr="006E709F">
        <w:t>(2A)</w:t>
      </w:r>
      <w:r w:rsidRPr="006E709F">
        <w:tab/>
      </w:r>
      <w:r w:rsidR="000D0B82" w:rsidRPr="006E709F">
        <w:t xml:space="preserve">Despite </w:t>
      </w:r>
      <w:r w:rsidR="00DA13DE" w:rsidRPr="006E709F">
        <w:t>subsection (</w:t>
      </w:r>
      <w:r w:rsidR="000D0B82" w:rsidRPr="006E709F">
        <w:t>2), if</w:t>
      </w:r>
      <w:r w:rsidRPr="006E709F">
        <w:t>, in relation to a loss suffered by a person:</w:t>
      </w:r>
    </w:p>
    <w:p w:rsidR="002A22A4" w:rsidRPr="006E709F" w:rsidRDefault="002A22A4" w:rsidP="00A801D0">
      <w:pPr>
        <w:pStyle w:val="paragraph"/>
      </w:pPr>
      <w:r w:rsidRPr="006E709F">
        <w:tab/>
        <w:t>(a)</w:t>
      </w:r>
      <w:r w:rsidRPr="006E709F">
        <w:tab/>
        <w:t>the requirements of subsection</w:t>
      </w:r>
      <w:r w:rsidR="00DA13DE" w:rsidRPr="006E709F">
        <w:t> </w:t>
      </w:r>
      <w:r w:rsidRPr="006E709F">
        <w:t xml:space="preserve">885C(1) are satisfied in relation to a participant and a financial market, except that it is not reasonably apparent whether the compensation regime constituted by </w:t>
      </w:r>
      <w:r w:rsidR="00A801D0" w:rsidRPr="006E709F">
        <w:t>Division</w:t>
      </w:r>
      <w:r w:rsidR="00DA13DE" w:rsidRPr="006E709F">
        <w:t> </w:t>
      </w:r>
      <w:r w:rsidRPr="006E709F">
        <w:t>3 or by Division</w:t>
      </w:r>
      <w:r w:rsidR="00DA13DE" w:rsidRPr="006E709F">
        <w:t> </w:t>
      </w:r>
      <w:r w:rsidRPr="006E709F">
        <w:t>4 covered the transaction, or proposed transaction; and</w:t>
      </w:r>
    </w:p>
    <w:p w:rsidR="002A22A4" w:rsidRPr="006E709F" w:rsidRDefault="002A22A4" w:rsidP="00A801D0">
      <w:pPr>
        <w:pStyle w:val="paragraph"/>
      </w:pPr>
      <w:r w:rsidRPr="006E709F">
        <w:tab/>
        <w:t>(b)</w:t>
      </w:r>
      <w:r w:rsidRPr="006E709F">
        <w:tab/>
        <w:t xml:space="preserve">the relevant financial market has both </w:t>
      </w:r>
      <w:r w:rsidR="00A801D0" w:rsidRPr="006E709F">
        <w:t>Division</w:t>
      </w:r>
      <w:r w:rsidR="00DA13DE" w:rsidRPr="006E709F">
        <w:t> </w:t>
      </w:r>
      <w:r w:rsidRPr="006E709F">
        <w:t xml:space="preserve">3 and </w:t>
      </w:r>
      <w:r w:rsidR="00A801D0" w:rsidRPr="006E709F">
        <w:t>Division</w:t>
      </w:r>
      <w:r w:rsidR="00DA13DE" w:rsidRPr="006E709F">
        <w:t> </w:t>
      </w:r>
      <w:r w:rsidRPr="006E709F">
        <w:t>4 arrangements; and</w:t>
      </w:r>
    </w:p>
    <w:p w:rsidR="002A22A4" w:rsidRPr="006E709F" w:rsidRDefault="002A22A4" w:rsidP="00A801D0">
      <w:pPr>
        <w:pStyle w:val="paragraph"/>
      </w:pPr>
      <w:r w:rsidRPr="006E709F">
        <w:tab/>
        <w:t>(c)</w:t>
      </w:r>
      <w:r w:rsidRPr="006E709F">
        <w:tab/>
        <w:t>either:</w:t>
      </w:r>
    </w:p>
    <w:p w:rsidR="002A22A4" w:rsidRPr="006E709F" w:rsidRDefault="002A22A4" w:rsidP="00A801D0">
      <w:pPr>
        <w:pStyle w:val="paragraphsub"/>
      </w:pPr>
      <w:r w:rsidRPr="006E709F">
        <w:tab/>
        <w:t>(i)</w:t>
      </w:r>
      <w:r w:rsidRPr="006E709F">
        <w:tab/>
        <w:t>the person did not (expressly or impliedly) instruct the participant to use the money or other property to enter into</w:t>
      </w:r>
      <w:r w:rsidR="00802C6E" w:rsidRPr="006E709F">
        <w:t xml:space="preserve"> </w:t>
      </w:r>
      <w:r w:rsidRPr="006E709F">
        <w:t xml:space="preserve">a transaction that would be covered by the compensation regime constituted by </w:t>
      </w:r>
      <w:r w:rsidR="00A801D0" w:rsidRPr="006E709F">
        <w:t>Division</w:t>
      </w:r>
      <w:r w:rsidR="00DA13DE" w:rsidRPr="006E709F">
        <w:t> </w:t>
      </w:r>
      <w:r w:rsidRPr="006E709F">
        <w:t xml:space="preserve">3 or by </w:t>
      </w:r>
      <w:r w:rsidR="00A801D0" w:rsidRPr="006E709F">
        <w:t>Division</w:t>
      </w:r>
      <w:r w:rsidR="00DA13DE" w:rsidRPr="006E709F">
        <w:t> </w:t>
      </w:r>
      <w:r w:rsidRPr="006E709F">
        <w:t>4; or</w:t>
      </w:r>
    </w:p>
    <w:p w:rsidR="002A22A4" w:rsidRPr="006E709F" w:rsidRDefault="002A22A4" w:rsidP="00A801D0">
      <w:pPr>
        <w:pStyle w:val="paragraphsub"/>
      </w:pPr>
      <w:r w:rsidRPr="006E709F">
        <w:tab/>
        <w:t>(ii)</w:t>
      </w:r>
      <w:r w:rsidRPr="006E709F">
        <w:tab/>
        <w:t xml:space="preserve">if the participant had authority to enter into transactions on the person’s behalf without specific authority, there is no evidence that the participant decided to use the money or other property to enter into a transaction that would be covered by the compensation regime constituted by </w:t>
      </w:r>
      <w:r w:rsidR="00A801D0" w:rsidRPr="006E709F">
        <w:t>Division</w:t>
      </w:r>
      <w:r w:rsidR="00DA13DE" w:rsidRPr="006E709F">
        <w:t> </w:t>
      </w:r>
      <w:r w:rsidRPr="006E709F">
        <w:t xml:space="preserve">3 or by </w:t>
      </w:r>
      <w:r w:rsidR="00A801D0" w:rsidRPr="006E709F">
        <w:t>Division</w:t>
      </w:r>
      <w:r w:rsidR="00DA13DE" w:rsidRPr="006E709F">
        <w:t> </w:t>
      </w:r>
      <w:r w:rsidRPr="006E709F">
        <w:t>4; and</w:t>
      </w:r>
    </w:p>
    <w:p w:rsidR="002A22A4" w:rsidRPr="006E709F" w:rsidRDefault="002A22A4" w:rsidP="00A801D0">
      <w:pPr>
        <w:pStyle w:val="paragraph"/>
      </w:pPr>
      <w:r w:rsidRPr="006E709F">
        <w:tab/>
        <w:t>(d)</w:t>
      </w:r>
      <w:r w:rsidRPr="006E709F">
        <w:tab/>
        <w:t xml:space="preserve">the participant was permitted to trade in products that would be covered by the compensation regimes constituted by </w:t>
      </w:r>
      <w:r w:rsidR="00A801D0" w:rsidRPr="006E709F">
        <w:t>Division</w:t>
      </w:r>
      <w:r w:rsidR="00DA13DE" w:rsidRPr="006E709F">
        <w:t> </w:t>
      </w:r>
      <w:r w:rsidRPr="006E709F">
        <w:t xml:space="preserve">3 and by </w:t>
      </w:r>
      <w:r w:rsidR="00A801D0" w:rsidRPr="006E709F">
        <w:t>Division</w:t>
      </w:r>
      <w:r w:rsidR="00DA13DE" w:rsidRPr="006E709F">
        <w:t> </w:t>
      </w:r>
      <w:r w:rsidRPr="006E709F">
        <w:t>4; and</w:t>
      </w:r>
    </w:p>
    <w:p w:rsidR="002A22A4" w:rsidRPr="006E709F" w:rsidRDefault="002A22A4" w:rsidP="00A801D0">
      <w:pPr>
        <w:pStyle w:val="paragraph"/>
      </w:pPr>
      <w:r w:rsidRPr="006E709F">
        <w:tab/>
        <w:t>(e)</w:t>
      </w:r>
      <w:r w:rsidRPr="006E709F">
        <w:tab/>
        <w:t>it is not reasonably apparent from the usual business practice of the participant which of those transactions the participant proposed to undertake;</w:t>
      </w:r>
    </w:p>
    <w:p w:rsidR="002A22A4" w:rsidRPr="006E709F" w:rsidRDefault="002A22A4" w:rsidP="00A801D0">
      <w:pPr>
        <w:pStyle w:val="subsection2"/>
      </w:pPr>
      <w:r w:rsidRPr="006E709F">
        <w:t xml:space="preserve">the loss is taken to be a </w:t>
      </w:r>
      <w:r w:rsidR="00A801D0" w:rsidRPr="006E709F">
        <w:rPr>
          <w:b/>
          <w:i/>
        </w:rPr>
        <w:t>Division</w:t>
      </w:r>
      <w:r w:rsidR="00DA13DE" w:rsidRPr="006E709F">
        <w:rPr>
          <w:b/>
          <w:i/>
        </w:rPr>
        <w:t> </w:t>
      </w:r>
      <w:r w:rsidRPr="006E709F">
        <w:rPr>
          <w:b/>
          <w:i/>
        </w:rPr>
        <w:t>3 loss</w:t>
      </w:r>
      <w:r w:rsidRPr="006E709F">
        <w:t xml:space="preserve"> and not to be a loss that is connected with a financial market to which </w:t>
      </w:r>
      <w:r w:rsidR="00A801D0" w:rsidRPr="006E709F">
        <w:t>Division</w:t>
      </w:r>
      <w:r w:rsidR="00DA13DE" w:rsidRPr="006E709F">
        <w:t> </w:t>
      </w:r>
      <w:r w:rsidRPr="006E709F">
        <w:t>4 applies.</w:t>
      </w:r>
    </w:p>
    <w:p w:rsidR="000D0B82" w:rsidRPr="006E709F" w:rsidRDefault="000D0B82" w:rsidP="000D0B82">
      <w:pPr>
        <w:pStyle w:val="subsection"/>
      </w:pPr>
      <w:r w:rsidRPr="006E709F">
        <w:tab/>
        <w:t>(2B)</w:t>
      </w:r>
      <w:r w:rsidRPr="006E709F">
        <w:tab/>
        <w:t xml:space="preserve">Despite </w:t>
      </w:r>
      <w:r w:rsidR="00DA13DE" w:rsidRPr="006E709F">
        <w:t>subsection (</w:t>
      </w:r>
      <w:r w:rsidRPr="006E709F">
        <w:t>2), if:</w:t>
      </w:r>
    </w:p>
    <w:p w:rsidR="000D0B82" w:rsidRPr="006E709F" w:rsidRDefault="000D0B82" w:rsidP="000D0B82">
      <w:pPr>
        <w:pStyle w:val="paragraph"/>
      </w:pPr>
      <w:r w:rsidRPr="006E709F">
        <w:tab/>
        <w:t>(a)</w:t>
      </w:r>
      <w:r w:rsidRPr="006E709F">
        <w:tab/>
        <w:t>the requirements of subsection</w:t>
      </w:r>
      <w:r w:rsidR="00DA13DE" w:rsidRPr="006E709F">
        <w:t> </w:t>
      </w:r>
      <w:r w:rsidRPr="006E709F">
        <w:t>885C(1) are satisfied in relation to a participant and a financial market; and</w:t>
      </w:r>
    </w:p>
    <w:p w:rsidR="000D0B82" w:rsidRPr="006E709F" w:rsidRDefault="000D0B82" w:rsidP="000D0B82">
      <w:pPr>
        <w:pStyle w:val="paragraph"/>
      </w:pPr>
      <w:r w:rsidRPr="006E709F">
        <w:tab/>
        <w:t>(b)</w:t>
      </w:r>
      <w:r w:rsidRPr="006E709F">
        <w:tab/>
        <w:t>the loss is also connected (see section</w:t>
      </w:r>
      <w:r w:rsidR="00DA13DE" w:rsidRPr="006E709F">
        <w:t> </w:t>
      </w:r>
      <w:r w:rsidRPr="006E709F">
        <w:t>888A) with a financial market to which Division</w:t>
      </w:r>
      <w:r w:rsidR="00DA13DE" w:rsidRPr="006E709F">
        <w:t> </w:t>
      </w:r>
      <w:r w:rsidRPr="006E709F">
        <w:t>4 applies; and</w:t>
      </w:r>
    </w:p>
    <w:p w:rsidR="000D0B82" w:rsidRPr="006E709F" w:rsidRDefault="000D0B82" w:rsidP="000D0B82">
      <w:pPr>
        <w:pStyle w:val="paragraph"/>
      </w:pPr>
      <w:r w:rsidRPr="006E709F">
        <w:tab/>
        <w:t>(c)</w:t>
      </w:r>
      <w:r w:rsidRPr="006E709F">
        <w:tab/>
        <w:t>the person did not (expressly or impliedly) instruct the participant to use a particular one of those markets; and</w:t>
      </w:r>
    </w:p>
    <w:p w:rsidR="000D0B82" w:rsidRPr="006E709F" w:rsidRDefault="000D0B82" w:rsidP="000D0B82">
      <w:pPr>
        <w:pStyle w:val="paragraph"/>
      </w:pPr>
      <w:r w:rsidRPr="006E709F">
        <w:tab/>
        <w:t>(d)</w:t>
      </w:r>
      <w:r w:rsidRPr="006E709F">
        <w:tab/>
        <w:t>it is not reasonably apparent from the usual business practice of the participant which of those markets the participant would use when acting for the person; and</w:t>
      </w:r>
    </w:p>
    <w:p w:rsidR="000D0B82" w:rsidRPr="006E709F" w:rsidRDefault="000D0B82" w:rsidP="000D0B82">
      <w:pPr>
        <w:pStyle w:val="paragraph"/>
      </w:pPr>
      <w:r w:rsidRPr="006E709F">
        <w:tab/>
        <w:t>(e)</w:t>
      </w:r>
      <w:r w:rsidRPr="006E709F">
        <w:tab/>
        <w:t>the loss is connected with a transaction effected through a financial market to which Division</w:t>
      </w:r>
      <w:r w:rsidR="00DA13DE" w:rsidRPr="006E709F">
        <w:t> </w:t>
      </w:r>
      <w:r w:rsidRPr="006E709F">
        <w:t>3 applies; and</w:t>
      </w:r>
    </w:p>
    <w:p w:rsidR="000D0B82" w:rsidRPr="006E709F" w:rsidRDefault="000D0B82" w:rsidP="000D0B82">
      <w:pPr>
        <w:pStyle w:val="paragraph"/>
      </w:pPr>
      <w:r w:rsidRPr="006E709F">
        <w:tab/>
        <w:t>(f)</w:t>
      </w:r>
      <w:r w:rsidRPr="006E709F">
        <w:tab/>
        <w:t>a claim cannot be made, or has been disallowed, under Division</w:t>
      </w:r>
      <w:r w:rsidR="00DA13DE" w:rsidRPr="006E709F">
        <w:t> </w:t>
      </w:r>
      <w:r w:rsidRPr="006E709F">
        <w:t>4 (see subsection</w:t>
      </w:r>
      <w:r w:rsidR="00DA13DE" w:rsidRPr="006E709F">
        <w:t> </w:t>
      </w:r>
      <w:r w:rsidRPr="006E709F">
        <w:t>888A(1));</w:t>
      </w:r>
    </w:p>
    <w:p w:rsidR="000D0B82" w:rsidRPr="006E709F" w:rsidRDefault="000D0B82" w:rsidP="000D0B82">
      <w:pPr>
        <w:pStyle w:val="subsection2"/>
      </w:pPr>
      <w:r w:rsidRPr="006E709F">
        <w:t xml:space="preserve">the loss is taken to be a </w:t>
      </w:r>
      <w:r w:rsidRPr="006E709F">
        <w:rPr>
          <w:b/>
          <w:bCs/>
          <w:i/>
          <w:iCs/>
        </w:rPr>
        <w:t>Division</w:t>
      </w:r>
      <w:r w:rsidR="00DA13DE" w:rsidRPr="006E709F">
        <w:rPr>
          <w:b/>
          <w:bCs/>
          <w:i/>
          <w:iCs/>
        </w:rPr>
        <w:t> </w:t>
      </w:r>
      <w:r w:rsidRPr="006E709F">
        <w:rPr>
          <w:b/>
          <w:bCs/>
          <w:i/>
          <w:iCs/>
        </w:rPr>
        <w:t>3 loss</w:t>
      </w:r>
      <w:r w:rsidRPr="006E709F">
        <w:t xml:space="preserve"> and not to be a loss that is connected with a financial market to which Division</w:t>
      </w:r>
      <w:r w:rsidR="00DA13DE" w:rsidRPr="006E709F">
        <w:t> </w:t>
      </w:r>
      <w:r w:rsidRPr="006E709F">
        <w:t>4 applies.</w:t>
      </w:r>
    </w:p>
    <w:p w:rsidR="002A22A4" w:rsidRPr="006E709F" w:rsidRDefault="002A22A4" w:rsidP="00714BE7">
      <w:pPr>
        <w:pStyle w:val="ItemHead"/>
      </w:pPr>
      <w:r w:rsidRPr="006E709F">
        <w:lastRenderedPageBreak/>
        <w:t>7</w:t>
      </w:r>
      <w:r w:rsidR="00891FC0" w:rsidRPr="006E709F">
        <w:t xml:space="preserve">  </w:t>
      </w:r>
      <w:r w:rsidRPr="006E709F">
        <w:t>Subsection</w:t>
      </w:r>
      <w:r w:rsidR="00DA13DE" w:rsidRPr="006E709F">
        <w:t> </w:t>
      </w:r>
      <w:r w:rsidRPr="006E709F">
        <w:t>885J(1)</w:t>
      </w:r>
    </w:p>
    <w:p w:rsidR="00A801D0" w:rsidRPr="006E709F" w:rsidRDefault="00A801D0" w:rsidP="00714BE7">
      <w:pPr>
        <w:pStyle w:val="Item"/>
        <w:rPr>
          <w:i/>
        </w:rPr>
      </w:pPr>
      <w:r w:rsidRPr="006E709F">
        <w:rPr>
          <w:i/>
        </w:rPr>
        <w:t>omit</w:t>
      </w:r>
    </w:p>
    <w:p w:rsidR="002A22A4" w:rsidRPr="006E709F" w:rsidRDefault="002A22A4" w:rsidP="00714BE7">
      <w:pPr>
        <w:pStyle w:val="Item"/>
      </w:pPr>
      <w:r w:rsidRPr="006E709F">
        <w:t>adequate,</w:t>
      </w:r>
    </w:p>
    <w:p w:rsidR="00A801D0" w:rsidRPr="006E709F" w:rsidRDefault="00A801D0" w:rsidP="00714BE7">
      <w:pPr>
        <w:pStyle w:val="Item"/>
        <w:rPr>
          <w:i/>
        </w:rPr>
      </w:pPr>
      <w:r w:rsidRPr="006E709F">
        <w:rPr>
          <w:i/>
        </w:rPr>
        <w:t>insert</w:t>
      </w:r>
    </w:p>
    <w:p w:rsidR="002A22A4" w:rsidRPr="006E709F" w:rsidRDefault="002A22A4" w:rsidP="00714BE7">
      <w:pPr>
        <w:pStyle w:val="Item"/>
      </w:pPr>
      <w:r w:rsidRPr="006E709F">
        <w:t>adequate for the market, or segment of the market, for which the arrangements apply,</w:t>
      </w:r>
    </w:p>
    <w:p w:rsidR="002A22A4" w:rsidRPr="006E709F" w:rsidRDefault="002A22A4" w:rsidP="00A25488">
      <w:pPr>
        <w:pStyle w:val="ItemHead"/>
      </w:pPr>
      <w:r w:rsidRPr="006E709F">
        <w:t>8</w:t>
      </w:r>
      <w:r w:rsidR="00891FC0" w:rsidRPr="006E709F">
        <w:t xml:space="preserve">  </w:t>
      </w:r>
      <w:r w:rsidRPr="006E709F">
        <w:t>Section</w:t>
      </w:r>
      <w:r w:rsidR="00DA13DE" w:rsidRPr="006E709F">
        <w:t> </w:t>
      </w:r>
      <w:r w:rsidRPr="006E709F">
        <w:t>887A</w:t>
      </w:r>
    </w:p>
    <w:p w:rsidR="00A801D0" w:rsidRPr="006E709F" w:rsidRDefault="00A801D0" w:rsidP="00A25488">
      <w:pPr>
        <w:pStyle w:val="Item"/>
        <w:keepNext/>
        <w:rPr>
          <w:i/>
        </w:rPr>
      </w:pPr>
      <w:r w:rsidRPr="006E709F">
        <w:rPr>
          <w:i/>
        </w:rPr>
        <w:t>substitute</w:t>
      </w:r>
    </w:p>
    <w:p w:rsidR="002A22A4" w:rsidRPr="006E709F" w:rsidRDefault="00891FC0" w:rsidP="00F32DDD">
      <w:pPr>
        <w:pStyle w:val="Specials"/>
      </w:pPr>
      <w:r w:rsidRPr="006E709F">
        <w:t xml:space="preserve">887A  </w:t>
      </w:r>
      <w:r w:rsidR="002A22A4" w:rsidRPr="006E709F">
        <w:t xml:space="preserve">Markets to which this </w:t>
      </w:r>
      <w:r w:rsidR="00A801D0" w:rsidRPr="006E709F">
        <w:t>Division</w:t>
      </w:r>
      <w:r w:rsidR="00E376FA" w:rsidRPr="006E709F">
        <w:t xml:space="preserve"> </w:t>
      </w:r>
      <w:r w:rsidR="002A22A4" w:rsidRPr="006E709F">
        <w:t>applies</w:t>
      </w:r>
    </w:p>
    <w:p w:rsidR="002A22A4" w:rsidRPr="006E709F" w:rsidRDefault="002A22A4" w:rsidP="00A801D0">
      <w:pPr>
        <w:pStyle w:val="subsection"/>
      </w:pPr>
      <w:r w:rsidRPr="006E709F">
        <w:tab/>
        <w:t>(1)</w:t>
      </w:r>
      <w:r w:rsidRPr="006E709F">
        <w:tab/>
        <w:t xml:space="preserve">This </w:t>
      </w:r>
      <w:r w:rsidR="00A801D0" w:rsidRPr="006E709F">
        <w:t>Division</w:t>
      </w:r>
      <w:r w:rsidR="00E376FA" w:rsidRPr="006E709F">
        <w:t xml:space="preserve"> </w:t>
      </w:r>
      <w:r w:rsidRPr="006E709F">
        <w:t>applies to a financial market that is operated by:</w:t>
      </w:r>
    </w:p>
    <w:p w:rsidR="002A22A4" w:rsidRPr="006E709F" w:rsidRDefault="002A22A4" w:rsidP="00A801D0">
      <w:pPr>
        <w:pStyle w:val="paragraph"/>
      </w:pPr>
      <w:r w:rsidRPr="006E709F">
        <w:tab/>
        <w:t>(a)</w:t>
      </w:r>
      <w:r w:rsidRPr="006E709F">
        <w:tab/>
        <w:t>a body corporate that is a member of the SEGC; or</w:t>
      </w:r>
    </w:p>
    <w:p w:rsidR="002A22A4" w:rsidRPr="006E709F" w:rsidRDefault="002A22A4" w:rsidP="00A801D0">
      <w:pPr>
        <w:pStyle w:val="paragraph"/>
      </w:pPr>
      <w:r w:rsidRPr="006E709F">
        <w:tab/>
        <w:t>(b)</w:t>
      </w:r>
      <w:r w:rsidRPr="006E709F">
        <w:tab/>
        <w:t>a body corporate that is a subsidiary of such a member.</w:t>
      </w:r>
    </w:p>
    <w:p w:rsidR="002A22A4" w:rsidRPr="006E709F" w:rsidRDefault="002A22A4" w:rsidP="00A801D0">
      <w:pPr>
        <w:pStyle w:val="subsection"/>
      </w:pPr>
      <w:r w:rsidRPr="006E709F">
        <w:tab/>
        <w:t>(2)</w:t>
      </w:r>
      <w:r w:rsidRPr="006E709F">
        <w:tab/>
        <w:t xml:space="preserve">However, this </w:t>
      </w:r>
      <w:r w:rsidR="00A801D0" w:rsidRPr="006E709F">
        <w:t>Division</w:t>
      </w:r>
      <w:r w:rsidR="00E376FA" w:rsidRPr="006E709F">
        <w:t xml:space="preserve"> </w:t>
      </w:r>
      <w:r w:rsidRPr="006E709F">
        <w:t xml:space="preserve">does not apply to a market mentioned in </w:t>
      </w:r>
      <w:r w:rsidR="00DA13DE" w:rsidRPr="006E709F">
        <w:t>subsection (</w:t>
      </w:r>
      <w:r w:rsidRPr="006E709F">
        <w:t>1):</w:t>
      </w:r>
    </w:p>
    <w:p w:rsidR="002A22A4" w:rsidRPr="006E709F" w:rsidRDefault="002A22A4" w:rsidP="00A801D0">
      <w:pPr>
        <w:pStyle w:val="paragraph"/>
      </w:pPr>
      <w:r w:rsidRPr="006E709F">
        <w:tab/>
        <w:t>(a)</w:t>
      </w:r>
      <w:r w:rsidRPr="006E709F">
        <w:tab/>
        <w:t>that the regulations state is not covered by this Division; or</w:t>
      </w:r>
    </w:p>
    <w:p w:rsidR="002A22A4" w:rsidRPr="006E709F" w:rsidRDefault="002A22A4" w:rsidP="00A801D0">
      <w:pPr>
        <w:pStyle w:val="paragraph"/>
      </w:pPr>
      <w:r w:rsidRPr="006E709F">
        <w:tab/>
        <w:t>(b)</w:t>
      </w:r>
      <w:r w:rsidRPr="006E709F">
        <w:tab/>
        <w:t xml:space="preserve">to the extent that it involves financial products covered by the compensation regime constituted by </w:t>
      </w:r>
      <w:r w:rsidR="00A801D0" w:rsidRPr="006E709F">
        <w:t>Division</w:t>
      </w:r>
      <w:r w:rsidR="00DA13DE" w:rsidRPr="006E709F">
        <w:t> </w:t>
      </w:r>
      <w:r w:rsidRPr="006E709F">
        <w:t>3.</w:t>
      </w:r>
    </w:p>
    <w:p w:rsidR="002A22A4" w:rsidRPr="006E709F" w:rsidRDefault="002A22A4" w:rsidP="00714BE7">
      <w:pPr>
        <w:pStyle w:val="ItemHead"/>
      </w:pPr>
      <w:r w:rsidRPr="006E709F">
        <w:t>9</w:t>
      </w:r>
      <w:r w:rsidR="00891FC0" w:rsidRPr="006E709F">
        <w:t xml:space="preserve">  </w:t>
      </w:r>
      <w:r w:rsidRPr="006E709F">
        <w:t>After subsection</w:t>
      </w:r>
      <w:r w:rsidR="00DA13DE" w:rsidRPr="006E709F">
        <w:t> </w:t>
      </w:r>
      <w:r w:rsidRPr="006E709F">
        <w:t>889J(1)</w:t>
      </w:r>
    </w:p>
    <w:p w:rsidR="00A801D0" w:rsidRPr="006E709F" w:rsidRDefault="00A801D0" w:rsidP="00714BE7">
      <w:pPr>
        <w:pStyle w:val="Item"/>
        <w:rPr>
          <w:i/>
        </w:rPr>
      </w:pPr>
      <w:r w:rsidRPr="006E709F">
        <w:rPr>
          <w:i/>
        </w:rPr>
        <w:t>insert</w:t>
      </w:r>
    </w:p>
    <w:p w:rsidR="002A22A4" w:rsidRPr="006E709F" w:rsidRDefault="002A22A4" w:rsidP="00A801D0">
      <w:pPr>
        <w:pStyle w:val="subsection"/>
      </w:pPr>
      <w:r w:rsidRPr="006E709F">
        <w:tab/>
        <w:t>(1A)</w:t>
      </w:r>
      <w:r w:rsidRPr="006E709F">
        <w:tab/>
        <w:t xml:space="preserve">However, a levy is payable only by an operator or a participant (including a participant who is suspended), in a financial market to which this </w:t>
      </w:r>
      <w:r w:rsidR="00A801D0" w:rsidRPr="006E709F">
        <w:t>Division</w:t>
      </w:r>
      <w:r w:rsidR="00E376FA" w:rsidRPr="006E709F">
        <w:t xml:space="preserve"> </w:t>
      </w:r>
      <w:r w:rsidRPr="006E709F">
        <w:t xml:space="preserve">applies, who is permitted to trade on that market a financial product to which this </w:t>
      </w:r>
      <w:r w:rsidR="00A801D0" w:rsidRPr="006E709F">
        <w:t>Division</w:t>
      </w:r>
      <w:r w:rsidR="00E376FA" w:rsidRPr="006E709F">
        <w:t xml:space="preserve"> </w:t>
      </w:r>
      <w:r w:rsidRPr="006E709F">
        <w:t>applies.</w:t>
      </w:r>
    </w:p>
    <w:p w:rsidR="002A22A4" w:rsidRPr="006E709F" w:rsidRDefault="002A22A4" w:rsidP="00714BE7">
      <w:pPr>
        <w:pStyle w:val="ItemHead"/>
      </w:pPr>
      <w:r w:rsidRPr="006E709F">
        <w:t>10</w:t>
      </w:r>
      <w:r w:rsidR="00891FC0" w:rsidRPr="006E709F">
        <w:t xml:space="preserve">  </w:t>
      </w:r>
      <w:r w:rsidRPr="006E709F">
        <w:t>After subsection</w:t>
      </w:r>
      <w:r w:rsidR="00DA13DE" w:rsidRPr="006E709F">
        <w:t> </w:t>
      </w:r>
      <w:r w:rsidRPr="006E709F">
        <w:t>889K(2)</w:t>
      </w:r>
    </w:p>
    <w:p w:rsidR="00A801D0" w:rsidRPr="006E709F" w:rsidRDefault="00A801D0" w:rsidP="00714BE7">
      <w:pPr>
        <w:pStyle w:val="Item"/>
        <w:rPr>
          <w:i/>
        </w:rPr>
      </w:pPr>
      <w:r w:rsidRPr="006E709F">
        <w:rPr>
          <w:i/>
        </w:rPr>
        <w:t>insert</w:t>
      </w:r>
    </w:p>
    <w:p w:rsidR="002A22A4" w:rsidRPr="006E709F" w:rsidRDefault="002A22A4" w:rsidP="00A801D0">
      <w:pPr>
        <w:pStyle w:val="subsection"/>
      </w:pPr>
      <w:r w:rsidRPr="006E709F">
        <w:tab/>
        <w:t>(2A)</w:t>
      </w:r>
      <w:r w:rsidRPr="006E709F">
        <w:tab/>
        <w:t xml:space="preserve">However, a levy is payable only by a participant (including a participant who is suspended), in a financial market to which this </w:t>
      </w:r>
      <w:r w:rsidR="00A801D0" w:rsidRPr="006E709F">
        <w:t>Division</w:t>
      </w:r>
      <w:r w:rsidR="00E376FA" w:rsidRPr="006E709F">
        <w:t xml:space="preserve"> </w:t>
      </w:r>
      <w:r w:rsidRPr="006E709F">
        <w:t xml:space="preserve">applies, who is permitted to trade on that market a financial product to which this </w:t>
      </w:r>
      <w:r w:rsidR="00A801D0" w:rsidRPr="006E709F">
        <w:t>Division</w:t>
      </w:r>
      <w:r w:rsidR="00E376FA" w:rsidRPr="006E709F">
        <w:t xml:space="preserve"> </w:t>
      </w:r>
      <w:r w:rsidRPr="006E709F">
        <w:t>applies.</w:t>
      </w:r>
    </w:p>
    <w:p w:rsidR="00C4352B" w:rsidRPr="006E709F" w:rsidRDefault="00891FC0" w:rsidP="00714BE7">
      <w:pPr>
        <w:pStyle w:val="ItemHead"/>
      </w:pPr>
      <w:r w:rsidRPr="006E709F">
        <w:t xml:space="preserve">10A  </w:t>
      </w:r>
      <w:r w:rsidR="00C4352B" w:rsidRPr="006E709F">
        <w:t>After subsection</w:t>
      </w:r>
      <w:r w:rsidR="00DA13DE" w:rsidRPr="006E709F">
        <w:t> </w:t>
      </w:r>
      <w:r w:rsidR="00C4352B" w:rsidRPr="006E709F">
        <w:t>892B(1), including the note</w:t>
      </w:r>
    </w:p>
    <w:p w:rsidR="00A801D0" w:rsidRPr="006E709F" w:rsidRDefault="00A801D0" w:rsidP="00714BE7">
      <w:pPr>
        <w:pStyle w:val="Item"/>
        <w:rPr>
          <w:i/>
        </w:rPr>
      </w:pPr>
      <w:r w:rsidRPr="006E709F">
        <w:rPr>
          <w:i/>
        </w:rPr>
        <w:t>insert</w:t>
      </w:r>
    </w:p>
    <w:p w:rsidR="00C4352B" w:rsidRPr="006E709F" w:rsidRDefault="00C4352B" w:rsidP="00A801D0">
      <w:pPr>
        <w:pStyle w:val="subsection"/>
      </w:pPr>
      <w:r w:rsidRPr="006E709F">
        <w:tab/>
        <w:t>(1A)</w:t>
      </w:r>
      <w:r w:rsidRPr="006E709F">
        <w:tab/>
        <w:t xml:space="preserve">Nothing in </w:t>
      </w:r>
      <w:r w:rsidR="00DA13DE" w:rsidRPr="006E709F">
        <w:t>subsection (</w:t>
      </w:r>
      <w:r w:rsidRPr="006E709F">
        <w:t>1) prevents the Minister approving, in accordance with section</w:t>
      </w:r>
      <w:r w:rsidR="00DA13DE" w:rsidRPr="006E709F">
        <w:t> </w:t>
      </w:r>
      <w:r w:rsidRPr="006E709F">
        <w:t xml:space="preserve">884C, a change to </w:t>
      </w:r>
      <w:r w:rsidR="00A801D0" w:rsidRPr="006E709F">
        <w:t>Division</w:t>
      </w:r>
      <w:r w:rsidR="00DA13DE" w:rsidRPr="006E709F">
        <w:t> </w:t>
      </w:r>
      <w:r w:rsidRPr="006E709F">
        <w:t>3 arrangements that includes the withdrawal of money from an account or accounts holding a fidelity fund.</w:t>
      </w:r>
    </w:p>
    <w:p w:rsidR="002A22A4" w:rsidRPr="006E709F" w:rsidRDefault="002A22A4" w:rsidP="002871D6">
      <w:pPr>
        <w:pStyle w:val="ItemHead"/>
      </w:pPr>
      <w:r w:rsidRPr="006E709F">
        <w:lastRenderedPageBreak/>
        <w:t>11</w:t>
      </w:r>
      <w:r w:rsidR="00891FC0" w:rsidRPr="006E709F">
        <w:t xml:space="preserve">  </w:t>
      </w:r>
      <w:r w:rsidR="00FF4176" w:rsidRPr="006E709F">
        <w:t>Paragraph 8</w:t>
      </w:r>
      <w:r w:rsidRPr="006E709F">
        <w:t>92K(1</w:t>
      </w:r>
      <w:r w:rsidR="00A801D0" w:rsidRPr="006E709F">
        <w:t>)(</w:t>
      </w:r>
      <w:r w:rsidRPr="006E709F">
        <w:t>a)</w:t>
      </w:r>
    </w:p>
    <w:p w:rsidR="00A801D0" w:rsidRPr="006E709F" w:rsidRDefault="00A801D0" w:rsidP="002871D6">
      <w:pPr>
        <w:pStyle w:val="Item"/>
        <w:keepNext/>
        <w:rPr>
          <w:i/>
        </w:rPr>
      </w:pPr>
      <w:r w:rsidRPr="006E709F">
        <w:rPr>
          <w:i/>
        </w:rPr>
        <w:t>after</w:t>
      </w:r>
    </w:p>
    <w:p w:rsidR="002A22A4" w:rsidRPr="006E709F" w:rsidRDefault="002A22A4" w:rsidP="002871D6">
      <w:pPr>
        <w:pStyle w:val="Item"/>
        <w:keepNext/>
      </w:pPr>
      <w:r w:rsidRPr="006E709F">
        <w:t>report</w:t>
      </w:r>
    </w:p>
    <w:p w:rsidR="00A801D0" w:rsidRPr="006E709F" w:rsidRDefault="00A801D0" w:rsidP="00714BE7">
      <w:pPr>
        <w:pStyle w:val="Item"/>
        <w:rPr>
          <w:i/>
        </w:rPr>
      </w:pPr>
      <w:r w:rsidRPr="006E709F">
        <w:rPr>
          <w:i/>
        </w:rPr>
        <w:t>insert</w:t>
      </w:r>
    </w:p>
    <w:p w:rsidR="002A22A4" w:rsidRPr="006E709F" w:rsidRDefault="002A22A4" w:rsidP="00714BE7">
      <w:pPr>
        <w:pStyle w:val="Item"/>
      </w:pPr>
      <w:r w:rsidRPr="006E709F">
        <w:t>for a set of compensation arrangements</w:t>
      </w:r>
    </w:p>
    <w:p w:rsidR="00DC48A1" w:rsidRPr="006E709F" w:rsidRDefault="00DC48A1" w:rsidP="00DC48A1">
      <w:pPr>
        <w:pStyle w:val="ActHead1"/>
        <w:pageBreakBefore/>
      </w:pPr>
      <w:bookmarkStart w:id="48" w:name="_Toc170547870"/>
      <w:r w:rsidRPr="000C4237">
        <w:rPr>
          <w:rStyle w:val="CharChapNo"/>
        </w:rPr>
        <w:lastRenderedPageBreak/>
        <w:t>Schedule 8D</w:t>
      </w:r>
      <w:r w:rsidRPr="006E709F">
        <w:t>—</w:t>
      </w:r>
      <w:r w:rsidRPr="000C4237">
        <w:rPr>
          <w:rStyle w:val="CharChapText"/>
        </w:rPr>
        <w:t>Tables for reporting portfolio holding information</w:t>
      </w:r>
      <w:bookmarkEnd w:id="48"/>
    </w:p>
    <w:p w:rsidR="00DC48A1" w:rsidRPr="006E709F" w:rsidRDefault="00DC48A1" w:rsidP="00DC48A1">
      <w:pPr>
        <w:pStyle w:val="Header"/>
      </w:pPr>
      <w:r w:rsidRPr="000C4237">
        <w:rPr>
          <w:rStyle w:val="CharPartNo"/>
        </w:rPr>
        <w:t xml:space="preserve"> </w:t>
      </w:r>
      <w:r w:rsidRPr="000C4237">
        <w:rPr>
          <w:rStyle w:val="CharPartText"/>
        </w:rPr>
        <w:t xml:space="preserve"> </w:t>
      </w:r>
    </w:p>
    <w:p w:rsidR="00DC48A1" w:rsidRPr="006E709F" w:rsidRDefault="00DC48A1" w:rsidP="00DC48A1">
      <w:pPr>
        <w:pStyle w:val="notemargin"/>
      </w:pPr>
      <w:r w:rsidRPr="006E709F">
        <w:t>(regulations 7.9.07Z and 7.9.07ZA)</w:t>
      </w:r>
    </w:p>
    <w:p w:rsidR="00DC48A1" w:rsidRPr="006E709F" w:rsidRDefault="00DC48A1" w:rsidP="00DC48A1">
      <w:pPr>
        <w:pStyle w:val="ActHead5"/>
      </w:pPr>
      <w:bookmarkStart w:id="49" w:name="_Toc170547871"/>
      <w:r w:rsidRPr="000C4237">
        <w:rPr>
          <w:rStyle w:val="CharSectno"/>
        </w:rPr>
        <w:t>1</w:t>
      </w:r>
      <w:r w:rsidRPr="006E709F">
        <w:t xml:space="preserve">  Table 1—Assets</w:t>
      </w:r>
      <w:bookmarkEnd w:id="49"/>
    </w:p>
    <w:p w:rsidR="00DC48A1" w:rsidRPr="006E709F" w:rsidRDefault="00DC48A1" w:rsidP="00DC48A1">
      <w:pPr>
        <w:pStyle w:val="Tabletext"/>
      </w:pPr>
    </w:p>
    <w:tbl>
      <w:tblPr>
        <w:tblW w:w="8789" w:type="dxa"/>
        <w:tblInd w:w="108" w:type="dxa"/>
        <w:tblLayout w:type="fixed"/>
        <w:tblCellMar>
          <w:left w:w="0" w:type="dxa"/>
          <w:right w:w="0" w:type="dxa"/>
        </w:tblCellMar>
        <w:tblLook w:val="04A0" w:firstRow="1" w:lastRow="0" w:firstColumn="1" w:lastColumn="0" w:noHBand="0" w:noVBand="1"/>
      </w:tblPr>
      <w:tblGrid>
        <w:gridCol w:w="2692"/>
        <w:gridCol w:w="1419"/>
        <w:gridCol w:w="1276"/>
        <w:gridCol w:w="1771"/>
        <w:gridCol w:w="9"/>
        <w:gridCol w:w="11"/>
        <w:gridCol w:w="1611"/>
      </w:tblGrid>
      <w:tr w:rsidR="00DC48A1" w:rsidRPr="006E709F" w:rsidTr="00CF67DD">
        <w:tc>
          <w:tcPr>
            <w:tcW w:w="5387" w:type="dxa"/>
            <w:gridSpan w:val="3"/>
            <w:tcBorders>
              <w:top w:val="single" w:sz="18"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bCs/>
                <w:sz w:val="16"/>
                <w:szCs w:val="16"/>
              </w:rPr>
            </w:pPr>
            <w:bookmarkStart w:id="50" w:name="_Hlk86229187"/>
            <w:r w:rsidRPr="006E709F">
              <w:rPr>
                <w:b/>
                <w:bCs/>
                <w:sz w:val="16"/>
                <w:szCs w:val="16"/>
              </w:rPr>
              <w:t xml:space="preserve">Portfolio Holdings Information for </w:t>
            </w:r>
            <w:r w:rsidRPr="006E709F">
              <w:rPr>
                <w:b/>
                <w:sz w:val="16"/>
                <w:szCs w:val="16"/>
              </w:rPr>
              <w:t>Investment Option [A]—</w:t>
            </w:r>
            <w:r w:rsidRPr="006E709F">
              <w:rPr>
                <w:b/>
                <w:bCs/>
                <w:sz w:val="16"/>
                <w:szCs w:val="16"/>
              </w:rPr>
              <w:t>Assets</w:t>
            </w:r>
          </w:p>
        </w:tc>
        <w:tc>
          <w:tcPr>
            <w:tcW w:w="3402" w:type="dxa"/>
            <w:gridSpan w:val="4"/>
            <w:tcBorders>
              <w:top w:val="single" w:sz="18" w:space="0" w:color="auto"/>
              <w:left w:val="single" w:sz="4" w:space="0" w:color="auto"/>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bCs/>
                <w:sz w:val="16"/>
                <w:szCs w:val="16"/>
              </w:rPr>
            </w:pPr>
            <w:r w:rsidRPr="006E709F">
              <w:rPr>
                <w:b/>
                <w:bCs/>
                <w:sz w:val="16"/>
                <w:szCs w:val="16"/>
              </w:rPr>
              <w:t>Summary</w:t>
            </w:r>
          </w:p>
        </w:tc>
      </w:tr>
      <w:tr w:rsidR="00DC48A1" w:rsidRPr="006E709F" w:rsidTr="00CF67DD">
        <w:tc>
          <w:tcPr>
            <w:tcW w:w="5387"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bookmarkStart w:id="51" w:name="_Hlk86156619"/>
            <w:r w:rsidRPr="006E709F">
              <w:rPr>
                <w:b/>
                <w:sz w:val="16"/>
                <w:szCs w:val="16"/>
              </w:rPr>
              <w:t>Cash</w:t>
            </w:r>
          </w:p>
        </w:tc>
        <w:tc>
          <w:tcPr>
            <w:tcW w:w="3402" w:type="dxa"/>
            <w:gridSpan w:val="4"/>
            <w:tcBorders>
              <w:top w:val="single" w:sz="18" w:space="0" w:color="auto"/>
              <w:left w:val="single" w:sz="4" w:space="0" w:color="auto"/>
              <w:bottom w:val="single" w:sz="2" w:space="0" w:color="auto"/>
              <w:right w:val="nil"/>
            </w:tcBorders>
            <w:shd w:val="clear" w:color="auto" w:fill="auto"/>
            <w:tcMar>
              <w:top w:w="0" w:type="dxa"/>
              <w:left w:w="108" w:type="dxa"/>
              <w:bottom w:w="0" w:type="dxa"/>
              <w:right w:w="108" w:type="dxa"/>
            </w:tcMar>
          </w:tcPr>
          <w:p w:rsidR="00DC48A1" w:rsidRPr="006E709F" w:rsidRDefault="00DC48A1" w:rsidP="00CF67DD">
            <w:pPr>
              <w:rPr>
                <w:b/>
                <w:bCs/>
                <w:sz w:val="16"/>
                <w:szCs w:val="16"/>
              </w:rPr>
            </w:pPr>
          </w:p>
        </w:tc>
      </w:tr>
      <w:tr w:rsidR="00DC48A1" w:rsidRPr="006E709F" w:rsidTr="00CF67DD">
        <w:tc>
          <w:tcPr>
            <w:tcW w:w="2692" w:type="dxa"/>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bCs/>
                <w:sz w:val="16"/>
                <w:szCs w:val="16"/>
              </w:rPr>
            </w:pPr>
            <w:r w:rsidRPr="006E709F">
              <w:rPr>
                <w:b/>
                <w:bCs/>
                <w:sz w:val="16"/>
                <w:szCs w:val="16"/>
              </w:rPr>
              <w:t>Name of Institution</w:t>
            </w:r>
          </w:p>
        </w:tc>
        <w:tc>
          <w:tcPr>
            <w:tcW w:w="2695" w:type="dxa"/>
            <w:gridSpan w:val="2"/>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bCs/>
                <w:sz w:val="16"/>
                <w:szCs w:val="16"/>
              </w:rPr>
            </w:pPr>
            <w:r w:rsidRPr="006E709F">
              <w:rPr>
                <w:b/>
                <w:sz w:val="16"/>
                <w:szCs w:val="16"/>
              </w:rPr>
              <w:t>Currency</w:t>
            </w:r>
          </w:p>
        </w:tc>
        <w:tc>
          <w:tcPr>
            <w:tcW w:w="1771" w:type="dxa"/>
            <w:tcBorders>
              <w:top w:val="single" w:sz="12" w:space="0" w:color="auto"/>
              <w:left w:val="single" w:sz="4" w:space="0" w:color="auto"/>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bCs/>
                <w:sz w:val="16"/>
                <w:szCs w:val="16"/>
              </w:rPr>
            </w:pPr>
            <w:r w:rsidRPr="006E709F">
              <w:rPr>
                <w:b/>
                <w:bCs/>
                <w:sz w:val="16"/>
                <w:szCs w:val="16"/>
              </w:rPr>
              <w:t>Value (AUD)</w:t>
            </w:r>
          </w:p>
        </w:tc>
        <w:tc>
          <w:tcPr>
            <w:tcW w:w="1631" w:type="dxa"/>
            <w:gridSpan w:val="3"/>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bCs/>
                <w:sz w:val="16"/>
                <w:szCs w:val="16"/>
              </w:rPr>
            </w:pPr>
            <w:r w:rsidRPr="006E709F">
              <w:rPr>
                <w:b/>
                <w:bCs/>
                <w:sz w:val="16"/>
                <w:szCs w:val="16"/>
              </w:rPr>
              <w:t>Weighting (%)</w:t>
            </w:r>
          </w:p>
        </w:tc>
      </w:tr>
      <w:tr w:rsidR="00DC48A1" w:rsidRPr="006E709F" w:rsidTr="00CF67DD">
        <w:tc>
          <w:tcPr>
            <w:tcW w:w="5387" w:type="dxa"/>
            <w:gridSpan w:val="3"/>
            <w:tcBorders>
              <w:top w:val="single" w:sz="4"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bCs/>
                <w:i/>
                <w:iCs/>
                <w:sz w:val="16"/>
                <w:szCs w:val="16"/>
              </w:rPr>
            </w:pPr>
            <w:r w:rsidRPr="006E709F">
              <w:rPr>
                <w:bCs/>
                <w:i/>
                <w:iCs/>
                <w:sz w:val="16"/>
                <w:szCs w:val="16"/>
              </w:rPr>
              <w:t>Individual asset names not required to be disclosed.</w:t>
            </w:r>
          </w:p>
          <w:p w:rsidR="00DC48A1" w:rsidRPr="006E709F" w:rsidRDefault="00DC48A1" w:rsidP="00CF67DD">
            <w:pPr>
              <w:rPr>
                <w:sz w:val="16"/>
                <w:szCs w:val="16"/>
              </w:rPr>
            </w:pPr>
            <w:r w:rsidRPr="006E709F">
              <w:rPr>
                <w:bCs/>
                <w:i/>
                <w:iCs/>
                <w:sz w:val="16"/>
                <w:szCs w:val="16"/>
              </w:rPr>
              <w:t>Only disclose the name of the relevant institution for the asset.</w:t>
            </w:r>
          </w:p>
        </w:tc>
        <w:tc>
          <w:tcPr>
            <w:tcW w:w="3402" w:type="dxa"/>
            <w:gridSpan w:val="4"/>
            <w:tcBorders>
              <w:top w:val="single" w:sz="4"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r w:rsidRPr="006E709F">
              <w:rPr>
                <w:i/>
                <w:iCs/>
                <w:sz w:val="16"/>
                <w:szCs w:val="16"/>
              </w:rPr>
              <w:t>Values and weighting for individual assets not disclosed. Only disclose total values and weighting for the asset aggregated by the institution.</w:t>
            </w:r>
          </w:p>
        </w:tc>
      </w:tr>
      <w:tr w:rsidR="00DC48A1" w:rsidRPr="006E709F" w:rsidTr="00CF67DD">
        <w:tc>
          <w:tcPr>
            <w:tcW w:w="5387"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t>Total</w:t>
            </w:r>
          </w:p>
        </w:tc>
        <w:tc>
          <w:tcPr>
            <w:tcW w:w="3402" w:type="dxa"/>
            <w:gridSpan w:val="4"/>
            <w:tcBorders>
              <w:top w:val="single" w:sz="12" w:space="0" w:color="auto"/>
              <w:left w:val="single" w:sz="4" w:space="0" w:color="auto"/>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r>
      <w:tr w:rsidR="00DC48A1" w:rsidRPr="006E709F" w:rsidTr="00CF67DD">
        <w:trPr>
          <w:trHeight w:val="322"/>
        </w:trPr>
        <w:tc>
          <w:tcPr>
            <w:tcW w:w="5387"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sz w:val="16"/>
                <w:szCs w:val="16"/>
              </w:rPr>
              <w:t>Fixed Income</w:t>
            </w:r>
          </w:p>
          <w:p w:rsidR="00DC48A1" w:rsidRPr="006E709F" w:rsidRDefault="00DC48A1" w:rsidP="00CF67DD">
            <w:pPr>
              <w:rPr>
                <w:b/>
                <w:sz w:val="16"/>
                <w:szCs w:val="16"/>
              </w:rPr>
            </w:pPr>
            <w:r w:rsidRPr="006E709F">
              <w:rPr>
                <w:b/>
                <w:sz w:val="16"/>
                <w:szCs w:val="16"/>
              </w:rPr>
              <w:t xml:space="preserve">Held directly or by associated entities or by </w:t>
            </w:r>
            <w:r w:rsidR="00D05323" w:rsidRPr="00D05323">
              <w:rPr>
                <w:b/>
                <w:sz w:val="16"/>
                <w:szCs w:val="16"/>
              </w:rPr>
              <w:t>pooled superannuation trusts</w:t>
            </w:r>
          </w:p>
          <w:p w:rsidR="00DC48A1" w:rsidRPr="006E709F" w:rsidRDefault="00DC48A1" w:rsidP="00CF67DD">
            <w:pPr>
              <w:rPr>
                <w:sz w:val="16"/>
                <w:szCs w:val="16"/>
              </w:rPr>
            </w:pPr>
            <w:r w:rsidRPr="006E709F">
              <w:rPr>
                <w:b/>
                <w:sz w:val="16"/>
                <w:szCs w:val="16"/>
              </w:rPr>
              <w:t>Internally managed</w:t>
            </w:r>
          </w:p>
        </w:tc>
        <w:tc>
          <w:tcPr>
            <w:tcW w:w="3402" w:type="dxa"/>
            <w:gridSpan w:val="4"/>
            <w:tcBorders>
              <w:top w:val="single" w:sz="18" w:space="0" w:color="auto"/>
              <w:left w:val="single" w:sz="4" w:space="0" w:color="auto"/>
              <w:bottom w:val="single" w:sz="12" w:space="0" w:color="auto"/>
            </w:tcBorders>
            <w:shd w:val="clear" w:color="auto" w:fill="auto"/>
            <w:tcMar>
              <w:top w:w="0" w:type="dxa"/>
              <w:left w:w="108" w:type="dxa"/>
              <w:bottom w:w="0" w:type="dxa"/>
              <w:right w:w="108" w:type="dxa"/>
            </w:tcMar>
          </w:tcPr>
          <w:p w:rsidR="00DC48A1" w:rsidRPr="006E709F" w:rsidRDefault="00DC48A1" w:rsidP="00CF67DD">
            <w:pPr>
              <w:rPr>
                <w:sz w:val="16"/>
                <w:szCs w:val="16"/>
              </w:rPr>
            </w:pPr>
          </w:p>
        </w:tc>
      </w:tr>
      <w:tr w:rsidR="00DC48A1" w:rsidRPr="006E709F" w:rsidTr="00CF67DD">
        <w:tc>
          <w:tcPr>
            <w:tcW w:w="5387"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t>Name of Issuer / Counterparty</w:t>
            </w:r>
          </w:p>
        </w:tc>
        <w:tc>
          <w:tcPr>
            <w:tcW w:w="1780" w:type="dxa"/>
            <w:gridSpan w:val="2"/>
            <w:tcBorders>
              <w:top w:val="single" w:sz="4" w:space="0" w:color="auto"/>
              <w:left w:val="single" w:sz="4" w:space="0" w:color="auto"/>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r w:rsidRPr="006E709F">
              <w:rPr>
                <w:b/>
                <w:sz w:val="16"/>
                <w:szCs w:val="16"/>
              </w:rPr>
              <w:t>Value (AUD)</w:t>
            </w:r>
          </w:p>
        </w:tc>
        <w:tc>
          <w:tcPr>
            <w:tcW w:w="1622" w:type="dxa"/>
            <w:gridSpan w:val="2"/>
            <w:tcBorders>
              <w:top w:val="single" w:sz="12" w:space="0" w:color="auto"/>
              <w:left w:val="nil"/>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r w:rsidRPr="006E709F">
              <w:rPr>
                <w:b/>
                <w:sz w:val="16"/>
                <w:szCs w:val="16"/>
              </w:rPr>
              <w:t>Weighting (%)</w:t>
            </w:r>
          </w:p>
        </w:tc>
      </w:tr>
      <w:tr w:rsidR="00DC48A1" w:rsidRPr="006E709F" w:rsidTr="00CF67DD">
        <w:tc>
          <w:tcPr>
            <w:tcW w:w="5387" w:type="dxa"/>
            <w:gridSpan w:val="3"/>
            <w:tcBorders>
              <w:top w:val="single" w:sz="4"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bCs/>
                <w:i/>
                <w:iCs/>
                <w:sz w:val="16"/>
                <w:szCs w:val="16"/>
              </w:rPr>
            </w:pPr>
            <w:r w:rsidRPr="006E709F">
              <w:rPr>
                <w:bCs/>
                <w:i/>
                <w:iCs/>
                <w:sz w:val="16"/>
                <w:szCs w:val="16"/>
              </w:rPr>
              <w:t>Individual asset names not required to be disclosed.</w:t>
            </w:r>
          </w:p>
          <w:p w:rsidR="00DC48A1" w:rsidRPr="006E709F" w:rsidRDefault="00DC48A1" w:rsidP="00CF67DD">
            <w:pPr>
              <w:rPr>
                <w:sz w:val="16"/>
                <w:szCs w:val="16"/>
              </w:rPr>
            </w:pPr>
            <w:r w:rsidRPr="006E709F">
              <w:rPr>
                <w:bCs/>
                <w:i/>
                <w:iCs/>
                <w:sz w:val="16"/>
                <w:szCs w:val="16"/>
              </w:rPr>
              <w:t>Only disclose the name of the issuer / counterparty for the asset.</w:t>
            </w:r>
          </w:p>
        </w:tc>
        <w:tc>
          <w:tcPr>
            <w:tcW w:w="3402" w:type="dxa"/>
            <w:gridSpan w:val="4"/>
            <w:tcBorders>
              <w:top w:val="single" w:sz="4"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i/>
                <w:iCs/>
                <w:sz w:val="16"/>
                <w:szCs w:val="16"/>
              </w:rPr>
            </w:pPr>
            <w:r w:rsidRPr="006E709F">
              <w:rPr>
                <w:i/>
                <w:iCs/>
                <w:sz w:val="16"/>
                <w:szCs w:val="16"/>
              </w:rPr>
              <w:t>Values and weighting for individual assets not disclosed. Only disclose total values and weighting aggregated by the issuer or counterparty of the asset.</w:t>
            </w:r>
          </w:p>
        </w:tc>
      </w:tr>
      <w:tr w:rsidR="00DC48A1" w:rsidRPr="006E709F" w:rsidTr="00CF67DD">
        <w:tc>
          <w:tcPr>
            <w:tcW w:w="5387"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t>Total</w:t>
            </w:r>
          </w:p>
        </w:tc>
        <w:tc>
          <w:tcPr>
            <w:tcW w:w="3402" w:type="dxa"/>
            <w:gridSpan w:val="4"/>
            <w:tcBorders>
              <w:top w:val="single" w:sz="12" w:space="0" w:color="auto"/>
              <w:left w:val="single" w:sz="4" w:space="0" w:color="auto"/>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r>
      <w:tr w:rsidR="00DC48A1" w:rsidRPr="006E709F" w:rsidTr="00CF67DD">
        <w:trPr>
          <w:trHeight w:val="322"/>
        </w:trPr>
        <w:tc>
          <w:tcPr>
            <w:tcW w:w="5387"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sz w:val="16"/>
                <w:szCs w:val="16"/>
              </w:rPr>
              <w:t>Fixed Income</w:t>
            </w:r>
          </w:p>
          <w:p w:rsidR="00DC48A1" w:rsidRPr="006E709F" w:rsidRDefault="00DC48A1" w:rsidP="00CF67DD">
            <w:pPr>
              <w:tabs>
                <w:tab w:val="center" w:pos="1322"/>
              </w:tabs>
              <w:rPr>
                <w:b/>
                <w:sz w:val="16"/>
                <w:szCs w:val="16"/>
              </w:rPr>
            </w:pPr>
            <w:r w:rsidRPr="006E709F">
              <w:rPr>
                <w:b/>
                <w:sz w:val="16"/>
                <w:szCs w:val="16"/>
              </w:rPr>
              <w:t>Investment in non</w:t>
            </w:r>
            <w:r w:rsidR="000C4237">
              <w:rPr>
                <w:b/>
                <w:sz w:val="16"/>
                <w:szCs w:val="16"/>
              </w:rPr>
              <w:noBreakHyphen/>
            </w:r>
            <w:r w:rsidRPr="006E709F">
              <w:rPr>
                <w:b/>
                <w:sz w:val="16"/>
                <w:szCs w:val="16"/>
              </w:rPr>
              <w:t>associated entities;</w:t>
            </w:r>
          </w:p>
          <w:p w:rsidR="00DC48A1" w:rsidRPr="006E709F" w:rsidRDefault="00DC48A1" w:rsidP="00CF67DD">
            <w:pPr>
              <w:rPr>
                <w:b/>
                <w:sz w:val="16"/>
                <w:szCs w:val="16"/>
              </w:rPr>
            </w:pPr>
            <w:r w:rsidRPr="006E709F">
              <w:rPr>
                <w:b/>
                <w:sz w:val="16"/>
                <w:szCs w:val="16"/>
              </w:rPr>
              <w:t xml:space="preserve">Held directly or by associated entities or by </w:t>
            </w:r>
            <w:r w:rsidR="00D05323" w:rsidRPr="00D05323">
              <w:rPr>
                <w:b/>
                <w:sz w:val="16"/>
                <w:szCs w:val="16"/>
              </w:rPr>
              <w:t>pooled superannuation trusts</w:t>
            </w:r>
          </w:p>
          <w:p w:rsidR="00DC48A1" w:rsidRPr="006E709F" w:rsidRDefault="00DC48A1" w:rsidP="00CF67DD">
            <w:pPr>
              <w:rPr>
                <w:sz w:val="16"/>
                <w:szCs w:val="16"/>
              </w:rPr>
            </w:pPr>
            <w:r w:rsidRPr="006E709F">
              <w:rPr>
                <w:b/>
                <w:sz w:val="16"/>
                <w:szCs w:val="16"/>
              </w:rPr>
              <w:t>Externally managed</w:t>
            </w:r>
          </w:p>
        </w:tc>
        <w:tc>
          <w:tcPr>
            <w:tcW w:w="3402" w:type="dxa"/>
            <w:gridSpan w:val="4"/>
            <w:tcBorders>
              <w:top w:val="single" w:sz="18"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r>
      <w:tr w:rsidR="00DC48A1" w:rsidRPr="006E709F" w:rsidTr="00CF67DD">
        <w:tc>
          <w:tcPr>
            <w:tcW w:w="5387" w:type="dxa"/>
            <w:gridSpan w:val="3"/>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t>Name of Fund Manager</w:t>
            </w:r>
          </w:p>
        </w:tc>
        <w:tc>
          <w:tcPr>
            <w:tcW w:w="1780" w:type="dxa"/>
            <w:gridSpan w:val="2"/>
            <w:tcBorders>
              <w:top w:val="single" w:sz="8" w:space="0" w:color="auto"/>
              <w:left w:val="single" w:sz="4" w:space="0" w:color="auto"/>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sz w:val="16"/>
                <w:szCs w:val="16"/>
              </w:rPr>
              <w:t>Value (AUD)</w:t>
            </w:r>
          </w:p>
        </w:tc>
        <w:tc>
          <w:tcPr>
            <w:tcW w:w="1622" w:type="dxa"/>
            <w:gridSpan w:val="2"/>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sz w:val="16"/>
                <w:szCs w:val="16"/>
              </w:rPr>
              <w:t>Weighting (%)</w:t>
            </w:r>
          </w:p>
        </w:tc>
      </w:tr>
      <w:tr w:rsidR="00DC48A1" w:rsidRPr="006E709F" w:rsidTr="00CF67DD">
        <w:tc>
          <w:tcPr>
            <w:tcW w:w="5387" w:type="dxa"/>
            <w:gridSpan w:val="3"/>
            <w:tcBorders>
              <w:top w:val="single" w:sz="4"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bCs/>
                <w:i/>
                <w:iCs/>
                <w:sz w:val="16"/>
                <w:szCs w:val="16"/>
              </w:rPr>
            </w:pPr>
            <w:r w:rsidRPr="006E709F">
              <w:rPr>
                <w:bCs/>
                <w:i/>
                <w:iCs/>
                <w:sz w:val="16"/>
                <w:szCs w:val="16"/>
              </w:rPr>
              <w:t>Individual asset names not required to be disclosed.</w:t>
            </w:r>
          </w:p>
          <w:p w:rsidR="00DC48A1" w:rsidRPr="006E709F" w:rsidRDefault="00DC48A1" w:rsidP="00CF67DD">
            <w:pPr>
              <w:rPr>
                <w:sz w:val="16"/>
                <w:szCs w:val="16"/>
              </w:rPr>
            </w:pPr>
            <w:r w:rsidRPr="006E709F">
              <w:rPr>
                <w:bCs/>
                <w:i/>
                <w:iCs/>
                <w:sz w:val="16"/>
                <w:szCs w:val="16"/>
              </w:rPr>
              <w:t>Only disclose the name of the fund manager responsible for managing the asset.</w:t>
            </w:r>
          </w:p>
        </w:tc>
        <w:tc>
          <w:tcPr>
            <w:tcW w:w="3402" w:type="dxa"/>
            <w:gridSpan w:val="4"/>
            <w:tcBorders>
              <w:top w:val="single" w:sz="4"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r w:rsidRPr="006E709F">
              <w:rPr>
                <w:i/>
                <w:iCs/>
                <w:sz w:val="16"/>
                <w:szCs w:val="16"/>
              </w:rPr>
              <w:t>Values and weightings for individual assets not disclosed. Only disclose total values and weighting aggregated by the fund manager responsible for managing the asset.</w:t>
            </w:r>
          </w:p>
        </w:tc>
      </w:tr>
      <w:tr w:rsidR="00DC48A1" w:rsidRPr="006E709F" w:rsidTr="00CF67DD">
        <w:tc>
          <w:tcPr>
            <w:tcW w:w="5387"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t>Total</w:t>
            </w:r>
          </w:p>
        </w:tc>
        <w:tc>
          <w:tcPr>
            <w:tcW w:w="3402" w:type="dxa"/>
            <w:gridSpan w:val="4"/>
            <w:tcBorders>
              <w:top w:val="single" w:sz="12" w:space="0" w:color="auto"/>
              <w:left w:val="single" w:sz="4" w:space="0" w:color="auto"/>
              <w:bottom w:val="single" w:sz="18" w:space="0" w:color="auto"/>
            </w:tcBorders>
            <w:shd w:val="clear" w:color="auto" w:fill="auto"/>
            <w:tcMar>
              <w:top w:w="0" w:type="dxa"/>
              <w:left w:w="108" w:type="dxa"/>
              <w:bottom w:w="0" w:type="dxa"/>
              <w:right w:w="108" w:type="dxa"/>
            </w:tcMar>
          </w:tcPr>
          <w:p w:rsidR="00DC48A1" w:rsidRPr="006E709F" w:rsidRDefault="00DC48A1" w:rsidP="00CF67DD">
            <w:pPr>
              <w:rPr>
                <w:b/>
                <w:sz w:val="16"/>
                <w:szCs w:val="16"/>
              </w:rPr>
            </w:pPr>
          </w:p>
        </w:tc>
      </w:tr>
      <w:tr w:rsidR="00DC48A1" w:rsidRPr="006E709F" w:rsidTr="00CF67DD">
        <w:trPr>
          <w:trHeight w:val="208"/>
        </w:trPr>
        <w:tc>
          <w:tcPr>
            <w:tcW w:w="5387"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hideMark/>
          </w:tcPr>
          <w:p w:rsidR="00DC48A1" w:rsidRPr="006E709F" w:rsidRDefault="00DC48A1" w:rsidP="00CF67DD">
            <w:pPr>
              <w:rPr>
                <w:sz w:val="16"/>
                <w:szCs w:val="16"/>
              </w:rPr>
            </w:pPr>
            <w:r w:rsidRPr="006E709F">
              <w:rPr>
                <w:b/>
                <w:sz w:val="16"/>
                <w:szCs w:val="16"/>
              </w:rPr>
              <w:t>Listed Equity</w:t>
            </w:r>
          </w:p>
        </w:tc>
        <w:tc>
          <w:tcPr>
            <w:tcW w:w="3402" w:type="dxa"/>
            <w:gridSpan w:val="4"/>
            <w:tcBorders>
              <w:top w:val="single" w:sz="18"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r>
      <w:tr w:rsidR="00DC48A1" w:rsidRPr="006E709F" w:rsidTr="00CF67DD">
        <w:tc>
          <w:tcPr>
            <w:tcW w:w="2692" w:type="dxa"/>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bCs/>
                <w:sz w:val="16"/>
                <w:szCs w:val="16"/>
              </w:rPr>
            </w:pPr>
            <w:r w:rsidRPr="006E709F">
              <w:rPr>
                <w:b/>
                <w:bCs/>
                <w:sz w:val="16"/>
                <w:szCs w:val="16"/>
              </w:rPr>
              <w:t>Name/kind of investment item</w:t>
            </w:r>
          </w:p>
        </w:tc>
        <w:tc>
          <w:tcPr>
            <w:tcW w:w="1419" w:type="dxa"/>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bCs/>
                <w:sz w:val="16"/>
                <w:szCs w:val="16"/>
              </w:rPr>
            </w:pPr>
            <w:r w:rsidRPr="006E709F">
              <w:rPr>
                <w:b/>
                <w:bCs/>
                <w:sz w:val="16"/>
                <w:szCs w:val="16"/>
              </w:rPr>
              <w:t>Security Identifier</w:t>
            </w:r>
          </w:p>
        </w:tc>
        <w:tc>
          <w:tcPr>
            <w:tcW w:w="1276" w:type="dxa"/>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t>Units held</w:t>
            </w:r>
          </w:p>
        </w:tc>
        <w:tc>
          <w:tcPr>
            <w:tcW w:w="1780" w:type="dxa"/>
            <w:gridSpan w:val="2"/>
            <w:tcBorders>
              <w:top w:val="single" w:sz="12" w:space="0" w:color="auto"/>
              <w:left w:val="single" w:sz="4" w:space="0" w:color="auto"/>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sz w:val="16"/>
                <w:szCs w:val="16"/>
              </w:rPr>
              <w:t>Value (AUD)</w:t>
            </w:r>
          </w:p>
        </w:tc>
        <w:tc>
          <w:tcPr>
            <w:tcW w:w="1622" w:type="dxa"/>
            <w:gridSpan w:val="2"/>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sz w:val="16"/>
                <w:szCs w:val="16"/>
              </w:rPr>
              <w:t>Weighting (%)</w:t>
            </w:r>
          </w:p>
        </w:tc>
      </w:tr>
      <w:tr w:rsidR="00DC48A1" w:rsidRPr="006E709F" w:rsidTr="00CF67DD">
        <w:tc>
          <w:tcPr>
            <w:tcW w:w="2692" w:type="dxa"/>
            <w:tcBorders>
              <w:top w:val="single" w:sz="4"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c>
          <w:tcPr>
            <w:tcW w:w="1419" w:type="dxa"/>
            <w:tcBorders>
              <w:top w:val="single" w:sz="4" w:space="0" w:color="auto"/>
              <w:left w:val="nil"/>
              <w:bottom w:val="single" w:sz="12" w:space="0" w:color="auto"/>
              <w:right w:val="nil"/>
            </w:tcBorders>
            <w:shd w:val="clear" w:color="auto" w:fill="auto"/>
          </w:tcPr>
          <w:p w:rsidR="00DC48A1" w:rsidRPr="006E709F" w:rsidRDefault="00DC48A1" w:rsidP="00CF67DD">
            <w:pPr>
              <w:rPr>
                <w:sz w:val="16"/>
                <w:szCs w:val="16"/>
              </w:rPr>
            </w:pPr>
          </w:p>
        </w:tc>
        <w:tc>
          <w:tcPr>
            <w:tcW w:w="1276" w:type="dxa"/>
            <w:tcBorders>
              <w:top w:val="single" w:sz="4" w:space="0" w:color="auto"/>
              <w:left w:val="nil"/>
              <w:bottom w:val="single" w:sz="12" w:space="0" w:color="auto"/>
              <w:right w:val="nil"/>
            </w:tcBorders>
            <w:shd w:val="clear" w:color="auto" w:fill="auto"/>
          </w:tcPr>
          <w:p w:rsidR="00DC48A1" w:rsidRPr="006E709F" w:rsidRDefault="00DC48A1" w:rsidP="00CF67DD">
            <w:pPr>
              <w:rPr>
                <w:sz w:val="16"/>
                <w:szCs w:val="16"/>
              </w:rPr>
            </w:pPr>
          </w:p>
        </w:tc>
        <w:tc>
          <w:tcPr>
            <w:tcW w:w="1791" w:type="dxa"/>
            <w:gridSpan w:val="3"/>
            <w:tcBorders>
              <w:top w:val="single" w:sz="4"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c>
          <w:tcPr>
            <w:tcW w:w="1611" w:type="dxa"/>
            <w:tcBorders>
              <w:top w:val="single" w:sz="4"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r>
      <w:tr w:rsidR="00DC48A1" w:rsidRPr="006E709F" w:rsidTr="00CF67DD">
        <w:tc>
          <w:tcPr>
            <w:tcW w:w="5387"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t>Total</w:t>
            </w:r>
          </w:p>
        </w:tc>
        <w:tc>
          <w:tcPr>
            <w:tcW w:w="1780" w:type="dxa"/>
            <w:gridSpan w:val="2"/>
            <w:tcBorders>
              <w:top w:val="single" w:sz="12" w:space="0" w:color="auto"/>
              <w:left w:val="single" w:sz="4" w:space="0" w:color="auto"/>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c>
          <w:tcPr>
            <w:tcW w:w="1622" w:type="dxa"/>
            <w:gridSpan w:val="2"/>
            <w:tcBorders>
              <w:top w:val="single" w:sz="12"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r>
      <w:tr w:rsidR="00DC48A1" w:rsidRPr="006E709F" w:rsidTr="00CF67DD">
        <w:trPr>
          <w:trHeight w:val="222"/>
        </w:trPr>
        <w:tc>
          <w:tcPr>
            <w:tcW w:w="5387"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tabs>
                <w:tab w:val="center" w:pos="1322"/>
              </w:tabs>
              <w:rPr>
                <w:b/>
                <w:sz w:val="16"/>
                <w:szCs w:val="16"/>
              </w:rPr>
            </w:pPr>
            <w:r w:rsidRPr="006E709F">
              <w:rPr>
                <w:b/>
                <w:sz w:val="16"/>
                <w:szCs w:val="16"/>
              </w:rPr>
              <w:t>Unlisted Equity</w:t>
            </w:r>
          </w:p>
          <w:p w:rsidR="00DC48A1" w:rsidRPr="006E709F" w:rsidRDefault="00DC48A1" w:rsidP="00CF67DD">
            <w:pPr>
              <w:rPr>
                <w:b/>
                <w:sz w:val="16"/>
                <w:szCs w:val="16"/>
              </w:rPr>
            </w:pPr>
            <w:r w:rsidRPr="006E709F">
              <w:rPr>
                <w:b/>
                <w:sz w:val="16"/>
                <w:szCs w:val="16"/>
              </w:rPr>
              <w:t xml:space="preserve">Held directly or by associated entities or by </w:t>
            </w:r>
            <w:r w:rsidR="00D05323" w:rsidRPr="00D05323">
              <w:rPr>
                <w:b/>
                <w:sz w:val="16"/>
                <w:szCs w:val="16"/>
              </w:rPr>
              <w:t>pooled superannuation trusts</w:t>
            </w:r>
          </w:p>
          <w:p w:rsidR="00DC48A1" w:rsidRPr="006E709F" w:rsidRDefault="00DC48A1" w:rsidP="00CF67DD">
            <w:pPr>
              <w:rPr>
                <w:b/>
                <w:sz w:val="16"/>
                <w:szCs w:val="16"/>
              </w:rPr>
            </w:pPr>
            <w:r w:rsidRPr="006E709F">
              <w:rPr>
                <w:b/>
                <w:sz w:val="16"/>
                <w:szCs w:val="16"/>
              </w:rPr>
              <w:t>Internally managed</w:t>
            </w:r>
          </w:p>
        </w:tc>
        <w:tc>
          <w:tcPr>
            <w:tcW w:w="1771" w:type="dxa"/>
            <w:tcBorders>
              <w:top w:val="single" w:sz="18"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c>
          <w:tcPr>
            <w:tcW w:w="1631"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r>
      <w:tr w:rsidR="00DC48A1" w:rsidRPr="006E709F" w:rsidTr="00CF67DD">
        <w:tc>
          <w:tcPr>
            <w:tcW w:w="2692" w:type="dxa"/>
            <w:tcBorders>
              <w:top w:val="single" w:sz="12" w:space="0" w:color="auto"/>
              <w:left w:val="nil"/>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bCs/>
                <w:sz w:val="16"/>
                <w:szCs w:val="16"/>
              </w:rPr>
            </w:pPr>
            <w:r w:rsidRPr="006E709F">
              <w:rPr>
                <w:b/>
                <w:bCs/>
                <w:sz w:val="16"/>
                <w:szCs w:val="16"/>
              </w:rPr>
              <w:t>Name/kind of investment item</w:t>
            </w:r>
          </w:p>
        </w:tc>
        <w:tc>
          <w:tcPr>
            <w:tcW w:w="2695" w:type="dxa"/>
            <w:gridSpan w:val="2"/>
            <w:tcBorders>
              <w:top w:val="single" w:sz="12" w:space="0" w:color="auto"/>
              <w:left w:val="nil"/>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r w:rsidRPr="006E709F">
              <w:rPr>
                <w:b/>
                <w:sz w:val="16"/>
                <w:szCs w:val="16"/>
              </w:rPr>
              <w:t>% Ownership</w:t>
            </w:r>
          </w:p>
        </w:tc>
        <w:tc>
          <w:tcPr>
            <w:tcW w:w="1780" w:type="dxa"/>
            <w:gridSpan w:val="2"/>
            <w:tcBorders>
              <w:top w:val="single" w:sz="12" w:space="0" w:color="auto"/>
              <w:left w:val="single" w:sz="4" w:space="0" w:color="auto"/>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r w:rsidRPr="006E709F">
              <w:rPr>
                <w:b/>
                <w:sz w:val="16"/>
                <w:szCs w:val="16"/>
              </w:rPr>
              <w:t>Value (AUD)</w:t>
            </w:r>
          </w:p>
        </w:tc>
        <w:tc>
          <w:tcPr>
            <w:tcW w:w="1622" w:type="dxa"/>
            <w:gridSpan w:val="2"/>
            <w:tcBorders>
              <w:top w:val="single" w:sz="12" w:space="0" w:color="auto"/>
              <w:left w:val="nil"/>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r w:rsidRPr="006E709F">
              <w:rPr>
                <w:b/>
                <w:sz w:val="16"/>
                <w:szCs w:val="16"/>
              </w:rPr>
              <w:t>Weighting (%)</w:t>
            </w:r>
          </w:p>
        </w:tc>
      </w:tr>
      <w:tr w:rsidR="00DC48A1" w:rsidRPr="006E709F" w:rsidTr="00CF67DD">
        <w:tc>
          <w:tcPr>
            <w:tcW w:w="2692" w:type="dxa"/>
            <w:tcBorders>
              <w:top w:val="single" w:sz="4"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bCs/>
                <w:i/>
                <w:iCs/>
                <w:sz w:val="16"/>
                <w:szCs w:val="16"/>
              </w:rPr>
            </w:pPr>
          </w:p>
        </w:tc>
        <w:tc>
          <w:tcPr>
            <w:tcW w:w="2695" w:type="dxa"/>
            <w:gridSpan w:val="2"/>
            <w:tcBorders>
              <w:top w:val="single" w:sz="4" w:space="0" w:color="auto"/>
              <w:left w:val="nil"/>
              <w:bottom w:val="single" w:sz="12" w:space="0" w:color="auto"/>
              <w:right w:val="nil"/>
            </w:tcBorders>
            <w:shd w:val="clear" w:color="auto" w:fill="auto"/>
          </w:tcPr>
          <w:p w:rsidR="00DC48A1" w:rsidRPr="006E709F" w:rsidRDefault="00DC48A1" w:rsidP="00CF67DD">
            <w:pPr>
              <w:rPr>
                <w:bCs/>
                <w:i/>
                <w:iCs/>
                <w:sz w:val="16"/>
                <w:szCs w:val="16"/>
              </w:rPr>
            </w:pPr>
          </w:p>
        </w:tc>
        <w:tc>
          <w:tcPr>
            <w:tcW w:w="3402" w:type="dxa"/>
            <w:gridSpan w:val="4"/>
            <w:tcBorders>
              <w:top w:val="single" w:sz="4"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r w:rsidRPr="006E709F">
              <w:rPr>
                <w:i/>
                <w:iCs/>
                <w:sz w:val="16"/>
                <w:szCs w:val="16"/>
              </w:rPr>
              <w:t xml:space="preserve">Values and weighting for individual assets not </w:t>
            </w:r>
            <w:r w:rsidRPr="006E709F">
              <w:rPr>
                <w:i/>
                <w:iCs/>
                <w:sz w:val="16"/>
                <w:szCs w:val="16"/>
              </w:rPr>
              <w:lastRenderedPageBreak/>
              <w:t>disclosed. Only disclose total value and weighting.</w:t>
            </w:r>
          </w:p>
        </w:tc>
      </w:tr>
      <w:tr w:rsidR="00DC48A1" w:rsidRPr="006E709F" w:rsidTr="00CF67DD">
        <w:tc>
          <w:tcPr>
            <w:tcW w:w="5387"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lastRenderedPageBreak/>
              <w:t>Total</w:t>
            </w:r>
          </w:p>
        </w:tc>
        <w:tc>
          <w:tcPr>
            <w:tcW w:w="1771" w:type="dxa"/>
            <w:tcBorders>
              <w:top w:val="single" w:sz="12" w:space="0" w:color="auto"/>
              <w:left w:val="single" w:sz="4" w:space="0" w:color="auto"/>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c>
          <w:tcPr>
            <w:tcW w:w="1631"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r>
      <w:tr w:rsidR="00DC48A1" w:rsidRPr="006E709F" w:rsidTr="00CF67DD">
        <w:trPr>
          <w:trHeight w:val="208"/>
        </w:trPr>
        <w:tc>
          <w:tcPr>
            <w:tcW w:w="5387" w:type="dxa"/>
            <w:gridSpan w:val="3"/>
            <w:tcBorders>
              <w:top w:val="single" w:sz="18"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tabs>
                <w:tab w:val="center" w:pos="1322"/>
              </w:tabs>
              <w:rPr>
                <w:b/>
                <w:sz w:val="16"/>
                <w:szCs w:val="16"/>
              </w:rPr>
            </w:pPr>
            <w:r w:rsidRPr="006E709F">
              <w:rPr>
                <w:b/>
                <w:sz w:val="16"/>
                <w:szCs w:val="16"/>
              </w:rPr>
              <w:t>Unlisted Equity</w:t>
            </w:r>
          </w:p>
          <w:p w:rsidR="00DC48A1" w:rsidRPr="006E709F" w:rsidRDefault="00DC48A1" w:rsidP="00CF67DD">
            <w:pPr>
              <w:tabs>
                <w:tab w:val="center" w:pos="1322"/>
              </w:tabs>
              <w:rPr>
                <w:b/>
                <w:sz w:val="16"/>
                <w:szCs w:val="16"/>
              </w:rPr>
            </w:pPr>
            <w:r w:rsidRPr="006E709F">
              <w:rPr>
                <w:b/>
                <w:sz w:val="16"/>
                <w:szCs w:val="16"/>
              </w:rPr>
              <w:t>Investment in non</w:t>
            </w:r>
            <w:r w:rsidR="000C4237">
              <w:rPr>
                <w:b/>
                <w:sz w:val="16"/>
                <w:szCs w:val="16"/>
              </w:rPr>
              <w:noBreakHyphen/>
            </w:r>
            <w:r w:rsidRPr="006E709F">
              <w:rPr>
                <w:b/>
                <w:sz w:val="16"/>
                <w:szCs w:val="16"/>
              </w:rPr>
              <w:t>associated entities;</w:t>
            </w:r>
          </w:p>
          <w:p w:rsidR="00DC48A1" w:rsidRPr="006E709F" w:rsidRDefault="00DC48A1" w:rsidP="00CF67DD">
            <w:pPr>
              <w:tabs>
                <w:tab w:val="center" w:pos="1322"/>
              </w:tabs>
              <w:rPr>
                <w:b/>
                <w:sz w:val="16"/>
                <w:szCs w:val="16"/>
              </w:rPr>
            </w:pPr>
            <w:r w:rsidRPr="006E709F">
              <w:rPr>
                <w:b/>
                <w:sz w:val="16"/>
                <w:szCs w:val="16"/>
              </w:rPr>
              <w:t xml:space="preserve">Held directly or by associated entities or by </w:t>
            </w:r>
            <w:r w:rsidR="00D05323" w:rsidRPr="00D05323">
              <w:rPr>
                <w:b/>
                <w:sz w:val="16"/>
                <w:szCs w:val="16"/>
              </w:rPr>
              <w:t>pooled superannuation trusts</w:t>
            </w:r>
          </w:p>
          <w:p w:rsidR="00DC48A1" w:rsidRPr="006E709F" w:rsidRDefault="00DC48A1" w:rsidP="00CF67DD">
            <w:pPr>
              <w:rPr>
                <w:sz w:val="16"/>
                <w:szCs w:val="16"/>
              </w:rPr>
            </w:pPr>
            <w:r w:rsidRPr="006E709F">
              <w:rPr>
                <w:b/>
                <w:sz w:val="16"/>
                <w:szCs w:val="16"/>
              </w:rPr>
              <w:t>Externally managed</w:t>
            </w:r>
          </w:p>
        </w:tc>
        <w:tc>
          <w:tcPr>
            <w:tcW w:w="1771" w:type="dxa"/>
            <w:tcBorders>
              <w:top w:val="single" w:sz="18" w:space="0" w:color="auto"/>
              <w:left w:val="single" w:sz="4" w:space="0" w:color="auto"/>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c>
          <w:tcPr>
            <w:tcW w:w="1631" w:type="dxa"/>
            <w:gridSpan w:val="3"/>
            <w:tcBorders>
              <w:top w:val="single" w:sz="18" w:space="0" w:color="auto"/>
              <w:left w:val="nil"/>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r>
      <w:tr w:rsidR="00DC48A1" w:rsidRPr="006E709F" w:rsidTr="00CF67DD">
        <w:tc>
          <w:tcPr>
            <w:tcW w:w="5387" w:type="dxa"/>
            <w:gridSpan w:val="3"/>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t>Name of Fund Manager</w:t>
            </w:r>
          </w:p>
        </w:tc>
        <w:tc>
          <w:tcPr>
            <w:tcW w:w="1780" w:type="dxa"/>
            <w:gridSpan w:val="2"/>
            <w:tcBorders>
              <w:top w:val="single" w:sz="12" w:space="0" w:color="auto"/>
              <w:left w:val="single" w:sz="4" w:space="0" w:color="auto"/>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r w:rsidRPr="006E709F">
              <w:rPr>
                <w:b/>
                <w:sz w:val="16"/>
                <w:szCs w:val="16"/>
              </w:rPr>
              <w:t>Value (AUD)</w:t>
            </w:r>
          </w:p>
        </w:tc>
        <w:tc>
          <w:tcPr>
            <w:tcW w:w="1622" w:type="dxa"/>
            <w:gridSpan w:val="2"/>
            <w:tcBorders>
              <w:top w:val="single" w:sz="12" w:space="0" w:color="auto"/>
              <w:left w:val="nil"/>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r w:rsidRPr="006E709F">
              <w:rPr>
                <w:b/>
                <w:sz w:val="16"/>
                <w:szCs w:val="16"/>
              </w:rPr>
              <w:t>Weighting (%)</w:t>
            </w:r>
          </w:p>
        </w:tc>
      </w:tr>
      <w:tr w:rsidR="00DC48A1" w:rsidRPr="006E709F" w:rsidTr="00CF67DD">
        <w:trPr>
          <w:trHeight w:val="208"/>
        </w:trPr>
        <w:tc>
          <w:tcPr>
            <w:tcW w:w="5387" w:type="dxa"/>
            <w:gridSpan w:val="3"/>
            <w:tcBorders>
              <w:top w:val="single" w:sz="4" w:space="0" w:color="auto"/>
              <w:left w:val="nil"/>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tabs>
                <w:tab w:val="center" w:pos="1322"/>
              </w:tabs>
              <w:rPr>
                <w:bCs/>
                <w:i/>
                <w:iCs/>
                <w:sz w:val="16"/>
                <w:szCs w:val="16"/>
              </w:rPr>
            </w:pPr>
            <w:bookmarkStart w:id="52" w:name="_Hlk86393580"/>
            <w:r w:rsidRPr="006E709F">
              <w:rPr>
                <w:bCs/>
                <w:i/>
                <w:iCs/>
                <w:sz w:val="16"/>
                <w:szCs w:val="16"/>
              </w:rPr>
              <w:t>Individual asset names not required to be disclosed.</w:t>
            </w:r>
          </w:p>
          <w:p w:rsidR="00DC48A1" w:rsidRPr="006E709F" w:rsidRDefault="00DC48A1" w:rsidP="00CF67DD">
            <w:pPr>
              <w:rPr>
                <w:sz w:val="16"/>
                <w:szCs w:val="16"/>
              </w:rPr>
            </w:pPr>
            <w:r w:rsidRPr="006E709F">
              <w:rPr>
                <w:bCs/>
                <w:i/>
                <w:iCs/>
                <w:sz w:val="16"/>
                <w:szCs w:val="16"/>
              </w:rPr>
              <w:t>Only disclose the name of the fund manager responsible for managing the asset.</w:t>
            </w:r>
          </w:p>
        </w:tc>
        <w:tc>
          <w:tcPr>
            <w:tcW w:w="3402" w:type="dxa"/>
            <w:gridSpan w:val="4"/>
            <w:tcBorders>
              <w:top w:val="single" w:sz="4" w:space="0" w:color="auto"/>
              <w:left w:val="single" w:sz="4" w:space="0" w:color="auto"/>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r w:rsidRPr="006E709F">
              <w:rPr>
                <w:i/>
                <w:iCs/>
                <w:sz w:val="16"/>
                <w:szCs w:val="16"/>
              </w:rPr>
              <w:t>Values and weightings for individual assets not disclosed. Only disclose total values and weighting aggregated by the fund manager responsible for managing the assets.</w:t>
            </w:r>
          </w:p>
        </w:tc>
      </w:tr>
      <w:bookmarkEnd w:id="52"/>
      <w:tr w:rsidR="00DC48A1" w:rsidRPr="006E709F" w:rsidTr="00CF67DD">
        <w:tc>
          <w:tcPr>
            <w:tcW w:w="5387"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t>Total</w:t>
            </w:r>
          </w:p>
        </w:tc>
        <w:tc>
          <w:tcPr>
            <w:tcW w:w="1771" w:type="dxa"/>
            <w:tcBorders>
              <w:top w:val="single" w:sz="12" w:space="0" w:color="auto"/>
              <w:left w:val="single" w:sz="4" w:space="0" w:color="auto"/>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c>
          <w:tcPr>
            <w:tcW w:w="1631"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r>
      <w:tr w:rsidR="00DC48A1" w:rsidRPr="006E709F" w:rsidTr="00CF67DD">
        <w:tc>
          <w:tcPr>
            <w:tcW w:w="5387"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tabs>
                <w:tab w:val="center" w:pos="1322"/>
              </w:tabs>
              <w:rPr>
                <w:b/>
                <w:sz w:val="16"/>
                <w:szCs w:val="16"/>
              </w:rPr>
            </w:pPr>
            <w:r w:rsidRPr="006E709F">
              <w:rPr>
                <w:b/>
                <w:sz w:val="16"/>
                <w:szCs w:val="16"/>
              </w:rPr>
              <w:t>Listed Property</w:t>
            </w:r>
          </w:p>
        </w:tc>
        <w:tc>
          <w:tcPr>
            <w:tcW w:w="1771" w:type="dxa"/>
            <w:tcBorders>
              <w:top w:val="single" w:sz="18"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tabs>
                <w:tab w:val="center" w:pos="1322"/>
              </w:tabs>
              <w:rPr>
                <w:b/>
                <w:sz w:val="16"/>
                <w:szCs w:val="16"/>
              </w:rPr>
            </w:pPr>
          </w:p>
        </w:tc>
        <w:tc>
          <w:tcPr>
            <w:tcW w:w="1631" w:type="dxa"/>
            <w:gridSpan w:val="3"/>
            <w:tcBorders>
              <w:top w:val="single" w:sz="12"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tabs>
                <w:tab w:val="center" w:pos="1322"/>
              </w:tabs>
              <w:rPr>
                <w:b/>
                <w:sz w:val="16"/>
                <w:szCs w:val="16"/>
              </w:rPr>
            </w:pPr>
          </w:p>
        </w:tc>
      </w:tr>
      <w:tr w:rsidR="00DC48A1" w:rsidRPr="006E709F" w:rsidTr="00CF67DD">
        <w:tc>
          <w:tcPr>
            <w:tcW w:w="2692" w:type="dxa"/>
            <w:tcBorders>
              <w:top w:val="single" w:sz="12" w:space="0" w:color="auto"/>
              <w:left w:val="nil"/>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bCs/>
                <w:sz w:val="16"/>
                <w:szCs w:val="16"/>
              </w:rPr>
            </w:pPr>
            <w:r w:rsidRPr="006E709F">
              <w:rPr>
                <w:b/>
                <w:bCs/>
                <w:sz w:val="16"/>
                <w:szCs w:val="16"/>
              </w:rPr>
              <w:t>Name/kind of investment item</w:t>
            </w:r>
          </w:p>
        </w:tc>
        <w:tc>
          <w:tcPr>
            <w:tcW w:w="1419" w:type="dxa"/>
            <w:tcBorders>
              <w:top w:val="single" w:sz="12" w:space="0" w:color="auto"/>
              <w:left w:val="nil"/>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bCs/>
                <w:sz w:val="16"/>
                <w:szCs w:val="16"/>
              </w:rPr>
            </w:pPr>
            <w:r w:rsidRPr="006E709F">
              <w:rPr>
                <w:b/>
                <w:bCs/>
                <w:sz w:val="16"/>
                <w:szCs w:val="16"/>
              </w:rPr>
              <w:t>Security Identifier</w:t>
            </w:r>
          </w:p>
        </w:tc>
        <w:tc>
          <w:tcPr>
            <w:tcW w:w="1276" w:type="dxa"/>
            <w:tcBorders>
              <w:top w:val="single" w:sz="12" w:space="0" w:color="auto"/>
              <w:left w:val="nil"/>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r w:rsidRPr="006E709F">
              <w:rPr>
                <w:b/>
                <w:sz w:val="16"/>
                <w:szCs w:val="16"/>
              </w:rPr>
              <w:t>Units held</w:t>
            </w:r>
          </w:p>
        </w:tc>
        <w:tc>
          <w:tcPr>
            <w:tcW w:w="1780" w:type="dxa"/>
            <w:gridSpan w:val="2"/>
            <w:tcBorders>
              <w:top w:val="single" w:sz="12" w:space="0" w:color="auto"/>
              <w:left w:val="single" w:sz="4" w:space="0" w:color="auto"/>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r w:rsidRPr="006E709F">
              <w:rPr>
                <w:b/>
                <w:sz w:val="16"/>
                <w:szCs w:val="16"/>
              </w:rPr>
              <w:t>Value (AUD)</w:t>
            </w:r>
          </w:p>
        </w:tc>
        <w:tc>
          <w:tcPr>
            <w:tcW w:w="1622" w:type="dxa"/>
            <w:gridSpan w:val="2"/>
            <w:tcBorders>
              <w:top w:val="single" w:sz="12" w:space="0" w:color="auto"/>
              <w:left w:val="nil"/>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r w:rsidRPr="006E709F">
              <w:rPr>
                <w:b/>
                <w:sz w:val="16"/>
                <w:szCs w:val="16"/>
              </w:rPr>
              <w:t>Weighting (%)</w:t>
            </w:r>
          </w:p>
        </w:tc>
      </w:tr>
      <w:tr w:rsidR="00DC48A1" w:rsidRPr="006E709F" w:rsidTr="00CF67DD">
        <w:tc>
          <w:tcPr>
            <w:tcW w:w="2692" w:type="dxa"/>
            <w:tcBorders>
              <w:top w:val="single" w:sz="4"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c>
          <w:tcPr>
            <w:tcW w:w="1419" w:type="dxa"/>
            <w:tcBorders>
              <w:top w:val="single" w:sz="4" w:space="0" w:color="auto"/>
              <w:left w:val="nil"/>
              <w:bottom w:val="single" w:sz="12" w:space="0" w:color="auto"/>
              <w:right w:val="nil"/>
            </w:tcBorders>
            <w:shd w:val="clear" w:color="auto" w:fill="auto"/>
          </w:tcPr>
          <w:p w:rsidR="00DC48A1" w:rsidRPr="006E709F" w:rsidRDefault="00DC48A1" w:rsidP="00CF67DD">
            <w:pPr>
              <w:rPr>
                <w:sz w:val="16"/>
                <w:szCs w:val="16"/>
              </w:rPr>
            </w:pPr>
          </w:p>
        </w:tc>
        <w:tc>
          <w:tcPr>
            <w:tcW w:w="1276" w:type="dxa"/>
            <w:tcBorders>
              <w:top w:val="single" w:sz="4" w:space="0" w:color="auto"/>
              <w:left w:val="nil"/>
              <w:bottom w:val="single" w:sz="12" w:space="0" w:color="auto"/>
              <w:right w:val="nil"/>
            </w:tcBorders>
            <w:shd w:val="clear" w:color="auto" w:fill="auto"/>
          </w:tcPr>
          <w:p w:rsidR="00DC48A1" w:rsidRPr="006E709F" w:rsidRDefault="00DC48A1" w:rsidP="00CF67DD">
            <w:pPr>
              <w:rPr>
                <w:sz w:val="16"/>
                <w:szCs w:val="16"/>
              </w:rPr>
            </w:pPr>
          </w:p>
        </w:tc>
        <w:tc>
          <w:tcPr>
            <w:tcW w:w="1791" w:type="dxa"/>
            <w:gridSpan w:val="3"/>
            <w:tcBorders>
              <w:top w:val="single" w:sz="4"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c>
          <w:tcPr>
            <w:tcW w:w="1611" w:type="dxa"/>
            <w:tcBorders>
              <w:top w:val="single" w:sz="4"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r>
      <w:tr w:rsidR="00DC48A1" w:rsidRPr="006E709F" w:rsidTr="00CF67DD">
        <w:tc>
          <w:tcPr>
            <w:tcW w:w="2692" w:type="dxa"/>
            <w:tcBorders>
              <w:top w:val="single" w:sz="12" w:space="0" w:color="auto"/>
              <w:left w:val="nil"/>
              <w:bottom w:val="single" w:sz="18"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bCs/>
                <w:sz w:val="16"/>
                <w:szCs w:val="16"/>
              </w:rPr>
            </w:pPr>
            <w:r w:rsidRPr="006E709F">
              <w:rPr>
                <w:b/>
                <w:bCs/>
                <w:sz w:val="16"/>
                <w:szCs w:val="16"/>
              </w:rPr>
              <w:t>Total</w:t>
            </w:r>
          </w:p>
        </w:tc>
        <w:tc>
          <w:tcPr>
            <w:tcW w:w="1419" w:type="dxa"/>
            <w:tcBorders>
              <w:top w:val="single" w:sz="12"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bCs/>
                <w:sz w:val="16"/>
                <w:szCs w:val="16"/>
              </w:rPr>
            </w:pPr>
          </w:p>
        </w:tc>
        <w:tc>
          <w:tcPr>
            <w:tcW w:w="1276" w:type="dxa"/>
            <w:tcBorders>
              <w:top w:val="single" w:sz="12"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c>
          <w:tcPr>
            <w:tcW w:w="1780" w:type="dxa"/>
            <w:gridSpan w:val="2"/>
            <w:tcBorders>
              <w:top w:val="single" w:sz="12" w:space="0" w:color="auto"/>
              <w:left w:val="single" w:sz="4" w:space="0" w:color="auto"/>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c>
          <w:tcPr>
            <w:tcW w:w="1622" w:type="dxa"/>
            <w:gridSpan w:val="2"/>
            <w:tcBorders>
              <w:top w:val="single" w:sz="12"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r>
      <w:tr w:rsidR="00DC48A1" w:rsidRPr="006E709F" w:rsidTr="00CF67DD">
        <w:trPr>
          <w:trHeight w:val="208"/>
        </w:trPr>
        <w:tc>
          <w:tcPr>
            <w:tcW w:w="5387"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hideMark/>
          </w:tcPr>
          <w:p w:rsidR="00DC48A1" w:rsidRPr="006E709F" w:rsidRDefault="00DC48A1" w:rsidP="00CF67DD">
            <w:pPr>
              <w:tabs>
                <w:tab w:val="center" w:pos="1322"/>
              </w:tabs>
              <w:rPr>
                <w:b/>
                <w:sz w:val="16"/>
                <w:szCs w:val="16"/>
              </w:rPr>
            </w:pPr>
            <w:r w:rsidRPr="006E709F">
              <w:rPr>
                <w:b/>
                <w:sz w:val="16"/>
                <w:szCs w:val="16"/>
              </w:rPr>
              <w:t>Unlisted Property</w:t>
            </w:r>
          </w:p>
          <w:p w:rsidR="00DC48A1" w:rsidRPr="006E709F" w:rsidRDefault="00DC48A1" w:rsidP="00CF67DD">
            <w:pPr>
              <w:rPr>
                <w:b/>
                <w:sz w:val="16"/>
                <w:szCs w:val="16"/>
              </w:rPr>
            </w:pPr>
            <w:r w:rsidRPr="006E709F">
              <w:rPr>
                <w:b/>
                <w:sz w:val="16"/>
                <w:szCs w:val="16"/>
              </w:rPr>
              <w:t xml:space="preserve">Held directly or by associated entities or by </w:t>
            </w:r>
            <w:r w:rsidR="00D05323" w:rsidRPr="00D05323">
              <w:rPr>
                <w:b/>
                <w:sz w:val="16"/>
                <w:szCs w:val="16"/>
              </w:rPr>
              <w:t>pooled superannuation trusts</w:t>
            </w:r>
          </w:p>
          <w:p w:rsidR="00DC48A1" w:rsidRPr="006E709F" w:rsidRDefault="00DC48A1" w:rsidP="00CF67DD">
            <w:pPr>
              <w:rPr>
                <w:sz w:val="16"/>
                <w:szCs w:val="16"/>
              </w:rPr>
            </w:pPr>
            <w:r w:rsidRPr="006E709F">
              <w:rPr>
                <w:b/>
                <w:sz w:val="16"/>
                <w:szCs w:val="16"/>
              </w:rPr>
              <w:t>Internally managed</w:t>
            </w:r>
          </w:p>
        </w:tc>
        <w:tc>
          <w:tcPr>
            <w:tcW w:w="1771" w:type="dxa"/>
            <w:tcBorders>
              <w:top w:val="single" w:sz="18"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c>
          <w:tcPr>
            <w:tcW w:w="1631"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r>
      <w:tr w:rsidR="00DC48A1" w:rsidRPr="006E709F" w:rsidTr="00CF67DD">
        <w:tc>
          <w:tcPr>
            <w:tcW w:w="2692" w:type="dxa"/>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bCs/>
                <w:sz w:val="16"/>
                <w:szCs w:val="16"/>
              </w:rPr>
            </w:pPr>
            <w:r w:rsidRPr="006E709F">
              <w:rPr>
                <w:b/>
                <w:bCs/>
                <w:sz w:val="16"/>
                <w:szCs w:val="16"/>
              </w:rPr>
              <w:t>Name/kind of investment item</w:t>
            </w:r>
          </w:p>
        </w:tc>
        <w:tc>
          <w:tcPr>
            <w:tcW w:w="1419" w:type="dxa"/>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bCs/>
                <w:sz w:val="16"/>
                <w:szCs w:val="16"/>
              </w:rPr>
            </w:pPr>
            <w:r w:rsidRPr="006E709F">
              <w:rPr>
                <w:b/>
                <w:bCs/>
                <w:sz w:val="16"/>
                <w:szCs w:val="16"/>
              </w:rPr>
              <w:t>Address</w:t>
            </w:r>
          </w:p>
        </w:tc>
        <w:tc>
          <w:tcPr>
            <w:tcW w:w="1276" w:type="dxa"/>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sz w:val="16"/>
                <w:szCs w:val="16"/>
              </w:rPr>
              <w:t>% of property held</w:t>
            </w:r>
          </w:p>
        </w:tc>
        <w:tc>
          <w:tcPr>
            <w:tcW w:w="1780" w:type="dxa"/>
            <w:gridSpan w:val="2"/>
            <w:tcBorders>
              <w:top w:val="single" w:sz="12" w:space="0" w:color="auto"/>
              <w:left w:val="single" w:sz="4" w:space="0" w:color="auto"/>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sz w:val="16"/>
                <w:szCs w:val="16"/>
              </w:rPr>
              <w:t>Value (AUD)</w:t>
            </w:r>
          </w:p>
        </w:tc>
        <w:tc>
          <w:tcPr>
            <w:tcW w:w="1622" w:type="dxa"/>
            <w:gridSpan w:val="2"/>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sz w:val="16"/>
                <w:szCs w:val="16"/>
              </w:rPr>
              <w:t>Weighting (%)</w:t>
            </w:r>
          </w:p>
        </w:tc>
      </w:tr>
      <w:tr w:rsidR="00DC48A1" w:rsidRPr="006E709F" w:rsidTr="00CF67DD">
        <w:tc>
          <w:tcPr>
            <w:tcW w:w="2692" w:type="dxa"/>
            <w:tcBorders>
              <w:top w:val="single" w:sz="4"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Del="009662CB" w:rsidRDefault="00DC48A1" w:rsidP="00CF67DD">
            <w:pPr>
              <w:rPr>
                <w:bCs/>
                <w:i/>
                <w:iCs/>
                <w:sz w:val="16"/>
                <w:szCs w:val="16"/>
              </w:rPr>
            </w:pPr>
          </w:p>
        </w:tc>
        <w:tc>
          <w:tcPr>
            <w:tcW w:w="1419" w:type="dxa"/>
            <w:tcBorders>
              <w:top w:val="single" w:sz="4" w:space="0" w:color="auto"/>
              <w:left w:val="nil"/>
              <w:bottom w:val="single" w:sz="12" w:space="0" w:color="auto"/>
              <w:right w:val="nil"/>
            </w:tcBorders>
            <w:shd w:val="clear" w:color="auto" w:fill="auto"/>
          </w:tcPr>
          <w:p w:rsidR="00DC48A1" w:rsidRPr="006E709F" w:rsidRDefault="00DC48A1" w:rsidP="00CF67DD">
            <w:pPr>
              <w:rPr>
                <w:bCs/>
                <w:i/>
                <w:sz w:val="16"/>
                <w:szCs w:val="16"/>
              </w:rPr>
            </w:pPr>
          </w:p>
        </w:tc>
        <w:tc>
          <w:tcPr>
            <w:tcW w:w="1276" w:type="dxa"/>
            <w:tcBorders>
              <w:top w:val="single" w:sz="4" w:space="0" w:color="auto"/>
              <w:left w:val="nil"/>
              <w:bottom w:val="single" w:sz="12" w:space="0" w:color="auto"/>
              <w:right w:val="nil"/>
            </w:tcBorders>
            <w:shd w:val="clear" w:color="auto" w:fill="auto"/>
          </w:tcPr>
          <w:p w:rsidR="00DC48A1" w:rsidRPr="006E709F" w:rsidRDefault="00DC48A1" w:rsidP="00CF67DD">
            <w:pPr>
              <w:rPr>
                <w:bCs/>
                <w:i/>
                <w:sz w:val="16"/>
                <w:szCs w:val="16"/>
              </w:rPr>
            </w:pPr>
          </w:p>
        </w:tc>
        <w:tc>
          <w:tcPr>
            <w:tcW w:w="3402" w:type="dxa"/>
            <w:gridSpan w:val="4"/>
            <w:tcBorders>
              <w:top w:val="single" w:sz="4"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i/>
                <w:iCs/>
                <w:sz w:val="16"/>
                <w:szCs w:val="16"/>
              </w:rPr>
            </w:pPr>
            <w:r w:rsidRPr="006E709F">
              <w:rPr>
                <w:i/>
                <w:iCs/>
                <w:sz w:val="16"/>
                <w:szCs w:val="16"/>
              </w:rPr>
              <w:t>Values and weighting for individual assets not disclosed. Only disclose total value and weighting.</w:t>
            </w:r>
          </w:p>
        </w:tc>
      </w:tr>
      <w:tr w:rsidR="00DC48A1" w:rsidRPr="006E709F" w:rsidTr="00CF67DD">
        <w:tc>
          <w:tcPr>
            <w:tcW w:w="5387"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t>Total</w:t>
            </w:r>
          </w:p>
        </w:tc>
        <w:tc>
          <w:tcPr>
            <w:tcW w:w="1771" w:type="dxa"/>
            <w:tcBorders>
              <w:top w:val="single" w:sz="12" w:space="0" w:color="auto"/>
              <w:left w:val="single" w:sz="4" w:space="0" w:color="auto"/>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c>
          <w:tcPr>
            <w:tcW w:w="1631"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r>
      <w:tr w:rsidR="00DC48A1" w:rsidRPr="006E709F" w:rsidTr="00CF67DD">
        <w:tc>
          <w:tcPr>
            <w:tcW w:w="5387"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tabs>
                <w:tab w:val="center" w:pos="1322"/>
              </w:tabs>
              <w:rPr>
                <w:b/>
                <w:sz w:val="16"/>
                <w:szCs w:val="16"/>
              </w:rPr>
            </w:pPr>
            <w:r w:rsidRPr="006E709F">
              <w:rPr>
                <w:b/>
                <w:sz w:val="16"/>
                <w:szCs w:val="16"/>
              </w:rPr>
              <w:t>Unlisted Property</w:t>
            </w:r>
          </w:p>
          <w:p w:rsidR="00DC48A1" w:rsidRPr="006E709F" w:rsidRDefault="00DC48A1" w:rsidP="00CF67DD">
            <w:pPr>
              <w:tabs>
                <w:tab w:val="center" w:pos="1322"/>
              </w:tabs>
              <w:rPr>
                <w:b/>
                <w:sz w:val="16"/>
                <w:szCs w:val="16"/>
              </w:rPr>
            </w:pPr>
            <w:r w:rsidRPr="006E709F">
              <w:rPr>
                <w:b/>
                <w:sz w:val="16"/>
                <w:szCs w:val="16"/>
              </w:rPr>
              <w:t>Investment in non</w:t>
            </w:r>
            <w:r w:rsidR="000C4237">
              <w:rPr>
                <w:b/>
                <w:sz w:val="16"/>
                <w:szCs w:val="16"/>
              </w:rPr>
              <w:noBreakHyphen/>
            </w:r>
            <w:r w:rsidRPr="006E709F">
              <w:rPr>
                <w:b/>
                <w:sz w:val="16"/>
                <w:szCs w:val="16"/>
              </w:rPr>
              <w:t>associated entities;</w:t>
            </w:r>
          </w:p>
          <w:p w:rsidR="00DC48A1" w:rsidRPr="006E709F" w:rsidRDefault="00DC48A1" w:rsidP="00CF67DD">
            <w:pPr>
              <w:rPr>
                <w:b/>
                <w:sz w:val="16"/>
                <w:szCs w:val="16"/>
              </w:rPr>
            </w:pPr>
            <w:r w:rsidRPr="006E709F">
              <w:rPr>
                <w:b/>
                <w:sz w:val="16"/>
                <w:szCs w:val="16"/>
              </w:rPr>
              <w:t xml:space="preserve">Held directly or by associated entities or by </w:t>
            </w:r>
            <w:r w:rsidR="00D05323" w:rsidRPr="00D05323">
              <w:rPr>
                <w:b/>
                <w:sz w:val="16"/>
                <w:szCs w:val="16"/>
              </w:rPr>
              <w:t>pooled superannuation trusts</w:t>
            </w:r>
          </w:p>
          <w:p w:rsidR="00DC48A1" w:rsidRPr="006E709F" w:rsidRDefault="00DC48A1" w:rsidP="00CF67DD">
            <w:pPr>
              <w:rPr>
                <w:b/>
                <w:sz w:val="16"/>
                <w:szCs w:val="16"/>
              </w:rPr>
            </w:pPr>
            <w:r w:rsidRPr="006E709F">
              <w:rPr>
                <w:b/>
                <w:sz w:val="16"/>
                <w:szCs w:val="16"/>
              </w:rPr>
              <w:t>Externally managed</w:t>
            </w:r>
          </w:p>
        </w:tc>
        <w:tc>
          <w:tcPr>
            <w:tcW w:w="1771" w:type="dxa"/>
            <w:tcBorders>
              <w:top w:val="single" w:sz="18"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c>
          <w:tcPr>
            <w:tcW w:w="1631" w:type="dxa"/>
            <w:gridSpan w:val="3"/>
            <w:tcBorders>
              <w:top w:val="single" w:sz="12"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r>
      <w:tr w:rsidR="00DC48A1" w:rsidRPr="006E709F" w:rsidTr="00CF67DD">
        <w:tc>
          <w:tcPr>
            <w:tcW w:w="5387" w:type="dxa"/>
            <w:gridSpan w:val="3"/>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t>Name of Fund Manager</w:t>
            </w:r>
          </w:p>
        </w:tc>
        <w:tc>
          <w:tcPr>
            <w:tcW w:w="1780" w:type="dxa"/>
            <w:gridSpan w:val="2"/>
            <w:tcBorders>
              <w:top w:val="single" w:sz="12" w:space="0" w:color="auto"/>
              <w:left w:val="single" w:sz="4" w:space="0" w:color="auto"/>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sz w:val="16"/>
                <w:szCs w:val="16"/>
              </w:rPr>
              <w:t>Value (AUD)</w:t>
            </w:r>
          </w:p>
        </w:tc>
        <w:tc>
          <w:tcPr>
            <w:tcW w:w="1622" w:type="dxa"/>
            <w:gridSpan w:val="2"/>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sz w:val="16"/>
                <w:szCs w:val="16"/>
              </w:rPr>
              <w:t>Weighting (%)</w:t>
            </w:r>
          </w:p>
        </w:tc>
      </w:tr>
      <w:tr w:rsidR="00DC48A1" w:rsidRPr="006E709F" w:rsidTr="00CF67DD">
        <w:trPr>
          <w:trHeight w:val="208"/>
        </w:trPr>
        <w:tc>
          <w:tcPr>
            <w:tcW w:w="5387" w:type="dxa"/>
            <w:gridSpan w:val="3"/>
            <w:tcBorders>
              <w:top w:val="single" w:sz="4" w:space="0" w:color="auto"/>
              <w:left w:val="nil"/>
              <w:bottom w:val="single" w:sz="12" w:space="0" w:color="auto"/>
              <w:right w:val="nil"/>
            </w:tcBorders>
            <w:shd w:val="clear" w:color="auto" w:fill="auto"/>
            <w:tcMar>
              <w:top w:w="0" w:type="dxa"/>
              <w:left w:w="108" w:type="dxa"/>
              <w:bottom w:w="0" w:type="dxa"/>
              <w:right w:w="108" w:type="dxa"/>
            </w:tcMar>
            <w:hideMark/>
          </w:tcPr>
          <w:p w:rsidR="00DC48A1" w:rsidRPr="006E709F" w:rsidRDefault="00DC48A1" w:rsidP="00CF67DD">
            <w:pPr>
              <w:tabs>
                <w:tab w:val="center" w:pos="1322"/>
              </w:tabs>
              <w:rPr>
                <w:bCs/>
                <w:i/>
                <w:iCs/>
                <w:sz w:val="16"/>
                <w:szCs w:val="16"/>
              </w:rPr>
            </w:pPr>
            <w:r w:rsidRPr="006E709F">
              <w:rPr>
                <w:bCs/>
                <w:i/>
                <w:iCs/>
                <w:sz w:val="16"/>
                <w:szCs w:val="16"/>
              </w:rPr>
              <w:t>Individual asset names not required to be disclosed.</w:t>
            </w:r>
          </w:p>
          <w:p w:rsidR="00DC48A1" w:rsidRPr="006E709F" w:rsidRDefault="00DC48A1" w:rsidP="00CF67DD">
            <w:pPr>
              <w:rPr>
                <w:sz w:val="16"/>
                <w:szCs w:val="16"/>
              </w:rPr>
            </w:pPr>
            <w:r w:rsidRPr="006E709F">
              <w:rPr>
                <w:bCs/>
                <w:i/>
                <w:iCs/>
                <w:sz w:val="16"/>
                <w:szCs w:val="16"/>
              </w:rPr>
              <w:t>Only disclose the name of the fund manager responsible for managing the asset.</w:t>
            </w:r>
          </w:p>
        </w:tc>
        <w:tc>
          <w:tcPr>
            <w:tcW w:w="3402" w:type="dxa"/>
            <w:gridSpan w:val="4"/>
            <w:tcBorders>
              <w:top w:val="single" w:sz="4"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r w:rsidRPr="006E709F">
              <w:rPr>
                <w:i/>
                <w:iCs/>
                <w:sz w:val="16"/>
                <w:szCs w:val="16"/>
              </w:rPr>
              <w:t>Values and weightings for individual assets not disclosed. Only disclose total values and weighting aggregated by the fund manager responsible for managing the assets.</w:t>
            </w:r>
          </w:p>
        </w:tc>
      </w:tr>
      <w:tr w:rsidR="00DC48A1" w:rsidRPr="006E709F" w:rsidTr="00CF67DD">
        <w:tc>
          <w:tcPr>
            <w:tcW w:w="5387"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t>Total</w:t>
            </w:r>
          </w:p>
        </w:tc>
        <w:tc>
          <w:tcPr>
            <w:tcW w:w="1771" w:type="dxa"/>
            <w:tcBorders>
              <w:top w:val="single" w:sz="12" w:space="0" w:color="auto"/>
              <w:left w:val="single" w:sz="4" w:space="0" w:color="auto"/>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c>
          <w:tcPr>
            <w:tcW w:w="1631"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r>
      <w:tr w:rsidR="00DC48A1" w:rsidRPr="006E709F" w:rsidTr="00CF67DD">
        <w:trPr>
          <w:trHeight w:val="208"/>
        </w:trPr>
        <w:tc>
          <w:tcPr>
            <w:tcW w:w="5387"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hideMark/>
          </w:tcPr>
          <w:p w:rsidR="00DC48A1" w:rsidRPr="006E709F" w:rsidRDefault="00DC48A1" w:rsidP="00CF67DD">
            <w:pPr>
              <w:rPr>
                <w:sz w:val="16"/>
                <w:szCs w:val="16"/>
              </w:rPr>
            </w:pPr>
            <w:r w:rsidRPr="006E709F">
              <w:rPr>
                <w:b/>
                <w:sz w:val="16"/>
                <w:szCs w:val="16"/>
              </w:rPr>
              <w:t>Listed Infrastructure</w:t>
            </w:r>
          </w:p>
        </w:tc>
        <w:tc>
          <w:tcPr>
            <w:tcW w:w="1771" w:type="dxa"/>
            <w:tcBorders>
              <w:top w:val="single" w:sz="18"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c>
          <w:tcPr>
            <w:tcW w:w="1631"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r>
      <w:tr w:rsidR="00DC48A1" w:rsidRPr="006E709F" w:rsidTr="00CF67DD">
        <w:tc>
          <w:tcPr>
            <w:tcW w:w="2692" w:type="dxa"/>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bCs/>
                <w:sz w:val="16"/>
                <w:szCs w:val="16"/>
              </w:rPr>
            </w:pPr>
            <w:r w:rsidRPr="006E709F">
              <w:rPr>
                <w:b/>
                <w:bCs/>
                <w:sz w:val="16"/>
                <w:szCs w:val="16"/>
              </w:rPr>
              <w:t>Name/kind of investment item</w:t>
            </w:r>
          </w:p>
        </w:tc>
        <w:tc>
          <w:tcPr>
            <w:tcW w:w="1419" w:type="dxa"/>
            <w:tcBorders>
              <w:top w:val="single" w:sz="12" w:space="0" w:color="auto"/>
              <w:left w:val="nil"/>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bCs/>
                <w:sz w:val="16"/>
                <w:szCs w:val="16"/>
              </w:rPr>
            </w:pPr>
            <w:r w:rsidRPr="006E709F">
              <w:rPr>
                <w:b/>
                <w:bCs/>
                <w:sz w:val="16"/>
                <w:szCs w:val="16"/>
              </w:rPr>
              <w:t>Security Identifier</w:t>
            </w:r>
          </w:p>
        </w:tc>
        <w:tc>
          <w:tcPr>
            <w:tcW w:w="1276" w:type="dxa"/>
            <w:tcBorders>
              <w:top w:val="single" w:sz="12" w:space="0" w:color="auto"/>
              <w:left w:val="nil"/>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r w:rsidRPr="006E709F">
              <w:rPr>
                <w:b/>
                <w:sz w:val="16"/>
                <w:szCs w:val="16"/>
              </w:rPr>
              <w:t>Units held</w:t>
            </w:r>
          </w:p>
        </w:tc>
        <w:tc>
          <w:tcPr>
            <w:tcW w:w="1780" w:type="dxa"/>
            <w:gridSpan w:val="2"/>
            <w:tcBorders>
              <w:top w:val="single" w:sz="12" w:space="0" w:color="auto"/>
              <w:left w:val="single" w:sz="4" w:space="0" w:color="auto"/>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r w:rsidRPr="006E709F">
              <w:rPr>
                <w:b/>
                <w:sz w:val="16"/>
                <w:szCs w:val="16"/>
              </w:rPr>
              <w:t>Value (AUD)</w:t>
            </w:r>
          </w:p>
        </w:tc>
        <w:tc>
          <w:tcPr>
            <w:tcW w:w="1622" w:type="dxa"/>
            <w:gridSpan w:val="2"/>
            <w:tcBorders>
              <w:top w:val="single" w:sz="12" w:space="0" w:color="auto"/>
              <w:left w:val="nil"/>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r w:rsidRPr="006E709F">
              <w:rPr>
                <w:b/>
                <w:sz w:val="16"/>
                <w:szCs w:val="16"/>
              </w:rPr>
              <w:t>Weighting (%)</w:t>
            </w:r>
          </w:p>
        </w:tc>
      </w:tr>
      <w:tr w:rsidR="00DC48A1" w:rsidRPr="006E709F" w:rsidTr="00CF67DD">
        <w:tc>
          <w:tcPr>
            <w:tcW w:w="2692" w:type="dxa"/>
            <w:tcBorders>
              <w:top w:val="single" w:sz="4"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bCs/>
                <w:sz w:val="16"/>
                <w:szCs w:val="16"/>
              </w:rPr>
            </w:pPr>
          </w:p>
        </w:tc>
        <w:tc>
          <w:tcPr>
            <w:tcW w:w="1419" w:type="dxa"/>
            <w:tcBorders>
              <w:top w:val="single" w:sz="4"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b/>
                <w:bCs/>
                <w:sz w:val="16"/>
                <w:szCs w:val="16"/>
              </w:rPr>
            </w:pPr>
          </w:p>
        </w:tc>
        <w:tc>
          <w:tcPr>
            <w:tcW w:w="1276" w:type="dxa"/>
            <w:tcBorders>
              <w:top w:val="single" w:sz="4" w:space="0" w:color="auto"/>
              <w:left w:val="nil"/>
              <w:bottom w:val="single" w:sz="12" w:space="0" w:color="auto"/>
              <w:right w:val="nil"/>
            </w:tcBorders>
            <w:shd w:val="clear" w:color="auto" w:fill="auto"/>
          </w:tcPr>
          <w:p w:rsidR="00DC48A1" w:rsidRPr="006E709F" w:rsidRDefault="00DC48A1" w:rsidP="00CF67DD">
            <w:pPr>
              <w:rPr>
                <w:bCs/>
                <w:sz w:val="16"/>
                <w:szCs w:val="16"/>
              </w:rPr>
            </w:pPr>
          </w:p>
        </w:tc>
        <w:tc>
          <w:tcPr>
            <w:tcW w:w="1780" w:type="dxa"/>
            <w:gridSpan w:val="2"/>
            <w:tcBorders>
              <w:top w:val="single" w:sz="4"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c>
          <w:tcPr>
            <w:tcW w:w="1622" w:type="dxa"/>
            <w:gridSpan w:val="2"/>
            <w:tcBorders>
              <w:top w:val="single" w:sz="4"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r>
      <w:tr w:rsidR="00DC48A1" w:rsidRPr="006E709F" w:rsidTr="00CF67DD">
        <w:tc>
          <w:tcPr>
            <w:tcW w:w="2692" w:type="dxa"/>
            <w:tcBorders>
              <w:top w:val="single" w:sz="12" w:space="0" w:color="auto"/>
              <w:left w:val="nil"/>
              <w:bottom w:val="single" w:sz="18"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bCs/>
                <w:sz w:val="16"/>
                <w:szCs w:val="16"/>
              </w:rPr>
            </w:pPr>
            <w:r w:rsidRPr="006E709F">
              <w:rPr>
                <w:b/>
                <w:bCs/>
                <w:sz w:val="16"/>
                <w:szCs w:val="16"/>
              </w:rPr>
              <w:t>Total</w:t>
            </w:r>
          </w:p>
        </w:tc>
        <w:tc>
          <w:tcPr>
            <w:tcW w:w="1419" w:type="dxa"/>
            <w:tcBorders>
              <w:top w:val="single" w:sz="12"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bCs/>
                <w:sz w:val="16"/>
                <w:szCs w:val="16"/>
              </w:rPr>
            </w:pPr>
          </w:p>
        </w:tc>
        <w:tc>
          <w:tcPr>
            <w:tcW w:w="1276" w:type="dxa"/>
            <w:tcBorders>
              <w:top w:val="single" w:sz="12"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c>
          <w:tcPr>
            <w:tcW w:w="1780" w:type="dxa"/>
            <w:gridSpan w:val="2"/>
            <w:tcBorders>
              <w:top w:val="single" w:sz="12" w:space="0" w:color="auto"/>
              <w:left w:val="single" w:sz="4" w:space="0" w:color="auto"/>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c>
          <w:tcPr>
            <w:tcW w:w="1622" w:type="dxa"/>
            <w:gridSpan w:val="2"/>
            <w:tcBorders>
              <w:top w:val="single" w:sz="12"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r>
      <w:tr w:rsidR="00DC48A1" w:rsidRPr="006E709F" w:rsidTr="00CF67DD">
        <w:trPr>
          <w:trHeight w:val="208"/>
        </w:trPr>
        <w:tc>
          <w:tcPr>
            <w:tcW w:w="5387" w:type="dxa"/>
            <w:gridSpan w:val="3"/>
            <w:tcBorders>
              <w:top w:val="single" w:sz="18"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tabs>
                <w:tab w:val="center" w:pos="1322"/>
              </w:tabs>
              <w:rPr>
                <w:b/>
                <w:sz w:val="16"/>
                <w:szCs w:val="16"/>
              </w:rPr>
            </w:pPr>
            <w:r w:rsidRPr="006E709F">
              <w:rPr>
                <w:b/>
                <w:sz w:val="16"/>
                <w:szCs w:val="16"/>
              </w:rPr>
              <w:t>Unlisted Infrastructure</w:t>
            </w:r>
          </w:p>
          <w:p w:rsidR="00DC48A1" w:rsidRPr="006E709F" w:rsidRDefault="00DC48A1" w:rsidP="00CF67DD">
            <w:pPr>
              <w:tabs>
                <w:tab w:val="center" w:pos="1322"/>
              </w:tabs>
              <w:rPr>
                <w:b/>
                <w:sz w:val="16"/>
                <w:szCs w:val="16"/>
              </w:rPr>
            </w:pPr>
            <w:r w:rsidRPr="006E709F">
              <w:rPr>
                <w:b/>
                <w:sz w:val="16"/>
                <w:szCs w:val="16"/>
              </w:rPr>
              <w:t xml:space="preserve">Held directly or by associated entities or by </w:t>
            </w:r>
            <w:r w:rsidR="00D05323" w:rsidRPr="00D05323">
              <w:rPr>
                <w:b/>
                <w:sz w:val="16"/>
                <w:szCs w:val="16"/>
              </w:rPr>
              <w:t>pooled superannuation trusts</w:t>
            </w:r>
          </w:p>
          <w:p w:rsidR="00DC48A1" w:rsidRPr="006E709F" w:rsidRDefault="00DC48A1" w:rsidP="00CF67DD">
            <w:pPr>
              <w:rPr>
                <w:sz w:val="16"/>
                <w:szCs w:val="16"/>
              </w:rPr>
            </w:pPr>
            <w:r w:rsidRPr="006E709F">
              <w:rPr>
                <w:b/>
                <w:sz w:val="16"/>
                <w:szCs w:val="16"/>
              </w:rPr>
              <w:t>Internally managed</w:t>
            </w:r>
          </w:p>
        </w:tc>
        <w:tc>
          <w:tcPr>
            <w:tcW w:w="1771" w:type="dxa"/>
            <w:tcBorders>
              <w:top w:val="single" w:sz="18" w:space="0" w:color="auto"/>
              <w:left w:val="single" w:sz="4" w:space="0" w:color="auto"/>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c>
          <w:tcPr>
            <w:tcW w:w="1631" w:type="dxa"/>
            <w:gridSpan w:val="3"/>
            <w:tcBorders>
              <w:top w:val="single" w:sz="18" w:space="0" w:color="auto"/>
              <w:left w:val="nil"/>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r>
      <w:tr w:rsidR="00DC48A1" w:rsidRPr="006E709F" w:rsidTr="00CF67DD">
        <w:tc>
          <w:tcPr>
            <w:tcW w:w="2692" w:type="dxa"/>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bCs/>
                <w:sz w:val="16"/>
                <w:szCs w:val="16"/>
              </w:rPr>
            </w:pPr>
            <w:r w:rsidRPr="006E709F">
              <w:rPr>
                <w:b/>
                <w:bCs/>
                <w:sz w:val="16"/>
                <w:szCs w:val="16"/>
              </w:rPr>
              <w:lastRenderedPageBreak/>
              <w:t>Name/kind of investment item</w:t>
            </w:r>
          </w:p>
        </w:tc>
        <w:tc>
          <w:tcPr>
            <w:tcW w:w="2695" w:type="dxa"/>
            <w:gridSpan w:val="2"/>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sz w:val="16"/>
                <w:szCs w:val="16"/>
              </w:rPr>
              <w:t>% Ownership</w:t>
            </w:r>
          </w:p>
        </w:tc>
        <w:tc>
          <w:tcPr>
            <w:tcW w:w="1780" w:type="dxa"/>
            <w:gridSpan w:val="2"/>
            <w:tcBorders>
              <w:top w:val="single" w:sz="12" w:space="0" w:color="auto"/>
              <w:left w:val="single" w:sz="4" w:space="0" w:color="auto"/>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sz w:val="16"/>
                <w:szCs w:val="16"/>
              </w:rPr>
              <w:t>Value (AUD)</w:t>
            </w:r>
          </w:p>
        </w:tc>
        <w:tc>
          <w:tcPr>
            <w:tcW w:w="1622" w:type="dxa"/>
            <w:gridSpan w:val="2"/>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sz w:val="16"/>
                <w:szCs w:val="16"/>
              </w:rPr>
              <w:t>Weighting (%)</w:t>
            </w:r>
          </w:p>
        </w:tc>
      </w:tr>
      <w:tr w:rsidR="00DC48A1" w:rsidRPr="006E709F" w:rsidTr="00CF67DD">
        <w:tc>
          <w:tcPr>
            <w:tcW w:w="2692" w:type="dxa"/>
            <w:tcBorders>
              <w:top w:val="single" w:sz="4"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bCs/>
                <w:sz w:val="16"/>
                <w:szCs w:val="16"/>
              </w:rPr>
            </w:pPr>
          </w:p>
        </w:tc>
        <w:tc>
          <w:tcPr>
            <w:tcW w:w="2695" w:type="dxa"/>
            <w:gridSpan w:val="2"/>
            <w:tcBorders>
              <w:top w:val="single" w:sz="4" w:space="0" w:color="auto"/>
              <w:left w:val="nil"/>
              <w:bottom w:val="single" w:sz="12" w:space="0" w:color="auto"/>
              <w:right w:val="nil"/>
            </w:tcBorders>
            <w:shd w:val="clear" w:color="auto" w:fill="auto"/>
          </w:tcPr>
          <w:p w:rsidR="00DC48A1" w:rsidRPr="006E709F" w:rsidRDefault="00DC48A1" w:rsidP="00CF67DD">
            <w:pPr>
              <w:rPr>
                <w:bCs/>
                <w:sz w:val="16"/>
                <w:szCs w:val="16"/>
              </w:rPr>
            </w:pPr>
          </w:p>
        </w:tc>
        <w:tc>
          <w:tcPr>
            <w:tcW w:w="3402" w:type="dxa"/>
            <w:gridSpan w:val="4"/>
            <w:tcBorders>
              <w:top w:val="single" w:sz="4"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i/>
                <w:iCs/>
                <w:sz w:val="16"/>
                <w:szCs w:val="16"/>
              </w:rPr>
            </w:pPr>
            <w:r w:rsidRPr="006E709F">
              <w:rPr>
                <w:i/>
                <w:iCs/>
                <w:sz w:val="16"/>
                <w:szCs w:val="16"/>
              </w:rPr>
              <w:t>Value and weighting for individual assets not disclosed. Only disclose total value and weighting.</w:t>
            </w:r>
          </w:p>
        </w:tc>
      </w:tr>
      <w:tr w:rsidR="00DC48A1" w:rsidRPr="006E709F" w:rsidTr="00CF67DD">
        <w:tc>
          <w:tcPr>
            <w:tcW w:w="5387"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t>Total</w:t>
            </w:r>
          </w:p>
        </w:tc>
        <w:tc>
          <w:tcPr>
            <w:tcW w:w="1771" w:type="dxa"/>
            <w:tcBorders>
              <w:top w:val="single" w:sz="12" w:space="0" w:color="auto"/>
              <w:left w:val="single" w:sz="4" w:space="0" w:color="auto"/>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c>
          <w:tcPr>
            <w:tcW w:w="1631"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r>
      <w:tr w:rsidR="00DC48A1" w:rsidRPr="006E709F" w:rsidTr="00CF67DD">
        <w:trPr>
          <w:trHeight w:val="208"/>
        </w:trPr>
        <w:tc>
          <w:tcPr>
            <w:tcW w:w="5387"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hideMark/>
          </w:tcPr>
          <w:p w:rsidR="00DC48A1" w:rsidRPr="006E709F" w:rsidRDefault="00DC48A1" w:rsidP="00CF67DD">
            <w:pPr>
              <w:tabs>
                <w:tab w:val="center" w:pos="1322"/>
              </w:tabs>
              <w:rPr>
                <w:b/>
                <w:sz w:val="16"/>
                <w:szCs w:val="16"/>
              </w:rPr>
            </w:pPr>
            <w:r w:rsidRPr="006E709F">
              <w:rPr>
                <w:b/>
                <w:sz w:val="16"/>
                <w:szCs w:val="16"/>
              </w:rPr>
              <w:t>Unlisted Infrastructure</w:t>
            </w:r>
          </w:p>
          <w:p w:rsidR="00DC48A1" w:rsidRPr="006E709F" w:rsidRDefault="00DC48A1" w:rsidP="00CF67DD">
            <w:pPr>
              <w:tabs>
                <w:tab w:val="center" w:pos="1322"/>
              </w:tabs>
              <w:rPr>
                <w:b/>
                <w:sz w:val="16"/>
                <w:szCs w:val="16"/>
              </w:rPr>
            </w:pPr>
            <w:r w:rsidRPr="006E709F">
              <w:rPr>
                <w:b/>
                <w:sz w:val="16"/>
                <w:szCs w:val="16"/>
              </w:rPr>
              <w:t>Investment in non</w:t>
            </w:r>
            <w:r w:rsidR="000C4237">
              <w:rPr>
                <w:b/>
                <w:sz w:val="16"/>
                <w:szCs w:val="16"/>
              </w:rPr>
              <w:noBreakHyphen/>
            </w:r>
            <w:r w:rsidRPr="006E709F">
              <w:rPr>
                <w:b/>
                <w:sz w:val="16"/>
                <w:szCs w:val="16"/>
              </w:rPr>
              <w:t>associated entities;</w:t>
            </w:r>
          </w:p>
          <w:p w:rsidR="00DC48A1" w:rsidRPr="006E709F" w:rsidRDefault="00DC48A1" w:rsidP="00CF67DD">
            <w:pPr>
              <w:tabs>
                <w:tab w:val="center" w:pos="1322"/>
              </w:tabs>
              <w:rPr>
                <w:b/>
                <w:sz w:val="16"/>
                <w:szCs w:val="16"/>
              </w:rPr>
            </w:pPr>
            <w:r w:rsidRPr="006E709F">
              <w:rPr>
                <w:b/>
                <w:sz w:val="16"/>
                <w:szCs w:val="16"/>
              </w:rPr>
              <w:t xml:space="preserve">Held directly or by associated entities or by </w:t>
            </w:r>
            <w:r w:rsidR="00D05323" w:rsidRPr="00D05323">
              <w:rPr>
                <w:b/>
                <w:sz w:val="16"/>
                <w:szCs w:val="16"/>
              </w:rPr>
              <w:t>pooled superannuation trusts</w:t>
            </w:r>
          </w:p>
          <w:p w:rsidR="00DC48A1" w:rsidRPr="006E709F" w:rsidRDefault="00DC48A1" w:rsidP="00CF67DD">
            <w:pPr>
              <w:rPr>
                <w:sz w:val="16"/>
                <w:szCs w:val="16"/>
              </w:rPr>
            </w:pPr>
            <w:r w:rsidRPr="006E709F">
              <w:rPr>
                <w:b/>
                <w:sz w:val="16"/>
                <w:szCs w:val="16"/>
              </w:rPr>
              <w:t>Externally managed</w:t>
            </w:r>
          </w:p>
        </w:tc>
        <w:tc>
          <w:tcPr>
            <w:tcW w:w="1771" w:type="dxa"/>
            <w:tcBorders>
              <w:top w:val="single" w:sz="18"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c>
          <w:tcPr>
            <w:tcW w:w="1631"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r>
      <w:tr w:rsidR="00DC48A1" w:rsidRPr="006E709F" w:rsidTr="00CF67DD">
        <w:tc>
          <w:tcPr>
            <w:tcW w:w="5387" w:type="dxa"/>
            <w:gridSpan w:val="3"/>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t>Name of Fund Manager</w:t>
            </w:r>
          </w:p>
        </w:tc>
        <w:tc>
          <w:tcPr>
            <w:tcW w:w="1780" w:type="dxa"/>
            <w:gridSpan w:val="2"/>
            <w:tcBorders>
              <w:top w:val="single" w:sz="12" w:space="0" w:color="auto"/>
              <w:left w:val="single" w:sz="4" w:space="0" w:color="auto"/>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sz w:val="16"/>
                <w:szCs w:val="16"/>
              </w:rPr>
              <w:t>Value (AUD)</w:t>
            </w:r>
          </w:p>
        </w:tc>
        <w:tc>
          <w:tcPr>
            <w:tcW w:w="1622" w:type="dxa"/>
            <w:gridSpan w:val="2"/>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sz w:val="16"/>
                <w:szCs w:val="16"/>
              </w:rPr>
              <w:t>Weighting (%)</w:t>
            </w:r>
          </w:p>
        </w:tc>
      </w:tr>
      <w:tr w:rsidR="00DC48A1" w:rsidRPr="006E709F" w:rsidTr="00CF67DD">
        <w:tc>
          <w:tcPr>
            <w:tcW w:w="5387" w:type="dxa"/>
            <w:gridSpan w:val="3"/>
            <w:tcBorders>
              <w:top w:val="single" w:sz="4"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tabs>
                <w:tab w:val="center" w:pos="1322"/>
              </w:tabs>
              <w:rPr>
                <w:bCs/>
                <w:i/>
                <w:iCs/>
                <w:sz w:val="16"/>
                <w:szCs w:val="16"/>
              </w:rPr>
            </w:pPr>
            <w:r w:rsidRPr="006E709F">
              <w:rPr>
                <w:bCs/>
                <w:i/>
                <w:iCs/>
                <w:sz w:val="16"/>
                <w:szCs w:val="16"/>
              </w:rPr>
              <w:t>Individual asset names not required to be disclosed.</w:t>
            </w:r>
          </w:p>
          <w:p w:rsidR="00DC48A1" w:rsidRPr="006E709F" w:rsidRDefault="00DC48A1" w:rsidP="00CF67DD">
            <w:pPr>
              <w:rPr>
                <w:b/>
                <w:sz w:val="16"/>
                <w:szCs w:val="16"/>
              </w:rPr>
            </w:pPr>
            <w:r w:rsidRPr="006E709F">
              <w:rPr>
                <w:bCs/>
                <w:i/>
                <w:iCs/>
                <w:sz w:val="16"/>
                <w:szCs w:val="16"/>
              </w:rPr>
              <w:t>Only disclose the name of the fund manager responsible for managing the asset.</w:t>
            </w:r>
          </w:p>
        </w:tc>
        <w:tc>
          <w:tcPr>
            <w:tcW w:w="3402" w:type="dxa"/>
            <w:gridSpan w:val="4"/>
            <w:tcBorders>
              <w:top w:val="single" w:sz="4"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i/>
                <w:iCs/>
                <w:sz w:val="16"/>
                <w:szCs w:val="16"/>
              </w:rPr>
            </w:pPr>
            <w:r w:rsidRPr="006E709F">
              <w:rPr>
                <w:i/>
                <w:iCs/>
                <w:sz w:val="16"/>
                <w:szCs w:val="16"/>
              </w:rPr>
              <w:t>Values and weightings for individual assets not disclosed. Only disclose total values and weighting aggregated by the fund manager responsible for managing the assets.</w:t>
            </w:r>
          </w:p>
        </w:tc>
      </w:tr>
      <w:tr w:rsidR="00DC48A1" w:rsidRPr="006E709F" w:rsidTr="00CF67DD">
        <w:tc>
          <w:tcPr>
            <w:tcW w:w="5387"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t>Total</w:t>
            </w:r>
          </w:p>
        </w:tc>
        <w:tc>
          <w:tcPr>
            <w:tcW w:w="1771" w:type="dxa"/>
            <w:tcBorders>
              <w:top w:val="single" w:sz="12" w:space="0" w:color="auto"/>
              <w:left w:val="single" w:sz="4" w:space="0" w:color="auto"/>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c>
          <w:tcPr>
            <w:tcW w:w="1631"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r>
      <w:tr w:rsidR="00DC48A1" w:rsidRPr="006E709F" w:rsidTr="00CF67DD">
        <w:trPr>
          <w:trHeight w:val="208"/>
        </w:trPr>
        <w:tc>
          <w:tcPr>
            <w:tcW w:w="5387"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hideMark/>
          </w:tcPr>
          <w:p w:rsidR="00DC48A1" w:rsidRPr="006E709F" w:rsidRDefault="00DC48A1" w:rsidP="00CF67DD">
            <w:pPr>
              <w:rPr>
                <w:sz w:val="16"/>
                <w:szCs w:val="16"/>
              </w:rPr>
            </w:pPr>
            <w:r w:rsidRPr="006E709F">
              <w:rPr>
                <w:b/>
                <w:sz w:val="16"/>
                <w:szCs w:val="16"/>
              </w:rPr>
              <w:t>Listed Alternatives</w:t>
            </w:r>
          </w:p>
        </w:tc>
        <w:tc>
          <w:tcPr>
            <w:tcW w:w="1771" w:type="dxa"/>
            <w:tcBorders>
              <w:top w:val="single" w:sz="18"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c>
          <w:tcPr>
            <w:tcW w:w="1631"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r>
      <w:tr w:rsidR="00DC48A1" w:rsidRPr="006E709F" w:rsidTr="00CF67DD">
        <w:tc>
          <w:tcPr>
            <w:tcW w:w="2692" w:type="dxa"/>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bCs/>
                <w:sz w:val="16"/>
                <w:szCs w:val="16"/>
              </w:rPr>
            </w:pPr>
            <w:r w:rsidRPr="006E709F">
              <w:rPr>
                <w:b/>
                <w:bCs/>
                <w:sz w:val="16"/>
                <w:szCs w:val="16"/>
              </w:rPr>
              <w:t>Name/kind of investment item</w:t>
            </w:r>
          </w:p>
        </w:tc>
        <w:tc>
          <w:tcPr>
            <w:tcW w:w="1419" w:type="dxa"/>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bCs/>
                <w:sz w:val="16"/>
                <w:szCs w:val="16"/>
              </w:rPr>
            </w:pPr>
            <w:r w:rsidRPr="006E709F">
              <w:rPr>
                <w:b/>
                <w:bCs/>
                <w:sz w:val="16"/>
                <w:szCs w:val="16"/>
              </w:rPr>
              <w:t>Security Identifier</w:t>
            </w:r>
          </w:p>
        </w:tc>
        <w:tc>
          <w:tcPr>
            <w:tcW w:w="1276" w:type="dxa"/>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sz w:val="16"/>
                <w:szCs w:val="16"/>
              </w:rPr>
              <w:t>Units held</w:t>
            </w:r>
          </w:p>
        </w:tc>
        <w:tc>
          <w:tcPr>
            <w:tcW w:w="1780" w:type="dxa"/>
            <w:gridSpan w:val="2"/>
            <w:tcBorders>
              <w:top w:val="single" w:sz="12" w:space="0" w:color="auto"/>
              <w:left w:val="single" w:sz="4" w:space="0" w:color="auto"/>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sz w:val="16"/>
                <w:szCs w:val="16"/>
              </w:rPr>
              <w:t>Value (AUD)</w:t>
            </w:r>
          </w:p>
        </w:tc>
        <w:tc>
          <w:tcPr>
            <w:tcW w:w="1622" w:type="dxa"/>
            <w:gridSpan w:val="2"/>
            <w:tcBorders>
              <w:top w:val="single" w:sz="12" w:space="0" w:color="auto"/>
              <w:left w:val="nil"/>
              <w:bottom w:val="single" w:sz="4"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sz w:val="16"/>
                <w:szCs w:val="16"/>
              </w:rPr>
              <w:t>Weighting (%)</w:t>
            </w:r>
          </w:p>
        </w:tc>
      </w:tr>
      <w:tr w:rsidR="00DC48A1" w:rsidRPr="006E709F" w:rsidTr="00CF67DD">
        <w:tc>
          <w:tcPr>
            <w:tcW w:w="2692" w:type="dxa"/>
            <w:tcBorders>
              <w:top w:val="single" w:sz="4"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bCs/>
                <w:sz w:val="16"/>
                <w:szCs w:val="16"/>
              </w:rPr>
            </w:pPr>
          </w:p>
        </w:tc>
        <w:tc>
          <w:tcPr>
            <w:tcW w:w="1419" w:type="dxa"/>
            <w:tcBorders>
              <w:top w:val="single" w:sz="4"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b/>
                <w:bCs/>
                <w:sz w:val="16"/>
                <w:szCs w:val="16"/>
              </w:rPr>
            </w:pPr>
          </w:p>
        </w:tc>
        <w:tc>
          <w:tcPr>
            <w:tcW w:w="1276" w:type="dxa"/>
            <w:tcBorders>
              <w:top w:val="single" w:sz="4" w:space="0" w:color="auto"/>
              <w:left w:val="nil"/>
              <w:bottom w:val="single" w:sz="12" w:space="0" w:color="auto"/>
              <w:right w:val="nil"/>
            </w:tcBorders>
            <w:shd w:val="clear" w:color="auto" w:fill="auto"/>
          </w:tcPr>
          <w:p w:rsidR="00DC48A1" w:rsidRPr="006E709F" w:rsidRDefault="00DC48A1" w:rsidP="00CF67DD">
            <w:pPr>
              <w:rPr>
                <w:bCs/>
                <w:sz w:val="16"/>
                <w:szCs w:val="16"/>
              </w:rPr>
            </w:pPr>
          </w:p>
        </w:tc>
        <w:tc>
          <w:tcPr>
            <w:tcW w:w="1780" w:type="dxa"/>
            <w:gridSpan w:val="2"/>
            <w:tcBorders>
              <w:top w:val="single" w:sz="4"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c>
          <w:tcPr>
            <w:tcW w:w="1622" w:type="dxa"/>
            <w:gridSpan w:val="2"/>
            <w:tcBorders>
              <w:top w:val="single" w:sz="4"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r>
      <w:tr w:rsidR="00DC48A1" w:rsidRPr="006E709F" w:rsidTr="00CF67DD">
        <w:tc>
          <w:tcPr>
            <w:tcW w:w="2692" w:type="dxa"/>
            <w:tcBorders>
              <w:top w:val="single" w:sz="12" w:space="0" w:color="auto"/>
              <w:left w:val="nil"/>
              <w:bottom w:val="single" w:sz="18"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bCs/>
                <w:sz w:val="16"/>
                <w:szCs w:val="16"/>
              </w:rPr>
            </w:pPr>
            <w:r w:rsidRPr="006E709F">
              <w:rPr>
                <w:b/>
                <w:bCs/>
                <w:sz w:val="16"/>
                <w:szCs w:val="16"/>
              </w:rPr>
              <w:t>Total</w:t>
            </w:r>
          </w:p>
        </w:tc>
        <w:tc>
          <w:tcPr>
            <w:tcW w:w="1419" w:type="dxa"/>
            <w:tcBorders>
              <w:top w:val="single" w:sz="12"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bCs/>
                <w:sz w:val="16"/>
                <w:szCs w:val="16"/>
              </w:rPr>
            </w:pPr>
          </w:p>
        </w:tc>
        <w:tc>
          <w:tcPr>
            <w:tcW w:w="1276" w:type="dxa"/>
            <w:tcBorders>
              <w:top w:val="single" w:sz="12"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c>
          <w:tcPr>
            <w:tcW w:w="1780" w:type="dxa"/>
            <w:gridSpan w:val="2"/>
            <w:tcBorders>
              <w:top w:val="single" w:sz="12" w:space="0" w:color="auto"/>
              <w:left w:val="single" w:sz="4" w:space="0" w:color="auto"/>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c>
          <w:tcPr>
            <w:tcW w:w="1622" w:type="dxa"/>
            <w:gridSpan w:val="2"/>
            <w:tcBorders>
              <w:top w:val="single" w:sz="12"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r>
      <w:tr w:rsidR="00DC48A1" w:rsidRPr="006E709F" w:rsidTr="00CF67DD">
        <w:trPr>
          <w:trHeight w:val="208"/>
        </w:trPr>
        <w:tc>
          <w:tcPr>
            <w:tcW w:w="5387"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hideMark/>
          </w:tcPr>
          <w:p w:rsidR="00DC48A1" w:rsidRPr="006E709F" w:rsidRDefault="00DC48A1" w:rsidP="00CF67DD">
            <w:pPr>
              <w:tabs>
                <w:tab w:val="center" w:pos="1322"/>
              </w:tabs>
              <w:rPr>
                <w:b/>
                <w:sz w:val="16"/>
                <w:szCs w:val="16"/>
              </w:rPr>
            </w:pPr>
            <w:r w:rsidRPr="006E709F">
              <w:rPr>
                <w:b/>
                <w:sz w:val="16"/>
                <w:szCs w:val="16"/>
              </w:rPr>
              <w:t>Unlisted Alternatives</w:t>
            </w:r>
          </w:p>
          <w:p w:rsidR="00DC48A1" w:rsidRPr="006E709F" w:rsidRDefault="00DC48A1" w:rsidP="00CF67DD">
            <w:pPr>
              <w:rPr>
                <w:b/>
                <w:sz w:val="16"/>
                <w:szCs w:val="16"/>
              </w:rPr>
            </w:pPr>
            <w:r w:rsidRPr="006E709F">
              <w:rPr>
                <w:b/>
                <w:sz w:val="16"/>
                <w:szCs w:val="16"/>
              </w:rPr>
              <w:t xml:space="preserve">Held directly or by associated entities or by </w:t>
            </w:r>
            <w:r w:rsidR="00D05323" w:rsidRPr="00D05323">
              <w:rPr>
                <w:b/>
                <w:sz w:val="16"/>
                <w:szCs w:val="16"/>
              </w:rPr>
              <w:t>pooled superannuation trusts</w:t>
            </w:r>
          </w:p>
          <w:p w:rsidR="00DC48A1" w:rsidRPr="006E709F" w:rsidRDefault="00DC48A1" w:rsidP="00CF67DD">
            <w:pPr>
              <w:rPr>
                <w:sz w:val="16"/>
                <w:szCs w:val="16"/>
              </w:rPr>
            </w:pPr>
            <w:r w:rsidRPr="006E709F">
              <w:rPr>
                <w:b/>
                <w:sz w:val="16"/>
                <w:szCs w:val="16"/>
              </w:rPr>
              <w:t>Internally managed</w:t>
            </w:r>
          </w:p>
        </w:tc>
        <w:tc>
          <w:tcPr>
            <w:tcW w:w="1771" w:type="dxa"/>
            <w:tcBorders>
              <w:top w:val="single" w:sz="18"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c>
          <w:tcPr>
            <w:tcW w:w="1631"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sz w:val="16"/>
                <w:szCs w:val="16"/>
              </w:rPr>
            </w:pPr>
          </w:p>
        </w:tc>
      </w:tr>
      <w:tr w:rsidR="00DC48A1" w:rsidRPr="006E709F" w:rsidTr="00CF67DD">
        <w:trPr>
          <w:trHeight w:val="36"/>
        </w:trPr>
        <w:tc>
          <w:tcPr>
            <w:tcW w:w="5387"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t>Name/kind of investment item</w:t>
            </w:r>
          </w:p>
        </w:tc>
        <w:tc>
          <w:tcPr>
            <w:tcW w:w="1780" w:type="dxa"/>
            <w:gridSpan w:val="2"/>
            <w:tcBorders>
              <w:top w:val="single" w:sz="12" w:space="0" w:color="auto"/>
              <w:left w:val="single" w:sz="4" w:space="0" w:color="auto"/>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r w:rsidRPr="006E709F">
              <w:rPr>
                <w:b/>
                <w:sz w:val="16"/>
                <w:szCs w:val="16"/>
              </w:rPr>
              <w:t>Value (AUD)</w:t>
            </w:r>
          </w:p>
        </w:tc>
        <w:tc>
          <w:tcPr>
            <w:tcW w:w="1622" w:type="dxa"/>
            <w:gridSpan w:val="2"/>
            <w:tcBorders>
              <w:top w:val="single" w:sz="12"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r w:rsidRPr="006E709F">
              <w:rPr>
                <w:b/>
                <w:sz w:val="16"/>
                <w:szCs w:val="16"/>
              </w:rPr>
              <w:t>Weighting (%)</w:t>
            </w:r>
          </w:p>
        </w:tc>
      </w:tr>
      <w:tr w:rsidR="00DC48A1" w:rsidRPr="006E709F" w:rsidTr="00CF67DD">
        <w:tc>
          <w:tcPr>
            <w:tcW w:w="5387" w:type="dxa"/>
            <w:gridSpan w:val="3"/>
            <w:tcBorders>
              <w:top w:val="single" w:sz="4"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bCs/>
                <w:sz w:val="16"/>
                <w:szCs w:val="16"/>
              </w:rPr>
            </w:pPr>
          </w:p>
        </w:tc>
        <w:tc>
          <w:tcPr>
            <w:tcW w:w="3402" w:type="dxa"/>
            <w:gridSpan w:val="4"/>
            <w:tcBorders>
              <w:top w:val="single" w:sz="4"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i/>
                <w:iCs/>
                <w:sz w:val="16"/>
                <w:szCs w:val="16"/>
              </w:rPr>
            </w:pPr>
            <w:r w:rsidRPr="006E709F">
              <w:rPr>
                <w:i/>
                <w:iCs/>
                <w:sz w:val="16"/>
                <w:szCs w:val="16"/>
              </w:rPr>
              <w:t>Value and weighting for individual assets not disclosed. Only disclose total value and weighting.</w:t>
            </w:r>
          </w:p>
        </w:tc>
      </w:tr>
      <w:tr w:rsidR="00DC48A1" w:rsidRPr="006E709F" w:rsidTr="00CF67DD">
        <w:tc>
          <w:tcPr>
            <w:tcW w:w="5387"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t>Total</w:t>
            </w:r>
          </w:p>
        </w:tc>
        <w:tc>
          <w:tcPr>
            <w:tcW w:w="1771" w:type="dxa"/>
            <w:tcBorders>
              <w:top w:val="single" w:sz="12" w:space="0" w:color="auto"/>
              <w:left w:val="single" w:sz="4" w:space="0" w:color="auto"/>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c>
          <w:tcPr>
            <w:tcW w:w="1631"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r>
      <w:tr w:rsidR="00DC48A1" w:rsidRPr="006E709F" w:rsidTr="00CF67DD">
        <w:tc>
          <w:tcPr>
            <w:tcW w:w="5387"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tabs>
                <w:tab w:val="center" w:pos="1322"/>
              </w:tabs>
              <w:rPr>
                <w:b/>
                <w:sz w:val="16"/>
                <w:szCs w:val="16"/>
              </w:rPr>
            </w:pPr>
            <w:r w:rsidRPr="006E709F">
              <w:rPr>
                <w:b/>
                <w:sz w:val="16"/>
                <w:szCs w:val="16"/>
              </w:rPr>
              <w:t>Unlisted Alternative</w:t>
            </w:r>
          </w:p>
          <w:p w:rsidR="00DC48A1" w:rsidRPr="006E709F" w:rsidRDefault="00DC48A1" w:rsidP="00CF67DD">
            <w:pPr>
              <w:tabs>
                <w:tab w:val="center" w:pos="1322"/>
              </w:tabs>
              <w:rPr>
                <w:b/>
                <w:sz w:val="16"/>
                <w:szCs w:val="16"/>
              </w:rPr>
            </w:pPr>
            <w:r w:rsidRPr="006E709F">
              <w:rPr>
                <w:b/>
                <w:sz w:val="16"/>
                <w:szCs w:val="16"/>
              </w:rPr>
              <w:t>Investment in non</w:t>
            </w:r>
            <w:r w:rsidR="000C4237">
              <w:rPr>
                <w:b/>
                <w:sz w:val="16"/>
                <w:szCs w:val="16"/>
              </w:rPr>
              <w:noBreakHyphen/>
            </w:r>
            <w:r w:rsidRPr="006E709F">
              <w:rPr>
                <w:b/>
                <w:sz w:val="16"/>
                <w:szCs w:val="16"/>
              </w:rPr>
              <w:t>associated entities;</w:t>
            </w:r>
          </w:p>
          <w:p w:rsidR="00DC48A1" w:rsidRPr="006E709F" w:rsidRDefault="00DC48A1" w:rsidP="00CF67DD">
            <w:pPr>
              <w:rPr>
                <w:b/>
                <w:sz w:val="16"/>
                <w:szCs w:val="16"/>
              </w:rPr>
            </w:pPr>
            <w:r w:rsidRPr="006E709F">
              <w:rPr>
                <w:b/>
                <w:sz w:val="16"/>
                <w:szCs w:val="16"/>
              </w:rPr>
              <w:t xml:space="preserve">Held directly or by associated entities or by </w:t>
            </w:r>
            <w:r w:rsidR="009560C1" w:rsidRPr="009560C1">
              <w:rPr>
                <w:b/>
                <w:sz w:val="16"/>
                <w:szCs w:val="16"/>
              </w:rPr>
              <w:t>pooled superannuation trusts</w:t>
            </w:r>
          </w:p>
          <w:p w:rsidR="00DC48A1" w:rsidRPr="006E709F" w:rsidRDefault="00DC48A1" w:rsidP="00CF67DD">
            <w:pPr>
              <w:rPr>
                <w:b/>
                <w:sz w:val="16"/>
                <w:szCs w:val="16"/>
              </w:rPr>
            </w:pPr>
            <w:r w:rsidRPr="006E709F">
              <w:rPr>
                <w:b/>
                <w:sz w:val="16"/>
                <w:szCs w:val="16"/>
              </w:rPr>
              <w:t>Externally managed</w:t>
            </w:r>
          </w:p>
        </w:tc>
        <w:tc>
          <w:tcPr>
            <w:tcW w:w="1771" w:type="dxa"/>
            <w:tcBorders>
              <w:top w:val="single" w:sz="18"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c>
          <w:tcPr>
            <w:tcW w:w="1631" w:type="dxa"/>
            <w:gridSpan w:val="3"/>
            <w:tcBorders>
              <w:top w:val="single" w:sz="18"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r>
      <w:tr w:rsidR="00DC48A1" w:rsidRPr="006E709F" w:rsidTr="00CF67DD">
        <w:trPr>
          <w:trHeight w:val="36"/>
        </w:trPr>
        <w:tc>
          <w:tcPr>
            <w:tcW w:w="5387" w:type="dxa"/>
            <w:gridSpan w:val="3"/>
            <w:tcBorders>
              <w:top w:val="single" w:sz="12" w:space="0" w:color="auto"/>
              <w:left w:val="nil"/>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r w:rsidRPr="006E709F">
              <w:rPr>
                <w:b/>
                <w:bCs/>
                <w:sz w:val="16"/>
                <w:szCs w:val="16"/>
              </w:rPr>
              <w:t>Name of Fund Manager</w:t>
            </w:r>
          </w:p>
        </w:tc>
        <w:tc>
          <w:tcPr>
            <w:tcW w:w="1780" w:type="dxa"/>
            <w:gridSpan w:val="2"/>
            <w:tcBorders>
              <w:top w:val="single" w:sz="12" w:space="0" w:color="auto"/>
              <w:left w:val="single" w:sz="4" w:space="0" w:color="auto"/>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r w:rsidRPr="006E709F">
              <w:rPr>
                <w:b/>
                <w:sz w:val="16"/>
                <w:szCs w:val="16"/>
              </w:rPr>
              <w:t>Value (AUD)</w:t>
            </w:r>
          </w:p>
        </w:tc>
        <w:tc>
          <w:tcPr>
            <w:tcW w:w="1622" w:type="dxa"/>
            <w:gridSpan w:val="2"/>
            <w:tcBorders>
              <w:top w:val="single" w:sz="12" w:space="0" w:color="auto"/>
              <w:left w:val="nil"/>
              <w:bottom w:val="single" w:sz="4"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r w:rsidRPr="006E709F">
              <w:rPr>
                <w:b/>
                <w:sz w:val="16"/>
                <w:szCs w:val="16"/>
              </w:rPr>
              <w:t>Weighting (%)</w:t>
            </w:r>
          </w:p>
        </w:tc>
      </w:tr>
      <w:tr w:rsidR="00DC48A1" w:rsidRPr="006E709F" w:rsidTr="00CF67DD">
        <w:tc>
          <w:tcPr>
            <w:tcW w:w="5387" w:type="dxa"/>
            <w:gridSpan w:val="3"/>
            <w:tcBorders>
              <w:top w:val="single" w:sz="4" w:space="0" w:color="auto"/>
              <w:left w:val="nil"/>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bCs/>
                <w:i/>
                <w:iCs/>
                <w:sz w:val="16"/>
                <w:szCs w:val="16"/>
              </w:rPr>
            </w:pPr>
            <w:r w:rsidRPr="006E709F">
              <w:rPr>
                <w:bCs/>
                <w:i/>
                <w:iCs/>
                <w:sz w:val="16"/>
                <w:szCs w:val="16"/>
              </w:rPr>
              <w:t>Individual asset names not required to be disclosed.</w:t>
            </w:r>
          </w:p>
          <w:p w:rsidR="00DC48A1" w:rsidRPr="006E709F" w:rsidRDefault="00DC48A1" w:rsidP="00CF67DD">
            <w:pPr>
              <w:rPr>
                <w:b/>
                <w:sz w:val="16"/>
                <w:szCs w:val="16"/>
              </w:rPr>
            </w:pPr>
            <w:r w:rsidRPr="006E709F">
              <w:rPr>
                <w:bCs/>
                <w:i/>
                <w:iCs/>
                <w:sz w:val="16"/>
                <w:szCs w:val="16"/>
              </w:rPr>
              <w:t>Only disclose the name of the fund manager responsible for managing the asset.</w:t>
            </w:r>
          </w:p>
        </w:tc>
        <w:tc>
          <w:tcPr>
            <w:tcW w:w="3402" w:type="dxa"/>
            <w:gridSpan w:val="4"/>
            <w:tcBorders>
              <w:top w:val="single" w:sz="4" w:space="0" w:color="auto"/>
              <w:left w:val="single" w:sz="4" w:space="0" w:color="auto"/>
              <w:bottom w:val="single" w:sz="12"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r w:rsidRPr="006E709F">
              <w:rPr>
                <w:i/>
                <w:iCs/>
                <w:sz w:val="16"/>
                <w:szCs w:val="16"/>
              </w:rPr>
              <w:t>Values and weightings for individual assets not disclosed. Only disclose total values and weighting aggregated by the fund manager responsible for managing the assets.</w:t>
            </w:r>
          </w:p>
        </w:tc>
      </w:tr>
      <w:tr w:rsidR="00DC48A1" w:rsidRPr="006E709F" w:rsidTr="00CF67DD">
        <w:tc>
          <w:tcPr>
            <w:tcW w:w="5387"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t>Total</w:t>
            </w:r>
          </w:p>
        </w:tc>
        <w:tc>
          <w:tcPr>
            <w:tcW w:w="1771" w:type="dxa"/>
            <w:tcBorders>
              <w:top w:val="single" w:sz="12" w:space="0" w:color="auto"/>
              <w:left w:val="single" w:sz="4" w:space="0" w:color="auto"/>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c>
          <w:tcPr>
            <w:tcW w:w="1631" w:type="dxa"/>
            <w:gridSpan w:val="3"/>
            <w:tcBorders>
              <w:top w:val="single" w:sz="12"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r>
      <w:tr w:rsidR="00DC48A1" w:rsidRPr="006E709F" w:rsidTr="00CF67DD">
        <w:tc>
          <w:tcPr>
            <w:tcW w:w="5387" w:type="dxa"/>
            <w:gridSpan w:val="3"/>
            <w:tcBorders>
              <w:top w:val="single" w:sz="18" w:space="0" w:color="auto"/>
              <w:left w:val="nil"/>
              <w:bottom w:val="single" w:sz="18" w:space="0" w:color="auto"/>
              <w:right w:val="nil"/>
            </w:tcBorders>
            <w:shd w:val="clear" w:color="auto" w:fill="auto"/>
            <w:tcMar>
              <w:top w:w="0" w:type="dxa"/>
              <w:left w:w="108" w:type="dxa"/>
              <w:bottom w:w="0" w:type="dxa"/>
              <w:right w:w="108" w:type="dxa"/>
            </w:tcMar>
            <w:hideMark/>
          </w:tcPr>
          <w:p w:rsidR="00DC48A1" w:rsidRPr="006E709F" w:rsidRDefault="00DC48A1" w:rsidP="00CF67DD">
            <w:pPr>
              <w:rPr>
                <w:b/>
                <w:sz w:val="16"/>
                <w:szCs w:val="16"/>
              </w:rPr>
            </w:pPr>
            <w:r w:rsidRPr="006E709F">
              <w:rPr>
                <w:b/>
                <w:bCs/>
                <w:sz w:val="16"/>
                <w:szCs w:val="16"/>
              </w:rPr>
              <w:t>Total Investment Items</w:t>
            </w:r>
          </w:p>
        </w:tc>
        <w:tc>
          <w:tcPr>
            <w:tcW w:w="1771" w:type="dxa"/>
            <w:tcBorders>
              <w:top w:val="single" w:sz="18" w:space="0" w:color="auto"/>
              <w:left w:val="single" w:sz="4" w:space="0" w:color="auto"/>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c>
          <w:tcPr>
            <w:tcW w:w="1631" w:type="dxa"/>
            <w:gridSpan w:val="3"/>
            <w:tcBorders>
              <w:top w:val="single" w:sz="18" w:space="0" w:color="auto"/>
              <w:left w:val="nil"/>
              <w:bottom w:val="single" w:sz="18" w:space="0" w:color="auto"/>
              <w:right w:val="nil"/>
            </w:tcBorders>
            <w:shd w:val="clear" w:color="auto" w:fill="auto"/>
            <w:tcMar>
              <w:top w:w="0" w:type="dxa"/>
              <w:left w:w="108" w:type="dxa"/>
              <w:bottom w:w="0" w:type="dxa"/>
              <w:right w:w="108" w:type="dxa"/>
            </w:tcMar>
          </w:tcPr>
          <w:p w:rsidR="00DC48A1" w:rsidRPr="006E709F" w:rsidRDefault="00DC48A1" w:rsidP="00CF67DD">
            <w:pPr>
              <w:rPr>
                <w:b/>
                <w:sz w:val="16"/>
                <w:szCs w:val="16"/>
              </w:rPr>
            </w:pPr>
          </w:p>
        </w:tc>
      </w:tr>
      <w:bookmarkEnd w:id="50"/>
      <w:bookmarkEnd w:id="51"/>
    </w:tbl>
    <w:p w:rsidR="00DC48A1" w:rsidRPr="006E709F" w:rsidRDefault="00DC48A1" w:rsidP="00DC48A1">
      <w:pPr>
        <w:pStyle w:val="Tabletext"/>
      </w:pPr>
    </w:p>
    <w:p w:rsidR="00DC48A1" w:rsidRPr="006E709F" w:rsidRDefault="00DC48A1" w:rsidP="00DC48A1">
      <w:pPr>
        <w:pStyle w:val="ActHead5"/>
        <w:pageBreakBefore/>
      </w:pPr>
      <w:bookmarkStart w:id="53" w:name="_Toc170547872"/>
      <w:r w:rsidRPr="000C4237">
        <w:rPr>
          <w:rStyle w:val="CharSectno"/>
        </w:rPr>
        <w:lastRenderedPageBreak/>
        <w:t>2</w:t>
      </w:r>
      <w:r w:rsidRPr="006E709F">
        <w:t xml:space="preserve">  Table 2—Derivatives by kind of derivative</w:t>
      </w:r>
      <w:bookmarkEnd w:id="53"/>
    </w:p>
    <w:p w:rsidR="00DC48A1" w:rsidRPr="006E709F" w:rsidRDefault="00DC48A1" w:rsidP="00DC48A1">
      <w:pPr>
        <w:pStyle w:val="Tabletext"/>
      </w:pPr>
    </w:p>
    <w:tbl>
      <w:tblPr>
        <w:tblW w:w="4721"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3087"/>
        <w:gridCol w:w="2550"/>
        <w:gridCol w:w="2416"/>
      </w:tblGrid>
      <w:tr w:rsidR="00DC48A1" w:rsidRPr="006E709F" w:rsidTr="00CF67DD">
        <w:trPr>
          <w:tblHeader/>
        </w:trPr>
        <w:tc>
          <w:tcPr>
            <w:tcW w:w="5000" w:type="pct"/>
            <w:gridSpan w:val="3"/>
            <w:tcBorders>
              <w:top w:val="single" w:sz="12" w:space="0" w:color="auto"/>
              <w:bottom w:val="single" w:sz="6" w:space="0" w:color="auto"/>
            </w:tcBorders>
            <w:shd w:val="clear" w:color="auto" w:fill="auto"/>
          </w:tcPr>
          <w:p w:rsidR="00DC48A1" w:rsidRPr="006E709F" w:rsidRDefault="00DC48A1" w:rsidP="00CF67DD">
            <w:pPr>
              <w:pStyle w:val="TableHeading"/>
              <w:rPr>
                <w:sz w:val="16"/>
                <w:szCs w:val="16"/>
                <w:highlight w:val="yellow"/>
              </w:rPr>
            </w:pPr>
            <w:r w:rsidRPr="006E709F">
              <w:rPr>
                <w:sz w:val="16"/>
                <w:szCs w:val="16"/>
              </w:rPr>
              <w:t>Portfolio Holdings Information for Investment Option [A]—Derivatives</w:t>
            </w:r>
          </w:p>
        </w:tc>
      </w:tr>
      <w:tr w:rsidR="00DC48A1" w:rsidRPr="006E709F" w:rsidTr="00CF67DD">
        <w:trPr>
          <w:tblHeader/>
        </w:trPr>
        <w:tc>
          <w:tcPr>
            <w:tcW w:w="1917" w:type="pct"/>
            <w:tcBorders>
              <w:top w:val="single" w:sz="6" w:space="0" w:color="auto"/>
              <w:bottom w:val="single" w:sz="12" w:space="0" w:color="auto"/>
            </w:tcBorders>
            <w:shd w:val="clear" w:color="auto" w:fill="auto"/>
          </w:tcPr>
          <w:p w:rsidR="00DC48A1" w:rsidRPr="006E709F" w:rsidRDefault="00DC48A1" w:rsidP="00CF67DD">
            <w:pPr>
              <w:pStyle w:val="TableHeading"/>
              <w:rPr>
                <w:sz w:val="16"/>
                <w:szCs w:val="16"/>
              </w:rPr>
            </w:pPr>
            <w:r w:rsidRPr="006E709F">
              <w:rPr>
                <w:sz w:val="16"/>
                <w:szCs w:val="16"/>
              </w:rPr>
              <w:t>Kind of derivative</w:t>
            </w:r>
          </w:p>
        </w:tc>
        <w:tc>
          <w:tcPr>
            <w:tcW w:w="1583" w:type="pct"/>
            <w:tcBorders>
              <w:top w:val="single" w:sz="6" w:space="0" w:color="auto"/>
              <w:bottom w:val="single" w:sz="12" w:space="0" w:color="auto"/>
            </w:tcBorders>
            <w:shd w:val="clear" w:color="auto" w:fill="auto"/>
          </w:tcPr>
          <w:p w:rsidR="00DC48A1" w:rsidRPr="006E709F" w:rsidRDefault="00DC48A1" w:rsidP="00CF67DD">
            <w:pPr>
              <w:pStyle w:val="TableHeading"/>
              <w:rPr>
                <w:sz w:val="16"/>
                <w:szCs w:val="16"/>
              </w:rPr>
            </w:pPr>
            <w:r w:rsidRPr="006E709F">
              <w:rPr>
                <w:sz w:val="16"/>
                <w:szCs w:val="16"/>
              </w:rPr>
              <w:t>Value</w:t>
            </w:r>
          </w:p>
        </w:tc>
        <w:tc>
          <w:tcPr>
            <w:tcW w:w="1500" w:type="pct"/>
            <w:tcBorders>
              <w:top w:val="single" w:sz="6" w:space="0" w:color="auto"/>
              <w:bottom w:val="single" w:sz="12" w:space="0" w:color="auto"/>
            </w:tcBorders>
            <w:shd w:val="clear" w:color="auto" w:fill="auto"/>
          </w:tcPr>
          <w:p w:rsidR="00DC48A1" w:rsidRPr="006E709F" w:rsidRDefault="00DC48A1" w:rsidP="00CF67DD">
            <w:pPr>
              <w:pStyle w:val="TableHeading"/>
              <w:rPr>
                <w:sz w:val="16"/>
                <w:szCs w:val="16"/>
              </w:rPr>
            </w:pPr>
            <w:r w:rsidRPr="006E709F">
              <w:rPr>
                <w:sz w:val="16"/>
                <w:szCs w:val="16"/>
              </w:rPr>
              <w:t>Weighting</w:t>
            </w:r>
          </w:p>
        </w:tc>
      </w:tr>
      <w:tr w:rsidR="00DC48A1" w:rsidRPr="006E709F" w:rsidTr="00CF67DD">
        <w:tc>
          <w:tcPr>
            <w:tcW w:w="1917" w:type="pct"/>
            <w:tcBorders>
              <w:top w:val="single" w:sz="12" w:space="0" w:color="auto"/>
            </w:tcBorders>
            <w:shd w:val="clear" w:color="auto" w:fill="auto"/>
          </w:tcPr>
          <w:p w:rsidR="00DC48A1" w:rsidRPr="006E709F" w:rsidRDefault="00DC48A1" w:rsidP="00CF67DD">
            <w:pPr>
              <w:pStyle w:val="Tabletext"/>
              <w:rPr>
                <w:sz w:val="16"/>
                <w:szCs w:val="16"/>
              </w:rPr>
            </w:pPr>
            <w:r w:rsidRPr="006E709F">
              <w:rPr>
                <w:sz w:val="16"/>
                <w:szCs w:val="16"/>
              </w:rPr>
              <w:t>Swaps</w:t>
            </w:r>
          </w:p>
        </w:tc>
        <w:tc>
          <w:tcPr>
            <w:tcW w:w="3083" w:type="pct"/>
            <w:gridSpan w:val="2"/>
            <w:tcBorders>
              <w:top w:val="single" w:sz="12" w:space="0" w:color="auto"/>
            </w:tcBorders>
            <w:shd w:val="clear" w:color="auto" w:fill="auto"/>
          </w:tcPr>
          <w:p w:rsidR="00DC48A1" w:rsidRPr="006E709F" w:rsidRDefault="00DC48A1" w:rsidP="00CF67DD">
            <w:pPr>
              <w:pStyle w:val="Tabletext"/>
              <w:rPr>
                <w:i/>
                <w:sz w:val="16"/>
                <w:szCs w:val="16"/>
              </w:rPr>
            </w:pPr>
            <w:r w:rsidRPr="006E709F">
              <w:rPr>
                <w:i/>
                <w:sz w:val="16"/>
                <w:szCs w:val="16"/>
              </w:rPr>
              <w:t>Values and weighting for individual derivatives not disclosed. Only disclose total values and weighting for this kind of derivative.</w:t>
            </w:r>
          </w:p>
        </w:tc>
      </w:tr>
      <w:tr w:rsidR="00DC48A1" w:rsidRPr="006E709F" w:rsidTr="00CF67DD">
        <w:tc>
          <w:tcPr>
            <w:tcW w:w="1917" w:type="pct"/>
            <w:shd w:val="clear" w:color="auto" w:fill="auto"/>
          </w:tcPr>
          <w:p w:rsidR="00DC48A1" w:rsidRPr="006E709F" w:rsidRDefault="00DC48A1" w:rsidP="00CF67DD">
            <w:pPr>
              <w:pStyle w:val="Tabletext"/>
              <w:rPr>
                <w:sz w:val="16"/>
                <w:szCs w:val="16"/>
              </w:rPr>
            </w:pPr>
            <w:r w:rsidRPr="006E709F">
              <w:rPr>
                <w:sz w:val="16"/>
                <w:szCs w:val="16"/>
              </w:rPr>
              <w:t>Forwards</w:t>
            </w:r>
          </w:p>
        </w:tc>
        <w:tc>
          <w:tcPr>
            <w:tcW w:w="3083" w:type="pct"/>
            <w:gridSpan w:val="2"/>
            <w:shd w:val="clear" w:color="auto" w:fill="auto"/>
          </w:tcPr>
          <w:p w:rsidR="00DC48A1" w:rsidRPr="006E709F" w:rsidRDefault="00DC48A1" w:rsidP="00CF67DD">
            <w:pPr>
              <w:pStyle w:val="Tabletext"/>
              <w:rPr>
                <w:i/>
                <w:sz w:val="16"/>
                <w:szCs w:val="16"/>
              </w:rPr>
            </w:pPr>
            <w:r w:rsidRPr="006E709F">
              <w:rPr>
                <w:i/>
                <w:sz w:val="16"/>
                <w:szCs w:val="16"/>
              </w:rPr>
              <w:t>Values and weighting for individual derivatives not disclosed. Only disclose total values and weighting for this kind of derivative.</w:t>
            </w:r>
          </w:p>
        </w:tc>
      </w:tr>
      <w:tr w:rsidR="00DC48A1" w:rsidRPr="006E709F" w:rsidTr="00CF67DD">
        <w:tc>
          <w:tcPr>
            <w:tcW w:w="1917" w:type="pct"/>
            <w:shd w:val="clear" w:color="auto" w:fill="auto"/>
          </w:tcPr>
          <w:p w:rsidR="00DC48A1" w:rsidRPr="006E709F" w:rsidRDefault="00DC48A1" w:rsidP="00CF67DD">
            <w:pPr>
              <w:pStyle w:val="Tabletext"/>
              <w:rPr>
                <w:sz w:val="16"/>
                <w:szCs w:val="16"/>
              </w:rPr>
            </w:pPr>
            <w:r w:rsidRPr="006E709F">
              <w:rPr>
                <w:sz w:val="16"/>
                <w:szCs w:val="16"/>
              </w:rPr>
              <w:t>Futures</w:t>
            </w:r>
          </w:p>
        </w:tc>
        <w:tc>
          <w:tcPr>
            <w:tcW w:w="3083" w:type="pct"/>
            <w:gridSpan w:val="2"/>
            <w:shd w:val="clear" w:color="auto" w:fill="auto"/>
          </w:tcPr>
          <w:p w:rsidR="00DC48A1" w:rsidRPr="006E709F" w:rsidRDefault="00DC48A1" w:rsidP="00CF67DD">
            <w:pPr>
              <w:pStyle w:val="Tabletext"/>
              <w:rPr>
                <w:i/>
                <w:sz w:val="16"/>
                <w:szCs w:val="16"/>
              </w:rPr>
            </w:pPr>
            <w:r w:rsidRPr="006E709F">
              <w:rPr>
                <w:i/>
                <w:sz w:val="16"/>
                <w:szCs w:val="16"/>
              </w:rPr>
              <w:t>Values and weighting for individual derivatives not disclosed. Only disclose total values and weighting for this kind of derivative.</w:t>
            </w:r>
          </w:p>
        </w:tc>
      </w:tr>
      <w:tr w:rsidR="00DC48A1" w:rsidRPr="006E709F" w:rsidTr="00CF67DD">
        <w:tc>
          <w:tcPr>
            <w:tcW w:w="1917" w:type="pct"/>
            <w:shd w:val="clear" w:color="auto" w:fill="auto"/>
          </w:tcPr>
          <w:p w:rsidR="00DC48A1" w:rsidRPr="006E709F" w:rsidRDefault="00DC48A1" w:rsidP="00CF67DD">
            <w:pPr>
              <w:pStyle w:val="Tabletext"/>
              <w:rPr>
                <w:sz w:val="16"/>
                <w:szCs w:val="16"/>
              </w:rPr>
            </w:pPr>
            <w:r w:rsidRPr="006E709F">
              <w:rPr>
                <w:sz w:val="16"/>
                <w:szCs w:val="16"/>
              </w:rPr>
              <w:t>Options</w:t>
            </w:r>
          </w:p>
        </w:tc>
        <w:tc>
          <w:tcPr>
            <w:tcW w:w="3083" w:type="pct"/>
            <w:gridSpan w:val="2"/>
            <w:shd w:val="clear" w:color="auto" w:fill="auto"/>
          </w:tcPr>
          <w:p w:rsidR="00DC48A1" w:rsidRPr="006E709F" w:rsidRDefault="00DC48A1" w:rsidP="00CF67DD">
            <w:pPr>
              <w:pStyle w:val="Tabletext"/>
              <w:rPr>
                <w:i/>
                <w:sz w:val="16"/>
                <w:szCs w:val="16"/>
              </w:rPr>
            </w:pPr>
            <w:r w:rsidRPr="006E709F">
              <w:rPr>
                <w:i/>
                <w:sz w:val="16"/>
                <w:szCs w:val="16"/>
              </w:rPr>
              <w:t>Values and weighting for individual derivatives not disclosed. Only disclose total values and weighting for this kind of derivative.</w:t>
            </w:r>
          </w:p>
        </w:tc>
      </w:tr>
      <w:tr w:rsidR="00DC48A1" w:rsidRPr="006E709F" w:rsidTr="00CF67DD">
        <w:tc>
          <w:tcPr>
            <w:tcW w:w="1917" w:type="pct"/>
            <w:tcBorders>
              <w:top w:val="single" w:sz="2" w:space="0" w:color="auto"/>
              <w:bottom w:val="single" w:sz="12" w:space="0" w:color="auto"/>
            </w:tcBorders>
            <w:shd w:val="clear" w:color="auto" w:fill="auto"/>
          </w:tcPr>
          <w:p w:rsidR="00DC48A1" w:rsidRPr="006E709F" w:rsidRDefault="00DC48A1" w:rsidP="00CF67DD">
            <w:pPr>
              <w:pStyle w:val="Tabletext"/>
              <w:rPr>
                <w:rFonts w:cs="Arial"/>
                <w:b/>
                <w:bCs/>
                <w:color w:val="000000"/>
                <w:sz w:val="16"/>
                <w:szCs w:val="16"/>
              </w:rPr>
            </w:pPr>
            <w:r w:rsidRPr="006E709F">
              <w:rPr>
                <w:rFonts w:cs="Arial"/>
                <w:b/>
                <w:bCs/>
                <w:color w:val="000000"/>
                <w:sz w:val="16"/>
                <w:szCs w:val="16"/>
              </w:rPr>
              <w:t>Total</w:t>
            </w:r>
          </w:p>
        </w:tc>
        <w:tc>
          <w:tcPr>
            <w:tcW w:w="1583" w:type="pct"/>
            <w:tcBorders>
              <w:top w:val="single" w:sz="2" w:space="0" w:color="auto"/>
              <w:bottom w:val="single" w:sz="12" w:space="0" w:color="auto"/>
            </w:tcBorders>
            <w:shd w:val="clear" w:color="auto" w:fill="auto"/>
          </w:tcPr>
          <w:p w:rsidR="00DC48A1" w:rsidRPr="006E709F" w:rsidRDefault="00DC48A1" w:rsidP="00CF67DD">
            <w:pPr>
              <w:pStyle w:val="Tabletext"/>
              <w:jc w:val="right"/>
              <w:rPr>
                <w:rFonts w:cs="Arial"/>
                <w:bCs/>
                <w:color w:val="000000"/>
                <w:sz w:val="16"/>
                <w:szCs w:val="16"/>
              </w:rPr>
            </w:pPr>
          </w:p>
        </w:tc>
        <w:tc>
          <w:tcPr>
            <w:tcW w:w="1500" w:type="pct"/>
            <w:tcBorders>
              <w:top w:val="single" w:sz="2" w:space="0" w:color="auto"/>
              <w:bottom w:val="single" w:sz="12" w:space="0" w:color="auto"/>
            </w:tcBorders>
            <w:shd w:val="clear" w:color="auto" w:fill="auto"/>
          </w:tcPr>
          <w:p w:rsidR="00DC48A1" w:rsidRPr="006E709F" w:rsidRDefault="00DC48A1" w:rsidP="00CF67DD">
            <w:pPr>
              <w:pStyle w:val="Tabletext"/>
              <w:jc w:val="right"/>
              <w:rPr>
                <w:rFonts w:cs="Arial"/>
                <w:bCs/>
                <w:color w:val="000000"/>
                <w:sz w:val="16"/>
                <w:szCs w:val="16"/>
              </w:rPr>
            </w:pPr>
          </w:p>
        </w:tc>
      </w:tr>
    </w:tbl>
    <w:p w:rsidR="00DC48A1" w:rsidRPr="006E709F" w:rsidRDefault="00DC48A1" w:rsidP="00DC48A1">
      <w:pPr>
        <w:pStyle w:val="ActHead5"/>
      </w:pPr>
      <w:bookmarkStart w:id="54" w:name="_Toc170547873"/>
      <w:r w:rsidRPr="000C4237">
        <w:rPr>
          <w:rStyle w:val="CharSectno"/>
        </w:rPr>
        <w:t>3</w:t>
      </w:r>
      <w:r w:rsidRPr="006E709F">
        <w:t xml:space="preserve">  Table 3—Derivatives by asset class</w:t>
      </w:r>
      <w:bookmarkEnd w:id="54"/>
    </w:p>
    <w:p w:rsidR="00DC48A1" w:rsidRPr="006E709F" w:rsidRDefault="00DC48A1" w:rsidP="00DC48A1">
      <w:pPr>
        <w:pStyle w:val="Tabletext"/>
      </w:pPr>
    </w:p>
    <w:tbl>
      <w:tblPr>
        <w:tblW w:w="0" w:type="auto"/>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39"/>
        <w:gridCol w:w="2410"/>
        <w:gridCol w:w="2551"/>
      </w:tblGrid>
      <w:tr w:rsidR="00DC48A1" w:rsidRPr="006E709F" w:rsidTr="00CF67DD">
        <w:trPr>
          <w:tblHeader/>
        </w:trPr>
        <w:tc>
          <w:tcPr>
            <w:tcW w:w="8500" w:type="dxa"/>
            <w:gridSpan w:val="3"/>
            <w:tcBorders>
              <w:top w:val="single" w:sz="12" w:space="0" w:color="auto"/>
              <w:left w:val="nil"/>
              <w:bottom w:val="single" w:sz="6" w:space="0" w:color="auto"/>
              <w:right w:val="nil"/>
            </w:tcBorders>
            <w:shd w:val="clear" w:color="auto" w:fill="auto"/>
          </w:tcPr>
          <w:p w:rsidR="00DC48A1" w:rsidRPr="006E709F" w:rsidRDefault="00DC48A1" w:rsidP="00CF67DD">
            <w:pPr>
              <w:pStyle w:val="TableHeading"/>
              <w:rPr>
                <w:sz w:val="16"/>
                <w:szCs w:val="16"/>
              </w:rPr>
            </w:pPr>
            <w:r w:rsidRPr="006E709F">
              <w:rPr>
                <w:sz w:val="16"/>
                <w:szCs w:val="16"/>
              </w:rPr>
              <w:t>Portfolio Holdings Information for Investment Option [A]—Derivatives by Asset Class</w:t>
            </w:r>
          </w:p>
        </w:tc>
      </w:tr>
      <w:tr w:rsidR="00DC48A1" w:rsidRPr="006E709F" w:rsidTr="00CF67DD">
        <w:trPr>
          <w:tblHeader/>
        </w:trPr>
        <w:tc>
          <w:tcPr>
            <w:tcW w:w="3539" w:type="dxa"/>
            <w:tcBorders>
              <w:top w:val="single" w:sz="6" w:space="0" w:color="auto"/>
              <w:left w:val="nil"/>
              <w:bottom w:val="single" w:sz="12" w:space="0" w:color="auto"/>
              <w:right w:val="nil"/>
            </w:tcBorders>
            <w:shd w:val="clear" w:color="auto" w:fill="auto"/>
          </w:tcPr>
          <w:p w:rsidR="00DC48A1" w:rsidRPr="006E709F" w:rsidRDefault="00DC48A1" w:rsidP="00CF67DD">
            <w:pPr>
              <w:pStyle w:val="TableHeading"/>
              <w:rPr>
                <w:sz w:val="16"/>
                <w:szCs w:val="16"/>
              </w:rPr>
            </w:pPr>
            <w:r w:rsidRPr="006E709F">
              <w:rPr>
                <w:sz w:val="16"/>
                <w:szCs w:val="16"/>
              </w:rPr>
              <w:t>Asset class</w:t>
            </w:r>
          </w:p>
        </w:tc>
        <w:tc>
          <w:tcPr>
            <w:tcW w:w="2410" w:type="dxa"/>
            <w:tcBorders>
              <w:top w:val="single" w:sz="6" w:space="0" w:color="auto"/>
              <w:left w:val="nil"/>
              <w:bottom w:val="single" w:sz="12" w:space="0" w:color="auto"/>
              <w:right w:val="nil"/>
            </w:tcBorders>
            <w:shd w:val="clear" w:color="auto" w:fill="auto"/>
          </w:tcPr>
          <w:p w:rsidR="00DC48A1" w:rsidRPr="006E709F" w:rsidRDefault="00DC48A1" w:rsidP="00CF67DD">
            <w:pPr>
              <w:pStyle w:val="TableHeading"/>
              <w:rPr>
                <w:sz w:val="16"/>
                <w:szCs w:val="16"/>
              </w:rPr>
            </w:pPr>
            <w:r w:rsidRPr="006E709F">
              <w:rPr>
                <w:sz w:val="16"/>
                <w:szCs w:val="16"/>
              </w:rPr>
              <w:t>Actual asset allocation (% of total assets (including derivatives) in the investment option)</w:t>
            </w:r>
          </w:p>
        </w:tc>
        <w:tc>
          <w:tcPr>
            <w:tcW w:w="2551" w:type="dxa"/>
            <w:tcBorders>
              <w:top w:val="single" w:sz="6" w:space="0" w:color="auto"/>
              <w:left w:val="nil"/>
              <w:bottom w:val="single" w:sz="12" w:space="0" w:color="auto"/>
              <w:right w:val="nil"/>
            </w:tcBorders>
            <w:shd w:val="clear" w:color="auto" w:fill="auto"/>
          </w:tcPr>
          <w:p w:rsidR="00DC48A1" w:rsidRPr="006E709F" w:rsidRDefault="00DC48A1" w:rsidP="00CF67DD">
            <w:pPr>
              <w:pStyle w:val="TableHeading"/>
              <w:rPr>
                <w:sz w:val="16"/>
                <w:szCs w:val="16"/>
              </w:rPr>
            </w:pPr>
            <w:r w:rsidRPr="006E709F">
              <w:rPr>
                <w:sz w:val="16"/>
                <w:szCs w:val="16"/>
              </w:rPr>
              <w:t>Effect of derivatives exposure (% of total assets (including derivatives) in the investment option)</w:t>
            </w:r>
          </w:p>
        </w:tc>
      </w:tr>
      <w:tr w:rsidR="00DC48A1" w:rsidRPr="006E709F" w:rsidTr="00CF67DD">
        <w:tc>
          <w:tcPr>
            <w:tcW w:w="3539" w:type="dxa"/>
            <w:tcBorders>
              <w:top w:val="single" w:sz="2" w:space="0" w:color="auto"/>
              <w:left w:val="nil"/>
              <w:bottom w:val="single" w:sz="2" w:space="0" w:color="auto"/>
              <w:right w:val="nil"/>
            </w:tcBorders>
            <w:shd w:val="clear" w:color="auto" w:fill="auto"/>
          </w:tcPr>
          <w:p w:rsidR="00DC48A1" w:rsidRPr="006E709F" w:rsidRDefault="00DC48A1" w:rsidP="00CF67DD">
            <w:pPr>
              <w:rPr>
                <w:sz w:val="16"/>
                <w:szCs w:val="16"/>
              </w:rPr>
            </w:pPr>
            <w:r w:rsidRPr="006E709F">
              <w:rPr>
                <w:sz w:val="16"/>
                <w:szCs w:val="16"/>
              </w:rPr>
              <w:t>Cash</w:t>
            </w:r>
          </w:p>
        </w:tc>
        <w:tc>
          <w:tcPr>
            <w:tcW w:w="2410" w:type="dxa"/>
            <w:tcBorders>
              <w:top w:val="single" w:sz="2" w:space="0" w:color="auto"/>
              <w:left w:val="nil"/>
              <w:bottom w:val="single" w:sz="2" w:space="0" w:color="auto"/>
              <w:right w:val="nil"/>
            </w:tcBorders>
            <w:shd w:val="clear" w:color="auto" w:fill="auto"/>
          </w:tcPr>
          <w:p w:rsidR="00DC48A1" w:rsidRPr="006E709F" w:rsidRDefault="00DC48A1" w:rsidP="00CF67DD">
            <w:pPr>
              <w:pStyle w:val="Tabletext"/>
              <w:rPr>
                <w:sz w:val="16"/>
                <w:szCs w:val="16"/>
              </w:rPr>
            </w:pPr>
          </w:p>
        </w:tc>
        <w:tc>
          <w:tcPr>
            <w:tcW w:w="2551" w:type="dxa"/>
            <w:tcBorders>
              <w:top w:val="single" w:sz="2" w:space="0" w:color="auto"/>
              <w:left w:val="nil"/>
              <w:bottom w:val="single" w:sz="2" w:space="0" w:color="auto"/>
              <w:right w:val="nil"/>
            </w:tcBorders>
            <w:shd w:val="clear" w:color="auto" w:fill="auto"/>
          </w:tcPr>
          <w:p w:rsidR="00DC48A1" w:rsidRPr="006E709F" w:rsidRDefault="00DC48A1" w:rsidP="00CF67DD">
            <w:pPr>
              <w:pStyle w:val="Tabletext"/>
              <w:rPr>
                <w:sz w:val="16"/>
                <w:szCs w:val="16"/>
              </w:rPr>
            </w:pPr>
          </w:p>
        </w:tc>
      </w:tr>
      <w:tr w:rsidR="00DC48A1" w:rsidRPr="006E709F" w:rsidTr="00CF67DD">
        <w:trPr>
          <w:trHeight w:val="61"/>
        </w:trPr>
        <w:tc>
          <w:tcPr>
            <w:tcW w:w="3539" w:type="dxa"/>
            <w:tcBorders>
              <w:top w:val="single" w:sz="2" w:space="0" w:color="auto"/>
              <w:left w:val="nil"/>
              <w:bottom w:val="single" w:sz="2" w:space="0" w:color="auto"/>
              <w:right w:val="nil"/>
            </w:tcBorders>
            <w:shd w:val="clear" w:color="auto" w:fill="auto"/>
          </w:tcPr>
          <w:p w:rsidR="00DC48A1" w:rsidRPr="006E709F" w:rsidRDefault="00DC48A1" w:rsidP="00CF67DD">
            <w:pPr>
              <w:rPr>
                <w:sz w:val="16"/>
                <w:szCs w:val="16"/>
              </w:rPr>
            </w:pPr>
            <w:r w:rsidRPr="006E709F">
              <w:rPr>
                <w:sz w:val="16"/>
                <w:szCs w:val="16"/>
              </w:rPr>
              <w:t>Fixed Income</w:t>
            </w:r>
          </w:p>
        </w:tc>
        <w:tc>
          <w:tcPr>
            <w:tcW w:w="2410" w:type="dxa"/>
            <w:tcBorders>
              <w:top w:val="single" w:sz="2" w:space="0" w:color="auto"/>
              <w:left w:val="nil"/>
              <w:bottom w:val="single" w:sz="2" w:space="0" w:color="auto"/>
              <w:right w:val="nil"/>
            </w:tcBorders>
            <w:shd w:val="clear" w:color="auto" w:fill="auto"/>
          </w:tcPr>
          <w:p w:rsidR="00DC48A1" w:rsidRPr="006E709F" w:rsidRDefault="00DC48A1" w:rsidP="00CF67DD">
            <w:pPr>
              <w:pStyle w:val="Tabletext"/>
              <w:rPr>
                <w:sz w:val="16"/>
                <w:szCs w:val="16"/>
              </w:rPr>
            </w:pPr>
          </w:p>
        </w:tc>
        <w:tc>
          <w:tcPr>
            <w:tcW w:w="2551" w:type="dxa"/>
            <w:tcBorders>
              <w:top w:val="single" w:sz="2" w:space="0" w:color="auto"/>
              <w:left w:val="nil"/>
              <w:bottom w:val="single" w:sz="2" w:space="0" w:color="auto"/>
              <w:right w:val="nil"/>
            </w:tcBorders>
            <w:shd w:val="clear" w:color="auto" w:fill="auto"/>
          </w:tcPr>
          <w:p w:rsidR="00DC48A1" w:rsidRPr="006E709F" w:rsidRDefault="00DC48A1" w:rsidP="00CF67DD">
            <w:pPr>
              <w:pStyle w:val="Tabletext"/>
              <w:rPr>
                <w:sz w:val="16"/>
                <w:szCs w:val="16"/>
              </w:rPr>
            </w:pPr>
          </w:p>
        </w:tc>
      </w:tr>
      <w:tr w:rsidR="00DC48A1" w:rsidRPr="006E709F" w:rsidTr="00CF67DD">
        <w:tc>
          <w:tcPr>
            <w:tcW w:w="3539" w:type="dxa"/>
            <w:tcBorders>
              <w:top w:val="single" w:sz="2" w:space="0" w:color="auto"/>
              <w:left w:val="nil"/>
              <w:bottom w:val="single" w:sz="2" w:space="0" w:color="auto"/>
              <w:right w:val="nil"/>
            </w:tcBorders>
            <w:shd w:val="clear" w:color="auto" w:fill="auto"/>
          </w:tcPr>
          <w:p w:rsidR="00DC48A1" w:rsidRPr="006E709F" w:rsidRDefault="00DC48A1" w:rsidP="00CF67DD">
            <w:pPr>
              <w:rPr>
                <w:sz w:val="16"/>
                <w:szCs w:val="16"/>
              </w:rPr>
            </w:pPr>
            <w:r w:rsidRPr="006E709F">
              <w:rPr>
                <w:sz w:val="16"/>
                <w:szCs w:val="16"/>
              </w:rPr>
              <w:t>Equities</w:t>
            </w:r>
          </w:p>
        </w:tc>
        <w:tc>
          <w:tcPr>
            <w:tcW w:w="2410" w:type="dxa"/>
            <w:tcBorders>
              <w:top w:val="single" w:sz="2" w:space="0" w:color="auto"/>
              <w:left w:val="nil"/>
              <w:bottom w:val="single" w:sz="2" w:space="0" w:color="auto"/>
              <w:right w:val="nil"/>
            </w:tcBorders>
            <w:shd w:val="clear" w:color="auto" w:fill="auto"/>
          </w:tcPr>
          <w:p w:rsidR="00DC48A1" w:rsidRPr="006E709F" w:rsidRDefault="00DC48A1" w:rsidP="00CF67DD">
            <w:pPr>
              <w:pStyle w:val="Tabletext"/>
              <w:rPr>
                <w:sz w:val="16"/>
                <w:szCs w:val="16"/>
              </w:rPr>
            </w:pPr>
          </w:p>
        </w:tc>
        <w:tc>
          <w:tcPr>
            <w:tcW w:w="2551" w:type="dxa"/>
            <w:tcBorders>
              <w:top w:val="single" w:sz="2" w:space="0" w:color="auto"/>
              <w:left w:val="nil"/>
              <w:bottom w:val="single" w:sz="2" w:space="0" w:color="auto"/>
              <w:right w:val="nil"/>
            </w:tcBorders>
            <w:shd w:val="clear" w:color="auto" w:fill="auto"/>
          </w:tcPr>
          <w:p w:rsidR="00DC48A1" w:rsidRPr="006E709F" w:rsidRDefault="00DC48A1" w:rsidP="00CF67DD">
            <w:pPr>
              <w:pStyle w:val="Tabletext"/>
              <w:rPr>
                <w:sz w:val="16"/>
                <w:szCs w:val="16"/>
              </w:rPr>
            </w:pPr>
          </w:p>
        </w:tc>
      </w:tr>
      <w:tr w:rsidR="00DC48A1" w:rsidRPr="006E709F" w:rsidTr="00CF67DD">
        <w:tc>
          <w:tcPr>
            <w:tcW w:w="3539" w:type="dxa"/>
            <w:tcBorders>
              <w:top w:val="single" w:sz="2" w:space="0" w:color="auto"/>
              <w:left w:val="nil"/>
              <w:bottom w:val="single" w:sz="2" w:space="0" w:color="auto"/>
              <w:right w:val="nil"/>
            </w:tcBorders>
            <w:shd w:val="clear" w:color="auto" w:fill="auto"/>
          </w:tcPr>
          <w:p w:rsidR="00DC48A1" w:rsidRPr="006E709F" w:rsidRDefault="00DC48A1" w:rsidP="00CF67DD">
            <w:pPr>
              <w:rPr>
                <w:sz w:val="16"/>
                <w:szCs w:val="16"/>
              </w:rPr>
            </w:pPr>
            <w:r w:rsidRPr="006E709F">
              <w:rPr>
                <w:sz w:val="16"/>
                <w:szCs w:val="16"/>
              </w:rPr>
              <w:t>Property</w:t>
            </w:r>
          </w:p>
        </w:tc>
        <w:tc>
          <w:tcPr>
            <w:tcW w:w="2410" w:type="dxa"/>
            <w:tcBorders>
              <w:top w:val="single" w:sz="2" w:space="0" w:color="auto"/>
              <w:left w:val="nil"/>
              <w:bottom w:val="single" w:sz="2" w:space="0" w:color="auto"/>
              <w:right w:val="nil"/>
            </w:tcBorders>
            <w:shd w:val="clear" w:color="auto" w:fill="auto"/>
          </w:tcPr>
          <w:p w:rsidR="00DC48A1" w:rsidRPr="006E709F" w:rsidRDefault="00DC48A1" w:rsidP="00CF67DD">
            <w:pPr>
              <w:pStyle w:val="Tabletext"/>
              <w:rPr>
                <w:sz w:val="16"/>
                <w:szCs w:val="16"/>
              </w:rPr>
            </w:pPr>
          </w:p>
        </w:tc>
        <w:tc>
          <w:tcPr>
            <w:tcW w:w="2551" w:type="dxa"/>
            <w:tcBorders>
              <w:top w:val="single" w:sz="2" w:space="0" w:color="auto"/>
              <w:left w:val="nil"/>
              <w:bottom w:val="single" w:sz="2" w:space="0" w:color="auto"/>
              <w:right w:val="nil"/>
            </w:tcBorders>
            <w:shd w:val="clear" w:color="auto" w:fill="auto"/>
          </w:tcPr>
          <w:p w:rsidR="00DC48A1" w:rsidRPr="006E709F" w:rsidRDefault="00DC48A1" w:rsidP="00CF67DD">
            <w:pPr>
              <w:pStyle w:val="Tabletext"/>
              <w:rPr>
                <w:sz w:val="16"/>
                <w:szCs w:val="16"/>
              </w:rPr>
            </w:pPr>
          </w:p>
        </w:tc>
      </w:tr>
      <w:tr w:rsidR="00DC48A1" w:rsidRPr="006E709F" w:rsidTr="00CF67DD">
        <w:tc>
          <w:tcPr>
            <w:tcW w:w="3539" w:type="dxa"/>
            <w:tcBorders>
              <w:top w:val="single" w:sz="2" w:space="0" w:color="auto"/>
              <w:left w:val="nil"/>
              <w:bottom w:val="single" w:sz="2" w:space="0" w:color="auto"/>
              <w:right w:val="nil"/>
            </w:tcBorders>
            <w:shd w:val="clear" w:color="auto" w:fill="auto"/>
          </w:tcPr>
          <w:p w:rsidR="00DC48A1" w:rsidRPr="006E709F" w:rsidRDefault="00DC48A1" w:rsidP="00CF67DD">
            <w:pPr>
              <w:rPr>
                <w:sz w:val="16"/>
                <w:szCs w:val="16"/>
              </w:rPr>
            </w:pPr>
            <w:r w:rsidRPr="006E709F">
              <w:rPr>
                <w:sz w:val="16"/>
                <w:szCs w:val="16"/>
              </w:rPr>
              <w:t>Infrastructure</w:t>
            </w:r>
          </w:p>
        </w:tc>
        <w:tc>
          <w:tcPr>
            <w:tcW w:w="2410" w:type="dxa"/>
            <w:tcBorders>
              <w:top w:val="single" w:sz="2" w:space="0" w:color="auto"/>
              <w:left w:val="nil"/>
              <w:bottom w:val="single" w:sz="2" w:space="0" w:color="auto"/>
              <w:right w:val="nil"/>
            </w:tcBorders>
            <w:shd w:val="clear" w:color="auto" w:fill="auto"/>
          </w:tcPr>
          <w:p w:rsidR="00DC48A1" w:rsidRPr="006E709F" w:rsidRDefault="00DC48A1" w:rsidP="00CF67DD">
            <w:pPr>
              <w:pStyle w:val="Tabletext"/>
              <w:rPr>
                <w:sz w:val="16"/>
                <w:szCs w:val="16"/>
              </w:rPr>
            </w:pPr>
          </w:p>
        </w:tc>
        <w:tc>
          <w:tcPr>
            <w:tcW w:w="2551" w:type="dxa"/>
            <w:tcBorders>
              <w:top w:val="single" w:sz="2" w:space="0" w:color="auto"/>
              <w:left w:val="nil"/>
              <w:bottom w:val="single" w:sz="2" w:space="0" w:color="auto"/>
              <w:right w:val="nil"/>
            </w:tcBorders>
            <w:shd w:val="clear" w:color="auto" w:fill="auto"/>
          </w:tcPr>
          <w:p w:rsidR="00DC48A1" w:rsidRPr="006E709F" w:rsidRDefault="00DC48A1" w:rsidP="00CF67DD">
            <w:pPr>
              <w:pStyle w:val="Tabletext"/>
              <w:rPr>
                <w:sz w:val="16"/>
                <w:szCs w:val="16"/>
              </w:rPr>
            </w:pPr>
          </w:p>
        </w:tc>
      </w:tr>
      <w:tr w:rsidR="00DC48A1" w:rsidRPr="006E709F" w:rsidTr="00CF67DD">
        <w:tc>
          <w:tcPr>
            <w:tcW w:w="3539" w:type="dxa"/>
            <w:tcBorders>
              <w:top w:val="single" w:sz="2" w:space="0" w:color="auto"/>
              <w:left w:val="nil"/>
              <w:bottom w:val="single" w:sz="2" w:space="0" w:color="auto"/>
              <w:right w:val="nil"/>
            </w:tcBorders>
            <w:shd w:val="clear" w:color="auto" w:fill="auto"/>
          </w:tcPr>
          <w:p w:rsidR="00DC48A1" w:rsidRPr="006E709F" w:rsidRDefault="00DC48A1" w:rsidP="00CF67DD">
            <w:pPr>
              <w:rPr>
                <w:sz w:val="16"/>
                <w:szCs w:val="16"/>
              </w:rPr>
            </w:pPr>
            <w:r w:rsidRPr="006E709F">
              <w:rPr>
                <w:sz w:val="16"/>
                <w:szCs w:val="16"/>
              </w:rPr>
              <w:t>Alternatives</w:t>
            </w:r>
          </w:p>
        </w:tc>
        <w:tc>
          <w:tcPr>
            <w:tcW w:w="2410" w:type="dxa"/>
            <w:tcBorders>
              <w:top w:val="single" w:sz="2" w:space="0" w:color="auto"/>
              <w:left w:val="nil"/>
              <w:bottom w:val="single" w:sz="2" w:space="0" w:color="auto"/>
              <w:right w:val="nil"/>
            </w:tcBorders>
            <w:shd w:val="clear" w:color="auto" w:fill="auto"/>
          </w:tcPr>
          <w:p w:rsidR="00DC48A1" w:rsidRPr="006E709F" w:rsidRDefault="00DC48A1" w:rsidP="00CF67DD">
            <w:pPr>
              <w:pStyle w:val="Tabletext"/>
              <w:rPr>
                <w:sz w:val="16"/>
                <w:szCs w:val="16"/>
              </w:rPr>
            </w:pPr>
          </w:p>
        </w:tc>
        <w:tc>
          <w:tcPr>
            <w:tcW w:w="2551" w:type="dxa"/>
            <w:tcBorders>
              <w:top w:val="single" w:sz="2" w:space="0" w:color="auto"/>
              <w:left w:val="nil"/>
              <w:bottom w:val="single" w:sz="2" w:space="0" w:color="auto"/>
              <w:right w:val="nil"/>
            </w:tcBorders>
            <w:shd w:val="clear" w:color="auto" w:fill="auto"/>
          </w:tcPr>
          <w:p w:rsidR="00DC48A1" w:rsidRPr="006E709F" w:rsidRDefault="00DC48A1" w:rsidP="00CF67DD">
            <w:pPr>
              <w:pStyle w:val="Tabletext"/>
              <w:rPr>
                <w:sz w:val="16"/>
                <w:szCs w:val="16"/>
              </w:rPr>
            </w:pPr>
          </w:p>
        </w:tc>
      </w:tr>
      <w:tr w:rsidR="00DC48A1" w:rsidRPr="006E709F" w:rsidTr="00CF67DD">
        <w:tc>
          <w:tcPr>
            <w:tcW w:w="3539" w:type="dxa"/>
            <w:tcBorders>
              <w:top w:val="single" w:sz="2" w:space="0" w:color="auto"/>
              <w:left w:val="nil"/>
              <w:bottom w:val="single" w:sz="12" w:space="0" w:color="auto"/>
              <w:right w:val="nil"/>
            </w:tcBorders>
            <w:shd w:val="clear" w:color="auto" w:fill="auto"/>
          </w:tcPr>
          <w:p w:rsidR="00DC48A1" w:rsidRPr="006E709F" w:rsidRDefault="00DC48A1" w:rsidP="00CF67DD">
            <w:pPr>
              <w:pStyle w:val="TableHeading"/>
              <w:rPr>
                <w:sz w:val="16"/>
                <w:szCs w:val="16"/>
              </w:rPr>
            </w:pPr>
            <w:r w:rsidRPr="006E709F">
              <w:rPr>
                <w:sz w:val="16"/>
                <w:szCs w:val="16"/>
              </w:rPr>
              <w:t>Total</w:t>
            </w:r>
          </w:p>
        </w:tc>
        <w:tc>
          <w:tcPr>
            <w:tcW w:w="2410" w:type="dxa"/>
            <w:tcBorders>
              <w:top w:val="single" w:sz="2" w:space="0" w:color="auto"/>
              <w:left w:val="nil"/>
              <w:bottom w:val="single" w:sz="12" w:space="0" w:color="auto"/>
              <w:right w:val="nil"/>
            </w:tcBorders>
            <w:shd w:val="clear" w:color="auto" w:fill="auto"/>
          </w:tcPr>
          <w:p w:rsidR="00DC48A1" w:rsidRPr="006E709F" w:rsidRDefault="00DC48A1" w:rsidP="00CF67DD">
            <w:pPr>
              <w:pStyle w:val="Tabletext"/>
              <w:rPr>
                <w:sz w:val="16"/>
                <w:szCs w:val="16"/>
              </w:rPr>
            </w:pPr>
          </w:p>
        </w:tc>
        <w:tc>
          <w:tcPr>
            <w:tcW w:w="2551" w:type="dxa"/>
            <w:tcBorders>
              <w:top w:val="single" w:sz="2" w:space="0" w:color="auto"/>
              <w:left w:val="nil"/>
              <w:bottom w:val="single" w:sz="12" w:space="0" w:color="auto"/>
              <w:right w:val="nil"/>
            </w:tcBorders>
            <w:shd w:val="clear" w:color="auto" w:fill="auto"/>
          </w:tcPr>
          <w:p w:rsidR="00DC48A1" w:rsidRPr="006E709F" w:rsidRDefault="00DC48A1" w:rsidP="00CF67DD">
            <w:pPr>
              <w:pStyle w:val="Tabletext"/>
              <w:rPr>
                <w:sz w:val="16"/>
                <w:szCs w:val="16"/>
              </w:rPr>
            </w:pPr>
          </w:p>
        </w:tc>
      </w:tr>
    </w:tbl>
    <w:p w:rsidR="00DC48A1" w:rsidRPr="006E709F" w:rsidRDefault="00DC48A1" w:rsidP="00DC48A1">
      <w:pPr>
        <w:pStyle w:val="ActHead5"/>
      </w:pPr>
      <w:bookmarkStart w:id="55" w:name="_Toc170547874"/>
      <w:r w:rsidRPr="000C4237">
        <w:rPr>
          <w:rStyle w:val="CharSectno"/>
        </w:rPr>
        <w:t>4</w:t>
      </w:r>
      <w:r w:rsidRPr="006E709F">
        <w:t xml:space="preserve">  Table 4—Derivatives by currency</w:t>
      </w:r>
      <w:bookmarkEnd w:id="55"/>
    </w:p>
    <w:p w:rsidR="00DC48A1" w:rsidRPr="006E709F" w:rsidRDefault="00DC48A1" w:rsidP="00DC48A1">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3539"/>
        <w:gridCol w:w="2410"/>
        <w:gridCol w:w="2551"/>
      </w:tblGrid>
      <w:tr w:rsidR="00DC48A1" w:rsidRPr="006E709F" w:rsidTr="00CF67DD">
        <w:trPr>
          <w:tblHeader/>
        </w:trPr>
        <w:tc>
          <w:tcPr>
            <w:tcW w:w="8500" w:type="dxa"/>
            <w:gridSpan w:val="3"/>
            <w:tcBorders>
              <w:top w:val="single" w:sz="12" w:space="0" w:color="auto"/>
              <w:bottom w:val="single" w:sz="12" w:space="0" w:color="auto"/>
            </w:tcBorders>
            <w:shd w:val="clear" w:color="auto" w:fill="auto"/>
          </w:tcPr>
          <w:p w:rsidR="00DC48A1" w:rsidRPr="006E709F" w:rsidRDefault="00DC48A1" w:rsidP="00CF67DD">
            <w:pPr>
              <w:pStyle w:val="TableHeading"/>
              <w:rPr>
                <w:sz w:val="16"/>
              </w:rPr>
            </w:pPr>
            <w:r w:rsidRPr="006E709F">
              <w:rPr>
                <w:sz w:val="16"/>
              </w:rPr>
              <w:t>Portfolio Holdings Information for Investment Option [A]—Derivatives by Currency</w:t>
            </w:r>
          </w:p>
        </w:tc>
      </w:tr>
      <w:tr w:rsidR="00DC48A1" w:rsidRPr="006E709F" w:rsidTr="00CF67DD">
        <w:trPr>
          <w:tblHeader/>
        </w:trPr>
        <w:tc>
          <w:tcPr>
            <w:tcW w:w="3539" w:type="dxa"/>
            <w:tcBorders>
              <w:top w:val="single" w:sz="12" w:space="0" w:color="auto"/>
              <w:bottom w:val="single" w:sz="12" w:space="0" w:color="auto"/>
            </w:tcBorders>
            <w:shd w:val="clear" w:color="auto" w:fill="auto"/>
          </w:tcPr>
          <w:p w:rsidR="00DC48A1" w:rsidRPr="006E709F" w:rsidRDefault="00DC48A1" w:rsidP="00CF67DD">
            <w:pPr>
              <w:rPr>
                <w:b/>
                <w:bCs/>
                <w:sz w:val="16"/>
              </w:rPr>
            </w:pPr>
            <w:r w:rsidRPr="006E709F">
              <w:rPr>
                <w:b/>
                <w:bCs/>
                <w:sz w:val="16"/>
              </w:rPr>
              <w:t>Currency exposure</w:t>
            </w:r>
          </w:p>
        </w:tc>
        <w:tc>
          <w:tcPr>
            <w:tcW w:w="2410" w:type="dxa"/>
            <w:tcBorders>
              <w:top w:val="single" w:sz="12" w:space="0" w:color="auto"/>
              <w:bottom w:val="single" w:sz="12" w:space="0" w:color="auto"/>
            </w:tcBorders>
            <w:shd w:val="clear" w:color="auto" w:fill="auto"/>
          </w:tcPr>
          <w:p w:rsidR="00DC48A1" w:rsidRPr="006E709F" w:rsidRDefault="00DC48A1" w:rsidP="00CF67DD">
            <w:pPr>
              <w:pStyle w:val="TableHeading"/>
              <w:rPr>
                <w:sz w:val="16"/>
              </w:rPr>
            </w:pPr>
            <w:r w:rsidRPr="006E709F">
              <w:rPr>
                <w:sz w:val="16"/>
              </w:rPr>
              <w:t>Actual currency exposure (% of assets and derivatives under management)</w:t>
            </w:r>
          </w:p>
        </w:tc>
        <w:tc>
          <w:tcPr>
            <w:tcW w:w="2551" w:type="dxa"/>
            <w:tcBorders>
              <w:top w:val="single" w:sz="12" w:space="0" w:color="auto"/>
              <w:bottom w:val="single" w:sz="12" w:space="0" w:color="auto"/>
            </w:tcBorders>
            <w:shd w:val="clear" w:color="auto" w:fill="auto"/>
          </w:tcPr>
          <w:p w:rsidR="00DC48A1" w:rsidRPr="006E709F" w:rsidRDefault="00DC48A1" w:rsidP="00CF67DD">
            <w:pPr>
              <w:pStyle w:val="TableHeading"/>
              <w:rPr>
                <w:sz w:val="16"/>
              </w:rPr>
            </w:pPr>
            <w:r w:rsidRPr="006E709F">
              <w:rPr>
                <w:sz w:val="16"/>
              </w:rPr>
              <w:t>Effect of derivatives exposure (% of assets and derivatives under management)</w:t>
            </w:r>
          </w:p>
        </w:tc>
      </w:tr>
      <w:tr w:rsidR="00DC48A1" w:rsidRPr="006E709F" w:rsidTr="00CF67DD">
        <w:tc>
          <w:tcPr>
            <w:tcW w:w="3539" w:type="dxa"/>
            <w:tcBorders>
              <w:top w:val="single" w:sz="12" w:space="0" w:color="auto"/>
            </w:tcBorders>
            <w:shd w:val="clear" w:color="auto" w:fill="auto"/>
          </w:tcPr>
          <w:p w:rsidR="00DC48A1" w:rsidRPr="006E709F" w:rsidRDefault="00DC48A1" w:rsidP="00CF67DD">
            <w:pPr>
              <w:rPr>
                <w:sz w:val="16"/>
              </w:rPr>
            </w:pPr>
            <w:r w:rsidRPr="006E709F">
              <w:rPr>
                <w:sz w:val="16"/>
              </w:rPr>
              <w:t>AUD</w:t>
            </w:r>
          </w:p>
        </w:tc>
        <w:tc>
          <w:tcPr>
            <w:tcW w:w="2410" w:type="dxa"/>
            <w:tcBorders>
              <w:top w:val="single" w:sz="12" w:space="0" w:color="auto"/>
            </w:tcBorders>
            <w:shd w:val="clear" w:color="auto" w:fill="auto"/>
          </w:tcPr>
          <w:p w:rsidR="00DC48A1" w:rsidRPr="006E709F" w:rsidRDefault="00DC48A1" w:rsidP="00CF67DD">
            <w:pPr>
              <w:pStyle w:val="Tabletext"/>
              <w:rPr>
                <w:sz w:val="16"/>
              </w:rPr>
            </w:pPr>
          </w:p>
        </w:tc>
        <w:tc>
          <w:tcPr>
            <w:tcW w:w="2551" w:type="dxa"/>
            <w:tcBorders>
              <w:top w:val="single" w:sz="12" w:space="0" w:color="auto"/>
            </w:tcBorders>
            <w:shd w:val="clear" w:color="auto" w:fill="auto"/>
          </w:tcPr>
          <w:p w:rsidR="00DC48A1" w:rsidRPr="006E709F" w:rsidRDefault="00DC48A1" w:rsidP="00CF67DD">
            <w:pPr>
              <w:pStyle w:val="Tabletext"/>
              <w:rPr>
                <w:sz w:val="16"/>
              </w:rPr>
            </w:pPr>
          </w:p>
        </w:tc>
      </w:tr>
      <w:tr w:rsidR="00DC48A1" w:rsidRPr="006E709F" w:rsidTr="00CF67DD">
        <w:tc>
          <w:tcPr>
            <w:tcW w:w="3539" w:type="dxa"/>
            <w:shd w:val="clear" w:color="auto" w:fill="auto"/>
          </w:tcPr>
          <w:p w:rsidR="00DC48A1" w:rsidRPr="006E709F" w:rsidRDefault="00DC48A1" w:rsidP="00CF67DD">
            <w:pPr>
              <w:rPr>
                <w:sz w:val="16"/>
              </w:rPr>
            </w:pPr>
            <w:r w:rsidRPr="006E709F">
              <w:rPr>
                <w:sz w:val="16"/>
              </w:rPr>
              <w:t>USD</w:t>
            </w:r>
          </w:p>
        </w:tc>
        <w:tc>
          <w:tcPr>
            <w:tcW w:w="2410" w:type="dxa"/>
            <w:shd w:val="clear" w:color="auto" w:fill="auto"/>
          </w:tcPr>
          <w:p w:rsidR="00DC48A1" w:rsidRPr="006E709F" w:rsidRDefault="00DC48A1" w:rsidP="00CF67DD">
            <w:pPr>
              <w:pStyle w:val="Tabletext"/>
              <w:rPr>
                <w:sz w:val="16"/>
              </w:rPr>
            </w:pPr>
          </w:p>
        </w:tc>
        <w:tc>
          <w:tcPr>
            <w:tcW w:w="2551" w:type="dxa"/>
            <w:shd w:val="clear" w:color="auto" w:fill="auto"/>
          </w:tcPr>
          <w:p w:rsidR="00DC48A1" w:rsidRPr="006E709F" w:rsidRDefault="00DC48A1" w:rsidP="00CF67DD">
            <w:pPr>
              <w:pStyle w:val="Tabletext"/>
              <w:rPr>
                <w:sz w:val="16"/>
              </w:rPr>
            </w:pPr>
          </w:p>
        </w:tc>
      </w:tr>
      <w:tr w:rsidR="00DC48A1" w:rsidRPr="006E709F" w:rsidTr="00CF67DD">
        <w:tc>
          <w:tcPr>
            <w:tcW w:w="3539" w:type="dxa"/>
            <w:tcBorders>
              <w:bottom w:val="single" w:sz="2" w:space="0" w:color="auto"/>
            </w:tcBorders>
            <w:shd w:val="clear" w:color="auto" w:fill="auto"/>
          </w:tcPr>
          <w:p w:rsidR="00DC48A1" w:rsidRPr="006E709F" w:rsidRDefault="00DC48A1" w:rsidP="00CF67DD">
            <w:pPr>
              <w:rPr>
                <w:sz w:val="16"/>
              </w:rPr>
            </w:pPr>
            <w:r w:rsidRPr="006E709F">
              <w:rPr>
                <w:sz w:val="16"/>
              </w:rPr>
              <w:t>Currencies of other developed markets</w:t>
            </w:r>
          </w:p>
        </w:tc>
        <w:tc>
          <w:tcPr>
            <w:tcW w:w="2410" w:type="dxa"/>
            <w:tcBorders>
              <w:bottom w:val="single" w:sz="2" w:space="0" w:color="auto"/>
            </w:tcBorders>
            <w:shd w:val="clear" w:color="auto" w:fill="auto"/>
          </w:tcPr>
          <w:p w:rsidR="00DC48A1" w:rsidRPr="006E709F" w:rsidRDefault="00DC48A1" w:rsidP="00CF67DD">
            <w:pPr>
              <w:pStyle w:val="Tabletext"/>
              <w:rPr>
                <w:sz w:val="16"/>
              </w:rPr>
            </w:pPr>
          </w:p>
        </w:tc>
        <w:tc>
          <w:tcPr>
            <w:tcW w:w="2551" w:type="dxa"/>
            <w:tcBorders>
              <w:bottom w:val="single" w:sz="2" w:space="0" w:color="auto"/>
            </w:tcBorders>
            <w:shd w:val="clear" w:color="auto" w:fill="auto"/>
          </w:tcPr>
          <w:p w:rsidR="00DC48A1" w:rsidRPr="006E709F" w:rsidRDefault="00DC48A1" w:rsidP="00CF67DD">
            <w:pPr>
              <w:pStyle w:val="Tabletext"/>
              <w:rPr>
                <w:sz w:val="16"/>
              </w:rPr>
            </w:pPr>
          </w:p>
        </w:tc>
      </w:tr>
      <w:tr w:rsidR="00DC48A1" w:rsidRPr="006E709F" w:rsidTr="00CF67DD">
        <w:tc>
          <w:tcPr>
            <w:tcW w:w="3539" w:type="dxa"/>
            <w:tcBorders>
              <w:bottom w:val="single" w:sz="12" w:space="0" w:color="auto"/>
            </w:tcBorders>
            <w:shd w:val="clear" w:color="auto" w:fill="auto"/>
          </w:tcPr>
          <w:p w:rsidR="00DC48A1" w:rsidRPr="006E709F" w:rsidRDefault="00DC48A1" w:rsidP="00CF67DD">
            <w:pPr>
              <w:rPr>
                <w:sz w:val="16"/>
              </w:rPr>
            </w:pPr>
            <w:r w:rsidRPr="006E709F">
              <w:rPr>
                <w:sz w:val="16"/>
              </w:rPr>
              <w:t>Currencies of emerging markets</w:t>
            </w:r>
          </w:p>
        </w:tc>
        <w:tc>
          <w:tcPr>
            <w:tcW w:w="2410" w:type="dxa"/>
            <w:tcBorders>
              <w:bottom w:val="single" w:sz="12" w:space="0" w:color="auto"/>
            </w:tcBorders>
            <w:shd w:val="clear" w:color="auto" w:fill="auto"/>
          </w:tcPr>
          <w:p w:rsidR="00DC48A1" w:rsidRPr="006E709F" w:rsidRDefault="00DC48A1" w:rsidP="00CF67DD">
            <w:pPr>
              <w:pStyle w:val="Tabletext"/>
              <w:rPr>
                <w:sz w:val="16"/>
              </w:rPr>
            </w:pPr>
          </w:p>
        </w:tc>
        <w:tc>
          <w:tcPr>
            <w:tcW w:w="2551" w:type="dxa"/>
            <w:tcBorders>
              <w:bottom w:val="single" w:sz="12" w:space="0" w:color="auto"/>
            </w:tcBorders>
            <w:shd w:val="clear" w:color="auto" w:fill="auto"/>
          </w:tcPr>
          <w:p w:rsidR="00DC48A1" w:rsidRPr="006E709F" w:rsidRDefault="00DC48A1" w:rsidP="00CF67DD">
            <w:pPr>
              <w:pStyle w:val="Tabletext"/>
              <w:rPr>
                <w:sz w:val="16"/>
              </w:rPr>
            </w:pPr>
          </w:p>
        </w:tc>
      </w:tr>
    </w:tbl>
    <w:p w:rsidR="00FF5814" w:rsidRPr="006E709F" w:rsidRDefault="00FF5814" w:rsidP="00A801D0">
      <w:pPr>
        <w:pStyle w:val="ActHead1"/>
        <w:pageBreakBefore/>
      </w:pPr>
      <w:bookmarkStart w:id="56" w:name="_Toc170547875"/>
      <w:r w:rsidRPr="000C4237">
        <w:rPr>
          <w:rStyle w:val="CharChapNo"/>
        </w:rPr>
        <w:lastRenderedPageBreak/>
        <w:t>Schedule</w:t>
      </w:r>
      <w:r w:rsidR="00DA13DE" w:rsidRPr="000C4237">
        <w:rPr>
          <w:rStyle w:val="CharChapNo"/>
        </w:rPr>
        <w:t> </w:t>
      </w:r>
      <w:r w:rsidRPr="000C4237">
        <w:rPr>
          <w:rStyle w:val="CharChapNo"/>
        </w:rPr>
        <w:t>9</w:t>
      </w:r>
      <w:r w:rsidR="00A801D0" w:rsidRPr="006E709F">
        <w:t>—</w:t>
      </w:r>
      <w:r w:rsidRPr="000C4237">
        <w:rPr>
          <w:rStyle w:val="CharChapText"/>
        </w:rPr>
        <w:t>Companies authorised to effect transfers under Part</w:t>
      </w:r>
      <w:r w:rsidR="00DA13DE" w:rsidRPr="000C4237">
        <w:rPr>
          <w:rStyle w:val="CharChapText"/>
        </w:rPr>
        <w:t> </w:t>
      </w:r>
      <w:r w:rsidRPr="000C4237">
        <w:rPr>
          <w:rStyle w:val="CharChapText"/>
        </w:rPr>
        <w:t>7.11 of the Act</w:t>
      </w:r>
      <w:bookmarkEnd w:id="56"/>
    </w:p>
    <w:p w:rsidR="00FF5814" w:rsidRPr="006E709F" w:rsidRDefault="00FF5814" w:rsidP="00A801D0">
      <w:pPr>
        <w:pStyle w:val="notemargin"/>
      </w:pPr>
      <w:r w:rsidRPr="006E709F">
        <w:rPr>
          <w:color w:val="000000"/>
        </w:rPr>
        <w:t>(</w:t>
      </w:r>
      <w:r w:rsidR="005378CE" w:rsidRPr="006E709F">
        <w:rPr>
          <w:color w:val="000000"/>
        </w:rPr>
        <w:t>regulation 7</w:t>
      </w:r>
      <w:r w:rsidRPr="006E709F">
        <w:rPr>
          <w:color w:val="000000"/>
        </w:rPr>
        <w:t>.11.01</w:t>
      </w:r>
      <w:r w:rsidRPr="006E709F">
        <w:t>,</w:t>
      </w:r>
      <w:r w:rsidR="00E376FA" w:rsidRPr="006E709F">
        <w:t xml:space="preserve"> </w:t>
      </w:r>
      <w:r w:rsidRPr="006E709F">
        <w:t>definition</w:t>
      </w:r>
      <w:r w:rsidR="00E376FA" w:rsidRPr="006E709F">
        <w:t xml:space="preserve"> </w:t>
      </w:r>
      <w:r w:rsidRPr="006E709F">
        <w:t>of</w:t>
      </w:r>
      <w:r w:rsidR="00E376FA" w:rsidRPr="006E709F">
        <w:t xml:space="preserve"> </w:t>
      </w:r>
      <w:r w:rsidRPr="006E709F">
        <w:rPr>
          <w:b/>
          <w:i/>
        </w:rPr>
        <w:t>beneficial</w:t>
      </w:r>
      <w:r w:rsidR="00E376FA" w:rsidRPr="006E709F">
        <w:rPr>
          <w:b/>
          <w:i/>
        </w:rPr>
        <w:t xml:space="preserve"> </w:t>
      </w:r>
      <w:r w:rsidRPr="006E709F">
        <w:rPr>
          <w:b/>
          <w:i/>
        </w:rPr>
        <w:t>owner</w:t>
      </w:r>
      <w:r w:rsidRPr="006E709F">
        <w:rPr>
          <w:color w:val="000000"/>
        </w:rPr>
        <w:t>)</w:t>
      </w:r>
    </w:p>
    <w:p w:rsidR="00FF5814" w:rsidRPr="006E709F" w:rsidRDefault="00A801D0" w:rsidP="00FF5814">
      <w:pPr>
        <w:pStyle w:val="Header"/>
      </w:pPr>
      <w:r w:rsidRPr="000C4237">
        <w:rPr>
          <w:rStyle w:val="CharPartNo"/>
        </w:rPr>
        <w:t xml:space="preserve"> </w:t>
      </w:r>
      <w:r w:rsidRPr="000C4237">
        <w:rPr>
          <w:rStyle w:val="CharPartText"/>
        </w:rPr>
        <w:t xml:space="preserve"> </w:t>
      </w:r>
    </w:p>
    <w:p w:rsidR="00A801D0" w:rsidRPr="006E709F"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97"/>
        <w:gridCol w:w="7732"/>
      </w:tblGrid>
      <w:tr w:rsidR="00FF5814" w:rsidRPr="006E709F" w:rsidTr="00E118FA">
        <w:trPr>
          <w:tblHeader/>
        </w:trPr>
        <w:tc>
          <w:tcPr>
            <w:tcW w:w="467" w:type="pct"/>
            <w:tcBorders>
              <w:top w:val="single" w:sz="12" w:space="0" w:color="auto"/>
              <w:bottom w:val="single" w:sz="12" w:space="0" w:color="auto"/>
            </w:tcBorders>
            <w:shd w:val="clear" w:color="auto" w:fill="auto"/>
          </w:tcPr>
          <w:p w:rsidR="00FF5814" w:rsidRPr="006E709F" w:rsidRDefault="00FF5814" w:rsidP="008C457C">
            <w:pPr>
              <w:pStyle w:val="TableHeading"/>
            </w:pPr>
            <w:r w:rsidRPr="006E709F">
              <w:t>Item</w:t>
            </w:r>
          </w:p>
        </w:tc>
        <w:tc>
          <w:tcPr>
            <w:tcW w:w="4533" w:type="pct"/>
            <w:tcBorders>
              <w:top w:val="single" w:sz="12" w:space="0" w:color="auto"/>
              <w:bottom w:val="single" w:sz="12" w:space="0" w:color="auto"/>
            </w:tcBorders>
            <w:shd w:val="clear" w:color="auto" w:fill="auto"/>
          </w:tcPr>
          <w:p w:rsidR="00FF5814" w:rsidRPr="006E709F" w:rsidRDefault="00FF5814" w:rsidP="008C457C">
            <w:pPr>
              <w:pStyle w:val="TableHeading"/>
            </w:pPr>
            <w:r w:rsidRPr="006E709F">
              <w:t>Companies</w:t>
            </w:r>
          </w:p>
        </w:tc>
      </w:tr>
      <w:tr w:rsidR="00FF5814" w:rsidRPr="006E709F" w:rsidTr="00E118FA">
        <w:tc>
          <w:tcPr>
            <w:tcW w:w="467" w:type="pct"/>
            <w:tcBorders>
              <w:top w:val="single" w:sz="12" w:space="0" w:color="auto"/>
            </w:tcBorders>
            <w:shd w:val="clear" w:color="auto" w:fill="auto"/>
          </w:tcPr>
          <w:p w:rsidR="00FF5814" w:rsidRPr="006E709F" w:rsidRDefault="00FF5814" w:rsidP="00A801D0">
            <w:pPr>
              <w:pStyle w:val="Tabletext"/>
            </w:pPr>
            <w:r w:rsidRPr="006E709F">
              <w:t>1</w:t>
            </w:r>
          </w:p>
        </w:tc>
        <w:tc>
          <w:tcPr>
            <w:tcW w:w="4533" w:type="pct"/>
            <w:tcBorders>
              <w:top w:val="single" w:sz="12" w:space="0" w:color="auto"/>
            </w:tcBorders>
            <w:shd w:val="clear" w:color="auto" w:fill="auto"/>
          </w:tcPr>
          <w:p w:rsidR="00FF5814" w:rsidRPr="006E709F" w:rsidRDefault="00FF5814" w:rsidP="00A801D0">
            <w:pPr>
              <w:pStyle w:val="Tabletext"/>
            </w:pPr>
            <w:r w:rsidRPr="006E709F">
              <w:t>ANZ Nominees Limited</w:t>
            </w:r>
          </w:p>
        </w:tc>
      </w:tr>
      <w:tr w:rsidR="00FF5814" w:rsidRPr="006E709F" w:rsidTr="00E118FA">
        <w:tc>
          <w:tcPr>
            <w:tcW w:w="467" w:type="pct"/>
            <w:shd w:val="clear" w:color="auto" w:fill="auto"/>
          </w:tcPr>
          <w:p w:rsidR="00FF5814" w:rsidRPr="006E709F" w:rsidRDefault="00FF5814" w:rsidP="00A801D0">
            <w:pPr>
              <w:pStyle w:val="Tabletext"/>
            </w:pPr>
            <w:r w:rsidRPr="006E709F">
              <w:t>2</w:t>
            </w:r>
          </w:p>
        </w:tc>
        <w:tc>
          <w:tcPr>
            <w:tcW w:w="4533" w:type="pct"/>
            <w:shd w:val="clear" w:color="auto" w:fill="auto"/>
          </w:tcPr>
          <w:p w:rsidR="00FF5814" w:rsidRPr="006E709F" w:rsidRDefault="00FF5814" w:rsidP="00A801D0">
            <w:pPr>
              <w:pStyle w:val="Tabletext"/>
            </w:pPr>
            <w:r w:rsidRPr="006E709F">
              <w:t>CHESS Depositary Nominees Pty Limited</w:t>
            </w:r>
          </w:p>
        </w:tc>
      </w:tr>
      <w:tr w:rsidR="00FF5814" w:rsidRPr="006E709F" w:rsidTr="00E118FA">
        <w:tc>
          <w:tcPr>
            <w:tcW w:w="467" w:type="pct"/>
            <w:shd w:val="clear" w:color="auto" w:fill="auto"/>
          </w:tcPr>
          <w:p w:rsidR="00FF5814" w:rsidRPr="006E709F" w:rsidRDefault="00FF5814" w:rsidP="00A801D0">
            <w:pPr>
              <w:pStyle w:val="Tabletext"/>
            </w:pPr>
            <w:r w:rsidRPr="006E709F">
              <w:t>3</w:t>
            </w:r>
          </w:p>
        </w:tc>
        <w:tc>
          <w:tcPr>
            <w:tcW w:w="4533" w:type="pct"/>
            <w:shd w:val="clear" w:color="auto" w:fill="auto"/>
          </w:tcPr>
          <w:p w:rsidR="00FF5814" w:rsidRPr="006E709F" w:rsidRDefault="00FF5814" w:rsidP="00A801D0">
            <w:pPr>
              <w:pStyle w:val="Tabletext"/>
            </w:pPr>
            <w:r w:rsidRPr="006E709F">
              <w:t>Equity Nominees Limited</w:t>
            </w:r>
          </w:p>
        </w:tc>
      </w:tr>
      <w:tr w:rsidR="00FF5814" w:rsidRPr="006E709F" w:rsidTr="00E118FA">
        <w:tc>
          <w:tcPr>
            <w:tcW w:w="467" w:type="pct"/>
            <w:shd w:val="clear" w:color="auto" w:fill="auto"/>
          </w:tcPr>
          <w:p w:rsidR="00FF5814" w:rsidRPr="006E709F" w:rsidRDefault="00FF5814" w:rsidP="00A801D0">
            <w:pPr>
              <w:pStyle w:val="Tabletext"/>
            </w:pPr>
            <w:r w:rsidRPr="006E709F">
              <w:t>4</w:t>
            </w:r>
          </w:p>
        </w:tc>
        <w:tc>
          <w:tcPr>
            <w:tcW w:w="4533" w:type="pct"/>
            <w:shd w:val="clear" w:color="auto" w:fill="auto"/>
          </w:tcPr>
          <w:p w:rsidR="00FF5814" w:rsidRPr="006E709F" w:rsidRDefault="00FF5814" w:rsidP="00A801D0">
            <w:pPr>
              <w:pStyle w:val="Tabletext"/>
            </w:pPr>
            <w:r w:rsidRPr="006E709F">
              <w:t>National Nominees Limited</w:t>
            </w:r>
          </w:p>
        </w:tc>
      </w:tr>
      <w:tr w:rsidR="00FF5814" w:rsidRPr="006E709F" w:rsidTr="00E118FA">
        <w:tc>
          <w:tcPr>
            <w:tcW w:w="467" w:type="pct"/>
            <w:shd w:val="clear" w:color="auto" w:fill="auto"/>
          </w:tcPr>
          <w:p w:rsidR="00FF5814" w:rsidRPr="006E709F" w:rsidRDefault="00FF5814" w:rsidP="00A801D0">
            <w:pPr>
              <w:pStyle w:val="Tabletext"/>
            </w:pPr>
            <w:r w:rsidRPr="006E709F">
              <w:t>5</w:t>
            </w:r>
          </w:p>
        </w:tc>
        <w:tc>
          <w:tcPr>
            <w:tcW w:w="4533" w:type="pct"/>
            <w:shd w:val="clear" w:color="auto" w:fill="auto"/>
          </w:tcPr>
          <w:p w:rsidR="00FF5814" w:rsidRPr="006E709F" w:rsidRDefault="00FF5814" w:rsidP="00A801D0">
            <w:pPr>
              <w:pStyle w:val="Tabletext"/>
            </w:pPr>
            <w:r w:rsidRPr="006E709F">
              <w:t>Perpetual Nominees Limited</w:t>
            </w:r>
          </w:p>
        </w:tc>
      </w:tr>
      <w:tr w:rsidR="00FF5814" w:rsidRPr="006E709F" w:rsidTr="00E118FA">
        <w:tc>
          <w:tcPr>
            <w:tcW w:w="467" w:type="pct"/>
            <w:shd w:val="clear" w:color="auto" w:fill="auto"/>
          </w:tcPr>
          <w:p w:rsidR="00FF5814" w:rsidRPr="006E709F" w:rsidRDefault="00FF5814" w:rsidP="00A801D0">
            <w:pPr>
              <w:pStyle w:val="Tabletext"/>
            </w:pPr>
            <w:r w:rsidRPr="006E709F">
              <w:t>6</w:t>
            </w:r>
          </w:p>
        </w:tc>
        <w:tc>
          <w:tcPr>
            <w:tcW w:w="4533" w:type="pct"/>
            <w:shd w:val="clear" w:color="auto" w:fill="auto"/>
          </w:tcPr>
          <w:p w:rsidR="00FF5814" w:rsidRPr="006E709F" w:rsidRDefault="00FF5814" w:rsidP="00A801D0">
            <w:pPr>
              <w:pStyle w:val="Tabletext"/>
            </w:pPr>
            <w:r w:rsidRPr="006E709F">
              <w:t>Sepon (Australia) Pty Limited</w:t>
            </w:r>
          </w:p>
        </w:tc>
      </w:tr>
      <w:tr w:rsidR="00FF5814" w:rsidRPr="006E709F" w:rsidTr="00E118FA">
        <w:tc>
          <w:tcPr>
            <w:tcW w:w="467" w:type="pct"/>
            <w:shd w:val="clear" w:color="auto" w:fill="auto"/>
          </w:tcPr>
          <w:p w:rsidR="00FF5814" w:rsidRPr="006E709F" w:rsidRDefault="00FF5814" w:rsidP="00A801D0">
            <w:pPr>
              <w:pStyle w:val="Tabletext"/>
            </w:pPr>
            <w:r w:rsidRPr="006E709F">
              <w:t>7</w:t>
            </w:r>
          </w:p>
        </w:tc>
        <w:tc>
          <w:tcPr>
            <w:tcW w:w="4533" w:type="pct"/>
            <w:shd w:val="clear" w:color="auto" w:fill="auto"/>
          </w:tcPr>
          <w:p w:rsidR="00FF5814" w:rsidRPr="006E709F" w:rsidRDefault="00FF5814" w:rsidP="00A801D0">
            <w:pPr>
              <w:pStyle w:val="Tabletext"/>
            </w:pPr>
            <w:r w:rsidRPr="006E709F">
              <w:t>State Street Australia Ltd</w:t>
            </w:r>
          </w:p>
        </w:tc>
      </w:tr>
      <w:tr w:rsidR="00FF5814" w:rsidRPr="006E709F" w:rsidTr="00E118FA">
        <w:tc>
          <w:tcPr>
            <w:tcW w:w="467" w:type="pct"/>
            <w:tcBorders>
              <w:bottom w:val="single" w:sz="4" w:space="0" w:color="auto"/>
            </w:tcBorders>
            <w:shd w:val="clear" w:color="auto" w:fill="auto"/>
          </w:tcPr>
          <w:p w:rsidR="00FF5814" w:rsidRPr="006E709F" w:rsidRDefault="00FF5814" w:rsidP="00A801D0">
            <w:pPr>
              <w:pStyle w:val="Tabletext"/>
            </w:pPr>
            <w:r w:rsidRPr="006E709F">
              <w:t>8</w:t>
            </w:r>
          </w:p>
        </w:tc>
        <w:tc>
          <w:tcPr>
            <w:tcW w:w="4533" w:type="pct"/>
            <w:tcBorders>
              <w:bottom w:val="single" w:sz="4" w:space="0" w:color="auto"/>
            </w:tcBorders>
            <w:shd w:val="clear" w:color="auto" w:fill="auto"/>
          </w:tcPr>
          <w:p w:rsidR="00FF5814" w:rsidRPr="006E709F" w:rsidRDefault="00FF5814" w:rsidP="00A801D0">
            <w:pPr>
              <w:pStyle w:val="Tabletext"/>
            </w:pPr>
            <w:r w:rsidRPr="006E709F">
              <w:t>The Trust Company (Nominees) Limited</w:t>
            </w:r>
          </w:p>
        </w:tc>
      </w:tr>
      <w:tr w:rsidR="00FF5814" w:rsidRPr="006E709F" w:rsidTr="00E118FA">
        <w:tc>
          <w:tcPr>
            <w:tcW w:w="467" w:type="pct"/>
            <w:tcBorders>
              <w:bottom w:val="single" w:sz="12" w:space="0" w:color="auto"/>
            </w:tcBorders>
            <w:shd w:val="clear" w:color="auto" w:fill="auto"/>
          </w:tcPr>
          <w:p w:rsidR="00FF5814" w:rsidRPr="006E709F" w:rsidRDefault="00FF5814" w:rsidP="00A801D0">
            <w:pPr>
              <w:pStyle w:val="Tabletext"/>
            </w:pPr>
            <w:r w:rsidRPr="006E709F">
              <w:t>9</w:t>
            </w:r>
          </w:p>
        </w:tc>
        <w:tc>
          <w:tcPr>
            <w:tcW w:w="4533" w:type="pct"/>
            <w:tcBorders>
              <w:bottom w:val="single" w:sz="12" w:space="0" w:color="auto"/>
            </w:tcBorders>
            <w:shd w:val="clear" w:color="auto" w:fill="auto"/>
          </w:tcPr>
          <w:p w:rsidR="00FF5814" w:rsidRPr="006E709F" w:rsidRDefault="00FF5814" w:rsidP="00A801D0">
            <w:pPr>
              <w:pStyle w:val="Tabletext"/>
            </w:pPr>
            <w:r w:rsidRPr="006E709F">
              <w:t>The Trust Company (PTAL) Limited</w:t>
            </w:r>
          </w:p>
        </w:tc>
      </w:tr>
    </w:tbl>
    <w:p w:rsidR="00C648C9" w:rsidRPr="006E709F" w:rsidRDefault="00C648C9" w:rsidP="00583C00">
      <w:pPr>
        <w:sectPr w:rsidR="00C648C9" w:rsidRPr="006E709F" w:rsidSect="0054047A">
          <w:headerReference w:type="even" r:id="rId45"/>
          <w:headerReference w:type="default" r:id="rId46"/>
          <w:footerReference w:type="even" r:id="rId47"/>
          <w:footerReference w:type="default" r:id="rId48"/>
          <w:headerReference w:type="first" r:id="rId49"/>
          <w:footerReference w:type="first" r:id="rId50"/>
          <w:pgSz w:w="11907" w:h="16839" w:code="9"/>
          <w:pgMar w:top="2325" w:right="1797" w:bottom="1440" w:left="1797" w:header="720" w:footer="709" w:gutter="0"/>
          <w:cols w:space="720"/>
          <w:docGrid w:linePitch="299"/>
        </w:sectPr>
      </w:pPr>
    </w:p>
    <w:p w:rsidR="002A22A4" w:rsidRPr="006E709F" w:rsidRDefault="00A801D0" w:rsidP="00A801D0">
      <w:pPr>
        <w:pStyle w:val="ActHead1"/>
        <w:pageBreakBefore/>
      </w:pPr>
      <w:bookmarkStart w:id="57" w:name="_Toc170547876"/>
      <w:r w:rsidRPr="000C4237">
        <w:rPr>
          <w:rStyle w:val="CharChapNo"/>
        </w:rPr>
        <w:lastRenderedPageBreak/>
        <w:t>Schedule</w:t>
      </w:r>
      <w:r w:rsidR="00DA13DE" w:rsidRPr="000C4237">
        <w:rPr>
          <w:rStyle w:val="CharChapNo"/>
        </w:rPr>
        <w:t> </w:t>
      </w:r>
      <w:r w:rsidR="002A22A4" w:rsidRPr="000C4237">
        <w:rPr>
          <w:rStyle w:val="CharChapNo"/>
        </w:rPr>
        <w:t>10</w:t>
      </w:r>
      <w:r w:rsidRPr="006E709F">
        <w:t>—</w:t>
      </w:r>
      <w:r w:rsidR="002A22A4" w:rsidRPr="000C4237">
        <w:rPr>
          <w:rStyle w:val="CharChapText"/>
        </w:rPr>
        <w:t>Disclosure of fees and other costs</w:t>
      </w:r>
      <w:bookmarkEnd w:id="57"/>
    </w:p>
    <w:p w:rsidR="002A22A4" w:rsidRPr="006E709F" w:rsidRDefault="002A22A4" w:rsidP="00A801D0">
      <w:pPr>
        <w:pStyle w:val="notemargin"/>
      </w:pPr>
      <w:r w:rsidRPr="006E709F">
        <w:t>(regulations</w:t>
      </w:r>
      <w:r w:rsidR="00DA13DE" w:rsidRPr="006E709F">
        <w:t> </w:t>
      </w:r>
      <w:r w:rsidRPr="006E709F">
        <w:t>7.9.16K, 7.9.16M and 7.9.16N)</w:t>
      </w:r>
    </w:p>
    <w:p w:rsidR="002A22A4" w:rsidRPr="006E709F" w:rsidRDefault="00A801D0" w:rsidP="00A801D0">
      <w:pPr>
        <w:pStyle w:val="ActHead2"/>
      </w:pPr>
      <w:bookmarkStart w:id="58" w:name="f_Check_Lines_above"/>
      <w:bookmarkStart w:id="59" w:name="_Toc170547877"/>
      <w:bookmarkEnd w:id="58"/>
      <w:r w:rsidRPr="000C4237">
        <w:rPr>
          <w:rStyle w:val="CharPartNo"/>
        </w:rPr>
        <w:t>Part</w:t>
      </w:r>
      <w:r w:rsidR="00DA13DE" w:rsidRPr="000C4237">
        <w:rPr>
          <w:rStyle w:val="CharPartNo"/>
        </w:rPr>
        <w:t> </w:t>
      </w:r>
      <w:r w:rsidR="002A22A4" w:rsidRPr="000C4237">
        <w:rPr>
          <w:rStyle w:val="CharPartNo"/>
        </w:rPr>
        <w:t>1</w:t>
      </w:r>
      <w:r w:rsidRPr="006E709F">
        <w:t>—</w:t>
      </w:r>
      <w:r w:rsidR="002A22A4" w:rsidRPr="000C4237">
        <w:rPr>
          <w:rStyle w:val="CharPartText"/>
        </w:rPr>
        <w:t>Interpretation</w:t>
      </w:r>
      <w:bookmarkEnd w:id="59"/>
    </w:p>
    <w:p w:rsidR="002A22A4" w:rsidRPr="006E709F" w:rsidRDefault="002A22A4" w:rsidP="00D5406C">
      <w:pPr>
        <w:pStyle w:val="ActHead5"/>
      </w:pPr>
      <w:bookmarkStart w:id="60" w:name="_Toc170547878"/>
      <w:r w:rsidRPr="000C4237">
        <w:rPr>
          <w:rStyle w:val="CharSectno"/>
        </w:rPr>
        <w:t>101</w:t>
      </w:r>
      <w:r w:rsidR="00A801D0" w:rsidRPr="006E709F">
        <w:t xml:space="preserve">  </w:t>
      </w:r>
      <w:r w:rsidRPr="006E709F">
        <w:t>Definitions</w:t>
      </w:r>
      <w:bookmarkEnd w:id="60"/>
    </w:p>
    <w:p w:rsidR="002A22A4" w:rsidRPr="006E709F" w:rsidRDefault="002A22A4" w:rsidP="00A801D0">
      <w:pPr>
        <w:pStyle w:val="subsection"/>
      </w:pPr>
      <w:r w:rsidRPr="006E709F">
        <w:tab/>
      </w:r>
      <w:r w:rsidRPr="006E709F">
        <w:tab/>
        <w:t>In this Schedule:</w:t>
      </w:r>
    </w:p>
    <w:p w:rsidR="00677261" w:rsidRPr="006E709F" w:rsidRDefault="00677261" w:rsidP="00677261">
      <w:pPr>
        <w:pStyle w:val="Definition"/>
      </w:pPr>
      <w:r w:rsidRPr="006E709F">
        <w:rPr>
          <w:b/>
          <w:i/>
        </w:rPr>
        <w:t>activity fee</w:t>
      </w:r>
      <w:r w:rsidRPr="006E709F">
        <w:t>, for a superannuation product, has the meaning given by subsection</w:t>
      </w:r>
      <w:r w:rsidR="00DA13DE" w:rsidRPr="006E709F">
        <w:t> </w:t>
      </w:r>
      <w:r w:rsidRPr="006E709F">
        <w:t>29V(7) of the SIS Act.</w:t>
      </w:r>
    </w:p>
    <w:p w:rsidR="00677261" w:rsidRPr="006E709F" w:rsidRDefault="00677261" w:rsidP="00677261">
      <w:pPr>
        <w:pStyle w:val="Definition"/>
      </w:pPr>
      <w:r w:rsidRPr="006E709F">
        <w:rPr>
          <w:b/>
          <w:i/>
        </w:rPr>
        <w:t>administration fee</w:t>
      </w:r>
      <w:r w:rsidRPr="006E709F">
        <w:t>, for a superannuation product, has the meaning given by subsection</w:t>
      </w:r>
      <w:r w:rsidR="00DA13DE" w:rsidRPr="006E709F">
        <w:t> </w:t>
      </w:r>
      <w:r w:rsidRPr="006E709F">
        <w:t>29V(2) of the SIS Act.</w:t>
      </w:r>
    </w:p>
    <w:p w:rsidR="00677261" w:rsidRPr="006E709F" w:rsidRDefault="00677261" w:rsidP="00677261">
      <w:pPr>
        <w:pStyle w:val="Definition"/>
      </w:pPr>
      <w:r w:rsidRPr="006E709F">
        <w:rPr>
          <w:b/>
          <w:i/>
        </w:rPr>
        <w:t>advice fee</w:t>
      </w:r>
      <w:r w:rsidRPr="006E709F">
        <w:t>:</w:t>
      </w:r>
    </w:p>
    <w:p w:rsidR="00677261" w:rsidRPr="006E709F" w:rsidRDefault="00677261" w:rsidP="00677261">
      <w:pPr>
        <w:pStyle w:val="paragraph"/>
      </w:pPr>
      <w:r w:rsidRPr="006E709F">
        <w:tab/>
        <w:t>(a)</w:t>
      </w:r>
      <w:r w:rsidRPr="006E709F">
        <w:tab/>
        <w:t>for a superannuation product—has the meaning given by subsection</w:t>
      </w:r>
      <w:r w:rsidR="00DA13DE" w:rsidRPr="006E709F">
        <w:t> </w:t>
      </w:r>
      <w:r w:rsidRPr="006E709F">
        <w:t>29V(8) of the SIS Act; and</w:t>
      </w:r>
    </w:p>
    <w:p w:rsidR="00677261" w:rsidRPr="006E709F" w:rsidRDefault="00677261" w:rsidP="00677261">
      <w:pPr>
        <w:pStyle w:val="paragraph"/>
      </w:pPr>
      <w:r w:rsidRPr="006E709F">
        <w:tab/>
        <w:t>(b)</w:t>
      </w:r>
      <w:r w:rsidRPr="006E709F">
        <w:tab/>
        <w:t xml:space="preserve">for a </w:t>
      </w:r>
      <w:r w:rsidR="00A7652F" w:rsidRPr="006E709F">
        <w:t>collective investment product</w:t>
      </w:r>
      <w:r w:rsidRPr="006E709F">
        <w:t>—means an amount that is:</w:t>
      </w:r>
    </w:p>
    <w:p w:rsidR="00677261" w:rsidRPr="006E709F" w:rsidRDefault="00677261" w:rsidP="00677261">
      <w:pPr>
        <w:pStyle w:val="paragraphsub"/>
      </w:pPr>
      <w:r w:rsidRPr="006E709F">
        <w:tab/>
        <w:t>(i)</w:t>
      </w:r>
      <w:r w:rsidRPr="006E709F">
        <w:tab/>
        <w:t>paid or payable to a financial adviser for financial product advice to a retail client or product holder about an investment; and</w:t>
      </w:r>
    </w:p>
    <w:p w:rsidR="00677261" w:rsidRPr="006E709F" w:rsidRDefault="00677261" w:rsidP="00677261">
      <w:pPr>
        <w:pStyle w:val="paragraphsub"/>
      </w:pPr>
      <w:r w:rsidRPr="006E709F">
        <w:tab/>
        <w:t>(ii)</w:t>
      </w:r>
      <w:r w:rsidRPr="006E709F">
        <w:tab/>
        <w:t>not included in a contribution fee, withdrawal fee, exit fee, establishment fee or management cost.</w:t>
      </w:r>
    </w:p>
    <w:p w:rsidR="002A22A4" w:rsidRPr="006E709F" w:rsidRDefault="002A22A4" w:rsidP="00A801D0">
      <w:pPr>
        <w:pStyle w:val="Definition"/>
      </w:pPr>
      <w:r w:rsidRPr="006E709F">
        <w:rPr>
          <w:b/>
          <w:i/>
        </w:rPr>
        <w:t>balanced investment option</w:t>
      </w:r>
      <w:r w:rsidRPr="006E709F">
        <w:t xml:space="preserve"> means an investment option in which the ratio of investment in growth assets, such as shares or property, to investment in defensive assets, such as cash or bonds, is as close as practicable to 70:30.</w:t>
      </w:r>
    </w:p>
    <w:p w:rsidR="002A22A4" w:rsidRPr="006E709F" w:rsidRDefault="002A22A4" w:rsidP="00A801D0">
      <w:pPr>
        <w:pStyle w:val="Definition"/>
      </w:pPr>
      <w:r w:rsidRPr="006E709F">
        <w:rPr>
          <w:b/>
          <w:i/>
        </w:rPr>
        <w:t>brokerage</w:t>
      </w:r>
      <w:r w:rsidRPr="006E709F">
        <w:t xml:space="preserve"> means an amount paid or payable to a broker for undertaking a transaction for the acquisition or disposal of a financial product.</w:t>
      </w:r>
    </w:p>
    <w:p w:rsidR="00677261" w:rsidRPr="006E709F" w:rsidRDefault="00677261" w:rsidP="00677261">
      <w:pPr>
        <w:pStyle w:val="Definition"/>
      </w:pPr>
      <w:r w:rsidRPr="006E709F">
        <w:rPr>
          <w:b/>
          <w:i/>
        </w:rPr>
        <w:t>buy</w:t>
      </w:r>
      <w:r w:rsidR="000C4237">
        <w:rPr>
          <w:b/>
          <w:i/>
        </w:rPr>
        <w:noBreakHyphen/>
      </w:r>
      <w:r w:rsidRPr="006E709F">
        <w:rPr>
          <w:b/>
          <w:i/>
        </w:rPr>
        <w:t>sell spread</w:t>
      </w:r>
      <w:r w:rsidRPr="006E709F">
        <w:t>:</w:t>
      </w:r>
    </w:p>
    <w:p w:rsidR="00677261" w:rsidRPr="006E709F" w:rsidRDefault="00677261" w:rsidP="00677261">
      <w:pPr>
        <w:pStyle w:val="paragraph"/>
      </w:pPr>
      <w:r w:rsidRPr="006E709F">
        <w:tab/>
        <w:t>(a)</w:t>
      </w:r>
      <w:r w:rsidRPr="006E709F">
        <w:tab/>
        <w:t>for a superannuation product—has the meaning given by subsection</w:t>
      </w:r>
      <w:r w:rsidR="00DA13DE" w:rsidRPr="006E709F">
        <w:t> </w:t>
      </w:r>
      <w:r w:rsidRPr="006E709F">
        <w:t>29V(4) of the SIS Act; or</w:t>
      </w:r>
    </w:p>
    <w:p w:rsidR="00677261" w:rsidRPr="006E709F" w:rsidRDefault="00677261" w:rsidP="00677261">
      <w:pPr>
        <w:pStyle w:val="paragraph"/>
      </w:pPr>
      <w:r w:rsidRPr="006E709F">
        <w:tab/>
        <w:t>(b)</w:t>
      </w:r>
      <w:r w:rsidRPr="006E709F">
        <w:tab/>
        <w:t xml:space="preserve">for a </w:t>
      </w:r>
      <w:r w:rsidR="00A7652F" w:rsidRPr="006E709F">
        <w:t>collective investment product</w:t>
      </w:r>
      <w:r w:rsidR="001C486F" w:rsidRPr="006E709F">
        <w:t xml:space="preserve"> (other than a security in a retail CCIV)</w:t>
      </w:r>
      <w:r w:rsidRPr="006E709F">
        <w:t>—means an amount, deducted from the value of a financial product of a product holder, that represents an apportionment, among product holders, of the actual or estimated transaction costs incurred by the managed investment scheme</w:t>
      </w:r>
      <w:r w:rsidR="001C486F" w:rsidRPr="006E709F">
        <w:t>; or</w:t>
      </w:r>
    </w:p>
    <w:p w:rsidR="001C486F" w:rsidRPr="006E709F" w:rsidRDefault="001C486F" w:rsidP="001C486F">
      <w:pPr>
        <w:pStyle w:val="paragraph"/>
      </w:pPr>
      <w:r w:rsidRPr="006E709F">
        <w:tab/>
        <w:t>(c)</w:t>
      </w:r>
      <w:r w:rsidRPr="006E709F">
        <w:tab/>
        <w:t>for a collective investment product that is a security in a retail CCIV that is referable to a sub</w:t>
      </w:r>
      <w:r w:rsidR="000C4237">
        <w:noBreakHyphen/>
      </w:r>
      <w:r w:rsidRPr="006E709F">
        <w:t>fund of the CCIV—means an amount, deducted from the value of the security of a product holder, that represents an apportionment, among product holders for the sub</w:t>
      </w:r>
      <w:r w:rsidR="000C4237">
        <w:noBreakHyphen/>
      </w:r>
      <w:r w:rsidRPr="006E709F">
        <w:t>fund, of the actual or estimated transaction costs incurred by the CCIV in respect of sub</w:t>
      </w:r>
      <w:r w:rsidR="000C4237">
        <w:noBreakHyphen/>
      </w:r>
      <w:r w:rsidRPr="006E709F">
        <w:t>fund.</w:t>
      </w:r>
    </w:p>
    <w:p w:rsidR="00A7652F" w:rsidRPr="006E709F" w:rsidRDefault="00A7652F" w:rsidP="00A7652F">
      <w:pPr>
        <w:pStyle w:val="Definition"/>
        <w:rPr>
          <w:highlight w:val="red"/>
        </w:rPr>
      </w:pPr>
      <w:r w:rsidRPr="006E709F">
        <w:rPr>
          <w:b/>
          <w:i/>
        </w:rPr>
        <w:t>collective investment product</w:t>
      </w:r>
      <w:r w:rsidRPr="006E709F">
        <w:rPr>
          <w:i/>
        </w:rPr>
        <w:t xml:space="preserve"> </w:t>
      </w:r>
      <w:r w:rsidRPr="006E709F">
        <w:t>means a managed investment product</w:t>
      </w:r>
      <w:r w:rsidR="001C486F" w:rsidRPr="006E709F">
        <w:t>, a security in a retail CCIV</w:t>
      </w:r>
      <w:r w:rsidRPr="006E709F">
        <w:t xml:space="preserve"> or a foreign passport fund product.</w:t>
      </w:r>
    </w:p>
    <w:p w:rsidR="002A22A4" w:rsidRPr="006E709F" w:rsidRDefault="002A22A4" w:rsidP="00A801D0">
      <w:pPr>
        <w:pStyle w:val="Definition"/>
      </w:pPr>
      <w:r w:rsidRPr="006E709F">
        <w:rPr>
          <w:b/>
          <w:i/>
        </w:rPr>
        <w:lastRenderedPageBreak/>
        <w:t>contribution fee</w:t>
      </w:r>
      <w:r w:rsidRPr="006E709F">
        <w:t xml:space="preserve"> means an amount paid or payable against the initial, and any subsequent, contributions made into a product by or for a retail client for the product.</w:t>
      </w:r>
    </w:p>
    <w:p w:rsidR="002A22A4" w:rsidRPr="006E709F" w:rsidRDefault="00A801D0" w:rsidP="00A801D0">
      <w:pPr>
        <w:pStyle w:val="notetext"/>
      </w:pPr>
      <w:r w:rsidRPr="006E709F">
        <w:t>Note:</w:t>
      </w:r>
      <w:r w:rsidRPr="006E709F">
        <w:tab/>
      </w:r>
      <w:r w:rsidR="002A22A4" w:rsidRPr="006E709F">
        <w:t>A contribution may be made by an employer on behalf of the product holder or retail client.</w:t>
      </w:r>
    </w:p>
    <w:p w:rsidR="002A22A4" w:rsidRPr="006E709F" w:rsidRDefault="002A22A4" w:rsidP="00A801D0">
      <w:pPr>
        <w:pStyle w:val="Definition"/>
      </w:pPr>
      <w:r w:rsidRPr="006E709F">
        <w:rPr>
          <w:b/>
          <w:i/>
        </w:rPr>
        <w:t>distribution costs</w:t>
      </w:r>
      <w:r w:rsidRPr="006E709F">
        <w:t xml:space="preserve"> means the costs or amounts paid or payable for the marketing, offer or sale of a product.</w:t>
      </w:r>
    </w:p>
    <w:p w:rsidR="002A22A4" w:rsidRPr="006E709F" w:rsidRDefault="00A801D0" w:rsidP="00A801D0">
      <w:pPr>
        <w:pStyle w:val="notetext"/>
      </w:pPr>
      <w:r w:rsidRPr="006E709F">
        <w:t>Note:</w:t>
      </w:r>
      <w:r w:rsidRPr="006E709F">
        <w:tab/>
      </w:r>
      <w:r w:rsidR="002A22A4" w:rsidRPr="006E709F">
        <w:t xml:space="preserve">This includes any related adviser remuneration component other than an </w:t>
      </w:r>
      <w:r w:rsidR="00677261" w:rsidRPr="006E709F">
        <w:t>advice fee</w:t>
      </w:r>
      <w:r w:rsidR="002A22A4" w:rsidRPr="006E709F">
        <w:t>.</w:t>
      </w:r>
    </w:p>
    <w:p w:rsidR="002A22A4" w:rsidRPr="006E709F" w:rsidRDefault="002A22A4" w:rsidP="00A801D0">
      <w:pPr>
        <w:pStyle w:val="Definition"/>
      </w:pPr>
      <w:r w:rsidRPr="006E709F">
        <w:rPr>
          <w:b/>
          <w:i/>
        </w:rPr>
        <w:t>establishment fee</w:t>
      </w:r>
      <w:r w:rsidRPr="006E709F">
        <w:t xml:space="preserve"> means an amount paid or payable for the establishment of a client’s interest in a product.</w:t>
      </w:r>
    </w:p>
    <w:p w:rsidR="002A22A4" w:rsidRPr="006E709F" w:rsidRDefault="00A801D0" w:rsidP="00A801D0">
      <w:pPr>
        <w:pStyle w:val="notetext"/>
      </w:pPr>
      <w:r w:rsidRPr="006E709F">
        <w:t>Note:</w:t>
      </w:r>
      <w:r w:rsidRPr="006E709F">
        <w:tab/>
      </w:r>
      <w:r w:rsidR="002A22A4" w:rsidRPr="006E709F">
        <w:t>This does not include contribution fees paid or payable against the initial contribution into the product.</w:t>
      </w:r>
    </w:p>
    <w:p w:rsidR="00677261" w:rsidRPr="006E709F" w:rsidRDefault="00677261" w:rsidP="00677261">
      <w:pPr>
        <w:pStyle w:val="Definition"/>
      </w:pPr>
      <w:r w:rsidRPr="006E709F">
        <w:rPr>
          <w:b/>
          <w:i/>
        </w:rPr>
        <w:t>exit fee</w:t>
      </w:r>
      <w:r w:rsidRPr="006E709F">
        <w:t>:</w:t>
      </w:r>
    </w:p>
    <w:p w:rsidR="00677261" w:rsidRPr="006E709F" w:rsidRDefault="00677261" w:rsidP="00677261">
      <w:pPr>
        <w:pStyle w:val="paragraph"/>
      </w:pPr>
      <w:r w:rsidRPr="006E709F">
        <w:tab/>
        <w:t>(a)</w:t>
      </w:r>
      <w:r w:rsidRPr="006E709F">
        <w:tab/>
        <w:t xml:space="preserve">for a superannuation product—has the meaning given by </w:t>
      </w:r>
      <w:r w:rsidR="00636892" w:rsidRPr="006E709F">
        <w:t>subsection</w:t>
      </w:r>
      <w:r w:rsidR="00DA13DE" w:rsidRPr="006E709F">
        <w:t> </w:t>
      </w:r>
      <w:r w:rsidR="00636892" w:rsidRPr="006E709F">
        <w:t>99BA(2)</w:t>
      </w:r>
      <w:r w:rsidRPr="006E709F">
        <w:t xml:space="preserve"> of the SIS Act; and</w:t>
      </w:r>
    </w:p>
    <w:p w:rsidR="00677261" w:rsidRPr="006E709F" w:rsidRDefault="00677261" w:rsidP="00677261">
      <w:pPr>
        <w:pStyle w:val="paragraph"/>
      </w:pPr>
      <w:r w:rsidRPr="006E709F">
        <w:tab/>
        <w:t>(b)</w:t>
      </w:r>
      <w:r w:rsidRPr="006E709F">
        <w:tab/>
        <w:t xml:space="preserve">for a </w:t>
      </w:r>
      <w:r w:rsidR="00A7652F" w:rsidRPr="006E709F">
        <w:t>collective investment product</w:t>
      </w:r>
      <w:r w:rsidR="001C486F" w:rsidRPr="006E709F">
        <w:t xml:space="preserve"> (other than a security in a retail CCIV)</w:t>
      </w:r>
      <w:r w:rsidRPr="006E709F">
        <w:t>—means an amount paid or payable on the disposal of all interests held in the product</w:t>
      </w:r>
      <w:r w:rsidR="001C486F" w:rsidRPr="006E709F">
        <w:t>; and</w:t>
      </w:r>
    </w:p>
    <w:p w:rsidR="001C486F" w:rsidRPr="006E709F" w:rsidRDefault="001C486F" w:rsidP="001C486F">
      <w:pPr>
        <w:pStyle w:val="paragraph"/>
      </w:pPr>
      <w:r w:rsidRPr="006E709F">
        <w:tab/>
        <w:t>(c)</w:t>
      </w:r>
      <w:r w:rsidRPr="006E709F">
        <w:tab/>
        <w:t>for a collective investment product that is a security in a retail CCIV—means an amount paid or payable on the disposal of the security.</w:t>
      </w:r>
    </w:p>
    <w:p w:rsidR="002A22A4" w:rsidRPr="006E709F" w:rsidRDefault="002A22A4" w:rsidP="00A801D0">
      <w:pPr>
        <w:pStyle w:val="Definition"/>
      </w:pPr>
      <w:r w:rsidRPr="006E709F">
        <w:rPr>
          <w:b/>
          <w:i/>
        </w:rPr>
        <w:t>incidental fees</w:t>
      </w:r>
      <w:r w:rsidRPr="006E709F">
        <w:t xml:space="preserve"> means costs or amounts, other than costs or fees defined in this clause, that are:</w:t>
      </w:r>
    </w:p>
    <w:p w:rsidR="002A22A4" w:rsidRPr="006E709F" w:rsidRDefault="002A22A4" w:rsidP="00A801D0">
      <w:pPr>
        <w:pStyle w:val="paragraph"/>
      </w:pPr>
      <w:r w:rsidRPr="006E709F">
        <w:tab/>
        <w:t>(a)</w:t>
      </w:r>
      <w:r w:rsidRPr="006E709F">
        <w:tab/>
        <w:t>paid or payable in relation to the product; and</w:t>
      </w:r>
    </w:p>
    <w:p w:rsidR="002A22A4" w:rsidRPr="006E709F" w:rsidRDefault="002A22A4" w:rsidP="00A801D0">
      <w:pPr>
        <w:pStyle w:val="paragraph"/>
      </w:pPr>
      <w:r w:rsidRPr="006E709F">
        <w:tab/>
        <w:t>(b)</w:t>
      </w:r>
      <w:r w:rsidRPr="006E709F">
        <w:tab/>
        <w:t>not material to a retail client’s decision to acquire, hold or dispose of his or her interest in the product.</w:t>
      </w:r>
    </w:p>
    <w:p w:rsidR="002A22A4" w:rsidRPr="006E709F" w:rsidRDefault="002A22A4" w:rsidP="00BF7680">
      <w:pPr>
        <w:pStyle w:val="notetext"/>
      </w:pPr>
      <w:r w:rsidRPr="006E709F">
        <w:t>Example</w:t>
      </w:r>
      <w:r w:rsidR="00B51393" w:rsidRPr="006E709F">
        <w:t>:</w:t>
      </w:r>
      <w:r w:rsidR="00B51393" w:rsidRPr="006E709F">
        <w:tab/>
      </w:r>
      <w:r w:rsidRPr="006E709F">
        <w:t>Cheque dishonour fees.</w:t>
      </w:r>
    </w:p>
    <w:p w:rsidR="00677261" w:rsidRPr="006E709F" w:rsidRDefault="00677261" w:rsidP="00677261">
      <w:pPr>
        <w:pStyle w:val="Definition"/>
      </w:pPr>
      <w:r w:rsidRPr="006E709F">
        <w:rPr>
          <w:b/>
          <w:i/>
        </w:rPr>
        <w:t>indirect cost</w:t>
      </w:r>
      <w:r w:rsidRPr="006E709F">
        <w:t xml:space="preserve"> of a MySuper product or an investment option offered by a superannuation entity means any amount that:</w:t>
      </w:r>
    </w:p>
    <w:p w:rsidR="00677261" w:rsidRPr="006E709F" w:rsidRDefault="00677261" w:rsidP="00677261">
      <w:pPr>
        <w:pStyle w:val="paragraph"/>
      </w:pPr>
      <w:r w:rsidRPr="006E709F">
        <w:tab/>
        <w:t>(a)</w:t>
      </w:r>
      <w:r w:rsidRPr="006E709F">
        <w:tab/>
        <w:t>a trustee of the entity knows, or reasonably ought to know, will directly or indirectly reduce the return on the investment of a member of the entity in the MySuper product or investment option; and</w:t>
      </w:r>
    </w:p>
    <w:p w:rsidR="00677261" w:rsidRPr="006E709F" w:rsidRDefault="00677261" w:rsidP="00677261">
      <w:pPr>
        <w:pStyle w:val="paragraph"/>
      </w:pPr>
      <w:r w:rsidRPr="006E709F">
        <w:tab/>
        <w:t>(b)</w:t>
      </w:r>
      <w:r w:rsidRPr="006E709F">
        <w:tab/>
        <w:t>is not charged to the member as a fee.</w:t>
      </w:r>
    </w:p>
    <w:p w:rsidR="00677261" w:rsidRPr="006E709F" w:rsidRDefault="00677261" w:rsidP="00677261">
      <w:pPr>
        <w:pStyle w:val="Definition"/>
      </w:pPr>
      <w:r w:rsidRPr="006E709F">
        <w:rPr>
          <w:b/>
          <w:i/>
        </w:rPr>
        <w:t>insurance fee</w:t>
      </w:r>
      <w:r w:rsidRPr="006E709F">
        <w:t>, for a superannuation product, has the meaning given by subsection</w:t>
      </w:r>
      <w:r w:rsidR="00DA13DE" w:rsidRPr="006E709F">
        <w:t> </w:t>
      </w:r>
      <w:r w:rsidRPr="006E709F">
        <w:t>29V(9) of the SIS Act.</w:t>
      </w:r>
    </w:p>
    <w:p w:rsidR="00677261" w:rsidRPr="006E709F" w:rsidRDefault="00677261" w:rsidP="00677261">
      <w:pPr>
        <w:pStyle w:val="Definition"/>
      </w:pPr>
      <w:r w:rsidRPr="006E709F">
        <w:rPr>
          <w:b/>
          <w:i/>
        </w:rPr>
        <w:t>investment fee</w:t>
      </w:r>
      <w:r w:rsidRPr="006E709F">
        <w:t>, for a superannuation product, has the meaning given by subsection</w:t>
      </w:r>
      <w:r w:rsidR="00DA13DE" w:rsidRPr="006E709F">
        <w:t> </w:t>
      </w:r>
      <w:r w:rsidRPr="006E709F">
        <w:t>29V(3) of the SIS Act.</w:t>
      </w:r>
    </w:p>
    <w:p w:rsidR="00677261" w:rsidRPr="006E709F" w:rsidRDefault="00677261" w:rsidP="00677261">
      <w:pPr>
        <w:pStyle w:val="Definition"/>
      </w:pPr>
      <w:r w:rsidRPr="006E709F">
        <w:rPr>
          <w:b/>
          <w:i/>
        </w:rPr>
        <w:t>lifecycle MySuper product</w:t>
      </w:r>
      <w:r w:rsidRPr="006E709F">
        <w:t xml:space="preserve"> has the meaning given by </w:t>
      </w:r>
      <w:r w:rsidR="005378CE" w:rsidRPr="006E709F">
        <w:t>regulation 7</w:t>
      </w:r>
      <w:r w:rsidRPr="006E709F">
        <w:t>.9.07N.</w:t>
      </w:r>
    </w:p>
    <w:p w:rsidR="00677261" w:rsidRPr="006E709F" w:rsidRDefault="00677261" w:rsidP="00677261">
      <w:pPr>
        <w:pStyle w:val="Definition"/>
      </w:pPr>
      <w:r w:rsidRPr="006E709F">
        <w:rPr>
          <w:b/>
          <w:i/>
        </w:rPr>
        <w:t>lifecycle stage</w:t>
      </w:r>
      <w:r w:rsidRPr="006E709F">
        <w:t xml:space="preserve"> has the meaning given by </w:t>
      </w:r>
      <w:r w:rsidR="005378CE" w:rsidRPr="006E709F">
        <w:t>regulation 7</w:t>
      </w:r>
      <w:r w:rsidRPr="006E709F">
        <w:t>.9.07N.</w:t>
      </w:r>
    </w:p>
    <w:p w:rsidR="00677261" w:rsidRPr="006E709F" w:rsidRDefault="00677261" w:rsidP="00677261">
      <w:pPr>
        <w:pStyle w:val="Definition"/>
      </w:pPr>
      <w:r w:rsidRPr="006E709F">
        <w:rPr>
          <w:b/>
          <w:i/>
        </w:rPr>
        <w:t>performance</w:t>
      </w:r>
      <w:r w:rsidRPr="006E709F">
        <w:t xml:space="preserve">, of a </w:t>
      </w:r>
      <w:r w:rsidR="00A7652F" w:rsidRPr="006E709F">
        <w:t>collective investment product</w:t>
      </w:r>
      <w:r w:rsidRPr="006E709F">
        <w:t>, a superannuation product, a MySuper product or an investment option, includes:</w:t>
      </w:r>
    </w:p>
    <w:p w:rsidR="00677261" w:rsidRPr="006E709F" w:rsidRDefault="00677261" w:rsidP="00677261">
      <w:pPr>
        <w:pStyle w:val="paragraph"/>
      </w:pPr>
      <w:r w:rsidRPr="006E709F">
        <w:lastRenderedPageBreak/>
        <w:tab/>
        <w:t>(a)</w:t>
      </w:r>
      <w:r w:rsidRPr="006E709F">
        <w:tab/>
        <w:t xml:space="preserve">income in relation to the assets of, or attributed to, the </w:t>
      </w:r>
      <w:r w:rsidR="00A7652F" w:rsidRPr="006E709F">
        <w:t>collective investment product</w:t>
      </w:r>
      <w:r w:rsidRPr="006E709F">
        <w:t>, the superannuation product, the MySuper product or the investment option; and</w:t>
      </w:r>
    </w:p>
    <w:p w:rsidR="00677261" w:rsidRPr="006E709F" w:rsidRDefault="00677261" w:rsidP="00677261">
      <w:pPr>
        <w:pStyle w:val="paragraph"/>
      </w:pPr>
      <w:r w:rsidRPr="006E709F">
        <w:tab/>
        <w:t>(b)</w:t>
      </w:r>
      <w:r w:rsidRPr="006E709F">
        <w:tab/>
        <w:t xml:space="preserve">capital appreciation (realised or unrealised) to the value of the </w:t>
      </w:r>
      <w:r w:rsidR="00A7652F" w:rsidRPr="006E709F">
        <w:t>collective investment product</w:t>
      </w:r>
      <w:r w:rsidRPr="006E709F">
        <w:t>, the superannuation product, the MySuper product or the investment option.</w:t>
      </w:r>
    </w:p>
    <w:p w:rsidR="002A22A4" w:rsidRPr="006E709F" w:rsidRDefault="002A22A4" w:rsidP="00A801D0">
      <w:pPr>
        <w:pStyle w:val="Definition"/>
      </w:pPr>
      <w:r w:rsidRPr="006E709F">
        <w:rPr>
          <w:b/>
          <w:i/>
        </w:rPr>
        <w:t>performance fee</w:t>
      </w:r>
      <w:r w:rsidRPr="006E709F">
        <w:t xml:space="preserve"> means an amount paid or payable, calculated by reference to the performance of </w:t>
      </w:r>
      <w:r w:rsidR="00677261" w:rsidRPr="006E709F">
        <w:t xml:space="preserve">a </w:t>
      </w:r>
      <w:r w:rsidR="00A7652F" w:rsidRPr="006E709F">
        <w:t>collective investment product</w:t>
      </w:r>
      <w:r w:rsidR="00677261" w:rsidRPr="006E709F">
        <w:t>, a superannuation product, a MySuper product or an investment option</w:t>
      </w:r>
      <w:r w:rsidRPr="006E709F">
        <w:t>.</w:t>
      </w:r>
    </w:p>
    <w:p w:rsidR="002A22A4" w:rsidRPr="006E709F" w:rsidRDefault="002A22A4" w:rsidP="00A801D0">
      <w:pPr>
        <w:pStyle w:val="Definition"/>
      </w:pPr>
      <w:r w:rsidRPr="006E709F">
        <w:rPr>
          <w:b/>
          <w:i/>
        </w:rPr>
        <w:t>service fees</w:t>
      </w:r>
      <w:r w:rsidRPr="006E709F">
        <w:t xml:space="preserve"> means </w:t>
      </w:r>
      <w:r w:rsidR="00677261" w:rsidRPr="006E709F">
        <w:t>advice fees</w:t>
      </w:r>
      <w:r w:rsidRPr="006E709F">
        <w:t>, special request fees and switching fees.</w:t>
      </w:r>
    </w:p>
    <w:p w:rsidR="001C486F" w:rsidRPr="006E709F" w:rsidRDefault="001C486F" w:rsidP="001C486F">
      <w:pPr>
        <w:pStyle w:val="Definition"/>
      </w:pPr>
      <w:r w:rsidRPr="006E709F">
        <w:rPr>
          <w:b/>
          <w:i/>
        </w:rPr>
        <w:t>special request fees</w:t>
      </w:r>
      <w:r w:rsidRPr="006E709F">
        <w:t xml:space="preserve"> includes fees paid or deducted from a product holder’s collective investment product for a request made to:</w:t>
      </w:r>
    </w:p>
    <w:p w:rsidR="001C486F" w:rsidRPr="006E709F" w:rsidRDefault="001C486F" w:rsidP="001C486F">
      <w:pPr>
        <w:pStyle w:val="paragraph"/>
      </w:pPr>
      <w:r w:rsidRPr="006E709F">
        <w:tab/>
        <w:t>(a)</w:t>
      </w:r>
      <w:r w:rsidRPr="006E709F">
        <w:tab/>
        <w:t>for a product that is a managed investment product for a managed investment scheme—the managed investment scheme; or</w:t>
      </w:r>
    </w:p>
    <w:p w:rsidR="001C486F" w:rsidRPr="006E709F" w:rsidRDefault="001C486F" w:rsidP="001C486F">
      <w:pPr>
        <w:pStyle w:val="paragraph"/>
      </w:pPr>
      <w:r w:rsidRPr="006E709F">
        <w:tab/>
        <w:t>(b)</w:t>
      </w:r>
      <w:r w:rsidRPr="006E709F">
        <w:tab/>
        <w:t>for a product that is a security in a retail CCIV that is referable to a sub</w:t>
      </w:r>
      <w:r w:rsidR="000C4237">
        <w:noBreakHyphen/>
      </w:r>
      <w:r w:rsidRPr="006E709F">
        <w:t>fund of the CCIV—the CCIV in respect of the sub</w:t>
      </w:r>
      <w:r w:rsidR="000C4237">
        <w:noBreakHyphen/>
      </w:r>
      <w:r w:rsidRPr="006E709F">
        <w:t>fund.</w:t>
      </w:r>
    </w:p>
    <w:p w:rsidR="001C486F" w:rsidRPr="006E709F" w:rsidRDefault="001C486F" w:rsidP="001C486F">
      <w:pPr>
        <w:pStyle w:val="notetext"/>
      </w:pPr>
      <w:r w:rsidRPr="006E709F">
        <w:t>Example:</w:t>
      </w:r>
      <w:r w:rsidRPr="006E709F">
        <w:tab/>
        <w:t>This applies to a fee for a request for additional information from a managed investment scheme.</w:t>
      </w:r>
    </w:p>
    <w:p w:rsidR="00677261" w:rsidRPr="006E709F" w:rsidRDefault="00677261" w:rsidP="00677261">
      <w:pPr>
        <w:pStyle w:val="Definition"/>
      </w:pPr>
      <w:r w:rsidRPr="006E709F">
        <w:rPr>
          <w:b/>
          <w:i/>
        </w:rPr>
        <w:t>switching fee</w:t>
      </w:r>
      <w:r w:rsidRPr="006E709F">
        <w:t>:</w:t>
      </w:r>
    </w:p>
    <w:p w:rsidR="00677261" w:rsidRPr="006E709F" w:rsidRDefault="00677261" w:rsidP="00677261">
      <w:pPr>
        <w:pStyle w:val="paragraph"/>
      </w:pPr>
      <w:r w:rsidRPr="006E709F">
        <w:tab/>
        <w:t>(a)</w:t>
      </w:r>
      <w:r w:rsidRPr="006E709F">
        <w:tab/>
        <w:t>for a superannuation product—has the meaning given by subsection</w:t>
      </w:r>
      <w:r w:rsidR="00DA13DE" w:rsidRPr="006E709F">
        <w:t> </w:t>
      </w:r>
      <w:r w:rsidRPr="006E709F">
        <w:t>29V(5) of the SIS Act; or</w:t>
      </w:r>
    </w:p>
    <w:p w:rsidR="00677261" w:rsidRPr="006E709F" w:rsidRDefault="00677261" w:rsidP="00677261">
      <w:pPr>
        <w:pStyle w:val="paragraph"/>
      </w:pPr>
      <w:r w:rsidRPr="006E709F">
        <w:tab/>
        <w:t>(b)</w:t>
      </w:r>
      <w:r w:rsidRPr="006E709F">
        <w:tab/>
        <w:t xml:space="preserve">for a </w:t>
      </w:r>
      <w:r w:rsidR="00A7652F" w:rsidRPr="006E709F">
        <w:t>collective investment product</w:t>
      </w:r>
      <w:r w:rsidRPr="006E709F">
        <w:t xml:space="preserve">—means an amount paid or payable when a product holder transfers all or part of the product holder’s interest in the </w:t>
      </w:r>
      <w:r w:rsidR="00A7652F" w:rsidRPr="006E709F">
        <w:t>collective investment product</w:t>
      </w:r>
      <w:r w:rsidRPr="006E709F">
        <w:t xml:space="preserve"> from one investment option to another.</w:t>
      </w:r>
    </w:p>
    <w:p w:rsidR="002A22A4" w:rsidRPr="006E709F" w:rsidRDefault="002A22A4" w:rsidP="00A801D0">
      <w:pPr>
        <w:pStyle w:val="Definition"/>
      </w:pPr>
      <w:r w:rsidRPr="006E709F">
        <w:rPr>
          <w:b/>
          <w:i/>
        </w:rPr>
        <w:t>withdrawal fee</w:t>
      </w:r>
      <w:r w:rsidR="00636892" w:rsidRPr="006E709F">
        <w:t>, for a collective investment product,</w:t>
      </w:r>
      <w:r w:rsidRPr="006E709F">
        <w:t xml:space="preserve"> means an amount, other than </w:t>
      </w:r>
      <w:r w:rsidR="00677261" w:rsidRPr="006E709F">
        <w:t>an exit fee</w:t>
      </w:r>
      <w:r w:rsidRPr="006E709F">
        <w:t>, paid or payable in respect of:</w:t>
      </w:r>
    </w:p>
    <w:p w:rsidR="001C486F" w:rsidRPr="006E709F" w:rsidRDefault="001C486F" w:rsidP="001C486F">
      <w:pPr>
        <w:pStyle w:val="paragraph"/>
      </w:pPr>
      <w:r w:rsidRPr="006E709F">
        <w:tab/>
        <w:t>(a)</w:t>
      </w:r>
      <w:r w:rsidRPr="006E709F">
        <w:tab/>
        <w:t>for a product (other than a security in a retail CCIV)—a withdrawal or the disposal of an interest in the product; or</w:t>
      </w:r>
    </w:p>
    <w:p w:rsidR="001C486F" w:rsidRPr="006E709F" w:rsidRDefault="001C486F" w:rsidP="001C486F">
      <w:pPr>
        <w:pStyle w:val="paragraph"/>
      </w:pPr>
      <w:r w:rsidRPr="006E709F">
        <w:tab/>
        <w:t>(b)</w:t>
      </w:r>
      <w:r w:rsidRPr="006E709F">
        <w:tab/>
        <w:t>for a product that is a security in a retail CCIV—the disposal of the security.</w:t>
      </w:r>
    </w:p>
    <w:p w:rsidR="002A22A4" w:rsidRPr="006E709F" w:rsidRDefault="002A22A4" w:rsidP="00D5406C">
      <w:pPr>
        <w:pStyle w:val="ActHead5"/>
      </w:pPr>
      <w:bookmarkStart w:id="61" w:name="_Toc170547879"/>
      <w:r w:rsidRPr="000C4237">
        <w:rPr>
          <w:rStyle w:val="CharSectno"/>
        </w:rPr>
        <w:t>102</w:t>
      </w:r>
      <w:r w:rsidR="00A801D0" w:rsidRPr="006E709F">
        <w:t xml:space="preserve">  </w:t>
      </w:r>
      <w:r w:rsidR="00CC3948" w:rsidRPr="006E709F">
        <w:t xml:space="preserve">Meaning of </w:t>
      </w:r>
      <w:r w:rsidR="00CC3948" w:rsidRPr="006E709F">
        <w:rPr>
          <w:i/>
        </w:rPr>
        <w:t>management costs</w:t>
      </w:r>
      <w:bookmarkEnd w:id="61"/>
    </w:p>
    <w:p w:rsidR="002A22A4" w:rsidRPr="006E709F" w:rsidRDefault="002A22A4" w:rsidP="00A801D0">
      <w:pPr>
        <w:pStyle w:val="subsection"/>
      </w:pPr>
      <w:r w:rsidRPr="006E709F">
        <w:tab/>
        <w:t>(1)</w:t>
      </w:r>
      <w:r w:rsidRPr="006E709F">
        <w:tab/>
      </w:r>
      <w:r w:rsidR="00677261" w:rsidRPr="006E709F">
        <w:rPr>
          <w:b/>
          <w:i/>
        </w:rPr>
        <w:t>Management costs</w:t>
      </w:r>
      <w:r w:rsidR="00677261" w:rsidRPr="006E709F">
        <w:t xml:space="preserve">, for a </w:t>
      </w:r>
      <w:r w:rsidR="0098212A" w:rsidRPr="006E709F">
        <w:t>collective investment product</w:t>
      </w:r>
      <w:r w:rsidR="00677261" w:rsidRPr="006E709F">
        <w:t>, means any of the following:</w:t>
      </w:r>
    </w:p>
    <w:p w:rsidR="00677261" w:rsidRPr="006E709F" w:rsidRDefault="00677261" w:rsidP="00677261">
      <w:pPr>
        <w:pStyle w:val="paragraph"/>
      </w:pPr>
      <w:r w:rsidRPr="006E709F">
        <w:tab/>
        <w:t>(a)</w:t>
      </w:r>
      <w:r w:rsidRPr="006E709F">
        <w:tab/>
      </w:r>
      <w:r w:rsidR="001C486F" w:rsidRPr="006E709F">
        <w:t>for a product that is a managed investment product for a managed investment scheme—</w:t>
      </w:r>
      <w:r w:rsidRPr="006E709F">
        <w:t>an amount payable for administering the managed investment scheme;</w:t>
      </w:r>
    </w:p>
    <w:p w:rsidR="001C486F" w:rsidRPr="006E709F" w:rsidRDefault="001C486F" w:rsidP="001C486F">
      <w:pPr>
        <w:pStyle w:val="paragraph"/>
      </w:pPr>
      <w:r w:rsidRPr="006E709F">
        <w:tab/>
        <w:t>(aa)</w:t>
      </w:r>
      <w:r w:rsidRPr="006E709F">
        <w:tab/>
        <w:t>for a product that is a security in a retail CCIV that is referable to a sub</w:t>
      </w:r>
      <w:r w:rsidR="000C4237">
        <w:noBreakHyphen/>
      </w:r>
      <w:r w:rsidRPr="006E709F">
        <w:t>fund of the CCIV—the amount payable for administering the sub</w:t>
      </w:r>
      <w:r w:rsidR="000C4237">
        <w:noBreakHyphen/>
      </w:r>
      <w:r w:rsidRPr="006E709F">
        <w:t>fund;</w:t>
      </w:r>
    </w:p>
    <w:p w:rsidR="002A22A4" w:rsidRPr="006E709F" w:rsidRDefault="002A22A4" w:rsidP="00A801D0">
      <w:pPr>
        <w:pStyle w:val="paragraph"/>
      </w:pPr>
      <w:r w:rsidRPr="006E709F">
        <w:tab/>
        <w:t>(b)</w:t>
      </w:r>
      <w:r w:rsidRPr="006E709F">
        <w:tab/>
        <w:t>for a custodial arrangement</w:t>
      </w:r>
      <w:r w:rsidR="00A801D0" w:rsidRPr="006E709F">
        <w:t>—</w:t>
      </w:r>
      <w:r w:rsidRPr="006E709F">
        <w:t>the cost involved, or amount paid or payable, for gaining access to, or participating in, the arrangement;</w:t>
      </w:r>
    </w:p>
    <w:p w:rsidR="002A22A4" w:rsidRPr="006E709F" w:rsidRDefault="002A22A4" w:rsidP="00A801D0">
      <w:pPr>
        <w:pStyle w:val="paragraph"/>
      </w:pPr>
      <w:r w:rsidRPr="006E709F">
        <w:tab/>
        <w:t>(c)</w:t>
      </w:r>
      <w:r w:rsidRPr="006E709F">
        <w:tab/>
        <w:t>distribution costs;</w:t>
      </w:r>
    </w:p>
    <w:p w:rsidR="001C486F" w:rsidRPr="006E709F" w:rsidRDefault="001C486F" w:rsidP="001C486F">
      <w:pPr>
        <w:pStyle w:val="paragraph"/>
      </w:pPr>
      <w:r w:rsidRPr="006E709F">
        <w:lastRenderedPageBreak/>
        <w:tab/>
        <w:t>(d)</w:t>
      </w:r>
      <w:r w:rsidRPr="006E709F">
        <w:tab/>
        <w:t>for a product that is a managed investment product for a managed investment scheme or is a security in a retail CCIV that is referable to a sub</w:t>
      </w:r>
      <w:r w:rsidR="000C4237">
        <w:noBreakHyphen/>
      </w:r>
      <w:r w:rsidRPr="006E709F">
        <w:t>fund of the CCIV—other expenses and reimbursements in relation to the managed investment scheme or the sub</w:t>
      </w:r>
      <w:r w:rsidR="000C4237">
        <w:noBreakHyphen/>
      </w:r>
      <w:r w:rsidRPr="006E709F">
        <w:t>fund;</w:t>
      </w:r>
    </w:p>
    <w:p w:rsidR="001C486F" w:rsidRPr="006E709F" w:rsidRDefault="001C486F" w:rsidP="001C486F">
      <w:pPr>
        <w:pStyle w:val="paragraph"/>
      </w:pPr>
      <w:r w:rsidRPr="006E709F">
        <w:tab/>
        <w:t>(e)</w:t>
      </w:r>
      <w:r w:rsidRPr="006E709F">
        <w:tab/>
        <w:t>for a product that is a managed investment product for a managed investment scheme or is a security in a retail CCIV that is referable to a sub</w:t>
      </w:r>
      <w:r w:rsidR="000C4237">
        <w:noBreakHyphen/>
      </w:r>
      <w:r w:rsidRPr="006E709F">
        <w:t>fund of the CCIV—amounts paid or payable for investing in the assets of the managed investment scheme or in the assets of the sub</w:t>
      </w:r>
      <w:r w:rsidR="000C4237">
        <w:noBreakHyphen/>
      </w:r>
      <w:r w:rsidRPr="006E709F">
        <w:t>fund;</w:t>
      </w:r>
    </w:p>
    <w:p w:rsidR="002A22A4" w:rsidRPr="006E709F" w:rsidRDefault="002A22A4" w:rsidP="00A801D0">
      <w:pPr>
        <w:pStyle w:val="paragraph"/>
      </w:pPr>
      <w:r w:rsidRPr="006E709F">
        <w:tab/>
        <w:t>(f)</w:t>
      </w:r>
      <w:r w:rsidRPr="006E709F">
        <w:tab/>
        <w:t>amounts deducted from a common fund by way of fees, costs, charges or expenses, including:</w:t>
      </w:r>
    </w:p>
    <w:p w:rsidR="002A22A4" w:rsidRPr="006E709F" w:rsidRDefault="002A22A4" w:rsidP="00A801D0">
      <w:pPr>
        <w:pStyle w:val="paragraphsub"/>
      </w:pPr>
      <w:r w:rsidRPr="006E709F">
        <w:tab/>
        <w:t>(i)</w:t>
      </w:r>
      <w:r w:rsidRPr="006E709F">
        <w:tab/>
        <w:t>amounts retrieved by an external fund manager or a product issuer; and</w:t>
      </w:r>
    </w:p>
    <w:p w:rsidR="002A22A4" w:rsidRPr="006E709F" w:rsidRDefault="002A22A4" w:rsidP="00A801D0">
      <w:pPr>
        <w:pStyle w:val="paragraphsub"/>
      </w:pPr>
      <w:r w:rsidRPr="006E709F">
        <w:tab/>
        <w:t>(ii)</w:t>
      </w:r>
      <w:r w:rsidRPr="006E709F">
        <w:tab/>
        <w:t>amounts deducted from returns before allocation to the fund;</w:t>
      </w:r>
    </w:p>
    <w:p w:rsidR="002A22A4" w:rsidRPr="006E709F" w:rsidRDefault="002A22A4" w:rsidP="00A801D0">
      <w:pPr>
        <w:pStyle w:val="paragraph"/>
      </w:pPr>
      <w:r w:rsidRPr="006E709F">
        <w:tab/>
        <w:t>(g)</w:t>
      </w:r>
      <w:r w:rsidRPr="006E709F">
        <w:tab/>
        <w:t>estimated performance fees;</w:t>
      </w:r>
    </w:p>
    <w:p w:rsidR="002A22A4" w:rsidRPr="006E709F" w:rsidRDefault="002A22A4" w:rsidP="00A801D0">
      <w:pPr>
        <w:pStyle w:val="paragraph"/>
      </w:pPr>
      <w:r w:rsidRPr="006E709F">
        <w:tab/>
        <w:t>(h)</w:t>
      </w:r>
      <w:r w:rsidRPr="006E709F">
        <w:tab/>
        <w:t>any other investment</w:t>
      </w:r>
      <w:r w:rsidR="000C4237">
        <w:noBreakHyphen/>
      </w:r>
      <w:r w:rsidRPr="006E709F">
        <w:t>related expenses and reimbursements, including any associated with custodial arrangements.</w:t>
      </w:r>
    </w:p>
    <w:p w:rsidR="002A22A4" w:rsidRPr="006E709F" w:rsidRDefault="002A22A4" w:rsidP="00A801D0">
      <w:pPr>
        <w:pStyle w:val="subsection"/>
      </w:pPr>
      <w:r w:rsidRPr="006E709F">
        <w:tab/>
        <w:t>(2)</w:t>
      </w:r>
      <w:r w:rsidRPr="006E709F">
        <w:tab/>
        <w:t>The following fees and costs are not management costs</w:t>
      </w:r>
      <w:r w:rsidR="00677261" w:rsidRPr="006E709F">
        <w:t xml:space="preserve"> for a </w:t>
      </w:r>
      <w:r w:rsidR="0098212A" w:rsidRPr="006E709F">
        <w:t>collective investment product</w:t>
      </w:r>
      <w:r w:rsidRPr="006E709F">
        <w:t>:</w:t>
      </w:r>
    </w:p>
    <w:p w:rsidR="002A22A4" w:rsidRPr="006E709F" w:rsidRDefault="002A22A4" w:rsidP="00A801D0">
      <w:pPr>
        <w:pStyle w:val="paragraph"/>
      </w:pPr>
      <w:r w:rsidRPr="006E709F">
        <w:tab/>
        <w:t>(a)</w:t>
      </w:r>
      <w:r w:rsidRPr="006E709F">
        <w:tab/>
        <w:t>a contribution fee;</w:t>
      </w:r>
    </w:p>
    <w:p w:rsidR="002A22A4" w:rsidRPr="006E709F" w:rsidRDefault="002A22A4" w:rsidP="00A801D0">
      <w:pPr>
        <w:pStyle w:val="paragraph"/>
      </w:pPr>
      <w:r w:rsidRPr="006E709F">
        <w:tab/>
        <w:t>(b)</w:t>
      </w:r>
      <w:r w:rsidRPr="006E709F">
        <w:tab/>
        <w:t>transactional and operational costs;</w:t>
      </w:r>
    </w:p>
    <w:p w:rsidR="002A22A4" w:rsidRPr="006E709F" w:rsidRDefault="002A22A4" w:rsidP="00A801D0">
      <w:pPr>
        <w:pStyle w:val="paragraph"/>
      </w:pPr>
      <w:r w:rsidRPr="006E709F">
        <w:tab/>
        <w:t>(c)</w:t>
      </w:r>
      <w:r w:rsidRPr="006E709F">
        <w:tab/>
        <w:t>an additional service fee;</w:t>
      </w:r>
    </w:p>
    <w:p w:rsidR="002A22A4" w:rsidRPr="006E709F" w:rsidRDefault="002A22A4" w:rsidP="00A801D0">
      <w:pPr>
        <w:pStyle w:val="paragraph"/>
      </w:pPr>
      <w:r w:rsidRPr="006E709F">
        <w:tab/>
        <w:t>(d)</w:t>
      </w:r>
      <w:r w:rsidRPr="006E709F">
        <w:tab/>
        <w:t>an establishment fee;</w:t>
      </w:r>
    </w:p>
    <w:p w:rsidR="002A22A4" w:rsidRPr="006E709F" w:rsidRDefault="002A22A4" w:rsidP="00A801D0">
      <w:pPr>
        <w:pStyle w:val="paragraph"/>
      </w:pPr>
      <w:r w:rsidRPr="006E709F">
        <w:tab/>
        <w:t>(e)</w:t>
      </w:r>
      <w:r w:rsidRPr="006E709F">
        <w:tab/>
        <w:t>a switching fee;</w:t>
      </w:r>
    </w:p>
    <w:p w:rsidR="00677261" w:rsidRPr="006E709F" w:rsidRDefault="00677261" w:rsidP="00677261">
      <w:pPr>
        <w:pStyle w:val="paragraph"/>
      </w:pPr>
      <w:r w:rsidRPr="006E709F">
        <w:tab/>
        <w:t>(f)</w:t>
      </w:r>
      <w:r w:rsidRPr="006E709F">
        <w:tab/>
        <w:t>an exit fee;</w:t>
      </w:r>
    </w:p>
    <w:p w:rsidR="002A22A4" w:rsidRPr="006E709F" w:rsidRDefault="002A22A4" w:rsidP="00A801D0">
      <w:pPr>
        <w:pStyle w:val="paragraph"/>
      </w:pPr>
      <w:r w:rsidRPr="006E709F">
        <w:tab/>
        <w:t>(g)</w:t>
      </w:r>
      <w:r w:rsidRPr="006E709F">
        <w:tab/>
        <w:t>a withdrawal fee;</w:t>
      </w:r>
    </w:p>
    <w:p w:rsidR="002A22A4" w:rsidRPr="006E709F" w:rsidRDefault="002A22A4" w:rsidP="00A801D0">
      <w:pPr>
        <w:pStyle w:val="paragraph"/>
      </w:pPr>
      <w:r w:rsidRPr="006E709F">
        <w:tab/>
        <w:t>(h)</w:t>
      </w:r>
      <w:r w:rsidRPr="006E709F">
        <w:tab/>
        <w:t>costs (related to a specific asset or activity to produce income) that an investor would incur if he or she invested directly in the asset;</w:t>
      </w:r>
    </w:p>
    <w:p w:rsidR="002A22A4" w:rsidRPr="006E709F" w:rsidRDefault="002A22A4" w:rsidP="00A801D0">
      <w:pPr>
        <w:pStyle w:val="paragraph"/>
      </w:pPr>
      <w:r w:rsidRPr="006E709F">
        <w:tab/>
        <w:t>(i)</w:t>
      </w:r>
      <w:r w:rsidRPr="006E709F">
        <w:tab/>
        <w:t>incidental fees.</w:t>
      </w:r>
    </w:p>
    <w:p w:rsidR="002A22A4" w:rsidRPr="006E709F" w:rsidRDefault="002A22A4" w:rsidP="00D5406C">
      <w:pPr>
        <w:pStyle w:val="ActHead5"/>
      </w:pPr>
      <w:bookmarkStart w:id="62" w:name="_Toc170547880"/>
      <w:r w:rsidRPr="000C4237">
        <w:rPr>
          <w:rStyle w:val="CharSectno"/>
        </w:rPr>
        <w:t>103</w:t>
      </w:r>
      <w:r w:rsidR="00A801D0" w:rsidRPr="006E709F">
        <w:t xml:space="preserve">  </w:t>
      </w:r>
      <w:r w:rsidR="00CC3948" w:rsidRPr="006E709F">
        <w:t xml:space="preserve">Meaning of </w:t>
      </w:r>
      <w:r w:rsidR="00CC3948" w:rsidRPr="006E709F">
        <w:rPr>
          <w:i/>
        </w:rPr>
        <w:t>transactional and operational costs</w:t>
      </w:r>
      <w:bookmarkEnd w:id="62"/>
    </w:p>
    <w:p w:rsidR="002A22A4" w:rsidRPr="006E709F" w:rsidRDefault="002A22A4" w:rsidP="00A801D0">
      <w:pPr>
        <w:pStyle w:val="subsection"/>
      </w:pPr>
      <w:r w:rsidRPr="006E709F">
        <w:tab/>
      </w:r>
      <w:r w:rsidRPr="006E709F">
        <w:tab/>
      </w:r>
      <w:r w:rsidRPr="006E709F">
        <w:rPr>
          <w:b/>
          <w:i/>
        </w:rPr>
        <w:t>Transactional and operational costs</w:t>
      </w:r>
      <w:r w:rsidRPr="006E709F">
        <w:t xml:space="preserve"> include the following:</w:t>
      </w:r>
    </w:p>
    <w:p w:rsidR="002A22A4" w:rsidRPr="006E709F" w:rsidRDefault="002A22A4" w:rsidP="00A801D0">
      <w:pPr>
        <w:pStyle w:val="paragraph"/>
      </w:pPr>
      <w:r w:rsidRPr="006E709F">
        <w:tab/>
        <w:t>(a)</w:t>
      </w:r>
      <w:r w:rsidRPr="006E709F">
        <w:tab/>
        <w:t>brokerage;</w:t>
      </w:r>
    </w:p>
    <w:p w:rsidR="002A22A4" w:rsidRPr="006E709F" w:rsidRDefault="002A22A4" w:rsidP="00A801D0">
      <w:pPr>
        <w:pStyle w:val="paragraph"/>
      </w:pPr>
      <w:r w:rsidRPr="006E709F">
        <w:tab/>
        <w:t>(b)</w:t>
      </w:r>
      <w:r w:rsidRPr="006E709F">
        <w:tab/>
        <w:t>buy</w:t>
      </w:r>
      <w:r w:rsidR="000C4237">
        <w:noBreakHyphen/>
      </w:r>
      <w:r w:rsidRPr="006E709F">
        <w:t>sell spread;</w:t>
      </w:r>
    </w:p>
    <w:p w:rsidR="002A22A4" w:rsidRPr="006E709F" w:rsidRDefault="002A22A4" w:rsidP="00A801D0">
      <w:pPr>
        <w:pStyle w:val="paragraph"/>
      </w:pPr>
      <w:r w:rsidRPr="006E709F">
        <w:tab/>
        <w:t>(c)</w:t>
      </w:r>
      <w:r w:rsidRPr="006E709F">
        <w:tab/>
        <w:t>settlement costs (including custody costs);</w:t>
      </w:r>
    </w:p>
    <w:p w:rsidR="002A22A4" w:rsidRPr="006E709F" w:rsidRDefault="002A22A4" w:rsidP="00A801D0">
      <w:pPr>
        <w:pStyle w:val="paragraph"/>
      </w:pPr>
      <w:r w:rsidRPr="006E709F">
        <w:tab/>
        <w:t>(d)</w:t>
      </w:r>
      <w:r w:rsidRPr="006E709F">
        <w:tab/>
        <w:t>clearing costs;</w:t>
      </w:r>
    </w:p>
    <w:p w:rsidR="002A22A4" w:rsidRPr="006E709F" w:rsidRDefault="002A22A4" w:rsidP="00A801D0">
      <w:pPr>
        <w:pStyle w:val="paragraph"/>
      </w:pPr>
      <w:r w:rsidRPr="006E709F">
        <w:tab/>
        <w:t>(e)</w:t>
      </w:r>
      <w:r w:rsidRPr="006E709F">
        <w:tab/>
        <w:t>stamp duty on an investment transaction.</w:t>
      </w:r>
    </w:p>
    <w:p w:rsidR="002A22A4" w:rsidRPr="006E709F" w:rsidRDefault="002A22A4" w:rsidP="00D5406C">
      <w:pPr>
        <w:pStyle w:val="ActHead5"/>
      </w:pPr>
      <w:bookmarkStart w:id="63" w:name="_Toc170547881"/>
      <w:r w:rsidRPr="000C4237">
        <w:rPr>
          <w:rStyle w:val="CharSectno"/>
        </w:rPr>
        <w:t>104</w:t>
      </w:r>
      <w:r w:rsidR="00A801D0" w:rsidRPr="006E709F">
        <w:t xml:space="preserve">  </w:t>
      </w:r>
      <w:r w:rsidR="00CC3948" w:rsidRPr="006E709F">
        <w:t xml:space="preserve">Meaning of </w:t>
      </w:r>
      <w:r w:rsidR="00CC3948" w:rsidRPr="006E709F">
        <w:rPr>
          <w:i/>
        </w:rPr>
        <w:t>indirect cost ratio (ICR)</w:t>
      </w:r>
      <w:bookmarkEnd w:id="63"/>
    </w:p>
    <w:p w:rsidR="00677261" w:rsidRPr="006E709F" w:rsidRDefault="00677261" w:rsidP="00677261">
      <w:pPr>
        <w:pStyle w:val="subsection"/>
      </w:pPr>
      <w:r w:rsidRPr="006E709F">
        <w:tab/>
        <w:t>(1)</w:t>
      </w:r>
      <w:r w:rsidRPr="006E709F">
        <w:tab/>
        <w:t xml:space="preserve">The </w:t>
      </w:r>
      <w:r w:rsidRPr="006E709F">
        <w:rPr>
          <w:b/>
          <w:i/>
        </w:rPr>
        <w:t xml:space="preserve">indirect cost ratio </w:t>
      </w:r>
      <w:r w:rsidRPr="006E709F">
        <w:t>(</w:t>
      </w:r>
      <w:r w:rsidRPr="006E709F">
        <w:rPr>
          <w:b/>
          <w:i/>
        </w:rPr>
        <w:t>ICR</w:t>
      </w:r>
      <w:r w:rsidRPr="006E709F">
        <w:t>), for a MySuper product or an investment option offered by a superannuation entity, is the ratio of the total of the indirect costs for the MySuper product or investment option, to the total average net assets of the superannuation entity attributed to the MySuper product or investment option.</w:t>
      </w:r>
    </w:p>
    <w:p w:rsidR="00677261" w:rsidRPr="006E709F" w:rsidRDefault="00677261" w:rsidP="00677261">
      <w:pPr>
        <w:pStyle w:val="notetext"/>
      </w:pPr>
      <w:r w:rsidRPr="006E709F">
        <w:lastRenderedPageBreak/>
        <w:t>Note:</w:t>
      </w:r>
      <w:r w:rsidRPr="006E709F">
        <w:tab/>
        <w:t>A fee deducted directly from a member’s account is not included in the indirect cost ratio.</w:t>
      </w:r>
    </w:p>
    <w:p w:rsidR="00677261" w:rsidRPr="006E709F" w:rsidRDefault="00677261" w:rsidP="00677261">
      <w:pPr>
        <w:pStyle w:val="subsection"/>
      </w:pPr>
      <w:r w:rsidRPr="006E709F">
        <w:tab/>
        <w:t>(1A)</w:t>
      </w:r>
      <w:r w:rsidRPr="006E709F">
        <w:tab/>
        <w:t xml:space="preserve">The </w:t>
      </w:r>
      <w:r w:rsidRPr="006E709F">
        <w:rPr>
          <w:b/>
          <w:i/>
        </w:rPr>
        <w:t xml:space="preserve">indirect cost ratio </w:t>
      </w:r>
      <w:r w:rsidRPr="006E709F">
        <w:t>(</w:t>
      </w:r>
      <w:r w:rsidRPr="006E709F">
        <w:rPr>
          <w:b/>
          <w:i/>
        </w:rPr>
        <w:t>ICR</w:t>
      </w:r>
      <w:r w:rsidRPr="006E709F">
        <w:t>), for an investment option offered by a managed investment scheme, is the ratio of the management costs for the option that are not deducted directly from a product holder’s account, to the total average net assets of the managed investment scheme that relates to the investment option.</w:t>
      </w:r>
    </w:p>
    <w:p w:rsidR="00677261" w:rsidRPr="006E709F" w:rsidRDefault="00677261" w:rsidP="00677261">
      <w:pPr>
        <w:pStyle w:val="notetext"/>
      </w:pPr>
      <w:r w:rsidRPr="006E709F">
        <w:t>Note:</w:t>
      </w:r>
      <w:r w:rsidRPr="006E709F">
        <w:tab/>
        <w:t>A fee deducted directly from a product holder’s account is not included in the indirect cost ratio.</w:t>
      </w:r>
    </w:p>
    <w:p w:rsidR="001C486F" w:rsidRPr="006E709F" w:rsidRDefault="001C486F" w:rsidP="001C486F">
      <w:pPr>
        <w:pStyle w:val="subsection"/>
      </w:pPr>
      <w:bookmarkStart w:id="64" w:name="_Hlk96337762"/>
      <w:r w:rsidRPr="006E709F">
        <w:tab/>
        <w:t>(1B)</w:t>
      </w:r>
      <w:r w:rsidRPr="006E709F">
        <w:tab/>
        <w:t>For an investment option that is a sub</w:t>
      </w:r>
      <w:r w:rsidR="000C4237">
        <w:noBreakHyphen/>
      </w:r>
      <w:r w:rsidRPr="006E709F">
        <w:t xml:space="preserve">fund of a retail CCIV, the </w:t>
      </w:r>
      <w:r w:rsidRPr="006E709F">
        <w:rPr>
          <w:b/>
          <w:i/>
        </w:rPr>
        <w:t>indirect cost ratio</w:t>
      </w:r>
      <w:r w:rsidRPr="006E709F">
        <w:t xml:space="preserve"> (</w:t>
      </w:r>
      <w:r w:rsidRPr="006E709F">
        <w:rPr>
          <w:b/>
          <w:i/>
        </w:rPr>
        <w:t>ICR</w:t>
      </w:r>
      <w:r w:rsidRPr="006E709F">
        <w:t>) for the option is the ratio of the management costs for all</w:t>
      </w:r>
      <w:r w:rsidRPr="006E709F">
        <w:rPr>
          <w:i/>
        </w:rPr>
        <w:t xml:space="preserve"> </w:t>
      </w:r>
      <w:r w:rsidRPr="006E709F">
        <w:t>securities referable to the sub</w:t>
      </w:r>
      <w:r w:rsidR="000C4237">
        <w:noBreakHyphen/>
      </w:r>
      <w:r w:rsidRPr="006E709F">
        <w:t>fund that are not deducted directly from a product holder’s account to the total average net assets of the sub</w:t>
      </w:r>
      <w:r w:rsidR="000C4237">
        <w:noBreakHyphen/>
      </w:r>
      <w:r w:rsidRPr="006E709F">
        <w:t>fund.</w:t>
      </w:r>
    </w:p>
    <w:p w:rsidR="001C486F" w:rsidRPr="006E709F" w:rsidRDefault="001C486F" w:rsidP="001C486F">
      <w:pPr>
        <w:pStyle w:val="notetext"/>
      </w:pPr>
      <w:r w:rsidRPr="006E709F">
        <w:t>Note:</w:t>
      </w:r>
      <w:r w:rsidRPr="006E709F">
        <w:tab/>
        <w:t>A fee deducted directly from a product holder’s account is not included in the indirect cost ratio.</w:t>
      </w:r>
    </w:p>
    <w:bookmarkEnd w:id="64"/>
    <w:p w:rsidR="002A22A4" w:rsidRPr="006E709F" w:rsidRDefault="002A22A4" w:rsidP="00A801D0">
      <w:pPr>
        <w:pStyle w:val="subsection"/>
      </w:pPr>
      <w:r w:rsidRPr="006E709F">
        <w:tab/>
        <w:t>(2)</w:t>
      </w:r>
      <w:r w:rsidRPr="006E709F">
        <w:tab/>
        <w:t>The ICR for a Product Disclosure Statement is to be determined for the financial year before the Product Disclosure Statement is issued.</w:t>
      </w:r>
    </w:p>
    <w:p w:rsidR="002A22A4" w:rsidRPr="006E709F" w:rsidRDefault="002A22A4" w:rsidP="00A801D0">
      <w:pPr>
        <w:pStyle w:val="subsection"/>
      </w:pPr>
      <w:r w:rsidRPr="006E709F">
        <w:tab/>
        <w:t>(3)</w:t>
      </w:r>
      <w:r w:rsidRPr="006E709F">
        <w:tab/>
        <w:t>The ICR for a periodic statement is to be determined over the latest reporting period.</w:t>
      </w:r>
    </w:p>
    <w:p w:rsidR="002A22A4" w:rsidRPr="006E709F" w:rsidRDefault="00A801D0" w:rsidP="00A801D0">
      <w:pPr>
        <w:pStyle w:val="ActHead2"/>
        <w:pageBreakBefore/>
      </w:pPr>
      <w:bookmarkStart w:id="65" w:name="_Toc170547882"/>
      <w:r w:rsidRPr="000C4237">
        <w:rPr>
          <w:rStyle w:val="CharPartNo"/>
        </w:rPr>
        <w:lastRenderedPageBreak/>
        <w:t>Part</w:t>
      </w:r>
      <w:r w:rsidR="00DA13DE" w:rsidRPr="000C4237">
        <w:rPr>
          <w:rStyle w:val="CharPartNo"/>
        </w:rPr>
        <w:t> </w:t>
      </w:r>
      <w:r w:rsidR="002A22A4" w:rsidRPr="000C4237">
        <w:rPr>
          <w:rStyle w:val="CharPartNo"/>
        </w:rPr>
        <w:t>2</w:t>
      </w:r>
      <w:r w:rsidRPr="006E709F">
        <w:t>—</w:t>
      </w:r>
      <w:r w:rsidR="002A22A4" w:rsidRPr="000C4237">
        <w:rPr>
          <w:rStyle w:val="CharPartText"/>
        </w:rPr>
        <w:t>Fees and Costs Template, example of annual fees and costs and Consumer Advisory Warning for Product Disclosure Statements</w:t>
      </w:r>
      <w:bookmarkEnd w:id="65"/>
    </w:p>
    <w:p w:rsidR="00677261" w:rsidRPr="006E709F" w:rsidRDefault="00677261" w:rsidP="00677261">
      <w:pPr>
        <w:pStyle w:val="ActHead3"/>
      </w:pPr>
      <w:bookmarkStart w:id="66" w:name="_Toc170547883"/>
      <w:r w:rsidRPr="000C4237">
        <w:rPr>
          <w:rStyle w:val="CharDivNo"/>
        </w:rPr>
        <w:t>Division</w:t>
      </w:r>
      <w:r w:rsidR="00DA13DE" w:rsidRPr="000C4237">
        <w:rPr>
          <w:rStyle w:val="CharDivNo"/>
        </w:rPr>
        <w:t> </w:t>
      </w:r>
      <w:r w:rsidRPr="000C4237">
        <w:rPr>
          <w:rStyle w:val="CharDivNo"/>
        </w:rPr>
        <w:t>1</w:t>
      </w:r>
      <w:r w:rsidRPr="006E709F">
        <w:t>—</w:t>
      </w:r>
      <w:r w:rsidRPr="000C4237">
        <w:rPr>
          <w:rStyle w:val="CharDivText"/>
        </w:rPr>
        <w:t>The fees and costs template for superannuation products</w:t>
      </w:r>
      <w:bookmarkEnd w:id="66"/>
    </w:p>
    <w:p w:rsidR="00677261" w:rsidRPr="006E709F" w:rsidRDefault="00677261" w:rsidP="00677261">
      <w:pPr>
        <w:pStyle w:val="ActHead5"/>
      </w:pPr>
      <w:bookmarkStart w:id="67" w:name="_Toc170547884"/>
      <w:r w:rsidRPr="000C4237">
        <w:rPr>
          <w:rStyle w:val="CharSectno"/>
        </w:rPr>
        <w:t>201</w:t>
      </w:r>
      <w:r w:rsidRPr="006E709F">
        <w:t xml:space="preserve">  Template for superannuation products</w:t>
      </w:r>
      <w:bookmarkEnd w:id="67"/>
    </w:p>
    <w:p w:rsidR="00677261" w:rsidRPr="006E709F" w:rsidRDefault="00677261" w:rsidP="000858E6">
      <w:pPr>
        <w:spacing w:before="120" w:line="276" w:lineRule="auto"/>
        <w:rPr>
          <w:rFonts w:ascii="Arial" w:hAnsi="Arial" w:cs="Arial"/>
          <w:b/>
          <w:sz w:val="24"/>
          <w:szCs w:val="24"/>
        </w:rPr>
      </w:pPr>
      <w:r w:rsidRPr="006E709F">
        <w:rPr>
          <w:rFonts w:ascii="Arial" w:hAnsi="Arial" w:cs="Arial"/>
          <w:b/>
          <w:sz w:val="24"/>
          <w:szCs w:val="24"/>
        </w:rPr>
        <w:t>Fees and other costs</w:t>
      </w:r>
    </w:p>
    <w:p w:rsidR="00677261" w:rsidRPr="006E709F" w:rsidRDefault="00677261" w:rsidP="00677261">
      <w:pPr>
        <w:spacing w:line="240" w:lineRule="auto"/>
      </w:pPr>
      <w:r w:rsidRPr="006E709F">
        <w:rPr>
          <w:rFonts w:ascii="Arial" w:hAnsi="Arial" w:cs="Arial"/>
          <w:sz w:val="19"/>
          <w:szCs w:val="19"/>
        </w:rPr>
        <w:t>T</w:t>
      </w:r>
      <w:r w:rsidRPr="006E709F">
        <w:t>his document shows fees and other costs that you may be charged. These fees and other costs may be deducted from your money, from the returns on your investment or from the assets of the superannuation entity as a whole.</w:t>
      </w:r>
    </w:p>
    <w:p w:rsidR="00677261" w:rsidRPr="006E709F" w:rsidRDefault="00677261" w:rsidP="00677261">
      <w:pPr>
        <w:spacing w:line="240" w:lineRule="auto"/>
      </w:pPr>
    </w:p>
    <w:p w:rsidR="00677261" w:rsidRPr="006E709F" w:rsidRDefault="00677261" w:rsidP="00677261">
      <w:pPr>
        <w:spacing w:line="240" w:lineRule="auto"/>
      </w:pPr>
      <w:r w:rsidRPr="006E709F">
        <w:t>Other fees, such as activity fees, advice fees for personal advice and insurance fees, may also be charged, but these will depend on the nature of the activity, advice or insurance chosen by you.</w:t>
      </w:r>
      <w:r w:rsidR="00636892" w:rsidRPr="006E709F">
        <w:t xml:space="preserve"> Entry fees and exit fees cannot be charged.</w:t>
      </w:r>
    </w:p>
    <w:p w:rsidR="00677261" w:rsidRPr="006E709F" w:rsidRDefault="00677261" w:rsidP="00677261">
      <w:pPr>
        <w:spacing w:line="240" w:lineRule="auto"/>
      </w:pPr>
    </w:p>
    <w:p w:rsidR="00677261" w:rsidRPr="006E709F" w:rsidRDefault="00677261" w:rsidP="00677261">
      <w:pPr>
        <w:spacing w:line="240" w:lineRule="auto"/>
      </w:pPr>
      <w:r w:rsidRPr="006E709F">
        <w:t>Taxes, insurance fees and other costs relating to insurance are set out in another part of this document.</w:t>
      </w:r>
    </w:p>
    <w:p w:rsidR="00677261" w:rsidRPr="006E709F" w:rsidRDefault="00677261" w:rsidP="00677261"/>
    <w:p w:rsidR="00677261" w:rsidRPr="006E709F" w:rsidRDefault="00677261" w:rsidP="00677261">
      <w:pPr>
        <w:spacing w:line="240" w:lineRule="auto"/>
      </w:pPr>
      <w:r w:rsidRPr="006E709F">
        <w:t>You should read all the information about fees and other costs because it is important to understand their impact on your investment.</w:t>
      </w:r>
    </w:p>
    <w:p w:rsidR="00677261" w:rsidRPr="006E709F" w:rsidRDefault="00677261" w:rsidP="00677261">
      <w:pPr>
        <w:spacing w:line="240" w:lineRule="auto"/>
      </w:pPr>
    </w:p>
    <w:p w:rsidR="00677261" w:rsidRPr="006E709F" w:rsidRDefault="00677261" w:rsidP="00677261">
      <w:pPr>
        <w:spacing w:line="240" w:lineRule="auto"/>
      </w:pPr>
      <w:r w:rsidRPr="006E709F">
        <w:rPr>
          <w:i/>
        </w:rPr>
        <w:t xml:space="preserve">[If relevant] </w:t>
      </w:r>
      <w:r w:rsidRPr="006E709F">
        <w:t xml:space="preserve">The fees and other costs for each MySuper product offered by the superannuation entity, and each investment option offered by the entity, are set out on page </w:t>
      </w:r>
      <w:r w:rsidRPr="006E709F">
        <w:rPr>
          <w:i/>
        </w:rPr>
        <w:t>[insert page number]</w:t>
      </w:r>
      <w:r w:rsidRPr="006E709F">
        <w:t>.</w:t>
      </w:r>
    </w:p>
    <w:p w:rsidR="000858E6" w:rsidRPr="006E709F" w:rsidRDefault="000858E6" w:rsidP="000858E6">
      <w:pPr>
        <w:spacing w:line="240" w:lineRule="auto"/>
        <w:rPr>
          <w:sz w:val="16"/>
          <w:szCs w:val="16"/>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43"/>
        <w:gridCol w:w="2844"/>
        <w:gridCol w:w="2842"/>
      </w:tblGrid>
      <w:tr w:rsidR="00677261" w:rsidRPr="006E709F" w:rsidTr="00E118FA">
        <w:trPr>
          <w:tblHeader/>
        </w:trPr>
        <w:tc>
          <w:tcPr>
            <w:tcW w:w="5000" w:type="pct"/>
            <w:gridSpan w:val="3"/>
            <w:tcBorders>
              <w:top w:val="single" w:sz="12" w:space="0" w:color="auto"/>
              <w:bottom w:val="single" w:sz="6" w:space="0" w:color="auto"/>
            </w:tcBorders>
            <w:shd w:val="clear" w:color="auto" w:fill="auto"/>
          </w:tcPr>
          <w:p w:rsidR="00677261" w:rsidRPr="006E709F" w:rsidRDefault="00677261" w:rsidP="006A221B">
            <w:pPr>
              <w:pStyle w:val="TableHeading"/>
              <w:rPr>
                <w:i/>
              </w:rPr>
            </w:pPr>
            <w:r w:rsidRPr="006E709F">
              <w:rPr>
                <w:i/>
              </w:rPr>
              <w:t>[Name of superannuation product]</w:t>
            </w:r>
          </w:p>
        </w:tc>
      </w:tr>
      <w:tr w:rsidR="00677261" w:rsidRPr="006E709F" w:rsidTr="00E118FA">
        <w:trPr>
          <w:tblHeader/>
        </w:trPr>
        <w:tc>
          <w:tcPr>
            <w:tcW w:w="1667" w:type="pct"/>
            <w:tcBorders>
              <w:top w:val="single" w:sz="6" w:space="0" w:color="auto"/>
              <w:bottom w:val="single" w:sz="12" w:space="0" w:color="auto"/>
            </w:tcBorders>
            <w:shd w:val="clear" w:color="auto" w:fill="auto"/>
          </w:tcPr>
          <w:p w:rsidR="00677261" w:rsidRPr="006E709F" w:rsidRDefault="00677261" w:rsidP="006A221B">
            <w:pPr>
              <w:pStyle w:val="TableHeading"/>
              <w:rPr>
                <w:i/>
              </w:rPr>
            </w:pPr>
            <w:r w:rsidRPr="006E709F">
              <w:rPr>
                <w:i/>
              </w:rPr>
              <w:t>Type of fee</w:t>
            </w:r>
          </w:p>
        </w:tc>
        <w:tc>
          <w:tcPr>
            <w:tcW w:w="1667" w:type="pct"/>
            <w:tcBorders>
              <w:top w:val="single" w:sz="6" w:space="0" w:color="auto"/>
              <w:bottom w:val="single" w:sz="12" w:space="0" w:color="auto"/>
            </w:tcBorders>
            <w:shd w:val="clear" w:color="auto" w:fill="auto"/>
          </w:tcPr>
          <w:p w:rsidR="00677261" w:rsidRPr="006E709F" w:rsidRDefault="00677261" w:rsidP="006A221B">
            <w:pPr>
              <w:pStyle w:val="TableHeading"/>
            </w:pPr>
            <w:r w:rsidRPr="006E709F">
              <w:t>Amount</w:t>
            </w:r>
          </w:p>
        </w:tc>
        <w:tc>
          <w:tcPr>
            <w:tcW w:w="1666" w:type="pct"/>
            <w:tcBorders>
              <w:top w:val="single" w:sz="6" w:space="0" w:color="auto"/>
              <w:bottom w:val="single" w:sz="12" w:space="0" w:color="auto"/>
            </w:tcBorders>
            <w:shd w:val="clear" w:color="auto" w:fill="auto"/>
          </w:tcPr>
          <w:p w:rsidR="00677261" w:rsidRPr="006E709F" w:rsidRDefault="00677261" w:rsidP="006A221B">
            <w:pPr>
              <w:pStyle w:val="TableHeading"/>
            </w:pPr>
            <w:r w:rsidRPr="006E709F">
              <w:t>How and when paid</w:t>
            </w:r>
          </w:p>
        </w:tc>
      </w:tr>
      <w:tr w:rsidR="00677261" w:rsidRPr="006E709F" w:rsidTr="00E118FA">
        <w:tc>
          <w:tcPr>
            <w:tcW w:w="1667" w:type="pct"/>
            <w:tcBorders>
              <w:top w:val="single" w:sz="12" w:space="0" w:color="auto"/>
            </w:tcBorders>
            <w:shd w:val="clear" w:color="auto" w:fill="auto"/>
          </w:tcPr>
          <w:p w:rsidR="00677261" w:rsidRPr="006E709F" w:rsidRDefault="00636892" w:rsidP="006A221B">
            <w:pPr>
              <w:pStyle w:val="Tabletext"/>
              <w:rPr>
                <w:i/>
              </w:rPr>
            </w:pPr>
            <w:r w:rsidRPr="006E709F">
              <w:rPr>
                <w:i/>
              </w:rPr>
              <w:t>Investment fee¹</w:t>
            </w:r>
          </w:p>
        </w:tc>
        <w:tc>
          <w:tcPr>
            <w:tcW w:w="1667" w:type="pct"/>
            <w:tcBorders>
              <w:top w:val="single" w:sz="12" w:space="0" w:color="auto"/>
            </w:tcBorders>
            <w:shd w:val="clear" w:color="auto" w:fill="auto"/>
          </w:tcPr>
          <w:p w:rsidR="00677261" w:rsidRPr="006E709F" w:rsidRDefault="00677261" w:rsidP="006A221B">
            <w:pPr>
              <w:pStyle w:val="Tabletext"/>
              <w:rPr>
                <w:i/>
              </w:rPr>
            </w:pPr>
          </w:p>
        </w:tc>
        <w:tc>
          <w:tcPr>
            <w:tcW w:w="1666" w:type="pct"/>
            <w:tcBorders>
              <w:top w:val="single" w:sz="12" w:space="0" w:color="auto"/>
            </w:tcBorders>
            <w:shd w:val="clear" w:color="auto" w:fill="auto"/>
          </w:tcPr>
          <w:p w:rsidR="00677261" w:rsidRPr="006E709F" w:rsidRDefault="00677261" w:rsidP="006A221B">
            <w:pPr>
              <w:pStyle w:val="Tabletext"/>
              <w:rPr>
                <w:i/>
              </w:rPr>
            </w:pPr>
          </w:p>
        </w:tc>
      </w:tr>
      <w:tr w:rsidR="00677261" w:rsidRPr="006E709F" w:rsidTr="00E118FA">
        <w:tc>
          <w:tcPr>
            <w:tcW w:w="1667" w:type="pct"/>
            <w:shd w:val="clear" w:color="auto" w:fill="auto"/>
          </w:tcPr>
          <w:p w:rsidR="00677261" w:rsidRPr="006E709F" w:rsidRDefault="00636892" w:rsidP="006A221B">
            <w:pPr>
              <w:pStyle w:val="Tabletext"/>
              <w:rPr>
                <w:i/>
              </w:rPr>
            </w:pPr>
            <w:r w:rsidRPr="006E709F">
              <w:rPr>
                <w:i/>
              </w:rPr>
              <w:t>Administration fee¹</w:t>
            </w:r>
          </w:p>
        </w:tc>
        <w:tc>
          <w:tcPr>
            <w:tcW w:w="1667" w:type="pct"/>
            <w:shd w:val="clear" w:color="auto" w:fill="auto"/>
          </w:tcPr>
          <w:p w:rsidR="00677261" w:rsidRPr="006E709F" w:rsidRDefault="00677261" w:rsidP="006A221B">
            <w:pPr>
              <w:pStyle w:val="Tabletext"/>
              <w:rPr>
                <w:i/>
              </w:rPr>
            </w:pPr>
          </w:p>
        </w:tc>
        <w:tc>
          <w:tcPr>
            <w:tcW w:w="1666" w:type="pct"/>
            <w:shd w:val="clear" w:color="auto" w:fill="auto"/>
          </w:tcPr>
          <w:p w:rsidR="00677261" w:rsidRPr="006E709F" w:rsidRDefault="00677261" w:rsidP="006A221B">
            <w:pPr>
              <w:pStyle w:val="Tabletext"/>
              <w:rPr>
                <w:i/>
              </w:rPr>
            </w:pPr>
          </w:p>
        </w:tc>
      </w:tr>
      <w:tr w:rsidR="00677261" w:rsidRPr="006E709F" w:rsidTr="00E118FA">
        <w:tc>
          <w:tcPr>
            <w:tcW w:w="1667" w:type="pct"/>
            <w:shd w:val="clear" w:color="auto" w:fill="auto"/>
          </w:tcPr>
          <w:p w:rsidR="00677261" w:rsidRPr="006E709F" w:rsidRDefault="00677261" w:rsidP="006A221B">
            <w:pPr>
              <w:pStyle w:val="Tabletext"/>
              <w:rPr>
                <w:i/>
              </w:rPr>
            </w:pPr>
            <w:r w:rsidRPr="006E709F">
              <w:rPr>
                <w:i/>
              </w:rPr>
              <w:t>Buy</w:t>
            </w:r>
            <w:r w:rsidR="000C4237">
              <w:rPr>
                <w:i/>
              </w:rPr>
              <w:noBreakHyphen/>
            </w:r>
            <w:r w:rsidRPr="006E709F">
              <w:rPr>
                <w:i/>
              </w:rPr>
              <w:t>sell spread</w:t>
            </w:r>
          </w:p>
        </w:tc>
        <w:tc>
          <w:tcPr>
            <w:tcW w:w="1667" w:type="pct"/>
            <w:shd w:val="clear" w:color="auto" w:fill="auto"/>
          </w:tcPr>
          <w:p w:rsidR="00677261" w:rsidRPr="006E709F" w:rsidRDefault="00677261" w:rsidP="006A221B">
            <w:pPr>
              <w:pStyle w:val="Tabletext"/>
              <w:rPr>
                <w:i/>
              </w:rPr>
            </w:pPr>
          </w:p>
        </w:tc>
        <w:tc>
          <w:tcPr>
            <w:tcW w:w="1666" w:type="pct"/>
            <w:shd w:val="clear" w:color="auto" w:fill="auto"/>
          </w:tcPr>
          <w:p w:rsidR="00677261" w:rsidRPr="006E709F" w:rsidRDefault="00677261" w:rsidP="006A221B">
            <w:pPr>
              <w:pStyle w:val="Tabletext"/>
              <w:rPr>
                <w:i/>
              </w:rPr>
            </w:pPr>
          </w:p>
        </w:tc>
      </w:tr>
      <w:tr w:rsidR="00677261" w:rsidRPr="006E709F" w:rsidTr="00E118FA">
        <w:tc>
          <w:tcPr>
            <w:tcW w:w="1667" w:type="pct"/>
            <w:shd w:val="clear" w:color="auto" w:fill="auto"/>
          </w:tcPr>
          <w:p w:rsidR="00677261" w:rsidRPr="006E709F" w:rsidRDefault="00677261" w:rsidP="006A221B">
            <w:pPr>
              <w:pStyle w:val="Tabletext"/>
              <w:rPr>
                <w:i/>
              </w:rPr>
            </w:pPr>
            <w:r w:rsidRPr="006E709F">
              <w:rPr>
                <w:i/>
              </w:rPr>
              <w:t>Switching fee</w:t>
            </w:r>
          </w:p>
        </w:tc>
        <w:tc>
          <w:tcPr>
            <w:tcW w:w="1667" w:type="pct"/>
            <w:shd w:val="clear" w:color="auto" w:fill="auto"/>
          </w:tcPr>
          <w:p w:rsidR="00677261" w:rsidRPr="006E709F" w:rsidRDefault="00677261" w:rsidP="006A221B">
            <w:pPr>
              <w:pStyle w:val="Tabletext"/>
              <w:rPr>
                <w:i/>
              </w:rPr>
            </w:pPr>
          </w:p>
        </w:tc>
        <w:tc>
          <w:tcPr>
            <w:tcW w:w="1666" w:type="pct"/>
            <w:shd w:val="clear" w:color="auto" w:fill="auto"/>
          </w:tcPr>
          <w:p w:rsidR="00677261" w:rsidRPr="006E709F" w:rsidRDefault="00677261" w:rsidP="006A221B">
            <w:pPr>
              <w:pStyle w:val="Tabletext"/>
              <w:rPr>
                <w:i/>
              </w:rPr>
            </w:pPr>
          </w:p>
        </w:tc>
      </w:tr>
      <w:tr w:rsidR="00677261" w:rsidRPr="006E709F" w:rsidTr="00E118FA">
        <w:tc>
          <w:tcPr>
            <w:tcW w:w="1667" w:type="pct"/>
            <w:tcBorders>
              <w:bottom w:val="single" w:sz="4" w:space="0" w:color="auto"/>
            </w:tcBorders>
            <w:shd w:val="clear" w:color="auto" w:fill="auto"/>
          </w:tcPr>
          <w:p w:rsidR="00677261" w:rsidRPr="006E709F" w:rsidRDefault="00677261" w:rsidP="006A221B">
            <w:pPr>
              <w:pStyle w:val="Tabletext"/>
              <w:rPr>
                <w:i/>
              </w:rPr>
            </w:pPr>
            <w:r w:rsidRPr="006E709F">
              <w:rPr>
                <w:i/>
              </w:rPr>
              <w:t>Advice fees</w:t>
            </w:r>
          </w:p>
          <w:p w:rsidR="00677261" w:rsidRPr="006E709F" w:rsidRDefault="00677261" w:rsidP="006A221B">
            <w:pPr>
              <w:pStyle w:val="Tabletext"/>
            </w:pPr>
            <w:r w:rsidRPr="006E709F">
              <w:t>relating to all members investing in a particular MySuper product or investment option</w:t>
            </w:r>
          </w:p>
        </w:tc>
        <w:tc>
          <w:tcPr>
            <w:tcW w:w="1667" w:type="pct"/>
            <w:tcBorders>
              <w:bottom w:val="single" w:sz="4" w:space="0" w:color="auto"/>
            </w:tcBorders>
            <w:shd w:val="clear" w:color="auto" w:fill="auto"/>
          </w:tcPr>
          <w:p w:rsidR="00677261" w:rsidRPr="006E709F" w:rsidRDefault="00677261" w:rsidP="005133DE">
            <w:pPr>
              <w:pStyle w:val="Tabletext"/>
            </w:pPr>
          </w:p>
        </w:tc>
        <w:tc>
          <w:tcPr>
            <w:tcW w:w="1666" w:type="pct"/>
            <w:tcBorders>
              <w:bottom w:val="single" w:sz="4" w:space="0" w:color="auto"/>
            </w:tcBorders>
            <w:shd w:val="clear" w:color="auto" w:fill="auto"/>
          </w:tcPr>
          <w:p w:rsidR="00677261" w:rsidRPr="006E709F" w:rsidRDefault="00677261" w:rsidP="005133DE">
            <w:pPr>
              <w:pStyle w:val="Tabletext"/>
            </w:pPr>
          </w:p>
        </w:tc>
      </w:tr>
      <w:tr w:rsidR="00677261" w:rsidRPr="006E709F" w:rsidTr="00E118FA">
        <w:tc>
          <w:tcPr>
            <w:tcW w:w="1667" w:type="pct"/>
            <w:shd w:val="clear" w:color="auto" w:fill="auto"/>
          </w:tcPr>
          <w:p w:rsidR="00677261" w:rsidRPr="006E709F" w:rsidRDefault="00636892" w:rsidP="006A221B">
            <w:pPr>
              <w:pStyle w:val="Tabletext"/>
              <w:rPr>
                <w:i/>
              </w:rPr>
            </w:pPr>
            <w:r w:rsidRPr="006E709F">
              <w:rPr>
                <w:i/>
              </w:rPr>
              <w:t>Other fees and costs²</w:t>
            </w:r>
          </w:p>
        </w:tc>
        <w:tc>
          <w:tcPr>
            <w:tcW w:w="1667" w:type="pct"/>
            <w:shd w:val="clear" w:color="auto" w:fill="auto"/>
          </w:tcPr>
          <w:p w:rsidR="00677261" w:rsidRPr="006E709F" w:rsidRDefault="00677261" w:rsidP="006A221B">
            <w:pPr>
              <w:pStyle w:val="Tabletext"/>
              <w:rPr>
                <w:i/>
              </w:rPr>
            </w:pPr>
          </w:p>
        </w:tc>
        <w:tc>
          <w:tcPr>
            <w:tcW w:w="1666" w:type="pct"/>
            <w:shd w:val="clear" w:color="auto" w:fill="auto"/>
          </w:tcPr>
          <w:p w:rsidR="00677261" w:rsidRPr="006E709F" w:rsidRDefault="00677261" w:rsidP="006A221B">
            <w:pPr>
              <w:pStyle w:val="Tabletext"/>
              <w:rPr>
                <w:i/>
              </w:rPr>
            </w:pPr>
          </w:p>
        </w:tc>
      </w:tr>
      <w:tr w:rsidR="00677261" w:rsidRPr="006E709F" w:rsidTr="00E118FA">
        <w:tc>
          <w:tcPr>
            <w:tcW w:w="1667" w:type="pct"/>
            <w:tcBorders>
              <w:bottom w:val="single" w:sz="12" w:space="0" w:color="auto"/>
            </w:tcBorders>
            <w:shd w:val="clear" w:color="auto" w:fill="auto"/>
          </w:tcPr>
          <w:p w:rsidR="00677261" w:rsidRPr="006E709F" w:rsidRDefault="00636892" w:rsidP="006A221B">
            <w:pPr>
              <w:pStyle w:val="Tabletext"/>
              <w:rPr>
                <w:i/>
              </w:rPr>
            </w:pPr>
            <w:r w:rsidRPr="006E709F">
              <w:rPr>
                <w:i/>
              </w:rPr>
              <w:t>Indirect cost ratio¹</w:t>
            </w:r>
          </w:p>
        </w:tc>
        <w:tc>
          <w:tcPr>
            <w:tcW w:w="1667" w:type="pct"/>
            <w:tcBorders>
              <w:bottom w:val="single" w:sz="12" w:space="0" w:color="auto"/>
            </w:tcBorders>
            <w:shd w:val="clear" w:color="auto" w:fill="auto"/>
          </w:tcPr>
          <w:p w:rsidR="00677261" w:rsidRPr="006E709F" w:rsidRDefault="00677261" w:rsidP="006A221B">
            <w:pPr>
              <w:pStyle w:val="Tabletext"/>
              <w:rPr>
                <w:i/>
              </w:rPr>
            </w:pPr>
          </w:p>
        </w:tc>
        <w:tc>
          <w:tcPr>
            <w:tcW w:w="1666" w:type="pct"/>
            <w:tcBorders>
              <w:bottom w:val="single" w:sz="12" w:space="0" w:color="auto"/>
            </w:tcBorders>
            <w:shd w:val="clear" w:color="auto" w:fill="auto"/>
          </w:tcPr>
          <w:p w:rsidR="00677261" w:rsidRPr="006E709F" w:rsidRDefault="00677261" w:rsidP="006A221B">
            <w:pPr>
              <w:pStyle w:val="Tabletext"/>
              <w:rPr>
                <w:i/>
              </w:rPr>
            </w:pPr>
          </w:p>
        </w:tc>
      </w:tr>
    </w:tbl>
    <w:p w:rsidR="00636892" w:rsidRPr="006E709F" w:rsidRDefault="00636892" w:rsidP="00636892">
      <w:pPr>
        <w:pStyle w:val="notemargin"/>
      </w:pPr>
      <w:r w:rsidRPr="006E709F">
        <w:t>1.</w:t>
      </w:r>
      <w:r w:rsidRPr="006E709F">
        <w:tab/>
        <w:t>If your account balance for a product offered by the superannuation entity is less than $6,000 at the end of the entity’s income year, the total combined amount of administration fees, investment fees and indirect costs charged to you is capped at 3% of the account balance. Any amount charged in excess of that cap must be refunded.</w:t>
      </w:r>
    </w:p>
    <w:p w:rsidR="00677261" w:rsidRPr="006E709F" w:rsidRDefault="00636892" w:rsidP="00677261">
      <w:pPr>
        <w:pStyle w:val="notemargin"/>
        <w:rPr>
          <w:i/>
        </w:rPr>
      </w:pPr>
      <w:r w:rsidRPr="006E709F">
        <w:lastRenderedPageBreak/>
        <w:t>2</w:t>
      </w:r>
      <w:r w:rsidR="00677261" w:rsidRPr="006E709F">
        <w:t>.</w:t>
      </w:r>
      <w:r w:rsidR="00677261" w:rsidRPr="006E709F">
        <w:tab/>
      </w:r>
      <w:r w:rsidR="00677261" w:rsidRPr="006E709F">
        <w:rPr>
          <w:i/>
        </w:rPr>
        <w:t>[If there are other fees and costs, such as activity fees, advice fees for personal advice or insurance fees, include a cross</w:t>
      </w:r>
      <w:r w:rsidR="000C4237">
        <w:rPr>
          <w:i/>
        </w:rPr>
        <w:noBreakHyphen/>
      </w:r>
      <w:r w:rsidR="00677261" w:rsidRPr="006E709F">
        <w:rPr>
          <w:i/>
        </w:rPr>
        <w:t>reference to the “Additional Explanation of Fees and Costs”.]</w:t>
      </w:r>
    </w:p>
    <w:p w:rsidR="00677261" w:rsidRPr="006E709F" w:rsidRDefault="00677261" w:rsidP="001A180A">
      <w:pPr>
        <w:pStyle w:val="ActHead3"/>
        <w:pageBreakBefore/>
      </w:pPr>
      <w:bookmarkStart w:id="68" w:name="_Toc170547885"/>
      <w:r w:rsidRPr="000C4237">
        <w:rPr>
          <w:rStyle w:val="CharDivNo"/>
        </w:rPr>
        <w:lastRenderedPageBreak/>
        <w:t>Division</w:t>
      </w:r>
      <w:r w:rsidR="00DA13DE" w:rsidRPr="000C4237">
        <w:rPr>
          <w:rStyle w:val="CharDivNo"/>
        </w:rPr>
        <w:t> </w:t>
      </w:r>
      <w:r w:rsidRPr="000C4237">
        <w:rPr>
          <w:rStyle w:val="CharDivNo"/>
        </w:rPr>
        <w:t>2</w:t>
      </w:r>
      <w:r w:rsidRPr="006E709F">
        <w:t>—</w:t>
      </w:r>
      <w:r w:rsidRPr="000C4237">
        <w:rPr>
          <w:rStyle w:val="CharDivText"/>
        </w:rPr>
        <w:t xml:space="preserve">The fees and costs template for </w:t>
      </w:r>
      <w:r w:rsidR="0098212A" w:rsidRPr="000C4237">
        <w:rPr>
          <w:rStyle w:val="CharDivText"/>
        </w:rPr>
        <w:t>collective investment products</w:t>
      </w:r>
      <w:bookmarkEnd w:id="68"/>
    </w:p>
    <w:p w:rsidR="00677261" w:rsidRPr="006E709F" w:rsidRDefault="00677261" w:rsidP="00677261">
      <w:pPr>
        <w:pStyle w:val="ActHead5"/>
      </w:pPr>
      <w:bookmarkStart w:id="69" w:name="_Toc170547886"/>
      <w:r w:rsidRPr="000C4237">
        <w:rPr>
          <w:rStyle w:val="CharSectno"/>
        </w:rPr>
        <w:t>202</w:t>
      </w:r>
      <w:r w:rsidRPr="006E709F">
        <w:t xml:space="preserve">  Template for a multiple fee structure—</w:t>
      </w:r>
      <w:r w:rsidR="0098212A" w:rsidRPr="006E709F">
        <w:t>collective investment products</w:t>
      </w:r>
      <w:bookmarkEnd w:id="69"/>
    </w:p>
    <w:p w:rsidR="00677261" w:rsidRPr="006E709F" w:rsidRDefault="00677261" w:rsidP="000858E6">
      <w:pPr>
        <w:spacing w:before="240" w:line="276" w:lineRule="auto"/>
        <w:rPr>
          <w:rFonts w:ascii="Arial" w:hAnsi="Arial" w:cs="Arial"/>
          <w:b/>
          <w:sz w:val="24"/>
          <w:szCs w:val="24"/>
        </w:rPr>
      </w:pPr>
      <w:r w:rsidRPr="006E709F">
        <w:rPr>
          <w:rFonts w:ascii="Arial" w:hAnsi="Arial" w:cs="Arial"/>
          <w:b/>
          <w:sz w:val="24"/>
          <w:szCs w:val="24"/>
        </w:rPr>
        <w:t>Fees and other costs</w:t>
      </w:r>
    </w:p>
    <w:p w:rsidR="00677261" w:rsidRPr="006E709F" w:rsidRDefault="00677261" w:rsidP="00677261">
      <w:pPr>
        <w:spacing w:line="240" w:lineRule="auto"/>
      </w:pPr>
      <w:r w:rsidRPr="006E709F">
        <w:rPr>
          <w:rFonts w:ascii="Arial" w:hAnsi="Arial" w:cs="Arial"/>
          <w:sz w:val="19"/>
          <w:szCs w:val="19"/>
        </w:rPr>
        <w:t>T</w:t>
      </w:r>
      <w:r w:rsidRPr="006E709F">
        <w:t xml:space="preserve">his document shows fees and other costs that you may be charged. These fees and costs may be deducted from your money, from the returns on your investment or from the assets of the </w:t>
      </w:r>
      <w:r w:rsidR="001C486F" w:rsidRPr="006E709F">
        <w:rPr>
          <w:i/>
        </w:rPr>
        <w:t>[managed investment scheme / retail CCIV]</w:t>
      </w:r>
      <w:r w:rsidRPr="006E709F">
        <w:t xml:space="preserve"> as a whole.</w:t>
      </w:r>
    </w:p>
    <w:p w:rsidR="00677261" w:rsidRPr="006E709F" w:rsidRDefault="00677261" w:rsidP="00677261">
      <w:pPr>
        <w:spacing w:line="240" w:lineRule="auto"/>
        <w:rPr>
          <w:sz w:val="16"/>
          <w:szCs w:val="16"/>
        </w:rPr>
      </w:pPr>
    </w:p>
    <w:p w:rsidR="00677261" w:rsidRPr="006E709F" w:rsidRDefault="00677261" w:rsidP="00677261">
      <w:pPr>
        <w:spacing w:line="240" w:lineRule="auto"/>
      </w:pPr>
      <w:r w:rsidRPr="006E709F">
        <w:t>Taxes and insurance costs are set out in another part of this document.</w:t>
      </w:r>
    </w:p>
    <w:p w:rsidR="00677261" w:rsidRPr="006E709F" w:rsidRDefault="00677261" w:rsidP="00677261">
      <w:pPr>
        <w:spacing w:line="240" w:lineRule="auto"/>
        <w:rPr>
          <w:sz w:val="16"/>
          <w:szCs w:val="16"/>
        </w:rPr>
      </w:pPr>
    </w:p>
    <w:p w:rsidR="00677261" w:rsidRPr="006E709F" w:rsidRDefault="00677261" w:rsidP="00677261">
      <w:pPr>
        <w:spacing w:line="240" w:lineRule="auto"/>
      </w:pPr>
      <w:r w:rsidRPr="006E709F">
        <w:t>You have 2 different fee payment options:</w:t>
      </w:r>
    </w:p>
    <w:p w:rsidR="00677261" w:rsidRPr="006E709F" w:rsidRDefault="00677261" w:rsidP="00677261">
      <w:pPr>
        <w:pStyle w:val="paragraph"/>
      </w:pPr>
      <w:r w:rsidRPr="006E709F">
        <w:tab/>
        <w:t>(a)</w:t>
      </w:r>
      <w:r w:rsidRPr="006E709F">
        <w:tab/>
        <w:t xml:space="preserve">to pay contribution fees upfront, at the time when you make each investment into the </w:t>
      </w:r>
      <w:r w:rsidR="001C486F" w:rsidRPr="006E709F">
        <w:rPr>
          <w:i/>
        </w:rPr>
        <w:t>[managed investment scheme / retail CCIV]</w:t>
      </w:r>
      <w:r w:rsidRPr="006E709F">
        <w:t>; or</w:t>
      </w:r>
    </w:p>
    <w:p w:rsidR="00677261" w:rsidRPr="006E709F" w:rsidRDefault="00677261" w:rsidP="00677261">
      <w:pPr>
        <w:pStyle w:val="paragraph"/>
      </w:pPr>
      <w:r w:rsidRPr="006E709F">
        <w:tab/>
        <w:t>(b)</w:t>
      </w:r>
      <w:r w:rsidRPr="006E709F">
        <w:tab/>
        <w:t>to pay contribution fees later (for example, on the termination of your investment or by way of other increased fees).</w:t>
      </w:r>
    </w:p>
    <w:p w:rsidR="00677261" w:rsidRPr="006E709F" w:rsidRDefault="00677261" w:rsidP="00677261">
      <w:pPr>
        <w:pStyle w:val="notemargin"/>
        <w:spacing w:line="240" w:lineRule="auto"/>
      </w:pPr>
      <w:r w:rsidRPr="006E709F">
        <w:t>Note:</w:t>
      </w:r>
      <w:r w:rsidRPr="006E709F">
        <w:tab/>
        <w:t>You may pay more in total fees if you choose to pay contribution fees later.</w:t>
      </w:r>
    </w:p>
    <w:p w:rsidR="00677261" w:rsidRPr="006E709F" w:rsidRDefault="00677261" w:rsidP="00677261">
      <w:pPr>
        <w:pStyle w:val="notemargin"/>
        <w:spacing w:line="240" w:lineRule="auto"/>
      </w:pPr>
    </w:p>
    <w:p w:rsidR="00677261" w:rsidRPr="006E709F" w:rsidRDefault="00677261" w:rsidP="00677261">
      <w:pPr>
        <w:spacing w:line="240" w:lineRule="auto"/>
      </w:pPr>
      <w:r w:rsidRPr="006E709F">
        <w:t>You should read all the information about fees and costs because it is important to understand their impact on your investment.</w:t>
      </w:r>
    </w:p>
    <w:p w:rsidR="00677261" w:rsidRPr="006E709F" w:rsidRDefault="00677261" w:rsidP="00677261">
      <w:pPr>
        <w:spacing w:line="240" w:lineRule="auto"/>
        <w:rPr>
          <w:sz w:val="16"/>
          <w:szCs w:val="16"/>
        </w:rPr>
      </w:pPr>
    </w:p>
    <w:p w:rsidR="00677261" w:rsidRPr="006E709F" w:rsidRDefault="00677261" w:rsidP="006A221B">
      <w:pPr>
        <w:spacing w:line="240" w:lineRule="auto"/>
      </w:pPr>
      <w:r w:rsidRPr="006E709F">
        <w:rPr>
          <w:i/>
        </w:rPr>
        <w:t>[If relevant]</w:t>
      </w:r>
      <w:r w:rsidRPr="006E709F">
        <w:t xml:space="preserve"> Fees and costs for particular investment options are set out on page </w:t>
      </w:r>
      <w:r w:rsidRPr="006E709F">
        <w:rPr>
          <w:i/>
        </w:rPr>
        <w:t>[insert page number]</w:t>
      </w:r>
      <w:r w:rsidRPr="006E709F">
        <w:t>.</w:t>
      </w:r>
    </w:p>
    <w:p w:rsidR="006A221B" w:rsidRPr="006E709F" w:rsidRDefault="006A221B" w:rsidP="006A221B">
      <w:pPr>
        <w:spacing w:line="240" w:lineRule="auto"/>
        <w:rPr>
          <w:sz w:val="16"/>
          <w:szCs w:val="16"/>
        </w:rPr>
      </w:pPr>
    </w:p>
    <w:tbl>
      <w:tblPr>
        <w:tblW w:w="5000" w:type="pct"/>
        <w:tblBorders>
          <w:top w:val="single" w:sz="12" w:space="0" w:color="auto"/>
          <w:bottom w:val="single" w:sz="2" w:space="0" w:color="auto"/>
          <w:insideH w:val="single" w:sz="12" w:space="0" w:color="auto"/>
        </w:tblBorders>
        <w:tblLook w:val="0000" w:firstRow="0" w:lastRow="0" w:firstColumn="0" w:lastColumn="0" w:noHBand="0" w:noVBand="0"/>
      </w:tblPr>
      <w:tblGrid>
        <w:gridCol w:w="2385"/>
        <w:gridCol w:w="1881"/>
        <w:gridCol w:w="2132"/>
        <w:gridCol w:w="2131"/>
      </w:tblGrid>
      <w:tr w:rsidR="00677261" w:rsidRPr="006E709F" w:rsidTr="00E118FA">
        <w:trPr>
          <w:tblHeader/>
        </w:trPr>
        <w:tc>
          <w:tcPr>
            <w:tcW w:w="5000" w:type="pct"/>
            <w:gridSpan w:val="4"/>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F2E0A">
            <w:pPr>
              <w:pStyle w:val="TableHeading"/>
              <w:rPr>
                <w:i/>
              </w:rPr>
            </w:pPr>
            <w:r w:rsidRPr="006E709F">
              <w:rPr>
                <w:i/>
              </w:rPr>
              <w:t xml:space="preserve">[Name of </w:t>
            </w:r>
            <w:r w:rsidR="0098212A" w:rsidRPr="006E709F">
              <w:rPr>
                <w:i/>
              </w:rPr>
              <w:t>collective investment product</w:t>
            </w:r>
            <w:r w:rsidRPr="006E709F">
              <w:rPr>
                <w:i/>
              </w:rPr>
              <w:t>]</w:t>
            </w:r>
          </w:p>
        </w:tc>
      </w:tr>
      <w:tr w:rsidR="00677261" w:rsidRPr="006E709F" w:rsidTr="00E118FA">
        <w:trPr>
          <w:tblHeader/>
        </w:trPr>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text"/>
              <w:rPr>
                <w:b/>
              </w:rPr>
            </w:pPr>
            <w:r w:rsidRPr="006E709F">
              <w:rPr>
                <w:b/>
              </w:rPr>
              <w:t>Type of fee or cost</w:t>
            </w:r>
          </w:p>
        </w:tc>
        <w:tc>
          <w:tcPr>
            <w:tcW w:w="2353" w:type="pct"/>
            <w:gridSpan w:val="2"/>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text"/>
              <w:rPr>
                <w:b/>
              </w:rPr>
            </w:pPr>
            <w:r w:rsidRPr="006E709F">
              <w:rPr>
                <w:b/>
              </w:rPr>
              <w:t xml:space="preserve">Amount </w:t>
            </w: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text"/>
              <w:rPr>
                <w:b/>
              </w:rPr>
            </w:pPr>
            <w:r w:rsidRPr="006E709F">
              <w:rPr>
                <w:b/>
              </w:rPr>
              <w:t>How and when paid</w:t>
            </w:r>
          </w:p>
        </w:tc>
      </w:tr>
      <w:tr w:rsidR="00677261" w:rsidRPr="006E709F" w:rsidTr="00E118FA">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text"/>
              <w:rPr>
                <w:b/>
              </w:rPr>
            </w:pP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text"/>
              <w:rPr>
                <w:b/>
              </w:rPr>
            </w:pPr>
            <w:r w:rsidRPr="006E709F">
              <w:rPr>
                <w:b/>
              </w:rPr>
              <w:t>Option to pay contribution fees upfront</w:t>
            </w: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text"/>
              <w:rPr>
                <w:b/>
              </w:rPr>
            </w:pPr>
            <w:r w:rsidRPr="006E709F">
              <w:rPr>
                <w:b/>
              </w:rPr>
              <w:t>Option to pay contribution fees later</w:t>
            </w: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text"/>
              <w:rPr>
                <w:b/>
              </w:rPr>
            </w:pPr>
          </w:p>
        </w:tc>
      </w:tr>
      <w:tr w:rsidR="00677261" w:rsidRPr="006E709F" w:rsidTr="00E118FA">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F2E0A">
            <w:pPr>
              <w:pStyle w:val="Tabletext"/>
              <w:rPr>
                <w:b/>
              </w:rPr>
            </w:pPr>
            <w:r w:rsidRPr="006E709F">
              <w:rPr>
                <w:b/>
              </w:rPr>
              <w:t xml:space="preserve">Fees when your money moves in or out of the </w:t>
            </w:r>
            <w:r w:rsidR="0098212A" w:rsidRPr="006E709F">
              <w:rPr>
                <w:b/>
              </w:rPr>
              <w:t>product</w:t>
            </w: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text"/>
              <w:rPr>
                <w:b/>
              </w:rPr>
            </w:pP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text"/>
              <w:rPr>
                <w:b/>
              </w:rPr>
            </w:pP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text"/>
              <w:rPr>
                <w:b/>
              </w:rPr>
            </w:pPr>
          </w:p>
        </w:tc>
      </w:tr>
      <w:tr w:rsidR="00677261" w:rsidRPr="006E709F" w:rsidTr="00E118FA">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text"/>
              <w:rPr>
                <w:i/>
              </w:rPr>
            </w:pPr>
            <w:r w:rsidRPr="006E709F">
              <w:rPr>
                <w:i/>
              </w:rPr>
              <w:t>Establishment fee</w:t>
            </w:r>
          </w:p>
          <w:p w:rsidR="00677261" w:rsidRPr="006E709F" w:rsidRDefault="00677261" w:rsidP="006A221B">
            <w:pPr>
              <w:pStyle w:val="Tabletext"/>
            </w:pPr>
            <w:r w:rsidRPr="006E709F">
              <w:t>The fee to open your investment</w:t>
            </w: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r>
      <w:tr w:rsidR="00677261" w:rsidRPr="006E709F" w:rsidTr="00E118FA">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text"/>
              <w:rPr>
                <w:i/>
              </w:rPr>
            </w:pPr>
            <w:r w:rsidRPr="006E709F">
              <w:rPr>
                <w:i/>
              </w:rPr>
              <w:t>Contribution fee¹</w:t>
            </w:r>
          </w:p>
          <w:p w:rsidR="00677261" w:rsidRPr="006E709F" w:rsidRDefault="00677261" w:rsidP="006A221B">
            <w:pPr>
              <w:pStyle w:val="Tabletext"/>
            </w:pPr>
            <w:r w:rsidRPr="006E709F">
              <w:t>The fee on each amount contributed to your investment</w:t>
            </w: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r>
      <w:tr w:rsidR="00677261" w:rsidRPr="006E709F" w:rsidTr="00E118FA">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text"/>
              <w:rPr>
                <w:i/>
              </w:rPr>
            </w:pPr>
            <w:r w:rsidRPr="006E709F">
              <w:rPr>
                <w:i/>
              </w:rPr>
              <w:t>Withdrawal fee¹</w:t>
            </w:r>
          </w:p>
          <w:p w:rsidR="00677261" w:rsidRPr="006E709F" w:rsidRDefault="00677261" w:rsidP="006A221B">
            <w:pPr>
              <w:pStyle w:val="Tabletext"/>
            </w:pPr>
            <w:r w:rsidRPr="006E709F">
              <w:t>The fee on each amount you take out of your investment</w:t>
            </w: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r>
      <w:tr w:rsidR="00677261" w:rsidRPr="006E709F" w:rsidTr="00E118FA">
        <w:trPr>
          <w:cantSplit/>
        </w:trPr>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text"/>
              <w:rPr>
                <w:i/>
              </w:rPr>
            </w:pPr>
            <w:r w:rsidRPr="006E709F">
              <w:rPr>
                <w:i/>
              </w:rPr>
              <w:lastRenderedPageBreak/>
              <w:t>Exit fee¹</w:t>
            </w:r>
          </w:p>
          <w:p w:rsidR="00677261" w:rsidRPr="006E709F" w:rsidRDefault="00677261" w:rsidP="006A221B">
            <w:pPr>
              <w:pStyle w:val="Tabletext"/>
            </w:pPr>
            <w:r w:rsidRPr="006E709F">
              <w:t>The fee to close your investment</w:t>
            </w: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r>
      <w:tr w:rsidR="00677261" w:rsidRPr="006E709F" w:rsidTr="00E118FA">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rPr>
                <w:b/>
              </w:rPr>
            </w:pPr>
            <w:r w:rsidRPr="006E709F">
              <w:rPr>
                <w:b/>
              </w:rPr>
              <w:t>Management costs</w:t>
            </w: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r>
      <w:tr w:rsidR="00677261" w:rsidRPr="006E709F" w:rsidTr="00E118FA">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text"/>
              <w:rPr>
                <w:i/>
              </w:rPr>
            </w:pPr>
            <w:r w:rsidRPr="006E709F">
              <w:rPr>
                <w:i/>
              </w:rPr>
              <w:t>The fees and costs for managing your investment¹</w:t>
            </w:r>
          </w:p>
          <w:p w:rsidR="00677261" w:rsidRPr="006E709F" w:rsidRDefault="00677261" w:rsidP="006A221B">
            <w:pPr>
              <w:pStyle w:val="Tabletext"/>
            </w:pPr>
            <w:r w:rsidRPr="006E709F">
              <w:t xml:space="preserve">The amount you pay for specific investment options is shown at page </w:t>
            </w:r>
            <w:r w:rsidRPr="006E709F">
              <w:rPr>
                <w:i/>
              </w:rPr>
              <w:t>[insert page number]</w:t>
            </w:r>
            <w:r w:rsidRPr="006E709F">
              <w:t xml:space="preserve"> </w:t>
            </w: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r>
      <w:tr w:rsidR="00677261" w:rsidRPr="006E709F" w:rsidTr="00E118FA">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rPr>
                <w:b/>
              </w:rPr>
            </w:pPr>
            <w:r w:rsidRPr="006E709F">
              <w:rPr>
                <w:b/>
              </w:rPr>
              <w:t>Service fees²</w:t>
            </w: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r>
      <w:tr w:rsidR="00677261" w:rsidRPr="006E709F" w:rsidTr="00E118FA">
        <w:tc>
          <w:tcPr>
            <w:tcW w:w="1398"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text"/>
              <w:rPr>
                <w:i/>
              </w:rPr>
            </w:pPr>
            <w:r w:rsidRPr="006E709F">
              <w:rPr>
                <w:i/>
              </w:rPr>
              <w:t>Switching fee</w:t>
            </w:r>
          </w:p>
          <w:p w:rsidR="00677261" w:rsidRPr="006E709F" w:rsidRDefault="00677261" w:rsidP="006A221B">
            <w:pPr>
              <w:pStyle w:val="Tabletext"/>
            </w:pPr>
            <w:r w:rsidRPr="006E709F">
              <w:t>The fee for changing investment options</w:t>
            </w:r>
          </w:p>
        </w:tc>
        <w:tc>
          <w:tcPr>
            <w:tcW w:w="1103"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c>
          <w:tcPr>
            <w:tcW w:w="125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5133DE">
            <w:pPr>
              <w:pStyle w:val="Tabletext"/>
            </w:pPr>
          </w:p>
        </w:tc>
      </w:tr>
    </w:tbl>
    <w:p w:rsidR="00677261" w:rsidRPr="006E709F" w:rsidRDefault="00677261" w:rsidP="00677261">
      <w:pPr>
        <w:pStyle w:val="notemargin"/>
      </w:pPr>
      <w:r w:rsidRPr="006E709F">
        <w:rPr>
          <w:bCs/>
        </w:rPr>
        <w:t>1.</w:t>
      </w:r>
      <w:r w:rsidRPr="006E709F">
        <w:rPr>
          <w:bCs/>
        </w:rPr>
        <w:tab/>
      </w:r>
      <w:r w:rsidRPr="006E709F">
        <w:t>This fee includes an amount payable to an adviser. (See Division</w:t>
      </w:r>
      <w:r w:rsidR="00DA13DE" w:rsidRPr="006E709F">
        <w:t> </w:t>
      </w:r>
      <w:r w:rsidRPr="006E709F">
        <w:t>4, “Adviser remuneration” under the heading “Additional Explanation of Fees and Costs”.)</w:t>
      </w:r>
    </w:p>
    <w:p w:rsidR="00677261" w:rsidRPr="006E709F" w:rsidRDefault="00677261" w:rsidP="00677261">
      <w:pPr>
        <w:pStyle w:val="notemargin"/>
        <w:rPr>
          <w:i/>
        </w:rPr>
      </w:pPr>
      <w:r w:rsidRPr="006E709F">
        <w:rPr>
          <w:bCs/>
        </w:rPr>
        <w:t>2</w:t>
      </w:r>
      <w:r w:rsidRPr="006E709F">
        <w:t>.</w:t>
      </w:r>
      <w:r w:rsidRPr="006E709F">
        <w:tab/>
      </w:r>
      <w:r w:rsidRPr="006E709F">
        <w:rPr>
          <w:i/>
        </w:rPr>
        <w:t>[If there are other service fees, such as advice fees or special request fees, include a cross</w:t>
      </w:r>
      <w:r w:rsidR="000C4237">
        <w:rPr>
          <w:i/>
        </w:rPr>
        <w:noBreakHyphen/>
      </w:r>
      <w:r w:rsidRPr="006E709F">
        <w:rPr>
          <w:i/>
        </w:rPr>
        <w:t>reference to the “Additional Explanation of Fees and Costs”.]</w:t>
      </w:r>
    </w:p>
    <w:p w:rsidR="00677261" w:rsidRPr="006E709F" w:rsidRDefault="00677261" w:rsidP="00677261">
      <w:pPr>
        <w:pStyle w:val="ActHead5"/>
      </w:pPr>
      <w:bookmarkStart w:id="70" w:name="_Toc170547887"/>
      <w:r w:rsidRPr="000C4237">
        <w:rPr>
          <w:rStyle w:val="CharSectno"/>
        </w:rPr>
        <w:t>202A</w:t>
      </w:r>
      <w:r w:rsidRPr="006E709F">
        <w:t xml:space="preserve">  Template for single fee structure—</w:t>
      </w:r>
      <w:r w:rsidR="0098212A" w:rsidRPr="006E709F">
        <w:t>collective investment products</w:t>
      </w:r>
      <w:bookmarkEnd w:id="70"/>
    </w:p>
    <w:p w:rsidR="00677261" w:rsidRPr="006E709F" w:rsidRDefault="00677261" w:rsidP="000858E6">
      <w:pPr>
        <w:spacing w:before="240" w:line="276" w:lineRule="auto"/>
        <w:rPr>
          <w:rFonts w:ascii="Arial" w:hAnsi="Arial" w:cs="Arial"/>
          <w:b/>
          <w:sz w:val="24"/>
          <w:szCs w:val="24"/>
        </w:rPr>
      </w:pPr>
      <w:r w:rsidRPr="006E709F">
        <w:rPr>
          <w:rFonts w:ascii="Arial" w:hAnsi="Arial" w:cs="Arial"/>
          <w:b/>
          <w:sz w:val="24"/>
          <w:szCs w:val="24"/>
        </w:rPr>
        <w:t>Fees and other costs</w:t>
      </w:r>
    </w:p>
    <w:p w:rsidR="00677261" w:rsidRPr="006E709F" w:rsidRDefault="00677261" w:rsidP="00677261">
      <w:pPr>
        <w:spacing w:line="240" w:lineRule="auto"/>
      </w:pPr>
      <w:r w:rsidRPr="006E709F">
        <w:rPr>
          <w:rFonts w:ascii="Arial" w:hAnsi="Arial" w:cs="Arial"/>
          <w:sz w:val="19"/>
          <w:szCs w:val="19"/>
        </w:rPr>
        <w:t>T</w:t>
      </w:r>
      <w:r w:rsidRPr="006E709F">
        <w:t xml:space="preserve">his document shows fees and other costs that you may be charged. These fees and costs may be deducted from your money, from the returns on your investment or from the assets of the </w:t>
      </w:r>
      <w:r w:rsidR="001C486F" w:rsidRPr="006E709F">
        <w:rPr>
          <w:i/>
        </w:rPr>
        <w:t>[managed investment scheme / retail CCIV]</w:t>
      </w:r>
      <w:r w:rsidRPr="006E709F">
        <w:t xml:space="preserve"> as a whole.</w:t>
      </w:r>
    </w:p>
    <w:p w:rsidR="00677261" w:rsidRPr="006E709F" w:rsidRDefault="00677261" w:rsidP="00677261">
      <w:pPr>
        <w:spacing w:line="240" w:lineRule="auto"/>
      </w:pPr>
    </w:p>
    <w:p w:rsidR="00677261" w:rsidRPr="006E709F" w:rsidRDefault="00677261" w:rsidP="00677261">
      <w:pPr>
        <w:spacing w:line="240" w:lineRule="auto"/>
      </w:pPr>
      <w:r w:rsidRPr="006E709F">
        <w:t>Taxes and insurance costs are set out in another part of this document.</w:t>
      </w:r>
    </w:p>
    <w:p w:rsidR="00677261" w:rsidRPr="006E709F" w:rsidRDefault="00677261" w:rsidP="00677261">
      <w:pPr>
        <w:spacing w:line="240" w:lineRule="auto"/>
      </w:pPr>
    </w:p>
    <w:p w:rsidR="00677261" w:rsidRPr="006E709F" w:rsidRDefault="00677261" w:rsidP="00677261">
      <w:pPr>
        <w:spacing w:line="240" w:lineRule="auto"/>
      </w:pPr>
      <w:r w:rsidRPr="006E709F">
        <w:t>You should read all the information about fees and costs because it is important to understand their impact on your investment.</w:t>
      </w:r>
    </w:p>
    <w:p w:rsidR="00677261" w:rsidRPr="006E709F" w:rsidRDefault="00677261" w:rsidP="00677261">
      <w:pPr>
        <w:spacing w:line="240" w:lineRule="auto"/>
      </w:pPr>
    </w:p>
    <w:p w:rsidR="00677261" w:rsidRPr="006E709F" w:rsidRDefault="00677261" w:rsidP="00677261">
      <w:pPr>
        <w:spacing w:line="240" w:lineRule="auto"/>
      </w:pPr>
      <w:r w:rsidRPr="006E709F">
        <w:rPr>
          <w:i/>
        </w:rPr>
        <w:t>[If relevant]</w:t>
      </w:r>
      <w:r w:rsidRPr="006E709F">
        <w:t xml:space="preserve"> Fees and costs for particular investment options are set out on page </w:t>
      </w:r>
      <w:r w:rsidRPr="006E709F">
        <w:rPr>
          <w:i/>
        </w:rPr>
        <w:t>[insert page number]</w:t>
      </w:r>
      <w:r w:rsidRPr="006E709F">
        <w:t>.</w:t>
      </w:r>
    </w:p>
    <w:p w:rsidR="000858E6" w:rsidRPr="006E709F" w:rsidRDefault="000858E6" w:rsidP="00677261">
      <w:pPr>
        <w:spacing w:line="240" w:lineRule="auto"/>
        <w:rPr>
          <w:sz w:val="16"/>
          <w:szCs w:val="16"/>
        </w:rPr>
      </w:pPr>
    </w:p>
    <w:tbl>
      <w:tblPr>
        <w:tblW w:w="5000" w:type="pct"/>
        <w:tblBorders>
          <w:top w:val="single" w:sz="12" w:space="0" w:color="auto"/>
          <w:bottom w:val="single" w:sz="2" w:space="0" w:color="auto"/>
          <w:insideH w:val="single" w:sz="12" w:space="0" w:color="auto"/>
        </w:tblBorders>
        <w:tblLook w:val="0000" w:firstRow="0" w:lastRow="0" w:firstColumn="0" w:lastColumn="0" w:noHBand="0" w:noVBand="0"/>
      </w:tblPr>
      <w:tblGrid>
        <w:gridCol w:w="2130"/>
        <w:gridCol w:w="4265"/>
        <w:gridCol w:w="2134"/>
      </w:tblGrid>
      <w:tr w:rsidR="00677261" w:rsidRPr="006E709F" w:rsidTr="00E118FA">
        <w:trPr>
          <w:tblHeader/>
        </w:trPr>
        <w:tc>
          <w:tcPr>
            <w:tcW w:w="5000" w:type="pct"/>
            <w:gridSpan w:val="3"/>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F2E0A">
            <w:pPr>
              <w:pStyle w:val="TableHeading"/>
              <w:rPr>
                <w:i/>
              </w:rPr>
            </w:pPr>
            <w:r w:rsidRPr="006E709F">
              <w:rPr>
                <w:i/>
              </w:rPr>
              <w:t xml:space="preserve">[Name of </w:t>
            </w:r>
            <w:r w:rsidR="0098212A" w:rsidRPr="006E709F">
              <w:rPr>
                <w:i/>
              </w:rPr>
              <w:t>collective investment product</w:t>
            </w:r>
            <w:r w:rsidRPr="006E709F">
              <w:rPr>
                <w:i/>
              </w:rPr>
              <w:t>]</w:t>
            </w:r>
          </w:p>
        </w:tc>
      </w:tr>
      <w:tr w:rsidR="00677261" w:rsidRPr="006E709F" w:rsidTr="00E118FA">
        <w:trPr>
          <w:tblHeader/>
        </w:trPr>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Heading"/>
            </w:pPr>
            <w:r w:rsidRPr="006E709F">
              <w:t>Type of fee or cost</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Heading"/>
            </w:pPr>
            <w:r w:rsidRPr="006E709F">
              <w:t xml:space="preserve">Amount </w:t>
            </w: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Heading"/>
            </w:pPr>
            <w:r w:rsidRPr="006E709F">
              <w:t>How and when paid</w:t>
            </w:r>
          </w:p>
        </w:tc>
      </w:tr>
      <w:tr w:rsidR="00677261" w:rsidRPr="006E709F" w:rsidTr="00E118FA">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F2E0A">
            <w:pPr>
              <w:pStyle w:val="TableHeading"/>
            </w:pPr>
            <w:r w:rsidRPr="006E709F">
              <w:t xml:space="preserve">Fees when your money moves in or out of the </w:t>
            </w:r>
            <w:r w:rsidR="00BD52AE" w:rsidRPr="006E709F">
              <w:t>product</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Heading"/>
            </w:pP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Heading"/>
            </w:pPr>
          </w:p>
        </w:tc>
      </w:tr>
      <w:tr w:rsidR="00677261" w:rsidRPr="006E709F" w:rsidTr="00E118FA">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A221B">
            <w:pPr>
              <w:pStyle w:val="Tabletext"/>
              <w:rPr>
                <w:i/>
              </w:rPr>
            </w:pPr>
            <w:r w:rsidRPr="006E709F">
              <w:rPr>
                <w:i/>
              </w:rPr>
              <w:t>Establishment fee</w:t>
            </w:r>
          </w:p>
          <w:p w:rsidR="00677261" w:rsidRPr="006E709F" w:rsidRDefault="00677261" w:rsidP="00DA6FFD">
            <w:pPr>
              <w:pStyle w:val="Tabletext"/>
            </w:pPr>
            <w:r w:rsidRPr="006E709F">
              <w:t>The fee to open your investment</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77261">
            <w:pPr>
              <w:spacing w:line="240" w:lineRule="auto"/>
            </w:pP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77261">
            <w:pPr>
              <w:spacing w:line="240" w:lineRule="auto"/>
            </w:pPr>
          </w:p>
        </w:tc>
      </w:tr>
      <w:tr w:rsidR="00677261" w:rsidRPr="006E709F" w:rsidTr="00E118FA">
        <w:trPr>
          <w:cantSplit/>
        </w:trPr>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A53AD1">
            <w:pPr>
              <w:pStyle w:val="Tabletext"/>
              <w:rPr>
                <w:i/>
              </w:rPr>
            </w:pPr>
            <w:r w:rsidRPr="006E709F">
              <w:rPr>
                <w:i/>
              </w:rPr>
              <w:lastRenderedPageBreak/>
              <w:t>Contribution fee¹</w:t>
            </w:r>
          </w:p>
          <w:p w:rsidR="00677261" w:rsidRPr="006E709F" w:rsidRDefault="00677261" w:rsidP="00DA6FFD">
            <w:pPr>
              <w:pStyle w:val="Tabletext"/>
            </w:pPr>
            <w:r w:rsidRPr="006E709F">
              <w:t>The fee on each amount contributed to your investment</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77261">
            <w:pPr>
              <w:spacing w:line="240" w:lineRule="auto"/>
            </w:pP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77261">
            <w:pPr>
              <w:spacing w:line="240" w:lineRule="auto"/>
            </w:pPr>
          </w:p>
        </w:tc>
      </w:tr>
      <w:tr w:rsidR="00677261" w:rsidRPr="006E709F" w:rsidTr="00E118FA">
        <w:trPr>
          <w:cantSplit/>
        </w:trPr>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A53AD1">
            <w:pPr>
              <w:pStyle w:val="Tabletext"/>
              <w:rPr>
                <w:i/>
              </w:rPr>
            </w:pPr>
            <w:r w:rsidRPr="006E709F">
              <w:rPr>
                <w:i/>
              </w:rPr>
              <w:t>Withdrawal fee¹</w:t>
            </w:r>
          </w:p>
          <w:p w:rsidR="00677261" w:rsidRPr="006E709F" w:rsidRDefault="00677261" w:rsidP="00DA6FFD">
            <w:pPr>
              <w:pStyle w:val="Tabletext"/>
            </w:pPr>
            <w:r w:rsidRPr="006E709F">
              <w:t>The fee on each amount you take out of your investment</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77261">
            <w:pPr>
              <w:spacing w:line="240" w:lineRule="auto"/>
            </w:pP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77261">
            <w:pPr>
              <w:spacing w:line="240" w:lineRule="auto"/>
            </w:pPr>
          </w:p>
        </w:tc>
      </w:tr>
      <w:tr w:rsidR="00677261" w:rsidRPr="006E709F" w:rsidTr="00E118FA">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A53AD1">
            <w:pPr>
              <w:pStyle w:val="Tabletext"/>
              <w:rPr>
                <w:i/>
              </w:rPr>
            </w:pPr>
            <w:r w:rsidRPr="006E709F">
              <w:rPr>
                <w:i/>
              </w:rPr>
              <w:t>Exit fee¹</w:t>
            </w:r>
          </w:p>
          <w:p w:rsidR="00677261" w:rsidRPr="006E709F" w:rsidRDefault="00677261" w:rsidP="00DA6FFD">
            <w:pPr>
              <w:pStyle w:val="Tabletext"/>
            </w:pPr>
            <w:r w:rsidRPr="006E709F">
              <w:t>The fee to close your investment</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0858E6">
            <w:pPr>
              <w:keepNext/>
              <w:keepLines/>
              <w:spacing w:line="240" w:lineRule="auto"/>
            </w:pP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0858E6">
            <w:pPr>
              <w:keepNext/>
              <w:keepLines/>
              <w:spacing w:line="240" w:lineRule="auto"/>
            </w:pPr>
          </w:p>
        </w:tc>
      </w:tr>
      <w:tr w:rsidR="00677261" w:rsidRPr="006E709F" w:rsidTr="00E118FA">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A53AD1">
            <w:pPr>
              <w:pStyle w:val="TableHeading"/>
            </w:pPr>
            <w:r w:rsidRPr="006E709F">
              <w:t>Management costs</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A53AD1">
            <w:pPr>
              <w:pStyle w:val="TableHeading"/>
            </w:pP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A53AD1">
            <w:pPr>
              <w:pStyle w:val="TableHeading"/>
            </w:pPr>
          </w:p>
        </w:tc>
      </w:tr>
      <w:tr w:rsidR="00677261" w:rsidRPr="006E709F" w:rsidTr="00E118FA">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A53AD1">
            <w:pPr>
              <w:pStyle w:val="Tabletext"/>
              <w:rPr>
                <w:i/>
              </w:rPr>
            </w:pPr>
            <w:r w:rsidRPr="006E709F">
              <w:rPr>
                <w:i/>
              </w:rPr>
              <w:t>The fees and costs for managing your investment¹</w:t>
            </w:r>
          </w:p>
          <w:p w:rsidR="00677261" w:rsidRPr="006E709F" w:rsidRDefault="00677261" w:rsidP="00DA6FFD">
            <w:pPr>
              <w:pStyle w:val="Tabletext"/>
            </w:pPr>
            <w:r w:rsidRPr="006E709F">
              <w:t xml:space="preserve">The amount you pay for specific investment options is shown at page </w:t>
            </w:r>
            <w:r w:rsidRPr="006E709F">
              <w:rPr>
                <w:i/>
              </w:rPr>
              <w:t>[insert page number]</w:t>
            </w:r>
            <w:r w:rsidRPr="006E709F">
              <w:t xml:space="preserve"> </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77261">
            <w:pPr>
              <w:spacing w:line="240" w:lineRule="auto"/>
            </w:pP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77261">
            <w:pPr>
              <w:spacing w:line="240" w:lineRule="auto"/>
            </w:pPr>
          </w:p>
        </w:tc>
      </w:tr>
      <w:tr w:rsidR="00677261" w:rsidRPr="006E709F" w:rsidTr="00E118FA">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A53AD1">
            <w:pPr>
              <w:pStyle w:val="TableHeading"/>
            </w:pPr>
            <w:r w:rsidRPr="006E709F">
              <w:t>Service fees²</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A53AD1">
            <w:pPr>
              <w:pStyle w:val="TableHeading"/>
            </w:pP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A53AD1">
            <w:pPr>
              <w:pStyle w:val="TableHeading"/>
            </w:pPr>
          </w:p>
        </w:tc>
      </w:tr>
      <w:tr w:rsidR="00677261" w:rsidRPr="006E709F" w:rsidTr="00E118FA">
        <w:tc>
          <w:tcPr>
            <w:tcW w:w="1249"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A53AD1">
            <w:pPr>
              <w:pStyle w:val="Tabletext"/>
              <w:rPr>
                <w:i/>
              </w:rPr>
            </w:pPr>
            <w:r w:rsidRPr="006E709F">
              <w:rPr>
                <w:i/>
              </w:rPr>
              <w:t>Switching fee</w:t>
            </w:r>
          </w:p>
          <w:p w:rsidR="00677261" w:rsidRPr="006E709F" w:rsidRDefault="00677261" w:rsidP="00DA6FFD">
            <w:pPr>
              <w:pStyle w:val="Tabletext"/>
            </w:pPr>
            <w:r w:rsidRPr="006E709F">
              <w:t>The fee for changing investment options</w:t>
            </w:r>
          </w:p>
        </w:tc>
        <w:tc>
          <w:tcPr>
            <w:tcW w:w="2500"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77261">
            <w:pPr>
              <w:spacing w:line="240" w:lineRule="auto"/>
            </w:pPr>
          </w:p>
        </w:tc>
        <w:tc>
          <w:tcPr>
            <w:tcW w:w="1251" w:type="pct"/>
            <w:tcBorders>
              <w:top w:val="single" w:sz="2" w:space="0" w:color="auto"/>
              <w:left w:val="single" w:sz="2" w:space="0" w:color="auto"/>
              <w:bottom w:val="single" w:sz="2" w:space="0" w:color="auto"/>
              <w:right w:val="single" w:sz="2" w:space="0" w:color="auto"/>
            </w:tcBorders>
            <w:shd w:val="clear" w:color="auto" w:fill="auto"/>
          </w:tcPr>
          <w:p w:rsidR="00677261" w:rsidRPr="006E709F" w:rsidRDefault="00677261" w:rsidP="00677261">
            <w:pPr>
              <w:spacing w:line="240" w:lineRule="auto"/>
            </w:pPr>
          </w:p>
        </w:tc>
      </w:tr>
    </w:tbl>
    <w:p w:rsidR="00677261" w:rsidRPr="006E709F" w:rsidRDefault="00677261" w:rsidP="00677261">
      <w:pPr>
        <w:pStyle w:val="notemargin"/>
      </w:pPr>
      <w:r w:rsidRPr="006E709F">
        <w:rPr>
          <w:bCs/>
        </w:rPr>
        <w:t>1.</w:t>
      </w:r>
      <w:r w:rsidRPr="006E709F">
        <w:rPr>
          <w:bCs/>
        </w:rPr>
        <w:tab/>
      </w:r>
      <w:r w:rsidRPr="006E709F">
        <w:t>This fee includes an amount payable to an adviser. (See Division</w:t>
      </w:r>
      <w:r w:rsidR="00DA13DE" w:rsidRPr="006E709F">
        <w:t> </w:t>
      </w:r>
      <w:r w:rsidRPr="006E709F">
        <w:t>4, “Adviser remuneration” under the heading “Additional Explanation of Fees and Costs”.)</w:t>
      </w:r>
    </w:p>
    <w:p w:rsidR="00677261" w:rsidRPr="006E709F" w:rsidRDefault="00677261" w:rsidP="00677261">
      <w:pPr>
        <w:pStyle w:val="notemargin"/>
      </w:pPr>
      <w:r w:rsidRPr="006E709F">
        <w:rPr>
          <w:bCs/>
        </w:rPr>
        <w:t>2</w:t>
      </w:r>
      <w:r w:rsidRPr="006E709F">
        <w:t>.</w:t>
      </w:r>
      <w:r w:rsidRPr="006E709F">
        <w:tab/>
      </w:r>
      <w:r w:rsidRPr="006E709F">
        <w:rPr>
          <w:i/>
        </w:rPr>
        <w:t>[If there are other service fees, such as advice fees or special request fees, include a cross</w:t>
      </w:r>
      <w:r w:rsidR="000C4237">
        <w:rPr>
          <w:i/>
        </w:rPr>
        <w:noBreakHyphen/>
      </w:r>
      <w:r w:rsidRPr="006E709F">
        <w:rPr>
          <w:i/>
        </w:rPr>
        <w:t>reference to the “Additional Explanation of Fees and Costs”.]</w:t>
      </w:r>
    </w:p>
    <w:p w:rsidR="002A22A4" w:rsidRPr="006E709F" w:rsidRDefault="00A801D0" w:rsidP="00A801D0">
      <w:pPr>
        <w:pStyle w:val="ActHead3"/>
        <w:pageBreakBefore/>
      </w:pPr>
      <w:bookmarkStart w:id="71" w:name="_Toc170547888"/>
      <w:r w:rsidRPr="000C4237">
        <w:rPr>
          <w:rStyle w:val="CharDivNo"/>
        </w:rPr>
        <w:lastRenderedPageBreak/>
        <w:t>Division</w:t>
      </w:r>
      <w:r w:rsidR="00DA13DE" w:rsidRPr="000C4237">
        <w:rPr>
          <w:rStyle w:val="CharDivNo"/>
        </w:rPr>
        <w:t> </w:t>
      </w:r>
      <w:r w:rsidR="002A22A4" w:rsidRPr="000C4237">
        <w:rPr>
          <w:rStyle w:val="CharDivNo"/>
        </w:rPr>
        <w:t>3</w:t>
      </w:r>
      <w:r w:rsidR="0069387B" w:rsidRPr="006E709F">
        <w:t>—</w:t>
      </w:r>
      <w:r w:rsidR="002A22A4" w:rsidRPr="000C4237">
        <w:rPr>
          <w:rStyle w:val="CharDivText"/>
        </w:rPr>
        <w:t>How to fill in the template</w:t>
      </w:r>
      <w:bookmarkEnd w:id="71"/>
    </w:p>
    <w:p w:rsidR="002A22A4" w:rsidRPr="006E709F" w:rsidRDefault="002A22A4" w:rsidP="00D5406C">
      <w:pPr>
        <w:pStyle w:val="ActHead5"/>
      </w:pPr>
      <w:bookmarkStart w:id="72" w:name="_Toc170547889"/>
      <w:r w:rsidRPr="000C4237">
        <w:rPr>
          <w:rStyle w:val="CharSectno"/>
        </w:rPr>
        <w:t>203</w:t>
      </w:r>
      <w:r w:rsidR="00A801D0" w:rsidRPr="006E709F">
        <w:t xml:space="preserve">  </w:t>
      </w:r>
      <w:r w:rsidRPr="006E709F">
        <w:t>The preamble</w:t>
      </w:r>
      <w:bookmarkEnd w:id="72"/>
    </w:p>
    <w:p w:rsidR="002A22A4" w:rsidRPr="006E709F" w:rsidRDefault="002A22A4" w:rsidP="00A801D0">
      <w:pPr>
        <w:pStyle w:val="subsection"/>
      </w:pPr>
      <w:r w:rsidRPr="006E709F">
        <w:tab/>
      </w:r>
      <w:r w:rsidRPr="006E709F">
        <w:tab/>
        <w:t>The material in the preamble to the template should only include matters that are relevant to the product.</w:t>
      </w:r>
    </w:p>
    <w:p w:rsidR="002A22A4" w:rsidRPr="006E709F" w:rsidRDefault="002A22A4" w:rsidP="00BF7680">
      <w:pPr>
        <w:pStyle w:val="notetext"/>
      </w:pPr>
      <w:r w:rsidRPr="006E709F">
        <w:t>Example</w:t>
      </w:r>
      <w:r w:rsidR="00B51393" w:rsidRPr="006E709F">
        <w:t>:</w:t>
      </w:r>
      <w:r w:rsidR="00B51393" w:rsidRPr="006E709F">
        <w:tab/>
      </w:r>
      <w:r w:rsidRPr="006E709F">
        <w:t xml:space="preserve">Insurance costs will generally not be relevant to a </w:t>
      </w:r>
      <w:r w:rsidR="00BD52AE" w:rsidRPr="006E709F">
        <w:t>collective investment product</w:t>
      </w:r>
      <w:r w:rsidRPr="006E709F">
        <w:t>.</w:t>
      </w:r>
    </w:p>
    <w:p w:rsidR="002A22A4" w:rsidRPr="006E709F" w:rsidRDefault="002A22A4" w:rsidP="0054091E">
      <w:pPr>
        <w:pStyle w:val="ActHead5"/>
      </w:pPr>
      <w:bookmarkStart w:id="73" w:name="_Toc170547890"/>
      <w:r w:rsidRPr="000C4237">
        <w:rPr>
          <w:rStyle w:val="CharSectno"/>
        </w:rPr>
        <w:t>204</w:t>
      </w:r>
      <w:r w:rsidR="00A801D0" w:rsidRPr="006E709F">
        <w:t xml:space="preserve">  </w:t>
      </w:r>
      <w:r w:rsidRPr="006E709F">
        <w:t>Column 2</w:t>
      </w:r>
      <w:r w:rsidR="00A801D0" w:rsidRPr="006E709F">
        <w:t>—</w:t>
      </w:r>
      <w:r w:rsidRPr="006E709F">
        <w:t>presentation of amounts</w:t>
      </w:r>
      <w:bookmarkEnd w:id="73"/>
    </w:p>
    <w:p w:rsidR="002A22A4" w:rsidRPr="006E709F" w:rsidRDefault="002A22A4" w:rsidP="00A801D0">
      <w:pPr>
        <w:pStyle w:val="subsection"/>
      </w:pPr>
      <w:r w:rsidRPr="006E709F">
        <w:tab/>
        <w:t>(1)</w:t>
      </w:r>
      <w:r w:rsidRPr="006E709F">
        <w:tab/>
        <w:t>This clause, clause</w:t>
      </w:r>
      <w:r w:rsidR="00DA13DE" w:rsidRPr="006E709F">
        <w:t> </w:t>
      </w:r>
      <w:r w:rsidRPr="006E709F">
        <w:t>205 and clause</w:t>
      </w:r>
      <w:r w:rsidR="00DA13DE" w:rsidRPr="006E709F">
        <w:t> </w:t>
      </w:r>
      <w:r w:rsidRPr="006E709F">
        <w:t>206 are subject to regulations</w:t>
      </w:r>
      <w:r w:rsidR="00DA13DE" w:rsidRPr="006E709F">
        <w:t> </w:t>
      </w:r>
      <w:r w:rsidRPr="006E709F">
        <w:t>7.9.15A, 7.9.15B and 7.9.15C.</w:t>
      </w:r>
    </w:p>
    <w:p w:rsidR="002A22A4" w:rsidRPr="006E709F" w:rsidRDefault="002A22A4" w:rsidP="00A801D0">
      <w:pPr>
        <w:pStyle w:val="subsection"/>
      </w:pPr>
      <w:r w:rsidRPr="006E709F">
        <w:tab/>
        <w:t>(2)</w:t>
      </w:r>
      <w:r w:rsidRPr="006E709F">
        <w:tab/>
        <w:t>If a particular fee or cost is not charged, ‘nil’, ‘zero’, ‘0’ or ‘not applicable’ (if it would not be misleading) must be written in column 2 opposite the type of fee or cost.</w:t>
      </w:r>
    </w:p>
    <w:p w:rsidR="002A22A4" w:rsidRPr="006E709F" w:rsidRDefault="002A22A4" w:rsidP="00A801D0">
      <w:pPr>
        <w:pStyle w:val="subsection"/>
      </w:pPr>
      <w:r w:rsidRPr="006E709F">
        <w:tab/>
        <w:t>(3)</w:t>
      </w:r>
      <w:r w:rsidRPr="006E709F">
        <w:tab/>
        <w:t>If it is not possible to determine a single amount or percentage of a fee or cost, it may be written as a range of fees or costs.</w:t>
      </w:r>
    </w:p>
    <w:p w:rsidR="002A22A4" w:rsidRPr="006E709F" w:rsidRDefault="002A22A4" w:rsidP="00A801D0">
      <w:pPr>
        <w:pStyle w:val="subsection"/>
      </w:pPr>
      <w:r w:rsidRPr="006E709F">
        <w:tab/>
        <w:t>(4)</w:t>
      </w:r>
      <w:r w:rsidRPr="006E709F">
        <w:tab/>
        <w:t>If the exact amount of a fee or cost paid or payable is not known, an amount that is a reasonable estimate of the amount attributable to the retail client must be shown.</w:t>
      </w:r>
    </w:p>
    <w:p w:rsidR="002A22A4" w:rsidRPr="006E709F" w:rsidRDefault="002A22A4" w:rsidP="00A801D0">
      <w:pPr>
        <w:pStyle w:val="subsection"/>
      </w:pPr>
      <w:r w:rsidRPr="006E709F">
        <w:tab/>
        <w:t>(5)</w:t>
      </w:r>
      <w:r w:rsidRPr="006E709F">
        <w:tab/>
        <w:t xml:space="preserve">An amount set out in accordance with </w:t>
      </w:r>
      <w:r w:rsidR="00DA13DE" w:rsidRPr="006E709F">
        <w:t>subclause (</w:t>
      </w:r>
      <w:r w:rsidRPr="006E709F">
        <w:t>4) must be clearly designated as an estimate.</w:t>
      </w:r>
    </w:p>
    <w:p w:rsidR="002A22A4" w:rsidRPr="006E709F" w:rsidRDefault="002A22A4" w:rsidP="00A801D0">
      <w:pPr>
        <w:pStyle w:val="subsection"/>
      </w:pPr>
      <w:r w:rsidRPr="006E709F">
        <w:tab/>
        <w:t>(6)</w:t>
      </w:r>
      <w:r w:rsidRPr="006E709F">
        <w:tab/>
        <w:t>If an amount or cost has a number of components, the amount of each component must be listed separately.</w:t>
      </w:r>
    </w:p>
    <w:p w:rsidR="002A22A4" w:rsidRPr="006E709F" w:rsidRDefault="002A22A4" w:rsidP="00BF7680">
      <w:pPr>
        <w:pStyle w:val="notetext"/>
      </w:pPr>
      <w:r w:rsidRPr="006E709F">
        <w:t>Example</w:t>
      </w:r>
      <w:r w:rsidR="00B51393" w:rsidRPr="006E709F">
        <w:t>:</w:t>
      </w:r>
      <w:r w:rsidR="00B51393" w:rsidRPr="006E709F">
        <w:tab/>
      </w:r>
      <w:r w:rsidRPr="006E709F">
        <w:t xml:space="preserve">Management costs: 1.8% of </w:t>
      </w:r>
      <w:r w:rsidR="00D40A21" w:rsidRPr="006E709F">
        <w:t>product holder’s balance</w:t>
      </w:r>
      <w:r w:rsidRPr="006E709F">
        <w:t xml:space="preserve"> + $70 per year.</w:t>
      </w:r>
    </w:p>
    <w:p w:rsidR="00BD52AE" w:rsidRPr="006E709F" w:rsidRDefault="00BD52AE" w:rsidP="00BD52AE">
      <w:pPr>
        <w:pStyle w:val="subsection"/>
      </w:pPr>
      <w:r w:rsidRPr="006E709F">
        <w:tab/>
        <w:t>(7)</w:t>
      </w:r>
      <w:r w:rsidRPr="006E709F">
        <w:tab/>
        <w:t>A cost or amount paid or payable must include (if applicable):</w:t>
      </w:r>
    </w:p>
    <w:p w:rsidR="00BD52AE" w:rsidRPr="006E709F" w:rsidRDefault="00BD52AE" w:rsidP="00BD52AE">
      <w:pPr>
        <w:pStyle w:val="paragraph"/>
      </w:pPr>
      <w:r w:rsidRPr="006E709F">
        <w:tab/>
        <w:t>(a)</w:t>
      </w:r>
      <w:r w:rsidRPr="006E709F">
        <w:tab/>
        <w:t>for each collective investment product:</w:t>
      </w:r>
    </w:p>
    <w:p w:rsidR="00BD52AE" w:rsidRPr="006E709F" w:rsidRDefault="00BD52AE" w:rsidP="00BD52AE">
      <w:pPr>
        <w:pStyle w:val="paragraphsub"/>
      </w:pPr>
      <w:r w:rsidRPr="006E709F">
        <w:tab/>
        <w:t>(i)</w:t>
      </w:r>
      <w:r w:rsidRPr="006E709F">
        <w:tab/>
        <w:t>GST, after being reduced by any reduced input tax credits; and</w:t>
      </w:r>
    </w:p>
    <w:p w:rsidR="00BD52AE" w:rsidRPr="006E709F" w:rsidRDefault="00BD52AE" w:rsidP="00BD52AE">
      <w:pPr>
        <w:pStyle w:val="paragraphsub"/>
      </w:pPr>
      <w:r w:rsidRPr="006E709F">
        <w:tab/>
        <w:t>(ii)</w:t>
      </w:r>
      <w:r w:rsidRPr="006E709F">
        <w:tab/>
        <w:t>stamp duty; and</w:t>
      </w:r>
    </w:p>
    <w:p w:rsidR="00BD52AE" w:rsidRPr="006E709F" w:rsidRDefault="00BD52AE" w:rsidP="00BD52AE">
      <w:pPr>
        <w:pStyle w:val="paragraph"/>
      </w:pPr>
      <w:r w:rsidRPr="006E709F">
        <w:tab/>
        <w:t>(b)</w:t>
      </w:r>
      <w:r w:rsidRPr="006E709F">
        <w:tab/>
        <w:t>for each collective investment product offered by an Australian passport fund or a notified foreign passport fund:</w:t>
      </w:r>
    </w:p>
    <w:p w:rsidR="00BD52AE" w:rsidRPr="006E709F" w:rsidRDefault="00BD52AE" w:rsidP="00BD52AE">
      <w:pPr>
        <w:pStyle w:val="paragraphsub"/>
      </w:pPr>
      <w:r w:rsidRPr="006E709F">
        <w:tab/>
        <w:t>(i)</w:t>
      </w:r>
      <w:r w:rsidRPr="006E709F">
        <w:tab/>
        <w:t>any indirect taxes equivalent to GST that are payable in another jurisdiction, after being reduced by any applicable tax credits that are available in that jurisdiction; and</w:t>
      </w:r>
    </w:p>
    <w:p w:rsidR="00BD52AE" w:rsidRPr="006E709F" w:rsidRDefault="00BD52AE" w:rsidP="00BD52AE">
      <w:pPr>
        <w:pStyle w:val="paragraphsub"/>
      </w:pPr>
      <w:r w:rsidRPr="006E709F">
        <w:tab/>
        <w:t>(ii)</w:t>
      </w:r>
      <w:r w:rsidRPr="006E709F">
        <w:tab/>
        <w:t>any duties equivalent to stamp duty that are payable in another jurisdiction.</w:t>
      </w:r>
    </w:p>
    <w:p w:rsidR="00D40A21" w:rsidRPr="006E709F" w:rsidRDefault="00D40A21" w:rsidP="00D40A21">
      <w:pPr>
        <w:pStyle w:val="ActHead5"/>
      </w:pPr>
      <w:bookmarkStart w:id="74" w:name="_Toc170547891"/>
      <w:r w:rsidRPr="000C4237">
        <w:rPr>
          <w:rStyle w:val="CharSectno"/>
        </w:rPr>
        <w:t>205</w:t>
      </w:r>
      <w:r w:rsidRPr="006E709F">
        <w:t xml:space="preserve">  Column 2—include information for each MySuper product or investment option</w:t>
      </w:r>
      <w:bookmarkEnd w:id="74"/>
    </w:p>
    <w:p w:rsidR="00D40A21" w:rsidRPr="006E709F" w:rsidRDefault="00D40A21" w:rsidP="00D40A21">
      <w:pPr>
        <w:pStyle w:val="subsection"/>
      </w:pPr>
      <w:r w:rsidRPr="006E709F">
        <w:tab/>
        <w:t>(1)</w:t>
      </w:r>
      <w:r w:rsidRPr="006E709F">
        <w:tab/>
        <w:t>The fee information must be set out:</w:t>
      </w:r>
    </w:p>
    <w:p w:rsidR="00D40A21" w:rsidRPr="006E709F" w:rsidRDefault="00D40A21" w:rsidP="00D40A21">
      <w:pPr>
        <w:pStyle w:val="paragraph"/>
      </w:pPr>
      <w:r w:rsidRPr="006E709F">
        <w:lastRenderedPageBreak/>
        <w:tab/>
        <w:t>(a)</w:t>
      </w:r>
      <w:r w:rsidRPr="006E709F">
        <w:tab/>
        <w:t>for superannuation products—for each MySuper product and each investment option offered by the relevant superannuation entity; and</w:t>
      </w:r>
    </w:p>
    <w:p w:rsidR="00D40A21" w:rsidRPr="006E709F" w:rsidRDefault="00D40A21" w:rsidP="00D40A21">
      <w:pPr>
        <w:pStyle w:val="paragraph"/>
      </w:pPr>
      <w:r w:rsidRPr="006E709F">
        <w:tab/>
        <w:t>(b)</w:t>
      </w:r>
      <w:r w:rsidRPr="006E709F">
        <w:tab/>
        <w:t xml:space="preserve">for </w:t>
      </w:r>
      <w:r w:rsidR="00BD52AE" w:rsidRPr="006E709F">
        <w:t>collective investment products</w:t>
      </w:r>
      <w:r w:rsidRPr="006E709F">
        <w:t>—for each investment option offered by the relevant managed investment scheme</w:t>
      </w:r>
      <w:r w:rsidR="00B800B7" w:rsidRPr="006E709F">
        <w:t xml:space="preserve"> or retail CCIV</w:t>
      </w:r>
      <w:r w:rsidRPr="006E709F">
        <w:t>.</w:t>
      </w:r>
    </w:p>
    <w:p w:rsidR="00D40A21" w:rsidRPr="006E709F" w:rsidRDefault="00D40A21" w:rsidP="00D40A21">
      <w:pPr>
        <w:pStyle w:val="subsection"/>
      </w:pPr>
      <w:r w:rsidRPr="006E709F">
        <w:tab/>
        <w:t>(2)</w:t>
      </w:r>
      <w:r w:rsidRPr="006E709F">
        <w:tab/>
        <w:t>It may be:</w:t>
      </w:r>
    </w:p>
    <w:p w:rsidR="00D40A21" w:rsidRPr="006E709F" w:rsidRDefault="00D40A21" w:rsidP="00D40A21">
      <w:pPr>
        <w:pStyle w:val="paragraph"/>
      </w:pPr>
      <w:r w:rsidRPr="006E709F">
        <w:tab/>
        <w:t>(a)</w:t>
      </w:r>
      <w:r w:rsidRPr="006E709F">
        <w:tab/>
        <w:t>set out in the table; or</w:t>
      </w:r>
    </w:p>
    <w:p w:rsidR="00D40A21" w:rsidRPr="006E709F" w:rsidRDefault="00D40A21" w:rsidP="00D40A21">
      <w:pPr>
        <w:pStyle w:val="paragraph"/>
      </w:pPr>
      <w:r w:rsidRPr="006E709F">
        <w:tab/>
        <w:t>(b)</w:t>
      </w:r>
      <w:r w:rsidRPr="006E709F">
        <w:tab/>
        <w:t>cross</w:t>
      </w:r>
      <w:r w:rsidR="000C4237">
        <w:noBreakHyphen/>
      </w:r>
      <w:r w:rsidRPr="006E709F">
        <w:t>referenced in the table to another section of the Product Disclosure Statement that contains the relevant fee information.</w:t>
      </w:r>
    </w:p>
    <w:p w:rsidR="002A22A4" w:rsidRPr="006E709F" w:rsidRDefault="002A22A4" w:rsidP="00D5406C">
      <w:pPr>
        <w:pStyle w:val="ActHead5"/>
      </w:pPr>
      <w:bookmarkStart w:id="75" w:name="_Toc170547892"/>
      <w:r w:rsidRPr="000C4237">
        <w:rPr>
          <w:rStyle w:val="CharSectno"/>
        </w:rPr>
        <w:t>206</w:t>
      </w:r>
      <w:r w:rsidR="00A801D0" w:rsidRPr="006E709F">
        <w:t xml:space="preserve">  </w:t>
      </w:r>
      <w:r w:rsidRPr="006E709F">
        <w:t>Presentation of multiple fee payment options</w:t>
      </w:r>
      <w:bookmarkEnd w:id="75"/>
    </w:p>
    <w:p w:rsidR="002A22A4" w:rsidRPr="006E709F" w:rsidRDefault="002A22A4" w:rsidP="00A801D0">
      <w:pPr>
        <w:pStyle w:val="subsection"/>
      </w:pPr>
      <w:r w:rsidRPr="006E709F">
        <w:tab/>
      </w:r>
      <w:r w:rsidRPr="006E709F">
        <w:tab/>
        <w:t xml:space="preserve">If </w:t>
      </w:r>
      <w:r w:rsidR="00D40A21" w:rsidRPr="006E709F">
        <w:t>a superannuation entity</w:t>
      </w:r>
      <w:r w:rsidR="00B800B7" w:rsidRPr="006E709F">
        <w:t>, managed investment scheme or retail CCIV</w:t>
      </w:r>
      <w:r w:rsidRPr="006E709F">
        <w:t xml:space="preserve"> has more than 2 options for the payment of fees:</w:t>
      </w:r>
    </w:p>
    <w:p w:rsidR="002A22A4" w:rsidRPr="006E709F" w:rsidRDefault="002A22A4" w:rsidP="00A801D0">
      <w:pPr>
        <w:pStyle w:val="paragraph"/>
      </w:pPr>
      <w:r w:rsidRPr="006E709F">
        <w:tab/>
        <w:t>(a)</w:t>
      </w:r>
      <w:r w:rsidRPr="006E709F">
        <w:tab/>
        <w:t>the number of fee payment options must be set out in the preamble; and</w:t>
      </w:r>
    </w:p>
    <w:p w:rsidR="002A22A4" w:rsidRPr="006E709F" w:rsidRDefault="002A22A4" w:rsidP="00A801D0">
      <w:pPr>
        <w:pStyle w:val="paragraph"/>
      </w:pPr>
      <w:r w:rsidRPr="006E709F">
        <w:tab/>
        <w:t>(b)</w:t>
      </w:r>
      <w:r w:rsidRPr="006E709F">
        <w:tab/>
        <w:t>details of all fee payment options must be set out in the template.</w:t>
      </w:r>
    </w:p>
    <w:p w:rsidR="002A22A4" w:rsidRPr="006E709F" w:rsidRDefault="002A22A4" w:rsidP="00D5406C">
      <w:pPr>
        <w:pStyle w:val="ActHead5"/>
      </w:pPr>
      <w:bookmarkStart w:id="76" w:name="_Toc170547893"/>
      <w:r w:rsidRPr="000C4237">
        <w:rPr>
          <w:rStyle w:val="CharSectno"/>
        </w:rPr>
        <w:t>207</w:t>
      </w:r>
      <w:r w:rsidR="00A801D0" w:rsidRPr="006E709F">
        <w:t xml:space="preserve">  </w:t>
      </w:r>
      <w:r w:rsidRPr="006E709F">
        <w:t>Column 3</w:t>
      </w:r>
      <w:r w:rsidR="00A801D0" w:rsidRPr="006E709F">
        <w:t>—</w:t>
      </w:r>
      <w:r w:rsidRPr="006E709F">
        <w:t>how and when fees and costs are payable</w:t>
      </w:r>
      <w:bookmarkEnd w:id="76"/>
    </w:p>
    <w:p w:rsidR="002A22A4" w:rsidRPr="006E709F" w:rsidRDefault="002A22A4" w:rsidP="00A801D0">
      <w:pPr>
        <w:pStyle w:val="subsection"/>
      </w:pPr>
      <w:r w:rsidRPr="006E709F">
        <w:tab/>
      </w:r>
      <w:r w:rsidRPr="006E709F">
        <w:tab/>
        <w:t>Column 3 of the template must set out:</w:t>
      </w:r>
    </w:p>
    <w:p w:rsidR="002A22A4" w:rsidRPr="006E709F" w:rsidRDefault="002A22A4" w:rsidP="00A801D0">
      <w:pPr>
        <w:pStyle w:val="paragraph"/>
      </w:pPr>
      <w:r w:rsidRPr="006E709F">
        <w:tab/>
        <w:t>(a)</w:t>
      </w:r>
      <w:r w:rsidRPr="006E709F">
        <w:tab/>
        <w:t>how the fee is or will be recovered, for example by deduction from:</w:t>
      </w:r>
    </w:p>
    <w:p w:rsidR="002A22A4" w:rsidRPr="006E709F" w:rsidRDefault="002A22A4" w:rsidP="00A801D0">
      <w:pPr>
        <w:pStyle w:val="paragraphsub"/>
      </w:pPr>
      <w:r w:rsidRPr="006E709F">
        <w:tab/>
        <w:t>(i)</w:t>
      </w:r>
      <w:r w:rsidRPr="006E709F">
        <w:tab/>
        <w:t>the member’s investment balance; or</w:t>
      </w:r>
    </w:p>
    <w:p w:rsidR="00D40A21" w:rsidRPr="006E709F" w:rsidRDefault="00D40A21" w:rsidP="00D40A21">
      <w:pPr>
        <w:pStyle w:val="paragraphsub"/>
      </w:pPr>
      <w:r w:rsidRPr="006E709F">
        <w:tab/>
        <w:t>(ii)</w:t>
      </w:r>
      <w:r w:rsidRPr="006E709F">
        <w:tab/>
        <w:t>the assets of the superannuation entity or managed investment scheme;</w:t>
      </w:r>
    </w:p>
    <w:p w:rsidR="002A22A4" w:rsidRPr="006E709F" w:rsidRDefault="002A22A4" w:rsidP="00A801D0">
      <w:pPr>
        <w:pStyle w:val="paragraphsub"/>
      </w:pPr>
      <w:r w:rsidRPr="006E709F">
        <w:tab/>
        <w:t>(iii)</w:t>
      </w:r>
      <w:r w:rsidRPr="006E709F">
        <w:tab/>
        <w:t>contributions; or</w:t>
      </w:r>
    </w:p>
    <w:p w:rsidR="002A22A4" w:rsidRPr="006E709F" w:rsidRDefault="002A22A4" w:rsidP="00A801D0">
      <w:pPr>
        <w:pStyle w:val="paragraphsub"/>
      </w:pPr>
      <w:r w:rsidRPr="006E709F">
        <w:tab/>
        <w:t>(iv)</w:t>
      </w:r>
      <w:r w:rsidRPr="006E709F">
        <w:tab/>
        <w:t>withdrawals; and</w:t>
      </w:r>
    </w:p>
    <w:p w:rsidR="002A22A4" w:rsidRPr="006E709F" w:rsidRDefault="002A22A4" w:rsidP="00A801D0">
      <w:pPr>
        <w:pStyle w:val="paragraph"/>
      </w:pPr>
      <w:r w:rsidRPr="006E709F">
        <w:tab/>
        <w:t>(b)</w:t>
      </w:r>
      <w:r w:rsidRPr="006E709F">
        <w:tab/>
        <w:t>the recurrence of the recovery of the fee; and</w:t>
      </w:r>
    </w:p>
    <w:p w:rsidR="002A22A4" w:rsidRPr="006E709F" w:rsidRDefault="002A22A4" w:rsidP="00A801D0">
      <w:pPr>
        <w:pStyle w:val="paragraph"/>
      </w:pPr>
      <w:r w:rsidRPr="006E709F">
        <w:tab/>
        <w:t>(c)</w:t>
      </w:r>
      <w:r w:rsidRPr="006E709F">
        <w:tab/>
        <w:t>the timing of the recovery of the fee.</w:t>
      </w:r>
    </w:p>
    <w:p w:rsidR="002A22A4" w:rsidRPr="006E709F" w:rsidRDefault="002A22A4" w:rsidP="00D5406C">
      <w:pPr>
        <w:pStyle w:val="ActHead5"/>
      </w:pPr>
      <w:bookmarkStart w:id="77" w:name="_Toc170547894"/>
      <w:r w:rsidRPr="000C4237">
        <w:rPr>
          <w:rStyle w:val="CharSectno"/>
        </w:rPr>
        <w:t>208</w:t>
      </w:r>
      <w:r w:rsidR="00A801D0" w:rsidRPr="006E709F">
        <w:t xml:space="preserve">  </w:t>
      </w:r>
      <w:r w:rsidRPr="006E709F">
        <w:t>Other material to be included in the template</w:t>
      </w:r>
      <w:bookmarkEnd w:id="77"/>
    </w:p>
    <w:p w:rsidR="002A22A4" w:rsidRPr="006E709F" w:rsidRDefault="002A22A4" w:rsidP="00A801D0">
      <w:pPr>
        <w:pStyle w:val="subsection"/>
      </w:pPr>
      <w:r w:rsidRPr="006E709F">
        <w:tab/>
        <w:t>(1)</w:t>
      </w:r>
      <w:r w:rsidRPr="006E709F">
        <w:tab/>
        <w:t>The template must clearly indicate which fees and costs are negotiable (for example, by stating in column 3 ‘The amount of this fee can be negotiated.’).</w:t>
      </w:r>
    </w:p>
    <w:p w:rsidR="002A22A4" w:rsidRPr="006E709F" w:rsidRDefault="002A22A4" w:rsidP="00A801D0">
      <w:pPr>
        <w:pStyle w:val="subsection"/>
      </w:pPr>
      <w:r w:rsidRPr="006E709F">
        <w:tab/>
        <w:t>(2)</w:t>
      </w:r>
      <w:r w:rsidRPr="006E709F">
        <w:tab/>
        <w:t>An indication that a fee or cost is negotiable must be cross</w:t>
      </w:r>
      <w:r w:rsidR="000C4237">
        <w:noBreakHyphen/>
      </w:r>
      <w:r w:rsidRPr="006E709F">
        <w:t>referenced to an explanation outside the template in the ‘Additional Explanation of Fees and Costs’ part of the fees section.</w:t>
      </w:r>
    </w:p>
    <w:p w:rsidR="002A22A4" w:rsidRPr="006E709F" w:rsidRDefault="00A801D0" w:rsidP="0069387B">
      <w:pPr>
        <w:pStyle w:val="ActHead3"/>
        <w:pageBreakBefore/>
      </w:pPr>
      <w:bookmarkStart w:id="78" w:name="_Toc170547895"/>
      <w:r w:rsidRPr="000C4237">
        <w:rPr>
          <w:rStyle w:val="CharDivNo"/>
        </w:rPr>
        <w:lastRenderedPageBreak/>
        <w:t>Division</w:t>
      </w:r>
      <w:r w:rsidR="00DA13DE" w:rsidRPr="000C4237">
        <w:rPr>
          <w:rStyle w:val="CharDivNo"/>
        </w:rPr>
        <w:t> </w:t>
      </w:r>
      <w:r w:rsidR="002A22A4" w:rsidRPr="000C4237">
        <w:rPr>
          <w:rStyle w:val="CharDivNo"/>
        </w:rPr>
        <w:t>4</w:t>
      </w:r>
      <w:r w:rsidR="0069387B" w:rsidRPr="006E709F">
        <w:t>—</w:t>
      </w:r>
      <w:r w:rsidR="002A22A4" w:rsidRPr="000C4237">
        <w:rPr>
          <w:rStyle w:val="CharDivText"/>
        </w:rPr>
        <w:t>Additional explanation of fees and costs</w:t>
      </w:r>
      <w:bookmarkEnd w:id="78"/>
    </w:p>
    <w:p w:rsidR="002A22A4" w:rsidRPr="006E709F" w:rsidRDefault="002A22A4" w:rsidP="00D5406C">
      <w:pPr>
        <w:pStyle w:val="ActHead5"/>
      </w:pPr>
      <w:bookmarkStart w:id="79" w:name="_Toc170547896"/>
      <w:r w:rsidRPr="000C4237">
        <w:rPr>
          <w:rStyle w:val="CharSectno"/>
        </w:rPr>
        <w:t>209</w:t>
      </w:r>
      <w:r w:rsidR="00A801D0" w:rsidRPr="006E709F">
        <w:t xml:space="preserve">  </w:t>
      </w:r>
      <w:r w:rsidRPr="006E709F">
        <w:t>Matters to be included as additional explanation of fees and costs</w:t>
      </w:r>
      <w:bookmarkEnd w:id="79"/>
    </w:p>
    <w:p w:rsidR="002A22A4" w:rsidRPr="006E709F" w:rsidRDefault="002A22A4" w:rsidP="00A801D0">
      <w:pPr>
        <w:pStyle w:val="subsection"/>
      </w:pPr>
      <w:r w:rsidRPr="006E709F">
        <w:tab/>
      </w:r>
      <w:r w:rsidRPr="006E709F">
        <w:tab/>
        <w:t xml:space="preserve">The following information, if relevant to </w:t>
      </w:r>
      <w:r w:rsidR="00D40A21" w:rsidRPr="006E709F">
        <w:t xml:space="preserve">the particular superannuation product or </w:t>
      </w:r>
      <w:r w:rsidR="00BD52AE" w:rsidRPr="006E709F">
        <w:t>collective investment product</w:t>
      </w:r>
      <w:r w:rsidRPr="006E709F">
        <w:t>, must be included under the heading ‘Additional Explanation of Fees and Costs’:</w:t>
      </w:r>
    </w:p>
    <w:p w:rsidR="00D40A21" w:rsidRPr="006E709F" w:rsidRDefault="00D40A21" w:rsidP="00D40A21">
      <w:pPr>
        <w:pStyle w:val="paragraph"/>
      </w:pPr>
      <w:r w:rsidRPr="006E709F">
        <w:tab/>
        <w:t>(a)</w:t>
      </w:r>
      <w:r w:rsidRPr="006E709F">
        <w:tab/>
        <w:t xml:space="preserve">the explanation of the fees mentioned in </w:t>
      </w:r>
      <w:r w:rsidR="00636892" w:rsidRPr="006E709F">
        <w:t>footnote 2 for superannuation products</w:t>
      </w:r>
      <w:r w:rsidRPr="006E709F">
        <w:t xml:space="preserve"> and footnote 2 for </w:t>
      </w:r>
      <w:r w:rsidR="00BD52AE" w:rsidRPr="006E709F">
        <w:t>collective investment products</w:t>
      </w:r>
      <w:r w:rsidRPr="006E709F">
        <w:t>;</w:t>
      </w:r>
    </w:p>
    <w:p w:rsidR="002A22A4" w:rsidRPr="006E709F" w:rsidRDefault="002A22A4" w:rsidP="00A801D0">
      <w:pPr>
        <w:pStyle w:val="paragraph"/>
      </w:pPr>
      <w:r w:rsidRPr="006E709F">
        <w:tab/>
        <w:t>(b)</w:t>
      </w:r>
      <w:r w:rsidRPr="006E709F">
        <w:tab/>
        <w:t>information on performance fees including:</w:t>
      </w:r>
    </w:p>
    <w:p w:rsidR="00D40A21" w:rsidRPr="006E709F" w:rsidRDefault="00D40A21" w:rsidP="00D40A21">
      <w:pPr>
        <w:pStyle w:val="paragraphsub"/>
      </w:pPr>
      <w:r w:rsidRPr="006E709F">
        <w:tab/>
        <w:t>(i)</w:t>
      </w:r>
      <w:r w:rsidRPr="006E709F">
        <w:tab/>
        <w:t xml:space="preserve">a statement about how performance fees affect administration fees and investment fees for a superannuation product, or management costs for a </w:t>
      </w:r>
      <w:r w:rsidR="00BD52AE" w:rsidRPr="006E709F">
        <w:t>collective investment product</w:t>
      </w:r>
      <w:r w:rsidRPr="006E709F">
        <w:t>; and</w:t>
      </w:r>
    </w:p>
    <w:p w:rsidR="002A22A4" w:rsidRPr="006E709F" w:rsidRDefault="002A22A4" w:rsidP="00A801D0">
      <w:pPr>
        <w:pStyle w:val="paragraphsub"/>
      </w:pPr>
      <w:r w:rsidRPr="006E709F">
        <w:tab/>
        <w:t>(ii)</w:t>
      </w:r>
      <w:r w:rsidRPr="006E709F">
        <w:tab/>
        <w:t>the method for calculating the fees; and</w:t>
      </w:r>
    </w:p>
    <w:p w:rsidR="002A22A4" w:rsidRPr="006E709F" w:rsidRDefault="002A22A4" w:rsidP="00A801D0">
      <w:pPr>
        <w:pStyle w:val="paragraphsub"/>
      </w:pPr>
      <w:r w:rsidRPr="006E709F">
        <w:tab/>
        <w:t>(iii)</w:t>
      </w:r>
      <w:r w:rsidRPr="006E709F">
        <w:tab/>
        <w:t>the amount of the fees, or an estimate of the amount if the amount is not known;</w:t>
      </w:r>
    </w:p>
    <w:p w:rsidR="00D40A21" w:rsidRPr="006E709F" w:rsidRDefault="00D40A21" w:rsidP="00D40A21">
      <w:pPr>
        <w:pStyle w:val="paragraph"/>
      </w:pPr>
      <w:r w:rsidRPr="006E709F">
        <w:tab/>
        <w:t>(c)</w:t>
      </w:r>
      <w:r w:rsidRPr="006E709F">
        <w:tab/>
        <w:t>for tax—a cross reference to the “Tax” part of the Product Disclosure Statement;</w:t>
      </w:r>
    </w:p>
    <w:p w:rsidR="00D40A21" w:rsidRPr="006E709F" w:rsidRDefault="00D40A21" w:rsidP="00D40A21">
      <w:pPr>
        <w:pStyle w:val="paragraph"/>
      </w:pPr>
      <w:r w:rsidRPr="006E709F">
        <w:tab/>
        <w:t>(ca)</w:t>
      </w:r>
      <w:r w:rsidRPr="006E709F">
        <w:tab/>
        <w:t>for insurance fees and other costs relating to insurance (if relevant)—a cross reference to the “Insurance” part of the Product Disclosure Statement;</w:t>
      </w:r>
    </w:p>
    <w:p w:rsidR="002A22A4" w:rsidRPr="006E709F" w:rsidRDefault="002A22A4" w:rsidP="00A801D0">
      <w:pPr>
        <w:pStyle w:val="paragraph"/>
      </w:pPr>
      <w:r w:rsidRPr="006E709F">
        <w:tab/>
        <w:t>(d)</w:t>
      </w:r>
      <w:r w:rsidRPr="006E709F">
        <w:tab/>
        <w:t>if the product is subject to tax</w:t>
      </w:r>
      <w:r w:rsidR="00A801D0" w:rsidRPr="006E709F">
        <w:t>—</w:t>
      </w:r>
      <w:r w:rsidRPr="006E709F">
        <w:t>whether the benefit of any tax deduction is passed on to the investor in the form of a reduced fee or cost;</w:t>
      </w:r>
    </w:p>
    <w:p w:rsidR="002A22A4" w:rsidRPr="006E709F" w:rsidRDefault="002A22A4" w:rsidP="00A801D0">
      <w:pPr>
        <w:pStyle w:val="paragraph"/>
      </w:pPr>
      <w:r w:rsidRPr="006E709F">
        <w:tab/>
        <w:t>(e)</w:t>
      </w:r>
      <w:r w:rsidRPr="006E709F">
        <w:tab/>
        <w:t xml:space="preserve">an explanation of adviser remuneration that forms part of any fee or cost in the table, including </w:t>
      </w:r>
      <w:r w:rsidR="00D40A21" w:rsidRPr="006E709F">
        <w:t>(if known to the product issuer)</w:t>
      </w:r>
      <w:r w:rsidRPr="006E709F">
        <w:t>:</w:t>
      </w:r>
    </w:p>
    <w:p w:rsidR="002A22A4" w:rsidRPr="006E709F" w:rsidRDefault="002A22A4" w:rsidP="00A801D0">
      <w:pPr>
        <w:pStyle w:val="paragraphsub"/>
      </w:pPr>
      <w:r w:rsidRPr="006E709F">
        <w:tab/>
        <w:t>(i)</w:t>
      </w:r>
      <w:r w:rsidRPr="006E709F">
        <w:tab/>
        <w:t>the method of calculation; and</w:t>
      </w:r>
    </w:p>
    <w:p w:rsidR="002A22A4" w:rsidRPr="006E709F" w:rsidRDefault="002A22A4" w:rsidP="00A801D0">
      <w:pPr>
        <w:pStyle w:val="paragraphsub"/>
      </w:pPr>
      <w:r w:rsidRPr="006E709F">
        <w:tab/>
        <w:t>(ii)</w:t>
      </w:r>
      <w:r w:rsidRPr="006E709F">
        <w:tab/>
        <w:t>the amounts of commission or the range of amounts; and</w:t>
      </w:r>
    </w:p>
    <w:p w:rsidR="002A22A4" w:rsidRPr="006E709F" w:rsidRDefault="002A22A4" w:rsidP="00A801D0">
      <w:pPr>
        <w:pStyle w:val="paragraphsub"/>
      </w:pPr>
      <w:r w:rsidRPr="006E709F">
        <w:tab/>
        <w:t>(iii)</w:t>
      </w:r>
      <w:r w:rsidRPr="006E709F">
        <w:tab/>
        <w:t>whether the amounts are negotiable or rebatable; and</w:t>
      </w:r>
    </w:p>
    <w:p w:rsidR="002A22A4" w:rsidRPr="006E709F" w:rsidRDefault="002A22A4" w:rsidP="00A801D0">
      <w:pPr>
        <w:pStyle w:val="paragraphsub"/>
      </w:pPr>
      <w:r w:rsidRPr="006E709F">
        <w:tab/>
        <w:t>(iv)</w:t>
      </w:r>
      <w:r w:rsidRPr="006E709F">
        <w:tab/>
        <w:t>the way in which amounts may be negotiated or rebated;</w:t>
      </w:r>
    </w:p>
    <w:p w:rsidR="002A22A4" w:rsidRPr="006E709F" w:rsidRDefault="002A22A4" w:rsidP="00A801D0">
      <w:pPr>
        <w:pStyle w:val="paragraph"/>
      </w:pPr>
      <w:r w:rsidRPr="006E709F">
        <w:tab/>
        <w:t>(f)</w:t>
      </w:r>
      <w:r w:rsidRPr="006E709F">
        <w:tab/>
        <w:t xml:space="preserve">an explanation of </w:t>
      </w:r>
      <w:r w:rsidR="00D40A21" w:rsidRPr="006E709F">
        <w:t>advice fees</w:t>
      </w:r>
      <w:r w:rsidRPr="006E709F">
        <w:t>;</w:t>
      </w:r>
    </w:p>
    <w:p w:rsidR="002A22A4" w:rsidRPr="006E709F" w:rsidRDefault="002A22A4" w:rsidP="00A801D0">
      <w:pPr>
        <w:pStyle w:val="paragraph"/>
      </w:pPr>
      <w:r w:rsidRPr="006E709F">
        <w:tab/>
        <w:t>(g)</w:t>
      </w:r>
      <w:r w:rsidRPr="006E709F">
        <w:tab/>
        <w:t>for a negotiated fee or cost</w:t>
      </w:r>
      <w:r w:rsidR="00A801D0" w:rsidRPr="006E709F">
        <w:t>—</w:t>
      </w:r>
      <w:r w:rsidRPr="006E709F">
        <w:t>contact details of the person or body with whom the fee or cost can be negotiated and the manner of negotiation;</w:t>
      </w:r>
    </w:p>
    <w:p w:rsidR="002A22A4" w:rsidRPr="006E709F" w:rsidRDefault="002A22A4" w:rsidP="00A801D0">
      <w:pPr>
        <w:pStyle w:val="paragraph"/>
      </w:pPr>
      <w:r w:rsidRPr="006E709F">
        <w:tab/>
        <w:t>(h)</w:t>
      </w:r>
      <w:r w:rsidRPr="006E709F">
        <w:tab/>
        <w:t>worked examples (if appropriate);</w:t>
      </w:r>
    </w:p>
    <w:p w:rsidR="002A22A4" w:rsidRPr="006E709F" w:rsidRDefault="002A22A4" w:rsidP="00A801D0">
      <w:pPr>
        <w:pStyle w:val="paragraph"/>
      </w:pPr>
      <w:r w:rsidRPr="006E709F">
        <w:tab/>
        <w:t>(i)</w:t>
      </w:r>
      <w:r w:rsidRPr="006E709F">
        <w:tab/>
        <w:t>additional details of incidental fees (if appropriate);</w:t>
      </w:r>
    </w:p>
    <w:p w:rsidR="002A22A4" w:rsidRPr="006E709F" w:rsidRDefault="002A22A4" w:rsidP="00A801D0">
      <w:pPr>
        <w:pStyle w:val="paragraph"/>
      </w:pPr>
      <w:r w:rsidRPr="006E709F">
        <w:tab/>
        <w:t>(j)</w:t>
      </w:r>
      <w:r w:rsidRPr="006E709F">
        <w:tab/>
        <w:t>details of transactional and operational costs such as brokerage and buy</w:t>
      </w:r>
      <w:r w:rsidR="000C4237">
        <w:noBreakHyphen/>
      </w:r>
      <w:r w:rsidRPr="006E709F">
        <w:t>sell spread, including:</w:t>
      </w:r>
    </w:p>
    <w:p w:rsidR="002A22A4" w:rsidRPr="006E709F" w:rsidRDefault="002A22A4" w:rsidP="00A801D0">
      <w:pPr>
        <w:pStyle w:val="paragraphsub"/>
      </w:pPr>
      <w:r w:rsidRPr="006E709F">
        <w:tab/>
        <w:t>(i)</w:t>
      </w:r>
      <w:r w:rsidRPr="006E709F">
        <w:tab/>
        <w:t>a description of the cost; and</w:t>
      </w:r>
    </w:p>
    <w:p w:rsidR="002A22A4" w:rsidRPr="006E709F" w:rsidRDefault="002A22A4" w:rsidP="00A801D0">
      <w:pPr>
        <w:pStyle w:val="paragraphsub"/>
      </w:pPr>
      <w:r w:rsidRPr="006E709F">
        <w:tab/>
        <w:t>(ii)</w:t>
      </w:r>
      <w:r w:rsidRPr="006E709F">
        <w:tab/>
        <w:t>the amount, or an estimate if the amount is not known; and</w:t>
      </w:r>
    </w:p>
    <w:p w:rsidR="002A22A4" w:rsidRPr="006E709F" w:rsidRDefault="002A22A4" w:rsidP="00A801D0">
      <w:pPr>
        <w:pStyle w:val="paragraphsub"/>
      </w:pPr>
      <w:r w:rsidRPr="006E709F">
        <w:tab/>
        <w:t>(iii)</w:t>
      </w:r>
      <w:r w:rsidRPr="006E709F">
        <w:tab/>
        <w:t>how and when the costs are recovered; and</w:t>
      </w:r>
    </w:p>
    <w:p w:rsidR="002A22A4" w:rsidRPr="006E709F" w:rsidRDefault="002A22A4" w:rsidP="00A801D0">
      <w:pPr>
        <w:pStyle w:val="paragraphsub"/>
      </w:pPr>
      <w:r w:rsidRPr="006E709F">
        <w:tab/>
        <w:t>(iv)</w:t>
      </w:r>
      <w:r w:rsidRPr="006E709F">
        <w:tab/>
        <w:t>a statement that the cost is an additional cost to the investor; and</w:t>
      </w:r>
    </w:p>
    <w:p w:rsidR="002A22A4" w:rsidRPr="006E709F" w:rsidRDefault="002A22A4" w:rsidP="00A801D0">
      <w:pPr>
        <w:pStyle w:val="paragraphsub"/>
      </w:pPr>
      <w:r w:rsidRPr="006E709F">
        <w:tab/>
        <w:t>(v)</w:t>
      </w:r>
      <w:r w:rsidRPr="006E709F">
        <w:tab/>
        <w:t>whether any part of the buy</w:t>
      </w:r>
      <w:r w:rsidR="000C4237">
        <w:noBreakHyphen/>
      </w:r>
      <w:r w:rsidRPr="006E709F">
        <w:t>sell spread is paid to the product issuer or an external manager;</w:t>
      </w:r>
    </w:p>
    <w:p w:rsidR="002A22A4" w:rsidRPr="006E709F" w:rsidRDefault="002A22A4" w:rsidP="00A801D0">
      <w:pPr>
        <w:pStyle w:val="paragraph"/>
      </w:pPr>
      <w:r w:rsidRPr="006E709F">
        <w:tab/>
        <w:t>(k)</w:t>
      </w:r>
      <w:r w:rsidRPr="006E709F">
        <w:tab/>
        <w:t>the following information about fee changes:</w:t>
      </w:r>
    </w:p>
    <w:p w:rsidR="002A22A4" w:rsidRPr="006E709F" w:rsidRDefault="002A22A4" w:rsidP="00A801D0">
      <w:pPr>
        <w:pStyle w:val="paragraphsub"/>
      </w:pPr>
      <w:r w:rsidRPr="006E709F">
        <w:lastRenderedPageBreak/>
        <w:tab/>
        <w:t>(i)</w:t>
      </w:r>
      <w:r w:rsidRPr="006E709F">
        <w:tab/>
        <w:t>if applicable, a statement about the issuer’s right to change the amount of fees without the investor’s consent;</w:t>
      </w:r>
    </w:p>
    <w:p w:rsidR="002A22A4" w:rsidRPr="006E709F" w:rsidRDefault="002A22A4" w:rsidP="00A801D0">
      <w:pPr>
        <w:pStyle w:val="paragraphsub"/>
      </w:pPr>
      <w:r w:rsidRPr="006E709F">
        <w:tab/>
        <w:t>(ii)</w:t>
      </w:r>
      <w:r w:rsidRPr="006E709F">
        <w:tab/>
        <w:t>any indexation arrangements that apply;</w:t>
      </w:r>
    </w:p>
    <w:p w:rsidR="002A22A4" w:rsidRPr="006E709F" w:rsidRDefault="002A22A4" w:rsidP="00A801D0">
      <w:pPr>
        <w:pStyle w:val="paragraphsub"/>
      </w:pPr>
      <w:r w:rsidRPr="006E709F">
        <w:tab/>
        <w:t>(iii)</w:t>
      </w:r>
      <w:r w:rsidRPr="006E709F">
        <w:tab/>
        <w:t>the period of advance notice required for fee changes;</w:t>
      </w:r>
    </w:p>
    <w:p w:rsidR="002A22A4" w:rsidRPr="006E709F" w:rsidRDefault="002A22A4" w:rsidP="00A801D0">
      <w:pPr>
        <w:pStyle w:val="paragraphsub"/>
      </w:pPr>
      <w:r w:rsidRPr="006E709F">
        <w:tab/>
        <w:t>(iv)</w:t>
      </w:r>
      <w:r w:rsidRPr="006E709F">
        <w:tab/>
        <w:t>any change in fee structure that is dependent on a person’s employment;</w:t>
      </w:r>
    </w:p>
    <w:p w:rsidR="002A22A4" w:rsidRPr="006E709F" w:rsidRDefault="002A22A4" w:rsidP="00A801D0">
      <w:pPr>
        <w:pStyle w:val="paragraph"/>
      </w:pPr>
      <w:r w:rsidRPr="006E709F">
        <w:tab/>
        <w:t>(l)</w:t>
      </w:r>
      <w:r w:rsidRPr="006E709F">
        <w:tab/>
        <w:t>if the issuer has instituted a flexible charging structure, for each applicable fee, if known:</w:t>
      </w:r>
    </w:p>
    <w:p w:rsidR="002A22A4" w:rsidRPr="006E709F" w:rsidRDefault="002A22A4" w:rsidP="00A801D0">
      <w:pPr>
        <w:pStyle w:val="paragraphsub"/>
      </w:pPr>
      <w:r w:rsidRPr="006E709F">
        <w:tab/>
        <w:t>(i)</w:t>
      </w:r>
      <w:r w:rsidRPr="006E709F">
        <w:tab/>
        <w:t>any maximum, and when it would apply; and</w:t>
      </w:r>
    </w:p>
    <w:p w:rsidR="002A22A4" w:rsidRPr="006E709F" w:rsidRDefault="002A22A4" w:rsidP="00A801D0">
      <w:pPr>
        <w:pStyle w:val="paragraphsub"/>
      </w:pPr>
      <w:r w:rsidRPr="006E709F">
        <w:tab/>
        <w:t>(ii)</w:t>
      </w:r>
      <w:r w:rsidRPr="006E709F">
        <w:tab/>
        <w:t>any waiver, and when it would not apply;</w:t>
      </w:r>
    </w:p>
    <w:p w:rsidR="002A22A4" w:rsidRPr="006E709F" w:rsidRDefault="002A22A4" w:rsidP="00A801D0">
      <w:pPr>
        <w:pStyle w:val="paragraph"/>
      </w:pPr>
      <w:r w:rsidRPr="006E709F">
        <w:tab/>
        <w:t>(m)</w:t>
      </w:r>
      <w:r w:rsidRPr="006E709F">
        <w:tab/>
        <w:t xml:space="preserve">for a </w:t>
      </w:r>
      <w:r w:rsidR="00D40A21" w:rsidRPr="006E709F">
        <w:t>superannuation product</w:t>
      </w:r>
      <w:r w:rsidR="00A801D0" w:rsidRPr="006E709F">
        <w:t>—</w:t>
      </w:r>
      <w:r w:rsidRPr="006E709F">
        <w:t>details regarding the protection of small accounts (member protection rules) unless already included in the Product Disclosure Statement.</w:t>
      </w:r>
    </w:p>
    <w:p w:rsidR="00D40A21" w:rsidRPr="006E709F" w:rsidRDefault="00D40A21" w:rsidP="00C2769E">
      <w:pPr>
        <w:pStyle w:val="ActHead3"/>
        <w:pageBreakBefore/>
      </w:pPr>
      <w:bookmarkStart w:id="80" w:name="_Toc170547897"/>
      <w:r w:rsidRPr="000C4237">
        <w:rPr>
          <w:rStyle w:val="CharDivNo"/>
        </w:rPr>
        <w:lastRenderedPageBreak/>
        <w:t>Division</w:t>
      </w:r>
      <w:r w:rsidR="00DA13DE" w:rsidRPr="000C4237">
        <w:rPr>
          <w:rStyle w:val="CharDivNo"/>
        </w:rPr>
        <w:t> </w:t>
      </w:r>
      <w:r w:rsidRPr="000C4237">
        <w:rPr>
          <w:rStyle w:val="CharDivNo"/>
        </w:rPr>
        <w:t>4A</w:t>
      </w:r>
      <w:r w:rsidRPr="006E709F">
        <w:t>—</w:t>
      </w:r>
      <w:r w:rsidRPr="000C4237">
        <w:rPr>
          <w:rStyle w:val="CharDivText"/>
        </w:rPr>
        <w:t>Defined fees for superannuation products</w:t>
      </w:r>
      <w:bookmarkEnd w:id="80"/>
    </w:p>
    <w:p w:rsidR="00D40A21" w:rsidRPr="006E709F" w:rsidRDefault="00D40A21" w:rsidP="00D40A21">
      <w:pPr>
        <w:pStyle w:val="ActHead5"/>
      </w:pPr>
      <w:bookmarkStart w:id="81" w:name="_Toc170547898"/>
      <w:r w:rsidRPr="000C4237">
        <w:rPr>
          <w:rStyle w:val="CharSectno"/>
        </w:rPr>
        <w:t>209A</w:t>
      </w:r>
      <w:r w:rsidRPr="006E709F">
        <w:t xml:space="preserve">  Defined fees for superannuation products</w:t>
      </w:r>
      <w:bookmarkEnd w:id="81"/>
    </w:p>
    <w:p w:rsidR="00D40A21" w:rsidRPr="006E709F" w:rsidRDefault="00D40A21" w:rsidP="00D40A21">
      <w:pPr>
        <w:pStyle w:val="subsection"/>
      </w:pPr>
      <w:r w:rsidRPr="006E709F">
        <w:tab/>
      </w:r>
      <w:r w:rsidRPr="006E709F">
        <w:tab/>
        <w:t>The following definitions must be included for a superannuation product under the heading “Defined fees”:</w:t>
      </w:r>
    </w:p>
    <w:p w:rsidR="00D40A21" w:rsidRPr="006E709F" w:rsidRDefault="00D40A21" w:rsidP="00D40A21">
      <w:pPr>
        <w:pStyle w:val="SubsectionHead"/>
      </w:pPr>
      <w:r w:rsidRPr="006E709F">
        <w:t>Activity fees</w:t>
      </w:r>
    </w:p>
    <w:p w:rsidR="00D40A21" w:rsidRPr="006E709F" w:rsidRDefault="00D40A21" w:rsidP="00D40A21">
      <w:pPr>
        <w:pStyle w:val="subsection"/>
      </w:pPr>
      <w:r w:rsidRPr="006E709F">
        <w:tab/>
      </w:r>
      <w:r w:rsidRPr="006E709F">
        <w:tab/>
        <w:t xml:space="preserve">A fee is an </w:t>
      </w:r>
      <w:r w:rsidRPr="006E709F">
        <w:rPr>
          <w:b/>
          <w:i/>
        </w:rPr>
        <w:t>activity fee</w:t>
      </w:r>
      <w:r w:rsidRPr="006E709F">
        <w:t xml:space="preserve"> if:</w:t>
      </w:r>
    </w:p>
    <w:p w:rsidR="00D40A21" w:rsidRPr="006E709F" w:rsidRDefault="00D40A21" w:rsidP="00D40A21">
      <w:pPr>
        <w:pStyle w:val="paragraph"/>
      </w:pPr>
      <w:r w:rsidRPr="006E709F">
        <w:tab/>
        <w:t>(a)</w:t>
      </w:r>
      <w:r w:rsidRPr="006E709F">
        <w:tab/>
        <w:t>the fee relates to costs incurred by the trustee</w:t>
      </w:r>
      <w:r w:rsidRPr="006E709F">
        <w:rPr>
          <w:i/>
        </w:rPr>
        <w:t xml:space="preserve"> [OR the trustees]</w:t>
      </w:r>
      <w:r w:rsidRPr="006E709F">
        <w:t xml:space="preserve"> of the superannuation entity that are directly related to an activity of the trustee</w:t>
      </w:r>
      <w:r w:rsidRPr="006E709F">
        <w:rPr>
          <w:i/>
        </w:rPr>
        <w:t xml:space="preserve"> [OR the trustees]</w:t>
      </w:r>
      <w:r w:rsidRPr="006E709F">
        <w:t>:</w:t>
      </w:r>
    </w:p>
    <w:p w:rsidR="00D40A21" w:rsidRPr="006E709F" w:rsidRDefault="00D40A21" w:rsidP="00D40A21">
      <w:pPr>
        <w:pStyle w:val="paragraphsub"/>
      </w:pPr>
      <w:r w:rsidRPr="006E709F">
        <w:tab/>
        <w:t>(i)</w:t>
      </w:r>
      <w:r w:rsidRPr="006E709F">
        <w:tab/>
        <w:t>that is engaged in at the request, or with the consent, of a member; or</w:t>
      </w:r>
    </w:p>
    <w:p w:rsidR="00D40A21" w:rsidRPr="006E709F" w:rsidRDefault="00D40A21" w:rsidP="00D40A21">
      <w:pPr>
        <w:pStyle w:val="paragraphsub"/>
      </w:pPr>
      <w:r w:rsidRPr="006E709F">
        <w:tab/>
        <w:t>(ii)</w:t>
      </w:r>
      <w:r w:rsidRPr="006E709F">
        <w:tab/>
        <w:t>that relates to a member and is required by law; and</w:t>
      </w:r>
    </w:p>
    <w:p w:rsidR="00D40A21" w:rsidRPr="006E709F" w:rsidRDefault="00D40A21" w:rsidP="00D40A21">
      <w:pPr>
        <w:pStyle w:val="paragraph"/>
      </w:pPr>
      <w:r w:rsidRPr="006E709F">
        <w:tab/>
        <w:t>(b)</w:t>
      </w:r>
      <w:r w:rsidRPr="006E709F">
        <w:tab/>
        <w:t>those costs are not otherwise charged as an administration fee, an investment fee, a buy</w:t>
      </w:r>
      <w:r w:rsidR="000C4237">
        <w:noBreakHyphen/>
      </w:r>
      <w:r w:rsidRPr="006E709F">
        <w:t>sell spread, a switching fee, an advice fee or an insurance fee.</w:t>
      </w:r>
    </w:p>
    <w:p w:rsidR="00D40A21" w:rsidRPr="006E709F" w:rsidRDefault="00D40A21" w:rsidP="00D40A21">
      <w:pPr>
        <w:pStyle w:val="SubsectionHead"/>
      </w:pPr>
      <w:r w:rsidRPr="006E709F">
        <w:t>Administration fees</w:t>
      </w:r>
    </w:p>
    <w:p w:rsidR="00D40A21" w:rsidRPr="006E709F" w:rsidRDefault="00D40A21" w:rsidP="00D40A21">
      <w:pPr>
        <w:pStyle w:val="subsection"/>
      </w:pPr>
      <w:r w:rsidRPr="006E709F">
        <w:tab/>
      </w:r>
      <w:r w:rsidRPr="006E709F">
        <w:tab/>
        <w:t xml:space="preserve">An </w:t>
      </w:r>
      <w:r w:rsidRPr="006E709F">
        <w:rPr>
          <w:b/>
          <w:i/>
        </w:rPr>
        <w:t>administration fee</w:t>
      </w:r>
      <w:r w:rsidRPr="006E709F">
        <w:t xml:space="preserve"> is a fee that relates to the administration or operation of the superannuation entity and includes costs incurred by the trustee</w:t>
      </w:r>
      <w:r w:rsidRPr="006E709F">
        <w:rPr>
          <w:i/>
        </w:rPr>
        <w:t xml:space="preserve"> [OR the trustees]</w:t>
      </w:r>
      <w:r w:rsidRPr="006E709F">
        <w:t xml:space="preserve"> of the entity that:</w:t>
      </w:r>
    </w:p>
    <w:p w:rsidR="00D40A21" w:rsidRPr="006E709F" w:rsidRDefault="00D40A21" w:rsidP="00D40A21">
      <w:pPr>
        <w:pStyle w:val="paragraph"/>
      </w:pPr>
      <w:r w:rsidRPr="006E709F">
        <w:tab/>
        <w:t>(a)</w:t>
      </w:r>
      <w:r w:rsidRPr="006E709F">
        <w:tab/>
        <w:t>relate to the administration or operation of the entity; and</w:t>
      </w:r>
    </w:p>
    <w:p w:rsidR="00D40A21" w:rsidRPr="006E709F" w:rsidRDefault="00D40A21" w:rsidP="00D40A21">
      <w:pPr>
        <w:pStyle w:val="paragraph"/>
      </w:pPr>
      <w:r w:rsidRPr="006E709F">
        <w:tab/>
        <w:t>(b)</w:t>
      </w:r>
      <w:r w:rsidRPr="006E709F">
        <w:tab/>
        <w:t>are not otherwise charged as an investment fee, a buy</w:t>
      </w:r>
      <w:r w:rsidR="000C4237">
        <w:noBreakHyphen/>
      </w:r>
      <w:r w:rsidRPr="006E709F">
        <w:t>s</w:t>
      </w:r>
      <w:r w:rsidR="00973CA7" w:rsidRPr="006E709F">
        <w:t xml:space="preserve">ell spread, a switching fee, </w:t>
      </w:r>
      <w:r w:rsidRPr="006E709F">
        <w:t>an activity fee, an advice fee or an insurance fee.</w:t>
      </w:r>
    </w:p>
    <w:p w:rsidR="00D40A21" w:rsidRPr="006E709F" w:rsidRDefault="00D40A21" w:rsidP="00D40A21">
      <w:pPr>
        <w:pStyle w:val="SubsectionHead"/>
      </w:pPr>
      <w:r w:rsidRPr="006E709F">
        <w:t>Advice fees</w:t>
      </w:r>
    </w:p>
    <w:p w:rsidR="00D40A21" w:rsidRPr="006E709F" w:rsidRDefault="00D40A21" w:rsidP="00D40A21">
      <w:pPr>
        <w:pStyle w:val="subsection"/>
      </w:pPr>
      <w:r w:rsidRPr="006E709F">
        <w:tab/>
      </w:r>
      <w:r w:rsidRPr="006E709F">
        <w:tab/>
        <w:t xml:space="preserve">A fee is an </w:t>
      </w:r>
      <w:r w:rsidRPr="006E709F">
        <w:rPr>
          <w:b/>
          <w:i/>
        </w:rPr>
        <w:t>advice fee</w:t>
      </w:r>
      <w:r w:rsidRPr="006E709F">
        <w:t xml:space="preserve"> if:</w:t>
      </w:r>
    </w:p>
    <w:p w:rsidR="00D40A21" w:rsidRPr="006E709F" w:rsidRDefault="00D40A21" w:rsidP="00D40A21">
      <w:pPr>
        <w:pStyle w:val="paragraph"/>
      </w:pPr>
      <w:r w:rsidRPr="006E709F">
        <w:tab/>
        <w:t>(a)</w:t>
      </w:r>
      <w:r w:rsidRPr="006E709F">
        <w:tab/>
        <w:t xml:space="preserve">the fee relates directly to costs incurred by the trustee </w:t>
      </w:r>
      <w:r w:rsidRPr="006E709F">
        <w:rPr>
          <w:i/>
        </w:rPr>
        <w:t xml:space="preserve">[OR the trustees] </w:t>
      </w:r>
      <w:r w:rsidRPr="006E709F">
        <w:t>of the superannuation entity because of the provision of financial product advice to a member by:</w:t>
      </w:r>
    </w:p>
    <w:p w:rsidR="00D40A21" w:rsidRPr="006E709F" w:rsidRDefault="00D40A21" w:rsidP="00D40A21">
      <w:pPr>
        <w:pStyle w:val="paragraphsub"/>
      </w:pPr>
      <w:r w:rsidRPr="006E709F">
        <w:tab/>
        <w:t>(i)</w:t>
      </w:r>
      <w:r w:rsidRPr="006E709F">
        <w:tab/>
        <w:t>a trustee of the entity; or</w:t>
      </w:r>
    </w:p>
    <w:p w:rsidR="00D40A21" w:rsidRPr="006E709F" w:rsidRDefault="00D40A21" w:rsidP="00D40A21">
      <w:pPr>
        <w:pStyle w:val="paragraphsub"/>
      </w:pPr>
      <w:r w:rsidRPr="006E709F">
        <w:tab/>
        <w:t>(ii)</w:t>
      </w:r>
      <w:r w:rsidRPr="006E709F">
        <w:tab/>
        <w:t xml:space="preserve">another person acting as an employee of, or under an arrangement with, the trustee </w:t>
      </w:r>
      <w:r w:rsidRPr="006E709F">
        <w:rPr>
          <w:i/>
        </w:rPr>
        <w:t xml:space="preserve">[OR the trustees] </w:t>
      </w:r>
      <w:r w:rsidRPr="006E709F">
        <w:t>of the entity; and</w:t>
      </w:r>
    </w:p>
    <w:p w:rsidR="00D40A21" w:rsidRPr="006E709F" w:rsidRDefault="00D40A21" w:rsidP="00D40A21">
      <w:pPr>
        <w:pStyle w:val="paragraph"/>
      </w:pPr>
      <w:r w:rsidRPr="006E709F">
        <w:tab/>
        <w:t>(b)</w:t>
      </w:r>
      <w:r w:rsidRPr="006E709F">
        <w:tab/>
        <w:t>those costs are not otherwise charged as an administration fee, an investment fee, a switching fee, an activity fee or an insurance fee.</w:t>
      </w:r>
    </w:p>
    <w:p w:rsidR="00D40A21" w:rsidRPr="006E709F" w:rsidRDefault="00D40A21" w:rsidP="00D40A21">
      <w:pPr>
        <w:pStyle w:val="SubsectionHead"/>
      </w:pPr>
      <w:r w:rsidRPr="006E709F">
        <w:t>Buy</w:t>
      </w:r>
      <w:r w:rsidR="000C4237">
        <w:noBreakHyphen/>
      </w:r>
      <w:r w:rsidRPr="006E709F">
        <w:t>sell spreads</w:t>
      </w:r>
    </w:p>
    <w:p w:rsidR="00D40A21" w:rsidRPr="006E709F" w:rsidRDefault="00D40A21" w:rsidP="00D40A21">
      <w:pPr>
        <w:pStyle w:val="subsection"/>
      </w:pPr>
      <w:r w:rsidRPr="006E709F">
        <w:tab/>
      </w:r>
      <w:r w:rsidRPr="006E709F">
        <w:tab/>
        <w:t xml:space="preserve">A </w:t>
      </w:r>
      <w:r w:rsidRPr="006E709F">
        <w:rPr>
          <w:b/>
          <w:i/>
        </w:rPr>
        <w:t>buy</w:t>
      </w:r>
      <w:r w:rsidR="000C4237">
        <w:rPr>
          <w:b/>
          <w:i/>
        </w:rPr>
        <w:noBreakHyphen/>
      </w:r>
      <w:r w:rsidRPr="006E709F">
        <w:rPr>
          <w:b/>
          <w:i/>
        </w:rPr>
        <w:t>sell spread</w:t>
      </w:r>
      <w:r w:rsidRPr="006E709F">
        <w:t xml:space="preserve"> is a fee to recover transaction costs incurred by the trustee </w:t>
      </w:r>
      <w:r w:rsidRPr="006E709F">
        <w:rPr>
          <w:i/>
        </w:rPr>
        <w:t>[OR the trustees]</w:t>
      </w:r>
      <w:r w:rsidRPr="006E709F">
        <w:t xml:space="preserve"> of the superannuation entity in relation to the sale and purchase of assets of the entity.</w:t>
      </w:r>
    </w:p>
    <w:p w:rsidR="00636892" w:rsidRPr="006E709F" w:rsidRDefault="00636892" w:rsidP="00636892">
      <w:pPr>
        <w:pStyle w:val="SubsectionHead"/>
      </w:pPr>
      <w:r w:rsidRPr="006E709F">
        <w:lastRenderedPageBreak/>
        <w:t>Exit fees</w:t>
      </w:r>
    </w:p>
    <w:p w:rsidR="00636892" w:rsidRPr="006E709F" w:rsidRDefault="00636892" w:rsidP="00636892">
      <w:pPr>
        <w:pStyle w:val="subsection"/>
      </w:pPr>
      <w:r w:rsidRPr="006E709F">
        <w:tab/>
      </w:r>
      <w:r w:rsidRPr="006E709F">
        <w:tab/>
        <w:t xml:space="preserve">An </w:t>
      </w:r>
      <w:r w:rsidRPr="006E709F">
        <w:rPr>
          <w:b/>
          <w:i/>
        </w:rPr>
        <w:t xml:space="preserve">exit fee </w:t>
      </w:r>
      <w:r w:rsidRPr="006E709F">
        <w:t>is a fee, other than a buy</w:t>
      </w:r>
      <w:r w:rsidR="000C4237">
        <w:noBreakHyphen/>
      </w:r>
      <w:r w:rsidRPr="006E709F">
        <w:t>sell spread, that relates to the disposal of all or part of a member’s interests in a superannuation entity.</w:t>
      </w:r>
    </w:p>
    <w:p w:rsidR="00D40A21" w:rsidRPr="006E709F" w:rsidRDefault="00D40A21" w:rsidP="00D40A21">
      <w:pPr>
        <w:pStyle w:val="SubsectionHead"/>
      </w:pPr>
      <w:r w:rsidRPr="006E709F">
        <w:t>Indirect cost ratio</w:t>
      </w:r>
    </w:p>
    <w:p w:rsidR="00D40A21" w:rsidRPr="006E709F" w:rsidRDefault="00D40A21" w:rsidP="00D40A21">
      <w:pPr>
        <w:pStyle w:val="subsection"/>
      </w:pPr>
      <w:r w:rsidRPr="006E709F">
        <w:tab/>
      </w:r>
      <w:r w:rsidRPr="006E709F">
        <w:tab/>
        <w:t xml:space="preserve">The </w:t>
      </w:r>
      <w:r w:rsidRPr="006E709F">
        <w:rPr>
          <w:b/>
          <w:i/>
        </w:rPr>
        <w:t xml:space="preserve">indirect cost ratio </w:t>
      </w:r>
      <w:r w:rsidRPr="006E709F">
        <w:t>(</w:t>
      </w:r>
      <w:r w:rsidRPr="006E709F">
        <w:rPr>
          <w:b/>
          <w:i/>
        </w:rPr>
        <w:t>ICR</w:t>
      </w:r>
      <w:r w:rsidRPr="006E709F">
        <w:t>), for a MySuper product or an investment option offered by a superannuation entity, is the ratio of the total of the indirect costs for the MySuper product or investment option, to the total average net assets of the superannuation entity attributed to the MySuper product or investment option.</w:t>
      </w:r>
    </w:p>
    <w:p w:rsidR="00D40A21" w:rsidRPr="006E709F" w:rsidRDefault="00D40A21" w:rsidP="00D40A21">
      <w:pPr>
        <w:pStyle w:val="notetext"/>
      </w:pPr>
      <w:r w:rsidRPr="006E709F">
        <w:t>Note:</w:t>
      </w:r>
      <w:r w:rsidRPr="006E709F">
        <w:tab/>
        <w:t>A dollar</w:t>
      </w:r>
      <w:r w:rsidR="000C4237">
        <w:noBreakHyphen/>
      </w:r>
      <w:r w:rsidRPr="006E709F">
        <w:t>based fee deducted directly from a member’s account is not included in the indirect cost ratio.</w:t>
      </w:r>
    </w:p>
    <w:p w:rsidR="00D40A21" w:rsidRPr="006E709F" w:rsidRDefault="00D40A21" w:rsidP="00D40A21">
      <w:pPr>
        <w:pStyle w:val="SubsectionHead"/>
      </w:pPr>
      <w:r w:rsidRPr="006E709F">
        <w:t>Investment fees</w:t>
      </w:r>
    </w:p>
    <w:p w:rsidR="00D40A21" w:rsidRPr="006E709F" w:rsidRDefault="00D40A21" w:rsidP="00D40A21">
      <w:pPr>
        <w:pStyle w:val="subsection"/>
      </w:pPr>
      <w:r w:rsidRPr="006E709F">
        <w:tab/>
      </w:r>
      <w:r w:rsidRPr="006E709F">
        <w:tab/>
        <w:t xml:space="preserve">An </w:t>
      </w:r>
      <w:r w:rsidRPr="006E709F">
        <w:rPr>
          <w:b/>
          <w:i/>
        </w:rPr>
        <w:t>investment fee</w:t>
      </w:r>
      <w:r w:rsidRPr="006E709F">
        <w:t xml:space="preserve"> is a fee that relates to the investment of the assets of a superannuation entity and includes:</w:t>
      </w:r>
    </w:p>
    <w:p w:rsidR="00D40A21" w:rsidRPr="006E709F" w:rsidRDefault="00D40A21" w:rsidP="00D40A21">
      <w:pPr>
        <w:pStyle w:val="paragraph"/>
      </w:pPr>
      <w:r w:rsidRPr="006E709F">
        <w:tab/>
        <w:t>(a)</w:t>
      </w:r>
      <w:r w:rsidRPr="006E709F">
        <w:tab/>
        <w:t>fees in payment for the exercise of care and expertise in the investment of those assets (including performance fees); and</w:t>
      </w:r>
    </w:p>
    <w:p w:rsidR="00D40A21" w:rsidRPr="006E709F" w:rsidRDefault="00D40A21" w:rsidP="00D40A21">
      <w:pPr>
        <w:pStyle w:val="paragraph"/>
      </w:pPr>
      <w:r w:rsidRPr="006E709F">
        <w:tab/>
        <w:t>(b)</w:t>
      </w:r>
      <w:r w:rsidRPr="006E709F">
        <w:tab/>
        <w:t xml:space="preserve">costs incurred by the trustee </w:t>
      </w:r>
      <w:r w:rsidRPr="006E709F">
        <w:rPr>
          <w:i/>
        </w:rPr>
        <w:t>[OR the trustees]</w:t>
      </w:r>
      <w:r w:rsidRPr="006E709F">
        <w:t xml:space="preserve"> of the entity that:</w:t>
      </w:r>
    </w:p>
    <w:p w:rsidR="00D40A21" w:rsidRPr="006E709F" w:rsidRDefault="00D40A21" w:rsidP="00D40A21">
      <w:pPr>
        <w:pStyle w:val="paragraphsub"/>
      </w:pPr>
      <w:r w:rsidRPr="006E709F">
        <w:tab/>
        <w:t>(i)</w:t>
      </w:r>
      <w:r w:rsidRPr="006E709F">
        <w:tab/>
        <w:t>relate to the investment of assets of the entity; and</w:t>
      </w:r>
    </w:p>
    <w:p w:rsidR="00D40A21" w:rsidRPr="006E709F" w:rsidRDefault="00D40A21" w:rsidP="00D40A21">
      <w:pPr>
        <w:pStyle w:val="paragraphsub"/>
      </w:pPr>
      <w:r w:rsidRPr="006E709F">
        <w:tab/>
        <w:t>(ii)</w:t>
      </w:r>
      <w:r w:rsidRPr="006E709F">
        <w:tab/>
        <w:t>are not otherwise charged as an administration fee, a buy</w:t>
      </w:r>
      <w:r w:rsidR="000C4237">
        <w:noBreakHyphen/>
      </w:r>
      <w:r w:rsidRPr="006E709F">
        <w:t>sell spread, a switching fee, an activity fee, an advice fee or an insurance fee.</w:t>
      </w:r>
    </w:p>
    <w:p w:rsidR="00D40A21" w:rsidRPr="006E709F" w:rsidRDefault="00D40A21" w:rsidP="00D40A21">
      <w:pPr>
        <w:pStyle w:val="SubsectionHead"/>
      </w:pPr>
      <w:r w:rsidRPr="006E709F">
        <w:t>Switching fees</w:t>
      </w:r>
    </w:p>
    <w:p w:rsidR="00D40A21" w:rsidRPr="006E709F" w:rsidRDefault="00D40A21" w:rsidP="00D40A21">
      <w:pPr>
        <w:pStyle w:val="subsection"/>
      </w:pPr>
      <w:r w:rsidRPr="006E709F">
        <w:tab/>
      </w:r>
      <w:r w:rsidRPr="006E709F">
        <w:tab/>
        <w:t xml:space="preserve">A </w:t>
      </w:r>
      <w:r w:rsidRPr="006E709F">
        <w:rPr>
          <w:b/>
          <w:i/>
        </w:rPr>
        <w:t>switching fee</w:t>
      </w:r>
      <w:r w:rsidRPr="006E709F">
        <w:t xml:space="preserve"> is a fee to recover the costs of switching all or part of a member’s interest in the superannuation entity from one class of beneficial interest in the entity to another.</w:t>
      </w:r>
    </w:p>
    <w:p w:rsidR="002A22A4" w:rsidRPr="006E709F" w:rsidRDefault="00A801D0" w:rsidP="00A801D0">
      <w:pPr>
        <w:pStyle w:val="ActHead3"/>
        <w:pageBreakBefore/>
      </w:pPr>
      <w:bookmarkStart w:id="82" w:name="_Toc170547899"/>
      <w:r w:rsidRPr="000C4237">
        <w:rPr>
          <w:rStyle w:val="CharDivNo"/>
        </w:rPr>
        <w:lastRenderedPageBreak/>
        <w:t>Division</w:t>
      </w:r>
      <w:r w:rsidR="00DA13DE" w:rsidRPr="000C4237">
        <w:rPr>
          <w:rStyle w:val="CharDivNo"/>
        </w:rPr>
        <w:t> </w:t>
      </w:r>
      <w:r w:rsidR="002A22A4" w:rsidRPr="000C4237">
        <w:rPr>
          <w:rStyle w:val="CharDivNo"/>
        </w:rPr>
        <w:t>5</w:t>
      </w:r>
      <w:r w:rsidR="00CA4A64" w:rsidRPr="006E709F">
        <w:t>—</w:t>
      </w:r>
      <w:r w:rsidR="002A22A4" w:rsidRPr="000C4237">
        <w:rPr>
          <w:rStyle w:val="CharDivText"/>
        </w:rPr>
        <w:t>Example of annual fees and costs</w:t>
      </w:r>
      <w:bookmarkEnd w:id="82"/>
    </w:p>
    <w:p w:rsidR="002A22A4" w:rsidRPr="006E709F" w:rsidRDefault="002A22A4" w:rsidP="00D5406C">
      <w:pPr>
        <w:pStyle w:val="ActHead5"/>
      </w:pPr>
      <w:bookmarkStart w:id="83" w:name="_Toc170547900"/>
      <w:r w:rsidRPr="000C4237">
        <w:rPr>
          <w:rStyle w:val="CharSectno"/>
        </w:rPr>
        <w:t>210</w:t>
      </w:r>
      <w:r w:rsidR="00A801D0" w:rsidRPr="006E709F">
        <w:t xml:space="preserve">  </w:t>
      </w:r>
      <w:r w:rsidRPr="006E709F">
        <w:t>Example of annual fees and costs</w:t>
      </w:r>
      <w:bookmarkEnd w:id="83"/>
    </w:p>
    <w:p w:rsidR="002A22A4" w:rsidRPr="006E709F" w:rsidRDefault="002A22A4" w:rsidP="00A801D0">
      <w:pPr>
        <w:pStyle w:val="subsection"/>
      </w:pPr>
      <w:r w:rsidRPr="006E709F">
        <w:tab/>
      </w:r>
      <w:r w:rsidRPr="006E709F">
        <w:tab/>
        <w:t>The example of annual fees and costs:</w:t>
      </w:r>
    </w:p>
    <w:p w:rsidR="002A22A4" w:rsidRPr="006E709F" w:rsidRDefault="002A22A4" w:rsidP="00A801D0">
      <w:pPr>
        <w:pStyle w:val="paragraph"/>
      </w:pPr>
      <w:r w:rsidRPr="006E709F">
        <w:tab/>
        <w:t>(a)</w:t>
      </w:r>
      <w:r w:rsidRPr="006E709F">
        <w:tab/>
        <w:t>must contain fees and costs in accordance with the table in clause</w:t>
      </w:r>
      <w:r w:rsidR="00DA13DE" w:rsidRPr="006E709F">
        <w:t> </w:t>
      </w:r>
      <w:r w:rsidRPr="006E709F">
        <w:t>211 or 212; and</w:t>
      </w:r>
    </w:p>
    <w:p w:rsidR="002A22A4" w:rsidRPr="006E709F" w:rsidRDefault="002A22A4" w:rsidP="00A801D0">
      <w:pPr>
        <w:pStyle w:val="paragraph"/>
      </w:pPr>
      <w:r w:rsidRPr="006E709F">
        <w:tab/>
        <w:t>(b)</w:t>
      </w:r>
      <w:r w:rsidRPr="006E709F">
        <w:tab/>
        <w:t>must be set out using the headings and the form in clause</w:t>
      </w:r>
      <w:r w:rsidR="00DA13DE" w:rsidRPr="006E709F">
        <w:t> </w:t>
      </w:r>
      <w:r w:rsidRPr="006E709F">
        <w:t>211 or 212; and</w:t>
      </w:r>
    </w:p>
    <w:p w:rsidR="002A22A4" w:rsidRPr="006E709F" w:rsidRDefault="002A22A4" w:rsidP="00A801D0">
      <w:pPr>
        <w:pStyle w:val="paragraph"/>
      </w:pPr>
      <w:r w:rsidRPr="006E709F">
        <w:tab/>
        <w:t>(c)</w:t>
      </w:r>
      <w:r w:rsidRPr="006E709F">
        <w:tab/>
        <w:t>must be included in the ‘Fees’ section of a Product Disclosure Statement, following the fees and costs template.</w:t>
      </w:r>
    </w:p>
    <w:p w:rsidR="00D40A21" w:rsidRPr="006E709F" w:rsidRDefault="00D40A21" w:rsidP="00D40A21">
      <w:pPr>
        <w:pStyle w:val="ActHead5"/>
      </w:pPr>
      <w:bookmarkStart w:id="84" w:name="_Toc170547901"/>
      <w:r w:rsidRPr="000C4237">
        <w:rPr>
          <w:rStyle w:val="CharSectno"/>
        </w:rPr>
        <w:t>211</w:t>
      </w:r>
      <w:r w:rsidRPr="006E709F">
        <w:t xml:space="preserve">  Superannuation products—Example of annual fees and costs for a MySuper product</w:t>
      </w:r>
      <w:bookmarkEnd w:id="84"/>
    </w:p>
    <w:p w:rsidR="00D40A21" w:rsidRPr="006E709F" w:rsidRDefault="00D40A21" w:rsidP="00D40A21">
      <w:pPr>
        <w:pStyle w:val="subsection"/>
      </w:pPr>
      <w:r w:rsidRPr="006E709F">
        <w:tab/>
      </w:r>
      <w:r w:rsidRPr="006E709F">
        <w:tab/>
        <w:t>This table gives an example of how the fees and costs for the generic MySuper product for this superannuation product can affect your superannuation investment over a 1 year period. You should use this table to compare this superannuation product with other superannuation products.</w:t>
      </w:r>
    </w:p>
    <w:p w:rsidR="00320785" w:rsidRPr="006E709F" w:rsidRDefault="00320785" w:rsidP="00320785">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2683"/>
        <w:gridCol w:w="1547"/>
        <w:gridCol w:w="4299"/>
      </w:tblGrid>
      <w:tr w:rsidR="00D40A21" w:rsidRPr="006E709F" w:rsidTr="00E118FA">
        <w:tc>
          <w:tcPr>
            <w:tcW w:w="2480" w:type="pct"/>
            <w:gridSpan w:val="2"/>
            <w:shd w:val="clear" w:color="auto" w:fill="FFFFFF"/>
            <w:tcMar>
              <w:top w:w="0" w:type="dxa"/>
              <w:left w:w="108" w:type="dxa"/>
              <w:bottom w:w="0" w:type="dxa"/>
              <w:right w:w="108" w:type="dxa"/>
            </w:tcMar>
            <w:hideMark/>
          </w:tcPr>
          <w:p w:rsidR="00D40A21" w:rsidRPr="006E709F" w:rsidRDefault="00D40A21" w:rsidP="00377DE6">
            <w:pPr>
              <w:pStyle w:val="Tabletext"/>
              <w:rPr>
                <w:rFonts w:eastAsia="Calibri"/>
                <w:sz w:val="18"/>
                <w:szCs w:val="18"/>
              </w:rPr>
            </w:pPr>
            <w:r w:rsidRPr="006E709F">
              <w:rPr>
                <w:b/>
                <w:sz w:val="18"/>
                <w:szCs w:val="18"/>
              </w:rPr>
              <w:t>EXAMPLE—</w:t>
            </w:r>
            <w:r w:rsidR="000C4237">
              <w:rPr>
                <w:b/>
                <w:sz w:val="18"/>
                <w:szCs w:val="18"/>
              </w:rPr>
              <w:noBreakHyphen/>
            </w:r>
            <w:r w:rsidRPr="006E709F">
              <w:rPr>
                <w:sz w:val="18"/>
                <w:szCs w:val="18"/>
              </w:rPr>
              <w:t>MySuper product</w:t>
            </w:r>
          </w:p>
        </w:tc>
        <w:tc>
          <w:tcPr>
            <w:tcW w:w="2520" w:type="pct"/>
            <w:shd w:val="clear" w:color="auto" w:fill="FFFFFF"/>
            <w:tcMar>
              <w:top w:w="0" w:type="dxa"/>
              <w:left w:w="108" w:type="dxa"/>
              <w:bottom w:w="0" w:type="dxa"/>
              <w:right w:w="108" w:type="dxa"/>
            </w:tcMar>
            <w:hideMark/>
          </w:tcPr>
          <w:p w:rsidR="00D40A21" w:rsidRPr="006E709F" w:rsidRDefault="00D40A21" w:rsidP="00377DE6">
            <w:pPr>
              <w:pStyle w:val="Tabletext"/>
              <w:rPr>
                <w:rFonts w:eastAsia="Calibri"/>
                <w:b/>
                <w:sz w:val="18"/>
                <w:szCs w:val="18"/>
              </w:rPr>
            </w:pPr>
            <w:r w:rsidRPr="006E709F">
              <w:rPr>
                <w:b/>
                <w:sz w:val="18"/>
                <w:szCs w:val="18"/>
              </w:rPr>
              <w:t>BALANCE OF $50</w:t>
            </w:r>
            <w:r w:rsidR="00DA13DE" w:rsidRPr="006E709F">
              <w:rPr>
                <w:b/>
                <w:sz w:val="18"/>
                <w:szCs w:val="18"/>
              </w:rPr>
              <w:t> </w:t>
            </w:r>
            <w:r w:rsidRPr="006E709F">
              <w:rPr>
                <w:b/>
                <w:sz w:val="18"/>
                <w:szCs w:val="18"/>
              </w:rPr>
              <w:t>000</w:t>
            </w:r>
          </w:p>
        </w:tc>
      </w:tr>
      <w:tr w:rsidR="00D40A21" w:rsidRPr="006E709F" w:rsidTr="00E118FA">
        <w:tc>
          <w:tcPr>
            <w:tcW w:w="1573" w:type="pct"/>
            <w:shd w:val="clear" w:color="auto" w:fill="FFFFFF"/>
            <w:tcMar>
              <w:top w:w="0" w:type="dxa"/>
              <w:left w:w="108" w:type="dxa"/>
              <w:bottom w:w="0" w:type="dxa"/>
              <w:right w:w="108" w:type="dxa"/>
            </w:tcMar>
            <w:hideMark/>
          </w:tcPr>
          <w:p w:rsidR="00D40A21" w:rsidRPr="006E709F" w:rsidRDefault="00D40A21" w:rsidP="00377DE6">
            <w:pPr>
              <w:pStyle w:val="Tabletext"/>
              <w:rPr>
                <w:rFonts w:eastAsia="Calibri"/>
                <w:sz w:val="18"/>
                <w:szCs w:val="18"/>
              </w:rPr>
            </w:pPr>
            <w:r w:rsidRPr="006E709F">
              <w:rPr>
                <w:sz w:val="18"/>
                <w:szCs w:val="18"/>
              </w:rPr>
              <w:t xml:space="preserve">Investment fees </w:t>
            </w:r>
          </w:p>
        </w:tc>
        <w:tc>
          <w:tcPr>
            <w:tcW w:w="907" w:type="pct"/>
            <w:shd w:val="clear" w:color="auto" w:fill="FFFFFF"/>
            <w:tcMar>
              <w:top w:w="0" w:type="dxa"/>
              <w:left w:w="108" w:type="dxa"/>
              <w:bottom w:w="0" w:type="dxa"/>
              <w:right w:w="108" w:type="dxa"/>
            </w:tcMar>
            <w:hideMark/>
          </w:tcPr>
          <w:p w:rsidR="00D40A21" w:rsidRPr="006E709F" w:rsidRDefault="00D40A21" w:rsidP="00377DE6">
            <w:pPr>
              <w:pStyle w:val="Tabletext"/>
              <w:rPr>
                <w:rFonts w:eastAsia="Calibri"/>
                <w:sz w:val="18"/>
                <w:szCs w:val="18"/>
              </w:rPr>
            </w:pPr>
            <w:r w:rsidRPr="006E709F">
              <w:rPr>
                <w:sz w:val="18"/>
                <w:szCs w:val="18"/>
              </w:rPr>
              <w:t>1.6%</w:t>
            </w:r>
          </w:p>
        </w:tc>
        <w:tc>
          <w:tcPr>
            <w:tcW w:w="2520" w:type="pct"/>
            <w:shd w:val="clear" w:color="auto" w:fill="FFFFFF"/>
            <w:tcMar>
              <w:top w:w="0" w:type="dxa"/>
              <w:left w:w="108" w:type="dxa"/>
              <w:bottom w:w="0" w:type="dxa"/>
              <w:right w:w="108" w:type="dxa"/>
            </w:tcMar>
            <w:hideMark/>
          </w:tcPr>
          <w:p w:rsidR="00D40A21" w:rsidRPr="006E709F" w:rsidRDefault="00D40A21" w:rsidP="00377DE6">
            <w:pPr>
              <w:pStyle w:val="Tabletext"/>
              <w:rPr>
                <w:rFonts w:eastAsia="Calibri"/>
                <w:sz w:val="18"/>
                <w:szCs w:val="18"/>
              </w:rPr>
            </w:pPr>
            <w:r w:rsidRPr="006E709F">
              <w:rPr>
                <w:sz w:val="18"/>
                <w:szCs w:val="18"/>
              </w:rPr>
              <w:t>For every $50</w:t>
            </w:r>
            <w:r w:rsidR="00DA13DE" w:rsidRPr="006E709F">
              <w:rPr>
                <w:sz w:val="18"/>
                <w:szCs w:val="18"/>
              </w:rPr>
              <w:t> </w:t>
            </w:r>
            <w:r w:rsidRPr="006E709F">
              <w:rPr>
                <w:sz w:val="18"/>
                <w:szCs w:val="18"/>
              </w:rPr>
              <w:t>000 you have in the MySuper product you will be charged $800 each year</w:t>
            </w:r>
          </w:p>
        </w:tc>
      </w:tr>
      <w:tr w:rsidR="00D40A21" w:rsidRPr="006E709F" w:rsidTr="00E118FA">
        <w:tc>
          <w:tcPr>
            <w:tcW w:w="1573" w:type="pct"/>
            <w:shd w:val="clear" w:color="auto" w:fill="FFFFFF"/>
            <w:tcMar>
              <w:top w:w="0" w:type="dxa"/>
              <w:left w:w="108" w:type="dxa"/>
              <w:bottom w:w="0" w:type="dxa"/>
              <w:right w:w="108" w:type="dxa"/>
            </w:tcMar>
            <w:hideMark/>
          </w:tcPr>
          <w:p w:rsidR="00D40A21" w:rsidRPr="006E709F" w:rsidRDefault="00D40A21" w:rsidP="00377DE6">
            <w:pPr>
              <w:pStyle w:val="Tabletext"/>
              <w:rPr>
                <w:rFonts w:eastAsia="Calibri"/>
                <w:sz w:val="18"/>
                <w:szCs w:val="18"/>
              </w:rPr>
            </w:pPr>
            <w:r w:rsidRPr="006E709F">
              <w:rPr>
                <w:b/>
                <w:sz w:val="18"/>
                <w:szCs w:val="18"/>
              </w:rPr>
              <w:t>PLUS</w:t>
            </w:r>
            <w:r w:rsidRPr="006E709F">
              <w:rPr>
                <w:sz w:val="18"/>
                <w:szCs w:val="18"/>
              </w:rPr>
              <w:t xml:space="preserve"> Administration fees</w:t>
            </w:r>
          </w:p>
        </w:tc>
        <w:tc>
          <w:tcPr>
            <w:tcW w:w="907" w:type="pct"/>
            <w:shd w:val="clear" w:color="auto" w:fill="FFFFFF"/>
            <w:tcMar>
              <w:top w:w="0" w:type="dxa"/>
              <w:left w:w="108" w:type="dxa"/>
              <w:bottom w:w="0" w:type="dxa"/>
              <w:right w:w="108" w:type="dxa"/>
            </w:tcMar>
            <w:hideMark/>
          </w:tcPr>
          <w:p w:rsidR="00D40A21" w:rsidRPr="006E709F" w:rsidRDefault="00D40A21" w:rsidP="00377DE6">
            <w:pPr>
              <w:pStyle w:val="Tabletext"/>
              <w:rPr>
                <w:sz w:val="18"/>
                <w:szCs w:val="18"/>
              </w:rPr>
            </w:pPr>
            <w:r w:rsidRPr="006E709F">
              <w:rPr>
                <w:sz w:val="18"/>
                <w:szCs w:val="18"/>
              </w:rPr>
              <w:t>$52</w:t>
            </w:r>
          </w:p>
          <w:p w:rsidR="00D40A21" w:rsidRPr="006E709F" w:rsidRDefault="00D40A21" w:rsidP="00377DE6">
            <w:pPr>
              <w:pStyle w:val="Tabletext"/>
              <w:rPr>
                <w:rFonts w:eastAsia="Calibri"/>
                <w:sz w:val="18"/>
                <w:szCs w:val="18"/>
              </w:rPr>
            </w:pPr>
            <w:r w:rsidRPr="006E709F">
              <w:rPr>
                <w:sz w:val="18"/>
                <w:szCs w:val="18"/>
              </w:rPr>
              <w:t xml:space="preserve">($1 per week) </w:t>
            </w:r>
          </w:p>
        </w:tc>
        <w:tc>
          <w:tcPr>
            <w:tcW w:w="2520" w:type="pct"/>
            <w:shd w:val="clear" w:color="auto" w:fill="FFFFFF"/>
            <w:tcMar>
              <w:top w:w="0" w:type="dxa"/>
              <w:left w:w="108" w:type="dxa"/>
              <w:bottom w:w="0" w:type="dxa"/>
              <w:right w:w="108" w:type="dxa"/>
            </w:tcMar>
            <w:hideMark/>
          </w:tcPr>
          <w:p w:rsidR="00D40A21" w:rsidRPr="006E709F" w:rsidRDefault="00D40A21" w:rsidP="00377DE6">
            <w:pPr>
              <w:pStyle w:val="Tabletext"/>
              <w:rPr>
                <w:rFonts w:eastAsia="Calibri"/>
                <w:sz w:val="18"/>
                <w:szCs w:val="18"/>
              </w:rPr>
            </w:pPr>
            <w:r w:rsidRPr="006E709F">
              <w:rPr>
                <w:b/>
                <w:sz w:val="18"/>
                <w:szCs w:val="18"/>
              </w:rPr>
              <w:t>And</w:t>
            </w:r>
            <w:r w:rsidRPr="006E709F">
              <w:rPr>
                <w:sz w:val="18"/>
                <w:szCs w:val="18"/>
              </w:rPr>
              <w:t>, you will be charged $52 in administration fees regardless of your balance</w:t>
            </w:r>
          </w:p>
        </w:tc>
      </w:tr>
      <w:tr w:rsidR="00D40A21" w:rsidRPr="006E709F" w:rsidTr="00E118FA">
        <w:tc>
          <w:tcPr>
            <w:tcW w:w="1573" w:type="pct"/>
            <w:tcMar>
              <w:top w:w="0" w:type="dxa"/>
              <w:left w:w="108" w:type="dxa"/>
              <w:bottom w:w="0" w:type="dxa"/>
              <w:right w:w="108" w:type="dxa"/>
            </w:tcMar>
          </w:tcPr>
          <w:p w:rsidR="00D40A21" w:rsidRPr="006E709F" w:rsidRDefault="00D40A21" w:rsidP="00377DE6">
            <w:pPr>
              <w:pStyle w:val="Tabletext"/>
              <w:rPr>
                <w:sz w:val="18"/>
                <w:szCs w:val="18"/>
              </w:rPr>
            </w:pPr>
            <w:r w:rsidRPr="006E709F">
              <w:rPr>
                <w:b/>
                <w:sz w:val="18"/>
                <w:szCs w:val="18"/>
              </w:rPr>
              <w:t xml:space="preserve">PLUS </w:t>
            </w:r>
            <w:r w:rsidRPr="006E709F">
              <w:rPr>
                <w:sz w:val="18"/>
                <w:szCs w:val="18"/>
              </w:rPr>
              <w:t>Indirect costs for the MySuper product</w:t>
            </w:r>
          </w:p>
        </w:tc>
        <w:tc>
          <w:tcPr>
            <w:tcW w:w="907" w:type="pct"/>
            <w:tcMar>
              <w:top w:w="0" w:type="dxa"/>
              <w:left w:w="108" w:type="dxa"/>
              <w:bottom w:w="0" w:type="dxa"/>
              <w:right w:w="108" w:type="dxa"/>
            </w:tcMar>
          </w:tcPr>
          <w:p w:rsidR="00D40A21" w:rsidRPr="006E709F" w:rsidRDefault="00D40A21" w:rsidP="00377DE6">
            <w:pPr>
              <w:pStyle w:val="Tabletext"/>
              <w:rPr>
                <w:rFonts w:eastAsia="Calibri"/>
                <w:sz w:val="18"/>
                <w:szCs w:val="18"/>
              </w:rPr>
            </w:pPr>
            <w:r w:rsidRPr="006E709F">
              <w:rPr>
                <w:rFonts w:eastAsia="Calibri"/>
                <w:sz w:val="18"/>
                <w:szCs w:val="18"/>
              </w:rPr>
              <w:t>1.2%</w:t>
            </w:r>
          </w:p>
        </w:tc>
        <w:tc>
          <w:tcPr>
            <w:tcW w:w="2520" w:type="pct"/>
            <w:tcMar>
              <w:top w:w="0" w:type="dxa"/>
              <w:left w:w="108" w:type="dxa"/>
              <w:bottom w:w="0" w:type="dxa"/>
              <w:right w:w="108" w:type="dxa"/>
            </w:tcMar>
          </w:tcPr>
          <w:p w:rsidR="00D40A21" w:rsidRPr="006E709F" w:rsidRDefault="00D40A21" w:rsidP="00377DE6">
            <w:pPr>
              <w:pStyle w:val="Tabletext"/>
              <w:rPr>
                <w:sz w:val="18"/>
                <w:szCs w:val="18"/>
              </w:rPr>
            </w:pPr>
            <w:r w:rsidRPr="006E709F">
              <w:rPr>
                <w:b/>
                <w:sz w:val="18"/>
                <w:szCs w:val="18"/>
              </w:rPr>
              <w:t>And</w:t>
            </w:r>
            <w:r w:rsidRPr="006E709F">
              <w:rPr>
                <w:sz w:val="18"/>
                <w:szCs w:val="18"/>
              </w:rPr>
              <w:t>, indirect costs of $600 each year will be deducted from your investment</w:t>
            </w:r>
          </w:p>
        </w:tc>
      </w:tr>
      <w:tr w:rsidR="00D40A21" w:rsidRPr="006E709F" w:rsidTr="00E118FA">
        <w:tc>
          <w:tcPr>
            <w:tcW w:w="1573" w:type="pct"/>
            <w:shd w:val="clear" w:color="auto" w:fill="auto"/>
            <w:tcMar>
              <w:top w:w="0" w:type="dxa"/>
              <w:left w:w="108" w:type="dxa"/>
              <w:bottom w:w="0" w:type="dxa"/>
              <w:right w:w="108" w:type="dxa"/>
            </w:tcMar>
            <w:hideMark/>
          </w:tcPr>
          <w:p w:rsidR="00D40A21" w:rsidRPr="006E709F" w:rsidRDefault="00D40A21" w:rsidP="00377DE6">
            <w:pPr>
              <w:pStyle w:val="Tabletext"/>
              <w:rPr>
                <w:rFonts w:eastAsia="Calibri"/>
                <w:sz w:val="18"/>
                <w:szCs w:val="18"/>
              </w:rPr>
            </w:pPr>
            <w:r w:rsidRPr="006E709F">
              <w:rPr>
                <w:b/>
                <w:sz w:val="18"/>
                <w:szCs w:val="18"/>
              </w:rPr>
              <w:t>EQUALS</w:t>
            </w:r>
            <w:r w:rsidRPr="006E709F">
              <w:rPr>
                <w:sz w:val="18"/>
                <w:szCs w:val="18"/>
              </w:rPr>
              <w:t xml:space="preserve"> Cost of product</w:t>
            </w:r>
          </w:p>
        </w:tc>
        <w:tc>
          <w:tcPr>
            <w:tcW w:w="907" w:type="pct"/>
            <w:shd w:val="clear" w:color="auto" w:fill="auto"/>
            <w:tcMar>
              <w:top w:w="0" w:type="dxa"/>
              <w:left w:w="108" w:type="dxa"/>
              <w:bottom w:w="0" w:type="dxa"/>
              <w:right w:w="108" w:type="dxa"/>
            </w:tcMar>
            <w:hideMark/>
          </w:tcPr>
          <w:p w:rsidR="00D40A21" w:rsidRPr="006E709F" w:rsidRDefault="00D40A21" w:rsidP="00377DE6">
            <w:pPr>
              <w:pStyle w:val="Tabletext"/>
              <w:rPr>
                <w:rFonts w:eastAsia="Calibri"/>
                <w:sz w:val="18"/>
                <w:szCs w:val="18"/>
              </w:rPr>
            </w:pPr>
          </w:p>
        </w:tc>
        <w:tc>
          <w:tcPr>
            <w:tcW w:w="2520" w:type="pct"/>
            <w:shd w:val="clear" w:color="auto" w:fill="auto"/>
            <w:tcMar>
              <w:top w:w="0" w:type="dxa"/>
              <w:left w:w="108" w:type="dxa"/>
              <w:bottom w:w="0" w:type="dxa"/>
              <w:right w:w="108" w:type="dxa"/>
            </w:tcMar>
            <w:hideMark/>
          </w:tcPr>
          <w:p w:rsidR="00D40A21" w:rsidRPr="006E709F" w:rsidRDefault="00D40A21" w:rsidP="00377DE6">
            <w:pPr>
              <w:pStyle w:val="Tabletext"/>
              <w:rPr>
                <w:sz w:val="18"/>
                <w:szCs w:val="18"/>
              </w:rPr>
            </w:pPr>
            <w:r w:rsidRPr="006E709F">
              <w:rPr>
                <w:sz w:val="18"/>
                <w:szCs w:val="18"/>
              </w:rPr>
              <w:t>If your balance was $50</w:t>
            </w:r>
            <w:r w:rsidR="00DA13DE" w:rsidRPr="006E709F">
              <w:rPr>
                <w:sz w:val="18"/>
                <w:szCs w:val="18"/>
              </w:rPr>
              <w:t> </w:t>
            </w:r>
            <w:r w:rsidRPr="006E709F">
              <w:rPr>
                <w:sz w:val="18"/>
                <w:szCs w:val="18"/>
              </w:rPr>
              <w:t xml:space="preserve">000, then for that year you will be charged fees of </w:t>
            </w:r>
            <w:r w:rsidRPr="006E709F">
              <w:rPr>
                <w:b/>
                <w:sz w:val="18"/>
                <w:szCs w:val="18"/>
              </w:rPr>
              <w:t>$1</w:t>
            </w:r>
            <w:r w:rsidR="00DA13DE" w:rsidRPr="006E709F">
              <w:rPr>
                <w:b/>
                <w:sz w:val="18"/>
                <w:szCs w:val="18"/>
              </w:rPr>
              <w:t> </w:t>
            </w:r>
            <w:r w:rsidRPr="006E709F">
              <w:rPr>
                <w:b/>
                <w:sz w:val="18"/>
                <w:szCs w:val="18"/>
              </w:rPr>
              <w:t xml:space="preserve">452 </w:t>
            </w:r>
            <w:r w:rsidRPr="006E709F">
              <w:rPr>
                <w:sz w:val="18"/>
                <w:szCs w:val="18"/>
              </w:rPr>
              <w:t>for the MySuper product.</w:t>
            </w:r>
          </w:p>
          <w:p w:rsidR="00D40A21" w:rsidRPr="006E709F" w:rsidRDefault="00D40A21" w:rsidP="00377DE6">
            <w:pPr>
              <w:pStyle w:val="Tabletext"/>
              <w:rPr>
                <w:sz w:val="18"/>
                <w:szCs w:val="18"/>
              </w:rPr>
            </w:pPr>
          </w:p>
        </w:tc>
      </w:tr>
    </w:tbl>
    <w:p w:rsidR="00D40A21" w:rsidRPr="006E709F" w:rsidRDefault="00D40A21" w:rsidP="00D40A21">
      <w:pPr>
        <w:pStyle w:val="notemargin"/>
      </w:pPr>
      <w:r w:rsidRPr="006E709F">
        <w:rPr>
          <w:bCs/>
          <w:position w:val="6"/>
          <w:sz w:val="16"/>
        </w:rPr>
        <w:t>Note:</w:t>
      </w:r>
      <w:r w:rsidRPr="006E709F">
        <w:rPr>
          <w:bCs/>
          <w:position w:val="6"/>
          <w:sz w:val="16"/>
        </w:rPr>
        <w:tab/>
      </w:r>
      <w:r w:rsidR="000C4237" w:rsidRPr="000C4237">
        <w:rPr>
          <w:b/>
          <w:bCs/>
          <w:position w:val="6"/>
          <w:sz w:val="16"/>
        </w:rPr>
        <w:t>*</w:t>
      </w:r>
      <w:r w:rsidRPr="006E709F">
        <w:rPr>
          <w:b/>
          <w:bCs/>
        </w:rPr>
        <w:t xml:space="preserve"> </w:t>
      </w:r>
      <w:r w:rsidRPr="006E709F">
        <w:t>Additional fees may apply.</w:t>
      </w:r>
    </w:p>
    <w:p w:rsidR="00D40A21" w:rsidRPr="006E709F" w:rsidRDefault="00D40A21" w:rsidP="00D40A21">
      <w:pPr>
        <w:pStyle w:val="ActHead5"/>
      </w:pPr>
      <w:bookmarkStart w:id="85" w:name="_Toc170547902"/>
      <w:r w:rsidRPr="000C4237">
        <w:rPr>
          <w:rStyle w:val="CharSectno"/>
        </w:rPr>
        <w:t>212</w:t>
      </w:r>
      <w:r w:rsidRPr="006E709F">
        <w:t xml:space="preserve">  </w:t>
      </w:r>
      <w:r w:rsidR="00BD52AE" w:rsidRPr="006E709F">
        <w:t>Collective investment products</w:t>
      </w:r>
      <w:r w:rsidRPr="006E709F">
        <w:t>—Example of annual fees and costs for a balanced investment option</w:t>
      </w:r>
      <w:bookmarkEnd w:id="85"/>
    </w:p>
    <w:p w:rsidR="002A22A4" w:rsidRPr="006E709F" w:rsidRDefault="002A22A4" w:rsidP="00D9431E">
      <w:pPr>
        <w:spacing w:before="240"/>
        <w:rPr>
          <w:rFonts w:cs="Times New Roman"/>
          <w:b/>
        </w:rPr>
      </w:pPr>
      <w:r w:rsidRPr="006E709F">
        <w:rPr>
          <w:rFonts w:cs="Times New Roman"/>
          <w:b/>
        </w:rPr>
        <w:t>Example of annual fees and costs for a balanced investment option</w:t>
      </w:r>
    </w:p>
    <w:p w:rsidR="002A22A4" w:rsidRPr="006E709F" w:rsidRDefault="002A22A4" w:rsidP="009D0C04">
      <w:pPr>
        <w:keepLines/>
        <w:spacing w:before="240"/>
        <w:rPr>
          <w:rFonts w:cs="Times New Roman"/>
        </w:rPr>
      </w:pPr>
      <w:r w:rsidRPr="006E709F">
        <w:rPr>
          <w:rFonts w:cs="Times New Roman"/>
        </w:rPr>
        <w:t xml:space="preserve">This table gives an example of how the fees and costs in </w:t>
      </w:r>
      <w:r w:rsidR="00D40A21" w:rsidRPr="006E709F">
        <w:t xml:space="preserve">the balanced investment option for this </w:t>
      </w:r>
      <w:r w:rsidR="00BD52AE" w:rsidRPr="006E709F">
        <w:t>product</w:t>
      </w:r>
      <w:r w:rsidRPr="006E709F">
        <w:rPr>
          <w:rFonts w:cs="Times New Roman"/>
        </w:rPr>
        <w:t xml:space="preserve"> can affect your investment over a 1</w:t>
      </w:r>
      <w:r w:rsidR="00E376FA" w:rsidRPr="006E709F">
        <w:rPr>
          <w:rFonts w:cs="Times New Roman"/>
        </w:rPr>
        <w:t xml:space="preserve"> </w:t>
      </w:r>
      <w:r w:rsidRPr="006E709F">
        <w:rPr>
          <w:rFonts w:cs="Times New Roman"/>
        </w:rPr>
        <w:t xml:space="preserve">year period. You should use this table to compare this product with other </w:t>
      </w:r>
      <w:r w:rsidR="00BD52AE" w:rsidRPr="006E709F">
        <w:t xml:space="preserve">products offered by </w:t>
      </w:r>
      <w:r w:rsidR="00B800B7" w:rsidRPr="006E709F">
        <w:rPr>
          <w:i/>
        </w:rPr>
        <w:t>[managed investment schemes / retail CCIVs]</w:t>
      </w:r>
      <w:r w:rsidRPr="006E709F">
        <w:rPr>
          <w:rFonts w:cs="Times New Roman"/>
        </w:rPr>
        <w:t>.</w:t>
      </w:r>
    </w:p>
    <w:p w:rsidR="00A801D0" w:rsidRPr="006E709F" w:rsidRDefault="00A801D0" w:rsidP="00A801D0">
      <w:pPr>
        <w:pStyle w:val="Tabletext"/>
      </w:pPr>
    </w:p>
    <w:tbl>
      <w:tblPr>
        <w:tblW w:w="5000" w:type="pct"/>
        <w:tblLook w:val="01E0" w:firstRow="1" w:lastRow="1" w:firstColumn="1" w:lastColumn="1" w:noHBand="0" w:noVBand="0"/>
      </w:tblPr>
      <w:tblGrid>
        <w:gridCol w:w="3074"/>
        <w:gridCol w:w="989"/>
        <w:gridCol w:w="4466"/>
      </w:tblGrid>
      <w:tr w:rsidR="002A22A4" w:rsidRPr="006E709F" w:rsidTr="00E118FA">
        <w:tc>
          <w:tcPr>
            <w:tcW w:w="2382" w:type="pct"/>
            <w:gridSpan w:val="2"/>
            <w:tcBorders>
              <w:top w:val="single" w:sz="4" w:space="0" w:color="auto"/>
              <w:left w:val="single" w:sz="4" w:space="0" w:color="auto"/>
              <w:bottom w:val="single" w:sz="4" w:space="0" w:color="auto"/>
              <w:right w:val="single" w:sz="4" w:space="0" w:color="auto"/>
            </w:tcBorders>
            <w:shd w:val="clear" w:color="auto" w:fill="FFFFFF"/>
          </w:tcPr>
          <w:p w:rsidR="002A22A4" w:rsidRPr="006E709F" w:rsidRDefault="002A22A4" w:rsidP="00497EC9">
            <w:pPr>
              <w:pStyle w:val="Tabletext"/>
              <w:keepNext/>
              <w:spacing w:after="60"/>
            </w:pPr>
            <w:r w:rsidRPr="006E709F">
              <w:rPr>
                <w:b/>
              </w:rPr>
              <w:t>EXAMPLE</w:t>
            </w:r>
            <w:r w:rsidR="00A801D0" w:rsidRPr="006E709F">
              <w:t>—</w:t>
            </w:r>
            <w:r w:rsidRPr="006E709F">
              <w:t>the Balanced Investment Option</w:t>
            </w:r>
          </w:p>
        </w:tc>
        <w:tc>
          <w:tcPr>
            <w:tcW w:w="2618" w:type="pct"/>
            <w:tcBorders>
              <w:top w:val="single" w:sz="4" w:space="0" w:color="auto"/>
              <w:left w:val="single" w:sz="4" w:space="0" w:color="auto"/>
              <w:bottom w:val="single" w:sz="4" w:space="0" w:color="auto"/>
              <w:right w:val="single" w:sz="4" w:space="0" w:color="auto"/>
            </w:tcBorders>
            <w:shd w:val="clear" w:color="auto" w:fill="FFFFFF"/>
          </w:tcPr>
          <w:p w:rsidR="002A22A4" w:rsidRPr="006E709F" w:rsidRDefault="002A22A4" w:rsidP="00D75DE0">
            <w:pPr>
              <w:pStyle w:val="Tabletext"/>
              <w:spacing w:after="60"/>
              <w:rPr>
                <w:b/>
              </w:rPr>
            </w:pPr>
            <w:r w:rsidRPr="006E709F">
              <w:rPr>
                <w:b/>
              </w:rPr>
              <w:t>BALANCE OF $50</w:t>
            </w:r>
            <w:r w:rsidR="00DA13DE" w:rsidRPr="006E709F">
              <w:rPr>
                <w:b/>
              </w:rPr>
              <w:t> </w:t>
            </w:r>
            <w:r w:rsidRPr="006E709F">
              <w:rPr>
                <w:b/>
              </w:rPr>
              <w:t>000 WITH A CONTRIBUTION OF $5</w:t>
            </w:r>
            <w:r w:rsidR="00DA13DE" w:rsidRPr="006E709F">
              <w:rPr>
                <w:b/>
              </w:rPr>
              <w:t> </w:t>
            </w:r>
            <w:r w:rsidRPr="006E709F">
              <w:rPr>
                <w:b/>
              </w:rPr>
              <w:t>000 DURING YEAR</w:t>
            </w:r>
          </w:p>
        </w:tc>
      </w:tr>
      <w:tr w:rsidR="002A22A4" w:rsidRPr="006E709F" w:rsidTr="00E118FA">
        <w:tc>
          <w:tcPr>
            <w:tcW w:w="1802" w:type="pct"/>
            <w:tcBorders>
              <w:top w:val="single" w:sz="4" w:space="0" w:color="auto"/>
              <w:left w:val="single" w:sz="4" w:space="0" w:color="auto"/>
              <w:bottom w:val="single" w:sz="4" w:space="0" w:color="auto"/>
              <w:right w:val="single" w:sz="4" w:space="0" w:color="auto"/>
            </w:tcBorders>
            <w:shd w:val="clear" w:color="auto" w:fill="FFFFFF"/>
          </w:tcPr>
          <w:p w:rsidR="002A22A4" w:rsidRPr="006E709F" w:rsidRDefault="002A22A4" w:rsidP="00D75DE0">
            <w:pPr>
              <w:pStyle w:val="Tabletext"/>
              <w:spacing w:after="60"/>
            </w:pPr>
            <w:r w:rsidRPr="006E709F">
              <w:t>Contribution Fees</w:t>
            </w:r>
          </w:p>
        </w:tc>
        <w:tc>
          <w:tcPr>
            <w:tcW w:w="580" w:type="pct"/>
            <w:tcBorders>
              <w:top w:val="single" w:sz="4" w:space="0" w:color="auto"/>
              <w:left w:val="single" w:sz="4" w:space="0" w:color="auto"/>
              <w:bottom w:val="single" w:sz="4" w:space="0" w:color="auto"/>
              <w:right w:val="single" w:sz="4" w:space="0" w:color="auto"/>
            </w:tcBorders>
            <w:shd w:val="clear" w:color="auto" w:fill="FFFFFF"/>
          </w:tcPr>
          <w:p w:rsidR="002A22A4" w:rsidRPr="006E709F" w:rsidRDefault="002A22A4" w:rsidP="00D75DE0">
            <w:pPr>
              <w:pStyle w:val="Tabletext"/>
              <w:spacing w:after="60"/>
            </w:pPr>
            <w:r w:rsidRPr="006E709F">
              <w:t>0</w:t>
            </w:r>
            <w:r w:rsidR="000C4237">
              <w:noBreakHyphen/>
            </w:r>
            <w:r w:rsidRPr="006E709F">
              <w:t>4%</w:t>
            </w:r>
          </w:p>
        </w:tc>
        <w:tc>
          <w:tcPr>
            <w:tcW w:w="2618" w:type="pct"/>
            <w:tcBorders>
              <w:top w:val="single" w:sz="4" w:space="0" w:color="auto"/>
              <w:left w:val="single" w:sz="4" w:space="0" w:color="auto"/>
              <w:bottom w:val="single" w:sz="4" w:space="0" w:color="auto"/>
              <w:right w:val="single" w:sz="4" w:space="0" w:color="auto"/>
            </w:tcBorders>
            <w:shd w:val="clear" w:color="auto" w:fill="FFFFFF"/>
          </w:tcPr>
          <w:p w:rsidR="002A22A4" w:rsidRPr="006E709F" w:rsidRDefault="002A22A4" w:rsidP="00D75DE0">
            <w:pPr>
              <w:pStyle w:val="Tabletext"/>
              <w:spacing w:after="60"/>
            </w:pPr>
            <w:r w:rsidRPr="006E709F">
              <w:t>For every additional $5</w:t>
            </w:r>
            <w:r w:rsidR="00DA13DE" w:rsidRPr="006E709F">
              <w:t> </w:t>
            </w:r>
            <w:r w:rsidRPr="006E709F">
              <w:t xml:space="preserve">000 you put in, you will be </w:t>
            </w:r>
            <w:r w:rsidRPr="006E709F">
              <w:lastRenderedPageBreak/>
              <w:t>charged between $0 and $200.</w:t>
            </w:r>
          </w:p>
        </w:tc>
      </w:tr>
      <w:tr w:rsidR="002A22A4" w:rsidRPr="006E709F" w:rsidTr="00E118FA">
        <w:tc>
          <w:tcPr>
            <w:tcW w:w="1802" w:type="pct"/>
            <w:tcBorders>
              <w:top w:val="single" w:sz="4" w:space="0" w:color="auto"/>
              <w:left w:val="single" w:sz="4" w:space="0" w:color="auto"/>
              <w:bottom w:val="single" w:sz="4" w:space="0" w:color="auto"/>
              <w:right w:val="single" w:sz="4" w:space="0" w:color="auto"/>
            </w:tcBorders>
            <w:shd w:val="clear" w:color="auto" w:fill="FFFFFF"/>
          </w:tcPr>
          <w:p w:rsidR="002A22A4" w:rsidRPr="006E709F" w:rsidRDefault="002A22A4" w:rsidP="00D75DE0">
            <w:pPr>
              <w:pStyle w:val="Tabletext"/>
              <w:spacing w:after="60"/>
            </w:pPr>
            <w:r w:rsidRPr="006E709F">
              <w:rPr>
                <w:b/>
              </w:rPr>
              <w:lastRenderedPageBreak/>
              <w:t>PLUS</w:t>
            </w:r>
            <w:r w:rsidRPr="006E709F">
              <w:t xml:space="preserve"> Management Costs</w:t>
            </w:r>
          </w:p>
        </w:tc>
        <w:tc>
          <w:tcPr>
            <w:tcW w:w="580" w:type="pct"/>
            <w:tcBorders>
              <w:top w:val="single" w:sz="4" w:space="0" w:color="auto"/>
              <w:left w:val="single" w:sz="4" w:space="0" w:color="auto"/>
              <w:bottom w:val="single" w:sz="4" w:space="0" w:color="auto"/>
              <w:right w:val="single" w:sz="4" w:space="0" w:color="auto"/>
            </w:tcBorders>
            <w:shd w:val="clear" w:color="auto" w:fill="FFFFFF"/>
          </w:tcPr>
          <w:p w:rsidR="002A22A4" w:rsidRPr="006E709F" w:rsidRDefault="002A22A4" w:rsidP="00D75DE0">
            <w:pPr>
              <w:pStyle w:val="Tabletext"/>
              <w:spacing w:after="60"/>
            </w:pPr>
            <w:r w:rsidRPr="006E709F">
              <w:t>1.3%</w:t>
            </w:r>
          </w:p>
        </w:tc>
        <w:tc>
          <w:tcPr>
            <w:tcW w:w="2618" w:type="pct"/>
            <w:tcBorders>
              <w:top w:val="single" w:sz="4" w:space="0" w:color="auto"/>
              <w:left w:val="single" w:sz="4" w:space="0" w:color="auto"/>
              <w:bottom w:val="single" w:sz="4" w:space="0" w:color="auto"/>
              <w:right w:val="single" w:sz="4" w:space="0" w:color="auto"/>
            </w:tcBorders>
            <w:shd w:val="clear" w:color="auto" w:fill="FFFFFF"/>
          </w:tcPr>
          <w:p w:rsidR="002A22A4" w:rsidRPr="006E709F" w:rsidRDefault="002A22A4" w:rsidP="00D75DE0">
            <w:pPr>
              <w:pStyle w:val="Tabletext"/>
              <w:spacing w:after="60"/>
            </w:pPr>
            <w:r w:rsidRPr="006E709F">
              <w:rPr>
                <w:b/>
              </w:rPr>
              <w:t>And</w:t>
            </w:r>
            <w:r w:rsidRPr="006E709F">
              <w:t xml:space="preserve">, </w:t>
            </w:r>
            <w:r w:rsidR="00D40A21" w:rsidRPr="006E709F">
              <w:t>for every $50</w:t>
            </w:r>
            <w:r w:rsidR="00DA13DE" w:rsidRPr="006E709F">
              <w:t> </w:t>
            </w:r>
            <w:r w:rsidR="00D40A21" w:rsidRPr="006E709F">
              <w:t>000 you have in the balanced investment option</w:t>
            </w:r>
            <w:r w:rsidRPr="006E709F">
              <w:t xml:space="preserve"> you will be charged $650 each year.</w:t>
            </w:r>
          </w:p>
        </w:tc>
      </w:tr>
      <w:tr w:rsidR="002A22A4" w:rsidRPr="006E709F" w:rsidTr="00E118FA">
        <w:tc>
          <w:tcPr>
            <w:tcW w:w="1802"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2A22A4" w:rsidRPr="006E709F" w:rsidRDefault="002A22A4" w:rsidP="00D75DE0">
            <w:pPr>
              <w:pStyle w:val="Tabletext"/>
              <w:spacing w:after="60"/>
            </w:pPr>
            <w:r w:rsidRPr="006E709F">
              <w:rPr>
                <w:b/>
              </w:rPr>
              <w:t>EQUALS</w:t>
            </w:r>
            <w:r w:rsidRPr="006E709F">
              <w:t xml:space="preserve"> </w:t>
            </w:r>
            <w:r w:rsidR="00B2417E" w:rsidRPr="006E709F">
              <w:t>Cost of balanced investment option</w:t>
            </w:r>
          </w:p>
        </w:tc>
        <w:tc>
          <w:tcPr>
            <w:tcW w:w="580"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2A22A4" w:rsidRPr="006E709F" w:rsidRDefault="002A22A4" w:rsidP="00D75DE0">
            <w:pPr>
              <w:pStyle w:val="Tabletext"/>
              <w:spacing w:after="60"/>
            </w:pPr>
          </w:p>
        </w:tc>
        <w:tc>
          <w:tcPr>
            <w:tcW w:w="2618" w:type="pct"/>
            <w:tcBorders>
              <w:top w:val="single" w:sz="4" w:space="0" w:color="auto"/>
              <w:left w:val="single" w:sz="4" w:space="0" w:color="auto"/>
              <w:bottom w:val="single" w:sz="4" w:space="0" w:color="auto"/>
              <w:right w:val="single" w:sz="4" w:space="0" w:color="auto"/>
              <w:tl2br w:val="nil"/>
              <w:tr2bl w:val="nil"/>
            </w:tcBorders>
            <w:shd w:val="clear" w:color="auto" w:fill="auto"/>
          </w:tcPr>
          <w:p w:rsidR="002A22A4" w:rsidRPr="006E709F" w:rsidRDefault="002A22A4" w:rsidP="00D75DE0">
            <w:pPr>
              <w:pStyle w:val="Tabletext"/>
              <w:spacing w:after="60"/>
            </w:pPr>
            <w:r w:rsidRPr="006E709F">
              <w:t>If you had an investment of $50</w:t>
            </w:r>
            <w:r w:rsidR="00DA13DE" w:rsidRPr="006E709F">
              <w:t> </w:t>
            </w:r>
            <w:r w:rsidRPr="006E709F">
              <w:t>000 at the beginning of the year and you put in an additional $5</w:t>
            </w:r>
            <w:r w:rsidR="00DA13DE" w:rsidRPr="006E709F">
              <w:t> </w:t>
            </w:r>
            <w:r w:rsidRPr="006E709F">
              <w:t>000 during that year, you would be charged fees of from:</w:t>
            </w:r>
          </w:p>
          <w:p w:rsidR="002A22A4" w:rsidRPr="006E709F" w:rsidRDefault="002A22A4" w:rsidP="00D75DE0">
            <w:pPr>
              <w:pStyle w:val="Tabletext"/>
              <w:spacing w:after="60"/>
              <w:jc w:val="center"/>
              <w:rPr>
                <w:b/>
              </w:rPr>
            </w:pPr>
            <w:r w:rsidRPr="006E709F">
              <w:rPr>
                <w:b/>
              </w:rPr>
              <w:t>$650 to $850</w:t>
            </w:r>
            <w:r w:rsidR="000C4237" w:rsidRPr="000C4237">
              <w:rPr>
                <w:b/>
                <w:position w:val="6"/>
                <w:sz w:val="16"/>
              </w:rPr>
              <w:t>*</w:t>
            </w:r>
          </w:p>
          <w:p w:rsidR="002A22A4" w:rsidRPr="006E709F" w:rsidRDefault="002A22A4" w:rsidP="00D75DE0">
            <w:pPr>
              <w:pStyle w:val="Tabletext"/>
              <w:spacing w:after="60"/>
              <w:jc w:val="center"/>
              <w:rPr>
                <w:b/>
              </w:rPr>
            </w:pPr>
            <w:r w:rsidRPr="006E709F">
              <w:rPr>
                <w:b/>
              </w:rPr>
              <w:t>What it costs you will depend on the investment option you choose and the fees you negotiate.</w:t>
            </w:r>
          </w:p>
        </w:tc>
      </w:tr>
    </w:tbl>
    <w:p w:rsidR="0048795D" w:rsidRPr="006E709F" w:rsidRDefault="000C4237" w:rsidP="00D75DE0">
      <w:pPr>
        <w:pStyle w:val="notemargin"/>
        <w:rPr>
          <w:sz w:val="16"/>
          <w:szCs w:val="16"/>
        </w:rPr>
      </w:pPr>
      <w:r w:rsidRPr="000C4237">
        <w:rPr>
          <w:b/>
          <w:position w:val="6"/>
          <w:sz w:val="16"/>
          <w:szCs w:val="16"/>
        </w:rPr>
        <w:t>*</w:t>
      </w:r>
      <w:r w:rsidR="002A22A4" w:rsidRPr="006E709F">
        <w:rPr>
          <w:b/>
          <w:sz w:val="16"/>
          <w:szCs w:val="16"/>
        </w:rPr>
        <w:t xml:space="preserve"> </w:t>
      </w:r>
      <w:r w:rsidR="002A22A4" w:rsidRPr="006E709F">
        <w:rPr>
          <w:sz w:val="16"/>
          <w:szCs w:val="16"/>
        </w:rPr>
        <w:t>Additional fees may apply:</w:t>
      </w:r>
    </w:p>
    <w:p w:rsidR="002A22A4" w:rsidRPr="006E709F" w:rsidRDefault="002A22A4" w:rsidP="00D75DE0">
      <w:pPr>
        <w:pStyle w:val="notemargin"/>
        <w:rPr>
          <w:sz w:val="16"/>
          <w:szCs w:val="16"/>
        </w:rPr>
      </w:pPr>
      <w:r w:rsidRPr="006E709F">
        <w:rPr>
          <w:b/>
          <w:sz w:val="16"/>
          <w:szCs w:val="16"/>
        </w:rPr>
        <w:t>Establishment fee</w:t>
      </w:r>
      <w:r w:rsidR="00A801D0" w:rsidRPr="006E709F">
        <w:rPr>
          <w:sz w:val="16"/>
          <w:szCs w:val="16"/>
        </w:rPr>
        <w:t>—</w:t>
      </w:r>
      <w:r w:rsidRPr="006E709F">
        <w:rPr>
          <w:sz w:val="16"/>
          <w:szCs w:val="16"/>
        </w:rPr>
        <w:t>$50</w:t>
      </w:r>
    </w:p>
    <w:p w:rsidR="002A22A4" w:rsidRPr="006E709F" w:rsidRDefault="002A22A4" w:rsidP="00D75DE0">
      <w:pPr>
        <w:pStyle w:val="notemargin"/>
        <w:tabs>
          <w:tab w:val="clear" w:pos="709"/>
          <w:tab w:val="left" w:pos="567"/>
        </w:tabs>
        <w:ind w:left="0" w:firstLine="0"/>
        <w:rPr>
          <w:sz w:val="16"/>
          <w:szCs w:val="16"/>
        </w:rPr>
      </w:pPr>
      <w:r w:rsidRPr="006E709F">
        <w:rPr>
          <w:b/>
          <w:sz w:val="16"/>
          <w:szCs w:val="16"/>
        </w:rPr>
        <w:t>And</w:t>
      </w:r>
      <w:r w:rsidRPr="006E709F">
        <w:rPr>
          <w:sz w:val="16"/>
          <w:szCs w:val="16"/>
        </w:rPr>
        <w:t xml:space="preserve">, </w:t>
      </w:r>
      <w:r w:rsidR="00B2417E" w:rsidRPr="006E709F">
        <w:rPr>
          <w:sz w:val="16"/>
          <w:szCs w:val="16"/>
        </w:rPr>
        <w:t xml:space="preserve">if you leave the </w:t>
      </w:r>
      <w:r w:rsidR="00761295" w:rsidRPr="006E709F">
        <w:rPr>
          <w:i/>
        </w:rPr>
        <w:t>[managed investment scheme / retail CCIV]</w:t>
      </w:r>
      <w:r w:rsidR="00B2417E" w:rsidRPr="006E709F">
        <w:rPr>
          <w:sz w:val="16"/>
          <w:szCs w:val="16"/>
        </w:rPr>
        <w:t xml:space="preserve"> early</w:t>
      </w:r>
      <w:r w:rsidRPr="006E709F">
        <w:rPr>
          <w:sz w:val="16"/>
          <w:szCs w:val="16"/>
        </w:rPr>
        <w:t xml:space="preserve">, you may also be charged </w:t>
      </w:r>
      <w:r w:rsidR="00B2417E" w:rsidRPr="006E709F">
        <w:rPr>
          <w:b/>
          <w:sz w:val="16"/>
          <w:szCs w:val="16"/>
        </w:rPr>
        <w:t>exit fees</w:t>
      </w:r>
      <w:r w:rsidRPr="006E709F">
        <w:rPr>
          <w:sz w:val="16"/>
          <w:szCs w:val="16"/>
        </w:rPr>
        <w:t xml:space="preserve"> of between 0 and 5% of your </w:t>
      </w:r>
      <w:r w:rsidR="00B2417E" w:rsidRPr="006E709F">
        <w:rPr>
          <w:sz w:val="16"/>
          <w:szCs w:val="16"/>
        </w:rPr>
        <w:t>total account balance</w:t>
      </w:r>
      <w:r w:rsidRPr="006E709F">
        <w:rPr>
          <w:sz w:val="16"/>
          <w:szCs w:val="16"/>
        </w:rPr>
        <w:t xml:space="preserve"> (between $0 and $2</w:t>
      </w:r>
      <w:r w:rsidR="00DA13DE" w:rsidRPr="006E709F">
        <w:rPr>
          <w:sz w:val="16"/>
          <w:szCs w:val="16"/>
        </w:rPr>
        <w:t> </w:t>
      </w:r>
      <w:r w:rsidRPr="006E709F">
        <w:rPr>
          <w:sz w:val="16"/>
          <w:szCs w:val="16"/>
        </w:rPr>
        <w:t>500 for every $50</w:t>
      </w:r>
      <w:r w:rsidR="00DA13DE" w:rsidRPr="006E709F">
        <w:rPr>
          <w:sz w:val="16"/>
          <w:szCs w:val="16"/>
        </w:rPr>
        <w:t> </w:t>
      </w:r>
      <w:r w:rsidRPr="006E709F">
        <w:rPr>
          <w:sz w:val="16"/>
          <w:szCs w:val="16"/>
        </w:rPr>
        <w:t>000 you withdraw)</w:t>
      </w:r>
    </w:p>
    <w:p w:rsidR="002A22A4" w:rsidRPr="006E709F" w:rsidRDefault="002A22A4" w:rsidP="00D5406C">
      <w:pPr>
        <w:pStyle w:val="ActHead5"/>
      </w:pPr>
      <w:bookmarkStart w:id="86" w:name="_Toc170547903"/>
      <w:r w:rsidRPr="000C4237">
        <w:rPr>
          <w:rStyle w:val="CharSectno"/>
        </w:rPr>
        <w:t>213</w:t>
      </w:r>
      <w:r w:rsidR="00A801D0" w:rsidRPr="006E709F">
        <w:t xml:space="preserve">  </w:t>
      </w:r>
      <w:r w:rsidRPr="006E709F">
        <w:t>Defined benefit funds</w:t>
      </w:r>
      <w:bookmarkEnd w:id="86"/>
    </w:p>
    <w:p w:rsidR="002A22A4" w:rsidRPr="006E709F" w:rsidRDefault="002A22A4" w:rsidP="00A801D0">
      <w:pPr>
        <w:pStyle w:val="subsection"/>
      </w:pPr>
      <w:r w:rsidRPr="006E709F">
        <w:tab/>
      </w:r>
      <w:r w:rsidRPr="006E709F">
        <w:tab/>
        <w:t>An example of fees and costs is not required in a Product Disclosure Statement for a defined benefit fund.</w:t>
      </w:r>
    </w:p>
    <w:p w:rsidR="002A22A4" w:rsidRPr="006E709F" w:rsidRDefault="00A801D0" w:rsidP="00A801D0">
      <w:pPr>
        <w:pStyle w:val="notetext"/>
      </w:pPr>
      <w:r w:rsidRPr="006E709F">
        <w:t>Note:</w:t>
      </w:r>
      <w:r w:rsidRPr="006E709F">
        <w:tab/>
      </w:r>
      <w:r w:rsidR="002A22A4" w:rsidRPr="006E709F">
        <w:rPr>
          <w:b/>
          <w:i/>
        </w:rPr>
        <w:t>Defined benefit fund</w:t>
      </w:r>
      <w:r w:rsidR="002A22A4" w:rsidRPr="006E709F">
        <w:t xml:space="preserve"> is defined in subregulation</w:t>
      </w:r>
      <w:r w:rsidR="00DA13DE" w:rsidRPr="006E709F">
        <w:t> </w:t>
      </w:r>
      <w:r w:rsidR="002A22A4" w:rsidRPr="006E709F">
        <w:t>1.03(1) of the SIS Regulations.</w:t>
      </w:r>
    </w:p>
    <w:p w:rsidR="002A22A4" w:rsidRPr="006E709F" w:rsidRDefault="00A801D0" w:rsidP="00A801D0">
      <w:pPr>
        <w:pStyle w:val="ActHead3"/>
        <w:pageBreakBefore/>
      </w:pPr>
      <w:bookmarkStart w:id="87" w:name="_Toc170547904"/>
      <w:r w:rsidRPr="000C4237">
        <w:rPr>
          <w:rStyle w:val="CharDivNo"/>
        </w:rPr>
        <w:lastRenderedPageBreak/>
        <w:t>Division</w:t>
      </w:r>
      <w:r w:rsidR="00DA13DE" w:rsidRPr="000C4237">
        <w:rPr>
          <w:rStyle w:val="CharDivNo"/>
        </w:rPr>
        <w:t> </w:t>
      </w:r>
      <w:r w:rsidR="002A22A4" w:rsidRPr="000C4237">
        <w:rPr>
          <w:rStyle w:val="CharDivNo"/>
        </w:rPr>
        <w:t>6</w:t>
      </w:r>
      <w:r w:rsidR="00CA4A64" w:rsidRPr="006E709F">
        <w:t>—</w:t>
      </w:r>
      <w:r w:rsidR="002A22A4" w:rsidRPr="000C4237">
        <w:rPr>
          <w:rStyle w:val="CharDivText"/>
        </w:rPr>
        <w:t>How to fill in the example of annual fees and costs</w:t>
      </w:r>
      <w:bookmarkEnd w:id="87"/>
    </w:p>
    <w:p w:rsidR="00B2417E" w:rsidRPr="006E709F" w:rsidRDefault="00B2417E" w:rsidP="00B2417E">
      <w:pPr>
        <w:pStyle w:val="ActHead5"/>
      </w:pPr>
      <w:bookmarkStart w:id="88" w:name="_Toc170547905"/>
      <w:r w:rsidRPr="000C4237">
        <w:rPr>
          <w:rStyle w:val="CharSectno"/>
        </w:rPr>
        <w:t>214</w:t>
      </w:r>
      <w:r w:rsidRPr="006E709F">
        <w:t xml:space="preserve">  Fees and costs must be ongoing amounts</w:t>
      </w:r>
      <w:bookmarkEnd w:id="88"/>
    </w:p>
    <w:p w:rsidR="00B2417E" w:rsidRPr="006E709F" w:rsidRDefault="00B2417E" w:rsidP="00B2417E">
      <w:pPr>
        <w:pStyle w:val="subsection"/>
      </w:pPr>
      <w:r w:rsidRPr="006E709F">
        <w:tab/>
      </w:r>
      <w:r w:rsidRPr="006E709F">
        <w:tab/>
        <w:t>The fees and costs stated in the example must be typical ongoing fees that apply to the MySuper product or investment option.</w:t>
      </w:r>
    </w:p>
    <w:p w:rsidR="00B2417E" w:rsidRPr="006E709F" w:rsidRDefault="00B2417E" w:rsidP="00B2417E">
      <w:pPr>
        <w:pStyle w:val="notetext"/>
      </w:pPr>
      <w:r w:rsidRPr="006E709F">
        <w:t>Note:</w:t>
      </w:r>
      <w:r w:rsidRPr="006E709F">
        <w:tab/>
        <w:t>The example should not be based on “honeymoon rates”. It must be consistent with the statement for an existing member or product holder having the stated balance and level of contributions each year.</w:t>
      </w:r>
    </w:p>
    <w:p w:rsidR="00B2417E" w:rsidRPr="006E709F" w:rsidRDefault="00B2417E" w:rsidP="00B2417E">
      <w:pPr>
        <w:pStyle w:val="ActHead5"/>
      </w:pPr>
      <w:bookmarkStart w:id="89" w:name="_Toc170547906"/>
      <w:r w:rsidRPr="000C4237">
        <w:rPr>
          <w:rStyle w:val="CharSectno"/>
        </w:rPr>
        <w:t>214A</w:t>
      </w:r>
      <w:r w:rsidRPr="006E709F">
        <w:t xml:space="preserve">  Example of annual fees and costs for a MySuper product—lifecycle MySuper product</w:t>
      </w:r>
      <w:bookmarkEnd w:id="89"/>
    </w:p>
    <w:p w:rsidR="00B2417E" w:rsidRPr="006E709F" w:rsidRDefault="00850128" w:rsidP="00850128">
      <w:pPr>
        <w:pStyle w:val="subsection"/>
      </w:pPr>
      <w:r w:rsidRPr="006E709F">
        <w:tab/>
      </w:r>
      <w:r w:rsidRPr="006E709F">
        <w:tab/>
      </w:r>
      <w:r w:rsidR="00B2417E" w:rsidRPr="006E709F">
        <w:t>If the example of fees and costs for a MySuper product uses a lifecycle MySuper product, the investment fee quoted in the example must be the highest investment fee for a lifecycle stage of the lifecycle MySuper product.</w:t>
      </w:r>
    </w:p>
    <w:p w:rsidR="002A22A4" w:rsidRPr="006E709F" w:rsidRDefault="002A22A4" w:rsidP="00D5406C">
      <w:pPr>
        <w:pStyle w:val="ActHead5"/>
      </w:pPr>
      <w:bookmarkStart w:id="90" w:name="_Toc170547907"/>
      <w:r w:rsidRPr="000C4237">
        <w:rPr>
          <w:rStyle w:val="CharSectno"/>
        </w:rPr>
        <w:t>215</w:t>
      </w:r>
      <w:r w:rsidR="00A801D0" w:rsidRPr="006E709F">
        <w:t xml:space="preserve">  </w:t>
      </w:r>
      <w:r w:rsidRPr="006E709F">
        <w:t>Minimum entry balance rule</w:t>
      </w:r>
      <w:bookmarkEnd w:id="90"/>
    </w:p>
    <w:p w:rsidR="002A22A4" w:rsidRPr="006E709F" w:rsidRDefault="002A22A4" w:rsidP="00A801D0">
      <w:pPr>
        <w:pStyle w:val="subsection"/>
      </w:pPr>
      <w:r w:rsidRPr="006E709F">
        <w:tab/>
      </w:r>
      <w:r w:rsidRPr="006E709F">
        <w:tab/>
        <w:t xml:space="preserve">If the minimum balance required to enter </w:t>
      </w:r>
      <w:r w:rsidR="00B2417E" w:rsidRPr="006E709F">
        <w:t>a superannuation entity</w:t>
      </w:r>
      <w:r w:rsidR="00761295" w:rsidRPr="006E709F">
        <w:t>, a managed investment scheme or a retail CCIV</w:t>
      </w:r>
      <w:r w:rsidRPr="006E709F">
        <w:t xml:space="preserve"> is greater than $50</w:t>
      </w:r>
      <w:r w:rsidR="00DA13DE" w:rsidRPr="006E709F">
        <w:t> </w:t>
      </w:r>
      <w:r w:rsidRPr="006E709F">
        <w:t>000, the example of annual fees and costs must be based on an amount that is the lowest multiple of $50</w:t>
      </w:r>
      <w:r w:rsidR="00DA13DE" w:rsidRPr="006E709F">
        <w:t> </w:t>
      </w:r>
      <w:r w:rsidRPr="006E709F">
        <w:t>000 that exceeds the minimum entry balance.</w:t>
      </w:r>
    </w:p>
    <w:p w:rsidR="002A22A4" w:rsidRPr="006E709F" w:rsidRDefault="002A22A4" w:rsidP="00247078">
      <w:pPr>
        <w:pStyle w:val="notetext"/>
      </w:pPr>
      <w:r w:rsidRPr="006E709F">
        <w:t>Example</w:t>
      </w:r>
      <w:r w:rsidR="00B51393" w:rsidRPr="006E709F">
        <w:t>:</w:t>
      </w:r>
      <w:r w:rsidR="00B51393" w:rsidRPr="006E709F">
        <w:tab/>
      </w:r>
      <w:r w:rsidRPr="006E709F">
        <w:t xml:space="preserve">If </w:t>
      </w:r>
      <w:r w:rsidR="00B2417E" w:rsidRPr="006E709F">
        <w:t>a superannuation entity</w:t>
      </w:r>
      <w:r w:rsidR="00761295" w:rsidRPr="006E709F">
        <w:t>, a managed investment scheme or a retail CCIV</w:t>
      </w:r>
      <w:r w:rsidRPr="006E709F">
        <w:t xml:space="preserve"> has a minimum entry balance of $65</w:t>
      </w:r>
      <w:r w:rsidR="00DA13DE" w:rsidRPr="006E709F">
        <w:t> </w:t>
      </w:r>
      <w:r w:rsidRPr="006E709F">
        <w:t>000, the relevant amount for the example of annual fees and costs is $100</w:t>
      </w:r>
      <w:r w:rsidR="00DA13DE" w:rsidRPr="006E709F">
        <w:t> </w:t>
      </w:r>
      <w:r w:rsidRPr="006E709F">
        <w:t>000.</w:t>
      </w:r>
    </w:p>
    <w:p w:rsidR="00B2417E" w:rsidRPr="006E709F" w:rsidRDefault="00B2417E" w:rsidP="00B2417E">
      <w:pPr>
        <w:pStyle w:val="ActHead5"/>
      </w:pPr>
      <w:bookmarkStart w:id="91" w:name="_Toc170547908"/>
      <w:r w:rsidRPr="000C4237">
        <w:rPr>
          <w:rStyle w:val="CharSectno"/>
        </w:rPr>
        <w:t>216</w:t>
      </w:r>
      <w:r w:rsidRPr="006E709F">
        <w:t xml:space="preserve">  Exit fees</w:t>
      </w:r>
      <w:bookmarkEnd w:id="91"/>
    </w:p>
    <w:p w:rsidR="00B2417E" w:rsidRPr="006E709F" w:rsidRDefault="00F44200" w:rsidP="00F44200">
      <w:pPr>
        <w:pStyle w:val="subsection"/>
      </w:pPr>
      <w:r w:rsidRPr="006E709F">
        <w:tab/>
      </w:r>
      <w:r w:rsidRPr="006E709F">
        <w:tab/>
      </w:r>
      <w:r w:rsidR="00636892" w:rsidRPr="006E709F">
        <w:t>If an exit fee may be charged in relation to a collective investment product, the fee</w:t>
      </w:r>
      <w:r w:rsidR="00B2417E" w:rsidRPr="006E709F">
        <w:t xml:space="preserve"> must be described in footnote to the table, based on:</w:t>
      </w:r>
    </w:p>
    <w:p w:rsidR="00B2417E" w:rsidRPr="006E709F" w:rsidRDefault="00B2417E" w:rsidP="00B2417E">
      <w:pPr>
        <w:pStyle w:val="paragraph"/>
      </w:pPr>
      <w:r w:rsidRPr="006E709F">
        <w:tab/>
        <w:t>(a)</w:t>
      </w:r>
      <w:r w:rsidRPr="006E709F">
        <w:tab/>
        <w:t>a balance of $50</w:t>
      </w:r>
      <w:r w:rsidR="00DA13DE" w:rsidRPr="006E709F">
        <w:t> </w:t>
      </w:r>
      <w:r w:rsidRPr="006E709F">
        <w:t>000; or</w:t>
      </w:r>
    </w:p>
    <w:p w:rsidR="00B2417E" w:rsidRPr="006E709F" w:rsidRDefault="00B2417E" w:rsidP="00B2417E">
      <w:pPr>
        <w:pStyle w:val="paragraph"/>
      </w:pPr>
      <w:r w:rsidRPr="006E709F">
        <w:tab/>
        <w:t>(b)</w:t>
      </w:r>
      <w:r w:rsidRPr="006E709F">
        <w:tab/>
        <w:t>if clause</w:t>
      </w:r>
      <w:r w:rsidR="00DA13DE" w:rsidRPr="006E709F">
        <w:t> </w:t>
      </w:r>
      <w:r w:rsidRPr="006E709F">
        <w:t>215 applies—an amount that is a multiple of $50</w:t>
      </w:r>
      <w:r w:rsidR="00DA13DE" w:rsidRPr="006E709F">
        <w:t> </w:t>
      </w:r>
      <w:r w:rsidRPr="006E709F">
        <w:t>000.</w:t>
      </w:r>
    </w:p>
    <w:p w:rsidR="002A22A4" w:rsidRPr="006E709F" w:rsidRDefault="002A22A4" w:rsidP="00D5406C">
      <w:pPr>
        <w:pStyle w:val="ActHead5"/>
      </w:pPr>
      <w:bookmarkStart w:id="92" w:name="_Toc170547909"/>
      <w:r w:rsidRPr="000C4237">
        <w:rPr>
          <w:rStyle w:val="CharSectno"/>
        </w:rPr>
        <w:t>217</w:t>
      </w:r>
      <w:r w:rsidR="00A801D0" w:rsidRPr="006E709F">
        <w:t xml:space="preserve">  </w:t>
      </w:r>
      <w:r w:rsidRPr="006E709F">
        <w:t>Contribution fees</w:t>
      </w:r>
      <w:bookmarkEnd w:id="92"/>
    </w:p>
    <w:p w:rsidR="002A22A4" w:rsidRPr="006E709F" w:rsidRDefault="002A22A4" w:rsidP="00A801D0">
      <w:pPr>
        <w:pStyle w:val="subsection"/>
      </w:pPr>
      <w:r w:rsidRPr="006E709F">
        <w:tab/>
        <w:t>(1)</w:t>
      </w:r>
      <w:r w:rsidRPr="006E709F">
        <w:tab/>
        <w:t xml:space="preserve">The amounts of contribution fees to be inserted in the example of annual fees and costs for a </w:t>
      </w:r>
      <w:r w:rsidR="00BD52AE" w:rsidRPr="006E709F">
        <w:t>collective investment product</w:t>
      </w:r>
      <w:r w:rsidRPr="006E709F">
        <w:t>, are applied against a $5</w:t>
      </w:r>
      <w:r w:rsidR="00DA13DE" w:rsidRPr="006E709F">
        <w:t> </w:t>
      </w:r>
      <w:r w:rsidRPr="006E709F">
        <w:t>000 investment.</w:t>
      </w:r>
    </w:p>
    <w:p w:rsidR="002A22A4" w:rsidRPr="006E709F" w:rsidRDefault="002A22A4" w:rsidP="00A801D0">
      <w:pPr>
        <w:pStyle w:val="subsection"/>
      </w:pPr>
      <w:r w:rsidRPr="006E709F">
        <w:tab/>
        <w:t>(2)</w:t>
      </w:r>
      <w:r w:rsidRPr="006E709F">
        <w:tab/>
        <w:t>If a Product Disclosure Statement relates to a product:</w:t>
      </w:r>
    </w:p>
    <w:p w:rsidR="002A22A4" w:rsidRPr="006E709F" w:rsidRDefault="002A22A4" w:rsidP="00A801D0">
      <w:pPr>
        <w:pStyle w:val="paragraph"/>
      </w:pPr>
      <w:r w:rsidRPr="006E709F">
        <w:tab/>
        <w:t>(a)</w:t>
      </w:r>
      <w:r w:rsidRPr="006E709F">
        <w:tab/>
        <w:t>that is paid for by a single lump sum amount; and</w:t>
      </w:r>
    </w:p>
    <w:p w:rsidR="0048795D" w:rsidRPr="006E709F" w:rsidRDefault="002A22A4" w:rsidP="00A801D0">
      <w:pPr>
        <w:pStyle w:val="paragraph"/>
      </w:pPr>
      <w:r w:rsidRPr="006E709F">
        <w:tab/>
        <w:t>(b)</w:t>
      </w:r>
      <w:r w:rsidRPr="006E709F">
        <w:tab/>
        <w:t>for which no additional contributions can be made;</w:t>
      </w:r>
    </w:p>
    <w:p w:rsidR="002A22A4" w:rsidRPr="006E709F" w:rsidRDefault="002A22A4" w:rsidP="00A801D0">
      <w:pPr>
        <w:pStyle w:val="subsection2"/>
      </w:pPr>
      <w:r w:rsidRPr="006E709F">
        <w:t>the example of annual fees and costs should be modified by removing references to contributions or contribution fees.</w:t>
      </w:r>
    </w:p>
    <w:p w:rsidR="002A22A4" w:rsidRPr="006E709F" w:rsidRDefault="002A22A4" w:rsidP="00A801D0">
      <w:pPr>
        <w:pStyle w:val="subsection"/>
      </w:pPr>
      <w:r w:rsidRPr="006E709F">
        <w:tab/>
        <w:t>(3)</w:t>
      </w:r>
      <w:r w:rsidRPr="006E709F">
        <w:tab/>
        <w:t>The example must be based on a balance:</w:t>
      </w:r>
    </w:p>
    <w:p w:rsidR="002A22A4" w:rsidRPr="006E709F" w:rsidRDefault="002A22A4" w:rsidP="00A801D0">
      <w:pPr>
        <w:pStyle w:val="paragraph"/>
      </w:pPr>
      <w:r w:rsidRPr="006E709F">
        <w:lastRenderedPageBreak/>
        <w:tab/>
        <w:t>(a)</w:t>
      </w:r>
      <w:r w:rsidRPr="006E709F">
        <w:tab/>
        <w:t>of $50</w:t>
      </w:r>
      <w:r w:rsidR="00DA13DE" w:rsidRPr="006E709F">
        <w:t> </w:t>
      </w:r>
      <w:r w:rsidRPr="006E709F">
        <w:t>000; or</w:t>
      </w:r>
    </w:p>
    <w:p w:rsidR="002A22A4" w:rsidRPr="006E709F" w:rsidRDefault="002A22A4" w:rsidP="00A801D0">
      <w:pPr>
        <w:pStyle w:val="paragraph"/>
      </w:pPr>
      <w:r w:rsidRPr="006E709F">
        <w:tab/>
        <w:t>(b)</w:t>
      </w:r>
      <w:r w:rsidRPr="006E709F">
        <w:tab/>
        <w:t>worked out in accordance with clause</w:t>
      </w:r>
      <w:r w:rsidR="00DA13DE" w:rsidRPr="006E709F">
        <w:t> </w:t>
      </w:r>
      <w:r w:rsidRPr="006E709F">
        <w:t>215.</w:t>
      </w:r>
    </w:p>
    <w:p w:rsidR="002A22A4" w:rsidRPr="006E709F" w:rsidRDefault="00A801D0" w:rsidP="00A801D0">
      <w:pPr>
        <w:pStyle w:val="notetext"/>
      </w:pPr>
      <w:r w:rsidRPr="006E709F">
        <w:t>Note:</w:t>
      </w:r>
      <w:r w:rsidRPr="006E709F">
        <w:tab/>
      </w:r>
      <w:r w:rsidR="002A22A4" w:rsidRPr="006E709F">
        <w:t>If there is a fee paid for the initial contribution, it should be described as the establishment fee.</w:t>
      </w:r>
    </w:p>
    <w:p w:rsidR="00B2417E" w:rsidRPr="006E709F" w:rsidRDefault="00B2417E" w:rsidP="00B2417E">
      <w:pPr>
        <w:pStyle w:val="ActHead5"/>
      </w:pPr>
      <w:bookmarkStart w:id="93" w:name="_Toc170547910"/>
      <w:r w:rsidRPr="000C4237">
        <w:rPr>
          <w:rStyle w:val="CharSectno"/>
        </w:rPr>
        <w:t>218</w:t>
      </w:r>
      <w:r w:rsidRPr="006E709F">
        <w:t xml:space="preserve">  Administration fees and investment fees for a superannuation product</w:t>
      </w:r>
      <w:bookmarkEnd w:id="93"/>
    </w:p>
    <w:p w:rsidR="00B2417E" w:rsidRPr="006E709F" w:rsidRDefault="00B2417E" w:rsidP="00B2417E">
      <w:pPr>
        <w:pStyle w:val="SubsectionHead"/>
      </w:pPr>
      <w:r w:rsidRPr="006E709F">
        <w:t>Administration fees</w:t>
      </w:r>
    </w:p>
    <w:p w:rsidR="00B2417E" w:rsidRPr="006E709F" w:rsidRDefault="00B2417E" w:rsidP="00B2417E">
      <w:pPr>
        <w:pStyle w:val="subsection"/>
      </w:pPr>
      <w:r w:rsidRPr="006E709F">
        <w:tab/>
        <w:t>(1)</w:t>
      </w:r>
      <w:r w:rsidRPr="006E709F">
        <w:tab/>
        <w:t>The example of administration fees for a MySuper product or an investment option offered by a superannuation entity is applied to an amount of $50</w:t>
      </w:r>
      <w:r w:rsidR="00DA13DE" w:rsidRPr="006E709F">
        <w:t> </w:t>
      </w:r>
      <w:r w:rsidRPr="006E709F">
        <w:t>000 or an amount that is a multiple of $50</w:t>
      </w:r>
      <w:r w:rsidR="00DA13DE" w:rsidRPr="006E709F">
        <w:t> </w:t>
      </w:r>
      <w:r w:rsidRPr="006E709F">
        <w:t>000 if clause</w:t>
      </w:r>
      <w:r w:rsidR="00DA13DE" w:rsidRPr="006E709F">
        <w:t> </w:t>
      </w:r>
      <w:r w:rsidRPr="006E709F">
        <w:t>215 applies.</w:t>
      </w:r>
    </w:p>
    <w:p w:rsidR="00B2417E" w:rsidRPr="006E709F" w:rsidRDefault="00B2417E" w:rsidP="00B2417E">
      <w:pPr>
        <w:pStyle w:val="notetext"/>
      </w:pPr>
      <w:r w:rsidRPr="006E709F">
        <w:rPr>
          <w:iCs/>
        </w:rPr>
        <w:t>Note:</w:t>
      </w:r>
      <w:r w:rsidRPr="006E709F">
        <w:rPr>
          <w:iCs/>
        </w:rPr>
        <w:tab/>
      </w:r>
      <w:r w:rsidRPr="006E709F">
        <w:t>In calculating the amount, do not include contributions that may be made during the year.</w:t>
      </w:r>
    </w:p>
    <w:p w:rsidR="00B2417E" w:rsidRPr="006E709F" w:rsidRDefault="00B2417E" w:rsidP="00B2417E">
      <w:pPr>
        <w:pStyle w:val="subsection"/>
      </w:pPr>
      <w:r w:rsidRPr="006E709F">
        <w:tab/>
        <w:t>(2)</w:t>
      </w:r>
      <w:r w:rsidRPr="006E709F">
        <w:tab/>
        <w:t>If there is a range in the amount of administration fees that may be charged for a MySuper product or an investment option offered by a superannuation entity, the example must use the highest administration fees in the range.</w:t>
      </w:r>
    </w:p>
    <w:p w:rsidR="00B2417E" w:rsidRPr="006E709F" w:rsidRDefault="00B2417E" w:rsidP="00B2417E">
      <w:pPr>
        <w:pStyle w:val="SubsectionHead"/>
      </w:pPr>
      <w:r w:rsidRPr="006E709F">
        <w:t>Investment fees</w:t>
      </w:r>
    </w:p>
    <w:p w:rsidR="00B2417E" w:rsidRPr="006E709F" w:rsidRDefault="00B2417E" w:rsidP="00B2417E">
      <w:pPr>
        <w:pStyle w:val="subsection"/>
      </w:pPr>
      <w:r w:rsidRPr="006E709F">
        <w:tab/>
        <w:t>(3)</w:t>
      </w:r>
      <w:r w:rsidRPr="006E709F">
        <w:tab/>
        <w:t>The example of investment fees for a MySuper product or an investment option offered by a superannuation entity is applied to an amount of $50</w:t>
      </w:r>
      <w:r w:rsidR="00DA13DE" w:rsidRPr="006E709F">
        <w:t> </w:t>
      </w:r>
      <w:r w:rsidRPr="006E709F">
        <w:t>000 or an amount that is a multiple of $50</w:t>
      </w:r>
      <w:r w:rsidR="00DA13DE" w:rsidRPr="006E709F">
        <w:t> </w:t>
      </w:r>
      <w:r w:rsidRPr="006E709F">
        <w:t>000 if clause</w:t>
      </w:r>
      <w:r w:rsidR="00DA13DE" w:rsidRPr="006E709F">
        <w:t> </w:t>
      </w:r>
      <w:r w:rsidRPr="006E709F">
        <w:t>215 applies.</w:t>
      </w:r>
    </w:p>
    <w:p w:rsidR="00B2417E" w:rsidRPr="006E709F" w:rsidRDefault="00B2417E" w:rsidP="00B2417E">
      <w:pPr>
        <w:pStyle w:val="notetext"/>
      </w:pPr>
      <w:r w:rsidRPr="006E709F">
        <w:rPr>
          <w:iCs/>
        </w:rPr>
        <w:t>Note:</w:t>
      </w:r>
      <w:r w:rsidRPr="006E709F">
        <w:rPr>
          <w:iCs/>
        </w:rPr>
        <w:tab/>
      </w:r>
      <w:r w:rsidRPr="006E709F">
        <w:t>In calculating the amount, do not include contributions that may be made during the year.</w:t>
      </w:r>
    </w:p>
    <w:p w:rsidR="00B2417E" w:rsidRPr="006E709F" w:rsidRDefault="00B2417E" w:rsidP="00B2417E">
      <w:pPr>
        <w:pStyle w:val="subsection"/>
      </w:pPr>
      <w:r w:rsidRPr="006E709F">
        <w:tab/>
        <w:t>(4)</w:t>
      </w:r>
      <w:r w:rsidRPr="006E709F">
        <w:tab/>
        <w:t>If there is a range in the amount of investment fees that may be charged for a MySuper product or an investment option offered by a superannuation entity, the example must use the highest investment fees in the range.</w:t>
      </w:r>
    </w:p>
    <w:p w:rsidR="00B2417E" w:rsidRPr="006E709F" w:rsidRDefault="00B2417E" w:rsidP="00B2417E">
      <w:pPr>
        <w:pStyle w:val="SubsectionHead"/>
      </w:pPr>
      <w:r w:rsidRPr="006E709F">
        <w:t>Indirect costs for a MySuper product or investment option</w:t>
      </w:r>
    </w:p>
    <w:p w:rsidR="00B2417E" w:rsidRPr="006E709F" w:rsidRDefault="00B2417E" w:rsidP="00B2417E">
      <w:pPr>
        <w:pStyle w:val="subsection"/>
      </w:pPr>
      <w:r w:rsidRPr="006E709F">
        <w:tab/>
        <w:t>(5)</w:t>
      </w:r>
      <w:r w:rsidRPr="006E709F">
        <w:tab/>
        <w:t>The example of indirect costs for a MySuper product or an investment option offered by a superannuation entity must be worked out by applying the indirect cost ratio for the MySuper product or the investment option to an amount of $50,000 or an amount that is a multiple of $50,000 if clause</w:t>
      </w:r>
      <w:r w:rsidR="00DA13DE" w:rsidRPr="006E709F">
        <w:t> </w:t>
      </w:r>
      <w:r w:rsidRPr="006E709F">
        <w:t>215 applies.</w:t>
      </w:r>
    </w:p>
    <w:p w:rsidR="00B2417E" w:rsidRPr="006E709F" w:rsidRDefault="00B2417E" w:rsidP="00B2417E">
      <w:pPr>
        <w:pStyle w:val="ActHead5"/>
      </w:pPr>
      <w:bookmarkStart w:id="94" w:name="_Toc170547911"/>
      <w:r w:rsidRPr="000C4237">
        <w:rPr>
          <w:rStyle w:val="CharSectno"/>
        </w:rPr>
        <w:t>218A</w:t>
      </w:r>
      <w:r w:rsidRPr="006E709F">
        <w:t xml:space="preserve">  Management costs for a </w:t>
      </w:r>
      <w:r w:rsidR="00333B75" w:rsidRPr="006E709F">
        <w:t>collective investment product</w:t>
      </w:r>
      <w:bookmarkEnd w:id="94"/>
    </w:p>
    <w:p w:rsidR="00B2417E" w:rsidRPr="006E709F" w:rsidRDefault="00B2417E" w:rsidP="00B2417E">
      <w:pPr>
        <w:pStyle w:val="subsection"/>
      </w:pPr>
      <w:r w:rsidRPr="006E709F">
        <w:tab/>
        <w:t>(1)</w:t>
      </w:r>
      <w:r w:rsidRPr="006E709F">
        <w:tab/>
        <w:t xml:space="preserve">The example of management costs for an investment option offered by a managed investment scheme </w:t>
      </w:r>
      <w:r w:rsidR="00761295" w:rsidRPr="006E709F">
        <w:t xml:space="preserve">or a retail CCIV </w:t>
      </w:r>
      <w:r w:rsidRPr="006E709F">
        <w:t>is applied to an amount of $50</w:t>
      </w:r>
      <w:r w:rsidR="00DA13DE" w:rsidRPr="006E709F">
        <w:t> </w:t>
      </w:r>
      <w:r w:rsidRPr="006E709F">
        <w:t>000 or an amount that is a multiple of $50</w:t>
      </w:r>
      <w:r w:rsidR="00DA13DE" w:rsidRPr="006E709F">
        <w:t> </w:t>
      </w:r>
      <w:r w:rsidRPr="006E709F">
        <w:t>000 if clause</w:t>
      </w:r>
      <w:r w:rsidR="00DA13DE" w:rsidRPr="006E709F">
        <w:t> </w:t>
      </w:r>
      <w:r w:rsidRPr="006E709F">
        <w:t>215 applies.</w:t>
      </w:r>
    </w:p>
    <w:p w:rsidR="00B2417E" w:rsidRPr="006E709F" w:rsidRDefault="00B2417E" w:rsidP="00B2417E">
      <w:pPr>
        <w:pStyle w:val="notetext"/>
      </w:pPr>
      <w:r w:rsidRPr="006E709F">
        <w:t>Note:</w:t>
      </w:r>
      <w:r w:rsidRPr="006E709F">
        <w:tab/>
        <w:t>In calculating the amount, do not include contributions that may be made during the year.</w:t>
      </w:r>
    </w:p>
    <w:p w:rsidR="00B2417E" w:rsidRPr="006E709F" w:rsidRDefault="00B2417E" w:rsidP="00B2417E">
      <w:pPr>
        <w:pStyle w:val="subsection"/>
      </w:pPr>
      <w:r w:rsidRPr="006E709F">
        <w:tab/>
        <w:t>(2)</w:t>
      </w:r>
      <w:r w:rsidRPr="006E709F">
        <w:tab/>
        <w:t>If there is a range in the amount of management costs that may be charged for an investment option offered by a managed investment scheme</w:t>
      </w:r>
      <w:r w:rsidR="00761295" w:rsidRPr="006E709F">
        <w:t xml:space="preserve"> or a retail CCIV</w:t>
      </w:r>
      <w:r w:rsidRPr="006E709F">
        <w:t>, the example must use the highest management costs in the range.</w:t>
      </w:r>
    </w:p>
    <w:p w:rsidR="00B2417E" w:rsidRPr="006E709F" w:rsidRDefault="00B2417E" w:rsidP="00B2417E">
      <w:pPr>
        <w:pStyle w:val="subsection"/>
      </w:pPr>
      <w:r w:rsidRPr="006E709F">
        <w:lastRenderedPageBreak/>
        <w:tab/>
        <w:t>(3)</w:t>
      </w:r>
      <w:r w:rsidRPr="006E709F">
        <w:tab/>
        <w:t>Management costs that are not deducted directly from a product holder’s account must be calculated using the indirect cost ratio for the relevant investment option offered by the managed investment scheme</w:t>
      </w:r>
      <w:r w:rsidR="00761295" w:rsidRPr="006E709F">
        <w:t xml:space="preserve"> or the retail CCIV</w:t>
      </w:r>
      <w:r w:rsidRPr="006E709F">
        <w:t>.</w:t>
      </w:r>
    </w:p>
    <w:p w:rsidR="00B2417E" w:rsidRPr="006E709F" w:rsidRDefault="00B2417E" w:rsidP="00B2417E">
      <w:pPr>
        <w:pStyle w:val="subsection"/>
      </w:pPr>
      <w:r w:rsidRPr="006E709F">
        <w:tab/>
        <w:t>(4)</w:t>
      </w:r>
      <w:r w:rsidRPr="006E709F">
        <w:tab/>
        <w:t xml:space="preserve">Any percentage based management costs that are deducted directly from a product holder’s account should be added to the percentage amount calculated under </w:t>
      </w:r>
      <w:r w:rsidR="00DA13DE" w:rsidRPr="006E709F">
        <w:t>subclause (</w:t>
      </w:r>
      <w:r w:rsidRPr="006E709F">
        <w:t>3).</w:t>
      </w:r>
    </w:p>
    <w:p w:rsidR="00B2417E" w:rsidRPr="006E709F" w:rsidRDefault="00B2417E" w:rsidP="00B2417E">
      <w:pPr>
        <w:pStyle w:val="subsection"/>
      </w:pPr>
      <w:r w:rsidRPr="006E709F">
        <w:tab/>
        <w:t>(5)</w:t>
      </w:r>
      <w:r w:rsidRPr="006E709F">
        <w:tab/>
        <w:t>Any dollar based management costs that are deducted directly from a product holder’s account must be shown separately in the management costs cell.</w:t>
      </w:r>
    </w:p>
    <w:p w:rsidR="00B2417E" w:rsidRPr="006E709F" w:rsidRDefault="00B2417E" w:rsidP="00B2417E">
      <w:pPr>
        <w:pStyle w:val="notetext"/>
      </w:pPr>
      <w:r w:rsidRPr="006E709F">
        <w:t>Example 1:</w:t>
      </w:r>
      <w:r w:rsidRPr="006E709F">
        <w:tab/>
        <w:t>Management costs: 2 % deducted directly from your account + 1.6% deducted indirectly.</w:t>
      </w:r>
    </w:p>
    <w:p w:rsidR="00B2417E" w:rsidRPr="006E709F" w:rsidRDefault="00B2417E" w:rsidP="00B2417E">
      <w:pPr>
        <w:pStyle w:val="notetext"/>
      </w:pPr>
      <w:r w:rsidRPr="006E709F">
        <w:t>Example 2:</w:t>
      </w:r>
      <w:r w:rsidRPr="006E709F">
        <w:tab/>
        <w:t>Management costs: $52 per year ($1 per week) deducted directly from your account + 1.6% deducted indirectly.</w:t>
      </w:r>
    </w:p>
    <w:p w:rsidR="00B2417E" w:rsidRPr="006E709F" w:rsidRDefault="00B2417E" w:rsidP="00B2417E">
      <w:pPr>
        <w:pStyle w:val="notetext"/>
      </w:pPr>
      <w:r w:rsidRPr="006E709F">
        <w:t>Example 3:</w:t>
      </w:r>
      <w:r w:rsidRPr="006E709F">
        <w:tab/>
        <w:t>Management costs: $52 per year ($1 per week) + 1% deducted directly from your account + 1.6% deducted indirectly.</w:t>
      </w:r>
    </w:p>
    <w:p w:rsidR="00B2417E" w:rsidRPr="006E709F" w:rsidRDefault="00B2417E" w:rsidP="00B2417E">
      <w:pPr>
        <w:pStyle w:val="ActHead5"/>
      </w:pPr>
      <w:bookmarkStart w:id="95" w:name="_Toc170547912"/>
      <w:r w:rsidRPr="000C4237">
        <w:rPr>
          <w:rStyle w:val="CharSectno"/>
        </w:rPr>
        <w:t>219</w:t>
      </w:r>
      <w:r w:rsidRPr="006E709F">
        <w:t xml:space="preserve">  Withdrawal fees and exit fees</w:t>
      </w:r>
      <w:bookmarkEnd w:id="95"/>
    </w:p>
    <w:p w:rsidR="002A22A4" w:rsidRPr="006E709F" w:rsidRDefault="002A22A4" w:rsidP="00A801D0">
      <w:pPr>
        <w:pStyle w:val="subsection"/>
      </w:pPr>
      <w:r w:rsidRPr="006E709F">
        <w:tab/>
        <w:t>(1)</w:t>
      </w:r>
      <w:r w:rsidRPr="006E709F">
        <w:tab/>
        <w:t xml:space="preserve">The example of a withdrawal fee or </w:t>
      </w:r>
      <w:r w:rsidR="00B2417E" w:rsidRPr="006E709F">
        <w:t>an exit fee</w:t>
      </w:r>
      <w:r w:rsidRPr="006E709F">
        <w:t xml:space="preserve"> for a </w:t>
      </w:r>
      <w:r w:rsidR="00333B75" w:rsidRPr="006E709F">
        <w:t>collective investment product</w:t>
      </w:r>
      <w:r w:rsidRPr="006E709F">
        <w:t xml:space="preserve"> is applied against an amount of $50</w:t>
      </w:r>
      <w:r w:rsidR="00DA13DE" w:rsidRPr="006E709F">
        <w:t> </w:t>
      </w:r>
      <w:r w:rsidRPr="006E709F">
        <w:t>000 or an amount that is a multiple of $50</w:t>
      </w:r>
      <w:r w:rsidR="00DA13DE" w:rsidRPr="006E709F">
        <w:t> </w:t>
      </w:r>
      <w:r w:rsidRPr="006E709F">
        <w:t>000 if clause</w:t>
      </w:r>
      <w:r w:rsidR="00DA13DE" w:rsidRPr="006E709F">
        <w:t> </w:t>
      </w:r>
      <w:r w:rsidRPr="006E709F">
        <w:t>215 applies.</w:t>
      </w:r>
    </w:p>
    <w:p w:rsidR="002A22A4" w:rsidRPr="006E709F" w:rsidRDefault="002A22A4" w:rsidP="00A801D0">
      <w:pPr>
        <w:pStyle w:val="subsection"/>
      </w:pPr>
      <w:r w:rsidRPr="006E709F">
        <w:tab/>
        <w:t>(2)</w:t>
      </w:r>
      <w:r w:rsidRPr="006E709F">
        <w:tab/>
        <w:t>In calculating the amount, do not include contributions that may be made during the year.</w:t>
      </w:r>
    </w:p>
    <w:p w:rsidR="00B2417E" w:rsidRPr="006E709F" w:rsidRDefault="00B2417E" w:rsidP="00B2417E">
      <w:pPr>
        <w:pStyle w:val="ActHead5"/>
      </w:pPr>
      <w:bookmarkStart w:id="96" w:name="_Toc170547913"/>
      <w:r w:rsidRPr="000C4237">
        <w:rPr>
          <w:rStyle w:val="CharSectno"/>
        </w:rPr>
        <w:t>220</w:t>
      </w:r>
      <w:r w:rsidRPr="006E709F">
        <w:t xml:space="preserve">  If there is no generic MySuper product or balanced investment option</w:t>
      </w:r>
      <w:bookmarkEnd w:id="96"/>
    </w:p>
    <w:p w:rsidR="00B2417E" w:rsidRPr="006E709F" w:rsidRDefault="00B2417E" w:rsidP="00B2417E">
      <w:pPr>
        <w:pStyle w:val="SubsectionHead"/>
      </w:pPr>
      <w:r w:rsidRPr="006E709F">
        <w:t>Superannuation entities</w:t>
      </w:r>
    </w:p>
    <w:p w:rsidR="00B2417E" w:rsidRPr="006E709F" w:rsidRDefault="00B2417E" w:rsidP="00B2417E">
      <w:pPr>
        <w:pStyle w:val="subsection"/>
      </w:pPr>
      <w:r w:rsidRPr="006E709F">
        <w:tab/>
        <w:t>(1)</w:t>
      </w:r>
      <w:r w:rsidRPr="006E709F">
        <w:tab/>
        <w:t>If a superannuation entity does not offer a generic MySuper product, the example should be based on:</w:t>
      </w:r>
    </w:p>
    <w:p w:rsidR="00B2417E" w:rsidRPr="006E709F" w:rsidRDefault="00B2417E" w:rsidP="00B2417E">
      <w:pPr>
        <w:pStyle w:val="paragraph"/>
      </w:pPr>
      <w:r w:rsidRPr="006E709F">
        <w:tab/>
        <w:t>(a)</w:t>
      </w:r>
      <w:r w:rsidRPr="006E709F">
        <w:tab/>
        <w:t>where the superannuation entity offers a balanced investment option—the balanced investment option under which most assets of the superannuation entity are invested; and</w:t>
      </w:r>
    </w:p>
    <w:p w:rsidR="00B2417E" w:rsidRPr="006E709F" w:rsidRDefault="00B2417E" w:rsidP="00B2417E">
      <w:pPr>
        <w:pStyle w:val="paragraph"/>
      </w:pPr>
      <w:r w:rsidRPr="006E709F">
        <w:tab/>
        <w:t>(b)</w:t>
      </w:r>
      <w:r w:rsidRPr="006E709F">
        <w:tab/>
        <w:t>where the superannuation entity does not offer a balanced investment option—the investment option under which most assets of the superannuation entity are invested.</w:t>
      </w:r>
    </w:p>
    <w:p w:rsidR="00B2417E" w:rsidRPr="006E709F" w:rsidRDefault="00B2417E" w:rsidP="00B2417E">
      <w:pPr>
        <w:pStyle w:val="SubsectionHead"/>
      </w:pPr>
      <w:r w:rsidRPr="006E709F">
        <w:t>Managed investment schemes</w:t>
      </w:r>
    </w:p>
    <w:p w:rsidR="00B2417E" w:rsidRPr="006E709F" w:rsidRDefault="00B2417E" w:rsidP="00B2417E">
      <w:pPr>
        <w:pStyle w:val="subsection"/>
      </w:pPr>
      <w:r w:rsidRPr="006E709F">
        <w:tab/>
        <w:t>(2)</w:t>
      </w:r>
      <w:r w:rsidRPr="006E709F">
        <w:tab/>
        <w:t>If a managed investment scheme does not offer a balanced investment option, the example should be based on:</w:t>
      </w:r>
    </w:p>
    <w:p w:rsidR="00B2417E" w:rsidRPr="006E709F" w:rsidRDefault="00B2417E" w:rsidP="00B2417E">
      <w:pPr>
        <w:pStyle w:val="paragraph"/>
      </w:pPr>
      <w:r w:rsidRPr="006E709F">
        <w:tab/>
        <w:t>(a)</w:t>
      </w:r>
      <w:r w:rsidRPr="006E709F">
        <w:tab/>
        <w:t>where the scheme offers a default investment option—that option; and</w:t>
      </w:r>
    </w:p>
    <w:p w:rsidR="00B2417E" w:rsidRPr="006E709F" w:rsidRDefault="00B2417E" w:rsidP="00B2417E">
      <w:pPr>
        <w:pStyle w:val="paragraph"/>
      </w:pPr>
      <w:r w:rsidRPr="006E709F">
        <w:tab/>
        <w:t>(b)</w:t>
      </w:r>
      <w:r w:rsidRPr="006E709F">
        <w:tab/>
        <w:t>where the scheme does not offer a default investment option—the investment option under which most assets of the scheme are invested.</w:t>
      </w:r>
    </w:p>
    <w:p w:rsidR="00761295" w:rsidRPr="006E709F" w:rsidRDefault="00761295" w:rsidP="00761295">
      <w:pPr>
        <w:pStyle w:val="SubsectionHead"/>
      </w:pPr>
      <w:r w:rsidRPr="006E709F">
        <w:lastRenderedPageBreak/>
        <w:t>CCIVs</w:t>
      </w:r>
    </w:p>
    <w:p w:rsidR="00761295" w:rsidRPr="006E709F" w:rsidRDefault="00761295" w:rsidP="00761295">
      <w:pPr>
        <w:pStyle w:val="subsection"/>
      </w:pPr>
      <w:r w:rsidRPr="006E709F">
        <w:tab/>
        <w:t>(3)</w:t>
      </w:r>
      <w:r w:rsidRPr="006E709F">
        <w:tab/>
        <w:t>If a retail CCIV does not offer a balanced investment option, the example should be based on:</w:t>
      </w:r>
    </w:p>
    <w:p w:rsidR="00761295" w:rsidRPr="006E709F" w:rsidRDefault="00761295" w:rsidP="00761295">
      <w:pPr>
        <w:pStyle w:val="paragraph"/>
      </w:pPr>
      <w:r w:rsidRPr="006E709F">
        <w:tab/>
        <w:t>(a)</w:t>
      </w:r>
      <w:r w:rsidRPr="006E709F">
        <w:tab/>
        <w:t>where the CCIV offers a default investment option—that option; and</w:t>
      </w:r>
    </w:p>
    <w:p w:rsidR="00761295" w:rsidRPr="006E709F" w:rsidRDefault="00761295" w:rsidP="00761295">
      <w:pPr>
        <w:pStyle w:val="paragraph"/>
      </w:pPr>
      <w:r w:rsidRPr="006E709F">
        <w:tab/>
        <w:t>(b)</w:t>
      </w:r>
      <w:r w:rsidRPr="006E709F">
        <w:tab/>
        <w:t>where the CCIV does not offer a default investment option—the investment option under which the CCIV has the most funds invested.</w:t>
      </w:r>
    </w:p>
    <w:p w:rsidR="002A22A4" w:rsidRPr="006E709F" w:rsidRDefault="00A801D0" w:rsidP="00CA4A64">
      <w:pPr>
        <w:pStyle w:val="ActHead3"/>
        <w:pageBreakBefore/>
      </w:pPr>
      <w:bookmarkStart w:id="97" w:name="_Toc170547914"/>
      <w:r w:rsidRPr="000C4237">
        <w:rPr>
          <w:rStyle w:val="CharDivNo"/>
        </w:rPr>
        <w:lastRenderedPageBreak/>
        <w:t>Division</w:t>
      </w:r>
      <w:r w:rsidR="00DA13DE" w:rsidRPr="000C4237">
        <w:rPr>
          <w:rStyle w:val="CharDivNo"/>
        </w:rPr>
        <w:t> </w:t>
      </w:r>
      <w:r w:rsidR="002A22A4" w:rsidRPr="000C4237">
        <w:rPr>
          <w:rStyle w:val="CharDivNo"/>
        </w:rPr>
        <w:t>7</w:t>
      </w:r>
      <w:r w:rsidR="00495B24" w:rsidRPr="006E709F">
        <w:t>—</w:t>
      </w:r>
      <w:r w:rsidR="002A22A4" w:rsidRPr="000C4237">
        <w:rPr>
          <w:rStyle w:val="CharDivText"/>
        </w:rPr>
        <w:t>Consumer Advisory Warning</w:t>
      </w:r>
      <w:bookmarkEnd w:id="97"/>
    </w:p>
    <w:p w:rsidR="002A22A4" w:rsidRPr="006E709F" w:rsidRDefault="002A22A4" w:rsidP="00D9431E">
      <w:pPr>
        <w:pStyle w:val="ActHead5"/>
      </w:pPr>
      <w:bookmarkStart w:id="98" w:name="_Toc170547915"/>
      <w:r w:rsidRPr="000C4237">
        <w:rPr>
          <w:rStyle w:val="CharSectno"/>
        </w:rPr>
        <w:t>221</w:t>
      </w:r>
      <w:r w:rsidR="00A801D0" w:rsidRPr="006E709F">
        <w:t xml:space="preserve">  </w:t>
      </w:r>
      <w:r w:rsidRPr="006E709F">
        <w:t>Consumer advisory warning</w:t>
      </w:r>
      <w:bookmarkEnd w:id="98"/>
    </w:p>
    <w:p w:rsidR="00A801D0" w:rsidRPr="006E709F" w:rsidRDefault="00A801D0" w:rsidP="00A801D0">
      <w:pPr>
        <w:pStyle w:val="Tabletext"/>
      </w:pPr>
    </w:p>
    <w:tbl>
      <w:tblPr>
        <w:tblW w:w="5000" w:type="pct"/>
        <w:jc w:val="center"/>
        <w:tblCellSpacing w:w="0"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000" w:firstRow="0" w:lastRow="0" w:firstColumn="0" w:lastColumn="0" w:noHBand="0" w:noVBand="0"/>
      </w:tblPr>
      <w:tblGrid>
        <w:gridCol w:w="8633"/>
      </w:tblGrid>
      <w:tr w:rsidR="002A22A4" w:rsidRPr="006E709F" w:rsidTr="00E118FA">
        <w:trPr>
          <w:tblCellSpacing w:w="0" w:type="dxa"/>
          <w:jc w:val="center"/>
        </w:trPr>
        <w:tc>
          <w:tcPr>
            <w:tcW w:w="5000" w:type="pct"/>
            <w:shd w:val="clear" w:color="auto" w:fill="auto"/>
            <w:vAlign w:val="center"/>
          </w:tcPr>
          <w:p w:rsidR="002A22A4" w:rsidRPr="006E709F" w:rsidRDefault="002A22A4" w:rsidP="006014BA">
            <w:pPr>
              <w:pStyle w:val="Tabletext"/>
              <w:jc w:val="center"/>
              <w:rPr>
                <w:b/>
              </w:rPr>
            </w:pPr>
            <w:r w:rsidRPr="006E709F">
              <w:rPr>
                <w:b/>
              </w:rPr>
              <w:t>DID YOU KNOW?</w:t>
            </w:r>
          </w:p>
          <w:p w:rsidR="002A22A4" w:rsidRPr="006E709F" w:rsidRDefault="002A22A4" w:rsidP="006014BA">
            <w:pPr>
              <w:pStyle w:val="Tabletext"/>
              <w:jc w:val="center"/>
              <w:rPr>
                <w:b/>
              </w:rPr>
            </w:pPr>
            <w:r w:rsidRPr="006E709F">
              <w:rPr>
                <w:b/>
              </w:rPr>
              <w:t>Small differences in both investment performance and fees and costs can have a substantial impact on your long term returns.</w:t>
            </w:r>
          </w:p>
          <w:p w:rsidR="002A22A4" w:rsidRPr="006E709F" w:rsidRDefault="002A22A4" w:rsidP="006014BA">
            <w:pPr>
              <w:pStyle w:val="Tabletext"/>
              <w:jc w:val="center"/>
              <w:rPr>
                <w:b/>
              </w:rPr>
            </w:pPr>
            <w:r w:rsidRPr="006E709F">
              <w:rPr>
                <w:b/>
              </w:rPr>
              <w:t xml:space="preserve">For example, total annual fees and costs of 2% of your </w:t>
            </w:r>
            <w:r w:rsidR="00B2417E" w:rsidRPr="006E709F">
              <w:rPr>
                <w:b/>
              </w:rPr>
              <w:t>account balance</w:t>
            </w:r>
            <w:r w:rsidRPr="006E709F">
              <w:rPr>
                <w:b/>
              </w:rPr>
              <w:t xml:space="preserve"> rather than 1% could reduce your final return by up to 20% over a 30</w:t>
            </w:r>
            <w:r w:rsidR="00E376FA" w:rsidRPr="006E709F">
              <w:rPr>
                <w:b/>
              </w:rPr>
              <w:t xml:space="preserve"> </w:t>
            </w:r>
            <w:r w:rsidRPr="006E709F">
              <w:rPr>
                <w:b/>
              </w:rPr>
              <w:t>year period</w:t>
            </w:r>
            <w:r w:rsidR="006014BA" w:rsidRPr="006E709F">
              <w:rPr>
                <w:b/>
              </w:rPr>
              <w:br/>
            </w:r>
            <w:r w:rsidRPr="006E709F">
              <w:rPr>
                <w:b/>
              </w:rPr>
              <w:t>(for example, reduce it from $100</w:t>
            </w:r>
            <w:r w:rsidR="00DA13DE" w:rsidRPr="006E709F">
              <w:rPr>
                <w:b/>
              </w:rPr>
              <w:t> </w:t>
            </w:r>
            <w:r w:rsidRPr="006E709F">
              <w:rPr>
                <w:b/>
              </w:rPr>
              <w:t>000 to $80</w:t>
            </w:r>
            <w:r w:rsidR="00DA13DE" w:rsidRPr="006E709F">
              <w:rPr>
                <w:b/>
              </w:rPr>
              <w:t> </w:t>
            </w:r>
            <w:r w:rsidRPr="006E709F">
              <w:rPr>
                <w:b/>
              </w:rPr>
              <w:t>000).</w:t>
            </w:r>
          </w:p>
          <w:p w:rsidR="002A22A4" w:rsidRPr="006E709F" w:rsidRDefault="002A22A4" w:rsidP="006014BA">
            <w:pPr>
              <w:pStyle w:val="Tabletext"/>
              <w:jc w:val="center"/>
              <w:rPr>
                <w:b/>
              </w:rPr>
            </w:pPr>
            <w:r w:rsidRPr="006E709F">
              <w:rPr>
                <w:b/>
              </w:rPr>
              <w:t>You should consider whether features such as superior investment performance or the provision of better member services justify higher fees and costs.</w:t>
            </w:r>
          </w:p>
          <w:p w:rsidR="002A22A4" w:rsidRPr="006E709F" w:rsidRDefault="00B2417E" w:rsidP="006014BA">
            <w:pPr>
              <w:pStyle w:val="Tabletext"/>
              <w:jc w:val="center"/>
              <w:rPr>
                <w:b/>
              </w:rPr>
            </w:pPr>
            <w:r w:rsidRPr="006E709F">
              <w:rPr>
                <w:b/>
              </w:rPr>
              <w:t>Your employer may be able to negotiate to pay lower administration fees.</w:t>
            </w:r>
            <w:r w:rsidR="002A22A4" w:rsidRPr="006E709F">
              <w:rPr>
                <w:b/>
              </w:rPr>
              <w:t xml:space="preserve"> Ask the fund or your financial adviser.</w:t>
            </w:r>
          </w:p>
          <w:p w:rsidR="002A22A4" w:rsidRPr="006E709F" w:rsidRDefault="002A22A4" w:rsidP="006014BA">
            <w:pPr>
              <w:pStyle w:val="Tabletext"/>
              <w:jc w:val="center"/>
              <w:rPr>
                <w:b/>
              </w:rPr>
            </w:pPr>
            <w:r w:rsidRPr="006E709F">
              <w:rPr>
                <w:b/>
              </w:rPr>
              <w:t>TO FIND OUT MORE</w:t>
            </w:r>
          </w:p>
          <w:p w:rsidR="002A22A4" w:rsidRPr="006E709F" w:rsidRDefault="002A22A4" w:rsidP="006014BA">
            <w:pPr>
              <w:pStyle w:val="Tabletext"/>
              <w:jc w:val="center"/>
              <w:rPr>
                <w:b/>
              </w:rPr>
            </w:pPr>
            <w:r w:rsidRPr="006E709F">
              <w:t xml:space="preserve">If you would like to find out more, or see the impact of the fees based on your own circumstances, the </w:t>
            </w:r>
            <w:r w:rsidRPr="006E709F">
              <w:rPr>
                <w:b/>
              </w:rPr>
              <w:t>Australian Securities and Investments Commission (ASIC)</w:t>
            </w:r>
            <w:r w:rsidRPr="006E709F">
              <w:t xml:space="preserve"> website </w:t>
            </w:r>
            <w:r w:rsidR="00C01C82" w:rsidRPr="006E709F">
              <w:t>(www.moneysmart.gov.au)</w:t>
            </w:r>
            <w:r w:rsidRPr="006E709F">
              <w:t xml:space="preserve"> has a </w:t>
            </w:r>
            <w:r w:rsidRPr="006E709F">
              <w:rPr>
                <w:i/>
              </w:rPr>
              <w:t>[superannuation or managed investment fee]</w:t>
            </w:r>
            <w:r w:rsidRPr="006E709F">
              <w:t xml:space="preserve"> calculator to help you check out different fee</w:t>
            </w:r>
            <w:r w:rsidR="00E376FA" w:rsidRPr="006E709F">
              <w:t xml:space="preserve"> </w:t>
            </w:r>
            <w:r w:rsidRPr="006E709F">
              <w:t>options.</w:t>
            </w:r>
          </w:p>
        </w:tc>
      </w:tr>
    </w:tbl>
    <w:p w:rsidR="002A22A4" w:rsidRPr="006E709F" w:rsidRDefault="002A22A4" w:rsidP="00BD0A25">
      <w:pPr>
        <w:pStyle w:val="ActHead5"/>
      </w:pPr>
      <w:bookmarkStart w:id="99" w:name="_Toc170547916"/>
      <w:r w:rsidRPr="000C4237">
        <w:rPr>
          <w:rStyle w:val="CharSectno"/>
        </w:rPr>
        <w:t>222</w:t>
      </w:r>
      <w:r w:rsidR="00A801D0" w:rsidRPr="006E709F">
        <w:t xml:space="preserve">  </w:t>
      </w:r>
      <w:r w:rsidRPr="006E709F">
        <w:t>Where to place the Consumer Advisory Warning</w:t>
      </w:r>
      <w:bookmarkEnd w:id="99"/>
    </w:p>
    <w:p w:rsidR="002A22A4" w:rsidRPr="006E709F" w:rsidRDefault="002A22A4" w:rsidP="00A801D0">
      <w:pPr>
        <w:pStyle w:val="subsection"/>
      </w:pPr>
      <w:r w:rsidRPr="006E709F">
        <w:tab/>
      </w:r>
      <w:r w:rsidRPr="006E709F">
        <w:tab/>
        <w:t>The Consumer Advisory Warning must be located at the beginning of the fees section of the Product Disclosure Statement.</w:t>
      </w:r>
    </w:p>
    <w:p w:rsidR="002A22A4" w:rsidRPr="006E709F" w:rsidRDefault="00A801D0" w:rsidP="00A801D0">
      <w:pPr>
        <w:pStyle w:val="ActHead2"/>
        <w:pageBreakBefore/>
      </w:pPr>
      <w:bookmarkStart w:id="100" w:name="_Toc170547917"/>
      <w:r w:rsidRPr="000C4237">
        <w:rPr>
          <w:rStyle w:val="CharPartNo"/>
        </w:rPr>
        <w:lastRenderedPageBreak/>
        <w:t>Part</w:t>
      </w:r>
      <w:r w:rsidR="00DA13DE" w:rsidRPr="000C4237">
        <w:rPr>
          <w:rStyle w:val="CharPartNo"/>
        </w:rPr>
        <w:t> </w:t>
      </w:r>
      <w:r w:rsidR="002A22A4" w:rsidRPr="000C4237">
        <w:rPr>
          <w:rStyle w:val="CharPartNo"/>
        </w:rPr>
        <w:t>3</w:t>
      </w:r>
      <w:r w:rsidRPr="006E709F">
        <w:t>—</w:t>
      </w:r>
      <w:r w:rsidR="002A22A4" w:rsidRPr="000C4237">
        <w:rPr>
          <w:rStyle w:val="CharPartText"/>
        </w:rPr>
        <w:t>Fees and costs in periodic statements</w:t>
      </w:r>
      <w:bookmarkEnd w:id="100"/>
    </w:p>
    <w:p w:rsidR="002A22A4" w:rsidRPr="006E709F" w:rsidRDefault="00A801D0" w:rsidP="00A801D0">
      <w:pPr>
        <w:pStyle w:val="ActHead3"/>
      </w:pPr>
      <w:bookmarkStart w:id="101" w:name="_Toc170547918"/>
      <w:r w:rsidRPr="000C4237">
        <w:rPr>
          <w:rStyle w:val="CharDivNo"/>
        </w:rPr>
        <w:t>Division</w:t>
      </w:r>
      <w:r w:rsidR="00DA13DE" w:rsidRPr="000C4237">
        <w:rPr>
          <w:rStyle w:val="CharDivNo"/>
        </w:rPr>
        <w:t> </w:t>
      </w:r>
      <w:r w:rsidR="002A22A4" w:rsidRPr="000C4237">
        <w:rPr>
          <w:rStyle w:val="CharDivNo"/>
        </w:rPr>
        <w:t>1</w:t>
      </w:r>
      <w:r w:rsidR="00EA46A9" w:rsidRPr="006E709F">
        <w:t>—</w:t>
      </w:r>
      <w:r w:rsidR="002A22A4" w:rsidRPr="000C4237">
        <w:rPr>
          <w:rStyle w:val="CharDivText"/>
        </w:rPr>
        <w:t>Other Management Costs</w:t>
      </w:r>
      <w:bookmarkEnd w:id="101"/>
    </w:p>
    <w:p w:rsidR="00C01C82" w:rsidRPr="006E709F" w:rsidRDefault="00C01C82" w:rsidP="00C01C82">
      <w:pPr>
        <w:pStyle w:val="ActHead5"/>
      </w:pPr>
      <w:bookmarkStart w:id="102" w:name="_Toc170547919"/>
      <w:r w:rsidRPr="000C4237">
        <w:rPr>
          <w:rStyle w:val="CharSectno"/>
        </w:rPr>
        <w:t>301</w:t>
      </w:r>
      <w:r w:rsidRPr="006E709F">
        <w:t xml:space="preserve">  Indirect costs related to investment and administration of accounts</w:t>
      </w:r>
      <w:bookmarkEnd w:id="102"/>
    </w:p>
    <w:p w:rsidR="00C01C82" w:rsidRPr="006E709F" w:rsidRDefault="00C01C82" w:rsidP="00C01C82">
      <w:pPr>
        <w:pStyle w:val="subsection"/>
      </w:pPr>
      <w:r w:rsidRPr="006E709F">
        <w:tab/>
        <w:t>(1)</w:t>
      </w:r>
      <w:r w:rsidRPr="006E709F">
        <w:tab/>
        <w:t>The following text and the appropriate amount, in dollars, must be inserted after the part of the periodic statement that itemises transactions during the period.</w:t>
      </w:r>
    </w:p>
    <w:p w:rsidR="00C01C82" w:rsidRPr="006E709F" w:rsidRDefault="00C01C82" w:rsidP="00C01C82"/>
    <w:p w:rsidR="00C01C82" w:rsidRPr="006E709F" w:rsidRDefault="00C01C82" w:rsidP="00C01C82">
      <w:pPr>
        <w:ind w:left="1134"/>
        <w:rPr>
          <w:b/>
          <w:sz w:val="26"/>
          <w:szCs w:val="26"/>
        </w:rPr>
      </w:pPr>
      <w:r w:rsidRPr="006E709F">
        <w:rPr>
          <w:b/>
          <w:sz w:val="26"/>
          <w:szCs w:val="26"/>
        </w:rPr>
        <w:t>Indirect costs of your investment</w:t>
      </w:r>
    </w:p>
    <w:p w:rsidR="00C01C82" w:rsidRPr="006E709F" w:rsidRDefault="00C01C82" w:rsidP="00C01C82">
      <w:pPr>
        <w:pStyle w:val="subsection"/>
      </w:pPr>
      <w:r w:rsidRPr="006E709F">
        <w:tab/>
      </w:r>
      <w:r w:rsidRPr="006E709F">
        <w:tab/>
        <w:t>This approximate amount has been deducted from your investment and includes amounts that have reduced the return on your investment but are not charged directly to you as a fee.</w:t>
      </w:r>
    </w:p>
    <w:p w:rsidR="00C01C82" w:rsidRPr="006E709F" w:rsidRDefault="00C01C82" w:rsidP="00C01C82">
      <w:pPr>
        <w:pStyle w:val="subsection"/>
      </w:pPr>
      <w:r w:rsidRPr="006E709F">
        <w:tab/>
        <w:t>(2)</w:t>
      </w:r>
      <w:r w:rsidRPr="006E709F">
        <w:tab/>
        <w:t>The amount inserted must include:</w:t>
      </w:r>
    </w:p>
    <w:p w:rsidR="00C01C82" w:rsidRPr="006E709F" w:rsidRDefault="00C01C82" w:rsidP="00C01C82">
      <w:pPr>
        <w:pStyle w:val="paragraph"/>
      </w:pPr>
      <w:r w:rsidRPr="006E709F">
        <w:tab/>
        <w:t>(a)</w:t>
      </w:r>
      <w:r w:rsidRPr="006E709F">
        <w:tab/>
        <w:t>for a MySuper product or an investment option offered by a superannuation entity—the indirect costs for the MySuper product or investment option; and</w:t>
      </w:r>
    </w:p>
    <w:p w:rsidR="00C01C82" w:rsidRPr="006E709F" w:rsidRDefault="00C01C82" w:rsidP="00C01C82">
      <w:pPr>
        <w:pStyle w:val="paragraph"/>
      </w:pPr>
      <w:r w:rsidRPr="006E709F">
        <w:tab/>
        <w:t>(b)</w:t>
      </w:r>
      <w:r w:rsidRPr="006E709F">
        <w:tab/>
        <w:t>for an investment option offered by a managed investment scheme</w:t>
      </w:r>
      <w:r w:rsidR="00761295" w:rsidRPr="006E709F">
        <w:t xml:space="preserve"> or a retail CCIV</w:t>
      </w:r>
      <w:r w:rsidRPr="006E709F">
        <w:t>—all management costs not deducted directly from a product holder’s account during the reporting period.</w:t>
      </w:r>
    </w:p>
    <w:p w:rsidR="00C01C82" w:rsidRPr="006E709F" w:rsidRDefault="00C01C82" w:rsidP="00C01C82">
      <w:pPr>
        <w:pStyle w:val="subsection"/>
      </w:pPr>
      <w:r w:rsidRPr="006E709F">
        <w:tab/>
        <w:t>(3)</w:t>
      </w:r>
      <w:r w:rsidRPr="006E709F">
        <w:tab/>
        <w:t>The amount must be shown as a single total amount in dollars.</w:t>
      </w:r>
    </w:p>
    <w:p w:rsidR="00C01C82" w:rsidRPr="006E709F" w:rsidRDefault="00C01C82" w:rsidP="00C01C82">
      <w:pPr>
        <w:pStyle w:val="subsection"/>
      </w:pPr>
      <w:r w:rsidRPr="006E709F">
        <w:tab/>
        <w:t>(4)</w:t>
      </w:r>
      <w:r w:rsidRPr="006E709F">
        <w:tab/>
        <w:t xml:space="preserve">The amount for a </w:t>
      </w:r>
      <w:r w:rsidR="00333B75" w:rsidRPr="006E709F">
        <w:t>collective investment product</w:t>
      </w:r>
      <w:r w:rsidRPr="006E709F">
        <w:t xml:space="preserve"> must be calculated by multiplying the indirect cost ratio for the relevant investment option by the product holder’s average account balance for the option over the reporting period.</w:t>
      </w:r>
    </w:p>
    <w:p w:rsidR="002A22A4" w:rsidRPr="006E709F" w:rsidRDefault="00A801D0" w:rsidP="00A801D0">
      <w:pPr>
        <w:pStyle w:val="ActHead3"/>
        <w:pageBreakBefore/>
      </w:pPr>
      <w:bookmarkStart w:id="103" w:name="_Toc170547920"/>
      <w:r w:rsidRPr="000C4237">
        <w:rPr>
          <w:rStyle w:val="CharDivNo"/>
        </w:rPr>
        <w:lastRenderedPageBreak/>
        <w:t>Division</w:t>
      </w:r>
      <w:r w:rsidR="00DA13DE" w:rsidRPr="000C4237">
        <w:rPr>
          <w:rStyle w:val="CharDivNo"/>
        </w:rPr>
        <w:t> </w:t>
      </w:r>
      <w:r w:rsidR="002A22A4" w:rsidRPr="000C4237">
        <w:rPr>
          <w:rStyle w:val="CharDivNo"/>
        </w:rPr>
        <w:t>2</w:t>
      </w:r>
      <w:r w:rsidR="00EA46A9" w:rsidRPr="006E709F">
        <w:t>—</w:t>
      </w:r>
      <w:r w:rsidR="002A22A4" w:rsidRPr="000C4237">
        <w:rPr>
          <w:rStyle w:val="CharDivText"/>
        </w:rPr>
        <w:t>Total fees</w:t>
      </w:r>
      <w:bookmarkEnd w:id="103"/>
    </w:p>
    <w:p w:rsidR="002A22A4" w:rsidRPr="006E709F" w:rsidRDefault="002A22A4" w:rsidP="00D9431E">
      <w:pPr>
        <w:pStyle w:val="ActHead5"/>
      </w:pPr>
      <w:bookmarkStart w:id="104" w:name="_Toc170547921"/>
      <w:r w:rsidRPr="000C4237">
        <w:rPr>
          <w:rStyle w:val="CharSectno"/>
        </w:rPr>
        <w:t>302</w:t>
      </w:r>
      <w:r w:rsidR="00A801D0" w:rsidRPr="006E709F">
        <w:t xml:space="preserve">  </w:t>
      </w:r>
      <w:r w:rsidRPr="006E709F">
        <w:t>Total of fees in the periodic statement</w:t>
      </w:r>
      <w:bookmarkEnd w:id="104"/>
    </w:p>
    <w:p w:rsidR="002A22A4" w:rsidRPr="006E709F" w:rsidRDefault="002A22A4" w:rsidP="00A801D0">
      <w:pPr>
        <w:pStyle w:val="subsection"/>
      </w:pPr>
      <w:r w:rsidRPr="006E709F">
        <w:tab/>
        <w:t>(1)</w:t>
      </w:r>
      <w:r w:rsidRPr="006E709F">
        <w:tab/>
        <w:t>The following text and the appropriate amount, in dollars, must be displayed:</w:t>
      </w:r>
    </w:p>
    <w:p w:rsidR="002A22A4" w:rsidRPr="006E709F" w:rsidRDefault="002A22A4" w:rsidP="00A801D0">
      <w:pPr>
        <w:pStyle w:val="paragraph"/>
      </w:pPr>
      <w:r w:rsidRPr="006E709F">
        <w:tab/>
        <w:t>(a)</w:t>
      </w:r>
      <w:r w:rsidRPr="006E709F">
        <w:tab/>
        <w:t>at the end of the part of the periodic statement that itemises transactions during the period; or</w:t>
      </w:r>
    </w:p>
    <w:p w:rsidR="002A22A4" w:rsidRPr="006E709F" w:rsidRDefault="002A22A4" w:rsidP="00A801D0">
      <w:pPr>
        <w:pStyle w:val="paragraph"/>
      </w:pPr>
      <w:r w:rsidRPr="006E709F">
        <w:tab/>
        <w:t>(b)</w:t>
      </w:r>
      <w:r w:rsidRPr="006E709F">
        <w:tab/>
        <w:t>in a summary part of the periodic statement.</w:t>
      </w:r>
    </w:p>
    <w:p w:rsidR="002A22A4" w:rsidRPr="006E709F" w:rsidRDefault="002A22A4" w:rsidP="007E5000">
      <w:pPr>
        <w:pStyle w:val="notemargin"/>
        <w:ind w:left="1843"/>
      </w:pPr>
      <w:r w:rsidRPr="006E709F">
        <w:rPr>
          <w:b/>
        </w:rPr>
        <w:t>TOTAL FEES YOU PAID</w:t>
      </w:r>
    </w:p>
    <w:p w:rsidR="002A22A4" w:rsidRPr="006E709F" w:rsidRDefault="002A22A4" w:rsidP="00BD0A25">
      <w:pPr>
        <w:pStyle w:val="notetext"/>
        <w:ind w:left="1134" w:firstLine="0"/>
      </w:pPr>
      <w:r w:rsidRPr="006E709F">
        <w:t>This approximate amount includes all the fees and costs which affected your investment during the period.</w:t>
      </w:r>
    </w:p>
    <w:p w:rsidR="002A22A4" w:rsidRPr="006E709F" w:rsidRDefault="002A22A4" w:rsidP="00A801D0">
      <w:pPr>
        <w:pStyle w:val="subsection"/>
      </w:pPr>
      <w:r w:rsidRPr="006E709F">
        <w:tab/>
        <w:t>(2)</w:t>
      </w:r>
      <w:r w:rsidRPr="006E709F">
        <w:tab/>
        <w:t>The total fees you paid are the total of all fees and costs disclosed in the periodic statement.</w:t>
      </w:r>
    </w:p>
    <w:p w:rsidR="002A22A4" w:rsidRPr="006E709F" w:rsidRDefault="00A801D0" w:rsidP="00A801D0">
      <w:pPr>
        <w:pStyle w:val="ActHead3"/>
        <w:pageBreakBefore/>
      </w:pPr>
      <w:bookmarkStart w:id="105" w:name="_Toc170547922"/>
      <w:r w:rsidRPr="000C4237">
        <w:rPr>
          <w:rStyle w:val="CharDivNo"/>
        </w:rPr>
        <w:lastRenderedPageBreak/>
        <w:t>Division</w:t>
      </w:r>
      <w:r w:rsidR="00DA13DE" w:rsidRPr="000C4237">
        <w:rPr>
          <w:rStyle w:val="CharDivNo"/>
        </w:rPr>
        <w:t> </w:t>
      </w:r>
      <w:r w:rsidR="002A22A4" w:rsidRPr="000C4237">
        <w:rPr>
          <w:rStyle w:val="CharDivNo"/>
        </w:rPr>
        <w:t>3</w:t>
      </w:r>
      <w:r w:rsidR="00EA46A9" w:rsidRPr="006E709F">
        <w:t>—</w:t>
      </w:r>
      <w:r w:rsidR="002A22A4" w:rsidRPr="000C4237">
        <w:rPr>
          <w:rStyle w:val="CharDivText"/>
        </w:rPr>
        <w:t>Additional Explanation of Fees and Costs</w:t>
      </w:r>
      <w:bookmarkEnd w:id="105"/>
    </w:p>
    <w:p w:rsidR="00C01C82" w:rsidRPr="006E709F" w:rsidRDefault="00C01C82" w:rsidP="00C01C82">
      <w:pPr>
        <w:pStyle w:val="ActHead5"/>
      </w:pPr>
      <w:bookmarkStart w:id="106" w:name="_Toc170547923"/>
      <w:r w:rsidRPr="000C4237">
        <w:rPr>
          <w:rStyle w:val="CharSectno"/>
        </w:rPr>
        <w:t>303</w:t>
      </w:r>
      <w:r w:rsidRPr="006E709F">
        <w:t xml:space="preserve">  Matters to be included as additional explanation of fees and costs</w:t>
      </w:r>
      <w:bookmarkEnd w:id="106"/>
    </w:p>
    <w:p w:rsidR="00C01C82" w:rsidRPr="006E709F" w:rsidRDefault="00C01C82" w:rsidP="00C01C82">
      <w:pPr>
        <w:pStyle w:val="SubsectionHead"/>
      </w:pPr>
      <w:r w:rsidRPr="006E709F">
        <w:t>Superannuation products</w:t>
      </w:r>
    </w:p>
    <w:p w:rsidR="00C01C82" w:rsidRPr="006E709F" w:rsidRDefault="00C01C82" w:rsidP="00C01C82">
      <w:pPr>
        <w:pStyle w:val="subsection"/>
      </w:pPr>
      <w:r w:rsidRPr="006E709F">
        <w:tab/>
        <w:t>(1)</w:t>
      </w:r>
      <w:r w:rsidRPr="006E709F">
        <w:tab/>
        <w:t>The following information must be included in the periodic statement for a superannuation product under the heading “Additional Explanation of Fees and Costs”, if it has not been included in another part of the periodic statement:</w:t>
      </w:r>
    </w:p>
    <w:p w:rsidR="00C01C82" w:rsidRPr="006E709F" w:rsidRDefault="00C01C82" w:rsidP="00C01C82">
      <w:pPr>
        <w:pStyle w:val="paragraph"/>
      </w:pPr>
      <w:r w:rsidRPr="006E709F">
        <w:tab/>
        <w:t>(a)</w:t>
      </w:r>
      <w:r w:rsidRPr="006E709F">
        <w:tab/>
        <w:t>details of any activity fees, advice fees and insurance fees that were incurred by the member during the period;</w:t>
      </w:r>
    </w:p>
    <w:p w:rsidR="00C01C82" w:rsidRPr="006E709F" w:rsidRDefault="00C01C82" w:rsidP="00C01C82">
      <w:pPr>
        <w:pStyle w:val="paragraph"/>
      </w:pPr>
      <w:r w:rsidRPr="006E709F">
        <w:tab/>
        <w:t>(b)</w:t>
      </w:r>
      <w:r w:rsidRPr="006E709F">
        <w:tab/>
        <w:t>for a superannuation product that is subject to tax—whether the benefit of any tax deduction has been passed on to the investor in the form of a reduced fee or cost</w:t>
      </w:r>
      <w:r w:rsidR="00973CA7" w:rsidRPr="006E709F">
        <w:t>;</w:t>
      </w:r>
    </w:p>
    <w:p w:rsidR="00636892" w:rsidRPr="006E709F" w:rsidRDefault="00636892" w:rsidP="00636892">
      <w:pPr>
        <w:pStyle w:val="paragraph"/>
      </w:pPr>
      <w:r w:rsidRPr="006E709F">
        <w:tab/>
        <w:t>(c)</w:t>
      </w:r>
      <w:r w:rsidRPr="006E709F">
        <w:tab/>
        <w:t>a statement that if the account balance for a MySuper product or a choice product offered by the superannuation entity is less than $6,000 at the end of the entity’s income year:</w:t>
      </w:r>
    </w:p>
    <w:p w:rsidR="00636892" w:rsidRPr="006E709F" w:rsidRDefault="00636892" w:rsidP="00636892">
      <w:pPr>
        <w:pStyle w:val="paragraphsub"/>
      </w:pPr>
      <w:r w:rsidRPr="006E709F">
        <w:tab/>
        <w:t>(i)</w:t>
      </w:r>
      <w:r w:rsidRPr="006E709F">
        <w:tab/>
        <w:t>the total combined amount of administration fees, investment fees and indirect costs charged in relation to the MySuper product or a choice product is capped at 3% of the account balance; and</w:t>
      </w:r>
    </w:p>
    <w:p w:rsidR="00636892" w:rsidRPr="006E709F" w:rsidRDefault="00636892" w:rsidP="00636892">
      <w:pPr>
        <w:pStyle w:val="paragraphsub"/>
      </w:pPr>
      <w:r w:rsidRPr="006E709F">
        <w:tab/>
        <w:t>(ii)</w:t>
      </w:r>
      <w:r w:rsidRPr="006E709F">
        <w:tab/>
        <w:t>any amount charged in excess of that cap must be refunded.</w:t>
      </w:r>
    </w:p>
    <w:p w:rsidR="00333B75" w:rsidRPr="006E709F" w:rsidRDefault="00333B75" w:rsidP="00333B75">
      <w:pPr>
        <w:pStyle w:val="SubsectionHead"/>
      </w:pPr>
      <w:r w:rsidRPr="006E709F">
        <w:t>Collective investment products</w:t>
      </w:r>
    </w:p>
    <w:p w:rsidR="00C01C82" w:rsidRPr="006E709F" w:rsidRDefault="00C01C82" w:rsidP="00C01C82">
      <w:pPr>
        <w:pStyle w:val="subsection"/>
      </w:pPr>
      <w:r w:rsidRPr="006E709F">
        <w:tab/>
        <w:t>(2)</w:t>
      </w:r>
      <w:r w:rsidRPr="006E709F">
        <w:tab/>
        <w:t>The following information must be included in the periodic statement under the heading “Additional Explanation of Fees and Costs”, if it has not been included in another part of the periodic statement:</w:t>
      </w:r>
    </w:p>
    <w:p w:rsidR="00C01C82" w:rsidRPr="006E709F" w:rsidRDefault="00C01C82" w:rsidP="00C01C82">
      <w:pPr>
        <w:pStyle w:val="paragraph"/>
      </w:pPr>
      <w:r w:rsidRPr="006E709F">
        <w:tab/>
        <w:t>(a)</w:t>
      </w:r>
      <w:r w:rsidRPr="006E709F">
        <w:tab/>
        <w:t>details of incidental fees, such as cheque dishonour fees, that were incurred by the product holder during the period;</w:t>
      </w:r>
    </w:p>
    <w:p w:rsidR="00C01C82" w:rsidRPr="006E709F" w:rsidRDefault="00C01C82" w:rsidP="00C01C82">
      <w:pPr>
        <w:pStyle w:val="paragraph"/>
      </w:pPr>
      <w:r w:rsidRPr="006E709F">
        <w:tab/>
        <w:t>(b)</w:t>
      </w:r>
      <w:r w:rsidRPr="006E709F">
        <w:tab/>
        <w:t>details of any service fees that may have been incurred by the product holder;</w:t>
      </w:r>
    </w:p>
    <w:p w:rsidR="00C01C82" w:rsidRPr="006E709F" w:rsidRDefault="00C01C82" w:rsidP="00C01C82">
      <w:pPr>
        <w:pStyle w:val="paragraph"/>
      </w:pPr>
      <w:r w:rsidRPr="006E709F">
        <w:tab/>
        <w:t>(c)</w:t>
      </w:r>
      <w:r w:rsidRPr="006E709F">
        <w:tab/>
        <w:t xml:space="preserve">for a </w:t>
      </w:r>
      <w:r w:rsidR="00333B75" w:rsidRPr="006E709F">
        <w:t>collective investment product</w:t>
      </w:r>
      <w:r w:rsidRPr="006E709F">
        <w:t xml:space="preserve"> that is subject to tax—whether the benefit of any tax deduction has been passed on to the investor in the form of a reduced fee or cost.</w:t>
      </w:r>
    </w:p>
    <w:p w:rsidR="008258B2" w:rsidRPr="006E709F" w:rsidRDefault="008258B2" w:rsidP="00583C00">
      <w:pPr>
        <w:sectPr w:rsidR="008258B2" w:rsidRPr="006E709F" w:rsidSect="0054047A">
          <w:headerReference w:type="even" r:id="rId51"/>
          <w:headerReference w:type="default" r:id="rId52"/>
          <w:footerReference w:type="even" r:id="rId53"/>
          <w:footerReference w:type="default" r:id="rId54"/>
          <w:headerReference w:type="first" r:id="rId55"/>
          <w:footerReference w:type="first" r:id="rId56"/>
          <w:pgSz w:w="11907" w:h="16839" w:code="9"/>
          <w:pgMar w:top="2325" w:right="1797" w:bottom="1440" w:left="1797" w:header="720" w:footer="709" w:gutter="0"/>
          <w:cols w:space="720"/>
          <w:docGrid w:linePitch="299"/>
        </w:sectPr>
      </w:pPr>
    </w:p>
    <w:p w:rsidR="00F011D7" w:rsidRPr="006E709F" w:rsidRDefault="00A801D0" w:rsidP="00A801D0">
      <w:pPr>
        <w:pStyle w:val="ActHead1"/>
        <w:pageBreakBefore/>
      </w:pPr>
      <w:bookmarkStart w:id="107" w:name="_Toc170547924"/>
      <w:r w:rsidRPr="000C4237">
        <w:rPr>
          <w:rStyle w:val="CharChapNo"/>
        </w:rPr>
        <w:lastRenderedPageBreak/>
        <w:t>Schedule</w:t>
      </w:r>
      <w:r w:rsidR="00DA13DE" w:rsidRPr="000C4237">
        <w:rPr>
          <w:rStyle w:val="CharChapNo"/>
        </w:rPr>
        <w:t> </w:t>
      </w:r>
      <w:r w:rsidR="00F011D7" w:rsidRPr="000C4237">
        <w:rPr>
          <w:rStyle w:val="CharChapNo"/>
        </w:rPr>
        <w:t>10A</w:t>
      </w:r>
      <w:r w:rsidRPr="006E709F">
        <w:t>—</w:t>
      </w:r>
      <w:r w:rsidR="00F011D7" w:rsidRPr="000C4237">
        <w:rPr>
          <w:rStyle w:val="CharChapText"/>
        </w:rPr>
        <w:t xml:space="preserve">Modifications of </w:t>
      </w:r>
      <w:r w:rsidRPr="000C4237">
        <w:rPr>
          <w:rStyle w:val="CharChapText"/>
        </w:rPr>
        <w:t>Part</w:t>
      </w:r>
      <w:r w:rsidR="00DA13DE" w:rsidRPr="000C4237">
        <w:rPr>
          <w:rStyle w:val="CharChapText"/>
        </w:rPr>
        <w:t> </w:t>
      </w:r>
      <w:r w:rsidR="00F011D7" w:rsidRPr="000C4237">
        <w:rPr>
          <w:rStyle w:val="CharChapText"/>
        </w:rPr>
        <w:t>7.9 of the Act</w:t>
      </w:r>
      <w:bookmarkEnd w:id="107"/>
    </w:p>
    <w:p w:rsidR="00F011D7" w:rsidRPr="006E709F" w:rsidRDefault="00F011D7" w:rsidP="00A801D0">
      <w:pPr>
        <w:pStyle w:val="notemargin"/>
      </w:pPr>
      <w:r w:rsidRPr="006E709F">
        <w:t>(regulations</w:t>
      </w:r>
      <w:r w:rsidR="00DA13DE" w:rsidRPr="006E709F">
        <w:t> </w:t>
      </w:r>
      <w:r w:rsidRPr="006E709F">
        <w:t xml:space="preserve">7.9.02, 7.9.04, 7.9.05, 7.9.06, 7.9.09C, </w:t>
      </w:r>
      <w:r w:rsidRPr="006E709F">
        <w:rPr>
          <w:szCs w:val="18"/>
        </w:rPr>
        <w:t xml:space="preserve">7.9.11C, 7.9.11N, 7.9.11V, </w:t>
      </w:r>
      <w:r w:rsidRPr="006E709F">
        <w:t>7.9.12, 7.9.24, 7.9.27, 7.9.30, 7.9.43, 7.9.47, 7.9.51, 7.9.56, 7.9.60, 7.9.61, 7.9.63, 7.9.73 and 8.4.02)</w:t>
      </w:r>
    </w:p>
    <w:p w:rsidR="002A22A4" w:rsidRPr="006E709F" w:rsidRDefault="00A801D0" w:rsidP="00A801D0">
      <w:pPr>
        <w:pStyle w:val="ActHead2"/>
      </w:pPr>
      <w:bookmarkStart w:id="108" w:name="_Toc170547925"/>
      <w:r w:rsidRPr="000C4237">
        <w:rPr>
          <w:rStyle w:val="CharPartNo"/>
        </w:rPr>
        <w:t>Part</w:t>
      </w:r>
      <w:r w:rsidR="00DA13DE" w:rsidRPr="000C4237">
        <w:rPr>
          <w:rStyle w:val="CharPartNo"/>
        </w:rPr>
        <w:t> </w:t>
      </w:r>
      <w:r w:rsidR="002A22A4" w:rsidRPr="000C4237">
        <w:rPr>
          <w:rStyle w:val="CharPartNo"/>
        </w:rPr>
        <w:t>1</w:t>
      </w:r>
      <w:r w:rsidRPr="006E709F">
        <w:t>—</w:t>
      </w:r>
      <w:r w:rsidR="002A22A4" w:rsidRPr="000C4237">
        <w:rPr>
          <w:rStyle w:val="CharPartText"/>
        </w:rPr>
        <w:t>Modifications relating to sub</w:t>
      </w:r>
      <w:r w:rsidR="000C4237" w:rsidRPr="000C4237">
        <w:rPr>
          <w:rStyle w:val="CharPartText"/>
        </w:rPr>
        <w:noBreakHyphen/>
      </w:r>
      <w:r w:rsidR="002A22A4" w:rsidRPr="000C4237">
        <w:rPr>
          <w:rStyle w:val="CharPartText"/>
        </w:rPr>
        <w:t>plans</w:t>
      </w:r>
      <w:bookmarkEnd w:id="108"/>
    </w:p>
    <w:p w:rsidR="002406FE" w:rsidRPr="006E709F" w:rsidRDefault="002406FE" w:rsidP="002406FE">
      <w:pPr>
        <w:pStyle w:val="Header"/>
      </w:pPr>
      <w:r w:rsidRPr="000C4237">
        <w:rPr>
          <w:rStyle w:val="CharDivNo"/>
        </w:rPr>
        <w:t xml:space="preserve"> </w:t>
      </w:r>
      <w:r w:rsidRPr="000C4237">
        <w:rPr>
          <w:rStyle w:val="CharDivText"/>
        </w:rPr>
        <w:t xml:space="preserve"> </w:t>
      </w:r>
    </w:p>
    <w:p w:rsidR="002A22A4" w:rsidRPr="006E709F" w:rsidRDefault="007E5000" w:rsidP="00C66015">
      <w:pPr>
        <w:pStyle w:val="ItemHead"/>
      </w:pPr>
      <w:r w:rsidRPr="006E709F">
        <w:t xml:space="preserve">1.1  </w:t>
      </w:r>
      <w:r w:rsidR="00FF4176" w:rsidRPr="006E709F">
        <w:t>Paragraph 1</w:t>
      </w:r>
      <w:r w:rsidRPr="006E709F">
        <w:t>012D</w:t>
      </w:r>
      <w:r w:rsidR="002A22A4" w:rsidRPr="006E709F">
        <w:t>(10</w:t>
      </w:r>
      <w:r w:rsidR="00A801D0" w:rsidRPr="006E709F">
        <w:t>)(</w:t>
      </w:r>
      <w:r w:rsidR="002A22A4" w:rsidRPr="006E709F">
        <w:t>b)</w:t>
      </w:r>
    </w:p>
    <w:p w:rsidR="00A801D0" w:rsidRPr="006E709F" w:rsidRDefault="00A801D0" w:rsidP="00C66015">
      <w:pPr>
        <w:pStyle w:val="Item"/>
        <w:rPr>
          <w:i/>
        </w:rPr>
      </w:pPr>
      <w:r w:rsidRPr="006E709F">
        <w:rPr>
          <w:i/>
        </w:rPr>
        <w:t>substitute</w:t>
      </w:r>
    </w:p>
    <w:p w:rsidR="002A22A4" w:rsidRPr="006E709F" w:rsidRDefault="002A22A4" w:rsidP="00A801D0">
      <w:pPr>
        <w:pStyle w:val="paragraph"/>
      </w:pPr>
      <w:r w:rsidRPr="006E709F">
        <w:tab/>
        <w:t>(b)</w:t>
      </w:r>
      <w:r w:rsidRPr="006E709F">
        <w:tab/>
        <w:t>a superannuation product is the same as another superannuation product only if the other superannuation product is:</w:t>
      </w:r>
    </w:p>
    <w:p w:rsidR="002A22A4" w:rsidRPr="006E709F" w:rsidRDefault="002A22A4" w:rsidP="00A801D0">
      <w:pPr>
        <w:pStyle w:val="paragraphsub"/>
      </w:pPr>
      <w:r w:rsidRPr="006E709F">
        <w:tab/>
        <w:t>(i)</w:t>
      </w:r>
      <w:r w:rsidRPr="006E709F">
        <w:tab/>
        <w:t>an interest in the same sub</w:t>
      </w:r>
      <w:r w:rsidR="000C4237">
        <w:noBreakHyphen/>
      </w:r>
      <w:r w:rsidRPr="006E709F">
        <w:t>plan; or</w:t>
      </w:r>
    </w:p>
    <w:p w:rsidR="002A22A4" w:rsidRPr="006E709F" w:rsidRDefault="002A22A4" w:rsidP="00A801D0">
      <w:pPr>
        <w:pStyle w:val="paragraphsub"/>
      </w:pPr>
      <w:r w:rsidRPr="006E709F">
        <w:tab/>
        <w:t>(ii)</w:t>
      </w:r>
      <w:r w:rsidRPr="006E709F">
        <w:tab/>
        <w:t>if there is no sub</w:t>
      </w:r>
      <w:r w:rsidR="000C4237">
        <w:noBreakHyphen/>
      </w:r>
      <w:r w:rsidRPr="006E709F">
        <w:t>plan</w:t>
      </w:r>
      <w:r w:rsidR="00A801D0" w:rsidRPr="006E709F">
        <w:t>—</w:t>
      </w:r>
      <w:r w:rsidRPr="006E709F">
        <w:t>an interest in the same fund.</w:t>
      </w:r>
    </w:p>
    <w:p w:rsidR="002A22A4" w:rsidRPr="006E709F" w:rsidRDefault="00A801D0" w:rsidP="00A801D0">
      <w:pPr>
        <w:pStyle w:val="ActHead2"/>
        <w:pageBreakBefore/>
      </w:pPr>
      <w:bookmarkStart w:id="109" w:name="_Toc170547926"/>
      <w:r w:rsidRPr="000C4237">
        <w:rPr>
          <w:rStyle w:val="CharPartNo"/>
        </w:rPr>
        <w:lastRenderedPageBreak/>
        <w:t>Part</w:t>
      </w:r>
      <w:r w:rsidR="00DA13DE" w:rsidRPr="000C4237">
        <w:rPr>
          <w:rStyle w:val="CharPartNo"/>
        </w:rPr>
        <w:t> </w:t>
      </w:r>
      <w:r w:rsidR="002A22A4" w:rsidRPr="000C4237">
        <w:rPr>
          <w:rStyle w:val="CharPartNo"/>
        </w:rPr>
        <w:t>2</w:t>
      </w:r>
      <w:r w:rsidRPr="006E709F">
        <w:t>—</w:t>
      </w:r>
      <w:r w:rsidR="002A22A4" w:rsidRPr="000C4237">
        <w:rPr>
          <w:rStyle w:val="CharPartText"/>
        </w:rPr>
        <w:t xml:space="preserve">Modifications relating to Product Disclosure Statements for </w:t>
      </w:r>
      <w:r w:rsidR="00B16490" w:rsidRPr="00B16490">
        <w:rPr>
          <w:rStyle w:val="CharPartText"/>
        </w:rPr>
        <w:t>RSAs</w:t>
      </w:r>
      <w:bookmarkEnd w:id="109"/>
    </w:p>
    <w:p w:rsidR="002406FE" w:rsidRPr="006E709F" w:rsidRDefault="002406FE" w:rsidP="002406FE">
      <w:pPr>
        <w:pStyle w:val="Header"/>
      </w:pPr>
      <w:r w:rsidRPr="000C4237">
        <w:rPr>
          <w:rStyle w:val="CharDivNo"/>
        </w:rPr>
        <w:t xml:space="preserve"> </w:t>
      </w:r>
      <w:r w:rsidRPr="000C4237">
        <w:rPr>
          <w:rStyle w:val="CharDivText"/>
        </w:rPr>
        <w:t xml:space="preserve"> </w:t>
      </w:r>
    </w:p>
    <w:p w:rsidR="002A22A4" w:rsidRPr="006E709F" w:rsidRDefault="007E5000" w:rsidP="00C66015">
      <w:pPr>
        <w:pStyle w:val="ItemHead"/>
      </w:pPr>
      <w:r w:rsidRPr="006E709F">
        <w:t xml:space="preserve">2.1  </w:t>
      </w:r>
      <w:r w:rsidR="002A22A4" w:rsidRPr="006E709F">
        <w:t>After subsection</w:t>
      </w:r>
      <w:r w:rsidR="00DA13DE" w:rsidRPr="006E709F">
        <w:t> </w:t>
      </w:r>
      <w:r w:rsidR="002A22A4" w:rsidRPr="006E709F">
        <w:t>1012D(9B)</w:t>
      </w:r>
    </w:p>
    <w:p w:rsidR="00A801D0" w:rsidRPr="006E709F" w:rsidRDefault="00A801D0" w:rsidP="00C66015">
      <w:pPr>
        <w:pStyle w:val="Item"/>
        <w:rPr>
          <w:i/>
        </w:rPr>
      </w:pPr>
      <w:r w:rsidRPr="006E709F">
        <w:rPr>
          <w:i/>
        </w:rPr>
        <w:t>insert</w:t>
      </w:r>
    </w:p>
    <w:p w:rsidR="002A22A4" w:rsidRPr="006E709F" w:rsidRDefault="002A22A4" w:rsidP="00A801D0">
      <w:pPr>
        <w:pStyle w:val="SubsectionHead"/>
      </w:pPr>
      <w:r w:rsidRPr="006E709F">
        <w:t>Recommendation, issue or sale situation</w:t>
      </w:r>
      <w:r w:rsidR="00A801D0" w:rsidRPr="006E709F">
        <w:t>—</w:t>
      </w:r>
      <w:r w:rsidRPr="006E709F">
        <w:t>takeover or merger</w:t>
      </w:r>
    </w:p>
    <w:p w:rsidR="002A22A4" w:rsidRPr="006E709F" w:rsidRDefault="002A22A4" w:rsidP="00A801D0">
      <w:pPr>
        <w:pStyle w:val="subsection"/>
      </w:pPr>
      <w:r w:rsidRPr="006E709F">
        <w:tab/>
        <w:t>(9C)</w:t>
      </w:r>
      <w:r w:rsidRPr="006E709F">
        <w:tab/>
        <w:t>In a recommendation situation, issue situation or sale situation, the issuer does not have to give a Product Disclosure Statement if a person:</w:t>
      </w:r>
    </w:p>
    <w:p w:rsidR="0048795D" w:rsidRPr="006E709F" w:rsidRDefault="002A22A4" w:rsidP="00A801D0">
      <w:pPr>
        <w:pStyle w:val="paragraph"/>
      </w:pPr>
      <w:r w:rsidRPr="006E709F">
        <w:tab/>
        <w:t>(a)</w:t>
      </w:r>
      <w:r w:rsidRPr="006E709F">
        <w:tab/>
        <w:t>becomes the holder of an RSA with an RSA institution; and</w:t>
      </w:r>
    </w:p>
    <w:p w:rsidR="0048795D" w:rsidRPr="006E709F" w:rsidRDefault="002A22A4" w:rsidP="00A801D0">
      <w:pPr>
        <w:pStyle w:val="paragraph"/>
      </w:pPr>
      <w:r w:rsidRPr="006E709F">
        <w:tab/>
        <w:t>(b)</w:t>
      </w:r>
      <w:r w:rsidRPr="006E709F">
        <w:tab/>
        <w:t>does so as a direct result of:</w:t>
      </w:r>
    </w:p>
    <w:p w:rsidR="0048795D" w:rsidRPr="006E709F" w:rsidRDefault="002A22A4" w:rsidP="00A801D0">
      <w:pPr>
        <w:pStyle w:val="paragraphsub"/>
      </w:pPr>
      <w:r w:rsidRPr="006E709F">
        <w:tab/>
        <w:t>(i)</w:t>
      </w:r>
      <w:r w:rsidRPr="006E709F">
        <w:tab/>
        <w:t>the takeover of the RSA provider with which the person previously held an RSA by:</w:t>
      </w:r>
    </w:p>
    <w:p w:rsidR="0048795D" w:rsidRPr="006E709F" w:rsidRDefault="002A22A4" w:rsidP="00A801D0">
      <w:pPr>
        <w:pStyle w:val="paragraphsub-sub"/>
      </w:pPr>
      <w:r w:rsidRPr="006E709F">
        <w:tab/>
        <w:t>(A)</w:t>
      </w:r>
      <w:r w:rsidRPr="006E709F">
        <w:tab/>
        <w:t>the RSA institution; or</w:t>
      </w:r>
    </w:p>
    <w:p w:rsidR="0048795D" w:rsidRPr="006E709F" w:rsidRDefault="002A22A4" w:rsidP="00A801D0">
      <w:pPr>
        <w:pStyle w:val="paragraphsub-sub"/>
      </w:pPr>
      <w:r w:rsidRPr="006E709F">
        <w:tab/>
        <w:t>(B)</w:t>
      </w:r>
      <w:r w:rsidRPr="006E709F">
        <w:tab/>
        <w:t>a corporation that is a related corporation of the RSA institution; or</w:t>
      </w:r>
    </w:p>
    <w:p w:rsidR="0048795D" w:rsidRPr="006E709F" w:rsidRDefault="002A22A4" w:rsidP="00A801D0">
      <w:pPr>
        <w:pStyle w:val="paragraphsub"/>
      </w:pPr>
      <w:r w:rsidRPr="006E709F">
        <w:tab/>
        <w:t>(ii)</w:t>
      </w:r>
      <w:r w:rsidRPr="006E709F">
        <w:tab/>
        <w:t>a merger involving the RSA provider with which the person previously held an RSA and which results in the creation of the RSA institution; or</w:t>
      </w:r>
    </w:p>
    <w:p w:rsidR="0048795D" w:rsidRPr="006E709F" w:rsidRDefault="002A22A4" w:rsidP="00A801D0">
      <w:pPr>
        <w:pStyle w:val="paragraphsub"/>
      </w:pPr>
      <w:r w:rsidRPr="006E709F">
        <w:tab/>
        <w:t>(iii)</w:t>
      </w:r>
      <w:r w:rsidRPr="006E709F">
        <w:tab/>
        <w:t>the transfer of any, or all of, the assets and liabilities of the RSA provider with which the person previously held an RSA to the RSA institution:</w:t>
      </w:r>
    </w:p>
    <w:p w:rsidR="0048795D" w:rsidRPr="006E709F" w:rsidRDefault="002A22A4" w:rsidP="00A801D0">
      <w:pPr>
        <w:pStyle w:val="paragraphsub-sub"/>
      </w:pPr>
      <w:r w:rsidRPr="006E709F">
        <w:tab/>
        <w:t>(A)</w:t>
      </w:r>
      <w:r w:rsidRPr="006E709F">
        <w:tab/>
        <w:t xml:space="preserve">under a provision of the </w:t>
      </w:r>
      <w:r w:rsidRPr="006E709F">
        <w:rPr>
          <w:i/>
        </w:rPr>
        <w:t>Banking Act 1959</w:t>
      </w:r>
      <w:r w:rsidRPr="006E709F">
        <w:t xml:space="preserve">, the </w:t>
      </w:r>
      <w:r w:rsidRPr="006E709F">
        <w:rPr>
          <w:i/>
        </w:rPr>
        <w:t>Life Insurance Act 1995</w:t>
      </w:r>
      <w:r w:rsidRPr="006E709F">
        <w:t xml:space="preserve"> or of any other law of the Commonwealth, a State or a Territory; or</w:t>
      </w:r>
    </w:p>
    <w:p w:rsidR="0048795D" w:rsidRPr="006E709F" w:rsidRDefault="002A22A4" w:rsidP="00A801D0">
      <w:pPr>
        <w:pStyle w:val="paragraphsub-sub"/>
      </w:pPr>
      <w:r w:rsidRPr="006E709F">
        <w:tab/>
        <w:t>(B)</w:t>
      </w:r>
      <w:r w:rsidRPr="006E709F">
        <w:tab/>
        <w:t>under a voluntary transfer of engagements; or</w:t>
      </w:r>
    </w:p>
    <w:p w:rsidR="002A22A4" w:rsidRPr="006E709F" w:rsidRDefault="002A22A4" w:rsidP="00A801D0">
      <w:pPr>
        <w:pStyle w:val="paragraphsub-sub"/>
      </w:pPr>
      <w:r w:rsidRPr="006E709F">
        <w:tab/>
        <w:t>(C)</w:t>
      </w:r>
      <w:r w:rsidRPr="006E709F">
        <w:tab/>
        <w:t>on the request of the Australian Prudential Regulation Authority.</w:t>
      </w:r>
    </w:p>
    <w:p w:rsidR="002A22A4" w:rsidRPr="006E709F" w:rsidRDefault="00A801D0" w:rsidP="00221306">
      <w:pPr>
        <w:pStyle w:val="ActHead2"/>
        <w:pageBreakBefore/>
      </w:pPr>
      <w:bookmarkStart w:id="110" w:name="_Toc170547927"/>
      <w:r w:rsidRPr="000C4237">
        <w:rPr>
          <w:rStyle w:val="CharPartNo"/>
        </w:rPr>
        <w:lastRenderedPageBreak/>
        <w:t>Part</w:t>
      </w:r>
      <w:r w:rsidR="00DA13DE" w:rsidRPr="000C4237">
        <w:rPr>
          <w:rStyle w:val="CharPartNo"/>
        </w:rPr>
        <w:t> </w:t>
      </w:r>
      <w:r w:rsidR="002A22A4" w:rsidRPr="000C4237">
        <w:rPr>
          <w:rStyle w:val="CharPartNo"/>
        </w:rPr>
        <w:t>3</w:t>
      </w:r>
      <w:r w:rsidRPr="006E709F">
        <w:t>—</w:t>
      </w:r>
      <w:r w:rsidR="002A22A4" w:rsidRPr="000C4237">
        <w:rPr>
          <w:rStyle w:val="CharPartText"/>
        </w:rPr>
        <w:t>Modifications relating to insurance options under contract associated with superannuation interest</w:t>
      </w:r>
      <w:bookmarkEnd w:id="110"/>
    </w:p>
    <w:p w:rsidR="002406FE" w:rsidRPr="006E709F" w:rsidRDefault="002406FE" w:rsidP="002406FE">
      <w:pPr>
        <w:pStyle w:val="Header"/>
      </w:pPr>
      <w:r w:rsidRPr="000C4237">
        <w:rPr>
          <w:rStyle w:val="CharDivNo"/>
        </w:rPr>
        <w:t xml:space="preserve"> </w:t>
      </w:r>
      <w:r w:rsidRPr="000C4237">
        <w:rPr>
          <w:rStyle w:val="CharDivText"/>
        </w:rPr>
        <w:t xml:space="preserve"> </w:t>
      </w:r>
    </w:p>
    <w:p w:rsidR="002A22A4" w:rsidRPr="006E709F" w:rsidRDefault="007E5000" w:rsidP="00C66015">
      <w:pPr>
        <w:pStyle w:val="ItemHead"/>
      </w:pPr>
      <w:r w:rsidRPr="006E709F">
        <w:t xml:space="preserve">3.1  </w:t>
      </w:r>
      <w:r w:rsidR="002A22A4" w:rsidRPr="006E709F">
        <w:t>After subsection</w:t>
      </w:r>
      <w:r w:rsidR="00DA13DE" w:rsidRPr="006E709F">
        <w:t> </w:t>
      </w:r>
      <w:r w:rsidR="002A22A4" w:rsidRPr="006E709F">
        <w:t>1012D(9B)</w:t>
      </w:r>
    </w:p>
    <w:p w:rsidR="00A801D0" w:rsidRPr="006E709F" w:rsidRDefault="00A801D0" w:rsidP="00C66015">
      <w:pPr>
        <w:pStyle w:val="Item"/>
        <w:rPr>
          <w:i/>
        </w:rPr>
      </w:pPr>
      <w:r w:rsidRPr="006E709F">
        <w:rPr>
          <w:i/>
        </w:rPr>
        <w:t>insert</w:t>
      </w:r>
    </w:p>
    <w:p w:rsidR="002A22A4" w:rsidRPr="006E709F" w:rsidRDefault="002A22A4" w:rsidP="00A801D0">
      <w:pPr>
        <w:pStyle w:val="SubsectionHead"/>
      </w:pPr>
      <w:r w:rsidRPr="006E709F">
        <w:t>Insurance options</w:t>
      </w:r>
    </w:p>
    <w:p w:rsidR="002A22A4" w:rsidRPr="006E709F" w:rsidRDefault="002A22A4" w:rsidP="00A801D0">
      <w:pPr>
        <w:pStyle w:val="subsection"/>
      </w:pPr>
      <w:r w:rsidRPr="006E709F">
        <w:tab/>
        <w:t>(9C)</w:t>
      </w:r>
      <w:r w:rsidRPr="006E709F">
        <w:tab/>
        <w:t>A product issuer does not have to give a Product Disclosure Statement to a person if:</w:t>
      </w:r>
    </w:p>
    <w:p w:rsidR="002A22A4" w:rsidRPr="006E709F" w:rsidRDefault="002A22A4" w:rsidP="00A801D0">
      <w:pPr>
        <w:pStyle w:val="paragraph"/>
      </w:pPr>
      <w:r w:rsidRPr="006E709F">
        <w:rPr>
          <w:color w:val="000000"/>
        </w:rPr>
        <w:tab/>
        <w:t>(a)</w:t>
      </w:r>
      <w:r w:rsidRPr="006E709F">
        <w:rPr>
          <w:color w:val="000000"/>
        </w:rPr>
        <w:tab/>
        <w:t>a product holder seeks to change the coverage of insurance options under a contract associated with a superannuation interest; and</w:t>
      </w:r>
    </w:p>
    <w:p w:rsidR="002A22A4" w:rsidRPr="006E709F" w:rsidRDefault="002A22A4" w:rsidP="00A801D0">
      <w:pPr>
        <w:pStyle w:val="paragraph"/>
      </w:pPr>
      <w:r w:rsidRPr="006E709F">
        <w:tab/>
        <w:t>(b)</w:t>
      </w:r>
      <w:r w:rsidRPr="006E709F">
        <w:tab/>
        <w:t xml:space="preserve">information in relation to the change of insurance options has not already been given in a periodic statement or in accordance with other periodic reporting requirements under </w:t>
      </w:r>
      <w:r w:rsidR="00A801D0" w:rsidRPr="006E709F">
        <w:t>Division</w:t>
      </w:r>
      <w:r w:rsidR="00DA13DE" w:rsidRPr="006E709F">
        <w:t> </w:t>
      </w:r>
      <w:r w:rsidRPr="006E709F">
        <w:t>3.</w:t>
      </w:r>
    </w:p>
    <w:p w:rsidR="002A22A4" w:rsidRPr="006E709F" w:rsidRDefault="002A22A4" w:rsidP="00A801D0">
      <w:pPr>
        <w:pStyle w:val="subsection"/>
      </w:pPr>
      <w:r w:rsidRPr="006E709F">
        <w:tab/>
        <w:t>(9D)</w:t>
      </w:r>
      <w:r w:rsidRPr="006E709F">
        <w:tab/>
        <w:t xml:space="preserve">If </w:t>
      </w:r>
      <w:r w:rsidR="00DA13DE" w:rsidRPr="006E709F">
        <w:t>subsection (</w:t>
      </w:r>
      <w:r w:rsidRPr="006E709F">
        <w:t>9C) applies:</w:t>
      </w:r>
    </w:p>
    <w:p w:rsidR="002A22A4" w:rsidRPr="006E709F" w:rsidRDefault="002A22A4" w:rsidP="00A801D0">
      <w:pPr>
        <w:pStyle w:val="paragraph"/>
      </w:pPr>
      <w:r w:rsidRPr="006E709F">
        <w:rPr>
          <w:color w:val="000000"/>
        </w:rPr>
        <w:tab/>
        <w:t>(a)</w:t>
      </w:r>
      <w:r w:rsidRPr="006E709F">
        <w:rPr>
          <w:color w:val="000000"/>
        </w:rPr>
        <w:tab/>
        <w:t>the product issuer must ensure that the product holder has sufficient information to enable the product holder to make an informed decision; and</w:t>
      </w:r>
    </w:p>
    <w:p w:rsidR="002A22A4" w:rsidRPr="006E709F" w:rsidRDefault="002A22A4" w:rsidP="00A801D0">
      <w:pPr>
        <w:pStyle w:val="paragraph"/>
      </w:pPr>
      <w:r w:rsidRPr="006E709F">
        <w:tab/>
        <w:t>(b)</w:t>
      </w:r>
      <w:r w:rsidRPr="006E709F">
        <w:tab/>
        <w:t xml:space="preserve">that subsection does not prevent the product issuer from complying with </w:t>
      </w:r>
      <w:r w:rsidR="00DA13DE" w:rsidRPr="006E709F">
        <w:t>paragraph (</w:t>
      </w:r>
      <w:r w:rsidRPr="006E709F">
        <w:t>a) by giving the product holder a Product Disclosure Statement.</w:t>
      </w:r>
    </w:p>
    <w:p w:rsidR="00A37D65" w:rsidRPr="006E709F" w:rsidRDefault="00A801D0" w:rsidP="00AE08F9">
      <w:pPr>
        <w:pStyle w:val="ActHead2"/>
        <w:pageBreakBefore/>
      </w:pPr>
      <w:bookmarkStart w:id="111" w:name="_Toc170547928"/>
      <w:r w:rsidRPr="000C4237">
        <w:rPr>
          <w:rStyle w:val="CharPartNo"/>
        </w:rPr>
        <w:lastRenderedPageBreak/>
        <w:t>Part</w:t>
      </w:r>
      <w:r w:rsidR="00DA13DE" w:rsidRPr="000C4237">
        <w:rPr>
          <w:rStyle w:val="CharPartNo"/>
        </w:rPr>
        <w:t> </w:t>
      </w:r>
      <w:r w:rsidR="00A37D65" w:rsidRPr="000C4237">
        <w:rPr>
          <w:rStyle w:val="CharPartNo"/>
        </w:rPr>
        <w:t>5A</w:t>
      </w:r>
      <w:r w:rsidRPr="006E709F">
        <w:t>—</w:t>
      </w:r>
      <w:r w:rsidR="00A37D65" w:rsidRPr="000C4237">
        <w:rPr>
          <w:rStyle w:val="CharPartText"/>
        </w:rPr>
        <w:t xml:space="preserve">Modifications for </w:t>
      </w:r>
      <w:r w:rsidR="00574642" w:rsidRPr="00574642">
        <w:rPr>
          <w:rStyle w:val="CharPartText"/>
        </w:rPr>
        <w:t>standard margin lending facilities</w:t>
      </w:r>
      <w:bookmarkEnd w:id="111"/>
    </w:p>
    <w:p w:rsidR="002406FE" w:rsidRPr="006E709F" w:rsidRDefault="002406FE" w:rsidP="002406FE">
      <w:pPr>
        <w:pStyle w:val="Header"/>
      </w:pPr>
      <w:r w:rsidRPr="000C4237">
        <w:rPr>
          <w:rStyle w:val="CharDivNo"/>
        </w:rPr>
        <w:t xml:space="preserve"> </w:t>
      </w:r>
      <w:r w:rsidRPr="000C4237">
        <w:rPr>
          <w:rStyle w:val="CharDivText"/>
        </w:rPr>
        <w:t xml:space="preserve"> </w:t>
      </w:r>
    </w:p>
    <w:p w:rsidR="00A37D65" w:rsidRPr="006E709F" w:rsidRDefault="00A37D65" w:rsidP="00C66015">
      <w:pPr>
        <w:pStyle w:val="ItemHead"/>
      </w:pPr>
      <w:r w:rsidRPr="006E709F">
        <w:t>5A.2</w:t>
      </w:r>
      <w:r w:rsidR="007E5000" w:rsidRPr="006E709F">
        <w:t xml:space="preserve">  </w:t>
      </w:r>
      <w:r w:rsidRPr="006E709F">
        <w:t>Subsection</w:t>
      </w:r>
      <w:r w:rsidR="00DA13DE" w:rsidRPr="006E709F">
        <w:t> </w:t>
      </w:r>
      <w:r w:rsidRPr="006E709F">
        <w:t>1013C(1)</w:t>
      </w:r>
    </w:p>
    <w:p w:rsidR="00A801D0" w:rsidRPr="006E709F" w:rsidRDefault="00A801D0" w:rsidP="00C66015">
      <w:pPr>
        <w:pStyle w:val="Item"/>
        <w:rPr>
          <w:i/>
        </w:rPr>
      </w:pPr>
      <w:r w:rsidRPr="006E709F">
        <w:rPr>
          <w:i/>
        </w:rPr>
        <w:t>substitute</w:t>
      </w:r>
    </w:p>
    <w:p w:rsidR="00A37D65" w:rsidRPr="006E709F" w:rsidRDefault="00A37D65" w:rsidP="00EA46A9">
      <w:pPr>
        <w:pStyle w:val="subsection"/>
      </w:pPr>
      <w:r w:rsidRPr="006E709F">
        <w:tab/>
        <w:t>(1)</w:t>
      </w:r>
      <w:r w:rsidRPr="006E709F">
        <w:tab/>
        <w:t xml:space="preserve">A Product Disclosure Statement for a </w:t>
      </w:r>
      <w:r w:rsidR="00070583" w:rsidRPr="00BE1284">
        <w:t>standard margin lending facility</w:t>
      </w:r>
      <w:r w:rsidRPr="006E709F">
        <w:t xml:space="preserve"> to which </w:t>
      </w:r>
      <w:r w:rsidR="00A801D0" w:rsidRPr="006E709F">
        <w:t>Subdivision</w:t>
      </w:r>
      <w:r w:rsidR="00DA13DE" w:rsidRPr="006E709F">
        <w:t> </w:t>
      </w:r>
      <w:r w:rsidRPr="006E709F">
        <w:t xml:space="preserve">4.2A of </w:t>
      </w:r>
      <w:r w:rsidR="00A801D0" w:rsidRPr="006E709F">
        <w:t>Division</w:t>
      </w:r>
      <w:r w:rsidR="00DA13DE" w:rsidRPr="006E709F">
        <w:t> </w:t>
      </w:r>
      <w:r w:rsidRPr="006E709F">
        <w:t xml:space="preserve">4 of </w:t>
      </w:r>
      <w:r w:rsidR="00A801D0" w:rsidRPr="006E709F">
        <w:t>Part</w:t>
      </w:r>
      <w:r w:rsidR="00DA13DE" w:rsidRPr="006E709F">
        <w:t> </w:t>
      </w:r>
      <w:r w:rsidRPr="006E709F">
        <w:t xml:space="preserve">7.9 of the </w:t>
      </w:r>
      <w:r w:rsidRPr="006E709F">
        <w:rPr>
          <w:i/>
        </w:rPr>
        <w:t xml:space="preserve">Corporations </w:t>
      </w:r>
      <w:r w:rsidR="000C4237">
        <w:rPr>
          <w:i/>
        </w:rPr>
        <w:t>Regulations 2</w:t>
      </w:r>
      <w:r w:rsidRPr="006E709F">
        <w:rPr>
          <w:i/>
        </w:rPr>
        <w:t>001</w:t>
      </w:r>
      <w:r w:rsidRPr="006E709F">
        <w:t xml:space="preserve"> applies must:</w:t>
      </w:r>
    </w:p>
    <w:p w:rsidR="00A37D65" w:rsidRPr="006E709F" w:rsidRDefault="00A37D65" w:rsidP="00A801D0">
      <w:pPr>
        <w:pStyle w:val="paragraph"/>
      </w:pPr>
      <w:r w:rsidRPr="006E709F">
        <w:tab/>
        <w:t>(a)</w:t>
      </w:r>
      <w:r w:rsidRPr="006E709F">
        <w:tab/>
        <w:t>include the statements and information required by regulations made for this paragraph; and</w:t>
      </w:r>
    </w:p>
    <w:p w:rsidR="00A37D65" w:rsidRPr="006E709F" w:rsidRDefault="00A37D65" w:rsidP="00A801D0">
      <w:pPr>
        <w:pStyle w:val="paragraph"/>
      </w:pPr>
      <w:r w:rsidRPr="006E709F">
        <w:tab/>
        <w:t>(b)</w:t>
      </w:r>
      <w:r w:rsidRPr="006E709F">
        <w:tab/>
        <w:t>be in the form required by regulations made for this paragraph.</w:t>
      </w:r>
    </w:p>
    <w:p w:rsidR="00A37D65" w:rsidRPr="006E709F" w:rsidRDefault="00A37D65" w:rsidP="00A801D0">
      <w:pPr>
        <w:pStyle w:val="subsection"/>
      </w:pPr>
      <w:r w:rsidRPr="006E709F">
        <w:tab/>
        <w:t>(1A)</w:t>
      </w:r>
      <w:r w:rsidRPr="006E709F">
        <w:tab/>
        <w:t>If a law other than this Act or regulations under this Act requires the responsible person for the Product Disclosure Statement:</w:t>
      </w:r>
    </w:p>
    <w:p w:rsidR="00A37D65" w:rsidRPr="006E709F" w:rsidRDefault="00A37D65" w:rsidP="00A801D0">
      <w:pPr>
        <w:pStyle w:val="paragraph"/>
      </w:pPr>
      <w:r w:rsidRPr="006E709F">
        <w:tab/>
        <w:t>(a)</w:t>
      </w:r>
      <w:r w:rsidRPr="006E709F">
        <w:tab/>
        <w:t>to give, disclose or provide a matter; or</w:t>
      </w:r>
    </w:p>
    <w:p w:rsidR="00A37D65" w:rsidRPr="006E709F" w:rsidRDefault="00A37D65" w:rsidP="00A801D0">
      <w:pPr>
        <w:pStyle w:val="paragraph"/>
      </w:pPr>
      <w:r w:rsidRPr="006E709F">
        <w:tab/>
        <w:t>(b)</w:t>
      </w:r>
      <w:r w:rsidRPr="006E709F">
        <w:tab/>
        <w:t>to include a matter in the Statement;</w:t>
      </w:r>
    </w:p>
    <w:p w:rsidR="00A37D65" w:rsidRPr="006E709F" w:rsidRDefault="00A37D65" w:rsidP="00A801D0">
      <w:pPr>
        <w:pStyle w:val="subsection2"/>
      </w:pPr>
      <w:r w:rsidRPr="006E709F">
        <w:t>the Statement may make provision for the matter by applying, adopting or incorporating the matter as in force at a particular time or as in force from time to time.</w:t>
      </w:r>
    </w:p>
    <w:p w:rsidR="00A37D65" w:rsidRPr="006E709F" w:rsidRDefault="00A37D65" w:rsidP="00A801D0">
      <w:pPr>
        <w:pStyle w:val="subsection"/>
      </w:pPr>
      <w:r w:rsidRPr="006E709F">
        <w:tab/>
        <w:t>(1B)</w:t>
      </w:r>
      <w:r w:rsidRPr="006E709F">
        <w:tab/>
        <w:t xml:space="preserve">In addition to </w:t>
      </w:r>
      <w:r w:rsidR="00DA13DE" w:rsidRPr="006E709F">
        <w:t>subsection (</w:t>
      </w:r>
      <w:r w:rsidRPr="006E709F">
        <w:t>1A), a Product Disclosure Statement may make provision for a matter contained in writing by applying, adopting or incorporating the matter as in force at a particular time or as in force from time to time.</w:t>
      </w:r>
    </w:p>
    <w:p w:rsidR="00A37D65" w:rsidRPr="006E709F" w:rsidRDefault="00A37D65" w:rsidP="00A801D0">
      <w:pPr>
        <w:pStyle w:val="subsection"/>
      </w:pPr>
      <w:r w:rsidRPr="006E709F">
        <w:tab/>
        <w:t>(1C)</w:t>
      </w:r>
      <w:r w:rsidRPr="006E709F">
        <w:tab/>
        <w:t>If a Product Disclosure Statement applies, adopts or incorporates a matter contained in writing:</w:t>
      </w:r>
    </w:p>
    <w:p w:rsidR="00A37D65" w:rsidRPr="006E709F" w:rsidRDefault="00A37D65" w:rsidP="00A801D0">
      <w:pPr>
        <w:pStyle w:val="paragraph"/>
      </w:pPr>
      <w:r w:rsidRPr="006E709F">
        <w:tab/>
        <w:t>(a)</w:t>
      </w:r>
      <w:r w:rsidRPr="006E709F">
        <w:tab/>
        <w:t>the applied, adopted or incorporated matter forms part of the Statement; and</w:t>
      </w:r>
    </w:p>
    <w:p w:rsidR="00A37D65" w:rsidRPr="006E709F" w:rsidRDefault="00A37D65" w:rsidP="00A801D0">
      <w:pPr>
        <w:pStyle w:val="paragraph"/>
      </w:pPr>
      <w:r w:rsidRPr="006E709F">
        <w:tab/>
        <w:t>(b)</w:t>
      </w:r>
      <w:r w:rsidRPr="006E709F">
        <w:tab/>
        <w:t>the responsible person for the Statement is not required to give the document which provides for the matter to a person (as part of giving the Statement or later) if that person has not asked for the document; and</w:t>
      </w:r>
    </w:p>
    <w:p w:rsidR="00A37D65" w:rsidRPr="006E709F" w:rsidRDefault="00A37D65" w:rsidP="00A801D0">
      <w:pPr>
        <w:pStyle w:val="paragraph"/>
      </w:pPr>
      <w:r w:rsidRPr="006E709F">
        <w:tab/>
        <w:t>(c)</w:t>
      </w:r>
      <w:r w:rsidRPr="006E709F">
        <w:tab/>
        <w:t>the responsible person for the Statement must give the document which provides for the matter to a person if that person asks for the document.</w:t>
      </w:r>
    </w:p>
    <w:p w:rsidR="00A37D65" w:rsidRPr="006E709F" w:rsidRDefault="00A37D65" w:rsidP="00A801D0">
      <w:pPr>
        <w:pStyle w:val="subsection"/>
      </w:pPr>
      <w:r w:rsidRPr="006E709F">
        <w:tab/>
        <w:t>(1D)</w:t>
      </w:r>
      <w:r w:rsidRPr="006E709F">
        <w:tab/>
        <w:t>The regulations may prescribe requirements for applying, adopting, or incorporating a matter contained in writing in a Product Disclosure Statement.</w:t>
      </w:r>
    </w:p>
    <w:p w:rsidR="00A37D65" w:rsidRPr="006E709F" w:rsidRDefault="00A37D65" w:rsidP="00A801D0">
      <w:pPr>
        <w:pStyle w:val="subsection"/>
      </w:pPr>
      <w:r w:rsidRPr="006E709F">
        <w:tab/>
        <w:t>(1E)</w:t>
      </w:r>
      <w:r w:rsidRPr="006E709F">
        <w:tab/>
        <w:t xml:space="preserve">A Product Disclosure Statement may refer to information, other than information to which </w:t>
      </w:r>
      <w:r w:rsidR="00DA13DE" w:rsidRPr="006E709F">
        <w:t>subsection (</w:t>
      </w:r>
      <w:r w:rsidRPr="006E709F">
        <w:t>1A) or (1B) applies, that is set out in another document; and</w:t>
      </w:r>
    </w:p>
    <w:p w:rsidR="00A37D65" w:rsidRPr="006E709F" w:rsidRDefault="00A37D65" w:rsidP="00A801D0">
      <w:pPr>
        <w:pStyle w:val="subsection"/>
      </w:pPr>
      <w:r w:rsidRPr="006E709F">
        <w:tab/>
        <w:t>(1F)</w:t>
      </w:r>
      <w:r w:rsidRPr="006E709F">
        <w:tab/>
        <w:t xml:space="preserve">If the Product Disclosure Statement refers to other information as permitted by </w:t>
      </w:r>
      <w:r w:rsidR="00DA13DE" w:rsidRPr="006E709F">
        <w:t>subsection (</w:t>
      </w:r>
      <w:r w:rsidRPr="006E709F">
        <w:t>1E), that information does not form part of the Statement.</w:t>
      </w:r>
    </w:p>
    <w:p w:rsidR="00A37D65" w:rsidRPr="006E709F" w:rsidRDefault="00A801D0" w:rsidP="00A801D0">
      <w:pPr>
        <w:pStyle w:val="notetext"/>
      </w:pPr>
      <w:r w:rsidRPr="006E709F">
        <w:t>Note:</w:t>
      </w:r>
      <w:r w:rsidRPr="006E709F">
        <w:tab/>
      </w:r>
      <w:r w:rsidR="00A37D65" w:rsidRPr="006E709F">
        <w:t xml:space="preserve">Although the information mentioned in </w:t>
      </w:r>
      <w:r w:rsidR="00DA13DE" w:rsidRPr="006E709F">
        <w:t>subsection (</w:t>
      </w:r>
      <w:r w:rsidR="00A37D65" w:rsidRPr="006E709F">
        <w:t xml:space="preserve">1F) would not form part of the Product Disclosure Statement, it would be subject to requirements imposed by the Act </w:t>
      </w:r>
      <w:r w:rsidR="00A37D65" w:rsidRPr="006E709F">
        <w:lastRenderedPageBreak/>
        <w:t>or these Regulations such as the prohibition on making misleading or deceptive statements.</w:t>
      </w:r>
    </w:p>
    <w:p w:rsidR="00A37D65" w:rsidRPr="006E709F" w:rsidRDefault="007E5000" w:rsidP="00C66015">
      <w:pPr>
        <w:pStyle w:val="ItemHead"/>
      </w:pPr>
      <w:r w:rsidRPr="006E709F">
        <w:t xml:space="preserve">5A.3  </w:t>
      </w:r>
      <w:r w:rsidR="00A37D65" w:rsidRPr="006E709F">
        <w:t>Section</w:t>
      </w:r>
      <w:r w:rsidR="00DA13DE" w:rsidRPr="006E709F">
        <w:t> </w:t>
      </w:r>
      <w:r w:rsidR="00A37D65" w:rsidRPr="006E709F">
        <w:t>1013D</w:t>
      </w:r>
    </w:p>
    <w:p w:rsidR="00A801D0" w:rsidRPr="006E709F" w:rsidRDefault="00A801D0" w:rsidP="00C66015">
      <w:pPr>
        <w:pStyle w:val="Item"/>
        <w:rPr>
          <w:i/>
        </w:rPr>
      </w:pPr>
      <w:r w:rsidRPr="006E709F">
        <w:rPr>
          <w:i/>
        </w:rPr>
        <w:t>omit</w:t>
      </w:r>
    </w:p>
    <w:p w:rsidR="00A37D65" w:rsidRPr="006E709F" w:rsidRDefault="007E5000" w:rsidP="00C66015">
      <w:pPr>
        <w:pStyle w:val="ItemHead"/>
      </w:pPr>
      <w:r w:rsidRPr="006E709F">
        <w:t xml:space="preserve">5A.4  </w:t>
      </w:r>
      <w:r w:rsidR="00A37D65" w:rsidRPr="006E709F">
        <w:t>Section</w:t>
      </w:r>
      <w:r w:rsidR="00DA13DE" w:rsidRPr="006E709F">
        <w:t> </w:t>
      </w:r>
      <w:r w:rsidR="00A37D65" w:rsidRPr="006E709F">
        <w:t>1013E</w:t>
      </w:r>
    </w:p>
    <w:p w:rsidR="00A801D0" w:rsidRPr="006E709F" w:rsidRDefault="00A801D0" w:rsidP="00C66015">
      <w:pPr>
        <w:pStyle w:val="Item"/>
        <w:rPr>
          <w:i/>
        </w:rPr>
      </w:pPr>
      <w:r w:rsidRPr="006E709F">
        <w:rPr>
          <w:i/>
        </w:rPr>
        <w:t>omit</w:t>
      </w:r>
    </w:p>
    <w:p w:rsidR="00A37D65" w:rsidRPr="006E709F" w:rsidRDefault="007E5000" w:rsidP="00C66015">
      <w:pPr>
        <w:pStyle w:val="ItemHead"/>
      </w:pPr>
      <w:r w:rsidRPr="006E709F">
        <w:t xml:space="preserve">5A.5  </w:t>
      </w:r>
      <w:r w:rsidR="00A37D65" w:rsidRPr="006E709F">
        <w:t>Section</w:t>
      </w:r>
      <w:r w:rsidR="00DA13DE" w:rsidRPr="006E709F">
        <w:t> </w:t>
      </w:r>
      <w:r w:rsidR="00A37D65" w:rsidRPr="006E709F">
        <w:t>1013L</w:t>
      </w:r>
    </w:p>
    <w:p w:rsidR="00A801D0" w:rsidRPr="006E709F" w:rsidRDefault="00A801D0" w:rsidP="00C66015">
      <w:pPr>
        <w:pStyle w:val="Item"/>
        <w:rPr>
          <w:i/>
        </w:rPr>
      </w:pPr>
      <w:r w:rsidRPr="006E709F">
        <w:rPr>
          <w:i/>
        </w:rPr>
        <w:t>substitute</w:t>
      </w:r>
    </w:p>
    <w:p w:rsidR="00A37D65" w:rsidRPr="006E709F" w:rsidRDefault="007E5000" w:rsidP="005A44F5">
      <w:pPr>
        <w:pStyle w:val="Specials"/>
      </w:pPr>
      <w:r w:rsidRPr="006E709F">
        <w:t xml:space="preserve">1013L  </w:t>
      </w:r>
      <w:r w:rsidR="00A37D65" w:rsidRPr="006E709F">
        <w:t>When Product Disclosure document may consist of 2 or more documents</w:t>
      </w:r>
    </w:p>
    <w:p w:rsidR="00A37D65" w:rsidRPr="006E709F" w:rsidRDefault="00A37D65" w:rsidP="00A801D0">
      <w:pPr>
        <w:pStyle w:val="subsection"/>
      </w:pPr>
      <w:r w:rsidRPr="006E709F">
        <w:tab/>
      </w:r>
      <w:r w:rsidRPr="006E709F">
        <w:tab/>
        <w:t>A Product Disclosure Statement may consist of 2 or more documents, only if:</w:t>
      </w:r>
    </w:p>
    <w:p w:rsidR="00A37D65" w:rsidRPr="006E709F" w:rsidRDefault="00A37D65" w:rsidP="00A801D0">
      <w:pPr>
        <w:pStyle w:val="paragraph"/>
      </w:pPr>
      <w:r w:rsidRPr="006E709F">
        <w:tab/>
        <w:t>(a)</w:t>
      </w:r>
      <w:r w:rsidRPr="006E709F">
        <w:tab/>
        <w:t>one of the documents is a document that complies with the requirements for a Product Disclosure Statement under this Act and the Regulations; and</w:t>
      </w:r>
    </w:p>
    <w:p w:rsidR="00A37D65" w:rsidRPr="006E709F" w:rsidRDefault="00A37D65" w:rsidP="00A801D0">
      <w:pPr>
        <w:pStyle w:val="paragraph"/>
      </w:pPr>
      <w:r w:rsidRPr="006E709F">
        <w:tab/>
        <w:t>(b)</w:t>
      </w:r>
      <w:r w:rsidRPr="006E709F">
        <w:tab/>
        <w:t xml:space="preserve">the other document or documents contain a matter in writing that is applied, adopted or incorporated by the document mentioned in </w:t>
      </w:r>
      <w:r w:rsidR="00DA13DE" w:rsidRPr="006E709F">
        <w:t>paragraph (</w:t>
      </w:r>
      <w:r w:rsidRPr="006E709F">
        <w:t>a).</w:t>
      </w:r>
    </w:p>
    <w:p w:rsidR="00A37D65" w:rsidRPr="006E709F" w:rsidRDefault="00A37D65" w:rsidP="00C66015">
      <w:pPr>
        <w:pStyle w:val="ItemHead"/>
      </w:pPr>
      <w:r w:rsidRPr="006E709F">
        <w:t>5A.</w:t>
      </w:r>
      <w:r w:rsidR="007E5000" w:rsidRPr="006E709F">
        <w:t xml:space="preserve">6  </w:t>
      </w:r>
      <w:r w:rsidR="00A801D0" w:rsidRPr="006E709F">
        <w:t>Subdivision</w:t>
      </w:r>
      <w:r w:rsidR="00E376FA" w:rsidRPr="006E709F">
        <w:t xml:space="preserve"> </w:t>
      </w:r>
      <w:r w:rsidRPr="006E709F">
        <w:t xml:space="preserve">D, </w:t>
      </w:r>
      <w:r w:rsidR="00A801D0" w:rsidRPr="006E709F">
        <w:t>Division</w:t>
      </w:r>
      <w:r w:rsidR="00DA13DE" w:rsidRPr="006E709F">
        <w:t> </w:t>
      </w:r>
      <w:r w:rsidRPr="006E709F">
        <w:t>2</w:t>
      </w:r>
    </w:p>
    <w:p w:rsidR="00A801D0" w:rsidRPr="006E709F" w:rsidRDefault="00A801D0" w:rsidP="00C66015">
      <w:pPr>
        <w:pStyle w:val="Item"/>
        <w:rPr>
          <w:i/>
        </w:rPr>
      </w:pPr>
      <w:r w:rsidRPr="006E709F">
        <w:rPr>
          <w:i/>
        </w:rPr>
        <w:t>omit</w:t>
      </w:r>
    </w:p>
    <w:p w:rsidR="00A37D65" w:rsidRPr="006E709F" w:rsidRDefault="007E5000" w:rsidP="00C66015">
      <w:pPr>
        <w:pStyle w:val="ItemHead"/>
      </w:pPr>
      <w:r w:rsidRPr="006E709F">
        <w:t xml:space="preserve">5A.7  </w:t>
      </w:r>
      <w:r w:rsidR="00A37D65" w:rsidRPr="006E709F">
        <w:t>Subsection</w:t>
      </w:r>
      <w:r w:rsidR="00DA13DE" w:rsidRPr="006E709F">
        <w:t> </w:t>
      </w:r>
      <w:r w:rsidR="00A37D65" w:rsidRPr="006E709F">
        <w:t>1015D(3)</w:t>
      </w:r>
    </w:p>
    <w:p w:rsidR="00A801D0" w:rsidRPr="006E709F" w:rsidRDefault="00A801D0" w:rsidP="00C66015">
      <w:pPr>
        <w:pStyle w:val="Item"/>
        <w:rPr>
          <w:i/>
        </w:rPr>
      </w:pPr>
      <w:r w:rsidRPr="006E709F">
        <w:rPr>
          <w:i/>
        </w:rPr>
        <w:t>omit</w:t>
      </w:r>
    </w:p>
    <w:p w:rsidR="00A37D65" w:rsidRPr="006E709F" w:rsidRDefault="00A801D0" w:rsidP="00AE08F9">
      <w:pPr>
        <w:pStyle w:val="ActHead2"/>
        <w:pageBreakBefore/>
      </w:pPr>
      <w:bookmarkStart w:id="112" w:name="_Toc170547929"/>
      <w:r w:rsidRPr="000C4237">
        <w:rPr>
          <w:rStyle w:val="CharPartNo"/>
        </w:rPr>
        <w:lastRenderedPageBreak/>
        <w:t>Part</w:t>
      </w:r>
      <w:r w:rsidR="00DA13DE" w:rsidRPr="000C4237">
        <w:rPr>
          <w:rStyle w:val="CharPartNo"/>
        </w:rPr>
        <w:t> </w:t>
      </w:r>
      <w:r w:rsidR="00A37D65" w:rsidRPr="000C4237">
        <w:rPr>
          <w:rStyle w:val="CharPartNo"/>
        </w:rPr>
        <w:t>5B</w:t>
      </w:r>
      <w:r w:rsidRPr="006E709F">
        <w:t>—</w:t>
      </w:r>
      <w:r w:rsidR="00A37D65" w:rsidRPr="000C4237">
        <w:rPr>
          <w:rStyle w:val="CharPartText"/>
        </w:rPr>
        <w:t xml:space="preserve">Modifications for superannuation products to which </w:t>
      </w:r>
      <w:r w:rsidRPr="000C4237">
        <w:rPr>
          <w:rStyle w:val="CharPartText"/>
        </w:rPr>
        <w:t>Subdivision</w:t>
      </w:r>
      <w:r w:rsidR="00DA13DE" w:rsidRPr="000C4237">
        <w:rPr>
          <w:rStyle w:val="CharPartText"/>
        </w:rPr>
        <w:t> </w:t>
      </w:r>
      <w:r w:rsidR="00A37D65" w:rsidRPr="000C4237">
        <w:rPr>
          <w:rStyle w:val="CharPartText"/>
        </w:rPr>
        <w:t xml:space="preserve">4.2B of </w:t>
      </w:r>
      <w:r w:rsidRPr="000C4237">
        <w:rPr>
          <w:rStyle w:val="CharPartText"/>
        </w:rPr>
        <w:t>Division</w:t>
      </w:r>
      <w:r w:rsidR="00DA13DE" w:rsidRPr="000C4237">
        <w:rPr>
          <w:rStyle w:val="CharPartText"/>
        </w:rPr>
        <w:t> </w:t>
      </w:r>
      <w:r w:rsidR="00A37D65" w:rsidRPr="000C4237">
        <w:rPr>
          <w:rStyle w:val="CharPartText"/>
        </w:rPr>
        <w:t xml:space="preserve">4 of </w:t>
      </w:r>
      <w:r w:rsidRPr="000C4237">
        <w:rPr>
          <w:rStyle w:val="CharPartText"/>
        </w:rPr>
        <w:t>Part</w:t>
      </w:r>
      <w:r w:rsidR="00DA13DE" w:rsidRPr="000C4237">
        <w:rPr>
          <w:rStyle w:val="CharPartText"/>
        </w:rPr>
        <w:t> </w:t>
      </w:r>
      <w:r w:rsidR="00A37D65" w:rsidRPr="000C4237">
        <w:rPr>
          <w:rStyle w:val="CharPartText"/>
        </w:rPr>
        <w:t>7.9 applies</w:t>
      </w:r>
      <w:bookmarkEnd w:id="112"/>
    </w:p>
    <w:p w:rsidR="00A37D65" w:rsidRPr="006E709F" w:rsidRDefault="00A801D0" w:rsidP="00A37D65">
      <w:pPr>
        <w:pStyle w:val="Header"/>
      </w:pPr>
      <w:r w:rsidRPr="000C4237">
        <w:rPr>
          <w:rStyle w:val="CharDivNo"/>
        </w:rPr>
        <w:t xml:space="preserve"> </w:t>
      </w:r>
      <w:r w:rsidRPr="000C4237">
        <w:rPr>
          <w:rStyle w:val="CharDivText"/>
        </w:rPr>
        <w:t xml:space="preserve"> </w:t>
      </w:r>
    </w:p>
    <w:p w:rsidR="00A37D65" w:rsidRPr="006E709F" w:rsidRDefault="007E5000" w:rsidP="00C66015">
      <w:pPr>
        <w:pStyle w:val="ItemHead"/>
      </w:pPr>
      <w:r w:rsidRPr="006E709F">
        <w:t xml:space="preserve">5B.2  </w:t>
      </w:r>
      <w:r w:rsidR="00A37D65" w:rsidRPr="006E709F">
        <w:t>Subsection</w:t>
      </w:r>
      <w:r w:rsidR="00DA13DE" w:rsidRPr="006E709F">
        <w:t> </w:t>
      </w:r>
      <w:r w:rsidR="00A37D65" w:rsidRPr="006E709F">
        <w:t>1013C(1)</w:t>
      </w:r>
    </w:p>
    <w:p w:rsidR="00A801D0" w:rsidRPr="006E709F" w:rsidRDefault="00A801D0" w:rsidP="00A801D0">
      <w:pPr>
        <w:pStyle w:val="Item"/>
        <w:rPr>
          <w:i/>
        </w:rPr>
      </w:pPr>
      <w:r w:rsidRPr="006E709F">
        <w:rPr>
          <w:i/>
        </w:rPr>
        <w:t>substitute</w:t>
      </w:r>
    </w:p>
    <w:p w:rsidR="00A37D65" w:rsidRPr="006E709F" w:rsidRDefault="00A37D65" w:rsidP="00A801D0">
      <w:pPr>
        <w:pStyle w:val="subsection"/>
      </w:pPr>
      <w:r w:rsidRPr="006E709F">
        <w:tab/>
        <w:t>(1)</w:t>
      </w:r>
      <w:r w:rsidRPr="006E709F">
        <w:tab/>
        <w:t xml:space="preserve">A Product Disclosure Statement for a superannuation product to which </w:t>
      </w:r>
      <w:r w:rsidR="00A801D0" w:rsidRPr="006E709F">
        <w:t>Subdivision</w:t>
      </w:r>
      <w:r w:rsidR="00DA13DE" w:rsidRPr="006E709F">
        <w:t> </w:t>
      </w:r>
      <w:r w:rsidRPr="006E709F">
        <w:t xml:space="preserve">4.2B of </w:t>
      </w:r>
      <w:r w:rsidR="00A801D0" w:rsidRPr="006E709F">
        <w:t>Division</w:t>
      </w:r>
      <w:r w:rsidR="00DA13DE" w:rsidRPr="006E709F">
        <w:t> </w:t>
      </w:r>
      <w:r w:rsidRPr="006E709F">
        <w:t xml:space="preserve">4 of </w:t>
      </w:r>
      <w:r w:rsidR="00A801D0" w:rsidRPr="006E709F">
        <w:t>Part</w:t>
      </w:r>
      <w:r w:rsidR="00DA13DE" w:rsidRPr="006E709F">
        <w:t> </w:t>
      </w:r>
      <w:r w:rsidRPr="006E709F">
        <w:t xml:space="preserve">7.9 of the </w:t>
      </w:r>
      <w:r w:rsidRPr="006E709F">
        <w:rPr>
          <w:i/>
        </w:rPr>
        <w:t xml:space="preserve">Corporations </w:t>
      </w:r>
      <w:r w:rsidR="000C4237">
        <w:rPr>
          <w:i/>
        </w:rPr>
        <w:t>Regulations 2</w:t>
      </w:r>
      <w:r w:rsidRPr="006E709F">
        <w:rPr>
          <w:i/>
        </w:rPr>
        <w:t>001</w:t>
      </w:r>
      <w:r w:rsidRPr="006E709F">
        <w:t xml:space="preserve"> applies must:</w:t>
      </w:r>
    </w:p>
    <w:p w:rsidR="00A37D65" w:rsidRPr="006E709F" w:rsidRDefault="00A37D65" w:rsidP="00A801D0">
      <w:pPr>
        <w:pStyle w:val="paragraph"/>
      </w:pPr>
      <w:r w:rsidRPr="006E709F">
        <w:tab/>
        <w:t>(a)</w:t>
      </w:r>
      <w:r w:rsidRPr="006E709F">
        <w:tab/>
        <w:t>include the statements and information required by regulations made for this paragraph; and</w:t>
      </w:r>
    </w:p>
    <w:p w:rsidR="00A37D65" w:rsidRPr="006E709F" w:rsidRDefault="00A37D65" w:rsidP="00A801D0">
      <w:pPr>
        <w:pStyle w:val="paragraph"/>
      </w:pPr>
      <w:r w:rsidRPr="006E709F">
        <w:tab/>
        <w:t>(b)</w:t>
      </w:r>
      <w:r w:rsidRPr="006E709F">
        <w:tab/>
        <w:t>be in the form required by regulations made for this paragraph.</w:t>
      </w:r>
    </w:p>
    <w:p w:rsidR="00A37D65" w:rsidRPr="006E709F" w:rsidRDefault="00A37D65" w:rsidP="00A801D0">
      <w:pPr>
        <w:pStyle w:val="subsection"/>
      </w:pPr>
      <w:r w:rsidRPr="006E709F">
        <w:tab/>
        <w:t>(1A)</w:t>
      </w:r>
      <w:r w:rsidRPr="006E709F">
        <w:tab/>
        <w:t>If a law other than this Act or regulations under this Act requires the responsible person for the Product Disclosure Statement:</w:t>
      </w:r>
    </w:p>
    <w:p w:rsidR="00A37D65" w:rsidRPr="006E709F" w:rsidRDefault="00A37D65" w:rsidP="00A801D0">
      <w:pPr>
        <w:pStyle w:val="paragraph"/>
      </w:pPr>
      <w:r w:rsidRPr="006E709F">
        <w:tab/>
        <w:t>(a)</w:t>
      </w:r>
      <w:r w:rsidRPr="006E709F">
        <w:tab/>
        <w:t>to give, disclose or provide a matter; or</w:t>
      </w:r>
    </w:p>
    <w:p w:rsidR="00A37D65" w:rsidRPr="006E709F" w:rsidRDefault="00A37D65" w:rsidP="00A801D0">
      <w:pPr>
        <w:pStyle w:val="paragraph"/>
      </w:pPr>
      <w:r w:rsidRPr="006E709F">
        <w:tab/>
        <w:t>(b)</w:t>
      </w:r>
      <w:r w:rsidRPr="006E709F">
        <w:tab/>
        <w:t>to include a matter in the Statement;</w:t>
      </w:r>
    </w:p>
    <w:p w:rsidR="00A37D65" w:rsidRPr="006E709F" w:rsidRDefault="00A37D65" w:rsidP="00A801D0">
      <w:pPr>
        <w:pStyle w:val="subsection2"/>
      </w:pPr>
      <w:r w:rsidRPr="006E709F">
        <w:t>the Statement may make provision for the matter by applying, adopting or incorporating the matter as in force at a particular time or as in force from time to time.</w:t>
      </w:r>
    </w:p>
    <w:p w:rsidR="00A37D65" w:rsidRPr="006E709F" w:rsidRDefault="00A37D65" w:rsidP="00A801D0">
      <w:pPr>
        <w:pStyle w:val="subsection"/>
      </w:pPr>
      <w:r w:rsidRPr="006E709F">
        <w:tab/>
        <w:t>(1B)</w:t>
      </w:r>
      <w:r w:rsidRPr="006E709F">
        <w:tab/>
        <w:t xml:space="preserve">In addition to </w:t>
      </w:r>
      <w:r w:rsidR="00DA13DE" w:rsidRPr="006E709F">
        <w:t>subsection (</w:t>
      </w:r>
      <w:r w:rsidRPr="006E709F">
        <w:t>1A), a Product Disclosure Statement may make provision for a matter contained in writing by applying, adopting or incorporating the matter as in force at a particular time or as in force from time to time.</w:t>
      </w:r>
    </w:p>
    <w:p w:rsidR="00A37D65" w:rsidRPr="006E709F" w:rsidRDefault="00A37D65" w:rsidP="00A801D0">
      <w:pPr>
        <w:pStyle w:val="subsection"/>
      </w:pPr>
      <w:r w:rsidRPr="006E709F">
        <w:tab/>
        <w:t>(1C)</w:t>
      </w:r>
      <w:r w:rsidRPr="006E709F">
        <w:tab/>
        <w:t>If a Product Disclosure Statement applies, adopts or incorporates a matter contained in writing:</w:t>
      </w:r>
    </w:p>
    <w:p w:rsidR="00A37D65" w:rsidRPr="006E709F" w:rsidRDefault="00A37D65" w:rsidP="00A801D0">
      <w:pPr>
        <w:pStyle w:val="paragraph"/>
      </w:pPr>
      <w:r w:rsidRPr="006E709F">
        <w:tab/>
        <w:t>(a)</w:t>
      </w:r>
      <w:r w:rsidRPr="006E709F">
        <w:tab/>
        <w:t>the applied, adopted or incorporated matter forms part of the Statement; and</w:t>
      </w:r>
    </w:p>
    <w:p w:rsidR="00A37D65" w:rsidRPr="006E709F" w:rsidRDefault="00A37D65" w:rsidP="00A801D0">
      <w:pPr>
        <w:pStyle w:val="paragraph"/>
      </w:pPr>
      <w:r w:rsidRPr="006E709F">
        <w:tab/>
        <w:t>(b)</w:t>
      </w:r>
      <w:r w:rsidRPr="006E709F">
        <w:tab/>
        <w:t>the responsible person for the Statement is not required to give the document which provides for the matter to a person (as part of giving the Statement or later) if that person has not asked for the document; and</w:t>
      </w:r>
    </w:p>
    <w:p w:rsidR="00A37D65" w:rsidRPr="006E709F" w:rsidRDefault="00A37D65" w:rsidP="00A801D0">
      <w:pPr>
        <w:pStyle w:val="paragraph"/>
      </w:pPr>
      <w:r w:rsidRPr="006E709F">
        <w:tab/>
        <w:t>(c)</w:t>
      </w:r>
      <w:r w:rsidRPr="006E709F">
        <w:tab/>
        <w:t>the responsible person for the Statement must give the document which provides for the matter to a person if that person asks for the document.</w:t>
      </w:r>
    </w:p>
    <w:p w:rsidR="00A37D65" w:rsidRPr="006E709F" w:rsidRDefault="00A37D65" w:rsidP="00A801D0">
      <w:pPr>
        <w:pStyle w:val="subsection"/>
      </w:pPr>
      <w:r w:rsidRPr="006E709F">
        <w:tab/>
        <w:t>(1D)</w:t>
      </w:r>
      <w:r w:rsidRPr="006E709F">
        <w:tab/>
        <w:t>The regulations may prescribe requirements for applying, adopting, or incorporating a matter contained in writing in a Product Disclosure Statement.</w:t>
      </w:r>
    </w:p>
    <w:p w:rsidR="00A37D65" w:rsidRPr="006E709F" w:rsidRDefault="00A37D65" w:rsidP="00A801D0">
      <w:pPr>
        <w:pStyle w:val="subsection"/>
      </w:pPr>
      <w:r w:rsidRPr="006E709F">
        <w:tab/>
        <w:t>(1E)</w:t>
      </w:r>
      <w:r w:rsidRPr="006E709F">
        <w:tab/>
        <w:t xml:space="preserve">A Product Disclosure Statement may refer to information, other than information to which </w:t>
      </w:r>
      <w:r w:rsidR="00DA13DE" w:rsidRPr="006E709F">
        <w:t>subsection (</w:t>
      </w:r>
      <w:r w:rsidRPr="006E709F">
        <w:t>1A) or (1B) applies, that is set out in another document; and</w:t>
      </w:r>
    </w:p>
    <w:p w:rsidR="00A37D65" w:rsidRPr="006E709F" w:rsidRDefault="00A37D65" w:rsidP="00A801D0">
      <w:pPr>
        <w:pStyle w:val="subsection"/>
      </w:pPr>
      <w:r w:rsidRPr="006E709F">
        <w:tab/>
        <w:t>(1F)</w:t>
      </w:r>
      <w:r w:rsidRPr="006E709F">
        <w:tab/>
        <w:t xml:space="preserve">If the Product Disclosure Statement refers to other information as permitted by </w:t>
      </w:r>
      <w:r w:rsidR="00DA13DE" w:rsidRPr="006E709F">
        <w:t>subsection (</w:t>
      </w:r>
      <w:r w:rsidRPr="006E709F">
        <w:t>1E), that information does not form part of the Statement.</w:t>
      </w:r>
    </w:p>
    <w:p w:rsidR="00A37D65" w:rsidRPr="006E709F" w:rsidRDefault="00A801D0" w:rsidP="00A801D0">
      <w:pPr>
        <w:pStyle w:val="notetext"/>
      </w:pPr>
      <w:r w:rsidRPr="006E709F">
        <w:lastRenderedPageBreak/>
        <w:t>Note:</w:t>
      </w:r>
      <w:r w:rsidRPr="006E709F">
        <w:tab/>
      </w:r>
      <w:r w:rsidR="00A37D65" w:rsidRPr="006E709F">
        <w:t xml:space="preserve">Although the information mentioned in </w:t>
      </w:r>
      <w:r w:rsidR="00DA13DE" w:rsidRPr="006E709F">
        <w:t>subsection (</w:t>
      </w:r>
      <w:r w:rsidR="00A37D65" w:rsidRPr="006E709F">
        <w:t>1F) would not form part of the Product Disclosure Statement, it would be subject to requirements imposed by the Act or these Regulations such as the prohibition on making misleading or deceptive statements.</w:t>
      </w:r>
    </w:p>
    <w:p w:rsidR="00A37D65" w:rsidRPr="006E709F" w:rsidRDefault="000577C6" w:rsidP="00C66015">
      <w:pPr>
        <w:pStyle w:val="ItemHead"/>
      </w:pPr>
      <w:r w:rsidRPr="006E709F">
        <w:t xml:space="preserve">5B.3  </w:t>
      </w:r>
      <w:r w:rsidR="00A37D65" w:rsidRPr="006E709F">
        <w:t>Section</w:t>
      </w:r>
      <w:r w:rsidR="00DA13DE" w:rsidRPr="006E709F">
        <w:t> </w:t>
      </w:r>
      <w:r w:rsidR="00A37D65" w:rsidRPr="006E709F">
        <w:t>1013D</w:t>
      </w:r>
    </w:p>
    <w:p w:rsidR="00A801D0" w:rsidRPr="006E709F" w:rsidRDefault="00A801D0" w:rsidP="00A801D0">
      <w:pPr>
        <w:pStyle w:val="Item"/>
        <w:rPr>
          <w:i/>
        </w:rPr>
      </w:pPr>
      <w:r w:rsidRPr="006E709F">
        <w:rPr>
          <w:i/>
        </w:rPr>
        <w:t>omit</w:t>
      </w:r>
    </w:p>
    <w:p w:rsidR="00A37D65" w:rsidRPr="006E709F" w:rsidRDefault="000577C6" w:rsidP="00C66015">
      <w:pPr>
        <w:pStyle w:val="ItemHead"/>
      </w:pPr>
      <w:r w:rsidRPr="006E709F">
        <w:t xml:space="preserve">5B.4  </w:t>
      </w:r>
      <w:r w:rsidR="00A37D65" w:rsidRPr="006E709F">
        <w:t>Section</w:t>
      </w:r>
      <w:r w:rsidR="00DA13DE" w:rsidRPr="006E709F">
        <w:t> </w:t>
      </w:r>
      <w:r w:rsidR="00A37D65" w:rsidRPr="006E709F">
        <w:t>1013E</w:t>
      </w:r>
    </w:p>
    <w:p w:rsidR="00A801D0" w:rsidRPr="006E709F" w:rsidRDefault="00A801D0" w:rsidP="00A801D0">
      <w:pPr>
        <w:pStyle w:val="Item"/>
        <w:rPr>
          <w:i/>
        </w:rPr>
      </w:pPr>
      <w:r w:rsidRPr="006E709F">
        <w:rPr>
          <w:i/>
        </w:rPr>
        <w:t>omit</w:t>
      </w:r>
    </w:p>
    <w:p w:rsidR="00A37D65" w:rsidRPr="006E709F" w:rsidRDefault="000577C6" w:rsidP="00C66015">
      <w:pPr>
        <w:pStyle w:val="ItemHead"/>
      </w:pPr>
      <w:r w:rsidRPr="006E709F">
        <w:t xml:space="preserve">5B.5  </w:t>
      </w:r>
      <w:r w:rsidR="00A37D65" w:rsidRPr="006E709F">
        <w:t>Section</w:t>
      </w:r>
      <w:r w:rsidR="00DA13DE" w:rsidRPr="006E709F">
        <w:t> </w:t>
      </w:r>
      <w:r w:rsidR="00A37D65" w:rsidRPr="006E709F">
        <w:t>1013L</w:t>
      </w:r>
    </w:p>
    <w:p w:rsidR="00A801D0" w:rsidRPr="006E709F" w:rsidRDefault="00A801D0" w:rsidP="00C66015">
      <w:pPr>
        <w:pStyle w:val="Item"/>
        <w:rPr>
          <w:i/>
        </w:rPr>
      </w:pPr>
      <w:r w:rsidRPr="006E709F">
        <w:rPr>
          <w:i/>
        </w:rPr>
        <w:t>substitute</w:t>
      </w:r>
    </w:p>
    <w:p w:rsidR="00A37D65" w:rsidRPr="006E709F" w:rsidRDefault="000577C6" w:rsidP="005A44F5">
      <w:pPr>
        <w:pStyle w:val="Specials"/>
      </w:pPr>
      <w:r w:rsidRPr="006E709F">
        <w:t xml:space="preserve">1013L  </w:t>
      </w:r>
      <w:r w:rsidR="00A37D65" w:rsidRPr="006E709F">
        <w:t>When Product Disclosure Statement may consist of 2 or more documents</w:t>
      </w:r>
    </w:p>
    <w:p w:rsidR="00A37D65" w:rsidRPr="006E709F" w:rsidRDefault="00A37D65" w:rsidP="00A801D0">
      <w:pPr>
        <w:pStyle w:val="subsection"/>
      </w:pPr>
      <w:r w:rsidRPr="006E709F">
        <w:tab/>
      </w:r>
      <w:r w:rsidRPr="006E709F">
        <w:tab/>
        <w:t>A Product Disclosure Statement may consist of 2 or more documents only if:</w:t>
      </w:r>
    </w:p>
    <w:p w:rsidR="00A37D65" w:rsidRPr="006E709F" w:rsidRDefault="00A37D65" w:rsidP="00A801D0">
      <w:pPr>
        <w:pStyle w:val="paragraph"/>
      </w:pPr>
      <w:r w:rsidRPr="006E709F">
        <w:tab/>
        <w:t>(a)</w:t>
      </w:r>
      <w:r w:rsidRPr="006E709F">
        <w:tab/>
        <w:t>one of the documents is a document that complies with the requirements for a Product Disclosure Statement under this Act and the Regulations; and</w:t>
      </w:r>
    </w:p>
    <w:p w:rsidR="00A37D65" w:rsidRPr="006E709F" w:rsidRDefault="00A37D65" w:rsidP="00A801D0">
      <w:pPr>
        <w:pStyle w:val="paragraph"/>
      </w:pPr>
      <w:r w:rsidRPr="006E709F">
        <w:tab/>
        <w:t>(b)</w:t>
      </w:r>
      <w:r w:rsidRPr="006E709F">
        <w:tab/>
        <w:t xml:space="preserve">the other document or documents contain a matter in writing that is applied, adopted or incorporated by the document mentioned in </w:t>
      </w:r>
      <w:r w:rsidR="00DA13DE" w:rsidRPr="006E709F">
        <w:t>subparagraph (</w:t>
      </w:r>
      <w:r w:rsidRPr="006E709F">
        <w:t>a).</w:t>
      </w:r>
    </w:p>
    <w:p w:rsidR="00A37D65" w:rsidRPr="006E709F" w:rsidRDefault="000577C6" w:rsidP="00C66015">
      <w:pPr>
        <w:pStyle w:val="ItemHead"/>
      </w:pPr>
      <w:r w:rsidRPr="006E709F">
        <w:t xml:space="preserve">5B.6  </w:t>
      </w:r>
      <w:r w:rsidR="00A37D65" w:rsidRPr="006E709F">
        <w:t>Subsection</w:t>
      </w:r>
      <w:r w:rsidR="00DA13DE" w:rsidRPr="006E709F">
        <w:t> </w:t>
      </w:r>
      <w:r w:rsidR="00A37D65" w:rsidRPr="006E709F">
        <w:t>1015D(3)</w:t>
      </w:r>
    </w:p>
    <w:p w:rsidR="00A801D0" w:rsidRPr="006E709F" w:rsidRDefault="00A801D0" w:rsidP="00C66015">
      <w:pPr>
        <w:pStyle w:val="Item"/>
        <w:rPr>
          <w:i/>
        </w:rPr>
      </w:pPr>
      <w:r w:rsidRPr="006E709F">
        <w:rPr>
          <w:i/>
        </w:rPr>
        <w:t>omit</w:t>
      </w:r>
    </w:p>
    <w:p w:rsidR="00A37D65" w:rsidRPr="006E709F" w:rsidRDefault="00A801D0" w:rsidP="00AE08F9">
      <w:pPr>
        <w:pStyle w:val="ActHead2"/>
        <w:pageBreakBefore/>
      </w:pPr>
      <w:bookmarkStart w:id="113" w:name="_Toc170547930"/>
      <w:r w:rsidRPr="000C4237">
        <w:rPr>
          <w:rStyle w:val="CharPartNo"/>
        </w:rPr>
        <w:lastRenderedPageBreak/>
        <w:t>Part</w:t>
      </w:r>
      <w:r w:rsidR="00DA13DE" w:rsidRPr="000C4237">
        <w:rPr>
          <w:rStyle w:val="CharPartNo"/>
        </w:rPr>
        <w:t> </w:t>
      </w:r>
      <w:r w:rsidR="00A37D65" w:rsidRPr="000C4237">
        <w:rPr>
          <w:rStyle w:val="CharPartNo"/>
        </w:rPr>
        <w:t>5C</w:t>
      </w:r>
      <w:r w:rsidRPr="006E709F">
        <w:t>—</w:t>
      </w:r>
      <w:r w:rsidR="00A37D65" w:rsidRPr="000C4237">
        <w:rPr>
          <w:rStyle w:val="CharPartText"/>
        </w:rPr>
        <w:t>Modifications for simple managed investment scheme</w:t>
      </w:r>
      <w:bookmarkEnd w:id="113"/>
    </w:p>
    <w:p w:rsidR="00A37D65" w:rsidRPr="006E709F" w:rsidRDefault="00A801D0" w:rsidP="00A37D65">
      <w:pPr>
        <w:pStyle w:val="Header"/>
      </w:pPr>
      <w:r w:rsidRPr="000C4237">
        <w:rPr>
          <w:rStyle w:val="CharDivNo"/>
        </w:rPr>
        <w:t xml:space="preserve"> </w:t>
      </w:r>
      <w:r w:rsidRPr="000C4237">
        <w:rPr>
          <w:rStyle w:val="CharDivText"/>
        </w:rPr>
        <w:t xml:space="preserve"> </w:t>
      </w:r>
    </w:p>
    <w:p w:rsidR="00A37D65" w:rsidRPr="006E709F" w:rsidRDefault="00A37D65" w:rsidP="00C66015">
      <w:pPr>
        <w:pStyle w:val="ItemHead"/>
      </w:pPr>
      <w:r w:rsidRPr="006E709F">
        <w:t>5C</w:t>
      </w:r>
      <w:r w:rsidR="000577C6" w:rsidRPr="006E709F">
        <w:t xml:space="preserve">.2  </w:t>
      </w:r>
      <w:r w:rsidRPr="006E709F">
        <w:t>Subsection</w:t>
      </w:r>
      <w:r w:rsidR="00DA13DE" w:rsidRPr="006E709F">
        <w:t> </w:t>
      </w:r>
      <w:r w:rsidRPr="006E709F">
        <w:t>1013C(1)</w:t>
      </w:r>
    </w:p>
    <w:p w:rsidR="00A801D0" w:rsidRPr="006E709F" w:rsidRDefault="00A801D0" w:rsidP="00A801D0">
      <w:pPr>
        <w:pStyle w:val="Item"/>
        <w:rPr>
          <w:i/>
        </w:rPr>
      </w:pPr>
      <w:r w:rsidRPr="006E709F">
        <w:rPr>
          <w:i/>
        </w:rPr>
        <w:t>substitute</w:t>
      </w:r>
    </w:p>
    <w:p w:rsidR="00A37D65" w:rsidRPr="006E709F" w:rsidRDefault="00A37D65" w:rsidP="00A801D0">
      <w:pPr>
        <w:pStyle w:val="subsection"/>
      </w:pPr>
      <w:r w:rsidRPr="006E709F">
        <w:tab/>
        <w:t>(1)</w:t>
      </w:r>
      <w:r w:rsidRPr="006E709F">
        <w:tab/>
        <w:t xml:space="preserve">A Product Disclosure Statement for a simple managed investment scheme to which </w:t>
      </w:r>
      <w:r w:rsidR="00A801D0" w:rsidRPr="006E709F">
        <w:t>Subdivision</w:t>
      </w:r>
      <w:r w:rsidR="00DA13DE" w:rsidRPr="006E709F">
        <w:t> </w:t>
      </w:r>
      <w:r w:rsidRPr="006E709F">
        <w:t xml:space="preserve">4.2C of </w:t>
      </w:r>
      <w:r w:rsidR="00A801D0" w:rsidRPr="006E709F">
        <w:t>Division</w:t>
      </w:r>
      <w:r w:rsidR="00DA13DE" w:rsidRPr="006E709F">
        <w:t> </w:t>
      </w:r>
      <w:r w:rsidRPr="006E709F">
        <w:t xml:space="preserve">4 of </w:t>
      </w:r>
      <w:r w:rsidR="00A801D0" w:rsidRPr="006E709F">
        <w:t>Part</w:t>
      </w:r>
      <w:r w:rsidR="00DA13DE" w:rsidRPr="006E709F">
        <w:t> </w:t>
      </w:r>
      <w:r w:rsidRPr="006E709F">
        <w:t xml:space="preserve">7.9 of the </w:t>
      </w:r>
      <w:r w:rsidRPr="006E709F">
        <w:rPr>
          <w:i/>
        </w:rPr>
        <w:t xml:space="preserve">Corporations </w:t>
      </w:r>
      <w:r w:rsidR="000C4237">
        <w:rPr>
          <w:i/>
        </w:rPr>
        <w:t>Regulations 2</w:t>
      </w:r>
      <w:r w:rsidRPr="006E709F">
        <w:rPr>
          <w:i/>
        </w:rPr>
        <w:t>001</w:t>
      </w:r>
      <w:r w:rsidRPr="006E709F">
        <w:t xml:space="preserve"> applies must:</w:t>
      </w:r>
    </w:p>
    <w:p w:rsidR="00A37D65" w:rsidRPr="006E709F" w:rsidRDefault="00A37D65" w:rsidP="00A801D0">
      <w:pPr>
        <w:pStyle w:val="paragraph"/>
      </w:pPr>
      <w:r w:rsidRPr="006E709F">
        <w:tab/>
        <w:t>(a)</w:t>
      </w:r>
      <w:r w:rsidRPr="006E709F">
        <w:tab/>
        <w:t>include the statements and information required by regulations made for this paragraph; and</w:t>
      </w:r>
    </w:p>
    <w:p w:rsidR="00A37D65" w:rsidRPr="006E709F" w:rsidRDefault="00A37D65" w:rsidP="00A801D0">
      <w:pPr>
        <w:pStyle w:val="paragraph"/>
      </w:pPr>
      <w:r w:rsidRPr="006E709F">
        <w:tab/>
        <w:t>(b)</w:t>
      </w:r>
      <w:r w:rsidRPr="006E709F">
        <w:tab/>
        <w:t>be in the form required by regulations made for this paragraph; and</w:t>
      </w:r>
    </w:p>
    <w:p w:rsidR="00A37D65" w:rsidRPr="006E709F" w:rsidRDefault="00A37D65" w:rsidP="00A801D0">
      <w:pPr>
        <w:pStyle w:val="paragraph"/>
      </w:pPr>
      <w:r w:rsidRPr="006E709F">
        <w:tab/>
        <w:t>(c)</w:t>
      </w:r>
      <w:r w:rsidRPr="006E709F">
        <w:tab/>
        <w:t>relate only to 1 simple managed investment scheme.</w:t>
      </w:r>
    </w:p>
    <w:p w:rsidR="00A37D65" w:rsidRPr="006E709F" w:rsidRDefault="00A37D65" w:rsidP="00A801D0">
      <w:pPr>
        <w:pStyle w:val="subsection"/>
      </w:pPr>
      <w:r w:rsidRPr="006E709F">
        <w:tab/>
        <w:t>(1A)</w:t>
      </w:r>
      <w:r w:rsidRPr="006E709F">
        <w:tab/>
        <w:t>If a law other than this Act or regulations under this Act requires the responsible person for the Product Disclosure Statement:</w:t>
      </w:r>
    </w:p>
    <w:p w:rsidR="00A37D65" w:rsidRPr="006E709F" w:rsidRDefault="00A37D65" w:rsidP="00A801D0">
      <w:pPr>
        <w:pStyle w:val="paragraph"/>
      </w:pPr>
      <w:r w:rsidRPr="006E709F">
        <w:tab/>
        <w:t>(a)</w:t>
      </w:r>
      <w:r w:rsidRPr="006E709F">
        <w:tab/>
        <w:t>to give, disclose or provide a matter; or</w:t>
      </w:r>
    </w:p>
    <w:p w:rsidR="00A37D65" w:rsidRPr="006E709F" w:rsidRDefault="00A37D65" w:rsidP="00A801D0">
      <w:pPr>
        <w:pStyle w:val="paragraph"/>
      </w:pPr>
      <w:r w:rsidRPr="006E709F">
        <w:tab/>
        <w:t>(b)</w:t>
      </w:r>
      <w:r w:rsidRPr="006E709F">
        <w:tab/>
        <w:t>to include a matter in the Statement;</w:t>
      </w:r>
    </w:p>
    <w:p w:rsidR="00A37D65" w:rsidRPr="006E709F" w:rsidRDefault="00A37D65" w:rsidP="00A801D0">
      <w:pPr>
        <w:pStyle w:val="subsection2"/>
      </w:pPr>
      <w:r w:rsidRPr="006E709F">
        <w:t>the Statement may make provision for the matter by applying, adopting or incorporating the matter as in force at a particular time or as in force from time to time.</w:t>
      </w:r>
    </w:p>
    <w:p w:rsidR="00A37D65" w:rsidRPr="006E709F" w:rsidRDefault="00A37D65" w:rsidP="00A801D0">
      <w:pPr>
        <w:pStyle w:val="subsection"/>
      </w:pPr>
      <w:r w:rsidRPr="006E709F">
        <w:tab/>
        <w:t>(1B)</w:t>
      </w:r>
      <w:r w:rsidRPr="006E709F">
        <w:tab/>
        <w:t xml:space="preserve">In addition to </w:t>
      </w:r>
      <w:r w:rsidR="00DA13DE" w:rsidRPr="006E709F">
        <w:t>subsection (</w:t>
      </w:r>
      <w:r w:rsidRPr="006E709F">
        <w:t>1A), a Product Disclosure Statement may make provision for a matter contained in writing by applying, adopting or incorporating the matter as in force at a particular time or as in force from time to time.</w:t>
      </w:r>
    </w:p>
    <w:p w:rsidR="00A37D65" w:rsidRPr="006E709F" w:rsidRDefault="00A37D65" w:rsidP="00A801D0">
      <w:pPr>
        <w:pStyle w:val="subsection"/>
      </w:pPr>
      <w:r w:rsidRPr="006E709F">
        <w:tab/>
        <w:t>(1C)</w:t>
      </w:r>
      <w:r w:rsidRPr="006E709F">
        <w:tab/>
        <w:t>If a Product Disclosure Statement applies, adopts or incorporates a matter contained in writing:</w:t>
      </w:r>
    </w:p>
    <w:p w:rsidR="00A37D65" w:rsidRPr="006E709F" w:rsidRDefault="00A37D65" w:rsidP="00A801D0">
      <w:pPr>
        <w:pStyle w:val="paragraph"/>
      </w:pPr>
      <w:r w:rsidRPr="006E709F">
        <w:tab/>
        <w:t>(a)</w:t>
      </w:r>
      <w:r w:rsidRPr="006E709F">
        <w:tab/>
        <w:t>the applied, adopted or incorporated matter forms part of the Statement; and</w:t>
      </w:r>
    </w:p>
    <w:p w:rsidR="00A37D65" w:rsidRPr="006E709F" w:rsidRDefault="00A37D65" w:rsidP="00A801D0">
      <w:pPr>
        <w:pStyle w:val="paragraph"/>
      </w:pPr>
      <w:r w:rsidRPr="006E709F">
        <w:tab/>
        <w:t>(b)</w:t>
      </w:r>
      <w:r w:rsidRPr="006E709F">
        <w:tab/>
        <w:t>the responsible person for the Statement is not required to give the document which provides for the matter to a person (as part of giving the Statement or later) if that person has not asked for the document; and</w:t>
      </w:r>
    </w:p>
    <w:p w:rsidR="00A37D65" w:rsidRPr="006E709F" w:rsidRDefault="00A37D65" w:rsidP="00A801D0">
      <w:pPr>
        <w:pStyle w:val="paragraph"/>
      </w:pPr>
      <w:r w:rsidRPr="006E709F">
        <w:tab/>
        <w:t>(c)</w:t>
      </w:r>
      <w:r w:rsidRPr="006E709F">
        <w:tab/>
        <w:t>the responsible person for the Statement must give the document which provides for the matter to a person if that person asks for the document.</w:t>
      </w:r>
    </w:p>
    <w:p w:rsidR="00A37D65" w:rsidRPr="006E709F" w:rsidRDefault="00A37D65" w:rsidP="00A801D0">
      <w:pPr>
        <w:pStyle w:val="subsection"/>
      </w:pPr>
      <w:r w:rsidRPr="006E709F">
        <w:tab/>
        <w:t>(1D)</w:t>
      </w:r>
      <w:r w:rsidRPr="006E709F">
        <w:tab/>
        <w:t>The regulations may prescribe requirements for applying, adopting, or incorporating a matter contained in writing in a Product Disclosure Statement.</w:t>
      </w:r>
    </w:p>
    <w:p w:rsidR="00A37D65" w:rsidRPr="006E709F" w:rsidRDefault="00A37D65" w:rsidP="00A801D0">
      <w:pPr>
        <w:pStyle w:val="subsection"/>
      </w:pPr>
      <w:r w:rsidRPr="006E709F">
        <w:tab/>
        <w:t>(1E)</w:t>
      </w:r>
      <w:r w:rsidRPr="006E709F">
        <w:tab/>
        <w:t xml:space="preserve">A Product Disclosure Statement may refer to information, other than information to which </w:t>
      </w:r>
      <w:r w:rsidR="00DA13DE" w:rsidRPr="006E709F">
        <w:t>subsection (</w:t>
      </w:r>
      <w:r w:rsidRPr="006E709F">
        <w:t>1A) or (1B) applies, that is set out in another document; and</w:t>
      </w:r>
    </w:p>
    <w:p w:rsidR="00A37D65" w:rsidRPr="006E709F" w:rsidRDefault="00A37D65" w:rsidP="00A801D0">
      <w:pPr>
        <w:pStyle w:val="subsection"/>
      </w:pPr>
      <w:r w:rsidRPr="006E709F">
        <w:tab/>
        <w:t>(1F)</w:t>
      </w:r>
      <w:r w:rsidRPr="006E709F">
        <w:tab/>
        <w:t xml:space="preserve">If the Product Disclosure Statement refers to other information as permitted by </w:t>
      </w:r>
      <w:r w:rsidR="00DA13DE" w:rsidRPr="006E709F">
        <w:t>subsection (</w:t>
      </w:r>
      <w:r w:rsidRPr="006E709F">
        <w:t>1E), that information does not form part of the Statement.</w:t>
      </w:r>
    </w:p>
    <w:p w:rsidR="00A37D65" w:rsidRPr="006E709F" w:rsidRDefault="00A801D0" w:rsidP="00A801D0">
      <w:pPr>
        <w:pStyle w:val="notetext"/>
      </w:pPr>
      <w:r w:rsidRPr="006E709F">
        <w:lastRenderedPageBreak/>
        <w:t>Note:</w:t>
      </w:r>
      <w:r w:rsidRPr="006E709F">
        <w:tab/>
      </w:r>
      <w:r w:rsidR="00A37D65" w:rsidRPr="006E709F">
        <w:t xml:space="preserve">Although the information mentioned in </w:t>
      </w:r>
      <w:r w:rsidR="00DA13DE" w:rsidRPr="006E709F">
        <w:t>subsection (</w:t>
      </w:r>
      <w:r w:rsidR="00A37D65" w:rsidRPr="006E709F">
        <w:t>1F) would not form part of the Product Disclosure Statement, it would be subject to requirements imposed by the Act or these Regulations such as the prohibition on making misleading or deceptive statements.</w:t>
      </w:r>
    </w:p>
    <w:p w:rsidR="00A37D65" w:rsidRPr="006E709F" w:rsidRDefault="000577C6" w:rsidP="00C66015">
      <w:pPr>
        <w:pStyle w:val="ItemHead"/>
      </w:pPr>
      <w:r w:rsidRPr="006E709F">
        <w:t xml:space="preserve">5C.2  </w:t>
      </w:r>
      <w:r w:rsidR="00A37D65" w:rsidRPr="006E709F">
        <w:t>Section</w:t>
      </w:r>
      <w:r w:rsidR="00DA13DE" w:rsidRPr="006E709F">
        <w:t> </w:t>
      </w:r>
      <w:r w:rsidR="00A37D65" w:rsidRPr="006E709F">
        <w:t>1013D</w:t>
      </w:r>
    </w:p>
    <w:p w:rsidR="00A801D0" w:rsidRPr="006E709F" w:rsidRDefault="00A801D0" w:rsidP="007B59B9">
      <w:pPr>
        <w:pStyle w:val="Item"/>
        <w:keepLines w:val="0"/>
        <w:rPr>
          <w:i/>
        </w:rPr>
      </w:pPr>
      <w:r w:rsidRPr="006E709F">
        <w:rPr>
          <w:i/>
        </w:rPr>
        <w:t>omit</w:t>
      </w:r>
    </w:p>
    <w:p w:rsidR="00A37D65" w:rsidRPr="006E709F" w:rsidRDefault="000577C6" w:rsidP="00C66015">
      <w:pPr>
        <w:pStyle w:val="ItemHead"/>
      </w:pPr>
      <w:r w:rsidRPr="006E709F">
        <w:t xml:space="preserve">5C.3  </w:t>
      </w:r>
      <w:r w:rsidR="00A37D65" w:rsidRPr="006E709F">
        <w:t>Section</w:t>
      </w:r>
      <w:r w:rsidR="00DA13DE" w:rsidRPr="006E709F">
        <w:t> </w:t>
      </w:r>
      <w:r w:rsidR="00A37D65" w:rsidRPr="006E709F">
        <w:t>1013E</w:t>
      </w:r>
    </w:p>
    <w:p w:rsidR="00A801D0" w:rsidRPr="006E709F" w:rsidRDefault="00A801D0" w:rsidP="007B59B9">
      <w:pPr>
        <w:pStyle w:val="Item"/>
        <w:keepLines w:val="0"/>
        <w:rPr>
          <w:i/>
        </w:rPr>
      </w:pPr>
      <w:r w:rsidRPr="006E709F">
        <w:rPr>
          <w:i/>
        </w:rPr>
        <w:t>omit</w:t>
      </w:r>
    </w:p>
    <w:p w:rsidR="00A37D65" w:rsidRPr="006E709F" w:rsidRDefault="000577C6" w:rsidP="00C66015">
      <w:pPr>
        <w:pStyle w:val="ItemHead"/>
      </w:pPr>
      <w:r w:rsidRPr="006E709F">
        <w:t xml:space="preserve">5C.4  </w:t>
      </w:r>
      <w:r w:rsidR="00A37D65" w:rsidRPr="006E709F">
        <w:t>Section</w:t>
      </w:r>
      <w:r w:rsidR="00DA13DE" w:rsidRPr="006E709F">
        <w:t> </w:t>
      </w:r>
      <w:r w:rsidR="00A37D65" w:rsidRPr="006E709F">
        <w:t>1013L</w:t>
      </w:r>
    </w:p>
    <w:p w:rsidR="00A801D0" w:rsidRPr="006E709F" w:rsidRDefault="00A801D0" w:rsidP="00C66015">
      <w:pPr>
        <w:pStyle w:val="Item"/>
        <w:keepLines w:val="0"/>
        <w:rPr>
          <w:i/>
        </w:rPr>
      </w:pPr>
      <w:r w:rsidRPr="006E709F">
        <w:rPr>
          <w:i/>
        </w:rPr>
        <w:t>substitute</w:t>
      </w:r>
    </w:p>
    <w:p w:rsidR="00A37D65" w:rsidRPr="006E709F" w:rsidRDefault="000577C6" w:rsidP="005A44F5">
      <w:pPr>
        <w:pStyle w:val="Specials"/>
      </w:pPr>
      <w:r w:rsidRPr="006E709F">
        <w:t xml:space="preserve">1013L  </w:t>
      </w:r>
      <w:r w:rsidR="00A37D65" w:rsidRPr="006E709F">
        <w:t>When Product Disclosure Statement may consist of 2 or more documents</w:t>
      </w:r>
    </w:p>
    <w:p w:rsidR="00A37D65" w:rsidRPr="006E709F" w:rsidRDefault="00A37D65" w:rsidP="007B59B9">
      <w:pPr>
        <w:pStyle w:val="subsection"/>
      </w:pPr>
      <w:r w:rsidRPr="006E709F">
        <w:tab/>
      </w:r>
      <w:r w:rsidRPr="006E709F">
        <w:tab/>
        <w:t>A Product Disclosure Statement may consist of 2 or more documents only if:</w:t>
      </w:r>
    </w:p>
    <w:p w:rsidR="00A37D65" w:rsidRPr="006E709F" w:rsidRDefault="00A37D65" w:rsidP="007B59B9">
      <w:pPr>
        <w:pStyle w:val="paragraph"/>
      </w:pPr>
      <w:r w:rsidRPr="006E709F">
        <w:tab/>
        <w:t>(a)</w:t>
      </w:r>
      <w:r w:rsidRPr="006E709F">
        <w:tab/>
        <w:t>one of the documents is a document that complies with the requirements for a Product Disclosure Statement under this Act and the Regulations; and</w:t>
      </w:r>
    </w:p>
    <w:p w:rsidR="00A37D65" w:rsidRPr="006E709F" w:rsidRDefault="00A37D65" w:rsidP="007B59B9">
      <w:pPr>
        <w:pStyle w:val="paragraph"/>
      </w:pPr>
      <w:r w:rsidRPr="006E709F">
        <w:tab/>
        <w:t>(b)</w:t>
      </w:r>
      <w:r w:rsidRPr="006E709F">
        <w:tab/>
        <w:t xml:space="preserve">the other document or documents contain a matter in writing that is applied, adopted or incorporated by the document mentioned in </w:t>
      </w:r>
      <w:r w:rsidR="00DA13DE" w:rsidRPr="006E709F">
        <w:t>subparagraph (</w:t>
      </w:r>
      <w:r w:rsidRPr="006E709F">
        <w:t>a).</w:t>
      </w:r>
    </w:p>
    <w:p w:rsidR="00A37D65" w:rsidRPr="006E709F" w:rsidRDefault="000577C6" w:rsidP="00C66015">
      <w:pPr>
        <w:pStyle w:val="ItemHead"/>
      </w:pPr>
      <w:r w:rsidRPr="006E709F">
        <w:t xml:space="preserve">5C.5  </w:t>
      </w:r>
      <w:r w:rsidR="00A37D65" w:rsidRPr="006E709F">
        <w:t>Subsection</w:t>
      </w:r>
      <w:r w:rsidR="00DA13DE" w:rsidRPr="006E709F">
        <w:t> </w:t>
      </w:r>
      <w:r w:rsidR="00A37D65" w:rsidRPr="006E709F">
        <w:t>1015D(3)</w:t>
      </w:r>
    </w:p>
    <w:p w:rsidR="00A801D0" w:rsidRPr="006E709F" w:rsidRDefault="00A801D0" w:rsidP="00C66015">
      <w:pPr>
        <w:pStyle w:val="Item"/>
        <w:keepLines w:val="0"/>
        <w:rPr>
          <w:i/>
        </w:rPr>
      </w:pPr>
      <w:r w:rsidRPr="006E709F">
        <w:rPr>
          <w:i/>
        </w:rPr>
        <w:t>omit</w:t>
      </w:r>
    </w:p>
    <w:p w:rsidR="007D5872" w:rsidRPr="006E709F" w:rsidRDefault="007D5872" w:rsidP="007D5872">
      <w:pPr>
        <w:pStyle w:val="ActHead2"/>
        <w:pageBreakBefore/>
      </w:pPr>
      <w:bookmarkStart w:id="114" w:name="_Toc170547931"/>
      <w:r w:rsidRPr="000C4237">
        <w:rPr>
          <w:rStyle w:val="CharPartNo"/>
        </w:rPr>
        <w:lastRenderedPageBreak/>
        <w:t>Part 5D</w:t>
      </w:r>
      <w:r w:rsidRPr="006E709F">
        <w:t>—</w:t>
      </w:r>
      <w:r w:rsidRPr="000C4237">
        <w:rPr>
          <w:rStyle w:val="CharPartText"/>
        </w:rPr>
        <w:t>Modifications for simple sub</w:t>
      </w:r>
      <w:r w:rsidR="000C4237" w:rsidRPr="000C4237">
        <w:rPr>
          <w:rStyle w:val="CharPartText"/>
        </w:rPr>
        <w:noBreakHyphen/>
      </w:r>
      <w:r w:rsidRPr="000C4237">
        <w:rPr>
          <w:rStyle w:val="CharPartText"/>
        </w:rPr>
        <w:t>fund product</w:t>
      </w:r>
      <w:bookmarkEnd w:id="114"/>
    </w:p>
    <w:p w:rsidR="007D5872" w:rsidRPr="006E709F" w:rsidRDefault="007D5872" w:rsidP="007D5872">
      <w:pPr>
        <w:pStyle w:val="Header"/>
      </w:pPr>
      <w:r w:rsidRPr="000C4237">
        <w:rPr>
          <w:rStyle w:val="CharDivNo"/>
        </w:rPr>
        <w:t xml:space="preserve"> </w:t>
      </w:r>
      <w:r w:rsidRPr="000C4237">
        <w:rPr>
          <w:rStyle w:val="CharDivText"/>
        </w:rPr>
        <w:t xml:space="preserve"> </w:t>
      </w:r>
    </w:p>
    <w:p w:rsidR="007D5872" w:rsidRPr="006E709F" w:rsidRDefault="007D5872" w:rsidP="007D5872">
      <w:pPr>
        <w:pStyle w:val="Specialih"/>
      </w:pPr>
      <w:r w:rsidRPr="006E709F">
        <w:t>5D.2  Subsection 1013C(1)</w:t>
      </w:r>
    </w:p>
    <w:p w:rsidR="007D5872" w:rsidRPr="006E709F" w:rsidRDefault="007D5872" w:rsidP="007D5872">
      <w:pPr>
        <w:pStyle w:val="Item"/>
        <w:rPr>
          <w:i/>
        </w:rPr>
      </w:pPr>
      <w:r w:rsidRPr="006E709F">
        <w:rPr>
          <w:i/>
        </w:rPr>
        <w:t>substitute</w:t>
      </w:r>
    </w:p>
    <w:p w:rsidR="007D5872" w:rsidRPr="006E709F" w:rsidRDefault="007D5872" w:rsidP="007D5872">
      <w:pPr>
        <w:pStyle w:val="subsection"/>
      </w:pPr>
      <w:r w:rsidRPr="006E709F">
        <w:tab/>
        <w:t>(1)</w:t>
      </w:r>
      <w:r w:rsidRPr="006E709F">
        <w:tab/>
        <w:t>A Product Disclosure Statement for a simple sub</w:t>
      </w:r>
      <w:r w:rsidR="000C4237">
        <w:noBreakHyphen/>
      </w:r>
      <w:r w:rsidRPr="006E709F">
        <w:t>fund product, to which Subdivision 4.2D of Division 4 of Part 7.9 of the Regulations applies, for a retail CCIV must:</w:t>
      </w:r>
    </w:p>
    <w:p w:rsidR="007D5872" w:rsidRPr="006E709F" w:rsidRDefault="007D5872" w:rsidP="007D5872">
      <w:pPr>
        <w:pStyle w:val="paragraph"/>
      </w:pPr>
      <w:r w:rsidRPr="006E709F">
        <w:tab/>
        <w:t>(a)</w:t>
      </w:r>
      <w:r w:rsidRPr="006E709F">
        <w:tab/>
        <w:t>include the statements and information required by regulations made for the purposes of this paragraph; and</w:t>
      </w:r>
    </w:p>
    <w:p w:rsidR="007D5872" w:rsidRPr="006E709F" w:rsidRDefault="007D5872" w:rsidP="007D5872">
      <w:pPr>
        <w:pStyle w:val="paragraph"/>
      </w:pPr>
      <w:r w:rsidRPr="006E709F">
        <w:tab/>
        <w:t>(b)</w:t>
      </w:r>
      <w:r w:rsidRPr="006E709F">
        <w:tab/>
        <w:t>be in the form required by regulations made for the purposes of this paragraph; and</w:t>
      </w:r>
    </w:p>
    <w:p w:rsidR="007D5872" w:rsidRPr="006E709F" w:rsidRDefault="007D5872" w:rsidP="007D5872">
      <w:pPr>
        <w:pStyle w:val="paragraph"/>
      </w:pPr>
      <w:r w:rsidRPr="006E709F">
        <w:tab/>
        <w:t>(c)</w:t>
      </w:r>
      <w:r w:rsidRPr="006E709F">
        <w:tab/>
        <w:t>relate only to one sub</w:t>
      </w:r>
      <w:r w:rsidR="000C4237">
        <w:noBreakHyphen/>
      </w:r>
      <w:r w:rsidRPr="006E709F">
        <w:t>fund of the CCIV.</w:t>
      </w:r>
    </w:p>
    <w:p w:rsidR="007D5872" w:rsidRPr="006E709F" w:rsidRDefault="007D5872" w:rsidP="007D5872">
      <w:pPr>
        <w:pStyle w:val="subsection"/>
      </w:pPr>
      <w:r w:rsidRPr="006E709F">
        <w:tab/>
        <w:t>(1A)</w:t>
      </w:r>
      <w:r w:rsidRPr="006E709F">
        <w:tab/>
        <w:t>If a law other than this Act or regulations under this Act requires the responsible person for the Product Disclosure Statement:</w:t>
      </w:r>
    </w:p>
    <w:p w:rsidR="007D5872" w:rsidRPr="006E709F" w:rsidRDefault="007D5872" w:rsidP="007D5872">
      <w:pPr>
        <w:pStyle w:val="paragraph"/>
      </w:pPr>
      <w:r w:rsidRPr="006E709F">
        <w:tab/>
        <w:t>(a)</w:t>
      </w:r>
      <w:r w:rsidRPr="006E709F">
        <w:tab/>
        <w:t>to give, disclose or provide a matter; or</w:t>
      </w:r>
    </w:p>
    <w:p w:rsidR="007D5872" w:rsidRPr="006E709F" w:rsidRDefault="007D5872" w:rsidP="007D5872">
      <w:pPr>
        <w:pStyle w:val="paragraph"/>
      </w:pPr>
      <w:r w:rsidRPr="006E709F">
        <w:tab/>
        <w:t>(b)</w:t>
      </w:r>
      <w:r w:rsidRPr="006E709F">
        <w:tab/>
        <w:t>to include a matter in the Statement;</w:t>
      </w:r>
    </w:p>
    <w:p w:rsidR="007D5872" w:rsidRPr="006E709F" w:rsidRDefault="007D5872" w:rsidP="007D5872">
      <w:pPr>
        <w:pStyle w:val="subsection2"/>
      </w:pPr>
      <w:r w:rsidRPr="006E709F">
        <w:t>the Statement may make provision for the matter by applying, adopting or incorporating the matter as in force at a particular time or as in force from time to time.</w:t>
      </w:r>
    </w:p>
    <w:p w:rsidR="007D5872" w:rsidRPr="006E709F" w:rsidRDefault="007D5872" w:rsidP="007D5872">
      <w:pPr>
        <w:pStyle w:val="subsection"/>
      </w:pPr>
      <w:r w:rsidRPr="006E709F">
        <w:tab/>
        <w:t>(1B)</w:t>
      </w:r>
      <w:r w:rsidRPr="006E709F">
        <w:tab/>
        <w:t>In addition to subsection (1A), a Product Disclosure Statement may make provision for a matter contained in writing by applying, adopting or incorporating the matter as in force at a particular time or as in force from time to time.</w:t>
      </w:r>
    </w:p>
    <w:p w:rsidR="007D5872" w:rsidRPr="006E709F" w:rsidRDefault="007D5872" w:rsidP="007D5872">
      <w:pPr>
        <w:pStyle w:val="subsection"/>
      </w:pPr>
      <w:r w:rsidRPr="006E709F">
        <w:tab/>
        <w:t>(1C)</w:t>
      </w:r>
      <w:r w:rsidRPr="006E709F">
        <w:tab/>
        <w:t>If a Product Disclosure Statement applies, adopts or incorporates a matter contained in writing:</w:t>
      </w:r>
    </w:p>
    <w:p w:rsidR="007D5872" w:rsidRPr="006E709F" w:rsidRDefault="007D5872" w:rsidP="007D5872">
      <w:pPr>
        <w:pStyle w:val="paragraph"/>
      </w:pPr>
      <w:r w:rsidRPr="006E709F">
        <w:tab/>
        <w:t>(a)</w:t>
      </w:r>
      <w:r w:rsidRPr="006E709F">
        <w:tab/>
        <w:t>the applied, adopted or incorporated matter forms part of the Statement; and</w:t>
      </w:r>
    </w:p>
    <w:p w:rsidR="007D5872" w:rsidRPr="006E709F" w:rsidRDefault="007D5872" w:rsidP="007D5872">
      <w:pPr>
        <w:pStyle w:val="paragraph"/>
      </w:pPr>
      <w:r w:rsidRPr="006E709F">
        <w:tab/>
        <w:t>(b)</w:t>
      </w:r>
      <w:r w:rsidRPr="006E709F">
        <w:tab/>
        <w:t>the responsible person for the Statement is not required to give the document that provides for the matter to a person (as part of giving the Statement or later) if that person has not asked for the document; and</w:t>
      </w:r>
    </w:p>
    <w:p w:rsidR="007D5872" w:rsidRPr="006E709F" w:rsidRDefault="007D5872" w:rsidP="007D5872">
      <w:pPr>
        <w:pStyle w:val="paragraph"/>
      </w:pPr>
      <w:r w:rsidRPr="006E709F">
        <w:tab/>
        <w:t>(c)</w:t>
      </w:r>
      <w:r w:rsidRPr="006E709F">
        <w:tab/>
        <w:t>the responsible person for the Statement must give the document that provides for the matter to a person if that person asks for the document.</w:t>
      </w:r>
    </w:p>
    <w:p w:rsidR="007D5872" w:rsidRPr="006E709F" w:rsidRDefault="007D5872" w:rsidP="007D5872">
      <w:pPr>
        <w:pStyle w:val="subsection"/>
      </w:pPr>
      <w:r w:rsidRPr="006E709F">
        <w:tab/>
        <w:t>(1D)</w:t>
      </w:r>
      <w:r w:rsidRPr="006E709F">
        <w:tab/>
        <w:t>The regulations may prescribe requirements for applying, adopting or incorporating a matter contained in writing in a Product Disclosure Statement.</w:t>
      </w:r>
    </w:p>
    <w:p w:rsidR="007D5872" w:rsidRPr="006E709F" w:rsidRDefault="007D5872" w:rsidP="007D5872">
      <w:pPr>
        <w:pStyle w:val="subsection"/>
      </w:pPr>
      <w:r w:rsidRPr="006E709F">
        <w:tab/>
        <w:t>(1E)</w:t>
      </w:r>
      <w:r w:rsidRPr="006E709F">
        <w:tab/>
        <w:t>A Product Disclosure Statement may refer to information, other than information to which subsection (1A) or (1B) applies, that is set out in another document.</w:t>
      </w:r>
    </w:p>
    <w:p w:rsidR="007D5872" w:rsidRPr="006E709F" w:rsidRDefault="007D5872" w:rsidP="007D5872">
      <w:pPr>
        <w:pStyle w:val="subsection"/>
      </w:pPr>
      <w:r w:rsidRPr="006E709F">
        <w:tab/>
        <w:t>(1F)</w:t>
      </w:r>
      <w:r w:rsidRPr="006E709F">
        <w:tab/>
        <w:t>If the Product Disclosure Statement refers to other information as permitted by subsection (1E), that information does not form part of the Statement.</w:t>
      </w:r>
    </w:p>
    <w:p w:rsidR="007D5872" w:rsidRPr="006E709F" w:rsidRDefault="007D5872" w:rsidP="007D5872">
      <w:pPr>
        <w:pStyle w:val="notetext"/>
      </w:pPr>
      <w:r w:rsidRPr="006E709F">
        <w:t>Note:</w:t>
      </w:r>
      <w:r w:rsidRPr="006E709F">
        <w:tab/>
        <w:t xml:space="preserve">Although the information mentioned in subsection (1F) would not form part of the Product Disclosure Statement, it would be subject to requirements imposed by the Act </w:t>
      </w:r>
      <w:r w:rsidRPr="006E709F">
        <w:lastRenderedPageBreak/>
        <w:t>or the Regulations such as the prohibition on making misleading or deceptive statements.</w:t>
      </w:r>
    </w:p>
    <w:p w:rsidR="007D5872" w:rsidRPr="006E709F" w:rsidRDefault="007D5872" w:rsidP="007D5872">
      <w:pPr>
        <w:pStyle w:val="Specialih"/>
      </w:pPr>
      <w:r w:rsidRPr="006E709F">
        <w:t>5D.3  Section 1013D</w:t>
      </w:r>
    </w:p>
    <w:p w:rsidR="007D5872" w:rsidRPr="006E709F" w:rsidRDefault="007D5872" w:rsidP="007D5872">
      <w:pPr>
        <w:pStyle w:val="Item"/>
        <w:rPr>
          <w:i/>
        </w:rPr>
      </w:pPr>
      <w:r w:rsidRPr="006E709F">
        <w:rPr>
          <w:i/>
        </w:rPr>
        <w:t>omit</w:t>
      </w:r>
    </w:p>
    <w:p w:rsidR="007D5872" w:rsidRPr="006E709F" w:rsidRDefault="007D5872" w:rsidP="007D5872">
      <w:pPr>
        <w:pStyle w:val="Specialih"/>
      </w:pPr>
      <w:r w:rsidRPr="006E709F">
        <w:t>5D.4  Section 1013E</w:t>
      </w:r>
    </w:p>
    <w:p w:rsidR="007D5872" w:rsidRPr="006E709F" w:rsidRDefault="007D5872" w:rsidP="007D5872">
      <w:pPr>
        <w:pStyle w:val="Item"/>
        <w:rPr>
          <w:i/>
        </w:rPr>
      </w:pPr>
      <w:r w:rsidRPr="006E709F">
        <w:rPr>
          <w:i/>
        </w:rPr>
        <w:t>omit</w:t>
      </w:r>
    </w:p>
    <w:p w:rsidR="007D5872" w:rsidRPr="006E709F" w:rsidRDefault="007D5872" w:rsidP="007D5872">
      <w:pPr>
        <w:pStyle w:val="Specialih"/>
      </w:pPr>
      <w:r w:rsidRPr="006E709F">
        <w:t>5D.5  Section 1013L</w:t>
      </w:r>
    </w:p>
    <w:p w:rsidR="007D5872" w:rsidRPr="006E709F" w:rsidRDefault="007D5872" w:rsidP="007D5872">
      <w:pPr>
        <w:pStyle w:val="Item"/>
        <w:rPr>
          <w:i/>
        </w:rPr>
      </w:pPr>
      <w:r w:rsidRPr="006E709F">
        <w:rPr>
          <w:i/>
        </w:rPr>
        <w:t>substitute</w:t>
      </w:r>
    </w:p>
    <w:p w:rsidR="007D5872" w:rsidRPr="006E709F" w:rsidRDefault="007D5872" w:rsidP="007D5872">
      <w:pPr>
        <w:pStyle w:val="Specials"/>
      </w:pPr>
      <w:r w:rsidRPr="006E709F">
        <w:t>1013L  When Product Disclosure Statement may consist of 2 or more documents</w:t>
      </w:r>
    </w:p>
    <w:p w:rsidR="007D5872" w:rsidRPr="006E709F" w:rsidRDefault="007D5872" w:rsidP="007D5872">
      <w:pPr>
        <w:pStyle w:val="subsection"/>
      </w:pPr>
      <w:r w:rsidRPr="006E709F">
        <w:tab/>
      </w:r>
      <w:r w:rsidRPr="006E709F">
        <w:tab/>
        <w:t>A Product Disclosure Statement may consist of 2 or more documents only if:</w:t>
      </w:r>
    </w:p>
    <w:p w:rsidR="007D5872" w:rsidRPr="006E709F" w:rsidRDefault="007D5872" w:rsidP="007D5872">
      <w:pPr>
        <w:pStyle w:val="paragraph"/>
      </w:pPr>
      <w:r w:rsidRPr="006E709F">
        <w:tab/>
        <w:t>(a)</w:t>
      </w:r>
      <w:r w:rsidRPr="006E709F">
        <w:tab/>
        <w:t>one of the documents is a document that complies with the requirements for a Product Disclosure Statement under this Act and the Regulations; and</w:t>
      </w:r>
    </w:p>
    <w:p w:rsidR="007D5872" w:rsidRPr="006E709F" w:rsidRDefault="007D5872" w:rsidP="007D5872">
      <w:pPr>
        <w:pStyle w:val="paragraph"/>
      </w:pPr>
      <w:r w:rsidRPr="006E709F">
        <w:tab/>
        <w:t>(b)</w:t>
      </w:r>
      <w:r w:rsidRPr="006E709F">
        <w:tab/>
        <w:t>the other document or documents contain a matter in writing that is applied, adopted or incorporated by the document mentioned in subparagraph (a).</w:t>
      </w:r>
    </w:p>
    <w:p w:rsidR="007D5872" w:rsidRPr="006E709F" w:rsidRDefault="007D5872" w:rsidP="007D5872">
      <w:pPr>
        <w:pStyle w:val="Specialih"/>
      </w:pPr>
      <w:r w:rsidRPr="006E709F">
        <w:t>5D.6  Subsection 1015D(3)</w:t>
      </w:r>
    </w:p>
    <w:p w:rsidR="007D5872" w:rsidRPr="006E709F" w:rsidRDefault="007D5872" w:rsidP="007D5872">
      <w:pPr>
        <w:pStyle w:val="Item"/>
        <w:rPr>
          <w:i/>
        </w:rPr>
      </w:pPr>
      <w:r w:rsidRPr="006E709F">
        <w:rPr>
          <w:i/>
        </w:rPr>
        <w:t>omit</w:t>
      </w:r>
    </w:p>
    <w:p w:rsidR="002A22A4" w:rsidRPr="006E709F" w:rsidRDefault="00A801D0" w:rsidP="00AE08F9">
      <w:pPr>
        <w:pStyle w:val="ActHead2"/>
        <w:pageBreakBefore/>
      </w:pPr>
      <w:bookmarkStart w:id="115" w:name="_Toc170547932"/>
      <w:r w:rsidRPr="000C4237">
        <w:rPr>
          <w:rStyle w:val="CharPartNo"/>
        </w:rPr>
        <w:lastRenderedPageBreak/>
        <w:t>Part</w:t>
      </w:r>
      <w:r w:rsidR="00DA13DE" w:rsidRPr="000C4237">
        <w:rPr>
          <w:rStyle w:val="CharPartNo"/>
        </w:rPr>
        <w:t> </w:t>
      </w:r>
      <w:r w:rsidR="002A22A4" w:rsidRPr="000C4237">
        <w:rPr>
          <w:rStyle w:val="CharPartNo"/>
        </w:rPr>
        <w:t>6</w:t>
      </w:r>
      <w:r w:rsidRPr="006E709F">
        <w:t>—</w:t>
      </w:r>
      <w:r w:rsidR="002A22A4" w:rsidRPr="000C4237">
        <w:rPr>
          <w:rStyle w:val="CharPartText"/>
        </w:rPr>
        <w:t>Modifications relating to application forms and Product Disclosure Statements for standard employer</w:t>
      </w:r>
      <w:r w:rsidR="000C4237" w:rsidRPr="000C4237">
        <w:rPr>
          <w:rStyle w:val="CharPartText"/>
        </w:rPr>
        <w:noBreakHyphen/>
      </w:r>
      <w:r w:rsidR="002A22A4" w:rsidRPr="000C4237">
        <w:rPr>
          <w:rStyle w:val="CharPartText"/>
        </w:rPr>
        <w:t>sponsor arrangements and successor funds</w:t>
      </w:r>
      <w:bookmarkEnd w:id="115"/>
    </w:p>
    <w:p w:rsidR="002406FE" w:rsidRPr="006E709F" w:rsidRDefault="002406FE" w:rsidP="002406FE">
      <w:pPr>
        <w:pStyle w:val="Header"/>
      </w:pPr>
      <w:r w:rsidRPr="000C4237">
        <w:rPr>
          <w:rStyle w:val="CharDivNo"/>
        </w:rPr>
        <w:t xml:space="preserve"> </w:t>
      </w:r>
      <w:r w:rsidRPr="000C4237">
        <w:rPr>
          <w:rStyle w:val="CharDivText"/>
        </w:rPr>
        <w:t xml:space="preserve"> </w:t>
      </w:r>
    </w:p>
    <w:p w:rsidR="002A22A4" w:rsidRPr="006E709F" w:rsidRDefault="000577C6" w:rsidP="00C66015">
      <w:pPr>
        <w:pStyle w:val="ItemHead"/>
      </w:pPr>
      <w:r w:rsidRPr="006E709F">
        <w:t xml:space="preserve">6.1  </w:t>
      </w:r>
      <w:r w:rsidR="002A22A4" w:rsidRPr="006E709F">
        <w:t>After subsection</w:t>
      </w:r>
      <w:r w:rsidR="00DA13DE" w:rsidRPr="006E709F">
        <w:t> </w:t>
      </w:r>
      <w:r w:rsidR="002A22A4" w:rsidRPr="006E709F">
        <w:t>1016A(2)</w:t>
      </w:r>
    </w:p>
    <w:p w:rsidR="00A801D0" w:rsidRPr="006E709F" w:rsidRDefault="00A801D0" w:rsidP="00C66015">
      <w:pPr>
        <w:pStyle w:val="Item"/>
        <w:keepLines w:val="0"/>
        <w:rPr>
          <w:i/>
        </w:rPr>
      </w:pPr>
      <w:r w:rsidRPr="006E709F">
        <w:rPr>
          <w:i/>
        </w:rPr>
        <w:t>insert</w:t>
      </w:r>
    </w:p>
    <w:p w:rsidR="002A22A4" w:rsidRPr="006E709F" w:rsidRDefault="002A22A4" w:rsidP="00A801D0">
      <w:pPr>
        <w:pStyle w:val="subsection"/>
      </w:pPr>
      <w:r w:rsidRPr="006E709F">
        <w:tab/>
        <w:t>(2A)</w:t>
      </w:r>
      <w:r w:rsidRPr="006E709F">
        <w:tab/>
      </w:r>
      <w:r w:rsidR="00DA13DE" w:rsidRPr="006E709F">
        <w:t>Subsection (</w:t>
      </w:r>
      <w:r w:rsidRPr="006E709F">
        <w:t>2) does not apply in relation to a member who:</w:t>
      </w:r>
    </w:p>
    <w:p w:rsidR="002A22A4" w:rsidRPr="006E709F" w:rsidRDefault="002A22A4" w:rsidP="00A801D0">
      <w:pPr>
        <w:pStyle w:val="paragraph"/>
      </w:pPr>
      <w:r w:rsidRPr="006E709F">
        <w:rPr>
          <w:color w:val="000000"/>
        </w:rPr>
        <w:tab/>
        <w:t>(a)</w:t>
      </w:r>
      <w:r w:rsidRPr="006E709F">
        <w:rPr>
          <w:color w:val="000000"/>
        </w:rPr>
        <w:tab/>
        <w:t>held an interest in a superannuation fund as a standard employer</w:t>
      </w:r>
      <w:r w:rsidR="000C4237">
        <w:rPr>
          <w:color w:val="000000"/>
        </w:rPr>
        <w:noBreakHyphen/>
      </w:r>
      <w:r w:rsidRPr="006E709F">
        <w:rPr>
          <w:color w:val="000000"/>
        </w:rPr>
        <w:t>sponsored member; and</w:t>
      </w:r>
    </w:p>
    <w:p w:rsidR="002A22A4" w:rsidRPr="006E709F" w:rsidRDefault="002A22A4" w:rsidP="00A801D0">
      <w:pPr>
        <w:pStyle w:val="paragraph"/>
      </w:pPr>
      <w:r w:rsidRPr="006E709F">
        <w:tab/>
        <w:t>(b)</w:t>
      </w:r>
      <w:r w:rsidRPr="006E709F">
        <w:tab/>
        <w:t>is issued with an interest in relation to another sub</w:t>
      </w:r>
      <w:r w:rsidR="000C4237">
        <w:noBreakHyphen/>
      </w:r>
      <w:r w:rsidRPr="006E709F">
        <w:t>plan of the superannuation fund as a result of a transfer related to the cessation of the member’s employment with the employer</w:t>
      </w:r>
      <w:r w:rsidR="000C4237">
        <w:noBreakHyphen/>
      </w:r>
      <w:r w:rsidRPr="006E709F">
        <w:t>sponsor.</w:t>
      </w:r>
    </w:p>
    <w:p w:rsidR="002A22A4" w:rsidRPr="006E709F" w:rsidRDefault="000577C6" w:rsidP="00C66015">
      <w:pPr>
        <w:pStyle w:val="ItemHead"/>
      </w:pPr>
      <w:r w:rsidRPr="006E709F">
        <w:t xml:space="preserve">6.2  </w:t>
      </w:r>
      <w:r w:rsidR="002A22A4" w:rsidRPr="006E709F">
        <w:t>After subsection</w:t>
      </w:r>
      <w:r w:rsidR="00DA13DE" w:rsidRPr="006E709F">
        <w:t> </w:t>
      </w:r>
      <w:r w:rsidR="002A22A4" w:rsidRPr="006E709F">
        <w:t>1016A(3)</w:t>
      </w:r>
    </w:p>
    <w:p w:rsidR="00A801D0" w:rsidRPr="006E709F" w:rsidRDefault="00A801D0" w:rsidP="00C66015">
      <w:pPr>
        <w:pStyle w:val="Item"/>
        <w:keepLines w:val="0"/>
        <w:rPr>
          <w:i/>
        </w:rPr>
      </w:pPr>
      <w:r w:rsidRPr="006E709F">
        <w:rPr>
          <w:i/>
        </w:rPr>
        <w:t>insert</w:t>
      </w:r>
    </w:p>
    <w:p w:rsidR="002A22A4" w:rsidRPr="006E709F" w:rsidRDefault="002A22A4" w:rsidP="00A801D0">
      <w:pPr>
        <w:pStyle w:val="subsection"/>
      </w:pPr>
      <w:r w:rsidRPr="006E709F">
        <w:tab/>
        <w:t>(3A)</w:t>
      </w:r>
      <w:r w:rsidRPr="006E709F">
        <w:tab/>
      </w:r>
      <w:r w:rsidR="00DA13DE" w:rsidRPr="006E709F">
        <w:t>Subsection (</w:t>
      </w:r>
      <w:r w:rsidRPr="006E709F">
        <w:t>3) does not apply in relation to a superannuation product if:</w:t>
      </w:r>
    </w:p>
    <w:p w:rsidR="002A22A4" w:rsidRPr="006E709F" w:rsidRDefault="002A22A4" w:rsidP="00A801D0">
      <w:pPr>
        <w:pStyle w:val="paragraph"/>
      </w:pPr>
      <w:r w:rsidRPr="006E709F">
        <w:rPr>
          <w:color w:val="000000"/>
        </w:rPr>
        <w:tab/>
        <w:t>(a)</w:t>
      </w:r>
      <w:r w:rsidRPr="006E709F">
        <w:rPr>
          <w:color w:val="000000"/>
        </w:rPr>
        <w:tab/>
        <w:t>the issuer is a public offer entity that is a successor fund; and</w:t>
      </w:r>
    </w:p>
    <w:p w:rsidR="002A22A4" w:rsidRPr="006E709F" w:rsidRDefault="002A22A4" w:rsidP="00A801D0">
      <w:pPr>
        <w:pStyle w:val="paragraph"/>
      </w:pPr>
      <w:r w:rsidRPr="006E709F">
        <w:tab/>
        <w:t>(b)</w:t>
      </w:r>
      <w:r w:rsidRPr="006E709F">
        <w:tab/>
        <w:t>an employer became a standard employer</w:t>
      </w:r>
      <w:r w:rsidR="000C4237">
        <w:noBreakHyphen/>
      </w:r>
      <w:r w:rsidRPr="006E709F">
        <w:t>sponsor of a fund in the following way:</w:t>
      </w:r>
    </w:p>
    <w:p w:rsidR="0048795D" w:rsidRPr="006E709F" w:rsidRDefault="002A22A4" w:rsidP="00A801D0">
      <w:pPr>
        <w:pStyle w:val="paragraphsub"/>
        <w:rPr>
          <w:color w:val="000000"/>
        </w:rPr>
      </w:pPr>
      <w:r w:rsidRPr="006E709F">
        <w:rPr>
          <w:color w:val="000000"/>
        </w:rPr>
        <w:tab/>
        <w:t>(i)</w:t>
      </w:r>
      <w:r w:rsidRPr="006E709F">
        <w:rPr>
          <w:color w:val="000000"/>
        </w:rPr>
        <w:tab/>
        <w:t>the employer was a standard employer</w:t>
      </w:r>
      <w:r w:rsidR="000C4237">
        <w:rPr>
          <w:color w:val="000000"/>
        </w:rPr>
        <w:noBreakHyphen/>
      </w:r>
      <w:r w:rsidRPr="006E709F">
        <w:rPr>
          <w:color w:val="000000"/>
        </w:rPr>
        <w:t>sponsor of a fund (</w:t>
      </w:r>
      <w:r w:rsidRPr="006E709F">
        <w:rPr>
          <w:b/>
          <w:i/>
          <w:color w:val="000000"/>
        </w:rPr>
        <w:t>fund</w:t>
      </w:r>
      <w:r w:rsidR="00E376FA" w:rsidRPr="006E709F">
        <w:rPr>
          <w:b/>
          <w:i/>
          <w:color w:val="000000"/>
        </w:rPr>
        <w:t xml:space="preserve"> </w:t>
      </w:r>
      <w:r w:rsidRPr="006E709F">
        <w:rPr>
          <w:b/>
          <w:i/>
          <w:color w:val="000000"/>
        </w:rPr>
        <w:t>1</w:t>
      </w:r>
      <w:r w:rsidRPr="006E709F">
        <w:rPr>
          <w:color w:val="000000"/>
        </w:rPr>
        <w:t>);</w:t>
      </w:r>
    </w:p>
    <w:p w:rsidR="0048795D" w:rsidRPr="006E709F" w:rsidRDefault="002A22A4" w:rsidP="00A801D0">
      <w:pPr>
        <w:pStyle w:val="paragraphsub"/>
      </w:pPr>
      <w:r w:rsidRPr="006E709F">
        <w:tab/>
        <w:t>(ii)</w:t>
      </w:r>
      <w:r w:rsidRPr="006E709F">
        <w:tab/>
        <w:t>the benefits of members in fund</w:t>
      </w:r>
      <w:r w:rsidR="00E376FA" w:rsidRPr="006E709F">
        <w:t xml:space="preserve"> </w:t>
      </w:r>
      <w:r w:rsidRPr="006E709F">
        <w:t>1 were transferred to a successor fund;</w:t>
      </w:r>
    </w:p>
    <w:p w:rsidR="0048795D" w:rsidRPr="006E709F" w:rsidRDefault="002A22A4" w:rsidP="00A801D0">
      <w:pPr>
        <w:pStyle w:val="paragraphsub"/>
      </w:pPr>
      <w:r w:rsidRPr="006E709F">
        <w:tab/>
        <w:t>(iii)</w:t>
      </w:r>
      <w:r w:rsidRPr="006E709F">
        <w:tab/>
        <w:t>the employer was a standard employer</w:t>
      </w:r>
      <w:r w:rsidR="000C4237">
        <w:noBreakHyphen/>
      </w:r>
      <w:r w:rsidRPr="006E709F">
        <w:t>sponsor of fund</w:t>
      </w:r>
      <w:r w:rsidR="00E376FA" w:rsidRPr="006E709F">
        <w:t xml:space="preserve"> </w:t>
      </w:r>
      <w:r w:rsidRPr="006E709F">
        <w:t>1 immediately before those benefits were so transferred;</w:t>
      </w:r>
    </w:p>
    <w:p w:rsidR="0048795D" w:rsidRPr="006E709F" w:rsidRDefault="002A22A4" w:rsidP="00A801D0">
      <w:pPr>
        <w:pStyle w:val="paragraphsub"/>
      </w:pPr>
      <w:r w:rsidRPr="006E709F">
        <w:tab/>
        <w:t>(iv)</w:t>
      </w:r>
      <w:r w:rsidRPr="006E709F">
        <w:tab/>
        <w:t>the employer was a standard employer</w:t>
      </w:r>
      <w:r w:rsidR="000C4237">
        <w:noBreakHyphen/>
      </w:r>
      <w:r w:rsidRPr="006E709F">
        <w:t>sponsor of the successor fund immediately after those benefits were so transferred.</w:t>
      </w:r>
    </w:p>
    <w:p w:rsidR="002A22A4" w:rsidRPr="006E709F" w:rsidRDefault="000577C6" w:rsidP="00C66015">
      <w:pPr>
        <w:pStyle w:val="ItemHead"/>
      </w:pPr>
      <w:r w:rsidRPr="006E709F">
        <w:t xml:space="preserve">6.3  </w:t>
      </w:r>
      <w:r w:rsidR="002A22A4" w:rsidRPr="006E709F">
        <w:t>After subsection</w:t>
      </w:r>
      <w:r w:rsidR="00DA13DE" w:rsidRPr="006E709F">
        <w:t> </w:t>
      </w:r>
      <w:r w:rsidR="002A22A4" w:rsidRPr="006E709F">
        <w:t>1012D(9)</w:t>
      </w:r>
    </w:p>
    <w:p w:rsidR="00A801D0" w:rsidRPr="006E709F" w:rsidRDefault="00A801D0" w:rsidP="00C66015">
      <w:pPr>
        <w:pStyle w:val="Item"/>
        <w:keepLines w:val="0"/>
        <w:rPr>
          <w:i/>
        </w:rPr>
      </w:pPr>
      <w:r w:rsidRPr="006E709F">
        <w:rPr>
          <w:i/>
        </w:rPr>
        <w:t>insert</w:t>
      </w:r>
    </w:p>
    <w:p w:rsidR="002A22A4" w:rsidRPr="006E709F" w:rsidRDefault="002A22A4" w:rsidP="00A801D0">
      <w:pPr>
        <w:pStyle w:val="SubsectionHead"/>
      </w:pPr>
      <w:r w:rsidRPr="006E709F">
        <w:t>Recommendation, issue or sale situation</w:t>
      </w:r>
      <w:r w:rsidR="00A801D0" w:rsidRPr="006E709F">
        <w:t>—</w:t>
      </w:r>
      <w:r w:rsidRPr="006E709F">
        <w:t>successor fund</w:t>
      </w:r>
    </w:p>
    <w:p w:rsidR="002A22A4" w:rsidRPr="006E709F" w:rsidRDefault="002A22A4" w:rsidP="00A801D0">
      <w:pPr>
        <w:pStyle w:val="subsection"/>
      </w:pPr>
      <w:r w:rsidRPr="006E709F">
        <w:tab/>
        <w:t>(9A)</w:t>
      </w:r>
      <w:r w:rsidRPr="006E709F">
        <w:tab/>
        <w:t>In a recommendation situation, issue situation or sale situation, a regulated person does not have to give the client a Product Disclosure Statement if:</w:t>
      </w:r>
    </w:p>
    <w:p w:rsidR="0048795D" w:rsidRPr="006E709F" w:rsidRDefault="002A22A4" w:rsidP="00A801D0">
      <w:pPr>
        <w:pStyle w:val="paragraph"/>
      </w:pPr>
      <w:r w:rsidRPr="006E709F">
        <w:tab/>
        <w:t>(a)</w:t>
      </w:r>
      <w:r w:rsidRPr="006E709F">
        <w:tab/>
        <w:t xml:space="preserve">the financial product is an </w:t>
      </w:r>
      <w:r w:rsidR="00DC2EB7" w:rsidRPr="00BE1284">
        <w:t>RSA</w:t>
      </w:r>
      <w:r w:rsidRPr="006E709F">
        <w:t>; and</w:t>
      </w:r>
    </w:p>
    <w:p w:rsidR="002A22A4" w:rsidRPr="006E709F" w:rsidRDefault="002A22A4" w:rsidP="00A801D0">
      <w:pPr>
        <w:pStyle w:val="paragraph"/>
      </w:pPr>
      <w:r w:rsidRPr="006E709F">
        <w:tab/>
        <w:t>(b)</w:t>
      </w:r>
      <w:r w:rsidRPr="006E709F">
        <w:tab/>
        <w:t>subsection</w:t>
      </w:r>
      <w:r w:rsidR="00DA13DE" w:rsidRPr="006E709F">
        <w:t> </w:t>
      </w:r>
      <w:r w:rsidRPr="006E709F">
        <w:t>1012I(2) applies.</w:t>
      </w:r>
    </w:p>
    <w:p w:rsidR="00C01C82" w:rsidRPr="006E709F" w:rsidRDefault="00C01C82" w:rsidP="00896D83">
      <w:pPr>
        <w:pStyle w:val="ActHead2"/>
        <w:pageBreakBefore/>
      </w:pPr>
      <w:bookmarkStart w:id="116" w:name="_Toc170547933"/>
      <w:r w:rsidRPr="000C4237">
        <w:rPr>
          <w:rStyle w:val="CharPartNo"/>
        </w:rPr>
        <w:lastRenderedPageBreak/>
        <w:t>Part</w:t>
      </w:r>
      <w:r w:rsidR="00DA13DE" w:rsidRPr="000C4237">
        <w:rPr>
          <w:rStyle w:val="CharPartNo"/>
        </w:rPr>
        <w:t> </w:t>
      </w:r>
      <w:r w:rsidRPr="000C4237">
        <w:rPr>
          <w:rStyle w:val="CharPartNo"/>
        </w:rPr>
        <w:t>6A</w:t>
      </w:r>
      <w:r w:rsidRPr="006E709F">
        <w:t>—</w:t>
      </w:r>
      <w:r w:rsidRPr="000C4237">
        <w:rPr>
          <w:rStyle w:val="CharPartText"/>
        </w:rPr>
        <w:t>Modifications relating to MySuper measures</w:t>
      </w:r>
      <w:bookmarkEnd w:id="116"/>
    </w:p>
    <w:p w:rsidR="00C01C82" w:rsidRPr="006E709F" w:rsidRDefault="00C01C82" w:rsidP="00C01C82">
      <w:pPr>
        <w:pStyle w:val="Header"/>
      </w:pPr>
      <w:r w:rsidRPr="000C4237">
        <w:rPr>
          <w:rStyle w:val="CharDivNo"/>
        </w:rPr>
        <w:t xml:space="preserve"> </w:t>
      </w:r>
      <w:r w:rsidRPr="000C4237">
        <w:rPr>
          <w:rStyle w:val="CharDivText"/>
        </w:rPr>
        <w:t xml:space="preserve"> </w:t>
      </w:r>
    </w:p>
    <w:p w:rsidR="00C01C82" w:rsidRPr="006E709F" w:rsidRDefault="00C01C82" w:rsidP="00C01C82">
      <w:pPr>
        <w:pStyle w:val="ItemHead"/>
      </w:pPr>
      <w:r w:rsidRPr="006E709F">
        <w:t>6A.1  After subsection</w:t>
      </w:r>
      <w:r w:rsidR="00DA13DE" w:rsidRPr="006E709F">
        <w:t> </w:t>
      </w:r>
      <w:r w:rsidRPr="006E709F">
        <w:t>1017BA(4)</w:t>
      </w:r>
    </w:p>
    <w:p w:rsidR="00C01C82" w:rsidRPr="006E709F" w:rsidRDefault="00C01C82" w:rsidP="00C01C82">
      <w:pPr>
        <w:pStyle w:val="Item"/>
      </w:pPr>
      <w:r w:rsidRPr="006E709F">
        <w:t>Insert:</w:t>
      </w:r>
    </w:p>
    <w:p w:rsidR="00C01C82" w:rsidRPr="006E709F" w:rsidRDefault="00C01C82" w:rsidP="00C01C82">
      <w:pPr>
        <w:pStyle w:val="subsection"/>
      </w:pPr>
      <w:r w:rsidRPr="006E709F">
        <w:tab/>
        <w:t>(4AA)</w:t>
      </w:r>
      <w:r w:rsidRPr="006E709F">
        <w:tab/>
        <w:t>Despite paragraph</w:t>
      </w:r>
      <w:r w:rsidR="00DA13DE" w:rsidRPr="006E709F">
        <w:t> </w:t>
      </w:r>
      <w:r w:rsidRPr="006E709F">
        <w:t>1539(a) of the Act, this section applies, to the extent that it relates to MySuper products, on and after 31</w:t>
      </w:r>
      <w:r w:rsidR="00DA13DE" w:rsidRPr="006E709F">
        <w:t> </w:t>
      </w:r>
      <w:r w:rsidRPr="006E709F">
        <w:t>December 2013.</w:t>
      </w:r>
    </w:p>
    <w:p w:rsidR="002A22A4" w:rsidRPr="006E709F" w:rsidRDefault="00A801D0" w:rsidP="00A801D0">
      <w:pPr>
        <w:pStyle w:val="ActHead2"/>
        <w:pageBreakBefore/>
      </w:pPr>
      <w:bookmarkStart w:id="117" w:name="_Toc170547934"/>
      <w:r w:rsidRPr="000C4237">
        <w:rPr>
          <w:rStyle w:val="CharPartNo"/>
        </w:rPr>
        <w:lastRenderedPageBreak/>
        <w:t>Part</w:t>
      </w:r>
      <w:r w:rsidR="00DA13DE" w:rsidRPr="000C4237">
        <w:rPr>
          <w:rStyle w:val="CharPartNo"/>
        </w:rPr>
        <w:t> </w:t>
      </w:r>
      <w:r w:rsidR="002A22A4" w:rsidRPr="000C4237">
        <w:rPr>
          <w:rStyle w:val="CharPartNo"/>
        </w:rPr>
        <w:t>7</w:t>
      </w:r>
      <w:r w:rsidRPr="006E709F">
        <w:t>—</w:t>
      </w:r>
      <w:r w:rsidR="002A22A4" w:rsidRPr="000C4237">
        <w:rPr>
          <w:rStyle w:val="CharPartText"/>
        </w:rPr>
        <w:t>Modifications relating to life pensioners, members subject to compulsory protection of small amounts and members with small amounts that are expected to grow quickly</w:t>
      </w:r>
      <w:bookmarkEnd w:id="117"/>
    </w:p>
    <w:p w:rsidR="002406FE" w:rsidRPr="006E709F" w:rsidRDefault="002406FE" w:rsidP="002406FE">
      <w:pPr>
        <w:pStyle w:val="Header"/>
      </w:pPr>
      <w:r w:rsidRPr="000C4237">
        <w:rPr>
          <w:rStyle w:val="CharDivNo"/>
        </w:rPr>
        <w:t xml:space="preserve"> </w:t>
      </w:r>
      <w:r w:rsidRPr="000C4237">
        <w:rPr>
          <w:rStyle w:val="CharDivText"/>
        </w:rPr>
        <w:t xml:space="preserve"> </w:t>
      </w:r>
    </w:p>
    <w:p w:rsidR="002A22A4" w:rsidRPr="006E709F" w:rsidRDefault="000577C6" w:rsidP="00DD3819">
      <w:pPr>
        <w:pStyle w:val="ItemHead"/>
      </w:pPr>
      <w:r w:rsidRPr="006E709F">
        <w:t xml:space="preserve">7.1  </w:t>
      </w:r>
      <w:r w:rsidR="002A22A4" w:rsidRPr="006E709F">
        <w:t>After subsection</w:t>
      </w:r>
      <w:r w:rsidR="00DA13DE" w:rsidRPr="006E709F">
        <w:t> </w:t>
      </w:r>
      <w:r w:rsidR="002A22A4" w:rsidRPr="006E709F">
        <w:t>1017D(7)</w:t>
      </w:r>
    </w:p>
    <w:p w:rsidR="00A801D0" w:rsidRPr="006E709F" w:rsidRDefault="00A801D0" w:rsidP="00DD3819">
      <w:pPr>
        <w:pStyle w:val="Item"/>
        <w:rPr>
          <w:i/>
        </w:rPr>
      </w:pPr>
      <w:r w:rsidRPr="006E709F">
        <w:rPr>
          <w:i/>
        </w:rPr>
        <w:t>insert</w:t>
      </w:r>
    </w:p>
    <w:p w:rsidR="002A22A4" w:rsidRPr="006E709F" w:rsidRDefault="002A22A4" w:rsidP="00A801D0">
      <w:pPr>
        <w:pStyle w:val="subsection"/>
      </w:pPr>
      <w:r w:rsidRPr="006E709F">
        <w:tab/>
        <w:t>(8)</w:t>
      </w:r>
      <w:r w:rsidRPr="006E709F">
        <w:tab/>
        <w:t>The trustee of a fund need not give a periodic statement or other information to a member:</w:t>
      </w:r>
    </w:p>
    <w:p w:rsidR="002A22A4" w:rsidRPr="006E709F" w:rsidRDefault="002A22A4" w:rsidP="00A801D0">
      <w:pPr>
        <w:pStyle w:val="paragraph"/>
      </w:pPr>
      <w:r w:rsidRPr="006E709F">
        <w:tab/>
        <w:t>(a)</w:t>
      </w:r>
      <w:r w:rsidRPr="006E709F">
        <w:tab/>
        <w:t>in relation to any period during which the member is a life pensioner of the fund; or</w:t>
      </w:r>
    </w:p>
    <w:p w:rsidR="002A22A4" w:rsidRPr="006E709F" w:rsidRDefault="002A22A4" w:rsidP="00A801D0">
      <w:pPr>
        <w:pStyle w:val="paragraph"/>
      </w:pPr>
      <w:r w:rsidRPr="006E709F">
        <w:tab/>
        <w:t>(b)</w:t>
      </w:r>
      <w:r w:rsidRPr="006E709F">
        <w:tab/>
        <w:t>if the member is a pensioner of the fund, and has requested that that information not be provided.</w:t>
      </w:r>
    </w:p>
    <w:p w:rsidR="002A22A4" w:rsidRPr="006E709F" w:rsidRDefault="002A22A4" w:rsidP="00A801D0">
      <w:pPr>
        <w:pStyle w:val="subsection"/>
      </w:pPr>
      <w:r w:rsidRPr="006E709F">
        <w:tab/>
        <w:t>(9)</w:t>
      </w:r>
      <w:r w:rsidRPr="006E709F">
        <w:tab/>
      </w:r>
      <w:r w:rsidR="00DA13DE" w:rsidRPr="006E709F">
        <w:t>Subsection (</w:t>
      </w:r>
      <w:r w:rsidRPr="006E709F">
        <w:t>8) does not apply to information mentioned in sub</w:t>
      </w:r>
      <w:r w:rsidR="005378CE" w:rsidRPr="006E709F">
        <w:t>regulation 7</w:t>
      </w:r>
      <w:r w:rsidRPr="006E709F">
        <w:t xml:space="preserve">.9.21A(1) of the </w:t>
      </w:r>
      <w:r w:rsidRPr="006E709F">
        <w:rPr>
          <w:i/>
        </w:rPr>
        <w:t xml:space="preserve">Corporations </w:t>
      </w:r>
      <w:r w:rsidR="000C4237">
        <w:rPr>
          <w:i/>
        </w:rPr>
        <w:t>Regulations 2</w:t>
      </w:r>
      <w:r w:rsidRPr="006E709F">
        <w:rPr>
          <w:i/>
        </w:rPr>
        <w:t>001</w:t>
      </w:r>
      <w:r w:rsidRPr="006E709F">
        <w:t>.</w:t>
      </w:r>
    </w:p>
    <w:p w:rsidR="002A22A4" w:rsidRPr="006E709F" w:rsidRDefault="002A22A4" w:rsidP="00A801D0">
      <w:pPr>
        <w:pStyle w:val="subsection"/>
      </w:pPr>
      <w:r w:rsidRPr="006E709F">
        <w:tab/>
        <w:t>(10)</w:t>
      </w:r>
      <w:r w:rsidRPr="006E709F">
        <w:tab/>
        <w:t>If, at the end of a reporting period, a member of a regulated superannuation fund is a protected member, the trustee need give the member only the following information in the periodic statement for that reporting period:</w:t>
      </w:r>
    </w:p>
    <w:p w:rsidR="0048795D" w:rsidRPr="006E709F" w:rsidRDefault="002A22A4" w:rsidP="00A801D0">
      <w:pPr>
        <w:pStyle w:val="paragraph"/>
      </w:pPr>
      <w:r w:rsidRPr="006E709F">
        <w:tab/>
        <w:t>(a)</w:t>
      </w:r>
      <w:r w:rsidRPr="006E709F">
        <w:tab/>
        <w:t>the contact details of the fund;</w:t>
      </w:r>
    </w:p>
    <w:p w:rsidR="002A22A4" w:rsidRPr="006E709F" w:rsidRDefault="002A22A4" w:rsidP="00A801D0">
      <w:pPr>
        <w:pStyle w:val="paragraph"/>
      </w:pPr>
      <w:r w:rsidRPr="006E709F">
        <w:tab/>
        <w:t>(b)</w:t>
      </w:r>
      <w:r w:rsidRPr="006E709F">
        <w:tab/>
        <w:t>either:</w:t>
      </w:r>
    </w:p>
    <w:p w:rsidR="002A22A4" w:rsidRPr="006E709F" w:rsidRDefault="002A22A4" w:rsidP="00A801D0">
      <w:pPr>
        <w:pStyle w:val="paragraphsub"/>
      </w:pPr>
      <w:r w:rsidRPr="006E709F">
        <w:tab/>
        <w:t>(i)</w:t>
      </w:r>
      <w:r w:rsidRPr="006E709F">
        <w:tab/>
        <w:t>the amount of the member’s withdrawal benefit at the end of the reporting period; or</w:t>
      </w:r>
    </w:p>
    <w:p w:rsidR="0048795D" w:rsidRPr="006E709F" w:rsidRDefault="002A22A4" w:rsidP="00A801D0">
      <w:pPr>
        <w:pStyle w:val="paragraphsub"/>
      </w:pPr>
      <w:r w:rsidRPr="006E709F">
        <w:tab/>
        <w:t>(ii)</w:t>
      </w:r>
      <w:r w:rsidRPr="006E709F">
        <w:tab/>
        <w:t>the total of the amounts that have been received by the fund in respect of the member;</w:t>
      </w:r>
    </w:p>
    <w:p w:rsidR="002A22A4" w:rsidRPr="006E709F" w:rsidRDefault="002A22A4" w:rsidP="00A801D0">
      <w:pPr>
        <w:pStyle w:val="paragraph"/>
      </w:pPr>
      <w:r w:rsidRPr="006E709F">
        <w:tab/>
        <w:t>(c)</w:t>
      </w:r>
      <w:r w:rsidRPr="006E709F">
        <w:tab/>
        <w:t>in so far as applicable, the information mentioned in sub</w:t>
      </w:r>
      <w:r w:rsidR="005378CE" w:rsidRPr="006E709F">
        <w:t>regulation 7</w:t>
      </w:r>
      <w:r w:rsidRPr="006E709F">
        <w:t xml:space="preserve">.9.21(1) of the </w:t>
      </w:r>
      <w:r w:rsidRPr="006E709F">
        <w:rPr>
          <w:i/>
        </w:rPr>
        <w:t xml:space="preserve">Corporations </w:t>
      </w:r>
      <w:r w:rsidR="000C4237">
        <w:rPr>
          <w:i/>
        </w:rPr>
        <w:t>Regulations 2</w:t>
      </w:r>
      <w:r w:rsidRPr="006E709F">
        <w:rPr>
          <w:i/>
        </w:rPr>
        <w:t>001</w:t>
      </w:r>
      <w:r w:rsidRPr="006E709F">
        <w:t>.</w:t>
      </w:r>
    </w:p>
    <w:p w:rsidR="002A22A4" w:rsidRPr="006E709F" w:rsidRDefault="002A22A4" w:rsidP="00A801D0">
      <w:pPr>
        <w:pStyle w:val="subsection"/>
      </w:pPr>
      <w:r w:rsidRPr="006E709F">
        <w:tab/>
        <w:t>(11)</w:t>
      </w:r>
      <w:r w:rsidRPr="006E709F">
        <w:tab/>
        <w:t xml:space="preserve">If, in relation to a member of a fund, the trustee of the fund takes advantage of </w:t>
      </w:r>
      <w:r w:rsidR="00DA13DE" w:rsidRPr="006E709F">
        <w:t>subsections (</w:t>
      </w:r>
      <w:r w:rsidRPr="006E709F">
        <w:t xml:space="preserve">12) to (15), the trustee must not, in relation to that member, take advantage of </w:t>
      </w:r>
      <w:r w:rsidR="00DA13DE" w:rsidRPr="006E709F">
        <w:t>subsection (</w:t>
      </w:r>
      <w:r w:rsidRPr="006E709F">
        <w:t>10).</w:t>
      </w:r>
    </w:p>
    <w:p w:rsidR="002A22A4" w:rsidRPr="006E709F" w:rsidRDefault="002A22A4" w:rsidP="00A801D0">
      <w:pPr>
        <w:pStyle w:val="subsection"/>
      </w:pPr>
      <w:r w:rsidRPr="006E709F">
        <w:tab/>
        <w:t>(12)</w:t>
      </w:r>
      <w:r w:rsidRPr="006E709F">
        <w:tab/>
        <w:t>If, at the end of a reporting period, the trustee of a fund has a reasonable expectation that a particular protected member will have a withdrawal benefit of at least $1</w:t>
      </w:r>
      <w:r w:rsidR="00DA13DE" w:rsidRPr="006E709F">
        <w:t> </w:t>
      </w:r>
      <w:r w:rsidRPr="006E709F">
        <w:t>500 within 12 months after the end of that reporting period, the trustee need not show, in the periodic statement, the effect of the member</w:t>
      </w:r>
      <w:r w:rsidR="000C4237">
        <w:noBreakHyphen/>
      </w:r>
      <w:r w:rsidRPr="006E709F">
        <w:t>protection standards.</w:t>
      </w:r>
    </w:p>
    <w:p w:rsidR="002A22A4" w:rsidRPr="006E709F" w:rsidRDefault="002A22A4" w:rsidP="00A801D0">
      <w:pPr>
        <w:pStyle w:val="subsection"/>
      </w:pPr>
      <w:r w:rsidRPr="006E709F">
        <w:tab/>
        <w:t>(13)</w:t>
      </w:r>
      <w:r w:rsidRPr="006E709F">
        <w:tab/>
        <w:t xml:space="preserve">For </w:t>
      </w:r>
      <w:r w:rsidR="00DA13DE" w:rsidRPr="006E709F">
        <w:t>subsection (</w:t>
      </w:r>
      <w:r w:rsidRPr="006E709F">
        <w:t>12), a trustee is not taken to have a reasonable expectation that a member will have a withdrawal benefit of at least $1</w:t>
      </w:r>
      <w:r w:rsidR="00DA13DE" w:rsidRPr="006E709F">
        <w:t> </w:t>
      </w:r>
      <w:r w:rsidRPr="006E709F">
        <w:t>500 within the period of 12 months referred to in that subsection if termination of the member’s employment with a current employer (not being an employer who or that is an associate, within the meaning of paragraph</w:t>
      </w:r>
      <w:r w:rsidR="00DA13DE" w:rsidRPr="006E709F">
        <w:t> </w:t>
      </w:r>
      <w:r w:rsidRPr="006E709F">
        <w:t xml:space="preserve">70(a) of the SIS Act, of the member) would be </w:t>
      </w:r>
      <w:r w:rsidRPr="006E709F">
        <w:lastRenderedPageBreak/>
        <w:t>likely to result in the member’s withdrawal benefit being below $1</w:t>
      </w:r>
      <w:r w:rsidR="00DA13DE" w:rsidRPr="006E709F">
        <w:t> </w:t>
      </w:r>
      <w:r w:rsidRPr="006E709F">
        <w:t>500 at the end of that period.</w:t>
      </w:r>
    </w:p>
    <w:p w:rsidR="002A22A4" w:rsidRPr="006E709F" w:rsidRDefault="002A22A4" w:rsidP="00A801D0">
      <w:pPr>
        <w:pStyle w:val="subsection"/>
      </w:pPr>
      <w:r w:rsidRPr="006E709F">
        <w:tab/>
        <w:t>(14)</w:t>
      </w:r>
      <w:r w:rsidRPr="006E709F">
        <w:tab/>
        <w:t>If, at the end of the 12</w:t>
      </w:r>
      <w:r w:rsidR="000C4237">
        <w:noBreakHyphen/>
      </w:r>
      <w:r w:rsidRPr="006E709F">
        <w:t>month period, the member’s withdrawal benefit has not reached $1</w:t>
      </w:r>
      <w:r w:rsidR="00DA13DE" w:rsidRPr="006E709F">
        <w:t> </w:t>
      </w:r>
      <w:r w:rsidRPr="006E709F">
        <w:t>500, the trustee must show, in the periodic statement provided to the member for each reporting period ending on or after the end of the 12</w:t>
      </w:r>
      <w:r w:rsidR="000C4237">
        <w:noBreakHyphen/>
      </w:r>
      <w:r w:rsidRPr="006E709F">
        <w:t>month period, the effect of the member</w:t>
      </w:r>
      <w:r w:rsidR="000C4237">
        <w:noBreakHyphen/>
      </w:r>
      <w:r w:rsidRPr="006E709F">
        <w:t>protection standards.</w:t>
      </w:r>
    </w:p>
    <w:p w:rsidR="002A22A4" w:rsidRPr="006E709F" w:rsidRDefault="002A22A4" w:rsidP="00A801D0">
      <w:pPr>
        <w:pStyle w:val="subsection"/>
      </w:pPr>
      <w:r w:rsidRPr="006E709F">
        <w:tab/>
        <w:t>(15)</w:t>
      </w:r>
      <w:r w:rsidRPr="006E709F">
        <w:tab/>
        <w:t xml:space="preserve">The trustee of a fund must not take advantage of </w:t>
      </w:r>
      <w:r w:rsidR="00DA13DE" w:rsidRPr="006E709F">
        <w:t>subsection (</w:t>
      </w:r>
      <w:r w:rsidRPr="006E709F">
        <w:t>12) in respect of a person more than once unless, after an occasion on which the trustee does so but before the next occasion, the member leaves and rejoins the fund.</w:t>
      </w:r>
    </w:p>
    <w:p w:rsidR="002A22A4" w:rsidRPr="006E709F" w:rsidRDefault="002A22A4" w:rsidP="00A801D0">
      <w:pPr>
        <w:pStyle w:val="subsection"/>
      </w:pPr>
      <w:r w:rsidRPr="006E709F">
        <w:tab/>
        <w:t>(16)</w:t>
      </w:r>
      <w:r w:rsidRPr="006E709F">
        <w:tab/>
        <w:t>In this section:</w:t>
      </w:r>
    </w:p>
    <w:p w:rsidR="002A22A4" w:rsidRPr="006E709F" w:rsidRDefault="002A22A4" w:rsidP="00A801D0">
      <w:pPr>
        <w:pStyle w:val="Definition"/>
      </w:pPr>
      <w:r w:rsidRPr="006E709F">
        <w:rPr>
          <w:b/>
          <w:i/>
        </w:rPr>
        <w:t>mandated employer</w:t>
      </w:r>
      <w:r w:rsidR="000C4237">
        <w:rPr>
          <w:b/>
          <w:i/>
        </w:rPr>
        <w:noBreakHyphen/>
      </w:r>
      <w:r w:rsidRPr="006E709F">
        <w:rPr>
          <w:b/>
          <w:i/>
        </w:rPr>
        <w:t>financed benefits</w:t>
      </w:r>
      <w:r w:rsidRPr="006E709F">
        <w:t xml:space="preserve"> has the same meaning as in subregulation</w:t>
      </w:r>
      <w:r w:rsidR="00DA13DE" w:rsidRPr="006E709F">
        <w:t> </w:t>
      </w:r>
      <w:r w:rsidRPr="006E709F">
        <w:t xml:space="preserve">5.01(1) of the </w:t>
      </w:r>
      <w:r w:rsidRPr="006E709F">
        <w:rPr>
          <w:i/>
        </w:rPr>
        <w:t>Superannuation Industry (Supervision) Regulations</w:t>
      </w:r>
      <w:r w:rsidR="00DA13DE" w:rsidRPr="006E709F">
        <w:rPr>
          <w:i/>
        </w:rPr>
        <w:t> </w:t>
      </w:r>
      <w:r w:rsidRPr="006E709F">
        <w:rPr>
          <w:i/>
        </w:rPr>
        <w:t>1994</w:t>
      </w:r>
      <w:r w:rsidRPr="006E709F">
        <w:t>.</w:t>
      </w:r>
    </w:p>
    <w:p w:rsidR="002A22A4" w:rsidRPr="006E709F" w:rsidRDefault="002A22A4" w:rsidP="00A801D0">
      <w:pPr>
        <w:pStyle w:val="Definition"/>
      </w:pPr>
      <w:r w:rsidRPr="006E709F">
        <w:rPr>
          <w:b/>
          <w:i/>
        </w:rPr>
        <w:t>member protection standards</w:t>
      </w:r>
      <w:r w:rsidRPr="006E709F">
        <w:t xml:space="preserve"> has the same meaning as in the </w:t>
      </w:r>
      <w:r w:rsidRPr="006E709F">
        <w:rPr>
          <w:i/>
        </w:rPr>
        <w:t>Superannuation Industry (Supervision) Regulations</w:t>
      </w:r>
      <w:r w:rsidR="00DA13DE" w:rsidRPr="006E709F">
        <w:rPr>
          <w:i/>
        </w:rPr>
        <w:t> </w:t>
      </w:r>
      <w:r w:rsidRPr="006E709F">
        <w:rPr>
          <w:i/>
        </w:rPr>
        <w:t>1994</w:t>
      </w:r>
      <w:r w:rsidRPr="006E709F">
        <w:t>.</w:t>
      </w:r>
    </w:p>
    <w:p w:rsidR="002A22A4" w:rsidRPr="006E709F" w:rsidRDefault="002A22A4" w:rsidP="00A801D0">
      <w:pPr>
        <w:pStyle w:val="Definition"/>
      </w:pPr>
      <w:r w:rsidRPr="006E709F">
        <w:rPr>
          <w:b/>
          <w:i/>
        </w:rPr>
        <w:t>protected member</w:t>
      </w:r>
      <w:r w:rsidRPr="006E709F">
        <w:t xml:space="preserve"> has the same meaning as in the </w:t>
      </w:r>
      <w:r w:rsidRPr="006E709F">
        <w:rPr>
          <w:i/>
        </w:rPr>
        <w:t>Superannuation Industry (Supervision) Regulations</w:t>
      </w:r>
      <w:r w:rsidR="00DA13DE" w:rsidRPr="006E709F">
        <w:rPr>
          <w:i/>
        </w:rPr>
        <w:t> </w:t>
      </w:r>
      <w:r w:rsidRPr="006E709F">
        <w:rPr>
          <w:i/>
        </w:rPr>
        <w:t>1994</w:t>
      </w:r>
      <w:r w:rsidRPr="006E709F">
        <w:t>.</w:t>
      </w:r>
    </w:p>
    <w:p w:rsidR="002A22A4" w:rsidRPr="006E709F" w:rsidRDefault="002A22A4" w:rsidP="00A801D0">
      <w:pPr>
        <w:pStyle w:val="subsection"/>
      </w:pPr>
      <w:r w:rsidRPr="006E709F">
        <w:tab/>
        <w:t>(17)</w:t>
      </w:r>
      <w:r w:rsidRPr="006E709F">
        <w:tab/>
        <w:t xml:space="preserve">For the definition of </w:t>
      </w:r>
      <w:r w:rsidRPr="006E709F">
        <w:rPr>
          <w:b/>
          <w:i/>
        </w:rPr>
        <w:t>protected member</w:t>
      </w:r>
      <w:r w:rsidRPr="006E709F">
        <w:t xml:space="preserve"> in </w:t>
      </w:r>
      <w:r w:rsidR="00DA13DE" w:rsidRPr="006E709F">
        <w:t>subsection (</w:t>
      </w:r>
      <w:r w:rsidRPr="006E709F">
        <w:t>16), a benefit in a fund is taken to contain or to have contained mandated employer</w:t>
      </w:r>
      <w:r w:rsidR="000C4237">
        <w:noBreakHyphen/>
      </w:r>
      <w:r w:rsidRPr="006E709F">
        <w:t>financed benefits unless:</w:t>
      </w:r>
    </w:p>
    <w:p w:rsidR="002A22A4" w:rsidRPr="006E709F" w:rsidRDefault="002A22A4" w:rsidP="00A801D0">
      <w:pPr>
        <w:pStyle w:val="paragraph"/>
      </w:pPr>
      <w:r w:rsidRPr="006E709F">
        <w:tab/>
        <w:t>(a)</w:t>
      </w:r>
      <w:r w:rsidRPr="006E709F">
        <w:tab/>
        <w:t xml:space="preserve">if the benefits arose in relation to contributions made before </w:t>
      </w:r>
      <w:r w:rsidR="005378CE" w:rsidRPr="006E709F">
        <w:t>1 July</w:t>
      </w:r>
      <w:r w:rsidRPr="006E709F">
        <w:t xml:space="preserve"> 1995</w:t>
      </w:r>
      <w:r w:rsidR="00A801D0" w:rsidRPr="006E709F">
        <w:t>—</w:t>
      </w:r>
      <w:r w:rsidRPr="006E709F">
        <w:t>the trustee of the fund reasonably believes otherwise; or</w:t>
      </w:r>
    </w:p>
    <w:p w:rsidR="002A22A4" w:rsidRPr="006E709F" w:rsidRDefault="002A22A4" w:rsidP="00A801D0">
      <w:pPr>
        <w:pStyle w:val="paragraph"/>
      </w:pPr>
      <w:r w:rsidRPr="006E709F">
        <w:tab/>
        <w:t>(b)</w:t>
      </w:r>
      <w:r w:rsidRPr="006E709F">
        <w:tab/>
        <w:t xml:space="preserve">if the benefits arose in relation to contributions made on or after </w:t>
      </w:r>
      <w:r w:rsidR="005378CE" w:rsidRPr="006E709F">
        <w:t>1 July</w:t>
      </w:r>
      <w:r w:rsidRPr="006E709F">
        <w:t xml:space="preserve"> 1995</w:t>
      </w:r>
      <w:r w:rsidR="00A801D0" w:rsidRPr="006E709F">
        <w:t>—</w:t>
      </w:r>
      <w:r w:rsidRPr="006E709F">
        <w:t>the trustee of the fund knows otherwise.</w:t>
      </w:r>
    </w:p>
    <w:p w:rsidR="002A22A4" w:rsidRPr="006E709F" w:rsidRDefault="00A801D0" w:rsidP="00E216E5">
      <w:pPr>
        <w:pStyle w:val="ActHead2"/>
        <w:pageBreakBefore/>
      </w:pPr>
      <w:bookmarkStart w:id="118" w:name="_Toc170547935"/>
      <w:r w:rsidRPr="000C4237">
        <w:rPr>
          <w:rStyle w:val="CharPartNo"/>
        </w:rPr>
        <w:lastRenderedPageBreak/>
        <w:t>Part</w:t>
      </w:r>
      <w:r w:rsidR="00DA13DE" w:rsidRPr="000C4237">
        <w:rPr>
          <w:rStyle w:val="CharPartNo"/>
        </w:rPr>
        <w:t> </w:t>
      </w:r>
      <w:r w:rsidR="002A22A4" w:rsidRPr="000C4237">
        <w:rPr>
          <w:rStyle w:val="CharPartNo"/>
        </w:rPr>
        <w:t>8</w:t>
      </w:r>
      <w:r w:rsidRPr="006E709F">
        <w:t>—</w:t>
      </w:r>
      <w:r w:rsidR="002A22A4" w:rsidRPr="000C4237">
        <w:rPr>
          <w:rStyle w:val="CharPartText"/>
        </w:rPr>
        <w:t>Modifications relating to periodic statements for RSA providers</w:t>
      </w:r>
      <w:bookmarkEnd w:id="118"/>
    </w:p>
    <w:p w:rsidR="002406FE" w:rsidRPr="006E709F" w:rsidRDefault="002406FE" w:rsidP="002406FE">
      <w:pPr>
        <w:pStyle w:val="Header"/>
      </w:pPr>
      <w:r w:rsidRPr="000C4237">
        <w:rPr>
          <w:rStyle w:val="CharDivNo"/>
        </w:rPr>
        <w:t xml:space="preserve"> </w:t>
      </w:r>
      <w:r w:rsidRPr="000C4237">
        <w:rPr>
          <w:rStyle w:val="CharDivText"/>
        </w:rPr>
        <w:t xml:space="preserve"> </w:t>
      </w:r>
    </w:p>
    <w:p w:rsidR="002A22A4" w:rsidRPr="006E709F" w:rsidRDefault="000577C6" w:rsidP="00DD3819">
      <w:pPr>
        <w:pStyle w:val="ItemHead"/>
      </w:pPr>
      <w:r w:rsidRPr="006E709F">
        <w:t xml:space="preserve">8.1  </w:t>
      </w:r>
      <w:r w:rsidR="002A22A4" w:rsidRPr="006E709F">
        <w:t>After subsection</w:t>
      </w:r>
      <w:r w:rsidR="00DA13DE" w:rsidRPr="006E709F">
        <w:t> </w:t>
      </w:r>
      <w:r w:rsidR="002A22A4" w:rsidRPr="006E709F">
        <w:t>1017D(7)</w:t>
      </w:r>
    </w:p>
    <w:p w:rsidR="00A801D0" w:rsidRPr="006E709F" w:rsidRDefault="00A801D0" w:rsidP="00DD3819">
      <w:pPr>
        <w:pStyle w:val="Item"/>
        <w:rPr>
          <w:i/>
        </w:rPr>
      </w:pPr>
      <w:r w:rsidRPr="006E709F">
        <w:rPr>
          <w:i/>
        </w:rPr>
        <w:t>insert</w:t>
      </w:r>
    </w:p>
    <w:p w:rsidR="002A22A4" w:rsidRPr="006E709F" w:rsidRDefault="002A22A4" w:rsidP="00A801D0">
      <w:pPr>
        <w:pStyle w:val="subsection"/>
      </w:pPr>
      <w:r w:rsidRPr="006E709F">
        <w:tab/>
        <w:t>(8)</w:t>
      </w:r>
      <w:r w:rsidRPr="006E709F">
        <w:tab/>
        <w:t>If:</w:t>
      </w:r>
    </w:p>
    <w:p w:rsidR="002A22A4" w:rsidRPr="006E709F" w:rsidRDefault="002A22A4" w:rsidP="00A801D0">
      <w:pPr>
        <w:pStyle w:val="paragraph"/>
      </w:pPr>
      <w:r w:rsidRPr="006E709F">
        <w:tab/>
        <w:t>(a)</w:t>
      </w:r>
      <w:r w:rsidRPr="006E709F">
        <w:tab/>
        <w:t xml:space="preserve">a person ceases to be an RSA holder before RSA information in respect of a particular reporting period (the </w:t>
      </w:r>
      <w:r w:rsidRPr="006E709F">
        <w:rPr>
          <w:b/>
          <w:i/>
        </w:rPr>
        <w:t>relevant period</w:t>
      </w:r>
      <w:r w:rsidRPr="006E709F">
        <w:t>) is given; and</w:t>
      </w:r>
    </w:p>
    <w:p w:rsidR="002A22A4" w:rsidRPr="006E709F" w:rsidRDefault="002A22A4" w:rsidP="00A801D0">
      <w:pPr>
        <w:pStyle w:val="paragraph"/>
      </w:pPr>
      <w:r w:rsidRPr="006E709F">
        <w:tab/>
        <w:t>(b)</w:t>
      </w:r>
      <w:r w:rsidRPr="006E709F">
        <w:tab/>
        <w:t>either:</w:t>
      </w:r>
    </w:p>
    <w:p w:rsidR="002A22A4" w:rsidRPr="006E709F" w:rsidRDefault="002A22A4" w:rsidP="00A801D0">
      <w:pPr>
        <w:pStyle w:val="paragraphsub"/>
      </w:pPr>
      <w:r w:rsidRPr="006E709F">
        <w:tab/>
        <w:t>(i)</w:t>
      </w:r>
      <w:r w:rsidRPr="006E709F">
        <w:tab/>
        <w:t>the RSA provider gives, or intends to give, information to the person in respect of a reporting period that is the same as, or includes the whole of, the relevant period; or</w:t>
      </w:r>
    </w:p>
    <w:p w:rsidR="002A22A4" w:rsidRPr="006E709F" w:rsidRDefault="002A22A4" w:rsidP="00A801D0">
      <w:pPr>
        <w:pStyle w:val="paragraphsub"/>
      </w:pPr>
      <w:r w:rsidRPr="006E709F">
        <w:tab/>
        <w:t>(ii)</w:t>
      </w:r>
      <w:r w:rsidRPr="006E709F">
        <w:tab/>
        <w:t>if the person ceases to be an RSA holder by reason of death</w:t>
      </w:r>
      <w:r w:rsidR="00A801D0" w:rsidRPr="006E709F">
        <w:t>—</w:t>
      </w:r>
      <w:r w:rsidRPr="006E709F">
        <w:t>the RSA provider complies in relation to the person with the relevant requirements of this Act and the regulations;</w:t>
      </w:r>
    </w:p>
    <w:p w:rsidR="002A22A4" w:rsidRPr="006E709F" w:rsidRDefault="002A22A4" w:rsidP="00A801D0">
      <w:pPr>
        <w:pStyle w:val="subsection2"/>
      </w:pPr>
      <w:r w:rsidRPr="006E709F">
        <w:t>the RSA provider need not give RSA information, in respect of the relevant period, to or in relation to the person.</w:t>
      </w:r>
    </w:p>
    <w:p w:rsidR="002A22A4" w:rsidRPr="006E709F" w:rsidRDefault="002A22A4" w:rsidP="00A801D0">
      <w:pPr>
        <w:pStyle w:val="subsection"/>
      </w:pPr>
      <w:r w:rsidRPr="006E709F">
        <w:tab/>
        <w:t>(9)</w:t>
      </w:r>
      <w:r w:rsidRPr="006E709F">
        <w:tab/>
        <w:t>If, at the end of a reporting period, an RSA holder is a protected RSA holder, the RSA provider need give the RSA holder only the following information for the reporting period:</w:t>
      </w:r>
    </w:p>
    <w:p w:rsidR="002A22A4" w:rsidRPr="006E709F" w:rsidRDefault="002A22A4" w:rsidP="00A801D0">
      <w:pPr>
        <w:pStyle w:val="paragraph"/>
      </w:pPr>
      <w:r w:rsidRPr="006E709F">
        <w:tab/>
        <w:t>(a)</w:t>
      </w:r>
      <w:r w:rsidRPr="006E709F">
        <w:tab/>
        <w:t>the contact details of the RSA provider;</w:t>
      </w:r>
    </w:p>
    <w:p w:rsidR="002A22A4" w:rsidRPr="006E709F" w:rsidRDefault="002A22A4" w:rsidP="00A801D0">
      <w:pPr>
        <w:pStyle w:val="paragraph"/>
      </w:pPr>
      <w:r w:rsidRPr="006E709F">
        <w:tab/>
        <w:t>(b)</w:t>
      </w:r>
      <w:r w:rsidRPr="006E709F">
        <w:tab/>
        <w:t>either:</w:t>
      </w:r>
    </w:p>
    <w:p w:rsidR="002A22A4" w:rsidRPr="006E709F" w:rsidRDefault="002A22A4" w:rsidP="00A801D0">
      <w:pPr>
        <w:pStyle w:val="paragraphsub"/>
      </w:pPr>
      <w:r w:rsidRPr="006E709F">
        <w:tab/>
        <w:t>(i)</w:t>
      </w:r>
      <w:r w:rsidRPr="006E709F">
        <w:tab/>
        <w:t>the amount of the RSA holder’s withdrawal benefit at the end of the reporting period; or</w:t>
      </w:r>
    </w:p>
    <w:p w:rsidR="002A22A4" w:rsidRPr="006E709F" w:rsidRDefault="002A22A4" w:rsidP="00A801D0">
      <w:pPr>
        <w:pStyle w:val="paragraphsub"/>
      </w:pPr>
      <w:r w:rsidRPr="006E709F">
        <w:tab/>
        <w:t>(ii)</w:t>
      </w:r>
      <w:r w:rsidRPr="006E709F">
        <w:tab/>
        <w:t>the total of the amounts that have been received by the RSA provider in respect of the RSA holder;</w:t>
      </w:r>
    </w:p>
    <w:p w:rsidR="002A22A4" w:rsidRPr="006E709F" w:rsidRDefault="002A22A4" w:rsidP="00A801D0">
      <w:pPr>
        <w:pStyle w:val="paragraph"/>
      </w:pPr>
      <w:r w:rsidRPr="006E709F">
        <w:tab/>
        <w:t>(c)</w:t>
      </w:r>
      <w:r w:rsidRPr="006E709F">
        <w:tab/>
        <w:t>the effective rate of net interest applied to the RSA for each year of the previous 5</w:t>
      </w:r>
      <w:r w:rsidR="00E376FA" w:rsidRPr="006E709F">
        <w:t xml:space="preserve"> </w:t>
      </w:r>
      <w:r w:rsidRPr="006E709F">
        <w:t>years ending at the end of the reporting period;</w:t>
      </w:r>
    </w:p>
    <w:p w:rsidR="002A22A4" w:rsidRPr="006E709F" w:rsidRDefault="002A22A4" w:rsidP="00A801D0">
      <w:pPr>
        <w:pStyle w:val="paragraph"/>
      </w:pPr>
      <w:r w:rsidRPr="006E709F">
        <w:tab/>
        <w:t>(d)</w:t>
      </w:r>
      <w:r w:rsidRPr="006E709F">
        <w:tab/>
        <w:t>the compound average of the annual effective rate of net interest applied to the RSA for each year of the previous 5 years ending at the end of the reporting period;</w:t>
      </w:r>
    </w:p>
    <w:p w:rsidR="002A22A4" w:rsidRPr="006E709F" w:rsidRDefault="002A22A4" w:rsidP="00A801D0">
      <w:pPr>
        <w:pStyle w:val="paragraph"/>
      </w:pPr>
      <w:r w:rsidRPr="006E709F">
        <w:tab/>
        <w:t>(e)</w:t>
      </w:r>
      <w:r w:rsidRPr="006E709F">
        <w:tab/>
        <w:t>details (in summary form) of arrangements that the RSA provider has to deal with inquiries or complaints;</w:t>
      </w:r>
    </w:p>
    <w:p w:rsidR="002A22A4" w:rsidRPr="006E709F" w:rsidRDefault="002A22A4" w:rsidP="00A801D0">
      <w:pPr>
        <w:pStyle w:val="paragraph"/>
      </w:pPr>
      <w:r w:rsidRPr="006E709F">
        <w:tab/>
        <w:t>(f)</w:t>
      </w:r>
      <w:r w:rsidRPr="006E709F">
        <w:tab/>
        <w:t>a statement that other information is available on request;</w:t>
      </w:r>
    </w:p>
    <w:p w:rsidR="002A22A4" w:rsidRPr="006E709F" w:rsidRDefault="002A22A4" w:rsidP="00A801D0">
      <w:pPr>
        <w:pStyle w:val="paragraph"/>
      </w:pPr>
      <w:r w:rsidRPr="006E709F">
        <w:tab/>
        <w:t>(g)</w:t>
      </w:r>
      <w:r w:rsidRPr="006E709F">
        <w:tab/>
        <w:t>a suggestion that the RSA holder may wish to consider:</w:t>
      </w:r>
    </w:p>
    <w:p w:rsidR="002A22A4" w:rsidRPr="006E709F" w:rsidRDefault="002A22A4" w:rsidP="00A801D0">
      <w:pPr>
        <w:pStyle w:val="paragraphsub"/>
      </w:pPr>
      <w:r w:rsidRPr="006E709F">
        <w:tab/>
        <w:t>(i)</w:t>
      </w:r>
      <w:r w:rsidRPr="006E709F">
        <w:tab/>
        <w:t>other superannuation arrangements that may provide a greater return over the long term; and</w:t>
      </w:r>
    </w:p>
    <w:p w:rsidR="002A22A4" w:rsidRPr="006E709F" w:rsidRDefault="002A22A4" w:rsidP="00A801D0">
      <w:pPr>
        <w:pStyle w:val="paragraphsub"/>
      </w:pPr>
      <w:r w:rsidRPr="006E709F">
        <w:tab/>
        <w:t>(ii)</w:t>
      </w:r>
      <w:r w:rsidRPr="006E709F">
        <w:tab/>
        <w:t>seeking advice on alternative investment strategies that may be more suitable;</w:t>
      </w:r>
    </w:p>
    <w:p w:rsidR="002A22A4" w:rsidRPr="006E709F" w:rsidRDefault="002A22A4" w:rsidP="00A801D0">
      <w:pPr>
        <w:pStyle w:val="paragraph"/>
      </w:pPr>
      <w:r w:rsidRPr="006E709F">
        <w:tab/>
        <w:t>(h)</w:t>
      </w:r>
      <w:r w:rsidRPr="006E709F">
        <w:tab/>
        <w:t>if the RSA provider reduced the RSA holder’s benefits in connection with payment of a superannuation contributions surcharge or an advance instalment of surcharge:</w:t>
      </w:r>
    </w:p>
    <w:p w:rsidR="002A22A4" w:rsidRPr="006E709F" w:rsidRDefault="002A22A4" w:rsidP="00A801D0">
      <w:pPr>
        <w:pStyle w:val="paragraphsub"/>
      </w:pPr>
      <w:r w:rsidRPr="006E709F">
        <w:lastRenderedPageBreak/>
        <w:tab/>
        <w:t>(i)</w:t>
      </w:r>
      <w:r w:rsidRPr="006E709F">
        <w:tab/>
        <w:t>the amount deducted; and</w:t>
      </w:r>
    </w:p>
    <w:p w:rsidR="002A22A4" w:rsidRPr="006E709F" w:rsidRDefault="002A22A4" w:rsidP="00A801D0">
      <w:pPr>
        <w:pStyle w:val="paragraphsub"/>
      </w:pPr>
      <w:r w:rsidRPr="006E709F">
        <w:tab/>
        <w:t>(ii)</w:t>
      </w:r>
      <w:r w:rsidRPr="006E709F">
        <w:tab/>
        <w:t>if there is a difference between the amount deducted and the amount assessed under subsection</w:t>
      </w:r>
      <w:r w:rsidR="00DA13DE" w:rsidRPr="006E709F">
        <w:t> </w:t>
      </w:r>
      <w:r w:rsidRPr="006E709F">
        <w:t xml:space="preserve">15(1) of the </w:t>
      </w:r>
      <w:r w:rsidRPr="006E709F">
        <w:rPr>
          <w:i/>
        </w:rPr>
        <w:t>Superannuation Contributions Tax (Assessment and Collection) Act</w:t>
      </w:r>
      <w:r w:rsidR="00673B23" w:rsidRPr="006E709F">
        <w:rPr>
          <w:i/>
        </w:rPr>
        <w:t xml:space="preserve"> </w:t>
      </w:r>
      <w:r w:rsidRPr="006E709F">
        <w:rPr>
          <w:i/>
        </w:rPr>
        <w:t>1997</w:t>
      </w:r>
      <w:r w:rsidRPr="006E709F">
        <w:t xml:space="preserve"> or between the amount deducted and the amount determined under subsection</w:t>
      </w:r>
      <w:r w:rsidR="00DA13DE" w:rsidRPr="006E709F">
        <w:t> </w:t>
      </w:r>
      <w:r w:rsidRPr="006E709F">
        <w:t>15(2) of that Act</w:t>
      </w:r>
      <w:r w:rsidR="00A801D0" w:rsidRPr="006E709F">
        <w:t>—</w:t>
      </w:r>
      <w:r w:rsidRPr="006E709F">
        <w:t>a statement explaining the difference.</w:t>
      </w:r>
    </w:p>
    <w:p w:rsidR="002A22A4" w:rsidRPr="006E709F" w:rsidRDefault="002A22A4" w:rsidP="00A801D0">
      <w:pPr>
        <w:pStyle w:val="subsection"/>
      </w:pPr>
      <w:r w:rsidRPr="006E709F">
        <w:tab/>
        <w:t>(10)</w:t>
      </w:r>
      <w:r w:rsidRPr="006E709F">
        <w:tab/>
        <w:t>A nil amount need not be disclosed.</w:t>
      </w:r>
    </w:p>
    <w:p w:rsidR="002A22A4" w:rsidRPr="006E709F" w:rsidRDefault="002A22A4" w:rsidP="00A801D0">
      <w:pPr>
        <w:pStyle w:val="subsection"/>
      </w:pPr>
      <w:r w:rsidRPr="006E709F">
        <w:tab/>
        <w:t>(11)</w:t>
      </w:r>
      <w:r w:rsidRPr="006E709F">
        <w:tab/>
        <w:t xml:space="preserve">If, in relation to an RSA holder, the RSA provider takes advantage of </w:t>
      </w:r>
      <w:r w:rsidR="00DA13DE" w:rsidRPr="006E709F">
        <w:t>subsections (</w:t>
      </w:r>
      <w:r w:rsidRPr="006E709F">
        <w:t xml:space="preserve">13) to (16), the RSA provider must not, in relation to the RSA holder, take advantage of </w:t>
      </w:r>
      <w:r w:rsidR="00DA13DE" w:rsidRPr="006E709F">
        <w:t>subsection (</w:t>
      </w:r>
      <w:r w:rsidRPr="006E709F">
        <w:t>9).</w:t>
      </w:r>
    </w:p>
    <w:p w:rsidR="002A22A4" w:rsidRPr="006E709F" w:rsidRDefault="002A22A4" w:rsidP="00A801D0">
      <w:pPr>
        <w:pStyle w:val="subsection"/>
      </w:pPr>
      <w:r w:rsidRPr="006E709F">
        <w:tab/>
        <w:t>(12)</w:t>
      </w:r>
      <w:r w:rsidRPr="006E709F">
        <w:tab/>
        <w:t xml:space="preserve">If, at the end of a reporting period, an RSA has not been in existence for 5 years, the references in </w:t>
      </w:r>
      <w:r w:rsidR="00DA13DE" w:rsidRPr="006E709F">
        <w:t>paragraphs (</w:t>
      </w:r>
      <w:r w:rsidRPr="006E709F">
        <w:t>9</w:t>
      </w:r>
      <w:r w:rsidR="00A801D0" w:rsidRPr="006E709F">
        <w:t>)(</w:t>
      </w:r>
      <w:r w:rsidRPr="006E709F">
        <w:t>c) and (d) to 5 years are taken to be references to the whole period of existence of the RSA.</w:t>
      </w:r>
    </w:p>
    <w:p w:rsidR="002A22A4" w:rsidRPr="006E709F" w:rsidRDefault="002A22A4" w:rsidP="00A801D0">
      <w:pPr>
        <w:pStyle w:val="subsection"/>
      </w:pPr>
      <w:r w:rsidRPr="006E709F">
        <w:tab/>
        <w:t>(13)</w:t>
      </w:r>
      <w:r w:rsidRPr="006E709F">
        <w:tab/>
        <w:t>If, at the end of a reporting period, an RSA provider has a reasonable expectation that an RSA holder will have a withdrawal benefit of at least $1</w:t>
      </w:r>
      <w:r w:rsidR="00DA13DE" w:rsidRPr="006E709F">
        <w:t> </w:t>
      </w:r>
      <w:r w:rsidRPr="006E709F">
        <w:t>500 within 12</w:t>
      </w:r>
      <w:r w:rsidR="00E376FA" w:rsidRPr="006E709F">
        <w:t xml:space="preserve"> </w:t>
      </w:r>
      <w:r w:rsidRPr="006E709F">
        <w:t>months after the end of the reporting period, the RSA provider need not show, in RSA information provided to the RSA holder, the effect of the RSA holder</w:t>
      </w:r>
      <w:r w:rsidR="000C4237">
        <w:noBreakHyphen/>
      </w:r>
      <w:r w:rsidRPr="006E709F">
        <w:t>protection standards.</w:t>
      </w:r>
    </w:p>
    <w:p w:rsidR="002A22A4" w:rsidRPr="006E709F" w:rsidRDefault="002A22A4" w:rsidP="00A801D0">
      <w:pPr>
        <w:pStyle w:val="subsection"/>
      </w:pPr>
      <w:r w:rsidRPr="006E709F">
        <w:tab/>
        <w:t>(14)</w:t>
      </w:r>
      <w:r w:rsidRPr="006E709F">
        <w:tab/>
        <w:t xml:space="preserve">For </w:t>
      </w:r>
      <w:r w:rsidR="00DA13DE" w:rsidRPr="006E709F">
        <w:t>subsection (</w:t>
      </w:r>
      <w:r w:rsidRPr="006E709F">
        <w:t>12), an RSA provider is not taken to have a reasonable expectation that the RSA holder will have a withdrawal benefit of $1</w:t>
      </w:r>
      <w:r w:rsidR="00DA13DE" w:rsidRPr="006E709F">
        <w:t> </w:t>
      </w:r>
      <w:r w:rsidRPr="006E709F">
        <w:t>500 within the period of 12</w:t>
      </w:r>
      <w:r w:rsidR="00E376FA" w:rsidRPr="006E709F">
        <w:t xml:space="preserve"> </w:t>
      </w:r>
      <w:r w:rsidRPr="006E709F">
        <w:t>months mentioned in that subsection if termination of the RSA holder’s employment with a current employer would be likely to result in the RSA holder’s withdrawal benefit being below $1</w:t>
      </w:r>
      <w:r w:rsidR="00DA13DE" w:rsidRPr="006E709F">
        <w:t> </w:t>
      </w:r>
      <w:r w:rsidRPr="006E709F">
        <w:t>500 at the end of that period.</w:t>
      </w:r>
    </w:p>
    <w:p w:rsidR="002A22A4" w:rsidRPr="006E709F" w:rsidRDefault="002A22A4" w:rsidP="00A801D0">
      <w:pPr>
        <w:pStyle w:val="subsection"/>
      </w:pPr>
      <w:r w:rsidRPr="006E709F">
        <w:tab/>
        <w:t>(15)</w:t>
      </w:r>
      <w:r w:rsidRPr="006E709F">
        <w:tab/>
        <w:t>If, at the end of the 12</w:t>
      </w:r>
      <w:r w:rsidR="000C4237">
        <w:noBreakHyphen/>
      </w:r>
      <w:r w:rsidRPr="006E709F">
        <w:t>month period, the RSA holder’s withdrawal benefit has not reached $1</w:t>
      </w:r>
      <w:r w:rsidR="00DA13DE" w:rsidRPr="006E709F">
        <w:t> </w:t>
      </w:r>
      <w:r w:rsidRPr="006E709F">
        <w:t>500, the RSA provider must show, in RSA information provided to the RSA holder for each reporting period ending on or after the end of the 12</w:t>
      </w:r>
      <w:r w:rsidR="000C4237">
        <w:noBreakHyphen/>
      </w:r>
      <w:r w:rsidRPr="006E709F">
        <w:t>month period, the effect of the RSA holder</w:t>
      </w:r>
      <w:r w:rsidR="000C4237">
        <w:noBreakHyphen/>
      </w:r>
      <w:r w:rsidRPr="006E709F">
        <w:t>protection standards.</w:t>
      </w:r>
    </w:p>
    <w:p w:rsidR="002A22A4" w:rsidRPr="006E709F" w:rsidRDefault="002A22A4" w:rsidP="00A801D0">
      <w:pPr>
        <w:pStyle w:val="subsection"/>
      </w:pPr>
      <w:r w:rsidRPr="006E709F">
        <w:tab/>
        <w:t>(16)</w:t>
      </w:r>
      <w:r w:rsidRPr="006E709F">
        <w:tab/>
        <w:t xml:space="preserve">An RSA provider must not take advantage of </w:t>
      </w:r>
      <w:r w:rsidR="00DA13DE" w:rsidRPr="006E709F">
        <w:t>subsection (</w:t>
      </w:r>
      <w:r w:rsidRPr="006E709F">
        <w:t>13) in respect of a person more than once unless, after an occasion on which the RSA provider does so but before the next occasion, the person ceases to be the holder of the RSA and subsequently becomes the holder of an RSA provided by the same RSA provider.</w:t>
      </w:r>
    </w:p>
    <w:p w:rsidR="002A22A4" w:rsidRPr="006E709F" w:rsidRDefault="002A22A4" w:rsidP="00A801D0">
      <w:pPr>
        <w:pStyle w:val="subsection"/>
      </w:pPr>
      <w:r w:rsidRPr="006E709F">
        <w:tab/>
        <w:t>(17)</w:t>
      </w:r>
      <w:r w:rsidRPr="006E709F">
        <w:tab/>
        <w:t>In this section:</w:t>
      </w:r>
    </w:p>
    <w:p w:rsidR="002A22A4" w:rsidRPr="006E709F" w:rsidRDefault="002A22A4" w:rsidP="00A801D0">
      <w:pPr>
        <w:pStyle w:val="Definition"/>
      </w:pPr>
      <w:r w:rsidRPr="006E709F">
        <w:rPr>
          <w:b/>
          <w:i/>
        </w:rPr>
        <w:t>mandated employer</w:t>
      </w:r>
      <w:r w:rsidR="000C4237">
        <w:rPr>
          <w:b/>
          <w:i/>
        </w:rPr>
        <w:noBreakHyphen/>
      </w:r>
      <w:r w:rsidRPr="006E709F">
        <w:rPr>
          <w:b/>
          <w:i/>
        </w:rPr>
        <w:t>financed benefits</w:t>
      </w:r>
      <w:r w:rsidRPr="006E709F">
        <w:t xml:space="preserve"> has the same meaning as in the </w:t>
      </w:r>
      <w:r w:rsidRPr="006E709F">
        <w:rPr>
          <w:i/>
        </w:rPr>
        <w:t>Retirement Savings Accounts Regulations</w:t>
      </w:r>
      <w:r w:rsidR="00DA13DE" w:rsidRPr="006E709F">
        <w:rPr>
          <w:i/>
        </w:rPr>
        <w:t> </w:t>
      </w:r>
      <w:r w:rsidRPr="006E709F">
        <w:rPr>
          <w:i/>
        </w:rPr>
        <w:t>1997</w:t>
      </w:r>
      <w:r w:rsidRPr="006E709F">
        <w:t>.</w:t>
      </w:r>
    </w:p>
    <w:p w:rsidR="002A22A4" w:rsidRPr="006E709F" w:rsidRDefault="002A22A4" w:rsidP="00A801D0">
      <w:pPr>
        <w:pStyle w:val="Definition"/>
      </w:pPr>
      <w:r w:rsidRPr="006E709F">
        <w:rPr>
          <w:b/>
          <w:i/>
        </w:rPr>
        <w:t>protected member</w:t>
      </w:r>
      <w:r w:rsidRPr="006E709F">
        <w:t xml:space="preserve"> has the same meaning as in the </w:t>
      </w:r>
      <w:r w:rsidRPr="006E709F">
        <w:rPr>
          <w:i/>
        </w:rPr>
        <w:t>Retirement Savings Accounts Regulations</w:t>
      </w:r>
      <w:r w:rsidR="00DA13DE" w:rsidRPr="006E709F">
        <w:rPr>
          <w:i/>
        </w:rPr>
        <w:t> </w:t>
      </w:r>
      <w:r w:rsidRPr="006E709F">
        <w:rPr>
          <w:i/>
        </w:rPr>
        <w:t>1997</w:t>
      </w:r>
      <w:r w:rsidRPr="006E709F">
        <w:t>.</w:t>
      </w:r>
    </w:p>
    <w:p w:rsidR="002A22A4" w:rsidRPr="006E709F" w:rsidRDefault="002A22A4" w:rsidP="00A801D0">
      <w:pPr>
        <w:pStyle w:val="Definition"/>
      </w:pPr>
      <w:r w:rsidRPr="006E709F">
        <w:rPr>
          <w:b/>
          <w:i/>
        </w:rPr>
        <w:t>RSA holder</w:t>
      </w:r>
      <w:r w:rsidR="000C4237">
        <w:rPr>
          <w:b/>
          <w:i/>
        </w:rPr>
        <w:noBreakHyphen/>
      </w:r>
      <w:r w:rsidRPr="006E709F">
        <w:rPr>
          <w:b/>
          <w:i/>
        </w:rPr>
        <w:t>protection standards</w:t>
      </w:r>
      <w:r w:rsidRPr="006E709F">
        <w:t xml:space="preserve"> has the same meaning as in the </w:t>
      </w:r>
      <w:r w:rsidRPr="006E709F">
        <w:rPr>
          <w:i/>
        </w:rPr>
        <w:t>Retirement Savings Accounts Regulations</w:t>
      </w:r>
      <w:r w:rsidR="00DA13DE" w:rsidRPr="006E709F">
        <w:rPr>
          <w:i/>
        </w:rPr>
        <w:t> </w:t>
      </w:r>
      <w:r w:rsidRPr="006E709F">
        <w:rPr>
          <w:i/>
        </w:rPr>
        <w:t>1997</w:t>
      </w:r>
      <w:r w:rsidRPr="006E709F">
        <w:t>.</w:t>
      </w:r>
    </w:p>
    <w:p w:rsidR="002A22A4" w:rsidRPr="006E709F" w:rsidRDefault="00A801D0" w:rsidP="00A801D0">
      <w:pPr>
        <w:pStyle w:val="ActHead2"/>
        <w:pageBreakBefore/>
      </w:pPr>
      <w:bookmarkStart w:id="119" w:name="_Toc170547936"/>
      <w:r w:rsidRPr="000C4237">
        <w:rPr>
          <w:rStyle w:val="CharPartNo"/>
        </w:rPr>
        <w:lastRenderedPageBreak/>
        <w:t>Part</w:t>
      </w:r>
      <w:r w:rsidR="00DA13DE" w:rsidRPr="000C4237">
        <w:rPr>
          <w:rStyle w:val="CharPartNo"/>
        </w:rPr>
        <w:t> </w:t>
      </w:r>
      <w:r w:rsidR="002A22A4" w:rsidRPr="000C4237">
        <w:rPr>
          <w:rStyle w:val="CharPartNo"/>
        </w:rPr>
        <w:t>9</w:t>
      </w:r>
      <w:r w:rsidRPr="006E709F">
        <w:t>—</w:t>
      </w:r>
      <w:r w:rsidR="002A22A4" w:rsidRPr="000C4237">
        <w:rPr>
          <w:rStyle w:val="CharPartText"/>
        </w:rPr>
        <w:t>Modifications relating to periodic statements for superannuation entities and RSA providers</w:t>
      </w:r>
      <w:bookmarkEnd w:id="119"/>
    </w:p>
    <w:p w:rsidR="002406FE" w:rsidRPr="006E709F" w:rsidRDefault="002406FE" w:rsidP="002406FE">
      <w:pPr>
        <w:pStyle w:val="Header"/>
      </w:pPr>
      <w:r w:rsidRPr="000C4237">
        <w:rPr>
          <w:rStyle w:val="CharDivNo"/>
        </w:rPr>
        <w:t xml:space="preserve"> </w:t>
      </w:r>
      <w:r w:rsidRPr="000C4237">
        <w:rPr>
          <w:rStyle w:val="CharDivText"/>
        </w:rPr>
        <w:t xml:space="preserve"> </w:t>
      </w:r>
    </w:p>
    <w:p w:rsidR="002A22A4" w:rsidRPr="006E709F" w:rsidRDefault="000577C6" w:rsidP="00DD3819">
      <w:pPr>
        <w:pStyle w:val="ItemHead"/>
      </w:pPr>
      <w:r w:rsidRPr="006E709F">
        <w:t xml:space="preserve">9.1  </w:t>
      </w:r>
      <w:r w:rsidR="002A22A4" w:rsidRPr="006E709F">
        <w:t>After subsection</w:t>
      </w:r>
      <w:r w:rsidR="00DA13DE" w:rsidRPr="006E709F">
        <w:t> </w:t>
      </w:r>
      <w:r w:rsidR="002A22A4" w:rsidRPr="006E709F">
        <w:t>1017C(7)</w:t>
      </w:r>
    </w:p>
    <w:p w:rsidR="00A801D0" w:rsidRPr="006E709F" w:rsidRDefault="00A801D0" w:rsidP="00DD3819">
      <w:pPr>
        <w:pStyle w:val="Item"/>
        <w:rPr>
          <w:i/>
        </w:rPr>
      </w:pPr>
      <w:r w:rsidRPr="006E709F">
        <w:rPr>
          <w:i/>
        </w:rPr>
        <w:t>insert</w:t>
      </w:r>
    </w:p>
    <w:p w:rsidR="002A22A4" w:rsidRPr="006E709F" w:rsidRDefault="002A22A4" w:rsidP="00A801D0">
      <w:pPr>
        <w:pStyle w:val="subsection"/>
      </w:pPr>
      <w:r w:rsidRPr="006E709F">
        <w:tab/>
        <w:t>(7A)</w:t>
      </w:r>
      <w:r w:rsidRPr="006E709F">
        <w:tab/>
        <w:t>If:</w:t>
      </w:r>
    </w:p>
    <w:p w:rsidR="002A22A4" w:rsidRPr="006E709F" w:rsidRDefault="002A22A4" w:rsidP="00A801D0">
      <w:pPr>
        <w:pStyle w:val="paragraph"/>
      </w:pPr>
      <w:r w:rsidRPr="006E709F">
        <w:tab/>
        <w:t>(a)</w:t>
      </w:r>
      <w:r w:rsidRPr="006E709F">
        <w:tab/>
        <w:t xml:space="preserve">a concerned person requests information under </w:t>
      </w:r>
      <w:r w:rsidR="00DA13DE" w:rsidRPr="006E709F">
        <w:t>subsection (</w:t>
      </w:r>
      <w:r w:rsidRPr="006E709F">
        <w:t>2) or (3) in relation to a facility, under the concerned person’s existing holding of a superannuation product, to modify:</w:t>
      </w:r>
    </w:p>
    <w:p w:rsidR="002A22A4" w:rsidRPr="006E709F" w:rsidRDefault="002A22A4" w:rsidP="00A801D0">
      <w:pPr>
        <w:pStyle w:val="paragraphsub"/>
      </w:pPr>
      <w:r w:rsidRPr="006E709F">
        <w:tab/>
        <w:t>(i)</w:t>
      </w:r>
      <w:r w:rsidRPr="006E709F">
        <w:tab/>
        <w:t>an investment strategy; or</w:t>
      </w:r>
    </w:p>
    <w:p w:rsidR="0048795D" w:rsidRPr="006E709F" w:rsidRDefault="002A22A4" w:rsidP="00A801D0">
      <w:pPr>
        <w:pStyle w:val="paragraphsub"/>
      </w:pPr>
      <w:r w:rsidRPr="006E709F">
        <w:tab/>
        <w:t>(ii)</w:t>
      </w:r>
      <w:r w:rsidRPr="006E709F">
        <w:tab/>
        <w:t>a contribution level; or</w:t>
      </w:r>
    </w:p>
    <w:p w:rsidR="002A22A4" w:rsidRPr="006E709F" w:rsidRDefault="002A22A4" w:rsidP="00A801D0">
      <w:pPr>
        <w:pStyle w:val="paragraphsub"/>
      </w:pPr>
      <w:r w:rsidRPr="006E709F">
        <w:tab/>
        <w:t>(iii)</w:t>
      </w:r>
      <w:r w:rsidRPr="006E709F">
        <w:tab/>
        <w:t>insurance coverage; and</w:t>
      </w:r>
    </w:p>
    <w:p w:rsidR="002A22A4" w:rsidRPr="006E709F" w:rsidRDefault="002A22A4" w:rsidP="00A801D0">
      <w:pPr>
        <w:pStyle w:val="paragraph"/>
      </w:pPr>
      <w:r w:rsidRPr="006E709F">
        <w:tab/>
        <w:t>(b)</w:t>
      </w:r>
      <w:r w:rsidRPr="006E709F">
        <w:tab/>
        <w:t xml:space="preserve">the information has not already been given in a periodic statement or in accordance with other periodic reporting requirements under </w:t>
      </w:r>
      <w:r w:rsidR="00A801D0" w:rsidRPr="006E709F">
        <w:t>Division</w:t>
      </w:r>
      <w:r w:rsidR="00DA13DE" w:rsidRPr="006E709F">
        <w:t> </w:t>
      </w:r>
      <w:r w:rsidRPr="006E709F">
        <w:t>3;</w:t>
      </w:r>
    </w:p>
    <w:p w:rsidR="002A22A4" w:rsidRPr="006E709F" w:rsidRDefault="002A22A4" w:rsidP="00A801D0">
      <w:pPr>
        <w:pStyle w:val="subsection2"/>
      </w:pPr>
      <w:r w:rsidRPr="006E709F">
        <w:t>it is sufficient compliance with a requirement imposed by this section if the responsible person provides an up to date Product Disclosure Statement that includes information on the ability and effect of making the modification.</w:t>
      </w:r>
    </w:p>
    <w:p w:rsidR="002A22A4" w:rsidRPr="006E709F" w:rsidRDefault="00A801D0" w:rsidP="00A801D0">
      <w:pPr>
        <w:pStyle w:val="ActHead2"/>
        <w:pageBreakBefore/>
      </w:pPr>
      <w:bookmarkStart w:id="120" w:name="_Toc170547937"/>
      <w:r w:rsidRPr="000C4237">
        <w:rPr>
          <w:rStyle w:val="CharPartNo"/>
        </w:rPr>
        <w:lastRenderedPageBreak/>
        <w:t>Part</w:t>
      </w:r>
      <w:r w:rsidR="00DA13DE" w:rsidRPr="000C4237">
        <w:rPr>
          <w:rStyle w:val="CharPartNo"/>
        </w:rPr>
        <w:t> </w:t>
      </w:r>
      <w:r w:rsidR="002A22A4" w:rsidRPr="000C4237">
        <w:rPr>
          <w:rStyle w:val="CharPartNo"/>
        </w:rPr>
        <w:t>10</w:t>
      </w:r>
      <w:r w:rsidRPr="006E709F">
        <w:t>—</w:t>
      </w:r>
      <w:r w:rsidR="002A22A4" w:rsidRPr="000C4237">
        <w:rPr>
          <w:rStyle w:val="CharPartText"/>
        </w:rPr>
        <w:t>Modifications relating to ongoing disclosure of material changes and significant events in relation to superannuation products and RSAs</w:t>
      </w:r>
      <w:bookmarkEnd w:id="120"/>
    </w:p>
    <w:p w:rsidR="002406FE" w:rsidRPr="006E709F" w:rsidRDefault="002406FE" w:rsidP="002406FE">
      <w:pPr>
        <w:pStyle w:val="Header"/>
      </w:pPr>
      <w:r w:rsidRPr="000C4237">
        <w:rPr>
          <w:rStyle w:val="CharDivNo"/>
        </w:rPr>
        <w:t xml:space="preserve"> </w:t>
      </w:r>
      <w:r w:rsidRPr="000C4237">
        <w:rPr>
          <w:rStyle w:val="CharDivText"/>
        </w:rPr>
        <w:t xml:space="preserve"> </w:t>
      </w:r>
    </w:p>
    <w:p w:rsidR="002A22A4" w:rsidRPr="006E709F" w:rsidRDefault="000577C6" w:rsidP="00DD3819">
      <w:pPr>
        <w:pStyle w:val="ItemHead"/>
      </w:pPr>
      <w:r w:rsidRPr="006E709F">
        <w:t xml:space="preserve">10.1  </w:t>
      </w:r>
      <w:r w:rsidR="002A22A4" w:rsidRPr="006E709F">
        <w:t>After subsection</w:t>
      </w:r>
      <w:r w:rsidR="00DA13DE" w:rsidRPr="006E709F">
        <w:t> </w:t>
      </w:r>
      <w:r w:rsidR="002A22A4" w:rsidRPr="006E709F">
        <w:t>1017B(5)</w:t>
      </w:r>
    </w:p>
    <w:p w:rsidR="00A801D0" w:rsidRPr="006E709F" w:rsidRDefault="00A801D0" w:rsidP="00DD3819">
      <w:pPr>
        <w:pStyle w:val="Item"/>
        <w:rPr>
          <w:i/>
        </w:rPr>
      </w:pPr>
      <w:r w:rsidRPr="006E709F">
        <w:rPr>
          <w:i/>
        </w:rPr>
        <w:t>insert</w:t>
      </w:r>
    </w:p>
    <w:p w:rsidR="002A22A4" w:rsidRPr="006E709F" w:rsidRDefault="002A22A4" w:rsidP="00A801D0">
      <w:pPr>
        <w:pStyle w:val="SubsectionHead"/>
      </w:pPr>
      <w:r w:rsidRPr="006E709F">
        <w:t>Provision of advice before event</w:t>
      </w:r>
    </w:p>
    <w:p w:rsidR="002A22A4" w:rsidRPr="006E709F" w:rsidRDefault="002A22A4" w:rsidP="00A801D0">
      <w:pPr>
        <w:pStyle w:val="subsection"/>
      </w:pPr>
      <w:r w:rsidRPr="006E709F">
        <w:tab/>
        <w:t>(5A)</w:t>
      </w:r>
      <w:r w:rsidRPr="006E709F">
        <w:tab/>
        <w:t xml:space="preserve">For a superannuation product or an </w:t>
      </w:r>
      <w:r w:rsidR="00077176" w:rsidRPr="00BE1284">
        <w:t>RSA</w:t>
      </w:r>
      <w:r w:rsidRPr="006E709F">
        <w:t>, if a product holder would reasonably be expected to be informed of:</w:t>
      </w:r>
    </w:p>
    <w:p w:rsidR="002A22A4" w:rsidRPr="006E709F" w:rsidRDefault="002A22A4" w:rsidP="00A801D0">
      <w:pPr>
        <w:pStyle w:val="paragraph"/>
      </w:pPr>
      <w:r w:rsidRPr="006E709F">
        <w:tab/>
        <w:t>(a)</w:t>
      </w:r>
      <w:r w:rsidRPr="006E709F">
        <w:tab/>
        <w:t>a decision of the issuer; or</w:t>
      </w:r>
    </w:p>
    <w:p w:rsidR="0048795D" w:rsidRPr="006E709F" w:rsidRDefault="002A22A4" w:rsidP="00A801D0">
      <w:pPr>
        <w:pStyle w:val="paragraph"/>
      </w:pPr>
      <w:r w:rsidRPr="006E709F">
        <w:tab/>
        <w:t>(b)</w:t>
      </w:r>
      <w:r w:rsidRPr="006E709F">
        <w:tab/>
        <w:t>the winding</w:t>
      </w:r>
      <w:r w:rsidR="000C4237">
        <w:noBreakHyphen/>
      </w:r>
      <w:r w:rsidRPr="006E709F">
        <w:t>up or termination of the superannuation entity;</w:t>
      </w:r>
    </w:p>
    <w:p w:rsidR="002A22A4" w:rsidRPr="006E709F" w:rsidRDefault="002A22A4" w:rsidP="00A801D0">
      <w:pPr>
        <w:pStyle w:val="subsection2"/>
      </w:pPr>
      <w:r w:rsidRPr="006E709F">
        <w:t>before it occurs, the issuer must give the product holder information about the event as soon as practicable after it becomes reasonable for the issuer to expect that the event will happen (except that the information does not need to be given more than 3 months before the expected date of the event).</w:t>
      </w:r>
    </w:p>
    <w:p w:rsidR="002A22A4" w:rsidRPr="006E709F" w:rsidRDefault="002A22A4" w:rsidP="00A801D0">
      <w:pPr>
        <w:pStyle w:val="SubsectionHead"/>
      </w:pPr>
      <w:r w:rsidRPr="006E709F">
        <w:t>Changes to governing rules or terms and conditions</w:t>
      </w:r>
    </w:p>
    <w:p w:rsidR="002A22A4" w:rsidRPr="006E709F" w:rsidRDefault="002A22A4" w:rsidP="00A801D0">
      <w:pPr>
        <w:pStyle w:val="subsection"/>
      </w:pPr>
      <w:r w:rsidRPr="006E709F">
        <w:tab/>
        <w:t>(5B)</w:t>
      </w:r>
      <w:r w:rsidRPr="006E709F">
        <w:tab/>
        <w:t>For subsections</w:t>
      </w:r>
      <w:r w:rsidR="00DA13DE" w:rsidRPr="006E709F">
        <w:t> </w:t>
      </w:r>
      <w:r w:rsidRPr="006E709F">
        <w:t>1017B(5), (6) and (7) a reference to an event includes the following:</w:t>
      </w:r>
    </w:p>
    <w:p w:rsidR="002A22A4" w:rsidRPr="006E709F" w:rsidRDefault="002A22A4" w:rsidP="00A801D0">
      <w:pPr>
        <w:pStyle w:val="paragraph"/>
      </w:pPr>
      <w:r w:rsidRPr="006E709F">
        <w:tab/>
        <w:t>(a)</w:t>
      </w:r>
      <w:r w:rsidRPr="006E709F">
        <w:tab/>
        <w:t>a change to the governing rules of a superannuation entity (other than a change that gives effect to a payment split) of a kind that has an adverse effect on:</w:t>
      </w:r>
    </w:p>
    <w:p w:rsidR="002A22A4" w:rsidRPr="006E709F" w:rsidRDefault="002A22A4" w:rsidP="00A801D0">
      <w:pPr>
        <w:pStyle w:val="paragraphsub"/>
      </w:pPr>
      <w:r w:rsidRPr="006E709F">
        <w:rPr>
          <w:color w:val="000000"/>
        </w:rPr>
        <w:tab/>
        <w:t>(i)</w:t>
      </w:r>
      <w:r w:rsidRPr="006E709F">
        <w:rPr>
          <w:color w:val="000000"/>
        </w:rPr>
        <w:tab/>
        <w:t>the amount of the relevant financial product; or</w:t>
      </w:r>
    </w:p>
    <w:p w:rsidR="002A22A4" w:rsidRPr="006E709F" w:rsidRDefault="002A22A4" w:rsidP="00A801D0">
      <w:pPr>
        <w:pStyle w:val="paragraphsub"/>
      </w:pPr>
      <w:r w:rsidRPr="006E709F">
        <w:tab/>
        <w:t>(ii)</w:t>
      </w:r>
      <w:r w:rsidRPr="006E709F">
        <w:tab/>
        <w:t>the benefits to which the holder of the relevant financial product may become entitled; or</w:t>
      </w:r>
    </w:p>
    <w:p w:rsidR="002A22A4" w:rsidRPr="006E709F" w:rsidRDefault="002A22A4" w:rsidP="00A801D0">
      <w:pPr>
        <w:pStyle w:val="paragraphsub"/>
      </w:pPr>
      <w:r w:rsidRPr="006E709F">
        <w:tab/>
        <w:t>(iii)</w:t>
      </w:r>
      <w:r w:rsidRPr="006E709F">
        <w:tab/>
        <w:t>the circumstances in which the benefits to which the holder of the relevant financial product may become entitled would become payable;</w:t>
      </w:r>
    </w:p>
    <w:p w:rsidR="002A22A4" w:rsidRPr="006E709F" w:rsidRDefault="002A22A4" w:rsidP="00A801D0">
      <w:pPr>
        <w:pStyle w:val="paragraph"/>
      </w:pPr>
      <w:r w:rsidRPr="006E709F">
        <w:tab/>
        <w:t>(b)</w:t>
      </w:r>
      <w:r w:rsidRPr="006E709F">
        <w:tab/>
        <w:t>a change to the terms and conditions of an RSA (other than a change that gives effect to a payment split) of a kind that has an adverse effect on:</w:t>
      </w:r>
    </w:p>
    <w:p w:rsidR="002A22A4" w:rsidRPr="006E709F" w:rsidRDefault="002A22A4" w:rsidP="00A801D0">
      <w:pPr>
        <w:pStyle w:val="paragraphsub"/>
      </w:pPr>
      <w:r w:rsidRPr="006E709F">
        <w:rPr>
          <w:color w:val="000000"/>
        </w:rPr>
        <w:tab/>
        <w:t>(i)</w:t>
      </w:r>
      <w:r w:rsidRPr="006E709F">
        <w:rPr>
          <w:color w:val="000000"/>
        </w:rPr>
        <w:tab/>
        <w:t>the amount of the RSA; or</w:t>
      </w:r>
    </w:p>
    <w:p w:rsidR="002A22A4" w:rsidRPr="006E709F" w:rsidRDefault="002A22A4" w:rsidP="00A801D0">
      <w:pPr>
        <w:pStyle w:val="paragraphsub"/>
      </w:pPr>
      <w:r w:rsidRPr="006E709F">
        <w:tab/>
        <w:t>(ii)</w:t>
      </w:r>
      <w:r w:rsidRPr="006E709F">
        <w:tab/>
        <w:t>the benefits to which the RSA holder may become entitled; or</w:t>
      </w:r>
    </w:p>
    <w:p w:rsidR="002A22A4" w:rsidRPr="006E709F" w:rsidRDefault="002A22A4" w:rsidP="00A801D0">
      <w:pPr>
        <w:pStyle w:val="paragraphsub"/>
      </w:pPr>
      <w:r w:rsidRPr="006E709F">
        <w:tab/>
        <w:t>(iii)</w:t>
      </w:r>
      <w:r w:rsidRPr="006E709F">
        <w:tab/>
        <w:t>the circumstances in which the benefits to which the RSA holder may become entitled would become payable;</w:t>
      </w:r>
    </w:p>
    <w:p w:rsidR="002A22A4" w:rsidRPr="006E709F" w:rsidRDefault="002A22A4" w:rsidP="00A801D0">
      <w:pPr>
        <w:pStyle w:val="paragraph"/>
      </w:pPr>
      <w:r w:rsidRPr="006E709F">
        <w:tab/>
        <w:t>(c)</w:t>
      </w:r>
      <w:r w:rsidRPr="006E709F">
        <w:tab/>
        <w:t>any other change in relation to an RSA, caused by any other act carried out or consented to by the issuer, of a kind that has an adverse effect on:</w:t>
      </w:r>
    </w:p>
    <w:p w:rsidR="002A22A4" w:rsidRPr="006E709F" w:rsidRDefault="002A22A4" w:rsidP="00A801D0">
      <w:pPr>
        <w:pStyle w:val="paragraphsub"/>
      </w:pPr>
      <w:r w:rsidRPr="006E709F">
        <w:tab/>
        <w:t>(i)</w:t>
      </w:r>
      <w:r w:rsidRPr="006E709F">
        <w:tab/>
        <w:t>the amount of the RSA; or</w:t>
      </w:r>
    </w:p>
    <w:p w:rsidR="002A22A4" w:rsidRPr="006E709F" w:rsidRDefault="002A22A4" w:rsidP="00A801D0">
      <w:pPr>
        <w:pStyle w:val="paragraphsub"/>
      </w:pPr>
      <w:r w:rsidRPr="006E709F">
        <w:tab/>
        <w:t>(ii)</w:t>
      </w:r>
      <w:r w:rsidRPr="006E709F">
        <w:tab/>
        <w:t>the benefits to which the RSA holder may become entitled; or</w:t>
      </w:r>
    </w:p>
    <w:p w:rsidR="002A22A4" w:rsidRPr="006E709F" w:rsidRDefault="002A22A4" w:rsidP="00A801D0">
      <w:pPr>
        <w:pStyle w:val="paragraphsub"/>
      </w:pPr>
      <w:r w:rsidRPr="006E709F">
        <w:tab/>
        <w:t>(iii)</w:t>
      </w:r>
      <w:r w:rsidRPr="006E709F">
        <w:tab/>
        <w:t>the circumstances in which the benefits to which the RSA holder may become entitled would become payable.</w:t>
      </w:r>
    </w:p>
    <w:p w:rsidR="002A22A4" w:rsidRPr="006E709F" w:rsidRDefault="002A22A4" w:rsidP="00A801D0">
      <w:pPr>
        <w:pStyle w:val="SubsectionHead"/>
      </w:pPr>
      <w:r w:rsidRPr="006E709F">
        <w:lastRenderedPageBreak/>
        <w:t>Notice of non</w:t>
      </w:r>
      <w:r w:rsidR="000C4237">
        <w:noBreakHyphen/>
      </w:r>
      <w:r w:rsidRPr="006E709F">
        <w:t>compliance</w:t>
      </w:r>
    </w:p>
    <w:p w:rsidR="002A22A4" w:rsidRPr="006E709F" w:rsidRDefault="002A22A4" w:rsidP="00A801D0">
      <w:pPr>
        <w:pStyle w:val="subsection"/>
      </w:pPr>
      <w:r w:rsidRPr="006E709F">
        <w:tab/>
        <w:t>(5C)</w:t>
      </w:r>
      <w:r w:rsidRPr="006E709F">
        <w:tab/>
        <w:t>If the issuer of a superannuation product receives a notice of non</w:t>
      </w:r>
      <w:r w:rsidR="000C4237">
        <w:noBreakHyphen/>
      </w:r>
      <w:r w:rsidRPr="006E709F">
        <w:t>compliance, the issuer must give to each product holder:</w:t>
      </w:r>
    </w:p>
    <w:p w:rsidR="002A22A4" w:rsidRPr="006E709F" w:rsidRDefault="002A22A4" w:rsidP="00A801D0">
      <w:pPr>
        <w:pStyle w:val="paragraph"/>
      </w:pPr>
      <w:r w:rsidRPr="006E709F">
        <w:tab/>
        <w:t>(a)</w:t>
      </w:r>
      <w:r w:rsidRPr="006E709F">
        <w:tab/>
        <w:t>a statement of the circumstances (including details of the non</w:t>
      </w:r>
      <w:r w:rsidR="000C4237">
        <w:noBreakHyphen/>
      </w:r>
      <w:r w:rsidRPr="006E709F">
        <w:t>compliance) that gave rise to the issue of the notice; and</w:t>
      </w:r>
    </w:p>
    <w:p w:rsidR="002A22A4" w:rsidRPr="006E709F" w:rsidRDefault="002A22A4" w:rsidP="00A801D0">
      <w:pPr>
        <w:pStyle w:val="paragraph"/>
      </w:pPr>
      <w:r w:rsidRPr="006E709F">
        <w:tab/>
        <w:t>(b)</w:t>
      </w:r>
      <w:r w:rsidRPr="006E709F">
        <w:tab/>
        <w:t>a statement of the effect on the fund of the issue of the notice (including details of the effect on the entity’s taxation position); and</w:t>
      </w:r>
    </w:p>
    <w:p w:rsidR="002A22A4" w:rsidRPr="006E709F" w:rsidRDefault="002A22A4" w:rsidP="00A801D0">
      <w:pPr>
        <w:pStyle w:val="paragraph"/>
      </w:pPr>
      <w:r w:rsidRPr="006E709F">
        <w:tab/>
        <w:t>(c)</w:t>
      </w:r>
      <w:r w:rsidRPr="006E709F">
        <w:tab/>
        <w:t>details of action that the issuer has taken, or proposes to take, to have the entity become a complying fund or a pooled superannuation trust for the purposes of Division</w:t>
      </w:r>
      <w:r w:rsidR="00DA13DE" w:rsidRPr="006E709F">
        <w:t> </w:t>
      </w:r>
      <w:r w:rsidRPr="006E709F">
        <w:t xml:space="preserve">2 of </w:t>
      </w:r>
      <w:r w:rsidR="00A801D0" w:rsidRPr="006E709F">
        <w:t>Part</w:t>
      </w:r>
      <w:r w:rsidR="00DA13DE" w:rsidRPr="006E709F">
        <w:t> </w:t>
      </w:r>
      <w:r w:rsidRPr="006E709F">
        <w:t>5 of the Act.</w:t>
      </w:r>
    </w:p>
    <w:p w:rsidR="002A22A4" w:rsidRPr="006E709F" w:rsidRDefault="002A22A4" w:rsidP="00A801D0">
      <w:pPr>
        <w:pStyle w:val="subsection"/>
      </w:pPr>
      <w:r w:rsidRPr="006E709F">
        <w:tab/>
        <w:t>(5D)</w:t>
      </w:r>
      <w:r w:rsidRPr="006E709F">
        <w:tab/>
        <w:t xml:space="preserve">For </w:t>
      </w:r>
      <w:r w:rsidR="00DA13DE" w:rsidRPr="006E709F">
        <w:t>subsection (</w:t>
      </w:r>
      <w:r w:rsidRPr="006E709F">
        <w:t xml:space="preserve">5C), a </w:t>
      </w:r>
      <w:r w:rsidRPr="006E709F">
        <w:rPr>
          <w:b/>
          <w:i/>
        </w:rPr>
        <w:t>notice of non</w:t>
      </w:r>
      <w:r w:rsidR="000C4237">
        <w:rPr>
          <w:b/>
          <w:i/>
        </w:rPr>
        <w:noBreakHyphen/>
      </w:r>
      <w:r w:rsidRPr="006E709F">
        <w:rPr>
          <w:b/>
          <w:i/>
        </w:rPr>
        <w:t>compliance</w:t>
      </w:r>
      <w:r w:rsidRPr="006E709F">
        <w:t xml:space="preserve"> means a notice issued under section</w:t>
      </w:r>
      <w:r w:rsidR="00DA13DE" w:rsidRPr="006E709F">
        <w:t> </w:t>
      </w:r>
      <w:r w:rsidRPr="006E709F">
        <w:t>40 of the SIS Act to the trustee of a fund stating that the fund is not a complying fund or a pooled superannuation trust.</w:t>
      </w:r>
    </w:p>
    <w:p w:rsidR="002A22A4" w:rsidRPr="006E709F" w:rsidRDefault="002A22A4" w:rsidP="00A801D0">
      <w:pPr>
        <w:pStyle w:val="SubsectionHead"/>
      </w:pPr>
      <w:r w:rsidRPr="006E709F">
        <w:t>Fund and RSA transfers</w:t>
      </w:r>
    </w:p>
    <w:p w:rsidR="002A22A4" w:rsidRPr="006E709F" w:rsidRDefault="002A22A4" w:rsidP="00A801D0">
      <w:pPr>
        <w:pStyle w:val="subsection"/>
      </w:pPr>
      <w:r w:rsidRPr="006E709F">
        <w:tab/>
        <w:t>(5E)</w:t>
      </w:r>
      <w:r w:rsidRPr="006E709F">
        <w:tab/>
        <w:t xml:space="preserve">For </w:t>
      </w:r>
      <w:r w:rsidR="00DA13DE" w:rsidRPr="006E709F">
        <w:t>subsections (</w:t>
      </w:r>
      <w:r w:rsidRPr="006E709F">
        <w:t>5), (6) and (7), a reference to an event includes:</w:t>
      </w:r>
    </w:p>
    <w:p w:rsidR="002A22A4" w:rsidRPr="006E709F" w:rsidRDefault="002A22A4" w:rsidP="00A801D0">
      <w:pPr>
        <w:pStyle w:val="paragraph"/>
      </w:pPr>
      <w:r w:rsidRPr="006E709F">
        <w:tab/>
        <w:t>(a)</w:t>
      </w:r>
      <w:r w:rsidRPr="006E709F">
        <w:tab/>
        <w:t>in relation to a superannuation product:</w:t>
      </w:r>
    </w:p>
    <w:p w:rsidR="002A22A4" w:rsidRPr="006E709F" w:rsidRDefault="002A22A4" w:rsidP="00A801D0">
      <w:pPr>
        <w:pStyle w:val="paragraphsub"/>
      </w:pPr>
      <w:r w:rsidRPr="006E709F">
        <w:tab/>
        <w:t>(i)</w:t>
      </w:r>
      <w:r w:rsidRPr="006E709F">
        <w:tab/>
        <w:t>the transfer of a member to a different category of membership or to a different fund; and</w:t>
      </w:r>
    </w:p>
    <w:p w:rsidR="002A22A4" w:rsidRPr="006E709F" w:rsidRDefault="002A22A4" w:rsidP="00A801D0">
      <w:pPr>
        <w:pStyle w:val="paragraphsub"/>
      </w:pPr>
      <w:r w:rsidRPr="006E709F">
        <w:tab/>
        <w:t>(ii)</w:t>
      </w:r>
      <w:r w:rsidRPr="006E709F">
        <w:tab/>
        <w:t xml:space="preserve">the transfer of the benefits of a member to an RSA or </w:t>
      </w:r>
      <w:r w:rsidR="00CF07FF" w:rsidRPr="00BE1284">
        <w:t>exempt public sector superannuation scheme</w:t>
      </w:r>
      <w:r w:rsidRPr="006E709F">
        <w:t xml:space="preserve"> (otherwise than under a payment split); and</w:t>
      </w:r>
    </w:p>
    <w:p w:rsidR="002A22A4" w:rsidRPr="006E709F" w:rsidRDefault="002A22A4" w:rsidP="00A801D0">
      <w:pPr>
        <w:pStyle w:val="paragraph"/>
      </w:pPr>
      <w:r w:rsidRPr="006E709F">
        <w:tab/>
        <w:t>(b)</w:t>
      </w:r>
      <w:r w:rsidRPr="006E709F">
        <w:tab/>
        <w:t xml:space="preserve">in relation to an </w:t>
      </w:r>
      <w:r w:rsidR="00077176" w:rsidRPr="00BE1284">
        <w:t>RSA</w:t>
      </w:r>
      <w:r w:rsidR="00A801D0" w:rsidRPr="006E709F">
        <w:t>—</w:t>
      </w:r>
      <w:r w:rsidRPr="006E709F">
        <w:t>the transfer of an amount of an RSA (otherwise than under a payment split) to:</w:t>
      </w:r>
    </w:p>
    <w:p w:rsidR="0048795D" w:rsidRPr="006E709F" w:rsidRDefault="002A22A4" w:rsidP="00A801D0">
      <w:pPr>
        <w:pStyle w:val="paragraphsub"/>
      </w:pPr>
      <w:r w:rsidRPr="006E709F">
        <w:tab/>
        <w:t>(i)</w:t>
      </w:r>
      <w:r w:rsidRPr="006E709F">
        <w:tab/>
        <w:t xml:space="preserve">another RSA offered by an </w:t>
      </w:r>
      <w:r w:rsidR="00077176" w:rsidRPr="00BE1284">
        <w:t>RSA</w:t>
      </w:r>
      <w:r w:rsidRPr="006E709F">
        <w:t xml:space="preserve"> issuer; or</w:t>
      </w:r>
    </w:p>
    <w:p w:rsidR="0048795D" w:rsidRPr="006E709F" w:rsidRDefault="002A22A4" w:rsidP="00A801D0">
      <w:pPr>
        <w:pStyle w:val="paragraphsub"/>
      </w:pPr>
      <w:r w:rsidRPr="006E709F">
        <w:tab/>
        <w:t>(ii)</w:t>
      </w:r>
      <w:r w:rsidRPr="006E709F">
        <w:tab/>
        <w:t>a superannuation entity; or</w:t>
      </w:r>
    </w:p>
    <w:p w:rsidR="002A22A4" w:rsidRPr="006E709F" w:rsidRDefault="002A22A4" w:rsidP="00A801D0">
      <w:pPr>
        <w:pStyle w:val="paragraphsub"/>
      </w:pPr>
      <w:r w:rsidRPr="006E709F">
        <w:tab/>
        <w:t>(iii)</w:t>
      </w:r>
      <w:r w:rsidRPr="006E709F">
        <w:tab/>
        <w:t xml:space="preserve">an </w:t>
      </w:r>
      <w:r w:rsidR="00CF07FF" w:rsidRPr="00BE1284">
        <w:t>exempt public sector superannuation scheme</w:t>
      </w:r>
      <w:r w:rsidRPr="006E709F">
        <w:t>.</w:t>
      </w:r>
    </w:p>
    <w:p w:rsidR="002A22A4" w:rsidRPr="006E709F" w:rsidRDefault="000577C6" w:rsidP="00DD3819">
      <w:pPr>
        <w:pStyle w:val="ItemHead"/>
      </w:pPr>
      <w:r w:rsidRPr="006E709F">
        <w:t xml:space="preserve">10.2  </w:t>
      </w:r>
      <w:r w:rsidR="002A22A4" w:rsidRPr="006E709F">
        <w:t>After subsection</w:t>
      </w:r>
      <w:r w:rsidR="00DA13DE" w:rsidRPr="006E709F">
        <w:t> </w:t>
      </w:r>
      <w:r w:rsidR="002A22A4" w:rsidRPr="006E709F">
        <w:t>1017B(9)</w:t>
      </w:r>
    </w:p>
    <w:p w:rsidR="00A801D0" w:rsidRPr="006E709F" w:rsidRDefault="00A801D0" w:rsidP="00A801D0">
      <w:pPr>
        <w:pStyle w:val="Item"/>
        <w:rPr>
          <w:i/>
        </w:rPr>
      </w:pPr>
      <w:r w:rsidRPr="006E709F">
        <w:rPr>
          <w:i/>
        </w:rPr>
        <w:t>insert</w:t>
      </w:r>
    </w:p>
    <w:p w:rsidR="002A22A4" w:rsidRPr="006E709F" w:rsidRDefault="002A22A4" w:rsidP="00A801D0">
      <w:pPr>
        <w:pStyle w:val="subsection"/>
      </w:pPr>
      <w:r w:rsidRPr="006E709F">
        <w:tab/>
        <w:t>(10)</w:t>
      </w:r>
      <w:r w:rsidRPr="006E709F">
        <w:tab/>
        <w:t xml:space="preserve">This section does not apply to a change or event in relation to a superannuation product or an </w:t>
      </w:r>
      <w:r w:rsidR="00821A93" w:rsidRPr="00BE1284">
        <w:t>RSA</w:t>
      </w:r>
      <w:r w:rsidRPr="006E709F">
        <w:t xml:space="preserve"> that relates to a payment split in respect of the product.</w:t>
      </w:r>
    </w:p>
    <w:p w:rsidR="005E53DB" w:rsidRPr="006E709F" w:rsidRDefault="005E53DB" w:rsidP="00A801D0">
      <w:pPr>
        <w:pStyle w:val="subsection"/>
      </w:pPr>
      <w:r w:rsidRPr="006E709F">
        <w:tab/>
        <w:t>(11)</w:t>
      </w:r>
      <w:r w:rsidRPr="006E709F">
        <w:tab/>
        <w:t xml:space="preserve">This section does not apply to a change or event in relation to a superannuation product or an </w:t>
      </w:r>
      <w:r w:rsidR="00821A93" w:rsidRPr="00BE1284">
        <w:t>RSA</w:t>
      </w:r>
      <w:r w:rsidRPr="006E709F">
        <w:t xml:space="preserve"> if the change or event happens because of a transfer in accordance with paragraph</w:t>
      </w:r>
      <w:r w:rsidR="00DA13DE" w:rsidRPr="006E709F">
        <w:t> </w:t>
      </w:r>
      <w:r w:rsidRPr="006E709F">
        <w:t xml:space="preserve">6.29(1)(ba) of the </w:t>
      </w:r>
      <w:r w:rsidRPr="006E709F">
        <w:rPr>
          <w:i/>
        </w:rPr>
        <w:t>Superannuation Industry (Supervision) Regulations</w:t>
      </w:r>
      <w:r w:rsidR="00DA13DE" w:rsidRPr="006E709F">
        <w:rPr>
          <w:i/>
        </w:rPr>
        <w:t> </w:t>
      </w:r>
      <w:r w:rsidRPr="006E709F">
        <w:rPr>
          <w:i/>
        </w:rPr>
        <w:t>1994</w:t>
      </w:r>
      <w:r w:rsidRPr="006E709F">
        <w:t xml:space="preserve"> in respect of the product.</w:t>
      </w:r>
    </w:p>
    <w:p w:rsidR="002A22A4" w:rsidRPr="006E709F" w:rsidRDefault="00A801D0" w:rsidP="00A801D0">
      <w:pPr>
        <w:pStyle w:val="ActHead2"/>
        <w:pageBreakBefore/>
      </w:pPr>
      <w:bookmarkStart w:id="121" w:name="_Toc170547938"/>
      <w:r w:rsidRPr="000C4237">
        <w:rPr>
          <w:rStyle w:val="CharPartNo"/>
        </w:rPr>
        <w:lastRenderedPageBreak/>
        <w:t>Part</w:t>
      </w:r>
      <w:r w:rsidR="00DA13DE" w:rsidRPr="000C4237">
        <w:rPr>
          <w:rStyle w:val="CharPartNo"/>
        </w:rPr>
        <w:t> </w:t>
      </w:r>
      <w:r w:rsidR="002A22A4" w:rsidRPr="000C4237">
        <w:rPr>
          <w:rStyle w:val="CharPartNo"/>
        </w:rPr>
        <w:t>11</w:t>
      </w:r>
      <w:r w:rsidRPr="006E709F">
        <w:t>—</w:t>
      </w:r>
      <w:r w:rsidR="002A22A4" w:rsidRPr="000C4237">
        <w:rPr>
          <w:rStyle w:val="CharPartText"/>
        </w:rPr>
        <w:t>Modifications relating to charges for information requested</w:t>
      </w:r>
      <w:bookmarkEnd w:id="121"/>
    </w:p>
    <w:p w:rsidR="002406FE" w:rsidRPr="006E709F" w:rsidRDefault="002406FE" w:rsidP="002406FE">
      <w:pPr>
        <w:pStyle w:val="Header"/>
      </w:pPr>
      <w:r w:rsidRPr="000C4237">
        <w:rPr>
          <w:rStyle w:val="CharDivNo"/>
        </w:rPr>
        <w:t xml:space="preserve"> </w:t>
      </w:r>
      <w:r w:rsidRPr="000C4237">
        <w:rPr>
          <w:rStyle w:val="CharDivText"/>
        </w:rPr>
        <w:t xml:space="preserve"> </w:t>
      </w:r>
    </w:p>
    <w:p w:rsidR="002A22A4" w:rsidRPr="006E709F" w:rsidRDefault="000577C6" w:rsidP="00DD3819">
      <w:pPr>
        <w:pStyle w:val="ItemHead"/>
      </w:pPr>
      <w:r w:rsidRPr="006E709F">
        <w:t xml:space="preserve">11.1  </w:t>
      </w:r>
      <w:r w:rsidR="002A22A4" w:rsidRPr="006E709F">
        <w:t>After subsection</w:t>
      </w:r>
      <w:r w:rsidR="00DA13DE" w:rsidRPr="006E709F">
        <w:t> </w:t>
      </w:r>
      <w:r w:rsidR="002A22A4" w:rsidRPr="006E709F">
        <w:t>1017C(8)</w:t>
      </w:r>
    </w:p>
    <w:p w:rsidR="00A801D0" w:rsidRPr="006E709F" w:rsidRDefault="00A801D0" w:rsidP="00DD3819">
      <w:pPr>
        <w:pStyle w:val="Item"/>
        <w:rPr>
          <w:i/>
        </w:rPr>
      </w:pPr>
      <w:r w:rsidRPr="006E709F">
        <w:rPr>
          <w:i/>
        </w:rPr>
        <w:t>insert</w:t>
      </w:r>
    </w:p>
    <w:p w:rsidR="002A22A4" w:rsidRPr="006E709F" w:rsidRDefault="002A22A4" w:rsidP="00A801D0">
      <w:pPr>
        <w:pStyle w:val="subsection"/>
      </w:pPr>
      <w:r w:rsidRPr="006E709F">
        <w:tab/>
        <w:t>(8A)</w:t>
      </w:r>
      <w:r w:rsidRPr="006E709F">
        <w:tab/>
        <w:t>The obligation of a responsible person under this section to give information on request by a person arises only if the person pays the amount specified by the responsible person as the charge for giving the information.</w:t>
      </w:r>
    </w:p>
    <w:p w:rsidR="002A22A4" w:rsidRPr="006E709F" w:rsidRDefault="002A22A4" w:rsidP="00A801D0">
      <w:pPr>
        <w:pStyle w:val="subsection"/>
      </w:pPr>
      <w:r w:rsidRPr="006E709F">
        <w:tab/>
        <w:t>(8B)</w:t>
      </w:r>
      <w:r w:rsidRPr="006E709F">
        <w:tab/>
        <w:t>The amount of the charge must not exceed the reasonable cost to the responsible person of giving the information (including all reasonably related costs</w:t>
      </w:r>
      <w:r w:rsidR="00A801D0" w:rsidRPr="006E709F">
        <w:t>—</w:t>
      </w:r>
      <w:r w:rsidRPr="006E709F">
        <w:t>for example, costs of searching for, obtaining and collating the information).</w:t>
      </w:r>
    </w:p>
    <w:p w:rsidR="002A22A4" w:rsidRPr="006E709F" w:rsidRDefault="002A22A4" w:rsidP="00A801D0">
      <w:pPr>
        <w:pStyle w:val="subsection"/>
      </w:pPr>
      <w:r w:rsidRPr="006E709F">
        <w:tab/>
        <w:t>(8C)</w:t>
      </w:r>
      <w:r w:rsidRPr="006E709F">
        <w:tab/>
        <w:t>A member who acts as a representative for or on behalf of a policy committee is not liable to any charge for information given to the member in that capacity.</w:t>
      </w:r>
    </w:p>
    <w:p w:rsidR="002A22A4" w:rsidRPr="006E709F" w:rsidRDefault="002A22A4" w:rsidP="00A801D0">
      <w:pPr>
        <w:pStyle w:val="subsection"/>
      </w:pPr>
      <w:r w:rsidRPr="006E709F">
        <w:tab/>
        <w:t>(8D)</w:t>
      </w:r>
      <w:r w:rsidRPr="006E709F">
        <w:tab/>
        <w:t xml:space="preserve">In the case of information to be supplied to a concerned person under </w:t>
      </w:r>
      <w:r w:rsidR="00A801D0" w:rsidRPr="006E709F">
        <w:t>Subdivision</w:t>
      </w:r>
      <w:r w:rsidR="00DA13DE" w:rsidRPr="006E709F">
        <w:t> </w:t>
      </w:r>
      <w:r w:rsidRPr="006E709F">
        <w:t xml:space="preserve">5.9 of </w:t>
      </w:r>
      <w:r w:rsidR="00A801D0" w:rsidRPr="006E709F">
        <w:t>Part</w:t>
      </w:r>
      <w:r w:rsidR="00DA13DE" w:rsidRPr="006E709F">
        <w:t> </w:t>
      </w:r>
      <w:r w:rsidRPr="006E709F">
        <w:t xml:space="preserve">7.9 of the </w:t>
      </w:r>
      <w:r w:rsidRPr="006E709F">
        <w:rPr>
          <w:i/>
        </w:rPr>
        <w:t xml:space="preserve">Corporations </w:t>
      </w:r>
      <w:r w:rsidR="000C4237">
        <w:rPr>
          <w:i/>
        </w:rPr>
        <w:t>Regulations 2</w:t>
      </w:r>
      <w:r w:rsidRPr="006E709F">
        <w:rPr>
          <w:i/>
        </w:rPr>
        <w:t>001</w:t>
      </w:r>
      <w:r w:rsidRPr="006E709F">
        <w:t>, a charge may be made only if:</w:t>
      </w:r>
    </w:p>
    <w:p w:rsidR="002A22A4" w:rsidRPr="006E709F" w:rsidRDefault="002A22A4" w:rsidP="00A801D0">
      <w:pPr>
        <w:pStyle w:val="paragraph"/>
      </w:pPr>
      <w:r w:rsidRPr="006E709F">
        <w:tab/>
        <w:t>(a)</w:t>
      </w:r>
      <w:r w:rsidRPr="006E709F">
        <w:tab/>
        <w:t>the person to whom the information is to be given has requested the information; and</w:t>
      </w:r>
    </w:p>
    <w:p w:rsidR="002A22A4" w:rsidRPr="006E709F" w:rsidRDefault="002A22A4" w:rsidP="00A801D0">
      <w:pPr>
        <w:pStyle w:val="paragraph"/>
      </w:pPr>
      <w:r w:rsidRPr="006E709F">
        <w:tab/>
        <w:t>(b)</w:t>
      </w:r>
      <w:r w:rsidRPr="006E709F">
        <w:tab/>
        <w:t>the person had been given the same information during the period of 12 months immediately preceding the date on which the request is made.</w:t>
      </w:r>
    </w:p>
    <w:p w:rsidR="002A22A4" w:rsidRPr="006E709F" w:rsidRDefault="00A801D0" w:rsidP="00A801D0">
      <w:pPr>
        <w:pStyle w:val="ActHead2"/>
        <w:pageBreakBefore/>
      </w:pPr>
      <w:bookmarkStart w:id="122" w:name="_Toc170547939"/>
      <w:r w:rsidRPr="000C4237">
        <w:rPr>
          <w:rStyle w:val="CharPartNo"/>
        </w:rPr>
        <w:lastRenderedPageBreak/>
        <w:t>Part</w:t>
      </w:r>
      <w:r w:rsidR="00DA13DE" w:rsidRPr="000C4237">
        <w:rPr>
          <w:rStyle w:val="CharPartNo"/>
        </w:rPr>
        <w:t> </w:t>
      </w:r>
      <w:r w:rsidR="002A22A4" w:rsidRPr="000C4237">
        <w:rPr>
          <w:rStyle w:val="CharPartNo"/>
        </w:rPr>
        <w:t>12</w:t>
      </w:r>
      <w:r w:rsidRPr="006E709F">
        <w:t>—</w:t>
      </w:r>
      <w:r w:rsidR="002A22A4" w:rsidRPr="000C4237">
        <w:rPr>
          <w:rStyle w:val="CharPartText"/>
        </w:rPr>
        <w:t>Modifications relating to information when member leaves a fund</w:t>
      </w:r>
      <w:bookmarkEnd w:id="122"/>
    </w:p>
    <w:p w:rsidR="002406FE" w:rsidRPr="006E709F" w:rsidRDefault="002406FE" w:rsidP="002406FE">
      <w:pPr>
        <w:pStyle w:val="Header"/>
      </w:pPr>
      <w:r w:rsidRPr="000C4237">
        <w:rPr>
          <w:rStyle w:val="CharDivNo"/>
        </w:rPr>
        <w:t xml:space="preserve"> </w:t>
      </w:r>
      <w:r w:rsidRPr="000C4237">
        <w:rPr>
          <w:rStyle w:val="CharDivText"/>
        </w:rPr>
        <w:t xml:space="preserve"> </w:t>
      </w:r>
    </w:p>
    <w:p w:rsidR="002A22A4" w:rsidRPr="006E709F" w:rsidRDefault="000577C6" w:rsidP="00DD3819">
      <w:pPr>
        <w:pStyle w:val="ItemHead"/>
      </w:pPr>
      <w:r w:rsidRPr="006E709F">
        <w:t xml:space="preserve">12.1  </w:t>
      </w:r>
      <w:r w:rsidR="002A22A4" w:rsidRPr="006E709F">
        <w:t>After subsection</w:t>
      </w:r>
      <w:r w:rsidR="00DA13DE" w:rsidRPr="006E709F">
        <w:t> </w:t>
      </w:r>
      <w:r w:rsidR="002A22A4" w:rsidRPr="006E709F">
        <w:t>1017D(3)</w:t>
      </w:r>
    </w:p>
    <w:p w:rsidR="00A801D0" w:rsidRPr="006E709F" w:rsidRDefault="00A801D0" w:rsidP="00DD3819">
      <w:pPr>
        <w:pStyle w:val="Item"/>
        <w:rPr>
          <w:i/>
        </w:rPr>
      </w:pPr>
      <w:r w:rsidRPr="006E709F">
        <w:rPr>
          <w:i/>
        </w:rPr>
        <w:t>insert</w:t>
      </w:r>
    </w:p>
    <w:p w:rsidR="002A22A4" w:rsidRPr="006E709F" w:rsidRDefault="002A22A4" w:rsidP="00A801D0">
      <w:pPr>
        <w:pStyle w:val="subsection"/>
      </w:pPr>
      <w:r w:rsidRPr="006E709F">
        <w:tab/>
        <w:t>(3A)</w:t>
      </w:r>
      <w:r w:rsidRPr="006E709F">
        <w:tab/>
        <w:t xml:space="preserve">For a superannuation product or an </w:t>
      </w:r>
      <w:r w:rsidR="00821A93" w:rsidRPr="00BE1284">
        <w:t>RSA</w:t>
      </w:r>
      <w:r w:rsidRPr="006E709F">
        <w:t>, the periodic statement in relation to the reporting period mentioned in paragraph</w:t>
      </w:r>
      <w:r w:rsidR="00DA13DE" w:rsidRPr="006E709F">
        <w:t> </w:t>
      </w:r>
      <w:r w:rsidRPr="006E709F">
        <w:t>1017D(2</w:t>
      </w:r>
      <w:r w:rsidR="00A801D0" w:rsidRPr="006E709F">
        <w:t>)(</w:t>
      </w:r>
      <w:r w:rsidRPr="006E709F">
        <w:t xml:space="preserve">d) must be given as soon as the issuer becomes aware that that person or another person (the </w:t>
      </w:r>
      <w:r w:rsidRPr="006E709F">
        <w:rPr>
          <w:b/>
          <w:i/>
        </w:rPr>
        <w:t>former product holder</w:t>
      </w:r>
      <w:r w:rsidRPr="006E709F">
        <w:t>) has ceased to hold the product, and, in particular, the issuer must make reasonable efforts to give the information within 1 month after becoming aware that the former product holder has ceased to hold the product.</w:t>
      </w:r>
    </w:p>
    <w:p w:rsidR="002A22A4" w:rsidRPr="006E709F" w:rsidRDefault="002A22A4" w:rsidP="00A801D0">
      <w:pPr>
        <w:pStyle w:val="subsection"/>
      </w:pPr>
      <w:r w:rsidRPr="006E709F">
        <w:tab/>
        <w:t>(3B)</w:t>
      </w:r>
      <w:r w:rsidRPr="006E709F">
        <w:tab/>
        <w:t xml:space="preserve">The issuer of a superannuation product or an </w:t>
      </w:r>
      <w:r w:rsidR="00821A93" w:rsidRPr="00BE1284">
        <w:t>RSA</w:t>
      </w:r>
      <w:r w:rsidRPr="006E709F">
        <w:t xml:space="preserve"> must make all reasonable efforts:</w:t>
      </w:r>
    </w:p>
    <w:p w:rsidR="0048795D" w:rsidRPr="006E709F" w:rsidRDefault="002A22A4" w:rsidP="00A801D0">
      <w:pPr>
        <w:pStyle w:val="paragraph"/>
      </w:pPr>
      <w:r w:rsidRPr="006E709F">
        <w:tab/>
        <w:t>(a)</w:t>
      </w:r>
      <w:r w:rsidRPr="006E709F">
        <w:tab/>
        <w:t>to give the information about the amount of insured death or disability benefits to which the former product holder may have been entitled; and</w:t>
      </w:r>
    </w:p>
    <w:p w:rsidR="002A22A4" w:rsidRPr="006E709F" w:rsidRDefault="002A22A4" w:rsidP="00A801D0">
      <w:pPr>
        <w:pStyle w:val="paragraph"/>
      </w:pPr>
      <w:r w:rsidRPr="006E709F">
        <w:tab/>
        <w:t>(b)</w:t>
      </w:r>
      <w:r w:rsidRPr="006E709F">
        <w:tab/>
        <w:t>to give the information about a continuation option (if any) applying to those benefits (as mentioned in either paragraph</w:t>
      </w:r>
      <w:r w:rsidR="00DA13DE" w:rsidRPr="006E709F">
        <w:t> </w:t>
      </w:r>
      <w:r w:rsidRPr="006E709F">
        <w:t xml:space="preserve">7.9.54(b) or 7.9.65(b) of the </w:t>
      </w:r>
      <w:r w:rsidRPr="006E709F">
        <w:rPr>
          <w:i/>
        </w:rPr>
        <w:t xml:space="preserve">Corporations </w:t>
      </w:r>
      <w:r w:rsidR="000C4237">
        <w:rPr>
          <w:i/>
        </w:rPr>
        <w:t>Regulations 2</w:t>
      </w:r>
      <w:r w:rsidRPr="006E709F">
        <w:rPr>
          <w:i/>
        </w:rPr>
        <w:t>001</w:t>
      </w:r>
      <w:r w:rsidRPr="006E709F">
        <w:t>) in a reasonable time before the option lapses.</w:t>
      </w:r>
    </w:p>
    <w:p w:rsidR="002A22A4" w:rsidRPr="006E709F" w:rsidRDefault="002A22A4" w:rsidP="00A801D0">
      <w:pPr>
        <w:pStyle w:val="subsection"/>
      </w:pPr>
      <w:r w:rsidRPr="006E709F">
        <w:tab/>
        <w:t>(3C)</w:t>
      </w:r>
      <w:r w:rsidRPr="006E709F">
        <w:tab/>
        <w:t xml:space="preserve">Subject to </w:t>
      </w:r>
      <w:r w:rsidR="00DA13DE" w:rsidRPr="006E709F">
        <w:t>subsection (</w:t>
      </w:r>
      <w:r w:rsidRPr="006E709F">
        <w:t xml:space="preserve">3D), if a person ceases to hold a superannuation product or </w:t>
      </w:r>
      <w:r w:rsidR="00565AC8">
        <w:t>an RSA</w:t>
      </w:r>
      <w:r w:rsidRPr="006E709F">
        <w:t>:</w:t>
      </w:r>
    </w:p>
    <w:p w:rsidR="002A22A4" w:rsidRPr="006E709F" w:rsidRDefault="002A22A4" w:rsidP="00A801D0">
      <w:pPr>
        <w:pStyle w:val="paragraph"/>
      </w:pPr>
      <w:r w:rsidRPr="006E709F">
        <w:tab/>
        <w:t>(a)</w:t>
      </w:r>
      <w:r w:rsidRPr="006E709F">
        <w:tab/>
        <w:t xml:space="preserve">after the end of the completed reporting period (the </w:t>
      </w:r>
      <w:r w:rsidRPr="006E709F">
        <w:rPr>
          <w:b/>
          <w:i/>
        </w:rPr>
        <w:t>completed period</w:t>
      </w:r>
      <w:r w:rsidRPr="006E709F">
        <w:t>); and</w:t>
      </w:r>
    </w:p>
    <w:p w:rsidR="002A22A4" w:rsidRPr="006E709F" w:rsidRDefault="002A22A4" w:rsidP="00A801D0">
      <w:pPr>
        <w:pStyle w:val="paragraph"/>
      </w:pPr>
      <w:r w:rsidRPr="006E709F">
        <w:tab/>
        <w:t>(b)</w:t>
      </w:r>
      <w:r w:rsidRPr="006E709F">
        <w:tab/>
        <w:t>before the periodic report is issued for that period;</w:t>
      </w:r>
    </w:p>
    <w:p w:rsidR="002A22A4" w:rsidRPr="006E709F" w:rsidRDefault="002A22A4" w:rsidP="00A801D0">
      <w:pPr>
        <w:pStyle w:val="subsection2"/>
      </w:pPr>
      <w:r w:rsidRPr="006E709F">
        <w:t>the information required by this section to be given to or in relation to the person may be given in respect of the period consisting of the completed period and the period mentioned in paragraph</w:t>
      </w:r>
      <w:r w:rsidR="00DA13DE" w:rsidRPr="006E709F">
        <w:t> </w:t>
      </w:r>
      <w:r w:rsidRPr="006E709F">
        <w:t>1017D(2</w:t>
      </w:r>
      <w:r w:rsidR="00A801D0" w:rsidRPr="006E709F">
        <w:t>)(</w:t>
      </w:r>
      <w:r w:rsidRPr="006E709F">
        <w:t>d) instead of the period in respect of the person’s periodic statement for the period mentioned in paragraph</w:t>
      </w:r>
      <w:r w:rsidR="00DA13DE" w:rsidRPr="006E709F">
        <w:t> </w:t>
      </w:r>
      <w:r w:rsidRPr="006E709F">
        <w:t>1017D(2</w:t>
      </w:r>
      <w:r w:rsidR="00A801D0" w:rsidRPr="006E709F">
        <w:t>)(</w:t>
      </w:r>
      <w:r w:rsidRPr="006E709F">
        <w:t>d).</w:t>
      </w:r>
    </w:p>
    <w:p w:rsidR="002A22A4" w:rsidRPr="006E709F" w:rsidRDefault="002A22A4" w:rsidP="00A801D0">
      <w:pPr>
        <w:pStyle w:val="subsection"/>
      </w:pPr>
      <w:r w:rsidRPr="006E709F">
        <w:tab/>
        <w:t>(3D)</w:t>
      </w:r>
      <w:r w:rsidRPr="006E709F">
        <w:tab/>
      </w:r>
      <w:r w:rsidR="00DA13DE" w:rsidRPr="006E709F">
        <w:t>Subsection (</w:t>
      </w:r>
      <w:r w:rsidRPr="006E709F">
        <w:t>3C) does not apply if the period mentioned in paragraph</w:t>
      </w:r>
      <w:r w:rsidR="00DA13DE" w:rsidRPr="006E709F">
        <w:t> </w:t>
      </w:r>
      <w:r w:rsidRPr="006E709F">
        <w:t>1017D(2</w:t>
      </w:r>
      <w:r w:rsidR="00A801D0" w:rsidRPr="006E709F">
        <w:t>)(</w:t>
      </w:r>
      <w:r w:rsidRPr="006E709F">
        <w:t>d) is greater than:</w:t>
      </w:r>
    </w:p>
    <w:p w:rsidR="002A22A4" w:rsidRPr="006E709F" w:rsidRDefault="002A22A4" w:rsidP="00A801D0">
      <w:pPr>
        <w:pStyle w:val="paragraph"/>
      </w:pPr>
      <w:r w:rsidRPr="006E709F">
        <w:tab/>
        <w:t>(a)</w:t>
      </w:r>
      <w:r w:rsidRPr="006E709F">
        <w:tab/>
        <w:t>for a particular superannuation product</w:t>
      </w:r>
      <w:r w:rsidR="00A801D0" w:rsidRPr="006E709F">
        <w:t>—</w:t>
      </w:r>
      <w:r w:rsidRPr="006E709F">
        <w:t>6</w:t>
      </w:r>
      <w:r w:rsidR="00E376FA" w:rsidRPr="006E709F">
        <w:t xml:space="preserve"> </w:t>
      </w:r>
      <w:r w:rsidRPr="006E709F">
        <w:t>months; or</w:t>
      </w:r>
    </w:p>
    <w:p w:rsidR="002A22A4" w:rsidRPr="006E709F" w:rsidRDefault="002A22A4" w:rsidP="00A801D0">
      <w:pPr>
        <w:pStyle w:val="paragraph"/>
      </w:pPr>
      <w:r w:rsidRPr="006E709F">
        <w:tab/>
        <w:t>(b)</w:t>
      </w:r>
      <w:r w:rsidRPr="006E709F">
        <w:tab/>
        <w:t xml:space="preserve">for a particular </w:t>
      </w:r>
      <w:r w:rsidR="00565AC8" w:rsidRPr="00BE1284">
        <w:t>RSA</w:t>
      </w:r>
      <w:r w:rsidR="00A801D0" w:rsidRPr="006E709F">
        <w:t>—</w:t>
      </w:r>
      <w:r w:rsidRPr="006E709F">
        <w:t>3 months.</w:t>
      </w:r>
    </w:p>
    <w:p w:rsidR="002A22A4" w:rsidRPr="006E709F" w:rsidRDefault="00A801D0" w:rsidP="00E216E5">
      <w:pPr>
        <w:pStyle w:val="ActHead2"/>
        <w:pageBreakBefore/>
      </w:pPr>
      <w:bookmarkStart w:id="123" w:name="_Toc170547940"/>
      <w:r w:rsidRPr="000C4237">
        <w:rPr>
          <w:rStyle w:val="CharPartNo"/>
        </w:rPr>
        <w:lastRenderedPageBreak/>
        <w:t>Part</w:t>
      </w:r>
      <w:r w:rsidR="00DA13DE" w:rsidRPr="000C4237">
        <w:rPr>
          <w:rStyle w:val="CharPartNo"/>
        </w:rPr>
        <w:t> </w:t>
      </w:r>
      <w:r w:rsidR="002A22A4" w:rsidRPr="000C4237">
        <w:rPr>
          <w:rStyle w:val="CharPartNo"/>
        </w:rPr>
        <w:t>13</w:t>
      </w:r>
      <w:r w:rsidRPr="006E709F">
        <w:t>—</w:t>
      </w:r>
      <w:r w:rsidR="002A22A4" w:rsidRPr="000C4237">
        <w:rPr>
          <w:rStyle w:val="CharPartText"/>
        </w:rPr>
        <w:t>Modifications relating to exceptions to exit reporting period provisions</w:t>
      </w:r>
      <w:bookmarkEnd w:id="123"/>
    </w:p>
    <w:p w:rsidR="002406FE" w:rsidRPr="006E709F" w:rsidRDefault="002406FE" w:rsidP="002406FE">
      <w:pPr>
        <w:pStyle w:val="Header"/>
      </w:pPr>
      <w:r w:rsidRPr="000C4237">
        <w:rPr>
          <w:rStyle w:val="CharDivNo"/>
        </w:rPr>
        <w:t xml:space="preserve"> </w:t>
      </w:r>
      <w:r w:rsidRPr="000C4237">
        <w:rPr>
          <w:rStyle w:val="CharDivText"/>
        </w:rPr>
        <w:t xml:space="preserve"> </w:t>
      </w:r>
    </w:p>
    <w:p w:rsidR="002A22A4" w:rsidRPr="006E709F" w:rsidRDefault="000577C6" w:rsidP="00DD3819">
      <w:pPr>
        <w:pStyle w:val="ItemHead"/>
      </w:pPr>
      <w:r w:rsidRPr="006E709F">
        <w:t xml:space="preserve">13.1  </w:t>
      </w:r>
      <w:r w:rsidR="002A22A4" w:rsidRPr="006E709F">
        <w:t>After subsection</w:t>
      </w:r>
      <w:r w:rsidR="00DA13DE" w:rsidRPr="006E709F">
        <w:t> </w:t>
      </w:r>
      <w:r w:rsidR="002A22A4" w:rsidRPr="006E709F">
        <w:t>1017D(7)</w:t>
      </w:r>
    </w:p>
    <w:p w:rsidR="00A801D0" w:rsidRPr="006E709F" w:rsidRDefault="00A801D0" w:rsidP="00A801D0">
      <w:pPr>
        <w:pStyle w:val="Item"/>
        <w:rPr>
          <w:i/>
        </w:rPr>
      </w:pPr>
      <w:r w:rsidRPr="006E709F">
        <w:rPr>
          <w:i/>
        </w:rPr>
        <w:t>insert</w:t>
      </w:r>
    </w:p>
    <w:p w:rsidR="002A22A4" w:rsidRPr="006E709F" w:rsidRDefault="002A22A4" w:rsidP="00A801D0">
      <w:pPr>
        <w:pStyle w:val="subsection"/>
      </w:pPr>
      <w:r w:rsidRPr="006E709F">
        <w:tab/>
        <w:t>(8)</w:t>
      </w:r>
      <w:r w:rsidRPr="006E709F">
        <w:tab/>
        <w:t xml:space="preserve">An RSA provider need not give information under this section to the holder of an </w:t>
      </w:r>
      <w:r w:rsidR="00565AC8" w:rsidRPr="00BE1284">
        <w:t>RSA</w:t>
      </w:r>
      <w:r w:rsidRPr="006E709F">
        <w:t xml:space="preserve"> who is transferring the amount of the </w:t>
      </w:r>
      <w:r w:rsidR="00565AC8" w:rsidRPr="00BE1284">
        <w:t>RSA</w:t>
      </w:r>
      <w:r w:rsidRPr="006E709F">
        <w:t xml:space="preserve"> to another RSA, a superannuation entity or an </w:t>
      </w:r>
      <w:r w:rsidR="000F29FD" w:rsidRPr="00BE1284">
        <w:t>exempt public sector superannuation scheme</w:t>
      </w:r>
      <w:r w:rsidRPr="006E709F">
        <w:t xml:space="preserve"> if:</w:t>
      </w:r>
    </w:p>
    <w:p w:rsidR="002A22A4" w:rsidRPr="006E709F" w:rsidRDefault="002A22A4" w:rsidP="00A801D0">
      <w:pPr>
        <w:pStyle w:val="paragraph"/>
      </w:pPr>
      <w:r w:rsidRPr="006E709F">
        <w:tab/>
        <w:t>(a)</w:t>
      </w:r>
      <w:r w:rsidRPr="006E709F">
        <w:tab/>
        <w:t xml:space="preserve">the RSA holder has received sufficient information under </w:t>
      </w:r>
      <w:r w:rsidR="00A801D0" w:rsidRPr="006E709F">
        <w:t>Subdivision</w:t>
      </w:r>
      <w:r w:rsidR="00DA13DE" w:rsidRPr="006E709F">
        <w:t> </w:t>
      </w:r>
      <w:r w:rsidRPr="006E709F">
        <w:t xml:space="preserve">5.8 of </w:t>
      </w:r>
      <w:r w:rsidR="00A801D0" w:rsidRPr="006E709F">
        <w:t>Part</w:t>
      </w:r>
      <w:r w:rsidR="00DA13DE" w:rsidRPr="006E709F">
        <w:t> </w:t>
      </w:r>
      <w:r w:rsidRPr="006E709F">
        <w:t xml:space="preserve">7.9 of the </w:t>
      </w:r>
      <w:r w:rsidRPr="006E709F">
        <w:rPr>
          <w:i/>
        </w:rPr>
        <w:t xml:space="preserve">Corporations </w:t>
      </w:r>
      <w:r w:rsidR="000C4237">
        <w:rPr>
          <w:i/>
        </w:rPr>
        <w:t>Regulations 2</w:t>
      </w:r>
      <w:r w:rsidRPr="006E709F">
        <w:rPr>
          <w:i/>
        </w:rPr>
        <w:t xml:space="preserve">001 </w:t>
      </w:r>
      <w:r w:rsidRPr="006E709F">
        <w:t>to enable the RSA holder to understand the effect of the transfer; and</w:t>
      </w:r>
    </w:p>
    <w:p w:rsidR="002A22A4" w:rsidRPr="006E709F" w:rsidRDefault="002A22A4" w:rsidP="00A801D0">
      <w:pPr>
        <w:pStyle w:val="paragraph"/>
      </w:pPr>
      <w:r w:rsidRPr="006E709F">
        <w:tab/>
        <w:t>(b)</w:t>
      </w:r>
      <w:r w:rsidRPr="006E709F">
        <w:tab/>
        <w:t xml:space="preserve">the RSA provider reasonably believes that the RSA holder does not need the information because the RSA holder has received or will receive from the RSA institution, or the trustee of the superannuation entity or </w:t>
      </w:r>
      <w:r w:rsidR="000F29FD" w:rsidRPr="00BE1284">
        <w:t>exempt public sector superannuation scheme</w:t>
      </w:r>
      <w:r w:rsidRPr="006E709F">
        <w:t xml:space="preserve"> to which the amount is being transferred, information relevant to the RSA holder in respect of the exit reporting period, to the same general effect as that required under Subdivisions</w:t>
      </w:r>
      <w:r w:rsidR="00DA13DE" w:rsidRPr="006E709F">
        <w:t> </w:t>
      </w:r>
      <w:r w:rsidRPr="006E709F">
        <w:t xml:space="preserve">5.2 and 5.3 of </w:t>
      </w:r>
      <w:r w:rsidR="00A801D0" w:rsidRPr="006E709F">
        <w:t>Part</w:t>
      </w:r>
      <w:r w:rsidR="00DA13DE" w:rsidRPr="006E709F">
        <w:t> </w:t>
      </w:r>
      <w:r w:rsidRPr="006E709F">
        <w:t xml:space="preserve">7.9 of the </w:t>
      </w:r>
      <w:r w:rsidRPr="006E709F">
        <w:rPr>
          <w:i/>
        </w:rPr>
        <w:t xml:space="preserve">Corporations </w:t>
      </w:r>
      <w:r w:rsidR="000C4237">
        <w:rPr>
          <w:i/>
        </w:rPr>
        <w:t>Regulations 2</w:t>
      </w:r>
      <w:r w:rsidRPr="006E709F">
        <w:rPr>
          <w:i/>
        </w:rPr>
        <w:t>001</w:t>
      </w:r>
      <w:r w:rsidRPr="006E709F">
        <w:t>.</w:t>
      </w:r>
    </w:p>
    <w:p w:rsidR="002A22A4" w:rsidRPr="006E709F" w:rsidRDefault="002A22A4" w:rsidP="00A801D0">
      <w:pPr>
        <w:pStyle w:val="subsection"/>
      </w:pPr>
      <w:r w:rsidRPr="006E709F">
        <w:tab/>
        <w:t>(9)</w:t>
      </w:r>
      <w:r w:rsidRPr="006E709F">
        <w:tab/>
        <w:t xml:space="preserve">A superannuation product provider need not give information under this section to the holder of a superannuation product who is transferring to another superannuation entity or to an </w:t>
      </w:r>
      <w:r w:rsidR="000F29FD" w:rsidRPr="00BE1284">
        <w:t>exempt public sector superannuation scheme</w:t>
      </w:r>
      <w:r w:rsidRPr="006E709F">
        <w:t>, or whose benefits are being transferred into an RSA if:</w:t>
      </w:r>
    </w:p>
    <w:p w:rsidR="002A22A4" w:rsidRPr="006E709F" w:rsidRDefault="002A22A4" w:rsidP="00A801D0">
      <w:pPr>
        <w:pStyle w:val="paragraph"/>
      </w:pPr>
      <w:r w:rsidRPr="006E709F">
        <w:tab/>
        <w:t>(a)</w:t>
      </w:r>
      <w:r w:rsidRPr="006E709F">
        <w:tab/>
        <w:t xml:space="preserve">the product holder has received sufficient information under </w:t>
      </w:r>
      <w:r w:rsidR="00A801D0" w:rsidRPr="006E709F">
        <w:t>Subdivision</w:t>
      </w:r>
      <w:r w:rsidR="00DA13DE" w:rsidRPr="006E709F">
        <w:t> </w:t>
      </w:r>
      <w:r w:rsidRPr="006E709F">
        <w:t xml:space="preserve">5.8 of </w:t>
      </w:r>
      <w:r w:rsidR="00A801D0" w:rsidRPr="006E709F">
        <w:t>Part</w:t>
      </w:r>
      <w:r w:rsidR="00DA13DE" w:rsidRPr="006E709F">
        <w:t> </w:t>
      </w:r>
      <w:r w:rsidRPr="006E709F">
        <w:t xml:space="preserve">7.9 of the </w:t>
      </w:r>
      <w:r w:rsidRPr="006E709F">
        <w:rPr>
          <w:i/>
        </w:rPr>
        <w:t xml:space="preserve">Corporations </w:t>
      </w:r>
      <w:r w:rsidR="000C4237">
        <w:rPr>
          <w:i/>
        </w:rPr>
        <w:t>Regulations 2</w:t>
      </w:r>
      <w:r w:rsidRPr="006E709F">
        <w:rPr>
          <w:i/>
        </w:rPr>
        <w:t>001</w:t>
      </w:r>
      <w:r w:rsidRPr="006E709F">
        <w:t xml:space="preserve"> to enable the product holder to understand the effect of the transfer; and</w:t>
      </w:r>
    </w:p>
    <w:p w:rsidR="002A22A4" w:rsidRPr="006E709F" w:rsidRDefault="002A22A4" w:rsidP="00A801D0">
      <w:pPr>
        <w:pStyle w:val="paragraph"/>
      </w:pPr>
      <w:r w:rsidRPr="006E709F">
        <w:tab/>
        <w:t>(b)</w:t>
      </w:r>
      <w:r w:rsidRPr="006E709F">
        <w:tab/>
        <w:t xml:space="preserve">the superannuation product provider reasonably believes that the product holder does not need the information because the product holder has received or will receive, from the RSA institution, or from the trustee of the superannuation entity or </w:t>
      </w:r>
      <w:r w:rsidR="000F29FD" w:rsidRPr="00BE1284">
        <w:t>exempt public sector superannuation scheme</w:t>
      </w:r>
      <w:r w:rsidRPr="006E709F">
        <w:t xml:space="preserve"> to which the amount is being transferred, information relevant to the product holder in respect of the exit reporting period, to the same general effect as that required under </w:t>
      </w:r>
      <w:r w:rsidR="00A801D0" w:rsidRPr="006E709F">
        <w:t>Subdivision</w:t>
      </w:r>
      <w:r w:rsidR="00DA13DE" w:rsidRPr="006E709F">
        <w:t> </w:t>
      </w:r>
      <w:r w:rsidRPr="006E709F">
        <w:t xml:space="preserve">5.2 of </w:t>
      </w:r>
      <w:r w:rsidR="00A801D0" w:rsidRPr="006E709F">
        <w:t>Part</w:t>
      </w:r>
      <w:r w:rsidR="00DA13DE" w:rsidRPr="006E709F">
        <w:t> </w:t>
      </w:r>
      <w:r w:rsidRPr="006E709F">
        <w:t xml:space="preserve">7.9 of the </w:t>
      </w:r>
      <w:r w:rsidRPr="006E709F">
        <w:rPr>
          <w:i/>
        </w:rPr>
        <w:t xml:space="preserve">Corporations </w:t>
      </w:r>
      <w:r w:rsidR="000C4237">
        <w:rPr>
          <w:i/>
        </w:rPr>
        <w:t>Regulations 2</w:t>
      </w:r>
      <w:r w:rsidRPr="006E709F">
        <w:rPr>
          <w:i/>
        </w:rPr>
        <w:t>001</w:t>
      </w:r>
      <w:r w:rsidRPr="006E709F">
        <w:t>.</w:t>
      </w:r>
    </w:p>
    <w:p w:rsidR="002A22A4" w:rsidRPr="006E709F" w:rsidRDefault="00A801D0" w:rsidP="00E216E5">
      <w:pPr>
        <w:pStyle w:val="ActHead2"/>
        <w:pageBreakBefore/>
      </w:pPr>
      <w:bookmarkStart w:id="124" w:name="_Toc170547941"/>
      <w:r w:rsidRPr="000C4237">
        <w:rPr>
          <w:rStyle w:val="CharPartNo"/>
        </w:rPr>
        <w:lastRenderedPageBreak/>
        <w:t>Part</w:t>
      </w:r>
      <w:r w:rsidR="00DA13DE" w:rsidRPr="000C4237">
        <w:rPr>
          <w:rStyle w:val="CharPartNo"/>
        </w:rPr>
        <w:t> </w:t>
      </w:r>
      <w:r w:rsidR="002A22A4" w:rsidRPr="000C4237">
        <w:rPr>
          <w:rStyle w:val="CharPartNo"/>
        </w:rPr>
        <w:t>14</w:t>
      </w:r>
      <w:r w:rsidRPr="006E709F">
        <w:t>—</w:t>
      </w:r>
      <w:r w:rsidR="002A22A4" w:rsidRPr="000C4237">
        <w:rPr>
          <w:rStyle w:val="CharPartText"/>
        </w:rPr>
        <w:t>Modifications relating to obligation to give information about financial products</w:t>
      </w:r>
      <w:bookmarkEnd w:id="124"/>
    </w:p>
    <w:p w:rsidR="002406FE" w:rsidRPr="006E709F" w:rsidRDefault="002406FE" w:rsidP="002406FE">
      <w:pPr>
        <w:pStyle w:val="Header"/>
      </w:pPr>
      <w:r w:rsidRPr="000C4237">
        <w:rPr>
          <w:rStyle w:val="CharDivNo"/>
        </w:rPr>
        <w:t xml:space="preserve"> </w:t>
      </w:r>
      <w:r w:rsidRPr="000C4237">
        <w:rPr>
          <w:rStyle w:val="CharDivText"/>
        </w:rPr>
        <w:t xml:space="preserve"> </w:t>
      </w:r>
    </w:p>
    <w:p w:rsidR="002A22A4" w:rsidRPr="006E709F" w:rsidRDefault="000577C6" w:rsidP="00DD3819">
      <w:pPr>
        <w:pStyle w:val="ItemHead"/>
      </w:pPr>
      <w:r w:rsidRPr="006E709F">
        <w:t xml:space="preserve">14.1  </w:t>
      </w:r>
      <w:r w:rsidR="002A22A4" w:rsidRPr="006E709F">
        <w:t>After subsection</w:t>
      </w:r>
      <w:r w:rsidR="00DA13DE" w:rsidRPr="006E709F">
        <w:t> </w:t>
      </w:r>
      <w:r w:rsidR="002A22A4" w:rsidRPr="006E709F">
        <w:t>1017B(7)</w:t>
      </w:r>
    </w:p>
    <w:p w:rsidR="00A801D0" w:rsidRPr="006E709F" w:rsidRDefault="00A801D0" w:rsidP="00DD3819">
      <w:pPr>
        <w:pStyle w:val="Item"/>
        <w:rPr>
          <w:i/>
        </w:rPr>
      </w:pPr>
      <w:r w:rsidRPr="006E709F">
        <w:rPr>
          <w:i/>
        </w:rPr>
        <w:t>insert</w:t>
      </w:r>
    </w:p>
    <w:p w:rsidR="002A22A4" w:rsidRPr="006E709F" w:rsidRDefault="002A22A4" w:rsidP="00A801D0">
      <w:pPr>
        <w:pStyle w:val="subsection"/>
      </w:pPr>
      <w:r w:rsidRPr="006E709F">
        <w:tab/>
        <w:t>(7A)</w:t>
      </w:r>
      <w:r w:rsidRPr="006E709F">
        <w:tab/>
        <w:t xml:space="preserve">Subject to </w:t>
      </w:r>
      <w:r w:rsidR="00DA13DE" w:rsidRPr="006E709F">
        <w:t>subsections (</w:t>
      </w:r>
      <w:r w:rsidRPr="006E709F">
        <w:t>7B) and (7C), this section does not apply if:</w:t>
      </w:r>
    </w:p>
    <w:p w:rsidR="002A22A4" w:rsidRPr="006E709F" w:rsidRDefault="002A22A4" w:rsidP="00A801D0">
      <w:pPr>
        <w:pStyle w:val="paragraph"/>
      </w:pPr>
      <w:r w:rsidRPr="006E709F">
        <w:tab/>
        <w:t>(a)</w:t>
      </w:r>
      <w:r w:rsidRPr="006E709F">
        <w:tab/>
        <w:t>the responsible person has an address for a concerned person, and:</w:t>
      </w:r>
    </w:p>
    <w:p w:rsidR="002A22A4" w:rsidRPr="006E709F" w:rsidRDefault="002A22A4" w:rsidP="00A801D0">
      <w:pPr>
        <w:pStyle w:val="paragraphsub"/>
      </w:pPr>
      <w:r w:rsidRPr="006E709F">
        <w:tab/>
        <w:t>(i)</w:t>
      </w:r>
      <w:r w:rsidRPr="006E709F">
        <w:tab/>
        <w:t>is satisfied on reasonable grounds that that address is incorrect; and</w:t>
      </w:r>
    </w:p>
    <w:p w:rsidR="002A22A4" w:rsidRPr="006E709F" w:rsidRDefault="002A22A4" w:rsidP="00A801D0">
      <w:pPr>
        <w:pStyle w:val="paragraphsub"/>
      </w:pPr>
      <w:r w:rsidRPr="006E709F">
        <w:tab/>
        <w:t>(ii)</w:t>
      </w:r>
      <w:r w:rsidRPr="006E709F">
        <w:tab/>
        <w:t>has taken reasonable steps to locate the concerned person but has been unable to do so; or</w:t>
      </w:r>
    </w:p>
    <w:p w:rsidR="002A22A4" w:rsidRPr="006E709F" w:rsidRDefault="002A22A4" w:rsidP="00A801D0">
      <w:pPr>
        <w:pStyle w:val="paragraph"/>
      </w:pPr>
      <w:r w:rsidRPr="006E709F">
        <w:tab/>
        <w:t>(b)</w:t>
      </w:r>
      <w:r w:rsidRPr="006E709F">
        <w:tab/>
        <w:t>the responsible person has no address for the concerned person, and:</w:t>
      </w:r>
    </w:p>
    <w:p w:rsidR="002A22A4" w:rsidRPr="006E709F" w:rsidRDefault="002A22A4" w:rsidP="00A801D0">
      <w:pPr>
        <w:pStyle w:val="paragraphsub"/>
      </w:pPr>
      <w:r w:rsidRPr="006E709F">
        <w:tab/>
        <w:t>(i)</w:t>
      </w:r>
      <w:r w:rsidRPr="006E709F">
        <w:tab/>
        <w:t>has been unable to obtain an address for the concerned person; and</w:t>
      </w:r>
    </w:p>
    <w:p w:rsidR="002A22A4" w:rsidRPr="006E709F" w:rsidRDefault="002A22A4" w:rsidP="00A801D0">
      <w:pPr>
        <w:pStyle w:val="paragraphsub"/>
      </w:pPr>
      <w:r w:rsidRPr="006E709F">
        <w:tab/>
        <w:t>(ii)</w:t>
      </w:r>
      <w:r w:rsidRPr="006E709F">
        <w:tab/>
        <w:t>has taken reasonable steps to locate the concerned person, but has been unable to do so.</w:t>
      </w:r>
    </w:p>
    <w:p w:rsidR="002A22A4" w:rsidRPr="006E709F" w:rsidRDefault="002A22A4" w:rsidP="00A801D0">
      <w:pPr>
        <w:pStyle w:val="subsection"/>
      </w:pPr>
      <w:r w:rsidRPr="006E709F">
        <w:tab/>
        <w:t>(7B)</w:t>
      </w:r>
      <w:r w:rsidRPr="006E709F">
        <w:tab/>
        <w:t xml:space="preserve">If the responsible person has refrained, in reliance on </w:t>
      </w:r>
      <w:r w:rsidR="00DA13DE" w:rsidRPr="006E709F">
        <w:t>subsection (</w:t>
      </w:r>
      <w:r w:rsidRPr="006E709F">
        <w:t>7A), from giving information to a concerned person, the responsible person must give information to the concerned person if the responsible person later becomes aware of the concerned person’s address or location.</w:t>
      </w:r>
    </w:p>
    <w:p w:rsidR="002A22A4" w:rsidRPr="006E709F" w:rsidRDefault="002A22A4" w:rsidP="00A801D0">
      <w:pPr>
        <w:pStyle w:val="subsection"/>
      </w:pPr>
      <w:r w:rsidRPr="006E709F">
        <w:tab/>
        <w:t>(7C)</w:t>
      </w:r>
      <w:r w:rsidRPr="006E709F">
        <w:tab/>
      </w:r>
      <w:r w:rsidR="00DA13DE" w:rsidRPr="006E709F">
        <w:t>Subsection (</w:t>
      </w:r>
      <w:r w:rsidRPr="006E709F">
        <w:t>7B) applies only in respect of information that the responsible person becomes liable to give to the concerned person after becoming aware of the concerned person’s address or location.</w:t>
      </w:r>
    </w:p>
    <w:p w:rsidR="002A22A4" w:rsidRPr="006E709F" w:rsidRDefault="000577C6" w:rsidP="00DD3819">
      <w:pPr>
        <w:pStyle w:val="ItemHead"/>
      </w:pPr>
      <w:r w:rsidRPr="006E709F">
        <w:t xml:space="preserve">14.2  </w:t>
      </w:r>
      <w:r w:rsidR="002A22A4" w:rsidRPr="006E709F">
        <w:t>After subsection</w:t>
      </w:r>
      <w:r w:rsidR="00DA13DE" w:rsidRPr="006E709F">
        <w:t> </w:t>
      </w:r>
      <w:r w:rsidR="002A22A4" w:rsidRPr="006E709F">
        <w:t>1017C(8)</w:t>
      </w:r>
    </w:p>
    <w:p w:rsidR="00A801D0" w:rsidRPr="006E709F" w:rsidRDefault="00A801D0" w:rsidP="00DD3819">
      <w:pPr>
        <w:pStyle w:val="Item"/>
        <w:rPr>
          <w:i/>
        </w:rPr>
      </w:pPr>
      <w:r w:rsidRPr="006E709F">
        <w:rPr>
          <w:i/>
        </w:rPr>
        <w:t>insert</w:t>
      </w:r>
    </w:p>
    <w:p w:rsidR="002A22A4" w:rsidRPr="006E709F" w:rsidRDefault="002A22A4" w:rsidP="00A801D0">
      <w:pPr>
        <w:pStyle w:val="subsection"/>
      </w:pPr>
      <w:r w:rsidRPr="006E709F">
        <w:tab/>
        <w:t>(8A)</w:t>
      </w:r>
      <w:r w:rsidRPr="006E709F">
        <w:tab/>
        <w:t xml:space="preserve">Subject to </w:t>
      </w:r>
      <w:r w:rsidR="00DA13DE" w:rsidRPr="006E709F">
        <w:t>subsections (</w:t>
      </w:r>
      <w:r w:rsidRPr="006E709F">
        <w:t>8B) and (8C), this section does not apply if:</w:t>
      </w:r>
    </w:p>
    <w:p w:rsidR="002A22A4" w:rsidRPr="006E709F" w:rsidRDefault="002A22A4" w:rsidP="00A801D0">
      <w:pPr>
        <w:pStyle w:val="paragraph"/>
      </w:pPr>
      <w:r w:rsidRPr="006E709F">
        <w:tab/>
        <w:t>(a)</w:t>
      </w:r>
      <w:r w:rsidRPr="006E709F">
        <w:tab/>
        <w:t>the responsible person has an address for a concerned person, and:</w:t>
      </w:r>
    </w:p>
    <w:p w:rsidR="002A22A4" w:rsidRPr="006E709F" w:rsidRDefault="002A22A4" w:rsidP="00A801D0">
      <w:pPr>
        <w:pStyle w:val="paragraphsub"/>
      </w:pPr>
      <w:r w:rsidRPr="006E709F">
        <w:tab/>
        <w:t>(i)</w:t>
      </w:r>
      <w:r w:rsidRPr="006E709F">
        <w:tab/>
        <w:t>is satisfied on reasonable grounds that that address is incorrect; and</w:t>
      </w:r>
    </w:p>
    <w:p w:rsidR="002A22A4" w:rsidRPr="006E709F" w:rsidRDefault="002A22A4" w:rsidP="00A801D0">
      <w:pPr>
        <w:pStyle w:val="paragraphsub"/>
      </w:pPr>
      <w:r w:rsidRPr="006E709F">
        <w:tab/>
        <w:t>(ii)</w:t>
      </w:r>
      <w:r w:rsidRPr="006E709F">
        <w:tab/>
        <w:t>has taken reasonable steps to locate the concerned person but has been unable to do so; or</w:t>
      </w:r>
    </w:p>
    <w:p w:rsidR="002A22A4" w:rsidRPr="006E709F" w:rsidRDefault="002A22A4" w:rsidP="00A801D0">
      <w:pPr>
        <w:pStyle w:val="paragraph"/>
      </w:pPr>
      <w:r w:rsidRPr="006E709F">
        <w:tab/>
        <w:t>(b)</w:t>
      </w:r>
      <w:r w:rsidRPr="006E709F">
        <w:tab/>
        <w:t>the responsible person has no address for the concerned person, and:</w:t>
      </w:r>
    </w:p>
    <w:p w:rsidR="002A22A4" w:rsidRPr="006E709F" w:rsidRDefault="002A22A4" w:rsidP="00A801D0">
      <w:pPr>
        <w:pStyle w:val="paragraphsub"/>
      </w:pPr>
      <w:r w:rsidRPr="006E709F">
        <w:tab/>
        <w:t>(i)</w:t>
      </w:r>
      <w:r w:rsidRPr="006E709F">
        <w:tab/>
        <w:t>has been unable to obtain an address for the concerned person; and</w:t>
      </w:r>
    </w:p>
    <w:p w:rsidR="002A22A4" w:rsidRPr="006E709F" w:rsidRDefault="002A22A4" w:rsidP="00A801D0">
      <w:pPr>
        <w:pStyle w:val="paragraphsub"/>
      </w:pPr>
      <w:r w:rsidRPr="006E709F">
        <w:tab/>
        <w:t>(ii)</w:t>
      </w:r>
      <w:r w:rsidRPr="006E709F">
        <w:tab/>
        <w:t>has taken reasonable steps to locate the concerned person, but has been unable to do so.</w:t>
      </w:r>
    </w:p>
    <w:p w:rsidR="002A22A4" w:rsidRPr="006E709F" w:rsidRDefault="002A22A4" w:rsidP="00A801D0">
      <w:pPr>
        <w:pStyle w:val="subsection"/>
      </w:pPr>
      <w:r w:rsidRPr="006E709F">
        <w:tab/>
        <w:t>(8B)</w:t>
      </w:r>
      <w:r w:rsidRPr="006E709F">
        <w:tab/>
        <w:t xml:space="preserve">If the responsible person has refrained, in reliance on </w:t>
      </w:r>
      <w:r w:rsidR="00DA13DE" w:rsidRPr="006E709F">
        <w:t>subsection (</w:t>
      </w:r>
      <w:r w:rsidRPr="006E709F">
        <w:t>8A), from giving information to a concerned person, the responsible person must give information to the concerned person if the responsible person later becomes aware of the concerned person’s address or location.</w:t>
      </w:r>
    </w:p>
    <w:p w:rsidR="002A22A4" w:rsidRPr="006E709F" w:rsidRDefault="002A22A4" w:rsidP="00A801D0">
      <w:pPr>
        <w:pStyle w:val="subsection"/>
      </w:pPr>
      <w:r w:rsidRPr="006E709F">
        <w:tab/>
        <w:t>(8C)</w:t>
      </w:r>
      <w:r w:rsidRPr="006E709F">
        <w:tab/>
      </w:r>
      <w:r w:rsidR="00DA13DE" w:rsidRPr="006E709F">
        <w:t>Subsection (</w:t>
      </w:r>
      <w:r w:rsidRPr="006E709F">
        <w:t>8B) applies only in respect of information that the responsible person becomes liable to give to the concerned person after becoming aware of the concerned person’s address or location.</w:t>
      </w:r>
    </w:p>
    <w:p w:rsidR="002A22A4" w:rsidRPr="006E709F" w:rsidRDefault="000577C6" w:rsidP="00DD3819">
      <w:pPr>
        <w:pStyle w:val="ItemHead"/>
      </w:pPr>
      <w:r w:rsidRPr="006E709F">
        <w:lastRenderedPageBreak/>
        <w:t xml:space="preserve">14.3  </w:t>
      </w:r>
      <w:r w:rsidR="002A22A4" w:rsidRPr="006E709F">
        <w:t>After subsection</w:t>
      </w:r>
      <w:r w:rsidR="00DA13DE" w:rsidRPr="006E709F">
        <w:t> </w:t>
      </w:r>
      <w:r w:rsidR="002A22A4" w:rsidRPr="006E709F">
        <w:t>1017D(7)</w:t>
      </w:r>
    </w:p>
    <w:p w:rsidR="00A801D0" w:rsidRPr="006E709F" w:rsidRDefault="00A801D0" w:rsidP="00DD3819">
      <w:pPr>
        <w:pStyle w:val="Item"/>
        <w:rPr>
          <w:i/>
        </w:rPr>
      </w:pPr>
      <w:r w:rsidRPr="006E709F">
        <w:rPr>
          <w:i/>
        </w:rPr>
        <w:t>insert</w:t>
      </w:r>
    </w:p>
    <w:p w:rsidR="002A22A4" w:rsidRPr="006E709F" w:rsidRDefault="002A22A4" w:rsidP="00A801D0">
      <w:pPr>
        <w:pStyle w:val="subsection"/>
      </w:pPr>
      <w:r w:rsidRPr="006E709F">
        <w:tab/>
        <w:t>(8)</w:t>
      </w:r>
      <w:r w:rsidRPr="006E709F">
        <w:tab/>
        <w:t xml:space="preserve">Subject to </w:t>
      </w:r>
      <w:r w:rsidR="00DA13DE" w:rsidRPr="006E709F">
        <w:t>subsections (</w:t>
      </w:r>
      <w:r w:rsidRPr="006E709F">
        <w:t>9) and (10), this section does not apply if:</w:t>
      </w:r>
    </w:p>
    <w:p w:rsidR="002A22A4" w:rsidRPr="006E709F" w:rsidRDefault="002A22A4" w:rsidP="00A801D0">
      <w:pPr>
        <w:pStyle w:val="paragraph"/>
      </w:pPr>
      <w:r w:rsidRPr="006E709F">
        <w:tab/>
        <w:t>(a)</w:t>
      </w:r>
      <w:r w:rsidRPr="006E709F">
        <w:tab/>
        <w:t>the issuer has an address for a holder, and:</w:t>
      </w:r>
    </w:p>
    <w:p w:rsidR="002A22A4" w:rsidRPr="006E709F" w:rsidRDefault="002A22A4" w:rsidP="00A801D0">
      <w:pPr>
        <w:pStyle w:val="paragraphsub"/>
      </w:pPr>
      <w:r w:rsidRPr="006E709F">
        <w:tab/>
        <w:t>(i)</w:t>
      </w:r>
      <w:r w:rsidRPr="006E709F">
        <w:tab/>
        <w:t>is satisfied on reasonable grounds that that address is incorrect; and</w:t>
      </w:r>
    </w:p>
    <w:p w:rsidR="002A22A4" w:rsidRPr="006E709F" w:rsidRDefault="002A22A4" w:rsidP="00A801D0">
      <w:pPr>
        <w:pStyle w:val="paragraphsub"/>
      </w:pPr>
      <w:r w:rsidRPr="006E709F">
        <w:tab/>
        <w:t>(ii)</w:t>
      </w:r>
      <w:r w:rsidRPr="006E709F">
        <w:tab/>
        <w:t>has taken reasonable steps to locate the holder but has been unable to do so; or</w:t>
      </w:r>
    </w:p>
    <w:p w:rsidR="002A22A4" w:rsidRPr="006E709F" w:rsidRDefault="002A22A4" w:rsidP="00A801D0">
      <w:pPr>
        <w:pStyle w:val="paragraph"/>
      </w:pPr>
      <w:r w:rsidRPr="006E709F">
        <w:tab/>
        <w:t>(b)</w:t>
      </w:r>
      <w:r w:rsidRPr="006E709F">
        <w:tab/>
        <w:t>the issuer has no address for the holder, and:</w:t>
      </w:r>
    </w:p>
    <w:p w:rsidR="002A22A4" w:rsidRPr="006E709F" w:rsidRDefault="002A22A4" w:rsidP="00A801D0">
      <w:pPr>
        <w:pStyle w:val="paragraphsub"/>
      </w:pPr>
      <w:r w:rsidRPr="006E709F">
        <w:tab/>
        <w:t>(i)</w:t>
      </w:r>
      <w:r w:rsidRPr="006E709F">
        <w:tab/>
        <w:t>has been unable to obtain an address for the holder; and</w:t>
      </w:r>
    </w:p>
    <w:p w:rsidR="002A22A4" w:rsidRPr="006E709F" w:rsidRDefault="002A22A4" w:rsidP="00A801D0">
      <w:pPr>
        <w:pStyle w:val="paragraphsub"/>
      </w:pPr>
      <w:r w:rsidRPr="006E709F">
        <w:tab/>
        <w:t>(ii)</w:t>
      </w:r>
      <w:r w:rsidRPr="006E709F">
        <w:tab/>
        <w:t>has taken reasonable steps to locate the holder, but has been unable to do so.</w:t>
      </w:r>
    </w:p>
    <w:p w:rsidR="002A22A4" w:rsidRPr="006E709F" w:rsidRDefault="002A22A4" w:rsidP="00A801D0">
      <w:pPr>
        <w:pStyle w:val="subsection"/>
      </w:pPr>
      <w:r w:rsidRPr="006E709F">
        <w:tab/>
        <w:t>(9)</w:t>
      </w:r>
      <w:r w:rsidRPr="006E709F">
        <w:tab/>
        <w:t xml:space="preserve">If the issuer has refrained, in reliance on </w:t>
      </w:r>
      <w:r w:rsidR="00DA13DE" w:rsidRPr="006E709F">
        <w:t>subsection (</w:t>
      </w:r>
      <w:r w:rsidRPr="006E709F">
        <w:t>8), from giving information to a holder, the issuer must give information to the holder if the issuer later becomes aware of the holder’s address or location.</w:t>
      </w:r>
    </w:p>
    <w:p w:rsidR="002A22A4" w:rsidRPr="006E709F" w:rsidRDefault="002A22A4" w:rsidP="00A801D0">
      <w:pPr>
        <w:pStyle w:val="subsection"/>
      </w:pPr>
      <w:r w:rsidRPr="006E709F">
        <w:tab/>
        <w:t>(10)</w:t>
      </w:r>
      <w:r w:rsidRPr="006E709F">
        <w:tab/>
      </w:r>
      <w:r w:rsidR="00DA13DE" w:rsidRPr="006E709F">
        <w:t>Subsection (</w:t>
      </w:r>
      <w:r w:rsidRPr="006E709F">
        <w:t>9) applies only in respect of information that the issuer becomes liable to give to the holder after becoming aware of the holder’s address or location.</w:t>
      </w:r>
    </w:p>
    <w:p w:rsidR="002A22A4" w:rsidRPr="006E709F" w:rsidRDefault="000577C6" w:rsidP="00DD3819">
      <w:pPr>
        <w:pStyle w:val="ItemHead"/>
      </w:pPr>
      <w:r w:rsidRPr="006E709F">
        <w:t xml:space="preserve">14.4  </w:t>
      </w:r>
      <w:r w:rsidR="002A22A4" w:rsidRPr="006E709F">
        <w:t>After subsection</w:t>
      </w:r>
      <w:r w:rsidR="00DA13DE" w:rsidRPr="006E709F">
        <w:t> </w:t>
      </w:r>
      <w:r w:rsidR="002A22A4" w:rsidRPr="006E709F">
        <w:t>1017DA(3)</w:t>
      </w:r>
    </w:p>
    <w:p w:rsidR="00A801D0" w:rsidRPr="006E709F" w:rsidRDefault="00A801D0" w:rsidP="00DD3819">
      <w:pPr>
        <w:pStyle w:val="Item"/>
        <w:rPr>
          <w:i/>
        </w:rPr>
      </w:pPr>
      <w:r w:rsidRPr="006E709F">
        <w:rPr>
          <w:i/>
        </w:rPr>
        <w:t>insert</w:t>
      </w:r>
    </w:p>
    <w:p w:rsidR="002A22A4" w:rsidRPr="006E709F" w:rsidRDefault="002A22A4" w:rsidP="00A801D0">
      <w:pPr>
        <w:pStyle w:val="subsection"/>
      </w:pPr>
      <w:r w:rsidRPr="006E709F">
        <w:tab/>
        <w:t>(3A)</w:t>
      </w:r>
      <w:r w:rsidRPr="006E709F">
        <w:tab/>
        <w:t xml:space="preserve">Subject to </w:t>
      </w:r>
      <w:r w:rsidR="00DA13DE" w:rsidRPr="006E709F">
        <w:t>subsections (</w:t>
      </w:r>
      <w:r w:rsidRPr="006E709F">
        <w:t>3B) and (3C), this section does not apply if:</w:t>
      </w:r>
    </w:p>
    <w:p w:rsidR="002A22A4" w:rsidRPr="006E709F" w:rsidRDefault="002A22A4" w:rsidP="00A801D0">
      <w:pPr>
        <w:pStyle w:val="paragraph"/>
      </w:pPr>
      <w:r w:rsidRPr="006E709F">
        <w:tab/>
        <w:t>(a)</w:t>
      </w:r>
      <w:r w:rsidRPr="006E709F">
        <w:tab/>
        <w:t>the trustee has an address for a holder or former holder, and:</w:t>
      </w:r>
    </w:p>
    <w:p w:rsidR="002A22A4" w:rsidRPr="006E709F" w:rsidRDefault="002A22A4" w:rsidP="00A801D0">
      <w:pPr>
        <w:pStyle w:val="paragraphsub"/>
      </w:pPr>
      <w:r w:rsidRPr="006E709F">
        <w:tab/>
        <w:t>(i)</w:t>
      </w:r>
      <w:r w:rsidRPr="006E709F">
        <w:tab/>
        <w:t>is satisfied on reasonable grounds that that address is incorrect; and</w:t>
      </w:r>
    </w:p>
    <w:p w:rsidR="002A22A4" w:rsidRPr="006E709F" w:rsidRDefault="002A22A4" w:rsidP="00A801D0">
      <w:pPr>
        <w:pStyle w:val="paragraphsub"/>
      </w:pPr>
      <w:r w:rsidRPr="006E709F">
        <w:tab/>
        <w:t>(ii)</w:t>
      </w:r>
      <w:r w:rsidRPr="006E709F">
        <w:tab/>
        <w:t>has taken reasonable steps to locate the holder or former holder but has been unable to do so; or</w:t>
      </w:r>
    </w:p>
    <w:p w:rsidR="002A22A4" w:rsidRPr="006E709F" w:rsidRDefault="002A22A4" w:rsidP="00A801D0">
      <w:pPr>
        <w:pStyle w:val="paragraph"/>
      </w:pPr>
      <w:r w:rsidRPr="006E709F">
        <w:tab/>
        <w:t>(b)</w:t>
      </w:r>
      <w:r w:rsidRPr="006E709F">
        <w:tab/>
        <w:t>the trustee has no address for the holder or former holder, and:</w:t>
      </w:r>
    </w:p>
    <w:p w:rsidR="002A22A4" w:rsidRPr="006E709F" w:rsidRDefault="002A22A4" w:rsidP="00A801D0">
      <w:pPr>
        <w:pStyle w:val="paragraphsub"/>
      </w:pPr>
      <w:r w:rsidRPr="006E709F">
        <w:tab/>
        <w:t>(i)</w:t>
      </w:r>
      <w:r w:rsidRPr="006E709F">
        <w:tab/>
        <w:t>has been unable to obtain an address for the holder or former holder; and</w:t>
      </w:r>
    </w:p>
    <w:p w:rsidR="002A22A4" w:rsidRPr="006E709F" w:rsidRDefault="002A22A4" w:rsidP="00A801D0">
      <w:pPr>
        <w:pStyle w:val="paragraphsub"/>
      </w:pPr>
      <w:r w:rsidRPr="006E709F">
        <w:tab/>
        <w:t>(ii)</w:t>
      </w:r>
      <w:r w:rsidRPr="006E709F">
        <w:tab/>
        <w:t>has taken reasonable steps to locate the holder or former holder, but has been unable to do so.</w:t>
      </w:r>
    </w:p>
    <w:p w:rsidR="002A22A4" w:rsidRPr="006E709F" w:rsidRDefault="002A22A4" w:rsidP="00A801D0">
      <w:pPr>
        <w:pStyle w:val="subsection"/>
      </w:pPr>
      <w:r w:rsidRPr="006E709F">
        <w:tab/>
        <w:t>(3B)</w:t>
      </w:r>
      <w:r w:rsidRPr="006E709F">
        <w:tab/>
        <w:t xml:space="preserve">If the trustee has refrained, in reliance on </w:t>
      </w:r>
      <w:r w:rsidR="00DA13DE" w:rsidRPr="006E709F">
        <w:t>subsection (</w:t>
      </w:r>
      <w:r w:rsidRPr="006E709F">
        <w:t>3A), from giving information to a holder or former holder, the trustee must give information to the holder or former holder if the trustee later becomes aware of the holder’s or former holder’s address or location.</w:t>
      </w:r>
    </w:p>
    <w:p w:rsidR="002A22A4" w:rsidRPr="006E709F" w:rsidRDefault="002A22A4" w:rsidP="003811A2">
      <w:pPr>
        <w:pStyle w:val="subsection"/>
        <w:keepNext/>
        <w:keepLines/>
      </w:pPr>
      <w:r w:rsidRPr="006E709F">
        <w:tab/>
        <w:t>(3C)</w:t>
      </w:r>
      <w:r w:rsidRPr="006E709F">
        <w:tab/>
      </w:r>
      <w:r w:rsidR="00DA13DE" w:rsidRPr="006E709F">
        <w:t>Subsection (</w:t>
      </w:r>
      <w:r w:rsidRPr="006E709F">
        <w:t>3B) applies only in respect of information that the trustee becomes liable to give to the holder or former holder after becoming aware of the holder’s or former holder’s address or location.</w:t>
      </w:r>
    </w:p>
    <w:p w:rsidR="002A22A4" w:rsidRPr="006E709F" w:rsidRDefault="00A801D0" w:rsidP="003528A0">
      <w:pPr>
        <w:pStyle w:val="ActHead2"/>
        <w:pageBreakBefore/>
      </w:pPr>
      <w:bookmarkStart w:id="125" w:name="_Toc170547942"/>
      <w:r w:rsidRPr="000C4237">
        <w:rPr>
          <w:rStyle w:val="CharPartNo"/>
        </w:rPr>
        <w:lastRenderedPageBreak/>
        <w:t>Part</w:t>
      </w:r>
      <w:r w:rsidR="00DA13DE" w:rsidRPr="000C4237">
        <w:rPr>
          <w:rStyle w:val="CharPartNo"/>
        </w:rPr>
        <w:t> </w:t>
      </w:r>
      <w:r w:rsidR="002A22A4" w:rsidRPr="000C4237">
        <w:rPr>
          <w:rStyle w:val="CharPartNo"/>
        </w:rPr>
        <w:t>15</w:t>
      </w:r>
      <w:r w:rsidRPr="006E709F">
        <w:t>—</w:t>
      </w:r>
      <w:r w:rsidR="002A22A4" w:rsidRPr="000C4237">
        <w:rPr>
          <w:rStyle w:val="CharPartText"/>
        </w:rPr>
        <w:t>Modifications for confirmation of transactions</w:t>
      </w:r>
      <w:bookmarkEnd w:id="125"/>
    </w:p>
    <w:p w:rsidR="002406FE" w:rsidRPr="006E709F" w:rsidRDefault="002406FE" w:rsidP="002406FE">
      <w:pPr>
        <w:pStyle w:val="Header"/>
      </w:pPr>
      <w:r w:rsidRPr="000C4237">
        <w:rPr>
          <w:rStyle w:val="CharDivNo"/>
        </w:rPr>
        <w:t xml:space="preserve"> </w:t>
      </w:r>
      <w:r w:rsidRPr="000C4237">
        <w:rPr>
          <w:rStyle w:val="CharDivText"/>
        </w:rPr>
        <w:t xml:space="preserve"> </w:t>
      </w:r>
    </w:p>
    <w:p w:rsidR="002A22A4" w:rsidRPr="006E709F" w:rsidRDefault="000577C6" w:rsidP="00DD3819">
      <w:pPr>
        <w:pStyle w:val="ItemHead"/>
      </w:pPr>
      <w:r w:rsidRPr="006E709F">
        <w:t xml:space="preserve">15.1  </w:t>
      </w:r>
      <w:r w:rsidR="002A22A4" w:rsidRPr="006E709F">
        <w:t>After subsection</w:t>
      </w:r>
      <w:r w:rsidR="00DA13DE" w:rsidRPr="006E709F">
        <w:t> </w:t>
      </w:r>
      <w:r w:rsidR="002A22A4" w:rsidRPr="006E709F">
        <w:t>1017F(5A)</w:t>
      </w:r>
    </w:p>
    <w:p w:rsidR="00A801D0" w:rsidRPr="006E709F" w:rsidRDefault="00A801D0" w:rsidP="00DD3819">
      <w:pPr>
        <w:pStyle w:val="Item"/>
        <w:rPr>
          <w:i/>
        </w:rPr>
      </w:pPr>
      <w:r w:rsidRPr="006E709F">
        <w:rPr>
          <w:i/>
        </w:rPr>
        <w:t>insert</w:t>
      </w:r>
    </w:p>
    <w:p w:rsidR="002A22A4" w:rsidRPr="006E709F" w:rsidRDefault="002A22A4" w:rsidP="00A801D0">
      <w:pPr>
        <w:pStyle w:val="subsection"/>
      </w:pPr>
      <w:r w:rsidRPr="006E709F">
        <w:tab/>
        <w:t>(5B)</w:t>
      </w:r>
      <w:r w:rsidRPr="006E709F">
        <w:tab/>
        <w:t xml:space="preserve">Despite </w:t>
      </w:r>
      <w:r w:rsidR="00DA13DE" w:rsidRPr="006E709F">
        <w:t>subsection (</w:t>
      </w:r>
      <w:r w:rsidRPr="006E709F">
        <w:t>5), if:</w:t>
      </w:r>
    </w:p>
    <w:p w:rsidR="002A22A4" w:rsidRPr="006E709F" w:rsidRDefault="002A22A4" w:rsidP="00A801D0">
      <w:pPr>
        <w:pStyle w:val="paragraph"/>
      </w:pPr>
      <w:r w:rsidRPr="006E709F">
        <w:rPr>
          <w:color w:val="000000"/>
        </w:rPr>
        <w:tab/>
        <w:t>(a)</w:t>
      </w:r>
      <w:r w:rsidRPr="006E709F">
        <w:rPr>
          <w:color w:val="000000"/>
        </w:rPr>
        <w:tab/>
        <w:t>the cost of a transaction (including taxes and charges) is not known at the time at which confirmation of the transaction would be required to be given; and</w:t>
      </w:r>
    </w:p>
    <w:p w:rsidR="002A22A4" w:rsidRPr="006E709F" w:rsidRDefault="002A22A4" w:rsidP="00A801D0">
      <w:pPr>
        <w:pStyle w:val="paragraph"/>
      </w:pPr>
      <w:r w:rsidRPr="006E709F">
        <w:tab/>
        <w:t>(b)</w:t>
      </w:r>
      <w:r w:rsidRPr="006E709F">
        <w:tab/>
        <w:t xml:space="preserve">all of the other information required under </w:t>
      </w:r>
      <w:r w:rsidR="00DA13DE" w:rsidRPr="006E709F">
        <w:t>subsection (</w:t>
      </w:r>
      <w:r w:rsidRPr="006E709F">
        <w:t>7) in relation to confirmation of the transaction is known at that time;</w:t>
      </w:r>
    </w:p>
    <w:p w:rsidR="002A22A4" w:rsidRPr="006E709F" w:rsidRDefault="002A22A4" w:rsidP="00A801D0">
      <w:pPr>
        <w:pStyle w:val="subsection2"/>
      </w:pPr>
      <w:r w:rsidRPr="006E709F">
        <w:rPr>
          <w:color w:val="000000"/>
        </w:rPr>
        <w:t xml:space="preserve">the confirmation of the transaction is to be provided in accordance with </w:t>
      </w:r>
      <w:r w:rsidR="00DA13DE" w:rsidRPr="006E709F">
        <w:rPr>
          <w:color w:val="000000"/>
        </w:rPr>
        <w:t>subsection (</w:t>
      </w:r>
      <w:r w:rsidRPr="006E709F">
        <w:rPr>
          <w:color w:val="000000"/>
        </w:rPr>
        <w:t>5C).</w:t>
      </w:r>
    </w:p>
    <w:p w:rsidR="002A22A4" w:rsidRPr="006E709F" w:rsidRDefault="002A22A4" w:rsidP="00A801D0">
      <w:pPr>
        <w:pStyle w:val="subsection"/>
      </w:pPr>
      <w:r w:rsidRPr="006E709F">
        <w:tab/>
        <w:t>(5C)</w:t>
      </w:r>
      <w:r w:rsidRPr="006E709F">
        <w:tab/>
        <w:t>Confirmation is to be provided as follows:</w:t>
      </w:r>
    </w:p>
    <w:p w:rsidR="002A22A4" w:rsidRPr="006E709F" w:rsidRDefault="002A22A4" w:rsidP="00A801D0">
      <w:pPr>
        <w:pStyle w:val="paragraph"/>
      </w:pPr>
      <w:r w:rsidRPr="006E709F">
        <w:rPr>
          <w:color w:val="000000"/>
        </w:rPr>
        <w:tab/>
        <w:t>(a)</w:t>
      </w:r>
      <w:r w:rsidRPr="006E709F">
        <w:rPr>
          <w:color w:val="000000"/>
        </w:rPr>
        <w:tab/>
        <w:t xml:space="preserve">all of the information required, except for the cost of the transaction, is to be provided as soon as practicable in accordance with </w:t>
      </w:r>
      <w:r w:rsidR="00DA13DE" w:rsidRPr="006E709F">
        <w:rPr>
          <w:color w:val="000000"/>
        </w:rPr>
        <w:t>subsection (</w:t>
      </w:r>
      <w:r w:rsidRPr="006E709F">
        <w:rPr>
          <w:color w:val="000000"/>
        </w:rPr>
        <w:t>5);</w:t>
      </w:r>
    </w:p>
    <w:p w:rsidR="002A22A4" w:rsidRPr="006E709F" w:rsidRDefault="002A22A4" w:rsidP="00A801D0">
      <w:pPr>
        <w:pStyle w:val="paragraph"/>
      </w:pPr>
      <w:r w:rsidRPr="006E709F">
        <w:tab/>
        <w:t>(b)</w:t>
      </w:r>
      <w:r w:rsidRPr="006E709F">
        <w:tab/>
        <w:t>the cost of the transaction may be provided in whichever of the following can be done first:</w:t>
      </w:r>
    </w:p>
    <w:p w:rsidR="0048795D" w:rsidRPr="006E709F" w:rsidRDefault="002A22A4" w:rsidP="00A801D0">
      <w:pPr>
        <w:pStyle w:val="paragraphsub"/>
        <w:rPr>
          <w:color w:val="000000"/>
        </w:rPr>
      </w:pPr>
      <w:r w:rsidRPr="006E709F">
        <w:rPr>
          <w:color w:val="000000"/>
        </w:rPr>
        <w:tab/>
        <w:t>(i)</w:t>
      </w:r>
      <w:r w:rsidRPr="006E709F">
        <w:rPr>
          <w:color w:val="000000"/>
        </w:rPr>
        <w:tab/>
        <w:t>a secondary confirmation notice provided as soon as practicable after the cost is known;</w:t>
      </w:r>
    </w:p>
    <w:p w:rsidR="002A22A4" w:rsidRPr="006E709F" w:rsidRDefault="002A22A4" w:rsidP="00A801D0">
      <w:pPr>
        <w:pStyle w:val="paragraphsub"/>
      </w:pPr>
      <w:r w:rsidRPr="006E709F">
        <w:tab/>
        <w:t>(ii)</w:t>
      </w:r>
      <w:r w:rsidRPr="006E709F">
        <w:tab/>
        <w:t>a standing facility mentioned in paragraph</w:t>
      </w:r>
      <w:r w:rsidR="00DA13DE" w:rsidRPr="006E709F">
        <w:t> </w:t>
      </w:r>
      <w:r w:rsidRPr="006E709F">
        <w:t>1017F(5</w:t>
      </w:r>
      <w:r w:rsidR="00A801D0" w:rsidRPr="006E709F">
        <w:t>)(</w:t>
      </w:r>
      <w:r w:rsidRPr="006E709F">
        <w:t>b);</w:t>
      </w:r>
    </w:p>
    <w:p w:rsidR="002A22A4" w:rsidRPr="006E709F" w:rsidRDefault="002A22A4" w:rsidP="00A801D0">
      <w:pPr>
        <w:pStyle w:val="paragraphsub"/>
      </w:pPr>
      <w:r w:rsidRPr="006E709F">
        <w:tab/>
        <w:t>(iii)</w:t>
      </w:r>
      <w:r w:rsidRPr="006E709F">
        <w:tab/>
        <w:t>the first periodic report under section</w:t>
      </w:r>
      <w:r w:rsidR="00DA13DE" w:rsidRPr="006E709F">
        <w:t> </w:t>
      </w:r>
      <w:r w:rsidRPr="006E709F">
        <w:t>1017D after the cost is known.</w:t>
      </w:r>
    </w:p>
    <w:p w:rsidR="002A22A4" w:rsidRPr="006E709F" w:rsidRDefault="00A801D0" w:rsidP="00A801D0">
      <w:pPr>
        <w:pStyle w:val="ActHead2"/>
        <w:pageBreakBefore/>
      </w:pPr>
      <w:bookmarkStart w:id="126" w:name="_Toc170547943"/>
      <w:r w:rsidRPr="000C4237">
        <w:rPr>
          <w:rStyle w:val="CharPartNo"/>
        </w:rPr>
        <w:lastRenderedPageBreak/>
        <w:t>Part</w:t>
      </w:r>
      <w:r w:rsidR="00DA13DE" w:rsidRPr="000C4237">
        <w:rPr>
          <w:rStyle w:val="CharPartNo"/>
        </w:rPr>
        <w:t> </w:t>
      </w:r>
      <w:r w:rsidR="002A22A4" w:rsidRPr="000C4237">
        <w:rPr>
          <w:rStyle w:val="CharPartNo"/>
        </w:rPr>
        <w:t>16</w:t>
      </w:r>
      <w:r w:rsidRPr="006E709F">
        <w:t>—</w:t>
      </w:r>
      <w:r w:rsidR="002A22A4" w:rsidRPr="000C4237">
        <w:rPr>
          <w:rStyle w:val="CharPartText"/>
        </w:rPr>
        <w:t>Modifications relating to reporting periods</w:t>
      </w:r>
      <w:bookmarkEnd w:id="126"/>
    </w:p>
    <w:p w:rsidR="002406FE" w:rsidRPr="006E709F" w:rsidRDefault="002406FE" w:rsidP="002406FE">
      <w:pPr>
        <w:pStyle w:val="Header"/>
      </w:pPr>
      <w:r w:rsidRPr="000C4237">
        <w:rPr>
          <w:rStyle w:val="CharDivNo"/>
        </w:rPr>
        <w:t xml:space="preserve"> </w:t>
      </w:r>
      <w:r w:rsidRPr="000C4237">
        <w:rPr>
          <w:rStyle w:val="CharDivText"/>
        </w:rPr>
        <w:t xml:space="preserve"> </w:t>
      </w:r>
    </w:p>
    <w:p w:rsidR="002A22A4" w:rsidRPr="006E709F" w:rsidRDefault="002A22A4" w:rsidP="00DD3819">
      <w:pPr>
        <w:pStyle w:val="ItemHead"/>
      </w:pPr>
      <w:r w:rsidRPr="006E709F">
        <w:t>16.1</w:t>
      </w:r>
      <w:r w:rsidR="000577C6" w:rsidRPr="006E709F">
        <w:t xml:space="preserve">  </w:t>
      </w:r>
      <w:r w:rsidR="00FF4176" w:rsidRPr="006E709F">
        <w:t>Paragraph 1</w:t>
      </w:r>
      <w:r w:rsidRPr="006E709F">
        <w:t>017D(2</w:t>
      </w:r>
      <w:r w:rsidR="00A801D0" w:rsidRPr="006E709F">
        <w:t>)(</w:t>
      </w:r>
      <w:r w:rsidRPr="006E709F">
        <w:t>a)</w:t>
      </w:r>
    </w:p>
    <w:p w:rsidR="00A801D0" w:rsidRPr="006E709F" w:rsidRDefault="00A801D0" w:rsidP="00DD3819">
      <w:pPr>
        <w:pStyle w:val="Item"/>
        <w:rPr>
          <w:i/>
        </w:rPr>
      </w:pPr>
      <w:r w:rsidRPr="006E709F">
        <w:rPr>
          <w:i/>
        </w:rPr>
        <w:t>substitute</w:t>
      </w:r>
    </w:p>
    <w:p w:rsidR="002A22A4" w:rsidRPr="006E709F" w:rsidRDefault="002A22A4" w:rsidP="00A801D0">
      <w:pPr>
        <w:pStyle w:val="paragraph"/>
      </w:pPr>
      <w:r w:rsidRPr="006E709F">
        <w:tab/>
        <w:t>(a)</w:t>
      </w:r>
      <w:r w:rsidRPr="006E709F">
        <w:tab/>
        <w:t>each reporting period lasts for:</w:t>
      </w:r>
    </w:p>
    <w:p w:rsidR="002A22A4" w:rsidRPr="006E709F" w:rsidRDefault="002A22A4" w:rsidP="00A801D0">
      <w:pPr>
        <w:pStyle w:val="paragraphsub"/>
      </w:pPr>
      <w:r w:rsidRPr="006E709F">
        <w:tab/>
        <w:t>(i)</w:t>
      </w:r>
      <w:r w:rsidRPr="006E709F">
        <w:tab/>
        <w:t>a period, not exceeding 1 year, fixed by the issuer; or</w:t>
      </w:r>
    </w:p>
    <w:p w:rsidR="002A22A4" w:rsidRPr="006E709F" w:rsidRDefault="002A22A4" w:rsidP="00A801D0">
      <w:pPr>
        <w:pStyle w:val="paragraphsub"/>
      </w:pPr>
      <w:r w:rsidRPr="006E709F">
        <w:tab/>
        <w:t>(ii)</w:t>
      </w:r>
      <w:r w:rsidRPr="006E709F">
        <w:tab/>
        <w:t>a longer period fixed by ASIC on the application of the issuer to which the period relates;</w:t>
      </w:r>
    </w:p>
    <w:p w:rsidR="002A22A4" w:rsidRPr="006E709F" w:rsidRDefault="00A801D0" w:rsidP="00A801D0">
      <w:pPr>
        <w:pStyle w:val="ActHead2"/>
        <w:pageBreakBefore/>
      </w:pPr>
      <w:bookmarkStart w:id="127" w:name="_Toc170547944"/>
      <w:r w:rsidRPr="000C4237">
        <w:rPr>
          <w:rStyle w:val="CharPartNo"/>
        </w:rPr>
        <w:lastRenderedPageBreak/>
        <w:t>Part</w:t>
      </w:r>
      <w:r w:rsidR="00DA13DE" w:rsidRPr="000C4237">
        <w:rPr>
          <w:rStyle w:val="CharPartNo"/>
        </w:rPr>
        <w:t> </w:t>
      </w:r>
      <w:r w:rsidR="002A22A4" w:rsidRPr="000C4237">
        <w:rPr>
          <w:rStyle w:val="CharPartNo"/>
        </w:rPr>
        <w:t>17</w:t>
      </w:r>
      <w:r w:rsidRPr="006E709F">
        <w:t>—</w:t>
      </w:r>
      <w:r w:rsidR="002A22A4" w:rsidRPr="000C4237">
        <w:rPr>
          <w:rStyle w:val="CharPartText"/>
        </w:rPr>
        <w:t>Modifications relating to application forms for specified superannuation products</w:t>
      </w:r>
      <w:bookmarkEnd w:id="127"/>
    </w:p>
    <w:p w:rsidR="002406FE" w:rsidRPr="006E709F" w:rsidRDefault="002406FE" w:rsidP="002406FE">
      <w:pPr>
        <w:pStyle w:val="Header"/>
      </w:pPr>
      <w:r w:rsidRPr="000C4237">
        <w:rPr>
          <w:rStyle w:val="CharDivNo"/>
        </w:rPr>
        <w:t xml:space="preserve"> </w:t>
      </w:r>
      <w:r w:rsidRPr="000C4237">
        <w:rPr>
          <w:rStyle w:val="CharDivText"/>
        </w:rPr>
        <w:t xml:space="preserve"> </w:t>
      </w:r>
    </w:p>
    <w:p w:rsidR="002A22A4" w:rsidRPr="006E709F" w:rsidRDefault="002A22A4" w:rsidP="00DD3819">
      <w:pPr>
        <w:pStyle w:val="ItemHead"/>
      </w:pPr>
      <w:r w:rsidRPr="006E709F">
        <w:t>17.1</w:t>
      </w:r>
      <w:r w:rsidR="000577C6" w:rsidRPr="006E709F">
        <w:t xml:space="preserve">  </w:t>
      </w:r>
      <w:r w:rsidRPr="006E709F">
        <w:t>After subsection</w:t>
      </w:r>
      <w:r w:rsidR="00DA13DE" w:rsidRPr="006E709F">
        <w:t> </w:t>
      </w:r>
      <w:r w:rsidRPr="006E709F">
        <w:t>1012B(4)</w:t>
      </w:r>
    </w:p>
    <w:p w:rsidR="00A801D0" w:rsidRPr="006E709F" w:rsidRDefault="00A801D0" w:rsidP="00DD3819">
      <w:pPr>
        <w:pStyle w:val="Item"/>
        <w:rPr>
          <w:i/>
        </w:rPr>
      </w:pPr>
      <w:r w:rsidRPr="006E709F">
        <w:rPr>
          <w:i/>
        </w:rPr>
        <w:t>insert</w:t>
      </w:r>
    </w:p>
    <w:p w:rsidR="002A22A4" w:rsidRPr="006E709F" w:rsidRDefault="002A22A4" w:rsidP="00A801D0">
      <w:pPr>
        <w:pStyle w:val="subsection"/>
      </w:pPr>
      <w:r w:rsidRPr="006E709F">
        <w:tab/>
        <w:t>(4A)</w:t>
      </w:r>
      <w:r w:rsidRPr="006E709F">
        <w:tab/>
        <w:t>A regulated person:</w:t>
      </w:r>
    </w:p>
    <w:p w:rsidR="002A22A4" w:rsidRPr="006E709F" w:rsidRDefault="002A22A4" w:rsidP="00A801D0">
      <w:pPr>
        <w:pStyle w:val="paragraph"/>
      </w:pPr>
      <w:r w:rsidRPr="006E709F">
        <w:tab/>
        <w:t>(a)</w:t>
      </w:r>
      <w:r w:rsidRPr="006E709F">
        <w:tab/>
        <w:t>need not give a client a Product Disclosure Statement for a financial product at or before the time when it would otherwise be required to be given; and</w:t>
      </w:r>
    </w:p>
    <w:p w:rsidR="002A22A4" w:rsidRPr="006E709F" w:rsidRDefault="002A22A4" w:rsidP="00A801D0">
      <w:pPr>
        <w:pStyle w:val="paragraph"/>
      </w:pPr>
      <w:r w:rsidRPr="006E709F">
        <w:tab/>
        <w:t>(b)</w:t>
      </w:r>
      <w:r w:rsidRPr="006E709F">
        <w:tab/>
        <w:t>must give the client the Product Disclosure Statement as soon as is reasonably practical and in any event within 3 months after the product is issued to the client; and</w:t>
      </w:r>
    </w:p>
    <w:p w:rsidR="002A22A4" w:rsidRPr="006E709F" w:rsidRDefault="002A22A4" w:rsidP="00A801D0">
      <w:pPr>
        <w:pStyle w:val="paragraph"/>
      </w:pPr>
      <w:r w:rsidRPr="006E709F">
        <w:tab/>
        <w:t>(c)</w:t>
      </w:r>
      <w:r w:rsidRPr="006E709F">
        <w:tab/>
        <w:t xml:space="preserve">need not give the client the Product Disclosure Statement at all if the client ceases to be a member of the superannuation fund concerned before the regulated person is required to give the Product Disclosure Statement under </w:t>
      </w:r>
      <w:r w:rsidR="00DA13DE" w:rsidRPr="006E709F">
        <w:t>paragraph (</w:t>
      </w:r>
      <w:r w:rsidRPr="006E709F">
        <w:t>b).</w:t>
      </w:r>
    </w:p>
    <w:p w:rsidR="002A22A4" w:rsidRPr="006E709F" w:rsidRDefault="002A22A4" w:rsidP="00A801D0">
      <w:pPr>
        <w:pStyle w:val="subsection"/>
      </w:pPr>
      <w:r w:rsidRPr="006E709F">
        <w:tab/>
        <w:t>(4B)</w:t>
      </w:r>
      <w:r w:rsidRPr="006E709F">
        <w:tab/>
      </w:r>
      <w:r w:rsidR="00DA13DE" w:rsidRPr="006E709F">
        <w:t>Subsections (</w:t>
      </w:r>
      <w:r w:rsidRPr="006E709F">
        <w:t>3), (4) and (4A) apply only in respect of:</w:t>
      </w:r>
    </w:p>
    <w:p w:rsidR="002A22A4" w:rsidRPr="006E709F" w:rsidRDefault="002A22A4" w:rsidP="00A801D0">
      <w:pPr>
        <w:pStyle w:val="paragraph"/>
      </w:pPr>
      <w:r w:rsidRPr="006E709F">
        <w:tab/>
        <w:t>(a)</w:t>
      </w:r>
      <w:r w:rsidRPr="006E709F">
        <w:tab/>
        <w:t>in the case of an eligible rollover fund:</w:t>
      </w:r>
    </w:p>
    <w:p w:rsidR="002A22A4" w:rsidRPr="006E709F" w:rsidRDefault="002A22A4" w:rsidP="00A801D0">
      <w:pPr>
        <w:pStyle w:val="paragraphsub"/>
      </w:pPr>
      <w:r w:rsidRPr="006E709F">
        <w:tab/>
        <w:t>(i)</w:t>
      </w:r>
      <w:r w:rsidRPr="006E709F">
        <w:tab/>
        <w:t>persons who become members of the fund by being issued with a superannuation interest under section</w:t>
      </w:r>
      <w:r w:rsidR="00DA13DE" w:rsidRPr="006E709F">
        <w:t> </w:t>
      </w:r>
      <w:r w:rsidRPr="006E709F">
        <w:t>243 of the SIS Act; and</w:t>
      </w:r>
    </w:p>
    <w:p w:rsidR="002A22A4" w:rsidRPr="006E709F" w:rsidRDefault="002A22A4" w:rsidP="00A801D0">
      <w:pPr>
        <w:pStyle w:val="paragraphsub"/>
      </w:pPr>
      <w:r w:rsidRPr="006E709F">
        <w:tab/>
        <w:t>(ii)</w:t>
      </w:r>
      <w:r w:rsidRPr="006E709F">
        <w:tab/>
        <w:t>persons who become members of the fund in circumstances mentioned in section</w:t>
      </w:r>
      <w:r w:rsidR="00DA13DE" w:rsidRPr="006E709F">
        <w:t> </w:t>
      </w:r>
      <w:r w:rsidRPr="006E709F">
        <w:t>89 of the RSA Act; and</w:t>
      </w:r>
    </w:p>
    <w:p w:rsidR="002A22A4" w:rsidRPr="006E709F" w:rsidRDefault="002A22A4" w:rsidP="00A801D0">
      <w:pPr>
        <w:pStyle w:val="paragraph"/>
      </w:pPr>
      <w:r w:rsidRPr="006E709F">
        <w:tab/>
        <w:t>(b)</w:t>
      </w:r>
      <w:r w:rsidRPr="006E709F">
        <w:tab/>
        <w:t>in the case of a public offer superannuation fund that is not a successor fund in relation to the financial product issued to the client:</w:t>
      </w:r>
    </w:p>
    <w:p w:rsidR="002A22A4" w:rsidRPr="006E709F" w:rsidRDefault="002A22A4" w:rsidP="00A801D0">
      <w:pPr>
        <w:pStyle w:val="paragraphsub"/>
      </w:pPr>
      <w:r w:rsidRPr="006E709F">
        <w:tab/>
        <w:t>(i)</w:t>
      </w:r>
      <w:r w:rsidRPr="006E709F">
        <w:tab/>
        <w:t>standard employer</w:t>
      </w:r>
      <w:r w:rsidR="000C4237">
        <w:noBreakHyphen/>
      </w:r>
      <w:r w:rsidRPr="006E709F">
        <w:t>sponsored members of the fund; and</w:t>
      </w:r>
    </w:p>
    <w:p w:rsidR="0048795D" w:rsidRPr="006E709F" w:rsidRDefault="002A22A4" w:rsidP="00A801D0">
      <w:pPr>
        <w:pStyle w:val="paragraphsub"/>
      </w:pPr>
      <w:r w:rsidRPr="006E709F">
        <w:tab/>
        <w:t>(ii)</w:t>
      </w:r>
      <w:r w:rsidRPr="006E709F">
        <w:tab/>
        <w:t xml:space="preserve">persons who become members of the fund in circumstances mentioned in </w:t>
      </w:r>
      <w:r w:rsidR="005378CE" w:rsidRPr="006E709F">
        <w:t>regulation 7</w:t>
      </w:r>
      <w:r w:rsidRPr="006E709F">
        <w:t xml:space="preserve">.9.06B of the </w:t>
      </w:r>
      <w:r w:rsidRPr="006E709F">
        <w:rPr>
          <w:i/>
        </w:rPr>
        <w:t xml:space="preserve">Corporations </w:t>
      </w:r>
      <w:r w:rsidR="000C4237">
        <w:rPr>
          <w:i/>
        </w:rPr>
        <w:t>Regulations 2</w:t>
      </w:r>
      <w:r w:rsidRPr="006E709F">
        <w:rPr>
          <w:i/>
        </w:rPr>
        <w:t>001</w:t>
      </w:r>
      <w:r w:rsidRPr="006E709F">
        <w:t>.</w:t>
      </w:r>
    </w:p>
    <w:p w:rsidR="002A22A4" w:rsidRPr="006E709F" w:rsidRDefault="002A22A4" w:rsidP="003C672B">
      <w:pPr>
        <w:pStyle w:val="ItemHead"/>
      </w:pPr>
      <w:r w:rsidRPr="006E709F">
        <w:t>17.2</w:t>
      </w:r>
      <w:r w:rsidR="000577C6" w:rsidRPr="006E709F">
        <w:t xml:space="preserve">  </w:t>
      </w:r>
      <w:r w:rsidRPr="006E709F">
        <w:t>After subsection</w:t>
      </w:r>
      <w:r w:rsidR="00DA13DE" w:rsidRPr="006E709F">
        <w:t> </w:t>
      </w:r>
      <w:r w:rsidRPr="006E709F">
        <w:t>1012I(2B)</w:t>
      </w:r>
    </w:p>
    <w:p w:rsidR="00A801D0" w:rsidRPr="006E709F" w:rsidRDefault="00A801D0" w:rsidP="003C672B">
      <w:pPr>
        <w:pStyle w:val="Item"/>
        <w:rPr>
          <w:i/>
        </w:rPr>
      </w:pPr>
      <w:r w:rsidRPr="006E709F">
        <w:rPr>
          <w:i/>
        </w:rPr>
        <w:t>insert</w:t>
      </w:r>
    </w:p>
    <w:p w:rsidR="002A22A4" w:rsidRPr="006E709F" w:rsidRDefault="002A22A4" w:rsidP="00A801D0">
      <w:pPr>
        <w:pStyle w:val="subsection"/>
      </w:pPr>
      <w:r w:rsidRPr="006E709F">
        <w:tab/>
        <w:t>(2C)</w:t>
      </w:r>
      <w:r w:rsidRPr="006E709F">
        <w:tab/>
        <w:t xml:space="preserve">If a trustee of an </w:t>
      </w:r>
      <w:r w:rsidR="000F29FD" w:rsidRPr="00BE1284">
        <w:t>exempt public sector superannuation scheme</w:t>
      </w:r>
      <w:r w:rsidRPr="006E709F">
        <w:t>:</w:t>
      </w:r>
    </w:p>
    <w:p w:rsidR="002A22A4" w:rsidRPr="006E709F" w:rsidRDefault="002A22A4" w:rsidP="00A801D0">
      <w:pPr>
        <w:pStyle w:val="paragraph"/>
      </w:pPr>
      <w:r w:rsidRPr="006E709F">
        <w:tab/>
        <w:t>(a)</w:t>
      </w:r>
      <w:r w:rsidRPr="006E709F">
        <w:tab/>
        <w:t xml:space="preserve">applies, in circumstances mentioned in </w:t>
      </w:r>
      <w:r w:rsidR="005378CE" w:rsidRPr="006E709F">
        <w:t>regulation 7</w:t>
      </w:r>
      <w:r w:rsidRPr="006E709F">
        <w:t xml:space="preserve">.9.06B of the </w:t>
      </w:r>
      <w:r w:rsidRPr="006E709F">
        <w:rPr>
          <w:i/>
        </w:rPr>
        <w:t xml:space="preserve">Corporations </w:t>
      </w:r>
      <w:r w:rsidR="000C4237">
        <w:rPr>
          <w:i/>
        </w:rPr>
        <w:t>Regulations 2</w:t>
      </w:r>
      <w:r w:rsidRPr="006E709F">
        <w:rPr>
          <w:i/>
        </w:rPr>
        <w:t>001</w:t>
      </w:r>
      <w:r w:rsidRPr="006E709F">
        <w:t>, on behalf of a person for the issue of an interest in a relevant superannuation entity; and</w:t>
      </w:r>
    </w:p>
    <w:p w:rsidR="002A22A4" w:rsidRPr="006E709F" w:rsidRDefault="002A22A4" w:rsidP="00A801D0">
      <w:pPr>
        <w:pStyle w:val="paragraph"/>
      </w:pPr>
      <w:r w:rsidRPr="006E709F">
        <w:tab/>
        <w:t>(b)</w:t>
      </w:r>
      <w:r w:rsidRPr="006E709F">
        <w:tab/>
        <w:t>has not previously applied in those circumstances for the issue of an interest in that entity on behalf of any person;</w:t>
      </w:r>
    </w:p>
    <w:p w:rsidR="002A22A4" w:rsidRPr="006E709F" w:rsidRDefault="002A22A4" w:rsidP="00A801D0">
      <w:pPr>
        <w:pStyle w:val="subsection2"/>
      </w:pPr>
      <w:r w:rsidRPr="006E709F">
        <w:t xml:space="preserve">the person (the </w:t>
      </w:r>
      <w:r w:rsidRPr="006E709F">
        <w:rPr>
          <w:b/>
          <w:i/>
        </w:rPr>
        <w:t>issuer</w:t>
      </w:r>
      <w:r w:rsidRPr="006E709F">
        <w:t xml:space="preserve">) who is to issue the interest to the person must, at or before the time when the interest is issued to the person, give the trustee a Product Disclosure Statement in accordance with this </w:t>
      </w:r>
      <w:r w:rsidR="00A801D0" w:rsidRPr="006E709F">
        <w:t>Division</w:t>
      </w:r>
      <w:r w:rsidR="00E376FA" w:rsidRPr="006E709F">
        <w:t xml:space="preserve"> </w:t>
      </w:r>
      <w:r w:rsidRPr="006E709F">
        <w:t>for the interest.</w:t>
      </w:r>
    </w:p>
    <w:p w:rsidR="00842F88" w:rsidRPr="006E709F" w:rsidRDefault="00A801D0" w:rsidP="00A801D0">
      <w:pPr>
        <w:pStyle w:val="ActHead2"/>
        <w:pageBreakBefore/>
      </w:pPr>
      <w:bookmarkStart w:id="128" w:name="_Toc170547945"/>
      <w:r w:rsidRPr="000C4237">
        <w:rPr>
          <w:rStyle w:val="CharPartNo"/>
        </w:rPr>
        <w:lastRenderedPageBreak/>
        <w:t>Part</w:t>
      </w:r>
      <w:r w:rsidR="00DA13DE" w:rsidRPr="000C4237">
        <w:rPr>
          <w:rStyle w:val="CharPartNo"/>
        </w:rPr>
        <w:t> </w:t>
      </w:r>
      <w:r w:rsidR="00842F88" w:rsidRPr="000C4237">
        <w:rPr>
          <w:rStyle w:val="CharPartNo"/>
        </w:rPr>
        <w:t>18</w:t>
      </w:r>
      <w:r w:rsidRPr="006E709F">
        <w:t>—</w:t>
      </w:r>
      <w:r w:rsidR="00842F88" w:rsidRPr="000C4237">
        <w:rPr>
          <w:rStyle w:val="CharPartText"/>
        </w:rPr>
        <w:t>Modification of Part</w:t>
      </w:r>
      <w:r w:rsidR="00DA13DE" w:rsidRPr="000C4237">
        <w:rPr>
          <w:rStyle w:val="CharPartText"/>
        </w:rPr>
        <w:t> </w:t>
      </w:r>
      <w:r w:rsidR="00842F88" w:rsidRPr="000C4237">
        <w:rPr>
          <w:rStyle w:val="CharPartText"/>
        </w:rPr>
        <w:t>7.9 of the Act</w:t>
      </w:r>
      <w:r w:rsidRPr="000C4237">
        <w:rPr>
          <w:rStyle w:val="CharPartText"/>
        </w:rPr>
        <w:t>—</w:t>
      </w:r>
      <w:r w:rsidR="00842F88" w:rsidRPr="000C4237">
        <w:rPr>
          <w:rStyle w:val="CharPartText"/>
        </w:rPr>
        <w:t>New Zealand offer documents replace Product Disclosure Statements where an offer relates to interests in a New Zealand managed investment scheme</w:t>
      </w:r>
      <w:bookmarkEnd w:id="128"/>
    </w:p>
    <w:p w:rsidR="002406FE" w:rsidRPr="006E709F" w:rsidRDefault="002406FE" w:rsidP="002406FE">
      <w:pPr>
        <w:pStyle w:val="Header"/>
      </w:pPr>
      <w:r w:rsidRPr="000C4237">
        <w:rPr>
          <w:rStyle w:val="CharDivNo"/>
        </w:rPr>
        <w:t xml:space="preserve"> </w:t>
      </w:r>
      <w:r w:rsidRPr="000C4237">
        <w:rPr>
          <w:rStyle w:val="CharDivText"/>
        </w:rPr>
        <w:t xml:space="preserve"> </w:t>
      </w:r>
    </w:p>
    <w:p w:rsidR="00842F88" w:rsidRPr="006E709F" w:rsidRDefault="00842F88" w:rsidP="003C672B">
      <w:pPr>
        <w:pStyle w:val="ItemHead"/>
      </w:pPr>
      <w:r w:rsidRPr="006E709F">
        <w:t>18.1</w:t>
      </w:r>
      <w:r w:rsidR="000577C6" w:rsidRPr="006E709F">
        <w:t xml:space="preserve">  </w:t>
      </w:r>
      <w:r w:rsidRPr="006E709F">
        <w:t>After subsection</w:t>
      </w:r>
      <w:r w:rsidR="00DA13DE" w:rsidRPr="006E709F">
        <w:t> </w:t>
      </w:r>
      <w:r w:rsidRPr="006E709F">
        <w:t>1012D(9D)</w:t>
      </w:r>
    </w:p>
    <w:p w:rsidR="00A801D0" w:rsidRPr="006E709F" w:rsidRDefault="00A801D0" w:rsidP="00A801D0">
      <w:pPr>
        <w:pStyle w:val="Item"/>
        <w:rPr>
          <w:i/>
        </w:rPr>
      </w:pPr>
      <w:r w:rsidRPr="006E709F">
        <w:rPr>
          <w:i/>
        </w:rPr>
        <w:t>insert</w:t>
      </w:r>
    </w:p>
    <w:p w:rsidR="00842F88" w:rsidRPr="006E709F" w:rsidRDefault="00842F88" w:rsidP="00A801D0">
      <w:pPr>
        <w:pStyle w:val="SubsectionHead"/>
      </w:pPr>
      <w:r w:rsidRPr="006E709F">
        <w:t>Recommendation, issue or sale situation</w:t>
      </w:r>
      <w:r w:rsidR="00A801D0" w:rsidRPr="006E709F">
        <w:t>—</w:t>
      </w:r>
      <w:r w:rsidRPr="006E709F">
        <w:t>New Zealand mutual recognition scheme for securities</w:t>
      </w:r>
    </w:p>
    <w:p w:rsidR="00842F88" w:rsidRPr="006E709F" w:rsidRDefault="00842F88" w:rsidP="00A801D0">
      <w:pPr>
        <w:pStyle w:val="subsection"/>
      </w:pPr>
      <w:r w:rsidRPr="006E709F">
        <w:tab/>
        <w:t>(9E)</w:t>
      </w:r>
      <w:r w:rsidRPr="006E709F">
        <w:tab/>
        <w:t>In a recommendation situation, issue situation or sale situation, the regulated person does not have to give the client a Product Disclosure Statement for a financial product if:</w:t>
      </w:r>
    </w:p>
    <w:p w:rsidR="00842F88" w:rsidRPr="006E709F" w:rsidRDefault="00842F88" w:rsidP="00A801D0">
      <w:pPr>
        <w:pStyle w:val="paragraph"/>
      </w:pPr>
      <w:r w:rsidRPr="006E709F">
        <w:tab/>
        <w:t>(a)</w:t>
      </w:r>
      <w:r w:rsidRPr="006E709F">
        <w:tab/>
        <w:t>the regulated person reasonably believes that there is a recognised offer under Chapter</w:t>
      </w:r>
      <w:r w:rsidR="00DA13DE" w:rsidRPr="006E709F">
        <w:t> </w:t>
      </w:r>
      <w:r w:rsidRPr="006E709F">
        <w:t>8 in relation to offer of the financial product; and</w:t>
      </w:r>
    </w:p>
    <w:p w:rsidR="00842F88" w:rsidRPr="006E709F" w:rsidRDefault="00842F88" w:rsidP="00A801D0">
      <w:pPr>
        <w:pStyle w:val="paragraph"/>
      </w:pPr>
      <w:r w:rsidRPr="006E709F">
        <w:tab/>
        <w:t>(b)</w:t>
      </w:r>
      <w:r w:rsidRPr="006E709F">
        <w:tab/>
        <w:t>the financial product is an interest in a managed investment scheme governed by the laws of New Zealand; and</w:t>
      </w:r>
    </w:p>
    <w:p w:rsidR="00B241B7" w:rsidRPr="006E709F" w:rsidRDefault="00842F88" w:rsidP="00400E04">
      <w:pPr>
        <w:pStyle w:val="paragraph"/>
      </w:pPr>
      <w:r w:rsidRPr="006E709F">
        <w:tab/>
        <w:t>(c)</w:t>
      </w:r>
      <w:r w:rsidRPr="006E709F">
        <w:tab/>
        <w:t xml:space="preserve">the regulated person has provided the client the documents and information required to accompany that offer by </w:t>
      </w:r>
      <w:r w:rsidR="00400E04" w:rsidRPr="006E709F">
        <w:t xml:space="preserve">the Financial Markets Conduct Act 2013 of New Zealand and the Financial Markets Conduct </w:t>
      </w:r>
      <w:r w:rsidR="000C4237">
        <w:t>Regulations 2</w:t>
      </w:r>
      <w:r w:rsidR="00400E04" w:rsidRPr="006E709F">
        <w:t>014 of New Zealand; and</w:t>
      </w:r>
    </w:p>
    <w:p w:rsidR="00842F88" w:rsidRPr="006E709F" w:rsidRDefault="00842F88" w:rsidP="00B241B7">
      <w:pPr>
        <w:pStyle w:val="paragraph"/>
      </w:pPr>
      <w:r w:rsidRPr="006E709F">
        <w:tab/>
        <w:t>(d)</w:t>
      </w:r>
      <w:r w:rsidRPr="006E709F">
        <w:tab/>
        <w:t>the regulated person has provided the client any warning statement or details prescribed under section</w:t>
      </w:r>
      <w:r w:rsidR="00DA13DE" w:rsidRPr="006E709F">
        <w:t> </w:t>
      </w:r>
      <w:r w:rsidRPr="006E709F">
        <w:t>1200E in relation to the offer.</w:t>
      </w:r>
    </w:p>
    <w:p w:rsidR="00842F88" w:rsidRPr="006E709F" w:rsidRDefault="00842F88" w:rsidP="00A801D0">
      <w:pPr>
        <w:pStyle w:val="subsection"/>
      </w:pPr>
      <w:r w:rsidRPr="006E709F">
        <w:tab/>
        <w:t>(9F)</w:t>
      </w:r>
      <w:r w:rsidRPr="006E709F">
        <w:tab/>
        <w:t xml:space="preserve">For </w:t>
      </w:r>
      <w:r w:rsidR="00DA13DE" w:rsidRPr="006E709F">
        <w:t>paragraph (</w:t>
      </w:r>
      <w:r w:rsidRPr="006E709F">
        <w:t>9E</w:t>
      </w:r>
      <w:r w:rsidR="00A801D0" w:rsidRPr="006E709F">
        <w:t>)(</w:t>
      </w:r>
      <w:r w:rsidRPr="006E709F">
        <w:t>c), section</w:t>
      </w:r>
      <w:r w:rsidR="00DA13DE" w:rsidRPr="006E709F">
        <w:t> </w:t>
      </w:r>
      <w:r w:rsidRPr="006E709F">
        <w:t>1015C applies to the providing of documents and information, as if the documents and information were a Statement.</w:t>
      </w:r>
    </w:p>
    <w:p w:rsidR="00842F88" w:rsidRPr="006E709F" w:rsidRDefault="00842F88" w:rsidP="00A801D0">
      <w:pPr>
        <w:pStyle w:val="subsection"/>
      </w:pPr>
      <w:r w:rsidRPr="006E709F">
        <w:tab/>
        <w:t>(9G)</w:t>
      </w:r>
      <w:r w:rsidRPr="006E709F">
        <w:tab/>
        <w:t xml:space="preserve">For </w:t>
      </w:r>
      <w:r w:rsidR="00DA13DE" w:rsidRPr="006E709F">
        <w:t>paragraph (</w:t>
      </w:r>
      <w:r w:rsidRPr="006E709F">
        <w:t>9E</w:t>
      </w:r>
      <w:r w:rsidR="00A801D0" w:rsidRPr="006E709F">
        <w:t>)(</w:t>
      </w:r>
      <w:r w:rsidRPr="006E709F">
        <w:t>d), section</w:t>
      </w:r>
      <w:r w:rsidR="00DA13DE" w:rsidRPr="006E709F">
        <w:t> </w:t>
      </w:r>
      <w:r w:rsidRPr="006E709F">
        <w:t>1015C applies to the providing of warning statement or details prescribed under section</w:t>
      </w:r>
      <w:r w:rsidR="00DA13DE" w:rsidRPr="006E709F">
        <w:t> </w:t>
      </w:r>
      <w:r w:rsidRPr="006E709F">
        <w:t>1200E, as if the warning statement or details were a Statement.</w:t>
      </w:r>
    </w:p>
    <w:p w:rsidR="00F011D7" w:rsidRPr="006E709F" w:rsidRDefault="00A801D0" w:rsidP="00495B24">
      <w:pPr>
        <w:pStyle w:val="ActHead2"/>
        <w:pageBreakBefore/>
      </w:pPr>
      <w:bookmarkStart w:id="129" w:name="_Toc170547946"/>
      <w:r w:rsidRPr="000C4237">
        <w:rPr>
          <w:rStyle w:val="CharPartNo"/>
        </w:rPr>
        <w:lastRenderedPageBreak/>
        <w:t>Part</w:t>
      </w:r>
      <w:r w:rsidR="00DA13DE" w:rsidRPr="000C4237">
        <w:rPr>
          <w:rStyle w:val="CharPartNo"/>
        </w:rPr>
        <w:t> </w:t>
      </w:r>
      <w:r w:rsidR="00F011D7" w:rsidRPr="000C4237">
        <w:rPr>
          <w:rStyle w:val="CharPartNo"/>
        </w:rPr>
        <w:t>19</w:t>
      </w:r>
      <w:r w:rsidRPr="006E709F">
        <w:t>—</w:t>
      </w:r>
      <w:r w:rsidR="00F011D7" w:rsidRPr="000C4237">
        <w:rPr>
          <w:rStyle w:val="CharPartText"/>
        </w:rPr>
        <w:t>Modifications for carbon units, Australian carbon credit units and eligible international emissions units</w:t>
      </w:r>
      <w:bookmarkEnd w:id="129"/>
    </w:p>
    <w:p w:rsidR="00F011D7" w:rsidRPr="006E709F" w:rsidRDefault="00A801D0" w:rsidP="00F011D7">
      <w:pPr>
        <w:pStyle w:val="Header"/>
      </w:pPr>
      <w:r w:rsidRPr="000C4237">
        <w:rPr>
          <w:rStyle w:val="CharDivNo"/>
        </w:rPr>
        <w:t xml:space="preserve"> </w:t>
      </w:r>
      <w:r w:rsidRPr="000C4237">
        <w:rPr>
          <w:rStyle w:val="CharDivText"/>
        </w:rPr>
        <w:t xml:space="preserve"> </w:t>
      </w:r>
    </w:p>
    <w:p w:rsidR="00F011D7" w:rsidRPr="006E709F" w:rsidRDefault="00F011D7" w:rsidP="003C672B">
      <w:pPr>
        <w:pStyle w:val="ItemHead"/>
      </w:pPr>
      <w:r w:rsidRPr="006E709F">
        <w:t>19.1</w:t>
      </w:r>
      <w:r w:rsidR="000577C6" w:rsidRPr="006E709F">
        <w:t xml:space="preserve">  </w:t>
      </w:r>
      <w:r w:rsidRPr="006E709F">
        <w:t>Subsections</w:t>
      </w:r>
      <w:r w:rsidR="00DA13DE" w:rsidRPr="006E709F">
        <w:t> </w:t>
      </w:r>
      <w:r w:rsidRPr="006E709F">
        <w:t>1012D(1) to (3), including the subheadings</w:t>
      </w:r>
    </w:p>
    <w:p w:rsidR="00A801D0" w:rsidRPr="006E709F" w:rsidRDefault="00A801D0" w:rsidP="00A801D0">
      <w:pPr>
        <w:pStyle w:val="Item"/>
        <w:rPr>
          <w:i/>
        </w:rPr>
      </w:pPr>
      <w:r w:rsidRPr="006E709F">
        <w:rPr>
          <w:i/>
        </w:rPr>
        <w:t>substitute</w:t>
      </w:r>
    </w:p>
    <w:p w:rsidR="00F011D7" w:rsidRPr="006E709F" w:rsidRDefault="00F011D7" w:rsidP="00F011D7">
      <w:pPr>
        <w:pStyle w:val="SubsectionHead"/>
        <w:rPr>
          <w:iCs/>
          <w:szCs w:val="22"/>
        </w:rPr>
      </w:pPr>
      <w:r w:rsidRPr="006E709F">
        <w:t>Recommendation, issue or sale situation for carbon unit—statements on Clean Energy Regulator’s website</w:t>
      </w:r>
    </w:p>
    <w:p w:rsidR="00F011D7" w:rsidRPr="006E709F" w:rsidRDefault="00F011D7" w:rsidP="00F011D7">
      <w:pPr>
        <w:pStyle w:val="subsection"/>
      </w:pPr>
      <w:r w:rsidRPr="006E709F">
        <w:tab/>
        <w:t>(1)</w:t>
      </w:r>
      <w:r w:rsidRPr="006E709F">
        <w:tab/>
        <w:t xml:space="preserve">Subject to </w:t>
      </w:r>
      <w:r w:rsidR="00DA13DE" w:rsidRPr="006E709F">
        <w:t>subsections (</w:t>
      </w:r>
      <w:r w:rsidRPr="006E709F">
        <w:t>2) and (3), in a recommendation situation, issue situation or sale situation for a carbon unit, the regulated person:</w:t>
      </w:r>
    </w:p>
    <w:p w:rsidR="00F011D7" w:rsidRPr="006E709F" w:rsidRDefault="00F011D7" w:rsidP="00F011D7">
      <w:pPr>
        <w:pStyle w:val="paragraph"/>
      </w:pPr>
      <w:r w:rsidRPr="006E709F">
        <w:tab/>
        <w:t>(a)</w:t>
      </w:r>
      <w:r w:rsidRPr="006E709F">
        <w:tab/>
        <w:t>does not have to give the client a Product Disclosure Statement; and</w:t>
      </w:r>
    </w:p>
    <w:p w:rsidR="00F011D7" w:rsidRPr="006E709F" w:rsidRDefault="00F011D7" w:rsidP="00F011D7">
      <w:pPr>
        <w:pStyle w:val="paragraph"/>
      </w:pPr>
      <w:r w:rsidRPr="006E709F">
        <w:tab/>
        <w:t>(b)</w:t>
      </w:r>
      <w:r w:rsidRPr="006E709F">
        <w:tab/>
        <w:t>must inform the client that the client should consider each statement about the carbon unit that is mentioned in section</w:t>
      </w:r>
      <w:r w:rsidR="00DA13DE" w:rsidRPr="006E709F">
        <w:t> </w:t>
      </w:r>
      <w:r w:rsidRPr="006E709F">
        <w:t xml:space="preserve">202 of the </w:t>
      </w:r>
      <w:r w:rsidRPr="006E709F">
        <w:rPr>
          <w:i/>
        </w:rPr>
        <w:t>Clean Energy Act 2011</w:t>
      </w:r>
      <w:r w:rsidRPr="006E709F">
        <w:t>.</w:t>
      </w:r>
    </w:p>
    <w:p w:rsidR="00F011D7" w:rsidRPr="006E709F" w:rsidRDefault="00F011D7" w:rsidP="00F011D7">
      <w:pPr>
        <w:pStyle w:val="SubsectionHead"/>
      </w:pPr>
      <w:r w:rsidRPr="006E709F">
        <w:t>Recommendation, issue or sale situation for carbon unit—client has considered statements on Clean Energy Regulator’s website</w:t>
      </w:r>
    </w:p>
    <w:p w:rsidR="00F011D7" w:rsidRPr="006E709F" w:rsidRDefault="00F011D7" w:rsidP="00F011D7">
      <w:pPr>
        <w:pStyle w:val="subsection"/>
      </w:pPr>
      <w:r w:rsidRPr="006E709F">
        <w:tab/>
        <w:t>(2)</w:t>
      </w:r>
      <w:r w:rsidRPr="006E709F">
        <w:tab/>
        <w:t xml:space="preserve">In a recommendation situation, issue situation or sale situation for a carbon unit, the regulated person does not have to inform the client as described in </w:t>
      </w:r>
      <w:r w:rsidR="00DA13DE" w:rsidRPr="006E709F">
        <w:t>paragraph (</w:t>
      </w:r>
      <w:r w:rsidRPr="006E709F">
        <w:t>1)(b) if the regulated person believes, on reasonable grounds, that the client has already considered each statement about the carbon unit that is published on the website of the Clean Energy Regulator as mentioned in section</w:t>
      </w:r>
      <w:r w:rsidR="00DA13DE" w:rsidRPr="006E709F">
        <w:t> </w:t>
      </w:r>
      <w:r w:rsidRPr="006E709F">
        <w:t xml:space="preserve">202 of the </w:t>
      </w:r>
      <w:r w:rsidRPr="006E709F">
        <w:rPr>
          <w:i/>
        </w:rPr>
        <w:t>Clean Energy Act 2011</w:t>
      </w:r>
      <w:r w:rsidRPr="006E709F">
        <w:t>.</w:t>
      </w:r>
    </w:p>
    <w:p w:rsidR="00F011D7" w:rsidRPr="006E709F" w:rsidRDefault="00F011D7" w:rsidP="00F011D7">
      <w:pPr>
        <w:pStyle w:val="SubsectionHead"/>
        <w:rPr>
          <w:iCs/>
          <w:szCs w:val="22"/>
        </w:rPr>
      </w:pPr>
      <w:r w:rsidRPr="006E709F">
        <w:t>Recommendation, issue or sale situation for carbon unit—specified persons</w:t>
      </w:r>
    </w:p>
    <w:p w:rsidR="00F011D7" w:rsidRPr="006E709F" w:rsidRDefault="00F011D7" w:rsidP="00F011D7">
      <w:pPr>
        <w:pStyle w:val="subsection"/>
      </w:pPr>
      <w:r w:rsidRPr="006E709F">
        <w:tab/>
        <w:t>(3)</w:t>
      </w:r>
      <w:r w:rsidRPr="006E709F">
        <w:tab/>
        <w:t xml:space="preserve">In a recommendation situation, issue situation or sale situation for a carbon unit, the regulated person does not have to inform the client as described in </w:t>
      </w:r>
      <w:r w:rsidR="00DA13DE" w:rsidRPr="006E709F">
        <w:t>paragraph (</w:t>
      </w:r>
      <w:r w:rsidRPr="006E709F">
        <w:t>1)(b) if the person is:</w:t>
      </w:r>
    </w:p>
    <w:p w:rsidR="00F011D7" w:rsidRPr="006E709F" w:rsidRDefault="00F011D7" w:rsidP="00F011D7">
      <w:pPr>
        <w:pStyle w:val="paragraph"/>
      </w:pPr>
      <w:r w:rsidRPr="006E709F">
        <w:tab/>
        <w:t>(a)</w:t>
      </w:r>
      <w:r w:rsidRPr="006E709F">
        <w:tab/>
        <w:t>the Clean Energy Regulator; or</w:t>
      </w:r>
    </w:p>
    <w:p w:rsidR="00F011D7" w:rsidRPr="006E709F" w:rsidRDefault="00F011D7" w:rsidP="00F011D7">
      <w:pPr>
        <w:pStyle w:val="paragraph"/>
      </w:pPr>
      <w:r w:rsidRPr="006E709F">
        <w:tab/>
        <w:t>(b)</w:t>
      </w:r>
      <w:r w:rsidRPr="006E709F">
        <w:tab/>
        <w:t>the Clean Development Mechanism Executive Board; or</w:t>
      </w:r>
    </w:p>
    <w:p w:rsidR="00F011D7" w:rsidRPr="006E709F" w:rsidRDefault="00F011D7" w:rsidP="00F011D7">
      <w:pPr>
        <w:pStyle w:val="paragraph"/>
      </w:pPr>
      <w:r w:rsidRPr="006E709F">
        <w:tab/>
        <w:t>(c)</w:t>
      </w:r>
      <w:r w:rsidRPr="006E709F">
        <w:tab/>
        <w:t>the government of a country other than Australia; or</w:t>
      </w:r>
    </w:p>
    <w:p w:rsidR="00F011D7" w:rsidRPr="006E709F" w:rsidRDefault="00F011D7" w:rsidP="00F011D7">
      <w:pPr>
        <w:pStyle w:val="paragraph"/>
      </w:pPr>
      <w:r w:rsidRPr="006E709F">
        <w:tab/>
        <w:t>(d)</w:t>
      </w:r>
      <w:r w:rsidRPr="006E709F">
        <w:tab/>
        <w:t>an authority acting on behalf of the government of a country other than Australia.</w:t>
      </w:r>
    </w:p>
    <w:p w:rsidR="00F011D7" w:rsidRPr="006E709F" w:rsidRDefault="00F011D7" w:rsidP="00F011D7">
      <w:pPr>
        <w:pStyle w:val="SubsectionHead"/>
        <w:rPr>
          <w:iCs/>
          <w:szCs w:val="22"/>
        </w:rPr>
      </w:pPr>
      <w:r w:rsidRPr="006E709F">
        <w:t>Recommendation, issue or sale situation for Australian carbon credit unit—statements on Clean Energy Regulator’s website</w:t>
      </w:r>
    </w:p>
    <w:p w:rsidR="00F011D7" w:rsidRPr="006E709F" w:rsidRDefault="00F011D7" w:rsidP="00F011D7">
      <w:pPr>
        <w:pStyle w:val="subsection"/>
      </w:pPr>
      <w:r w:rsidRPr="006E709F">
        <w:tab/>
        <w:t>(3A)</w:t>
      </w:r>
      <w:r w:rsidRPr="006E709F">
        <w:tab/>
        <w:t xml:space="preserve">Subject to </w:t>
      </w:r>
      <w:r w:rsidR="00DA13DE" w:rsidRPr="006E709F">
        <w:t>subsections (</w:t>
      </w:r>
      <w:r w:rsidRPr="006E709F">
        <w:t>3B) and (3C), in a recommendation situation, issue situation or sale situation for an Australian carbon credit unit, the regulated person:</w:t>
      </w:r>
    </w:p>
    <w:p w:rsidR="00F011D7" w:rsidRPr="006E709F" w:rsidRDefault="00F011D7" w:rsidP="00F011D7">
      <w:pPr>
        <w:pStyle w:val="paragraph"/>
      </w:pPr>
      <w:r w:rsidRPr="006E709F">
        <w:tab/>
        <w:t>(a)</w:t>
      </w:r>
      <w:r w:rsidRPr="006E709F">
        <w:tab/>
        <w:t>does not have to give the client a Product Disclosure Statement; and</w:t>
      </w:r>
    </w:p>
    <w:p w:rsidR="00F011D7" w:rsidRPr="006E709F" w:rsidRDefault="00F011D7" w:rsidP="00F011D7">
      <w:pPr>
        <w:pStyle w:val="paragraph"/>
      </w:pPr>
      <w:r w:rsidRPr="006E709F">
        <w:lastRenderedPageBreak/>
        <w:tab/>
        <w:t>(b)</w:t>
      </w:r>
      <w:r w:rsidRPr="006E709F">
        <w:tab/>
        <w:t>must inform the client that the client should consider each statement about the Australian carbon credit unit that is mentioned in section</w:t>
      </w:r>
      <w:r w:rsidR="00DA13DE" w:rsidRPr="006E709F">
        <w:t> </w:t>
      </w:r>
      <w:r w:rsidRPr="006E709F">
        <w:t xml:space="preserve">162 of the </w:t>
      </w:r>
      <w:r w:rsidRPr="006E709F">
        <w:rPr>
          <w:i/>
        </w:rPr>
        <w:t>Carbon Credits (Carbon Farming Initiative) Act 2011</w:t>
      </w:r>
      <w:r w:rsidRPr="006E709F">
        <w:t>.</w:t>
      </w:r>
    </w:p>
    <w:p w:rsidR="00F011D7" w:rsidRPr="006E709F" w:rsidRDefault="00F011D7" w:rsidP="00F011D7">
      <w:pPr>
        <w:pStyle w:val="SubsectionHead"/>
      </w:pPr>
      <w:r w:rsidRPr="006E709F">
        <w:t>Recommendation, issue or sale situation for Australian carbon credit unit—client has considered statements on Clean Energy Regulator’s website</w:t>
      </w:r>
    </w:p>
    <w:p w:rsidR="00F011D7" w:rsidRPr="006E709F" w:rsidRDefault="00F011D7" w:rsidP="00F011D7">
      <w:pPr>
        <w:pStyle w:val="subsection"/>
      </w:pPr>
      <w:r w:rsidRPr="006E709F">
        <w:tab/>
        <w:t>(3B)</w:t>
      </w:r>
      <w:r w:rsidRPr="006E709F">
        <w:tab/>
        <w:t xml:space="preserve">In a recommendation situation, issue situation or sale situation for an Australian carbon credit unit, the regulated person does not have to inform the client as described in </w:t>
      </w:r>
      <w:r w:rsidR="00DA13DE" w:rsidRPr="006E709F">
        <w:t>paragraph (</w:t>
      </w:r>
      <w:r w:rsidRPr="006E709F">
        <w:t>3A)(b) if the regulated person believes, on reasonable grounds, that the client has already considered each statement about the Australian carbon credit unit that is published on the website of the Clean Energy Regulator as mentioned in section</w:t>
      </w:r>
      <w:r w:rsidR="00DA13DE" w:rsidRPr="006E709F">
        <w:t> </w:t>
      </w:r>
      <w:r w:rsidRPr="006E709F">
        <w:t xml:space="preserve">162 of the </w:t>
      </w:r>
      <w:r w:rsidRPr="006E709F">
        <w:rPr>
          <w:i/>
        </w:rPr>
        <w:t>Carbon Credits (Carbon Farming Initiative) Act 2011</w:t>
      </w:r>
      <w:r w:rsidRPr="006E709F">
        <w:t>.</w:t>
      </w:r>
    </w:p>
    <w:p w:rsidR="00F011D7" w:rsidRPr="006E709F" w:rsidRDefault="00F011D7" w:rsidP="00F011D7">
      <w:pPr>
        <w:pStyle w:val="SubsectionHead"/>
        <w:rPr>
          <w:iCs/>
          <w:szCs w:val="22"/>
        </w:rPr>
      </w:pPr>
      <w:r w:rsidRPr="006E709F">
        <w:t>Recommendation, issue or sale situation for Australian carbon credit unit—specified persons</w:t>
      </w:r>
    </w:p>
    <w:p w:rsidR="00F011D7" w:rsidRPr="006E709F" w:rsidRDefault="00F011D7" w:rsidP="00F011D7">
      <w:pPr>
        <w:pStyle w:val="subsection"/>
      </w:pPr>
      <w:r w:rsidRPr="006E709F">
        <w:tab/>
        <w:t>(3C)</w:t>
      </w:r>
      <w:r w:rsidRPr="006E709F">
        <w:tab/>
        <w:t xml:space="preserve">In a recommendation situation, issue situation or sale situation for an Australian carbon credit unit, the regulated person does not have to inform the client as described in </w:t>
      </w:r>
      <w:r w:rsidR="00DA13DE" w:rsidRPr="006E709F">
        <w:t>paragraph (</w:t>
      </w:r>
      <w:r w:rsidRPr="006E709F">
        <w:t>3A)(b) if the person is:</w:t>
      </w:r>
    </w:p>
    <w:p w:rsidR="00F011D7" w:rsidRPr="006E709F" w:rsidRDefault="00F011D7" w:rsidP="00F011D7">
      <w:pPr>
        <w:pStyle w:val="paragraph"/>
      </w:pPr>
      <w:r w:rsidRPr="006E709F">
        <w:tab/>
        <w:t>(a)</w:t>
      </w:r>
      <w:r w:rsidRPr="006E709F">
        <w:tab/>
        <w:t>the Clean Energy Regulator; or</w:t>
      </w:r>
    </w:p>
    <w:p w:rsidR="00F011D7" w:rsidRPr="006E709F" w:rsidRDefault="00F011D7" w:rsidP="00F011D7">
      <w:pPr>
        <w:pStyle w:val="paragraph"/>
      </w:pPr>
      <w:r w:rsidRPr="006E709F">
        <w:tab/>
        <w:t>(b)</w:t>
      </w:r>
      <w:r w:rsidRPr="006E709F">
        <w:tab/>
        <w:t>the Clean Development Mechanism Executive Board; or</w:t>
      </w:r>
    </w:p>
    <w:p w:rsidR="00F011D7" w:rsidRPr="006E709F" w:rsidRDefault="00F011D7" w:rsidP="00F011D7">
      <w:pPr>
        <w:pStyle w:val="paragraph"/>
      </w:pPr>
      <w:r w:rsidRPr="006E709F">
        <w:tab/>
        <w:t>(c)</w:t>
      </w:r>
      <w:r w:rsidRPr="006E709F">
        <w:tab/>
        <w:t>the government of a country other than Australia; or</w:t>
      </w:r>
    </w:p>
    <w:p w:rsidR="00F011D7" w:rsidRPr="006E709F" w:rsidRDefault="00F011D7" w:rsidP="00F011D7">
      <w:pPr>
        <w:pStyle w:val="paragraph"/>
      </w:pPr>
      <w:r w:rsidRPr="006E709F">
        <w:tab/>
        <w:t>(d)</w:t>
      </w:r>
      <w:r w:rsidRPr="006E709F">
        <w:tab/>
        <w:t>an authority acting on behalf of the government of a country other than Australia.</w:t>
      </w:r>
    </w:p>
    <w:p w:rsidR="00F011D7" w:rsidRPr="006E709F" w:rsidRDefault="00F011D7" w:rsidP="00F011D7">
      <w:pPr>
        <w:pStyle w:val="SubsectionHead"/>
        <w:rPr>
          <w:iCs/>
          <w:szCs w:val="22"/>
        </w:rPr>
      </w:pPr>
      <w:r w:rsidRPr="006E709F">
        <w:t>Recommendation, issue or sale situation for eligible international emissions unit—statements on Clean Energy Regulator’s website</w:t>
      </w:r>
    </w:p>
    <w:p w:rsidR="00F011D7" w:rsidRPr="006E709F" w:rsidRDefault="00F011D7" w:rsidP="00F011D7">
      <w:pPr>
        <w:pStyle w:val="subsection"/>
        <w:keepNext/>
      </w:pPr>
      <w:r w:rsidRPr="006E709F">
        <w:tab/>
        <w:t>(3D)</w:t>
      </w:r>
      <w:r w:rsidRPr="006E709F">
        <w:tab/>
        <w:t xml:space="preserve">Subject to </w:t>
      </w:r>
      <w:r w:rsidR="00DA13DE" w:rsidRPr="006E709F">
        <w:t>subsections (</w:t>
      </w:r>
      <w:r w:rsidRPr="006E709F">
        <w:t>3E) and (3F), in a recommendation situation, issue situation or sale situation for an eligible international emissions unit, the regulated person:</w:t>
      </w:r>
    </w:p>
    <w:p w:rsidR="00F011D7" w:rsidRPr="006E709F" w:rsidRDefault="00F011D7" w:rsidP="00F011D7">
      <w:pPr>
        <w:pStyle w:val="paragraph"/>
      </w:pPr>
      <w:r w:rsidRPr="006E709F">
        <w:tab/>
        <w:t>(a)</w:t>
      </w:r>
      <w:r w:rsidRPr="006E709F">
        <w:tab/>
        <w:t>does not have to give the client a Product Disclosure Statement; and</w:t>
      </w:r>
    </w:p>
    <w:p w:rsidR="00F011D7" w:rsidRPr="006E709F" w:rsidRDefault="00F011D7" w:rsidP="00F011D7">
      <w:pPr>
        <w:pStyle w:val="paragraph"/>
      </w:pPr>
      <w:r w:rsidRPr="006E709F">
        <w:tab/>
        <w:t>(b)</w:t>
      </w:r>
      <w:r w:rsidRPr="006E709F">
        <w:tab/>
        <w:t>must inform the client that the client should consider each statement about the eligible international emissions unit that is mentioned in section</w:t>
      </w:r>
      <w:r w:rsidR="00DA13DE" w:rsidRPr="006E709F">
        <w:t> </w:t>
      </w:r>
      <w:r w:rsidRPr="006E709F">
        <w:t xml:space="preserve">61 of the </w:t>
      </w:r>
      <w:r w:rsidRPr="006E709F">
        <w:rPr>
          <w:i/>
        </w:rPr>
        <w:t>Australian National Registry of Emissions Units Act 2011</w:t>
      </w:r>
      <w:r w:rsidRPr="006E709F">
        <w:t>.</w:t>
      </w:r>
    </w:p>
    <w:p w:rsidR="00F011D7" w:rsidRPr="006E709F" w:rsidRDefault="00F011D7" w:rsidP="00F011D7">
      <w:pPr>
        <w:pStyle w:val="SubsectionHead"/>
      </w:pPr>
      <w:r w:rsidRPr="006E709F">
        <w:t>Recommendation, issue or sale situation for eligible international emissions unit—client has considered statements on Clean Energy Regulator’s website</w:t>
      </w:r>
    </w:p>
    <w:p w:rsidR="00F011D7" w:rsidRPr="006E709F" w:rsidRDefault="00F011D7" w:rsidP="00F011D7">
      <w:pPr>
        <w:pStyle w:val="subsection"/>
      </w:pPr>
      <w:r w:rsidRPr="006E709F">
        <w:tab/>
        <w:t>(3E)</w:t>
      </w:r>
      <w:r w:rsidRPr="006E709F">
        <w:tab/>
        <w:t xml:space="preserve">In a recommendation situation, issue situation or sale situation for an eligible international emissions unit, the regulated person does not have to inform the client as described in </w:t>
      </w:r>
      <w:r w:rsidR="00DA13DE" w:rsidRPr="006E709F">
        <w:t>paragraph (</w:t>
      </w:r>
      <w:r w:rsidRPr="006E709F">
        <w:t>3D)(b) if the regulated person believes, on reasonable grounds, that the client has already considered each statement about the eligible international emissions unit that is published on the website of the Clean Energy Regulator as mentioned in section</w:t>
      </w:r>
      <w:r w:rsidR="00DA13DE" w:rsidRPr="006E709F">
        <w:t> </w:t>
      </w:r>
      <w:r w:rsidRPr="006E709F">
        <w:t xml:space="preserve">61 of the </w:t>
      </w:r>
      <w:r w:rsidRPr="006E709F">
        <w:rPr>
          <w:i/>
        </w:rPr>
        <w:t>Australian National Registry of Emissions Units Act 2011</w:t>
      </w:r>
      <w:r w:rsidRPr="006E709F">
        <w:t>.</w:t>
      </w:r>
    </w:p>
    <w:p w:rsidR="00F011D7" w:rsidRPr="006E709F" w:rsidRDefault="00F011D7" w:rsidP="00F011D7">
      <w:pPr>
        <w:pStyle w:val="SubsectionHead"/>
        <w:rPr>
          <w:iCs/>
          <w:szCs w:val="22"/>
        </w:rPr>
      </w:pPr>
      <w:r w:rsidRPr="006E709F">
        <w:lastRenderedPageBreak/>
        <w:t>Recommendation, issue or sale situation for eligible international emissions unit—specified persons</w:t>
      </w:r>
    </w:p>
    <w:p w:rsidR="00F011D7" w:rsidRPr="006E709F" w:rsidRDefault="00F011D7" w:rsidP="00F011D7">
      <w:pPr>
        <w:pStyle w:val="subsection"/>
      </w:pPr>
      <w:r w:rsidRPr="006E709F">
        <w:tab/>
        <w:t>(3F)</w:t>
      </w:r>
      <w:r w:rsidRPr="006E709F">
        <w:tab/>
        <w:t xml:space="preserve">In a recommendation situation, issue situation or sale situation for an eligible international emissions unit, the regulated person does not have to inform the client as described in </w:t>
      </w:r>
      <w:r w:rsidR="00DA13DE" w:rsidRPr="006E709F">
        <w:t>paragraph (</w:t>
      </w:r>
      <w:r w:rsidRPr="006E709F">
        <w:t>3D)(b) if the person is:</w:t>
      </w:r>
    </w:p>
    <w:p w:rsidR="00F011D7" w:rsidRPr="006E709F" w:rsidRDefault="00F011D7" w:rsidP="00F011D7">
      <w:pPr>
        <w:pStyle w:val="paragraph"/>
      </w:pPr>
      <w:r w:rsidRPr="006E709F">
        <w:tab/>
        <w:t>(a)</w:t>
      </w:r>
      <w:r w:rsidRPr="006E709F">
        <w:tab/>
        <w:t>the Clean Energy Regulator; or</w:t>
      </w:r>
    </w:p>
    <w:p w:rsidR="00F011D7" w:rsidRPr="006E709F" w:rsidRDefault="00F011D7" w:rsidP="00F011D7">
      <w:pPr>
        <w:pStyle w:val="paragraph"/>
      </w:pPr>
      <w:r w:rsidRPr="006E709F">
        <w:tab/>
        <w:t>(b)</w:t>
      </w:r>
      <w:r w:rsidRPr="006E709F">
        <w:tab/>
        <w:t>the Clean Development Mechanism Executive Board; or</w:t>
      </w:r>
    </w:p>
    <w:p w:rsidR="00F011D7" w:rsidRPr="006E709F" w:rsidRDefault="00F011D7" w:rsidP="00F011D7">
      <w:pPr>
        <w:pStyle w:val="paragraph"/>
      </w:pPr>
      <w:r w:rsidRPr="006E709F">
        <w:tab/>
        <w:t>(c)</w:t>
      </w:r>
      <w:r w:rsidRPr="006E709F">
        <w:tab/>
        <w:t>the government of a country other than Australia; or</w:t>
      </w:r>
    </w:p>
    <w:p w:rsidR="00F011D7" w:rsidRPr="006E709F" w:rsidRDefault="00F011D7" w:rsidP="00F011D7">
      <w:pPr>
        <w:pStyle w:val="paragraph"/>
      </w:pPr>
      <w:r w:rsidRPr="006E709F">
        <w:tab/>
        <w:t>(d)</w:t>
      </w:r>
      <w:r w:rsidRPr="006E709F">
        <w:tab/>
        <w:t>an authority acting on behalf of the government of a country other than Australia.</w:t>
      </w:r>
    </w:p>
    <w:p w:rsidR="00F011D7" w:rsidRPr="006E709F" w:rsidRDefault="000577C6" w:rsidP="003C672B">
      <w:pPr>
        <w:pStyle w:val="ItemHead"/>
      </w:pPr>
      <w:r w:rsidRPr="006E709F">
        <w:t xml:space="preserve">19.2  </w:t>
      </w:r>
      <w:r w:rsidR="00F011D7" w:rsidRPr="006E709F">
        <w:t>Subsection</w:t>
      </w:r>
      <w:r w:rsidR="00DA13DE" w:rsidRPr="006E709F">
        <w:t> </w:t>
      </w:r>
      <w:r w:rsidR="00F011D7" w:rsidRPr="006E709F">
        <w:t>1012D(5)</w:t>
      </w:r>
    </w:p>
    <w:p w:rsidR="00A801D0" w:rsidRPr="006E709F" w:rsidRDefault="00A801D0" w:rsidP="00A801D0">
      <w:pPr>
        <w:pStyle w:val="Item"/>
        <w:rPr>
          <w:i/>
        </w:rPr>
      </w:pPr>
      <w:r w:rsidRPr="006E709F">
        <w:rPr>
          <w:i/>
        </w:rPr>
        <w:t>omit</w:t>
      </w:r>
    </w:p>
    <w:p w:rsidR="00F011D7" w:rsidRPr="006E709F" w:rsidRDefault="00F011D7" w:rsidP="00A801D0">
      <w:pPr>
        <w:pStyle w:val="Item"/>
      </w:pPr>
      <w:r w:rsidRPr="006E709F">
        <w:t>give the client a Product Disclosure Statement</w:t>
      </w:r>
    </w:p>
    <w:p w:rsidR="00A801D0" w:rsidRPr="006E709F" w:rsidRDefault="00A801D0" w:rsidP="00A801D0">
      <w:pPr>
        <w:pStyle w:val="Item"/>
        <w:rPr>
          <w:i/>
        </w:rPr>
      </w:pPr>
      <w:r w:rsidRPr="006E709F">
        <w:rPr>
          <w:i/>
        </w:rPr>
        <w:t>insert</w:t>
      </w:r>
    </w:p>
    <w:p w:rsidR="00F011D7" w:rsidRPr="006E709F" w:rsidRDefault="00F011D7" w:rsidP="00A801D0">
      <w:pPr>
        <w:pStyle w:val="Item"/>
      </w:pPr>
      <w:r w:rsidRPr="006E709F">
        <w:t xml:space="preserve">inform the client as described in </w:t>
      </w:r>
      <w:r w:rsidR="00DA13DE" w:rsidRPr="006E709F">
        <w:t>paragraph (</w:t>
      </w:r>
      <w:r w:rsidRPr="006E709F">
        <w:t>1)(b), (3A)(b) or</w:t>
      </w:r>
      <w:r w:rsidR="00E376FA" w:rsidRPr="006E709F">
        <w:t xml:space="preserve"> </w:t>
      </w:r>
      <w:r w:rsidRPr="006E709F">
        <w:t>(3D)(b)</w:t>
      </w:r>
    </w:p>
    <w:p w:rsidR="00F011D7" w:rsidRPr="006E709F" w:rsidRDefault="000577C6" w:rsidP="003C672B">
      <w:pPr>
        <w:pStyle w:val="ItemHead"/>
      </w:pPr>
      <w:r w:rsidRPr="006E709F">
        <w:t xml:space="preserve">19.3  </w:t>
      </w:r>
      <w:r w:rsidR="00F011D7" w:rsidRPr="006E709F">
        <w:t>Subsection</w:t>
      </w:r>
      <w:r w:rsidR="00DA13DE" w:rsidRPr="006E709F">
        <w:t> </w:t>
      </w:r>
      <w:r w:rsidR="00F011D7" w:rsidRPr="006E709F">
        <w:t>1012D(6)</w:t>
      </w:r>
    </w:p>
    <w:p w:rsidR="00A801D0" w:rsidRPr="006E709F" w:rsidRDefault="00A801D0" w:rsidP="00A801D0">
      <w:pPr>
        <w:pStyle w:val="Item"/>
        <w:rPr>
          <w:i/>
        </w:rPr>
      </w:pPr>
      <w:r w:rsidRPr="006E709F">
        <w:rPr>
          <w:i/>
        </w:rPr>
        <w:t>omit</w:t>
      </w:r>
    </w:p>
    <w:p w:rsidR="00F011D7" w:rsidRPr="006E709F" w:rsidRDefault="00F011D7" w:rsidP="00A801D0">
      <w:pPr>
        <w:pStyle w:val="Item"/>
      </w:pPr>
      <w:r w:rsidRPr="006E709F">
        <w:t>give the client a Product Disclosure Statement</w:t>
      </w:r>
    </w:p>
    <w:p w:rsidR="00A801D0" w:rsidRPr="006E709F" w:rsidRDefault="00A801D0" w:rsidP="00A801D0">
      <w:pPr>
        <w:pStyle w:val="Item"/>
        <w:rPr>
          <w:i/>
        </w:rPr>
      </w:pPr>
      <w:r w:rsidRPr="006E709F">
        <w:rPr>
          <w:i/>
        </w:rPr>
        <w:t>insert</w:t>
      </w:r>
    </w:p>
    <w:p w:rsidR="00F011D7" w:rsidRPr="006E709F" w:rsidRDefault="00F011D7" w:rsidP="00A801D0">
      <w:pPr>
        <w:pStyle w:val="Item"/>
      </w:pPr>
      <w:r w:rsidRPr="006E709F">
        <w:t xml:space="preserve">inform the client as described in </w:t>
      </w:r>
      <w:r w:rsidR="00DA13DE" w:rsidRPr="006E709F">
        <w:t>paragraph (</w:t>
      </w:r>
      <w:r w:rsidRPr="006E709F">
        <w:t>1)(b), (3A)(b) or</w:t>
      </w:r>
      <w:r w:rsidR="00E376FA" w:rsidRPr="006E709F">
        <w:t xml:space="preserve"> </w:t>
      </w:r>
      <w:r w:rsidRPr="006E709F">
        <w:t>(3D)(b)</w:t>
      </w:r>
    </w:p>
    <w:p w:rsidR="00F011D7" w:rsidRPr="006E709F" w:rsidRDefault="000577C6" w:rsidP="003C672B">
      <w:pPr>
        <w:pStyle w:val="ItemHead"/>
      </w:pPr>
      <w:r w:rsidRPr="006E709F">
        <w:t xml:space="preserve">19.4  </w:t>
      </w:r>
      <w:r w:rsidR="00F011D7" w:rsidRPr="006E709F">
        <w:t>Subsections</w:t>
      </w:r>
      <w:r w:rsidR="00DA13DE" w:rsidRPr="006E709F">
        <w:t> </w:t>
      </w:r>
      <w:r w:rsidR="00F011D7" w:rsidRPr="006E709F">
        <w:t>1012D(7) to (10), including the subheading</w:t>
      </w:r>
    </w:p>
    <w:p w:rsidR="00A801D0" w:rsidRPr="006E709F" w:rsidRDefault="00A801D0" w:rsidP="00A801D0">
      <w:pPr>
        <w:pStyle w:val="Item"/>
        <w:rPr>
          <w:i/>
        </w:rPr>
      </w:pPr>
      <w:r w:rsidRPr="006E709F">
        <w:rPr>
          <w:i/>
        </w:rPr>
        <w:t>omit</w:t>
      </w:r>
    </w:p>
    <w:p w:rsidR="00F011D7" w:rsidRPr="006E709F" w:rsidRDefault="000577C6" w:rsidP="003C672B">
      <w:pPr>
        <w:pStyle w:val="ItemHead"/>
      </w:pPr>
      <w:r w:rsidRPr="006E709F">
        <w:t xml:space="preserve">19.5  </w:t>
      </w:r>
      <w:r w:rsidR="00F011D7" w:rsidRPr="006E709F">
        <w:t>Subsection</w:t>
      </w:r>
      <w:r w:rsidR="00DA13DE" w:rsidRPr="006E709F">
        <w:t> </w:t>
      </w:r>
      <w:r w:rsidR="00F011D7" w:rsidRPr="006E709F">
        <w:t xml:space="preserve">1012IA(1), definition of </w:t>
      </w:r>
      <w:r w:rsidR="00F011D7" w:rsidRPr="006E709F">
        <w:rPr>
          <w:i/>
        </w:rPr>
        <w:t>regulated acquisition</w:t>
      </w:r>
    </w:p>
    <w:p w:rsidR="00A801D0" w:rsidRPr="006E709F" w:rsidRDefault="00A801D0" w:rsidP="00A801D0">
      <w:pPr>
        <w:pStyle w:val="Item"/>
        <w:rPr>
          <w:i/>
        </w:rPr>
      </w:pPr>
      <w:r w:rsidRPr="006E709F">
        <w:rPr>
          <w:i/>
        </w:rPr>
        <w:t>substitute</w:t>
      </w:r>
    </w:p>
    <w:p w:rsidR="00F011D7" w:rsidRPr="006E709F" w:rsidRDefault="00F011D7" w:rsidP="00F011D7">
      <w:pPr>
        <w:pStyle w:val="Definition"/>
      </w:pPr>
      <w:r w:rsidRPr="006E709F">
        <w:rPr>
          <w:b/>
          <w:i/>
        </w:rPr>
        <w:t xml:space="preserve">regulated acquisition </w:t>
      </w:r>
      <w:r w:rsidRPr="006E709F">
        <w:t>means an acquisition of a financial product pursuant to an instruction by the client under a custodial arrangement, being an acquisition:</w:t>
      </w:r>
    </w:p>
    <w:p w:rsidR="00F011D7" w:rsidRPr="006E709F" w:rsidRDefault="00F011D7" w:rsidP="00F011D7">
      <w:pPr>
        <w:pStyle w:val="paragraph"/>
      </w:pPr>
      <w:r w:rsidRPr="006E709F">
        <w:tab/>
        <w:t>(a)</w:t>
      </w:r>
      <w:r w:rsidRPr="006E709F">
        <w:tab/>
        <w:t xml:space="preserve">by way of issue by the issuer (the </w:t>
      </w:r>
      <w:r w:rsidRPr="006E709F">
        <w:rPr>
          <w:b/>
          <w:i/>
        </w:rPr>
        <w:t>regulated person</w:t>
      </w:r>
      <w:r w:rsidRPr="006E709F">
        <w:t>); or</w:t>
      </w:r>
    </w:p>
    <w:p w:rsidR="00F011D7" w:rsidRPr="006E709F" w:rsidRDefault="00F011D7" w:rsidP="00F011D7">
      <w:pPr>
        <w:pStyle w:val="paragraph"/>
      </w:pPr>
      <w:r w:rsidRPr="006E709F">
        <w:tab/>
        <w:t>(b)</w:t>
      </w:r>
      <w:r w:rsidRPr="006E709F">
        <w:tab/>
        <w:t xml:space="preserve">pursuant to a sale by a person (the </w:t>
      </w:r>
      <w:r w:rsidRPr="006E709F">
        <w:rPr>
          <w:b/>
          <w:i/>
        </w:rPr>
        <w:t>regulated person</w:t>
      </w:r>
      <w:r w:rsidRPr="006E709F">
        <w:t>) in circumstances:</w:t>
      </w:r>
    </w:p>
    <w:p w:rsidR="00F011D7" w:rsidRPr="006E709F" w:rsidRDefault="00F011D7" w:rsidP="00F011D7">
      <w:pPr>
        <w:pStyle w:val="paragraphsub"/>
      </w:pPr>
      <w:r w:rsidRPr="006E709F">
        <w:tab/>
        <w:t>(i)</w:t>
      </w:r>
      <w:r w:rsidRPr="006E709F">
        <w:tab/>
        <w:t>described in subsection</w:t>
      </w:r>
      <w:r w:rsidR="00DA13DE" w:rsidRPr="006E709F">
        <w:t> </w:t>
      </w:r>
      <w:r w:rsidRPr="006E709F">
        <w:t>1012</w:t>
      </w:r>
      <w:r w:rsidR="00C36BD7" w:rsidRPr="006E709F">
        <w:t>C</w:t>
      </w:r>
      <w:r w:rsidR="00E376FA" w:rsidRPr="006E709F">
        <w:t>(</w:t>
      </w:r>
      <w:r w:rsidRPr="006E709F">
        <w:t>5) or (8); or</w:t>
      </w:r>
    </w:p>
    <w:p w:rsidR="00F011D7" w:rsidRPr="006E709F" w:rsidRDefault="00F011D7" w:rsidP="00F011D7">
      <w:pPr>
        <w:pStyle w:val="paragraphsub"/>
      </w:pPr>
      <w:r w:rsidRPr="006E709F">
        <w:tab/>
        <w:t>(ii)</w:t>
      </w:r>
      <w:r w:rsidRPr="006E709F">
        <w:tab/>
        <w:t>to which subsection</w:t>
      </w:r>
      <w:r w:rsidR="00DA13DE" w:rsidRPr="006E709F">
        <w:t> </w:t>
      </w:r>
      <w:r w:rsidRPr="006E709F">
        <w:t>1012</w:t>
      </w:r>
      <w:r w:rsidR="00E376FA" w:rsidRPr="006E709F">
        <w:t>B(</w:t>
      </w:r>
      <w:r w:rsidRPr="006E709F">
        <w:t>3), 1012</w:t>
      </w:r>
      <w:r w:rsidR="00E376FA" w:rsidRPr="006E709F">
        <w:t>C(</w:t>
      </w:r>
      <w:r w:rsidRPr="006E709F">
        <w:t>3) or 1012</w:t>
      </w:r>
      <w:r w:rsidR="00E376FA" w:rsidRPr="006E709F">
        <w:t>C(</w:t>
      </w:r>
      <w:r w:rsidRPr="006E709F">
        <w:t>6) would apply if those subsections were applicable in relation to a carbon unit, an Australian carbon credit unit or an eligible international emissions unit.</w:t>
      </w:r>
    </w:p>
    <w:p w:rsidR="00F011D7" w:rsidRPr="006E709F" w:rsidRDefault="000577C6" w:rsidP="003C672B">
      <w:pPr>
        <w:pStyle w:val="ItemHead"/>
      </w:pPr>
      <w:r w:rsidRPr="006E709F">
        <w:t xml:space="preserve">19.6  </w:t>
      </w:r>
      <w:r w:rsidR="00F011D7" w:rsidRPr="006E709F">
        <w:t>Subsection</w:t>
      </w:r>
      <w:r w:rsidR="00DA13DE" w:rsidRPr="006E709F">
        <w:t> </w:t>
      </w:r>
      <w:r w:rsidR="00F011D7" w:rsidRPr="006E709F">
        <w:t>1012IA(2), subheading</w:t>
      </w:r>
    </w:p>
    <w:p w:rsidR="00A801D0" w:rsidRPr="006E709F" w:rsidRDefault="00A801D0" w:rsidP="00A801D0">
      <w:pPr>
        <w:pStyle w:val="Item"/>
        <w:rPr>
          <w:i/>
        </w:rPr>
      </w:pPr>
      <w:r w:rsidRPr="006E709F">
        <w:rPr>
          <w:i/>
        </w:rPr>
        <w:t>substitute</w:t>
      </w:r>
    </w:p>
    <w:p w:rsidR="00F011D7" w:rsidRPr="006E709F" w:rsidRDefault="00F011D7" w:rsidP="00F011D7">
      <w:pPr>
        <w:pStyle w:val="SubsectionHead"/>
      </w:pPr>
      <w:r w:rsidRPr="006E709F">
        <w:lastRenderedPageBreak/>
        <w:t>Obligation on provider to inform client about statements on Clean Energy Regulator’s website</w:t>
      </w:r>
    </w:p>
    <w:p w:rsidR="00F011D7" w:rsidRPr="006E709F" w:rsidRDefault="000577C6" w:rsidP="003C672B">
      <w:pPr>
        <w:pStyle w:val="ItemHead"/>
      </w:pPr>
      <w:r w:rsidRPr="006E709F">
        <w:t xml:space="preserve">19.7  </w:t>
      </w:r>
      <w:r w:rsidR="00F011D7" w:rsidRPr="006E709F">
        <w:t>Subsection</w:t>
      </w:r>
      <w:r w:rsidR="00DA13DE" w:rsidRPr="006E709F">
        <w:t> </w:t>
      </w:r>
      <w:r w:rsidR="00F011D7" w:rsidRPr="006E709F">
        <w:t>1012IA(2)</w:t>
      </w:r>
    </w:p>
    <w:p w:rsidR="00A801D0" w:rsidRPr="006E709F" w:rsidRDefault="00A801D0" w:rsidP="00A801D0">
      <w:pPr>
        <w:pStyle w:val="Item"/>
        <w:rPr>
          <w:i/>
        </w:rPr>
      </w:pPr>
      <w:r w:rsidRPr="006E709F">
        <w:rPr>
          <w:i/>
        </w:rPr>
        <w:t>omit</w:t>
      </w:r>
    </w:p>
    <w:p w:rsidR="00F011D7" w:rsidRPr="006E709F" w:rsidRDefault="00F011D7" w:rsidP="00A801D0">
      <w:pPr>
        <w:pStyle w:val="Item"/>
      </w:pPr>
      <w:r w:rsidRPr="006E709F">
        <w:t>must give the client a Product Disclosure Statement for the product if a Product Disclosure Statement for the product would</w:t>
      </w:r>
    </w:p>
    <w:p w:rsidR="00A801D0" w:rsidRPr="006E709F" w:rsidRDefault="00A801D0" w:rsidP="00A801D0">
      <w:pPr>
        <w:pStyle w:val="Item"/>
        <w:rPr>
          <w:i/>
        </w:rPr>
      </w:pPr>
      <w:r w:rsidRPr="006E709F">
        <w:rPr>
          <w:i/>
        </w:rPr>
        <w:t>insert</w:t>
      </w:r>
    </w:p>
    <w:p w:rsidR="00F011D7" w:rsidRPr="006E709F" w:rsidRDefault="00F011D7" w:rsidP="00A53AD1">
      <w:pPr>
        <w:pStyle w:val="Item"/>
        <w:keepLines w:val="0"/>
      </w:pPr>
      <w:r w:rsidRPr="006E709F">
        <w:t>must inform the client that the client should consider each statement about the carbon unit that is published on the website of the Clean Energy Regulator as mentioned in section</w:t>
      </w:r>
      <w:r w:rsidR="00DA13DE" w:rsidRPr="006E709F">
        <w:t> </w:t>
      </w:r>
      <w:r w:rsidRPr="006E709F">
        <w:t xml:space="preserve">202 of the </w:t>
      </w:r>
      <w:r w:rsidRPr="006E709F">
        <w:rPr>
          <w:i/>
        </w:rPr>
        <w:t>Clean Energy Act 2011</w:t>
      </w:r>
      <w:r w:rsidRPr="006E709F">
        <w:t>, or each statement about the Australian carbon credit unit that is published on the website of the Clean Energy Regulator as mentioned in section</w:t>
      </w:r>
      <w:r w:rsidR="00DA13DE" w:rsidRPr="006E709F">
        <w:t> </w:t>
      </w:r>
      <w:r w:rsidRPr="006E709F">
        <w:t xml:space="preserve">162 of the </w:t>
      </w:r>
      <w:r w:rsidRPr="006E709F">
        <w:rPr>
          <w:i/>
        </w:rPr>
        <w:t>Carbon Credits (Carbon Farming Initiative) Act 2011</w:t>
      </w:r>
      <w:r w:rsidRPr="006E709F">
        <w:t>, or each statement about the eligible international emissions unit that is published on the website of the Clean Energy Regulator as mentioned in section</w:t>
      </w:r>
      <w:r w:rsidR="00DA13DE" w:rsidRPr="006E709F">
        <w:t> </w:t>
      </w:r>
      <w:r w:rsidRPr="006E709F">
        <w:t xml:space="preserve">61 of the </w:t>
      </w:r>
      <w:r w:rsidRPr="006E709F">
        <w:rPr>
          <w:i/>
        </w:rPr>
        <w:t>Australian National Registry of Emissions Units Act</w:t>
      </w:r>
      <w:r w:rsidR="00E376FA" w:rsidRPr="006E709F">
        <w:rPr>
          <w:i/>
        </w:rPr>
        <w:t xml:space="preserve"> </w:t>
      </w:r>
      <w:r w:rsidRPr="006E709F">
        <w:rPr>
          <w:i/>
        </w:rPr>
        <w:t>2011</w:t>
      </w:r>
      <w:r w:rsidRPr="006E709F">
        <w:t>, if the statement would</w:t>
      </w:r>
    </w:p>
    <w:p w:rsidR="00F011D7" w:rsidRPr="006E709F" w:rsidRDefault="000577C6" w:rsidP="003C672B">
      <w:pPr>
        <w:pStyle w:val="ItemHead"/>
      </w:pPr>
      <w:r w:rsidRPr="006E709F">
        <w:t xml:space="preserve">19.8  </w:t>
      </w:r>
      <w:r w:rsidR="00F011D7" w:rsidRPr="006E709F">
        <w:t>Subsection</w:t>
      </w:r>
      <w:r w:rsidR="00DA13DE" w:rsidRPr="006E709F">
        <w:t> </w:t>
      </w:r>
      <w:r w:rsidR="00F011D7" w:rsidRPr="006E709F">
        <w:t>1012IA(3), subheading</w:t>
      </w:r>
    </w:p>
    <w:p w:rsidR="00A801D0" w:rsidRPr="006E709F" w:rsidRDefault="00A801D0" w:rsidP="00A801D0">
      <w:pPr>
        <w:pStyle w:val="Item"/>
        <w:rPr>
          <w:i/>
        </w:rPr>
      </w:pPr>
      <w:r w:rsidRPr="006E709F">
        <w:rPr>
          <w:i/>
        </w:rPr>
        <w:t>substitute</w:t>
      </w:r>
    </w:p>
    <w:p w:rsidR="00F011D7" w:rsidRPr="006E709F" w:rsidRDefault="00F011D7" w:rsidP="00F011D7">
      <w:pPr>
        <w:pStyle w:val="SubsectionHead"/>
        <w:keepNext w:val="0"/>
      </w:pPr>
      <w:r w:rsidRPr="006E709F">
        <w:t>Determining whether client should be informed about statements on Clean Energy Regulator’s website for an equivalent direct acquisition</w:t>
      </w:r>
    </w:p>
    <w:p w:rsidR="00F011D7" w:rsidRPr="006E709F" w:rsidRDefault="000577C6" w:rsidP="003C672B">
      <w:pPr>
        <w:pStyle w:val="ItemHead"/>
      </w:pPr>
      <w:r w:rsidRPr="006E709F">
        <w:t xml:space="preserve">19.9  </w:t>
      </w:r>
      <w:r w:rsidR="00F011D7" w:rsidRPr="006E709F">
        <w:t>Subsection</w:t>
      </w:r>
      <w:r w:rsidR="00DA13DE" w:rsidRPr="006E709F">
        <w:t> </w:t>
      </w:r>
      <w:r w:rsidR="00F011D7" w:rsidRPr="006E709F">
        <w:t>1012IA(3)</w:t>
      </w:r>
    </w:p>
    <w:p w:rsidR="00A801D0" w:rsidRPr="006E709F" w:rsidRDefault="00A801D0" w:rsidP="00A801D0">
      <w:pPr>
        <w:pStyle w:val="Item"/>
        <w:rPr>
          <w:i/>
        </w:rPr>
      </w:pPr>
      <w:r w:rsidRPr="006E709F">
        <w:rPr>
          <w:i/>
        </w:rPr>
        <w:t>omit</w:t>
      </w:r>
    </w:p>
    <w:p w:rsidR="00F011D7" w:rsidRPr="006E709F" w:rsidRDefault="00F011D7" w:rsidP="00A801D0">
      <w:pPr>
        <w:pStyle w:val="Item"/>
      </w:pPr>
      <w:r w:rsidRPr="006E709F">
        <w:t>give the client a Product Disclosure Statement for the financial product</w:t>
      </w:r>
    </w:p>
    <w:p w:rsidR="00A801D0" w:rsidRPr="006E709F" w:rsidRDefault="00A801D0" w:rsidP="00A801D0">
      <w:pPr>
        <w:pStyle w:val="Item"/>
        <w:rPr>
          <w:i/>
        </w:rPr>
      </w:pPr>
      <w:r w:rsidRPr="006E709F">
        <w:rPr>
          <w:i/>
        </w:rPr>
        <w:t>insert</w:t>
      </w:r>
    </w:p>
    <w:p w:rsidR="00F011D7" w:rsidRPr="006E709F" w:rsidRDefault="00F011D7" w:rsidP="00A801D0">
      <w:pPr>
        <w:pStyle w:val="Item"/>
      </w:pPr>
      <w:r w:rsidRPr="006E709F">
        <w:t>inform the client that the client should consider each statement about the carbon unit that is published on the website of the Clean Energy Regulator as mentioned in section</w:t>
      </w:r>
      <w:r w:rsidR="00DA13DE" w:rsidRPr="006E709F">
        <w:t> </w:t>
      </w:r>
      <w:r w:rsidRPr="006E709F">
        <w:t xml:space="preserve">202 of the </w:t>
      </w:r>
      <w:r w:rsidRPr="006E709F">
        <w:rPr>
          <w:i/>
        </w:rPr>
        <w:t>Clean Energy Act 2011</w:t>
      </w:r>
      <w:r w:rsidRPr="006E709F">
        <w:t>, or each statement about the Australian carbon credit unit that is published on the website of the Clean Energy Regulator as mentioned in section</w:t>
      </w:r>
      <w:r w:rsidR="00DA13DE" w:rsidRPr="006E709F">
        <w:t> </w:t>
      </w:r>
      <w:r w:rsidRPr="006E709F">
        <w:t xml:space="preserve">162 of the </w:t>
      </w:r>
      <w:r w:rsidRPr="006E709F">
        <w:rPr>
          <w:i/>
        </w:rPr>
        <w:t>Carbon Credits (Carbon Farming Initiative) Act 2011</w:t>
      </w:r>
      <w:r w:rsidRPr="006E709F">
        <w:t>, or each statement about the eligible international emissions unit that is published on the website of the Clean Energy Regulator as mentioned in section</w:t>
      </w:r>
      <w:r w:rsidR="00DA13DE" w:rsidRPr="006E709F">
        <w:t> </w:t>
      </w:r>
      <w:r w:rsidRPr="006E709F">
        <w:t xml:space="preserve">61 of the </w:t>
      </w:r>
      <w:r w:rsidRPr="006E709F">
        <w:rPr>
          <w:i/>
        </w:rPr>
        <w:t>Australian National Registry of Emissions Units Act</w:t>
      </w:r>
      <w:r w:rsidR="00E376FA" w:rsidRPr="006E709F">
        <w:rPr>
          <w:i/>
        </w:rPr>
        <w:t xml:space="preserve"> </w:t>
      </w:r>
      <w:r w:rsidRPr="006E709F">
        <w:rPr>
          <w:i/>
        </w:rPr>
        <w:t>2011</w:t>
      </w:r>
    </w:p>
    <w:p w:rsidR="00F011D7" w:rsidRPr="006E709F" w:rsidRDefault="000577C6" w:rsidP="003C672B">
      <w:pPr>
        <w:pStyle w:val="ItemHead"/>
      </w:pPr>
      <w:r w:rsidRPr="006E709F">
        <w:t xml:space="preserve">19.10  </w:t>
      </w:r>
      <w:r w:rsidR="00FF4176" w:rsidRPr="006E709F">
        <w:t>Paragraph 1</w:t>
      </w:r>
      <w:r w:rsidR="00F011D7" w:rsidRPr="006E709F">
        <w:t>017E(1</w:t>
      </w:r>
      <w:r w:rsidR="00A801D0" w:rsidRPr="006E709F">
        <w:t>)(</w:t>
      </w:r>
      <w:r w:rsidR="00F011D7" w:rsidRPr="006E709F">
        <w:t>b)</w:t>
      </w:r>
    </w:p>
    <w:p w:rsidR="00A801D0" w:rsidRPr="006E709F" w:rsidRDefault="00A801D0" w:rsidP="00A801D0">
      <w:pPr>
        <w:pStyle w:val="Item"/>
        <w:rPr>
          <w:i/>
        </w:rPr>
      </w:pPr>
      <w:r w:rsidRPr="006E709F">
        <w:rPr>
          <w:i/>
        </w:rPr>
        <w:t>substitute</w:t>
      </w:r>
    </w:p>
    <w:p w:rsidR="00F011D7" w:rsidRPr="006E709F" w:rsidRDefault="00F011D7" w:rsidP="00F011D7">
      <w:pPr>
        <w:pStyle w:val="paragraph"/>
      </w:pPr>
      <w:r w:rsidRPr="006E709F">
        <w:tab/>
        <w:t>(b)</w:t>
      </w:r>
      <w:r w:rsidRPr="006E709F">
        <w:tab/>
        <w:t xml:space="preserve">a seller (the </w:t>
      </w:r>
      <w:r w:rsidRPr="006E709F">
        <w:rPr>
          <w:b/>
          <w:i/>
        </w:rPr>
        <w:t>product provider</w:t>
      </w:r>
      <w:r w:rsidRPr="006E709F">
        <w:t>) of a carbon unit in relation to which the seller has informed the client that the client should consider each statement about the carbon unit that is published on the website of the Clean Energy Regulator as mentioned in section</w:t>
      </w:r>
      <w:r w:rsidR="00DA13DE" w:rsidRPr="006E709F">
        <w:t> </w:t>
      </w:r>
      <w:r w:rsidRPr="006E709F">
        <w:t xml:space="preserve">202 of the </w:t>
      </w:r>
      <w:r w:rsidRPr="006E709F">
        <w:rPr>
          <w:i/>
        </w:rPr>
        <w:t>Clean Energy Act 2011</w:t>
      </w:r>
      <w:r w:rsidRPr="006E709F">
        <w:t>; or</w:t>
      </w:r>
    </w:p>
    <w:p w:rsidR="00F011D7" w:rsidRPr="006E709F" w:rsidRDefault="00F011D7" w:rsidP="00F011D7">
      <w:pPr>
        <w:pStyle w:val="paragraph"/>
      </w:pPr>
      <w:r w:rsidRPr="006E709F">
        <w:tab/>
        <w:t>(ba)</w:t>
      </w:r>
      <w:r w:rsidRPr="006E709F">
        <w:tab/>
        <w:t xml:space="preserve">a seller (the </w:t>
      </w:r>
      <w:r w:rsidRPr="006E709F">
        <w:rPr>
          <w:b/>
          <w:i/>
        </w:rPr>
        <w:t>product provider</w:t>
      </w:r>
      <w:r w:rsidRPr="006E709F">
        <w:t xml:space="preserve">) of an Australian carbon credit unit in relation to which the seller has informed the client that the client should consider each statement about the Australian carbon credit unit that is </w:t>
      </w:r>
      <w:r w:rsidRPr="006E709F">
        <w:lastRenderedPageBreak/>
        <w:t>published on the website of the Clean Energy Regulator as mentioned in section</w:t>
      </w:r>
      <w:r w:rsidR="00DA13DE" w:rsidRPr="006E709F">
        <w:t> </w:t>
      </w:r>
      <w:r w:rsidRPr="006E709F">
        <w:t xml:space="preserve">162 of the </w:t>
      </w:r>
      <w:r w:rsidRPr="006E709F">
        <w:rPr>
          <w:i/>
        </w:rPr>
        <w:t>Carbon Credits (Carbon Farming Initiative) Act 2011</w:t>
      </w:r>
      <w:r w:rsidRPr="006E709F">
        <w:t>; or</w:t>
      </w:r>
    </w:p>
    <w:p w:rsidR="00F011D7" w:rsidRPr="006E709F" w:rsidRDefault="00F011D7" w:rsidP="00F011D7">
      <w:pPr>
        <w:pStyle w:val="paragraph"/>
      </w:pPr>
      <w:r w:rsidRPr="006E709F">
        <w:tab/>
        <w:t>(bb)</w:t>
      </w:r>
      <w:r w:rsidRPr="006E709F">
        <w:tab/>
        <w:t xml:space="preserve">a seller (the </w:t>
      </w:r>
      <w:r w:rsidRPr="006E709F">
        <w:rPr>
          <w:b/>
          <w:i/>
        </w:rPr>
        <w:t>product provider</w:t>
      </w:r>
      <w:r w:rsidRPr="006E709F">
        <w:t>) of an eligible international emissions unit in relation to which the seller has informed the client that the client should consider each statement about the eligible international emissions unit that is published on the website of the Clean Energy Regulator as mentioned in section</w:t>
      </w:r>
      <w:r w:rsidR="00DA13DE" w:rsidRPr="006E709F">
        <w:t> </w:t>
      </w:r>
      <w:r w:rsidRPr="006E709F">
        <w:t xml:space="preserve">61 of the </w:t>
      </w:r>
      <w:r w:rsidRPr="006E709F">
        <w:rPr>
          <w:i/>
        </w:rPr>
        <w:t>Australian National Registry of Emissions Units Act 2011</w:t>
      </w:r>
      <w:r w:rsidRPr="006E709F">
        <w:t>;</w:t>
      </w:r>
    </w:p>
    <w:p w:rsidR="00F011D7" w:rsidRPr="006E709F" w:rsidRDefault="000577C6" w:rsidP="003C672B">
      <w:pPr>
        <w:pStyle w:val="ItemHead"/>
      </w:pPr>
      <w:r w:rsidRPr="006E709F">
        <w:t xml:space="preserve">19.11  </w:t>
      </w:r>
      <w:r w:rsidR="00F011D7" w:rsidRPr="006E709F">
        <w:t>Subsection</w:t>
      </w:r>
      <w:r w:rsidR="00DA13DE" w:rsidRPr="006E709F">
        <w:t> </w:t>
      </w:r>
      <w:r w:rsidR="00F011D7" w:rsidRPr="006E709F">
        <w:t>1017G(1)</w:t>
      </w:r>
    </w:p>
    <w:p w:rsidR="00A801D0" w:rsidRPr="006E709F" w:rsidRDefault="00A801D0" w:rsidP="00A801D0">
      <w:pPr>
        <w:pStyle w:val="Item"/>
        <w:rPr>
          <w:i/>
        </w:rPr>
      </w:pPr>
      <w:r w:rsidRPr="006E709F">
        <w:rPr>
          <w:i/>
        </w:rPr>
        <w:t>substitute</w:t>
      </w:r>
    </w:p>
    <w:p w:rsidR="00F011D7" w:rsidRPr="006E709F" w:rsidRDefault="00F011D7" w:rsidP="00F011D7">
      <w:pPr>
        <w:pStyle w:val="subsection"/>
      </w:pPr>
      <w:r w:rsidRPr="006E709F">
        <w:tab/>
        <w:t>(1)</w:t>
      </w:r>
      <w:r w:rsidRPr="006E709F">
        <w:tab/>
        <w:t>This section does not apply to:</w:t>
      </w:r>
    </w:p>
    <w:p w:rsidR="00F011D7" w:rsidRPr="006E709F" w:rsidRDefault="00F011D7" w:rsidP="00D57CE3">
      <w:pPr>
        <w:pStyle w:val="paragraph"/>
      </w:pPr>
      <w:r w:rsidRPr="006E709F">
        <w:tab/>
        <w:t>(a)</w:t>
      </w:r>
      <w:r w:rsidRPr="006E709F">
        <w:tab/>
        <w:t>the Regulator; or</w:t>
      </w:r>
    </w:p>
    <w:p w:rsidR="00F011D7" w:rsidRPr="006E709F" w:rsidRDefault="00F011D7" w:rsidP="00D57CE3">
      <w:pPr>
        <w:pStyle w:val="paragraph"/>
      </w:pPr>
      <w:r w:rsidRPr="006E709F">
        <w:tab/>
        <w:t>(b)</w:t>
      </w:r>
      <w:r w:rsidRPr="006E709F">
        <w:tab/>
        <w:t>the CDM Executive Board; or</w:t>
      </w:r>
    </w:p>
    <w:p w:rsidR="00F011D7" w:rsidRPr="006E709F" w:rsidRDefault="00F011D7" w:rsidP="00D57CE3">
      <w:pPr>
        <w:pStyle w:val="paragraph"/>
      </w:pPr>
      <w:r w:rsidRPr="006E709F">
        <w:tab/>
        <w:t>(c)</w:t>
      </w:r>
      <w:r w:rsidRPr="006E709F">
        <w:tab/>
        <w:t>the government of a country other than Australia; or</w:t>
      </w:r>
    </w:p>
    <w:p w:rsidR="0048795D" w:rsidRPr="006E709F" w:rsidRDefault="00F011D7" w:rsidP="00D57CE3">
      <w:pPr>
        <w:pStyle w:val="paragraph"/>
        <w:rPr>
          <w:szCs w:val="22"/>
        </w:rPr>
      </w:pPr>
      <w:r w:rsidRPr="006E709F">
        <w:tab/>
        <w:t>(d)</w:t>
      </w:r>
      <w:r w:rsidRPr="006E709F">
        <w:tab/>
      </w:r>
      <w:r w:rsidRPr="006E709F">
        <w:rPr>
          <w:szCs w:val="22"/>
        </w:rPr>
        <w:t>an authority acting on behalf of the government of a country other than Australia.</w:t>
      </w:r>
    </w:p>
    <w:p w:rsidR="0048795D" w:rsidRPr="006E709F" w:rsidRDefault="00F011D7" w:rsidP="00F011D7">
      <w:pPr>
        <w:pStyle w:val="subsection"/>
      </w:pPr>
      <w:r w:rsidRPr="006E709F">
        <w:tab/>
        <w:t>(1A)</w:t>
      </w:r>
      <w:r w:rsidRPr="006E709F">
        <w:tab/>
        <w:t>If:</w:t>
      </w:r>
    </w:p>
    <w:p w:rsidR="00F011D7" w:rsidRPr="006E709F" w:rsidRDefault="00F011D7" w:rsidP="00F011D7">
      <w:pPr>
        <w:pStyle w:val="paragraph"/>
      </w:pPr>
      <w:r w:rsidRPr="006E709F">
        <w:tab/>
        <w:t>(a)</w:t>
      </w:r>
      <w:r w:rsidRPr="006E709F">
        <w:tab/>
        <w:t>carbon units are, or have been, available for acquisition (whether by issue or sale) by a person or persons as retail clients; and</w:t>
      </w:r>
    </w:p>
    <w:p w:rsidR="0048795D" w:rsidRPr="006E709F" w:rsidRDefault="00F011D7" w:rsidP="00F011D7">
      <w:pPr>
        <w:pStyle w:val="paragraph"/>
      </w:pPr>
      <w:r w:rsidRPr="006E709F">
        <w:tab/>
        <w:t>(b)</w:t>
      </w:r>
      <w:r w:rsidRPr="006E709F">
        <w:tab/>
        <w:t>the issue or sale of the carbon units is not covered by an Australian financial services licence;</w:t>
      </w:r>
    </w:p>
    <w:p w:rsidR="0048795D" w:rsidRPr="006E709F" w:rsidRDefault="00F011D7" w:rsidP="00F011D7">
      <w:pPr>
        <w:pStyle w:val="subsection"/>
        <w:spacing w:before="0"/>
        <w:rPr>
          <w:szCs w:val="22"/>
        </w:rPr>
      </w:pPr>
      <w:r w:rsidRPr="006E709F">
        <w:rPr>
          <w:szCs w:val="22"/>
        </w:rPr>
        <w:tab/>
      </w:r>
      <w:r w:rsidRPr="006E709F">
        <w:rPr>
          <w:szCs w:val="22"/>
        </w:rPr>
        <w:tab/>
        <w:t xml:space="preserve">the issuer and </w:t>
      </w:r>
      <w:r w:rsidRPr="006E709F">
        <w:t>any regulated person who is required, under subsection</w:t>
      </w:r>
      <w:r w:rsidR="00DA13DE" w:rsidRPr="006E709F">
        <w:t> </w:t>
      </w:r>
      <w:r w:rsidRPr="006E709F">
        <w:t>1012</w:t>
      </w:r>
      <w:r w:rsidR="00E376FA" w:rsidRPr="006E709F">
        <w:t>D(</w:t>
      </w:r>
      <w:r w:rsidRPr="006E709F">
        <w:t>1), to inform a client that the client should consider each statement about the carbon unit that is published on the website of the Clean Energy Regulator as mentioned in section</w:t>
      </w:r>
      <w:r w:rsidR="00DA13DE" w:rsidRPr="006E709F">
        <w:t> </w:t>
      </w:r>
      <w:r w:rsidRPr="006E709F">
        <w:t xml:space="preserve">202 of the </w:t>
      </w:r>
      <w:r w:rsidRPr="006E709F">
        <w:rPr>
          <w:i/>
        </w:rPr>
        <w:t>Clean Energy Act 2011</w:t>
      </w:r>
      <w:r w:rsidRPr="006E709F">
        <w:rPr>
          <w:szCs w:val="22"/>
        </w:rPr>
        <w:t xml:space="preserve">, must both have a dispute resolution system complying with </w:t>
      </w:r>
      <w:r w:rsidR="00DA13DE" w:rsidRPr="006E709F">
        <w:rPr>
          <w:szCs w:val="22"/>
        </w:rPr>
        <w:t>subsection (</w:t>
      </w:r>
      <w:r w:rsidRPr="006E709F">
        <w:rPr>
          <w:szCs w:val="22"/>
        </w:rPr>
        <w:t>2).</w:t>
      </w:r>
    </w:p>
    <w:p w:rsidR="0048795D" w:rsidRPr="006E709F" w:rsidRDefault="00F011D7" w:rsidP="00F011D7">
      <w:pPr>
        <w:pStyle w:val="notetext"/>
      </w:pPr>
      <w:r w:rsidRPr="006E709F">
        <w:t>Note 1:</w:t>
      </w:r>
      <w:r w:rsidRPr="006E709F">
        <w:tab/>
        <w:t>If the issue of the carbon units is covered by an Australian financial services licence, the requirement to have a dispute resolution system relating to the issue of the units is imposed by paragraph</w:t>
      </w:r>
      <w:r w:rsidR="00DA13DE" w:rsidRPr="006E709F">
        <w:t> </w:t>
      </w:r>
      <w:r w:rsidRPr="006E709F">
        <w:t>912A(1)(g).</w:t>
      </w:r>
    </w:p>
    <w:p w:rsidR="00F011D7" w:rsidRPr="006E709F" w:rsidRDefault="009A763A" w:rsidP="00F011D7">
      <w:pPr>
        <w:pStyle w:val="notetext"/>
      </w:pPr>
      <w:r w:rsidRPr="006E709F">
        <w:t>Note 2:</w:t>
      </w:r>
      <w:r w:rsidR="00F011D7" w:rsidRPr="006E709F">
        <w:tab/>
        <w:t>Failure to comply with this subsection is an offence (see subsection</w:t>
      </w:r>
      <w:r w:rsidR="00DA13DE" w:rsidRPr="006E709F">
        <w:t> </w:t>
      </w:r>
      <w:r w:rsidR="00F011D7" w:rsidRPr="006E709F">
        <w:t>1311(1)).</w:t>
      </w:r>
    </w:p>
    <w:p w:rsidR="0048795D" w:rsidRPr="006E709F" w:rsidRDefault="00F011D7" w:rsidP="00F011D7">
      <w:pPr>
        <w:pStyle w:val="subsection"/>
        <w:keepNext/>
      </w:pPr>
      <w:r w:rsidRPr="006E709F">
        <w:tab/>
        <w:t>(1B)</w:t>
      </w:r>
      <w:r w:rsidRPr="006E709F">
        <w:tab/>
        <w:t>If:</w:t>
      </w:r>
    </w:p>
    <w:p w:rsidR="00F011D7" w:rsidRPr="006E709F" w:rsidRDefault="00F011D7" w:rsidP="00F011D7">
      <w:pPr>
        <w:pStyle w:val="paragraph"/>
      </w:pPr>
      <w:r w:rsidRPr="006E709F">
        <w:tab/>
        <w:t>(a)</w:t>
      </w:r>
      <w:r w:rsidRPr="006E709F">
        <w:tab/>
        <w:t>Australian carbon credit units are, or have been, available for acquisition (whether by issue or sale) by a person or persons as retail clients; and</w:t>
      </w:r>
    </w:p>
    <w:p w:rsidR="0048795D" w:rsidRPr="006E709F" w:rsidRDefault="00F011D7" w:rsidP="00F011D7">
      <w:pPr>
        <w:pStyle w:val="paragraph"/>
      </w:pPr>
      <w:r w:rsidRPr="006E709F">
        <w:tab/>
        <w:t>(b)</w:t>
      </w:r>
      <w:r w:rsidRPr="006E709F">
        <w:tab/>
        <w:t>the issue or sale of the Australian carbon credit units is not covered by an Australian financial services licence;</w:t>
      </w:r>
    </w:p>
    <w:p w:rsidR="0048795D" w:rsidRPr="006E709F" w:rsidRDefault="00F011D7" w:rsidP="00F011D7">
      <w:pPr>
        <w:pStyle w:val="subsection"/>
        <w:spacing w:before="0"/>
        <w:rPr>
          <w:szCs w:val="22"/>
        </w:rPr>
      </w:pPr>
      <w:r w:rsidRPr="006E709F">
        <w:rPr>
          <w:szCs w:val="22"/>
        </w:rPr>
        <w:tab/>
      </w:r>
      <w:r w:rsidRPr="006E709F">
        <w:rPr>
          <w:szCs w:val="22"/>
        </w:rPr>
        <w:tab/>
        <w:t xml:space="preserve">the issuer and </w:t>
      </w:r>
      <w:r w:rsidRPr="006E709F">
        <w:t>any regulated person who is required, under subsection</w:t>
      </w:r>
      <w:r w:rsidR="00DA13DE" w:rsidRPr="006E709F">
        <w:t> </w:t>
      </w:r>
      <w:r w:rsidRPr="006E709F">
        <w:t>1012</w:t>
      </w:r>
      <w:r w:rsidR="00E376FA" w:rsidRPr="006E709F">
        <w:t>D(</w:t>
      </w:r>
      <w:r w:rsidRPr="006E709F">
        <w:t>3A), to inform a client that the client should consider each statement about the Australian carbon credit unit that is published on the website of the Clean Energy Regulator as mentioned in section</w:t>
      </w:r>
      <w:r w:rsidR="00DA13DE" w:rsidRPr="006E709F">
        <w:t> </w:t>
      </w:r>
      <w:r w:rsidRPr="006E709F">
        <w:t xml:space="preserve">162 of the </w:t>
      </w:r>
      <w:r w:rsidRPr="006E709F">
        <w:rPr>
          <w:i/>
        </w:rPr>
        <w:t>Carbon Credits (Carbon Farming Initiative) Act 2011</w:t>
      </w:r>
      <w:r w:rsidRPr="006E709F">
        <w:rPr>
          <w:szCs w:val="22"/>
        </w:rPr>
        <w:t xml:space="preserve">, must both have a dispute resolution system complying with </w:t>
      </w:r>
      <w:r w:rsidR="00DA13DE" w:rsidRPr="006E709F">
        <w:rPr>
          <w:szCs w:val="22"/>
        </w:rPr>
        <w:t>subsection (</w:t>
      </w:r>
      <w:r w:rsidRPr="006E709F">
        <w:rPr>
          <w:szCs w:val="22"/>
        </w:rPr>
        <w:t>2).</w:t>
      </w:r>
    </w:p>
    <w:p w:rsidR="0048795D" w:rsidRPr="006E709F" w:rsidRDefault="009A763A" w:rsidP="00F011D7">
      <w:pPr>
        <w:pStyle w:val="notetext"/>
      </w:pPr>
      <w:r w:rsidRPr="006E709F">
        <w:lastRenderedPageBreak/>
        <w:t>Note 1:</w:t>
      </w:r>
      <w:r w:rsidR="00F011D7" w:rsidRPr="006E709F">
        <w:tab/>
        <w:t>If the issue of the Australian carbon credit units is covered by an Australian financial services licence, the requirement to have a dispute resolution system relating to the issue of the units is imposed by paragraph</w:t>
      </w:r>
      <w:r w:rsidR="00DA13DE" w:rsidRPr="006E709F">
        <w:t> </w:t>
      </w:r>
      <w:r w:rsidR="00F011D7" w:rsidRPr="006E709F">
        <w:t>912A(1)(g).</w:t>
      </w:r>
    </w:p>
    <w:p w:rsidR="00F011D7" w:rsidRPr="006E709F" w:rsidRDefault="009A763A" w:rsidP="00F011D7">
      <w:pPr>
        <w:pStyle w:val="notetext"/>
      </w:pPr>
      <w:r w:rsidRPr="006E709F">
        <w:t>Note 2:</w:t>
      </w:r>
      <w:r w:rsidR="00F011D7" w:rsidRPr="006E709F">
        <w:tab/>
        <w:t>Failure to comply with this subsection is an offence (see subsection</w:t>
      </w:r>
      <w:r w:rsidR="00DA13DE" w:rsidRPr="006E709F">
        <w:t> </w:t>
      </w:r>
      <w:r w:rsidR="00F011D7" w:rsidRPr="006E709F">
        <w:t>1311(1)).</w:t>
      </w:r>
    </w:p>
    <w:p w:rsidR="0048795D" w:rsidRPr="006E709F" w:rsidRDefault="00F011D7" w:rsidP="00F011D7">
      <w:pPr>
        <w:pStyle w:val="subsection"/>
        <w:keepNext/>
      </w:pPr>
      <w:r w:rsidRPr="006E709F">
        <w:tab/>
        <w:t>(1C)</w:t>
      </w:r>
      <w:r w:rsidRPr="006E709F">
        <w:tab/>
        <w:t>If:</w:t>
      </w:r>
    </w:p>
    <w:p w:rsidR="00F011D7" w:rsidRPr="006E709F" w:rsidRDefault="00F011D7" w:rsidP="00F011D7">
      <w:pPr>
        <w:pStyle w:val="paragraph"/>
      </w:pPr>
      <w:r w:rsidRPr="006E709F">
        <w:tab/>
        <w:t>(a)</w:t>
      </w:r>
      <w:r w:rsidRPr="006E709F">
        <w:tab/>
        <w:t>eligible international emissions units are, or have been, available for acquisition (whether by issue or sale) by a person or persons as retail clients; and</w:t>
      </w:r>
    </w:p>
    <w:p w:rsidR="0048795D" w:rsidRPr="006E709F" w:rsidRDefault="00F011D7" w:rsidP="00F011D7">
      <w:pPr>
        <w:pStyle w:val="paragraph"/>
      </w:pPr>
      <w:r w:rsidRPr="006E709F">
        <w:tab/>
        <w:t>(b)</w:t>
      </w:r>
      <w:r w:rsidRPr="006E709F">
        <w:tab/>
        <w:t>the issue or sale of the eligible international emissions units is not covered by an Australian financial services licence;</w:t>
      </w:r>
    </w:p>
    <w:p w:rsidR="0048795D" w:rsidRPr="006E709F" w:rsidRDefault="00F011D7" w:rsidP="00F011D7">
      <w:pPr>
        <w:pStyle w:val="subsection"/>
        <w:spacing w:before="0"/>
        <w:rPr>
          <w:szCs w:val="22"/>
        </w:rPr>
      </w:pPr>
      <w:r w:rsidRPr="006E709F">
        <w:rPr>
          <w:szCs w:val="22"/>
        </w:rPr>
        <w:tab/>
      </w:r>
      <w:r w:rsidRPr="006E709F">
        <w:rPr>
          <w:szCs w:val="22"/>
        </w:rPr>
        <w:tab/>
        <w:t xml:space="preserve">the issuer and </w:t>
      </w:r>
      <w:r w:rsidRPr="006E709F">
        <w:t>any regulated person who is required, under subsection</w:t>
      </w:r>
      <w:r w:rsidR="00DA13DE" w:rsidRPr="006E709F">
        <w:t> </w:t>
      </w:r>
      <w:r w:rsidRPr="006E709F">
        <w:t>1012</w:t>
      </w:r>
      <w:r w:rsidR="00E376FA" w:rsidRPr="006E709F">
        <w:t>D(</w:t>
      </w:r>
      <w:r w:rsidRPr="006E709F">
        <w:t>3D), to inform a client that the client should consider each statement about the eligible international emissions unit that is published on the website of the Clean Energy Regulator as mentioned in section</w:t>
      </w:r>
      <w:r w:rsidR="00DA13DE" w:rsidRPr="006E709F">
        <w:t> </w:t>
      </w:r>
      <w:r w:rsidRPr="006E709F">
        <w:t xml:space="preserve">61 of the </w:t>
      </w:r>
      <w:r w:rsidRPr="006E709F">
        <w:rPr>
          <w:i/>
        </w:rPr>
        <w:t>Australian National Registry of Emissions Units Act 2011</w:t>
      </w:r>
      <w:r w:rsidRPr="006E709F">
        <w:rPr>
          <w:szCs w:val="22"/>
        </w:rPr>
        <w:t xml:space="preserve">, must both have a dispute resolution system complying with </w:t>
      </w:r>
      <w:r w:rsidR="00DA13DE" w:rsidRPr="006E709F">
        <w:rPr>
          <w:szCs w:val="22"/>
        </w:rPr>
        <w:t>subsection (</w:t>
      </w:r>
      <w:r w:rsidRPr="006E709F">
        <w:rPr>
          <w:szCs w:val="22"/>
        </w:rPr>
        <w:t>2).</w:t>
      </w:r>
    </w:p>
    <w:p w:rsidR="0048795D" w:rsidRPr="006E709F" w:rsidRDefault="009A763A" w:rsidP="00F011D7">
      <w:pPr>
        <w:pStyle w:val="notetext"/>
        <w:rPr>
          <w:szCs w:val="18"/>
        </w:rPr>
      </w:pPr>
      <w:r w:rsidRPr="006E709F">
        <w:rPr>
          <w:szCs w:val="18"/>
        </w:rPr>
        <w:t>Note 1:</w:t>
      </w:r>
      <w:r w:rsidR="00F011D7" w:rsidRPr="006E709F">
        <w:rPr>
          <w:szCs w:val="18"/>
        </w:rPr>
        <w:tab/>
        <w:t>If the issue of the eligible international emissions units is covered by an Australian financial services licence, the requirement to have a dispute resolution system relating to the issue of the units is imposed by paragraph</w:t>
      </w:r>
      <w:r w:rsidR="00DA13DE" w:rsidRPr="006E709F">
        <w:rPr>
          <w:szCs w:val="18"/>
        </w:rPr>
        <w:t> </w:t>
      </w:r>
      <w:r w:rsidR="00F011D7" w:rsidRPr="006E709F">
        <w:rPr>
          <w:szCs w:val="18"/>
        </w:rPr>
        <w:t>912A(1)(g).</w:t>
      </w:r>
    </w:p>
    <w:p w:rsidR="00F011D7" w:rsidRPr="006E709F" w:rsidRDefault="009A763A" w:rsidP="00F011D7">
      <w:pPr>
        <w:pStyle w:val="notetext"/>
      </w:pPr>
      <w:r w:rsidRPr="006E709F">
        <w:rPr>
          <w:szCs w:val="18"/>
        </w:rPr>
        <w:t>Note 2:</w:t>
      </w:r>
      <w:r w:rsidR="00F011D7" w:rsidRPr="006E709F">
        <w:rPr>
          <w:szCs w:val="18"/>
        </w:rPr>
        <w:tab/>
      </w:r>
      <w:r w:rsidR="00F011D7" w:rsidRPr="006E709F">
        <w:t>Failure</w:t>
      </w:r>
      <w:r w:rsidR="00F011D7" w:rsidRPr="006E709F">
        <w:rPr>
          <w:szCs w:val="18"/>
        </w:rPr>
        <w:t xml:space="preserve"> to comply with this subsection is an offence (see subsection</w:t>
      </w:r>
      <w:r w:rsidR="00DA13DE" w:rsidRPr="006E709F">
        <w:rPr>
          <w:szCs w:val="18"/>
        </w:rPr>
        <w:t> </w:t>
      </w:r>
      <w:r w:rsidR="00F011D7" w:rsidRPr="006E709F">
        <w:rPr>
          <w:szCs w:val="18"/>
        </w:rPr>
        <w:t>1311(1)).</w:t>
      </w:r>
    </w:p>
    <w:p w:rsidR="00F011D7" w:rsidRPr="006E709F" w:rsidRDefault="000577C6" w:rsidP="003C672B">
      <w:pPr>
        <w:pStyle w:val="ItemHead"/>
      </w:pPr>
      <w:r w:rsidRPr="006E709F">
        <w:t xml:space="preserve">19.12  </w:t>
      </w:r>
      <w:r w:rsidR="00F011D7" w:rsidRPr="006E709F">
        <w:t>Section</w:t>
      </w:r>
      <w:r w:rsidR="00DA13DE" w:rsidRPr="006E709F">
        <w:t> </w:t>
      </w:r>
      <w:r w:rsidR="00F011D7" w:rsidRPr="006E709F">
        <w:t>1018A, heading</w:t>
      </w:r>
    </w:p>
    <w:p w:rsidR="00A801D0" w:rsidRPr="006E709F" w:rsidRDefault="00A801D0" w:rsidP="00A801D0">
      <w:pPr>
        <w:pStyle w:val="Item"/>
        <w:rPr>
          <w:i/>
        </w:rPr>
      </w:pPr>
      <w:r w:rsidRPr="006E709F">
        <w:rPr>
          <w:i/>
        </w:rPr>
        <w:t>substitute</w:t>
      </w:r>
    </w:p>
    <w:p w:rsidR="00F011D7" w:rsidRPr="006E709F" w:rsidRDefault="00F011D7" w:rsidP="002D66C6">
      <w:pPr>
        <w:pStyle w:val="Specials"/>
      </w:pPr>
      <w:r w:rsidRPr="006E709F">
        <w:t>1018A  Advertising or other promotional material for financial product must refer to statements on Clean Energy Regulator’s website</w:t>
      </w:r>
    </w:p>
    <w:p w:rsidR="00F011D7" w:rsidRPr="006E709F" w:rsidRDefault="000577C6" w:rsidP="003C672B">
      <w:pPr>
        <w:pStyle w:val="ItemHead"/>
      </w:pPr>
      <w:r w:rsidRPr="006E709F">
        <w:t xml:space="preserve">19.13  </w:t>
      </w:r>
      <w:r w:rsidR="00F011D7" w:rsidRPr="006E709F">
        <w:t>Subsection</w:t>
      </w:r>
      <w:r w:rsidR="00DA13DE" w:rsidRPr="006E709F">
        <w:t> </w:t>
      </w:r>
      <w:r w:rsidR="00F011D7" w:rsidRPr="006E709F">
        <w:t>1018A(1), subheading</w:t>
      </w:r>
    </w:p>
    <w:p w:rsidR="00A801D0" w:rsidRPr="006E709F" w:rsidRDefault="00A801D0" w:rsidP="00A801D0">
      <w:pPr>
        <w:pStyle w:val="Item"/>
        <w:rPr>
          <w:i/>
        </w:rPr>
      </w:pPr>
      <w:r w:rsidRPr="006E709F">
        <w:rPr>
          <w:i/>
        </w:rPr>
        <w:t>substitute</w:t>
      </w:r>
    </w:p>
    <w:p w:rsidR="00F011D7" w:rsidRPr="006E709F" w:rsidRDefault="00F011D7" w:rsidP="00F011D7">
      <w:pPr>
        <w:pStyle w:val="SubsectionHead"/>
      </w:pPr>
      <w:r w:rsidRPr="006E709F">
        <w:t>Advertisements and promotional material must identify issuer (or issuer and seller) and refer to statements on Clean Energy Regulator’s website</w:t>
      </w:r>
    </w:p>
    <w:p w:rsidR="00F011D7" w:rsidRPr="006E709F" w:rsidRDefault="000577C6" w:rsidP="003C672B">
      <w:pPr>
        <w:pStyle w:val="ItemHead"/>
      </w:pPr>
      <w:r w:rsidRPr="006E709F">
        <w:t xml:space="preserve">19.14  </w:t>
      </w:r>
      <w:r w:rsidR="00F011D7" w:rsidRPr="006E709F">
        <w:t>Subsection</w:t>
      </w:r>
      <w:r w:rsidR="00DA13DE" w:rsidRPr="006E709F">
        <w:t> </w:t>
      </w:r>
      <w:r w:rsidR="00F011D7" w:rsidRPr="006E709F">
        <w:t>1018A(1)</w:t>
      </w:r>
    </w:p>
    <w:p w:rsidR="00A801D0" w:rsidRPr="006E709F" w:rsidRDefault="00A801D0" w:rsidP="00A801D0">
      <w:pPr>
        <w:pStyle w:val="Item"/>
        <w:rPr>
          <w:i/>
        </w:rPr>
      </w:pPr>
      <w:r w:rsidRPr="006E709F">
        <w:rPr>
          <w:i/>
        </w:rPr>
        <w:t>omit</w:t>
      </w:r>
    </w:p>
    <w:p w:rsidR="00F011D7" w:rsidRPr="006E709F" w:rsidRDefault="00F011D7" w:rsidP="00A801D0">
      <w:pPr>
        <w:pStyle w:val="Item"/>
      </w:pPr>
      <w:r w:rsidRPr="006E709F">
        <w:t>if a particular financial product is available for acquisition by persons as retail clients (whether or not it is also available for acquisition by persons as wholesale clients) by way of issue, or pursuant to sale offers to which section</w:t>
      </w:r>
      <w:r w:rsidR="00DA13DE" w:rsidRPr="006E709F">
        <w:t> </w:t>
      </w:r>
      <w:r w:rsidRPr="006E709F">
        <w:t>1012C applies or will apply,</w:t>
      </w:r>
    </w:p>
    <w:p w:rsidR="00A801D0" w:rsidRPr="006E709F" w:rsidRDefault="00A801D0" w:rsidP="00A801D0">
      <w:pPr>
        <w:pStyle w:val="Item"/>
        <w:rPr>
          <w:i/>
        </w:rPr>
      </w:pPr>
      <w:r w:rsidRPr="006E709F">
        <w:rPr>
          <w:i/>
        </w:rPr>
        <w:t>insert</w:t>
      </w:r>
    </w:p>
    <w:p w:rsidR="00F011D7" w:rsidRPr="006E709F" w:rsidRDefault="00F011D7" w:rsidP="00A801D0">
      <w:pPr>
        <w:pStyle w:val="Item"/>
      </w:pPr>
      <w:r w:rsidRPr="006E709F">
        <w:t>in an issue situation or sale situation for a carbon unit, an Australian carbon credit unit or an eligible international emissions unit that is available for acquisition by persons as retail clients (whether or not it is also available for acquisition by persons as wholesale clients),</w:t>
      </w:r>
    </w:p>
    <w:p w:rsidR="00F011D7" w:rsidRPr="006E709F" w:rsidRDefault="00F011D7" w:rsidP="003C672B">
      <w:pPr>
        <w:pStyle w:val="ItemHead"/>
      </w:pPr>
      <w:r w:rsidRPr="006E709F">
        <w:lastRenderedPageBreak/>
        <w:t>19.15</w:t>
      </w:r>
      <w:r w:rsidR="003C672B" w:rsidRPr="006E709F">
        <w:t xml:space="preserve">  </w:t>
      </w:r>
      <w:r w:rsidR="00FF4176" w:rsidRPr="006E709F">
        <w:t>Subparagraph 1</w:t>
      </w:r>
      <w:r w:rsidRPr="006E709F">
        <w:t>018A(1</w:t>
      </w:r>
      <w:r w:rsidR="00A801D0" w:rsidRPr="006E709F">
        <w:t>)(</w:t>
      </w:r>
      <w:r w:rsidRPr="006E709F">
        <w:t>c</w:t>
      </w:r>
      <w:r w:rsidR="00A801D0" w:rsidRPr="006E709F">
        <w:t>)(</w:t>
      </w:r>
      <w:r w:rsidRPr="006E709F">
        <w:t>ii)</w:t>
      </w:r>
    </w:p>
    <w:p w:rsidR="00A801D0" w:rsidRPr="006E709F" w:rsidRDefault="00A801D0" w:rsidP="00A801D0">
      <w:pPr>
        <w:pStyle w:val="Item"/>
        <w:rPr>
          <w:i/>
        </w:rPr>
      </w:pPr>
      <w:r w:rsidRPr="006E709F">
        <w:rPr>
          <w:i/>
        </w:rPr>
        <w:t>omit</w:t>
      </w:r>
    </w:p>
    <w:p w:rsidR="00F011D7" w:rsidRPr="006E709F" w:rsidRDefault="00F011D7" w:rsidP="00A801D0">
      <w:pPr>
        <w:pStyle w:val="Item"/>
      </w:pPr>
      <w:r w:rsidRPr="006E709F">
        <w:t>to which section</w:t>
      </w:r>
      <w:r w:rsidR="00DA13DE" w:rsidRPr="006E709F">
        <w:t> </w:t>
      </w:r>
      <w:r w:rsidRPr="006E709F">
        <w:t>1012C applies or will apply</w:t>
      </w:r>
    </w:p>
    <w:p w:rsidR="00A801D0" w:rsidRPr="006E709F" w:rsidRDefault="00A801D0" w:rsidP="00A801D0">
      <w:pPr>
        <w:pStyle w:val="Item"/>
        <w:rPr>
          <w:i/>
        </w:rPr>
      </w:pPr>
      <w:r w:rsidRPr="006E709F">
        <w:rPr>
          <w:i/>
        </w:rPr>
        <w:t>insert</w:t>
      </w:r>
    </w:p>
    <w:p w:rsidR="00F011D7" w:rsidRPr="006E709F" w:rsidRDefault="00F011D7" w:rsidP="00A801D0">
      <w:pPr>
        <w:pStyle w:val="Item"/>
      </w:pPr>
      <w:r w:rsidRPr="006E709F">
        <w:t>to which paragraphs 1012</w:t>
      </w:r>
      <w:r w:rsidR="00E376FA" w:rsidRPr="006E709F">
        <w:t>C(</w:t>
      </w:r>
      <w:r w:rsidRPr="006E709F">
        <w:t>3)(b) and (4)(c), and subsection</w:t>
      </w:r>
      <w:r w:rsidR="00DA13DE" w:rsidRPr="006E709F">
        <w:t> </w:t>
      </w:r>
      <w:r w:rsidRPr="006E709F">
        <w:t>1012</w:t>
      </w:r>
      <w:r w:rsidR="00E376FA" w:rsidRPr="006E709F">
        <w:t>C(</w:t>
      </w:r>
      <w:r w:rsidRPr="006E709F">
        <w:t>6), would apply if section</w:t>
      </w:r>
      <w:r w:rsidR="00DA13DE" w:rsidRPr="006E709F">
        <w:t> </w:t>
      </w:r>
      <w:r w:rsidRPr="006E709F">
        <w:t>1012C were applicable in relation to a carbon unit, an Australian carbon credit unit or an eligible international emissions unit</w:t>
      </w:r>
    </w:p>
    <w:p w:rsidR="00F011D7" w:rsidRPr="006E709F" w:rsidRDefault="000577C6" w:rsidP="003C672B">
      <w:pPr>
        <w:pStyle w:val="ItemHead"/>
      </w:pPr>
      <w:r w:rsidRPr="006E709F">
        <w:t xml:space="preserve">19.16  </w:t>
      </w:r>
      <w:r w:rsidR="00F011D7" w:rsidRPr="006E709F">
        <w:t>Paragraphs 1018A(1</w:t>
      </w:r>
      <w:r w:rsidR="00A801D0" w:rsidRPr="006E709F">
        <w:t>)(</w:t>
      </w:r>
      <w:r w:rsidR="00F011D7" w:rsidRPr="006E709F">
        <w:t>d) and (e)</w:t>
      </w:r>
    </w:p>
    <w:p w:rsidR="00A801D0" w:rsidRPr="006E709F" w:rsidRDefault="00A801D0" w:rsidP="00A801D0">
      <w:pPr>
        <w:pStyle w:val="Item"/>
        <w:rPr>
          <w:i/>
        </w:rPr>
      </w:pPr>
      <w:r w:rsidRPr="006E709F">
        <w:rPr>
          <w:i/>
        </w:rPr>
        <w:t>substitute</w:t>
      </w:r>
    </w:p>
    <w:p w:rsidR="00F011D7" w:rsidRPr="006E709F" w:rsidRDefault="00F011D7" w:rsidP="00F011D7">
      <w:pPr>
        <w:pStyle w:val="paragraph"/>
      </w:pPr>
      <w:r w:rsidRPr="006E709F">
        <w:tab/>
        <w:t>(d)</w:t>
      </w:r>
      <w:r w:rsidRPr="006E709F">
        <w:tab/>
        <w:t>informs the person that the person should consider:</w:t>
      </w:r>
    </w:p>
    <w:p w:rsidR="00F011D7" w:rsidRPr="006E709F" w:rsidRDefault="00F011D7" w:rsidP="00F011D7">
      <w:pPr>
        <w:pStyle w:val="paragraphsub"/>
      </w:pPr>
      <w:r w:rsidRPr="006E709F">
        <w:tab/>
        <w:t>(i)</w:t>
      </w:r>
      <w:r w:rsidRPr="006E709F">
        <w:tab/>
        <w:t>each statement about the carbon unit that is published on the website of the Clean Energy Regulator as mentioned in section</w:t>
      </w:r>
      <w:r w:rsidR="00DA13DE" w:rsidRPr="006E709F">
        <w:t> </w:t>
      </w:r>
      <w:r w:rsidRPr="006E709F">
        <w:t xml:space="preserve">202 of the </w:t>
      </w:r>
      <w:r w:rsidRPr="006E709F">
        <w:rPr>
          <w:i/>
        </w:rPr>
        <w:t>Clean Energy Act 2011</w:t>
      </w:r>
      <w:r w:rsidRPr="006E709F">
        <w:t xml:space="preserve"> in deciding whether to acquire, or to continue to hold, the carbon unit; or</w:t>
      </w:r>
    </w:p>
    <w:p w:rsidR="00F011D7" w:rsidRPr="006E709F" w:rsidRDefault="00F011D7" w:rsidP="00F011D7">
      <w:pPr>
        <w:pStyle w:val="paragraphsub"/>
      </w:pPr>
      <w:r w:rsidRPr="006E709F">
        <w:tab/>
        <w:t>(ii)</w:t>
      </w:r>
      <w:r w:rsidRPr="006E709F">
        <w:tab/>
        <w:t>each statement about the Australian carbon credit unit that is published on the website of the Clean Energy Regulator as mentioned in section</w:t>
      </w:r>
      <w:r w:rsidR="00DA13DE" w:rsidRPr="006E709F">
        <w:t> </w:t>
      </w:r>
      <w:r w:rsidRPr="006E709F">
        <w:t xml:space="preserve">162 of the </w:t>
      </w:r>
      <w:r w:rsidRPr="006E709F">
        <w:rPr>
          <w:i/>
        </w:rPr>
        <w:t>Carbon Credits (Carbon Farming Initiative) Act 2011</w:t>
      </w:r>
      <w:r w:rsidRPr="006E709F">
        <w:t xml:space="preserve"> in deciding whether to acquire, or to continue to hold, the Australian carbon credit unit; or</w:t>
      </w:r>
    </w:p>
    <w:p w:rsidR="00F011D7" w:rsidRPr="006E709F" w:rsidRDefault="00F011D7" w:rsidP="00F011D7">
      <w:pPr>
        <w:pStyle w:val="paragraphsub"/>
      </w:pPr>
      <w:r w:rsidRPr="006E709F">
        <w:tab/>
        <w:t>(iii)</w:t>
      </w:r>
      <w:r w:rsidRPr="006E709F">
        <w:tab/>
        <w:t>each statement about the eligible international emissions unit that is published on the website of the Clean Energy Regulator as mentioned in section</w:t>
      </w:r>
      <w:r w:rsidR="00DA13DE" w:rsidRPr="006E709F">
        <w:t> </w:t>
      </w:r>
      <w:r w:rsidRPr="006E709F">
        <w:t xml:space="preserve">61 of the </w:t>
      </w:r>
      <w:r w:rsidRPr="006E709F">
        <w:rPr>
          <w:i/>
        </w:rPr>
        <w:t>Australian National Registry of Emissions Units Act 2011</w:t>
      </w:r>
      <w:r w:rsidRPr="006E709F">
        <w:t xml:space="preserve"> in deciding whether to acquire, or to continue to hold, the eligible international emissions unit.</w:t>
      </w:r>
    </w:p>
    <w:p w:rsidR="00F011D7" w:rsidRPr="006E709F" w:rsidRDefault="000577C6" w:rsidP="003C672B">
      <w:pPr>
        <w:pStyle w:val="ItemHead"/>
      </w:pPr>
      <w:r w:rsidRPr="006E709F">
        <w:t xml:space="preserve">19.17  </w:t>
      </w:r>
      <w:r w:rsidR="00F011D7" w:rsidRPr="006E709F">
        <w:t>Subsection</w:t>
      </w:r>
      <w:r w:rsidR="00DA13DE" w:rsidRPr="006E709F">
        <w:t> </w:t>
      </w:r>
      <w:r w:rsidR="00F011D7" w:rsidRPr="006E709F">
        <w:t>1018A(2)</w:t>
      </w:r>
    </w:p>
    <w:p w:rsidR="00A801D0" w:rsidRPr="006E709F" w:rsidRDefault="00A801D0" w:rsidP="00A801D0">
      <w:pPr>
        <w:pStyle w:val="Item"/>
        <w:rPr>
          <w:i/>
        </w:rPr>
      </w:pPr>
      <w:r w:rsidRPr="006E709F">
        <w:rPr>
          <w:i/>
        </w:rPr>
        <w:t>omit</w:t>
      </w:r>
    </w:p>
    <w:p w:rsidR="00F011D7" w:rsidRPr="006E709F" w:rsidRDefault="00F011D7" w:rsidP="00A801D0">
      <w:pPr>
        <w:pStyle w:val="Item"/>
      </w:pPr>
      <w:r w:rsidRPr="006E709F">
        <w:t>if a particular financial product, or proposed financial product, is not available for acquisition by persons as retail clients but it is reasonably likely that the product will become so available (whether or not it is, or will also become, available for acquisition by persons as wholesale clients) by way of issue, or pursuant to sale offers to which section</w:t>
      </w:r>
      <w:r w:rsidR="00DA13DE" w:rsidRPr="006E709F">
        <w:t> </w:t>
      </w:r>
      <w:r w:rsidRPr="006E709F">
        <w:t>1012C will apply,</w:t>
      </w:r>
    </w:p>
    <w:p w:rsidR="00A801D0" w:rsidRPr="006E709F" w:rsidRDefault="00A801D0" w:rsidP="00915C51">
      <w:pPr>
        <w:pStyle w:val="Item"/>
        <w:keepNext/>
        <w:rPr>
          <w:i/>
        </w:rPr>
      </w:pPr>
      <w:r w:rsidRPr="006E709F">
        <w:rPr>
          <w:i/>
        </w:rPr>
        <w:t>insert</w:t>
      </w:r>
    </w:p>
    <w:p w:rsidR="00F011D7" w:rsidRPr="006E709F" w:rsidRDefault="00F011D7" w:rsidP="00A801D0">
      <w:pPr>
        <w:pStyle w:val="Item"/>
      </w:pPr>
      <w:r w:rsidRPr="006E709F">
        <w:t>in an issue situation or sale situation for a financial product that is a carbon unit, an Australian carbon credit unit or an eligible international emissions unit and is not available for acquisition by persons as retail clients, but is reasonably likely to become so available (whether or not it is, or will also become, available for acquisition by persons as wholesale clients),</w:t>
      </w:r>
    </w:p>
    <w:p w:rsidR="00F011D7" w:rsidRPr="006E709F" w:rsidRDefault="000577C6" w:rsidP="003C672B">
      <w:pPr>
        <w:pStyle w:val="ItemHead"/>
      </w:pPr>
      <w:r w:rsidRPr="006E709F">
        <w:t xml:space="preserve">19.18  </w:t>
      </w:r>
      <w:r w:rsidR="00FF4176" w:rsidRPr="006E709F">
        <w:t>Subparagraph 1</w:t>
      </w:r>
      <w:r w:rsidR="00F011D7" w:rsidRPr="006E709F">
        <w:t>018A(2</w:t>
      </w:r>
      <w:r w:rsidR="00A801D0" w:rsidRPr="006E709F">
        <w:t>)(</w:t>
      </w:r>
      <w:r w:rsidR="00F011D7" w:rsidRPr="006E709F">
        <w:t>c</w:t>
      </w:r>
      <w:r w:rsidR="00A801D0" w:rsidRPr="006E709F">
        <w:t>)(</w:t>
      </w:r>
      <w:r w:rsidR="00F011D7" w:rsidRPr="006E709F">
        <w:t>ii)</w:t>
      </w:r>
    </w:p>
    <w:p w:rsidR="00A801D0" w:rsidRPr="006E709F" w:rsidRDefault="00A801D0" w:rsidP="00A801D0">
      <w:pPr>
        <w:pStyle w:val="Item"/>
        <w:rPr>
          <w:i/>
        </w:rPr>
      </w:pPr>
      <w:r w:rsidRPr="006E709F">
        <w:rPr>
          <w:i/>
        </w:rPr>
        <w:t>omit</w:t>
      </w:r>
    </w:p>
    <w:p w:rsidR="00F011D7" w:rsidRPr="006E709F" w:rsidRDefault="00F011D7" w:rsidP="00A801D0">
      <w:pPr>
        <w:pStyle w:val="Item"/>
      </w:pPr>
      <w:r w:rsidRPr="006E709F">
        <w:t>to which section</w:t>
      </w:r>
      <w:r w:rsidR="00DA13DE" w:rsidRPr="006E709F">
        <w:t> </w:t>
      </w:r>
      <w:r w:rsidRPr="006E709F">
        <w:t>1012C will apply</w:t>
      </w:r>
    </w:p>
    <w:p w:rsidR="00A801D0" w:rsidRPr="006E709F" w:rsidRDefault="00A801D0" w:rsidP="00A801D0">
      <w:pPr>
        <w:pStyle w:val="Item"/>
        <w:rPr>
          <w:i/>
        </w:rPr>
      </w:pPr>
      <w:r w:rsidRPr="006E709F">
        <w:rPr>
          <w:i/>
        </w:rPr>
        <w:t>insert</w:t>
      </w:r>
    </w:p>
    <w:p w:rsidR="00F011D7" w:rsidRPr="006E709F" w:rsidRDefault="00F011D7" w:rsidP="00A801D0">
      <w:pPr>
        <w:pStyle w:val="Item"/>
      </w:pPr>
      <w:r w:rsidRPr="006E709F">
        <w:lastRenderedPageBreak/>
        <w:t>to which paragraphs 1012</w:t>
      </w:r>
      <w:r w:rsidR="00E376FA" w:rsidRPr="006E709F">
        <w:t>C(</w:t>
      </w:r>
      <w:r w:rsidRPr="006E709F">
        <w:t>3)(b) and (4)(c), and subsection</w:t>
      </w:r>
      <w:r w:rsidR="00DA13DE" w:rsidRPr="006E709F">
        <w:t> </w:t>
      </w:r>
      <w:r w:rsidRPr="006E709F">
        <w:t>1012</w:t>
      </w:r>
      <w:r w:rsidR="00E376FA" w:rsidRPr="006E709F">
        <w:t>C(</w:t>
      </w:r>
      <w:r w:rsidRPr="006E709F">
        <w:t>6), would apply if section</w:t>
      </w:r>
      <w:r w:rsidR="00DA13DE" w:rsidRPr="006E709F">
        <w:t> </w:t>
      </w:r>
      <w:r w:rsidRPr="006E709F">
        <w:t>1012C were applicable in relation to a carbon unit, an Australian carbon credit unit or an eligible international emissions unit</w:t>
      </w:r>
    </w:p>
    <w:p w:rsidR="00F011D7" w:rsidRPr="006E709F" w:rsidRDefault="000577C6" w:rsidP="003C672B">
      <w:pPr>
        <w:pStyle w:val="ItemHead"/>
      </w:pPr>
      <w:r w:rsidRPr="006E709F">
        <w:t xml:space="preserve">19.19  </w:t>
      </w:r>
      <w:r w:rsidR="00F011D7" w:rsidRPr="006E709F">
        <w:t>Paragraphs 1018A(2</w:t>
      </w:r>
      <w:r w:rsidR="00A801D0" w:rsidRPr="006E709F">
        <w:t>)(</w:t>
      </w:r>
      <w:r w:rsidR="00F011D7" w:rsidRPr="006E709F">
        <w:t>d) to (f)</w:t>
      </w:r>
    </w:p>
    <w:p w:rsidR="00A801D0" w:rsidRPr="006E709F" w:rsidRDefault="00A801D0" w:rsidP="00A801D0">
      <w:pPr>
        <w:pStyle w:val="Item"/>
        <w:rPr>
          <w:i/>
        </w:rPr>
      </w:pPr>
      <w:r w:rsidRPr="006E709F">
        <w:rPr>
          <w:i/>
        </w:rPr>
        <w:t>substitute</w:t>
      </w:r>
    </w:p>
    <w:p w:rsidR="00F011D7" w:rsidRPr="006E709F" w:rsidRDefault="00F011D7" w:rsidP="00F011D7">
      <w:pPr>
        <w:pStyle w:val="paragraph"/>
      </w:pPr>
      <w:r w:rsidRPr="006E709F">
        <w:tab/>
        <w:t>(d)</w:t>
      </w:r>
      <w:r w:rsidRPr="006E709F">
        <w:tab/>
        <w:t>informs the person that:</w:t>
      </w:r>
    </w:p>
    <w:p w:rsidR="00F011D7" w:rsidRPr="006E709F" w:rsidRDefault="00F011D7" w:rsidP="00F011D7">
      <w:pPr>
        <w:pStyle w:val="paragraphsub"/>
      </w:pPr>
      <w:r w:rsidRPr="006E709F">
        <w:tab/>
        <w:t>(i)</w:t>
      </w:r>
      <w:r w:rsidRPr="006E709F">
        <w:tab/>
        <w:t>a statement about the carbon unit is published on the website of the Clean Energy Regulator as mentioned in section</w:t>
      </w:r>
      <w:r w:rsidR="00DA13DE" w:rsidRPr="006E709F">
        <w:t> </w:t>
      </w:r>
      <w:r w:rsidRPr="006E709F">
        <w:t xml:space="preserve">202 of the </w:t>
      </w:r>
      <w:r w:rsidRPr="006E709F">
        <w:rPr>
          <w:i/>
        </w:rPr>
        <w:t>Clean Energy Act 2011</w:t>
      </w:r>
      <w:r w:rsidRPr="006E709F">
        <w:t>; or</w:t>
      </w:r>
    </w:p>
    <w:p w:rsidR="00F011D7" w:rsidRPr="006E709F" w:rsidRDefault="00F011D7" w:rsidP="00F011D7">
      <w:pPr>
        <w:pStyle w:val="paragraphsub"/>
      </w:pPr>
      <w:r w:rsidRPr="006E709F">
        <w:tab/>
        <w:t>(ii)</w:t>
      </w:r>
      <w:r w:rsidRPr="006E709F">
        <w:tab/>
        <w:t>a statement about the Australian carbon credit unit is published on the website of the Clean Energy Regulator as mentioned in section</w:t>
      </w:r>
      <w:r w:rsidR="00DA13DE" w:rsidRPr="006E709F">
        <w:t> </w:t>
      </w:r>
      <w:r w:rsidRPr="006E709F">
        <w:t xml:space="preserve">162 of the </w:t>
      </w:r>
      <w:r w:rsidRPr="006E709F">
        <w:rPr>
          <w:i/>
        </w:rPr>
        <w:t>Carbon Credits (Carbon Farming Initiative) Act 2011</w:t>
      </w:r>
      <w:r w:rsidRPr="006E709F">
        <w:t>; or</w:t>
      </w:r>
    </w:p>
    <w:p w:rsidR="00F011D7" w:rsidRPr="006E709F" w:rsidRDefault="00F011D7" w:rsidP="00F011D7">
      <w:pPr>
        <w:pStyle w:val="paragraphsub"/>
      </w:pPr>
      <w:r w:rsidRPr="006E709F">
        <w:tab/>
        <w:t>(iii)</w:t>
      </w:r>
      <w:r w:rsidRPr="006E709F">
        <w:tab/>
        <w:t>a statement about the eligible international emissions unit is published on the website of the Clean Energy Regulator as mentioned in section</w:t>
      </w:r>
      <w:r w:rsidR="00DA13DE" w:rsidRPr="006E709F">
        <w:t> </w:t>
      </w:r>
      <w:r w:rsidRPr="006E709F">
        <w:t xml:space="preserve">61 of the </w:t>
      </w:r>
      <w:r w:rsidRPr="006E709F">
        <w:rPr>
          <w:i/>
        </w:rPr>
        <w:t>Australian National Registry of Emissions Units Act 2011</w:t>
      </w:r>
      <w:r w:rsidRPr="006E709F">
        <w:t>; and</w:t>
      </w:r>
    </w:p>
    <w:p w:rsidR="00F011D7" w:rsidRPr="006E709F" w:rsidRDefault="00F011D7" w:rsidP="00F011D7">
      <w:pPr>
        <w:pStyle w:val="paragraph"/>
      </w:pPr>
      <w:r w:rsidRPr="006E709F">
        <w:tab/>
        <w:t>(e)</w:t>
      </w:r>
      <w:r w:rsidRPr="006E709F">
        <w:tab/>
        <w:t>informs the person that the person should consider each statement about the carbon unit, Australian carbon credit unit or eligible international emissions unit that is published on that website in deciding whether to acquire, or to continue to hold, the carbon unit, Australian carbon credit unit or eligible international emissions unit.</w:t>
      </w:r>
    </w:p>
    <w:p w:rsidR="00F011D7" w:rsidRPr="006E709F" w:rsidRDefault="000577C6" w:rsidP="003C672B">
      <w:pPr>
        <w:pStyle w:val="ItemHead"/>
      </w:pPr>
      <w:r w:rsidRPr="006E709F">
        <w:t xml:space="preserve">19.20  </w:t>
      </w:r>
      <w:r w:rsidR="00F011D7" w:rsidRPr="006E709F">
        <w:t>Subsection</w:t>
      </w:r>
      <w:r w:rsidR="00DA13DE" w:rsidRPr="006E709F">
        <w:t> </w:t>
      </w:r>
      <w:r w:rsidR="00F011D7" w:rsidRPr="006E709F">
        <w:t>1018A(3)</w:t>
      </w:r>
    </w:p>
    <w:p w:rsidR="00A801D0" w:rsidRPr="006E709F" w:rsidRDefault="00A801D0" w:rsidP="00A801D0">
      <w:pPr>
        <w:pStyle w:val="Item"/>
        <w:rPr>
          <w:i/>
        </w:rPr>
      </w:pPr>
      <w:r w:rsidRPr="006E709F">
        <w:rPr>
          <w:i/>
        </w:rPr>
        <w:t>omit</w:t>
      </w:r>
    </w:p>
    <w:p w:rsidR="00F011D7" w:rsidRPr="006E709F" w:rsidRDefault="00F011D7" w:rsidP="00A801D0">
      <w:pPr>
        <w:pStyle w:val="Item"/>
      </w:pPr>
      <w:r w:rsidRPr="006E709F">
        <w:t>distribute a Product Disclosure Statement</w:t>
      </w:r>
    </w:p>
    <w:p w:rsidR="00A801D0" w:rsidRPr="006E709F" w:rsidRDefault="00A801D0" w:rsidP="00A801D0">
      <w:pPr>
        <w:pStyle w:val="Item"/>
        <w:rPr>
          <w:i/>
        </w:rPr>
      </w:pPr>
      <w:r w:rsidRPr="006E709F">
        <w:rPr>
          <w:i/>
        </w:rPr>
        <w:t>insert</w:t>
      </w:r>
    </w:p>
    <w:p w:rsidR="00F011D7" w:rsidRPr="006E709F" w:rsidRDefault="00F011D7" w:rsidP="00A801D0">
      <w:pPr>
        <w:pStyle w:val="Item"/>
      </w:pPr>
      <w:r w:rsidRPr="006E709F">
        <w:t>inform a person that the person should consider each statement about the carbon unit, Australian carbon credit unit or eligible international emissions unit that is published on the website of the Clean Energy Regulator as mentioned in section</w:t>
      </w:r>
      <w:r w:rsidR="00DA13DE" w:rsidRPr="006E709F">
        <w:t> </w:t>
      </w:r>
      <w:r w:rsidRPr="006E709F">
        <w:t xml:space="preserve">202 of the </w:t>
      </w:r>
      <w:r w:rsidRPr="006E709F">
        <w:rPr>
          <w:i/>
        </w:rPr>
        <w:t>Clean Energy Act 2011</w:t>
      </w:r>
      <w:r w:rsidRPr="006E709F">
        <w:t>, section</w:t>
      </w:r>
      <w:r w:rsidR="00DA13DE" w:rsidRPr="006E709F">
        <w:t> </w:t>
      </w:r>
      <w:r w:rsidRPr="006E709F">
        <w:t xml:space="preserve">162 of the </w:t>
      </w:r>
      <w:r w:rsidRPr="006E709F">
        <w:rPr>
          <w:i/>
        </w:rPr>
        <w:t>Carbon Credits (Carbon Farming Initiative) Act 2011</w:t>
      </w:r>
      <w:r w:rsidRPr="006E709F">
        <w:t xml:space="preserve"> or section</w:t>
      </w:r>
      <w:r w:rsidR="00DA13DE" w:rsidRPr="006E709F">
        <w:t> </w:t>
      </w:r>
      <w:r w:rsidRPr="006E709F">
        <w:t xml:space="preserve">61 of the </w:t>
      </w:r>
      <w:r w:rsidRPr="006E709F">
        <w:rPr>
          <w:i/>
        </w:rPr>
        <w:t>Australian National Registry of Emissions Units Act</w:t>
      </w:r>
      <w:r w:rsidR="00E376FA" w:rsidRPr="006E709F">
        <w:rPr>
          <w:i/>
        </w:rPr>
        <w:t xml:space="preserve"> </w:t>
      </w:r>
      <w:r w:rsidRPr="006E709F">
        <w:rPr>
          <w:i/>
        </w:rPr>
        <w:t>2011</w:t>
      </w:r>
    </w:p>
    <w:p w:rsidR="0048795D" w:rsidRPr="006E709F" w:rsidRDefault="000577C6" w:rsidP="003C672B">
      <w:pPr>
        <w:pStyle w:val="ItemHead"/>
      </w:pPr>
      <w:r w:rsidRPr="006E709F">
        <w:t xml:space="preserve">19.21  </w:t>
      </w:r>
      <w:r w:rsidR="00FF4176" w:rsidRPr="006E709F">
        <w:t>Subparagraph 1</w:t>
      </w:r>
      <w:r w:rsidR="00F011D7" w:rsidRPr="006E709F">
        <w:t>018A(4</w:t>
      </w:r>
      <w:r w:rsidR="00A801D0" w:rsidRPr="006E709F">
        <w:t>)(</w:t>
      </w:r>
      <w:r w:rsidR="00F011D7" w:rsidRPr="006E709F">
        <w:t>c</w:t>
      </w:r>
      <w:r w:rsidR="00A801D0" w:rsidRPr="006E709F">
        <w:t>)(</w:t>
      </w:r>
      <w:r w:rsidR="00F011D7" w:rsidRPr="006E709F">
        <w:t>i)</w:t>
      </w:r>
    </w:p>
    <w:p w:rsidR="00A801D0" w:rsidRPr="006E709F" w:rsidRDefault="00A801D0" w:rsidP="00A801D0">
      <w:pPr>
        <w:pStyle w:val="Item"/>
        <w:rPr>
          <w:i/>
        </w:rPr>
      </w:pPr>
      <w:r w:rsidRPr="006E709F">
        <w:rPr>
          <w:i/>
        </w:rPr>
        <w:t>substitute</w:t>
      </w:r>
    </w:p>
    <w:p w:rsidR="00F011D7" w:rsidRPr="006E709F" w:rsidRDefault="00F011D7" w:rsidP="00F011D7">
      <w:pPr>
        <w:pStyle w:val="paragraphsub"/>
      </w:pPr>
      <w:r w:rsidRPr="006E709F">
        <w:tab/>
        <w:t>(i)</w:t>
      </w:r>
      <w:r w:rsidRPr="006E709F">
        <w:tab/>
        <w:t>does not contain information that materially affects affairs of the issuer, other than information about the carbon unit, Australian carbon credit unit or eligible international emissions unit that is published:</w:t>
      </w:r>
    </w:p>
    <w:p w:rsidR="00F011D7" w:rsidRPr="006E709F" w:rsidRDefault="00F011D7" w:rsidP="00F011D7">
      <w:pPr>
        <w:pStyle w:val="paragraphsub"/>
        <w:tabs>
          <w:tab w:val="clear" w:pos="1985"/>
          <w:tab w:val="right" w:pos="2552"/>
        </w:tabs>
        <w:ind w:left="2694" w:hanging="2694"/>
      </w:pPr>
      <w:r w:rsidRPr="006E709F">
        <w:tab/>
        <w:t>(A)</w:t>
      </w:r>
      <w:r w:rsidRPr="006E709F">
        <w:tab/>
        <w:t>on the website of the Clean Energy Regulator as mentioned in section</w:t>
      </w:r>
      <w:r w:rsidR="00DA13DE" w:rsidRPr="006E709F">
        <w:t> </w:t>
      </w:r>
      <w:r w:rsidRPr="006E709F">
        <w:t xml:space="preserve">202 of the </w:t>
      </w:r>
      <w:r w:rsidRPr="006E709F">
        <w:rPr>
          <w:i/>
        </w:rPr>
        <w:t>Clean Energy Act 2011</w:t>
      </w:r>
      <w:r w:rsidRPr="006E709F">
        <w:t>, section</w:t>
      </w:r>
      <w:r w:rsidR="00DA13DE" w:rsidRPr="006E709F">
        <w:t> </w:t>
      </w:r>
      <w:r w:rsidRPr="006E709F">
        <w:t xml:space="preserve">162 of the </w:t>
      </w:r>
      <w:r w:rsidRPr="006E709F">
        <w:rPr>
          <w:i/>
        </w:rPr>
        <w:t>Carbon Credits (Carbon Farming Initiative) Act 2011</w:t>
      </w:r>
      <w:r w:rsidRPr="006E709F">
        <w:t xml:space="preserve"> or section</w:t>
      </w:r>
      <w:r w:rsidR="00DA13DE" w:rsidRPr="006E709F">
        <w:t> </w:t>
      </w:r>
      <w:r w:rsidRPr="006E709F">
        <w:t xml:space="preserve">61 of the </w:t>
      </w:r>
      <w:r w:rsidRPr="006E709F">
        <w:rPr>
          <w:i/>
        </w:rPr>
        <w:t>Australian National Registry of Emissions Units Act 2011</w:t>
      </w:r>
      <w:r w:rsidRPr="006E709F">
        <w:t>; or</w:t>
      </w:r>
    </w:p>
    <w:p w:rsidR="0048795D" w:rsidRPr="006E709F" w:rsidRDefault="00F011D7" w:rsidP="00F011D7">
      <w:pPr>
        <w:pStyle w:val="paragraphsub"/>
        <w:tabs>
          <w:tab w:val="clear" w:pos="1985"/>
          <w:tab w:val="right" w:pos="2552"/>
        </w:tabs>
        <w:ind w:left="2694" w:hanging="2694"/>
      </w:pPr>
      <w:r w:rsidRPr="006E709F">
        <w:tab/>
        <w:t>(B)</w:t>
      </w:r>
      <w:r w:rsidRPr="006E709F">
        <w:tab/>
        <w:t>in a disclosure document that has been lodged with ASIC; or</w:t>
      </w:r>
    </w:p>
    <w:p w:rsidR="00F011D7" w:rsidRPr="006E709F" w:rsidRDefault="00F011D7" w:rsidP="00F011D7">
      <w:pPr>
        <w:pStyle w:val="paragraphsub"/>
        <w:tabs>
          <w:tab w:val="clear" w:pos="1985"/>
          <w:tab w:val="right" w:pos="2552"/>
        </w:tabs>
        <w:ind w:left="2694" w:hanging="2694"/>
      </w:pPr>
      <w:r w:rsidRPr="006E709F">
        <w:lastRenderedPageBreak/>
        <w:tab/>
        <w:t>(C)</w:t>
      </w:r>
      <w:r w:rsidRPr="006E709F">
        <w:tab/>
        <w:t xml:space="preserve">in an annual report or in a notice or report referred to in </w:t>
      </w:r>
      <w:r w:rsidR="00DA13DE" w:rsidRPr="006E709F">
        <w:t>paragraph (</w:t>
      </w:r>
      <w:r w:rsidRPr="006E709F">
        <w:t>a) or (b); and</w:t>
      </w:r>
    </w:p>
    <w:p w:rsidR="00F011D7" w:rsidRPr="006E709F" w:rsidRDefault="000577C6" w:rsidP="003C672B">
      <w:pPr>
        <w:pStyle w:val="ItemHead"/>
      </w:pPr>
      <w:r w:rsidRPr="006E709F">
        <w:t xml:space="preserve">19.22  </w:t>
      </w:r>
      <w:r w:rsidR="00F011D7" w:rsidRPr="006E709F">
        <w:t>Subparagraphs</w:t>
      </w:r>
      <w:r w:rsidR="00DA13DE" w:rsidRPr="006E709F">
        <w:t> </w:t>
      </w:r>
      <w:r w:rsidR="00F011D7" w:rsidRPr="006E709F">
        <w:t>1018A(4</w:t>
      </w:r>
      <w:r w:rsidR="00A801D0" w:rsidRPr="006E709F">
        <w:t>)(</w:t>
      </w:r>
      <w:r w:rsidR="00F011D7" w:rsidRPr="006E709F">
        <w:t>d</w:t>
      </w:r>
      <w:r w:rsidR="00A801D0" w:rsidRPr="006E709F">
        <w:t>)(</w:t>
      </w:r>
      <w:r w:rsidR="00F011D7" w:rsidRPr="006E709F">
        <w:t>i) and (ii)</w:t>
      </w:r>
    </w:p>
    <w:p w:rsidR="00A801D0" w:rsidRPr="006E709F" w:rsidRDefault="00A801D0" w:rsidP="00A801D0">
      <w:pPr>
        <w:pStyle w:val="Item"/>
        <w:rPr>
          <w:i/>
        </w:rPr>
      </w:pPr>
      <w:r w:rsidRPr="006E709F">
        <w:rPr>
          <w:i/>
        </w:rPr>
        <w:t>substitute</w:t>
      </w:r>
    </w:p>
    <w:p w:rsidR="00F011D7" w:rsidRPr="006E709F" w:rsidRDefault="00F011D7" w:rsidP="00F011D7">
      <w:pPr>
        <w:pStyle w:val="paragraphsub"/>
      </w:pPr>
      <w:r w:rsidRPr="006E709F">
        <w:tab/>
        <w:t>(i)</w:t>
      </w:r>
      <w:r w:rsidRPr="006E709F">
        <w:tab/>
        <w:t>information about the carbon unit, Australian carbon credit unit or eligible international emissions unit that is published:</w:t>
      </w:r>
    </w:p>
    <w:p w:rsidR="00F011D7" w:rsidRPr="006E709F" w:rsidRDefault="00F011D7" w:rsidP="00F011D7">
      <w:pPr>
        <w:pStyle w:val="paragraphsub"/>
        <w:tabs>
          <w:tab w:val="clear" w:pos="1985"/>
          <w:tab w:val="right" w:pos="2552"/>
        </w:tabs>
        <w:ind w:left="2694" w:hanging="2694"/>
      </w:pPr>
      <w:r w:rsidRPr="006E709F">
        <w:tab/>
        <w:t>(A)</w:t>
      </w:r>
      <w:r w:rsidRPr="006E709F">
        <w:tab/>
        <w:t>on the website of the Clean Energy Regulator as mentioned in section</w:t>
      </w:r>
      <w:r w:rsidR="00DA13DE" w:rsidRPr="006E709F">
        <w:t> </w:t>
      </w:r>
      <w:r w:rsidRPr="006E709F">
        <w:t xml:space="preserve">202 of the </w:t>
      </w:r>
      <w:r w:rsidRPr="006E709F">
        <w:rPr>
          <w:i/>
        </w:rPr>
        <w:t>Clean Energy Act 2011</w:t>
      </w:r>
      <w:r w:rsidRPr="006E709F">
        <w:t>, section</w:t>
      </w:r>
      <w:r w:rsidR="00DA13DE" w:rsidRPr="006E709F">
        <w:t> </w:t>
      </w:r>
      <w:r w:rsidRPr="006E709F">
        <w:t xml:space="preserve">162 of the </w:t>
      </w:r>
      <w:r w:rsidRPr="006E709F">
        <w:rPr>
          <w:i/>
        </w:rPr>
        <w:t>Carbon Credits (Carbon Farming Initiative) Act 2011</w:t>
      </w:r>
      <w:r w:rsidRPr="006E709F">
        <w:t xml:space="preserve"> or section</w:t>
      </w:r>
      <w:r w:rsidR="00DA13DE" w:rsidRPr="006E709F">
        <w:t> </w:t>
      </w:r>
      <w:r w:rsidRPr="006E709F">
        <w:t xml:space="preserve">61 of the </w:t>
      </w:r>
      <w:r w:rsidRPr="006E709F">
        <w:rPr>
          <w:i/>
        </w:rPr>
        <w:t>Australian National Registry of Emissions Units Act 2011</w:t>
      </w:r>
      <w:r w:rsidRPr="006E709F">
        <w:t>; or</w:t>
      </w:r>
    </w:p>
    <w:p w:rsidR="0048795D" w:rsidRPr="006E709F" w:rsidRDefault="00F011D7" w:rsidP="00F011D7">
      <w:pPr>
        <w:pStyle w:val="paragraphsub"/>
        <w:tabs>
          <w:tab w:val="clear" w:pos="1985"/>
          <w:tab w:val="right" w:pos="2552"/>
        </w:tabs>
        <w:ind w:left="2694" w:hanging="2694"/>
      </w:pPr>
      <w:r w:rsidRPr="006E709F">
        <w:tab/>
        <w:t>(B)</w:t>
      </w:r>
      <w:r w:rsidRPr="006E709F">
        <w:tab/>
        <w:t>in a disclosure document that has been lodged with ASIC; or</w:t>
      </w:r>
    </w:p>
    <w:p w:rsidR="00F011D7" w:rsidRPr="006E709F" w:rsidRDefault="000577C6" w:rsidP="003C672B">
      <w:pPr>
        <w:pStyle w:val="ItemHead"/>
      </w:pPr>
      <w:r w:rsidRPr="006E709F">
        <w:t xml:space="preserve">19.23  </w:t>
      </w:r>
      <w:r w:rsidR="00FF4176" w:rsidRPr="006E709F">
        <w:t>Paragraph 1</w:t>
      </w:r>
      <w:r w:rsidR="00F011D7" w:rsidRPr="006E709F">
        <w:t>020D(b)</w:t>
      </w:r>
    </w:p>
    <w:p w:rsidR="00A801D0" w:rsidRPr="006E709F" w:rsidRDefault="00A801D0" w:rsidP="00A801D0">
      <w:pPr>
        <w:pStyle w:val="Item"/>
        <w:rPr>
          <w:i/>
        </w:rPr>
      </w:pPr>
      <w:r w:rsidRPr="006E709F">
        <w:rPr>
          <w:i/>
        </w:rPr>
        <w:t>substitute</w:t>
      </w:r>
    </w:p>
    <w:p w:rsidR="00F011D7" w:rsidRPr="006E709F" w:rsidRDefault="00F011D7" w:rsidP="00F011D7">
      <w:pPr>
        <w:pStyle w:val="paragraph"/>
      </w:pPr>
      <w:r w:rsidRPr="006E709F">
        <w:tab/>
        <w:t>(b)</w:t>
      </w:r>
      <w:r w:rsidRPr="006E709F">
        <w:tab/>
        <w:t xml:space="preserve">if the acquisition occurs in circumstances in which the party is required by a provision of this </w:t>
      </w:r>
      <w:r w:rsidR="00A801D0" w:rsidRPr="006E709F">
        <w:t>Part</w:t>
      </w:r>
      <w:r w:rsidR="00E376FA" w:rsidRPr="006E709F">
        <w:t xml:space="preserve"> </w:t>
      </w:r>
      <w:r w:rsidRPr="006E709F">
        <w:t>to have been informed that the party should consider each statement about the carbon unit, Australian carbon credit unit or eligible international emissions unit that is published on the website of the Clean Energy Regulator as mentioned in section</w:t>
      </w:r>
      <w:r w:rsidR="00DA13DE" w:rsidRPr="006E709F">
        <w:t> </w:t>
      </w:r>
      <w:r w:rsidRPr="006E709F">
        <w:t xml:space="preserve">202 of the </w:t>
      </w:r>
      <w:r w:rsidRPr="006E709F">
        <w:rPr>
          <w:i/>
        </w:rPr>
        <w:t>Clean Energy Act 2011</w:t>
      </w:r>
      <w:r w:rsidRPr="006E709F">
        <w:t>, section</w:t>
      </w:r>
      <w:r w:rsidR="00DA13DE" w:rsidRPr="006E709F">
        <w:t> </w:t>
      </w:r>
      <w:r w:rsidRPr="006E709F">
        <w:t xml:space="preserve">162 of the </w:t>
      </w:r>
      <w:r w:rsidRPr="006E709F">
        <w:rPr>
          <w:i/>
        </w:rPr>
        <w:t>Carbon Credits (Carbon Farming Initiative) Act</w:t>
      </w:r>
      <w:r w:rsidR="00E376FA" w:rsidRPr="006E709F">
        <w:rPr>
          <w:i/>
        </w:rPr>
        <w:t xml:space="preserve"> </w:t>
      </w:r>
      <w:r w:rsidRPr="006E709F">
        <w:rPr>
          <w:i/>
        </w:rPr>
        <w:t>2011</w:t>
      </w:r>
      <w:r w:rsidRPr="006E709F">
        <w:t xml:space="preserve"> or section</w:t>
      </w:r>
      <w:r w:rsidR="00DA13DE" w:rsidRPr="006E709F">
        <w:t> </w:t>
      </w:r>
      <w:r w:rsidRPr="006E709F">
        <w:t xml:space="preserve">61 of the </w:t>
      </w:r>
      <w:r w:rsidRPr="006E709F">
        <w:rPr>
          <w:i/>
        </w:rPr>
        <w:t>Australian National Registry of Emissions Units Act</w:t>
      </w:r>
      <w:r w:rsidR="00E376FA" w:rsidRPr="006E709F">
        <w:rPr>
          <w:i/>
        </w:rPr>
        <w:t xml:space="preserve"> </w:t>
      </w:r>
      <w:r w:rsidRPr="006E709F">
        <w:rPr>
          <w:i/>
        </w:rPr>
        <w:t>2011</w:t>
      </w:r>
      <w:r w:rsidRPr="006E709F">
        <w:t>—taken to have notice of any contract, document or matter not specifically referred to in those statements.</w:t>
      </w:r>
    </w:p>
    <w:p w:rsidR="00F011D7" w:rsidRPr="006E709F" w:rsidRDefault="000577C6" w:rsidP="003C672B">
      <w:pPr>
        <w:pStyle w:val="ItemHead"/>
      </w:pPr>
      <w:r w:rsidRPr="006E709F">
        <w:t xml:space="preserve">19.24  </w:t>
      </w:r>
      <w:r w:rsidR="00FF4176" w:rsidRPr="006E709F">
        <w:t>Paragraph 1</w:t>
      </w:r>
      <w:r w:rsidR="00F011D7" w:rsidRPr="006E709F">
        <w:t>020E(7</w:t>
      </w:r>
      <w:r w:rsidR="00A801D0" w:rsidRPr="006E709F">
        <w:t>)(</w:t>
      </w:r>
      <w:r w:rsidR="00F011D7" w:rsidRPr="006E709F">
        <w:t>b)</w:t>
      </w:r>
    </w:p>
    <w:p w:rsidR="00A801D0" w:rsidRPr="006E709F" w:rsidRDefault="00A801D0" w:rsidP="00A801D0">
      <w:pPr>
        <w:pStyle w:val="Item"/>
        <w:rPr>
          <w:i/>
        </w:rPr>
      </w:pPr>
      <w:r w:rsidRPr="006E709F">
        <w:rPr>
          <w:i/>
        </w:rPr>
        <w:t>omit</w:t>
      </w:r>
    </w:p>
    <w:p w:rsidR="00F011D7" w:rsidRPr="006E709F" w:rsidRDefault="00F011D7" w:rsidP="00A801D0">
      <w:pPr>
        <w:pStyle w:val="Item"/>
      </w:pPr>
      <w:r w:rsidRPr="006E709F">
        <w:t>the document, advertisement or statement</w:t>
      </w:r>
    </w:p>
    <w:p w:rsidR="00A801D0" w:rsidRPr="006E709F" w:rsidRDefault="00A801D0" w:rsidP="00A801D0">
      <w:pPr>
        <w:pStyle w:val="Item"/>
        <w:rPr>
          <w:i/>
        </w:rPr>
      </w:pPr>
      <w:r w:rsidRPr="006E709F">
        <w:rPr>
          <w:i/>
        </w:rPr>
        <w:t>insert</w:t>
      </w:r>
    </w:p>
    <w:p w:rsidR="00F011D7" w:rsidRPr="006E709F" w:rsidRDefault="00F011D7" w:rsidP="00A801D0">
      <w:pPr>
        <w:pStyle w:val="Item"/>
      </w:pPr>
      <w:r w:rsidRPr="006E709F">
        <w:t>the statement or advertisement</w:t>
      </w:r>
    </w:p>
    <w:p w:rsidR="00F011D7" w:rsidRPr="006E709F" w:rsidRDefault="003C672B" w:rsidP="003811A2">
      <w:pPr>
        <w:pStyle w:val="ItemHead"/>
      </w:pPr>
      <w:r w:rsidRPr="006E709F">
        <w:t xml:space="preserve">19.25  </w:t>
      </w:r>
      <w:r w:rsidR="00F011D7" w:rsidRPr="006E709F">
        <w:t>Section</w:t>
      </w:r>
      <w:r w:rsidR="00DA13DE" w:rsidRPr="006E709F">
        <w:t> </w:t>
      </w:r>
      <w:r w:rsidR="00F011D7" w:rsidRPr="006E709F">
        <w:t>1021C, heading</w:t>
      </w:r>
    </w:p>
    <w:p w:rsidR="00A801D0" w:rsidRPr="006E709F" w:rsidRDefault="00A801D0" w:rsidP="003811A2">
      <w:pPr>
        <w:pStyle w:val="Item"/>
        <w:keepNext/>
        <w:rPr>
          <w:i/>
        </w:rPr>
      </w:pPr>
      <w:r w:rsidRPr="006E709F">
        <w:rPr>
          <w:i/>
        </w:rPr>
        <w:t>substitute</w:t>
      </w:r>
    </w:p>
    <w:p w:rsidR="00F011D7" w:rsidRPr="006E709F" w:rsidRDefault="00F011D7" w:rsidP="002D66C6">
      <w:pPr>
        <w:pStyle w:val="Specials"/>
      </w:pPr>
      <w:r w:rsidRPr="006E709F">
        <w:t>1021C  Offence of failing to refer to statements on Clean Energy Regulator’s website</w:t>
      </w:r>
    </w:p>
    <w:p w:rsidR="00F011D7" w:rsidRPr="006E709F" w:rsidRDefault="000577C6" w:rsidP="003C672B">
      <w:pPr>
        <w:pStyle w:val="ItemHead"/>
      </w:pPr>
      <w:r w:rsidRPr="006E709F">
        <w:t xml:space="preserve">19.26  </w:t>
      </w:r>
      <w:r w:rsidR="00FF4176" w:rsidRPr="006E709F">
        <w:t>Subparagraph 1</w:t>
      </w:r>
      <w:r w:rsidR="00F011D7" w:rsidRPr="006E709F">
        <w:t>021C(1</w:t>
      </w:r>
      <w:r w:rsidR="00A801D0" w:rsidRPr="006E709F">
        <w:t>)(</w:t>
      </w:r>
      <w:r w:rsidR="00F011D7" w:rsidRPr="006E709F">
        <w:t>a</w:t>
      </w:r>
      <w:r w:rsidR="00A801D0" w:rsidRPr="006E709F">
        <w:t>)(</w:t>
      </w:r>
      <w:r w:rsidR="00F011D7" w:rsidRPr="006E709F">
        <w:t>i)</w:t>
      </w:r>
    </w:p>
    <w:p w:rsidR="00A801D0" w:rsidRPr="006E709F" w:rsidRDefault="00A801D0" w:rsidP="00A801D0">
      <w:pPr>
        <w:pStyle w:val="Item"/>
        <w:rPr>
          <w:i/>
        </w:rPr>
      </w:pPr>
      <w:r w:rsidRPr="006E709F">
        <w:rPr>
          <w:i/>
        </w:rPr>
        <w:t>substitute</w:t>
      </w:r>
    </w:p>
    <w:p w:rsidR="00F011D7" w:rsidRPr="006E709F" w:rsidRDefault="00F011D7" w:rsidP="00F011D7">
      <w:pPr>
        <w:pStyle w:val="paragraphsub"/>
      </w:pPr>
      <w:r w:rsidRPr="006E709F">
        <w:tab/>
        <w:t>(i)</w:t>
      </w:r>
      <w:r w:rsidRPr="006E709F">
        <w:tab/>
        <w:t xml:space="preserve">is required by a provision of this </w:t>
      </w:r>
      <w:r w:rsidR="00A801D0" w:rsidRPr="006E709F">
        <w:t>Part</w:t>
      </w:r>
      <w:r w:rsidR="00E376FA" w:rsidRPr="006E709F">
        <w:t xml:space="preserve"> </w:t>
      </w:r>
      <w:r w:rsidRPr="006E709F">
        <w:t>to inform a person that the person should consider each statement about a carbon unit, an Australian carbon credit unit or an eligible international emissions unit that is published on the website of the Clean Energy Regulator as mentioned in section</w:t>
      </w:r>
      <w:r w:rsidR="00DA13DE" w:rsidRPr="006E709F">
        <w:t> </w:t>
      </w:r>
      <w:r w:rsidRPr="006E709F">
        <w:t xml:space="preserve">202 of the </w:t>
      </w:r>
      <w:r w:rsidRPr="006E709F">
        <w:rPr>
          <w:i/>
        </w:rPr>
        <w:t>Clean Energy Act</w:t>
      </w:r>
      <w:r w:rsidR="00E376FA" w:rsidRPr="006E709F">
        <w:rPr>
          <w:i/>
        </w:rPr>
        <w:t xml:space="preserve"> </w:t>
      </w:r>
      <w:r w:rsidRPr="006E709F">
        <w:rPr>
          <w:i/>
        </w:rPr>
        <w:t>2011</w:t>
      </w:r>
      <w:r w:rsidRPr="006E709F">
        <w:t>, section</w:t>
      </w:r>
      <w:r w:rsidR="00DA13DE" w:rsidRPr="006E709F">
        <w:t> </w:t>
      </w:r>
      <w:r w:rsidRPr="006E709F">
        <w:t xml:space="preserve">162 </w:t>
      </w:r>
      <w:r w:rsidRPr="006E709F">
        <w:lastRenderedPageBreak/>
        <w:t xml:space="preserve">of the </w:t>
      </w:r>
      <w:r w:rsidRPr="006E709F">
        <w:rPr>
          <w:i/>
        </w:rPr>
        <w:t>Carbon Credits (Carbon Farming Initiative) Act</w:t>
      </w:r>
      <w:r w:rsidR="00E376FA" w:rsidRPr="006E709F">
        <w:rPr>
          <w:i/>
        </w:rPr>
        <w:t xml:space="preserve"> </w:t>
      </w:r>
      <w:r w:rsidRPr="006E709F">
        <w:rPr>
          <w:i/>
        </w:rPr>
        <w:t>2011</w:t>
      </w:r>
      <w:r w:rsidRPr="006E709F">
        <w:t xml:space="preserve"> or section</w:t>
      </w:r>
      <w:r w:rsidR="00DA13DE" w:rsidRPr="006E709F">
        <w:t> </w:t>
      </w:r>
      <w:r w:rsidRPr="006E709F">
        <w:t xml:space="preserve">61 of the </w:t>
      </w:r>
      <w:r w:rsidRPr="006E709F">
        <w:rPr>
          <w:i/>
        </w:rPr>
        <w:t>Australian National Registry of Emissions Units Act</w:t>
      </w:r>
      <w:r w:rsidR="00E376FA" w:rsidRPr="006E709F">
        <w:rPr>
          <w:i/>
        </w:rPr>
        <w:t xml:space="preserve"> </w:t>
      </w:r>
      <w:r w:rsidRPr="006E709F">
        <w:rPr>
          <w:i/>
        </w:rPr>
        <w:t>2011</w:t>
      </w:r>
      <w:r w:rsidRPr="006E709F">
        <w:t xml:space="preserve"> (the </w:t>
      </w:r>
      <w:r w:rsidRPr="006E709F">
        <w:rPr>
          <w:b/>
          <w:bCs/>
          <w:i/>
          <w:iCs/>
        </w:rPr>
        <w:t>required statement</w:t>
      </w:r>
      <w:r w:rsidRPr="006E709F">
        <w:t>); or</w:t>
      </w:r>
    </w:p>
    <w:p w:rsidR="00F011D7" w:rsidRPr="006E709F" w:rsidRDefault="000577C6" w:rsidP="003C672B">
      <w:pPr>
        <w:pStyle w:val="ItemHead"/>
      </w:pPr>
      <w:r w:rsidRPr="006E709F">
        <w:t xml:space="preserve">19.27  </w:t>
      </w:r>
      <w:r w:rsidR="00FF4176" w:rsidRPr="006E709F">
        <w:t>Subparagraph 1</w:t>
      </w:r>
      <w:r w:rsidR="00F011D7" w:rsidRPr="006E709F">
        <w:t>021C(1</w:t>
      </w:r>
      <w:r w:rsidR="00A801D0" w:rsidRPr="006E709F">
        <w:t>)(</w:t>
      </w:r>
      <w:r w:rsidR="00F011D7" w:rsidRPr="006E709F">
        <w:t>b</w:t>
      </w:r>
      <w:r w:rsidR="00A801D0" w:rsidRPr="006E709F">
        <w:t>)(</w:t>
      </w:r>
      <w:r w:rsidR="00F011D7" w:rsidRPr="006E709F">
        <w:t>i)</w:t>
      </w:r>
    </w:p>
    <w:p w:rsidR="00A801D0" w:rsidRPr="006E709F" w:rsidRDefault="00A801D0" w:rsidP="00A801D0">
      <w:pPr>
        <w:pStyle w:val="Item"/>
        <w:rPr>
          <w:i/>
        </w:rPr>
      </w:pPr>
      <w:r w:rsidRPr="006E709F">
        <w:rPr>
          <w:i/>
        </w:rPr>
        <w:t>substitute</w:t>
      </w:r>
    </w:p>
    <w:p w:rsidR="00F011D7" w:rsidRPr="006E709F" w:rsidRDefault="00F011D7" w:rsidP="00F011D7">
      <w:pPr>
        <w:pStyle w:val="paragraphsub"/>
      </w:pPr>
      <w:r w:rsidRPr="006E709F">
        <w:tab/>
        <w:t>(i)</w:t>
      </w:r>
      <w:r w:rsidRPr="006E709F">
        <w:tab/>
        <w:t xml:space="preserve">if </w:t>
      </w:r>
      <w:r w:rsidR="00DA13DE" w:rsidRPr="006E709F">
        <w:t>subparagraph (</w:t>
      </w:r>
      <w:r w:rsidRPr="006E709F">
        <w:t>a)(i) applies—inform the person that the person should consider each required statement; or</w:t>
      </w:r>
    </w:p>
    <w:p w:rsidR="00F011D7" w:rsidRPr="006E709F" w:rsidRDefault="000577C6" w:rsidP="003C672B">
      <w:pPr>
        <w:pStyle w:val="ItemHead"/>
      </w:pPr>
      <w:r w:rsidRPr="006E709F">
        <w:t xml:space="preserve">19.28  </w:t>
      </w:r>
      <w:r w:rsidR="00FF4176" w:rsidRPr="006E709F">
        <w:t>Subparagraph 1</w:t>
      </w:r>
      <w:r w:rsidR="00F011D7" w:rsidRPr="006E709F">
        <w:t>021C(3</w:t>
      </w:r>
      <w:r w:rsidR="00A801D0" w:rsidRPr="006E709F">
        <w:t>)(</w:t>
      </w:r>
      <w:r w:rsidR="00F011D7" w:rsidRPr="006E709F">
        <w:t>a</w:t>
      </w:r>
      <w:r w:rsidR="00A801D0" w:rsidRPr="006E709F">
        <w:t>)(</w:t>
      </w:r>
      <w:r w:rsidR="00F011D7" w:rsidRPr="006E709F">
        <w:t>i)</w:t>
      </w:r>
    </w:p>
    <w:p w:rsidR="00A801D0" w:rsidRPr="006E709F" w:rsidRDefault="00A801D0" w:rsidP="00A801D0">
      <w:pPr>
        <w:pStyle w:val="Item"/>
        <w:rPr>
          <w:i/>
        </w:rPr>
      </w:pPr>
      <w:r w:rsidRPr="006E709F">
        <w:rPr>
          <w:i/>
        </w:rPr>
        <w:t>substitute</w:t>
      </w:r>
    </w:p>
    <w:p w:rsidR="00F011D7" w:rsidRPr="006E709F" w:rsidRDefault="00F011D7" w:rsidP="00F011D7">
      <w:pPr>
        <w:pStyle w:val="paragraphsub"/>
      </w:pPr>
      <w:r w:rsidRPr="006E709F">
        <w:tab/>
        <w:t>(i)</w:t>
      </w:r>
      <w:r w:rsidRPr="006E709F">
        <w:tab/>
        <w:t xml:space="preserve">is required by a provision of this </w:t>
      </w:r>
      <w:r w:rsidR="00A801D0" w:rsidRPr="006E709F">
        <w:t>Part</w:t>
      </w:r>
      <w:r w:rsidR="00E376FA" w:rsidRPr="006E709F">
        <w:t xml:space="preserve"> </w:t>
      </w:r>
      <w:r w:rsidRPr="006E709F">
        <w:t>to inform a person that the person should consider each statement about a carbon unit, an Australian carbon credit unit or an eligible international emissions unit that is published on the website of the Clean Energy Regulator as mentioned in section</w:t>
      </w:r>
      <w:r w:rsidR="00DA13DE" w:rsidRPr="006E709F">
        <w:t> </w:t>
      </w:r>
      <w:r w:rsidRPr="006E709F">
        <w:t xml:space="preserve">202 of the </w:t>
      </w:r>
      <w:r w:rsidRPr="006E709F">
        <w:rPr>
          <w:i/>
        </w:rPr>
        <w:t>Clean Energy Act</w:t>
      </w:r>
      <w:r w:rsidR="00E376FA" w:rsidRPr="006E709F">
        <w:rPr>
          <w:i/>
        </w:rPr>
        <w:t xml:space="preserve"> </w:t>
      </w:r>
      <w:r w:rsidRPr="006E709F">
        <w:rPr>
          <w:i/>
        </w:rPr>
        <w:t>2011</w:t>
      </w:r>
      <w:r w:rsidRPr="006E709F">
        <w:t>, section</w:t>
      </w:r>
      <w:r w:rsidR="00DA13DE" w:rsidRPr="006E709F">
        <w:t> </w:t>
      </w:r>
      <w:r w:rsidRPr="006E709F">
        <w:t xml:space="preserve">162 of the </w:t>
      </w:r>
      <w:r w:rsidRPr="006E709F">
        <w:rPr>
          <w:i/>
        </w:rPr>
        <w:t>Carbon Credits (Carbon Farming Initiative) Act</w:t>
      </w:r>
      <w:r w:rsidR="00E376FA" w:rsidRPr="006E709F">
        <w:rPr>
          <w:i/>
        </w:rPr>
        <w:t xml:space="preserve"> </w:t>
      </w:r>
      <w:r w:rsidRPr="006E709F">
        <w:rPr>
          <w:i/>
        </w:rPr>
        <w:t>2011</w:t>
      </w:r>
      <w:r w:rsidRPr="006E709F">
        <w:t xml:space="preserve"> or section</w:t>
      </w:r>
      <w:r w:rsidR="00DA13DE" w:rsidRPr="006E709F">
        <w:t> </w:t>
      </w:r>
      <w:r w:rsidRPr="006E709F">
        <w:t xml:space="preserve">61 of the </w:t>
      </w:r>
      <w:r w:rsidRPr="006E709F">
        <w:rPr>
          <w:i/>
        </w:rPr>
        <w:t>Australian National Registry of Emissions Units Act</w:t>
      </w:r>
      <w:r w:rsidR="00E376FA" w:rsidRPr="006E709F">
        <w:rPr>
          <w:i/>
        </w:rPr>
        <w:t xml:space="preserve"> </w:t>
      </w:r>
      <w:r w:rsidRPr="006E709F">
        <w:rPr>
          <w:i/>
        </w:rPr>
        <w:t>2011</w:t>
      </w:r>
      <w:r w:rsidRPr="006E709F">
        <w:t xml:space="preserve"> (the </w:t>
      </w:r>
      <w:r w:rsidRPr="006E709F">
        <w:rPr>
          <w:b/>
          <w:bCs/>
          <w:i/>
          <w:iCs/>
        </w:rPr>
        <w:t>required statement</w:t>
      </w:r>
      <w:r w:rsidRPr="006E709F">
        <w:t>); or</w:t>
      </w:r>
    </w:p>
    <w:p w:rsidR="00F011D7" w:rsidRPr="006E709F" w:rsidRDefault="000577C6" w:rsidP="003C672B">
      <w:pPr>
        <w:pStyle w:val="ItemHead"/>
      </w:pPr>
      <w:r w:rsidRPr="006E709F">
        <w:t xml:space="preserve">19.29  </w:t>
      </w:r>
      <w:r w:rsidR="00FF4176" w:rsidRPr="006E709F">
        <w:t>Subparagraph 1</w:t>
      </w:r>
      <w:r w:rsidR="00F011D7" w:rsidRPr="006E709F">
        <w:t>021C(3</w:t>
      </w:r>
      <w:r w:rsidR="00A801D0" w:rsidRPr="006E709F">
        <w:t>)(</w:t>
      </w:r>
      <w:r w:rsidR="00F011D7" w:rsidRPr="006E709F">
        <w:t>b</w:t>
      </w:r>
      <w:r w:rsidR="00A801D0" w:rsidRPr="006E709F">
        <w:t>)(</w:t>
      </w:r>
      <w:r w:rsidR="00F011D7" w:rsidRPr="006E709F">
        <w:t>i)</w:t>
      </w:r>
    </w:p>
    <w:p w:rsidR="00A801D0" w:rsidRPr="006E709F" w:rsidRDefault="00A801D0" w:rsidP="00A801D0">
      <w:pPr>
        <w:pStyle w:val="Item"/>
        <w:rPr>
          <w:i/>
        </w:rPr>
      </w:pPr>
      <w:r w:rsidRPr="006E709F">
        <w:rPr>
          <w:i/>
        </w:rPr>
        <w:t>substitute</w:t>
      </w:r>
    </w:p>
    <w:p w:rsidR="00F011D7" w:rsidRPr="006E709F" w:rsidRDefault="00F011D7" w:rsidP="00F011D7">
      <w:pPr>
        <w:pStyle w:val="paragraphsub"/>
      </w:pPr>
      <w:r w:rsidRPr="006E709F">
        <w:tab/>
        <w:t>(i)</w:t>
      </w:r>
      <w:r w:rsidRPr="006E709F">
        <w:tab/>
        <w:t xml:space="preserve">if </w:t>
      </w:r>
      <w:r w:rsidR="00DA13DE" w:rsidRPr="006E709F">
        <w:t>subparagraph (</w:t>
      </w:r>
      <w:r w:rsidRPr="006E709F">
        <w:t>a)(i) applies—inform the person that the person should consider each required statement; or</w:t>
      </w:r>
    </w:p>
    <w:p w:rsidR="00F011D7" w:rsidRPr="006E709F" w:rsidRDefault="000577C6" w:rsidP="003C672B">
      <w:pPr>
        <w:pStyle w:val="ItemHead"/>
      </w:pPr>
      <w:r w:rsidRPr="006E709F">
        <w:t xml:space="preserve">19.30  </w:t>
      </w:r>
      <w:r w:rsidR="00FF4176" w:rsidRPr="006E709F">
        <w:t>Paragraph 1</w:t>
      </w:r>
      <w:r w:rsidR="00F011D7" w:rsidRPr="006E709F">
        <w:t>021C(4</w:t>
      </w:r>
      <w:r w:rsidR="00A801D0" w:rsidRPr="006E709F">
        <w:t>)(</w:t>
      </w:r>
      <w:r w:rsidR="00F011D7" w:rsidRPr="006E709F">
        <w:t>b)</w:t>
      </w:r>
    </w:p>
    <w:p w:rsidR="00A801D0" w:rsidRPr="006E709F" w:rsidRDefault="00A801D0" w:rsidP="00A801D0">
      <w:pPr>
        <w:pStyle w:val="Item"/>
        <w:rPr>
          <w:i/>
        </w:rPr>
      </w:pPr>
      <w:r w:rsidRPr="006E709F">
        <w:rPr>
          <w:i/>
        </w:rPr>
        <w:t>substitute</w:t>
      </w:r>
    </w:p>
    <w:p w:rsidR="00F011D7" w:rsidRPr="006E709F" w:rsidRDefault="00F011D7" w:rsidP="00F011D7">
      <w:pPr>
        <w:pStyle w:val="paragraph"/>
      </w:pPr>
      <w:r w:rsidRPr="006E709F">
        <w:tab/>
        <w:t>(b)</w:t>
      </w:r>
      <w:r w:rsidRPr="006E709F">
        <w:tab/>
        <w:t>the representative’s failure to inform the person that the person should consider each required statement occurred because the representative was acting in reliance on that information or those instructions; and</w:t>
      </w:r>
    </w:p>
    <w:p w:rsidR="00F011D7" w:rsidRPr="006E709F" w:rsidRDefault="000577C6" w:rsidP="003C672B">
      <w:pPr>
        <w:pStyle w:val="ItemHead"/>
      </w:pPr>
      <w:r w:rsidRPr="006E709F">
        <w:t xml:space="preserve">19.31  </w:t>
      </w:r>
      <w:r w:rsidR="00F011D7" w:rsidRPr="006E709F">
        <w:t>Section</w:t>
      </w:r>
      <w:r w:rsidR="00DA13DE" w:rsidRPr="006E709F">
        <w:t> </w:t>
      </w:r>
      <w:r w:rsidR="00F011D7" w:rsidRPr="006E709F">
        <w:t>1021G</w:t>
      </w:r>
    </w:p>
    <w:p w:rsidR="00A801D0" w:rsidRPr="006E709F" w:rsidRDefault="00A801D0" w:rsidP="00A801D0">
      <w:pPr>
        <w:pStyle w:val="Item"/>
        <w:rPr>
          <w:i/>
        </w:rPr>
      </w:pPr>
      <w:r w:rsidRPr="006E709F">
        <w:rPr>
          <w:i/>
        </w:rPr>
        <w:t>omit</w:t>
      </w:r>
    </w:p>
    <w:p w:rsidR="00F011D7" w:rsidRPr="006E709F" w:rsidRDefault="00F011D7" w:rsidP="00A801D0">
      <w:pPr>
        <w:pStyle w:val="Item"/>
      </w:pPr>
      <w:r w:rsidRPr="006E709F">
        <w:t>to give or communicate disclosure documents or statements as and when required by this Part.</w:t>
      </w:r>
    </w:p>
    <w:p w:rsidR="00A801D0" w:rsidRPr="006E709F" w:rsidRDefault="00A801D0" w:rsidP="00A801D0">
      <w:pPr>
        <w:pStyle w:val="Item"/>
        <w:rPr>
          <w:i/>
        </w:rPr>
      </w:pPr>
      <w:r w:rsidRPr="006E709F">
        <w:rPr>
          <w:i/>
        </w:rPr>
        <w:t>insert</w:t>
      </w:r>
    </w:p>
    <w:p w:rsidR="00F011D7" w:rsidRPr="006E709F" w:rsidRDefault="00F011D7" w:rsidP="00A801D0">
      <w:pPr>
        <w:pStyle w:val="Item"/>
      </w:pPr>
      <w:r w:rsidRPr="006E709F">
        <w:t>to inform a person that the person should consider each statement about a carbon unit, an Australian carbon credit unit or an eligible international emissions unit that is published on the website of the Clean Energy Regulator as mentioned in section</w:t>
      </w:r>
      <w:r w:rsidR="00DA13DE" w:rsidRPr="006E709F">
        <w:t> </w:t>
      </w:r>
      <w:r w:rsidRPr="006E709F">
        <w:t xml:space="preserve">202 of the </w:t>
      </w:r>
      <w:r w:rsidRPr="006E709F">
        <w:rPr>
          <w:i/>
        </w:rPr>
        <w:t>Clean Energy Act 2011</w:t>
      </w:r>
      <w:r w:rsidRPr="006E709F">
        <w:t>, section</w:t>
      </w:r>
      <w:r w:rsidR="00DA13DE" w:rsidRPr="006E709F">
        <w:t> </w:t>
      </w:r>
      <w:r w:rsidRPr="006E709F">
        <w:t xml:space="preserve">162 of the </w:t>
      </w:r>
      <w:r w:rsidRPr="006E709F">
        <w:rPr>
          <w:i/>
        </w:rPr>
        <w:t>Carbon Credits (Carbon Farming Initiative) Act 2011</w:t>
      </w:r>
      <w:r w:rsidRPr="006E709F">
        <w:t xml:space="preserve"> or section</w:t>
      </w:r>
      <w:r w:rsidR="00DA13DE" w:rsidRPr="006E709F">
        <w:t> </w:t>
      </w:r>
      <w:r w:rsidRPr="006E709F">
        <w:t xml:space="preserve">61 of the </w:t>
      </w:r>
      <w:r w:rsidRPr="006E709F">
        <w:rPr>
          <w:i/>
        </w:rPr>
        <w:t>Australian National Registry of Emissions Units Act 2011</w:t>
      </w:r>
      <w:r w:rsidRPr="006E709F">
        <w:t xml:space="preserve"> as and when required by this Part.</w:t>
      </w:r>
    </w:p>
    <w:p w:rsidR="00F011D7" w:rsidRPr="006E709F" w:rsidRDefault="000577C6" w:rsidP="003C672B">
      <w:pPr>
        <w:pStyle w:val="ItemHead"/>
      </w:pPr>
      <w:r w:rsidRPr="006E709F">
        <w:t xml:space="preserve">19.32  </w:t>
      </w:r>
      <w:r w:rsidR="00F011D7" w:rsidRPr="006E709F">
        <w:t>After paragraph</w:t>
      </w:r>
      <w:r w:rsidR="00DA13DE" w:rsidRPr="006E709F">
        <w:t> </w:t>
      </w:r>
      <w:r w:rsidR="00F011D7" w:rsidRPr="006E709F">
        <w:t>1022B(1</w:t>
      </w:r>
      <w:r w:rsidR="00A801D0" w:rsidRPr="006E709F">
        <w:t>)(</w:t>
      </w:r>
      <w:r w:rsidR="00F011D7" w:rsidRPr="006E709F">
        <w:t>ac)</w:t>
      </w:r>
    </w:p>
    <w:p w:rsidR="00A801D0" w:rsidRPr="006E709F" w:rsidRDefault="00A801D0" w:rsidP="00A801D0">
      <w:pPr>
        <w:pStyle w:val="Item"/>
        <w:rPr>
          <w:i/>
        </w:rPr>
      </w:pPr>
      <w:r w:rsidRPr="006E709F">
        <w:rPr>
          <w:i/>
        </w:rPr>
        <w:t>insert</w:t>
      </w:r>
    </w:p>
    <w:p w:rsidR="00F011D7" w:rsidRPr="006E709F" w:rsidRDefault="00F011D7" w:rsidP="00F011D7">
      <w:pPr>
        <w:pStyle w:val="paragraph"/>
        <w:rPr>
          <w:szCs w:val="22"/>
        </w:rPr>
      </w:pPr>
      <w:r w:rsidRPr="006E709F">
        <w:rPr>
          <w:szCs w:val="22"/>
        </w:rPr>
        <w:lastRenderedPageBreak/>
        <w:tab/>
        <w:t>(ad)</w:t>
      </w:r>
      <w:r w:rsidRPr="006E709F">
        <w:rPr>
          <w:szCs w:val="22"/>
        </w:rPr>
        <w:tab/>
        <w:t>a person:</w:t>
      </w:r>
    </w:p>
    <w:p w:rsidR="00F011D7" w:rsidRPr="006E709F" w:rsidRDefault="00F011D7" w:rsidP="00F011D7">
      <w:pPr>
        <w:pStyle w:val="paragraphsub"/>
      </w:pPr>
      <w:r w:rsidRPr="006E709F">
        <w:tab/>
        <w:t>(i)</w:t>
      </w:r>
      <w:r w:rsidRPr="006E709F">
        <w:tab/>
        <w:t xml:space="preserve">is required to inform another person (the </w:t>
      </w:r>
      <w:r w:rsidRPr="006E709F">
        <w:rPr>
          <w:b/>
          <w:i/>
        </w:rPr>
        <w:t>client</w:t>
      </w:r>
      <w:r w:rsidRPr="006E709F">
        <w:t>) that the client should consider each statement about a carbon unit that is published on the website of the Clean Energy Regulator as mentioned in section</w:t>
      </w:r>
      <w:r w:rsidR="00DA13DE" w:rsidRPr="006E709F">
        <w:t> </w:t>
      </w:r>
      <w:r w:rsidRPr="006E709F">
        <w:t xml:space="preserve">202 of the </w:t>
      </w:r>
      <w:r w:rsidRPr="006E709F">
        <w:rPr>
          <w:i/>
        </w:rPr>
        <w:t>Clean Energy Act 2011</w:t>
      </w:r>
      <w:r w:rsidRPr="006E709F">
        <w:t>; and</w:t>
      </w:r>
    </w:p>
    <w:p w:rsidR="00F011D7" w:rsidRPr="006E709F" w:rsidRDefault="00F011D7" w:rsidP="00F011D7">
      <w:pPr>
        <w:pStyle w:val="paragraphsub"/>
      </w:pPr>
      <w:r w:rsidRPr="006E709F">
        <w:tab/>
        <w:t>(ii)</w:t>
      </w:r>
      <w:r w:rsidRPr="006E709F">
        <w:tab/>
        <w:t>does not inform the client by the time the person is required to do so; or</w:t>
      </w:r>
    </w:p>
    <w:p w:rsidR="00F011D7" w:rsidRPr="006E709F" w:rsidRDefault="00F011D7" w:rsidP="00F011D7">
      <w:pPr>
        <w:pStyle w:val="paragraph"/>
        <w:rPr>
          <w:szCs w:val="22"/>
        </w:rPr>
      </w:pPr>
      <w:r w:rsidRPr="006E709F">
        <w:rPr>
          <w:szCs w:val="22"/>
        </w:rPr>
        <w:tab/>
        <w:t>(ae)</w:t>
      </w:r>
      <w:r w:rsidRPr="006E709F">
        <w:rPr>
          <w:szCs w:val="22"/>
        </w:rPr>
        <w:tab/>
        <w:t>a person:</w:t>
      </w:r>
    </w:p>
    <w:p w:rsidR="00F011D7" w:rsidRPr="006E709F" w:rsidRDefault="00F011D7" w:rsidP="00F011D7">
      <w:pPr>
        <w:pStyle w:val="paragraphsub"/>
      </w:pPr>
      <w:r w:rsidRPr="006E709F">
        <w:tab/>
        <w:t>(i)</w:t>
      </w:r>
      <w:r w:rsidRPr="006E709F">
        <w:tab/>
        <w:t xml:space="preserve">is required to inform another person (the </w:t>
      </w:r>
      <w:r w:rsidRPr="006E709F">
        <w:rPr>
          <w:b/>
          <w:i/>
        </w:rPr>
        <w:t>client</w:t>
      </w:r>
      <w:r w:rsidRPr="006E709F">
        <w:t>) that the client should consider each statement about an Australian carbon credit unit that is published on the website of the Clean Energy Regulator as mentioned in section</w:t>
      </w:r>
      <w:r w:rsidR="00DA13DE" w:rsidRPr="006E709F">
        <w:t> </w:t>
      </w:r>
      <w:r w:rsidRPr="006E709F">
        <w:t xml:space="preserve">162 of the </w:t>
      </w:r>
      <w:r w:rsidRPr="006E709F">
        <w:rPr>
          <w:i/>
        </w:rPr>
        <w:t>Carbon Credits (Carbon Farming Initiative) Act 2011</w:t>
      </w:r>
      <w:r w:rsidRPr="006E709F">
        <w:t>; and</w:t>
      </w:r>
    </w:p>
    <w:p w:rsidR="00F011D7" w:rsidRPr="006E709F" w:rsidRDefault="00F011D7" w:rsidP="00F011D7">
      <w:pPr>
        <w:pStyle w:val="paragraphsub"/>
      </w:pPr>
      <w:r w:rsidRPr="006E709F">
        <w:tab/>
        <w:t>(ii)</w:t>
      </w:r>
      <w:r w:rsidRPr="006E709F">
        <w:tab/>
        <w:t>does not inform the client by the time the person is required to do so; or</w:t>
      </w:r>
    </w:p>
    <w:p w:rsidR="00F011D7" w:rsidRPr="006E709F" w:rsidRDefault="00F011D7" w:rsidP="00A53AD1">
      <w:pPr>
        <w:pStyle w:val="paragraph"/>
        <w:keepNext/>
        <w:keepLines/>
        <w:rPr>
          <w:szCs w:val="22"/>
        </w:rPr>
      </w:pPr>
      <w:r w:rsidRPr="006E709F">
        <w:rPr>
          <w:szCs w:val="22"/>
        </w:rPr>
        <w:tab/>
        <w:t>(af)</w:t>
      </w:r>
      <w:r w:rsidRPr="006E709F">
        <w:rPr>
          <w:szCs w:val="22"/>
        </w:rPr>
        <w:tab/>
        <w:t>a person:</w:t>
      </w:r>
    </w:p>
    <w:p w:rsidR="00F011D7" w:rsidRPr="006E709F" w:rsidRDefault="00F011D7" w:rsidP="00F011D7">
      <w:pPr>
        <w:pStyle w:val="paragraphsub"/>
      </w:pPr>
      <w:r w:rsidRPr="006E709F">
        <w:tab/>
        <w:t>(i)</w:t>
      </w:r>
      <w:r w:rsidRPr="006E709F">
        <w:tab/>
        <w:t xml:space="preserve">is required to inform another person (the </w:t>
      </w:r>
      <w:r w:rsidRPr="006E709F">
        <w:rPr>
          <w:b/>
          <w:i/>
        </w:rPr>
        <w:t>client</w:t>
      </w:r>
      <w:r w:rsidRPr="006E709F">
        <w:t>) that the client should consider each statement about an eligible international emissions unit that is published on the website of the Clean Energy Regulator as mentioned in section</w:t>
      </w:r>
      <w:r w:rsidR="00DA13DE" w:rsidRPr="006E709F">
        <w:t> </w:t>
      </w:r>
      <w:r w:rsidRPr="006E709F">
        <w:t xml:space="preserve">61 of the </w:t>
      </w:r>
      <w:r w:rsidRPr="006E709F">
        <w:rPr>
          <w:i/>
        </w:rPr>
        <w:t>Australian National Registry of Emissions Units Act 2011</w:t>
      </w:r>
      <w:r w:rsidRPr="006E709F">
        <w:t>; and</w:t>
      </w:r>
    </w:p>
    <w:p w:rsidR="00F011D7" w:rsidRPr="006E709F" w:rsidRDefault="00F011D7" w:rsidP="00F011D7">
      <w:pPr>
        <w:pStyle w:val="paragraphsub"/>
      </w:pPr>
      <w:r w:rsidRPr="006E709F">
        <w:tab/>
        <w:t>(ii)</w:t>
      </w:r>
      <w:r w:rsidRPr="006E709F">
        <w:tab/>
        <w:t>does not inform the client by the time the person is required to do so; or</w:t>
      </w:r>
    </w:p>
    <w:p w:rsidR="00842F88" w:rsidRPr="006E709F" w:rsidRDefault="00A801D0" w:rsidP="00A801D0">
      <w:pPr>
        <w:pStyle w:val="ActHead1"/>
        <w:pageBreakBefore/>
      </w:pPr>
      <w:bookmarkStart w:id="130" w:name="_Toc170547947"/>
      <w:r w:rsidRPr="000C4237">
        <w:rPr>
          <w:rStyle w:val="CharChapNo"/>
        </w:rPr>
        <w:lastRenderedPageBreak/>
        <w:t>Schedule</w:t>
      </w:r>
      <w:r w:rsidR="00DA13DE" w:rsidRPr="000C4237">
        <w:rPr>
          <w:rStyle w:val="CharChapNo"/>
        </w:rPr>
        <w:t> </w:t>
      </w:r>
      <w:r w:rsidR="00842F88" w:rsidRPr="000C4237">
        <w:rPr>
          <w:rStyle w:val="CharChapNo"/>
        </w:rPr>
        <w:t>10AA</w:t>
      </w:r>
      <w:r w:rsidRPr="006E709F">
        <w:t>—</w:t>
      </w:r>
      <w:r w:rsidR="00842F88" w:rsidRPr="000C4237">
        <w:rPr>
          <w:rStyle w:val="CharChapText"/>
        </w:rPr>
        <w:t>Modifications of the Act in relation to their application in respect of a recognised offer or a proposed offer of securities that may become a recognised offer</w:t>
      </w:r>
      <w:bookmarkEnd w:id="130"/>
    </w:p>
    <w:p w:rsidR="00842F88" w:rsidRPr="006E709F" w:rsidRDefault="00842F88" w:rsidP="00A801D0">
      <w:pPr>
        <w:pStyle w:val="notemargin"/>
      </w:pPr>
      <w:r w:rsidRPr="006E709F">
        <w:t>(regulation</w:t>
      </w:r>
      <w:r w:rsidR="00DA13DE" w:rsidRPr="006E709F">
        <w:t> </w:t>
      </w:r>
      <w:r w:rsidRPr="006E709F">
        <w:t>8.4.02)</w:t>
      </w:r>
    </w:p>
    <w:p w:rsidR="00842F88" w:rsidRPr="006E709F" w:rsidRDefault="00A801D0" w:rsidP="00A801D0">
      <w:pPr>
        <w:pStyle w:val="ActHead2"/>
      </w:pPr>
      <w:bookmarkStart w:id="131" w:name="_Toc170547948"/>
      <w:r w:rsidRPr="000C4237">
        <w:rPr>
          <w:rStyle w:val="CharPartNo"/>
        </w:rPr>
        <w:t>Part</w:t>
      </w:r>
      <w:r w:rsidR="00DA13DE" w:rsidRPr="000C4237">
        <w:rPr>
          <w:rStyle w:val="CharPartNo"/>
        </w:rPr>
        <w:t> </w:t>
      </w:r>
      <w:r w:rsidR="00842F88" w:rsidRPr="000C4237">
        <w:rPr>
          <w:rStyle w:val="CharPartNo"/>
        </w:rPr>
        <w:t>1</w:t>
      </w:r>
      <w:r w:rsidRPr="006E709F">
        <w:t>—</w:t>
      </w:r>
      <w:r w:rsidR="00842F88" w:rsidRPr="000C4237">
        <w:rPr>
          <w:rStyle w:val="CharPartText"/>
        </w:rPr>
        <w:t>Modification of Part</w:t>
      </w:r>
      <w:r w:rsidR="00DA13DE" w:rsidRPr="000C4237">
        <w:rPr>
          <w:rStyle w:val="CharPartText"/>
        </w:rPr>
        <w:t> </w:t>
      </w:r>
      <w:r w:rsidR="00842F88" w:rsidRPr="000C4237">
        <w:rPr>
          <w:rStyle w:val="CharPartText"/>
        </w:rPr>
        <w:t>6D.2 of the Act</w:t>
      </w:r>
      <w:r w:rsidRPr="000C4237">
        <w:rPr>
          <w:rStyle w:val="CharPartText"/>
        </w:rPr>
        <w:t>—</w:t>
      </w:r>
      <w:r w:rsidR="00842F88" w:rsidRPr="000C4237">
        <w:rPr>
          <w:rStyle w:val="CharPartText"/>
        </w:rPr>
        <w:t xml:space="preserve">disclosure to investors not required for recognised offer under </w:t>
      </w:r>
      <w:r w:rsidRPr="000C4237">
        <w:rPr>
          <w:rStyle w:val="CharPartText"/>
        </w:rPr>
        <w:t>Chapter</w:t>
      </w:r>
      <w:r w:rsidR="00DA13DE" w:rsidRPr="000C4237">
        <w:rPr>
          <w:rStyle w:val="CharPartText"/>
        </w:rPr>
        <w:t> </w:t>
      </w:r>
      <w:r w:rsidR="00842F88" w:rsidRPr="000C4237">
        <w:rPr>
          <w:rStyle w:val="CharPartText"/>
        </w:rPr>
        <w:t>8</w:t>
      </w:r>
      <w:bookmarkEnd w:id="131"/>
    </w:p>
    <w:p w:rsidR="00E07D2E" w:rsidRPr="006E709F" w:rsidRDefault="00E07D2E" w:rsidP="00E07D2E">
      <w:pPr>
        <w:pStyle w:val="Header"/>
      </w:pPr>
      <w:r w:rsidRPr="000C4237">
        <w:rPr>
          <w:rStyle w:val="CharDivNo"/>
        </w:rPr>
        <w:t xml:space="preserve"> </w:t>
      </w:r>
      <w:r w:rsidRPr="000C4237">
        <w:rPr>
          <w:rStyle w:val="CharDivText"/>
        </w:rPr>
        <w:t xml:space="preserve"> </w:t>
      </w:r>
    </w:p>
    <w:p w:rsidR="00842F88" w:rsidRPr="006E709F" w:rsidRDefault="00CB45F0" w:rsidP="002F4113">
      <w:pPr>
        <w:pStyle w:val="ItemHead"/>
      </w:pPr>
      <w:r w:rsidRPr="006E709F">
        <w:t xml:space="preserve">1.1  </w:t>
      </w:r>
      <w:r w:rsidR="00842F88" w:rsidRPr="006E709F">
        <w:t>After subsection</w:t>
      </w:r>
      <w:r w:rsidR="00DA13DE" w:rsidRPr="006E709F">
        <w:t> </w:t>
      </w:r>
      <w:r w:rsidR="00842F88" w:rsidRPr="006E709F">
        <w:t>707(3)</w:t>
      </w:r>
    </w:p>
    <w:p w:rsidR="00A801D0" w:rsidRPr="006E709F" w:rsidRDefault="00A801D0" w:rsidP="00A801D0">
      <w:pPr>
        <w:pStyle w:val="Item"/>
        <w:rPr>
          <w:i/>
        </w:rPr>
      </w:pPr>
      <w:r w:rsidRPr="006E709F">
        <w:rPr>
          <w:i/>
        </w:rPr>
        <w:t>insert</w:t>
      </w:r>
    </w:p>
    <w:p w:rsidR="00842F88" w:rsidRPr="006E709F" w:rsidRDefault="00842F88" w:rsidP="00A801D0">
      <w:pPr>
        <w:pStyle w:val="subsection"/>
      </w:pPr>
      <w:r w:rsidRPr="006E709F">
        <w:tab/>
        <w:t>(3A)</w:t>
      </w:r>
      <w:r w:rsidRPr="006E709F">
        <w:tab/>
      </w:r>
      <w:r w:rsidR="00DA13DE" w:rsidRPr="006E709F">
        <w:t>Subsection (</w:t>
      </w:r>
      <w:r w:rsidRPr="006E709F">
        <w:t xml:space="preserve">3) does not apply to an offer of a body’s securities for sale if the body issued the securities as part of a recognised offer under </w:t>
      </w:r>
      <w:r w:rsidR="00A801D0" w:rsidRPr="006E709F">
        <w:t>Chapter</w:t>
      </w:r>
      <w:r w:rsidR="00DA13DE" w:rsidRPr="006E709F">
        <w:t> </w:t>
      </w:r>
      <w:r w:rsidRPr="006E709F">
        <w:t>8.</w:t>
      </w:r>
    </w:p>
    <w:p w:rsidR="00842F88" w:rsidRPr="006E709F" w:rsidRDefault="00842F88" w:rsidP="00A801D0">
      <w:pPr>
        <w:pStyle w:val="subsection"/>
      </w:pPr>
      <w:r w:rsidRPr="006E709F">
        <w:tab/>
        <w:t>(3B)</w:t>
      </w:r>
      <w:r w:rsidRPr="006E709F">
        <w:tab/>
      </w:r>
      <w:r w:rsidR="00DA13DE" w:rsidRPr="006E709F">
        <w:t>Subsection (</w:t>
      </w:r>
      <w:r w:rsidRPr="006E709F">
        <w:t>3) does not apply to an offer of a body’s securities for sale if:</w:t>
      </w:r>
    </w:p>
    <w:p w:rsidR="00842F88" w:rsidRPr="006E709F" w:rsidRDefault="00842F88" w:rsidP="00A801D0">
      <w:pPr>
        <w:pStyle w:val="paragraph"/>
      </w:pPr>
      <w:r w:rsidRPr="006E709F">
        <w:tab/>
        <w:t>(a)</w:t>
      </w:r>
      <w:r w:rsidRPr="006E709F">
        <w:tab/>
        <w:t>the securities were issued by reason of the exercise of options or the conversion of convertible or converting securities; and</w:t>
      </w:r>
    </w:p>
    <w:p w:rsidR="00842F88" w:rsidRPr="006E709F" w:rsidRDefault="00842F88" w:rsidP="00A801D0">
      <w:pPr>
        <w:pStyle w:val="paragraph"/>
      </w:pPr>
      <w:r w:rsidRPr="006E709F">
        <w:tab/>
        <w:t>(b)</w:t>
      </w:r>
      <w:r w:rsidRPr="006E709F">
        <w:tab/>
        <w:t xml:space="preserve">the options or other convertible or converting securities were issued as part of a recognised offer under </w:t>
      </w:r>
      <w:r w:rsidR="00A801D0" w:rsidRPr="006E709F">
        <w:t>Chapter</w:t>
      </w:r>
      <w:r w:rsidR="00DA13DE" w:rsidRPr="006E709F">
        <w:t> </w:t>
      </w:r>
      <w:r w:rsidRPr="006E709F">
        <w:t>8; and</w:t>
      </w:r>
    </w:p>
    <w:p w:rsidR="00842F88" w:rsidRPr="006E709F" w:rsidRDefault="00842F88" w:rsidP="00A801D0">
      <w:pPr>
        <w:pStyle w:val="paragraph"/>
      </w:pPr>
      <w:r w:rsidRPr="006E709F">
        <w:tab/>
        <w:t>(c)</w:t>
      </w:r>
      <w:r w:rsidRPr="006E709F">
        <w:tab/>
        <w:t>the exercise of the option, or the conversion of the security, did not involve any further offer.</w:t>
      </w:r>
    </w:p>
    <w:p w:rsidR="00842F88" w:rsidRPr="006E709F" w:rsidRDefault="00CB45F0" w:rsidP="002F4113">
      <w:pPr>
        <w:pStyle w:val="ItemHead"/>
      </w:pPr>
      <w:r w:rsidRPr="006E709F">
        <w:t xml:space="preserve">1.2  </w:t>
      </w:r>
      <w:r w:rsidR="00842F88" w:rsidRPr="006E709F">
        <w:t>After subsection</w:t>
      </w:r>
      <w:r w:rsidR="00DA13DE" w:rsidRPr="006E709F">
        <w:t> </w:t>
      </w:r>
      <w:r w:rsidR="00842F88" w:rsidRPr="006E709F">
        <w:t>707(5)</w:t>
      </w:r>
    </w:p>
    <w:p w:rsidR="00A801D0" w:rsidRPr="006E709F" w:rsidRDefault="00A801D0" w:rsidP="00A801D0">
      <w:pPr>
        <w:pStyle w:val="Item"/>
        <w:rPr>
          <w:i/>
        </w:rPr>
      </w:pPr>
      <w:r w:rsidRPr="006E709F">
        <w:rPr>
          <w:i/>
        </w:rPr>
        <w:t>insert</w:t>
      </w:r>
    </w:p>
    <w:p w:rsidR="00842F88" w:rsidRPr="006E709F" w:rsidRDefault="00842F88" w:rsidP="00A801D0">
      <w:pPr>
        <w:pStyle w:val="subsection"/>
      </w:pPr>
      <w:r w:rsidRPr="006E709F">
        <w:tab/>
        <w:t>(5A)</w:t>
      </w:r>
      <w:r w:rsidRPr="006E709F">
        <w:tab/>
      </w:r>
      <w:r w:rsidR="00DA13DE" w:rsidRPr="006E709F">
        <w:t>Subsection (</w:t>
      </w:r>
      <w:r w:rsidRPr="006E709F">
        <w:t xml:space="preserve">5) does not apply to an offer of a body’s securities for sale if the controller sold the securities as part of a recognised offer under </w:t>
      </w:r>
      <w:r w:rsidR="00A801D0" w:rsidRPr="006E709F">
        <w:t>Chapter</w:t>
      </w:r>
      <w:r w:rsidR="00DA13DE" w:rsidRPr="006E709F">
        <w:t> </w:t>
      </w:r>
      <w:r w:rsidRPr="006E709F">
        <w:t>8.</w:t>
      </w:r>
    </w:p>
    <w:p w:rsidR="00842F88" w:rsidRPr="006E709F" w:rsidRDefault="00A801D0" w:rsidP="00495B24">
      <w:pPr>
        <w:pStyle w:val="ActHead2"/>
        <w:pageBreakBefore/>
        <w:spacing w:before="240"/>
      </w:pPr>
      <w:bookmarkStart w:id="132" w:name="_Toc170547949"/>
      <w:r w:rsidRPr="000C4237">
        <w:rPr>
          <w:rStyle w:val="CharPartNo"/>
        </w:rPr>
        <w:lastRenderedPageBreak/>
        <w:t>Part</w:t>
      </w:r>
      <w:r w:rsidR="00DA13DE" w:rsidRPr="000C4237">
        <w:rPr>
          <w:rStyle w:val="CharPartNo"/>
        </w:rPr>
        <w:t> </w:t>
      </w:r>
      <w:r w:rsidR="00842F88" w:rsidRPr="000C4237">
        <w:rPr>
          <w:rStyle w:val="CharPartNo"/>
        </w:rPr>
        <w:t>2</w:t>
      </w:r>
      <w:r w:rsidRPr="006E709F">
        <w:t>—</w:t>
      </w:r>
      <w:r w:rsidR="00842F88" w:rsidRPr="000C4237">
        <w:rPr>
          <w:rStyle w:val="CharPartText"/>
        </w:rPr>
        <w:t>Modification of Part</w:t>
      </w:r>
      <w:r w:rsidR="00DA13DE" w:rsidRPr="000C4237">
        <w:rPr>
          <w:rStyle w:val="CharPartText"/>
        </w:rPr>
        <w:t> </w:t>
      </w:r>
      <w:r w:rsidR="00842F88" w:rsidRPr="000C4237">
        <w:rPr>
          <w:rStyle w:val="CharPartText"/>
        </w:rPr>
        <w:t>7.9 of the Act</w:t>
      </w:r>
      <w:r w:rsidRPr="000C4237">
        <w:rPr>
          <w:rStyle w:val="CharPartText"/>
        </w:rPr>
        <w:t>—</w:t>
      </w:r>
      <w:r w:rsidR="00842F88" w:rsidRPr="000C4237">
        <w:rPr>
          <w:rStyle w:val="CharPartText"/>
        </w:rPr>
        <w:t xml:space="preserve">disclosure to investors not required for recognised offer under </w:t>
      </w:r>
      <w:r w:rsidRPr="000C4237">
        <w:rPr>
          <w:rStyle w:val="CharPartText"/>
        </w:rPr>
        <w:t>Chapter</w:t>
      </w:r>
      <w:r w:rsidR="00DA13DE" w:rsidRPr="000C4237">
        <w:rPr>
          <w:rStyle w:val="CharPartText"/>
        </w:rPr>
        <w:t> </w:t>
      </w:r>
      <w:r w:rsidR="00842F88" w:rsidRPr="000C4237">
        <w:rPr>
          <w:rStyle w:val="CharPartText"/>
        </w:rPr>
        <w:t>8</w:t>
      </w:r>
      <w:bookmarkEnd w:id="132"/>
    </w:p>
    <w:p w:rsidR="00E07D2E" w:rsidRPr="006E709F" w:rsidRDefault="00E07D2E" w:rsidP="00E07D2E">
      <w:pPr>
        <w:pStyle w:val="Header"/>
      </w:pPr>
      <w:r w:rsidRPr="000C4237">
        <w:rPr>
          <w:rStyle w:val="CharDivNo"/>
        </w:rPr>
        <w:t xml:space="preserve"> </w:t>
      </w:r>
      <w:r w:rsidRPr="000C4237">
        <w:rPr>
          <w:rStyle w:val="CharDivText"/>
        </w:rPr>
        <w:t xml:space="preserve"> </w:t>
      </w:r>
    </w:p>
    <w:p w:rsidR="00842F88" w:rsidRPr="006E709F" w:rsidRDefault="000577C6" w:rsidP="002F4113">
      <w:pPr>
        <w:pStyle w:val="ItemHead"/>
      </w:pPr>
      <w:r w:rsidRPr="006E709F">
        <w:t xml:space="preserve">2.1  </w:t>
      </w:r>
      <w:r w:rsidR="00842F88" w:rsidRPr="006E709F">
        <w:t>After subsection</w:t>
      </w:r>
      <w:r w:rsidR="00DA13DE" w:rsidRPr="006E709F">
        <w:t> </w:t>
      </w:r>
      <w:r w:rsidR="00842F88" w:rsidRPr="006E709F">
        <w:t>1012C(6)</w:t>
      </w:r>
    </w:p>
    <w:p w:rsidR="00A801D0" w:rsidRPr="006E709F" w:rsidRDefault="00A801D0" w:rsidP="00A801D0">
      <w:pPr>
        <w:pStyle w:val="Item"/>
        <w:rPr>
          <w:i/>
        </w:rPr>
      </w:pPr>
      <w:r w:rsidRPr="006E709F">
        <w:rPr>
          <w:i/>
        </w:rPr>
        <w:t>insert</w:t>
      </w:r>
    </w:p>
    <w:p w:rsidR="00842F88" w:rsidRPr="006E709F" w:rsidRDefault="00842F88" w:rsidP="00A801D0">
      <w:pPr>
        <w:pStyle w:val="subsection"/>
      </w:pPr>
      <w:r w:rsidRPr="006E709F">
        <w:tab/>
        <w:t>(6A)</w:t>
      </w:r>
      <w:r w:rsidRPr="006E709F">
        <w:tab/>
      </w:r>
      <w:r w:rsidR="00DA13DE" w:rsidRPr="006E709F">
        <w:t>Subsection (</w:t>
      </w:r>
      <w:r w:rsidRPr="006E709F">
        <w:t xml:space="preserve">6) does not apply to an offer of a financial product for sale if the issuer issued the financial product as part of a recognised offer under </w:t>
      </w:r>
      <w:r w:rsidR="00A801D0" w:rsidRPr="006E709F">
        <w:t>Chapter</w:t>
      </w:r>
      <w:r w:rsidR="00DA13DE" w:rsidRPr="006E709F">
        <w:t> </w:t>
      </w:r>
      <w:r w:rsidRPr="006E709F">
        <w:t>8.</w:t>
      </w:r>
    </w:p>
    <w:p w:rsidR="00842F88" w:rsidRPr="006E709F" w:rsidRDefault="00842F88" w:rsidP="00A801D0">
      <w:pPr>
        <w:pStyle w:val="subsection"/>
      </w:pPr>
      <w:r w:rsidRPr="006E709F">
        <w:tab/>
        <w:t>(6B)</w:t>
      </w:r>
      <w:r w:rsidRPr="006E709F">
        <w:tab/>
      </w:r>
      <w:r w:rsidR="00DA13DE" w:rsidRPr="006E709F">
        <w:t>Subsection (</w:t>
      </w:r>
      <w:r w:rsidRPr="006E709F">
        <w:t>6) does not apply to an offer of a financial product for sale if:</w:t>
      </w:r>
    </w:p>
    <w:p w:rsidR="00842F88" w:rsidRPr="006E709F" w:rsidRDefault="00842F88" w:rsidP="00A801D0">
      <w:pPr>
        <w:pStyle w:val="paragraph"/>
      </w:pPr>
      <w:r w:rsidRPr="006E709F">
        <w:tab/>
        <w:t>(a)</w:t>
      </w:r>
      <w:r w:rsidRPr="006E709F">
        <w:tab/>
        <w:t>the financial product was issued by reason of the exercise of an option or the conversion of another convertible or converting security; and</w:t>
      </w:r>
    </w:p>
    <w:p w:rsidR="00842F88" w:rsidRPr="006E709F" w:rsidRDefault="00842F88" w:rsidP="00A801D0">
      <w:pPr>
        <w:pStyle w:val="paragraph"/>
      </w:pPr>
      <w:r w:rsidRPr="006E709F">
        <w:tab/>
        <w:t>(b)</w:t>
      </w:r>
      <w:r w:rsidRPr="006E709F">
        <w:tab/>
        <w:t xml:space="preserve">the option or convertible or converting security was issued as part of a recognised offer under </w:t>
      </w:r>
      <w:r w:rsidR="00A801D0" w:rsidRPr="006E709F">
        <w:t>Chapter</w:t>
      </w:r>
      <w:r w:rsidR="00DA13DE" w:rsidRPr="006E709F">
        <w:t> </w:t>
      </w:r>
      <w:r w:rsidRPr="006E709F">
        <w:t>8; and</w:t>
      </w:r>
    </w:p>
    <w:p w:rsidR="00842F88" w:rsidRPr="006E709F" w:rsidRDefault="00842F88" w:rsidP="00A801D0">
      <w:pPr>
        <w:pStyle w:val="paragraph"/>
      </w:pPr>
      <w:r w:rsidRPr="006E709F">
        <w:tab/>
        <w:t>(c)</w:t>
      </w:r>
      <w:r w:rsidRPr="006E709F">
        <w:tab/>
        <w:t>the exercise of the option, or the conversion of the security, did not involve a further offer.</w:t>
      </w:r>
    </w:p>
    <w:p w:rsidR="00842F88" w:rsidRPr="006E709F" w:rsidRDefault="000577C6" w:rsidP="002F4113">
      <w:pPr>
        <w:pStyle w:val="ItemHead"/>
      </w:pPr>
      <w:r w:rsidRPr="006E709F">
        <w:t xml:space="preserve">2.2  </w:t>
      </w:r>
      <w:r w:rsidR="00842F88" w:rsidRPr="006E709F">
        <w:t>After subsection</w:t>
      </w:r>
      <w:r w:rsidR="00DA13DE" w:rsidRPr="006E709F">
        <w:t> </w:t>
      </w:r>
      <w:r w:rsidR="00842F88" w:rsidRPr="006E709F">
        <w:t>1012C(8)</w:t>
      </w:r>
    </w:p>
    <w:p w:rsidR="00A801D0" w:rsidRPr="006E709F" w:rsidRDefault="00A801D0" w:rsidP="00A801D0">
      <w:pPr>
        <w:pStyle w:val="Item"/>
        <w:rPr>
          <w:i/>
        </w:rPr>
      </w:pPr>
      <w:r w:rsidRPr="006E709F">
        <w:rPr>
          <w:i/>
        </w:rPr>
        <w:t>insert</w:t>
      </w:r>
    </w:p>
    <w:p w:rsidR="00842F88" w:rsidRPr="006E709F" w:rsidRDefault="00842F88" w:rsidP="00A801D0">
      <w:pPr>
        <w:pStyle w:val="subsection"/>
      </w:pPr>
      <w:r w:rsidRPr="006E709F">
        <w:tab/>
        <w:t>(8A)</w:t>
      </w:r>
      <w:r w:rsidRPr="006E709F">
        <w:tab/>
      </w:r>
      <w:r w:rsidR="00DA13DE" w:rsidRPr="006E709F">
        <w:t>Subsection (</w:t>
      </w:r>
      <w:r w:rsidRPr="006E709F">
        <w:t xml:space="preserve">8) does not apply to the offer of a financial product for sale if the controller sold the financial product as part of a recognised offer under </w:t>
      </w:r>
      <w:r w:rsidR="00A801D0" w:rsidRPr="006E709F">
        <w:t>Chapter</w:t>
      </w:r>
      <w:r w:rsidR="00DA13DE" w:rsidRPr="006E709F">
        <w:t> </w:t>
      </w:r>
      <w:r w:rsidRPr="006E709F">
        <w:t>8.</w:t>
      </w:r>
    </w:p>
    <w:p w:rsidR="00842F88" w:rsidRPr="006E709F" w:rsidRDefault="000577C6" w:rsidP="002627AC">
      <w:pPr>
        <w:pStyle w:val="ItemHead"/>
      </w:pPr>
      <w:r w:rsidRPr="006E709F">
        <w:t xml:space="preserve">2.3  </w:t>
      </w:r>
      <w:r w:rsidR="00842F88" w:rsidRPr="006E709F">
        <w:t>After subsection</w:t>
      </w:r>
      <w:r w:rsidR="00DA13DE" w:rsidRPr="006E709F">
        <w:t> </w:t>
      </w:r>
      <w:r w:rsidR="00842F88" w:rsidRPr="006E709F">
        <w:t>1012IA(3)</w:t>
      </w:r>
    </w:p>
    <w:p w:rsidR="00A801D0" w:rsidRPr="006E709F" w:rsidRDefault="00A801D0" w:rsidP="00A801D0">
      <w:pPr>
        <w:pStyle w:val="Item"/>
        <w:rPr>
          <w:i/>
        </w:rPr>
      </w:pPr>
      <w:r w:rsidRPr="006E709F">
        <w:rPr>
          <w:i/>
        </w:rPr>
        <w:t>insert</w:t>
      </w:r>
    </w:p>
    <w:p w:rsidR="00842F88" w:rsidRPr="006E709F" w:rsidRDefault="00842F88" w:rsidP="00A801D0">
      <w:pPr>
        <w:pStyle w:val="subsection"/>
      </w:pPr>
      <w:r w:rsidRPr="006E709F">
        <w:tab/>
        <w:t>(3A)</w:t>
      </w:r>
      <w:r w:rsidRPr="006E709F">
        <w:tab/>
        <w:t xml:space="preserve">In determining whether this section requires a provider to give a client a Product Disclosure Statement, </w:t>
      </w:r>
      <w:r w:rsidR="00A801D0" w:rsidRPr="006E709F">
        <w:t>Chapter</w:t>
      </w:r>
      <w:r w:rsidR="00DA13DE" w:rsidRPr="006E709F">
        <w:t> </w:t>
      </w:r>
      <w:r w:rsidRPr="006E709F">
        <w:t>8 is to be disregarded.</w:t>
      </w:r>
    </w:p>
    <w:p w:rsidR="0048795D" w:rsidRPr="006E709F" w:rsidRDefault="00842F88" w:rsidP="00A801D0">
      <w:pPr>
        <w:pStyle w:val="subsection"/>
      </w:pPr>
      <w:r w:rsidRPr="006E709F">
        <w:tab/>
        <w:t>(3B)</w:t>
      </w:r>
      <w:r w:rsidRPr="006E709F">
        <w:tab/>
        <w:t>A provider is not required to give a client a Product Disclosure Statement for a financial product if:</w:t>
      </w:r>
    </w:p>
    <w:p w:rsidR="0048795D" w:rsidRPr="006E709F" w:rsidRDefault="00842F88" w:rsidP="00A801D0">
      <w:pPr>
        <w:pStyle w:val="paragraph"/>
      </w:pPr>
      <w:r w:rsidRPr="006E709F">
        <w:tab/>
        <w:t>(a)</w:t>
      </w:r>
      <w:r w:rsidRPr="006E709F">
        <w:tab/>
        <w:t xml:space="preserve">the provider reasonably believes there is a recognised offer under </w:t>
      </w:r>
      <w:r w:rsidR="00A801D0" w:rsidRPr="006E709F">
        <w:t>Chapter</w:t>
      </w:r>
      <w:r w:rsidR="00DA13DE" w:rsidRPr="006E709F">
        <w:t> </w:t>
      </w:r>
      <w:r w:rsidRPr="006E709F">
        <w:t>8 in relation to the financial product; and</w:t>
      </w:r>
    </w:p>
    <w:p w:rsidR="00842F88" w:rsidRPr="006E709F" w:rsidRDefault="00842F88" w:rsidP="00A801D0">
      <w:pPr>
        <w:pStyle w:val="paragraph"/>
      </w:pPr>
      <w:r w:rsidRPr="006E709F">
        <w:tab/>
        <w:t>(b)</w:t>
      </w:r>
      <w:r w:rsidRPr="006E709F">
        <w:tab/>
        <w:t>the financial product is an interest in a managed investment scheme governed by the laws of New Zealand; and</w:t>
      </w:r>
    </w:p>
    <w:p w:rsidR="001A51A7" w:rsidRPr="006E709F" w:rsidRDefault="00842F88" w:rsidP="003A3F2A">
      <w:pPr>
        <w:pStyle w:val="paragraph"/>
      </w:pPr>
      <w:r w:rsidRPr="006E709F">
        <w:tab/>
        <w:t>(c)</w:t>
      </w:r>
      <w:r w:rsidRPr="006E709F">
        <w:tab/>
        <w:t xml:space="preserve">the provider has provided the client the documents and information required to accompany that offer by </w:t>
      </w:r>
      <w:r w:rsidR="00C51C82" w:rsidRPr="006E709F">
        <w:t xml:space="preserve">the Financial Markets Conduct Act 2013 of New Zealand and the Financial Markets Conduct </w:t>
      </w:r>
      <w:r w:rsidR="000C4237">
        <w:t>Regulations 2</w:t>
      </w:r>
      <w:r w:rsidR="00C51C82" w:rsidRPr="006E709F">
        <w:t>014 of New Zealand; and</w:t>
      </w:r>
    </w:p>
    <w:p w:rsidR="00842F88" w:rsidRPr="006E709F" w:rsidRDefault="00842F88" w:rsidP="003A3F2A">
      <w:pPr>
        <w:pStyle w:val="paragraph"/>
      </w:pPr>
      <w:r w:rsidRPr="006E709F">
        <w:tab/>
        <w:t>(d)</w:t>
      </w:r>
      <w:r w:rsidRPr="006E709F">
        <w:tab/>
        <w:t>the provider has provided the client any warning statement or details prescribed under section</w:t>
      </w:r>
      <w:r w:rsidR="00DA13DE" w:rsidRPr="006E709F">
        <w:t> </w:t>
      </w:r>
      <w:r w:rsidRPr="006E709F">
        <w:t>1200E in relation to the offer.</w:t>
      </w:r>
    </w:p>
    <w:p w:rsidR="00842F88" w:rsidRPr="006E709F" w:rsidRDefault="00842F88" w:rsidP="00A801D0">
      <w:pPr>
        <w:pStyle w:val="subsection"/>
      </w:pPr>
      <w:r w:rsidRPr="006E709F">
        <w:lastRenderedPageBreak/>
        <w:tab/>
        <w:t>(3C)</w:t>
      </w:r>
      <w:r w:rsidRPr="006E709F">
        <w:tab/>
        <w:t xml:space="preserve">For </w:t>
      </w:r>
      <w:r w:rsidR="00DA13DE" w:rsidRPr="006E709F">
        <w:t>paragraph (</w:t>
      </w:r>
      <w:r w:rsidRPr="006E709F">
        <w:t>3B</w:t>
      </w:r>
      <w:r w:rsidR="00A801D0" w:rsidRPr="006E709F">
        <w:t>)(</w:t>
      </w:r>
      <w:r w:rsidRPr="006E709F">
        <w:t>c), section</w:t>
      </w:r>
      <w:r w:rsidR="00DA13DE" w:rsidRPr="006E709F">
        <w:t> </w:t>
      </w:r>
      <w:r w:rsidRPr="006E709F">
        <w:t>1015C applies to the providing of documents and information, as if the documents and information were a Statement.</w:t>
      </w:r>
    </w:p>
    <w:p w:rsidR="00842F88" w:rsidRPr="006E709F" w:rsidRDefault="00842F88" w:rsidP="00A801D0">
      <w:pPr>
        <w:pStyle w:val="subsection"/>
      </w:pPr>
      <w:r w:rsidRPr="006E709F">
        <w:tab/>
        <w:t>(3D)</w:t>
      </w:r>
      <w:r w:rsidRPr="006E709F">
        <w:tab/>
        <w:t xml:space="preserve">For </w:t>
      </w:r>
      <w:r w:rsidR="00DA13DE" w:rsidRPr="006E709F">
        <w:t>paragraph (</w:t>
      </w:r>
      <w:r w:rsidRPr="006E709F">
        <w:t>3B</w:t>
      </w:r>
      <w:r w:rsidR="00A801D0" w:rsidRPr="006E709F">
        <w:t>)(</w:t>
      </w:r>
      <w:r w:rsidRPr="006E709F">
        <w:t>d), section</w:t>
      </w:r>
      <w:r w:rsidR="00DA13DE" w:rsidRPr="006E709F">
        <w:t> </w:t>
      </w:r>
      <w:r w:rsidRPr="006E709F">
        <w:t>1015C applies to the providing of warning statement or details prescribed under section</w:t>
      </w:r>
      <w:r w:rsidR="00DA13DE" w:rsidRPr="006E709F">
        <w:t> </w:t>
      </w:r>
      <w:r w:rsidRPr="006E709F">
        <w:t>1200E, as if the warning statement or details were a Statement.</w:t>
      </w:r>
    </w:p>
    <w:p w:rsidR="00842F88" w:rsidRPr="006E709F" w:rsidRDefault="00A801D0" w:rsidP="00A801D0">
      <w:pPr>
        <w:pStyle w:val="notetext"/>
      </w:pPr>
      <w:r w:rsidRPr="006E709F">
        <w:t>Note:</w:t>
      </w:r>
      <w:r w:rsidRPr="006E709F">
        <w:tab/>
      </w:r>
      <w:r w:rsidR="00842F88" w:rsidRPr="006E709F">
        <w:t>Subsection</w:t>
      </w:r>
      <w:r w:rsidR="00DA13DE" w:rsidRPr="006E709F">
        <w:t> </w:t>
      </w:r>
      <w:r w:rsidR="00842F88" w:rsidRPr="006E709F">
        <w:t xml:space="preserve">1012D(9E) of the Act is a modification of the Act that relates to </w:t>
      </w:r>
      <w:r w:rsidRPr="006E709F">
        <w:t>Chapter</w:t>
      </w:r>
      <w:r w:rsidR="00DA13DE" w:rsidRPr="006E709F">
        <w:t> </w:t>
      </w:r>
      <w:r w:rsidR="00842F88" w:rsidRPr="006E709F">
        <w:t>8 of the Act. The modification applies by force of:</w:t>
      </w:r>
    </w:p>
    <w:p w:rsidR="00842F88" w:rsidRPr="006E709F" w:rsidRDefault="00842F88" w:rsidP="00A801D0">
      <w:pPr>
        <w:pStyle w:val="notepara"/>
      </w:pPr>
      <w:r w:rsidRPr="006E709F">
        <w:t>(a)</w:t>
      </w:r>
      <w:r w:rsidRPr="006E709F">
        <w:tab/>
        <w:t>regulation</w:t>
      </w:r>
      <w:r w:rsidR="00DA13DE" w:rsidRPr="006E709F">
        <w:t> </w:t>
      </w:r>
      <w:r w:rsidRPr="006E709F">
        <w:t xml:space="preserve">8.4.01 of the </w:t>
      </w:r>
      <w:r w:rsidRPr="006E709F">
        <w:rPr>
          <w:i/>
        </w:rPr>
        <w:t xml:space="preserve">Corporations </w:t>
      </w:r>
      <w:r w:rsidR="000C4237">
        <w:rPr>
          <w:i/>
        </w:rPr>
        <w:t>Regulations 2</w:t>
      </w:r>
      <w:r w:rsidRPr="006E709F">
        <w:rPr>
          <w:i/>
        </w:rPr>
        <w:t>001</w:t>
      </w:r>
      <w:r w:rsidRPr="006E709F">
        <w:t>; and</w:t>
      </w:r>
    </w:p>
    <w:p w:rsidR="00842F88" w:rsidRPr="006E709F" w:rsidRDefault="00842F88" w:rsidP="00A801D0">
      <w:pPr>
        <w:pStyle w:val="notepara"/>
      </w:pPr>
      <w:r w:rsidRPr="006E709F">
        <w:t>(b)</w:t>
      </w:r>
      <w:r w:rsidRPr="006E709F">
        <w:tab/>
        <w:t>item</w:t>
      </w:r>
      <w:r w:rsidR="00DA13DE" w:rsidRPr="006E709F">
        <w:t> </w:t>
      </w:r>
      <w:r w:rsidRPr="006E709F">
        <w:t xml:space="preserve">18.1 of </w:t>
      </w:r>
      <w:r w:rsidR="00A801D0" w:rsidRPr="006E709F">
        <w:t>Part</w:t>
      </w:r>
      <w:r w:rsidR="00DA13DE" w:rsidRPr="006E709F">
        <w:t> </w:t>
      </w:r>
      <w:r w:rsidRPr="006E709F">
        <w:t xml:space="preserve">18 of </w:t>
      </w:r>
      <w:r w:rsidR="00A801D0" w:rsidRPr="006E709F">
        <w:t>Schedule</w:t>
      </w:r>
      <w:r w:rsidR="00DA13DE" w:rsidRPr="006E709F">
        <w:t> </w:t>
      </w:r>
      <w:r w:rsidRPr="006E709F">
        <w:t>10A to those Regulations.</w:t>
      </w:r>
    </w:p>
    <w:p w:rsidR="002C7812" w:rsidRPr="006E709F" w:rsidRDefault="002C7812" w:rsidP="00695CE6">
      <w:pPr>
        <w:pStyle w:val="ActHead1"/>
        <w:pageBreakBefore/>
      </w:pPr>
      <w:bookmarkStart w:id="133" w:name="_Toc170547950"/>
      <w:r w:rsidRPr="000C4237">
        <w:rPr>
          <w:rStyle w:val="CharChapNo"/>
        </w:rPr>
        <w:lastRenderedPageBreak/>
        <w:t>Schedule</w:t>
      </w:r>
      <w:r w:rsidR="00DA13DE" w:rsidRPr="000C4237">
        <w:rPr>
          <w:rStyle w:val="CharChapNo"/>
        </w:rPr>
        <w:t> </w:t>
      </w:r>
      <w:r w:rsidRPr="000C4237">
        <w:rPr>
          <w:rStyle w:val="CharChapNo"/>
        </w:rPr>
        <w:t>10BA</w:t>
      </w:r>
      <w:r w:rsidR="006F2951" w:rsidRPr="006E709F">
        <w:t>—</w:t>
      </w:r>
      <w:r w:rsidR="006F2951" w:rsidRPr="000C4237">
        <w:rPr>
          <w:rStyle w:val="CharChapText"/>
        </w:rPr>
        <w:t>Modifications of the Act relating to Short</w:t>
      </w:r>
      <w:r w:rsidR="000C4237" w:rsidRPr="000C4237">
        <w:rPr>
          <w:rStyle w:val="CharChapText"/>
        </w:rPr>
        <w:noBreakHyphen/>
      </w:r>
      <w:r w:rsidR="006F2951" w:rsidRPr="000C4237">
        <w:rPr>
          <w:rStyle w:val="CharChapText"/>
        </w:rPr>
        <w:t>Form Product Disclosure Statements</w:t>
      </w:r>
      <w:bookmarkEnd w:id="133"/>
    </w:p>
    <w:p w:rsidR="001871F5" w:rsidRPr="006E709F" w:rsidRDefault="001871F5" w:rsidP="00695CE6">
      <w:pPr>
        <w:pStyle w:val="notemargin"/>
      </w:pPr>
      <w:r w:rsidRPr="006E709F">
        <w:t>(</w:t>
      </w:r>
      <w:r w:rsidR="005378CE" w:rsidRPr="006E709F">
        <w:t>regulation 7</w:t>
      </w:r>
      <w:r w:rsidRPr="006E709F">
        <w:t>.9.61AA)</w:t>
      </w:r>
    </w:p>
    <w:p w:rsidR="002C7812" w:rsidRPr="006E709F" w:rsidRDefault="002C7812" w:rsidP="002C7812">
      <w:pPr>
        <w:pStyle w:val="ActHead2"/>
      </w:pPr>
      <w:bookmarkStart w:id="134" w:name="_Toc170547951"/>
      <w:r w:rsidRPr="000C4237">
        <w:rPr>
          <w:rStyle w:val="CharPartNo"/>
        </w:rPr>
        <w:t>Part</w:t>
      </w:r>
      <w:r w:rsidR="00DA13DE" w:rsidRPr="000C4237">
        <w:rPr>
          <w:rStyle w:val="CharPartNo"/>
        </w:rPr>
        <w:t> </w:t>
      </w:r>
      <w:r w:rsidRPr="000C4237">
        <w:rPr>
          <w:rStyle w:val="CharPartNo"/>
        </w:rPr>
        <w:t>1</w:t>
      </w:r>
      <w:r w:rsidRPr="006E709F">
        <w:t>—</w:t>
      </w:r>
      <w:r w:rsidRPr="000C4237">
        <w:rPr>
          <w:rStyle w:val="CharPartText"/>
        </w:rPr>
        <w:t>Modifications of Part</w:t>
      </w:r>
      <w:r w:rsidR="00DA13DE" w:rsidRPr="000C4237">
        <w:rPr>
          <w:rStyle w:val="CharPartText"/>
        </w:rPr>
        <w:t> </w:t>
      </w:r>
      <w:r w:rsidRPr="000C4237">
        <w:rPr>
          <w:rStyle w:val="CharPartText"/>
        </w:rPr>
        <w:t>7.7 of the Act</w:t>
      </w:r>
      <w:bookmarkEnd w:id="134"/>
    </w:p>
    <w:p w:rsidR="00E07D2E" w:rsidRPr="006E709F" w:rsidRDefault="00E07D2E" w:rsidP="00E07D2E">
      <w:pPr>
        <w:pStyle w:val="Header"/>
      </w:pPr>
      <w:r w:rsidRPr="000C4237">
        <w:rPr>
          <w:rStyle w:val="CharDivNo"/>
        </w:rPr>
        <w:t xml:space="preserve"> </w:t>
      </w:r>
      <w:r w:rsidRPr="000C4237">
        <w:rPr>
          <w:rStyle w:val="CharDivText"/>
        </w:rPr>
        <w:t xml:space="preserve"> </w:t>
      </w:r>
    </w:p>
    <w:p w:rsidR="002C7812" w:rsidRPr="006E709F" w:rsidRDefault="002C7812" w:rsidP="002C7812">
      <w:pPr>
        <w:pStyle w:val="ItemHead"/>
      </w:pPr>
      <w:r w:rsidRPr="006E709F">
        <w:t xml:space="preserve">1.1  </w:t>
      </w:r>
      <w:r w:rsidR="00FF4176" w:rsidRPr="006E709F">
        <w:t>Paragraph 9</w:t>
      </w:r>
      <w:r w:rsidRPr="006E709F">
        <w:t>49A(2)(c)</w:t>
      </w:r>
    </w:p>
    <w:p w:rsidR="002C7812" w:rsidRPr="006E709F" w:rsidRDefault="002C7812" w:rsidP="00F925D9">
      <w:pPr>
        <w:pStyle w:val="Item"/>
        <w:keepLines w:val="0"/>
        <w:rPr>
          <w:i/>
        </w:rPr>
      </w:pPr>
      <w:r w:rsidRPr="006E709F">
        <w:rPr>
          <w:i/>
        </w:rPr>
        <w:t>after</w:t>
      </w:r>
    </w:p>
    <w:p w:rsidR="002C7812" w:rsidRPr="006E709F" w:rsidRDefault="002C7812" w:rsidP="00F925D9">
      <w:pPr>
        <w:pStyle w:val="Item"/>
        <w:keepLines w:val="0"/>
      </w:pPr>
      <w:r w:rsidRPr="006E709F">
        <w:t>Part</w:t>
      </w:r>
      <w:r w:rsidR="00DA13DE" w:rsidRPr="006E709F">
        <w:t> </w:t>
      </w:r>
      <w:r w:rsidRPr="006E709F">
        <w:t>7.9)</w:t>
      </w:r>
    </w:p>
    <w:p w:rsidR="002C7812" w:rsidRPr="006E709F" w:rsidRDefault="002C7812" w:rsidP="00F925D9">
      <w:pPr>
        <w:pStyle w:val="Item"/>
        <w:keepLines w:val="0"/>
        <w:rPr>
          <w:i/>
        </w:rPr>
      </w:pPr>
      <w:r w:rsidRPr="006E709F">
        <w:rPr>
          <w:i/>
        </w:rPr>
        <w:t>insert</w:t>
      </w:r>
    </w:p>
    <w:p w:rsidR="002C7812" w:rsidRPr="006E709F" w:rsidRDefault="002C7812" w:rsidP="00F925D9">
      <w:pPr>
        <w:pStyle w:val="Item"/>
        <w:keepLines w:val="0"/>
      </w:pPr>
      <w:r w:rsidRPr="006E709F">
        <w:t>or a Short</w:t>
      </w:r>
      <w:r w:rsidR="000C4237">
        <w:noBreakHyphen/>
      </w:r>
      <w:r w:rsidRPr="006E709F">
        <w:t>Form PDS (see Division</w:t>
      </w:r>
      <w:r w:rsidR="00DA13DE" w:rsidRPr="006E709F">
        <w:t> </w:t>
      </w:r>
      <w:r w:rsidRPr="006E709F">
        <w:t>3A of Part</w:t>
      </w:r>
      <w:r w:rsidR="00DA13DE" w:rsidRPr="006E709F">
        <w:t> </w:t>
      </w:r>
      <w:r w:rsidRPr="006E709F">
        <w:t>7.9)</w:t>
      </w:r>
    </w:p>
    <w:p w:rsidR="002C7812" w:rsidRPr="006E709F" w:rsidRDefault="002C7812" w:rsidP="00695CE6">
      <w:pPr>
        <w:pStyle w:val="ActHead2"/>
        <w:pageBreakBefore/>
      </w:pPr>
      <w:bookmarkStart w:id="135" w:name="_Toc170547952"/>
      <w:r w:rsidRPr="000C4237">
        <w:rPr>
          <w:rStyle w:val="CharPartNo"/>
        </w:rPr>
        <w:lastRenderedPageBreak/>
        <w:t>Part</w:t>
      </w:r>
      <w:r w:rsidR="00DA13DE" w:rsidRPr="000C4237">
        <w:rPr>
          <w:rStyle w:val="CharPartNo"/>
        </w:rPr>
        <w:t> </w:t>
      </w:r>
      <w:r w:rsidRPr="000C4237">
        <w:rPr>
          <w:rStyle w:val="CharPartNo"/>
        </w:rPr>
        <w:t>3</w:t>
      </w:r>
      <w:r w:rsidRPr="006E709F">
        <w:t>—</w:t>
      </w:r>
      <w:r w:rsidRPr="000C4237">
        <w:rPr>
          <w:rStyle w:val="CharPartText"/>
        </w:rPr>
        <w:t>Modifications of Part</w:t>
      </w:r>
      <w:r w:rsidR="00DA13DE" w:rsidRPr="000C4237">
        <w:rPr>
          <w:rStyle w:val="CharPartText"/>
        </w:rPr>
        <w:t> </w:t>
      </w:r>
      <w:r w:rsidRPr="000C4237">
        <w:rPr>
          <w:rStyle w:val="CharPartText"/>
        </w:rPr>
        <w:t>7.9 of the Act</w:t>
      </w:r>
      <w:bookmarkEnd w:id="135"/>
    </w:p>
    <w:p w:rsidR="00E07D2E" w:rsidRPr="006E709F" w:rsidRDefault="00E07D2E" w:rsidP="00E07D2E">
      <w:pPr>
        <w:pStyle w:val="Header"/>
      </w:pPr>
      <w:r w:rsidRPr="000C4237">
        <w:rPr>
          <w:rStyle w:val="CharDivNo"/>
        </w:rPr>
        <w:t xml:space="preserve"> </w:t>
      </w:r>
      <w:r w:rsidRPr="000C4237">
        <w:rPr>
          <w:rStyle w:val="CharDivText"/>
        </w:rPr>
        <w:t xml:space="preserve"> </w:t>
      </w:r>
    </w:p>
    <w:p w:rsidR="002C7812" w:rsidRPr="006E709F" w:rsidRDefault="002C7812" w:rsidP="00DB2E9E">
      <w:pPr>
        <w:pStyle w:val="ItemHead"/>
      </w:pPr>
      <w:r w:rsidRPr="006E709F">
        <w:t>3.1  After Division</w:t>
      </w:r>
      <w:r w:rsidR="00DA13DE" w:rsidRPr="006E709F">
        <w:t> </w:t>
      </w:r>
      <w:r w:rsidRPr="006E709F">
        <w:t>3 of Part</w:t>
      </w:r>
      <w:r w:rsidR="00DA13DE" w:rsidRPr="006E709F">
        <w:t> </w:t>
      </w:r>
      <w:r w:rsidRPr="006E709F">
        <w:t>7.9</w:t>
      </w:r>
    </w:p>
    <w:p w:rsidR="002C7812" w:rsidRPr="006E709F" w:rsidRDefault="002C7812" w:rsidP="00DB2E9E">
      <w:pPr>
        <w:pStyle w:val="Item"/>
        <w:keepNext/>
        <w:rPr>
          <w:i/>
        </w:rPr>
      </w:pPr>
      <w:r w:rsidRPr="006E709F">
        <w:rPr>
          <w:i/>
        </w:rPr>
        <w:t>insert</w:t>
      </w:r>
    </w:p>
    <w:p w:rsidR="002C7812" w:rsidRPr="006E709F" w:rsidRDefault="002C7812" w:rsidP="00DB2E9E">
      <w:pPr>
        <w:pStyle w:val="Speciald"/>
      </w:pPr>
      <w:r w:rsidRPr="006E709F">
        <w:t>Division</w:t>
      </w:r>
      <w:r w:rsidR="00DA13DE" w:rsidRPr="006E709F">
        <w:t> </w:t>
      </w:r>
      <w:r w:rsidRPr="006E709F">
        <w:t>3A—Short</w:t>
      </w:r>
      <w:r w:rsidR="000C4237">
        <w:noBreakHyphen/>
      </w:r>
      <w:r w:rsidRPr="006E709F">
        <w:t>Form Product Disclosure Statements</w:t>
      </w:r>
    </w:p>
    <w:p w:rsidR="002C7812" w:rsidRPr="006E709F" w:rsidRDefault="002C7812" w:rsidP="00DB2E9E">
      <w:pPr>
        <w:pStyle w:val="Specials"/>
      </w:pPr>
      <w:r w:rsidRPr="006E709F">
        <w:t>1017H  Short</w:t>
      </w:r>
      <w:r w:rsidR="000C4237">
        <w:noBreakHyphen/>
      </w:r>
      <w:r w:rsidRPr="006E709F">
        <w:t>Form PDS</w:t>
      </w:r>
    </w:p>
    <w:p w:rsidR="002C7812" w:rsidRPr="006E709F" w:rsidRDefault="002C7812" w:rsidP="00DB2E9E">
      <w:pPr>
        <w:pStyle w:val="SubsectionHead"/>
      </w:pPr>
      <w:r w:rsidRPr="006E709F">
        <w:t>Short</w:t>
      </w:r>
      <w:r w:rsidR="000C4237">
        <w:noBreakHyphen/>
      </w:r>
      <w:r w:rsidRPr="006E709F">
        <w:t>Form PDS may be given instead of a Product Disclosure Statement in most cases</w:t>
      </w:r>
    </w:p>
    <w:p w:rsidR="002C7812" w:rsidRPr="006E709F" w:rsidRDefault="002C7812" w:rsidP="00F925D9">
      <w:pPr>
        <w:pStyle w:val="subsection"/>
      </w:pPr>
      <w:r w:rsidRPr="006E709F">
        <w:tab/>
        <w:t>(1)</w:t>
      </w:r>
      <w:r w:rsidRPr="006E709F">
        <w:tab/>
        <w:t xml:space="preserve">If a regulated person is required or obliged by this Act to give a Product Disclosure Statement for a financial product (but see </w:t>
      </w:r>
      <w:r w:rsidR="00DA13DE" w:rsidRPr="006E709F">
        <w:t>subsection (</w:t>
      </w:r>
      <w:r w:rsidRPr="006E709F">
        <w:t>4)) to another person, the regulated person may instead provide a Short</w:t>
      </w:r>
      <w:r w:rsidR="000C4237">
        <w:noBreakHyphen/>
      </w:r>
      <w:r w:rsidRPr="006E709F">
        <w:t>Form PDS for the product.</w:t>
      </w:r>
    </w:p>
    <w:p w:rsidR="002C7812" w:rsidRPr="006E709F" w:rsidRDefault="002C7812" w:rsidP="00DB2E9E">
      <w:pPr>
        <w:pStyle w:val="SubsectionHead"/>
      </w:pPr>
      <w:r w:rsidRPr="006E709F">
        <w:t>Product Disclosure Statement must be given in certain circumstances</w:t>
      </w:r>
    </w:p>
    <w:p w:rsidR="002C7812" w:rsidRPr="006E709F" w:rsidRDefault="002C7812" w:rsidP="00F925D9">
      <w:pPr>
        <w:pStyle w:val="subsection"/>
      </w:pPr>
      <w:r w:rsidRPr="006E709F">
        <w:tab/>
        <w:t>(2)</w:t>
      </w:r>
      <w:r w:rsidRPr="006E709F">
        <w:tab/>
        <w:t>However, if the regulated person is requested by the other person to provide the Product Disclosure Statement the regulated person must provide the Product Disclosure Statement.</w:t>
      </w:r>
    </w:p>
    <w:p w:rsidR="002C7812" w:rsidRPr="006E709F" w:rsidRDefault="002C7812" w:rsidP="00DB2E9E">
      <w:pPr>
        <w:pStyle w:val="SubsectionHead"/>
      </w:pPr>
      <w:r w:rsidRPr="006E709F">
        <w:t>Responsible person</w:t>
      </w:r>
    </w:p>
    <w:p w:rsidR="002C7812" w:rsidRPr="006E709F" w:rsidRDefault="002C7812" w:rsidP="00F925D9">
      <w:pPr>
        <w:pStyle w:val="subsection"/>
      </w:pPr>
      <w:r w:rsidRPr="006E709F">
        <w:tab/>
        <w:t>(3)</w:t>
      </w:r>
      <w:r w:rsidRPr="006E709F">
        <w:tab/>
        <w:t xml:space="preserve">The </w:t>
      </w:r>
      <w:r w:rsidRPr="006E709F">
        <w:rPr>
          <w:b/>
          <w:i/>
        </w:rPr>
        <w:t>responsible person</w:t>
      </w:r>
      <w:r w:rsidRPr="006E709F">
        <w:t xml:space="preserve"> for a Short</w:t>
      </w:r>
      <w:r w:rsidR="000C4237">
        <w:noBreakHyphen/>
      </w:r>
      <w:r w:rsidRPr="006E709F">
        <w:t>Form PDS for a financial product is the person who is the responsible person for the Product Disclosure Statement for the product.</w:t>
      </w:r>
    </w:p>
    <w:p w:rsidR="00333B75" w:rsidRPr="006E709F" w:rsidRDefault="00333B75" w:rsidP="00DB2E9E">
      <w:pPr>
        <w:pStyle w:val="SubsectionHead"/>
      </w:pPr>
      <w:r w:rsidRPr="006E709F">
        <w:t>Short</w:t>
      </w:r>
      <w:r w:rsidR="000C4237">
        <w:noBreakHyphen/>
      </w:r>
      <w:r w:rsidRPr="006E709F">
        <w:t>Form PDS not to be given for certain products</w:t>
      </w:r>
    </w:p>
    <w:p w:rsidR="00333B75" w:rsidRPr="006E709F" w:rsidRDefault="00333B75" w:rsidP="00F925D9">
      <w:pPr>
        <w:pStyle w:val="subsection"/>
      </w:pPr>
      <w:r w:rsidRPr="006E709F">
        <w:tab/>
        <w:t>(4)</w:t>
      </w:r>
      <w:r w:rsidRPr="006E709F">
        <w:tab/>
      </w:r>
      <w:r w:rsidR="00DA13DE" w:rsidRPr="006E709F">
        <w:t>Subsection (</w:t>
      </w:r>
      <w:r w:rsidRPr="006E709F">
        <w:t>1) does not apply in relation to the following:</w:t>
      </w:r>
    </w:p>
    <w:p w:rsidR="00333B75" w:rsidRPr="006E709F" w:rsidRDefault="00333B75" w:rsidP="00F925D9">
      <w:pPr>
        <w:pStyle w:val="paragraph"/>
      </w:pPr>
      <w:r w:rsidRPr="006E709F">
        <w:tab/>
        <w:t>(a)</w:t>
      </w:r>
      <w:r w:rsidRPr="006E709F">
        <w:tab/>
        <w:t>a general insurance product;</w:t>
      </w:r>
    </w:p>
    <w:p w:rsidR="00333B75" w:rsidRPr="006E709F" w:rsidRDefault="00333B75" w:rsidP="00F925D9">
      <w:pPr>
        <w:pStyle w:val="paragraph"/>
      </w:pPr>
      <w:r w:rsidRPr="006E709F">
        <w:tab/>
        <w:t>(b)</w:t>
      </w:r>
      <w:r w:rsidRPr="006E709F">
        <w:tab/>
        <w:t>a managed investment product in relation to an Australian passport fund;</w:t>
      </w:r>
    </w:p>
    <w:p w:rsidR="00761295" w:rsidRPr="006E709F" w:rsidRDefault="00761295" w:rsidP="00761295">
      <w:pPr>
        <w:pStyle w:val="paragraph"/>
        <w:rPr>
          <w:rFonts w:cs="Arial"/>
          <w:bCs/>
          <w:color w:val="000000"/>
          <w:szCs w:val="24"/>
        </w:rPr>
      </w:pPr>
      <w:r w:rsidRPr="006E709F">
        <w:tab/>
        <w:t>(ba)</w:t>
      </w:r>
      <w:r w:rsidRPr="006E709F">
        <w:tab/>
      </w:r>
      <w:r w:rsidRPr="006E709F">
        <w:rPr>
          <w:rFonts w:cs="Arial"/>
          <w:bCs/>
          <w:color w:val="000000"/>
          <w:szCs w:val="24"/>
        </w:rPr>
        <w:t>a security in a retail CCIV that is referable to a sub</w:t>
      </w:r>
      <w:r w:rsidR="000C4237">
        <w:rPr>
          <w:rFonts w:cs="Arial"/>
          <w:bCs/>
          <w:color w:val="000000"/>
          <w:szCs w:val="24"/>
        </w:rPr>
        <w:noBreakHyphen/>
      </w:r>
      <w:r w:rsidRPr="006E709F">
        <w:rPr>
          <w:rFonts w:cs="Arial"/>
          <w:bCs/>
          <w:color w:val="000000"/>
          <w:szCs w:val="24"/>
        </w:rPr>
        <w:t>fund of the CCIV that is an Australian passport fund;</w:t>
      </w:r>
    </w:p>
    <w:p w:rsidR="00333B75" w:rsidRPr="006E709F" w:rsidRDefault="00333B75" w:rsidP="00F925D9">
      <w:pPr>
        <w:pStyle w:val="paragraph"/>
      </w:pPr>
      <w:r w:rsidRPr="006E709F">
        <w:tab/>
        <w:t>(c)</w:t>
      </w:r>
      <w:r w:rsidRPr="006E709F">
        <w:tab/>
        <w:t>a foreign passport fund product.</w:t>
      </w:r>
    </w:p>
    <w:p w:rsidR="00333B75" w:rsidRPr="006E709F" w:rsidRDefault="00333B75" w:rsidP="00F925D9">
      <w:pPr>
        <w:pStyle w:val="subsection"/>
      </w:pPr>
      <w:r w:rsidRPr="006E709F">
        <w:tab/>
        <w:t>(5)</w:t>
      </w:r>
      <w:r w:rsidRPr="006E709F">
        <w:tab/>
        <w:t>To avoid doubt, nothing in Division</w:t>
      </w:r>
      <w:r w:rsidR="00DA13DE" w:rsidRPr="006E709F">
        <w:t> </w:t>
      </w:r>
      <w:r w:rsidRPr="006E709F">
        <w:t>5AB of Part</w:t>
      </w:r>
      <w:r w:rsidR="00DA13DE" w:rsidRPr="006E709F">
        <w:t> </w:t>
      </w:r>
      <w:r w:rsidRPr="006E709F">
        <w:t>7.9 of the regulations or in Part</w:t>
      </w:r>
      <w:r w:rsidR="00DA13DE" w:rsidRPr="006E709F">
        <w:t> </w:t>
      </w:r>
      <w:r w:rsidRPr="006E709F">
        <w:t>3 of Schedule</w:t>
      </w:r>
      <w:r w:rsidR="00DA13DE" w:rsidRPr="006E709F">
        <w:t> </w:t>
      </w:r>
      <w:r w:rsidRPr="006E709F">
        <w:t>10BA to the regulations permits a regulated person to give a Short</w:t>
      </w:r>
      <w:r w:rsidR="000C4237">
        <w:noBreakHyphen/>
      </w:r>
      <w:r w:rsidRPr="006E709F">
        <w:t>Form PDS or a Supplementary Short</w:t>
      </w:r>
      <w:r w:rsidR="000C4237">
        <w:noBreakHyphen/>
      </w:r>
      <w:r w:rsidRPr="006E709F">
        <w:t xml:space="preserve">Form PDS in relation to a financial product mentioned in </w:t>
      </w:r>
      <w:r w:rsidR="00DA13DE" w:rsidRPr="006E709F">
        <w:t>subsection (</w:t>
      </w:r>
      <w:r w:rsidRPr="006E709F">
        <w:t>4).</w:t>
      </w:r>
    </w:p>
    <w:p w:rsidR="002C7812" w:rsidRPr="006E709F" w:rsidRDefault="002C7812" w:rsidP="00DB2E9E">
      <w:pPr>
        <w:pStyle w:val="Specials"/>
      </w:pPr>
      <w:r w:rsidRPr="006E709F">
        <w:lastRenderedPageBreak/>
        <w:t>1017I  Contents of a Short</w:t>
      </w:r>
      <w:r w:rsidR="000C4237">
        <w:noBreakHyphen/>
      </w:r>
      <w:r w:rsidRPr="006E709F">
        <w:t>Form PDS</w:t>
      </w:r>
    </w:p>
    <w:p w:rsidR="002C7812" w:rsidRPr="006E709F" w:rsidRDefault="002C7812" w:rsidP="00DB2E9E">
      <w:pPr>
        <w:pStyle w:val="SubsectionHead"/>
      </w:pPr>
      <w:r w:rsidRPr="006E709F">
        <w:t>Contents</w:t>
      </w:r>
    </w:p>
    <w:p w:rsidR="002C7812" w:rsidRPr="006E709F" w:rsidRDefault="002C7812" w:rsidP="00F925D9">
      <w:pPr>
        <w:pStyle w:val="subsection"/>
      </w:pPr>
      <w:r w:rsidRPr="006E709F">
        <w:tab/>
        <w:t>(1)</w:t>
      </w:r>
      <w:r w:rsidRPr="006E709F">
        <w:tab/>
        <w:t>The Short</w:t>
      </w:r>
      <w:r w:rsidR="000C4237">
        <w:noBreakHyphen/>
      </w:r>
      <w:r w:rsidRPr="006E709F">
        <w:t>Form PDS for a financial product must contain the following:</w:t>
      </w:r>
    </w:p>
    <w:p w:rsidR="002C7812" w:rsidRPr="006E709F" w:rsidRDefault="002C7812" w:rsidP="00F925D9">
      <w:pPr>
        <w:pStyle w:val="paragraph"/>
      </w:pPr>
      <w:r w:rsidRPr="006E709F">
        <w:tab/>
        <w:t>(a)</w:t>
      </w:r>
      <w:r w:rsidRPr="006E709F">
        <w:tab/>
        <w:t>a summary of the statements and information referred to in paragraphs 1013D(1)(a), (b), (c), (d), (e), (g) and (i) that were included in a Product Disclosure Statement for the product;</w:t>
      </w:r>
    </w:p>
    <w:p w:rsidR="002C7812" w:rsidRPr="006E709F" w:rsidRDefault="002C7812" w:rsidP="00F925D9">
      <w:pPr>
        <w:pStyle w:val="paragraph"/>
      </w:pPr>
      <w:r w:rsidRPr="006E709F">
        <w:tab/>
        <w:t>(b)</w:t>
      </w:r>
      <w:r w:rsidRPr="006E709F">
        <w:tab/>
        <w:t>a statement:</w:t>
      </w:r>
    </w:p>
    <w:p w:rsidR="002C7812" w:rsidRPr="006E709F" w:rsidRDefault="002C7812" w:rsidP="00F925D9">
      <w:pPr>
        <w:pStyle w:val="paragraphsub"/>
      </w:pPr>
      <w:r w:rsidRPr="006E709F">
        <w:tab/>
        <w:t>(i)</w:t>
      </w:r>
      <w:r w:rsidRPr="006E709F">
        <w:tab/>
        <w:t>notifying the retail client in relation to the product that the client may ask for the Product Disclosure Statement for the product; and</w:t>
      </w:r>
    </w:p>
    <w:p w:rsidR="002C7812" w:rsidRPr="006E709F" w:rsidRDefault="002C7812" w:rsidP="00F925D9">
      <w:pPr>
        <w:pStyle w:val="paragraphsub"/>
      </w:pPr>
      <w:r w:rsidRPr="006E709F">
        <w:tab/>
        <w:t>(ii)</w:t>
      </w:r>
      <w:r w:rsidRPr="006E709F">
        <w:tab/>
        <w:t>setting out the means by which the client may ask for the Product Disclosure Statement.</w:t>
      </w:r>
    </w:p>
    <w:p w:rsidR="002C7812" w:rsidRPr="006E709F" w:rsidRDefault="002C7812" w:rsidP="00DB2E9E">
      <w:pPr>
        <w:pStyle w:val="SubsectionHead"/>
      </w:pPr>
      <w:r w:rsidRPr="006E709F">
        <w:t>Extra contents for certain products</w:t>
      </w:r>
    </w:p>
    <w:p w:rsidR="002C7812" w:rsidRPr="006E709F" w:rsidRDefault="002C7812" w:rsidP="00F925D9">
      <w:pPr>
        <w:pStyle w:val="subsection"/>
      </w:pPr>
      <w:r w:rsidRPr="006E709F">
        <w:tab/>
        <w:t>(2)</w:t>
      </w:r>
      <w:r w:rsidRPr="006E709F">
        <w:tab/>
        <w:t>If the Short</w:t>
      </w:r>
      <w:r w:rsidR="000C4237">
        <w:noBreakHyphen/>
      </w:r>
      <w:r w:rsidRPr="006E709F">
        <w:t>Form PDS is for a superannuation product</w:t>
      </w:r>
      <w:r w:rsidR="00761295" w:rsidRPr="006E709F">
        <w:t>, managed investment product or a security in a retail CCIV</w:t>
      </w:r>
      <w:r w:rsidRPr="006E709F">
        <w:t xml:space="preserve"> the Short</w:t>
      </w:r>
      <w:r w:rsidR="000C4237">
        <w:noBreakHyphen/>
      </w:r>
      <w:r w:rsidRPr="006E709F">
        <w:t>Form PDS must also set out in full the information in:</w:t>
      </w:r>
    </w:p>
    <w:p w:rsidR="002C7812" w:rsidRPr="006E709F" w:rsidRDefault="002C7812" w:rsidP="00F925D9">
      <w:pPr>
        <w:pStyle w:val="paragraph"/>
      </w:pPr>
      <w:r w:rsidRPr="006E709F">
        <w:tab/>
        <w:t>(a)</w:t>
      </w:r>
      <w:r w:rsidRPr="006E709F">
        <w:tab/>
        <w:t>any regulations made for the purposes of paragraph</w:t>
      </w:r>
      <w:r w:rsidR="00DA13DE" w:rsidRPr="006E709F">
        <w:t> </w:t>
      </w:r>
      <w:r w:rsidRPr="006E709F">
        <w:t>1013D(4)(c) relating to the details of fees and costs; and</w:t>
      </w:r>
    </w:p>
    <w:p w:rsidR="002C7812" w:rsidRPr="006E709F" w:rsidRDefault="002C7812" w:rsidP="00F925D9">
      <w:pPr>
        <w:pStyle w:val="paragraph"/>
      </w:pPr>
      <w:r w:rsidRPr="006E709F">
        <w:tab/>
        <w:t>(b)</w:t>
      </w:r>
      <w:r w:rsidRPr="006E709F">
        <w:tab/>
        <w:t>any regulations made for the purposes of paragraph</w:t>
      </w:r>
      <w:r w:rsidR="00DA13DE" w:rsidRPr="006E709F">
        <w:t> </w:t>
      </w:r>
      <w:r w:rsidRPr="006E709F">
        <w:t>1015C(5)(b) that relate to the presentation, structure and format of information required by paragraphs 1013D(1)(d) and (e).</w:t>
      </w:r>
    </w:p>
    <w:p w:rsidR="002C7812" w:rsidRPr="006E709F" w:rsidRDefault="002C7812" w:rsidP="00DB2E9E">
      <w:pPr>
        <w:pStyle w:val="SubsectionHead"/>
      </w:pPr>
      <w:r w:rsidRPr="006E709F">
        <w:t>Other information may be included in Short</w:t>
      </w:r>
      <w:r w:rsidR="000C4237">
        <w:noBreakHyphen/>
      </w:r>
      <w:r w:rsidRPr="006E709F">
        <w:t>Form PDS</w:t>
      </w:r>
    </w:p>
    <w:p w:rsidR="002C7812" w:rsidRPr="006E709F" w:rsidRDefault="002C7812" w:rsidP="00F925D9">
      <w:pPr>
        <w:pStyle w:val="subsection"/>
      </w:pPr>
      <w:r w:rsidRPr="006E709F">
        <w:tab/>
        <w:t>(3)</w:t>
      </w:r>
      <w:r w:rsidRPr="006E709F">
        <w:tab/>
        <w:t>The Short</w:t>
      </w:r>
      <w:r w:rsidR="000C4237">
        <w:noBreakHyphen/>
      </w:r>
      <w:r w:rsidRPr="006E709F">
        <w:t>Form PDS may also:</w:t>
      </w:r>
    </w:p>
    <w:p w:rsidR="002C7812" w:rsidRPr="006E709F" w:rsidRDefault="002C7812" w:rsidP="00F925D9">
      <w:pPr>
        <w:pStyle w:val="paragraph"/>
      </w:pPr>
      <w:r w:rsidRPr="006E709F">
        <w:tab/>
        <w:t>(a)</w:t>
      </w:r>
      <w:r w:rsidRPr="006E709F">
        <w:tab/>
        <w:t>include other information; and</w:t>
      </w:r>
    </w:p>
    <w:p w:rsidR="002C7812" w:rsidRPr="006E709F" w:rsidRDefault="002C7812" w:rsidP="00F925D9">
      <w:pPr>
        <w:pStyle w:val="paragraph"/>
      </w:pPr>
      <w:r w:rsidRPr="006E709F">
        <w:tab/>
        <w:t>(b)</w:t>
      </w:r>
      <w:r w:rsidRPr="006E709F">
        <w:tab/>
        <w:t>refer to other information that is set out in the Product Disclosure Statement or Financial Services Guide for the product.</w:t>
      </w:r>
    </w:p>
    <w:p w:rsidR="002C7812" w:rsidRPr="006E709F" w:rsidRDefault="002C7812" w:rsidP="00DB2E9E">
      <w:pPr>
        <w:pStyle w:val="SubsectionHead"/>
      </w:pPr>
      <w:r w:rsidRPr="006E709F">
        <w:t>Reference to identify incorporated information</w:t>
      </w:r>
    </w:p>
    <w:p w:rsidR="002C7812" w:rsidRPr="006E709F" w:rsidRDefault="002C7812" w:rsidP="00F925D9">
      <w:pPr>
        <w:pStyle w:val="subsection"/>
      </w:pPr>
      <w:r w:rsidRPr="006E709F">
        <w:tab/>
        <w:t>(4)</w:t>
      </w:r>
      <w:r w:rsidRPr="006E709F">
        <w:tab/>
        <w:t xml:space="preserve">If under </w:t>
      </w:r>
      <w:r w:rsidR="00DA13DE" w:rsidRPr="006E709F">
        <w:t>paragraph (</w:t>
      </w:r>
      <w:r w:rsidRPr="006E709F">
        <w:t>3)(b) information is referred to in the Short</w:t>
      </w:r>
      <w:r w:rsidR="000C4237">
        <w:noBreakHyphen/>
      </w:r>
      <w:r w:rsidRPr="006E709F">
        <w:t>Form PDS, the reference must identify the document or the part of the document that contains the information.</w:t>
      </w:r>
    </w:p>
    <w:p w:rsidR="002C7812" w:rsidRPr="006E709F" w:rsidRDefault="002C7812" w:rsidP="00DB2E9E">
      <w:pPr>
        <w:pStyle w:val="SubsectionHead"/>
      </w:pPr>
      <w:r w:rsidRPr="006E709F">
        <w:t>Incorporated document forms part of Short</w:t>
      </w:r>
      <w:r w:rsidR="000C4237">
        <w:noBreakHyphen/>
      </w:r>
      <w:r w:rsidRPr="006E709F">
        <w:t>Form PDS</w:t>
      </w:r>
    </w:p>
    <w:p w:rsidR="002C7812" w:rsidRPr="006E709F" w:rsidRDefault="002C7812" w:rsidP="00F925D9">
      <w:pPr>
        <w:pStyle w:val="subsection"/>
      </w:pPr>
      <w:r w:rsidRPr="006E709F">
        <w:tab/>
        <w:t>(5)</w:t>
      </w:r>
      <w:r w:rsidRPr="006E709F">
        <w:tab/>
        <w:t xml:space="preserve">The document or part referred to in </w:t>
      </w:r>
      <w:r w:rsidR="00DA13DE" w:rsidRPr="006E709F">
        <w:t>subsection (</w:t>
      </w:r>
      <w:r w:rsidRPr="006E709F">
        <w:t>4) is taken to be included in the Short</w:t>
      </w:r>
      <w:r w:rsidR="000C4237">
        <w:noBreakHyphen/>
      </w:r>
      <w:r w:rsidRPr="006E709F">
        <w:t>Form PDS.</w:t>
      </w:r>
    </w:p>
    <w:p w:rsidR="002C7812" w:rsidRPr="006E709F" w:rsidRDefault="002C7812" w:rsidP="00DB2E9E">
      <w:pPr>
        <w:pStyle w:val="SubsectionHead"/>
      </w:pPr>
      <w:r w:rsidRPr="006E709F">
        <w:t>Rule as to statements in a Short</w:t>
      </w:r>
      <w:r w:rsidR="000C4237">
        <w:noBreakHyphen/>
      </w:r>
      <w:r w:rsidRPr="006E709F">
        <w:t>Form PDS</w:t>
      </w:r>
    </w:p>
    <w:p w:rsidR="002C7812" w:rsidRPr="006E709F" w:rsidRDefault="002C7812" w:rsidP="00F925D9">
      <w:pPr>
        <w:pStyle w:val="subsection"/>
      </w:pPr>
      <w:r w:rsidRPr="006E709F">
        <w:tab/>
        <w:t>(6)</w:t>
      </w:r>
      <w:r w:rsidRPr="006E709F">
        <w:tab/>
        <w:t>If a Product Disclosure Statement for a financial product may include a statement made by a person (see section</w:t>
      </w:r>
      <w:r w:rsidR="00DA13DE" w:rsidRPr="006E709F">
        <w:t> </w:t>
      </w:r>
      <w:r w:rsidRPr="006E709F">
        <w:t>1013K), the statement may also be included in the Short</w:t>
      </w:r>
      <w:r w:rsidR="000C4237">
        <w:noBreakHyphen/>
      </w:r>
      <w:r w:rsidRPr="006E709F">
        <w:t>Form PDS for the product.</w:t>
      </w:r>
    </w:p>
    <w:p w:rsidR="002C7812" w:rsidRPr="006E709F" w:rsidRDefault="002C7812" w:rsidP="00DB2E9E">
      <w:pPr>
        <w:pStyle w:val="Specials"/>
      </w:pPr>
      <w:r w:rsidRPr="006E709F">
        <w:lastRenderedPageBreak/>
        <w:t>1017J  Title of Short</w:t>
      </w:r>
      <w:r w:rsidR="000C4237">
        <w:noBreakHyphen/>
      </w:r>
      <w:r w:rsidRPr="006E709F">
        <w:t>Form Product Disclosure Statement</w:t>
      </w:r>
    </w:p>
    <w:p w:rsidR="002C7812" w:rsidRPr="006E709F" w:rsidRDefault="002C7812" w:rsidP="00F925D9">
      <w:pPr>
        <w:pStyle w:val="subsection"/>
      </w:pPr>
      <w:r w:rsidRPr="006E709F">
        <w:tab/>
        <w:t>(1)</w:t>
      </w:r>
      <w:r w:rsidRPr="006E709F">
        <w:tab/>
        <w:t>The title “Short</w:t>
      </w:r>
      <w:r w:rsidR="000C4237">
        <w:noBreakHyphen/>
      </w:r>
      <w:r w:rsidRPr="006E709F">
        <w:t>Form Product Disclosure Statement” must be used on the cover of, or at or near the front of, a Short</w:t>
      </w:r>
      <w:r w:rsidR="000C4237">
        <w:noBreakHyphen/>
      </w:r>
      <w:r w:rsidRPr="006E709F">
        <w:t>Form PDS.</w:t>
      </w:r>
    </w:p>
    <w:p w:rsidR="002C7812" w:rsidRPr="006E709F" w:rsidRDefault="002C7812" w:rsidP="00F925D9">
      <w:pPr>
        <w:pStyle w:val="subsection"/>
      </w:pPr>
      <w:r w:rsidRPr="006E709F">
        <w:tab/>
        <w:t>(2)</w:t>
      </w:r>
      <w:r w:rsidRPr="006E709F">
        <w:tab/>
        <w:t>In any other part of a Short</w:t>
      </w:r>
      <w:r w:rsidR="000C4237">
        <w:noBreakHyphen/>
      </w:r>
      <w:r w:rsidRPr="006E709F">
        <w:t>Form PDS, “Short</w:t>
      </w:r>
      <w:r w:rsidR="000C4237">
        <w:noBreakHyphen/>
      </w:r>
      <w:r w:rsidRPr="006E709F">
        <w:t>Form Product Disclosure Statement” may be abbreviated to “Short</w:t>
      </w:r>
      <w:r w:rsidR="000C4237">
        <w:noBreakHyphen/>
      </w:r>
      <w:r w:rsidRPr="006E709F">
        <w:t>Form PDS”.</w:t>
      </w:r>
    </w:p>
    <w:p w:rsidR="002C7812" w:rsidRPr="006E709F" w:rsidRDefault="002C7812" w:rsidP="00DB2E9E">
      <w:pPr>
        <w:pStyle w:val="Specials"/>
      </w:pPr>
      <w:r w:rsidRPr="006E709F">
        <w:t>1017K  References in sections to Product Disclosure Statement to include references to Short</w:t>
      </w:r>
      <w:r w:rsidR="000C4237">
        <w:noBreakHyphen/>
      </w:r>
      <w:r w:rsidRPr="006E709F">
        <w:t>Form PDS</w:t>
      </w:r>
    </w:p>
    <w:p w:rsidR="002C7812" w:rsidRPr="006E709F" w:rsidRDefault="002C7812" w:rsidP="00F925D9">
      <w:pPr>
        <w:pStyle w:val="subsection"/>
      </w:pPr>
      <w:r w:rsidRPr="006E709F">
        <w:tab/>
      </w:r>
      <w:r w:rsidRPr="006E709F">
        <w:tab/>
        <w:t>The following provisions apply to a Short</w:t>
      </w:r>
      <w:r w:rsidR="000C4237">
        <w:noBreakHyphen/>
      </w:r>
      <w:r w:rsidRPr="006E709F">
        <w:t>Form PDS and so apply as if a reference to a Product Disclosure Statement in the provisions included a reference to a Short</w:t>
      </w:r>
      <w:r w:rsidR="000C4237">
        <w:noBreakHyphen/>
      </w:r>
      <w:r w:rsidRPr="006E709F">
        <w:t>Form PDS:</w:t>
      </w:r>
    </w:p>
    <w:p w:rsidR="002C7812" w:rsidRPr="006E709F" w:rsidRDefault="002C7812" w:rsidP="00F925D9">
      <w:pPr>
        <w:pStyle w:val="paragraph"/>
      </w:pPr>
      <w:r w:rsidRPr="006E709F">
        <w:tab/>
        <w:t>(a)</w:t>
      </w:r>
      <w:r w:rsidRPr="006E709F">
        <w:tab/>
        <w:t>sections</w:t>
      </w:r>
      <w:r w:rsidR="00DA13DE" w:rsidRPr="006E709F">
        <w:t> </w:t>
      </w:r>
      <w:r w:rsidRPr="006E709F">
        <w:t>942DA, 947E, 1012F, 1012G, 1012H, 1012J, 1013A, 1013G, 1013H, 1013I, 1013L 1013M, 1016A, 1016B, 1016C, 1016D, 1016E and 1017A and subsections</w:t>
      </w:r>
      <w:r w:rsidR="00DA13DE" w:rsidRPr="006E709F">
        <w:t> </w:t>
      </w:r>
      <w:r w:rsidRPr="006E709F">
        <w:t>1013C(3) and 1013C(4) to (7);</w:t>
      </w:r>
    </w:p>
    <w:p w:rsidR="002C7812" w:rsidRPr="006E709F" w:rsidRDefault="002C7812" w:rsidP="00F925D9">
      <w:pPr>
        <w:pStyle w:val="paragraph"/>
      </w:pPr>
      <w:r w:rsidRPr="006E709F">
        <w:tab/>
        <w:t>(b)</w:t>
      </w:r>
      <w:r w:rsidRPr="006E709F">
        <w:tab/>
        <w:t>any regulations made under those sections or subsections;</w:t>
      </w:r>
    </w:p>
    <w:p w:rsidR="002C7812" w:rsidRPr="006E709F" w:rsidRDefault="002C7812" w:rsidP="00F925D9">
      <w:pPr>
        <w:pStyle w:val="paragraph"/>
      </w:pPr>
      <w:r w:rsidRPr="006E709F">
        <w:tab/>
        <w:t>(c)</w:t>
      </w:r>
      <w:r w:rsidRPr="006E709F">
        <w:tab/>
        <w:t>any regulations that modify those sections or subsections.</w:t>
      </w:r>
    </w:p>
    <w:p w:rsidR="002C7812" w:rsidRPr="006E709F" w:rsidRDefault="002C7812" w:rsidP="00DB2E9E">
      <w:pPr>
        <w:pStyle w:val="Speciald"/>
      </w:pPr>
      <w:r w:rsidRPr="006E709F">
        <w:t>Division</w:t>
      </w:r>
      <w:r w:rsidR="00DA13DE" w:rsidRPr="006E709F">
        <w:t> </w:t>
      </w:r>
      <w:r w:rsidRPr="006E709F">
        <w:t>3B—Supplementary Short</w:t>
      </w:r>
      <w:r w:rsidR="000C4237">
        <w:noBreakHyphen/>
      </w:r>
      <w:r w:rsidRPr="006E709F">
        <w:t>Form Product Disclosure Statements</w:t>
      </w:r>
    </w:p>
    <w:p w:rsidR="002C7812" w:rsidRPr="006E709F" w:rsidRDefault="002C7812" w:rsidP="00DB2E9E">
      <w:pPr>
        <w:pStyle w:val="Specials"/>
      </w:pPr>
      <w:r w:rsidRPr="006E709F">
        <w:t>1017L  What a Supplementary Short</w:t>
      </w:r>
      <w:r w:rsidR="000C4237">
        <w:noBreakHyphen/>
      </w:r>
      <w:r w:rsidRPr="006E709F">
        <w:t>Form Product Disclosure Statement is</w:t>
      </w:r>
    </w:p>
    <w:p w:rsidR="002C7812" w:rsidRPr="006E709F" w:rsidRDefault="002C7812" w:rsidP="00F925D9">
      <w:pPr>
        <w:pStyle w:val="subsection"/>
      </w:pPr>
      <w:r w:rsidRPr="006E709F">
        <w:tab/>
      </w:r>
      <w:r w:rsidRPr="006E709F">
        <w:tab/>
        <w:t xml:space="preserve">A </w:t>
      </w:r>
      <w:r w:rsidRPr="006E709F">
        <w:rPr>
          <w:b/>
          <w:i/>
          <w:iCs/>
        </w:rPr>
        <w:t>Supplementary Short</w:t>
      </w:r>
      <w:r w:rsidR="000C4237">
        <w:rPr>
          <w:b/>
          <w:i/>
          <w:iCs/>
        </w:rPr>
        <w:noBreakHyphen/>
      </w:r>
      <w:r w:rsidRPr="006E709F">
        <w:rPr>
          <w:b/>
          <w:i/>
          <w:iCs/>
        </w:rPr>
        <w:t>Form PDS</w:t>
      </w:r>
      <w:r w:rsidRPr="006E709F">
        <w:rPr>
          <w:b/>
          <w:iCs/>
        </w:rPr>
        <w:t xml:space="preserve"> </w:t>
      </w:r>
      <w:r w:rsidRPr="006E709F">
        <w:t>is a document by which a person who has prepared a Short</w:t>
      </w:r>
      <w:r w:rsidR="000C4237">
        <w:noBreakHyphen/>
      </w:r>
      <w:r w:rsidRPr="006E709F">
        <w:t>Form PDS can:</w:t>
      </w:r>
    </w:p>
    <w:p w:rsidR="002C7812" w:rsidRPr="006E709F" w:rsidRDefault="002C7812" w:rsidP="00F925D9">
      <w:pPr>
        <w:pStyle w:val="paragraph"/>
      </w:pPr>
      <w:r w:rsidRPr="006E709F">
        <w:tab/>
        <w:t>(a)</w:t>
      </w:r>
      <w:r w:rsidRPr="006E709F">
        <w:tab/>
        <w:t>correct a misleading or deceptive statement in the Short</w:t>
      </w:r>
      <w:r w:rsidR="000C4237">
        <w:noBreakHyphen/>
      </w:r>
      <w:r w:rsidRPr="006E709F">
        <w:t>Form PDS; or</w:t>
      </w:r>
    </w:p>
    <w:p w:rsidR="002C7812" w:rsidRPr="006E709F" w:rsidRDefault="002C7812" w:rsidP="00F925D9">
      <w:pPr>
        <w:pStyle w:val="paragraph"/>
      </w:pPr>
      <w:r w:rsidRPr="006E709F">
        <w:tab/>
        <w:t>(b)</w:t>
      </w:r>
      <w:r w:rsidRPr="006E709F">
        <w:tab/>
        <w:t>correct an omission from the Short</w:t>
      </w:r>
      <w:r w:rsidR="000C4237">
        <w:noBreakHyphen/>
      </w:r>
      <w:r w:rsidRPr="006E709F">
        <w:t>Form PDS of information it is required to contain; or</w:t>
      </w:r>
    </w:p>
    <w:p w:rsidR="002C7812" w:rsidRPr="006E709F" w:rsidRDefault="002C7812" w:rsidP="00F925D9">
      <w:pPr>
        <w:pStyle w:val="paragraph"/>
      </w:pPr>
      <w:r w:rsidRPr="006E709F">
        <w:tab/>
        <w:t>(c)</w:t>
      </w:r>
      <w:r w:rsidRPr="006E709F">
        <w:tab/>
        <w:t>update, or add to, the information contained in the Short</w:t>
      </w:r>
      <w:r w:rsidR="000C4237">
        <w:noBreakHyphen/>
      </w:r>
      <w:r w:rsidRPr="006E709F">
        <w:t>Form PDS; or</w:t>
      </w:r>
    </w:p>
    <w:p w:rsidR="002C7812" w:rsidRPr="006E709F" w:rsidRDefault="002C7812" w:rsidP="00F925D9">
      <w:pPr>
        <w:pStyle w:val="paragraph"/>
      </w:pPr>
      <w:r w:rsidRPr="006E709F">
        <w:tab/>
        <w:t>(d)</w:t>
      </w:r>
      <w:r w:rsidRPr="006E709F">
        <w:tab/>
        <w:t>change a statement of a kind referred to in paragraph</w:t>
      </w:r>
      <w:r w:rsidR="00DA13DE" w:rsidRPr="006E709F">
        <w:t> </w:t>
      </w:r>
      <w:r w:rsidRPr="006E709F">
        <w:t>1016E(1)(a) or (b) (as applied by section</w:t>
      </w:r>
      <w:r w:rsidR="00DA13DE" w:rsidRPr="006E709F">
        <w:t> </w:t>
      </w:r>
      <w:r w:rsidRPr="006E709F">
        <w:t>1017K).</w:t>
      </w:r>
    </w:p>
    <w:p w:rsidR="002C7812" w:rsidRPr="006E709F" w:rsidRDefault="002C7812" w:rsidP="00DB2E9E">
      <w:pPr>
        <w:pStyle w:val="Specials"/>
      </w:pPr>
      <w:r w:rsidRPr="006E709F">
        <w:t>1017M  Title of Supplementary Short</w:t>
      </w:r>
      <w:r w:rsidR="000C4237">
        <w:noBreakHyphen/>
      </w:r>
      <w:r w:rsidRPr="006E709F">
        <w:t>Form Product Disclosure Statement</w:t>
      </w:r>
    </w:p>
    <w:p w:rsidR="002C7812" w:rsidRPr="006E709F" w:rsidRDefault="002C7812" w:rsidP="00F925D9">
      <w:pPr>
        <w:pStyle w:val="subsection"/>
      </w:pPr>
      <w:r w:rsidRPr="006E709F">
        <w:tab/>
        <w:t>(1)</w:t>
      </w:r>
      <w:r w:rsidRPr="006E709F">
        <w:tab/>
        <w:t>The title “Supplementary Short</w:t>
      </w:r>
      <w:r w:rsidR="000C4237">
        <w:noBreakHyphen/>
      </w:r>
      <w:r w:rsidRPr="006E709F">
        <w:t>Form Product Disclosure Statement” must be used on the cover of, or at or near the front of, a Supplementary Short</w:t>
      </w:r>
      <w:r w:rsidR="000C4237">
        <w:noBreakHyphen/>
      </w:r>
      <w:r w:rsidRPr="006E709F">
        <w:t>Form PDS.</w:t>
      </w:r>
    </w:p>
    <w:p w:rsidR="002C7812" w:rsidRPr="006E709F" w:rsidRDefault="002C7812" w:rsidP="00F925D9">
      <w:pPr>
        <w:pStyle w:val="subsection"/>
      </w:pPr>
      <w:r w:rsidRPr="006E709F">
        <w:tab/>
        <w:t>(2)</w:t>
      </w:r>
      <w:r w:rsidRPr="006E709F">
        <w:tab/>
        <w:t>In any other part of a Supplementary Short</w:t>
      </w:r>
      <w:r w:rsidR="000C4237">
        <w:noBreakHyphen/>
      </w:r>
      <w:r w:rsidRPr="006E709F">
        <w:t>Form PDS, “Supplementary Short</w:t>
      </w:r>
      <w:r w:rsidR="000C4237">
        <w:noBreakHyphen/>
      </w:r>
      <w:r w:rsidRPr="006E709F">
        <w:t>Form Product Disclosure Statement” may be abbreviated to “Supplementary Short</w:t>
      </w:r>
      <w:r w:rsidR="000C4237">
        <w:noBreakHyphen/>
      </w:r>
      <w:r w:rsidRPr="006E709F">
        <w:t>Form PDS”.</w:t>
      </w:r>
    </w:p>
    <w:p w:rsidR="002C7812" w:rsidRPr="006E709F" w:rsidRDefault="002C7812" w:rsidP="00DB2E9E">
      <w:pPr>
        <w:pStyle w:val="Specials"/>
      </w:pPr>
      <w:r w:rsidRPr="006E709F">
        <w:t>1017N  Form of Supplementary Short</w:t>
      </w:r>
      <w:r w:rsidR="000C4237">
        <w:noBreakHyphen/>
      </w:r>
      <w:r w:rsidRPr="006E709F">
        <w:t>Form Product Disclosure Statement</w:t>
      </w:r>
    </w:p>
    <w:p w:rsidR="002C7812" w:rsidRPr="006E709F" w:rsidRDefault="002C7812" w:rsidP="00F925D9">
      <w:pPr>
        <w:pStyle w:val="subsection"/>
      </w:pPr>
      <w:r w:rsidRPr="006E709F">
        <w:tab/>
      </w:r>
      <w:r w:rsidRPr="006E709F">
        <w:tab/>
        <w:t>At the beginning of a Supplementary Short</w:t>
      </w:r>
      <w:r w:rsidR="000C4237">
        <w:noBreakHyphen/>
      </w:r>
      <w:r w:rsidRPr="006E709F">
        <w:t>Form PDS there must be:</w:t>
      </w:r>
    </w:p>
    <w:p w:rsidR="002C7812" w:rsidRPr="006E709F" w:rsidRDefault="002C7812" w:rsidP="00F925D9">
      <w:pPr>
        <w:pStyle w:val="paragraph"/>
      </w:pPr>
      <w:r w:rsidRPr="006E709F">
        <w:tab/>
        <w:t>(a)</w:t>
      </w:r>
      <w:r w:rsidRPr="006E709F">
        <w:tab/>
        <w:t>a statement that it is a Supplementary Short</w:t>
      </w:r>
      <w:r w:rsidR="000C4237">
        <w:noBreakHyphen/>
      </w:r>
      <w:r w:rsidRPr="006E709F">
        <w:t>Form PDS; and</w:t>
      </w:r>
    </w:p>
    <w:p w:rsidR="002C7812" w:rsidRPr="006E709F" w:rsidRDefault="002C7812" w:rsidP="00F925D9">
      <w:pPr>
        <w:pStyle w:val="paragraph"/>
      </w:pPr>
      <w:r w:rsidRPr="006E709F">
        <w:lastRenderedPageBreak/>
        <w:tab/>
        <w:t>(b)</w:t>
      </w:r>
      <w:r w:rsidRPr="006E709F">
        <w:tab/>
        <w:t>an identification of the Short</w:t>
      </w:r>
      <w:r w:rsidR="000C4237">
        <w:noBreakHyphen/>
      </w:r>
      <w:r w:rsidRPr="006E709F">
        <w:t>Form PDS that it supplements; and</w:t>
      </w:r>
    </w:p>
    <w:p w:rsidR="002C7812" w:rsidRPr="006E709F" w:rsidRDefault="002C7812" w:rsidP="00F925D9">
      <w:pPr>
        <w:pStyle w:val="paragraph"/>
      </w:pPr>
      <w:r w:rsidRPr="006E709F">
        <w:tab/>
        <w:t>(c)</w:t>
      </w:r>
      <w:r w:rsidRPr="006E709F">
        <w:tab/>
        <w:t>a statement that it is to be read together with that Short</w:t>
      </w:r>
      <w:r w:rsidR="000C4237">
        <w:noBreakHyphen/>
      </w:r>
      <w:r w:rsidRPr="006E709F">
        <w:t>Form PDS and any other specified Supplementary Short</w:t>
      </w:r>
      <w:r w:rsidR="000C4237">
        <w:noBreakHyphen/>
      </w:r>
      <w:r w:rsidRPr="006E709F">
        <w:t>Form PDS.</w:t>
      </w:r>
    </w:p>
    <w:p w:rsidR="002C7812" w:rsidRPr="006E709F" w:rsidRDefault="002C7812" w:rsidP="00DB2E9E">
      <w:pPr>
        <w:pStyle w:val="Specials"/>
      </w:pPr>
      <w:r w:rsidRPr="006E709F">
        <w:t>1017O  Effect of giving person a Supplementary Short</w:t>
      </w:r>
      <w:r w:rsidR="000C4237">
        <w:noBreakHyphen/>
      </w:r>
      <w:r w:rsidRPr="006E709F">
        <w:t>Form Product Disclosure Statement</w:t>
      </w:r>
    </w:p>
    <w:p w:rsidR="002C7812" w:rsidRPr="006E709F" w:rsidRDefault="002C7812" w:rsidP="00F925D9">
      <w:pPr>
        <w:pStyle w:val="subsection"/>
      </w:pPr>
      <w:r w:rsidRPr="006E709F">
        <w:tab/>
      </w:r>
      <w:r w:rsidRPr="006E709F">
        <w:tab/>
        <w:t>If:</w:t>
      </w:r>
    </w:p>
    <w:p w:rsidR="002C7812" w:rsidRPr="006E709F" w:rsidRDefault="002C7812" w:rsidP="00F925D9">
      <w:pPr>
        <w:pStyle w:val="paragraph"/>
      </w:pPr>
      <w:r w:rsidRPr="006E709F">
        <w:tab/>
        <w:t>(a)</w:t>
      </w:r>
      <w:r w:rsidRPr="006E709F">
        <w:tab/>
        <w:t>a person is given a Short</w:t>
      </w:r>
      <w:r w:rsidR="000C4237">
        <w:noBreakHyphen/>
      </w:r>
      <w:r w:rsidRPr="006E709F">
        <w:t>Form PDS; and</w:t>
      </w:r>
    </w:p>
    <w:p w:rsidR="002C7812" w:rsidRPr="006E709F" w:rsidRDefault="002C7812" w:rsidP="00F925D9">
      <w:pPr>
        <w:pStyle w:val="paragraph"/>
      </w:pPr>
      <w:r w:rsidRPr="006E709F">
        <w:tab/>
        <w:t>(b)</w:t>
      </w:r>
      <w:r w:rsidRPr="006E709F">
        <w:tab/>
        <w:t>at the same time, or later, they are given a Supplementary Short</w:t>
      </w:r>
      <w:r w:rsidR="000C4237">
        <w:noBreakHyphen/>
      </w:r>
      <w:r w:rsidRPr="006E709F">
        <w:t>Form PDS that supplements the Short</w:t>
      </w:r>
      <w:r w:rsidR="000C4237">
        <w:noBreakHyphen/>
      </w:r>
      <w:r w:rsidRPr="006E709F">
        <w:t>Form PDS;</w:t>
      </w:r>
    </w:p>
    <w:p w:rsidR="002C7812" w:rsidRPr="006E709F" w:rsidRDefault="002C7812" w:rsidP="00F925D9">
      <w:pPr>
        <w:pStyle w:val="subsection2"/>
      </w:pPr>
      <w:r w:rsidRPr="006E709F">
        <w:t>the Short</w:t>
      </w:r>
      <w:r w:rsidR="000C4237">
        <w:noBreakHyphen/>
      </w:r>
      <w:r w:rsidRPr="006E709F">
        <w:t>Form PDS is taken, from when the Supplementary Short</w:t>
      </w:r>
      <w:r w:rsidR="000C4237">
        <w:noBreakHyphen/>
      </w:r>
      <w:r w:rsidRPr="006E709F">
        <w:t>Form PDS is given to the person, to include the information and statements contained in the Supplementary Short</w:t>
      </w:r>
      <w:r w:rsidR="000C4237">
        <w:noBreakHyphen/>
      </w:r>
      <w:r w:rsidRPr="006E709F">
        <w:t>Form PDS.</w:t>
      </w:r>
    </w:p>
    <w:p w:rsidR="002C7812" w:rsidRPr="006E709F" w:rsidRDefault="002C7812" w:rsidP="00695CE6">
      <w:pPr>
        <w:pStyle w:val="Specials"/>
      </w:pPr>
      <w:r w:rsidRPr="006E709F">
        <w:t>1017P  Situation in which only a Supplementary Short</w:t>
      </w:r>
      <w:r w:rsidR="000C4237">
        <w:noBreakHyphen/>
      </w:r>
      <w:r w:rsidRPr="006E709F">
        <w:t>Form Product Disclosure Statement need be given</w:t>
      </w:r>
    </w:p>
    <w:p w:rsidR="002C7812" w:rsidRPr="006E709F" w:rsidRDefault="002C7812" w:rsidP="002C7812">
      <w:pPr>
        <w:pStyle w:val="subsection"/>
      </w:pPr>
      <w:r w:rsidRPr="006E709F">
        <w:tab/>
      </w:r>
      <w:r w:rsidRPr="006E709F">
        <w:tab/>
        <w:t>If:</w:t>
      </w:r>
    </w:p>
    <w:p w:rsidR="002C7812" w:rsidRPr="006E709F" w:rsidRDefault="002C7812" w:rsidP="002C7812">
      <w:pPr>
        <w:pStyle w:val="paragraph"/>
      </w:pPr>
      <w:r w:rsidRPr="006E709F">
        <w:tab/>
        <w:t>(a)</w:t>
      </w:r>
      <w:r w:rsidRPr="006E709F">
        <w:tab/>
        <w:t xml:space="preserve">apart from this section, a person would be required to give another person (the </w:t>
      </w:r>
      <w:r w:rsidRPr="006E709F">
        <w:rPr>
          <w:b/>
          <w:i/>
          <w:iCs/>
        </w:rPr>
        <w:t>client</w:t>
      </w:r>
      <w:r w:rsidRPr="006E709F">
        <w:t xml:space="preserve">) a Product Disclosure Statement (the </w:t>
      </w:r>
      <w:r w:rsidRPr="006E709F">
        <w:rPr>
          <w:b/>
          <w:i/>
          <w:iCs/>
        </w:rPr>
        <w:t>new PDS</w:t>
      </w:r>
      <w:r w:rsidRPr="006E709F">
        <w:t>) relating to a financial product; and</w:t>
      </w:r>
    </w:p>
    <w:p w:rsidR="002C7812" w:rsidRPr="006E709F" w:rsidRDefault="002C7812" w:rsidP="002C7812">
      <w:pPr>
        <w:pStyle w:val="paragraph"/>
      </w:pPr>
      <w:r w:rsidRPr="006E709F">
        <w:tab/>
        <w:t>(b)</w:t>
      </w:r>
      <w:r w:rsidRPr="006E709F">
        <w:tab/>
        <w:t>the client has, because of some previous conduct, already received a Short</w:t>
      </w:r>
      <w:r w:rsidR="000C4237">
        <w:noBreakHyphen/>
      </w:r>
      <w:r w:rsidRPr="006E709F">
        <w:t xml:space="preserve">Form PDS (the </w:t>
      </w:r>
      <w:r w:rsidRPr="006E709F">
        <w:rPr>
          <w:b/>
          <w:i/>
          <w:iCs/>
        </w:rPr>
        <w:t>earlier Short</w:t>
      </w:r>
      <w:r w:rsidR="000C4237">
        <w:rPr>
          <w:b/>
          <w:i/>
          <w:iCs/>
        </w:rPr>
        <w:noBreakHyphen/>
      </w:r>
      <w:r w:rsidRPr="006E709F">
        <w:rPr>
          <w:b/>
          <w:i/>
          <w:iCs/>
        </w:rPr>
        <w:t>Form PDS</w:t>
      </w:r>
      <w:r w:rsidRPr="006E709F">
        <w:t>) relating to the financial product; and</w:t>
      </w:r>
    </w:p>
    <w:p w:rsidR="002C7812" w:rsidRPr="006E709F" w:rsidRDefault="002C7812" w:rsidP="002C7812">
      <w:pPr>
        <w:pStyle w:val="paragraph"/>
      </w:pPr>
      <w:r w:rsidRPr="006E709F">
        <w:tab/>
        <w:t>(c)</w:t>
      </w:r>
      <w:r w:rsidRPr="006E709F">
        <w:tab/>
        <w:t xml:space="preserve">the earlier </w:t>
      </w:r>
      <w:r w:rsidRPr="006E709F">
        <w:rPr>
          <w:iCs/>
        </w:rPr>
        <w:t>Short</w:t>
      </w:r>
      <w:r w:rsidR="000C4237">
        <w:rPr>
          <w:iCs/>
        </w:rPr>
        <w:noBreakHyphen/>
      </w:r>
      <w:r w:rsidRPr="006E709F">
        <w:rPr>
          <w:iCs/>
        </w:rPr>
        <w:t xml:space="preserve">Form </w:t>
      </w:r>
      <w:r w:rsidRPr="006E709F">
        <w:t>PDS contains summaries of some, but not all, of the information that the new PDS is required to contain (see paragraph</w:t>
      </w:r>
      <w:r w:rsidR="00DA13DE" w:rsidRPr="006E709F">
        <w:t> </w:t>
      </w:r>
      <w:r w:rsidRPr="006E709F">
        <w:t>1017I(1)(a));</w:t>
      </w:r>
    </w:p>
    <w:p w:rsidR="002C7812" w:rsidRPr="006E709F" w:rsidRDefault="002C7812" w:rsidP="002C7812">
      <w:pPr>
        <w:pStyle w:val="subsection2"/>
      </w:pPr>
      <w:r w:rsidRPr="006E709F">
        <w:t xml:space="preserve">the person may, instead of giving the client the new PDS, give the client a Supplementary </w:t>
      </w:r>
      <w:r w:rsidRPr="006E709F">
        <w:rPr>
          <w:iCs/>
        </w:rPr>
        <w:t>Short</w:t>
      </w:r>
      <w:r w:rsidR="000C4237">
        <w:rPr>
          <w:iCs/>
        </w:rPr>
        <w:noBreakHyphen/>
      </w:r>
      <w:r w:rsidRPr="006E709F">
        <w:rPr>
          <w:iCs/>
        </w:rPr>
        <w:t xml:space="preserve">Form </w:t>
      </w:r>
      <w:r w:rsidRPr="006E709F">
        <w:t>PDS that contains summaries of the additional information.</w:t>
      </w:r>
    </w:p>
    <w:p w:rsidR="002C7812" w:rsidRPr="006E709F" w:rsidRDefault="002C7812" w:rsidP="00695CE6">
      <w:pPr>
        <w:pStyle w:val="Specials"/>
      </w:pPr>
      <w:r w:rsidRPr="006E709F">
        <w:t>1017Q  Application of other provisions in relation to Supplementary Short</w:t>
      </w:r>
      <w:r w:rsidR="000C4237">
        <w:noBreakHyphen/>
      </w:r>
      <w:r w:rsidRPr="006E709F">
        <w:t>Form Product Disclosure Statements</w:t>
      </w:r>
    </w:p>
    <w:p w:rsidR="002C7812" w:rsidRPr="006E709F" w:rsidRDefault="002C7812" w:rsidP="002C7812">
      <w:pPr>
        <w:pStyle w:val="subsection"/>
      </w:pPr>
      <w:r w:rsidRPr="006E709F">
        <w:tab/>
      </w:r>
      <w:r w:rsidRPr="006E709F">
        <w:tab/>
        <w:t>The following provisions apply in relation to a Supplementary Short</w:t>
      </w:r>
      <w:r w:rsidR="000C4237">
        <w:noBreakHyphen/>
      </w:r>
      <w:r w:rsidRPr="006E709F">
        <w:t>Form PDS in the same way as those provisions apply to a Product Disclosure Statement:</w:t>
      </w:r>
    </w:p>
    <w:p w:rsidR="002C7812" w:rsidRPr="006E709F" w:rsidRDefault="002C7812" w:rsidP="002C7812">
      <w:pPr>
        <w:pStyle w:val="paragraph"/>
      </w:pPr>
      <w:r w:rsidRPr="006E709F">
        <w:tab/>
        <w:t>(a)</w:t>
      </w:r>
      <w:r w:rsidRPr="006E709F">
        <w:tab/>
        <w:t>sections</w:t>
      </w:r>
      <w:r w:rsidR="00DA13DE" w:rsidRPr="006E709F">
        <w:t> </w:t>
      </w:r>
      <w:r w:rsidRPr="006E709F">
        <w:t>1013A, 1013G, 1013H, 1013K and subsections</w:t>
      </w:r>
      <w:r w:rsidR="00DA13DE" w:rsidRPr="006E709F">
        <w:t> </w:t>
      </w:r>
      <w:r w:rsidRPr="006E709F">
        <w:t>1013C(3) and 1013C(4) to (7);</w:t>
      </w:r>
    </w:p>
    <w:p w:rsidR="002C7812" w:rsidRPr="006E709F" w:rsidRDefault="002C7812" w:rsidP="002C7812">
      <w:pPr>
        <w:pStyle w:val="paragraph"/>
      </w:pPr>
      <w:r w:rsidRPr="006E709F">
        <w:tab/>
        <w:t>(b)</w:t>
      </w:r>
      <w:r w:rsidRPr="006E709F">
        <w:tab/>
        <w:t>any regulations made under those sections or subsections;</w:t>
      </w:r>
    </w:p>
    <w:p w:rsidR="002C7812" w:rsidRPr="006E709F" w:rsidRDefault="002C7812" w:rsidP="002C7812">
      <w:pPr>
        <w:pStyle w:val="paragraph"/>
      </w:pPr>
      <w:r w:rsidRPr="006E709F">
        <w:tab/>
        <w:t>(c)</w:t>
      </w:r>
      <w:r w:rsidRPr="006E709F">
        <w:tab/>
        <w:t>any regulations that modify those sections or subsections.</w:t>
      </w:r>
    </w:p>
    <w:p w:rsidR="002C7812" w:rsidRPr="006E709F" w:rsidRDefault="002C7812" w:rsidP="002C7812">
      <w:pPr>
        <w:pStyle w:val="ItemHead"/>
      </w:pPr>
      <w:r w:rsidRPr="006E709F">
        <w:t>3.2  Section</w:t>
      </w:r>
      <w:r w:rsidR="00DA13DE" w:rsidRPr="006E709F">
        <w:t> </w:t>
      </w:r>
      <w:r w:rsidRPr="006E709F">
        <w:t>1015A</w:t>
      </w:r>
    </w:p>
    <w:p w:rsidR="002C7812" w:rsidRPr="006E709F" w:rsidRDefault="002C7812" w:rsidP="002C7812">
      <w:pPr>
        <w:pStyle w:val="Item"/>
        <w:rPr>
          <w:i/>
        </w:rPr>
      </w:pPr>
      <w:r w:rsidRPr="006E709F">
        <w:rPr>
          <w:i/>
        </w:rPr>
        <w:t>substitute</w:t>
      </w:r>
    </w:p>
    <w:p w:rsidR="002C7812" w:rsidRPr="006E709F" w:rsidRDefault="002C7812" w:rsidP="00695CE6">
      <w:pPr>
        <w:pStyle w:val="Specials"/>
      </w:pPr>
      <w:r w:rsidRPr="006E709F">
        <w:lastRenderedPageBreak/>
        <w:t>1015A  Subdivision applies to certain Disclosure Statements</w:t>
      </w:r>
    </w:p>
    <w:p w:rsidR="002C7812" w:rsidRPr="006E709F" w:rsidRDefault="002C7812" w:rsidP="002C7812">
      <w:pPr>
        <w:pStyle w:val="subsection"/>
      </w:pPr>
      <w:r w:rsidRPr="006E709F">
        <w:tab/>
        <w:t>(1)</w:t>
      </w:r>
      <w:r w:rsidRPr="006E709F">
        <w:tab/>
        <w:t xml:space="preserve">Subject to </w:t>
      </w:r>
      <w:r w:rsidR="00DA13DE" w:rsidRPr="006E709F">
        <w:t>subsection (</w:t>
      </w:r>
      <w:r w:rsidRPr="006E709F">
        <w:t>2):</w:t>
      </w:r>
    </w:p>
    <w:p w:rsidR="002C7812" w:rsidRPr="006E709F" w:rsidRDefault="002C7812" w:rsidP="002C7812">
      <w:pPr>
        <w:pStyle w:val="paragraph"/>
      </w:pPr>
      <w:r w:rsidRPr="006E709F">
        <w:tab/>
        <w:t>(a)</w:t>
      </w:r>
      <w:r w:rsidRPr="006E709F">
        <w:tab/>
        <w:t>this Subdivision applies to:</w:t>
      </w:r>
    </w:p>
    <w:p w:rsidR="002C7812" w:rsidRPr="006E709F" w:rsidRDefault="002C7812" w:rsidP="002C7812">
      <w:pPr>
        <w:pStyle w:val="paragraphsub"/>
      </w:pPr>
      <w:r w:rsidRPr="006E709F">
        <w:tab/>
        <w:t>(i)</w:t>
      </w:r>
      <w:r w:rsidRPr="006E709F">
        <w:tab/>
        <w:t>a Product Disclosure Statement; or</w:t>
      </w:r>
    </w:p>
    <w:p w:rsidR="002C7812" w:rsidRPr="006E709F" w:rsidRDefault="002C7812" w:rsidP="002C7812">
      <w:pPr>
        <w:pStyle w:val="paragraphsub"/>
      </w:pPr>
      <w:r w:rsidRPr="006E709F">
        <w:tab/>
        <w:t>(ii)</w:t>
      </w:r>
      <w:r w:rsidRPr="006E709F">
        <w:tab/>
        <w:t>a Short</w:t>
      </w:r>
      <w:r w:rsidR="000C4237">
        <w:noBreakHyphen/>
      </w:r>
      <w:r w:rsidRPr="006E709F">
        <w:t>Form PDS; or</w:t>
      </w:r>
    </w:p>
    <w:p w:rsidR="002C7812" w:rsidRPr="006E709F" w:rsidRDefault="002C7812" w:rsidP="002C7812">
      <w:pPr>
        <w:pStyle w:val="paragraphsub"/>
      </w:pPr>
      <w:r w:rsidRPr="006E709F">
        <w:tab/>
        <w:t>(iii)</w:t>
      </w:r>
      <w:r w:rsidRPr="006E709F">
        <w:tab/>
        <w:t>a Supplementary PDS; or</w:t>
      </w:r>
    </w:p>
    <w:p w:rsidR="002C7812" w:rsidRPr="006E709F" w:rsidRDefault="002C7812" w:rsidP="002C7812">
      <w:pPr>
        <w:pStyle w:val="paragraphsub"/>
      </w:pPr>
      <w:r w:rsidRPr="006E709F">
        <w:tab/>
        <w:t>(iv)</w:t>
      </w:r>
      <w:r w:rsidRPr="006E709F">
        <w:tab/>
        <w:t>a Supplementary Short</w:t>
      </w:r>
      <w:r w:rsidR="000C4237">
        <w:noBreakHyphen/>
      </w:r>
      <w:r w:rsidRPr="006E709F">
        <w:t>Form PDS; and</w:t>
      </w:r>
    </w:p>
    <w:p w:rsidR="002C7812" w:rsidRPr="006E709F" w:rsidRDefault="002C7812" w:rsidP="002C7812">
      <w:pPr>
        <w:pStyle w:val="paragraph"/>
      </w:pPr>
      <w:r w:rsidRPr="006E709F">
        <w:tab/>
        <w:t>(b)</w:t>
      </w:r>
      <w:r w:rsidRPr="006E709F">
        <w:tab/>
        <w:t xml:space="preserve">each of those kinds of documents is referred to in this Subdivision as a </w:t>
      </w:r>
      <w:r w:rsidRPr="006E709F">
        <w:rPr>
          <w:b/>
          <w:i/>
        </w:rPr>
        <w:t>Statement</w:t>
      </w:r>
      <w:r w:rsidRPr="006E709F">
        <w:t>.</w:t>
      </w:r>
    </w:p>
    <w:p w:rsidR="002C7812" w:rsidRPr="006E709F" w:rsidRDefault="002C7812" w:rsidP="002C7812">
      <w:pPr>
        <w:pStyle w:val="subsection"/>
      </w:pPr>
      <w:r w:rsidRPr="006E709F">
        <w:tab/>
        <w:t>(2)</w:t>
      </w:r>
      <w:r w:rsidRPr="006E709F">
        <w:tab/>
        <w:t>However:</w:t>
      </w:r>
    </w:p>
    <w:p w:rsidR="002C7812" w:rsidRPr="006E709F" w:rsidRDefault="002C7812" w:rsidP="002C7812">
      <w:pPr>
        <w:pStyle w:val="paragraph"/>
      </w:pPr>
      <w:r w:rsidRPr="006E709F">
        <w:tab/>
        <w:t>(a)</w:t>
      </w:r>
      <w:r w:rsidRPr="006E709F">
        <w:tab/>
        <w:t>section</w:t>
      </w:r>
      <w:r w:rsidR="00DA13DE" w:rsidRPr="006E709F">
        <w:t> </w:t>
      </w:r>
      <w:r w:rsidRPr="006E709F">
        <w:t>1015B does not apply to a Short</w:t>
      </w:r>
      <w:r w:rsidR="000C4237">
        <w:noBreakHyphen/>
      </w:r>
      <w:r w:rsidRPr="006E709F">
        <w:t>Form PDS or a Supplementary Short</w:t>
      </w:r>
      <w:r w:rsidR="000C4237">
        <w:noBreakHyphen/>
      </w:r>
      <w:r w:rsidRPr="006E709F">
        <w:t>Form PDS; and</w:t>
      </w:r>
    </w:p>
    <w:p w:rsidR="002C7812" w:rsidRPr="006E709F" w:rsidRDefault="002C7812" w:rsidP="002C7812">
      <w:pPr>
        <w:pStyle w:val="paragraph"/>
      </w:pPr>
      <w:r w:rsidRPr="006E709F">
        <w:tab/>
        <w:t>(b)</w:t>
      </w:r>
      <w:r w:rsidRPr="006E709F">
        <w:tab/>
        <w:t xml:space="preserve">in that section, </w:t>
      </w:r>
      <w:r w:rsidRPr="006E709F">
        <w:rPr>
          <w:b/>
          <w:i/>
        </w:rPr>
        <w:t xml:space="preserve">Statement </w:t>
      </w:r>
      <w:r w:rsidRPr="006E709F">
        <w:t>does not include a Short</w:t>
      </w:r>
      <w:r w:rsidR="000C4237">
        <w:noBreakHyphen/>
      </w:r>
      <w:r w:rsidRPr="006E709F">
        <w:t>Form PDS or a Supplementary Short</w:t>
      </w:r>
      <w:r w:rsidR="000C4237">
        <w:noBreakHyphen/>
      </w:r>
      <w:r w:rsidRPr="006E709F">
        <w:t>Form PDS.</w:t>
      </w:r>
    </w:p>
    <w:p w:rsidR="002C7812" w:rsidRPr="006E709F" w:rsidRDefault="002C7812" w:rsidP="002C7812">
      <w:pPr>
        <w:pStyle w:val="ItemHead"/>
      </w:pPr>
      <w:r w:rsidRPr="006E709F">
        <w:t>3.3  Subsection</w:t>
      </w:r>
      <w:r w:rsidR="00DA13DE" w:rsidRPr="006E709F">
        <w:t> </w:t>
      </w:r>
      <w:r w:rsidRPr="006E709F">
        <w:t>1015B(1) (after the note)</w:t>
      </w:r>
    </w:p>
    <w:p w:rsidR="002C7812" w:rsidRPr="006E709F" w:rsidRDefault="002C7812" w:rsidP="002C7812">
      <w:pPr>
        <w:pStyle w:val="Item"/>
        <w:rPr>
          <w:i/>
        </w:rPr>
      </w:pPr>
      <w:r w:rsidRPr="006E709F">
        <w:rPr>
          <w:i/>
        </w:rPr>
        <w:t>insert</w:t>
      </w:r>
    </w:p>
    <w:p w:rsidR="002C7812" w:rsidRPr="006E709F" w:rsidRDefault="002C7812" w:rsidP="002C7812">
      <w:pPr>
        <w:pStyle w:val="notetext"/>
      </w:pPr>
      <w:r w:rsidRPr="006E709F">
        <w:t>Note 2:</w:t>
      </w:r>
      <w:r w:rsidRPr="006E709F">
        <w:tab/>
        <w:t>Subsection</w:t>
      </w:r>
      <w:r w:rsidR="00DA13DE" w:rsidRPr="006E709F">
        <w:t> </w:t>
      </w:r>
      <w:r w:rsidRPr="006E709F">
        <w:t xml:space="preserve">1015A(2) provides that </w:t>
      </w:r>
      <w:r w:rsidRPr="006E709F">
        <w:rPr>
          <w:b/>
          <w:i/>
        </w:rPr>
        <w:t>Statement</w:t>
      </w:r>
      <w:r w:rsidRPr="006E709F">
        <w:t xml:space="preserve"> in this section does not include a Short</w:t>
      </w:r>
      <w:r w:rsidR="000C4237">
        <w:noBreakHyphen/>
      </w:r>
      <w:r w:rsidRPr="006E709F">
        <w:t>Form PDS or a Supplementary Short</w:t>
      </w:r>
      <w:r w:rsidR="000C4237">
        <w:noBreakHyphen/>
      </w:r>
      <w:r w:rsidRPr="006E709F">
        <w:t>Form PDS.</w:t>
      </w:r>
    </w:p>
    <w:p w:rsidR="002C7812" w:rsidRPr="006E709F" w:rsidRDefault="002C7812" w:rsidP="002C7812">
      <w:pPr>
        <w:pStyle w:val="ItemHead"/>
      </w:pPr>
      <w:r w:rsidRPr="006E709F">
        <w:t xml:space="preserve">3.4  </w:t>
      </w:r>
      <w:r w:rsidR="00FF4176" w:rsidRPr="006E709F">
        <w:t>Paragraph 1</w:t>
      </w:r>
      <w:r w:rsidRPr="006E709F">
        <w:t>018A(1)(e)</w:t>
      </w:r>
    </w:p>
    <w:p w:rsidR="002C7812" w:rsidRPr="006E709F" w:rsidRDefault="002C7812" w:rsidP="00F925D9">
      <w:pPr>
        <w:pStyle w:val="Item"/>
        <w:keepLines w:val="0"/>
        <w:rPr>
          <w:i/>
        </w:rPr>
      </w:pPr>
      <w:r w:rsidRPr="006E709F">
        <w:rPr>
          <w:i/>
        </w:rPr>
        <w:t>after</w:t>
      </w:r>
    </w:p>
    <w:p w:rsidR="002C7812" w:rsidRPr="006E709F" w:rsidRDefault="002C7812" w:rsidP="00F925D9">
      <w:pPr>
        <w:pStyle w:val="Item"/>
        <w:keepLines w:val="0"/>
      </w:pPr>
      <w:r w:rsidRPr="006E709F">
        <w:t>Statement</w:t>
      </w:r>
    </w:p>
    <w:p w:rsidR="002C7812" w:rsidRPr="006E709F" w:rsidRDefault="002C7812" w:rsidP="00F925D9">
      <w:pPr>
        <w:pStyle w:val="Item"/>
        <w:keepLines w:val="0"/>
        <w:rPr>
          <w:i/>
        </w:rPr>
      </w:pPr>
      <w:r w:rsidRPr="006E709F">
        <w:rPr>
          <w:i/>
        </w:rPr>
        <w:t>insert</w:t>
      </w:r>
    </w:p>
    <w:p w:rsidR="002C7812" w:rsidRPr="006E709F" w:rsidRDefault="002C7812" w:rsidP="00F925D9">
      <w:pPr>
        <w:pStyle w:val="Item"/>
        <w:keepLines w:val="0"/>
      </w:pPr>
      <w:r w:rsidRPr="006E709F">
        <w:t>or Short</w:t>
      </w:r>
      <w:r w:rsidR="000C4237">
        <w:noBreakHyphen/>
      </w:r>
      <w:r w:rsidRPr="006E709F">
        <w:t>Form PDS, if available,</w:t>
      </w:r>
    </w:p>
    <w:p w:rsidR="002C7812" w:rsidRPr="006E709F" w:rsidRDefault="002C7812" w:rsidP="002C7812">
      <w:pPr>
        <w:pStyle w:val="ItemHead"/>
      </w:pPr>
      <w:r w:rsidRPr="006E709F">
        <w:t xml:space="preserve">3.5  </w:t>
      </w:r>
      <w:r w:rsidR="00FF4176" w:rsidRPr="006E709F">
        <w:t>Paragraph 1</w:t>
      </w:r>
      <w:r w:rsidRPr="006E709F">
        <w:t>018A(2)(f)</w:t>
      </w:r>
    </w:p>
    <w:p w:rsidR="002C7812" w:rsidRPr="006E709F" w:rsidRDefault="002C7812" w:rsidP="00F925D9">
      <w:pPr>
        <w:pStyle w:val="Item"/>
        <w:keepLines w:val="0"/>
        <w:rPr>
          <w:i/>
        </w:rPr>
      </w:pPr>
      <w:r w:rsidRPr="006E709F">
        <w:rPr>
          <w:i/>
        </w:rPr>
        <w:t>after</w:t>
      </w:r>
    </w:p>
    <w:p w:rsidR="002C7812" w:rsidRPr="006E709F" w:rsidRDefault="002C7812" w:rsidP="00F925D9">
      <w:pPr>
        <w:pStyle w:val="Item"/>
        <w:keepLines w:val="0"/>
      </w:pPr>
      <w:r w:rsidRPr="006E709F">
        <w:t>Statement</w:t>
      </w:r>
    </w:p>
    <w:p w:rsidR="002C7812" w:rsidRPr="006E709F" w:rsidRDefault="002C7812" w:rsidP="00F925D9">
      <w:pPr>
        <w:pStyle w:val="Item"/>
        <w:keepLines w:val="0"/>
        <w:rPr>
          <w:i/>
        </w:rPr>
      </w:pPr>
      <w:r w:rsidRPr="006E709F">
        <w:rPr>
          <w:i/>
        </w:rPr>
        <w:t>insert</w:t>
      </w:r>
    </w:p>
    <w:p w:rsidR="002C7812" w:rsidRPr="006E709F" w:rsidRDefault="002C7812" w:rsidP="00F925D9">
      <w:pPr>
        <w:pStyle w:val="Item"/>
        <w:keepLines w:val="0"/>
      </w:pPr>
      <w:r w:rsidRPr="006E709F">
        <w:t>or Short</w:t>
      </w:r>
      <w:r w:rsidR="000C4237">
        <w:noBreakHyphen/>
      </w:r>
      <w:r w:rsidRPr="006E709F">
        <w:t>Form PDS, if available,</w:t>
      </w:r>
    </w:p>
    <w:p w:rsidR="002C7812" w:rsidRPr="006E709F" w:rsidRDefault="002C7812" w:rsidP="002C7812">
      <w:pPr>
        <w:pStyle w:val="ItemHead"/>
      </w:pPr>
      <w:r w:rsidRPr="006E709F">
        <w:t>3.6  Subsection</w:t>
      </w:r>
      <w:r w:rsidR="00DA13DE" w:rsidRPr="006E709F">
        <w:t> </w:t>
      </w:r>
      <w:r w:rsidRPr="006E709F">
        <w:t>1018A(3)</w:t>
      </w:r>
    </w:p>
    <w:p w:rsidR="002C7812" w:rsidRPr="006E709F" w:rsidRDefault="002C7812" w:rsidP="00F925D9">
      <w:pPr>
        <w:pStyle w:val="Item"/>
        <w:keepLines w:val="0"/>
        <w:rPr>
          <w:i/>
        </w:rPr>
      </w:pPr>
      <w:r w:rsidRPr="006E709F">
        <w:rPr>
          <w:i/>
        </w:rPr>
        <w:t>after</w:t>
      </w:r>
    </w:p>
    <w:p w:rsidR="002C7812" w:rsidRPr="006E709F" w:rsidRDefault="002C7812" w:rsidP="00F925D9">
      <w:pPr>
        <w:pStyle w:val="Item"/>
        <w:keepLines w:val="0"/>
      </w:pPr>
      <w:r w:rsidRPr="006E709F">
        <w:t>Statement</w:t>
      </w:r>
    </w:p>
    <w:p w:rsidR="002C7812" w:rsidRPr="006E709F" w:rsidRDefault="002C7812" w:rsidP="00F925D9">
      <w:pPr>
        <w:pStyle w:val="Item"/>
        <w:keepLines w:val="0"/>
        <w:rPr>
          <w:i/>
        </w:rPr>
      </w:pPr>
      <w:r w:rsidRPr="006E709F">
        <w:rPr>
          <w:i/>
        </w:rPr>
        <w:t>insert</w:t>
      </w:r>
    </w:p>
    <w:p w:rsidR="002C7812" w:rsidRPr="006E709F" w:rsidRDefault="002C7812" w:rsidP="00F925D9">
      <w:pPr>
        <w:pStyle w:val="Item"/>
        <w:keepLines w:val="0"/>
      </w:pPr>
      <w:r w:rsidRPr="006E709F">
        <w:t>or Short</w:t>
      </w:r>
      <w:r w:rsidR="000C4237">
        <w:noBreakHyphen/>
      </w:r>
      <w:r w:rsidRPr="006E709F">
        <w:t>Form PDS</w:t>
      </w:r>
    </w:p>
    <w:p w:rsidR="002C7812" w:rsidRPr="006E709F" w:rsidRDefault="002C7812" w:rsidP="002C7812">
      <w:pPr>
        <w:pStyle w:val="ItemHead"/>
      </w:pPr>
      <w:r w:rsidRPr="006E709F">
        <w:t xml:space="preserve">3.7  </w:t>
      </w:r>
      <w:r w:rsidR="00FF4176" w:rsidRPr="006E709F">
        <w:t>Subparagraph 1</w:t>
      </w:r>
      <w:r w:rsidRPr="006E709F">
        <w:t>018A(4)(d)(i)</w:t>
      </w:r>
    </w:p>
    <w:p w:rsidR="002C7812" w:rsidRPr="006E709F" w:rsidRDefault="002C7812" w:rsidP="00F925D9">
      <w:pPr>
        <w:pStyle w:val="Item"/>
        <w:keepLines w:val="0"/>
        <w:rPr>
          <w:i/>
        </w:rPr>
      </w:pPr>
      <w:r w:rsidRPr="006E709F">
        <w:rPr>
          <w:i/>
        </w:rPr>
        <w:t>after</w:t>
      </w:r>
    </w:p>
    <w:p w:rsidR="002C7812" w:rsidRPr="006E709F" w:rsidRDefault="002C7812" w:rsidP="00F925D9">
      <w:pPr>
        <w:pStyle w:val="Item"/>
        <w:keepLines w:val="0"/>
      </w:pPr>
      <w:r w:rsidRPr="006E709F">
        <w:t>Statement</w:t>
      </w:r>
    </w:p>
    <w:p w:rsidR="002C7812" w:rsidRPr="006E709F" w:rsidRDefault="002C7812" w:rsidP="00F925D9">
      <w:pPr>
        <w:pStyle w:val="Item"/>
        <w:keepLines w:val="0"/>
        <w:rPr>
          <w:i/>
        </w:rPr>
      </w:pPr>
      <w:r w:rsidRPr="006E709F">
        <w:rPr>
          <w:i/>
        </w:rPr>
        <w:lastRenderedPageBreak/>
        <w:t>insert</w:t>
      </w:r>
    </w:p>
    <w:p w:rsidR="002C7812" w:rsidRPr="006E709F" w:rsidRDefault="002C7812" w:rsidP="00F925D9">
      <w:pPr>
        <w:pStyle w:val="Item"/>
        <w:keepLines w:val="0"/>
      </w:pPr>
      <w:r w:rsidRPr="006E709F">
        <w:t>or Short</w:t>
      </w:r>
      <w:r w:rsidR="000C4237">
        <w:noBreakHyphen/>
      </w:r>
      <w:r w:rsidRPr="006E709F">
        <w:t>Form PDS</w:t>
      </w:r>
    </w:p>
    <w:p w:rsidR="002C7812" w:rsidRPr="006E709F" w:rsidRDefault="002C7812" w:rsidP="002C7812">
      <w:pPr>
        <w:pStyle w:val="ItemHead"/>
      </w:pPr>
      <w:r w:rsidRPr="006E709F">
        <w:t xml:space="preserve">3.8  </w:t>
      </w:r>
      <w:r w:rsidR="00FF4176" w:rsidRPr="006E709F">
        <w:t>Paragraph 1</w:t>
      </w:r>
      <w:r w:rsidRPr="006E709F">
        <w:t>020D(b)</w:t>
      </w:r>
    </w:p>
    <w:p w:rsidR="002C7812" w:rsidRPr="006E709F" w:rsidRDefault="002C7812" w:rsidP="00F925D9">
      <w:pPr>
        <w:pStyle w:val="Item"/>
        <w:keepLines w:val="0"/>
        <w:rPr>
          <w:i/>
        </w:rPr>
      </w:pPr>
      <w:r w:rsidRPr="006E709F">
        <w:rPr>
          <w:i/>
        </w:rPr>
        <w:t>omit</w:t>
      </w:r>
    </w:p>
    <w:p w:rsidR="002C7812" w:rsidRPr="006E709F" w:rsidRDefault="002C7812" w:rsidP="00F925D9">
      <w:pPr>
        <w:pStyle w:val="Item"/>
        <w:keepLines w:val="0"/>
      </w:pPr>
      <w:r w:rsidRPr="006E709F">
        <w:t>or Supplementary Product Disclosure Statement</w:t>
      </w:r>
    </w:p>
    <w:p w:rsidR="002C7812" w:rsidRPr="006E709F" w:rsidRDefault="002C7812" w:rsidP="00F925D9">
      <w:pPr>
        <w:pStyle w:val="Item"/>
        <w:keepLines w:val="0"/>
        <w:rPr>
          <w:i/>
        </w:rPr>
      </w:pPr>
      <w:r w:rsidRPr="006E709F">
        <w:rPr>
          <w:i/>
        </w:rPr>
        <w:t>insert</w:t>
      </w:r>
    </w:p>
    <w:p w:rsidR="002C7812" w:rsidRPr="006E709F" w:rsidRDefault="002C7812" w:rsidP="00F925D9">
      <w:pPr>
        <w:pStyle w:val="Item"/>
        <w:keepLines w:val="0"/>
      </w:pPr>
      <w:r w:rsidRPr="006E709F">
        <w:t>, Supplementary Product Disclosure Statement, Short</w:t>
      </w:r>
      <w:r w:rsidR="000C4237">
        <w:noBreakHyphen/>
      </w:r>
      <w:r w:rsidRPr="006E709F">
        <w:t>Form PDS or Supplementary Short</w:t>
      </w:r>
      <w:r w:rsidR="000C4237">
        <w:noBreakHyphen/>
      </w:r>
      <w:r w:rsidRPr="006E709F">
        <w:t>Form PDS</w:t>
      </w:r>
    </w:p>
    <w:p w:rsidR="002C7812" w:rsidRPr="006E709F" w:rsidRDefault="002C7812" w:rsidP="002C7812">
      <w:pPr>
        <w:pStyle w:val="ItemHead"/>
      </w:pPr>
      <w:r w:rsidRPr="006E709F">
        <w:t>3.9  After paragraph</w:t>
      </w:r>
      <w:r w:rsidR="00DA13DE" w:rsidRPr="006E709F">
        <w:t> </w:t>
      </w:r>
      <w:r w:rsidRPr="006E709F">
        <w:t xml:space="preserve">1021B(1)(b) (definition of </w:t>
      </w:r>
      <w:r w:rsidRPr="006E709F">
        <w:rPr>
          <w:i/>
        </w:rPr>
        <w:t>defective</w:t>
      </w:r>
      <w:r w:rsidRPr="006E709F">
        <w:t>)</w:t>
      </w:r>
    </w:p>
    <w:p w:rsidR="002C7812" w:rsidRPr="006E709F" w:rsidRDefault="002C7812" w:rsidP="002C7812">
      <w:pPr>
        <w:pStyle w:val="Item"/>
        <w:rPr>
          <w:i/>
        </w:rPr>
      </w:pPr>
      <w:r w:rsidRPr="006E709F">
        <w:rPr>
          <w:i/>
        </w:rPr>
        <w:t>insert</w:t>
      </w:r>
    </w:p>
    <w:p w:rsidR="002C7812" w:rsidRPr="006E709F" w:rsidRDefault="002C7812" w:rsidP="002C7812">
      <w:pPr>
        <w:pStyle w:val="paragraph"/>
      </w:pPr>
      <w:r w:rsidRPr="006E709F">
        <w:tab/>
        <w:t>(ba)</w:t>
      </w:r>
      <w:r w:rsidRPr="006E709F">
        <w:tab/>
        <w:t>if it is a Short</w:t>
      </w:r>
      <w:r w:rsidR="000C4237">
        <w:noBreakHyphen/>
      </w:r>
      <w:r w:rsidRPr="006E709F">
        <w:t>Form PDS—there is an omission from the Short</w:t>
      </w:r>
      <w:r w:rsidR="000C4237">
        <w:noBreakHyphen/>
      </w:r>
      <w:r w:rsidRPr="006E709F">
        <w:t>Form PDS of material required by section</w:t>
      </w:r>
      <w:r w:rsidR="00DA13DE" w:rsidRPr="006E709F">
        <w:t> </w:t>
      </w:r>
      <w:r w:rsidRPr="006E709F">
        <w:t>1017I; or</w:t>
      </w:r>
    </w:p>
    <w:p w:rsidR="002C7812" w:rsidRPr="006E709F" w:rsidRDefault="002C7812" w:rsidP="002C7812">
      <w:pPr>
        <w:pStyle w:val="ItemHead"/>
      </w:pPr>
      <w:r w:rsidRPr="006E709F">
        <w:t>3.10  After paragraph</w:t>
      </w:r>
      <w:r w:rsidR="00DA13DE" w:rsidRPr="006E709F">
        <w:t> </w:t>
      </w:r>
      <w:r w:rsidRPr="006E709F">
        <w:t xml:space="preserve">1021B(1)(c) (definition of </w:t>
      </w:r>
      <w:r w:rsidRPr="006E709F">
        <w:rPr>
          <w:i/>
        </w:rPr>
        <w:t>defective</w:t>
      </w:r>
      <w:r w:rsidRPr="006E709F">
        <w:t>)</w:t>
      </w:r>
    </w:p>
    <w:p w:rsidR="002C7812" w:rsidRPr="006E709F" w:rsidRDefault="002C7812" w:rsidP="002C7812">
      <w:pPr>
        <w:pStyle w:val="Item"/>
        <w:rPr>
          <w:i/>
        </w:rPr>
      </w:pPr>
      <w:r w:rsidRPr="006E709F">
        <w:rPr>
          <w:i/>
        </w:rPr>
        <w:t>insert</w:t>
      </w:r>
    </w:p>
    <w:p w:rsidR="002C7812" w:rsidRPr="006E709F" w:rsidRDefault="002C7812" w:rsidP="002C7812">
      <w:pPr>
        <w:pStyle w:val="paragraph"/>
      </w:pPr>
      <w:r w:rsidRPr="006E709F">
        <w:tab/>
        <w:t>(ca)</w:t>
      </w:r>
      <w:r w:rsidRPr="006E709F">
        <w:tab/>
        <w:t>if it is a Supplementary Short</w:t>
      </w:r>
      <w:r w:rsidR="000C4237">
        <w:noBreakHyphen/>
      </w:r>
      <w:r w:rsidRPr="006E709F">
        <w:t>Form PDS that is given for the purposes of section</w:t>
      </w:r>
      <w:r w:rsidR="00DA13DE" w:rsidRPr="006E709F">
        <w:t> </w:t>
      </w:r>
      <w:r w:rsidRPr="006E709F">
        <w:t>1017P—there is an omission from the Short</w:t>
      </w:r>
      <w:r w:rsidR="000C4237">
        <w:noBreakHyphen/>
      </w:r>
      <w:r w:rsidRPr="006E709F">
        <w:t>Form PDS of material required by that section; or</w:t>
      </w:r>
    </w:p>
    <w:p w:rsidR="002C7812" w:rsidRPr="006E709F" w:rsidRDefault="002C7812" w:rsidP="002C7812">
      <w:pPr>
        <w:pStyle w:val="ItemHead"/>
      </w:pPr>
      <w:r w:rsidRPr="006E709F">
        <w:t>3.11  Subsection</w:t>
      </w:r>
      <w:r w:rsidR="00DA13DE" w:rsidRPr="006E709F">
        <w:t> </w:t>
      </w:r>
      <w:r w:rsidRPr="006E709F">
        <w:t xml:space="preserve">1021B(1), definition of </w:t>
      </w:r>
      <w:r w:rsidRPr="006E709F">
        <w:rPr>
          <w:i/>
        </w:rPr>
        <w:t>disclosure document or statement</w:t>
      </w:r>
      <w:r w:rsidRPr="006E709F">
        <w:t xml:space="preserve">, after </w:t>
      </w:r>
      <w:r w:rsidR="00DA13DE" w:rsidRPr="006E709F">
        <w:t>paragraph (</w:t>
      </w:r>
      <w:r w:rsidRPr="006E709F">
        <w:t>b)</w:t>
      </w:r>
    </w:p>
    <w:p w:rsidR="002C7812" w:rsidRPr="006E709F" w:rsidRDefault="002C7812" w:rsidP="002C7812">
      <w:pPr>
        <w:pStyle w:val="Item"/>
        <w:rPr>
          <w:i/>
        </w:rPr>
      </w:pPr>
      <w:r w:rsidRPr="006E709F">
        <w:rPr>
          <w:i/>
        </w:rPr>
        <w:t>insert</w:t>
      </w:r>
    </w:p>
    <w:p w:rsidR="002C7812" w:rsidRPr="006E709F" w:rsidRDefault="002C7812" w:rsidP="002C7812">
      <w:pPr>
        <w:pStyle w:val="paragraph"/>
      </w:pPr>
      <w:r w:rsidRPr="006E709F">
        <w:tab/>
        <w:t>(ba)</w:t>
      </w:r>
      <w:r w:rsidRPr="006E709F">
        <w:tab/>
        <w:t>a Short</w:t>
      </w:r>
      <w:r w:rsidR="000C4237">
        <w:noBreakHyphen/>
      </w:r>
      <w:r w:rsidRPr="006E709F">
        <w:t>Form PDS; or</w:t>
      </w:r>
    </w:p>
    <w:p w:rsidR="002C7812" w:rsidRPr="006E709F" w:rsidRDefault="002C7812" w:rsidP="002C7812">
      <w:pPr>
        <w:pStyle w:val="paragraph"/>
      </w:pPr>
      <w:r w:rsidRPr="006E709F">
        <w:tab/>
        <w:t>(bb)</w:t>
      </w:r>
      <w:r w:rsidRPr="006E709F">
        <w:tab/>
        <w:t>a Supplementary Short</w:t>
      </w:r>
      <w:r w:rsidR="000C4237">
        <w:noBreakHyphen/>
      </w:r>
      <w:r w:rsidRPr="006E709F">
        <w:t>Form PDS; or</w:t>
      </w:r>
    </w:p>
    <w:p w:rsidR="002C7812" w:rsidRPr="006E709F" w:rsidRDefault="002C7812" w:rsidP="002C7812">
      <w:pPr>
        <w:pStyle w:val="ItemHead"/>
      </w:pPr>
      <w:r w:rsidRPr="006E709F">
        <w:t>3.12  After subsection</w:t>
      </w:r>
      <w:r w:rsidR="00DA13DE" w:rsidRPr="006E709F">
        <w:t> </w:t>
      </w:r>
      <w:r w:rsidRPr="006E709F">
        <w:t>1021C(5)</w:t>
      </w:r>
    </w:p>
    <w:p w:rsidR="002C7812" w:rsidRPr="006E709F" w:rsidRDefault="002C7812" w:rsidP="002C7812">
      <w:pPr>
        <w:pStyle w:val="Item"/>
        <w:rPr>
          <w:i/>
        </w:rPr>
      </w:pPr>
      <w:r w:rsidRPr="006E709F">
        <w:rPr>
          <w:i/>
        </w:rPr>
        <w:t>insert</w:t>
      </w:r>
    </w:p>
    <w:p w:rsidR="002C7812" w:rsidRPr="006E709F" w:rsidRDefault="002C7812" w:rsidP="002C7812">
      <w:pPr>
        <w:pStyle w:val="subsection"/>
      </w:pPr>
      <w:r w:rsidRPr="006E709F">
        <w:tab/>
        <w:t>(6)</w:t>
      </w:r>
      <w:r w:rsidRPr="006E709F">
        <w:tab/>
        <w:t>If a person does not give a Product Disclosure Statement for a financial product because the person has given a Short</w:t>
      </w:r>
      <w:r w:rsidR="000C4237">
        <w:noBreakHyphen/>
      </w:r>
      <w:r w:rsidRPr="006E709F">
        <w:t>Form PDS for the product, the person is taken not to contravene this section.</w:t>
      </w:r>
    </w:p>
    <w:p w:rsidR="002C7812" w:rsidRPr="006E709F" w:rsidRDefault="002C7812" w:rsidP="002C7812">
      <w:pPr>
        <w:pStyle w:val="ItemHead"/>
      </w:pPr>
      <w:r w:rsidRPr="006E709F">
        <w:t xml:space="preserve">3.13  </w:t>
      </w:r>
      <w:r w:rsidR="00FF4176" w:rsidRPr="006E709F">
        <w:t>Paragraph 1</w:t>
      </w:r>
      <w:r w:rsidRPr="006E709F">
        <w:t>021H(1)(a)</w:t>
      </w:r>
    </w:p>
    <w:p w:rsidR="002C7812" w:rsidRPr="006E709F" w:rsidRDefault="002C7812" w:rsidP="00F925D9">
      <w:pPr>
        <w:pStyle w:val="Item"/>
        <w:keepLines w:val="0"/>
        <w:rPr>
          <w:i/>
        </w:rPr>
      </w:pPr>
      <w:r w:rsidRPr="006E709F">
        <w:rPr>
          <w:i/>
        </w:rPr>
        <w:t>omit</w:t>
      </w:r>
    </w:p>
    <w:p w:rsidR="002C7812" w:rsidRPr="006E709F" w:rsidRDefault="002C7812" w:rsidP="00F925D9">
      <w:pPr>
        <w:pStyle w:val="Item"/>
        <w:keepLines w:val="0"/>
      </w:pPr>
      <w:r w:rsidRPr="006E709F">
        <w:t>or a Supplementary Product Disclosure Statement</w:t>
      </w:r>
    </w:p>
    <w:p w:rsidR="002C7812" w:rsidRPr="006E709F" w:rsidRDefault="002C7812" w:rsidP="00F925D9">
      <w:pPr>
        <w:pStyle w:val="Item"/>
        <w:keepLines w:val="0"/>
        <w:rPr>
          <w:i/>
        </w:rPr>
      </w:pPr>
      <w:r w:rsidRPr="006E709F">
        <w:rPr>
          <w:i/>
        </w:rPr>
        <w:t>insert</w:t>
      </w:r>
    </w:p>
    <w:p w:rsidR="002C7812" w:rsidRPr="006E709F" w:rsidRDefault="002C7812" w:rsidP="00F925D9">
      <w:pPr>
        <w:pStyle w:val="Item"/>
        <w:keepLines w:val="0"/>
      </w:pPr>
      <w:r w:rsidRPr="006E709F">
        <w:t>, a Supplementary Product Disclosure Statement, a Short</w:t>
      </w:r>
      <w:r w:rsidR="000C4237">
        <w:noBreakHyphen/>
      </w:r>
      <w:r w:rsidRPr="006E709F">
        <w:t>Form PDS or a Supplementary Short</w:t>
      </w:r>
      <w:r w:rsidR="000C4237">
        <w:noBreakHyphen/>
      </w:r>
      <w:r w:rsidRPr="006E709F">
        <w:t>Form PDS</w:t>
      </w:r>
    </w:p>
    <w:p w:rsidR="002C7812" w:rsidRPr="006E709F" w:rsidRDefault="002C7812" w:rsidP="002C7812">
      <w:pPr>
        <w:pStyle w:val="ItemHead"/>
      </w:pPr>
      <w:r w:rsidRPr="006E709F">
        <w:t xml:space="preserve">3.14  </w:t>
      </w:r>
      <w:r w:rsidR="00FF4176" w:rsidRPr="006E709F">
        <w:t>Subparagraph 1</w:t>
      </w:r>
      <w:r w:rsidRPr="006E709F">
        <w:t>021H(1)(b)(i)</w:t>
      </w:r>
    </w:p>
    <w:p w:rsidR="002C7812" w:rsidRPr="006E709F" w:rsidRDefault="002C7812" w:rsidP="00F925D9">
      <w:pPr>
        <w:pStyle w:val="Item"/>
        <w:keepLines w:val="0"/>
        <w:rPr>
          <w:i/>
        </w:rPr>
      </w:pPr>
      <w:r w:rsidRPr="006E709F">
        <w:rPr>
          <w:i/>
        </w:rPr>
        <w:t>after</w:t>
      </w:r>
    </w:p>
    <w:p w:rsidR="002C7812" w:rsidRPr="006E709F" w:rsidRDefault="002C7812" w:rsidP="00F925D9">
      <w:pPr>
        <w:pStyle w:val="Item"/>
        <w:keepLines w:val="0"/>
      </w:pPr>
      <w:r w:rsidRPr="006E709F">
        <w:t>Product Disclosure Statement</w:t>
      </w:r>
    </w:p>
    <w:p w:rsidR="002C7812" w:rsidRPr="006E709F" w:rsidRDefault="002C7812" w:rsidP="00F925D9">
      <w:pPr>
        <w:pStyle w:val="Item"/>
        <w:keepLines w:val="0"/>
        <w:rPr>
          <w:i/>
        </w:rPr>
      </w:pPr>
      <w:r w:rsidRPr="006E709F">
        <w:rPr>
          <w:i/>
        </w:rPr>
        <w:lastRenderedPageBreak/>
        <w:t>insert</w:t>
      </w:r>
    </w:p>
    <w:p w:rsidR="002C7812" w:rsidRPr="006E709F" w:rsidRDefault="002C7812" w:rsidP="00F925D9">
      <w:pPr>
        <w:pStyle w:val="Item"/>
        <w:keepLines w:val="0"/>
      </w:pPr>
      <w:r w:rsidRPr="006E709F">
        <w:t>or Short</w:t>
      </w:r>
      <w:r w:rsidR="000C4237">
        <w:noBreakHyphen/>
      </w:r>
      <w:r w:rsidRPr="006E709F">
        <w:t>Form PDS</w:t>
      </w:r>
    </w:p>
    <w:p w:rsidR="002C7812" w:rsidRPr="006E709F" w:rsidRDefault="002C7812" w:rsidP="002C7812">
      <w:pPr>
        <w:pStyle w:val="ItemHead"/>
      </w:pPr>
      <w:r w:rsidRPr="006E709F">
        <w:t xml:space="preserve">3.15  </w:t>
      </w:r>
      <w:r w:rsidR="00FF4176" w:rsidRPr="006E709F">
        <w:t>Subparagraph 1</w:t>
      </w:r>
      <w:r w:rsidRPr="006E709F">
        <w:t>021H(1)(b)(ii)</w:t>
      </w:r>
    </w:p>
    <w:p w:rsidR="002C7812" w:rsidRPr="006E709F" w:rsidRDefault="002C7812" w:rsidP="00F925D9">
      <w:pPr>
        <w:pStyle w:val="Item"/>
        <w:keepLines w:val="0"/>
        <w:rPr>
          <w:i/>
        </w:rPr>
      </w:pPr>
      <w:r w:rsidRPr="006E709F">
        <w:rPr>
          <w:i/>
        </w:rPr>
        <w:t>omit</w:t>
      </w:r>
    </w:p>
    <w:p w:rsidR="002C7812" w:rsidRPr="006E709F" w:rsidRDefault="002C7812" w:rsidP="00F925D9">
      <w:pPr>
        <w:pStyle w:val="Item"/>
        <w:keepLines w:val="0"/>
      </w:pPr>
      <w:r w:rsidRPr="006E709F">
        <w:t>; and</w:t>
      </w:r>
    </w:p>
    <w:p w:rsidR="002C7812" w:rsidRPr="006E709F" w:rsidRDefault="002C7812" w:rsidP="00F925D9">
      <w:pPr>
        <w:pStyle w:val="Item"/>
        <w:keepLines w:val="0"/>
        <w:rPr>
          <w:i/>
        </w:rPr>
      </w:pPr>
      <w:r w:rsidRPr="006E709F">
        <w:rPr>
          <w:i/>
        </w:rPr>
        <w:t>insert</w:t>
      </w:r>
    </w:p>
    <w:p w:rsidR="002C7812" w:rsidRPr="006E709F" w:rsidRDefault="002C7812" w:rsidP="00F925D9">
      <w:pPr>
        <w:pStyle w:val="Item"/>
        <w:keepLines w:val="0"/>
      </w:pPr>
      <w:r w:rsidRPr="006E709F">
        <w:t>; or</w:t>
      </w:r>
    </w:p>
    <w:p w:rsidR="002C7812" w:rsidRPr="006E709F" w:rsidRDefault="002C7812" w:rsidP="002C7812">
      <w:pPr>
        <w:pStyle w:val="ItemHead"/>
        <w:rPr>
          <w:rFonts w:cs="Arial"/>
        </w:rPr>
      </w:pPr>
      <w:r w:rsidRPr="006E709F">
        <w:rPr>
          <w:rFonts w:cs="Arial"/>
        </w:rPr>
        <w:t>3.16  After subparagraph</w:t>
      </w:r>
      <w:r w:rsidR="00DA13DE" w:rsidRPr="006E709F">
        <w:rPr>
          <w:rFonts w:cs="Arial"/>
        </w:rPr>
        <w:t> </w:t>
      </w:r>
      <w:r w:rsidRPr="006E709F">
        <w:rPr>
          <w:rFonts w:cs="Arial"/>
        </w:rPr>
        <w:t>1021H(1)(b)(ii)</w:t>
      </w:r>
    </w:p>
    <w:p w:rsidR="002C7812" w:rsidRPr="006E709F" w:rsidRDefault="002C7812" w:rsidP="002C7812">
      <w:pPr>
        <w:pStyle w:val="Item"/>
        <w:rPr>
          <w:i/>
        </w:rPr>
      </w:pPr>
      <w:r w:rsidRPr="006E709F">
        <w:rPr>
          <w:i/>
        </w:rPr>
        <w:t>insert</w:t>
      </w:r>
    </w:p>
    <w:p w:rsidR="002C7812" w:rsidRPr="006E709F" w:rsidRDefault="002C7812" w:rsidP="002C7812">
      <w:pPr>
        <w:pStyle w:val="paragraphsub"/>
      </w:pPr>
      <w:r w:rsidRPr="006E709F">
        <w:tab/>
        <w:t>(iii)</w:t>
      </w:r>
      <w:r w:rsidRPr="006E709F">
        <w:tab/>
        <w:t>if it is a Supplementary Short</w:t>
      </w:r>
      <w:r w:rsidR="000C4237">
        <w:noBreakHyphen/>
      </w:r>
      <w:r w:rsidRPr="006E709F">
        <w:t>Form PDS—section</w:t>
      </w:r>
      <w:r w:rsidR="00DA13DE" w:rsidRPr="006E709F">
        <w:t> </w:t>
      </w:r>
      <w:r w:rsidRPr="006E709F">
        <w:t>1013G, 1017M or 1017N; and</w:t>
      </w:r>
    </w:p>
    <w:p w:rsidR="002C7812" w:rsidRPr="006E709F" w:rsidRDefault="002C7812" w:rsidP="002C7812">
      <w:pPr>
        <w:pStyle w:val="ItemHead"/>
      </w:pPr>
      <w:r w:rsidRPr="006E709F">
        <w:t>3.17  After subparagraph</w:t>
      </w:r>
      <w:r w:rsidR="00DA13DE" w:rsidRPr="006E709F">
        <w:t> </w:t>
      </w:r>
      <w:r w:rsidRPr="006E709F">
        <w:t>1021J(1)(c)(ii)</w:t>
      </w:r>
    </w:p>
    <w:p w:rsidR="002C7812" w:rsidRPr="006E709F" w:rsidRDefault="002C7812" w:rsidP="002C7812">
      <w:pPr>
        <w:pStyle w:val="Item"/>
        <w:rPr>
          <w:i/>
        </w:rPr>
      </w:pPr>
      <w:r w:rsidRPr="006E709F">
        <w:rPr>
          <w:i/>
        </w:rPr>
        <w:t>insert</w:t>
      </w:r>
    </w:p>
    <w:p w:rsidR="002C7812" w:rsidRPr="006E709F" w:rsidRDefault="002C7812" w:rsidP="002C7812">
      <w:pPr>
        <w:pStyle w:val="paragraphsub"/>
      </w:pPr>
      <w:r w:rsidRPr="006E709F">
        <w:tab/>
        <w:t>(iia)</w:t>
      </w:r>
      <w:r w:rsidRPr="006E709F">
        <w:tab/>
        <w:t>if it is a Short</w:t>
      </w:r>
      <w:r w:rsidR="000C4237">
        <w:noBreakHyphen/>
      </w:r>
      <w:r w:rsidRPr="006E709F">
        <w:t>Form PDS—a direction not to distribute the Short</w:t>
      </w:r>
      <w:r w:rsidR="000C4237">
        <w:noBreakHyphen/>
      </w:r>
      <w:r w:rsidRPr="006E709F">
        <w:t>Form PDS unless it is accompanied by a Supplementary Short</w:t>
      </w:r>
      <w:r w:rsidR="000C4237">
        <w:noBreakHyphen/>
      </w:r>
      <w:r w:rsidRPr="006E709F">
        <w:t>Form PDS that corrects the deficiency;</w:t>
      </w:r>
    </w:p>
    <w:p w:rsidR="002C7812" w:rsidRPr="006E709F" w:rsidRDefault="002C7812" w:rsidP="002C7812">
      <w:pPr>
        <w:pStyle w:val="ItemHead"/>
      </w:pPr>
      <w:r w:rsidRPr="006E709F">
        <w:t>3.18  After subparagraph</w:t>
      </w:r>
      <w:r w:rsidR="00DA13DE" w:rsidRPr="006E709F">
        <w:t> </w:t>
      </w:r>
      <w:r w:rsidRPr="006E709F">
        <w:t>1021J(1)(c)(iii)</w:t>
      </w:r>
    </w:p>
    <w:p w:rsidR="002C7812" w:rsidRPr="006E709F" w:rsidRDefault="002C7812" w:rsidP="002C7812">
      <w:pPr>
        <w:pStyle w:val="Item"/>
        <w:rPr>
          <w:i/>
        </w:rPr>
      </w:pPr>
      <w:r w:rsidRPr="006E709F">
        <w:rPr>
          <w:i/>
        </w:rPr>
        <w:t>insert</w:t>
      </w:r>
    </w:p>
    <w:p w:rsidR="002C7812" w:rsidRPr="006E709F" w:rsidRDefault="002C7812" w:rsidP="002C7812">
      <w:pPr>
        <w:pStyle w:val="paragraphsub"/>
      </w:pPr>
      <w:r w:rsidRPr="006E709F">
        <w:tab/>
        <w:t>(iiia)</w:t>
      </w:r>
      <w:r w:rsidRPr="006E709F">
        <w:tab/>
        <w:t>if it is a Short</w:t>
      </w:r>
      <w:r w:rsidR="000C4237">
        <w:noBreakHyphen/>
      </w:r>
      <w:r w:rsidRPr="006E709F">
        <w:t>Form PDS or a Supplementary Short</w:t>
      </w:r>
      <w:r w:rsidR="000C4237">
        <w:noBreakHyphen/>
      </w:r>
      <w:r w:rsidRPr="006E709F">
        <w:t>Form PDS—a direction not to distribute the Short</w:t>
      </w:r>
      <w:r w:rsidR="000C4237">
        <w:noBreakHyphen/>
      </w:r>
      <w:r w:rsidRPr="006E709F">
        <w:t>Form PDS or Supplementary Short</w:t>
      </w:r>
      <w:r w:rsidR="000C4237">
        <w:noBreakHyphen/>
      </w:r>
      <w:r w:rsidRPr="006E709F">
        <w:t>Form PDS without first altering it in a way that is specified in the direction, being a way that corrects the deficiency and that complies with section</w:t>
      </w:r>
      <w:r w:rsidR="00DA13DE" w:rsidRPr="006E709F">
        <w:t> </w:t>
      </w:r>
      <w:r w:rsidRPr="006E709F">
        <w:t>1015E.</w:t>
      </w:r>
    </w:p>
    <w:p w:rsidR="002C7812" w:rsidRPr="006E709F" w:rsidRDefault="002C7812" w:rsidP="002C7812">
      <w:pPr>
        <w:pStyle w:val="ItemHead"/>
      </w:pPr>
      <w:r w:rsidRPr="006E709F">
        <w:t xml:space="preserve">3.19  </w:t>
      </w:r>
      <w:r w:rsidR="00FF4176" w:rsidRPr="006E709F">
        <w:t>Paragraph 1</w:t>
      </w:r>
      <w:r w:rsidRPr="006E709F">
        <w:t>021K(1)(a)</w:t>
      </w:r>
    </w:p>
    <w:p w:rsidR="002C7812" w:rsidRPr="006E709F" w:rsidRDefault="002C7812" w:rsidP="002C7812">
      <w:pPr>
        <w:pStyle w:val="Item"/>
        <w:rPr>
          <w:i/>
        </w:rPr>
      </w:pPr>
      <w:r w:rsidRPr="006E709F">
        <w:rPr>
          <w:i/>
        </w:rPr>
        <w:t>omit</w:t>
      </w:r>
    </w:p>
    <w:p w:rsidR="002C7812" w:rsidRPr="006E709F" w:rsidRDefault="002C7812" w:rsidP="00F925D9">
      <w:pPr>
        <w:pStyle w:val="Item"/>
        <w:keepLines w:val="0"/>
      </w:pPr>
      <w:r w:rsidRPr="006E709F">
        <w:t>or a Supplementary Product Disclosure Statement</w:t>
      </w:r>
    </w:p>
    <w:p w:rsidR="002C7812" w:rsidRPr="006E709F" w:rsidRDefault="002C7812" w:rsidP="00F925D9">
      <w:pPr>
        <w:pStyle w:val="Item"/>
        <w:keepLines w:val="0"/>
        <w:rPr>
          <w:i/>
        </w:rPr>
      </w:pPr>
      <w:r w:rsidRPr="006E709F">
        <w:rPr>
          <w:i/>
        </w:rPr>
        <w:t>insert</w:t>
      </w:r>
    </w:p>
    <w:p w:rsidR="002C7812" w:rsidRPr="006E709F" w:rsidRDefault="002C7812" w:rsidP="00F925D9">
      <w:pPr>
        <w:pStyle w:val="Item"/>
        <w:keepLines w:val="0"/>
      </w:pPr>
      <w:r w:rsidRPr="006E709F">
        <w:t>, a Supplementary Product Disclosure Statement, a Short</w:t>
      </w:r>
      <w:r w:rsidR="000C4237">
        <w:noBreakHyphen/>
      </w:r>
      <w:r w:rsidRPr="006E709F">
        <w:t>Form PDS or a Supplementary Short</w:t>
      </w:r>
      <w:r w:rsidR="000C4237">
        <w:noBreakHyphen/>
      </w:r>
      <w:r w:rsidRPr="006E709F">
        <w:t xml:space="preserve">Form PDS (the </w:t>
      </w:r>
      <w:r w:rsidRPr="006E709F">
        <w:rPr>
          <w:b/>
          <w:i/>
        </w:rPr>
        <w:t>disclosure statement</w:t>
      </w:r>
      <w:r w:rsidRPr="006E709F">
        <w:t>)</w:t>
      </w:r>
    </w:p>
    <w:p w:rsidR="002C7812" w:rsidRPr="006E709F" w:rsidRDefault="002C7812" w:rsidP="002C7812">
      <w:pPr>
        <w:pStyle w:val="ItemHead"/>
      </w:pPr>
      <w:r w:rsidRPr="006E709F">
        <w:t>3.</w:t>
      </w:r>
      <w:r w:rsidRPr="006E709F">
        <w:rPr>
          <w:rFonts w:cs="Arial"/>
        </w:rPr>
        <w:t>20</w:t>
      </w:r>
      <w:r w:rsidRPr="006E709F">
        <w:t xml:space="preserve">  </w:t>
      </w:r>
      <w:r w:rsidR="00FF4176" w:rsidRPr="006E709F">
        <w:t>Paragraph 1</w:t>
      </w:r>
      <w:r w:rsidRPr="006E709F">
        <w:t>021K(1)(b)</w:t>
      </w:r>
    </w:p>
    <w:p w:rsidR="002C7812" w:rsidRPr="006E709F" w:rsidRDefault="002C7812" w:rsidP="002C7812">
      <w:pPr>
        <w:pStyle w:val="Item"/>
        <w:rPr>
          <w:i/>
        </w:rPr>
      </w:pPr>
      <w:r w:rsidRPr="006E709F">
        <w:rPr>
          <w:i/>
        </w:rPr>
        <w:t>omit</w:t>
      </w:r>
    </w:p>
    <w:p w:rsidR="002C7812" w:rsidRPr="006E709F" w:rsidRDefault="002C7812" w:rsidP="00F925D9">
      <w:pPr>
        <w:pStyle w:val="Item"/>
        <w:keepLines w:val="0"/>
      </w:pPr>
      <w:r w:rsidRPr="006E709F">
        <w:t>Product Disclosure Statement or Supplementary Product Disclosure Statement</w:t>
      </w:r>
    </w:p>
    <w:p w:rsidR="002C7812" w:rsidRPr="006E709F" w:rsidRDefault="002C7812" w:rsidP="00F925D9">
      <w:pPr>
        <w:pStyle w:val="Item"/>
        <w:keepLines w:val="0"/>
        <w:rPr>
          <w:i/>
        </w:rPr>
      </w:pPr>
      <w:r w:rsidRPr="006E709F">
        <w:rPr>
          <w:i/>
        </w:rPr>
        <w:t>insert</w:t>
      </w:r>
    </w:p>
    <w:p w:rsidR="002C7812" w:rsidRPr="006E709F" w:rsidRDefault="002C7812" w:rsidP="00F925D9">
      <w:pPr>
        <w:pStyle w:val="Item"/>
        <w:keepLines w:val="0"/>
      </w:pPr>
      <w:r w:rsidRPr="006E709F">
        <w:t>disclosure statement</w:t>
      </w:r>
    </w:p>
    <w:p w:rsidR="002C7812" w:rsidRPr="006E709F" w:rsidRDefault="002C7812" w:rsidP="002C7812">
      <w:pPr>
        <w:pStyle w:val="ItemHead"/>
      </w:pPr>
      <w:r w:rsidRPr="006E709F">
        <w:t>3.</w:t>
      </w:r>
      <w:r w:rsidRPr="006E709F">
        <w:rPr>
          <w:rFonts w:cs="Arial"/>
        </w:rPr>
        <w:t>21</w:t>
      </w:r>
      <w:r w:rsidRPr="006E709F">
        <w:t xml:space="preserve">  Subparagraphs</w:t>
      </w:r>
      <w:r w:rsidR="00DA13DE" w:rsidRPr="006E709F">
        <w:t> </w:t>
      </w:r>
      <w:r w:rsidRPr="006E709F">
        <w:t>1021K(1)(d)(i), (ii) and (iii)</w:t>
      </w:r>
    </w:p>
    <w:p w:rsidR="002C7812" w:rsidRPr="006E709F" w:rsidRDefault="002C7812" w:rsidP="002C7812">
      <w:pPr>
        <w:pStyle w:val="Item"/>
        <w:rPr>
          <w:i/>
        </w:rPr>
      </w:pPr>
      <w:r w:rsidRPr="006E709F">
        <w:rPr>
          <w:i/>
        </w:rPr>
        <w:t>omit</w:t>
      </w:r>
    </w:p>
    <w:p w:rsidR="002C7812" w:rsidRPr="006E709F" w:rsidRDefault="002C7812" w:rsidP="00F925D9">
      <w:pPr>
        <w:pStyle w:val="Item"/>
        <w:keepLines w:val="0"/>
      </w:pPr>
      <w:r w:rsidRPr="006E709F">
        <w:lastRenderedPageBreak/>
        <w:t>Product Disclosure Statement or Supplementary Product Disclosure Statement</w:t>
      </w:r>
    </w:p>
    <w:p w:rsidR="002C7812" w:rsidRPr="006E709F" w:rsidRDefault="002C7812" w:rsidP="00F925D9">
      <w:pPr>
        <w:pStyle w:val="Item"/>
        <w:keepLines w:val="0"/>
        <w:rPr>
          <w:i/>
        </w:rPr>
      </w:pPr>
      <w:r w:rsidRPr="006E709F">
        <w:rPr>
          <w:i/>
        </w:rPr>
        <w:t>insert</w:t>
      </w:r>
    </w:p>
    <w:p w:rsidR="002C7812" w:rsidRPr="006E709F" w:rsidRDefault="002C7812" w:rsidP="00F925D9">
      <w:pPr>
        <w:pStyle w:val="Item"/>
        <w:keepLines w:val="0"/>
      </w:pPr>
      <w:r w:rsidRPr="006E709F">
        <w:t>disclosure statement</w:t>
      </w:r>
    </w:p>
    <w:p w:rsidR="002C7812" w:rsidRPr="006E709F" w:rsidRDefault="002C7812" w:rsidP="002C7812">
      <w:pPr>
        <w:pStyle w:val="ItemHead"/>
      </w:pPr>
      <w:r w:rsidRPr="006E709F">
        <w:t xml:space="preserve">3.22  </w:t>
      </w:r>
      <w:r w:rsidR="00FF4176" w:rsidRPr="006E709F">
        <w:t>Paragraph 1</w:t>
      </w:r>
      <w:r w:rsidRPr="006E709F">
        <w:t>021L(1)(a)</w:t>
      </w:r>
    </w:p>
    <w:p w:rsidR="002C7812" w:rsidRPr="006E709F" w:rsidRDefault="002C7812" w:rsidP="002C7812">
      <w:pPr>
        <w:pStyle w:val="Item"/>
        <w:rPr>
          <w:i/>
        </w:rPr>
      </w:pPr>
      <w:r w:rsidRPr="006E709F">
        <w:rPr>
          <w:i/>
        </w:rPr>
        <w:t>omit</w:t>
      </w:r>
    </w:p>
    <w:p w:rsidR="002C7812" w:rsidRPr="006E709F" w:rsidRDefault="002C7812" w:rsidP="00F925D9">
      <w:pPr>
        <w:pStyle w:val="Item"/>
        <w:keepLines w:val="0"/>
      </w:pPr>
      <w:r w:rsidRPr="006E709F">
        <w:t>or a Supplementary Product Disclosure Statement</w:t>
      </w:r>
    </w:p>
    <w:p w:rsidR="002C7812" w:rsidRPr="006E709F" w:rsidRDefault="002C7812" w:rsidP="00F925D9">
      <w:pPr>
        <w:pStyle w:val="Item"/>
        <w:keepLines w:val="0"/>
        <w:rPr>
          <w:i/>
        </w:rPr>
      </w:pPr>
      <w:r w:rsidRPr="006E709F">
        <w:rPr>
          <w:i/>
        </w:rPr>
        <w:t>insert</w:t>
      </w:r>
    </w:p>
    <w:p w:rsidR="002C7812" w:rsidRPr="006E709F" w:rsidRDefault="002C7812" w:rsidP="00F925D9">
      <w:pPr>
        <w:pStyle w:val="Item"/>
        <w:keepLines w:val="0"/>
      </w:pPr>
      <w:r w:rsidRPr="006E709F">
        <w:t>, a Supplementary Product Disclosure Statement, a Short</w:t>
      </w:r>
      <w:r w:rsidR="000C4237">
        <w:noBreakHyphen/>
      </w:r>
      <w:r w:rsidRPr="006E709F">
        <w:t>Form PDS or a Supplementary Short</w:t>
      </w:r>
      <w:r w:rsidR="000C4237">
        <w:noBreakHyphen/>
      </w:r>
      <w:r w:rsidRPr="006E709F">
        <w:t>Form PDS</w:t>
      </w:r>
    </w:p>
    <w:p w:rsidR="002C7812" w:rsidRPr="006E709F" w:rsidRDefault="002C7812" w:rsidP="002C7812">
      <w:pPr>
        <w:pStyle w:val="ItemHead"/>
      </w:pPr>
      <w:r w:rsidRPr="006E709F">
        <w:t xml:space="preserve">3.23  </w:t>
      </w:r>
      <w:r w:rsidR="00FF4176" w:rsidRPr="006E709F">
        <w:t>Paragraph 1</w:t>
      </w:r>
      <w:r w:rsidRPr="006E709F">
        <w:t>021L(2)(a)</w:t>
      </w:r>
    </w:p>
    <w:p w:rsidR="002C7812" w:rsidRPr="006E709F" w:rsidRDefault="002C7812" w:rsidP="002C7812">
      <w:pPr>
        <w:pStyle w:val="Item"/>
        <w:rPr>
          <w:i/>
        </w:rPr>
      </w:pPr>
      <w:r w:rsidRPr="006E709F">
        <w:rPr>
          <w:i/>
        </w:rPr>
        <w:t>omit</w:t>
      </w:r>
    </w:p>
    <w:p w:rsidR="002C7812" w:rsidRPr="006E709F" w:rsidRDefault="002C7812" w:rsidP="00F925D9">
      <w:pPr>
        <w:pStyle w:val="Item"/>
        <w:keepLines w:val="0"/>
      </w:pPr>
      <w:r w:rsidRPr="006E709F">
        <w:t>or a Supplementary Product Disclosure Statement</w:t>
      </w:r>
    </w:p>
    <w:p w:rsidR="002C7812" w:rsidRPr="006E709F" w:rsidRDefault="002C7812" w:rsidP="00F925D9">
      <w:pPr>
        <w:pStyle w:val="Item"/>
        <w:keepLines w:val="0"/>
        <w:rPr>
          <w:i/>
        </w:rPr>
      </w:pPr>
      <w:r w:rsidRPr="006E709F">
        <w:rPr>
          <w:i/>
        </w:rPr>
        <w:t>insert</w:t>
      </w:r>
    </w:p>
    <w:p w:rsidR="002C7812" w:rsidRPr="006E709F" w:rsidRDefault="002C7812" w:rsidP="00F925D9">
      <w:pPr>
        <w:pStyle w:val="Item"/>
        <w:keepLines w:val="0"/>
      </w:pPr>
      <w:r w:rsidRPr="006E709F">
        <w:t>, a Supplementary Product Disclosure Statement, a Short</w:t>
      </w:r>
      <w:r w:rsidR="000C4237">
        <w:noBreakHyphen/>
      </w:r>
      <w:r w:rsidRPr="006E709F">
        <w:t>Form PDS or a Supplementary Short</w:t>
      </w:r>
      <w:r w:rsidR="000C4237">
        <w:noBreakHyphen/>
      </w:r>
      <w:r w:rsidRPr="006E709F">
        <w:t xml:space="preserve">Form PDS (the </w:t>
      </w:r>
      <w:r w:rsidRPr="006E709F">
        <w:rPr>
          <w:b/>
          <w:i/>
        </w:rPr>
        <w:t>disclosure statement</w:t>
      </w:r>
      <w:r w:rsidRPr="006E709F">
        <w:t>)</w:t>
      </w:r>
    </w:p>
    <w:p w:rsidR="002C7812" w:rsidRPr="006E709F" w:rsidRDefault="002C7812" w:rsidP="002C7812">
      <w:pPr>
        <w:pStyle w:val="ItemHead"/>
      </w:pPr>
      <w:r w:rsidRPr="006E709F">
        <w:t xml:space="preserve">3.24  </w:t>
      </w:r>
      <w:r w:rsidR="00FF4176" w:rsidRPr="006E709F">
        <w:t>Subparagraph 1</w:t>
      </w:r>
      <w:r w:rsidRPr="006E709F">
        <w:t>021L(2)(b)(iv)</w:t>
      </w:r>
    </w:p>
    <w:p w:rsidR="002C7812" w:rsidRPr="006E709F" w:rsidRDefault="002C7812" w:rsidP="002C7812">
      <w:pPr>
        <w:pStyle w:val="Item"/>
        <w:rPr>
          <w:i/>
        </w:rPr>
      </w:pPr>
      <w:r w:rsidRPr="006E709F">
        <w:rPr>
          <w:i/>
        </w:rPr>
        <w:t>omit</w:t>
      </w:r>
    </w:p>
    <w:p w:rsidR="002C7812" w:rsidRPr="006E709F" w:rsidRDefault="002C7812" w:rsidP="00F925D9">
      <w:pPr>
        <w:pStyle w:val="Item"/>
        <w:keepLines w:val="0"/>
      </w:pPr>
      <w:r w:rsidRPr="006E709F">
        <w:t>Product Disclosure Statement or Supplementary Product Disclosure Statement</w:t>
      </w:r>
    </w:p>
    <w:p w:rsidR="002C7812" w:rsidRPr="006E709F" w:rsidRDefault="002C7812" w:rsidP="00F925D9">
      <w:pPr>
        <w:pStyle w:val="Item"/>
        <w:keepLines w:val="0"/>
        <w:rPr>
          <w:i/>
        </w:rPr>
      </w:pPr>
      <w:r w:rsidRPr="006E709F">
        <w:rPr>
          <w:i/>
        </w:rPr>
        <w:t>insert</w:t>
      </w:r>
    </w:p>
    <w:p w:rsidR="002C7812" w:rsidRPr="006E709F" w:rsidRDefault="002C7812" w:rsidP="00F925D9">
      <w:pPr>
        <w:pStyle w:val="Item"/>
        <w:keepLines w:val="0"/>
      </w:pPr>
      <w:r w:rsidRPr="006E709F">
        <w:t>disclosure statement</w:t>
      </w:r>
    </w:p>
    <w:p w:rsidR="002C7812" w:rsidRPr="006E709F" w:rsidRDefault="002C7812" w:rsidP="002C7812">
      <w:pPr>
        <w:pStyle w:val="ItemHead"/>
      </w:pPr>
      <w:r w:rsidRPr="006E709F">
        <w:t>3.25  Subparagraphs</w:t>
      </w:r>
      <w:r w:rsidR="00DA13DE" w:rsidRPr="006E709F">
        <w:t> </w:t>
      </w:r>
      <w:r w:rsidRPr="006E709F">
        <w:t>1021M(1)(a)(i), (ii), (iii) and (iv)</w:t>
      </w:r>
    </w:p>
    <w:p w:rsidR="002C7812" w:rsidRPr="006E709F" w:rsidRDefault="002C7812" w:rsidP="002C7812">
      <w:pPr>
        <w:pStyle w:val="Item"/>
        <w:rPr>
          <w:i/>
        </w:rPr>
      </w:pPr>
      <w:r w:rsidRPr="006E709F">
        <w:rPr>
          <w:i/>
        </w:rPr>
        <w:t>omit</w:t>
      </w:r>
    </w:p>
    <w:p w:rsidR="002C7812" w:rsidRPr="006E709F" w:rsidRDefault="002C7812" w:rsidP="00F925D9">
      <w:pPr>
        <w:pStyle w:val="Item"/>
        <w:keepLines w:val="0"/>
      </w:pPr>
      <w:r w:rsidRPr="006E709F">
        <w:t>or a Supplementary Product Disclosure Statement</w:t>
      </w:r>
    </w:p>
    <w:p w:rsidR="002C7812" w:rsidRPr="006E709F" w:rsidRDefault="002C7812" w:rsidP="00F925D9">
      <w:pPr>
        <w:pStyle w:val="Item"/>
        <w:keepLines w:val="0"/>
        <w:rPr>
          <w:i/>
        </w:rPr>
      </w:pPr>
      <w:r w:rsidRPr="006E709F">
        <w:rPr>
          <w:i/>
        </w:rPr>
        <w:t>insert</w:t>
      </w:r>
    </w:p>
    <w:p w:rsidR="002C7812" w:rsidRPr="006E709F" w:rsidRDefault="002C7812" w:rsidP="00F925D9">
      <w:pPr>
        <w:pStyle w:val="Item"/>
        <w:keepLines w:val="0"/>
      </w:pPr>
      <w:r w:rsidRPr="006E709F">
        <w:t>, a Supplementary Product Disclosure Statement, a Short</w:t>
      </w:r>
      <w:r w:rsidR="000C4237">
        <w:noBreakHyphen/>
      </w:r>
      <w:r w:rsidRPr="006E709F">
        <w:t>Form PDS or a Supplementary Short</w:t>
      </w:r>
      <w:r w:rsidR="000C4237">
        <w:noBreakHyphen/>
      </w:r>
      <w:r w:rsidRPr="006E709F">
        <w:t>Form PDS</w:t>
      </w:r>
    </w:p>
    <w:p w:rsidR="002C7812" w:rsidRPr="006E709F" w:rsidRDefault="002C7812" w:rsidP="002C7812">
      <w:pPr>
        <w:pStyle w:val="ItemHead"/>
      </w:pPr>
      <w:r w:rsidRPr="006E709F">
        <w:t>3.26  Subparagraphs</w:t>
      </w:r>
      <w:r w:rsidR="00DA13DE" w:rsidRPr="006E709F">
        <w:t> </w:t>
      </w:r>
      <w:r w:rsidRPr="006E709F">
        <w:t>1021M(3)(a)(i), (ii), (iii) and (iv)</w:t>
      </w:r>
    </w:p>
    <w:p w:rsidR="002C7812" w:rsidRPr="006E709F" w:rsidRDefault="002C7812" w:rsidP="002C7812">
      <w:pPr>
        <w:pStyle w:val="Item"/>
        <w:rPr>
          <w:i/>
        </w:rPr>
      </w:pPr>
      <w:r w:rsidRPr="006E709F">
        <w:rPr>
          <w:i/>
        </w:rPr>
        <w:t>omit</w:t>
      </w:r>
    </w:p>
    <w:p w:rsidR="002C7812" w:rsidRPr="006E709F" w:rsidRDefault="002C7812" w:rsidP="00F925D9">
      <w:pPr>
        <w:pStyle w:val="Item"/>
        <w:keepLines w:val="0"/>
      </w:pPr>
      <w:r w:rsidRPr="006E709F">
        <w:t>or a Supplementary Product Disclosure Statement</w:t>
      </w:r>
    </w:p>
    <w:p w:rsidR="002C7812" w:rsidRPr="006E709F" w:rsidRDefault="002C7812" w:rsidP="00F925D9">
      <w:pPr>
        <w:pStyle w:val="Item"/>
        <w:keepLines w:val="0"/>
        <w:rPr>
          <w:i/>
        </w:rPr>
      </w:pPr>
      <w:r w:rsidRPr="006E709F">
        <w:rPr>
          <w:i/>
        </w:rPr>
        <w:t>insert</w:t>
      </w:r>
    </w:p>
    <w:p w:rsidR="002C7812" w:rsidRPr="006E709F" w:rsidRDefault="002C7812" w:rsidP="00F925D9">
      <w:pPr>
        <w:pStyle w:val="Item"/>
        <w:keepLines w:val="0"/>
      </w:pPr>
      <w:r w:rsidRPr="006E709F">
        <w:t>, a Supplementary Product Disclosure Statement, a Short</w:t>
      </w:r>
      <w:r w:rsidR="000C4237">
        <w:noBreakHyphen/>
      </w:r>
      <w:r w:rsidRPr="006E709F">
        <w:t>Form PDS or a Supplementary Short</w:t>
      </w:r>
      <w:r w:rsidR="000C4237">
        <w:noBreakHyphen/>
      </w:r>
      <w:r w:rsidRPr="006E709F">
        <w:t>Form PDS</w:t>
      </w:r>
    </w:p>
    <w:p w:rsidR="002C7812" w:rsidRPr="006E709F" w:rsidRDefault="002C7812" w:rsidP="002C7812">
      <w:pPr>
        <w:pStyle w:val="ItemHead"/>
        <w:rPr>
          <w:b w:val="0"/>
        </w:rPr>
      </w:pPr>
      <w:r w:rsidRPr="006E709F">
        <w:t>3.27  After paragraph</w:t>
      </w:r>
      <w:r w:rsidR="00DA13DE" w:rsidRPr="006E709F">
        <w:t> </w:t>
      </w:r>
      <w:r w:rsidRPr="006E709F">
        <w:t xml:space="preserve">1022A(1)(b) (definition of </w:t>
      </w:r>
      <w:r w:rsidRPr="006E709F">
        <w:rPr>
          <w:i/>
        </w:rPr>
        <w:t>defective</w:t>
      </w:r>
      <w:r w:rsidRPr="006E709F">
        <w:t>)</w:t>
      </w:r>
    </w:p>
    <w:p w:rsidR="002C7812" w:rsidRPr="006E709F" w:rsidRDefault="002C7812" w:rsidP="002C7812">
      <w:pPr>
        <w:pStyle w:val="Item"/>
        <w:rPr>
          <w:i/>
        </w:rPr>
      </w:pPr>
      <w:r w:rsidRPr="006E709F">
        <w:rPr>
          <w:i/>
        </w:rPr>
        <w:t>insert</w:t>
      </w:r>
    </w:p>
    <w:p w:rsidR="002C7812" w:rsidRPr="006E709F" w:rsidRDefault="002C7812" w:rsidP="002C7812">
      <w:pPr>
        <w:pStyle w:val="paragraph"/>
      </w:pPr>
      <w:r w:rsidRPr="006E709F">
        <w:tab/>
        <w:t>(ba)</w:t>
      </w:r>
      <w:r w:rsidRPr="006E709F">
        <w:tab/>
        <w:t>if it is a Short</w:t>
      </w:r>
      <w:r w:rsidR="000C4237">
        <w:noBreakHyphen/>
      </w:r>
      <w:r w:rsidRPr="006E709F">
        <w:t>Form PDS—there is an omission from the Short</w:t>
      </w:r>
      <w:r w:rsidR="000C4237">
        <w:noBreakHyphen/>
      </w:r>
      <w:r w:rsidRPr="006E709F">
        <w:t>Form PDS of material required by section</w:t>
      </w:r>
      <w:r w:rsidR="00DA13DE" w:rsidRPr="006E709F">
        <w:t> </w:t>
      </w:r>
      <w:r w:rsidRPr="006E709F">
        <w:t>1017I; or</w:t>
      </w:r>
    </w:p>
    <w:p w:rsidR="002C7812" w:rsidRPr="006E709F" w:rsidRDefault="002C7812" w:rsidP="002C7812">
      <w:pPr>
        <w:pStyle w:val="ItemHead"/>
      </w:pPr>
      <w:r w:rsidRPr="006E709F">
        <w:lastRenderedPageBreak/>
        <w:t>3.28  After paragraph</w:t>
      </w:r>
      <w:r w:rsidR="00DA13DE" w:rsidRPr="006E709F">
        <w:t> </w:t>
      </w:r>
      <w:r w:rsidRPr="006E709F">
        <w:t xml:space="preserve">1022A(1)(c) (definition of </w:t>
      </w:r>
      <w:r w:rsidRPr="006E709F">
        <w:rPr>
          <w:i/>
        </w:rPr>
        <w:t>defective</w:t>
      </w:r>
      <w:r w:rsidRPr="006E709F">
        <w:t>)</w:t>
      </w:r>
    </w:p>
    <w:p w:rsidR="002C7812" w:rsidRPr="006E709F" w:rsidRDefault="002C7812" w:rsidP="002C7812">
      <w:pPr>
        <w:pStyle w:val="Item"/>
        <w:rPr>
          <w:i/>
        </w:rPr>
      </w:pPr>
      <w:r w:rsidRPr="006E709F">
        <w:rPr>
          <w:i/>
        </w:rPr>
        <w:t>insert</w:t>
      </w:r>
    </w:p>
    <w:p w:rsidR="002C7812" w:rsidRPr="006E709F" w:rsidRDefault="002C7812" w:rsidP="002C7812">
      <w:pPr>
        <w:pStyle w:val="paragraph"/>
      </w:pPr>
      <w:r w:rsidRPr="006E709F">
        <w:tab/>
        <w:t>(ca)</w:t>
      </w:r>
      <w:r w:rsidRPr="006E709F">
        <w:tab/>
        <w:t>if it is a Supplementary Short</w:t>
      </w:r>
      <w:r w:rsidR="000C4237">
        <w:noBreakHyphen/>
      </w:r>
      <w:r w:rsidRPr="006E709F">
        <w:t>Form PDS that is given for the purposes of section</w:t>
      </w:r>
      <w:r w:rsidR="00DA13DE" w:rsidRPr="006E709F">
        <w:t> </w:t>
      </w:r>
      <w:r w:rsidRPr="006E709F">
        <w:t>1017P—there is an omission from the Short</w:t>
      </w:r>
      <w:r w:rsidR="000C4237">
        <w:noBreakHyphen/>
      </w:r>
      <w:r w:rsidRPr="006E709F">
        <w:t>Form PDS of material required by that section; or</w:t>
      </w:r>
    </w:p>
    <w:p w:rsidR="002C7812" w:rsidRPr="006E709F" w:rsidRDefault="002C7812" w:rsidP="002C7812">
      <w:pPr>
        <w:pStyle w:val="ItemHead"/>
      </w:pPr>
      <w:r w:rsidRPr="006E709F">
        <w:t>3.29  Subsection</w:t>
      </w:r>
      <w:r w:rsidR="00DA13DE" w:rsidRPr="006E709F">
        <w:t> </w:t>
      </w:r>
      <w:r w:rsidRPr="006E709F">
        <w:t xml:space="preserve">1022A(1), definition of </w:t>
      </w:r>
      <w:r w:rsidRPr="006E709F">
        <w:rPr>
          <w:i/>
        </w:rPr>
        <w:t>disclosure document or statement</w:t>
      </w:r>
      <w:r w:rsidRPr="006E709F">
        <w:t xml:space="preserve">, after </w:t>
      </w:r>
      <w:r w:rsidR="00DA13DE" w:rsidRPr="006E709F">
        <w:t>paragraph (</w:t>
      </w:r>
      <w:r w:rsidRPr="006E709F">
        <w:t>b)</w:t>
      </w:r>
    </w:p>
    <w:p w:rsidR="002C7812" w:rsidRPr="006E709F" w:rsidRDefault="002C7812" w:rsidP="002C7812">
      <w:pPr>
        <w:pStyle w:val="Item"/>
        <w:rPr>
          <w:i/>
        </w:rPr>
      </w:pPr>
      <w:r w:rsidRPr="006E709F">
        <w:rPr>
          <w:i/>
        </w:rPr>
        <w:t>insert</w:t>
      </w:r>
    </w:p>
    <w:p w:rsidR="002C7812" w:rsidRPr="006E709F" w:rsidRDefault="002C7812" w:rsidP="002C7812">
      <w:pPr>
        <w:pStyle w:val="paragraph"/>
      </w:pPr>
      <w:r w:rsidRPr="006E709F">
        <w:tab/>
        <w:t>(ba)</w:t>
      </w:r>
      <w:r w:rsidRPr="006E709F">
        <w:tab/>
        <w:t>a Short</w:t>
      </w:r>
      <w:r w:rsidR="000C4237">
        <w:noBreakHyphen/>
      </w:r>
      <w:r w:rsidRPr="006E709F">
        <w:t>Form PDS; or</w:t>
      </w:r>
    </w:p>
    <w:p w:rsidR="002C7812" w:rsidRPr="006E709F" w:rsidRDefault="002C7812" w:rsidP="002C7812">
      <w:pPr>
        <w:pStyle w:val="paragraph"/>
      </w:pPr>
      <w:r w:rsidRPr="006E709F">
        <w:tab/>
        <w:t>(bb)</w:t>
      </w:r>
      <w:r w:rsidRPr="006E709F">
        <w:tab/>
        <w:t>a Supplementary Short</w:t>
      </w:r>
      <w:r w:rsidR="000C4237">
        <w:noBreakHyphen/>
      </w:r>
      <w:r w:rsidRPr="006E709F">
        <w:t>Form PDS; or</w:t>
      </w:r>
    </w:p>
    <w:p w:rsidR="002C7812" w:rsidRPr="006E709F" w:rsidRDefault="002C7812" w:rsidP="002C7812">
      <w:pPr>
        <w:pStyle w:val="ItemHead"/>
      </w:pPr>
      <w:r w:rsidRPr="006E709F">
        <w:t xml:space="preserve">3.30  </w:t>
      </w:r>
      <w:r w:rsidR="00FF4176" w:rsidRPr="006E709F">
        <w:t>Subparagraph 1</w:t>
      </w:r>
      <w:r w:rsidRPr="006E709F">
        <w:t>022B(1)(a)(i)</w:t>
      </w:r>
    </w:p>
    <w:p w:rsidR="002C7812" w:rsidRPr="006E709F" w:rsidRDefault="002C7812" w:rsidP="002C7812">
      <w:pPr>
        <w:pStyle w:val="Item"/>
        <w:rPr>
          <w:i/>
        </w:rPr>
      </w:pPr>
      <w:r w:rsidRPr="006E709F">
        <w:rPr>
          <w:i/>
        </w:rPr>
        <w:t>omit</w:t>
      </w:r>
    </w:p>
    <w:p w:rsidR="002C7812" w:rsidRPr="006E709F" w:rsidRDefault="002C7812" w:rsidP="00F925D9">
      <w:pPr>
        <w:pStyle w:val="Item"/>
        <w:keepLines w:val="0"/>
      </w:pPr>
      <w:r w:rsidRPr="006E709F">
        <w:t>or a Supplementary Product Disclosure Statement</w:t>
      </w:r>
    </w:p>
    <w:p w:rsidR="002C7812" w:rsidRPr="006E709F" w:rsidRDefault="002C7812" w:rsidP="00F925D9">
      <w:pPr>
        <w:pStyle w:val="Item"/>
        <w:keepLines w:val="0"/>
        <w:rPr>
          <w:i/>
        </w:rPr>
      </w:pPr>
      <w:r w:rsidRPr="006E709F">
        <w:rPr>
          <w:i/>
        </w:rPr>
        <w:t>insert</w:t>
      </w:r>
    </w:p>
    <w:p w:rsidR="002C7812" w:rsidRPr="006E709F" w:rsidRDefault="002C7812" w:rsidP="00F925D9">
      <w:pPr>
        <w:pStyle w:val="Item"/>
        <w:keepLines w:val="0"/>
      </w:pPr>
      <w:r w:rsidRPr="006E709F">
        <w:t>, a Supplementary Product Disclosure Statement, a Short</w:t>
      </w:r>
      <w:r w:rsidR="000C4237">
        <w:noBreakHyphen/>
      </w:r>
      <w:r w:rsidRPr="006E709F">
        <w:t>Form PDS or a Supplementary Short</w:t>
      </w:r>
      <w:r w:rsidR="000C4237">
        <w:noBreakHyphen/>
      </w:r>
      <w:r w:rsidRPr="006E709F">
        <w:t>Form PDS</w:t>
      </w:r>
    </w:p>
    <w:p w:rsidR="002C7812" w:rsidRPr="006E709F" w:rsidRDefault="002C7812" w:rsidP="002C7812">
      <w:pPr>
        <w:pStyle w:val="ItemHead"/>
      </w:pPr>
      <w:r w:rsidRPr="006E709F">
        <w:t xml:space="preserve">3.31  </w:t>
      </w:r>
      <w:r w:rsidR="00FF4176" w:rsidRPr="006E709F">
        <w:t>Subparagraph 1</w:t>
      </w:r>
      <w:r w:rsidRPr="006E709F">
        <w:t>022B(1)(c)(ii)</w:t>
      </w:r>
    </w:p>
    <w:p w:rsidR="002C7812" w:rsidRPr="006E709F" w:rsidRDefault="002C7812" w:rsidP="002C7812">
      <w:pPr>
        <w:pStyle w:val="Item"/>
        <w:rPr>
          <w:i/>
        </w:rPr>
      </w:pPr>
      <w:r w:rsidRPr="006E709F">
        <w:rPr>
          <w:i/>
        </w:rPr>
        <w:t>omit</w:t>
      </w:r>
    </w:p>
    <w:p w:rsidR="002C7812" w:rsidRPr="006E709F" w:rsidRDefault="002C7812" w:rsidP="002C7812">
      <w:pPr>
        <w:pStyle w:val="Item"/>
      </w:pPr>
      <w:r w:rsidRPr="006E709F">
        <w:t>or a Supplementary Product Disclosure Statement</w:t>
      </w:r>
    </w:p>
    <w:p w:rsidR="002C7812" w:rsidRPr="006E709F" w:rsidRDefault="002C7812" w:rsidP="002C7812">
      <w:pPr>
        <w:pStyle w:val="Item"/>
        <w:rPr>
          <w:i/>
        </w:rPr>
      </w:pPr>
      <w:r w:rsidRPr="006E709F">
        <w:rPr>
          <w:i/>
        </w:rPr>
        <w:t>insert</w:t>
      </w:r>
    </w:p>
    <w:p w:rsidR="002C7812" w:rsidRPr="006E709F" w:rsidRDefault="002C7812" w:rsidP="002C7812">
      <w:pPr>
        <w:pStyle w:val="Item"/>
      </w:pPr>
      <w:r w:rsidRPr="006E709F">
        <w:t>, a Supplementary Product Disclosure Statement, a Short</w:t>
      </w:r>
      <w:r w:rsidR="000C4237">
        <w:noBreakHyphen/>
      </w:r>
      <w:r w:rsidRPr="006E709F">
        <w:t>Form PDS or a Supplementary Short</w:t>
      </w:r>
      <w:r w:rsidR="000C4237">
        <w:noBreakHyphen/>
      </w:r>
      <w:r w:rsidRPr="006E709F">
        <w:t>Form PDS</w:t>
      </w:r>
    </w:p>
    <w:p w:rsidR="002C7812" w:rsidRPr="006E709F" w:rsidRDefault="002C7812" w:rsidP="002C7812">
      <w:pPr>
        <w:pStyle w:val="ItemHead"/>
      </w:pPr>
      <w:r w:rsidRPr="006E709F">
        <w:t xml:space="preserve">3.32  </w:t>
      </w:r>
      <w:r w:rsidR="00FF4176" w:rsidRPr="006E709F">
        <w:t>Subparagraph 1</w:t>
      </w:r>
      <w:r w:rsidRPr="006E709F">
        <w:t>022B(1)(d)(i)</w:t>
      </w:r>
    </w:p>
    <w:p w:rsidR="002C7812" w:rsidRPr="006E709F" w:rsidRDefault="002C7812" w:rsidP="002C7812">
      <w:pPr>
        <w:pStyle w:val="Item"/>
        <w:rPr>
          <w:i/>
        </w:rPr>
      </w:pPr>
      <w:r w:rsidRPr="006E709F">
        <w:rPr>
          <w:i/>
        </w:rPr>
        <w:t>omit</w:t>
      </w:r>
    </w:p>
    <w:p w:rsidR="002C7812" w:rsidRPr="006E709F" w:rsidRDefault="002C7812" w:rsidP="002C7812">
      <w:pPr>
        <w:pStyle w:val="Item"/>
      </w:pPr>
      <w:r w:rsidRPr="006E709F">
        <w:t>or a Supplementary Product Disclosure Statement</w:t>
      </w:r>
    </w:p>
    <w:p w:rsidR="002C7812" w:rsidRPr="006E709F" w:rsidRDefault="002C7812" w:rsidP="002C7812">
      <w:pPr>
        <w:pStyle w:val="Item"/>
        <w:rPr>
          <w:i/>
        </w:rPr>
      </w:pPr>
      <w:r w:rsidRPr="006E709F">
        <w:rPr>
          <w:i/>
        </w:rPr>
        <w:t>insert</w:t>
      </w:r>
    </w:p>
    <w:p w:rsidR="002C7812" w:rsidRPr="006E709F" w:rsidRDefault="002C7812" w:rsidP="002C7812">
      <w:pPr>
        <w:pStyle w:val="Item"/>
      </w:pPr>
      <w:r w:rsidRPr="006E709F">
        <w:t>, a Supplementary Product Disclosure Statement, a Short</w:t>
      </w:r>
      <w:r w:rsidR="000C4237">
        <w:noBreakHyphen/>
      </w:r>
      <w:r w:rsidRPr="006E709F">
        <w:t>Form PDS or a Supplementary Short</w:t>
      </w:r>
      <w:r w:rsidR="000C4237">
        <w:noBreakHyphen/>
      </w:r>
      <w:r w:rsidRPr="006E709F">
        <w:t>Form PDS</w:t>
      </w:r>
    </w:p>
    <w:p w:rsidR="008258B2" w:rsidRPr="006E709F" w:rsidRDefault="008258B2" w:rsidP="00583C00">
      <w:pPr>
        <w:sectPr w:rsidR="008258B2" w:rsidRPr="006E709F" w:rsidSect="0054047A">
          <w:headerReference w:type="even" r:id="rId57"/>
          <w:headerReference w:type="default" r:id="rId58"/>
          <w:footerReference w:type="even" r:id="rId59"/>
          <w:footerReference w:type="default" r:id="rId60"/>
          <w:headerReference w:type="first" r:id="rId61"/>
          <w:footerReference w:type="first" r:id="rId62"/>
          <w:pgSz w:w="11907" w:h="16839" w:code="9"/>
          <w:pgMar w:top="2325" w:right="1797" w:bottom="1440" w:left="1797" w:header="720" w:footer="709" w:gutter="0"/>
          <w:cols w:space="720"/>
          <w:docGrid w:linePitch="299"/>
        </w:sectPr>
      </w:pPr>
    </w:p>
    <w:p w:rsidR="003638DE" w:rsidRPr="006E709F" w:rsidRDefault="00A801D0" w:rsidP="002C7812">
      <w:pPr>
        <w:pStyle w:val="ActHead1"/>
        <w:pageBreakBefore/>
        <w:spacing w:before="240"/>
      </w:pPr>
      <w:bookmarkStart w:id="136" w:name="_Toc170547953"/>
      <w:r w:rsidRPr="000C4237">
        <w:rPr>
          <w:rStyle w:val="CharChapNo"/>
        </w:rPr>
        <w:lastRenderedPageBreak/>
        <w:t>Schedule</w:t>
      </w:r>
      <w:r w:rsidR="00DA13DE" w:rsidRPr="000C4237">
        <w:rPr>
          <w:rStyle w:val="CharChapNo"/>
        </w:rPr>
        <w:t> </w:t>
      </w:r>
      <w:r w:rsidR="003638DE" w:rsidRPr="000C4237">
        <w:rPr>
          <w:rStyle w:val="CharChapNo"/>
        </w:rPr>
        <w:t>10C</w:t>
      </w:r>
      <w:r w:rsidRPr="006E709F">
        <w:t>—</w:t>
      </w:r>
      <w:r w:rsidR="003638DE" w:rsidRPr="000C4237">
        <w:rPr>
          <w:rStyle w:val="CharChapText"/>
        </w:rPr>
        <w:t>Form and content of Product Disclosure Statement</w:t>
      </w:r>
      <w:r w:rsidRPr="000C4237">
        <w:rPr>
          <w:rStyle w:val="CharChapText"/>
        </w:rPr>
        <w:t>—</w:t>
      </w:r>
      <w:r w:rsidR="00D0485E" w:rsidRPr="00D0485E">
        <w:rPr>
          <w:rStyle w:val="CharChapText"/>
        </w:rPr>
        <w:t>standard margin lending facility</w:t>
      </w:r>
      <w:bookmarkEnd w:id="136"/>
    </w:p>
    <w:p w:rsidR="003638DE" w:rsidRPr="006E709F" w:rsidRDefault="003638DE" w:rsidP="00A801D0">
      <w:pPr>
        <w:pStyle w:val="notemargin"/>
      </w:pPr>
      <w:r w:rsidRPr="006E709F">
        <w:t>(</w:t>
      </w:r>
      <w:r w:rsidR="005378CE" w:rsidRPr="006E709F">
        <w:t>regulation 7</w:t>
      </w:r>
      <w:r w:rsidRPr="006E709F">
        <w:t>.9.11D)</w:t>
      </w:r>
    </w:p>
    <w:p w:rsidR="003638DE" w:rsidRPr="006E709F" w:rsidRDefault="00A801D0" w:rsidP="003638DE">
      <w:pPr>
        <w:pStyle w:val="Header"/>
      </w:pPr>
      <w:r w:rsidRPr="000C4237">
        <w:rPr>
          <w:rStyle w:val="CharPartNo"/>
        </w:rPr>
        <w:t xml:space="preserve"> </w:t>
      </w:r>
      <w:r w:rsidRPr="000C4237">
        <w:rPr>
          <w:rStyle w:val="CharPartText"/>
        </w:rPr>
        <w:t xml:space="preserve"> </w:t>
      </w:r>
    </w:p>
    <w:p w:rsidR="003638DE" w:rsidRPr="006E709F" w:rsidRDefault="00415D63" w:rsidP="00C93238">
      <w:pPr>
        <w:pStyle w:val="ActHead5"/>
      </w:pPr>
      <w:bookmarkStart w:id="137" w:name="_Toc170547954"/>
      <w:r w:rsidRPr="000C4237">
        <w:rPr>
          <w:rStyle w:val="CharSectno"/>
        </w:rPr>
        <w:t>1</w:t>
      </w:r>
      <w:r w:rsidRPr="006E709F">
        <w:t xml:space="preserve">  </w:t>
      </w:r>
      <w:r w:rsidR="003638DE" w:rsidRPr="006E709F">
        <w:t xml:space="preserve">Length and font size for Product Disclosure Statement for </w:t>
      </w:r>
      <w:r w:rsidR="000C2CBA" w:rsidRPr="000C2CBA">
        <w:t>standard margin lending facility</w:t>
      </w:r>
      <w:bookmarkEnd w:id="137"/>
    </w:p>
    <w:p w:rsidR="003638DE" w:rsidRPr="006E709F" w:rsidRDefault="003638DE" w:rsidP="00A801D0">
      <w:pPr>
        <w:pStyle w:val="subsection"/>
      </w:pPr>
      <w:r w:rsidRPr="006E709F">
        <w:tab/>
        <w:t>(1)</w:t>
      </w:r>
      <w:r w:rsidRPr="006E709F">
        <w:tab/>
        <w:t xml:space="preserve">The length of a Product Disclosure Statement for a </w:t>
      </w:r>
      <w:r w:rsidR="000C2CBA" w:rsidRPr="00BE1284">
        <w:t>standard margin lending facility</w:t>
      </w:r>
      <w:r w:rsidRPr="006E709F">
        <w:t xml:space="preserve"> (not including any title page, table of contents or matter in writing that is applied, adopted or incorporated by the Statement) must not exceed:</w:t>
      </w:r>
    </w:p>
    <w:p w:rsidR="003638DE" w:rsidRPr="006E709F" w:rsidRDefault="003638DE" w:rsidP="00A801D0">
      <w:pPr>
        <w:pStyle w:val="paragraph"/>
      </w:pPr>
      <w:r w:rsidRPr="006E709F">
        <w:tab/>
        <w:t>(a)</w:t>
      </w:r>
      <w:r w:rsidRPr="006E709F">
        <w:tab/>
        <w:t>if it is printed on A4 pages</w:t>
      </w:r>
      <w:r w:rsidR="00A801D0" w:rsidRPr="006E709F">
        <w:t>—</w:t>
      </w:r>
      <w:r w:rsidRPr="006E709F">
        <w:t>4 pages; or</w:t>
      </w:r>
    </w:p>
    <w:p w:rsidR="003638DE" w:rsidRPr="006E709F" w:rsidRDefault="003638DE" w:rsidP="00A801D0">
      <w:pPr>
        <w:pStyle w:val="paragraph"/>
      </w:pPr>
      <w:r w:rsidRPr="006E709F">
        <w:tab/>
        <w:t>(b)</w:t>
      </w:r>
      <w:r w:rsidRPr="006E709F">
        <w:tab/>
        <w:t>if it is printed on A5 pages</w:t>
      </w:r>
      <w:r w:rsidR="00A801D0" w:rsidRPr="006E709F">
        <w:t>—</w:t>
      </w:r>
      <w:r w:rsidRPr="006E709F">
        <w:t>8 pages; or</w:t>
      </w:r>
    </w:p>
    <w:p w:rsidR="003638DE" w:rsidRPr="006E709F" w:rsidRDefault="003638DE" w:rsidP="00A801D0">
      <w:pPr>
        <w:pStyle w:val="paragraph"/>
      </w:pPr>
      <w:r w:rsidRPr="006E709F">
        <w:tab/>
        <w:t>(c)</w:t>
      </w:r>
      <w:r w:rsidRPr="006E709F">
        <w:tab/>
        <w:t>if it is printed on DL pages</w:t>
      </w:r>
      <w:r w:rsidR="00A801D0" w:rsidRPr="006E709F">
        <w:t>—</w:t>
      </w:r>
      <w:r w:rsidRPr="006E709F">
        <w:t>12 pages; or</w:t>
      </w:r>
    </w:p>
    <w:p w:rsidR="003638DE" w:rsidRPr="006E709F" w:rsidRDefault="003638DE" w:rsidP="00A801D0">
      <w:pPr>
        <w:pStyle w:val="paragraph"/>
      </w:pPr>
      <w:r w:rsidRPr="006E709F">
        <w:tab/>
        <w:t>(d)</w:t>
      </w:r>
      <w:r w:rsidRPr="006E709F">
        <w:tab/>
        <w:t>otherwise</w:t>
      </w:r>
      <w:r w:rsidR="00A801D0" w:rsidRPr="006E709F">
        <w:t>—</w:t>
      </w:r>
      <w:r w:rsidRPr="006E709F">
        <w:t>if it is formatted to be printed on A4 pages, 4</w:t>
      </w:r>
      <w:r w:rsidR="00E376FA" w:rsidRPr="006E709F">
        <w:t xml:space="preserve"> </w:t>
      </w:r>
      <w:r w:rsidRPr="006E709F">
        <w:t>A4 pages.</w:t>
      </w:r>
    </w:p>
    <w:p w:rsidR="003638DE" w:rsidRPr="006E709F" w:rsidRDefault="003638DE" w:rsidP="00A801D0">
      <w:pPr>
        <w:pStyle w:val="subsection"/>
      </w:pPr>
      <w:r w:rsidRPr="006E709F">
        <w:tab/>
        <w:t>(2)</w:t>
      </w:r>
      <w:r w:rsidRPr="006E709F">
        <w:tab/>
        <w:t>The minimum font size for text in the Statement is:</w:t>
      </w:r>
    </w:p>
    <w:p w:rsidR="003638DE" w:rsidRPr="006E709F" w:rsidRDefault="003638DE" w:rsidP="00A801D0">
      <w:pPr>
        <w:pStyle w:val="paragraph"/>
      </w:pPr>
      <w:r w:rsidRPr="006E709F">
        <w:tab/>
        <w:t>(a)</w:t>
      </w:r>
      <w:r w:rsidRPr="006E709F">
        <w:tab/>
        <w:t>for the name, address, ABN (if applicable), ACN (if applicable) and AFSL (if applicable) of the person giving the Statement</w:t>
      </w:r>
      <w:r w:rsidR="00A801D0" w:rsidRPr="006E709F">
        <w:t>—</w:t>
      </w:r>
      <w:r w:rsidRPr="006E709F">
        <w:t>8 points; and</w:t>
      </w:r>
    </w:p>
    <w:p w:rsidR="003638DE" w:rsidRPr="006E709F" w:rsidRDefault="003638DE" w:rsidP="00A801D0">
      <w:pPr>
        <w:pStyle w:val="paragraph"/>
      </w:pPr>
      <w:r w:rsidRPr="006E709F">
        <w:tab/>
        <w:t>(b)</w:t>
      </w:r>
      <w:r w:rsidRPr="006E709F">
        <w:tab/>
        <w:t>for all other text</w:t>
      </w:r>
      <w:r w:rsidR="00A801D0" w:rsidRPr="006E709F">
        <w:t>—</w:t>
      </w:r>
      <w:r w:rsidRPr="006E709F">
        <w:t>9 points.</w:t>
      </w:r>
    </w:p>
    <w:p w:rsidR="003638DE" w:rsidRPr="006E709F" w:rsidRDefault="00A801D0" w:rsidP="00A801D0">
      <w:pPr>
        <w:pStyle w:val="notetext"/>
      </w:pPr>
      <w:r w:rsidRPr="006E709F">
        <w:t>Note 1:</w:t>
      </w:r>
      <w:r w:rsidRPr="006E709F">
        <w:tab/>
      </w:r>
      <w:r w:rsidR="003638DE" w:rsidRPr="006E709F">
        <w:t>The Product Disclosure Statement must be worded and presented in a clear, concise and effective manner</w:t>
      </w:r>
      <w:r w:rsidRPr="006E709F">
        <w:t>—</w:t>
      </w:r>
      <w:r w:rsidR="003638DE" w:rsidRPr="006E709F">
        <w:t>see subsection</w:t>
      </w:r>
      <w:r w:rsidR="00DA13DE" w:rsidRPr="006E709F">
        <w:t> </w:t>
      </w:r>
      <w:r w:rsidR="003638DE" w:rsidRPr="006E709F">
        <w:t>1013C(3) of the Act.</w:t>
      </w:r>
    </w:p>
    <w:p w:rsidR="003638DE" w:rsidRPr="006E709F" w:rsidRDefault="00A801D0" w:rsidP="00A801D0">
      <w:pPr>
        <w:pStyle w:val="notetext"/>
      </w:pPr>
      <w:r w:rsidRPr="006E709F">
        <w:t>Note 2:</w:t>
      </w:r>
      <w:r w:rsidRPr="006E709F">
        <w:tab/>
      </w:r>
      <w:r w:rsidR="003638DE" w:rsidRPr="006E709F">
        <w:t>A person required to a give a Product Disclosure Statement to a vision</w:t>
      </w:r>
      <w:r w:rsidR="000C4237">
        <w:noBreakHyphen/>
      </w:r>
      <w:r w:rsidR="003638DE" w:rsidRPr="006E709F">
        <w:t xml:space="preserve">impaired person must comply with its obligations under the </w:t>
      </w:r>
      <w:r w:rsidR="003638DE" w:rsidRPr="006E709F">
        <w:rPr>
          <w:i/>
        </w:rPr>
        <w:t>Disability Discrimination Act 1992</w:t>
      </w:r>
      <w:r w:rsidR="003638DE" w:rsidRPr="006E709F">
        <w:t>.</w:t>
      </w:r>
    </w:p>
    <w:p w:rsidR="003638DE" w:rsidRPr="006E709F" w:rsidRDefault="00415D63" w:rsidP="00C93238">
      <w:pPr>
        <w:pStyle w:val="ActHead5"/>
      </w:pPr>
      <w:bookmarkStart w:id="138" w:name="_Toc170547955"/>
      <w:r w:rsidRPr="000C4237">
        <w:rPr>
          <w:rStyle w:val="CharSectno"/>
        </w:rPr>
        <w:t>2</w:t>
      </w:r>
      <w:r w:rsidRPr="006E709F">
        <w:t xml:space="preserve">  </w:t>
      </w:r>
      <w:r w:rsidR="003638DE" w:rsidRPr="006E709F">
        <w:t xml:space="preserve">Minimum content of Product Disclosure Statement for </w:t>
      </w:r>
      <w:r w:rsidR="000C2CBA" w:rsidRPr="000C2CBA">
        <w:t>standard margin lending facility</w:t>
      </w:r>
      <w:bookmarkEnd w:id="138"/>
    </w:p>
    <w:p w:rsidR="003638DE" w:rsidRPr="006E709F" w:rsidRDefault="003638DE" w:rsidP="00A801D0">
      <w:pPr>
        <w:pStyle w:val="subsection"/>
      </w:pPr>
      <w:r w:rsidRPr="006E709F">
        <w:tab/>
        <w:t>(1)</w:t>
      </w:r>
      <w:r w:rsidRPr="006E709F">
        <w:tab/>
        <w:t>The Product Disclosure Statement must include the following sections, which must be numbered and titled as follows:</w:t>
      </w:r>
    </w:p>
    <w:p w:rsidR="003638DE" w:rsidRPr="006E709F" w:rsidRDefault="00F17AC1" w:rsidP="00F17AC1">
      <w:pPr>
        <w:pStyle w:val="paragraph"/>
      </w:pPr>
      <w:r w:rsidRPr="006E709F">
        <w:tab/>
      </w:r>
      <w:r w:rsidR="003638DE" w:rsidRPr="006E709F">
        <w:t>1.</w:t>
      </w:r>
      <w:r w:rsidR="003638DE" w:rsidRPr="006E709F">
        <w:tab/>
        <w:t xml:space="preserve">About [name of provider of </w:t>
      </w:r>
      <w:r w:rsidR="00743118">
        <w:t xml:space="preserve">the </w:t>
      </w:r>
      <w:r w:rsidR="00743118" w:rsidRPr="00BE1284">
        <w:t>standard margin lending facility</w:t>
      </w:r>
      <w:r w:rsidR="003638DE" w:rsidRPr="006E709F">
        <w:t xml:space="preserve">] and [name of </w:t>
      </w:r>
      <w:r w:rsidR="00743118" w:rsidRPr="00BE1284">
        <w:t>standard margin lending facility</w:t>
      </w:r>
      <w:r w:rsidR="003638DE" w:rsidRPr="006E709F">
        <w:t>]</w:t>
      </w:r>
    </w:p>
    <w:p w:rsidR="003638DE" w:rsidRPr="006E709F" w:rsidRDefault="00F17AC1" w:rsidP="00F17AC1">
      <w:pPr>
        <w:pStyle w:val="paragraph"/>
      </w:pPr>
      <w:r w:rsidRPr="006E709F">
        <w:tab/>
      </w:r>
      <w:r w:rsidR="003638DE" w:rsidRPr="006E709F">
        <w:t>2.</w:t>
      </w:r>
      <w:r w:rsidR="003638DE" w:rsidRPr="006E709F">
        <w:tab/>
        <w:t xml:space="preserve">Benefits of [name of </w:t>
      </w:r>
      <w:r w:rsidR="00743118" w:rsidRPr="00BE1284">
        <w:t>standard margin lending facility</w:t>
      </w:r>
      <w:r w:rsidR="003638DE" w:rsidRPr="006E709F">
        <w:t>]</w:t>
      </w:r>
    </w:p>
    <w:p w:rsidR="003638DE" w:rsidRPr="006E709F" w:rsidRDefault="00F17AC1" w:rsidP="00F17AC1">
      <w:pPr>
        <w:pStyle w:val="paragraph"/>
      </w:pPr>
      <w:r w:rsidRPr="006E709F">
        <w:tab/>
      </w:r>
      <w:r w:rsidR="003638DE" w:rsidRPr="006E709F">
        <w:t>3.</w:t>
      </w:r>
      <w:r w:rsidR="003638DE" w:rsidRPr="006E709F">
        <w:tab/>
        <w:t xml:space="preserve">How [name of </w:t>
      </w:r>
      <w:r w:rsidR="0057152E" w:rsidRPr="00BE1284">
        <w:t>standard margin lending facility</w:t>
      </w:r>
      <w:r w:rsidR="003638DE" w:rsidRPr="006E709F">
        <w:t>] works</w:t>
      </w:r>
    </w:p>
    <w:p w:rsidR="003638DE" w:rsidRPr="006E709F" w:rsidRDefault="00F17AC1" w:rsidP="00F17AC1">
      <w:pPr>
        <w:pStyle w:val="paragraph"/>
      </w:pPr>
      <w:r w:rsidRPr="006E709F">
        <w:tab/>
      </w:r>
      <w:r w:rsidR="003638DE" w:rsidRPr="006E709F">
        <w:t>4.</w:t>
      </w:r>
      <w:r w:rsidR="003638DE" w:rsidRPr="006E709F">
        <w:tab/>
        <w:t>What is a margin call?</w:t>
      </w:r>
    </w:p>
    <w:p w:rsidR="003638DE" w:rsidRPr="006E709F" w:rsidRDefault="00F17AC1" w:rsidP="00F17AC1">
      <w:pPr>
        <w:pStyle w:val="paragraph"/>
      </w:pPr>
      <w:r w:rsidRPr="006E709F">
        <w:tab/>
      </w:r>
      <w:r w:rsidR="003638DE" w:rsidRPr="006E709F">
        <w:t>5.</w:t>
      </w:r>
      <w:r w:rsidR="003638DE" w:rsidRPr="006E709F">
        <w:tab/>
        <w:t>The risk of losing money</w:t>
      </w:r>
    </w:p>
    <w:p w:rsidR="003638DE" w:rsidRPr="006E709F" w:rsidRDefault="00F17AC1" w:rsidP="00F17AC1">
      <w:pPr>
        <w:pStyle w:val="paragraph"/>
      </w:pPr>
      <w:r w:rsidRPr="006E709F">
        <w:tab/>
      </w:r>
      <w:r w:rsidR="003638DE" w:rsidRPr="006E709F">
        <w:t>6.</w:t>
      </w:r>
      <w:r w:rsidR="003638DE" w:rsidRPr="006E709F">
        <w:tab/>
        <w:t>The costs</w:t>
      </w:r>
    </w:p>
    <w:p w:rsidR="003638DE" w:rsidRPr="006E709F" w:rsidRDefault="00F17AC1" w:rsidP="00F17AC1">
      <w:pPr>
        <w:pStyle w:val="paragraph"/>
      </w:pPr>
      <w:r w:rsidRPr="006E709F">
        <w:tab/>
      </w:r>
      <w:r w:rsidR="003638DE" w:rsidRPr="006E709F">
        <w:t>7.</w:t>
      </w:r>
      <w:r w:rsidR="003638DE" w:rsidRPr="006E709F">
        <w:tab/>
        <w:t>How to apply.</w:t>
      </w:r>
    </w:p>
    <w:p w:rsidR="003638DE" w:rsidRPr="006E709F" w:rsidRDefault="003638DE" w:rsidP="00A801D0">
      <w:pPr>
        <w:pStyle w:val="subsection"/>
      </w:pPr>
      <w:r w:rsidRPr="006E709F">
        <w:tab/>
        <w:t>(2)</w:t>
      </w:r>
      <w:r w:rsidRPr="006E709F">
        <w:tab/>
        <w:t>The Product Disclosure Statement must include:</w:t>
      </w:r>
    </w:p>
    <w:p w:rsidR="003638DE" w:rsidRPr="006E709F" w:rsidRDefault="003638DE" w:rsidP="00A801D0">
      <w:pPr>
        <w:pStyle w:val="paragraph"/>
      </w:pPr>
      <w:r w:rsidRPr="006E709F">
        <w:tab/>
        <w:t>(a)</w:t>
      </w:r>
      <w:r w:rsidRPr="006E709F">
        <w:tab/>
        <w:t xml:space="preserve">a table of contents that sets out the titles mentioned in </w:t>
      </w:r>
      <w:r w:rsidR="00DA13DE" w:rsidRPr="006E709F">
        <w:t>subclause (</w:t>
      </w:r>
      <w:r w:rsidRPr="006E709F">
        <w:t>1); and</w:t>
      </w:r>
    </w:p>
    <w:p w:rsidR="003638DE" w:rsidRPr="006E709F" w:rsidRDefault="003638DE" w:rsidP="00A801D0">
      <w:pPr>
        <w:pStyle w:val="paragraph"/>
      </w:pPr>
      <w:r w:rsidRPr="006E709F">
        <w:lastRenderedPageBreak/>
        <w:tab/>
        <w:t>(b)</w:t>
      </w:r>
      <w:r w:rsidRPr="006E709F">
        <w:tab/>
        <w:t xml:space="preserve">the telephone number of the provider of the </w:t>
      </w:r>
      <w:r w:rsidR="00741A0C" w:rsidRPr="00BE1284">
        <w:t>standard margin lending facility</w:t>
      </w:r>
      <w:r w:rsidRPr="006E709F">
        <w:t xml:space="preserve"> to enable a borrower for the </w:t>
      </w:r>
      <w:r w:rsidR="00741A0C" w:rsidRPr="00BE1284">
        <w:t>standard margin lending facility</w:t>
      </w:r>
      <w:r w:rsidRPr="006E709F">
        <w:t xml:space="preserve"> to request a copy of the following under </w:t>
      </w:r>
      <w:r w:rsidR="005378CE" w:rsidRPr="006E709F">
        <w:t>regulation 7</w:t>
      </w:r>
      <w:r w:rsidRPr="006E709F">
        <w:t>.9.11G:</w:t>
      </w:r>
    </w:p>
    <w:p w:rsidR="003638DE" w:rsidRPr="006E709F" w:rsidRDefault="003638DE" w:rsidP="00A801D0">
      <w:pPr>
        <w:pStyle w:val="paragraphsub"/>
      </w:pPr>
      <w:r w:rsidRPr="006E709F">
        <w:tab/>
        <w:t>(i)</w:t>
      </w:r>
      <w:r w:rsidRPr="006E709F">
        <w:tab/>
        <w:t>a copy of the Statement; and</w:t>
      </w:r>
    </w:p>
    <w:p w:rsidR="003638DE" w:rsidRPr="006E709F" w:rsidRDefault="003638DE" w:rsidP="00A801D0">
      <w:pPr>
        <w:pStyle w:val="paragraphsub"/>
      </w:pPr>
      <w:r w:rsidRPr="006E709F">
        <w:tab/>
        <w:t>(ii)</w:t>
      </w:r>
      <w:r w:rsidRPr="006E709F">
        <w:tab/>
        <w:t>a copy of a matter in writing that is applied, adopted or incorporated by the Statement.</w:t>
      </w:r>
    </w:p>
    <w:p w:rsidR="003638DE" w:rsidRPr="006E709F" w:rsidRDefault="003638DE" w:rsidP="00A801D0">
      <w:pPr>
        <w:pStyle w:val="subsection"/>
      </w:pPr>
      <w:r w:rsidRPr="006E709F">
        <w:tab/>
        <w:t>(3)</w:t>
      </w:r>
      <w:r w:rsidRPr="006E709F">
        <w:tab/>
        <w:t>The Product Disclosure Statement must:</w:t>
      </w:r>
    </w:p>
    <w:p w:rsidR="003638DE" w:rsidRPr="006E709F" w:rsidRDefault="003638DE" w:rsidP="00A801D0">
      <w:pPr>
        <w:pStyle w:val="paragraph"/>
      </w:pPr>
      <w:r w:rsidRPr="006E709F">
        <w:tab/>
        <w:t>(a)</w:t>
      </w:r>
      <w:r w:rsidRPr="006E709F">
        <w:tab/>
        <w:t>advise a person reading the Statement that:</w:t>
      </w:r>
    </w:p>
    <w:p w:rsidR="003638DE" w:rsidRPr="006E709F" w:rsidRDefault="003638DE" w:rsidP="00A801D0">
      <w:pPr>
        <w:pStyle w:val="paragraphsub"/>
      </w:pPr>
      <w:r w:rsidRPr="006E709F">
        <w:tab/>
        <w:t>(i)</w:t>
      </w:r>
      <w:r w:rsidRPr="006E709F">
        <w:tab/>
        <w:t>it is a summary of significant information and contains a number of references to important information (each of which forms part of the Statement); and</w:t>
      </w:r>
    </w:p>
    <w:p w:rsidR="003638DE" w:rsidRPr="006E709F" w:rsidRDefault="003638DE" w:rsidP="00A801D0">
      <w:pPr>
        <w:pStyle w:val="paragraphsub"/>
      </w:pPr>
      <w:r w:rsidRPr="006E709F">
        <w:tab/>
        <w:t>(ii)</w:t>
      </w:r>
      <w:r w:rsidRPr="006E709F">
        <w:tab/>
        <w:t>the person should consider that information before making a decision about the product; and</w:t>
      </w:r>
    </w:p>
    <w:p w:rsidR="003638DE" w:rsidRPr="006E709F" w:rsidRDefault="003638DE" w:rsidP="00A801D0">
      <w:pPr>
        <w:pStyle w:val="paragraphsub"/>
      </w:pPr>
      <w:r w:rsidRPr="006E709F">
        <w:tab/>
        <w:t>(iii)</w:t>
      </w:r>
      <w:r w:rsidRPr="006E709F">
        <w:tab/>
        <w:t>the information provided in the Statement is general information only and does not take account of the person’s personal financial situation or needs; and</w:t>
      </w:r>
    </w:p>
    <w:p w:rsidR="003638DE" w:rsidRPr="006E709F" w:rsidRDefault="003638DE" w:rsidP="00A801D0">
      <w:pPr>
        <w:pStyle w:val="paragraphsub"/>
      </w:pPr>
      <w:r w:rsidRPr="006E709F">
        <w:tab/>
        <w:t>(iv)</w:t>
      </w:r>
      <w:r w:rsidRPr="006E709F">
        <w:tab/>
        <w:t>the person should obtain financial advice tailored to the person’s personal circumstances; and</w:t>
      </w:r>
    </w:p>
    <w:p w:rsidR="003638DE" w:rsidRPr="006E709F" w:rsidRDefault="003638DE" w:rsidP="00A801D0">
      <w:pPr>
        <w:pStyle w:val="paragraph"/>
      </w:pPr>
      <w:r w:rsidRPr="006E709F">
        <w:tab/>
        <w:t>(b)</w:t>
      </w:r>
      <w:r w:rsidRPr="006E709F">
        <w:tab/>
        <w:t>display the advice:</w:t>
      </w:r>
    </w:p>
    <w:p w:rsidR="003638DE" w:rsidRPr="006E709F" w:rsidRDefault="003638DE" w:rsidP="00A801D0">
      <w:pPr>
        <w:pStyle w:val="paragraphsub"/>
      </w:pPr>
      <w:r w:rsidRPr="006E709F">
        <w:tab/>
        <w:t>(i)</w:t>
      </w:r>
      <w:r w:rsidRPr="006E709F">
        <w:tab/>
        <w:t>at or near the beginning of the document; and</w:t>
      </w:r>
    </w:p>
    <w:p w:rsidR="003638DE" w:rsidRPr="006E709F" w:rsidRDefault="003638DE" w:rsidP="00A801D0">
      <w:pPr>
        <w:pStyle w:val="paragraphsub"/>
      </w:pPr>
      <w:r w:rsidRPr="006E709F">
        <w:tab/>
        <w:t>(ii)</w:t>
      </w:r>
      <w:r w:rsidRPr="006E709F">
        <w:tab/>
        <w:t>in a prominent position and style.</w:t>
      </w:r>
    </w:p>
    <w:p w:rsidR="003638DE" w:rsidRPr="006E709F" w:rsidRDefault="003638DE" w:rsidP="00A801D0">
      <w:pPr>
        <w:pStyle w:val="subsection"/>
      </w:pPr>
      <w:r w:rsidRPr="006E709F">
        <w:tab/>
        <w:t>(4)</w:t>
      </w:r>
      <w:r w:rsidRPr="006E709F">
        <w:tab/>
        <w:t>The Product Disclosure Statement:</w:t>
      </w:r>
    </w:p>
    <w:p w:rsidR="003638DE" w:rsidRPr="006E709F" w:rsidRDefault="003638DE" w:rsidP="00A801D0">
      <w:pPr>
        <w:pStyle w:val="paragraph"/>
      </w:pPr>
      <w:r w:rsidRPr="006E709F">
        <w:tab/>
        <w:t>(a)</w:t>
      </w:r>
      <w:r w:rsidRPr="006E709F">
        <w:tab/>
        <w:t>may include additional sections after sections</w:t>
      </w:r>
      <w:r w:rsidR="00DA13DE" w:rsidRPr="006E709F">
        <w:t> </w:t>
      </w:r>
      <w:r w:rsidRPr="006E709F">
        <w:t>1 to 7; and</w:t>
      </w:r>
    </w:p>
    <w:p w:rsidR="003638DE" w:rsidRPr="006E709F" w:rsidRDefault="003638DE" w:rsidP="00A801D0">
      <w:pPr>
        <w:pStyle w:val="paragraph"/>
      </w:pPr>
      <w:r w:rsidRPr="006E709F">
        <w:tab/>
        <w:t>(b)</w:t>
      </w:r>
      <w:r w:rsidRPr="006E709F">
        <w:tab/>
        <w:t>may include other information;</w:t>
      </w:r>
    </w:p>
    <w:p w:rsidR="003638DE" w:rsidRPr="006E709F" w:rsidRDefault="003638DE" w:rsidP="00A801D0">
      <w:pPr>
        <w:pStyle w:val="subsection2"/>
      </w:pPr>
      <w:r w:rsidRPr="006E709F">
        <w:t>to an extent that does not have the effect of contravening subclause</w:t>
      </w:r>
      <w:r w:rsidR="00DA13DE" w:rsidRPr="006E709F">
        <w:t> </w:t>
      </w:r>
      <w:r w:rsidRPr="006E709F">
        <w:t>1(1).</w:t>
      </w:r>
    </w:p>
    <w:p w:rsidR="003638DE" w:rsidRPr="006E709F" w:rsidRDefault="003638DE" w:rsidP="00A801D0">
      <w:pPr>
        <w:pStyle w:val="subsection"/>
      </w:pPr>
      <w:r w:rsidRPr="006E709F">
        <w:tab/>
        <w:t>(5)</w:t>
      </w:r>
      <w:r w:rsidRPr="006E709F">
        <w:tab/>
        <w:t xml:space="preserve">The Product Disclosure Statement does not need to indicate that a particular requirement is not applicable to the </w:t>
      </w:r>
      <w:r w:rsidR="00781470" w:rsidRPr="00BE1284">
        <w:t>standard margin lending facility</w:t>
      </w:r>
      <w:r w:rsidRPr="006E709F">
        <w:t>.</w:t>
      </w:r>
    </w:p>
    <w:p w:rsidR="003638DE" w:rsidRPr="006E709F" w:rsidRDefault="00A801D0" w:rsidP="00A801D0">
      <w:pPr>
        <w:pStyle w:val="notetext"/>
      </w:pPr>
      <w:r w:rsidRPr="006E709F">
        <w:t>Note:</w:t>
      </w:r>
      <w:r w:rsidRPr="006E709F">
        <w:tab/>
      </w:r>
      <w:r w:rsidR="003638DE" w:rsidRPr="006E709F">
        <w:t xml:space="preserve">The Act, as modified in accordance with </w:t>
      </w:r>
      <w:r w:rsidRPr="006E709F">
        <w:t>Subdivision</w:t>
      </w:r>
      <w:r w:rsidR="00DA13DE" w:rsidRPr="006E709F">
        <w:t> </w:t>
      </w:r>
      <w:r w:rsidR="003638DE" w:rsidRPr="006E709F">
        <w:t xml:space="preserve">4.2A of </w:t>
      </w:r>
      <w:r w:rsidRPr="006E709F">
        <w:t>Division</w:t>
      </w:r>
      <w:r w:rsidR="00DA13DE" w:rsidRPr="006E709F">
        <w:t> </w:t>
      </w:r>
      <w:r w:rsidR="003638DE" w:rsidRPr="006E709F">
        <w:t xml:space="preserve">4 of </w:t>
      </w:r>
      <w:r w:rsidRPr="006E709F">
        <w:t>Part</w:t>
      </w:r>
      <w:r w:rsidR="00DA13DE" w:rsidRPr="006E709F">
        <w:t> </w:t>
      </w:r>
      <w:r w:rsidR="003638DE" w:rsidRPr="006E709F">
        <w:t xml:space="preserve">7.9, requires information to be included in the Product Disclosure Statement only to the extent to which the requirement is applicable to the </w:t>
      </w:r>
      <w:r w:rsidR="00781470" w:rsidRPr="00BE1284">
        <w:t>standard margin lending facility</w:t>
      </w:r>
      <w:r w:rsidR="003638DE" w:rsidRPr="006E709F">
        <w:t>.</w:t>
      </w:r>
    </w:p>
    <w:p w:rsidR="003638DE" w:rsidRPr="006E709F" w:rsidRDefault="00415D63" w:rsidP="00C93238">
      <w:pPr>
        <w:pStyle w:val="ActHead5"/>
      </w:pPr>
      <w:bookmarkStart w:id="139" w:name="_Toc170547956"/>
      <w:r w:rsidRPr="000C4237">
        <w:rPr>
          <w:rStyle w:val="CharSectno"/>
        </w:rPr>
        <w:t>3</w:t>
      </w:r>
      <w:r w:rsidRPr="006E709F">
        <w:t xml:space="preserve">  </w:t>
      </w:r>
      <w:r w:rsidR="003638DE" w:rsidRPr="006E709F">
        <w:t>Contents of section</w:t>
      </w:r>
      <w:r w:rsidR="00DA13DE" w:rsidRPr="006E709F">
        <w:t> </w:t>
      </w:r>
      <w:r w:rsidR="003638DE" w:rsidRPr="006E709F">
        <w:t xml:space="preserve">1 (About [name of provider of </w:t>
      </w:r>
      <w:r w:rsidR="00D43FEC" w:rsidRPr="00D43FEC">
        <w:t>the standard margin lending facility</w:t>
      </w:r>
      <w:r w:rsidR="003638DE" w:rsidRPr="006E709F">
        <w:t xml:space="preserve">] and [name of </w:t>
      </w:r>
      <w:r w:rsidR="00D43FEC" w:rsidRPr="00D43FEC">
        <w:t>standard margin lending facility</w:t>
      </w:r>
      <w:r w:rsidR="003638DE" w:rsidRPr="006E709F">
        <w:t>])</w:t>
      </w:r>
      <w:bookmarkEnd w:id="139"/>
    </w:p>
    <w:p w:rsidR="003638DE" w:rsidRPr="006E709F" w:rsidRDefault="003638DE" w:rsidP="00A801D0">
      <w:pPr>
        <w:pStyle w:val="subsection"/>
      </w:pPr>
      <w:r w:rsidRPr="006E709F">
        <w:tab/>
      </w:r>
      <w:r w:rsidRPr="006E709F">
        <w:tab/>
        <w:t>Section</w:t>
      </w:r>
      <w:r w:rsidR="00DA13DE" w:rsidRPr="006E709F">
        <w:t> </w:t>
      </w:r>
      <w:r w:rsidRPr="006E709F">
        <w:t>1 of the Product Disclosure Statement must include:</w:t>
      </w:r>
    </w:p>
    <w:p w:rsidR="003638DE" w:rsidRPr="006E709F" w:rsidRDefault="003638DE" w:rsidP="00A801D0">
      <w:pPr>
        <w:pStyle w:val="paragraph"/>
      </w:pPr>
      <w:r w:rsidRPr="006E709F">
        <w:tab/>
        <w:t>(a)</w:t>
      </w:r>
      <w:r w:rsidRPr="006E709F">
        <w:tab/>
        <w:t xml:space="preserve">a short description of the </w:t>
      </w:r>
      <w:r w:rsidR="00E313CB" w:rsidRPr="00BE1284">
        <w:t>standard margin lending facility</w:t>
      </w:r>
      <w:r w:rsidRPr="006E709F">
        <w:t xml:space="preserve"> provider and its business; and</w:t>
      </w:r>
    </w:p>
    <w:p w:rsidR="003638DE" w:rsidRPr="006E709F" w:rsidRDefault="003638DE" w:rsidP="00A801D0">
      <w:pPr>
        <w:pStyle w:val="paragraph"/>
      </w:pPr>
      <w:r w:rsidRPr="006E709F">
        <w:tab/>
        <w:t>(b)</w:t>
      </w:r>
      <w:r w:rsidRPr="006E709F">
        <w:tab/>
        <w:t xml:space="preserve">a short summary of what </w:t>
      </w:r>
      <w:r w:rsidR="00E313CB" w:rsidRPr="00BE1284">
        <w:t>a standard margin lending facility</w:t>
      </w:r>
      <w:r w:rsidRPr="006E709F">
        <w:t xml:space="preserve"> is; and</w:t>
      </w:r>
    </w:p>
    <w:p w:rsidR="003638DE" w:rsidRPr="006E709F" w:rsidRDefault="003638DE" w:rsidP="00A801D0">
      <w:pPr>
        <w:pStyle w:val="paragraph"/>
      </w:pPr>
      <w:r w:rsidRPr="006E709F">
        <w:tab/>
        <w:t>(c)</w:t>
      </w:r>
      <w:r w:rsidRPr="006E709F">
        <w:tab/>
        <w:t>a statement setting out the possible consequences of borrowing money to invest, including the effect of magnifying both gains and losses; and</w:t>
      </w:r>
    </w:p>
    <w:p w:rsidR="003638DE" w:rsidRPr="006E709F" w:rsidRDefault="003638DE" w:rsidP="00A801D0">
      <w:pPr>
        <w:pStyle w:val="paragraph"/>
      </w:pPr>
      <w:r w:rsidRPr="006E709F">
        <w:tab/>
        <w:t>(d)</w:t>
      </w:r>
      <w:r w:rsidRPr="006E709F">
        <w:tab/>
        <w:t xml:space="preserve">a statement that the borrower for a </w:t>
      </w:r>
      <w:r w:rsidR="003C5E00" w:rsidRPr="00BE1284">
        <w:t>standard margin lending facility</w:t>
      </w:r>
      <w:r w:rsidRPr="006E709F">
        <w:t xml:space="preserve"> should regularly monitor the borrower’s portfolio so that:</w:t>
      </w:r>
    </w:p>
    <w:p w:rsidR="003638DE" w:rsidRPr="006E709F" w:rsidRDefault="003638DE" w:rsidP="00A801D0">
      <w:pPr>
        <w:pStyle w:val="paragraphsub"/>
      </w:pPr>
      <w:r w:rsidRPr="006E709F">
        <w:tab/>
        <w:t>(i)</w:t>
      </w:r>
      <w:r w:rsidRPr="006E709F">
        <w:tab/>
        <w:t xml:space="preserve">the borrower can be aware of changes (if any) to the terms of the </w:t>
      </w:r>
      <w:r w:rsidR="003C5E00" w:rsidRPr="00BE1284">
        <w:t>standard margin lending facility</w:t>
      </w:r>
      <w:r w:rsidRPr="006E709F">
        <w:t>; and</w:t>
      </w:r>
    </w:p>
    <w:p w:rsidR="003638DE" w:rsidRPr="006E709F" w:rsidRDefault="003638DE" w:rsidP="00A801D0">
      <w:pPr>
        <w:pStyle w:val="paragraphsub"/>
      </w:pPr>
      <w:r w:rsidRPr="006E709F">
        <w:lastRenderedPageBreak/>
        <w:tab/>
        <w:t>(ii)</w:t>
      </w:r>
      <w:r w:rsidRPr="006E709F">
        <w:tab/>
        <w:t>the borrower can take timely action to prevent potential losses in relation to the borrower’s portfolio; and</w:t>
      </w:r>
    </w:p>
    <w:p w:rsidR="003638DE" w:rsidRPr="006E709F" w:rsidRDefault="003638DE" w:rsidP="00A801D0">
      <w:pPr>
        <w:pStyle w:val="paragraph"/>
      </w:pPr>
      <w:r w:rsidRPr="006E709F">
        <w:tab/>
        <w:t>(e)</w:t>
      </w:r>
      <w:r w:rsidRPr="006E709F">
        <w:tab/>
        <w:t xml:space="preserve">a statement that the borrower for a </w:t>
      </w:r>
      <w:r w:rsidR="00587803" w:rsidRPr="00BE1284">
        <w:t>standard margin lending facility</w:t>
      </w:r>
      <w:r w:rsidRPr="006E709F">
        <w:t xml:space="preserve"> may need, at short notice, to pay an additional amount into the </w:t>
      </w:r>
      <w:r w:rsidR="00631B33" w:rsidRPr="00BE1284">
        <w:t>standard margin lending facility</w:t>
      </w:r>
      <w:r w:rsidRPr="006E709F">
        <w:t xml:space="preserve"> or sell some of the investments for which the </w:t>
      </w:r>
      <w:r w:rsidR="00587803" w:rsidRPr="00BE1284">
        <w:t>standard margin lending facility</w:t>
      </w:r>
      <w:r w:rsidRPr="006E709F">
        <w:t xml:space="preserve"> is made; and</w:t>
      </w:r>
    </w:p>
    <w:p w:rsidR="003638DE" w:rsidRPr="006E709F" w:rsidRDefault="003638DE" w:rsidP="00A801D0">
      <w:pPr>
        <w:pStyle w:val="paragraph"/>
      </w:pPr>
      <w:r w:rsidRPr="006E709F">
        <w:tab/>
        <w:t>(f)</w:t>
      </w:r>
      <w:r w:rsidRPr="006E709F">
        <w:tab/>
        <w:t xml:space="preserve">a statement that the provider of a </w:t>
      </w:r>
      <w:r w:rsidR="00631B33" w:rsidRPr="00BE1284">
        <w:t>standard margin lending facility</w:t>
      </w:r>
      <w:r w:rsidRPr="006E709F">
        <w:t xml:space="preserve"> has the right in certain circumstances to sell all, or part, of the borrower’s portfolio and may not be required under the terms of the </w:t>
      </w:r>
      <w:r w:rsidR="00587803" w:rsidRPr="00BE1284">
        <w:t>standard margin lending facility</w:t>
      </w:r>
      <w:r w:rsidRPr="006E709F">
        <w:t xml:space="preserve"> to provide notice to the borrower of its intention to sell; and</w:t>
      </w:r>
    </w:p>
    <w:p w:rsidR="003638DE" w:rsidRPr="006E709F" w:rsidRDefault="003638DE" w:rsidP="00A801D0">
      <w:pPr>
        <w:pStyle w:val="paragraph"/>
      </w:pPr>
      <w:r w:rsidRPr="006E709F">
        <w:tab/>
        <w:t>(g)</w:t>
      </w:r>
      <w:r w:rsidRPr="006E709F">
        <w:tab/>
        <w:t xml:space="preserve">a statement that if the value of the portfolio for a </w:t>
      </w:r>
      <w:r w:rsidR="00631B33" w:rsidRPr="00BE1284">
        <w:t>standard margin lending facility</w:t>
      </w:r>
      <w:r w:rsidRPr="006E709F">
        <w:t xml:space="preserve"> does not cover the cost of repayments for the </w:t>
      </w:r>
      <w:r w:rsidR="00631B33" w:rsidRPr="00BE1284">
        <w:t>standard margin lending facility</w:t>
      </w:r>
      <w:r w:rsidRPr="006E709F">
        <w:t>:</w:t>
      </w:r>
    </w:p>
    <w:p w:rsidR="003638DE" w:rsidRPr="006E709F" w:rsidRDefault="003638DE" w:rsidP="00A801D0">
      <w:pPr>
        <w:pStyle w:val="paragraphsub"/>
      </w:pPr>
      <w:r w:rsidRPr="006E709F">
        <w:tab/>
        <w:t>(i)</w:t>
      </w:r>
      <w:r w:rsidRPr="006E709F">
        <w:tab/>
        <w:t xml:space="preserve">the borrower for the </w:t>
      </w:r>
      <w:r w:rsidR="00631B33" w:rsidRPr="00BE1284">
        <w:t>standard margin lending facility</w:t>
      </w:r>
      <w:r w:rsidRPr="006E709F">
        <w:t xml:space="preserve"> may need to access other funds to repay the </w:t>
      </w:r>
      <w:r w:rsidR="001826BD" w:rsidRPr="00BE1284">
        <w:t>standard margin lending facility</w:t>
      </w:r>
      <w:r w:rsidRPr="006E709F">
        <w:t>; or</w:t>
      </w:r>
    </w:p>
    <w:p w:rsidR="003638DE" w:rsidRPr="006E709F" w:rsidRDefault="003638DE" w:rsidP="00A801D0">
      <w:pPr>
        <w:pStyle w:val="paragraphsub"/>
      </w:pPr>
      <w:r w:rsidRPr="006E709F">
        <w:tab/>
        <w:t>(ii)</w:t>
      </w:r>
      <w:r w:rsidRPr="006E709F">
        <w:tab/>
        <w:t xml:space="preserve">the provider of the </w:t>
      </w:r>
      <w:r w:rsidR="00631B33" w:rsidRPr="00BE1284">
        <w:t>standard margin lending facility</w:t>
      </w:r>
      <w:r w:rsidRPr="006E709F">
        <w:t xml:space="preserve"> may sell assets provided as security for the </w:t>
      </w:r>
      <w:r w:rsidR="00631B33" w:rsidRPr="00BE1284">
        <w:t>standard margin lending facility</w:t>
      </w:r>
      <w:r w:rsidRPr="006E709F">
        <w:t>, for example, the borrower’s residential property; and</w:t>
      </w:r>
    </w:p>
    <w:p w:rsidR="003638DE" w:rsidRPr="006E709F" w:rsidRDefault="003638DE" w:rsidP="00A801D0">
      <w:pPr>
        <w:pStyle w:val="paragraph"/>
      </w:pPr>
      <w:r w:rsidRPr="006E709F">
        <w:tab/>
        <w:t>(h)</w:t>
      </w:r>
      <w:r w:rsidRPr="006E709F">
        <w:tab/>
        <w:t xml:space="preserve">a statement that the law requires the provider of a </w:t>
      </w:r>
      <w:r w:rsidR="00631B33" w:rsidRPr="00BE1284">
        <w:t>standard margin lending facility</w:t>
      </w:r>
      <w:r w:rsidRPr="006E709F">
        <w:t xml:space="preserve"> to:</w:t>
      </w:r>
    </w:p>
    <w:p w:rsidR="003638DE" w:rsidRPr="006E709F" w:rsidRDefault="003638DE" w:rsidP="00A801D0">
      <w:pPr>
        <w:pStyle w:val="paragraphsub"/>
      </w:pPr>
      <w:r w:rsidRPr="006E709F">
        <w:tab/>
        <w:t>(i)</w:t>
      </w:r>
      <w:r w:rsidRPr="006E709F">
        <w:tab/>
        <w:t xml:space="preserve">assess whether the </w:t>
      </w:r>
      <w:r w:rsidR="00631B33" w:rsidRPr="00BE1284">
        <w:t>standard margin lending facility</w:t>
      </w:r>
      <w:r w:rsidRPr="006E709F">
        <w:t xml:space="preserve"> is unsuitable for the potential borrower for the </w:t>
      </w:r>
      <w:r w:rsidR="00631B33" w:rsidRPr="00BE1284">
        <w:t>standard margin lending facility</w:t>
      </w:r>
      <w:r w:rsidRPr="006E709F">
        <w:t>; and</w:t>
      </w:r>
    </w:p>
    <w:p w:rsidR="003638DE" w:rsidRPr="006E709F" w:rsidRDefault="003638DE" w:rsidP="00A801D0">
      <w:pPr>
        <w:pStyle w:val="paragraphsub"/>
      </w:pPr>
      <w:r w:rsidRPr="006E709F">
        <w:tab/>
        <w:t>(ii)</w:t>
      </w:r>
      <w:r w:rsidRPr="006E709F">
        <w:tab/>
        <w:t xml:space="preserve">if the potential borrower for the </w:t>
      </w:r>
      <w:r w:rsidR="00631B33" w:rsidRPr="00BE1284">
        <w:t>standard margin lending facility</w:t>
      </w:r>
      <w:r w:rsidRPr="006E709F">
        <w:t xml:space="preserve"> requests a copy of the assessment</w:t>
      </w:r>
      <w:r w:rsidR="00A801D0" w:rsidRPr="006E709F">
        <w:t>—</w:t>
      </w:r>
      <w:r w:rsidRPr="006E709F">
        <w:t xml:space="preserve">to provide a copy of the assessment to the potential borrower for the </w:t>
      </w:r>
      <w:r w:rsidR="00631B33" w:rsidRPr="00BE1284">
        <w:t>standard margin lending facility</w:t>
      </w:r>
      <w:r w:rsidRPr="006E709F">
        <w:t>.</w:t>
      </w:r>
    </w:p>
    <w:p w:rsidR="003638DE" w:rsidRPr="006E709F" w:rsidRDefault="00A801D0" w:rsidP="00A801D0">
      <w:pPr>
        <w:pStyle w:val="notetext"/>
      </w:pPr>
      <w:r w:rsidRPr="006E709F">
        <w:t>Note:</w:t>
      </w:r>
      <w:r w:rsidRPr="006E709F">
        <w:tab/>
      </w:r>
      <w:r w:rsidR="003638DE" w:rsidRPr="006E709F">
        <w:t xml:space="preserve">The provider of a </w:t>
      </w:r>
      <w:r w:rsidR="00631B33" w:rsidRPr="00BE1284">
        <w:t>standard margin lending facility</w:t>
      </w:r>
      <w:r w:rsidR="003638DE" w:rsidRPr="006E709F">
        <w:t xml:space="preserve"> is not required to give the borrower or potential borrower for the </w:t>
      </w:r>
      <w:r w:rsidR="00631B33" w:rsidRPr="00BE1284">
        <w:t>standard margin lending facility</w:t>
      </w:r>
      <w:r w:rsidR="003638DE" w:rsidRPr="006E709F">
        <w:t xml:space="preserve"> a copy of the assessment if the </w:t>
      </w:r>
      <w:r w:rsidR="00631B33" w:rsidRPr="00BE1284">
        <w:t>standard margin lending facility</w:t>
      </w:r>
      <w:r w:rsidR="003638DE" w:rsidRPr="006E709F">
        <w:t xml:space="preserve"> is not issued.</w:t>
      </w:r>
    </w:p>
    <w:p w:rsidR="003638DE" w:rsidRPr="006E709F" w:rsidRDefault="00415D63" w:rsidP="00C93238">
      <w:pPr>
        <w:pStyle w:val="ActHead5"/>
      </w:pPr>
      <w:bookmarkStart w:id="140" w:name="_Toc170547957"/>
      <w:r w:rsidRPr="000C4237">
        <w:rPr>
          <w:rStyle w:val="CharSectno"/>
        </w:rPr>
        <w:t>4</w:t>
      </w:r>
      <w:r w:rsidRPr="006E709F">
        <w:t xml:space="preserve">  </w:t>
      </w:r>
      <w:r w:rsidR="003638DE" w:rsidRPr="006E709F">
        <w:t>Contents of section</w:t>
      </w:r>
      <w:r w:rsidR="00DA13DE" w:rsidRPr="006E709F">
        <w:t> </w:t>
      </w:r>
      <w:r w:rsidR="003638DE" w:rsidRPr="006E709F">
        <w:t xml:space="preserve">2 (Benefits of [name of </w:t>
      </w:r>
      <w:r w:rsidR="00DD0FD6" w:rsidRPr="00DD0FD6">
        <w:t>standard margin lending facility</w:t>
      </w:r>
      <w:r w:rsidR="003638DE" w:rsidRPr="006E709F">
        <w:t>])</w:t>
      </w:r>
      <w:bookmarkEnd w:id="140"/>
    </w:p>
    <w:p w:rsidR="003638DE" w:rsidRPr="006E709F" w:rsidRDefault="003638DE" w:rsidP="00A801D0">
      <w:pPr>
        <w:pStyle w:val="subsection"/>
      </w:pPr>
      <w:r w:rsidRPr="006E709F">
        <w:tab/>
        <w:t>(1)</w:t>
      </w:r>
      <w:r w:rsidRPr="006E709F">
        <w:tab/>
        <w:t>Section</w:t>
      </w:r>
      <w:r w:rsidR="00DA13DE" w:rsidRPr="006E709F">
        <w:t> </w:t>
      </w:r>
      <w:r w:rsidRPr="006E709F">
        <w:t xml:space="preserve">2 of the Product Disclosure Statement for a </w:t>
      </w:r>
      <w:r w:rsidR="00587803" w:rsidRPr="00BE1284">
        <w:t>standard margin lending facility</w:t>
      </w:r>
      <w:r w:rsidRPr="006E709F">
        <w:t xml:space="preserve"> must include a description of the key benefits available to the borrower or potential borrower for the </w:t>
      </w:r>
      <w:r w:rsidR="00DD0FD6" w:rsidRPr="00BE1284">
        <w:t>standard margin lending facility</w:t>
      </w:r>
      <w:r w:rsidRPr="006E709F">
        <w:t>.</w:t>
      </w:r>
    </w:p>
    <w:p w:rsidR="003638DE" w:rsidRPr="006E709F" w:rsidRDefault="003638DE" w:rsidP="00A801D0">
      <w:pPr>
        <w:pStyle w:val="subsection"/>
      </w:pPr>
      <w:r w:rsidRPr="006E709F">
        <w:tab/>
        <w:t>(2)</w:t>
      </w:r>
      <w:r w:rsidRPr="006E709F">
        <w:tab/>
        <w:t>Section</w:t>
      </w:r>
      <w:r w:rsidR="00DA13DE" w:rsidRPr="006E709F">
        <w:t> </w:t>
      </w:r>
      <w:r w:rsidRPr="006E709F">
        <w:t xml:space="preserve">2 of the Statement may include a description about other benefits available to a borrower or potential borrower for the </w:t>
      </w:r>
      <w:r w:rsidR="00DD0FD6" w:rsidRPr="00BE1284">
        <w:t>standard margin lending facility</w:t>
      </w:r>
      <w:r w:rsidRPr="006E709F">
        <w:t xml:space="preserve"> other than the benefits mentioned in </w:t>
      </w:r>
      <w:r w:rsidR="00DA13DE" w:rsidRPr="006E709F">
        <w:t>subclause (</w:t>
      </w:r>
      <w:r w:rsidRPr="006E709F">
        <w:t>1).</w:t>
      </w:r>
    </w:p>
    <w:p w:rsidR="003638DE" w:rsidRPr="006E709F" w:rsidRDefault="003638DE" w:rsidP="00A801D0">
      <w:pPr>
        <w:pStyle w:val="subsection"/>
      </w:pPr>
      <w:r w:rsidRPr="006E709F">
        <w:tab/>
        <w:t>(3)</w:t>
      </w:r>
      <w:r w:rsidRPr="006E709F">
        <w:tab/>
        <w:t>Section</w:t>
      </w:r>
      <w:r w:rsidR="00DA13DE" w:rsidRPr="006E709F">
        <w:t> </w:t>
      </w:r>
      <w:r w:rsidRPr="006E709F">
        <w:t xml:space="preserve">2 of the Statement may provide for the description mentioned in </w:t>
      </w:r>
      <w:r w:rsidR="00DA13DE" w:rsidRPr="006E709F">
        <w:t>subclause (</w:t>
      </w:r>
      <w:r w:rsidRPr="006E709F">
        <w:t>2) by applying, adopting or incorporating a matter in writing.</w:t>
      </w:r>
    </w:p>
    <w:p w:rsidR="003638DE" w:rsidRPr="006E709F" w:rsidRDefault="00415D63" w:rsidP="00C93238">
      <w:pPr>
        <w:pStyle w:val="ActHead5"/>
      </w:pPr>
      <w:bookmarkStart w:id="141" w:name="_Toc170547958"/>
      <w:r w:rsidRPr="000C4237">
        <w:rPr>
          <w:rStyle w:val="CharSectno"/>
        </w:rPr>
        <w:t>5</w:t>
      </w:r>
      <w:r w:rsidRPr="006E709F">
        <w:t xml:space="preserve">  </w:t>
      </w:r>
      <w:r w:rsidR="003638DE" w:rsidRPr="006E709F">
        <w:t>Contents of section</w:t>
      </w:r>
      <w:r w:rsidR="00DA13DE" w:rsidRPr="006E709F">
        <w:t> </w:t>
      </w:r>
      <w:r w:rsidR="003638DE" w:rsidRPr="006E709F">
        <w:t xml:space="preserve">3 (How [name of </w:t>
      </w:r>
      <w:r w:rsidR="0051105F" w:rsidRPr="0051105F">
        <w:t>standard margin lending facility</w:t>
      </w:r>
      <w:r w:rsidR="003638DE" w:rsidRPr="006E709F">
        <w:t>] works)</w:t>
      </w:r>
      <w:bookmarkEnd w:id="141"/>
    </w:p>
    <w:p w:rsidR="003638DE" w:rsidRPr="006E709F" w:rsidRDefault="003638DE" w:rsidP="00A801D0">
      <w:pPr>
        <w:pStyle w:val="subsection"/>
      </w:pPr>
      <w:r w:rsidRPr="006E709F">
        <w:tab/>
        <w:t>(1)</w:t>
      </w:r>
      <w:r w:rsidRPr="006E709F">
        <w:tab/>
        <w:t>Section</w:t>
      </w:r>
      <w:r w:rsidR="00DA13DE" w:rsidRPr="006E709F">
        <w:t> </w:t>
      </w:r>
      <w:r w:rsidRPr="006E709F">
        <w:t xml:space="preserve">3 of the Product Disclosure Statement for a </w:t>
      </w:r>
      <w:r w:rsidR="00D90A35" w:rsidRPr="00BE1284">
        <w:t>standard margin lending facility</w:t>
      </w:r>
      <w:r w:rsidRPr="006E709F">
        <w:t xml:space="preserve"> must include:</w:t>
      </w:r>
    </w:p>
    <w:p w:rsidR="003638DE" w:rsidRPr="006E709F" w:rsidRDefault="003638DE" w:rsidP="00A801D0">
      <w:pPr>
        <w:pStyle w:val="paragraph"/>
      </w:pPr>
      <w:r w:rsidRPr="006E709F">
        <w:lastRenderedPageBreak/>
        <w:tab/>
        <w:t>(a)</w:t>
      </w:r>
      <w:r w:rsidRPr="006E709F">
        <w:tab/>
        <w:t xml:space="preserve">an explanation of how </w:t>
      </w:r>
      <w:r w:rsidR="005811A3">
        <w:t xml:space="preserve">a </w:t>
      </w:r>
      <w:r w:rsidR="005811A3" w:rsidRPr="00BE1284">
        <w:t>standard margin lending facilit</w:t>
      </w:r>
      <w:r w:rsidR="005811A3">
        <w:t>y</w:t>
      </w:r>
      <w:r w:rsidRPr="006E709F">
        <w:t xml:space="preserve"> works including information about the following:</w:t>
      </w:r>
    </w:p>
    <w:p w:rsidR="003638DE" w:rsidRPr="006E709F" w:rsidRDefault="003638DE" w:rsidP="00A801D0">
      <w:pPr>
        <w:pStyle w:val="paragraphsub"/>
      </w:pPr>
      <w:r w:rsidRPr="006E709F">
        <w:tab/>
        <w:t>(i)</w:t>
      </w:r>
      <w:r w:rsidRPr="006E709F">
        <w:tab/>
        <w:t xml:space="preserve">the maximum loan amount for the </w:t>
      </w:r>
      <w:r w:rsidR="00530753" w:rsidRPr="00BE1284">
        <w:t>standard margin lending facility</w:t>
      </w:r>
      <w:r w:rsidRPr="006E709F">
        <w:t>;</w:t>
      </w:r>
    </w:p>
    <w:p w:rsidR="003638DE" w:rsidRPr="006E709F" w:rsidRDefault="003638DE" w:rsidP="00A801D0">
      <w:pPr>
        <w:pStyle w:val="paragraphsub"/>
      </w:pPr>
      <w:r w:rsidRPr="006E709F">
        <w:tab/>
        <w:t>(ii)</w:t>
      </w:r>
      <w:r w:rsidRPr="006E709F">
        <w:tab/>
        <w:t>the loan</w:t>
      </w:r>
      <w:r w:rsidR="000C4237">
        <w:noBreakHyphen/>
      </w:r>
      <w:r w:rsidRPr="006E709F">
        <w:t>to</w:t>
      </w:r>
      <w:r w:rsidR="000C4237">
        <w:noBreakHyphen/>
      </w:r>
      <w:r w:rsidRPr="006E709F">
        <w:t xml:space="preserve">value ratios for the </w:t>
      </w:r>
      <w:r w:rsidR="00530753" w:rsidRPr="00BE1284">
        <w:t>standard margin lending facility</w:t>
      </w:r>
      <w:r w:rsidRPr="006E709F">
        <w:t>; and</w:t>
      </w:r>
    </w:p>
    <w:p w:rsidR="003638DE" w:rsidRPr="006E709F" w:rsidRDefault="003638DE" w:rsidP="00A801D0">
      <w:pPr>
        <w:pStyle w:val="paragraph"/>
      </w:pPr>
      <w:r w:rsidRPr="006E709F">
        <w:tab/>
        <w:t>(b)</w:t>
      </w:r>
      <w:r w:rsidRPr="006E709F">
        <w:tab/>
        <w:t xml:space="preserve">at least 1 example that illustrates the matters mentioned in </w:t>
      </w:r>
      <w:r w:rsidR="00DA13DE" w:rsidRPr="006E709F">
        <w:t>subparagraphs (</w:t>
      </w:r>
      <w:r w:rsidRPr="006E709F">
        <w:t>a</w:t>
      </w:r>
      <w:r w:rsidR="00A801D0" w:rsidRPr="006E709F">
        <w:t>)(</w:t>
      </w:r>
      <w:r w:rsidRPr="006E709F">
        <w:t>i) and (ii); and</w:t>
      </w:r>
    </w:p>
    <w:p w:rsidR="003638DE" w:rsidRPr="006E709F" w:rsidRDefault="003638DE" w:rsidP="00A801D0">
      <w:pPr>
        <w:pStyle w:val="paragraph"/>
      </w:pPr>
      <w:r w:rsidRPr="006E709F">
        <w:tab/>
        <w:t>(c)</w:t>
      </w:r>
      <w:r w:rsidRPr="006E709F">
        <w:tab/>
        <w:t xml:space="preserve">a description of the financial products that the borrower or potential borrower for the </w:t>
      </w:r>
      <w:r w:rsidR="00EC744B" w:rsidRPr="00BE1284">
        <w:t>standard margin lending facility</w:t>
      </w:r>
      <w:r w:rsidRPr="006E709F">
        <w:t xml:space="preserve"> can purchase with the </w:t>
      </w:r>
      <w:r w:rsidR="00EC744B" w:rsidRPr="00BE1284">
        <w:t>standard margin lending facility</w:t>
      </w:r>
      <w:r w:rsidRPr="006E709F">
        <w:t xml:space="preserve"> (including the Approved Securities List for the provider or potential provider of the </w:t>
      </w:r>
      <w:r w:rsidR="00EC744B" w:rsidRPr="00BE1284">
        <w:t>standard margin lending facility</w:t>
      </w:r>
      <w:r w:rsidRPr="006E709F">
        <w:t>); and</w:t>
      </w:r>
    </w:p>
    <w:p w:rsidR="003638DE" w:rsidRPr="006E709F" w:rsidRDefault="003638DE" w:rsidP="00A801D0">
      <w:pPr>
        <w:pStyle w:val="paragraph"/>
      </w:pPr>
      <w:r w:rsidRPr="006E709F">
        <w:tab/>
        <w:t>(d)</w:t>
      </w:r>
      <w:r w:rsidRPr="006E709F">
        <w:tab/>
        <w:t xml:space="preserve">an explanation of who owns the investments purchased with the </w:t>
      </w:r>
      <w:r w:rsidR="00EC744B" w:rsidRPr="00BE1284">
        <w:t>standard margin lending facility</w:t>
      </w:r>
      <w:r w:rsidRPr="006E709F">
        <w:t>; and</w:t>
      </w:r>
    </w:p>
    <w:p w:rsidR="003638DE" w:rsidRPr="006E709F" w:rsidRDefault="003638DE" w:rsidP="00A801D0">
      <w:pPr>
        <w:pStyle w:val="paragraph"/>
      </w:pPr>
      <w:r w:rsidRPr="006E709F">
        <w:tab/>
        <w:t>(e)</w:t>
      </w:r>
      <w:r w:rsidRPr="006E709F">
        <w:tab/>
        <w:t>a statement that:</w:t>
      </w:r>
    </w:p>
    <w:p w:rsidR="003638DE" w:rsidRPr="006E709F" w:rsidRDefault="003638DE" w:rsidP="00A801D0">
      <w:pPr>
        <w:pStyle w:val="paragraphsub"/>
      </w:pPr>
      <w:r w:rsidRPr="006E709F">
        <w:tab/>
        <w:t>(i)</w:t>
      </w:r>
      <w:r w:rsidRPr="006E709F">
        <w:tab/>
        <w:t xml:space="preserve">details of the rights and obligations of the borrower for a </w:t>
      </w:r>
      <w:r w:rsidR="00EC744B" w:rsidRPr="00BE1284">
        <w:t>standard margin lending facility</w:t>
      </w:r>
      <w:r w:rsidRPr="006E709F">
        <w:t xml:space="preserve"> are set out in the terms of the agreement for the </w:t>
      </w:r>
      <w:r w:rsidR="00EC744B" w:rsidRPr="00BE1284">
        <w:t>standard margin lending facility</w:t>
      </w:r>
      <w:r w:rsidRPr="006E709F">
        <w:t>; and</w:t>
      </w:r>
    </w:p>
    <w:p w:rsidR="003638DE" w:rsidRPr="006E709F" w:rsidRDefault="003638DE" w:rsidP="00A801D0">
      <w:pPr>
        <w:pStyle w:val="paragraphsub"/>
      </w:pPr>
      <w:r w:rsidRPr="006E709F">
        <w:tab/>
        <w:t>(ii)</w:t>
      </w:r>
      <w:r w:rsidRPr="006E709F">
        <w:tab/>
        <w:t xml:space="preserve">recommends that a potential borrower for a </w:t>
      </w:r>
      <w:r w:rsidR="00EC744B" w:rsidRPr="00BE1284">
        <w:t>standard margin lending facility</w:t>
      </w:r>
      <w:r w:rsidRPr="006E709F">
        <w:t xml:space="preserve"> read the loan agreement; and</w:t>
      </w:r>
    </w:p>
    <w:p w:rsidR="003638DE" w:rsidRPr="006E709F" w:rsidRDefault="003638DE" w:rsidP="00A801D0">
      <w:pPr>
        <w:pStyle w:val="paragraphsub"/>
      </w:pPr>
      <w:r w:rsidRPr="006E709F">
        <w:tab/>
        <w:t>(iii)</w:t>
      </w:r>
      <w:r w:rsidRPr="006E709F">
        <w:tab/>
        <w:t>explains how a potential borrower can obtain a copy of the loan agreement; and</w:t>
      </w:r>
    </w:p>
    <w:p w:rsidR="003638DE" w:rsidRPr="006E709F" w:rsidRDefault="003638DE" w:rsidP="00A801D0">
      <w:pPr>
        <w:pStyle w:val="paragraph"/>
      </w:pPr>
      <w:r w:rsidRPr="006E709F">
        <w:tab/>
        <w:t>(f)</w:t>
      </w:r>
      <w:r w:rsidRPr="006E709F">
        <w:tab/>
        <w:t xml:space="preserve">an explanation of any other features of the </w:t>
      </w:r>
      <w:r w:rsidR="00EC744B" w:rsidRPr="00BE1284">
        <w:t>standard margin lending facility</w:t>
      </w:r>
      <w:r w:rsidRPr="006E709F">
        <w:t xml:space="preserve"> that:</w:t>
      </w:r>
    </w:p>
    <w:p w:rsidR="003638DE" w:rsidRPr="006E709F" w:rsidRDefault="003638DE" w:rsidP="00A801D0">
      <w:pPr>
        <w:pStyle w:val="paragraphsub"/>
      </w:pPr>
      <w:r w:rsidRPr="006E709F">
        <w:tab/>
        <w:t>(i)</w:t>
      </w:r>
      <w:r w:rsidRPr="006E709F">
        <w:tab/>
        <w:t xml:space="preserve">are not covered by the matters mentioned in </w:t>
      </w:r>
      <w:r w:rsidR="00DA13DE" w:rsidRPr="006E709F">
        <w:t>paragraphs (</w:t>
      </w:r>
      <w:r w:rsidRPr="006E709F">
        <w:t>a), (c) and (d); and</w:t>
      </w:r>
    </w:p>
    <w:p w:rsidR="003638DE" w:rsidRPr="006E709F" w:rsidRDefault="003638DE" w:rsidP="00A801D0">
      <w:pPr>
        <w:pStyle w:val="paragraphsub"/>
      </w:pPr>
      <w:r w:rsidRPr="006E709F">
        <w:tab/>
        <w:t>(ii)</w:t>
      </w:r>
      <w:r w:rsidRPr="006E709F">
        <w:tab/>
        <w:t xml:space="preserve">are sufficiently important to be material to a reasonable person’s decision to take out the </w:t>
      </w:r>
      <w:r w:rsidR="00EC744B" w:rsidRPr="00BE1284">
        <w:t>standard margin lending facility</w:t>
      </w:r>
      <w:r w:rsidRPr="006E709F">
        <w:t>; and</w:t>
      </w:r>
    </w:p>
    <w:p w:rsidR="003638DE" w:rsidRPr="006E709F" w:rsidRDefault="003638DE" w:rsidP="00A801D0">
      <w:pPr>
        <w:pStyle w:val="paragraph"/>
      </w:pPr>
      <w:r w:rsidRPr="006E709F">
        <w:tab/>
        <w:t>(g)</w:t>
      </w:r>
      <w:r w:rsidRPr="006E709F">
        <w:tab/>
        <w:t>a reference to:</w:t>
      </w:r>
    </w:p>
    <w:p w:rsidR="003638DE" w:rsidRPr="006E709F" w:rsidRDefault="003638DE" w:rsidP="00A801D0">
      <w:pPr>
        <w:pStyle w:val="paragraphsub"/>
      </w:pPr>
      <w:r w:rsidRPr="006E709F">
        <w:tab/>
        <w:t>(i)</w:t>
      </w:r>
      <w:r w:rsidRPr="006E709F">
        <w:tab/>
        <w:t>the calculator provided on a website operated by or on behalf of the Commonwealth and an explanation of the assistance the calculator can provide; or</w:t>
      </w:r>
    </w:p>
    <w:p w:rsidR="003638DE" w:rsidRPr="006E709F" w:rsidRDefault="003638DE" w:rsidP="00A801D0">
      <w:pPr>
        <w:pStyle w:val="paragraphsub"/>
      </w:pPr>
      <w:r w:rsidRPr="006E709F">
        <w:tab/>
        <w:t>(ii)</w:t>
      </w:r>
      <w:r w:rsidRPr="006E709F">
        <w:tab/>
        <w:t xml:space="preserve">if the provider or potential provider of the </w:t>
      </w:r>
      <w:r w:rsidR="00EC744B" w:rsidRPr="00BE1284">
        <w:t>standard margin lending facility</w:t>
      </w:r>
      <w:r w:rsidRPr="006E709F">
        <w:t xml:space="preserve"> provides a calculator to borrowers or potential borrowers for the </w:t>
      </w:r>
      <w:r w:rsidR="00EC744B" w:rsidRPr="00BE1284">
        <w:t>standard margin lending facility</w:t>
      </w:r>
      <w:r w:rsidR="00A801D0" w:rsidRPr="006E709F">
        <w:t>—</w:t>
      </w:r>
      <w:r w:rsidRPr="006E709F">
        <w:t>that calculator and an explanation of the assistance the calculator can provide.</w:t>
      </w:r>
    </w:p>
    <w:p w:rsidR="003638DE" w:rsidRPr="006E709F" w:rsidRDefault="003638DE" w:rsidP="00A801D0">
      <w:pPr>
        <w:pStyle w:val="subsection"/>
      </w:pPr>
      <w:r w:rsidRPr="006E709F">
        <w:tab/>
        <w:t>(2)</w:t>
      </w:r>
      <w:r w:rsidRPr="006E709F">
        <w:tab/>
        <w:t>Section</w:t>
      </w:r>
      <w:r w:rsidR="00DA13DE" w:rsidRPr="006E709F">
        <w:t> </w:t>
      </w:r>
      <w:r w:rsidRPr="006E709F">
        <w:t>3 of the Statement may provide for the following matters by applying, adopting or incorporating the matter in writing:</w:t>
      </w:r>
    </w:p>
    <w:p w:rsidR="003638DE" w:rsidRPr="006E709F" w:rsidRDefault="003638DE" w:rsidP="00A801D0">
      <w:pPr>
        <w:pStyle w:val="paragraph"/>
      </w:pPr>
      <w:r w:rsidRPr="006E709F">
        <w:tab/>
        <w:t>(a)</w:t>
      </w:r>
      <w:r w:rsidRPr="006E709F">
        <w:tab/>
        <w:t>the Approved Securities List;</w:t>
      </w:r>
    </w:p>
    <w:p w:rsidR="003638DE" w:rsidRPr="006E709F" w:rsidRDefault="003638DE" w:rsidP="00A801D0">
      <w:pPr>
        <w:pStyle w:val="paragraph"/>
      </w:pPr>
      <w:r w:rsidRPr="006E709F">
        <w:tab/>
        <w:t>(b)</w:t>
      </w:r>
      <w:r w:rsidRPr="006E709F">
        <w:tab/>
        <w:t xml:space="preserve">the explanation mentioned in </w:t>
      </w:r>
      <w:r w:rsidR="00DA13DE" w:rsidRPr="006E709F">
        <w:t>paragraph (</w:t>
      </w:r>
      <w:r w:rsidRPr="006E709F">
        <w:t>1</w:t>
      </w:r>
      <w:r w:rsidR="00A801D0" w:rsidRPr="006E709F">
        <w:t>)(</w:t>
      </w:r>
      <w:r w:rsidRPr="006E709F">
        <w:t>f).</w:t>
      </w:r>
    </w:p>
    <w:p w:rsidR="003638DE" w:rsidRPr="006E709F" w:rsidRDefault="00415D63" w:rsidP="00C93238">
      <w:pPr>
        <w:pStyle w:val="ActHead5"/>
      </w:pPr>
      <w:bookmarkStart w:id="142" w:name="_Toc170547959"/>
      <w:r w:rsidRPr="000C4237">
        <w:rPr>
          <w:rStyle w:val="CharSectno"/>
        </w:rPr>
        <w:t>6</w:t>
      </w:r>
      <w:r w:rsidRPr="006E709F">
        <w:t xml:space="preserve">  </w:t>
      </w:r>
      <w:r w:rsidR="003638DE" w:rsidRPr="006E709F">
        <w:t>Contents of section</w:t>
      </w:r>
      <w:r w:rsidR="00DA13DE" w:rsidRPr="006E709F">
        <w:t> </w:t>
      </w:r>
      <w:r w:rsidR="003638DE" w:rsidRPr="006E709F">
        <w:t>4 (What is a margin call?)</w:t>
      </w:r>
      <w:bookmarkEnd w:id="142"/>
    </w:p>
    <w:p w:rsidR="003638DE" w:rsidRPr="006E709F" w:rsidRDefault="003638DE" w:rsidP="00A801D0">
      <w:pPr>
        <w:pStyle w:val="subsection"/>
      </w:pPr>
      <w:r w:rsidRPr="006E709F">
        <w:tab/>
      </w:r>
      <w:r w:rsidRPr="006E709F">
        <w:tab/>
        <w:t>Section</w:t>
      </w:r>
      <w:r w:rsidR="00DA13DE" w:rsidRPr="006E709F">
        <w:t> </w:t>
      </w:r>
      <w:r w:rsidRPr="006E709F">
        <w:t xml:space="preserve">4 of the Product Disclosure Statement for a </w:t>
      </w:r>
      <w:r w:rsidR="00A6301D" w:rsidRPr="00BE1284">
        <w:t>standard margin lending facility</w:t>
      </w:r>
      <w:r w:rsidRPr="006E709F">
        <w:t xml:space="preserve"> must include:</w:t>
      </w:r>
    </w:p>
    <w:p w:rsidR="003638DE" w:rsidRPr="006E709F" w:rsidRDefault="003638DE" w:rsidP="00A801D0">
      <w:pPr>
        <w:pStyle w:val="paragraph"/>
      </w:pPr>
      <w:r w:rsidRPr="006E709F">
        <w:tab/>
        <w:t>(a)</w:t>
      </w:r>
      <w:r w:rsidRPr="006E709F">
        <w:tab/>
        <w:t xml:space="preserve">if the terms of the </w:t>
      </w:r>
      <w:r w:rsidR="001270FF" w:rsidRPr="00BE1284">
        <w:t>standard margin lending facility</w:t>
      </w:r>
      <w:r w:rsidRPr="006E709F">
        <w:t xml:space="preserve"> include a margin call:</w:t>
      </w:r>
    </w:p>
    <w:p w:rsidR="003638DE" w:rsidRPr="006E709F" w:rsidRDefault="003638DE" w:rsidP="00A801D0">
      <w:pPr>
        <w:pStyle w:val="paragraphsub"/>
      </w:pPr>
      <w:r w:rsidRPr="006E709F">
        <w:lastRenderedPageBreak/>
        <w:tab/>
        <w:t>(i)</w:t>
      </w:r>
      <w:r w:rsidRPr="006E709F">
        <w:tab/>
        <w:t>an explanation of what a margin call is; and</w:t>
      </w:r>
    </w:p>
    <w:p w:rsidR="003638DE" w:rsidRPr="006E709F" w:rsidRDefault="003638DE" w:rsidP="00A801D0">
      <w:pPr>
        <w:pStyle w:val="paragraphsub"/>
      </w:pPr>
      <w:r w:rsidRPr="006E709F">
        <w:tab/>
        <w:t>(ii)</w:t>
      </w:r>
      <w:r w:rsidRPr="006E709F">
        <w:tab/>
        <w:t>an explanation of when there will be a margin call in response to changes in the market; and</w:t>
      </w:r>
    </w:p>
    <w:p w:rsidR="003638DE" w:rsidRPr="006E709F" w:rsidRDefault="003638DE" w:rsidP="00A801D0">
      <w:pPr>
        <w:pStyle w:val="paragraphsub"/>
      </w:pPr>
      <w:r w:rsidRPr="006E709F">
        <w:tab/>
        <w:t>(iii)</w:t>
      </w:r>
      <w:r w:rsidRPr="006E709F">
        <w:tab/>
        <w:t xml:space="preserve">an explanation of when there will be a margin call at the discretion of the provider of the </w:t>
      </w:r>
      <w:r w:rsidR="001270FF" w:rsidRPr="00BE1284">
        <w:t>standard margin lending facility</w:t>
      </w:r>
      <w:r w:rsidRPr="006E709F">
        <w:t>; and</w:t>
      </w:r>
    </w:p>
    <w:p w:rsidR="003638DE" w:rsidRPr="006E709F" w:rsidRDefault="003638DE" w:rsidP="00A801D0">
      <w:pPr>
        <w:pStyle w:val="paragraphsub"/>
      </w:pPr>
      <w:r w:rsidRPr="006E709F">
        <w:tab/>
        <w:t>(iv)</w:t>
      </w:r>
      <w:r w:rsidRPr="006E709F">
        <w:tab/>
        <w:t>at least 1 example of how a margin call works, including:</w:t>
      </w:r>
    </w:p>
    <w:p w:rsidR="003638DE" w:rsidRPr="006E709F" w:rsidRDefault="003638DE" w:rsidP="00A801D0">
      <w:pPr>
        <w:pStyle w:val="paragraphsub-sub"/>
      </w:pPr>
      <w:r w:rsidRPr="006E709F">
        <w:tab/>
        <w:t>(A)</w:t>
      </w:r>
      <w:r w:rsidRPr="006E709F">
        <w:tab/>
        <w:t>the impact of breaching the loan</w:t>
      </w:r>
      <w:r w:rsidR="000C4237">
        <w:noBreakHyphen/>
      </w:r>
      <w:r w:rsidRPr="006E709F">
        <w:t>to</w:t>
      </w:r>
      <w:r w:rsidR="000C4237">
        <w:noBreakHyphen/>
      </w:r>
      <w:r w:rsidRPr="006E709F">
        <w:t>value rati</w:t>
      </w:r>
      <w:r w:rsidR="00E376FA" w:rsidRPr="006E709F">
        <w:t>o (</w:t>
      </w:r>
      <w:r w:rsidRPr="006E709F">
        <w:rPr>
          <w:b/>
          <w:i/>
        </w:rPr>
        <w:t>LVR</w:t>
      </w:r>
      <w:r w:rsidRPr="006E709F">
        <w:t xml:space="preserve">) for the </w:t>
      </w:r>
      <w:r w:rsidR="001270FF" w:rsidRPr="00BE1284">
        <w:t>standard margin lending facility</w:t>
      </w:r>
      <w:r w:rsidRPr="006E709F">
        <w:t>; and</w:t>
      </w:r>
    </w:p>
    <w:p w:rsidR="003638DE" w:rsidRPr="006E709F" w:rsidRDefault="003638DE" w:rsidP="00A801D0">
      <w:pPr>
        <w:pStyle w:val="paragraphsub-sub"/>
      </w:pPr>
      <w:r w:rsidRPr="006E709F">
        <w:tab/>
        <w:t>(B)</w:t>
      </w:r>
      <w:r w:rsidRPr="006E709F">
        <w:tab/>
        <w:t xml:space="preserve">how to adjust the LVR back to the required level for the </w:t>
      </w:r>
      <w:r w:rsidR="001270FF" w:rsidRPr="00BE1284">
        <w:t>standard margin lending facility</w:t>
      </w:r>
      <w:r w:rsidRPr="006E709F">
        <w:t>; and</w:t>
      </w:r>
    </w:p>
    <w:p w:rsidR="003638DE" w:rsidRPr="006E709F" w:rsidRDefault="003638DE" w:rsidP="00A801D0">
      <w:pPr>
        <w:pStyle w:val="paragraphsub-sub"/>
      </w:pPr>
      <w:r w:rsidRPr="006E709F">
        <w:tab/>
        <w:t>(C)</w:t>
      </w:r>
      <w:r w:rsidRPr="006E709F">
        <w:tab/>
        <w:t xml:space="preserve">how the buffer (if any) for the </w:t>
      </w:r>
      <w:r w:rsidR="001270FF" w:rsidRPr="00BE1284">
        <w:t>standard margin lending facility</w:t>
      </w:r>
      <w:r w:rsidRPr="006E709F">
        <w:t xml:space="preserve"> operates; and</w:t>
      </w:r>
    </w:p>
    <w:p w:rsidR="003638DE" w:rsidRPr="006E709F" w:rsidRDefault="003638DE" w:rsidP="00A801D0">
      <w:pPr>
        <w:pStyle w:val="paragraphsub"/>
      </w:pPr>
      <w:r w:rsidRPr="006E709F">
        <w:tab/>
        <w:t>(v)</w:t>
      </w:r>
      <w:r w:rsidRPr="006E709F">
        <w:tab/>
        <w:t xml:space="preserve">a description of how a margin call can be dealt with by the borrower for the </w:t>
      </w:r>
      <w:r w:rsidR="001270FF" w:rsidRPr="00BE1284">
        <w:t>standard margin lending facility</w:t>
      </w:r>
      <w:r w:rsidRPr="006E709F">
        <w:t>; and</w:t>
      </w:r>
    </w:p>
    <w:p w:rsidR="003638DE" w:rsidRPr="006E709F" w:rsidRDefault="003638DE" w:rsidP="00A801D0">
      <w:pPr>
        <w:pStyle w:val="paragraphsub"/>
      </w:pPr>
      <w:r w:rsidRPr="006E709F">
        <w:tab/>
        <w:t>(vi)</w:t>
      </w:r>
      <w:r w:rsidRPr="006E709F">
        <w:tab/>
        <w:t xml:space="preserve">a statement that if there is a margin call, the provider of the </w:t>
      </w:r>
      <w:r w:rsidR="001270FF" w:rsidRPr="00BE1284">
        <w:t>standard margin lending facility</w:t>
      </w:r>
      <w:r w:rsidRPr="006E709F">
        <w:t xml:space="preserve"> will notify the borrower for the </w:t>
      </w:r>
      <w:r w:rsidR="001270FF" w:rsidRPr="00BE1284">
        <w:t>standard margin lending facility</w:t>
      </w:r>
      <w:r w:rsidRPr="006E709F">
        <w:t>, or the borrower’s financial advisor, that the margin call has occurred; and</w:t>
      </w:r>
    </w:p>
    <w:p w:rsidR="003638DE" w:rsidRPr="006E709F" w:rsidRDefault="003638DE" w:rsidP="00A801D0">
      <w:pPr>
        <w:pStyle w:val="paragraphsub"/>
      </w:pPr>
      <w:r w:rsidRPr="006E709F">
        <w:tab/>
        <w:t>(vii)</w:t>
      </w:r>
      <w:r w:rsidRPr="006E709F">
        <w:tab/>
        <w:t xml:space="preserve">a statement that the borrower for the </w:t>
      </w:r>
      <w:r w:rsidR="001270FF" w:rsidRPr="00BE1284">
        <w:t>standard margin lending facility</w:t>
      </w:r>
      <w:r w:rsidRPr="006E709F">
        <w:t xml:space="preserve"> must be contactable at all times in case of a margin call; and</w:t>
      </w:r>
    </w:p>
    <w:p w:rsidR="003638DE" w:rsidRPr="006E709F" w:rsidRDefault="003638DE" w:rsidP="00A801D0">
      <w:pPr>
        <w:pStyle w:val="paragraph"/>
      </w:pPr>
      <w:r w:rsidRPr="006E709F">
        <w:tab/>
        <w:t>(b)</w:t>
      </w:r>
      <w:r w:rsidRPr="006E709F">
        <w:tab/>
        <w:t xml:space="preserve">if the terms of the </w:t>
      </w:r>
      <w:r w:rsidR="001270FF" w:rsidRPr="00BE1284">
        <w:t>standard margin lending facility</w:t>
      </w:r>
      <w:r w:rsidRPr="006E709F">
        <w:t xml:space="preserve"> do not include a margin call, a statement to that effect.</w:t>
      </w:r>
    </w:p>
    <w:p w:rsidR="003638DE" w:rsidRPr="006E709F" w:rsidRDefault="00415D63" w:rsidP="00C93238">
      <w:pPr>
        <w:pStyle w:val="ActHead5"/>
      </w:pPr>
      <w:bookmarkStart w:id="143" w:name="_Toc170547960"/>
      <w:r w:rsidRPr="000C4237">
        <w:rPr>
          <w:rStyle w:val="CharSectno"/>
        </w:rPr>
        <w:t>7</w:t>
      </w:r>
      <w:r w:rsidRPr="006E709F">
        <w:t xml:space="preserve">  </w:t>
      </w:r>
      <w:r w:rsidR="003638DE" w:rsidRPr="006E709F">
        <w:t>Contents of section</w:t>
      </w:r>
      <w:r w:rsidR="00DA13DE" w:rsidRPr="006E709F">
        <w:t> </w:t>
      </w:r>
      <w:r w:rsidR="003638DE" w:rsidRPr="006E709F">
        <w:t>5 (The risk of losing money)</w:t>
      </w:r>
      <w:bookmarkEnd w:id="143"/>
    </w:p>
    <w:p w:rsidR="003638DE" w:rsidRPr="006E709F" w:rsidRDefault="003638DE" w:rsidP="00A801D0">
      <w:pPr>
        <w:pStyle w:val="subsection"/>
      </w:pPr>
      <w:r w:rsidRPr="006E709F">
        <w:tab/>
        <w:t>(1)</w:t>
      </w:r>
      <w:r w:rsidRPr="006E709F">
        <w:tab/>
        <w:t>Section</w:t>
      </w:r>
      <w:r w:rsidR="00DA13DE" w:rsidRPr="006E709F">
        <w:t> </w:t>
      </w:r>
      <w:r w:rsidRPr="006E709F">
        <w:t xml:space="preserve">5 of the Product Disclosure Statement for </w:t>
      </w:r>
      <w:r w:rsidR="00384CBF" w:rsidRPr="00BE1284">
        <w:t xml:space="preserve">a standard margin lending facility must include a description of the risks associated with </w:t>
      </w:r>
      <w:r w:rsidR="00384CBF">
        <w:t xml:space="preserve">a </w:t>
      </w:r>
      <w:r w:rsidR="00384CBF" w:rsidRPr="00BE1284">
        <w:t>standard margin lending facilit</w:t>
      </w:r>
      <w:r w:rsidR="00384CBF">
        <w:t>y</w:t>
      </w:r>
      <w:r w:rsidR="00384CBF" w:rsidRPr="00BE1284">
        <w:t xml:space="preserve"> to a borrower for the standard margin lending facility</w:t>
      </w:r>
      <w:r w:rsidRPr="006E709F">
        <w:t>, including a description of any of the following risks, if relevant:</w:t>
      </w:r>
    </w:p>
    <w:p w:rsidR="003638DE" w:rsidRPr="006E709F" w:rsidRDefault="003638DE" w:rsidP="00A801D0">
      <w:pPr>
        <w:pStyle w:val="paragraph"/>
      </w:pPr>
      <w:r w:rsidRPr="006E709F">
        <w:tab/>
        <w:t>(a)</w:t>
      </w:r>
      <w:r w:rsidRPr="006E709F">
        <w:tab/>
        <w:t>the risk that the value of the borrower’s investment may fall and the possible consequences to the borrower if this occurs, in particular the risk of a margin call occurring;</w:t>
      </w:r>
    </w:p>
    <w:p w:rsidR="003638DE" w:rsidRPr="006E709F" w:rsidRDefault="003638DE" w:rsidP="00A801D0">
      <w:pPr>
        <w:pStyle w:val="paragraph"/>
      </w:pPr>
      <w:r w:rsidRPr="006E709F">
        <w:tab/>
        <w:t>(b)</w:t>
      </w:r>
      <w:r w:rsidRPr="006E709F">
        <w:tab/>
        <w:t xml:space="preserve">the risk that the provider of the </w:t>
      </w:r>
      <w:r w:rsidR="005D3B00" w:rsidRPr="00BE1284">
        <w:t>standard margin lending facility</w:t>
      </w:r>
      <w:r w:rsidRPr="006E709F">
        <w:t xml:space="preserve"> may change the loan</w:t>
      </w:r>
      <w:r w:rsidR="000C4237">
        <w:noBreakHyphen/>
      </w:r>
      <w:r w:rsidRPr="006E709F">
        <w:t>to</w:t>
      </w:r>
      <w:r w:rsidR="000C4237">
        <w:noBreakHyphen/>
      </w:r>
      <w:r w:rsidRPr="006E709F">
        <w:t>value ratio of an investment at any time and the consequences to the borrower of the change, in particular, the risk of a margin call occurring;</w:t>
      </w:r>
    </w:p>
    <w:p w:rsidR="003638DE" w:rsidRPr="006E709F" w:rsidRDefault="003638DE" w:rsidP="00A801D0">
      <w:pPr>
        <w:pStyle w:val="paragraph"/>
      </w:pPr>
      <w:r w:rsidRPr="006E709F">
        <w:tab/>
        <w:t>(c)</w:t>
      </w:r>
      <w:r w:rsidRPr="006E709F">
        <w:tab/>
        <w:t xml:space="preserve">the risk that the provider of the </w:t>
      </w:r>
      <w:r w:rsidR="005D3B00" w:rsidRPr="00BE1284">
        <w:t>standard margin lending facility</w:t>
      </w:r>
      <w:r w:rsidRPr="006E709F">
        <w:t xml:space="preserve"> may remove an investment from the Approved Securities List and the consequences for the borrower if this occurs, in particular, the risk of a margin call occurring;</w:t>
      </w:r>
    </w:p>
    <w:p w:rsidR="003638DE" w:rsidRPr="006E709F" w:rsidRDefault="003638DE" w:rsidP="00A801D0">
      <w:pPr>
        <w:pStyle w:val="paragraph"/>
      </w:pPr>
      <w:r w:rsidRPr="006E709F">
        <w:tab/>
        <w:t>(d)</w:t>
      </w:r>
      <w:r w:rsidRPr="006E709F">
        <w:tab/>
        <w:t xml:space="preserve">the risk that the interest rate for the </w:t>
      </w:r>
      <w:r w:rsidR="005D3B00" w:rsidRPr="00BE1284">
        <w:t>standard margin lending facility</w:t>
      </w:r>
      <w:r w:rsidRPr="006E709F">
        <w:t xml:space="preserve"> may rise and the consequences for the borrower if this occurs, in particular, the possibility that interest payments owed by the borrower may exceed the returns available from the borrower’s portfolio;</w:t>
      </w:r>
    </w:p>
    <w:p w:rsidR="003638DE" w:rsidRPr="006E709F" w:rsidRDefault="003638DE" w:rsidP="00A801D0">
      <w:pPr>
        <w:pStyle w:val="paragraph"/>
      </w:pPr>
      <w:r w:rsidRPr="006E709F">
        <w:tab/>
        <w:t>(e)</w:t>
      </w:r>
      <w:r w:rsidRPr="006E709F">
        <w:tab/>
        <w:t xml:space="preserve">the risk of the loss of property of the borrower if the property has been mortgaged as security for, or in connection with, the </w:t>
      </w:r>
      <w:r w:rsidR="005D3B00" w:rsidRPr="00BE1284">
        <w:t>standard margin lending facility</w:t>
      </w:r>
      <w:r w:rsidRPr="006E709F">
        <w:t>;</w:t>
      </w:r>
    </w:p>
    <w:p w:rsidR="003638DE" w:rsidRPr="006E709F" w:rsidRDefault="003638DE" w:rsidP="00A801D0">
      <w:pPr>
        <w:pStyle w:val="paragraph"/>
      </w:pPr>
      <w:r w:rsidRPr="006E709F">
        <w:lastRenderedPageBreak/>
        <w:tab/>
        <w:t>(f)</w:t>
      </w:r>
      <w:r w:rsidRPr="006E709F">
        <w:tab/>
        <w:t>the risk of a default event under the loan agreement occurring and the potential consequences for the borrower if a default event does occur;</w:t>
      </w:r>
    </w:p>
    <w:p w:rsidR="003638DE" w:rsidRPr="006E709F" w:rsidRDefault="003638DE" w:rsidP="00A801D0">
      <w:pPr>
        <w:pStyle w:val="paragraph"/>
      </w:pPr>
      <w:r w:rsidRPr="006E709F">
        <w:tab/>
        <w:t>(g)</w:t>
      </w:r>
      <w:r w:rsidRPr="006E709F">
        <w:tab/>
        <w:t xml:space="preserve">the risk that the taxation laws may change and that this may have a negative effect on the tax position for the borrower for the </w:t>
      </w:r>
      <w:r w:rsidR="000C29A9" w:rsidRPr="00BE1284">
        <w:t>standard margin lending facility</w:t>
      </w:r>
      <w:r w:rsidRPr="006E709F">
        <w:t>;</w:t>
      </w:r>
    </w:p>
    <w:p w:rsidR="003638DE" w:rsidRPr="006E709F" w:rsidRDefault="003638DE" w:rsidP="00A801D0">
      <w:pPr>
        <w:pStyle w:val="paragraph"/>
      </w:pPr>
      <w:r w:rsidRPr="006E709F">
        <w:tab/>
        <w:t>(h)</w:t>
      </w:r>
      <w:r w:rsidRPr="006E709F">
        <w:tab/>
        <w:t xml:space="preserve">any other significant risks that a reasonable person would consider to be relevantly associated with the </w:t>
      </w:r>
      <w:r w:rsidR="000C29A9" w:rsidRPr="00BE1284">
        <w:t>standard margin lending facility</w:t>
      </w:r>
      <w:r w:rsidRPr="006E709F">
        <w:t>.</w:t>
      </w:r>
    </w:p>
    <w:p w:rsidR="003638DE" w:rsidRPr="006E709F" w:rsidRDefault="003638DE" w:rsidP="00A801D0">
      <w:pPr>
        <w:pStyle w:val="subsection"/>
      </w:pPr>
      <w:r w:rsidRPr="006E709F">
        <w:tab/>
        <w:t>(2)</w:t>
      </w:r>
      <w:r w:rsidRPr="006E709F">
        <w:tab/>
        <w:t>Section</w:t>
      </w:r>
      <w:r w:rsidR="00DA13DE" w:rsidRPr="006E709F">
        <w:t> </w:t>
      </w:r>
      <w:r w:rsidRPr="006E709F">
        <w:t xml:space="preserve">5 of the Statement must include a hyperlink to the page on a website operated by or on behalf of the Commonwealth that provides information about </w:t>
      </w:r>
      <w:r w:rsidR="00384CBF" w:rsidRPr="00BE1284">
        <w:t>standard margin lending facilities</w:t>
      </w:r>
      <w:r w:rsidRPr="006E709F">
        <w:t>.</w:t>
      </w:r>
    </w:p>
    <w:p w:rsidR="003638DE" w:rsidRPr="006E709F" w:rsidRDefault="003638DE" w:rsidP="00A801D0">
      <w:pPr>
        <w:pStyle w:val="subsection"/>
      </w:pPr>
      <w:r w:rsidRPr="006E709F">
        <w:tab/>
        <w:t>(3)</w:t>
      </w:r>
      <w:r w:rsidRPr="006E709F">
        <w:tab/>
        <w:t>Section</w:t>
      </w:r>
      <w:r w:rsidR="00DA13DE" w:rsidRPr="006E709F">
        <w:t> </w:t>
      </w:r>
      <w:r w:rsidRPr="006E709F">
        <w:t xml:space="preserve">5 of the Statement may include information about risks associated with </w:t>
      </w:r>
      <w:r w:rsidR="000C29A9" w:rsidRPr="00BE1284">
        <w:t>standard margin lending facilities</w:t>
      </w:r>
      <w:r w:rsidRPr="006E709F">
        <w:t xml:space="preserve"> other than the risks mentioned in </w:t>
      </w:r>
      <w:r w:rsidR="00DA13DE" w:rsidRPr="006E709F">
        <w:t>subclause (</w:t>
      </w:r>
      <w:r w:rsidRPr="006E709F">
        <w:t>1).</w:t>
      </w:r>
    </w:p>
    <w:p w:rsidR="003638DE" w:rsidRPr="006E709F" w:rsidRDefault="003638DE" w:rsidP="00A801D0">
      <w:pPr>
        <w:pStyle w:val="subsection"/>
      </w:pPr>
      <w:r w:rsidRPr="006E709F">
        <w:tab/>
        <w:t>(4)</w:t>
      </w:r>
      <w:r w:rsidRPr="006E709F">
        <w:tab/>
        <w:t>Section</w:t>
      </w:r>
      <w:r w:rsidR="00DA13DE" w:rsidRPr="006E709F">
        <w:t> </w:t>
      </w:r>
      <w:r w:rsidRPr="006E709F">
        <w:t xml:space="preserve">5 of the Statement may provide for the information mentioned in </w:t>
      </w:r>
      <w:r w:rsidR="00DA13DE" w:rsidRPr="006E709F">
        <w:t>subclause (</w:t>
      </w:r>
      <w:r w:rsidRPr="006E709F">
        <w:t>3) by applying, adopting or incorporating a matter in writing.</w:t>
      </w:r>
    </w:p>
    <w:p w:rsidR="003638DE" w:rsidRPr="006E709F" w:rsidRDefault="00415D63" w:rsidP="00C93238">
      <w:pPr>
        <w:pStyle w:val="ActHead5"/>
      </w:pPr>
      <w:bookmarkStart w:id="144" w:name="_Toc170547961"/>
      <w:r w:rsidRPr="000C4237">
        <w:rPr>
          <w:rStyle w:val="CharSectno"/>
        </w:rPr>
        <w:t>8</w:t>
      </w:r>
      <w:r w:rsidRPr="006E709F">
        <w:t xml:space="preserve">  </w:t>
      </w:r>
      <w:r w:rsidR="003638DE" w:rsidRPr="006E709F">
        <w:t>Contents of section</w:t>
      </w:r>
      <w:r w:rsidR="00DA13DE" w:rsidRPr="006E709F">
        <w:t> </w:t>
      </w:r>
      <w:r w:rsidR="003638DE" w:rsidRPr="006E709F">
        <w:t>6 (The costs)</w:t>
      </w:r>
      <w:bookmarkEnd w:id="144"/>
    </w:p>
    <w:p w:rsidR="003638DE" w:rsidRPr="006E709F" w:rsidRDefault="003638DE" w:rsidP="00A801D0">
      <w:pPr>
        <w:pStyle w:val="subsection"/>
      </w:pPr>
      <w:r w:rsidRPr="006E709F">
        <w:tab/>
        <w:t>(1)</w:t>
      </w:r>
      <w:r w:rsidRPr="006E709F">
        <w:tab/>
        <w:t>Section</w:t>
      </w:r>
      <w:r w:rsidR="00DA13DE" w:rsidRPr="006E709F">
        <w:t> </w:t>
      </w:r>
      <w:r w:rsidRPr="006E709F">
        <w:t xml:space="preserve">6 of the Product Disclosure Statement for a </w:t>
      </w:r>
      <w:r w:rsidR="00005355" w:rsidRPr="00BE1284">
        <w:t>standard margin lending facility</w:t>
      </w:r>
      <w:r w:rsidRPr="006E709F">
        <w:t xml:space="preserve"> must include the following:</w:t>
      </w:r>
    </w:p>
    <w:p w:rsidR="003638DE" w:rsidRPr="006E709F" w:rsidRDefault="003638DE" w:rsidP="00A801D0">
      <w:pPr>
        <w:pStyle w:val="paragraph"/>
      </w:pPr>
      <w:r w:rsidRPr="006E709F">
        <w:tab/>
        <w:t>(a)</w:t>
      </w:r>
      <w:r w:rsidRPr="006E709F">
        <w:tab/>
        <w:t xml:space="preserve">a description of the interest rate for the </w:t>
      </w:r>
      <w:r w:rsidR="00005355" w:rsidRPr="00BE1284">
        <w:t>standard margin lending facility</w:t>
      </w:r>
      <w:r w:rsidRPr="006E709F">
        <w:t>, including how the interest rate is calculated;</w:t>
      </w:r>
    </w:p>
    <w:p w:rsidR="003638DE" w:rsidRPr="006E709F" w:rsidRDefault="003638DE" w:rsidP="00A801D0">
      <w:pPr>
        <w:pStyle w:val="paragraph"/>
      </w:pPr>
      <w:r w:rsidRPr="006E709F">
        <w:tab/>
        <w:t>(b)</w:t>
      </w:r>
      <w:r w:rsidRPr="006E709F">
        <w:tab/>
        <w:t xml:space="preserve">a statement about whether a default interest rate will be charged for the </w:t>
      </w:r>
      <w:r w:rsidR="00005355" w:rsidRPr="00BE1284">
        <w:t>standard margin lending facility</w:t>
      </w:r>
      <w:r w:rsidRPr="006E709F">
        <w:t>;</w:t>
      </w:r>
    </w:p>
    <w:p w:rsidR="003638DE" w:rsidRPr="006E709F" w:rsidRDefault="003638DE" w:rsidP="00A801D0">
      <w:pPr>
        <w:pStyle w:val="paragraph"/>
      </w:pPr>
      <w:r w:rsidRPr="006E709F">
        <w:tab/>
        <w:t>(c)</w:t>
      </w:r>
      <w:r w:rsidRPr="006E709F">
        <w:tab/>
        <w:t xml:space="preserve">details of any fee or cost to be charged by the provider of the </w:t>
      </w:r>
      <w:r w:rsidR="00005355" w:rsidRPr="00BE1284">
        <w:t>standard margin lending facility</w:t>
      </w:r>
      <w:r w:rsidRPr="006E709F">
        <w:t>, unless the fee is a minor fee;</w:t>
      </w:r>
    </w:p>
    <w:p w:rsidR="003638DE" w:rsidRPr="006E709F" w:rsidRDefault="003638DE" w:rsidP="00A801D0">
      <w:pPr>
        <w:pStyle w:val="paragraph"/>
      </w:pPr>
      <w:r w:rsidRPr="006E709F">
        <w:tab/>
        <w:t>(d)</w:t>
      </w:r>
      <w:r w:rsidRPr="006E709F">
        <w:tab/>
        <w:t>a statement about whether a fee or cost to be charged by the provider for the loan can be unilaterally changed by the provider under the loan agreement;</w:t>
      </w:r>
    </w:p>
    <w:p w:rsidR="003638DE" w:rsidRPr="006E709F" w:rsidRDefault="003638DE" w:rsidP="00A801D0">
      <w:pPr>
        <w:pStyle w:val="paragraph"/>
      </w:pPr>
      <w:r w:rsidRPr="006E709F">
        <w:tab/>
        <w:t>(e)</w:t>
      </w:r>
      <w:r w:rsidRPr="006E709F">
        <w:tab/>
        <w:t xml:space="preserve">a list of matters for which the provider of the </w:t>
      </w:r>
      <w:r w:rsidR="00005355" w:rsidRPr="00BE1284">
        <w:t>standard margin lending facility</w:t>
      </w:r>
      <w:r w:rsidRPr="006E709F">
        <w:t xml:space="preserve"> will charge a minor fee for the </w:t>
      </w:r>
      <w:r w:rsidR="00E60769" w:rsidRPr="00BE1284">
        <w:t>standard margin lending facility</w:t>
      </w:r>
      <w:r w:rsidRPr="006E709F">
        <w:t>;</w:t>
      </w:r>
    </w:p>
    <w:p w:rsidR="003638DE" w:rsidRPr="006E709F" w:rsidRDefault="003638DE" w:rsidP="00A801D0">
      <w:pPr>
        <w:pStyle w:val="paragraph"/>
      </w:pPr>
      <w:r w:rsidRPr="006E709F">
        <w:tab/>
        <w:t>(f)</w:t>
      </w:r>
      <w:r w:rsidRPr="006E709F">
        <w:tab/>
        <w:t xml:space="preserve">a statement about whether a commission or fee is payable to a financial advisor or other third party for the </w:t>
      </w:r>
      <w:r w:rsidR="00005355" w:rsidRPr="00BE1284">
        <w:t>standard margin lending facility</w:t>
      </w:r>
      <w:r w:rsidRPr="006E709F">
        <w:t xml:space="preserve"> and, if a commission or fee is payable:</w:t>
      </w:r>
    </w:p>
    <w:p w:rsidR="003638DE" w:rsidRPr="006E709F" w:rsidRDefault="003638DE" w:rsidP="00A801D0">
      <w:pPr>
        <w:pStyle w:val="paragraphsub"/>
      </w:pPr>
      <w:r w:rsidRPr="006E709F">
        <w:tab/>
        <w:t>(i)</w:t>
      </w:r>
      <w:r w:rsidRPr="006E709F">
        <w:tab/>
        <w:t>the circumstances in which the commission or fee will be payable; and</w:t>
      </w:r>
    </w:p>
    <w:p w:rsidR="003638DE" w:rsidRPr="006E709F" w:rsidRDefault="003638DE" w:rsidP="00A801D0">
      <w:pPr>
        <w:pStyle w:val="paragraphsub"/>
      </w:pPr>
      <w:r w:rsidRPr="006E709F">
        <w:tab/>
        <w:t>(ii)</w:t>
      </w:r>
      <w:r w:rsidRPr="006E709F">
        <w:tab/>
        <w:t xml:space="preserve">how the borrower for the </w:t>
      </w:r>
      <w:r w:rsidR="00005355" w:rsidRPr="00BE1284">
        <w:t>standard margin lending facility</w:t>
      </w:r>
      <w:r w:rsidRPr="006E709F">
        <w:t xml:space="preserve"> can obtain more detailed information about the commission or fee.</w:t>
      </w:r>
    </w:p>
    <w:p w:rsidR="003638DE" w:rsidRPr="006E709F" w:rsidRDefault="003638DE" w:rsidP="00A801D0">
      <w:pPr>
        <w:pStyle w:val="subsection"/>
      </w:pPr>
      <w:r w:rsidRPr="006E709F">
        <w:tab/>
        <w:t>(2)</w:t>
      </w:r>
      <w:r w:rsidRPr="006E709F">
        <w:tab/>
        <w:t>Section</w:t>
      </w:r>
      <w:r w:rsidR="00DA13DE" w:rsidRPr="006E709F">
        <w:t> </w:t>
      </w:r>
      <w:r w:rsidRPr="006E709F">
        <w:t>6 of the Statement must include:</w:t>
      </w:r>
    </w:p>
    <w:p w:rsidR="003638DE" w:rsidRPr="006E709F" w:rsidRDefault="003638DE" w:rsidP="00A801D0">
      <w:pPr>
        <w:pStyle w:val="paragraph"/>
      </w:pPr>
      <w:r w:rsidRPr="006E709F">
        <w:tab/>
        <w:t>(a)</w:t>
      </w:r>
      <w:r w:rsidRPr="006E709F">
        <w:tab/>
        <w:t xml:space="preserve">a statement of the interest rate for the </w:t>
      </w:r>
      <w:r w:rsidR="00005355" w:rsidRPr="00BE1284">
        <w:t>standard margin lending facility</w:t>
      </w:r>
      <w:r w:rsidRPr="006E709F">
        <w:t>; and</w:t>
      </w:r>
    </w:p>
    <w:p w:rsidR="003638DE" w:rsidRPr="006E709F" w:rsidRDefault="003638DE" w:rsidP="00A801D0">
      <w:pPr>
        <w:pStyle w:val="paragraph"/>
      </w:pPr>
      <w:r w:rsidRPr="006E709F">
        <w:tab/>
        <w:t>(b)</w:t>
      </w:r>
      <w:r w:rsidRPr="006E709F">
        <w:tab/>
        <w:t xml:space="preserve">details of any minor fee the provider of the </w:t>
      </w:r>
      <w:r w:rsidR="00005355" w:rsidRPr="00BE1284">
        <w:t>standard margin lending facility</w:t>
      </w:r>
      <w:r w:rsidRPr="006E709F">
        <w:t xml:space="preserve"> will charge for the </w:t>
      </w:r>
      <w:r w:rsidR="00E60769" w:rsidRPr="00BE1284">
        <w:t>standard margin lending facility</w:t>
      </w:r>
      <w:r w:rsidRPr="006E709F">
        <w:t>.</w:t>
      </w:r>
    </w:p>
    <w:p w:rsidR="003638DE" w:rsidRPr="006E709F" w:rsidRDefault="003638DE" w:rsidP="00A801D0">
      <w:pPr>
        <w:pStyle w:val="subsection"/>
      </w:pPr>
      <w:r w:rsidRPr="006E709F">
        <w:tab/>
        <w:t>(3)</w:t>
      </w:r>
      <w:r w:rsidRPr="006E709F">
        <w:tab/>
        <w:t>Section</w:t>
      </w:r>
      <w:r w:rsidR="00DA13DE" w:rsidRPr="006E709F">
        <w:t> </w:t>
      </w:r>
      <w:r w:rsidRPr="006E709F">
        <w:t xml:space="preserve">6 of the Statement may provide for the statement mentioned in </w:t>
      </w:r>
      <w:r w:rsidR="00DA13DE" w:rsidRPr="006E709F">
        <w:t>paragraph (</w:t>
      </w:r>
      <w:r w:rsidRPr="006E709F">
        <w:t>2</w:t>
      </w:r>
      <w:r w:rsidR="00A801D0" w:rsidRPr="006E709F">
        <w:t>)(</w:t>
      </w:r>
      <w:r w:rsidRPr="006E709F">
        <w:t xml:space="preserve">a) or the details mentioned in </w:t>
      </w:r>
      <w:r w:rsidR="00DA13DE" w:rsidRPr="006E709F">
        <w:t>paragraph (</w:t>
      </w:r>
      <w:r w:rsidRPr="006E709F">
        <w:t>2</w:t>
      </w:r>
      <w:r w:rsidR="00A801D0" w:rsidRPr="006E709F">
        <w:t>)(</w:t>
      </w:r>
      <w:r w:rsidRPr="006E709F">
        <w:t>b) by applying, adopting or incorporating a matter in writing</w:t>
      </w:r>
    </w:p>
    <w:p w:rsidR="003638DE" w:rsidRPr="006E709F" w:rsidRDefault="00415D63" w:rsidP="00C93238">
      <w:pPr>
        <w:pStyle w:val="ActHead5"/>
      </w:pPr>
      <w:bookmarkStart w:id="145" w:name="_Toc170547962"/>
      <w:r w:rsidRPr="000C4237">
        <w:rPr>
          <w:rStyle w:val="CharSectno"/>
        </w:rPr>
        <w:lastRenderedPageBreak/>
        <w:t>9</w:t>
      </w:r>
      <w:r w:rsidRPr="006E709F">
        <w:t xml:space="preserve">  </w:t>
      </w:r>
      <w:r w:rsidR="003638DE" w:rsidRPr="006E709F">
        <w:t>Contents of section</w:t>
      </w:r>
      <w:r w:rsidR="00DA13DE" w:rsidRPr="006E709F">
        <w:t> </w:t>
      </w:r>
      <w:r w:rsidR="003638DE" w:rsidRPr="006E709F">
        <w:t>7 (How to apply)</w:t>
      </w:r>
      <w:bookmarkEnd w:id="145"/>
    </w:p>
    <w:p w:rsidR="003638DE" w:rsidRPr="006E709F" w:rsidRDefault="003638DE" w:rsidP="00A801D0">
      <w:pPr>
        <w:pStyle w:val="subsection"/>
      </w:pPr>
      <w:r w:rsidRPr="006E709F">
        <w:tab/>
        <w:t>(1)</w:t>
      </w:r>
      <w:r w:rsidRPr="006E709F">
        <w:tab/>
        <w:t>Section</w:t>
      </w:r>
      <w:r w:rsidR="00DA13DE" w:rsidRPr="006E709F">
        <w:t> </w:t>
      </w:r>
      <w:r w:rsidRPr="006E709F">
        <w:t xml:space="preserve">7 of the Product Disclosure Statement for a </w:t>
      </w:r>
      <w:r w:rsidR="00835E66" w:rsidRPr="00BE1284">
        <w:t>standard margin lending facility</w:t>
      </w:r>
      <w:r w:rsidRPr="006E709F">
        <w:t xml:space="preserve"> must include:</w:t>
      </w:r>
    </w:p>
    <w:p w:rsidR="003638DE" w:rsidRPr="006E709F" w:rsidRDefault="003638DE" w:rsidP="00A801D0">
      <w:pPr>
        <w:pStyle w:val="paragraph"/>
      </w:pPr>
      <w:r w:rsidRPr="006E709F">
        <w:tab/>
        <w:t>(a)</w:t>
      </w:r>
      <w:r w:rsidRPr="006E709F">
        <w:tab/>
        <w:t xml:space="preserve">information about how to apply for the </w:t>
      </w:r>
      <w:r w:rsidR="00835E66" w:rsidRPr="00BE1284">
        <w:t>standard margin lending facility</w:t>
      </w:r>
      <w:r w:rsidRPr="006E709F">
        <w:t>; and</w:t>
      </w:r>
    </w:p>
    <w:p w:rsidR="003638DE" w:rsidRPr="006E709F" w:rsidRDefault="003638DE" w:rsidP="00A801D0">
      <w:pPr>
        <w:pStyle w:val="paragraph"/>
      </w:pPr>
      <w:r w:rsidRPr="006E709F">
        <w:tab/>
        <w:t>(b)</w:t>
      </w:r>
      <w:r w:rsidRPr="006E709F">
        <w:tab/>
        <w:t xml:space="preserve">a short summary about the dispute resolution system the provider of the </w:t>
      </w:r>
      <w:r w:rsidR="00005355" w:rsidRPr="00BE1284">
        <w:t>standard margin lending facility</w:t>
      </w:r>
      <w:r w:rsidRPr="006E709F">
        <w:t xml:space="preserve"> has for dealing with disputes or complaints about the loan, including:</w:t>
      </w:r>
    </w:p>
    <w:p w:rsidR="003638DE" w:rsidRPr="006E709F" w:rsidRDefault="003638DE" w:rsidP="00A801D0">
      <w:pPr>
        <w:pStyle w:val="paragraphsub"/>
      </w:pPr>
      <w:r w:rsidRPr="006E709F">
        <w:tab/>
        <w:t>(i)</w:t>
      </w:r>
      <w:r w:rsidRPr="006E709F">
        <w:tab/>
        <w:t>how a borrower for the loan may make a complaint about the loan; and</w:t>
      </w:r>
    </w:p>
    <w:p w:rsidR="003638DE" w:rsidRPr="006E709F" w:rsidRDefault="003638DE" w:rsidP="00A801D0">
      <w:pPr>
        <w:pStyle w:val="paragraphsub"/>
      </w:pPr>
      <w:r w:rsidRPr="006E709F">
        <w:tab/>
        <w:t>(ii)</w:t>
      </w:r>
      <w:r w:rsidRPr="006E709F">
        <w:tab/>
        <w:t>contact details for making a complaint about the loan.</w:t>
      </w:r>
    </w:p>
    <w:p w:rsidR="003638DE" w:rsidRPr="006E709F" w:rsidRDefault="003638DE" w:rsidP="00A801D0">
      <w:pPr>
        <w:pStyle w:val="subsection"/>
      </w:pPr>
      <w:r w:rsidRPr="006E709F">
        <w:tab/>
        <w:t>(2)</w:t>
      </w:r>
      <w:r w:rsidRPr="006E709F">
        <w:tab/>
        <w:t xml:space="preserve">The </w:t>
      </w:r>
      <w:r w:rsidR="00005355" w:rsidRPr="00BE1284">
        <w:t>standard margin lending facility</w:t>
      </w:r>
      <w:r w:rsidRPr="006E709F">
        <w:t xml:space="preserve"> provider:</w:t>
      </w:r>
    </w:p>
    <w:p w:rsidR="003638DE" w:rsidRPr="006E709F" w:rsidRDefault="003638DE" w:rsidP="00A801D0">
      <w:pPr>
        <w:pStyle w:val="paragraph"/>
      </w:pPr>
      <w:r w:rsidRPr="006E709F">
        <w:tab/>
        <w:t>(a)</w:t>
      </w:r>
      <w:r w:rsidRPr="006E709F">
        <w:tab/>
        <w:t>may provide more detailed information about cooling</w:t>
      </w:r>
      <w:r w:rsidR="000C4237">
        <w:noBreakHyphen/>
      </w:r>
      <w:r w:rsidRPr="006E709F">
        <w:t>off periods, complaints and dispute resolution; and</w:t>
      </w:r>
    </w:p>
    <w:p w:rsidR="003638DE" w:rsidRPr="006E709F" w:rsidRDefault="003638DE" w:rsidP="00A801D0">
      <w:pPr>
        <w:pStyle w:val="paragraph"/>
      </w:pPr>
      <w:r w:rsidRPr="006E709F">
        <w:tab/>
        <w:t>(b)</w:t>
      </w:r>
      <w:r w:rsidRPr="006E709F">
        <w:tab/>
        <w:t>may provide that information by applying, adopting or incorporating a matter in writing.</w:t>
      </w:r>
    </w:p>
    <w:p w:rsidR="003638DE" w:rsidRPr="006E709F" w:rsidRDefault="00A801D0" w:rsidP="00C93238">
      <w:pPr>
        <w:pStyle w:val="ActHead1"/>
        <w:pageBreakBefore/>
        <w:spacing w:before="240"/>
      </w:pPr>
      <w:bookmarkStart w:id="146" w:name="_Toc170547963"/>
      <w:r w:rsidRPr="000C4237">
        <w:rPr>
          <w:rStyle w:val="CharChapNo"/>
        </w:rPr>
        <w:lastRenderedPageBreak/>
        <w:t>Schedule</w:t>
      </w:r>
      <w:r w:rsidR="00DA13DE" w:rsidRPr="000C4237">
        <w:rPr>
          <w:rStyle w:val="CharChapNo"/>
        </w:rPr>
        <w:t> </w:t>
      </w:r>
      <w:r w:rsidR="003638DE" w:rsidRPr="000C4237">
        <w:rPr>
          <w:rStyle w:val="CharChapNo"/>
        </w:rPr>
        <w:t>10D</w:t>
      </w:r>
      <w:r w:rsidRPr="006E709F">
        <w:t>—</w:t>
      </w:r>
      <w:r w:rsidR="003638DE" w:rsidRPr="000C4237">
        <w:rPr>
          <w:rStyle w:val="CharChapText"/>
        </w:rPr>
        <w:t>Form and content of Product Disclosure Statement</w:t>
      </w:r>
      <w:r w:rsidRPr="000C4237">
        <w:rPr>
          <w:rStyle w:val="CharChapText"/>
        </w:rPr>
        <w:t>—</w:t>
      </w:r>
      <w:r w:rsidR="003638DE" w:rsidRPr="000C4237">
        <w:rPr>
          <w:rStyle w:val="CharChapText"/>
        </w:rPr>
        <w:t xml:space="preserve">superannuation product to which </w:t>
      </w:r>
      <w:r w:rsidRPr="000C4237">
        <w:rPr>
          <w:rStyle w:val="CharChapText"/>
        </w:rPr>
        <w:t>Subdivision</w:t>
      </w:r>
      <w:r w:rsidR="00DA13DE" w:rsidRPr="000C4237">
        <w:rPr>
          <w:rStyle w:val="CharChapText"/>
        </w:rPr>
        <w:t> </w:t>
      </w:r>
      <w:r w:rsidR="003638DE" w:rsidRPr="000C4237">
        <w:rPr>
          <w:rStyle w:val="CharChapText"/>
        </w:rPr>
        <w:t xml:space="preserve">4.2B of </w:t>
      </w:r>
      <w:r w:rsidRPr="000C4237">
        <w:rPr>
          <w:rStyle w:val="CharChapText"/>
        </w:rPr>
        <w:t>Division</w:t>
      </w:r>
      <w:r w:rsidR="00DA13DE" w:rsidRPr="000C4237">
        <w:rPr>
          <w:rStyle w:val="CharChapText"/>
        </w:rPr>
        <w:t> </w:t>
      </w:r>
      <w:r w:rsidR="003638DE" w:rsidRPr="000C4237">
        <w:rPr>
          <w:rStyle w:val="CharChapText"/>
        </w:rPr>
        <w:t xml:space="preserve">4 of </w:t>
      </w:r>
      <w:r w:rsidRPr="000C4237">
        <w:rPr>
          <w:rStyle w:val="CharChapText"/>
        </w:rPr>
        <w:t>Part</w:t>
      </w:r>
      <w:r w:rsidR="00DA13DE" w:rsidRPr="000C4237">
        <w:rPr>
          <w:rStyle w:val="CharChapText"/>
        </w:rPr>
        <w:t> </w:t>
      </w:r>
      <w:r w:rsidR="003638DE" w:rsidRPr="000C4237">
        <w:rPr>
          <w:rStyle w:val="CharChapText"/>
        </w:rPr>
        <w:t>7.9 applies</w:t>
      </w:r>
      <w:bookmarkEnd w:id="146"/>
    </w:p>
    <w:p w:rsidR="003638DE" w:rsidRPr="006E709F" w:rsidRDefault="003638DE" w:rsidP="00A801D0">
      <w:pPr>
        <w:pStyle w:val="notemargin"/>
      </w:pPr>
      <w:r w:rsidRPr="006E709F">
        <w:t>(</w:t>
      </w:r>
      <w:r w:rsidR="005378CE" w:rsidRPr="006E709F">
        <w:t>regulation 7</w:t>
      </w:r>
      <w:r w:rsidRPr="006E709F">
        <w:t>.9.11O)</w:t>
      </w:r>
    </w:p>
    <w:p w:rsidR="003638DE" w:rsidRPr="006E709F" w:rsidRDefault="00A801D0" w:rsidP="003638DE">
      <w:pPr>
        <w:pStyle w:val="Header"/>
      </w:pPr>
      <w:r w:rsidRPr="000C4237">
        <w:rPr>
          <w:rStyle w:val="CharPartNo"/>
        </w:rPr>
        <w:t xml:space="preserve"> </w:t>
      </w:r>
      <w:r w:rsidRPr="000C4237">
        <w:rPr>
          <w:rStyle w:val="CharPartText"/>
        </w:rPr>
        <w:t xml:space="preserve"> </w:t>
      </w:r>
    </w:p>
    <w:p w:rsidR="003638DE" w:rsidRPr="006E709F" w:rsidRDefault="00102067" w:rsidP="00A801D0">
      <w:pPr>
        <w:pStyle w:val="ActHead5"/>
      </w:pPr>
      <w:bookmarkStart w:id="147" w:name="_Toc170547964"/>
      <w:r w:rsidRPr="000C4237">
        <w:rPr>
          <w:rStyle w:val="CharSectno"/>
        </w:rPr>
        <w:t>1</w:t>
      </w:r>
      <w:r w:rsidRPr="006E709F">
        <w:t xml:space="preserve">  </w:t>
      </w:r>
      <w:r w:rsidR="003638DE" w:rsidRPr="006E709F">
        <w:t>Length and font size for Product Disclosure Statement for superannuation product</w:t>
      </w:r>
      <w:bookmarkEnd w:id="147"/>
    </w:p>
    <w:p w:rsidR="003638DE" w:rsidRPr="006E709F" w:rsidRDefault="003638DE" w:rsidP="00A801D0">
      <w:pPr>
        <w:pStyle w:val="subsection"/>
      </w:pPr>
      <w:r w:rsidRPr="006E709F">
        <w:tab/>
        <w:t>(1)</w:t>
      </w:r>
      <w:r w:rsidRPr="006E709F">
        <w:tab/>
        <w:t xml:space="preserve">The length of a Product Disclosure Statement for a superannuation product to which </w:t>
      </w:r>
      <w:r w:rsidR="00A801D0" w:rsidRPr="006E709F">
        <w:t>Subdivision</w:t>
      </w:r>
      <w:r w:rsidR="00DA13DE" w:rsidRPr="006E709F">
        <w:t> </w:t>
      </w:r>
      <w:r w:rsidRPr="006E709F">
        <w:t xml:space="preserve">4.2B of </w:t>
      </w:r>
      <w:r w:rsidR="00A801D0" w:rsidRPr="006E709F">
        <w:t>Division</w:t>
      </w:r>
      <w:r w:rsidR="00DA13DE" w:rsidRPr="006E709F">
        <w:t> </w:t>
      </w:r>
      <w:r w:rsidRPr="006E709F">
        <w:t xml:space="preserve">4 of </w:t>
      </w:r>
      <w:r w:rsidR="00A801D0" w:rsidRPr="006E709F">
        <w:t>Part</w:t>
      </w:r>
      <w:r w:rsidR="00DA13DE" w:rsidRPr="006E709F">
        <w:t> </w:t>
      </w:r>
      <w:r w:rsidRPr="006E709F">
        <w:t>7.9 applies (not including any matter in writing that is applied, adopted or incorporated by the Statement) must not exceed:</w:t>
      </w:r>
    </w:p>
    <w:p w:rsidR="003638DE" w:rsidRPr="006E709F" w:rsidRDefault="003638DE" w:rsidP="00A801D0">
      <w:pPr>
        <w:pStyle w:val="paragraph"/>
      </w:pPr>
      <w:r w:rsidRPr="006E709F">
        <w:tab/>
        <w:t>(a)</w:t>
      </w:r>
      <w:r w:rsidRPr="006E709F">
        <w:tab/>
        <w:t>if it is printed on A4 pages</w:t>
      </w:r>
      <w:r w:rsidR="00A801D0" w:rsidRPr="006E709F">
        <w:t>—</w:t>
      </w:r>
      <w:r w:rsidRPr="006E709F">
        <w:t>8 pages; or</w:t>
      </w:r>
    </w:p>
    <w:p w:rsidR="003638DE" w:rsidRPr="006E709F" w:rsidRDefault="003638DE" w:rsidP="00A801D0">
      <w:pPr>
        <w:pStyle w:val="paragraph"/>
      </w:pPr>
      <w:r w:rsidRPr="006E709F">
        <w:tab/>
        <w:t>(b)</w:t>
      </w:r>
      <w:r w:rsidRPr="006E709F">
        <w:tab/>
        <w:t>if it is printed on A5 pages</w:t>
      </w:r>
      <w:r w:rsidR="00A801D0" w:rsidRPr="006E709F">
        <w:t>—</w:t>
      </w:r>
      <w:r w:rsidRPr="006E709F">
        <w:t>16 pages; or</w:t>
      </w:r>
    </w:p>
    <w:p w:rsidR="003638DE" w:rsidRPr="006E709F" w:rsidRDefault="003638DE" w:rsidP="00A801D0">
      <w:pPr>
        <w:pStyle w:val="paragraph"/>
      </w:pPr>
      <w:r w:rsidRPr="006E709F">
        <w:tab/>
        <w:t>(c)</w:t>
      </w:r>
      <w:r w:rsidRPr="006E709F">
        <w:tab/>
        <w:t>if it is printed on DL pages</w:t>
      </w:r>
      <w:r w:rsidR="00A801D0" w:rsidRPr="006E709F">
        <w:t>—</w:t>
      </w:r>
      <w:r w:rsidRPr="006E709F">
        <w:t>24 pages; or</w:t>
      </w:r>
    </w:p>
    <w:p w:rsidR="003638DE" w:rsidRPr="006E709F" w:rsidRDefault="003638DE" w:rsidP="00A801D0">
      <w:pPr>
        <w:pStyle w:val="paragraph"/>
      </w:pPr>
      <w:r w:rsidRPr="006E709F">
        <w:tab/>
        <w:t>(d)</w:t>
      </w:r>
      <w:r w:rsidRPr="006E709F">
        <w:tab/>
        <w:t>otherwise</w:t>
      </w:r>
      <w:r w:rsidR="00A801D0" w:rsidRPr="006E709F">
        <w:t>—</w:t>
      </w:r>
      <w:r w:rsidRPr="006E709F">
        <w:t>if it is formatted to be printed on A4 pages, 8</w:t>
      </w:r>
      <w:r w:rsidR="00E376FA" w:rsidRPr="006E709F">
        <w:t xml:space="preserve"> </w:t>
      </w:r>
      <w:r w:rsidRPr="006E709F">
        <w:t>A4 pages.</w:t>
      </w:r>
    </w:p>
    <w:p w:rsidR="003638DE" w:rsidRPr="006E709F" w:rsidRDefault="003638DE" w:rsidP="00A801D0">
      <w:pPr>
        <w:pStyle w:val="subsection"/>
      </w:pPr>
      <w:r w:rsidRPr="006E709F">
        <w:tab/>
        <w:t>(2)</w:t>
      </w:r>
      <w:r w:rsidRPr="006E709F">
        <w:tab/>
        <w:t>The minimum font size for text in the Statement is:</w:t>
      </w:r>
    </w:p>
    <w:p w:rsidR="003638DE" w:rsidRPr="006E709F" w:rsidRDefault="003638DE" w:rsidP="00A801D0">
      <w:pPr>
        <w:pStyle w:val="paragraph"/>
      </w:pPr>
      <w:r w:rsidRPr="006E709F">
        <w:tab/>
        <w:t>(a)</w:t>
      </w:r>
      <w:r w:rsidRPr="006E709F">
        <w:tab/>
        <w:t>for the name, address, ABN (if applicable), ACN (if applicable) and AFSL (if applicable) of the person giving the Statement</w:t>
      </w:r>
      <w:r w:rsidR="00A801D0" w:rsidRPr="006E709F">
        <w:t>—</w:t>
      </w:r>
      <w:r w:rsidRPr="006E709F">
        <w:t>8 points; and</w:t>
      </w:r>
    </w:p>
    <w:p w:rsidR="003638DE" w:rsidRPr="006E709F" w:rsidRDefault="003638DE" w:rsidP="00A801D0">
      <w:pPr>
        <w:pStyle w:val="paragraph"/>
      </w:pPr>
      <w:r w:rsidRPr="006E709F">
        <w:tab/>
        <w:t>(b)</w:t>
      </w:r>
      <w:r w:rsidRPr="006E709F">
        <w:tab/>
        <w:t>for all other text</w:t>
      </w:r>
      <w:r w:rsidR="00A801D0" w:rsidRPr="006E709F">
        <w:t>—</w:t>
      </w:r>
      <w:r w:rsidRPr="006E709F">
        <w:t>9 points.</w:t>
      </w:r>
    </w:p>
    <w:p w:rsidR="003638DE" w:rsidRPr="006E709F" w:rsidRDefault="00A801D0" w:rsidP="00A801D0">
      <w:pPr>
        <w:pStyle w:val="notetext"/>
      </w:pPr>
      <w:r w:rsidRPr="006E709F">
        <w:t>Note 1:</w:t>
      </w:r>
      <w:r w:rsidRPr="006E709F">
        <w:tab/>
      </w:r>
      <w:r w:rsidR="003638DE" w:rsidRPr="006E709F">
        <w:t>The Product Disclosure Statement must be worded and presented in a clear, concise and effective manner</w:t>
      </w:r>
      <w:r w:rsidRPr="006E709F">
        <w:t>—</w:t>
      </w:r>
      <w:r w:rsidR="003638DE" w:rsidRPr="006E709F">
        <w:t>see subsection</w:t>
      </w:r>
      <w:r w:rsidR="00DA13DE" w:rsidRPr="006E709F">
        <w:t> </w:t>
      </w:r>
      <w:r w:rsidR="00C36BD7" w:rsidRPr="006E709F">
        <w:t>1013C</w:t>
      </w:r>
      <w:r w:rsidR="003638DE" w:rsidRPr="006E709F">
        <w:t>(3) of the Act.</w:t>
      </w:r>
    </w:p>
    <w:p w:rsidR="003638DE" w:rsidRPr="006E709F" w:rsidRDefault="00A801D0" w:rsidP="00A801D0">
      <w:pPr>
        <w:pStyle w:val="notetext"/>
      </w:pPr>
      <w:r w:rsidRPr="006E709F">
        <w:t>Note 2:</w:t>
      </w:r>
      <w:r w:rsidRPr="006E709F">
        <w:tab/>
      </w:r>
      <w:r w:rsidR="003638DE" w:rsidRPr="006E709F">
        <w:t>A person required to a give a Product Disclosure Statement to a vision</w:t>
      </w:r>
      <w:r w:rsidR="000C4237">
        <w:noBreakHyphen/>
      </w:r>
      <w:r w:rsidR="003638DE" w:rsidRPr="006E709F">
        <w:t xml:space="preserve">impaired person must comply with its obligations under the </w:t>
      </w:r>
      <w:r w:rsidR="003638DE" w:rsidRPr="006E709F">
        <w:rPr>
          <w:i/>
        </w:rPr>
        <w:t>Disability Discrimination Act 1992</w:t>
      </w:r>
      <w:r w:rsidR="003638DE" w:rsidRPr="006E709F">
        <w:t>.</w:t>
      </w:r>
    </w:p>
    <w:p w:rsidR="003638DE" w:rsidRPr="006E709F" w:rsidRDefault="00102067" w:rsidP="00A801D0">
      <w:pPr>
        <w:pStyle w:val="ActHead5"/>
      </w:pPr>
      <w:bookmarkStart w:id="148" w:name="_Toc170547965"/>
      <w:r w:rsidRPr="000C4237">
        <w:rPr>
          <w:rStyle w:val="CharSectno"/>
        </w:rPr>
        <w:t>2</w:t>
      </w:r>
      <w:r w:rsidRPr="006E709F">
        <w:t xml:space="preserve">  </w:t>
      </w:r>
      <w:r w:rsidR="003638DE" w:rsidRPr="006E709F">
        <w:t>Minimum content of Product Disclosure Statement for superannuation product</w:t>
      </w:r>
      <w:bookmarkEnd w:id="148"/>
    </w:p>
    <w:p w:rsidR="003638DE" w:rsidRPr="006E709F" w:rsidRDefault="003638DE" w:rsidP="00A801D0">
      <w:pPr>
        <w:pStyle w:val="subsection"/>
      </w:pPr>
      <w:r w:rsidRPr="006E709F">
        <w:tab/>
        <w:t>(1)</w:t>
      </w:r>
      <w:r w:rsidRPr="006E709F">
        <w:tab/>
        <w:t>Subject to subclause</w:t>
      </w:r>
      <w:r w:rsidR="00DA13DE" w:rsidRPr="006E709F">
        <w:t> </w:t>
      </w:r>
      <w:r w:rsidRPr="006E709F">
        <w:t>10(1), the Product Disclosure Statement must include sections which must be numbered and titled as follows:</w:t>
      </w:r>
    </w:p>
    <w:p w:rsidR="003638DE" w:rsidRPr="006E709F" w:rsidRDefault="0048795D" w:rsidP="0048795D">
      <w:pPr>
        <w:pStyle w:val="paragraph"/>
      </w:pPr>
      <w:r w:rsidRPr="006E709F">
        <w:tab/>
      </w:r>
      <w:r w:rsidR="003638DE" w:rsidRPr="006E709F">
        <w:t>1.</w:t>
      </w:r>
      <w:r w:rsidR="003638DE" w:rsidRPr="006E709F">
        <w:tab/>
        <w:t>About [name of superannuation product]</w:t>
      </w:r>
    </w:p>
    <w:p w:rsidR="003638DE" w:rsidRPr="006E709F" w:rsidRDefault="0048795D" w:rsidP="0048795D">
      <w:pPr>
        <w:pStyle w:val="paragraph"/>
      </w:pPr>
      <w:r w:rsidRPr="006E709F">
        <w:tab/>
      </w:r>
      <w:r w:rsidR="003638DE" w:rsidRPr="006E709F">
        <w:t>2.</w:t>
      </w:r>
      <w:r w:rsidR="003638DE" w:rsidRPr="006E709F">
        <w:tab/>
        <w:t>How super works</w:t>
      </w:r>
    </w:p>
    <w:p w:rsidR="003638DE" w:rsidRPr="006E709F" w:rsidRDefault="0048795D" w:rsidP="0048795D">
      <w:pPr>
        <w:pStyle w:val="paragraph"/>
      </w:pPr>
      <w:r w:rsidRPr="006E709F">
        <w:tab/>
      </w:r>
      <w:r w:rsidR="003638DE" w:rsidRPr="006E709F">
        <w:t>3.</w:t>
      </w:r>
      <w:r w:rsidR="003638DE" w:rsidRPr="006E709F">
        <w:tab/>
        <w:t>Benefits of investing with [name of superannuation product]</w:t>
      </w:r>
    </w:p>
    <w:p w:rsidR="003638DE" w:rsidRPr="006E709F" w:rsidRDefault="0048795D" w:rsidP="0048795D">
      <w:pPr>
        <w:pStyle w:val="paragraph"/>
      </w:pPr>
      <w:r w:rsidRPr="006E709F">
        <w:tab/>
      </w:r>
      <w:r w:rsidR="003638DE" w:rsidRPr="006E709F">
        <w:t>4.</w:t>
      </w:r>
      <w:r w:rsidR="003638DE" w:rsidRPr="006E709F">
        <w:tab/>
        <w:t>Risks of super</w:t>
      </w:r>
    </w:p>
    <w:p w:rsidR="003638DE" w:rsidRPr="006E709F" w:rsidRDefault="0048795D" w:rsidP="0048795D">
      <w:pPr>
        <w:pStyle w:val="paragraph"/>
      </w:pPr>
      <w:r w:rsidRPr="006E709F">
        <w:tab/>
      </w:r>
      <w:r w:rsidR="003638DE" w:rsidRPr="006E709F">
        <w:t>5.</w:t>
      </w:r>
      <w:r w:rsidR="003638DE" w:rsidRPr="006E709F">
        <w:tab/>
        <w:t>How we invest your money</w:t>
      </w:r>
    </w:p>
    <w:p w:rsidR="003638DE" w:rsidRPr="006E709F" w:rsidRDefault="0048795D" w:rsidP="0048795D">
      <w:pPr>
        <w:pStyle w:val="paragraph"/>
      </w:pPr>
      <w:r w:rsidRPr="006E709F">
        <w:tab/>
      </w:r>
      <w:r w:rsidR="003638DE" w:rsidRPr="006E709F">
        <w:t>6.</w:t>
      </w:r>
      <w:r w:rsidR="003638DE" w:rsidRPr="006E709F">
        <w:tab/>
        <w:t>Fees and costs</w:t>
      </w:r>
    </w:p>
    <w:p w:rsidR="003638DE" w:rsidRPr="006E709F" w:rsidRDefault="0048795D" w:rsidP="0048795D">
      <w:pPr>
        <w:pStyle w:val="paragraph"/>
      </w:pPr>
      <w:r w:rsidRPr="006E709F">
        <w:tab/>
      </w:r>
      <w:r w:rsidR="003638DE" w:rsidRPr="006E709F">
        <w:t>7.</w:t>
      </w:r>
      <w:r w:rsidR="003638DE" w:rsidRPr="006E709F">
        <w:tab/>
        <w:t>How super is taxed</w:t>
      </w:r>
    </w:p>
    <w:p w:rsidR="003638DE" w:rsidRPr="006E709F" w:rsidRDefault="0048795D" w:rsidP="0048795D">
      <w:pPr>
        <w:pStyle w:val="paragraph"/>
      </w:pPr>
      <w:r w:rsidRPr="006E709F">
        <w:tab/>
      </w:r>
      <w:r w:rsidR="003638DE" w:rsidRPr="006E709F">
        <w:t>8.</w:t>
      </w:r>
      <w:r w:rsidR="003638DE" w:rsidRPr="006E709F">
        <w:tab/>
        <w:t>Insurance in your super</w:t>
      </w:r>
    </w:p>
    <w:p w:rsidR="003638DE" w:rsidRPr="006E709F" w:rsidRDefault="0048795D" w:rsidP="0048795D">
      <w:pPr>
        <w:pStyle w:val="paragraph"/>
      </w:pPr>
      <w:r w:rsidRPr="006E709F">
        <w:tab/>
      </w:r>
      <w:r w:rsidR="003638DE" w:rsidRPr="006E709F">
        <w:t>9.</w:t>
      </w:r>
      <w:r w:rsidR="003638DE" w:rsidRPr="006E709F">
        <w:tab/>
        <w:t>How to open an account.</w:t>
      </w:r>
    </w:p>
    <w:p w:rsidR="003638DE" w:rsidRPr="006E709F" w:rsidRDefault="003638DE" w:rsidP="00A801D0">
      <w:pPr>
        <w:pStyle w:val="subsection"/>
      </w:pPr>
      <w:r w:rsidRPr="006E709F">
        <w:lastRenderedPageBreak/>
        <w:tab/>
        <w:t>(2)</w:t>
      </w:r>
      <w:r w:rsidRPr="006E709F">
        <w:tab/>
        <w:t>However, if the superannuation product does not offer insurance cover:</w:t>
      </w:r>
    </w:p>
    <w:p w:rsidR="003638DE" w:rsidRPr="006E709F" w:rsidRDefault="003638DE" w:rsidP="00A801D0">
      <w:pPr>
        <w:pStyle w:val="paragraph"/>
      </w:pPr>
      <w:r w:rsidRPr="006E709F">
        <w:tab/>
        <w:t>(a)</w:t>
      </w:r>
      <w:r w:rsidRPr="006E709F">
        <w:tab/>
        <w:t>section</w:t>
      </w:r>
      <w:r w:rsidR="00DA13DE" w:rsidRPr="006E709F">
        <w:t> </w:t>
      </w:r>
      <w:r w:rsidRPr="006E709F">
        <w:t>9 may be presented as section</w:t>
      </w:r>
      <w:r w:rsidR="00DA13DE" w:rsidRPr="006E709F">
        <w:t> </w:t>
      </w:r>
      <w:r w:rsidRPr="006E709F">
        <w:t>8; and</w:t>
      </w:r>
    </w:p>
    <w:p w:rsidR="003638DE" w:rsidRPr="006E709F" w:rsidRDefault="003638DE" w:rsidP="00A801D0">
      <w:pPr>
        <w:pStyle w:val="paragraph"/>
      </w:pPr>
      <w:r w:rsidRPr="006E709F">
        <w:tab/>
        <w:t>(b)</w:t>
      </w:r>
      <w:r w:rsidRPr="006E709F">
        <w:tab/>
        <w:t>if section</w:t>
      </w:r>
      <w:r w:rsidR="00DA13DE" w:rsidRPr="006E709F">
        <w:t> </w:t>
      </w:r>
      <w:r w:rsidRPr="006E709F">
        <w:t>9 is presented as section</w:t>
      </w:r>
      <w:r w:rsidR="00DA13DE" w:rsidRPr="006E709F">
        <w:t> </w:t>
      </w:r>
      <w:r w:rsidRPr="006E709F">
        <w:t>8</w:t>
      </w:r>
      <w:r w:rsidR="00A801D0" w:rsidRPr="006E709F">
        <w:t>—</w:t>
      </w:r>
      <w:r w:rsidRPr="006E709F">
        <w:t>a reference in clause</w:t>
      </w:r>
      <w:r w:rsidR="00DA13DE" w:rsidRPr="006E709F">
        <w:t> </w:t>
      </w:r>
      <w:r w:rsidRPr="006E709F">
        <w:t>11 to section</w:t>
      </w:r>
      <w:r w:rsidR="00DA13DE" w:rsidRPr="006E709F">
        <w:t> </w:t>
      </w:r>
      <w:r w:rsidRPr="006E709F">
        <w:t>9 is taken to be a reference to section</w:t>
      </w:r>
      <w:r w:rsidR="00DA13DE" w:rsidRPr="006E709F">
        <w:t> </w:t>
      </w:r>
      <w:r w:rsidRPr="006E709F">
        <w:t>8.</w:t>
      </w:r>
    </w:p>
    <w:p w:rsidR="003638DE" w:rsidRPr="006E709F" w:rsidRDefault="003638DE" w:rsidP="00A801D0">
      <w:pPr>
        <w:pStyle w:val="subsection"/>
      </w:pPr>
      <w:r w:rsidRPr="006E709F">
        <w:tab/>
        <w:t>(3)</w:t>
      </w:r>
      <w:r w:rsidRPr="006E709F">
        <w:tab/>
        <w:t>The Product Disclosure Statement must include:</w:t>
      </w:r>
    </w:p>
    <w:p w:rsidR="003638DE" w:rsidRPr="006E709F" w:rsidRDefault="003638DE" w:rsidP="00A801D0">
      <w:pPr>
        <w:pStyle w:val="paragraph"/>
      </w:pPr>
      <w:r w:rsidRPr="006E709F">
        <w:tab/>
        <w:t>(a)</w:t>
      </w:r>
      <w:r w:rsidRPr="006E709F">
        <w:tab/>
        <w:t xml:space="preserve">a table of contents that sets out the titles mentioned in </w:t>
      </w:r>
      <w:r w:rsidR="00DA13DE" w:rsidRPr="006E709F">
        <w:t>subclause (</w:t>
      </w:r>
      <w:r w:rsidRPr="006E709F">
        <w:t>1); and</w:t>
      </w:r>
    </w:p>
    <w:p w:rsidR="003638DE" w:rsidRPr="006E709F" w:rsidRDefault="003638DE" w:rsidP="00A801D0">
      <w:pPr>
        <w:pStyle w:val="paragraph"/>
      </w:pPr>
      <w:r w:rsidRPr="006E709F">
        <w:tab/>
        <w:t>(b)</w:t>
      </w:r>
      <w:r w:rsidRPr="006E709F">
        <w:tab/>
        <w:t xml:space="preserve">the telephone number of the superannuation trustee to enable a person who acquires the superannuation product to request a copy of the following under </w:t>
      </w:r>
      <w:r w:rsidR="005378CE" w:rsidRPr="006E709F">
        <w:t>regulation 7</w:t>
      </w:r>
      <w:r w:rsidRPr="006E709F">
        <w:t>.9.11R:</w:t>
      </w:r>
    </w:p>
    <w:p w:rsidR="003638DE" w:rsidRPr="006E709F" w:rsidRDefault="003638DE" w:rsidP="00A801D0">
      <w:pPr>
        <w:pStyle w:val="paragraphsub"/>
      </w:pPr>
      <w:r w:rsidRPr="006E709F">
        <w:tab/>
        <w:t>(i)</w:t>
      </w:r>
      <w:r w:rsidRPr="006E709F">
        <w:tab/>
        <w:t>a copy of the Statement; and</w:t>
      </w:r>
    </w:p>
    <w:p w:rsidR="003638DE" w:rsidRPr="006E709F" w:rsidRDefault="003638DE" w:rsidP="00A801D0">
      <w:pPr>
        <w:pStyle w:val="paragraphsub"/>
      </w:pPr>
      <w:r w:rsidRPr="006E709F">
        <w:tab/>
        <w:t>(ii)</w:t>
      </w:r>
      <w:r w:rsidRPr="006E709F">
        <w:tab/>
        <w:t>a copy of a matter in writing that is applied, adopted or incorporated by the Statement.</w:t>
      </w:r>
    </w:p>
    <w:p w:rsidR="003638DE" w:rsidRPr="006E709F" w:rsidRDefault="003638DE" w:rsidP="00A801D0">
      <w:pPr>
        <w:pStyle w:val="subsection"/>
      </w:pPr>
      <w:r w:rsidRPr="006E709F">
        <w:tab/>
        <w:t>(4)</w:t>
      </w:r>
      <w:r w:rsidRPr="006E709F">
        <w:tab/>
        <w:t>The Product Disclosure Statement must:</w:t>
      </w:r>
    </w:p>
    <w:p w:rsidR="003638DE" w:rsidRPr="006E709F" w:rsidRDefault="003638DE" w:rsidP="00A801D0">
      <w:pPr>
        <w:pStyle w:val="paragraph"/>
      </w:pPr>
      <w:r w:rsidRPr="006E709F">
        <w:tab/>
        <w:t>(a)</w:t>
      </w:r>
      <w:r w:rsidRPr="006E709F">
        <w:tab/>
        <w:t>advise a person reading the Statement that:</w:t>
      </w:r>
    </w:p>
    <w:p w:rsidR="003638DE" w:rsidRPr="006E709F" w:rsidRDefault="003638DE" w:rsidP="00A801D0">
      <w:pPr>
        <w:pStyle w:val="paragraphsub"/>
      </w:pPr>
      <w:r w:rsidRPr="006E709F">
        <w:tab/>
        <w:t>(i)</w:t>
      </w:r>
      <w:r w:rsidRPr="006E709F">
        <w:tab/>
        <w:t>it is a summary of significant information and contains a number of references to important information (each of which forms part of the Statement); and</w:t>
      </w:r>
    </w:p>
    <w:p w:rsidR="003638DE" w:rsidRPr="006E709F" w:rsidRDefault="003638DE" w:rsidP="00A801D0">
      <w:pPr>
        <w:pStyle w:val="paragraphsub"/>
      </w:pPr>
      <w:r w:rsidRPr="006E709F">
        <w:tab/>
        <w:t>(ii)</w:t>
      </w:r>
      <w:r w:rsidRPr="006E709F">
        <w:tab/>
        <w:t>the person should consider that information before making a decision about the product; and</w:t>
      </w:r>
    </w:p>
    <w:p w:rsidR="003638DE" w:rsidRPr="006E709F" w:rsidRDefault="003638DE" w:rsidP="00A801D0">
      <w:pPr>
        <w:pStyle w:val="paragraphsub"/>
      </w:pPr>
      <w:r w:rsidRPr="006E709F">
        <w:tab/>
        <w:t>(iii)</w:t>
      </w:r>
      <w:r w:rsidRPr="006E709F">
        <w:tab/>
        <w:t>the information provided in the Statement is general information only and does not take account of the person’s personal financial situation or needs; and</w:t>
      </w:r>
    </w:p>
    <w:p w:rsidR="003638DE" w:rsidRPr="006E709F" w:rsidRDefault="003638DE" w:rsidP="00A801D0">
      <w:pPr>
        <w:pStyle w:val="paragraphsub"/>
      </w:pPr>
      <w:r w:rsidRPr="006E709F">
        <w:tab/>
        <w:t>(iv)</w:t>
      </w:r>
      <w:r w:rsidRPr="006E709F">
        <w:tab/>
        <w:t>the person should obtain financial advice tailored to the person’s personal circumstances; and</w:t>
      </w:r>
    </w:p>
    <w:p w:rsidR="003638DE" w:rsidRPr="006E709F" w:rsidRDefault="003638DE" w:rsidP="00A801D0">
      <w:pPr>
        <w:pStyle w:val="paragraph"/>
      </w:pPr>
      <w:r w:rsidRPr="006E709F">
        <w:tab/>
        <w:t>(b)</w:t>
      </w:r>
      <w:r w:rsidRPr="006E709F">
        <w:tab/>
        <w:t>display the advice:</w:t>
      </w:r>
    </w:p>
    <w:p w:rsidR="003638DE" w:rsidRPr="006E709F" w:rsidRDefault="003638DE" w:rsidP="00A801D0">
      <w:pPr>
        <w:pStyle w:val="paragraphsub"/>
      </w:pPr>
      <w:r w:rsidRPr="006E709F">
        <w:tab/>
        <w:t>(i)</w:t>
      </w:r>
      <w:r w:rsidRPr="006E709F">
        <w:tab/>
        <w:t>at or near the beginning of the document; and</w:t>
      </w:r>
    </w:p>
    <w:p w:rsidR="003638DE" w:rsidRPr="006E709F" w:rsidRDefault="003638DE" w:rsidP="00A801D0">
      <w:pPr>
        <w:pStyle w:val="paragraphsub"/>
      </w:pPr>
      <w:r w:rsidRPr="006E709F">
        <w:tab/>
        <w:t>(ii)</w:t>
      </w:r>
      <w:r w:rsidRPr="006E709F">
        <w:tab/>
        <w:t>in a prominent position and style.</w:t>
      </w:r>
    </w:p>
    <w:p w:rsidR="003638DE" w:rsidRPr="006E709F" w:rsidRDefault="003638DE" w:rsidP="00A801D0">
      <w:pPr>
        <w:pStyle w:val="subsection"/>
      </w:pPr>
      <w:r w:rsidRPr="006E709F">
        <w:tab/>
        <w:t>(5)</w:t>
      </w:r>
      <w:r w:rsidRPr="006E709F">
        <w:tab/>
        <w:t>The Product Disclosure Statement:</w:t>
      </w:r>
    </w:p>
    <w:p w:rsidR="003638DE" w:rsidRPr="006E709F" w:rsidRDefault="003638DE" w:rsidP="00A801D0">
      <w:pPr>
        <w:pStyle w:val="paragraph"/>
      </w:pPr>
      <w:r w:rsidRPr="006E709F">
        <w:tab/>
        <w:t>(a)</w:t>
      </w:r>
      <w:r w:rsidRPr="006E709F">
        <w:tab/>
        <w:t>may include additional sections after sections</w:t>
      </w:r>
      <w:r w:rsidR="00DA13DE" w:rsidRPr="006E709F">
        <w:t> </w:t>
      </w:r>
      <w:r w:rsidRPr="006E709F">
        <w:t>1 to 9; and</w:t>
      </w:r>
    </w:p>
    <w:p w:rsidR="003638DE" w:rsidRPr="006E709F" w:rsidRDefault="003638DE" w:rsidP="00A801D0">
      <w:pPr>
        <w:pStyle w:val="paragraph"/>
      </w:pPr>
      <w:r w:rsidRPr="006E709F">
        <w:tab/>
        <w:t>(b)</w:t>
      </w:r>
      <w:r w:rsidRPr="006E709F">
        <w:tab/>
        <w:t>may include other information;</w:t>
      </w:r>
    </w:p>
    <w:p w:rsidR="003638DE" w:rsidRPr="006E709F" w:rsidRDefault="003638DE" w:rsidP="00A801D0">
      <w:pPr>
        <w:pStyle w:val="subsection2"/>
      </w:pPr>
      <w:r w:rsidRPr="006E709F">
        <w:t>to an extent that does not have the effect of contravening subclause</w:t>
      </w:r>
      <w:r w:rsidR="00DA13DE" w:rsidRPr="006E709F">
        <w:t> </w:t>
      </w:r>
      <w:r w:rsidRPr="006E709F">
        <w:t>1(1).</w:t>
      </w:r>
    </w:p>
    <w:p w:rsidR="003638DE" w:rsidRPr="006E709F" w:rsidRDefault="003638DE" w:rsidP="00A801D0">
      <w:pPr>
        <w:pStyle w:val="subsection"/>
      </w:pPr>
      <w:r w:rsidRPr="006E709F">
        <w:tab/>
        <w:t>(6)</w:t>
      </w:r>
      <w:r w:rsidRPr="006E709F">
        <w:tab/>
        <w:t>The Product Disclosure Statement does not need to indicate that a particular requirement is not applicable to the superannuation product.</w:t>
      </w:r>
    </w:p>
    <w:p w:rsidR="003638DE" w:rsidRPr="006E709F" w:rsidRDefault="00A801D0" w:rsidP="00A801D0">
      <w:pPr>
        <w:pStyle w:val="notetext"/>
      </w:pPr>
      <w:r w:rsidRPr="006E709F">
        <w:t>Note:</w:t>
      </w:r>
      <w:r w:rsidRPr="006E709F">
        <w:tab/>
      </w:r>
      <w:r w:rsidR="003638DE" w:rsidRPr="006E709F">
        <w:t xml:space="preserve">The Act, as modified in accordance with </w:t>
      </w:r>
      <w:r w:rsidRPr="006E709F">
        <w:t>Subdivision</w:t>
      </w:r>
      <w:r w:rsidR="00DA13DE" w:rsidRPr="006E709F">
        <w:t> </w:t>
      </w:r>
      <w:r w:rsidR="003638DE" w:rsidRPr="006E709F">
        <w:t xml:space="preserve">4.2B of </w:t>
      </w:r>
      <w:r w:rsidRPr="006E709F">
        <w:t>Division</w:t>
      </w:r>
      <w:r w:rsidR="00DA13DE" w:rsidRPr="006E709F">
        <w:t> </w:t>
      </w:r>
      <w:r w:rsidR="003638DE" w:rsidRPr="006E709F">
        <w:t xml:space="preserve">4 of </w:t>
      </w:r>
      <w:r w:rsidRPr="006E709F">
        <w:t>Part</w:t>
      </w:r>
      <w:r w:rsidR="00DA13DE" w:rsidRPr="006E709F">
        <w:t> </w:t>
      </w:r>
      <w:r w:rsidR="003638DE" w:rsidRPr="006E709F">
        <w:t>7.9, requires information to be included in the Product Disclosure Statement only to the extent to which the requirement is applicable to the superannuation product.</w:t>
      </w:r>
    </w:p>
    <w:p w:rsidR="00C01C82" w:rsidRPr="006E709F" w:rsidRDefault="00C01C82" w:rsidP="00C01C82">
      <w:pPr>
        <w:pStyle w:val="ActHead5"/>
      </w:pPr>
      <w:bookmarkStart w:id="149" w:name="_Toc170547966"/>
      <w:r w:rsidRPr="000C4237">
        <w:rPr>
          <w:rStyle w:val="CharSectno"/>
        </w:rPr>
        <w:t>3</w:t>
      </w:r>
      <w:r w:rsidRPr="006E709F">
        <w:t xml:space="preserve">  Contents of section</w:t>
      </w:r>
      <w:r w:rsidR="00DA13DE" w:rsidRPr="006E709F">
        <w:t> </w:t>
      </w:r>
      <w:r w:rsidRPr="006E709F">
        <w:t xml:space="preserve">1 (About </w:t>
      </w:r>
      <w:r w:rsidRPr="006E709F">
        <w:rPr>
          <w:i/>
        </w:rPr>
        <w:t>[name of superannuation product]</w:t>
      </w:r>
      <w:r w:rsidRPr="006E709F">
        <w:t>)</w:t>
      </w:r>
      <w:bookmarkEnd w:id="149"/>
    </w:p>
    <w:p w:rsidR="00C01C82" w:rsidRPr="006E709F" w:rsidRDefault="00C01C82" w:rsidP="00C01C82">
      <w:pPr>
        <w:pStyle w:val="subsection"/>
      </w:pPr>
      <w:r w:rsidRPr="006E709F">
        <w:tab/>
        <w:t>(1)</w:t>
      </w:r>
      <w:r w:rsidRPr="006E709F">
        <w:tab/>
        <w:t>Section</w:t>
      </w:r>
      <w:r w:rsidR="00DA13DE" w:rsidRPr="006E709F">
        <w:t> </w:t>
      </w:r>
      <w:r w:rsidRPr="006E709F">
        <w:t>1 of the Product Disclosure Statement must:</w:t>
      </w:r>
    </w:p>
    <w:p w:rsidR="00C01C82" w:rsidRPr="006E709F" w:rsidRDefault="00C01C82" w:rsidP="00C01C82">
      <w:pPr>
        <w:pStyle w:val="paragraph"/>
      </w:pPr>
      <w:r w:rsidRPr="006E709F">
        <w:tab/>
        <w:t>(a)</w:t>
      </w:r>
      <w:r w:rsidRPr="006E709F">
        <w:tab/>
        <w:t>describe, in the form of a summary, the superannuation entity and the MySuper products and other investment options offered by the entity; and</w:t>
      </w:r>
    </w:p>
    <w:p w:rsidR="00C01C82" w:rsidRPr="006E709F" w:rsidRDefault="00C01C82" w:rsidP="00C01C82">
      <w:pPr>
        <w:pStyle w:val="paragraph"/>
      </w:pPr>
      <w:r w:rsidRPr="006E709F">
        <w:tab/>
        <w:t>(b)</w:t>
      </w:r>
      <w:r w:rsidRPr="006E709F">
        <w:tab/>
        <w:t>include a statement of where, on the entity’s website, the member can find:</w:t>
      </w:r>
    </w:p>
    <w:p w:rsidR="00C01C82" w:rsidRPr="006E709F" w:rsidRDefault="00C01C82" w:rsidP="00C01C82">
      <w:pPr>
        <w:pStyle w:val="paragraphsub"/>
      </w:pPr>
      <w:r w:rsidRPr="006E709F">
        <w:lastRenderedPageBreak/>
        <w:tab/>
        <w:t>(i)</w:t>
      </w:r>
      <w:r w:rsidRPr="006E709F">
        <w:tab/>
        <w:t>the product dashboard for each MySuper product and choice product in the entity; and</w:t>
      </w:r>
    </w:p>
    <w:p w:rsidR="00C01C82" w:rsidRPr="006E709F" w:rsidRDefault="00C01C82" w:rsidP="00C01C82">
      <w:pPr>
        <w:pStyle w:val="paragraphsub"/>
        <w:rPr>
          <w:iCs/>
        </w:rPr>
      </w:pPr>
      <w:r w:rsidRPr="006E709F">
        <w:tab/>
        <w:t>(ii)</w:t>
      </w:r>
      <w:r w:rsidRPr="006E709F">
        <w:tab/>
        <w:t xml:space="preserve">each trustee and executive remuneration disclosure for the entity, and any other document that must be disclosed for the entity under the </w:t>
      </w:r>
      <w:r w:rsidRPr="006E709F">
        <w:rPr>
          <w:i/>
          <w:iCs/>
        </w:rPr>
        <w:t>SIS Regulations</w:t>
      </w:r>
      <w:r w:rsidRPr="006E709F">
        <w:rPr>
          <w:iCs/>
        </w:rPr>
        <w:t>; and</w:t>
      </w:r>
    </w:p>
    <w:p w:rsidR="00C01C82" w:rsidRPr="006E709F" w:rsidRDefault="00C01C82" w:rsidP="00C01C82">
      <w:pPr>
        <w:pStyle w:val="paragraph"/>
      </w:pPr>
      <w:r w:rsidRPr="006E709F">
        <w:tab/>
        <w:t>(c)</w:t>
      </w:r>
      <w:r w:rsidRPr="006E709F">
        <w:tab/>
        <w:t xml:space="preserve">a statement describing the entity’s process for transitioning each member whose interest includes an accrued default amount from an existing default option to a MySuper product by </w:t>
      </w:r>
      <w:r w:rsidR="005378CE" w:rsidRPr="006E709F">
        <w:t>1 July</w:t>
      </w:r>
      <w:r w:rsidRPr="006E709F">
        <w:t xml:space="preserve"> 2017.</w:t>
      </w:r>
    </w:p>
    <w:p w:rsidR="00C01C82" w:rsidRPr="006E709F" w:rsidRDefault="00C01C82" w:rsidP="00C01C82">
      <w:pPr>
        <w:pStyle w:val="subsection"/>
      </w:pPr>
      <w:r w:rsidRPr="006E709F">
        <w:tab/>
        <w:t>(2)</w:t>
      </w:r>
      <w:r w:rsidRPr="006E709F">
        <w:tab/>
      </w:r>
      <w:r w:rsidR="00DA13DE" w:rsidRPr="006E709F">
        <w:t>Paragraph (</w:t>
      </w:r>
      <w:r w:rsidRPr="006E709F">
        <w:t>1)(c) applies until the earlier of:</w:t>
      </w:r>
    </w:p>
    <w:p w:rsidR="00C01C82" w:rsidRPr="006E709F" w:rsidRDefault="00C01C82" w:rsidP="00C01C82">
      <w:pPr>
        <w:pStyle w:val="paragraph"/>
      </w:pPr>
      <w:r w:rsidRPr="006E709F">
        <w:tab/>
        <w:t>(a)</w:t>
      </w:r>
      <w:r w:rsidRPr="006E709F">
        <w:tab/>
      </w:r>
      <w:r w:rsidR="005378CE" w:rsidRPr="006E709F">
        <w:t>1 July</w:t>
      </w:r>
      <w:r w:rsidRPr="006E709F">
        <w:t xml:space="preserve"> 2017; and</w:t>
      </w:r>
    </w:p>
    <w:p w:rsidR="00C01C82" w:rsidRPr="006E709F" w:rsidRDefault="00C01C82" w:rsidP="00C01C82">
      <w:pPr>
        <w:pStyle w:val="paragraph"/>
      </w:pPr>
      <w:r w:rsidRPr="006E709F">
        <w:tab/>
        <w:t>(b)</w:t>
      </w:r>
      <w:r w:rsidRPr="006E709F">
        <w:tab/>
        <w:t>the day on which the entity has attributed each accrued default amount in the entity to a MySuper product.</w:t>
      </w:r>
    </w:p>
    <w:p w:rsidR="00C01C82" w:rsidRPr="006E709F" w:rsidRDefault="00C01C82" w:rsidP="00C01C82">
      <w:pPr>
        <w:pStyle w:val="notetext"/>
      </w:pPr>
      <w:r w:rsidRPr="006E709F">
        <w:t>Note:</w:t>
      </w:r>
      <w:r w:rsidRPr="006E709F">
        <w:tab/>
        <w:t xml:space="preserve">Putting the information mentioned in </w:t>
      </w:r>
      <w:r w:rsidR="00DA13DE" w:rsidRPr="006E709F">
        <w:t>paragraph (</w:t>
      </w:r>
      <w:r w:rsidRPr="006E709F">
        <w:t>1)(b) onto the superannuation fund’s website does not amount to adding the information to the Product Disclosure Statement.</w:t>
      </w:r>
    </w:p>
    <w:p w:rsidR="003638DE" w:rsidRPr="006E709F" w:rsidRDefault="00102067" w:rsidP="00A801D0">
      <w:pPr>
        <w:pStyle w:val="ActHead5"/>
      </w:pPr>
      <w:bookmarkStart w:id="150" w:name="_Toc170547967"/>
      <w:r w:rsidRPr="000C4237">
        <w:rPr>
          <w:rStyle w:val="CharSectno"/>
        </w:rPr>
        <w:t>4</w:t>
      </w:r>
      <w:r w:rsidRPr="006E709F">
        <w:t xml:space="preserve">  </w:t>
      </w:r>
      <w:r w:rsidR="003638DE" w:rsidRPr="006E709F">
        <w:t>Contents of section</w:t>
      </w:r>
      <w:r w:rsidR="00DA13DE" w:rsidRPr="006E709F">
        <w:t> </w:t>
      </w:r>
      <w:r w:rsidR="003638DE" w:rsidRPr="006E709F">
        <w:t>2 (How super works)</w:t>
      </w:r>
      <w:bookmarkEnd w:id="150"/>
    </w:p>
    <w:p w:rsidR="003638DE" w:rsidRPr="006E709F" w:rsidRDefault="003638DE" w:rsidP="00A801D0">
      <w:pPr>
        <w:pStyle w:val="subsection"/>
      </w:pPr>
      <w:r w:rsidRPr="006E709F">
        <w:tab/>
        <w:t>(1)</w:t>
      </w:r>
      <w:r w:rsidRPr="006E709F">
        <w:tab/>
        <w:t>Section</w:t>
      </w:r>
      <w:r w:rsidR="00DA13DE" w:rsidRPr="006E709F">
        <w:t> </w:t>
      </w:r>
      <w:r w:rsidRPr="006E709F">
        <w:t>2 of the Product Disclosure Statement must include statements to the effect that:</w:t>
      </w:r>
    </w:p>
    <w:p w:rsidR="003638DE" w:rsidRPr="006E709F" w:rsidRDefault="003638DE" w:rsidP="00A801D0">
      <w:pPr>
        <w:pStyle w:val="paragraph"/>
      </w:pPr>
      <w:r w:rsidRPr="006E709F">
        <w:tab/>
        <w:t>(a)</w:t>
      </w:r>
      <w:r w:rsidRPr="006E709F">
        <w:tab/>
        <w:t>superannuation is a means of saving for retirement which is, in part, compulsory; and</w:t>
      </w:r>
    </w:p>
    <w:p w:rsidR="003638DE" w:rsidRPr="006E709F" w:rsidRDefault="003638DE" w:rsidP="00A801D0">
      <w:pPr>
        <w:pStyle w:val="paragraph"/>
      </w:pPr>
      <w:r w:rsidRPr="006E709F">
        <w:tab/>
        <w:t>(b)</w:t>
      </w:r>
      <w:r w:rsidRPr="006E709F">
        <w:tab/>
        <w:t>there are different types of contributions available to a person (for example, employer contributions, voluntary contributions, government co</w:t>
      </w:r>
      <w:r w:rsidR="000C4237">
        <w:noBreakHyphen/>
      </w:r>
      <w:r w:rsidRPr="006E709F">
        <w:t>contributions); and</w:t>
      </w:r>
    </w:p>
    <w:p w:rsidR="003638DE" w:rsidRPr="006E709F" w:rsidRDefault="003638DE" w:rsidP="00A801D0">
      <w:pPr>
        <w:pStyle w:val="paragraph"/>
      </w:pPr>
      <w:r w:rsidRPr="006E709F">
        <w:tab/>
        <w:t>(c)</w:t>
      </w:r>
      <w:r w:rsidRPr="006E709F">
        <w:tab/>
        <w:t>there are limitations on contributions to, and withdrawals from, superannuation; and</w:t>
      </w:r>
    </w:p>
    <w:p w:rsidR="003638DE" w:rsidRPr="006E709F" w:rsidRDefault="003638DE" w:rsidP="00A801D0">
      <w:pPr>
        <w:pStyle w:val="paragraph"/>
      </w:pPr>
      <w:r w:rsidRPr="006E709F">
        <w:tab/>
        <w:t>(d)</w:t>
      </w:r>
      <w:r w:rsidRPr="006E709F">
        <w:tab/>
        <w:t>tax savings are provided by the Government; and</w:t>
      </w:r>
    </w:p>
    <w:p w:rsidR="003638DE" w:rsidRPr="006E709F" w:rsidRDefault="003638DE" w:rsidP="00A801D0">
      <w:pPr>
        <w:pStyle w:val="paragraph"/>
      </w:pPr>
      <w:r w:rsidRPr="006E709F">
        <w:tab/>
        <w:t>(e)</w:t>
      </w:r>
      <w:r w:rsidRPr="006E709F">
        <w:tab/>
        <w:t xml:space="preserve">most people have the right to choose into which </w:t>
      </w:r>
      <w:r w:rsidR="00C01C82" w:rsidRPr="006E709F">
        <w:t>superannuation entity</w:t>
      </w:r>
      <w:r w:rsidRPr="006E709F">
        <w:t xml:space="preserve"> the employer should direct their superannuation guarantee contributions.</w:t>
      </w:r>
    </w:p>
    <w:p w:rsidR="003638DE" w:rsidRPr="006E709F" w:rsidRDefault="003638DE" w:rsidP="00A801D0">
      <w:pPr>
        <w:pStyle w:val="subsection"/>
      </w:pPr>
      <w:r w:rsidRPr="006E709F">
        <w:tab/>
        <w:t>(2)</w:t>
      </w:r>
      <w:r w:rsidRPr="006E709F">
        <w:tab/>
        <w:t xml:space="preserve">The superannuation trustee may provide more detailed information on the matters set out in </w:t>
      </w:r>
      <w:r w:rsidR="00DA13DE" w:rsidRPr="006E709F">
        <w:t>subclause (</w:t>
      </w:r>
      <w:r w:rsidRPr="006E709F">
        <w:t>1) by:</w:t>
      </w:r>
    </w:p>
    <w:p w:rsidR="003638DE" w:rsidRPr="006E709F" w:rsidRDefault="003638DE" w:rsidP="00A801D0">
      <w:pPr>
        <w:pStyle w:val="paragraph"/>
      </w:pPr>
      <w:r w:rsidRPr="006E709F">
        <w:tab/>
        <w:t>(a)</w:t>
      </w:r>
      <w:r w:rsidRPr="006E709F">
        <w:tab/>
        <w:t>applying, adopting or incorporating a matter in writing; or</w:t>
      </w:r>
    </w:p>
    <w:p w:rsidR="003638DE" w:rsidRPr="006E709F" w:rsidRDefault="003638DE" w:rsidP="00A801D0">
      <w:pPr>
        <w:pStyle w:val="paragraph"/>
      </w:pPr>
      <w:r w:rsidRPr="006E709F">
        <w:tab/>
        <w:t>(b)</w:t>
      </w:r>
      <w:r w:rsidRPr="006E709F">
        <w:tab/>
        <w:t>providing a reference to a website, operated by or on behalf of the Commonwealth, that contains the information.</w:t>
      </w:r>
    </w:p>
    <w:p w:rsidR="003638DE" w:rsidRPr="006E709F" w:rsidRDefault="00102067" w:rsidP="00A801D0">
      <w:pPr>
        <w:pStyle w:val="ActHead5"/>
      </w:pPr>
      <w:bookmarkStart w:id="151" w:name="_Toc170547968"/>
      <w:r w:rsidRPr="000C4237">
        <w:rPr>
          <w:rStyle w:val="CharSectno"/>
        </w:rPr>
        <w:t>5</w:t>
      </w:r>
      <w:r w:rsidRPr="006E709F">
        <w:t xml:space="preserve">  </w:t>
      </w:r>
      <w:r w:rsidR="003638DE" w:rsidRPr="006E709F">
        <w:t>Contents of section</w:t>
      </w:r>
      <w:r w:rsidR="00DA13DE" w:rsidRPr="006E709F">
        <w:t> </w:t>
      </w:r>
      <w:r w:rsidR="003638DE" w:rsidRPr="006E709F">
        <w:t>3 (Benefits of investing with [name of superannuation product])</w:t>
      </w:r>
      <w:bookmarkEnd w:id="151"/>
    </w:p>
    <w:p w:rsidR="003638DE" w:rsidRPr="006E709F" w:rsidRDefault="003638DE" w:rsidP="00A801D0">
      <w:pPr>
        <w:pStyle w:val="subsection"/>
      </w:pPr>
      <w:r w:rsidRPr="006E709F">
        <w:tab/>
        <w:t>(1)</w:t>
      </w:r>
      <w:r w:rsidRPr="006E709F">
        <w:tab/>
        <w:t>Section</w:t>
      </w:r>
      <w:r w:rsidR="00DA13DE" w:rsidRPr="006E709F">
        <w:t> </w:t>
      </w:r>
      <w:r w:rsidRPr="006E709F">
        <w:t>3 of the Product Disclosure Statement must describe the superannuation product covered by the Statement, including a summary of its significant features and the benefits it provides.</w:t>
      </w:r>
    </w:p>
    <w:p w:rsidR="003638DE" w:rsidRPr="006E709F" w:rsidRDefault="003638DE" w:rsidP="00A801D0">
      <w:pPr>
        <w:pStyle w:val="subsection"/>
      </w:pPr>
      <w:r w:rsidRPr="006E709F">
        <w:tab/>
        <w:t>(2)</w:t>
      </w:r>
      <w:r w:rsidRPr="006E709F">
        <w:tab/>
        <w:t>The superannuation trustee may provide additional information about significant benefits of superannuation or other significant features of the superannuation product by applying, adopting or incorporating a matter in writing.</w:t>
      </w:r>
    </w:p>
    <w:p w:rsidR="003638DE" w:rsidRPr="006E709F" w:rsidRDefault="00102067" w:rsidP="00A801D0">
      <w:pPr>
        <w:pStyle w:val="ActHead5"/>
      </w:pPr>
      <w:bookmarkStart w:id="152" w:name="_Toc170547969"/>
      <w:r w:rsidRPr="000C4237">
        <w:rPr>
          <w:rStyle w:val="CharSectno"/>
        </w:rPr>
        <w:lastRenderedPageBreak/>
        <w:t>6</w:t>
      </w:r>
      <w:r w:rsidRPr="006E709F">
        <w:t xml:space="preserve">  </w:t>
      </w:r>
      <w:r w:rsidR="003638DE" w:rsidRPr="006E709F">
        <w:t>Contents of section</w:t>
      </w:r>
      <w:r w:rsidR="00DA13DE" w:rsidRPr="006E709F">
        <w:t> </w:t>
      </w:r>
      <w:r w:rsidR="003638DE" w:rsidRPr="006E709F">
        <w:t>4 (Risks of super)</w:t>
      </w:r>
      <w:bookmarkEnd w:id="152"/>
    </w:p>
    <w:p w:rsidR="003638DE" w:rsidRPr="006E709F" w:rsidRDefault="003638DE" w:rsidP="00A801D0">
      <w:pPr>
        <w:pStyle w:val="subsection"/>
      </w:pPr>
      <w:r w:rsidRPr="006E709F">
        <w:tab/>
        <w:t>(1)</w:t>
      </w:r>
      <w:r w:rsidRPr="006E709F">
        <w:tab/>
        <w:t>Section</w:t>
      </w:r>
      <w:r w:rsidR="00DA13DE" w:rsidRPr="006E709F">
        <w:t> </w:t>
      </w:r>
      <w:r w:rsidRPr="006E709F">
        <w:t>4 of the Product Disclosure Statement must include statements to the following effect:</w:t>
      </w:r>
    </w:p>
    <w:p w:rsidR="003638DE" w:rsidRPr="006E709F" w:rsidRDefault="003638DE" w:rsidP="00A801D0">
      <w:pPr>
        <w:pStyle w:val="paragraph"/>
      </w:pPr>
      <w:r w:rsidRPr="006E709F">
        <w:tab/>
        <w:t>(a)</w:t>
      </w:r>
      <w:r w:rsidRPr="006E709F">
        <w:tab/>
        <w:t>all investments carry risk;</w:t>
      </w:r>
    </w:p>
    <w:p w:rsidR="003638DE" w:rsidRPr="006E709F" w:rsidRDefault="003638DE" w:rsidP="00A801D0">
      <w:pPr>
        <w:pStyle w:val="paragraph"/>
      </w:pPr>
      <w:r w:rsidRPr="006E709F">
        <w:tab/>
        <w:t>(b)</w:t>
      </w:r>
      <w:r w:rsidRPr="006E709F">
        <w:tab/>
        <w:t>different strategies may carry different levels of risk, depending on the assets that make up the strategy;</w:t>
      </w:r>
    </w:p>
    <w:p w:rsidR="003638DE" w:rsidRPr="006E709F" w:rsidRDefault="003638DE" w:rsidP="00A801D0">
      <w:pPr>
        <w:pStyle w:val="paragraph"/>
      </w:pPr>
      <w:r w:rsidRPr="006E709F">
        <w:tab/>
        <w:t>(c)</w:t>
      </w:r>
      <w:r w:rsidRPr="006E709F">
        <w:tab/>
        <w:t>assets with the highest long</w:t>
      </w:r>
      <w:r w:rsidR="000C4237">
        <w:noBreakHyphen/>
      </w:r>
      <w:r w:rsidRPr="006E709F">
        <w:t>term returns may also carry the highest level of short</w:t>
      </w:r>
      <w:r w:rsidR="000C4237">
        <w:noBreakHyphen/>
      </w:r>
      <w:r w:rsidRPr="006E709F">
        <w:t>term risk.</w:t>
      </w:r>
    </w:p>
    <w:p w:rsidR="003638DE" w:rsidRPr="006E709F" w:rsidRDefault="003638DE" w:rsidP="00A801D0">
      <w:pPr>
        <w:pStyle w:val="subsection"/>
      </w:pPr>
      <w:r w:rsidRPr="006E709F">
        <w:tab/>
        <w:t>(2)</w:t>
      </w:r>
      <w:r w:rsidRPr="006E709F">
        <w:tab/>
        <w:t>Section</w:t>
      </w:r>
      <w:r w:rsidR="00DA13DE" w:rsidRPr="006E709F">
        <w:t> </w:t>
      </w:r>
      <w:r w:rsidRPr="006E709F">
        <w:t>4 must describe, in the form of a summary, the significant risks of the particular superannuation product.</w:t>
      </w:r>
    </w:p>
    <w:p w:rsidR="003638DE" w:rsidRPr="006E709F" w:rsidRDefault="003638DE" w:rsidP="00A801D0">
      <w:pPr>
        <w:pStyle w:val="subsection"/>
      </w:pPr>
      <w:r w:rsidRPr="006E709F">
        <w:tab/>
        <w:t>(3)</w:t>
      </w:r>
      <w:r w:rsidRPr="006E709F">
        <w:tab/>
        <w:t>Section</w:t>
      </w:r>
      <w:r w:rsidR="00DA13DE" w:rsidRPr="006E709F">
        <w:t> </w:t>
      </w:r>
      <w:r w:rsidRPr="006E709F">
        <w:t xml:space="preserve">4 must describe the significant risks of superannuation (to the extent only that the description required by </w:t>
      </w:r>
      <w:r w:rsidR="00DA13DE" w:rsidRPr="006E709F">
        <w:t>subitem (</w:t>
      </w:r>
      <w:r w:rsidRPr="006E709F">
        <w:t>2) has not already described the risk) by including statements to the following effect:</w:t>
      </w:r>
    </w:p>
    <w:p w:rsidR="003638DE" w:rsidRPr="006E709F" w:rsidRDefault="003638DE" w:rsidP="00A801D0">
      <w:pPr>
        <w:pStyle w:val="paragraph"/>
      </w:pPr>
      <w:r w:rsidRPr="006E709F">
        <w:tab/>
        <w:t>(a)</w:t>
      </w:r>
      <w:r w:rsidRPr="006E709F">
        <w:tab/>
        <w:t>the value of investments will vary;</w:t>
      </w:r>
    </w:p>
    <w:p w:rsidR="003638DE" w:rsidRPr="006E709F" w:rsidRDefault="003638DE" w:rsidP="00A801D0">
      <w:pPr>
        <w:pStyle w:val="paragraph"/>
      </w:pPr>
      <w:r w:rsidRPr="006E709F">
        <w:tab/>
        <w:t>(b)</w:t>
      </w:r>
      <w:r w:rsidRPr="006E709F">
        <w:tab/>
        <w:t>the level of returns will vary, and future returns may differ from past returns;</w:t>
      </w:r>
    </w:p>
    <w:p w:rsidR="003638DE" w:rsidRPr="006E709F" w:rsidRDefault="003638DE" w:rsidP="00A801D0">
      <w:pPr>
        <w:pStyle w:val="paragraph"/>
      </w:pPr>
      <w:r w:rsidRPr="006E709F">
        <w:tab/>
        <w:t>(c)</w:t>
      </w:r>
      <w:r w:rsidRPr="006E709F">
        <w:tab/>
        <w:t>returns are not guaranteed, and persons may lose some of their money;</w:t>
      </w:r>
    </w:p>
    <w:p w:rsidR="003638DE" w:rsidRPr="006E709F" w:rsidRDefault="003638DE" w:rsidP="00A801D0">
      <w:pPr>
        <w:pStyle w:val="paragraph"/>
      </w:pPr>
      <w:r w:rsidRPr="006E709F">
        <w:tab/>
        <w:t>(d)</w:t>
      </w:r>
      <w:r w:rsidRPr="006E709F">
        <w:tab/>
        <w:t>superannuation laws may change in the future;</w:t>
      </w:r>
    </w:p>
    <w:p w:rsidR="003638DE" w:rsidRPr="006E709F" w:rsidRDefault="003638DE" w:rsidP="00A801D0">
      <w:pPr>
        <w:pStyle w:val="paragraph"/>
      </w:pPr>
      <w:r w:rsidRPr="006E709F">
        <w:tab/>
        <w:t>(e)</w:t>
      </w:r>
      <w:r w:rsidRPr="006E709F">
        <w:tab/>
        <w:t>the amount of a person’s future superannuation savings (including contributions and returns) may not be enough to provide adequately for the person’s retirement;</w:t>
      </w:r>
    </w:p>
    <w:p w:rsidR="003638DE" w:rsidRPr="006E709F" w:rsidRDefault="003638DE" w:rsidP="00A801D0">
      <w:pPr>
        <w:pStyle w:val="paragraph"/>
      </w:pPr>
      <w:r w:rsidRPr="006E709F">
        <w:tab/>
        <w:t>(f)</w:t>
      </w:r>
      <w:r w:rsidRPr="006E709F">
        <w:tab/>
        <w:t>the level of risk for each person will vary depending on a range of factors, including:</w:t>
      </w:r>
    </w:p>
    <w:p w:rsidR="003638DE" w:rsidRPr="006E709F" w:rsidRDefault="003638DE" w:rsidP="00A801D0">
      <w:pPr>
        <w:pStyle w:val="paragraphsub"/>
      </w:pPr>
      <w:r w:rsidRPr="006E709F">
        <w:tab/>
        <w:t>(i)</w:t>
      </w:r>
      <w:r w:rsidRPr="006E709F">
        <w:tab/>
        <w:t>age; and</w:t>
      </w:r>
    </w:p>
    <w:p w:rsidR="003638DE" w:rsidRPr="006E709F" w:rsidRDefault="003638DE" w:rsidP="00A801D0">
      <w:pPr>
        <w:pStyle w:val="paragraphsub"/>
      </w:pPr>
      <w:r w:rsidRPr="006E709F">
        <w:tab/>
        <w:t>(ii)</w:t>
      </w:r>
      <w:r w:rsidRPr="006E709F">
        <w:tab/>
        <w:t>investment time frames; and</w:t>
      </w:r>
    </w:p>
    <w:p w:rsidR="003638DE" w:rsidRPr="006E709F" w:rsidRDefault="003638DE" w:rsidP="00A801D0">
      <w:pPr>
        <w:pStyle w:val="paragraphsub"/>
      </w:pPr>
      <w:r w:rsidRPr="006E709F">
        <w:tab/>
        <w:t>(iii)</w:t>
      </w:r>
      <w:r w:rsidRPr="006E709F">
        <w:tab/>
        <w:t>where other parts of the person’s wealth are invested; and</w:t>
      </w:r>
    </w:p>
    <w:p w:rsidR="003638DE" w:rsidRPr="006E709F" w:rsidRDefault="003638DE" w:rsidP="00A801D0">
      <w:pPr>
        <w:pStyle w:val="paragraphsub"/>
      </w:pPr>
      <w:r w:rsidRPr="006E709F">
        <w:tab/>
        <w:t>(iv)</w:t>
      </w:r>
      <w:r w:rsidRPr="006E709F">
        <w:tab/>
        <w:t>the person’s risk tolerance.</w:t>
      </w:r>
    </w:p>
    <w:p w:rsidR="003638DE" w:rsidRPr="006E709F" w:rsidRDefault="003638DE" w:rsidP="00A801D0">
      <w:pPr>
        <w:pStyle w:val="subsection"/>
      </w:pPr>
      <w:r w:rsidRPr="006E709F">
        <w:tab/>
        <w:t>(4)</w:t>
      </w:r>
      <w:r w:rsidRPr="006E709F">
        <w:tab/>
        <w:t>The superannuation trustee may provide additional information about significant risks of superannuation by applying, adopting or incorporating a matter in writing.</w:t>
      </w:r>
    </w:p>
    <w:p w:rsidR="003638DE" w:rsidRPr="006E709F" w:rsidRDefault="00102067" w:rsidP="00A801D0">
      <w:pPr>
        <w:pStyle w:val="ActHead5"/>
      </w:pPr>
      <w:bookmarkStart w:id="153" w:name="_Toc170547970"/>
      <w:r w:rsidRPr="000C4237">
        <w:rPr>
          <w:rStyle w:val="CharSectno"/>
        </w:rPr>
        <w:t>7</w:t>
      </w:r>
      <w:r w:rsidRPr="006E709F">
        <w:t xml:space="preserve">  </w:t>
      </w:r>
      <w:r w:rsidR="003638DE" w:rsidRPr="006E709F">
        <w:t>Contents of section</w:t>
      </w:r>
      <w:r w:rsidR="00DA13DE" w:rsidRPr="006E709F">
        <w:t> </w:t>
      </w:r>
      <w:r w:rsidR="003638DE" w:rsidRPr="006E709F">
        <w:t>5 (How we invest your money)</w:t>
      </w:r>
      <w:bookmarkEnd w:id="153"/>
    </w:p>
    <w:p w:rsidR="003638DE" w:rsidRPr="006E709F" w:rsidRDefault="003638DE" w:rsidP="00A801D0">
      <w:pPr>
        <w:pStyle w:val="subsection"/>
      </w:pPr>
      <w:r w:rsidRPr="006E709F">
        <w:tab/>
        <w:t>(1)</w:t>
      </w:r>
      <w:r w:rsidRPr="006E709F">
        <w:tab/>
        <w:t>Section</w:t>
      </w:r>
      <w:r w:rsidR="00DA13DE" w:rsidRPr="006E709F">
        <w:t> </w:t>
      </w:r>
      <w:r w:rsidRPr="006E709F">
        <w:t>5 of the Product Disclosure Statement must describe, in the form of a summary:</w:t>
      </w:r>
    </w:p>
    <w:p w:rsidR="00C01C82" w:rsidRPr="006E709F" w:rsidRDefault="00C01C82" w:rsidP="00C01C82">
      <w:pPr>
        <w:pStyle w:val="paragraph"/>
      </w:pPr>
      <w:r w:rsidRPr="006E709F">
        <w:tab/>
        <w:t>(a)</w:t>
      </w:r>
      <w:r w:rsidRPr="006E709F">
        <w:tab/>
        <w:t>the MySuper products and investment options being offered; and</w:t>
      </w:r>
    </w:p>
    <w:p w:rsidR="003638DE" w:rsidRPr="006E709F" w:rsidRDefault="003638DE" w:rsidP="00A801D0">
      <w:pPr>
        <w:pStyle w:val="paragraph"/>
      </w:pPr>
      <w:r w:rsidRPr="006E709F">
        <w:tab/>
        <w:t>(b)</w:t>
      </w:r>
      <w:r w:rsidRPr="006E709F">
        <w:tab/>
        <w:t>what happens if the person does not make a choice of where to invest.</w:t>
      </w:r>
    </w:p>
    <w:p w:rsidR="003638DE" w:rsidRPr="006E709F" w:rsidRDefault="003638DE" w:rsidP="00A801D0">
      <w:pPr>
        <w:pStyle w:val="subsection"/>
      </w:pPr>
      <w:r w:rsidRPr="006E709F">
        <w:tab/>
        <w:t>(2)</w:t>
      </w:r>
      <w:r w:rsidRPr="006E709F">
        <w:tab/>
        <w:t>Section</w:t>
      </w:r>
      <w:r w:rsidR="00DA13DE" w:rsidRPr="006E709F">
        <w:t> </w:t>
      </w:r>
      <w:r w:rsidRPr="006E709F">
        <w:t>5 must state, in the form of a warning, that the person must consider:</w:t>
      </w:r>
    </w:p>
    <w:p w:rsidR="003638DE" w:rsidRPr="006E709F" w:rsidRDefault="003638DE" w:rsidP="00A801D0">
      <w:pPr>
        <w:pStyle w:val="paragraph"/>
      </w:pPr>
      <w:r w:rsidRPr="006E709F">
        <w:tab/>
        <w:t>(a)</w:t>
      </w:r>
      <w:r w:rsidRPr="006E709F">
        <w:tab/>
        <w:t>the likely investment return; and</w:t>
      </w:r>
    </w:p>
    <w:p w:rsidR="003638DE" w:rsidRPr="006E709F" w:rsidRDefault="003638DE" w:rsidP="00A801D0">
      <w:pPr>
        <w:pStyle w:val="paragraph"/>
      </w:pPr>
      <w:r w:rsidRPr="006E709F">
        <w:tab/>
        <w:t>(b)</w:t>
      </w:r>
      <w:r w:rsidRPr="006E709F">
        <w:tab/>
        <w:t>the risk; and</w:t>
      </w:r>
    </w:p>
    <w:p w:rsidR="003638DE" w:rsidRPr="006E709F" w:rsidRDefault="003638DE" w:rsidP="00A801D0">
      <w:pPr>
        <w:pStyle w:val="paragraph"/>
      </w:pPr>
      <w:r w:rsidRPr="006E709F">
        <w:tab/>
        <w:t>(c)</w:t>
      </w:r>
      <w:r w:rsidRPr="006E709F">
        <w:tab/>
        <w:t>the person’s investment timeframe;</w:t>
      </w:r>
    </w:p>
    <w:p w:rsidR="003638DE" w:rsidRPr="006E709F" w:rsidRDefault="003638DE" w:rsidP="00A801D0">
      <w:pPr>
        <w:pStyle w:val="subsection2"/>
      </w:pPr>
      <w:r w:rsidRPr="006E709F">
        <w:t xml:space="preserve">when choosing </w:t>
      </w:r>
      <w:r w:rsidR="00C01C82" w:rsidRPr="006E709F">
        <w:t>a MySuper product or an investment option</w:t>
      </w:r>
      <w:r w:rsidRPr="006E709F">
        <w:t xml:space="preserve"> in which to invest.</w:t>
      </w:r>
    </w:p>
    <w:p w:rsidR="003638DE" w:rsidRPr="006E709F" w:rsidRDefault="003638DE" w:rsidP="00A801D0">
      <w:pPr>
        <w:pStyle w:val="subsection"/>
      </w:pPr>
      <w:r w:rsidRPr="006E709F">
        <w:lastRenderedPageBreak/>
        <w:tab/>
        <w:t>(3)</w:t>
      </w:r>
      <w:r w:rsidRPr="006E709F">
        <w:tab/>
      </w:r>
      <w:r w:rsidR="00C01C82" w:rsidRPr="006E709F">
        <w:t>For at least one MySuper product or investment option,</w:t>
      </w:r>
      <w:r w:rsidRPr="006E709F">
        <w:t xml:space="preserve"> section</w:t>
      </w:r>
      <w:r w:rsidR="00DA13DE" w:rsidRPr="006E709F">
        <w:t> </w:t>
      </w:r>
      <w:r w:rsidRPr="006E709F">
        <w:t>5 must:</w:t>
      </w:r>
    </w:p>
    <w:p w:rsidR="003638DE" w:rsidRPr="006E709F" w:rsidRDefault="003638DE" w:rsidP="00A801D0">
      <w:pPr>
        <w:pStyle w:val="paragraph"/>
      </w:pPr>
      <w:r w:rsidRPr="006E709F">
        <w:tab/>
        <w:t>(a)</w:t>
      </w:r>
      <w:r w:rsidRPr="006E709F">
        <w:tab/>
        <w:t xml:space="preserve">state the name of </w:t>
      </w:r>
      <w:r w:rsidR="00C01C82" w:rsidRPr="006E709F">
        <w:t>the MySuper product or investment option</w:t>
      </w:r>
      <w:r w:rsidRPr="006E709F">
        <w:t xml:space="preserve"> and give a short description of it, including the type of investors for whom it is intended to be suitable; and</w:t>
      </w:r>
    </w:p>
    <w:p w:rsidR="003638DE" w:rsidRPr="006E709F" w:rsidRDefault="003638DE" w:rsidP="00A801D0">
      <w:pPr>
        <w:pStyle w:val="paragraph"/>
      </w:pPr>
      <w:r w:rsidRPr="006E709F">
        <w:tab/>
        <w:t>(b)</w:t>
      </w:r>
      <w:r w:rsidRPr="006E709F">
        <w:tab/>
        <w:t xml:space="preserve">list the asset classes in which </w:t>
      </w:r>
      <w:r w:rsidR="00C01C82" w:rsidRPr="006E709F">
        <w:t>the MySuper product or investment option</w:t>
      </w:r>
      <w:r w:rsidRPr="006E709F">
        <w:t xml:space="preserve"> invests, and set out, in the form of a range or otherwise, the strategic asset allocation of the asset classes; and</w:t>
      </w:r>
    </w:p>
    <w:p w:rsidR="003638DE" w:rsidRPr="006E709F" w:rsidRDefault="003638DE" w:rsidP="00A801D0">
      <w:pPr>
        <w:pStyle w:val="paragraph"/>
      </w:pPr>
      <w:r w:rsidRPr="006E709F">
        <w:tab/>
        <w:t>(c)</w:t>
      </w:r>
      <w:r w:rsidRPr="006E709F">
        <w:tab/>
        <w:t xml:space="preserve">describe the investment return objective of </w:t>
      </w:r>
      <w:r w:rsidR="00C01C82" w:rsidRPr="006E709F">
        <w:t>the MySuper product or investment option</w:t>
      </w:r>
      <w:r w:rsidRPr="006E709F">
        <w:t>; and</w:t>
      </w:r>
    </w:p>
    <w:p w:rsidR="003638DE" w:rsidRPr="006E709F" w:rsidRDefault="003638DE" w:rsidP="00A801D0">
      <w:pPr>
        <w:pStyle w:val="paragraph"/>
      </w:pPr>
      <w:r w:rsidRPr="006E709F">
        <w:tab/>
        <w:t>(d)</w:t>
      </w:r>
      <w:r w:rsidRPr="006E709F">
        <w:tab/>
        <w:t xml:space="preserve">state the minimum suggested time frame for holding </w:t>
      </w:r>
      <w:r w:rsidR="00C01C82" w:rsidRPr="006E709F">
        <w:t>the MySuper product or investment option</w:t>
      </w:r>
      <w:r w:rsidRPr="006E709F">
        <w:t>; and</w:t>
      </w:r>
    </w:p>
    <w:p w:rsidR="003638DE" w:rsidRPr="006E709F" w:rsidRDefault="003638DE" w:rsidP="00A801D0">
      <w:pPr>
        <w:pStyle w:val="paragraph"/>
      </w:pPr>
      <w:r w:rsidRPr="006E709F">
        <w:tab/>
        <w:t>(e)</w:t>
      </w:r>
      <w:r w:rsidRPr="006E709F">
        <w:tab/>
        <w:t xml:space="preserve">describe, in the form of a summary, the risk level of </w:t>
      </w:r>
      <w:r w:rsidR="00C01C82" w:rsidRPr="006E709F">
        <w:t>the MySuper product or investment option</w:t>
      </w:r>
      <w:r w:rsidRPr="006E709F">
        <w:t>.</w:t>
      </w:r>
    </w:p>
    <w:p w:rsidR="00C01C82" w:rsidRPr="006E709F" w:rsidRDefault="00C01C82" w:rsidP="00C01C82">
      <w:pPr>
        <w:pStyle w:val="subsection"/>
      </w:pPr>
      <w:r w:rsidRPr="006E709F">
        <w:tab/>
        <w:t>(4)</w:t>
      </w:r>
      <w:r w:rsidRPr="006E709F">
        <w:tab/>
        <w:t>If the superannuation product includes a generic MySuper product, section</w:t>
      </w:r>
      <w:r w:rsidR="00DA13DE" w:rsidRPr="006E709F">
        <w:t> </w:t>
      </w:r>
      <w:r w:rsidRPr="006E709F">
        <w:t xml:space="preserve">5 must give the information mentioned in </w:t>
      </w:r>
      <w:r w:rsidR="00DA13DE" w:rsidRPr="006E709F">
        <w:t>subclause (</w:t>
      </w:r>
      <w:r w:rsidRPr="006E709F">
        <w:t>3) for the generic MySuper product, whether or not section</w:t>
      </w:r>
      <w:r w:rsidR="00DA13DE" w:rsidRPr="006E709F">
        <w:t> </w:t>
      </w:r>
      <w:r w:rsidRPr="006E709F">
        <w:t>5 gives that information for another MySuper product or investment option.</w:t>
      </w:r>
    </w:p>
    <w:p w:rsidR="00C01C82" w:rsidRPr="006E709F" w:rsidRDefault="00C01C82" w:rsidP="00C01C82">
      <w:pPr>
        <w:pStyle w:val="subsection"/>
      </w:pPr>
      <w:r w:rsidRPr="006E709F">
        <w:tab/>
        <w:t>(5)</w:t>
      </w:r>
      <w:r w:rsidRPr="006E709F">
        <w:tab/>
        <w:t>If the superannuation product does not include a generic MySuper product, and has a balanced investment option (within the meaning given by clause</w:t>
      </w:r>
      <w:r w:rsidR="00DA13DE" w:rsidRPr="006E709F">
        <w:t> </w:t>
      </w:r>
      <w:r w:rsidRPr="006E709F">
        <w:t>101 of Schedule</w:t>
      </w:r>
      <w:r w:rsidR="00DA13DE" w:rsidRPr="006E709F">
        <w:t> </w:t>
      </w:r>
      <w:r w:rsidRPr="006E709F">
        <w:t>10), section</w:t>
      </w:r>
      <w:r w:rsidR="00DA13DE" w:rsidRPr="006E709F">
        <w:t> </w:t>
      </w:r>
      <w:r w:rsidRPr="006E709F">
        <w:t xml:space="preserve">5 must give the information mentioned in </w:t>
      </w:r>
      <w:r w:rsidR="00DA13DE" w:rsidRPr="006E709F">
        <w:t>subclause (</w:t>
      </w:r>
      <w:r w:rsidRPr="006E709F">
        <w:t>3) for the balanced investment option under which most assets of the superannuation entity are invested, whether or not section</w:t>
      </w:r>
      <w:r w:rsidR="00DA13DE" w:rsidRPr="006E709F">
        <w:t> </w:t>
      </w:r>
      <w:r w:rsidRPr="006E709F">
        <w:t>5 gives that information for any MySuper product or other investment option.</w:t>
      </w:r>
    </w:p>
    <w:p w:rsidR="00C01C82" w:rsidRPr="006E709F" w:rsidRDefault="00C01C82" w:rsidP="00C01C82">
      <w:pPr>
        <w:pStyle w:val="subsection"/>
      </w:pPr>
      <w:r w:rsidRPr="006E709F">
        <w:tab/>
        <w:t>(6)</w:t>
      </w:r>
      <w:r w:rsidRPr="006E709F">
        <w:tab/>
        <w:t>If the superannuation product does not include a generic MySuper product or a balanced investment option (within the meaning given by clause</w:t>
      </w:r>
      <w:r w:rsidR="00DA13DE" w:rsidRPr="006E709F">
        <w:t> </w:t>
      </w:r>
      <w:r w:rsidRPr="006E709F">
        <w:t>101 of Schedule</w:t>
      </w:r>
      <w:r w:rsidR="00DA13DE" w:rsidRPr="006E709F">
        <w:t> </w:t>
      </w:r>
      <w:r w:rsidRPr="006E709F">
        <w:t>10), section</w:t>
      </w:r>
      <w:r w:rsidR="00DA13DE" w:rsidRPr="006E709F">
        <w:t> </w:t>
      </w:r>
      <w:r w:rsidRPr="006E709F">
        <w:t xml:space="preserve">5 must give the information mentioned in </w:t>
      </w:r>
      <w:r w:rsidR="00DA13DE" w:rsidRPr="006E709F">
        <w:t>subclause (</w:t>
      </w:r>
      <w:r w:rsidRPr="006E709F">
        <w:t>3) for the investment option under which most assets of the superannuation entity are invested, whether or not section</w:t>
      </w:r>
      <w:r w:rsidR="00DA13DE" w:rsidRPr="006E709F">
        <w:t> </w:t>
      </w:r>
      <w:r w:rsidRPr="006E709F">
        <w:t>5 gives that information for any MySuper product or other investment option.</w:t>
      </w:r>
    </w:p>
    <w:p w:rsidR="003638DE" w:rsidRPr="006E709F" w:rsidRDefault="003638DE" w:rsidP="00A801D0">
      <w:pPr>
        <w:pStyle w:val="subsection"/>
      </w:pPr>
      <w:r w:rsidRPr="006E709F">
        <w:tab/>
        <w:t>(8)</w:t>
      </w:r>
      <w:r w:rsidRPr="006E709F">
        <w:tab/>
        <w:t>Section</w:t>
      </w:r>
      <w:r w:rsidR="00DA13DE" w:rsidRPr="006E709F">
        <w:t> </w:t>
      </w:r>
      <w:r w:rsidRPr="006E709F">
        <w:t>5:</w:t>
      </w:r>
    </w:p>
    <w:p w:rsidR="006937D5" w:rsidRPr="006E709F" w:rsidRDefault="006937D5" w:rsidP="006937D5">
      <w:pPr>
        <w:pStyle w:val="paragraph"/>
      </w:pPr>
      <w:r w:rsidRPr="006E709F">
        <w:tab/>
        <w:t>(a)</w:t>
      </w:r>
      <w:r w:rsidRPr="006E709F">
        <w:tab/>
        <w:t>must make provision for each MySuper product and investment option which is not presented in section</w:t>
      </w:r>
      <w:r w:rsidR="00DA13DE" w:rsidRPr="006E709F">
        <w:t> </w:t>
      </w:r>
      <w:r w:rsidRPr="006E709F">
        <w:t xml:space="preserve">5 in accordance with </w:t>
      </w:r>
      <w:r w:rsidR="00DA13DE" w:rsidRPr="006E709F">
        <w:t>subclause (</w:t>
      </w:r>
      <w:r w:rsidRPr="006E709F">
        <w:t>3), (4), (5) or (6); and</w:t>
      </w:r>
    </w:p>
    <w:p w:rsidR="003638DE" w:rsidRPr="006E709F" w:rsidRDefault="003638DE" w:rsidP="00A801D0">
      <w:pPr>
        <w:pStyle w:val="paragraph"/>
      </w:pPr>
      <w:r w:rsidRPr="006E709F">
        <w:tab/>
        <w:t>(b)</w:t>
      </w:r>
      <w:r w:rsidRPr="006E709F">
        <w:tab/>
        <w:t xml:space="preserve">may make provision for </w:t>
      </w:r>
      <w:r w:rsidR="006937D5" w:rsidRPr="006E709F">
        <w:t>the MySuper product or investment option</w:t>
      </w:r>
      <w:r w:rsidRPr="006E709F">
        <w:t xml:space="preserve"> by applying, adopting or incorporating matter in a document that:</w:t>
      </w:r>
    </w:p>
    <w:p w:rsidR="003638DE" w:rsidRPr="006E709F" w:rsidRDefault="003638DE" w:rsidP="00A801D0">
      <w:pPr>
        <w:pStyle w:val="paragraphsub"/>
      </w:pPr>
      <w:r w:rsidRPr="006E709F">
        <w:tab/>
        <w:t>(i)</w:t>
      </w:r>
      <w:r w:rsidRPr="006E709F">
        <w:tab/>
        <w:t xml:space="preserve">includes the information mentioned in </w:t>
      </w:r>
      <w:r w:rsidR="00DA13DE" w:rsidRPr="006E709F">
        <w:t>subclause (</w:t>
      </w:r>
      <w:r w:rsidRPr="006E709F">
        <w:t>3); and</w:t>
      </w:r>
    </w:p>
    <w:p w:rsidR="003638DE" w:rsidRPr="006E709F" w:rsidRDefault="003638DE" w:rsidP="00A801D0">
      <w:pPr>
        <w:pStyle w:val="paragraphsub"/>
      </w:pPr>
      <w:r w:rsidRPr="006E709F">
        <w:tab/>
        <w:t>(ii)</w:t>
      </w:r>
      <w:r w:rsidRPr="006E709F">
        <w:tab/>
        <w:t>presents it in the way mentioned in the subclause.</w:t>
      </w:r>
    </w:p>
    <w:p w:rsidR="003638DE" w:rsidRPr="006E709F" w:rsidRDefault="003638DE" w:rsidP="00A801D0">
      <w:pPr>
        <w:pStyle w:val="subsection"/>
      </w:pPr>
      <w:r w:rsidRPr="006E709F">
        <w:tab/>
        <w:t>(9)</w:t>
      </w:r>
      <w:r w:rsidRPr="006E709F">
        <w:tab/>
        <w:t>The superannuation trustee:</w:t>
      </w:r>
    </w:p>
    <w:p w:rsidR="003638DE" w:rsidRPr="006E709F" w:rsidRDefault="003638DE" w:rsidP="00A801D0">
      <w:pPr>
        <w:pStyle w:val="paragraph"/>
      </w:pPr>
      <w:r w:rsidRPr="006E709F">
        <w:tab/>
        <w:t>(a)</w:t>
      </w:r>
      <w:r w:rsidRPr="006E709F">
        <w:tab/>
        <w:t>must provide information about how a person may switch the person’s investments; and</w:t>
      </w:r>
    </w:p>
    <w:p w:rsidR="006937D5" w:rsidRPr="006E709F" w:rsidRDefault="006937D5" w:rsidP="006937D5">
      <w:pPr>
        <w:pStyle w:val="paragraph"/>
      </w:pPr>
      <w:r w:rsidRPr="006E709F">
        <w:tab/>
        <w:t>(b)</w:t>
      </w:r>
      <w:r w:rsidRPr="006E709F">
        <w:tab/>
        <w:t>whether the superannuation product’s MySuper products and investment options may be changed and, if so, how; and</w:t>
      </w:r>
    </w:p>
    <w:p w:rsidR="003638DE" w:rsidRPr="006E709F" w:rsidRDefault="003638DE" w:rsidP="00A801D0">
      <w:pPr>
        <w:pStyle w:val="paragraph"/>
      </w:pPr>
      <w:r w:rsidRPr="006E709F">
        <w:lastRenderedPageBreak/>
        <w:tab/>
        <w:t>(c)</w:t>
      </w:r>
      <w:r w:rsidRPr="006E709F">
        <w:tab/>
        <w:t>must describe, in the form of a summary, the extent to which labour standards or environmental, social or ethical considerations are taken into account in the selection, retention or realisation of investments relating to the superannuation product; and</w:t>
      </w:r>
    </w:p>
    <w:p w:rsidR="003638DE" w:rsidRPr="006E709F" w:rsidRDefault="003638DE" w:rsidP="00A801D0">
      <w:pPr>
        <w:pStyle w:val="paragraph"/>
      </w:pPr>
      <w:r w:rsidRPr="006E709F">
        <w:tab/>
        <w:t>(d)</w:t>
      </w:r>
      <w:r w:rsidRPr="006E709F">
        <w:tab/>
        <w:t xml:space="preserve">may provide the information in </w:t>
      </w:r>
      <w:r w:rsidR="00DA13DE" w:rsidRPr="006E709F">
        <w:t>paragraphs (</w:t>
      </w:r>
      <w:r w:rsidRPr="006E709F">
        <w:t xml:space="preserve">a) to (c), and any additional information about </w:t>
      </w:r>
      <w:r w:rsidR="006937D5" w:rsidRPr="006E709F">
        <w:t>MySuper products or investment options</w:t>
      </w:r>
      <w:r w:rsidRPr="006E709F">
        <w:t>, by applying, adopting or incorporating a matter in writing.</w:t>
      </w:r>
    </w:p>
    <w:p w:rsidR="003638DE" w:rsidRPr="006E709F" w:rsidRDefault="00102067" w:rsidP="00A801D0">
      <w:pPr>
        <w:pStyle w:val="ActHead5"/>
      </w:pPr>
      <w:bookmarkStart w:id="154" w:name="_Toc170547971"/>
      <w:r w:rsidRPr="000C4237">
        <w:rPr>
          <w:rStyle w:val="CharSectno"/>
        </w:rPr>
        <w:t>8</w:t>
      </w:r>
      <w:r w:rsidRPr="006E709F">
        <w:t xml:space="preserve">  </w:t>
      </w:r>
      <w:r w:rsidR="003638DE" w:rsidRPr="006E709F">
        <w:t>Contents of section</w:t>
      </w:r>
      <w:r w:rsidR="00DA13DE" w:rsidRPr="006E709F">
        <w:t> </w:t>
      </w:r>
      <w:r w:rsidR="003638DE" w:rsidRPr="006E709F">
        <w:t>6 (Fees and costs)</w:t>
      </w:r>
      <w:bookmarkEnd w:id="154"/>
    </w:p>
    <w:p w:rsidR="006937D5" w:rsidRPr="006E709F" w:rsidRDefault="006937D5" w:rsidP="006937D5">
      <w:pPr>
        <w:pStyle w:val="subsection"/>
      </w:pPr>
      <w:r w:rsidRPr="006E709F">
        <w:tab/>
        <w:t>(1)</w:t>
      </w:r>
      <w:r w:rsidRPr="006E709F">
        <w:tab/>
        <w:t>For each MySuper product or investment option within a superannuation product that is presented in section</w:t>
      </w:r>
      <w:r w:rsidR="00DA13DE" w:rsidRPr="006E709F">
        <w:t> </w:t>
      </w:r>
      <w:r w:rsidRPr="006E709F">
        <w:t>5 in detail in accordance with subclause</w:t>
      </w:r>
      <w:r w:rsidR="00DA13DE" w:rsidRPr="006E709F">
        <w:t> </w:t>
      </w:r>
      <w:r w:rsidRPr="006E709F">
        <w:t>7(3), section</w:t>
      </w:r>
      <w:r w:rsidR="00DA13DE" w:rsidRPr="006E709F">
        <w:t> </w:t>
      </w:r>
      <w:r w:rsidRPr="006E709F">
        <w:t>6 of the Product Disclosure Statement must state:</w:t>
      </w:r>
    </w:p>
    <w:p w:rsidR="006937D5" w:rsidRPr="006E709F" w:rsidRDefault="006937D5" w:rsidP="006937D5">
      <w:pPr>
        <w:pStyle w:val="paragraph"/>
      </w:pPr>
      <w:r w:rsidRPr="006E709F">
        <w:tab/>
        <w:t>(a)</w:t>
      </w:r>
      <w:r w:rsidRPr="006E709F">
        <w:tab/>
        <w:t>the cost of acquiring the MySuper product or investment option; and</w:t>
      </w:r>
    </w:p>
    <w:p w:rsidR="006937D5" w:rsidRPr="006E709F" w:rsidRDefault="006937D5" w:rsidP="006937D5">
      <w:pPr>
        <w:pStyle w:val="paragraph"/>
      </w:pPr>
      <w:r w:rsidRPr="006E709F">
        <w:tab/>
        <w:t>(b)</w:t>
      </w:r>
      <w:r w:rsidRPr="006E709F">
        <w:tab/>
        <w:t>the fees and costs that are charged in relation to the MySuper product or investment option.</w:t>
      </w:r>
    </w:p>
    <w:p w:rsidR="006937D5" w:rsidRPr="006E709F" w:rsidRDefault="006937D5" w:rsidP="006937D5">
      <w:pPr>
        <w:pStyle w:val="notetext"/>
      </w:pPr>
      <w:r w:rsidRPr="006E709F">
        <w:t>Note:</w:t>
      </w:r>
      <w:r w:rsidRPr="006E709F">
        <w:tab/>
        <w:t xml:space="preserve">The statement will be made using the template set out in </w:t>
      </w:r>
      <w:r w:rsidR="00DA13DE" w:rsidRPr="006E709F">
        <w:t>subclause (</w:t>
      </w:r>
      <w:r w:rsidRPr="006E709F">
        <w:t>3).</w:t>
      </w:r>
    </w:p>
    <w:p w:rsidR="003638DE" w:rsidRPr="006E709F" w:rsidRDefault="003638DE" w:rsidP="00A801D0">
      <w:pPr>
        <w:pStyle w:val="subsection"/>
      </w:pPr>
      <w:r w:rsidRPr="006E709F">
        <w:tab/>
        <w:t>(2)</w:t>
      </w:r>
      <w:r w:rsidRPr="006E709F">
        <w:tab/>
        <w:t>Before setting out any other substantive material, section</w:t>
      </w:r>
      <w:r w:rsidR="00DA13DE" w:rsidRPr="006E709F">
        <w:t> </w:t>
      </w:r>
      <w:r w:rsidRPr="006E709F">
        <w:t>6 must:</w:t>
      </w:r>
    </w:p>
    <w:p w:rsidR="003638DE" w:rsidRPr="006E709F" w:rsidRDefault="003638DE" w:rsidP="00A801D0">
      <w:pPr>
        <w:pStyle w:val="paragraph"/>
      </w:pPr>
      <w:r w:rsidRPr="006E709F">
        <w:tab/>
        <w:t>(a)</w:t>
      </w:r>
      <w:r w:rsidRPr="006E709F">
        <w:tab/>
        <w:t>set out the Consumer Advisory Warning in clause</w:t>
      </w:r>
      <w:r w:rsidR="00DA13DE" w:rsidRPr="006E709F">
        <w:t> </w:t>
      </w:r>
      <w:r w:rsidRPr="006E709F">
        <w:t xml:space="preserve">221 of </w:t>
      </w:r>
      <w:r w:rsidR="00A801D0" w:rsidRPr="006E709F">
        <w:t>Schedule</w:t>
      </w:r>
      <w:r w:rsidR="00DA13DE" w:rsidRPr="006E709F">
        <w:t> </w:t>
      </w:r>
      <w:r w:rsidRPr="006E709F">
        <w:t>10</w:t>
      </w:r>
      <w:r w:rsidRPr="006E709F">
        <w:rPr>
          <w:szCs w:val="22"/>
        </w:rPr>
        <w:t>; and</w:t>
      </w:r>
    </w:p>
    <w:p w:rsidR="003638DE" w:rsidRPr="006E709F" w:rsidRDefault="003638DE" w:rsidP="00A801D0">
      <w:pPr>
        <w:pStyle w:val="paragraph"/>
      </w:pPr>
      <w:r w:rsidRPr="006E709F">
        <w:tab/>
        <w:t>(b)</w:t>
      </w:r>
      <w:r w:rsidRPr="006E709F">
        <w:tab/>
        <w:t>give a concise example in the form set out in the Consumer Advisory Warning in clause</w:t>
      </w:r>
      <w:r w:rsidR="00DA13DE" w:rsidRPr="006E709F">
        <w:t> </w:t>
      </w:r>
      <w:r w:rsidRPr="006E709F">
        <w:t>221 of Schedule</w:t>
      </w:r>
      <w:r w:rsidR="00DA13DE" w:rsidRPr="006E709F">
        <w:t> </w:t>
      </w:r>
      <w:r w:rsidRPr="006E709F">
        <w:t>10.</w:t>
      </w:r>
    </w:p>
    <w:p w:rsidR="006937D5" w:rsidRPr="006E709F" w:rsidRDefault="006937D5" w:rsidP="006937D5">
      <w:pPr>
        <w:pStyle w:val="subsection"/>
      </w:pPr>
      <w:r w:rsidRPr="006E709F">
        <w:tab/>
        <w:t>(3)</w:t>
      </w:r>
      <w:r w:rsidRPr="006E709F">
        <w:tab/>
        <w:t>Section</w:t>
      </w:r>
      <w:r w:rsidR="00DA13DE" w:rsidRPr="006E709F">
        <w:t> </w:t>
      </w:r>
      <w:r w:rsidRPr="006E709F">
        <w:t>6 must set out the fees and costs for each MySuper product or other investment option that is presented in section</w:t>
      </w:r>
      <w:r w:rsidR="00DA13DE" w:rsidRPr="006E709F">
        <w:t> </w:t>
      </w:r>
      <w:r w:rsidRPr="006E709F">
        <w:t>5 in detail in accordance with subclause</w:t>
      </w:r>
      <w:r w:rsidR="00DA13DE" w:rsidRPr="006E709F">
        <w:t> </w:t>
      </w:r>
      <w:r w:rsidRPr="006E709F">
        <w:t>7(3), using the following templates:</w:t>
      </w:r>
    </w:p>
    <w:p w:rsidR="006937D5" w:rsidRPr="006E709F" w:rsidRDefault="006937D5" w:rsidP="006937D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43"/>
        <w:gridCol w:w="2844"/>
        <w:gridCol w:w="2842"/>
      </w:tblGrid>
      <w:tr w:rsidR="006937D5" w:rsidRPr="006E709F" w:rsidTr="00E118FA">
        <w:trPr>
          <w:tblHeader/>
        </w:trPr>
        <w:tc>
          <w:tcPr>
            <w:tcW w:w="5000" w:type="pct"/>
            <w:gridSpan w:val="3"/>
            <w:tcBorders>
              <w:top w:val="single" w:sz="12" w:space="0" w:color="auto"/>
              <w:bottom w:val="single" w:sz="6" w:space="0" w:color="auto"/>
            </w:tcBorders>
            <w:shd w:val="clear" w:color="auto" w:fill="auto"/>
          </w:tcPr>
          <w:p w:rsidR="006937D5" w:rsidRPr="006E709F" w:rsidRDefault="006937D5" w:rsidP="005133DE">
            <w:pPr>
              <w:pStyle w:val="TableHeading"/>
              <w:rPr>
                <w:i/>
              </w:rPr>
            </w:pPr>
            <w:r w:rsidRPr="006E709F">
              <w:rPr>
                <w:i/>
              </w:rPr>
              <w:t>[Name of superannuation product]</w:t>
            </w:r>
          </w:p>
        </w:tc>
      </w:tr>
      <w:tr w:rsidR="006937D5" w:rsidRPr="006E709F" w:rsidTr="00E118FA">
        <w:trPr>
          <w:tblHeader/>
        </w:trPr>
        <w:tc>
          <w:tcPr>
            <w:tcW w:w="1667" w:type="pct"/>
            <w:tcBorders>
              <w:top w:val="single" w:sz="6" w:space="0" w:color="auto"/>
              <w:bottom w:val="single" w:sz="12" w:space="0" w:color="auto"/>
            </w:tcBorders>
            <w:shd w:val="clear" w:color="auto" w:fill="auto"/>
          </w:tcPr>
          <w:p w:rsidR="006937D5" w:rsidRPr="006E709F" w:rsidRDefault="006937D5" w:rsidP="005133DE">
            <w:pPr>
              <w:pStyle w:val="TableHeading"/>
            </w:pPr>
            <w:r w:rsidRPr="006E709F">
              <w:t>Type of fee</w:t>
            </w:r>
          </w:p>
        </w:tc>
        <w:tc>
          <w:tcPr>
            <w:tcW w:w="1667" w:type="pct"/>
            <w:tcBorders>
              <w:top w:val="single" w:sz="6" w:space="0" w:color="auto"/>
              <w:bottom w:val="single" w:sz="12" w:space="0" w:color="auto"/>
            </w:tcBorders>
            <w:shd w:val="clear" w:color="auto" w:fill="auto"/>
          </w:tcPr>
          <w:p w:rsidR="006937D5" w:rsidRPr="006E709F" w:rsidRDefault="006937D5" w:rsidP="005133DE">
            <w:pPr>
              <w:pStyle w:val="TableHeading"/>
            </w:pPr>
            <w:r w:rsidRPr="006E709F">
              <w:t>Amount</w:t>
            </w:r>
          </w:p>
        </w:tc>
        <w:tc>
          <w:tcPr>
            <w:tcW w:w="1666" w:type="pct"/>
            <w:tcBorders>
              <w:top w:val="single" w:sz="6" w:space="0" w:color="auto"/>
              <w:bottom w:val="single" w:sz="12" w:space="0" w:color="auto"/>
            </w:tcBorders>
            <w:shd w:val="clear" w:color="auto" w:fill="auto"/>
          </w:tcPr>
          <w:p w:rsidR="006937D5" w:rsidRPr="006E709F" w:rsidRDefault="006937D5" w:rsidP="005133DE">
            <w:pPr>
              <w:pStyle w:val="TableHeading"/>
            </w:pPr>
            <w:r w:rsidRPr="006E709F">
              <w:t>How and when paid</w:t>
            </w:r>
          </w:p>
        </w:tc>
      </w:tr>
      <w:tr w:rsidR="006937D5" w:rsidRPr="006E709F" w:rsidTr="00E118FA">
        <w:tc>
          <w:tcPr>
            <w:tcW w:w="1667" w:type="pct"/>
            <w:tcBorders>
              <w:top w:val="single" w:sz="12" w:space="0" w:color="auto"/>
            </w:tcBorders>
            <w:shd w:val="clear" w:color="auto" w:fill="auto"/>
          </w:tcPr>
          <w:p w:rsidR="006937D5" w:rsidRPr="006E709F" w:rsidRDefault="00636892" w:rsidP="00A27064">
            <w:pPr>
              <w:pStyle w:val="Tabletext"/>
              <w:rPr>
                <w:i/>
              </w:rPr>
            </w:pPr>
            <w:r w:rsidRPr="006E709F">
              <w:rPr>
                <w:i/>
              </w:rPr>
              <w:t>Investment fee¹</w:t>
            </w:r>
          </w:p>
        </w:tc>
        <w:tc>
          <w:tcPr>
            <w:tcW w:w="1667" w:type="pct"/>
            <w:tcBorders>
              <w:top w:val="single" w:sz="12" w:space="0" w:color="auto"/>
            </w:tcBorders>
            <w:shd w:val="clear" w:color="auto" w:fill="auto"/>
          </w:tcPr>
          <w:p w:rsidR="006937D5" w:rsidRPr="006E709F" w:rsidRDefault="006937D5" w:rsidP="00A27064">
            <w:pPr>
              <w:pStyle w:val="Tabletext"/>
            </w:pPr>
          </w:p>
        </w:tc>
        <w:tc>
          <w:tcPr>
            <w:tcW w:w="1666" w:type="pct"/>
            <w:tcBorders>
              <w:top w:val="single" w:sz="12" w:space="0" w:color="auto"/>
            </w:tcBorders>
            <w:shd w:val="clear" w:color="auto" w:fill="auto"/>
          </w:tcPr>
          <w:p w:rsidR="006937D5" w:rsidRPr="006E709F" w:rsidRDefault="006937D5" w:rsidP="00A27064">
            <w:pPr>
              <w:pStyle w:val="Tabletext"/>
            </w:pPr>
          </w:p>
        </w:tc>
      </w:tr>
      <w:tr w:rsidR="006937D5" w:rsidRPr="006E709F" w:rsidTr="00E118FA">
        <w:tc>
          <w:tcPr>
            <w:tcW w:w="1667" w:type="pct"/>
            <w:shd w:val="clear" w:color="auto" w:fill="auto"/>
          </w:tcPr>
          <w:p w:rsidR="006937D5" w:rsidRPr="006E709F" w:rsidRDefault="00636892" w:rsidP="00A27064">
            <w:pPr>
              <w:pStyle w:val="Tabletext"/>
              <w:rPr>
                <w:i/>
              </w:rPr>
            </w:pPr>
            <w:r w:rsidRPr="006E709F">
              <w:rPr>
                <w:i/>
              </w:rPr>
              <w:t>Administration fee¹</w:t>
            </w:r>
          </w:p>
        </w:tc>
        <w:tc>
          <w:tcPr>
            <w:tcW w:w="1667" w:type="pct"/>
            <w:shd w:val="clear" w:color="auto" w:fill="auto"/>
          </w:tcPr>
          <w:p w:rsidR="006937D5" w:rsidRPr="006E709F" w:rsidRDefault="006937D5" w:rsidP="00A27064">
            <w:pPr>
              <w:pStyle w:val="Tabletext"/>
            </w:pPr>
          </w:p>
        </w:tc>
        <w:tc>
          <w:tcPr>
            <w:tcW w:w="1666" w:type="pct"/>
            <w:shd w:val="clear" w:color="auto" w:fill="auto"/>
          </w:tcPr>
          <w:p w:rsidR="006937D5" w:rsidRPr="006E709F" w:rsidRDefault="006937D5" w:rsidP="00A27064">
            <w:pPr>
              <w:pStyle w:val="Tabletext"/>
            </w:pPr>
          </w:p>
        </w:tc>
      </w:tr>
      <w:tr w:rsidR="006937D5" w:rsidRPr="006E709F" w:rsidTr="00E118FA">
        <w:tc>
          <w:tcPr>
            <w:tcW w:w="1667" w:type="pct"/>
            <w:shd w:val="clear" w:color="auto" w:fill="auto"/>
          </w:tcPr>
          <w:p w:rsidR="006937D5" w:rsidRPr="006E709F" w:rsidRDefault="006937D5" w:rsidP="00A27064">
            <w:pPr>
              <w:pStyle w:val="Tabletext"/>
              <w:rPr>
                <w:i/>
              </w:rPr>
            </w:pPr>
            <w:r w:rsidRPr="006E709F">
              <w:rPr>
                <w:i/>
              </w:rPr>
              <w:t>Buy</w:t>
            </w:r>
            <w:r w:rsidR="000C4237">
              <w:rPr>
                <w:i/>
              </w:rPr>
              <w:noBreakHyphen/>
            </w:r>
            <w:r w:rsidRPr="006E709F">
              <w:rPr>
                <w:i/>
              </w:rPr>
              <w:t>sell spread</w:t>
            </w:r>
          </w:p>
        </w:tc>
        <w:tc>
          <w:tcPr>
            <w:tcW w:w="1667" w:type="pct"/>
            <w:shd w:val="clear" w:color="auto" w:fill="auto"/>
          </w:tcPr>
          <w:p w:rsidR="006937D5" w:rsidRPr="006E709F" w:rsidRDefault="006937D5" w:rsidP="00A27064">
            <w:pPr>
              <w:pStyle w:val="Tabletext"/>
            </w:pPr>
          </w:p>
        </w:tc>
        <w:tc>
          <w:tcPr>
            <w:tcW w:w="1666" w:type="pct"/>
            <w:shd w:val="clear" w:color="auto" w:fill="auto"/>
          </w:tcPr>
          <w:p w:rsidR="006937D5" w:rsidRPr="006E709F" w:rsidRDefault="006937D5" w:rsidP="00A27064">
            <w:pPr>
              <w:pStyle w:val="Tabletext"/>
            </w:pPr>
          </w:p>
        </w:tc>
      </w:tr>
      <w:tr w:rsidR="006937D5" w:rsidRPr="006E709F" w:rsidTr="00E118FA">
        <w:tc>
          <w:tcPr>
            <w:tcW w:w="1667" w:type="pct"/>
            <w:shd w:val="clear" w:color="auto" w:fill="auto"/>
          </w:tcPr>
          <w:p w:rsidR="006937D5" w:rsidRPr="006E709F" w:rsidRDefault="006937D5" w:rsidP="00A27064">
            <w:pPr>
              <w:pStyle w:val="Tabletext"/>
              <w:rPr>
                <w:i/>
              </w:rPr>
            </w:pPr>
            <w:r w:rsidRPr="006E709F">
              <w:rPr>
                <w:i/>
              </w:rPr>
              <w:t>Switching fee</w:t>
            </w:r>
          </w:p>
        </w:tc>
        <w:tc>
          <w:tcPr>
            <w:tcW w:w="1667" w:type="pct"/>
            <w:shd w:val="clear" w:color="auto" w:fill="auto"/>
          </w:tcPr>
          <w:p w:rsidR="006937D5" w:rsidRPr="006E709F" w:rsidRDefault="006937D5" w:rsidP="00A27064">
            <w:pPr>
              <w:pStyle w:val="Tabletext"/>
            </w:pPr>
          </w:p>
        </w:tc>
        <w:tc>
          <w:tcPr>
            <w:tcW w:w="1666" w:type="pct"/>
            <w:shd w:val="clear" w:color="auto" w:fill="auto"/>
          </w:tcPr>
          <w:p w:rsidR="006937D5" w:rsidRPr="006E709F" w:rsidRDefault="006937D5" w:rsidP="00A27064">
            <w:pPr>
              <w:pStyle w:val="Tabletext"/>
            </w:pPr>
          </w:p>
        </w:tc>
      </w:tr>
      <w:tr w:rsidR="006937D5" w:rsidRPr="006E709F" w:rsidTr="00E118FA">
        <w:tc>
          <w:tcPr>
            <w:tcW w:w="1667" w:type="pct"/>
            <w:tcBorders>
              <w:bottom w:val="single" w:sz="4" w:space="0" w:color="auto"/>
            </w:tcBorders>
            <w:shd w:val="clear" w:color="auto" w:fill="auto"/>
          </w:tcPr>
          <w:p w:rsidR="006937D5" w:rsidRPr="006E709F" w:rsidRDefault="006937D5" w:rsidP="00A27064">
            <w:pPr>
              <w:pStyle w:val="Tabletext"/>
              <w:rPr>
                <w:i/>
              </w:rPr>
            </w:pPr>
            <w:r w:rsidRPr="006E709F">
              <w:rPr>
                <w:i/>
              </w:rPr>
              <w:t>Advice fees</w:t>
            </w:r>
          </w:p>
          <w:p w:rsidR="006937D5" w:rsidRPr="006E709F" w:rsidRDefault="006937D5" w:rsidP="00A27064">
            <w:pPr>
              <w:pStyle w:val="Tabletext"/>
            </w:pPr>
            <w:r w:rsidRPr="006E709F">
              <w:t>relating to all members investing in a particular MySuper product or investment option</w:t>
            </w:r>
          </w:p>
        </w:tc>
        <w:tc>
          <w:tcPr>
            <w:tcW w:w="1667" w:type="pct"/>
            <w:tcBorders>
              <w:bottom w:val="single" w:sz="4" w:space="0" w:color="auto"/>
            </w:tcBorders>
            <w:shd w:val="clear" w:color="auto" w:fill="auto"/>
          </w:tcPr>
          <w:p w:rsidR="006937D5" w:rsidRPr="006E709F" w:rsidRDefault="006937D5" w:rsidP="00A27064">
            <w:pPr>
              <w:pStyle w:val="Tabletext"/>
            </w:pPr>
          </w:p>
        </w:tc>
        <w:tc>
          <w:tcPr>
            <w:tcW w:w="1666" w:type="pct"/>
            <w:tcBorders>
              <w:bottom w:val="single" w:sz="4" w:space="0" w:color="auto"/>
            </w:tcBorders>
            <w:shd w:val="clear" w:color="auto" w:fill="auto"/>
          </w:tcPr>
          <w:p w:rsidR="006937D5" w:rsidRPr="006E709F" w:rsidRDefault="006937D5" w:rsidP="00A27064">
            <w:pPr>
              <w:pStyle w:val="Tabletext"/>
            </w:pPr>
          </w:p>
        </w:tc>
      </w:tr>
      <w:tr w:rsidR="006937D5" w:rsidRPr="006E709F" w:rsidTr="00E118FA">
        <w:tc>
          <w:tcPr>
            <w:tcW w:w="1667" w:type="pct"/>
            <w:shd w:val="clear" w:color="auto" w:fill="auto"/>
          </w:tcPr>
          <w:p w:rsidR="006937D5" w:rsidRPr="006E709F" w:rsidRDefault="00636892" w:rsidP="00A27064">
            <w:pPr>
              <w:pStyle w:val="Tabletext"/>
              <w:rPr>
                <w:i/>
              </w:rPr>
            </w:pPr>
            <w:r w:rsidRPr="006E709F">
              <w:rPr>
                <w:i/>
              </w:rPr>
              <w:t>Other fees and costs²</w:t>
            </w:r>
          </w:p>
        </w:tc>
        <w:tc>
          <w:tcPr>
            <w:tcW w:w="1667" w:type="pct"/>
            <w:shd w:val="clear" w:color="auto" w:fill="auto"/>
          </w:tcPr>
          <w:p w:rsidR="006937D5" w:rsidRPr="006E709F" w:rsidRDefault="006937D5" w:rsidP="00A27064">
            <w:pPr>
              <w:pStyle w:val="Tabletext"/>
            </w:pPr>
          </w:p>
        </w:tc>
        <w:tc>
          <w:tcPr>
            <w:tcW w:w="1666" w:type="pct"/>
            <w:shd w:val="clear" w:color="auto" w:fill="auto"/>
          </w:tcPr>
          <w:p w:rsidR="006937D5" w:rsidRPr="006E709F" w:rsidRDefault="006937D5" w:rsidP="00A27064">
            <w:pPr>
              <w:pStyle w:val="Tabletext"/>
            </w:pPr>
          </w:p>
        </w:tc>
      </w:tr>
      <w:tr w:rsidR="006937D5" w:rsidRPr="006E709F" w:rsidTr="00E118FA">
        <w:tc>
          <w:tcPr>
            <w:tcW w:w="1667" w:type="pct"/>
            <w:tcBorders>
              <w:bottom w:val="single" w:sz="12" w:space="0" w:color="auto"/>
            </w:tcBorders>
            <w:shd w:val="clear" w:color="auto" w:fill="auto"/>
          </w:tcPr>
          <w:p w:rsidR="006937D5" w:rsidRPr="006E709F" w:rsidRDefault="00636892" w:rsidP="00A27064">
            <w:pPr>
              <w:pStyle w:val="Tabletext"/>
              <w:rPr>
                <w:i/>
              </w:rPr>
            </w:pPr>
            <w:r w:rsidRPr="006E709F">
              <w:rPr>
                <w:i/>
              </w:rPr>
              <w:t>Indirect cost ratio¹</w:t>
            </w:r>
          </w:p>
        </w:tc>
        <w:tc>
          <w:tcPr>
            <w:tcW w:w="1667" w:type="pct"/>
            <w:tcBorders>
              <w:bottom w:val="single" w:sz="12" w:space="0" w:color="auto"/>
            </w:tcBorders>
            <w:shd w:val="clear" w:color="auto" w:fill="auto"/>
          </w:tcPr>
          <w:p w:rsidR="006937D5" w:rsidRPr="006E709F" w:rsidRDefault="006937D5" w:rsidP="00A27064">
            <w:pPr>
              <w:pStyle w:val="Tabletext"/>
            </w:pPr>
          </w:p>
        </w:tc>
        <w:tc>
          <w:tcPr>
            <w:tcW w:w="1666" w:type="pct"/>
            <w:tcBorders>
              <w:bottom w:val="single" w:sz="12" w:space="0" w:color="auto"/>
            </w:tcBorders>
            <w:shd w:val="clear" w:color="auto" w:fill="auto"/>
          </w:tcPr>
          <w:p w:rsidR="006937D5" w:rsidRPr="006E709F" w:rsidRDefault="006937D5" w:rsidP="00A27064">
            <w:pPr>
              <w:pStyle w:val="Tabletext"/>
            </w:pPr>
          </w:p>
        </w:tc>
      </w:tr>
    </w:tbl>
    <w:p w:rsidR="00636892" w:rsidRPr="006E709F" w:rsidRDefault="00636892" w:rsidP="00636892">
      <w:pPr>
        <w:pStyle w:val="notemargin"/>
      </w:pPr>
      <w:r w:rsidRPr="006E709F">
        <w:t>1.</w:t>
      </w:r>
      <w:r w:rsidRPr="006E709F">
        <w:tab/>
        <w:t>If your account balance for a product offered by the superannuation entity is less than $6,000 at the end of the entity’s income year, the total combined amount of administration fees, investment fees and indirect costs charged to you is capped at 3% of the account balance. Any amount charged in excess of that cap must be refunded.</w:t>
      </w:r>
    </w:p>
    <w:p w:rsidR="006937D5" w:rsidRPr="006E709F" w:rsidRDefault="00636892" w:rsidP="006937D5">
      <w:pPr>
        <w:pStyle w:val="notemargin"/>
      </w:pPr>
      <w:r w:rsidRPr="006E709F">
        <w:t>2</w:t>
      </w:r>
      <w:r w:rsidR="006937D5" w:rsidRPr="006E709F">
        <w:t>.</w:t>
      </w:r>
      <w:r w:rsidR="006937D5" w:rsidRPr="006E709F">
        <w:tab/>
      </w:r>
      <w:r w:rsidR="006937D5" w:rsidRPr="006E709F">
        <w:rPr>
          <w:i/>
        </w:rPr>
        <w:t>[If there are other fees and costs, such as activity fees, advice fees for personal advice or insurance fees, include a cross</w:t>
      </w:r>
      <w:r w:rsidR="000C4237">
        <w:rPr>
          <w:i/>
        </w:rPr>
        <w:noBreakHyphen/>
      </w:r>
      <w:r w:rsidR="006937D5" w:rsidRPr="006E709F">
        <w:rPr>
          <w:i/>
        </w:rPr>
        <w:t>reference to the “Additional Explanation of Fees and Costs”.]</w:t>
      </w:r>
    </w:p>
    <w:p w:rsidR="003638DE" w:rsidRPr="006E709F" w:rsidRDefault="003638DE" w:rsidP="00A801D0">
      <w:pPr>
        <w:pStyle w:val="subsection"/>
      </w:pPr>
      <w:r w:rsidRPr="006E709F">
        <w:lastRenderedPageBreak/>
        <w:tab/>
        <w:t>(4)</w:t>
      </w:r>
      <w:r w:rsidRPr="006E709F">
        <w:tab/>
        <w:t>The template is to be completed in accordance with Division</w:t>
      </w:r>
      <w:r w:rsidR="00DA13DE" w:rsidRPr="006E709F">
        <w:t> </w:t>
      </w:r>
      <w:r w:rsidRPr="006E709F">
        <w:t xml:space="preserve">3 of </w:t>
      </w:r>
      <w:r w:rsidR="00A801D0" w:rsidRPr="006E709F">
        <w:t>Schedule</w:t>
      </w:r>
      <w:r w:rsidR="00DA13DE" w:rsidRPr="006E709F">
        <w:t> </w:t>
      </w:r>
      <w:r w:rsidRPr="006E709F">
        <w:t>10 (including definitions applicable to that Division), except that:</w:t>
      </w:r>
    </w:p>
    <w:p w:rsidR="003638DE" w:rsidRPr="006E709F" w:rsidRDefault="003638DE" w:rsidP="00A801D0">
      <w:pPr>
        <w:pStyle w:val="paragraph"/>
      </w:pPr>
      <w:r w:rsidRPr="006E709F">
        <w:tab/>
        <w:t>(a)</w:t>
      </w:r>
      <w:r w:rsidRPr="006E709F">
        <w:tab/>
        <w:t>clauses</w:t>
      </w:r>
      <w:r w:rsidR="00DA13DE" w:rsidRPr="006E709F">
        <w:t> </w:t>
      </w:r>
      <w:r w:rsidRPr="006E709F">
        <w:t>203, 205, 206 and 207 and subclause</w:t>
      </w:r>
      <w:r w:rsidR="00DA13DE" w:rsidRPr="006E709F">
        <w:t> </w:t>
      </w:r>
      <w:r w:rsidRPr="006E709F">
        <w:t>208(2) do not apply; and</w:t>
      </w:r>
    </w:p>
    <w:p w:rsidR="003638DE" w:rsidRPr="006E709F" w:rsidRDefault="003638DE" w:rsidP="00A801D0">
      <w:pPr>
        <w:pStyle w:val="paragraph"/>
      </w:pPr>
      <w:r w:rsidRPr="006E709F">
        <w:tab/>
        <w:t>(b)</w:t>
      </w:r>
      <w:r w:rsidRPr="006E709F">
        <w:tab/>
        <w:t>the reference in clause</w:t>
      </w:r>
      <w:r w:rsidR="00DA13DE" w:rsidRPr="006E709F">
        <w:t> </w:t>
      </w:r>
      <w:r w:rsidRPr="006E709F">
        <w:t>204 to clause</w:t>
      </w:r>
      <w:r w:rsidR="00DA13DE" w:rsidRPr="006E709F">
        <w:t> </w:t>
      </w:r>
      <w:r w:rsidRPr="006E709F">
        <w:t>205 and clause</w:t>
      </w:r>
      <w:r w:rsidR="00DA13DE" w:rsidRPr="006E709F">
        <w:t> </w:t>
      </w:r>
      <w:r w:rsidRPr="006E709F">
        <w:t>206 does not apply; and</w:t>
      </w:r>
    </w:p>
    <w:p w:rsidR="003638DE" w:rsidRPr="006E709F" w:rsidRDefault="003638DE" w:rsidP="00A801D0">
      <w:pPr>
        <w:pStyle w:val="paragraph"/>
      </w:pPr>
      <w:r w:rsidRPr="006E709F">
        <w:tab/>
        <w:t>(c)</w:t>
      </w:r>
      <w:r w:rsidRPr="006E709F">
        <w:tab/>
        <w:t>the example in subclause</w:t>
      </w:r>
      <w:r w:rsidR="00DA13DE" w:rsidRPr="006E709F">
        <w:t> </w:t>
      </w:r>
      <w:r w:rsidRPr="006E709F">
        <w:t>208(1) is to be treated as stating:</w:t>
      </w:r>
    </w:p>
    <w:p w:rsidR="003638DE" w:rsidRPr="006E709F" w:rsidRDefault="003638DE" w:rsidP="00A801D0">
      <w:pPr>
        <w:pStyle w:val="paragraph"/>
      </w:pPr>
      <w:r w:rsidRPr="006E709F">
        <w:tab/>
      </w:r>
      <w:r w:rsidRPr="006E709F">
        <w:tab/>
        <w:t>“(for example, by using an asterisk with a footnote stating ‘The amount of this fee can be negotiated’)”.</w:t>
      </w:r>
    </w:p>
    <w:p w:rsidR="003638DE" w:rsidRPr="006E709F" w:rsidRDefault="003638DE" w:rsidP="00A801D0">
      <w:pPr>
        <w:pStyle w:val="subsection"/>
      </w:pPr>
      <w:r w:rsidRPr="006E709F">
        <w:tab/>
        <w:t>(5)</w:t>
      </w:r>
      <w:r w:rsidRPr="006E709F">
        <w:tab/>
        <w:t>Section</w:t>
      </w:r>
      <w:r w:rsidR="00DA13DE" w:rsidRPr="006E709F">
        <w:t> </w:t>
      </w:r>
      <w:r w:rsidRPr="006E709F">
        <w:t>6 must set out the information about fee changes set out in paragraph</w:t>
      </w:r>
      <w:r w:rsidR="00DA13DE" w:rsidRPr="006E709F">
        <w:t> </w:t>
      </w:r>
      <w:r w:rsidRPr="006E709F">
        <w:t xml:space="preserve">209(k) of </w:t>
      </w:r>
      <w:r w:rsidR="00A801D0" w:rsidRPr="006E709F">
        <w:t>Schedule</w:t>
      </w:r>
      <w:r w:rsidR="00DA13DE" w:rsidRPr="006E709F">
        <w:t> </w:t>
      </w:r>
      <w:r w:rsidRPr="006E709F">
        <w:t>10.</w:t>
      </w:r>
    </w:p>
    <w:p w:rsidR="003638DE" w:rsidRPr="006E709F" w:rsidRDefault="003638DE" w:rsidP="00A801D0">
      <w:pPr>
        <w:pStyle w:val="subsection"/>
      </w:pPr>
      <w:r w:rsidRPr="006E709F">
        <w:tab/>
        <w:t>(6)</w:t>
      </w:r>
      <w:r w:rsidRPr="006E709F">
        <w:tab/>
        <w:t>Section</w:t>
      </w:r>
      <w:r w:rsidR="00DA13DE" w:rsidRPr="006E709F">
        <w:t> </w:t>
      </w:r>
      <w:r w:rsidRPr="006E709F">
        <w:t>6 must:</w:t>
      </w:r>
    </w:p>
    <w:p w:rsidR="003638DE" w:rsidRPr="006E709F" w:rsidRDefault="003638DE" w:rsidP="00A801D0">
      <w:pPr>
        <w:pStyle w:val="paragraph"/>
      </w:pPr>
      <w:r w:rsidRPr="006E709F">
        <w:tab/>
        <w:t>(a)</w:t>
      </w:r>
      <w:r w:rsidRPr="006E709F">
        <w:tab/>
        <w:t>state that the information in the template can be used to compare costs between different superannuation products; and</w:t>
      </w:r>
    </w:p>
    <w:p w:rsidR="003638DE" w:rsidRPr="006E709F" w:rsidRDefault="003638DE" w:rsidP="00A801D0">
      <w:pPr>
        <w:pStyle w:val="paragraph"/>
      </w:pPr>
      <w:r w:rsidRPr="006E709F">
        <w:tab/>
        <w:t>(b)</w:t>
      </w:r>
      <w:r w:rsidRPr="006E709F">
        <w:tab/>
        <w:t>state concisely, and in general terms, that fees and costs can be paid directly from the person’s account or deducted from investment returns.</w:t>
      </w:r>
    </w:p>
    <w:p w:rsidR="006937D5" w:rsidRPr="006E709F" w:rsidRDefault="006937D5" w:rsidP="006937D5">
      <w:pPr>
        <w:pStyle w:val="subsection"/>
      </w:pPr>
      <w:r w:rsidRPr="006E709F">
        <w:tab/>
        <w:t>(6A)</w:t>
      </w:r>
      <w:r w:rsidRPr="006E709F">
        <w:tab/>
        <w:t>Section</w:t>
      </w:r>
      <w:r w:rsidR="00DA13DE" w:rsidRPr="006E709F">
        <w:t> </w:t>
      </w:r>
      <w:r w:rsidRPr="006E709F">
        <w:t>6 must:</w:t>
      </w:r>
    </w:p>
    <w:p w:rsidR="006937D5" w:rsidRPr="006E709F" w:rsidRDefault="006937D5" w:rsidP="006937D5">
      <w:pPr>
        <w:pStyle w:val="paragraph"/>
      </w:pPr>
      <w:r w:rsidRPr="006E709F">
        <w:tab/>
        <w:t>(a)</w:t>
      </w:r>
      <w:r w:rsidRPr="006E709F">
        <w:tab/>
        <w:t>apply, adopt or incorporate the definitions in relation to fees mentioned in section</w:t>
      </w:r>
      <w:r w:rsidR="00DA13DE" w:rsidRPr="006E709F">
        <w:t> </w:t>
      </w:r>
      <w:r w:rsidRPr="006E709F">
        <w:t xml:space="preserve">29V </w:t>
      </w:r>
      <w:r w:rsidR="00636892" w:rsidRPr="006E709F">
        <w:t>or subsection</w:t>
      </w:r>
      <w:r w:rsidR="00DA13DE" w:rsidRPr="006E709F">
        <w:t> </w:t>
      </w:r>
      <w:r w:rsidR="00636892" w:rsidRPr="006E709F">
        <w:t xml:space="preserve">99BA(2) </w:t>
      </w:r>
      <w:r w:rsidRPr="006E709F">
        <w:t>of the SIS Act; and</w:t>
      </w:r>
    </w:p>
    <w:p w:rsidR="006937D5" w:rsidRPr="006E709F" w:rsidRDefault="006937D5" w:rsidP="006937D5">
      <w:pPr>
        <w:pStyle w:val="paragraph"/>
      </w:pPr>
      <w:r w:rsidRPr="006E709F">
        <w:tab/>
        <w:t>(b)</w:t>
      </w:r>
      <w:r w:rsidRPr="006E709F">
        <w:tab/>
        <w:t>include the address of a link to the definitions maintained on a website.</w:t>
      </w:r>
    </w:p>
    <w:p w:rsidR="006937D5" w:rsidRPr="006E709F" w:rsidRDefault="006937D5" w:rsidP="006937D5">
      <w:pPr>
        <w:pStyle w:val="subsection"/>
      </w:pPr>
      <w:r w:rsidRPr="006E709F">
        <w:tab/>
        <w:t>(7)</w:t>
      </w:r>
      <w:r w:rsidRPr="006E709F">
        <w:tab/>
        <w:t>Section</w:t>
      </w:r>
      <w:r w:rsidR="00DA13DE" w:rsidRPr="006E709F">
        <w:t> </w:t>
      </w:r>
      <w:r w:rsidRPr="006E709F">
        <w:t>6 must give a worked example for each MySuper product or investment option described in section</w:t>
      </w:r>
      <w:r w:rsidR="00DA13DE" w:rsidRPr="006E709F">
        <w:t> </w:t>
      </w:r>
      <w:r w:rsidRPr="006E709F">
        <w:t>5.</w:t>
      </w:r>
    </w:p>
    <w:p w:rsidR="006937D5" w:rsidRPr="006E709F" w:rsidRDefault="006937D5" w:rsidP="006937D5">
      <w:pPr>
        <w:pStyle w:val="subsection"/>
      </w:pPr>
      <w:r w:rsidRPr="006E709F">
        <w:tab/>
        <w:t>(7A)</w:t>
      </w:r>
      <w:r w:rsidRPr="006E709F">
        <w:tab/>
        <w:t>The example given must be in accordance with Divisions</w:t>
      </w:r>
      <w:r w:rsidR="00DA13DE" w:rsidRPr="006E709F">
        <w:t> </w:t>
      </w:r>
      <w:r w:rsidRPr="006E709F">
        <w:t>5 and 6 of Schedule</w:t>
      </w:r>
      <w:r w:rsidR="00DA13DE" w:rsidRPr="006E709F">
        <w:t> </w:t>
      </w:r>
      <w:r w:rsidRPr="006E709F">
        <w:t>10 (including the definitions applicable to those Divisions).</w:t>
      </w:r>
    </w:p>
    <w:p w:rsidR="003638DE" w:rsidRPr="006E709F" w:rsidRDefault="003638DE" w:rsidP="00A801D0">
      <w:pPr>
        <w:pStyle w:val="subsection"/>
      </w:pPr>
      <w:r w:rsidRPr="006E709F">
        <w:tab/>
        <w:t>(8)</w:t>
      </w:r>
      <w:r w:rsidRPr="006E709F">
        <w:tab/>
        <w:t>Section</w:t>
      </w:r>
      <w:r w:rsidR="00DA13DE" w:rsidRPr="006E709F">
        <w:t> </w:t>
      </w:r>
      <w:r w:rsidRPr="006E709F">
        <w:t>6:</w:t>
      </w:r>
    </w:p>
    <w:p w:rsidR="003638DE" w:rsidRPr="006E709F" w:rsidRDefault="003638DE" w:rsidP="00A801D0">
      <w:pPr>
        <w:pStyle w:val="paragraph"/>
      </w:pPr>
      <w:r w:rsidRPr="006E709F">
        <w:tab/>
        <w:t>(a)</w:t>
      </w:r>
      <w:r w:rsidRPr="006E709F">
        <w:tab/>
        <w:t>must refer to the calculator provided by ASIC on its FIDO website or a similar website operated by or on behalf of ASIC; and</w:t>
      </w:r>
    </w:p>
    <w:p w:rsidR="003638DE" w:rsidRPr="006E709F" w:rsidRDefault="003638DE" w:rsidP="00A801D0">
      <w:pPr>
        <w:pStyle w:val="paragraph"/>
      </w:pPr>
      <w:r w:rsidRPr="006E709F">
        <w:tab/>
        <w:t>(b)</w:t>
      </w:r>
      <w:r w:rsidRPr="006E709F">
        <w:tab/>
        <w:t>may also refer to the calculator (if any) provided by the superannuation trustee on its website; and</w:t>
      </w:r>
    </w:p>
    <w:p w:rsidR="003638DE" w:rsidRPr="006E709F" w:rsidRDefault="003638DE" w:rsidP="00A801D0">
      <w:pPr>
        <w:pStyle w:val="paragraph"/>
      </w:pPr>
      <w:r w:rsidRPr="006E709F">
        <w:tab/>
        <w:t>(c)</w:t>
      </w:r>
      <w:r w:rsidRPr="006E709F">
        <w:tab/>
        <w:t>must state that each calculator referred to can be used to calculate the effect of fees and costs on account balances.</w:t>
      </w:r>
    </w:p>
    <w:p w:rsidR="003638DE" w:rsidRPr="006E709F" w:rsidRDefault="003638DE" w:rsidP="00A801D0">
      <w:pPr>
        <w:pStyle w:val="subsection"/>
      </w:pPr>
      <w:r w:rsidRPr="006E709F">
        <w:tab/>
        <w:t>(9)</w:t>
      </w:r>
      <w:r w:rsidRPr="006E709F">
        <w:tab/>
        <w:t>If additional fees may be payable to a financial advisor, section</w:t>
      </w:r>
      <w:r w:rsidR="00DA13DE" w:rsidRPr="006E709F">
        <w:t> </w:t>
      </w:r>
      <w:r w:rsidRPr="006E709F">
        <w:t>6 must:</w:t>
      </w:r>
    </w:p>
    <w:p w:rsidR="003638DE" w:rsidRPr="006E709F" w:rsidRDefault="003638DE" w:rsidP="00A801D0">
      <w:pPr>
        <w:pStyle w:val="paragraph"/>
      </w:pPr>
      <w:r w:rsidRPr="006E709F">
        <w:tab/>
        <w:t>(a)</w:t>
      </w:r>
      <w:r w:rsidRPr="006E709F">
        <w:tab/>
        <w:t>state, in the form of a warning, that additional fees may be paid to a financial advisor if a financial advisor is consulted; and</w:t>
      </w:r>
    </w:p>
    <w:p w:rsidR="003638DE" w:rsidRPr="006E709F" w:rsidRDefault="003638DE" w:rsidP="00A801D0">
      <w:pPr>
        <w:pStyle w:val="paragraph"/>
      </w:pPr>
      <w:r w:rsidRPr="006E709F">
        <w:tab/>
        <w:t>(b)</w:t>
      </w:r>
      <w:r w:rsidRPr="006E709F">
        <w:tab/>
        <w:t>refer to the Statement of Advice in which details of the fees are set out; and</w:t>
      </w:r>
    </w:p>
    <w:p w:rsidR="003638DE" w:rsidRPr="006E709F" w:rsidRDefault="003638DE" w:rsidP="00A801D0">
      <w:pPr>
        <w:pStyle w:val="paragraph"/>
      </w:pPr>
      <w:r w:rsidRPr="006E709F">
        <w:tab/>
        <w:t>(c)</w:t>
      </w:r>
      <w:r w:rsidRPr="006E709F">
        <w:tab/>
        <w:t>if applicable:</w:t>
      </w:r>
    </w:p>
    <w:p w:rsidR="003638DE" w:rsidRPr="006E709F" w:rsidRDefault="003638DE" w:rsidP="00A801D0">
      <w:pPr>
        <w:pStyle w:val="paragraphsub"/>
      </w:pPr>
      <w:r w:rsidRPr="006E709F">
        <w:tab/>
        <w:t>(i)</w:t>
      </w:r>
      <w:r w:rsidRPr="006E709F">
        <w:tab/>
        <w:t>state that fees may be paid to the employer entity’s financial adviser; and</w:t>
      </w:r>
    </w:p>
    <w:p w:rsidR="003638DE" w:rsidRPr="006E709F" w:rsidRDefault="003638DE" w:rsidP="00A801D0">
      <w:pPr>
        <w:pStyle w:val="paragraphsub"/>
      </w:pPr>
      <w:r w:rsidRPr="006E709F">
        <w:tab/>
        <w:t>(ii)</w:t>
      </w:r>
      <w:r w:rsidRPr="006E709F">
        <w:tab/>
        <w:t>explain how the fees are determined.</w:t>
      </w:r>
    </w:p>
    <w:p w:rsidR="003638DE" w:rsidRPr="006E709F" w:rsidRDefault="003638DE" w:rsidP="00A801D0">
      <w:pPr>
        <w:pStyle w:val="subsection"/>
      </w:pPr>
      <w:r w:rsidRPr="006E709F">
        <w:tab/>
        <w:t>(10)</w:t>
      </w:r>
      <w:r w:rsidRPr="006E709F">
        <w:tab/>
        <w:t>The superannuation trustee:</w:t>
      </w:r>
    </w:p>
    <w:p w:rsidR="003638DE" w:rsidRPr="006E709F" w:rsidRDefault="003638DE" w:rsidP="00A801D0">
      <w:pPr>
        <w:pStyle w:val="paragraph"/>
      </w:pPr>
      <w:r w:rsidRPr="006E709F">
        <w:lastRenderedPageBreak/>
        <w:tab/>
        <w:t>(a)</w:t>
      </w:r>
      <w:r w:rsidRPr="006E709F">
        <w:tab/>
        <w:t xml:space="preserve">must provide the fees and costs of </w:t>
      </w:r>
      <w:r w:rsidR="006937D5" w:rsidRPr="006E709F">
        <w:t>each of the MySuper products and investment options</w:t>
      </w:r>
      <w:r w:rsidRPr="006E709F">
        <w:t xml:space="preserve"> in accordance with Schedule</w:t>
      </w:r>
      <w:r w:rsidR="00DA13DE" w:rsidRPr="006E709F">
        <w:t> </w:t>
      </w:r>
      <w:r w:rsidRPr="006E709F">
        <w:t>10, and may do so by applying, adopting or incorporating a matter in writing; and</w:t>
      </w:r>
    </w:p>
    <w:p w:rsidR="003638DE" w:rsidRPr="006E709F" w:rsidRDefault="003638DE" w:rsidP="00A801D0">
      <w:pPr>
        <w:pStyle w:val="paragraph"/>
      </w:pPr>
      <w:r w:rsidRPr="006E709F">
        <w:tab/>
        <w:t>(b)</w:t>
      </w:r>
      <w:r w:rsidRPr="006E709F">
        <w:tab/>
        <w:t>may provide more detailed information about fees and costs by applying, adopting or incorporating a matter in writing.</w:t>
      </w:r>
    </w:p>
    <w:p w:rsidR="003638DE" w:rsidRPr="006E709F" w:rsidRDefault="00102067" w:rsidP="00A801D0">
      <w:pPr>
        <w:pStyle w:val="ActHead5"/>
      </w:pPr>
      <w:bookmarkStart w:id="155" w:name="_Toc170547972"/>
      <w:r w:rsidRPr="000C4237">
        <w:rPr>
          <w:rStyle w:val="CharSectno"/>
        </w:rPr>
        <w:t>9</w:t>
      </w:r>
      <w:r w:rsidRPr="006E709F">
        <w:t xml:space="preserve">  </w:t>
      </w:r>
      <w:r w:rsidR="003638DE" w:rsidRPr="006E709F">
        <w:t>Contents of section</w:t>
      </w:r>
      <w:r w:rsidR="00DA13DE" w:rsidRPr="006E709F">
        <w:t> </w:t>
      </w:r>
      <w:r w:rsidR="003638DE" w:rsidRPr="006E709F">
        <w:t>7 (How super is taxed)</w:t>
      </w:r>
      <w:bookmarkEnd w:id="155"/>
    </w:p>
    <w:p w:rsidR="003638DE" w:rsidRPr="006E709F" w:rsidRDefault="003638DE" w:rsidP="00A801D0">
      <w:pPr>
        <w:pStyle w:val="subsection"/>
      </w:pPr>
      <w:r w:rsidRPr="006E709F">
        <w:tab/>
        <w:t>(1)</w:t>
      </w:r>
      <w:r w:rsidRPr="006E709F">
        <w:tab/>
        <w:t>Section</w:t>
      </w:r>
      <w:r w:rsidR="00DA13DE" w:rsidRPr="006E709F">
        <w:t> </w:t>
      </w:r>
      <w:r w:rsidRPr="006E709F">
        <w:t>7 of the Product Disclosure Statement must describe, in the form of a summary, the significant tax information relating to superannuation products, including:</w:t>
      </w:r>
    </w:p>
    <w:p w:rsidR="003638DE" w:rsidRPr="006E709F" w:rsidRDefault="003638DE" w:rsidP="00A801D0">
      <w:pPr>
        <w:pStyle w:val="paragraph"/>
      </w:pPr>
      <w:r w:rsidRPr="006E709F">
        <w:tab/>
        <w:t>(a)</w:t>
      </w:r>
      <w:r w:rsidRPr="006E709F">
        <w:tab/>
        <w:t>how tax amounts due are paid; and</w:t>
      </w:r>
    </w:p>
    <w:p w:rsidR="003638DE" w:rsidRPr="006E709F" w:rsidRDefault="003638DE" w:rsidP="00A801D0">
      <w:pPr>
        <w:pStyle w:val="paragraph"/>
      </w:pPr>
      <w:r w:rsidRPr="006E709F">
        <w:tab/>
        <w:t>(b)</w:t>
      </w:r>
      <w:r w:rsidRPr="006E709F">
        <w:tab/>
        <w:t>the main taxes that are payable in relation to contributions (if contributions are permitted), fund earnings and withdrawals.</w:t>
      </w:r>
    </w:p>
    <w:p w:rsidR="003638DE" w:rsidRPr="006E709F" w:rsidRDefault="003638DE" w:rsidP="00A801D0">
      <w:pPr>
        <w:pStyle w:val="subsection"/>
      </w:pPr>
      <w:r w:rsidRPr="006E709F">
        <w:tab/>
        <w:t>(2)</w:t>
      </w:r>
      <w:r w:rsidRPr="006E709F">
        <w:tab/>
        <w:t>Section</w:t>
      </w:r>
      <w:r w:rsidR="00DA13DE" w:rsidRPr="006E709F">
        <w:t> </w:t>
      </w:r>
      <w:r w:rsidRPr="006E709F">
        <w:t>7 must:</w:t>
      </w:r>
    </w:p>
    <w:p w:rsidR="003638DE" w:rsidRPr="006E709F" w:rsidRDefault="003638DE" w:rsidP="00A801D0">
      <w:pPr>
        <w:pStyle w:val="paragraph"/>
      </w:pPr>
      <w:r w:rsidRPr="006E709F">
        <w:tab/>
        <w:t>(a)</w:t>
      </w:r>
      <w:r w:rsidRPr="006E709F">
        <w:tab/>
        <w:t>state, in the form of a warning, that the person should provide the person’s tax file number as part of acquiring the superannuation product; and</w:t>
      </w:r>
    </w:p>
    <w:p w:rsidR="003638DE" w:rsidRPr="006E709F" w:rsidRDefault="003638DE" w:rsidP="00A801D0">
      <w:pPr>
        <w:pStyle w:val="paragraph"/>
      </w:pPr>
      <w:r w:rsidRPr="006E709F">
        <w:tab/>
        <w:t>(b)</w:t>
      </w:r>
      <w:r w:rsidRPr="006E709F">
        <w:tab/>
        <w:t>explain, in the form of a summary, the consequences if the person does not provide the person’s tax file number; and</w:t>
      </w:r>
    </w:p>
    <w:p w:rsidR="003638DE" w:rsidRPr="006E709F" w:rsidRDefault="003638DE" w:rsidP="00A801D0">
      <w:pPr>
        <w:pStyle w:val="paragraph"/>
      </w:pPr>
      <w:r w:rsidRPr="006E709F">
        <w:tab/>
        <w:t>(c)</w:t>
      </w:r>
      <w:r w:rsidRPr="006E709F">
        <w:tab/>
        <w:t>if contributions are permitted</w:t>
      </w:r>
      <w:r w:rsidR="00A801D0" w:rsidRPr="006E709F">
        <w:t>—</w:t>
      </w:r>
      <w:r w:rsidRPr="006E709F">
        <w:t>set out a warning that there will be taxation consequences if the contribution caps applicable to superannuation are exceeded.</w:t>
      </w:r>
    </w:p>
    <w:p w:rsidR="003638DE" w:rsidRPr="006E709F" w:rsidRDefault="003638DE" w:rsidP="00A801D0">
      <w:pPr>
        <w:pStyle w:val="subsection"/>
      </w:pPr>
      <w:r w:rsidRPr="006E709F">
        <w:tab/>
        <w:t>(3)</w:t>
      </w:r>
      <w:r w:rsidRPr="006E709F">
        <w:tab/>
        <w:t>The superannuation trustee may provide additional information about taxation matters relating to superannuation products by applying, adopting or incorporating a matter in writing.</w:t>
      </w:r>
    </w:p>
    <w:p w:rsidR="003638DE" w:rsidRPr="006E709F" w:rsidRDefault="00102067" w:rsidP="00A801D0">
      <w:pPr>
        <w:pStyle w:val="ActHead5"/>
      </w:pPr>
      <w:bookmarkStart w:id="156" w:name="_Toc170547973"/>
      <w:r w:rsidRPr="000C4237">
        <w:rPr>
          <w:rStyle w:val="CharSectno"/>
        </w:rPr>
        <w:t>10</w:t>
      </w:r>
      <w:r w:rsidRPr="006E709F">
        <w:t xml:space="preserve">  </w:t>
      </w:r>
      <w:r w:rsidR="003638DE" w:rsidRPr="006E709F">
        <w:t>Contents of section</w:t>
      </w:r>
      <w:r w:rsidR="00DA13DE" w:rsidRPr="006E709F">
        <w:t> </w:t>
      </w:r>
      <w:r w:rsidR="003638DE" w:rsidRPr="006E709F">
        <w:t>8 (Insurance in your super)</w:t>
      </w:r>
      <w:bookmarkEnd w:id="156"/>
    </w:p>
    <w:p w:rsidR="003638DE" w:rsidRPr="006E709F" w:rsidRDefault="003638DE" w:rsidP="00A801D0">
      <w:pPr>
        <w:pStyle w:val="subsection"/>
      </w:pPr>
      <w:r w:rsidRPr="006E709F">
        <w:tab/>
        <w:t>(1)</w:t>
      </w:r>
      <w:r w:rsidRPr="006E709F">
        <w:tab/>
        <w:t>If the superannuation product does not offer insurance cover, the Product Disclosure Statement is not required to include any of the information in this clause.</w:t>
      </w:r>
    </w:p>
    <w:p w:rsidR="003638DE" w:rsidRPr="006E709F" w:rsidRDefault="003638DE" w:rsidP="00A801D0">
      <w:pPr>
        <w:pStyle w:val="subsection"/>
      </w:pPr>
      <w:r w:rsidRPr="006E709F">
        <w:tab/>
        <w:t>(2)</w:t>
      </w:r>
      <w:r w:rsidRPr="006E709F">
        <w:tab/>
        <w:t>If the superannuation product offers insurance cover, section</w:t>
      </w:r>
      <w:r w:rsidR="00DA13DE" w:rsidRPr="006E709F">
        <w:t> </w:t>
      </w:r>
      <w:r w:rsidRPr="006E709F">
        <w:t>8 must:</w:t>
      </w:r>
    </w:p>
    <w:p w:rsidR="003638DE" w:rsidRPr="006E709F" w:rsidRDefault="003638DE" w:rsidP="00A801D0">
      <w:pPr>
        <w:pStyle w:val="paragraph"/>
      </w:pPr>
      <w:r w:rsidRPr="006E709F">
        <w:tab/>
        <w:t>(a)</w:t>
      </w:r>
      <w:r w:rsidRPr="006E709F">
        <w:tab/>
        <w:t>describe, in the form of a summary, the main types of insurance cover that a person can acquire; and</w:t>
      </w:r>
    </w:p>
    <w:p w:rsidR="003638DE" w:rsidRPr="006E709F" w:rsidRDefault="003638DE" w:rsidP="00A801D0">
      <w:pPr>
        <w:pStyle w:val="paragraph"/>
      </w:pPr>
      <w:r w:rsidRPr="006E709F">
        <w:tab/>
        <w:t>(b)</w:t>
      </w:r>
      <w:r w:rsidRPr="006E709F">
        <w:tab/>
        <w:t>describe, in the form of a summary, how to apply for insurance cover; and</w:t>
      </w:r>
    </w:p>
    <w:p w:rsidR="003638DE" w:rsidRPr="006E709F" w:rsidRDefault="003638DE" w:rsidP="00A801D0">
      <w:pPr>
        <w:pStyle w:val="paragraph"/>
      </w:pPr>
      <w:r w:rsidRPr="006E709F">
        <w:tab/>
        <w:t>(c)</w:t>
      </w:r>
      <w:r w:rsidRPr="006E709F">
        <w:tab/>
        <w:t>include a statement to the effect that there are costs associated with insurance cover; and</w:t>
      </w:r>
    </w:p>
    <w:p w:rsidR="003638DE" w:rsidRPr="006E709F" w:rsidRDefault="003638DE" w:rsidP="00A801D0">
      <w:pPr>
        <w:pStyle w:val="paragraph"/>
      </w:pPr>
      <w:r w:rsidRPr="006E709F">
        <w:tab/>
        <w:t>(d)</w:t>
      </w:r>
      <w:r w:rsidRPr="006E709F">
        <w:tab/>
        <w:t>describe, in the form of a summary, who is responsible for paying the insurance costs and how they are calculated.</w:t>
      </w:r>
    </w:p>
    <w:p w:rsidR="003638DE" w:rsidRPr="006E709F" w:rsidRDefault="003638DE" w:rsidP="00A801D0">
      <w:pPr>
        <w:pStyle w:val="subsection"/>
      </w:pPr>
      <w:r w:rsidRPr="006E709F">
        <w:tab/>
        <w:t>(3)</w:t>
      </w:r>
      <w:r w:rsidRPr="006E709F">
        <w:tab/>
        <w:t>If the superannuation product offers insurance cover by default, section</w:t>
      </w:r>
      <w:r w:rsidR="00DA13DE" w:rsidRPr="006E709F">
        <w:t> </w:t>
      </w:r>
      <w:r w:rsidRPr="006E709F">
        <w:t>8 must:</w:t>
      </w:r>
    </w:p>
    <w:p w:rsidR="003638DE" w:rsidRPr="006E709F" w:rsidRDefault="003638DE" w:rsidP="00A801D0">
      <w:pPr>
        <w:pStyle w:val="paragraph"/>
      </w:pPr>
      <w:r w:rsidRPr="006E709F">
        <w:tab/>
        <w:t>(a)</w:t>
      </w:r>
      <w:r w:rsidRPr="006E709F">
        <w:tab/>
        <w:t>describe, in the form of a summary, the level and type of cover; and</w:t>
      </w:r>
    </w:p>
    <w:p w:rsidR="003638DE" w:rsidRPr="006E709F" w:rsidRDefault="003638DE" w:rsidP="00A801D0">
      <w:pPr>
        <w:pStyle w:val="paragraph"/>
      </w:pPr>
      <w:r w:rsidRPr="006E709F">
        <w:tab/>
        <w:t>(b)</w:t>
      </w:r>
      <w:r w:rsidRPr="006E709F">
        <w:tab/>
        <w:t>state:</w:t>
      </w:r>
    </w:p>
    <w:p w:rsidR="003638DE" w:rsidRPr="006E709F" w:rsidRDefault="003638DE" w:rsidP="00A801D0">
      <w:pPr>
        <w:pStyle w:val="paragraphsub"/>
      </w:pPr>
      <w:r w:rsidRPr="006E709F">
        <w:tab/>
        <w:t>(i)</w:t>
      </w:r>
      <w:r w:rsidRPr="006E709F">
        <w:tab/>
        <w:t>the actual cost of the cover in dollars, or the range of costs that would be payable depending on a person’s circumstances; and</w:t>
      </w:r>
    </w:p>
    <w:p w:rsidR="003638DE" w:rsidRPr="006E709F" w:rsidRDefault="003638DE" w:rsidP="00A801D0">
      <w:pPr>
        <w:pStyle w:val="paragraphsub"/>
      </w:pPr>
      <w:r w:rsidRPr="006E709F">
        <w:lastRenderedPageBreak/>
        <w:tab/>
        <w:t>(ii)</w:t>
      </w:r>
      <w:r w:rsidRPr="006E709F">
        <w:tab/>
        <w:t>who is responsible for paying the costs; and</w:t>
      </w:r>
    </w:p>
    <w:p w:rsidR="003638DE" w:rsidRPr="006E709F" w:rsidRDefault="003638DE" w:rsidP="00A801D0">
      <w:pPr>
        <w:pStyle w:val="paragraph"/>
      </w:pPr>
      <w:r w:rsidRPr="006E709F">
        <w:tab/>
        <w:t>(c)</w:t>
      </w:r>
      <w:r w:rsidRPr="006E709F">
        <w:tab/>
        <w:t>state whether a person can:</w:t>
      </w:r>
    </w:p>
    <w:p w:rsidR="003638DE" w:rsidRPr="006E709F" w:rsidRDefault="003638DE" w:rsidP="00A801D0">
      <w:pPr>
        <w:pStyle w:val="paragraphsub"/>
      </w:pPr>
      <w:r w:rsidRPr="006E709F">
        <w:tab/>
        <w:t>(i)</w:t>
      </w:r>
      <w:r w:rsidRPr="006E709F">
        <w:tab/>
        <w:t>decline to acquire the cover; or</w:t>
      </w:r>
    </w:p>
    <w:p w:rsidR="003638DE" w:rsidRPr="006E709F" w:rsidRDefault="003638DE" w:rsidP="00A801D0">
      <w:pPr>
        <w:pStyle w:val="paragraphsub"/>
      </w:pPr>
      <w:r w:rsidRPr="006E709F">
        <w:tab/>
        <w:t>(ii)</w:t>
      </w:r>
      <w:r w:rsidRPr="006E709F">
        <w:tab/>
        <w:t>cancel the cover; and</w:t>
      </w:r>
    </w:p>
    <w:p w:rsidR="003638DE" w:rsidRPr="006E709F" w:rsidRDefault="003638DE" w:rsidP="00A801D0">
      <w:pPr>
        <w:pStyle w:val="paragraph"/>
      </w:pPr>
      <w:r w:rsidRPr="006E709F">
        <w:tab/>
        <w:t>(d)</w:t>
      </w:r>
      <w:r w:rsidRPr="006E709F">
        <w:tab/>
        <w:t>state how a person can decline to acquire the cover or cancel the cover; and</w:t>
      </w:r>
    </w:p>
    <w:p w:rsidR="003638DE" w:rsidRPr="006E709F" w:rsidRDefault="003638DE" w:rsidP="00A801D0">
      <w:pPr>
        <w:pStyle w:val="paragraph"/>
      </w:pPr>
      <w:r w:rsidRPr="006E709F">
        <w:tab/>
        <w:t>(e)</w:t>
      </w:r>
      <w:r w:rsidRPr="006E709F">
        <w:tab/>
        <w:t>state whether a person can change the person’s insurance cover; and</w:t>
      </w:r>
    </w:p>
    <w:p w:rsidR="003638DE" w:rsidRPr="006E709F" w:rsidRDefault="003638DE" w:rsidP="00A801D0">
      <w:pPr>
        <w:pStyle w:val="paragraph"/>
      </w:pPr>
      <w:r w:rsidRPr="006E709F">
        <w:tab/>
        <w:t>(f)</w:t>
      </w:r>
      <w:r w:rsidRPr="006E709F">
        <w:tab/>
        <w:t>state how a person can change the person’s insurance cover; and</w:t>
      </w:r>
    </w:p>
    <w:p w:rsidR="003638DE" w:rsidRPr="006E709F" w:rsidRDefault="003638DE" w:rsidP="00A801D0">
      <w:pPr>
        <w:pStyle w:val="paragraph"/>
      </w:pPr>
      <w:r w:rsidRPr="006E709F">
        <w:tab/>
        <w:t>(g)</w:t>
      </w:r>
      <w:r w:rsidRPr="006E709F">
        <w:tab/>
        <w:t>state, in the form of a warning, that, unless a person declines to acquire the default insurance cover or cancels it, the cost of the cover will be deducted from the person’s account or from the person’s contributions (as applicable); and</w:t>
      </w:r>
    </w:p>
    <w:p w:rsidR="003638DE" w:rsidRPr="006E709F" w:rsidRDefault="003638DE" w:rsidP="00A801D0">
      <w:pPr>
        <w:pStyle w:val="paragraph"/>
      </w:pPr>
      <w:r w:rsidRPr="006E709F">
        <w:tab/>
        <w:t>(h)</w:t>
      </w:r>
      <w:r w:rsidRPr="006E709F">
        <w:tab/>
        <w:t>include information about eligibility for, and the cancellation of, the insurance cover; and</w:t>
      </w:r>
    </w:p>
    <w:p w:rsidR="003638DE" w:rsidRPr="006E709F" w:rsidRDefault="003638DE" w:rsidP="00A801D0">
      <w:pPr>
        <w:pStyle w:val="paragraph"/>
      </w:pPr>
      <w:r w:rsidRPr="006E709F">
        <w:tab/>
        <w:t>(i)</w:t>
      </w:r>
      <w:r w:rsidRPr="006E709F">
        <w:tab/>
        <w:t>include information about any conditions and exclusions that are applicable to the insurance cover.</w:t>
      </w:r>
    </w:p>
    <w:p w:rsidR="003638DE" w:rsidRPr="006E709F" w:rsidRDefault="003638DE" w:rsidP="00A801D0">
      <w:pPr>
        <w:pStyle w:val="subsection"/>
      </w:pPr>
      <w:r w:rsidRPr="006E709F">
        <w:tab/>
        <w:t>(4)</w:t>
      </w:r>
      <w:r w:rsidRPr="006E709F">
        <w:tab/>
        <w:t>If the superannuation product does not offer insurance cover by default but offers insurance cover as an option, section</w:t>
      </w:r>
      <w:r w:rsidR="00DA13DE" w:rsidRPr="006E709F">
        <w:t> </w:t>
      </w:r>
      <w:r w:rsidRPr="006E709F">
        <w:t>8 must include the following information:</w:t>
      </w:r>
    </w:p>
    <w:p w:rsidR="003638DE" w:rsidRPr="006E709F" w:rsidRDefault="003638DE" w:rsidP="00A801D0">
      <w:pPr>
        <w:pStyle w:val="paragraph"/>
      </w:pPr>
      <w:r w:rsidRPr="006E709F">
        <w:tab/>
        <w:t>(a)</w:t>
      </w:r>
      <w:r w:rsidRPr="006E709F">
        <w:tab/>
        <w:t>the level and type of insurance cover available;</w:t>
      </w:r>
    </w:p>
    <w:p w:rsidR="003638DE" w:rsidRPr="006E709F" w:rsidRDefault="003638DE" w:rsidP="00A801D0">
      <w:pPr>
        <w:pStyle w:val="paragraph"/>
      </w:pPr>
      <w:r w:rsidRPr="006E709F">
        <w:tab/>
        <w:t>(b)</w:t>
      </w:r>
      <w:r w:rsidRPr="006E709F">
        <w:tab/>
        <w:t>the actual cost of the cover in dollars, or the range of costs that would be payable depending on a person’s circumstances;</w:t>
      </w:r>
    </w:p>
    <w:p w:rsidR="003638DE" w:rsidRPr="006E709F" w:rsidRDefault="003638DE" w:rsidP="00A801D0">
      <w:pPr>
        <w:pStyle w:val="paragraph"/>
      </w:pPr>
      <w:r w:rsidRPr="006E709F">
        <w:tab/>
        <w:t>(c)</w:t>
      </w:r>
      <w:r w:rsidRPr="006E709F">
        <w:tab/>
        <w:t>eligibility for, and the cancellation of, the insurance cover;</w:t>
      </w:r>
    </w:p>
    <w:p w:rsidR="003638DE" w:rsidRPr="006E709F" w:rsidRDefault="003638DE" w:rsidP="00A801D0">
      <w:pPr>
        <w:pStyle w:val="paragraph"/>
      </w:pPr>
      <w:r w:rsidRPr="006E709F">
        <w:tab/>
        <w:t>(d)</w:t>
      </w:r>
      <w:r w:rsidRPr="006E709F">
        <w:tab/>
        <w:t>any conditions and exclusions that are applicable to the insurance cover;</w:t>
      </w:r>
    </w:p>
    <w:p w:rsidR="003638DE" w:rsidRPr="006E709F" w:rsidRDefault="003638DE" w:rsidP="00A801D0">
      <w:pPr>
        <w:pStyle w:val="paragraph"/>
      </w:pPr>
      <w:r w:rsidRPr="006E709F">
        <w:tab/>
        <w:t>(e)</w:t>
      </w:r>
      <w:r w:rsidRPr="006E709F">
        <w:tab/>
        <w:t>any other significant matter in relation to insurance cover.</w:t>
      </w:r>
    </w:p>
    <w:p w:rsidR="002739BF" w:rsidRPr="006E709F" w:rsidRDefault="003638DE" w:rsidP="007A71D2">
      <w:pPr>
        <w:pStyle w:val="notetext"/>
      </w:pPr>
      <w:r w:rsidRPr="006E709F">
        <w:t xml:space="preserve">Examples for </w:t>
      </w:r>
      <w:r w:rsidR="00DA13DE" w:rsidRPr="006E709F">
        <w:t>paragraph (</w:t>
      </w:r>
      <w:r w:rsidRPr="006E709F">
        <w:t>e)</w:t>
      </w:r>
      <w:r w:rsidR="002739BF" w:rsidRPr="006E709F">
        <w:t>:</w:t>
      </w:r>
    </w:p>
    <w:p w:rsidR="002739BF" w:rsidRPr="006E709F" w:rsidRDefault="003638DE" w:rsidP="007A71D2">
      <w:pPr>
        <w:pStyle w:val="notetext"/>
      </w:pPr>
      <w:r w:rsidRPr="006E709F">
        <w:t>1</w:t>
      </w:r>
      <w:r w:rsidR="002739BF" w:rsidRPr="006E709F">
        <w:tab/>
      </w:r>
      <w:r w:rsidRPr="006E709F">
        <w:t>Information about how a person can apply for the insurance cover.</w:t>
      </w:r>
    </w:p>
    <w:p w:rsidR="003638DE" w:rsidRPr="006E709F" w:rsidRDefault="003638DE" w:rsidP="007A71D2">
      <w:pPr>
        <w:pStyle w:val="notetext"/>
      </w:pPr>
      <w:r w:rsidRPr="006E709F">
        <w:t>2</w:t>
      </w:r>
      <w:r w:rsidR="002739BF" w:rsidRPr="006E709F">
        <w:tab/>
      </w:r>
      <w:r w:rsidRPr="006E709F">
        <w:t>Information about how a person can subsequently change or cancel the insurance cover.</w:t>
      </w:r>
    </w:p>
    <w:p w:rsidR="003638DE" w:rsidRPr="006E709F" w:rsidRDefault="003638DE" w:rsidP="00A801D0">
      <w:pPr>
        <w:pStyle w:val="subsection"/>
      </w:pPr>
      <w:r w:rsidRPr="006E709F">
        <w:tab/>
        <w:t>(5)</w:t>
      </w:r>
      <w:r w:rsidRPr="006E709F">
        <w:tab/>
        <w:t>The superannuation trustee:</w:t>
      </w:r>
    </w:p>
    <w:p w:rsidR="003638DE" w:rsidRPr="006E709F" w:rsidRDefault="003638DE" w:rsidP="00A801D0">
      <w:pPr>
        <w:pStyle w:val="paragraph"/>
      </w:pPr>
      <w:r w:rsidRPr="006E709F">
        <w:tab/>
        <w:t>(a)</w:t>
      </w:r>
      <w:r w:rsidRPr="006E709F">
        <w:tab/>
        <w:t xml:space="preserve">may provide the information in </w:t>
      </w:r>
      <w:r w:rsidR="00DA13DE" w:rsidRPr="006E709F">
        <w:t>paragraphs (</w:t>
      </w:r>
      <w:r w:rsidRPr="006E709F">
        <w:t>3</w:t>
      </w:r>
      <w:r w:rsidR="00A801D0" w:rsidRPr="006E709F">
        <w:t>)(</w:t>
      </w:r>
      <w:r w:rsidRPr="006E709F">
        <w:t xml:space="preserve">h) and (i) and </w:t>
      </w:r>
      <w:r w:rsidR="00DA13DE" w:rsidRPr="006E709F">
        <w:t>subclause (</w:t>
      </w:r>
      <w:r w:rsidRPr="006E709F">
        <w:t>4); and</w:t>
      </w:r>
    </w:p>
    <w:p w:rsidR="003638DE" w:rsidRPr="006E709F" w:rsidRDefault="003638DE" w:rsidP="00A801D0">
      <w:pPr>
        <w:pStyle w:val="paragraph"/>
      </w:pPr>
      <w:r w:rsidRPr="006E709F">
        <w:tab/>
        <w:t>(b)</w:t>
      </w:r>
      <w:r w:rsidRPr="006E709F">
        <w:tab/>
        <w:t>may provide additional information about insurance cover;</w:t>
      </w:r>
    </w:p>
    <w:p w:rsidR="003638DE" w:rsidRPr="006E709F" w:rsidRDefault="003638DE" w:rsidP="00A801D0">
      <w:pPr>
        <w:pStyle w:val="subsection2"/>
      </w:pPr>
      <w:r w:rsidRPr="006E709F">
        <w:t>by applying, adopting or incorporating a matter in writing.</w:t>
      </w:r>
    </w:p>
    <w:p w:rsidR="003638DE" w:rsidRPr="006E709F" w:rsidRDefault="003638DE" w:rsidP="00A801D0">
      <w:pPr>
        <w:pStyle w:val="subsection"/>
      </w:pPr>
      <w:r w:rsidRPr="006E709F">
        <w:tab/>
        <w:t>(6)</w:t>
      </w:r>
      <w:r w:rsidRPr="006E709F">
        <w:tab/>
        <w:t>If information about:</w:t>
      </w:r>
    </w:p>
    <w:p w:rsidR="003638DE" w:rsidRPr="006E709F" w:rsidRDefault="003638DE" w:rsidP="00A801D0">
      <w:pPr>
        <w:pStyle w:val="paragraph"/>
      </w:pPr>
      <w:r w:rsidRPr="006E709F">
        <w:tab/>
        <w:t>(a)</w:t>
      </w:r>
      <w:r w:rsidRPr="006E709F">
        <w:tab/>
        <w:t>eligibility for, or the cancellation of, the insurance cover; or</w:t>
      </w:r>
    </w:p>
    <w:p w:rsidR="003638DE" w:rsidRPr="006E709F" w:rsidRDefault="003638DE" w:rsidP="00A801D0">
      <w:pPr>
        <w:pStyle w:val="paragraph"/>
      </w:pPr>
      <w:r w:rsidRPr="006E709F">
        <w:tab/>
        <w:t>(b)</w:t>
      </w:r>
      <w:r w:rsidRPr="006E709F">
        <w:tab/>
        <w:t>any conditions and exclusions that are applicable to the insurance cover;</w:t>
      </w:r>
    </w:p>
    <w:p w:rsidR="003638DE" w:rsidRPr="006E709F" w:rsidRDefault="003638DE" w:rsidP="00A801D0">
      <w:pPr>
        <w:pStyle w:val="subsection2"/>
      </w:pPr>
      <w:r w:rsidRPr="006E709F">
        <w:t xml:space="preserve">is provided for in accordance with </w:t>
      </w:r>
      <w:r w:rsidR="00DA13DE" w:rsidRPr="006E709F">
        <w:t>subclause (</w:t>
      </w:r>
      <w:r w:rsidRPr="006E709F">
        <w:t>5), section</w:t>
      </w:r>
      <w:r w:rsidR="00DA13DE" w:rsidRPr="006E709F">
        <w:t> </w:t>
      </w:r>
      <w:r w:rsidRPr="006E709F">
        <w:t>8 must include a warning to the effect that the matter may affect a person’s entitlement to insurance cover and that the information should be read before deciding whether the insurance is appropriate.</w:t>
      </w:r>
    </w:p>
    <w:p w:rsidR="003638DE" w:rsidRPr="006E709F" w:rsidRDefault="003638DE" w:rsidP="00A801D0">
      <w:pPr>
        <w:pStyle w:val="subsection"/>
      </w:pPr>
      <w:r w:rsidRPr="006E709F">
        <w:tab/>
        <w:t>(7)</w:t>
      </w:r>
      <w:r w:rsidRPr="006E709F">
        <w:tab/>
        <w:t>If information about:</w:t>
      </w:r>
    </w:p>
    <w:p w:rsidR="003638DE" w:rsidRPr="006E709F" w:rsidRDefault="003638DE" w:rsidP="00A801D0">
      <w:pPr>
        <w:pStyle w:val="paragraph"/>
      </w:pPr>
      <w:r w:rsidRPr="006E709F">
        <w:tab/>
        <w:t>(a)</w:t>
      </w:r>
      <w:r w:rsidRPr="006E709F">
        <w:tab/>
        <w:t>the level and type of optional insurance cover available; or</w:t>
      </w:r>
    </w:p>
    <w:p w:rsidR="003638DE" w:rsidRPr="006E709F" w:rsidRDefault="003638DE" w:rsidP="00A801D0">
      <w:pPr>
        <w:pStyle w:val="paragraph"/>
      </w:pPr>
      <w:r w:rsidRPr="006E709F">
        <w:lastRenderedPageBreak/>
        <w:tab/>
        <w:t>(b)</w:t>
      </w:r>
      <w:r w:rsidRPr="006E709F">
        <w:tab/>
        <w:t>the actual cost of the optional insurance cover in dollars, or the range of costs that would be payable depending on a person’s circumstances; or</w:t>
      </w:r>
    </w:p>
    <w:p w:rsidR="003638DE" w:rsidRPr="006E709F" w:rsidRDefault="003638DE" w:rsidP="00A801D0">
      <w:pPr>
        <w:pStyle w:val="paragraph"/>
      </w:pPr>
      <w:r w:rsidRPr="006E709F">
        <w:tab/>
        <w:t>(c)</w:t>
      </w:r>
      <w:r w:rsidRPr="006E709F">
        <w:tab/>
        <w:t>any other significant matter in relation to insurance cover;</w:t>
      </w:r>
    </w:p>
    <w:p w:rsidR="003638DE" w:rsidRPr="006E709F" w:rsidRDefault="003638DE" w:rsidP="00A801D0">
      <w:pPr>
        <w:pStyle w:val="subsection2"/>
      </w:pPr>
      <w:r w:rsidRPr="006E709F">
        <w:t xml:space="preserve">is provided for in accordance with </w:t>
      </w:r>
      <w:r w:rsidR="00DA13DE" w:rsidRPr="006E709F">
        <w:t>subclause (</w:t>
      </w:r>
      <w:r w:rsidRPr="006E709F">
        <w:t>5), section</w:t>
      </w:r>
      <w:r w:rsidR="00DA13DE" w:rsidRPr="006E709F">
        <w:t> </w:t>
      </w:r>
      <w:r w:rsidRPr="006E709F">
        <w:t>8 must include a warning to the effect that the information should be read before deciding whether the insurance is appropriate.</w:t>
      </w:r>
    </w:p>
    <w:p w:rsidR="003638DE" w:rsidRPr="006E709F" w:rsidRDefault="00102067" w:rsidP="00A801D0">
      <w:pPr>
        <w:pStyle w:val="ActHead5"/>
      </w:pPr>
      <w:bookmarkStart w:id="157" w:name="_Toc170547974"/>
      <w:r w:rsidRPr="000C4237">
        <w:rPr>
          <w:rStyle w:val="CharSectno"/>
        </w:rPr>
        <w:t>11</w:t>
      </w:r>
      <w:r w:rsidRPr="006E709F">
        <w:t xml:space="preserve">  </w:t>
      </w:r>
      <w:r w:rsidR="003638DE" w:rsidRPr="006E709F">
        <w:t>Contents of section</w:t>
      </w:r>
      <w:r w:rsidR="00DA13DE" w:rsidRPr="006E709F">
        <w:t> </w:t>
      </w:r>
      <w:r w:rsidR="003638DE" w:rsidRPr="006E709F">
        <w:t>9 (How to open an account)</w:t>
      </w:r>
      <w:bookmarkEnd w:id="157"/>
    </w:p>
    <w:p w:rsidR="003638DE" w:rsidRPr="006E709F" w:rsidRDefault="003638DE" w:rsidP="00A801D0">
      <w:pPr>
        <w:pStyle w:val="subsection"/>
      </w:pPr>
      <w:r w:rsidRPr="006E709F">
        <w:tab/>
        <w:t>(1)</w:t>
      </w:r>
      <w:r w:rsidRPr="006E709F">
        <w:tab/>
        <w:t>Section</w:t>
      </w:r>
      <w:r w:rsidR="00DA13DE" w:rsidRPr="006E709F">
        <w:t> </w:t>
      </w:r>
      <w:r w:rsidRPr="006E709F">
        <w:t>9 of the Product Disclosure Statement must, if applicable:</w:t>
      </w:r>
    </w:p>
    <w:p w:rsidR="003638DE" w:rsidRPr="006E709F" w:rsidRDefault="003638DE" w:rsidP="00A801D0">
      <w:pPr>
        <w:pStyle w:val="paragraph"/>
      </w:pPr>
      <w:r w:rsidRPr="006E709F">
        <w:tab/>
        <w:t>(a)</w:t>
      </w:r>
      <w:r w:rsidRPr="006E709F">
        <w:tab/>
        <w:t>describe, in the form of a summary, how to open an account with the superannuation provider; and</w:t>
      </w:r>
    </w:p>
    <w:p w:rsidR="003638DE" w:rsidRPr="006E709F" w:rsidRDefault="003638DE" w:rsidP="00A801D0">
      <w:pPr>
        <w:pStyle w:val="paragraph"/>
      </w:pPr>
      <w:r w:rsidRPr="006E709F">
        <w:tab/>
        <w:t>(b)</w:t>
      </w:r>
      <w:r w:rsidRPr="006E709F">
        <w:tab/>
        <w:t>explain the cooling</w:t>
      </w:r>
      <w:r w:rsidR="000C4237">
        <w:noBreakHyphen/>
      </w:r>
      <w:r w:rsidRPr="006E709F">
        <w:t>off period that applies to the superannuation product; and</w:t>
      </w:r>
    </w:p>
    <w:p w:rsidR="003638DE" w:rsidRPr="006E709F" w:rsidRDefault="003638DE" w:rsidP="00A801D0">
      <w:pPr>
        <w:pStyle w:val="paragraph"/>
      </w:pPr>
      <w:r w:rsidRPr="006E709F">
        <w:tab/>
        <w:t>(c)</w:t>
      </w:r>
      <w:r w:rsidRPr="006E709F">
        <w:tab/>
        <w:t>explain how to make a complaint (by means that include the provision of relevant contact details).</w:t>
      </w:r>
    </w:p>
    <w:p w:rsidR="003638DE" w:rsidRPr="006E709F" w:rsidRDefault="00A801D0" w:rsidP="00A801D0">
      <w:pPr>
        <w:pStyle w:val="notetext"/>
      </w:pPr>
      <w:r w:rsidRPr="006E709F">
        <w:t>Note:</w:t>
      </w:r>
      <w:r w:rsidRPr="006E709F">
        <w:tab/>
      </w:r>
      <w:r w:rsidR="003638DE" w:rsidRPr="006E709F">
        <w:t>The effect of subclause</w:t>
      </w:r>
      <w:r w:rsidR="00DA13DE" w:rsidRPr="006E709F">
        <w:t> </w:t>
      </w:r>
      <w:r w:rsidR="003638DE" w:rsidRPr="006E709F">
        <w:t>10(1) is that the Product Disclosure Statement is not required to include section</w:t>
      </w:r>
      <w:r w:rsidR="00DA13DE" w:rsidRPr="006E709F">
        <w:t> </w:t>
      </w:r>
      <w:r w:rsidR="003638DE" w:rsidRPr="006E709F">
        <w:t>8 (as set out in clause</w:t>
      </w:r>
      <w:r w:rsidR="00DA13DE" w:rsidRPr="006E709F">
        <w:t> </w:t>
      </w:r>
      <w:r w:rsidR="003638DE" w:rsidRPr="006E709F">
        <w:t>10) if the superannuation product does not offer insurance cover. In that case, subclause</w:t>
      </w:r>
      <w:r w:rsidR="00DA13DE" w:rsidRPr="006E709F">
        <w:t> </w:t>
      </w:r>
      <w:r w:rsidR="003638DE" w:rsidRPr="006E709F">
        <w:t>2(2) allows the Statement to present the information in this clause as “section</w:t>
      </w:r>
      <w:r w:rsidR="00DA13DE" w:rsidRPr="006E709F">
        <w:t> </w:t>
      </w:r>
      <w:r w:rsidR="003638DE" w:rsidRPr="006E709F">
        <w:t>8” or “section</w:t>
      </w:r>
      <w:r w:rsidR="00DA13DE" w:rsidRPr="006E709F">
        <w:t> </w:t>
      </w:r>
      <w:r w:rsidR="003638DE" w:rsidRPr="006E709F">
        <w:t>9”.</w:t>
      </w:r>
    </w:p>
    <w:p w:rsidR="003638DE" w:rsidRPr="006E709F" w:rsidRDefault="003638DE" w:rsidP="00A801D0">
      <w:pPr>
        <w:pStyle w:val="subsection"/>
      </w:pPr>
      <w:r w:rsidRPr="006E709F">
        <w:tab/>
        <w:t>(2)</w:t>
      </w:r>
      <w:r w:rsidRPr="006E709F">
        <w:tab/>
        <w:t>The superannuation trustee:</w:t>
      </w:r>
    </w:p>
    <w:p w:rsidR="003638DE" w:rsidRPr="006E709F" w:rsidRDefault="003638DE" w:rsidP="00A801D0">
      <w:pPr>
        <w:pStyle w:val="paragraph"/>
      </w:pPr>
      <w:r w:rsidRPr="006E709F">
        <w:tab/>
        <w:t>(a)</w:t>
      </w:r>
      <w:r w:rsidRPr="006E709F">
        <w:tab/>
        <w:t>may provide more detailed information about cooling</w:t>
      </w:r>
      <w:r w:rsidR="000C4237">
        <w:noBreakHyphen/>
      </w:r>
      <w:r w:rsidRPr="006E709F">
        <w:t>off periods, complaints and dispute resolution; and</w:t>
      </w:r>
    </w:p>
    <w:p w:rsidR="003638DE" w:rsidRPr="006E709F" w:rsidRDefault="003638DE" w:rsidP="00A801D0">
      <w:pPr>
        <w:pStyle w:val="paragraph"/>
      </w:pPr>
      <w:r w:rsidRPr="006E709F">
        <w:tab/>
        <w:t>(b)</w:t>
      </w:r>
      <w:r w:rsidRPr="006E709F">
        <w:tab/>
        <w:t>may provide that information by applying, adopting or incorporating a matter in writing.</w:t>
      </w:r>
    </w:p>
    <w:p w:rsidR="003638DE" w:rsidRPr="006E709F" w:rsidRDefault="00A801D0" w:rsidP="00A801D0">
      <w:pPr>
        <w:pStyle w:val="ActHead1"/>
        <w:pageBreakBefore/>
      </w:pPr>
      <w:bookmarkStart w:id="158" w:name="_Toc170547975"/>
      <w:r w:rsidRPr="000C4237">
        <w:rPr>
          <w:rStyle w:val="CharChapNo"/>
        </w:rPr>
        <w:lastRenderedPageBreak/>
        <w:t>Schedule</w:t>
      </w:r>
      <w:r w:rsidR="00DA13DE" w:rsidRPr="000C4237">
        <w:rPr>
          <w:rStyle w:val="CharChapNo"/>
        </w:rPr>
        <w:t> </w:t>
      </w:r>
      <w:r w:rsidR="003638DE" w:rsidRPr="000C4237">
        <w:rPr>
          <w:rStyle w:val="CharChapNo"/>
        </w:rPr>
        <w:t>10E</w:t>
      </w:r>
      <w:r w:rsidRPr="006E709F">
        <w:t>—</w:t>
      </w:r>
      <w:r w:rsidR="003638DE" w:rsidRPr="000C4237">
        <w:rPr>
          <w:rStyle w:val="CharChapText"/>
        </w:rPr>
        <w:t>Form and content of Product Disclosure Statement</w:t>
      </w:r>
      <w:r w:rsidRPr="000C4237">
        <w:rPr>
          <w:rStyle w:val="CharChapText"/>
        </w:rPr>
        <w:t>—</w:t>
      </w:r>
      <w:r w:rsidR="003638DE" w:rsidRPr="000C4237">
        <w:rPr>
          <w:rStyle w:val="CharChapText"/>
        </w:rPr>
        <w:t>simple managed investment scheme</w:t>
      </w:r>
      <w:bookmarkEnd w:id="158"/>
    </w:p>
    <w:p w:rsidR="003638DE" w:rsidRPr="006E709F" w:rsidRDefault="003638DE" w:rsidP="00A801D0">
      <w:pPr>
        <w:pStyle w:val="notemargin"/>
      </w:pPr>
      <w:r w:rsidRPr="006E709F">
        <w:t>(</w:t>
      </w:r>
      <w:r w:rsidR="005378CE" w:rsidRPr="006E709F">
        <w:t>regulation 7</w:t>
      </w:r>
      <w:r w:rsidRPr="006E709F">
        <w:t>.9.11W)</w:t>
      </w:r>
    </w:p>
    <w:p w:rsidR="003638DE" w:rsidRPr="006E709F" w:rsidRDefault="00A801D0" w:rsidP="003638DE">
      <w:pPr>
        <w:pStyle w:val="Header"/>
      </w:pPr>
      <w:r w:rsidRPr="000C4237">
        <w:rPr>
          <w:rStyle w:val="CharPartNo"/>
        </w:rPr>
        <w:t xml:space="preserve"> </w:t>
      </w:r>
      <w:r w:rsidRPr="000C4237">
        <w:rPr>
          <w:rStyle w:val="CharPartText"/>
        </w:rPr>
        <w:t xml:space="preserve"> </w:t>
      </w:r>
    </w:p>
    <w:p w:rsidR="003638DE" w:rsidRPr="006E709F" w:rsidRDefault="00102067" w:rsidP="00A801D0">
      <w:pPr>
        <w:pStyle w:val="ActHead5"/>
      </w:pPr>
      <w:bookmarkStart w:id="159" w:name="_Toc170547976"/>
      <w:r w:rsidRPr="000C4237">
        <w:rPr>
          <w:rStyle w:val="CharSectno"/>
        </w:rPr>
        <w:t>1</w:t>
      </w:r>
      <w:r w:rsidRPr="006E709F">
        <w:t xml:space="preserve">  </w:t>
      </w:r>
      <w:r w:rsidR="003638DE" w:rsidRPr="006E709F">
        <w:t>Length and font size for Product Disclosure Statement for simple managed investment scheme</w:t>
      </w:r>
      <w:bookmarkEnd w:id="159"/>
    </w:p>
    <w:p w:rsidR="003638DE" w:rsidRPr="006E709F" w:rsidRDefault="003638DE" w:rsidP="00A801D0">
      <w:pPr>
        <w:pStyle w:val="subsection"/>
      </w:pPr>
      <w:r w:rsidRPr="006E709F">
        <w:tab/>
        <w:t>(1)</w:t>
      </w:r>
      <w:r w:rsidRPr="006E709F">
        <w:tab/>
        <w:t xml:space="preserve">The length of a Product Disclosure Statement for a simple managed investment scheme to which </w:t>
      </w:r>
      <w:r w:rsidR="00A801D0" w:rsidRPr="006E709F">
        <w:t>Subdivision</w:t>
      </w:r>
      <w:r w:rsidR="00DA13DE" w:rsidRPr="006E709F">
        <w:t> </w:t>
      </w:r>
      <w:r w:rsidRPr="006E709F">
        <w:t xml:space="preserve">4.2C of </w:t>
      </w:r>
      <w:r w:rsidR="00A801D0" w:rsidRPr="006E709F">
        <w:t>Division</w:t>
      </w:r>
      <w:r w:rsidR="00DA13DE" w:rsidRPr="006E709F">
        <w:t> </w:t>
      </w:r>
      <w:r w:rsidRPr="006E709F">
        <w:t xml:space="preserve">4 of </w:t>
      </w:r>
      <w:r w:rsidR="00A801D0" w:rsidRPr="006E709F">
        <w:t>Part</w:t>
      </w:r>
      <w:r w:rsidR="00DA13DE" w:rsidRPr="006E709F">
        <w:t> </w:t>
      </w:r>
      <w:r w:rsidRPr="006E709F">
        <w:t>7.9 applies (not including any matter in writing that is applied, adopted or incorporated by the Statement) must not exceed:</w:t>
      </w:r>
    </w:p>
    <w:p w:rsidR="003638DE" w:rsidRPr="006E709F" w:rsidRDefault="003638DE" w:rsidP="00A801D0">
      <w:pPr>
        <w:pStyle w:val="paragraph"/>
      </w:pPr>
      <w:r w:rsidRPr="006E709F">
        <w:tab/>
        <w:t>(a)</w:t>
      </w:r>
      <w:r w:rsidRPr="006E709F">
        <w:tab/>
        <w:t>if it is printed on A4 pages</w:t>
      </w:r>
      <w:r w:rsidR="00A801D0" w:rsidRPr="006E709F">
        <w:t>—</w:t>
      </w:r>
      <w:r w:rsidRPr="006E709F">
        <w:t>8 pages; or</w:t>
      </w:r>
    </w:p>
    <w:p w:rsidR="003638DE" w:rsidRPr="006E709F" w:rsidRDefault="003638DE" w:rsidP="00A801D0">
      <w:pPr>
        <w:pStyle w:val="paragraph"/>
      </w:pPr>
      <w:r w:rsidRPr="006E709F">
        <w:tab/>
        <w:t>(b)</w:t>
      </w:r>
      <w:r w:rsidRPr="006E709F">
        <w:tab/>
        <w:t>if it is printed on A5 pages</w:t>
      </w:r>
      <w:r w:rsidR="00A801D0" w:rsidRPr="006E709F">
        <w:t>—</w:t>
      </w:r>
      <w:r w:rsidRPr="006E709F">
        <w:t>16 pages; or</w:t>
      </w:r>
    </w:p>
    <w:p w:rsidR="003638DE" w:rsidRPr="006E709F" w:rsidRDefault="003638DE" w:rsidP="00A801D0">
      <w:pPr>
        <w:pStyle w:val="paragraph"/>
      </w:pPr>
      <w:r w:rsidRPr="006E709F">
        <w:tab/>
        <w:t>(c)</w:t>
      </w:r>
      <w:r w:rsidRPr="006E709F">
        <w:tab/>
        <w:t>if it is printed on DL pages</w:t>
      </w:r>
      <w:r w:rsidR="00A801D0" w:rsidRPr="006E709F">
        <w:t>—</w:t>
      </w:r>
      <w:r w:rsidRPr="006E709F">
        <w:t>24 pages; or</w:t>
      </w:r>
    </w:p>
    <w:p w:rsidR="003638DE" w:rsidRPr="006E709F" w:rsidRDefault="003638DE" w:rsidP="00A801D0">
      <w:pPr>
        <w:pStyle w:val="paragraph"/>
      </w:pPr>
      <w:r w:rsidRPr="006E709F">
        <w:tab/>
        <w:t>(d)</w:t>
      </w:r>
      <w:r w:rsidRPr="006E709F">
        <w:tab/>
        <w:t>otherwise</w:t>
      </w:r>
      <w:r w:rsidR="00A801D0" w:rsidRPr="006E709F">
        <w:t>—</w:t>
      </w:r>
      <w:r w:rsidRPr="006E709F">
        <w:t>if it is formatted to be printed on A4 pages, 8</w:t>
      </w:r>
      <w:r w:rsidR="00E376FA" w:rsidRPr="006E709F">
        <w:t xml:space="preserve"> </w:t>
      </w:r>
      <w:r w:rsidRPr="006E709F">
        <w:t>A4 pages.</w:t>
      </w:r>
    </w:p>
    <w:p w:rsidR="003638DE" w:rsidRPr="006E709F" w:rsidRDefault="003638DE" w:rsidP="00A801D0">
      <w:pPr>
        <w:pStyle w:val="subsection"/>
      </w:pPr>
      <w:r w:rsidRPr="006E709F">
        <w:tab/>
        <w:t>(2)</w:t>
      </w:r>
      <w:r w:rsidRPr="006E709F">
        <w:tab/>
        <w:t>The minimum font size for text in the Statement is:</w:t>
      </w:r>
    </w:p>
    <w:p w:rsidR="003638DE" w:rsidRPr="006E709F" w:rsidRDefault="003638DE" w:rsidP="00A801D0">
      <w:pPr>
        <w:pStyle w:val="paragraph"/>
      </w:pPr>
      <w:r w:rsidRPr="006E709F">
        <w:tab/>
        <w:t>(a)</w:t>
      </w:r>
      <w:r w:rsidRPr="006E709F">
        <w:tab/>
        <w:t>for the name, address, ABN (if applicable), ACN (if applicable), ARSN and AFSL (if applicable) of the person giving the Statement</w:t>
      </w:r>
      <w:r w:rsidR="00A801D0" w:rsidRPr="006E709F">
        <w:t>—</w:t>
      </w:r>
      <w:r w:rsidRPr="006E709F">
        <w:t>8 points; and</w:t>
      </w:r>
    </w:p>
    <w:p w:rsidR="003638DE" w:rsidRPr="006E709F" w:rsidRDefault="003638DE" w:rsidP="00A801D0">
      <w:pPr>
        <w:pStyle w:val="paragraph"/>
      </w:pPr>
      <w:r w:rsidRPr="006E709F">
        <w:tab/>
        <w:t>(b)</w:t>
      </w:r>
      <w:r w:rsidRPr="006E709F">
        <w:tab/>
        <w:t>for all other text</w:t>
      </w:r>
      <w:r w:rsidR="00A801D0" w:rsidRPr="006E709F">
        <w:t>—</w:t>
      </w:r>
      <w:r w:rsidRPr="006E709F">
        <w:t>9 points.</w:t>
      </w:r>
    </w:p>
    <w:p w:rsidR="003638DE" w:rsidRPr="006E709F" w:rsidRDefault="00A801D0" w:rsidP="00A801D0">
      <w:pPr>
        <w:pStyle w:val="notetext"/>
      </w:pPr>
      <w:r w:rsidRPr="006E709F">
        <w:t>Note 1:</w:t>
      </w:r>
      <w:r w:rsidRPr="006E709F">
        <w:tab/>
      </w:r>
      <w:r w:rsidR="003638DE" w:rsidRPr="006E709F">
        <w:t>The Product Disclosure Statement must be worded and presented in a clear, concise and effective manner</w:t>
      </w:r>
      <w:r w:rsidRPr="006E709F">
        <w:t>—</w:t>
      </w:r>
      <w:r w:rsidR="003638DE" w:rsidRPr="006E709F">
        <w:t>see subsection</w:t>
      </w:r>
      <w:r w:rsidR="00DA13DE" w:rsidRPr="006E709F">
        <w:t> </w:t>
      </w:r>
      <w:r w:rsidR="003638DE" w:rsidRPr="006E709F">
        <w:t>1013C(3) of the Act.</w:t>
      </w:r>
    </w:p>
    <w:p w:rsidR="003638DE" w:rsidRPr="006E709F" w:rsidRDefault="00A801D0" w:rsidP="00A801D0">
      <w:pPr>
        <w:pStyle w:val="notetext"/>
      </w:pPr>
      <w:r w:rsidRPr="006E709F">
        <w:t>Note 2:</w:t>
      </w:r>
      <w:r w:rsidRPr="006E709F">
        <w:tab/>
      </w:r>
      <w:r w:rsidR="003638DE" w:rsidRPr="006E709F">
        <w:t>A person required to a give a Product Disclosure Statement to a vision</w:t>
      </w:r>
      <w:r w:rsidR="000C4237">
        <w:noBreakHyphen/>
      </w:r>
      <w:r w:rsidR="003638DE" w:rsidRPr="006E709F">
        <w:t xml:space="preserve">impaired person must comply with its obligations under the </w:t>
      </w:r>
      <w:r w:rsidR="003638DE" w:rsidRPr="006E709F">
        <w:rPr>
          <w:i/>
        </w:rPr>
        <w:t>Disability Discrimination Act 1992</w:t>
      </w:r>
      <w:r w:rsidR="003638DE" w:rsidRPr="006E709F">
        <w:t>.</w:t>
      </w:r>
    </w:p>
    <w:p w:rsidR="003638DE" w:rsidRPr="006E709F" w:rsidRDefault="00102067" w:rsidP="00A801D0">
      <w:pPr>
        <w:pStyle w:val="ActHead5"/>
      </w:pPr>
      <w:bookmarkStart w:id="160" w:name="_Toc170547977"/>
      <w:r w:rsidRPr="000C4237">
        <w:rPr>
          <w:rStyle w:val="CharSectno"/>
        </w:rPr>
        <w:t>2</w:t>
      </w:r>
      <w:r w:rsidRPr="006E709F">
        <w:t xml:space="preserve">  </w:t>
      </w:r>
      <w:r w:rsidR="003638DE" w:rsidRPr="006E709F">
        <w:t>Minimum content of Product Disclosure Statement for simple managed investment scheme</w:t>
      </w:r>
      <w:bookmarkEnd w:id="160"/>
    </w:p>
    <w:p w:rsidR="003638DE" w:rsidRPr="006E709F" w:rsidRDefault="003638DE" w:rsidP="00A801D0">
      <w:pPr>
        <w:pStyle w:val="subsection"/>
      </w:pPr>
      <w:r w:rsidRPr="006E709F">
        <w:tab/>
        <w:t>(1)</w:t>
      </w:r>
      <w:r w:rsidRPr="006E709F">
        <w:tab/>
        <w:t>The Product Disclosure Statement must include sections which must be numbered and titled as follows:</w:t>
      </w:r>
    </w:p>
    <w:p w:rsidR="003638DE" w:rsidRPr="006E709F" w:rsidRDefault="0048795D" w:rsidP="0048795D">
      <w:pPr>
        <w:pStyle w:val="paragraph"/>
      </w:pPr>
      <w:r w:rsidRPr="006E709F">
        <w:tab/>
      </w:r>
      <w:r w:rsidR="003638DE" w:rsidRPr="006E709F">
        <w:t>1.</w:t>
      </w:r>
      <w:r w:rsidR="003638DE" w:rsidRPr="006E709F">
        <w:tab/>
        <w:t>About [name of responsible entity]</w:t>
      </w:r>
    </w:p>
    <w:p w:rsidR="003638DE" w:rsidRPr="006E709F" w:rsidRDefault="0048795D" w:rsidP="0048795D">
      <w:pPr>
        <w:pStyle w:val="paragraph"/>
      </w:pPr>
      <w:r w:rsidRPr="006E709F">
        <w:tab/>
      </w:r>
      <w:r w:rsidR="003638DE" w:rsidRPr="006E709F">
        <w:t>2.</w:t>
      </w:r>
      <w:r w:rsidR="00102067" w:rsidRPr="006E709F">
        <w:tab/>
      </w:r>
      <w:r w:rsidR="003638DE" w:rsidRPr="006E709F">
        <w:t>How [name of simple managed investment scheme] works</w:t>
      </w:r>
    </w:p>
    <w:p w:rsidR="003638DE" w:rsidRPr="006E709F" w:rsidRDefault="0048795D" w:rsidP="0048795D">
      <w:pPr>
        <w:pStyle w:val="paragraph"/>
      </w:pPr>
      <w:r w:rsidRPr="006E709F">
        <w:tab/>
      </w:r>
      <w:r w:rsidR="003638DE" w:rsidRPr="006E709F">
        <w:t>3.</w:t>
      </w:r>
      <w:r w:rsidR="003638DE" w:rsidRPr="006E709F">
        <w:tab/>
        <w:t>Benefits of investing in [name of simple managed investment scheme]</w:t>
      </w:r>
    </w:p>
    <w:p w:rsidR="003638DE" w:rsidRPr="006E709F" w:rsidRDefault="0048795D" w:rsidP="0048795D">
      <w:pPr>
        <w:pStyle w:val="paragraph"/>
      </w:pPr>
      <w:r w:rsidRPr="006E709F">
        <w:tab/>
      </w:r>
      <w:r w:rsidR="003638DE" w:rsidRPr="006E709F">
        <w:t>4.</w:t>
      </w:r>
      <w:r w:rsidR="003638DE" w:rsidRPr="006E709F">
        <w:tab/>
        <w:t>Risks of managed investment schemes</w:t>
      </w:r>
    </w:p>
    <w:p w:rsidR="003638DE" w:rsidRPr="006E709F" w:rsidRDefault="0048795D" w:rsidP="0048795D">
      <w:pPr>
        <w:pStyle w:val="paragraph"/>
      </w:pPr>
      <w:r w:rsidRPr="006E709F">
        <w:tab/>
      </w:r>
      <w:r w:rsidR="003638DE" w:rsidRPr="006E709F">
        <w:t>5.</w:t>
      </w:r>
      <w:r w:rsidR="003638DE" w:rsidRPr="006E709F">
        <w:tab/>
        <w:t>How we invest your money</w:t>
      </w:r>
    </w:p>
    <w:p w:rsidR="003638DE" w:rsidRPr="006E709F" w:rsidRDefault="0048795D" w:rsidP="0048795D">
      <w:pPr>
        <w:pStyle w:val="paragraph"/>
      </w:pPr>
      <w:r w:rsidRPr="006E709F">
        <w:tab/>
      </w:r>
      <w:r w:rsidR="003638DE" w:rsidRPr="006E709F">
        <w:t>6.</w:t>
      </w:r>
      <w:r w:rsidR="003638DE" w:rsidRPr="006E709F">
        <w:tab/>
        <w:t>Fees and costs</w:t>
      </w:r>
    </w:p>
    <w:p w:rsidR="003638DE" w:rsidRPr="006E709F" w:rsidRDefault="0048795D" w:rsidP="0048795D">
      <w:pPr>
        <w:pStyle w:val="paragraph"/>
      </w:pPr>
      <w:r w:rsidRPr="006E709F">
        <w:tab/>
      </w:r>
      <w:r w:rsidR="003638DE" w:rsidRPr="006E709F">
        <w:t>7.</w:t>
      </w:r>
      <w:r w:rsidR="003638DE" w:rsidRPr="006E709F">
        <w:tab/>
        <w:t>How managed investment schemes are taxed</w:t>
      </w:r>
    </w:p>
    <w:p w:rsidR="003638DE" w:rsidRPr="006E709F" w:rsidRDefault="0048795D" w:rsidP="0048795D">
      <w:pPr>
        <w:pStyle w:val="paragraph"/>
      </w:pPr>
      <w:r w:rsidRPr="006E709F">
        <w:tab/>
      </w:r>
      <w:r w:rsidR="003638DE" w:rsidRPr="006E709F">
        <w:t>8.</w:t>
      </w:r>
      <w:r w:rsidR="003638DE" w:rsidRPr="006E709F">
        <w:tab/>
        <w:t>How to apply.</w:t>
      </w:r>
    </w:p>
    <w:p w:rsidR="003638DE" w:rsidRPr="006E709F" w:rsidRDefault="003638DE" w:rsidP="00A801D0">
      <w:pPr>
        <w:pStyle w:val="subsection"/>
      </w:pPr>
      <w:r w:rsidRPr="006E709F">
        <w:tab/>
        <w:t>(2)</w:t>
      </w:r>
      <w:r w:rsidRPr="006E709F">
        <w:tab/>
        <w:t>The Statement must include:</w:t>
      </w:r>
    </w:p>
    <w:p w:rsidR="003638DE" w:rsidRPr="006E709F" w:rsidRDefault="003638DE" w:rsidP="00A801D0">
      <w:pPr>
        <w:pStyle w:val="paragraph"/>
      </w:pPr>
      <w:r w:rsidRPr="006E709F">
        <w:tab/>
        <w:t>(a)</w:t>
      </w:r>
      <w:r w:rsidRPr="006E709F">
        <w:tab/>
        <w:t xml:space="preserve">a table of contents that sets out the titles mentioned in </w:t>
      </w:r>
      <w:r w:rsidR="00DA13DE" w:rsidRPr="006E709F">
        <w:t>subclause (</w:t>
      </w:r>
      <w:r w:rsidRPr="006E709F">
        <w:t>1); and</w:t>
      </w:r>
    </w:p>
    <w:p w:rsidR="003638DE" w:rsidRPr="006E709F" w:rsidRDefault="003638DE" w:rsidP="00A801D0">
      <w:pPr>
        <w:pStyle w:val="paragraph"/>
      </w:pPr>
      <w:r w:rsidRPr="006E709F">
        <w:lastRenderedPageBreak/>
        <w:tab/>
        <w:t>(b)</w:t>
      </w:r>
      <w:r w:rsidRPr="006E709F">
        <w:tab/>
        <w:t xml:space="preserve">the telephone number of the responsible entity for the simple managed investment scheme to enable a person who invests in the simple managed investment scheme to request a copy of the following under </w:t>
      </w:r>
      <w:r w:rsidR="005378CE" w:rsidRPr="006E709F">
        <w:t>regulation 7</w:t>
      </w:r>
      <w:r w:rsidRPr="006E709F">
        <w:t>.9.11Z:</w:t>
      </w:r>
    </w:p>
    <w:p w:rsidR="003638DE" w:rsidRPr="006E709F" w:rsidRDefault="003638DE" w:rsidP="00A801D0">
      <w:pPr>
        <w:pStyle w:val="paragraphsub"/>
      </w:pPr>
      <w:r w:rsidRPr="006E709F">
        <w:tab/>
        <w:t>(i)</w:t>
      </w:r>
      <w:r w:rsidRPr="006E709F">
        <w:tab/>
        <w:t>a copy of the Statement; and</w:t>
      </w:r>
    </w:p>
    <w:p w:rsidR="003638DE" w:rsidRPr="006E709F" w:rsidRDefault="003638DE" w:rsidP="00A801D0">
      <w:pPr>
        <w:pStyle w:val="paragraphsub"/>
      </w:pPr>
      <w:r w:rsidRPr="006E709F">
        <w:tab/>
        <w:t>(ii)</w:t>
      </w:r>
      <w:r w:rsidRPr="006E709F">
        <w:tab/>
        <w:t>a copy of a matter in writing that is applied, adopted or incorporated by the Statement.</w:t>
      </w:r>
    </w:p>
    <w:p w:rsidR="003638DE" w:rsidRPr="006E709F" w:rsidRDefault="003638DE" w:rsidP="00A801D0">
      <w:pPr>
        <w:pStyle w:val="subsection"/>
      </w:pPr>
      <w:r w:rsidRPr="006E709F">
        <w:tab/>
        <w:t>(3)</w:t>
      </w:r>
      <w:r w:rsidRPr="006E709F">
        <w:tab/>
        <w:t>The Statement must:</w:t>
      </w:r>
    </w:p>
    <w:p w:rsidR="003638DE" w:rsidRPr="006E709F" w:rsidRDefault="003638DE" w:rsidP="00A801D0">
      <w:pPr>
        <w:pStyle w:val="paragraph"/>
      </w:pPr>
      <w:r w:rsidRPr="006E709F">
        <w:tab/>
        <w:t>(a)</w:t>
      </w:r>
      <w:r w:rsidRPr="006E709F">
        <w:tab/>
        <w:t>advise a person reading the Statement that:</w:t>
      </w:r>
    </w:p>
    <w:p w:rsidR="003638DE" w:rsidRPr="006E709F" w:rsidRDefault="003638DE" w:rsidP="00A801D0">
      <w:pPr>
        <w:pStyle w:val="paragraphsub"/>
      </w:pPr>
      <w:r w:rsidRPr="006E709F">
        <w:tab/>
        <w:t>(i)</w:t>
      </w:r>
      <w:r w:rsidRPr="006E709F">
        <w:tab/>
        <w:t>it is a summary of significant information and contains a number of references to important information (each of which forms part of the Statement); and</w:t>
      </w:r>
    </w:p>
    <w:p w:rsidR="003638DE" w:rsidRPr="006E709F" w:rsidRDefault="003638DE" w:rsidP="00A801D0">
      <w:pPr>
        <w:pStyle w:val="paragraphsub"/>
      </w:pPr>
      <w:r w:rsidRPr="006E709F">
        <w:tab/>
        <w:t>(ii)</w:t>
      </w:r>
      <w:r w:rsidRPr="006E709F">
        <w:tab/>
        <w:t>persons should consider that information before making a decision about the simple managed investment scheme; and</w:t>
      </w:r>
    </w:p>
    <w:p w:rsidR="003638DE" w:rsidRPr="006E709F" w:rsidRDefault="003638DE" w:rsidP="00A801D0">
      <w:pPr>
        <w:pStyle w:val="paragraphsub"/>
      </w:pPr>
      <w:r w:rsidRPr="006E709F">
        <w:tab/>
        <w:t>(iii)</w:t>
      </w:r>
      <w:r w:rsidRPr="006E709F">
        <w:tab/>
        <w:t>the information provided in the Statement is general information only and does not take account of the person’s personal financial situation or needs; and</w:t>
      </w:r>
    </w:p>
    <w:p w:rsidR="003638DE" w:rsidRPr="006E709F" w:rsidRDefault="003638DE" w:rsidP="00A801D0">
      <w:pPr>
        <w:pStyle w:val="paragraphsub"/>
      </w:pPr>
      <w:r w:rsidRPr="006E709F">
        <w:tab/>
        <w:t>(iv)</w:t>
      </w:r>
      <w:r w:rsidRPr="006E709F">
        <w:tab/>
        <w:t>the person should obtain financial advice tailored to the person’s personal circumstances; and</w:t>
      </w:r>
    </w:p>
    <w:p w:rsidR="003638DE" w:rsidRPr="006E709F" w:rsidRDefault="003638DE" w:rsidP="00A801D0">
      <w:pPr>
        <w:pStyle w:val="paragraph"/>
      </w:pPr>
      <w:r w:rsidRPr="006E709F">
        <w:tab/>
        <w:t>(b)</w:t>
      </w:r>
      <w:r w:rsidRPr="006E709F">
        <w:tab/>
        <w:t>display the advice:</w:t>
      </w:r>
    </w:p>
    <w:p w:rsidR="003638DE" w:rsidRPr="006E709F" w:rsidRDefault="003638DE" w:rsidP="00A801D0">
      <w:pPr>
        <w:pStyle w:val="paragraphsub"/>
      </w:pPr>
      <w:r w:rsidRPr="006E709F">
        <w:tab/>
        <w:t>(i)</w:t>
      </w:r>
      <w:r w:rsidRPr="006E709F">
        <w:tab/>
        <w:t>at or near the beginning of the document; and</w:t>
      </w:r>
    </w:p>
    <w:p w:rsidR="003638DE" w:rsidRPr="006E709F" w:rsidRDefault="003638DE" w:rsidP="00A801D0">
      <w:pPr>
        <w:pStyle w:val="paragraphsub"/>
      </w:pPr>
      <w:r w:rsidRPr="006E709F">
        <w:tab/>
        <w:t>(ii)</w:t>
      </w:r>
      <w:r w:rsidRPr="006E709F">
        <w:tab/>
        <w:t>in a prominent position and style.</w:t>
      </w:r>
    </w:p>
    <w:p w:rsidR="003638DE" w:rsidRPr="006E709F" w:rsidRDefault="003638DE" w:rsidP="00A801D0">
      <w:pPr>
        <w:pStyle w:val="subsection"/>
      </w:pPr>
      <w:r w:rsidRPr="006E709F">
        <w:tab/>
        <w:t>(4)</w:t>
      </w:r>
      <w:r w:rsidRPr="006E709F">
        <w:tab/>
        <w:t>The Statement:</w:t>
      </w:r>
    </w:p>
    <w:p w:rsidR="003638DE" w:rsidRPr="006E709F" w:rsidRDefault="003638DE" w:rsidP="00A801D0">
      <w:pPr>
        <w:pStyle w:val="paragraph"/>
      </w:pPr>
      <w:r w:rsidRPr="006E709F">
        <w:tab/>
        <w:t>(a)</w:t>
      </w:r>
      <w:r w:rsidRPr="006E709F">
        <w:tab/>
        <w:t>may include additional sections after sections</w:t>
      </w:r>
      <w:r w:rsidR="00DA13DE" w:rsidRPr="006E709F">
        <w:t> </w:t>
      </w:r>
      <w:r w:rsidRPr="006E709F">
        <w:t>1 to 8; and</w:t>
      </w:r>
    </w:p>
    <w:p w:rsidR="003638DE" w:rsidRPr="006E709F" w:rsidRDefault="003638DE" w:rsidP="00A801D0">
      <w:pPr>
        <w:pStyle w:val="paragraph"/>
      </w:pPr>
      <w:r w:rsidRPr="006E709F">
        <w:tab/>
        <w:t>(b)</w:t>
      </w:r>
      <w:r w:rsidRPr="006E709F">
        <w:tab/>
        <w:t>may include other information;</w:t>
      </w:r>
    </w:p>
    <w:p w:rsidR="003638DE" w:rsidRPr="006E709F" w:rsidRDefault="003638DE" w:rsidP="00A801D0">
      <w:pPr>
        <w:pStyle w:val="subsection2"/>
      </w:pPr>
      <w:r w:rsidRPr="006E709F">
        <w:t>to an extent that does not have the effect of contravening subclause</w:t>
      </w:r>
      <w:r w:rsidR="00DA13DE" w:rsidRPr="006E709F">
        <w:t> </w:t>
      </w:r>
      <w:r w:rsidRPr="006E709F">
        <w:t>1(1).</w:t>
      </w:r>
    </w:p>
    <w:p w:rsidR="003638DE" w:rsidRPr="006E709F" w:rsidRDefault="003638DE" w:rsidP="00A801D0">
      <w:pPr>
        <w:pStyle w:val="subsection"/>
      </w:pPr>
      <w:r w:rsidRPr="006E709F">
        <w:tab/>
        <w:t>(5)</w:t>
      </w:r>
      <w:r w:rsidRPr="006E709F">
        <w:tab/>
        <w:t>The Product Disclosure Statement does not need to indicate that a particular requirement is not applicable to the simple managed investment scheme.</w:t>
      </w:r>
    </w:p>
    <w:p w:rsidR="003638DE" w:rsidRPr="006E709F" w:rsidRDefault="00A801D0" w:rsidP="00A801D0">
      <w:pPr>
        <w:pStyle w:val="notetext"/>
      </w:pPr>
      <w:r w:rsidRPr="006E709F">
        <w:t>Note:</w:t>
      </w:r>
      <w:r w:rsidRPr="006E709F">
        <w:tab/>
      </w:r>
      <w:r w:rsidR="003638DE" w:rsidRPr="006E709F">
        <w:t xml:space="preserve">The Act, as modified in accordance with </w:t>
      </w:r>
      <w:r w:rsidRPr="006E709F">
        <w:t>Subdivision</w:t>
      </w:r>
      <w:r w:rsidR="00DA13DE" w:rsidRPr="006E709F">
        <w:t> </w:t>
      </w:r>
      <w:r w:rsidR="003638DE" w:rsidRPr="006E709F">
        <w:t xml:space="preserve">4.2C of </w:t>
      </w:r>
      <w:r w:rsidRPr="006E709F">
        <w:t>Division</w:t>
      </w:r>
      <w:r w:rsidR="00DA13DE" w:rsidRPr="006E709F">
        <w:t> </w:t>
      </w:r>
      <w:r w:rsidR="003638DE" w:rsidRPr="006E709F">
        <w:t xml:space="preserve">4 of </w:t>
      </w:r>
      <w:r w:rsidRPr="006E709F">
        <w:t>Part</w:t>
      </w:r>
      <w:r w:rsidR="00DA13DE" w:rsidRPr="006E709F">
        <w:t> </w:t>
      </w:r>
      <w:r w:rsidR="003638DE" w:rsidRPr="006E709F">
        <w:t>7.9, requires information to be included in the Product Disclosure Statement only to the extent to which the requirement is applicable to the simple managed investment scheme.</w:t>
      </w:r>
    </w:p>
    <w:p w:rsidR="003638DE" w:rsidRPr="006E709F" w:rsidRDefault="00C44525" w:rsidP="00A801D0">
      <w:pPr>
        <w:pStyle w:val="ActHead5"/>
      </w:pPr>
      <w:bookmarkStart w:id="161" w:name="_Toc170547978"/>
      <w:r w:rsidRPr="000C4237">
        <w:rPr>
          <w:rStyle w:val="CharSectno"/>
        </w:rPr>
        <w:t>3</w:t>
      </w:r>
      <w:r w:rsidRPr="006E709F">
        <w:t xml:space="preserve">  </w:t>
      </w:r>
      <w:r w:rsidR="003638DE" w:rsidRPr="006E709F">
        <w:t>Contents of section</w:t>
      </w:r>
      <w:r w:rsidR="00DA13DE" w:rsidRPr="006E709F">
        <w:t> </w:t>
      </w:r>
      <w:r w:rsidR="003638DE" w:rsidRPr="006E709F">
        <w:t>1 (About [name of responsible entity])</w:t>
      </w:r>
      <w:bookmarkEnd w:id="161"/>
    </w:p>
    <w:p w:rsidR="003638DE" w:rsidRPr="006E709F" w:rsidRDefault="003638DE" w:rsidP="00A801D0">
      <w:pPr>
        <w:pStyle w:val="subsection"/>
      </w:pPr>
      <w:r w:rsidRPr="006E709F">
        <w:tab/>
        <w:t>(1)</w:t>
      </w:r>
      <w:r w:rsidRPr="006E709F">
        <w:tab/>
        <w:t>Section</w:t>
      </w:r>
      <w:r w:rsidR="00DA13DE" w:rsidRPr="006E709F">
        <w:t> </w:t>
      </w:r>
      <w:r w:rsidRPr="006E709F">
        <w:t>1 of the Product Disclosure Statement must describe, in the form of a summary:</w:t>
      </w:r>
    </w:p>
    <w:p w:rsidR="003638DE" w:rsidRPr="006E709F" w:rsidRDefault="003638DE" w:rsidP="00A801D0">
      <w:pPr>
        <w:pStyle w:val="paragraph"/>
      </w:pPr>
      <w:r w:rsidRPr="006E709F">
        <w:tab/>
        <w:t>(a)</w:t>
      </w:r>
      <w:r w:rsidRPr="006E709F">
        <w:tab/>
        <w:t>the responsible entity and its role in operating the simple managed investment scheme; and</w:t>
      </w:r>
    </w:p>
    <w:p w:rsidR="003638DE" w:rsidRPr="006E709F" w:rsidRDefault="003638DE" w:rsidP="00A801D0">
      <w:pPr>
        <w:pStyle w:val="paragraph"/>
      </w:pPr>
      <w:r w:rsidRPr="006E709F">
        <w:tab/>
        <w:t>(b)</w:t>
      </w:r>
      <w:r w:rsidRPr="006E709F">
        <w:tab/>
        <w:t>the investment manager, if the investment manager is different from the responsible entity.</w:t>
      </w:r>
    </w:p>
    <w:p w:rsidR="003638DE" w:rsidRPr="006E709F" w:rsidRDefault="003638DE" w:rsidP="00A801D0">
      <w:pPr>
        <w:pStyle w:val="subsection"/>
      </w:pPr>
      <w:r w:rsidRPr="006E709F">
        <w:tab/>
        <w:t>(2)</w:t>
      </w:r>
      <w:r w:rsidRPr="006E709F">
        <w:tab/>
        <w:t>If there is more than 1 investment manager, the Statement may describe a particular manager by applying, adopting or incorporating a matter in writing.</w:t>
      </w:r>
    </w:p>
    <w:p w:rsidR="003638DE" w:rsidRPr="006E709F" w:rsidRDefault="00C44525" w:rsidP="00A801D0">
      <w:pPr>
        <w:pStyle w:val="ActHead5"/>
      </w:pPr>
      <w:bookmarkStart w:id="162" w:name="_Toc170547979"/>
      <w:r w:rsidRPr="000C4237">
        <w:rPr>
          <w:rStyle w:val="CharSectno"/>
        </w:rPr>
        <w:lastRenderedPageBreak/>
        <w:t>4</w:t>
      </w:r>
      <w:r w:rsidRPr="006E709F">
        <w:t xml:space="preserve">  </w:t>
      </w:r>
      <w:r w:rsidR="003638DE" w:rsidRPr="006E709F">
        <w:t>Contents of section</w:t>
      </w:r>
      <w:r w:rsidR="00DA13DE" w:rsidRPr="006E709F">
        <w:t> </w:t>
      </w:r>
      <w:r w:rsidR="003638DE" w:rsidRPr="006E709F">
        <w:t>2 (How [name of simple managed investment scheme] works)</w:t>
      </w:r>
      <w:bookmarkEnd w:id="162"/>
    </w:p>
    <w:p w:rsidR="003638DE" w:rsidRPr="006E709F" w:rsidRDefault="003638DE" w:rsidP="00A801D0">
      <w:pPr>
        <w:pStyle w:val="subsection"/>
      </w:pPr>
      <w:r w:rsidRPr="006E709F">
        <w:tab/>
        <w:t>(1)</w:t>
      </w:r>
      <w:r w:rsidRPr="006E709F">
        <w:tab/>
        <w:t>Section</w:t>
      </w:r>
      <w:r w:rsidR="00DA13DE" w:rsidRPr="006E709F">
        <w:t> </w:t>
      </w:r>
      <w:r w:rsidRPr="006E709F">
        <w:t>2 of the Product Disclosure Statement must describe, in the form of a summary:</w:t>
      </w:r>
    </w:p>
    <w:p w:rsidR="003638DE" w:rsidRPr="006E709F" w:rsidRDefault="003638DE" w:rsidP="00A801D0">
      <w:pPr>
        <w:pStyle w:val="paragraph"/>
      </w:pPr>
      <w:r w:rsidRPr="006E709F">
        <w:tab/>
        <w:t>(a)</w:t>
      </w:r>
      <w:r w:rsidRPr="006E709F">
        <w:tab/>
        <w:t>how the simple managed investment works; and</w:t>
      </w:r>
    </w:p>
    <w:p w:rsidR="003638DE" w:rsidRPr="006E709F" w:rsidRDefault="003638DE" w:rsidP="00A801D0">
      <w:pPr>
        <w:pStyle w:val="paragraph"/>
      </w:pPr>
      <w:r w:rsidRPr="006E709F">
        <w:tab/>
        <w:t>(b)</w:t>
      </w:r>
      <w:r w:rsidRPr="006E709F">
        <w:tab/>
        <w:t>the interests that members acquire.</w:t>
      </w:r>
    </w:p>
    <w:p w:rsidR="003638DE" w:rsidRPr="006E709F" w:rsidRDefault="003638DE" w:rsidP="00A801D0">
      <w:pPr>
        <w:pStyle w:val="subsection"/>
      </w:pPr>
      <w:r w:rsidRPr="006E709F">
        <w:tab/>
        <w:t>(2)</w:t>
      </w:r>
      <w:r w:rsidRPr="006E709F">
        <w:tab/>
        <w:t>Section</w:t>
      </w:r>
      <w:r w:rsidR="00DA13DE" w:rsidRPr="006E709F">
        <w:t> </w:t>
      </w:r>
      <w:r w:rsidRPr="006E709F">
        <w:t>2 must:</w:t>
      </w:r>
    </w:p>
    <w:p w:rsidR="003638DE" w:rsidRPr="006E709F" w:rsidRDefault="003638DE" w:rsidP="00A801D0">
      <w:pPr>
        <w:pStyle w:val="paragraph"/>
      </w:pPr>
      <w:r w:rsidRPr="006E709F">
        <w:tab/>
        <w:t>(a)</w:t>
      </w:r>
      <w:r w:rsidRPr="006E709F">
        <w:tab/>
        <w:t>if applicable</w:t>
      </w:r>
      <w:r w:rsidR="00A801D0" w:rsidRPr="006E709F">
        <w:t>—</w:t>
      </w:r>
      <w:r w:rsidRPr="006E709F">
        <w:t>describe, in the form of a summary, the minimum investment amounts; and</w:t>
      </w:r>
    </w:p>
    <w:p w:rsidR="003638DE" w:rsidRPr="006E709F" w:rsidRDefault="003638DE" w:rsidP="00A801D0">
      <w:pPr>
        <w:pStyle w:val="paragraph"/>
      </w:pPr>
      <w:r w:rsidRPr="006E709F">
        <w:tab/>
        <w:t>(b)</w:t>
      </w:r>
      <w:r w:rsidRPr="006E709F">
        <w:tab/>
        <w:t>provide information about the structure of the simple managed investment scheme; and</w:t>
      </w:r>
    </w:p>
    <w:p w:rsidR="003638DE" w:rsidRPr="006E709F" w:rsidRDefault="003638DE" w:rsidP="00A801D0">
      <w:pPr>
        <w:pStyle w:val="paragraph"/>
      </w:pPr>
      <w:r w:rsidRPr="006E709F">
        <w:tab/>
        <w:t>(c)</w:t>
      </w:r>
      <w:r w:rsidRPr="006E709F">
        <w:tab/>
        <w:t>state, in general terms, that the price of interests will vary as the market value of assets in the simple managed investment scheme rises or falls; and</w:t>
      </w:r>
    </w:p>
    <w:p w:rsidR="003638DE" w:rsidRPr="006E709F" w:rsidRDefault="003638DE" w:rsidP="00A801D0">
      <w:pPr>
        <w:pStyle w:val="paragraph"/>
      </w:pPr>
      <w:r w:rsidRPr="006E709F">
        <w:tab/>
        <w:t>(d)</w:t>
      </w:r>
      <w:r w:rsidRPr="006E709F">
        <w:tab/>
        <w:t>describe, in the form of a summary, how members can increase or decrease their investment by acquiring interests or disposing of interests; and</w:t>
      </w:r>
    </w:p>
    <w:p w:rsidR="003638DE" w:rsidRPr="006E709F" w:rsidRDefault="003638DE" w:rsidP="00A801D0">
      <w:pPr>
        <w:pStyle w:val="paragraph"/>
      </w:pPr>
      <w:r w:rsidRPr="006E709F">
        <w:tab/>
        <w:t>(e)</w:t>
      </w:r>
      <w:r w:rsidRPr="006E709F">
        <w:tab/>
        <w:t>state, in general terms, that in some circumstances, such as when there is a freeze on withdrawals, members may not be able to withdraw their funds within the usual period upon request; and</w:t>
      </w:r>
    </w:p>
    <w:p w:rsidR="003638DE" w:rsidRPr="006E709F" w:rsidRDefault="003638DE" w:rsidP="00A801D0">
      <w:pPr>
        <w:pStyle w:val="paragraph"/>
      </w:pPr>
      <w:r w:rsidRPr="006E709F">
        <w:tab/>
        <w:t>(f)</w:t>
      </w:r>
      <w:r w:rsidRPr="006E709F">
        <w:tab/>
        <w:t>describe the frequency of distributions and explain how distributions are calculated.</w:t>
      </w:r>
    </w:p>
    <w:p w:rsidR="003638DE" w:rsidRPr="006E709F" w:rsidRDefault="003638DE" w:rsidP="00A801D0">
      <w:pPr>
        <w:pStyle w:val="subsection"/>
      </w:pPr>
      <w:r w:rsidRPr="006E709F">
        <w:tab/>
        <w:t>(3)</w:t>
      </w:r>
      <w:r w:rsidRPr="006E709F">
        <w:tab/>
        <w:t>The responsible entity:</w:t>
      </w:r>
    </w:p>
    <w:p w:rsidR="003638DE" w:rsidRPr="006E709F" w:rsidRDefault="003638DE" w:rsidP="00A801D0">
      <w:pPr>
        <w:pStyle w:val="paragraph"/>
      </w:pPr>
      <w:r w:rsidRPr="006E709F">
        <w:tab/>
        <w:t>(a)</w:t>
      </w:r>
      <w:r w:rsidRPr="006E709F">
        <w:tab/>
        <w:t>may provide more detailed information on the acquisition and disposal of interests; and</w:t>
      </w:r>
    </w:p>
    <w:p w:rsidR="003638DE" w:rsidRPr="006E709F" w:rsidRDefault="003638DE" w:rsidP="00A801D0">
      <w:pPr>
        <w:pStyle w:val="paragraph"/>
      </w:pPr>
      <w:r w:rsidRPr="006E709F">
        <w:tab/>
        <w:t>(b)</w:t>
      </w:r>
      <w:r w:rsidRPr="006E709F">
        <w:tab/>
        <w:t>may provide the information by applying, adopting or incorporating a matter in writing.</w:t>
      </w:r>
    </w:p>
    <w:p w:rsidR="003638DE" w:rsidRPr="006E709F" w:rsidRDefault="00C44525" w:rsidP="00A801D0">
      <w:pPr>
        <w:pStyle w:val="ActHead5"/>
      </w:pPr>
      <w:bookmarkStart w:id="163" w:name="_Toc170547980"/>
      <w:r w:rsidRPr="000C4237">
        <w:rPr>
          <w:rStyle w:val="CharSectno"/>
        </w:rPr>
        <w:t>5</w:t>
      </w:r>
      <w:r w:rsidRPr="006E709F">
        <w:t xml:space="preserve">  </w:t>
      </w:r>
      <w:r w:rsidR="003638DE" w:rsidRPr="006E709F">
        <w:t>Contents of section</w:t>
      </w:r>
      <w:r w:rsidR="00DA13DE" w:rsidRPr="006E709F">
        <w:t> </w:t>
      </w:r>
      <w:r w:rsidR="003638DE" w:rsidRPr="006E709F">
        <w:t>3 (Benefits of investing in [name of simple managed investment scheme])</w:t>
      </w:r>
      <w:bookmarkEnd w:id="163"/>
    </w:p>
    <w:p w:rsidR="003638DE" w:rsidRPr="006E709F" w:rsidRDefault="003638DE" w:rsidP="00A801D0">
      <w:pPr>
        <w:pStyle w:val="subsection"/>
      </w:pPr>
      <w:r w:rsidRPr="006E709F">
        <w:tab/>
        <w:t>(1)</w:t>
      </w:r>
      <w:r w:rsidRPr="006E709F">
        <w:tab/>
        <w:t>Section</w:t>
      </w:r>
      <w:r w:rsidR="00DA13DE" w:rsidRPr="006E709F">
        <w:t> </w:t>
      </w:r>
      <w:r w:rsidRPr="006E709F">
        <w:t>3 of the Product Disclosure Statement must, before setting out any other information, describe, in the form of a summary:</w:t>
      </w:r>
    </w:p>
    <w:p w:rsidR="003638DE" w:rsidRPr="006E709F" w:rsidRDefault="003638DE" w:rsidP="00A801D0">
      <w:pPr>
        <w:pStyle w:val="paragraph"/>
      </w:pPr>
      <w:r w:rsidRPr="006E709F">
        <w:tab/>
        <w:t>(a)</w:t>
      </w:r>
      <w:r w:rsidRPr="006E709F">
        <w:tab/>
        <w:t>the significant features of the simple managed investment scheme; and</w:t>
      </w:r>
    </w:p>
    <w:p w:rsidR="003638DE" w:rsidRPr="006E709F" w:rsidRDefault="003638DE" w:rsidP="00A801D0">
      <w:pPr>
        <w:pStyle w:val="paragraph"/>
      </w:pPr>
      <w:r w:rsidRPr="006E709F">
        <w:tab/>
        <w:t>(b)</w:t>
      </w:r>
      <w:r w:rsidRPr="006E709F">
        <w:tab/>
        <w:t>the significant benefits of the simple managed investment scheme.</w:t>
      </w:r>
    </w:p>
    <w:p w:rsidR="0060432E" w:rsidRPr="006E709F" w:rsidRDefault="0060432E" w:rsidP="00A801D0">
      <w:pPr>
        <w:pStyle w:val="subsection"/>
      </w:pPr>
      <w:r w:rsidRPr="006E709F">
        <w:tab/>
        <w:t>(2)</w:t>
      </w:r>
      <w:r w:rsidRPr="006E709F">
        <w:tab/>
        <w:t>The responsible entity may provide additional information about:</w:t>
      </w:r>
    </w:p>
    <w:p w:rsidR="0060432E" w:rsidRPr="006E709F" w:rsidRDefault="0060432E" w:rsidP="00A801D0">
      <w:pPr>
        <w:pStyle w:val="paragraph"/>
      </w:pPr>
      <w:r w:rsidRPr="006E709F">
        <w:tab/>
        <w:t>(a)</w:t>
      </w:r>
      <w:r w:rsidRPr="006E709F">
        <w:tab/>
        <w:t>any feature or benefit of the simple managed investment scheme; or</w:t>
      </w:r>
    </w:p>
    <w:p w:rsidR="0060432E" w:rsidRPr="006E709F" w:rsidRDefault="0060432E" w:rsidP="00A801D0">
      <w:pPr>
        <w:pStyle w:val="paragraph"/>
      </w:pPr>
      <w:r w:rsidRPr="006E709F">
        <w:tab/>
        <w:t>(b)</w:t>
      </w:r>
      <w:r w:rsidRPr="006E709F">
        <w:tab/>
        <w:t>other features and benefits of the simple managed investment scheme; or</w:t>
      </w:r>
    </w:p>
    <w:p w:rsidR="0060432E" w:rsidRPr="006E709F" w:rsidRDefault="0060432E" w:rsidP="00A801D0">
      <w:pPr>
        <w:pStyle w:val="paragraph"/>
      </w:pPr>
      <w:r w:rsidRPr="006E709F">
        <w:tab/>
        <w:t>(c)</w:t>
      </w:r>
      <w:r w:rsidRPr="006E709F">
        <w:tab/>
        <w:t>other features and benefits of simple managed investment schemes;</w:t>
      </w:r>
    </w:p>
    <w:p w:rsidR="0060432E" w:rsidRPr="006E709F" w:rsidRDefault="0060432E" w:rsidP="00A801D0">
      <w:pPr>
        <w:pStyle w:val="subsection2"/>
      </w:pPr>
      <w:r w:rsidRPr="006E709F">
        <w:t>by applying, adopting or incorporating a matter in writing.</w:t>
      </w:r>
    </w:p>
    <w:p w:rsidR="003638DE" w:rsidRPr="006E709F" w:rsidRDefault="00C44525" w:rsidP="00A801D0">
      <w:pPr>
        <w:pStyle w:val="ActHead5"/>
      </w:pPr>
      <w:bookmarkStart w:id="164" w:name="_Toc170547981"/>
      <w:r w:rsidRPr="000C4237">
        <w:rPr>
          <w:rStyle w:val="CharSectno"/>
        </w:rPr>
        <w:t>6</w:t>
      </w:r>
      <w:r w:rsidRPr="006E709F">
        <w:t xml:space="preserve">  </w:t>
      </w:r>
      <w:r w:rsidR="003638DE" w:rsidRPr="006E709F">
        <w:t>Contents of section</w:t>
      </w:r>
      <w:r w:rsidR="00DA13DE" w:rsidRPr="006E709F">
        <w:t> </w:t>
      </w:r>
      <w:r w:rsidR="003638DE" w:rsidRPr="006E709F">
        <w:t>4 (Risks of managed investment schemes)</w:t>
      </w:r>
      <w:bookmarkEnd w:id="164"/>
    </w:p>
    <w:p w:rsidR="003638DE" w:rsidRPr="006E709F" w:rsidRDefault="003638DE" w:rsidP="00A801D0">
      <w:pPr>
        <w:pStyle w:val="subsection"/>
      </w:pPr>
      <w:r w:rsidRPr="006E709F">
        <w:tab/>
        <w:t>(1)</w:t>
      </w:r>
      <w:r w:rsidRPr="006E709F">
        <w:tab/>
        <w:t>Section</w:t>
      </w:r>
      <w:r w:rsidR="00DA13DE" w:rsidRPr="006E709F">
        <w:t> </w:t>
      </w:r>
      <w:r w:rsidRPr="006E709F">
        <w:t>4 of the Product Disclosure Statement must include statements to the following effect:</w:t>
      </w:r>
    </w:p>
    <w:p w:rsidR="003638DE" w:rsidRPr="006E709F" w:rsidRDefault="003638DE" w:rsidP="00A801D0">
      <w:pPr>
        <w:pStyle w:val="paragraph"/>
      </w:pPr>
      <w:r w:rsidRPr="006E709F">
        <w:lastRenderedPageBreak/>
        <w:tab/>
        <w:t>(a)</w:t>
      </w:r>
      <w:r w:rsidRPr="006E709F">
        <w:tab/>
        <w:t>all investments carry risk;</w:t>
      </w:r>
    </w:p>
    <w:p w:rsidR="003638DE" w:rsidRPr="006E709F" w:rsidRDefault="003638DE" w:rsidP="00A801D0">
      <w:pPr>
        <w:pStyle w:val="paragraph"/>
      </w:pPr>
      <w:r w:rsidRPr="006E709F">
        <w:tab/>
        <w:t>(b)</w:t>
      </w:r>
      <w:r w:rsidRPr="006E709F">
        <w:tab/>
        <w:t>different strategies may carry different levels of risk, depending on the assets that make up the strategy;</w:t>
      </w:r>
    </w:p>
    <w:p w:rsidR="003638DE" w:rsidRPr="006E709F" w:rsidRDefault="003638DE" w:rsidP="00A801D0">
      <w:pPr>
        <w:pStyle w:val="paragraph"/>
      </w:pPr>
      <w:r w:rsidRPr="006E709F">
        <w:tab/>
        <w:t>(c)</w:t>
      </w:r>
      <w:r w:rsidRPr="006E709F">
        <w:tab/>
        <w:t>assets with the highest long</w:t>
      </w:r>
      <w:r w:rsidR="000C4237">
        <w:noBreakHyphen/>
      </w:r>
      <w:r w:rsidRPr="006E709F">
        <w:t>term returns may also carry the highest level of short</w:t>
      </w:r>
      <w:r w:rsidR="000C4237">
        <w:noBreakHyphen/>
      </w:r>
      <w:r w:rsidRPr="006E709F">
        <w:t>term risk.</w:t>
      </w:r>
    </w:p>
    <w:p w:rsidR="003638DE" w:rsidRPr="006E709F" w:rsidRDefault="003638DE" w:rsidP="00A801D0">
      <w:pPr>
        <w:pStyle w:val="subsection"/>
      </w:pPr>
      <w:r w:rsidRPr="006E709F">
        <w:tab/>
        <w:t>(2)</w:t>
      </w:r>
      <w:r w:rsidRPr="006E709F">
        <w:tab/>
        <w:t>Section</w:t>
      </w:r>
      <w:r w:rsidR="00DA13DE" w:rsidRPr="006E709F">
        <w:t> </w:t>
      </w:r>
      <w:r w:rsidRPr="006E709F">
        <w:t>4 must describe, in the form of a summary, the significant risks of the particular simple managed investment scheme.</w:t>
      </w:r>
    </w:p>
    <w:p w:rsidR="003638DE" w:rsidRPr="006E709F" w:rsidRDefault="003638DE" w:rsidP="00A801D0">
      <w:pPr>
        <w:pStyle w:val="subsection"/>
      </w:pPr>
      <w:r w:rsidRPr="006E709F">
        <w:tab/>
        <w:t>(3)</w:t>
      </w:r>
      <w:r w:rsidRPr="006E709F">
        <w:tab/>
        <w:t>Section</w:t>
      </w:r>
      <w:r w:rsidR="00DA13DE" w:rsidRPr="006E709F">
        <w:t> </w:t>
      </w:r>
      <w:r w:rsidRPr="006E709F">
        <w:t xml:space="preserve">4 must describe the significant risks of managed investment schemes (to the extent only that the description required by </w:t>
      </w:r>
      <w:r w:rsidR="00DA13DE" w:rsidRPr="006E709F">
        <w:t>subitem (</w:t>
      </w:r>
      <w:r w:rsidRPr="006E709F">
        <w:t>2) has not already described the risk) by including statements to the following effect:</w:t>
      </w:r>
    </w:p>
    <w:p w:rsidR="003638DE" w:rsidRPr="006E709F" w:rsidRDefault="003638DE" w:rsidP="00A801D0">
      <w:pPr>
        <w:pStyle w:val="paragraph"/>
      </w:pPr>
      <w:r w:rsidRPr="006E709F">
        <w:tab/>
        <w:t>(a)</w:t>
      </w:r>
      <w:r w:rsidRPr="006E709F">
        <w:tab/>
        <w:t>the value of investments will vary;</w:t>
      </w:r>
    </w:p>
    <w:p w:rsidR="003638DE" w:rsidRPr="006E709F" w:rsidRDefault="003638DE" w:rsidP="00A801D0">
      <w:pPr>
        <w:pStyle w:val="paragraph"/>
      </w:pPr>
      <w:r w:rsidRPr="006E709F">
        <w:tab/>
        <w:t>(b)</w:t>
      </w:r>
      <w:r w:rsidRPr="006E709F">
        <w:tab/>
        <w:t>the level of returns will vary, and future returns may differ from past returns;</w:t>
      </w:r>
    </w:p>
    <w:p w:rsidR="003638DE" w:rsidRPr="006E709F" w:rsidRDefault="003638DE" w:rsidP="00A801D0">
      <w:pPr>
        <w:pStyle w:val="paragraph"/>
      </w:pPr>
      <w:r w:rsidRPr="006E709F">
        <w:tab/>
        <w:t>(c)</w:t>
      </w:r>
      <w:r w:rsidRPr="006E709F">
        <w:tab/>
        <w:t>returns are not guaranteed, and members may lose some of their money;</w:t>
      </w:r>
    </w:p>
    <w:p w:rsidR="003638DE" w:rsidRPr="006E709F" w:rsidRDefault="003638DE" w:rsidP="00A801D0">
      <w:pPr>
        <w:pStyle w:val="paragraph"/>
      </w:pPr>
      <w:r w:rsidRPr="006E709F">
        <w:tab/>
        <w:t>(d)</w:t>
      </w:r>
      <w:r w:rsidRPr="006E709F">
        <w:tab/>
        <w:t xml:space="preserve">laws affecting </w:t>
      </w:r>
      <w:r w:rsidR="00333B75" w:rsidRPr="006E709F">
        <w:t>registered schemes</w:t>
      </w:r>
      <w:r w:rsidRPr="006E709F">
        <w:t xml:space="preserve"> may change in the future;</w:t>
      </w:r>
    </w:p>
    <w:p w:rsidR="003638DE" w:rsidRPr="006E709F" w:rsidRDefault="003638DE" w:rsidP="00A801D0">
      <w:pPr>
        <w:pStyle w:val="paragraph"/>
      </w:pPr>
      <w:r w:rsidRPr="006E709F">
        <w:tab/>
        <w:t>(e)</w:t>
      </w:r>
      <w:r w:rsidRPr="006E709F">
        <w:tab/>
        <w:t>the level of risk for each person will vary depending on a range of factors, including:</w:t>
      </w:r>
    </w:p>
    <w:p w:rsidR="003638DE" w:rsidRPr="006E709F" w:rsidRDefault="003638DE" w:rsidP="00A801D0">
      <w:pPr>
        <w:pStyle w:val="paragraphsub"/>
      </w:pPr>
      <w:r w:rsidRPr="006E709F">
        <w:tab/>
        <w:t>(i)</w:t>
      </w:r>
      <w:r w:rsidRPr="006E709F">
        <w:tab/>
        <w:t>age; and</w:t>
      </w:r>
    </w:p>
    <w:p w:rsidR="003638DE" w:rsidRPr="006E709F" w:rsidRDefault="003638DE" w:rsidP="00A801D0">
      <w:pPr>
        <w:pStyle w:val="paragraphsub"/>
      </w:pPr>
      <w:r w:rsidRPr="006E709F">
        <w:tab/>
        <w:t>(ii)</w:t>
      </w:r>
      <w:r w:rsidRPr="006E709F">
        <w:tab/>
        <w:t>investment time frames; and</w:t>
      </w:r>
    </w:p>
    <w:p w:rsidR="003638DE" w:rsidRPr="006E709F" w:rsidRDefault="003638DE" w:rsidP="00A801D0">
      <w:pPr>
        <w:pStyle w:val="paragraphsub"/>
      </w:pPr>
      <w:r w:rsidRPr="006E709F">
        <w:tab/>
        <w:t>(iii)</w:t>
      </w:r>
      <w:r w:rsidRPr="006E709F">
        <w:tab/>
        <w:t>where other parts of the member’s wealth are invested; and</w:t>
      </w:r>
    </w:p>
    <w:p w:rsidR="003638DE" w:rsidRPr="006E709F" w:rsidRDefault="003638DE" w:rsidP="00A801D0">
      <w:pPr>
        <w:pStyle w:val="paragraphsub"/>
      </w:pPr>
      <w:r w:rsidRPr="006E709F">
        <w:tab/>
        <w:t>(iv)</w:t>
      </w:r>
      <w:r w:rsidRPr="006E709F">
        <w:tab/>
        <w:t>the member’s risk tolerance.</w:t>
      </w:r>
    </w:p>
    <w:p w:rsidR="003638DE" w:rsidRPr="006E709F" w:rsidRDefault="003638DE" w:rsidP="00A801D0">
      <w:pPr>
        <w:pStyle w:val="subsection"/>
      </w:pPr>
      <w:r w:rsidRPr="006E709F">
        <w:tab/>
        <w:t>(4)</w:t>
      </w:r>
      <w:r w:rsidRPr="006E709F">
        <w:tab/>
        <w:t>The responsible entity may provide additional information about significant risks of managed investment schemes by applying, adopting or incorporating a matter in writing.</w:t>
      </w:r>
    </w:p>
    <w:p w:rsidR="003638DE" w:rsidRPr="006E709F" w:rsidRDefault="00C44525" w:rsidP="00A801D0">
      <w:pPr>
        <w:pStyle w:val="ActHead5"/>
      </w:pPr>
      <w:bookmarkStart w:id="165" w:name="_Toc170547982"/>
      <w:r w:rsidRPr="000C4237">
        <w:rPr>
          <w:rStyle w:val="CharSectno"/>
        </w:rPr>
        <w:t>7</w:t>
      </w:r>
      <w:r w:rsidRPr="006E709F">
        <w:t xml:space="preserve">  </w:t>
      </w:r>
      <w:r w:rsidR="003638DE" w:rsidRPr="006E709F">
        <w:t>Contents of section</w:t>
      </w:r>
      <w:r w:rsidR="00DA13DE" w:rsidRPr="006E709F">
        <w:t> </w:t>
      </w:r>
      <w:r w:rsidR="003638DE" w:rsidRPr="006E709F">
        <w:t>5 (How we invest your money)</w:t>
      </w:r>
      <w:bookmarkEnd w:id="165"/>
    </w:p>
    <w:p w:rsidR="003638DE" w:rsidRPr="006E709F" w:rsidRDefault="003638DE" w:rsidP="00A801D0">
      <w:pPr>
        <w:pStyle w:val="subsection"/>
      </w:pPr>
      <w:r w:rsidRPr="006E709F">
        <w:tab/>
        <w:t>(1)</w:t>
      </w:r>
      <w:r w:rsidRPr="006E709F">
        <w:tab/>
        <w:t>Section</w:t>
      </w:r>
      <w:r w:rsidR="00DA13DE" w:rsidRPr="006E709F">
        <w:t> </w:t>
      </w:r>
      <w:r w:rsidRPr="006E709F">
        <w:t>5 of the Product Disclosure Statement must describe, in the form of a summary, the investment options offered by the simple managed investment scheme.</w:t>
      </w:r>
    </w:p>
    <w:p w:rsidR="003638DE" w:rsidRPr="006E709F" w:rsidRDefault="003638DE" w:rsidP="00A801D0">
      <w:pPr>
        <w:pStyle w:val="subsection"/>
      </w:pPr>
      <w:r w:rsidRPr="006E709F">
        <w:tab/>
        <w:t>(2)</w:t>
      </w:r>
      <w:r w:rsidRPr="006E709F">
        <w:tab/>
        <w:t>Section</w:t>
      </w:r>
      <w:r w:rsidR="00DA13DE" w:rsidRPr="006E709F">
        <w:t> </w:t>
      </w:r>
      <w:r w:rsidRPr="006E709F">
        <w:t>5 must state, in the form of a warning, that the person should consider:</w:t>
      </w:r>
    </w:p>
    <w:p w:rsidR="003638DE" w:rsidRPr="006E709F" w:rsidRDefault="003638DE" w:rsidP="00A801D0">
      <w:pPr>
        <w:pStyle w:val="paragraph"/>
      </w:pPr>
      <w:r w:rsidRPr="006E709F">
        <w:tab/>
        <w:t>(a)</w:t>
      </w:r>
      <w:r w:rsidRPr="006E709F">
        <w:tab/>
        <w:t>the likely investment return; and</w:t>
      </w:r>
    </w:p>
    <w:p w:rsidR="003638DE" w:rsidRPr="006E709F" w:rsidRDefault="003638DE" w:rsidP="00A801D0">
      <w:pPr>
        <w:pStyle w:val="paragraph"/>
      </w:pPr>
      <w:r w:rsidRPr="006E709F">
        <w:tab/>
        <w:t>(b)</w:t>
      </w:r>
      <w:r w:rsidRPr="006E709F">
        <w:tab/>
        <w:t>the risk; and</w:t>
      </w:r>
    </w:p>
    <w:p w:rsidR="003638DE" w:rsidRPr="006E709F" w:rsidRDefault="003638DE" w:rsidP="00A801D0">
      <w:pPr>
        <w:pStyle w:val="paragraph"/>
      </w:pPr>
      <w:r w:rsidRPr="006E709F">
        <w:tab/>
        <w:t>(c)</w:t>
      </w:r>
      <w:r w:rsidRPr="006E709F">
        <w:tab/>
        <w:t>the person’s investment timeframe;</w:t>
      </w:r>
    </w:p>
    <w:p w:rsidR="003638DE" w:rsidRPr="006E709F" w:rsidRDefault="003638DE" w:rsidP="00A801D0">
      <w:pPr>
        <w:pStyle w:val="subsection2"/>
      </w:pPr>
      <w:r w:rsidRPr="006E709F">
        <w:t>when choosing an option in which to invest.</w:t>
      </w:r>
    </w:p>
    <w:p w:rsidR="00083EFC" w:rsidRPr="006E709F" w:rsidRDefault="00083EFC" w:rsidP="00A801D0">
      <w:pPr>
        <w:pStyle w:val="SubsectionHead"/>
      </w:pPr>
      <w:r w:rsidRPr="006E709F">
        <w:t>New simple managed investment scheme</w:t>
      </w:r>
    </w:p>
    <w:p w:rsidR="00083EFC" w:rsidRPr="006E709F" w:rsidRDefault="00083EFC" w:rsidP="00A801D0">
      <w:pPr>
        <w:pStyle w:val="subsection"/>
      </w:pPr>
      <w:r w:rsidRPr="006E709F">
        <w:tab/>
        <w:t>(3)</w:t>
      </w:r>
      <w:r w:rsidRPr="006E709F">
        <w:tab/>
        <w:t xml:space="preserve">If the simple managed investment scheme has never previously been offered to investors, and does not offer any investment option mentioned in </w:t>
      </w:r>
      <w:r w:rsidR="00DA13DE" w:rsidRPr="006E709F">
        <w:t>subclauses (</w:t>
      </w:r>
      <w:r w:rsidRPr="006E709F">
        <w:t>4) and (5) about which section</w:t>
      </w:r>
      <w:r w:rsidR="00DA13DE" w:rsidRPr="006E709F">
        <w:t> </w:t>
      </w:r>
      <w:r w:rsidRPr="006E709F">
        <w:t>5 can give information, section</w:t>
      </w:r>
      <w:r w:rsidR="00DA13DE" w:rsidRPr="006E709F">
        <w:t> </w:t>
      </w:r>
      <w:r w:rsidRPr="006E709F">
        <w:t>5 must give the following information for the investment option that the responsible entity reasonably believes has the least volatile underlying assets (whether or not section</w:t>
      </w:r>
      <w:r w:rsidR="00DA13DE" w:rsidRPr="006E709F">
        <w:t> </w:t>
      </w:r>
      <w:r w:rsidRPr="006E709F">
        <w:t>5 gives that information for any other investment option):</w:t>
      </w:r>
    </w:p>
    <w:p w:rsidR="00083EFC" w:rsidRPr="006E709F" w:rsidRDefault="00083EFC" w:rsidP="00A801D0">
      <w:pPr>
        <w:pStyle w:val="paragraph"/>
      </w:pPr>
      <w:r w:rsidRPr="006E709F">
        <w:lastRenderedPageBreak/>
        <w:tab/>
        <w:t>(a)</w:t>
      </w:r>
      <w:r w:rsidRPr="006E709F">
        <w:tab/>
        <w:t>the name of the option and a short description of it, including the type of investors for whom it is intended to be suitable;</w:t>
      </w:r>
    </w:p>
    <w:p w:rsidR="00083EFC" w:rsidRPr="006E709F" w:rsidRDefault="00083EFC" w:rsidP="00A801D0">
      <w:pPr>
        <w:pStyle w:val="paragraph"/>
      </w:pPr>
      <w:r w:rsidRPr="006E709F">
        <w:tab/>
        <w:t>(b)</w:t>
      </w:r>
      <w:r w:rsidRPr="006E709F">
        <w:tab/>
        <w:t>a list of the asset classes in which the option invests, setting out the strategic asset allocation of the asset classes in the form of a range or otherwise;</w:t>
      </w:r>
    </w:p>
    <w:p w:rsidR="00083EFC" w:rsidRPr="006E709F" w:rsidRDefault="00083EFC" w:rsidP="00A801D0">
      <w:pPr>
        <w:pStyle w:val="paragraph"/>
      </w:pPr>
      <w:r w:rsidRPr="006E709F">
        <w:tab/>
        <w:t>(c)</w:t>
      </w:r>
      <w:r w:rsidRPr="006E709F">
        <w:tab/>
        <w:t>a description of the investment return objective of the option;</w:t>
      </w:r>
    </w:p>
    <w:p w:rsidR="00083EFC" w:rsidRPr="006E709F" w:rsidRDefault="00083EFC" w:rsidP="00A801D0">
      <w:pPr>
        <w:pStyle w:val="paragraph"/>
      </w:pPr>
      <w:r w:rsidRPr="006E709F">
        <w:tab/>
        <w:t>(d)</w:t>
      </w:r>
      <w:r w:rsidRPr="006E709F">
        <w:tab/>
        <w:t>the minimum suggested time frame for holding the investment;</w:t>
      </w:r>
    </w:p>
    <w:p w:rsidR="00083EFC" w:rsidRPr="006E709F" w:rsidRDefault="00083EFC" w:rsidP="00A801D0">
      <w:pPr>
        <w:pStyle w:val="paragraph"/>
      </w:pPr>
      <w:r w:rsidRPr="006E709F">
        <w:tab/>
        <w:t>(e)</w:t>
      </w:r>
      <w:r w:rsidRPr="006E709F">
        <w:tab/>
        <w:t>a description, in the form of a summary, of the risk level of the option.</w:t>
      </w:r>
    </w:p>
    <w:p w:rsidR="00083EFC" w:rsidRPr="006E709F" w:rsidRDefault="00083EFC" w:rsidP="00A801D0">
      <w:pPr>
        <w:pStyle w:val="SubsectionHead"/>
      </w:pPr>
      <w:r w:rsidRPr="006E709F">
        <w:t>Balanced investment option</w:t>
      </w:r>
    </w:p>
    <w:p w:rsidR="00083EFC" w:rsidRPr="006E709F" w:rsidRDefault="00083EFC" w:rsidP="00A801D0">
      <w:pPr>
        <w:pStyle w:val="subsection"/>
      </w:pPr>
      <w:r w:rsidRPr="006E709F">
        <w:tab/>
        <w:t>(4)</w:t>
      </w:r>
      <w:r w:rsidRPr="006E709F">
        <w:tab/>
        <w:t>If the simple managed investment scheme has a balanced investment option (within the meaning given by item</w:t>
      </w:r>
      <w:r w:rsidR="00DA13DE" w:rsidRPr="006E709F">
        <w:t> </w:t>
      </w:r>
      <w:r w:rsidRPr="006E709F">
        <w:t>101 of Schedule</w:t>
      </w:r>
      <w:r w:rsidR="00DA13DE" w:rsidRPr="006E709F">
        <w:t> </w:t>
      </w:r>
      <w:r w:rsidRPr="006E709F">
        <w:t>10), section</w:t>
      </w:r>
      <w:r w:rsidR="00DA13DE" w:rsidRPr="006E709F">
        <w:t> </w:t>
      </w:r>
      <w:r w:rsidRPr="006E709F">
        <w:t>5 must give the following information for the balanced investment option (whether or not section</w:t>
      </w:r>
      <w:r w:rsidR="00DA13DE" w:rsidRPr="006E709F">
        <w:t> </w:t>
      </w:r>
      <w:r w:rsidRPr="006E709F">
        <w:t>5 gives that information for any other investment option):</w:t>
      </w:r>
    </w:p>
    <w:p w:rsidR="00083EFC" w:rsidRPr="006E709F" w:rsidRDefault="00083EFC" w:rsidP="00A801D0">
      <w:pPr>
        <w:pStyle w:val="paragraph"/>
      </w:pPr>
      <w:r w:rsidRPr="006E709F">
        <w:tab/>
        <w:t>(a)</w:t>
      </w:r>
      <w:r w:rsidRPr="006E709F">
        <w:tab/>
        <w:t>the name of the option and a short description of it, including the type of investors for whom it is intended to be suitable;</w:t>
      </w:r>
    </w:p>
    <w:p w:rsidR="00083EFC" w:rsidRPr="006E709F" w:rsidRDefault="00083EFC" w:rsidP="00A801D0">
      <w:pPr>
        <w:pStyle w:val="paragraph"/>
      </w:pPr>
      <w:r w:rsidRPr="006E709F">
        <w:tab/>
        <w:t>(b)</w:t>
      </w:r>
      <w:r w:rsidRPr="006E709F">
        <w:tab/>
        <w:t>a list of the asset classes in which the option invests, setting out the strategic asset allocation of the asset classes in the form of a range or otherwise;</w:t>
      </w:r>
    </w:p>
    <w:p w:rsidR="00083EFC" w:rsidRPr="006E709F" w:rsidRDefault="00083EFC" w:rsidP="00A801D0">
      <w:pPr>
        <w:pStyle w:val="paragraph"/>
      </w:pPr>
      <w:r w:rsidRPr="006E709F">
        <w:tab/>
        <w:t>(c)</w:t>
      </w:r>
      <w:r w:rsidRPr="006E709F">
        <w:tab/>
        <w:t>a description of the investment return objective of the option;</w:t>
      </w:r>
    </w:p>
    <w:p w:rsidR="00083EFC" w:rsidRPr="006E709F" w:rsidRDefault="00083EFC" w:rsidP="00A801D0">
      <w:pPr>
        <w:pStyle w:val="paragraph"/>
      </w:pPr>
      <w:r w:rsidRPr="006E709F">
        <w:tab/>
        <w:t>(d)</w:t>
      </w:r>
      <w:r w:rsidRPr="006E709F">
        <w:tab/>
        <w:t>the minimum suggested time frame for holding the investment;</w:t>
      </w:r>
    </w:p>
    <w:p w:rsidR="00083EFC" w:rsidRPr="006E709F" w:rsidRDefault="00083EFC" w:rsidP="00A801D0">
      <w:pPr>
        <w:pStyle w:val="paragraph"/>
      </w:pPr>
      <w:r w:rsidRPr="006E709F">
        <w:tab/>
        <w:t>(e)</w:t>
      </w:r>
      <w:r w:rsidRPr="006E709F">
        <w:tab/>
        <w:t>a description, in the form of a summary, of the risk level of the option.</w:t>
      </w:r>
    </w:p>
    <w:p w:rsidR="00083EFC" w:rsidRPr="006E709F" w:rsidRDefault="00083EFC" w:rsidP="00A801D0">
      <w:pPr>
        <w:pStyle w:val="SubsectionHead"/>
      </w:pPr>
      <w:r w:rsidRPr="006E709F">
        <w:t>No balanced investment option</w:t>
      </w:r>
    </w:p>
    <w:p w:rsidR="00083EFC" w:rsidRPr="006E709F" w:rsidRDefault="00083EFC" w:rsidP="00A801D0">
      <w:pPr>
        <w:pStyle w:val="subsection"/>
      </w:pPr>
      <w:r w:rsidRPr="006E709F">
        <w:tab/>
        <w:t>(5)</w:t>
      </w:r>
      <w:r w:rsidRPr="006E709F">
        <w:tab/>
        <w:t>If the simple managed investment scheme does not have a balanced investment option (within the meaning given by item</w:t>
      </w:r>
      <w:r w:rsidR="00DA13DE" w:rsidRPr="006E709F">
        <w:t> </w:t>
      </w:r>
      <w:r w:rsidRPr="006E709F">
        <w:t>101 of Schedule</w:t>
      </w:r>
      <w:r w:rsidR="00DA13DE" w:rsidRPr="006E709F">
        <w:t> </w:t>
      </w:r>
      <w:r w:rsidRPr="006E709F">
        <w:t>10), section</w:t>
      </w:r>
      <w:r w:rsidR="00DA13DE" w:rsidRPr="006E709F">
        <w:t> </w:t>
      </w:r>
      <w:r w:rsidRPr="006E709F">
        <w:t>5 must give the following information for the investment option under which the entity has the most funds invested (whether or not section</w:t>
      </w:r>
      <w:r w:rsidR="00DA13DE" w:rsidRPr="006E709F">
        <w:t> </w:t>
      </w:r>
      <w:r w:rsidRPr="006E709F">
        <w:t>5 gives that information for any other investment option):</w:t>
      </w:r>
    </w:p>
    <w:p w:rsidR="00083EFC" w:rsidRPr="006E709F" w:rsidRDefault="00083EFC" w:rsidP="00A801D0">
      <w:pPr>
        <w:pStyle w:val="paragraph"/>
      </w:pPr>
      <w:r w:rsidRPr="006E709F">
        <w:tab/>
        <w:t>(a)</w:t>
      </w:r>
      <w:r w:rsidRPr="006E709F">
        <w:tab/>
        <w:t>the name of the option and a short description of it, including the type of investors for whom it is intended to be suitable;</w:t>
      </w:r>
    </w:p>
    <w:p w:rsidR="00083EFC" w:rsidRPr="006E709F" w:rsidRDefault="00083EFC" w:rsidP="00A801D0">
      <w:pPr>
        <w:pStyle w:val="paragraph"/>
      </w:pPr>
      <w:r w:rsidRPr="006E709F">
        <w:tab/>
        <w:t>(b)</w:t>
      </w:r>
      <w:r w:rsidRPr="006E709F">
        <w:tab/>
        <w:t>a list of the asset classes in which the option invests, setting out the strategic asset allocation of the asset classes in the form of a range or otherwise;</w:t>
      </w:r>
    </w:p>
    <w:p w:rsidR="00083EFC" w:rsidRPr="006E709F" w:rsidRDefault="00083EFC" w:rsidP="00A801D0">
      <w:pPr>
        <w:pStyle w:val="paragraph"/>
      </w:pPr>
      <w:r w:rsidRPr="006E709F">
        <w:tab/>
        <w:t>(c)</w:t>
      </w:r>
      <w:r w:rsidRPr="006E709F">
        <w:tab/>
        <w:t>a description of the investment return objective of the option;</w:t>
      </w:r>
    </w:p>
    <w:p w:rsidR="00083EFC" w:rsidRPr="006E709F" w:rsidRDefault="00083EFC" w:rsidP="00A801D0">
      <w:pPr>
        <w:pStyle w:val="paragraph"/>
      </w:pPr>
      <w:r w:rsidRPr="006E709F">
        <w:tab/>
        <w:t>(d)</w:t>
      </w:r>
      <w:r w:rsidRPr="006E709F">
        <w:tab/>
        <w:t>the minimum suggested time frame for holding the investment;</w:t>
      </w:r>
    </w:p>
    <w:p w:rsidR="00083EFC" w:rsidRPr="006E709F" w:rsidRDefault="00083EFC" w:rsidP="00A801D0">
      <w:pPr>
        <w:pStyle w:val="paragraph"/>
      </w:pPr>
      <w:r w:rsidRPr="006E709F">
        <w:tab/>
        <w:t>(e)</w:t>
      </w:r>
      <w:r w:rsidRPr="006E709F">
        <w:tab/>
        <w:t>a description, in the form of a summary, of the risk level of the option.</w:t>
      </w:r>
    </w:p>
    <w:p w:rsidR="003638DE" w:rsidRPr="006E709F" w:rsidRDefault="003638DE" w:rsidP="00A801D0">
      <w:pPr>
        <w:pStyle w:val="subsection"/>
      </w:pPr>
      <w:r w:rsidRPr="006E709F">
        <w:tab/>
        <w:t>(6)</w:t>
      </w:r>
      <w:r w:rsidRPr="006E709F">
        <w:tab/>
        <w:t>Section</w:t>
      </w:r>
      <w:r w:rsidR="00DA13DE" w:rsidRPr="006E709F">
        <w:t> </w:t>
      </w:r>
      <w:r w:rsidRPr="006E709F">
        <w:t>5:</w:t>
      </w:r>
    </w:p>
    <w:p w:rsidR="003638DE" w:rsidRPr="006E709F" w:rsidRDefault="003638DE" w:rsidP="00A801D0">
      <w:pPr>
        <w:pStyle w:val="paragraph"/>
      </w:pPr>
      <w:r w:rsidRPr="006E709F">
        <w:tab/>
        <w:t>(a)</w:t>
      </w:r>
      <w:r w:rsidRPr="006E709F">
        <w:tab/>
        <w:t>must make provision for each investment option which is not presented in section</w:t>
      </w:r>
      <w:r w:rsidR="00DA13DE" w:rsidRPr="006E709F">
        <w:t> </w:t>
      </w:r>
      <w:r w:rsidRPr="006E709F">
        <w:t xml:space="preserve">5 in accordance with </w:t>
      </w:r>
      <w:r w:rsidR="00DA13DE" w:rsidRPr="006E709F">
        <w:t>subclause (</w:t>
      </w:r>
      <w:r w:rsidRPr="006E709F">
        <w:t>3), (4) or (5); and</w:t>
      </w:r>
    </w:p>
    <w:p w:rsidR="003638DE" w:rsidRPr="006E709F" w:rsidRDefault="003638DE" w:rsidP="00A801D0">
      <w:pPr>
        <w:pStyle w:val="paragraph"/>
      </w:pPr>
      <w:r w:rsidRPr="006E709F">
        <w:tab/>
        <w:t>(b)</w:t>
      </w:r>
      <w:r w:rsidRPr="006E709F">
        <w:tab/>
        <w:t>may make provision for the option by applying, adopting or incorporating matter in a document that:</w:t>
      </w:r>
    </w:p>
    <w:p w:rsidR="003638DE" w:rsidRPr="006E709F" w:rsidRDefault="003638DE" w:rsidP="00A801D0">
      <w:pPr>
        <w:pStyle w:val="paragraphsub"/>
      </w:pPr>
      <w:r w:rsidRPr="006E709F">
        <w:tab/>
        <w:t>(i)</w:t>
      </w:r>
      <w:r w:rsidRPr="006E709F">
        <w:tab/>
        <w:t>includes the information mentioned in</w:t>
      </w:r>
      <w:r w:rsidR="00083EFC" w:rsidRPr="006E709F">
        <w:t xml:space="preserve"> </w:t>
      </w:r>
      <w:r w:rsidR="00DA13DE" w:rsidRPr="006E709F">
        <w:t>subclause (</w:t>
      </w:r>
      <w:r w:rsidR="00083EFC" w:rsidRPr="006E709F">
        <w:t>3), (4) or (5)</w:t>
      </w:r>
      <w:r w:rsidRPr="006E709F">
        <w:t>; and</w:t>
      </w:r>
    </w:p>
    <w:p w:rsidR="003638DE" w:rsidRPr="006E709F" w:rsidRDefault="003638DE" w:rsidP="00A801D0">
      <w:pPr>
        <w:pStyle w:val="paragraphsub"/>
      </w:pPr>
      <w:r w:rsidRPr="006E709F">
        <w:lastRenderedPageBreak/>
        <w:tab/>
        <w:t>(ii)</w:t>
      </w:r>
      <w:r w:rsidRPr="006E709F">
        <w:tab/>
        <w:t>presents it in the way mentioned in the subclause.</w:t>
      </w:r>
    </w:p>
    <w:p w:rsidR="003638DE" w:rsidRPr="006E709F" w:rsidRDefault="003638DE" w:rsidP="00A801D0">
      <w:pPr>
        <w:pStyle w:val="subsection"/>
      </w:pPr>
      <w:r w:rsidRPr="006E709F">
        <w:tab/>
        <w:t>(7)</w:t>
      </w:r>
      <w:r w:rsidRPr="006E709F">
        <w:tab/>
        <w:t>The responsible entity:</w:t>
      </w:r>
    </w:p>
    <w:p w:rsidR="003638DE" w:rsidRPr="006E709F" w:rsidRDefault="003638DE" w:rsidP="00A801D0">
      <w:pPr>
        <w:pStyle w:val="paragraph"/>
      </w:pPr>
      <w:r w:rsidRPr="006E709F">
        <w:tab/>
        <w:t>(a)</w:t>
      </w:r>
      <w:r w:rsidRPr="006E709F">
        <w:tab/>
        <w:t>must provide information about how a member may switch the member’s investments; and</w:t>
      </w:r>
    </w:p>
    <w:p w:rsidR="003638DE" w:rsidRPr="006E709F" w:rsidRDefault="003638DE" w:rsidP="00A801D0">
      <w:pPr>
        <w:pStyle w:val="paragraph"/>
      </w:pPr>
      <w:r w:rsidRPr="006E709F">
        <w:tab/>
        <w:t>(b)</w:t>
      </w:r>
      <w:r w:rsidRPr="006E709F">
        <w:tab/>
        <w:t>must provide information about:</w:t>
      </w:r>
    </w:p>
    <w:p w:rsidR="003638DE" w:rsidRPr="006E709F" w:rsidRDefault="003638DE" w:rsidP="00A801D0">
      <w:pPr>
        <w:pStyle w:val="paragraphsub"/>
      </w:pPr>
      <w:r w:rsidRPr="006E709F">
        <w:tab/>
        <w:t>(i)</w:t>
      </w:r>
      <w:r w:rsidRPr="006E709F">
        <w:tab/>
        <w:t>whether the simple managed investment scheme’s investment options may be changed; and</w:t>
      </w:r>
    </w:p>
    <w:p w:rsidR="003638DE" w:rsidRPr="006E709F" w:rsidRDefault="003638DE" w:rsidP="00A801D0">
      <w:pPr>
        <w:pStyle w:val="paragraphsub"/>
      </w:pPr>
      <w:r w:rsidRPr="006E709F">
        <w:tab/>
        <w:t>(ii)</w:t>
      </w:r>
      <w:r w:rsidRPr="006E709F">
        <w:tab/>
        <w:t>if so, how the options may be changed; and</w:t>
      </w:r>
    </w:p>
    <w:p w:rsidR="003638DE" w:rsidRPr="006E709F" w:rsidRDefault="003638DE" w:rsidP="00A801D0">
      <w:pPr>
        <w:pStyle w:val="paragraph"/>
      </w:pPr>
      <w:r w:rsidRPr="006E709F">
        <w:tab/>
        <w:t>(c)</w:t>
      </w:r>
      <w:r w:rsidRPr="006E709F">
        <w:tab/>
        <w:t>must describe, in the form of a summary, the extent to which labour standards or environmental, social or ethical considerations are taken into account in the selection, retention or realisation of investments relating to the simple managed investment scheme; and</w:t>
      </w:r>
    </w:p>
    <w:p w:rsidR="003638DE" w:rsidRPr="006E709F" w:rsidRDefault="003638DE" w:rsidP="00A801D0">
      <w:pPr>
        <w:pStyle w:val="paragraph"/>
      </w:pPr>
      <w:r w:rsidRPr="006E709F">
        <w:tab/>
        <w:t>(d)</w:t>
      </w:r>
      <w:r w:rsidRPr="006E709F">
        <w:tab/>
        <w:t xml:space="preserve">may provide the information in </w:t>
      </w:r>
      <w:r w:rsidR="00DA13DE" w:rsidRPr="006E709F">
        <w:t>paragraphs (</w:t>
      </w:r>
      <w:r w:rsidRPr="006E709F">
        <w:t>a) to (c), and any additional information about investment options, by applying, adopting or incorporating a matter in writing.</w:t>
      </w:r>
    </w:p>
    <w:p w:rsidR="003638DE" w:rsidRPr="006E709F" w:rsidRDefault="00C44525" w:rsidP="00A801D0">
      <w:pPr>
        <w:pStyle w:val="ActHead5"/>
      </w:pPr>
      <w:bookmarkStart w:id="166" w:name="_Toc170547983"/>
      <w:r w:rsidRPr="000C4237">
        <w:rPr>
          <w:rStyle w:val="CharSectno"/>
        </w:rPr>
        <w:t>8</w:t>
      </w:r>
      <w:r w:rsidRPr="006E709F">
        <w:t xml:space="preserve">  </w:t>
      </w:r>
      <w:r w:rsidR="003638DE" w:rsidRPr="006E709F">
        <w:t>Contents of section</w:t>
      </w:r>
      <w:r w:rsidR="00DA13DE" w:rsidRPr="006E709F">
        <w:t> </w:t>
      </w:r>
      <w:r w:rsidR="003638DE" w:rsidRPr="006E709F">
        <w:t>6 (Fees and costs)</w:t>
      </w:r>
      <w:bookmarkEnd w:id="166"/>
    </w:p>
    <w:p w:rsidR="003638DE" w:rsidRPr="006E709F" w:rsidRDefault="003638DE" w:rsidP="00A801D0">
      <w:pPr>
        <w:pStyle w:val="subsection"/>
      </w:pPr>
      <w:r w:rsidRPr="006E709F">
        <w:tab/>
        <w:t>(1)</w:t>
      </w:r>
      <w:r w:rsidRPr="006E709F">
        <w:tab/>
        <w:t>For each investment option of the simple managed investment scheme that is presented in section</w:t>
      </w:r>
      <w:r w:rsidR="00DA13DE" w:rsidRPr="006E709F">
        <w:t> </w:t>
      </w:r>
      <w:r w:rsidRPr="006E709F">
        <w:t>5 in detail in accordance with subclause</w:t>
      </w:r>
      <w:r w:rsidR="00DA13DE" w:rsidRPr="006E709F">
        <w:t> </w:t>
      </w:r>
      <w:r w:rsidRPr="006E709F">
        <w:t>7(3), section</w:t>
      </w:r>
      <w:r w:rsidR="00DA13DE" w:rsidRPr="006E709F">
        <w:t> </w:t>
      </w:r>
      <w:r w:rsidRPr="006E709F">
        <w:t>6 of the Product Disclosure Statement must state:</w:t>
      </w:r>
    </w:p>
    <w:p w:rsidR="003638DE" w:rsidRPr="006E709F" w:rsidRDefault="003638DE" w:rsidP="00A801D0">
      <w:pPr>
        <w:pStyle w:val="paragraph"/>
      </w:pPr>
      <w:r w:rsidRPr="006E709F">
        <w:tab/>
        <w:t>(a)</w:t>
      </w:r>
      <w:r w:rsidRPr="006E709F">
        <w:tab/>
        <w:t>the cost of acquiring the option; and</w:t>
      </w:r>
    </w:p>
    <w:p w:rsidR="003638DE" w:rsidRPr="006E709F" w:rsidRDefault="003638DE" w:rsidP="00A801D0">
      <w:pPr>
        <w:pStyle w:val="paragraph"/>
      </w:pPr>
      <w:r w:rsidRPr="006E709F">
        <w:tab/>
        <w:t>(b)</w:t>
      </w:r>
      <w:r w:rsidRPr="006E709F">
        <w:tab/>
        <w:t>the fees and costs that are charged in relation to the option.</w:t>
      </w:r>
    </w:p>
    <w:p w:rsidR="003638DE" w:rsidRPr="006E709F" w:rsidRDefault="00A801D0" w:rsidP="00A801D0">
      <w:pPr>
        <w:pStyle w:val="notetext"/>
      </w:pPr>
      <w:r w:rsidRPr="006E709F">
        <w:t>Note:</w:t>
      </w:r>
      <w:r w:rsidRPr="006E709F">
        <w:tab/>
      </w:r>
      <w:r w:rsidR="003638DE" w:rsidRPr="006E709F">
        <w:t xml:space="preserve">The statement will be made using the template set out in </w:t>
      </w:r>
      <w:r w:rsidR="00DA13DE" w:rsidRPr="006E709F">
        <w:t>subclause (</w:t>
      </w:r>
      <w:r w:rsidR="003638DE" w:rsidRPr="006E709F">
        <w:t>3).</w:t>
      </w:r>
    </w:p>
    <w:p w:rsidR="003638DE" w:rsidRPr="006E709F" w:rsidRDefault="003638DE" w:rsidP="00A801D0">
      <w:pPr>
        <w:pStyle w:val="subsection"/>
      </w:pPr>
      <w:r w:rsidRPr="006E709F">
        <w:tab/>
        <w:t>(2)</w:t>
      </w:r>
      <w:r w:rsidRPr="006E709F">
        <w:tab/>
        <w:t>Before setting out any other substantive material, section</w:t>
      </w:r>
      <w:r w:rsidR="00DA13DE" w:rsidRPr="006E709F">
        <w:t> </w:t>
      </w:r>
      <w:r w:rsidRPr="006E709F">
        <w:t>6 must:</w:t>
      </w:r>
    </w:p>
    <w:p w:rsidR="003638DE" w:rsidRPr="006E709F" w:rsidRDefault="003638DE" w:rsidP="00A801D0">
      <w:pPr>
        <w:pStyle w:val="paragraph"/>
      </w:pPr>
      <w:r w:rsidRPr="006E709F">
        <w:tab/>
        <w:t>(a)</w:t>
      </w:r>
      <w:r w:rsidRPr="006E709F">
        <w:tab/>
        <w:t>set out the Consumer Advisory Warning in clause</w:t>
      </w:r>
      <w:r w:rsidR="00DA13DE" w:rsidRPr="006E709F">
        <w:t> </w:t>
      </w:r>
      <w:r w:rsidRPr="006E709F">
        <w:t xml:space="preserve">221 of </w:t>
      </w:r>
      <w:r w:rsidR="00A801D0" w:rsidRPr="006E709F">
        <w:t>Schedule</w:t>
      </w:r>
      <w:r w:rsidR="00DA13DE" w:rsidRPr="006E709F">
        <w:t> </w:t>
      </w:r>
      <w:r w:rsidRPr="006E709F">
        <w:t>10</w:t>
      </w:r>
      <w:r w:rsidRPr="006E709F">
        <w:rPr>
          <w:szCs w:val="22"/>
        </w:rPr>
        <w:t>; and</w:t>
      </w:r>
    </w:p>
    <w:p w:rsidR="003638DE" w:rsidRPr="006E709F" w:rsidRDefault="003638DE" w:rsidP="00A801D0">
      <w:pPr>
        <w:pStyle w:val="paragraph"/>
      </w:pPr>
      <w:r w:rsidRPr="006E709F">
        <w:tab/>
        <w:t>(b)</w:t>
      </w:r>
      <w:r w:rsidRPr="006E709F">
        <w:tab/>
        <w:t>give a concise example in the form set out in the Consumer Advisory Warning in clause</w:t>
      </w:r>
      <w:r w:rsidR="00DA13DE" w:rsidRPr="006E709F">
        <w:t> </w:t>
      </w:r>
      <w:r w:rsidRPr="006E709F">
        <w:t>221 of Schedule</w:t>
      </w:r>
      <w:r w:rsidR="00DA13DE" w:rsidRPr="006E709F">
        <w:t> </w:t>
      </w:r>
      <w:r w:rsidRPr="006E709F">
        <w:t>10.</w:t>
      </w:r>
    </w:p>
    <w:p w:rsidR="003638DE" w:rsidRPr="006E709F" w:rsidRDefault="003638DE" w:rsidP="00A801D0">
      <w:pPr>
        <w:pStyle w:val="subsection"/>
      </w:pPr>
      <w:r w:rsidRPr="006E709F">
        <w:tab/>
        <w:t>(3)</w:t>
      </w:r>
      <w:r w:rsidRPr="006E709F">
        <w:tab/>
        <w:t>Section</w:t>
      </w:r>
      <w:r w:rsidR="00DA13DE" w:rsidRPr="006E709F">
        <w:t> </w:t>
      </w:r>
      <w:r w:rsidRPr="006E709F">
        <w:t>6 must set out the fees and costs for each investment option that is presented in section</w:t>
      </w:r>
      <w:r w:rsidR="00DA13DE" w:rsidRPr="006E709F">
        <w:t> </w:t>
      </w:r>
      <w:r w:rsidRPr="006E709F">
        <w:t>5 in detail in accordance with subclause</w:t>
      </w:r>
      <w:r w:rsidR="00DA13DE" w:rsidRPr="006E709F">
        <w:t> </w:t>
      </w:r>
      <w:r w:rsidRPr="006E709F">
        <w:t>7(3), using the following template:</w:t>
      </w:r>
    </w:p>
    <w:p w:rsidR="00A801D0" w:rsidRPr="006E709F" w:rsidRDefault="00A801D0" w:rsidP="00A801D0">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1"/>
        <w:gridCol w:w="2204"/>
        <w:gridCol w:w="14"/>
      </w:tblGrid>
      <w:tr w:rsidR="003638DE" w:rsidRPr="006E709F" w:rsidTr="00E118FA">
        <w:trPr>
          <w:gridAfter w:val="1"/>
          <w:wAfter w:w="8" w:type="pct"/>
          <w:cantSplit/>
          <w:tblHeader/>
        </w:trPr>
        <w:tc>
          <w:tcPr>
            <w:tcW w:w="3700" w:type="pct"/>
            <w:tcBorders>
              <w:top w:val="single" w:sz="4" w:space="0" w:color="auto"/>
              <w:left w:val="single" w:sz="4" w:space="0" w:color="auto"/>
              <w:bottom w:val="single" w:sz="4" w:space="0" w:color="auto"/>
              <w:right w:val="single" w:sz="4" w:space="0" w:color="auto"/>
            </w:tcBorders>
            <w:shd w:val="clear" w:color="auto" w:fill="C0C0C0"/>
            <w:hideMark/>
          </w:tcPr>
          <w:p w:rsidR="003638DE" w:rsidRPr="006E709F" w:rsidRDefault="003638DE" w:rsidP="00540D7E">
            <w:pPr>
              <w:keepLines/>
              <w:rPr>
                <w:rFonts w:cs="Times New Roman"/>
                <w:szCs w:val="18"/>
              </w:rPr>
            </w:pPr>
            <w:r w:rsidRPr="006E709F">
              <w:rPr>
                <w:rFonts w:cs="Times New Roman"/>
                <w:szCs w:val="18"/>
              </w:rPr>
              <w:t>TYPE OF FEE OR COST</w:t>
            </w:r>
          </w:p>
        </w:tc>
        <w:tc>
          <w:tcPr>
            <w:tcW w:w="1292" w:type="pct"/>
            <w:tcBorders>
              <w:top w:val="single" w:sz="4" w:space="0" w:color="auto"/>
              <w:left w:val="single" w:sz="4" w:space="0" w:color="auto"/>
              <w:bottom w:val="single" w:sz="4" w:space="0" w:color="auto"/>
              <w:right w:val="single" w:sz="4" w:space="0" w:color="auto"/>
            </w:tcBorders>
            <w:shd w:val="clear" w:color="auto" w:fill="C0C0C0"/>
            <w:hideMark/>
          </w:tcPr>
          <w:p w:rsidR="003638DE" w:rsidRPr="006E709F" w:rsidRDefault="003638DE" w:rsidP="00540D7E">
            <w:pPr>
              <w:keepLines/>
              <w:rPr>
                <w:rFonts w:cs="Times New Roman"/>
                <w:szCs w:val="18"/>
              </w:rPr>
            </w:pPr>
            <w:r w:rsidRPr="006E709F">
              <w:rPr>
                <w:rFonts w:cs="Times New Roman"/>
                <w:szCs w:val="18"/>
              </w:rPr>
              <w:t>AMOUNT</w:t>
            </w:r>
          </w:p>
        </w:tc>
      </w:tr>
      <w:tr w:rsidR="003638DE" w:rsidRPr="006E709F" w:rsidTr="00E118FA">
        <w:trPr>
          <w:gridAfter w:val="1"/>
          <w:wAfter w:w="8" w:type="pct"/>
        </w:trPr>
        <w:tc>
          <w:tcPr>
            <w:tcW w:w="370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3638DE" w:rsidRPr="006E709F" w:rsidRDefault="003638DE" w:rsidP="00540D7E">
            <w:pPr>
              <w:keepLines/>
              <w:rPr>
                <w:rFonts w:cs="Times New Roman"/>
                <w:i/>
                <w:sz w:val="16"/>
                <w:szCs w:val="18"/>
              </w:rPr>
            </w:pPr>
            <w:r w:rsidRPr="006E709F">
              <w:rPr>
                <w:rFonts w:cs="Times New Roman"/>
                <w:szCs w:val="18"/>
              </w:rPr>
              <w:t>Fees when your money moves in or out of the fund</w:t>
            </w:r>
          </w:p>
        </w:tc>
        <w:tc>
          <w:tcPr>
            <w:tcW w:w="1292" w:type="pct"/>
            <w:tcBorders>
              <w:top w:val="single" w:sz="4" w:space="0" w:color="auto"/>
              <w:left w:val="single" w:sz="4" w:space="0" w:color="auto"/>
              <w:bottom w:val="single" w:sz="4" w:space="0" w:color="auto"/>
              <w:right w:val="single" w:sz="4" w:space="0" w:color="auto"/>
            </w:tcBorders>
            <w:shd w:val="clear" w:color="auto" w:fill="C0C0C0"/>
          </w:tcPr>
          <w:p w:rsidR="003638DE" w:rsidRPr="006E709F" w:rsidRDefault="003638DE" w:rsidP="00540D7E">
            <w:pPr>
              <w:keepLines/>
              <w:rPr>
                <w:rFonts w:cs="Times New Roman"/>
                <w:b/>
                <w:szCs w:val="18"/>
              </w:rPr>
            </w:pPr>
          </w:p>
        </w:tc>
      </w:tr>
      <w:tr w:rsidR="003638DE" w:rsidRPr="006E709F" w:rsidTr="00E118FA">
        <w:trPr>
          <w:gridAfter w:val="1"/>
          <w:wAfter w:w="8" w:type="pct"/>
        </w:trPr>
        <w:tc>
          <w:tcPr>
            <w:tcW w:w="3700" w:type="pct"/>
            <w:tcBorders>
              <w:top w:val="single" w:sz="4" w:space="0" w:color="auto"/>
              <w:left w:val="single" w:sz="4" w:space="0" w:color="auto"/>
              <w:bottom w:val="single" w:sz="4" w:space="0" w:color="auto"/>
              <w:right w:val="single" w:sz="4" w:space="0" w:color="auto"/>
            </w:tcBorders>
            <w:hideMark/>
          </w:tcPr>
          <w:p w:rsidR="003638DE" w:rsidRPr="006E709F" w:rsidRDefault="003638DE" w:rsidP="00D75DE0">
            <w:pPr>
              <w:pStyle w:val="Tabletext"/>
              <w:spacing w:after="120"/>
              <w:rPr>
                <w:i/>
              </w:rPr>
            </w:pPr>
            <w:r w:rsidRPr="006E709F">
              <w:rPr>
                <w:i/>
              </w:rPr>
              <w:t>Establishment fee</w:t>
            </w:r>
          </w:p>
        </w:tc>
        <w:tc>
          <w:tcPr>
            <w:tcW w:w="1292" w:type="pct"/>
            <w:tcBorders>
              <w:top w:val="single" w:sz="4" w:space="0" w:color="auto"/>
              <w:left w:val="single" w:sz="4" w:space="0" w:color="auto"/>
              <w:bottom w:val="single" w:sz="4" w:space="0" w:color="auto"/>
              <w:right w:val="single" w:sz="4" w:space="0" w:color="auto"/>
            </w:tcBorders>
          </w:tcPr>
          <w:p w:rsidR="003638DE" w:rsidRPr="006E709F" w:rsidRDefault="003638DE" w:rsidP="00D75DE0">
            <w:pPr>
              <w:pStyle w:val="Tabletext"/>
              <w:spacing w:after="120"/>
            </w:pPr>
          </w:p>
        </w:tc>
      </w:tr>
      <w:tr w:rsidR="003638DE" w:rsidRPr="006E709F" w:rsidTr="00E118FA">
        <w:trPr>
          <w:gridAfter w:val="1"/>
          <w:wAfter w:w="8" w:type="pct"/>
        </w:trPr>
        <w:tc>
          <w:tcPr>
            <w:tcW w:w="3700" w:type="pct"/>
            <w:tcBorders>
              <w:top w:val="single" w:sz="4" w:space="0" w:color="auto"/>
              <w:left w:val="single" w:sz="4" w:space="0" w:color="auto"/>
              <w:bottom w:val="single" w:sz="4" w:space="0" w:color="auto"/>
              <w:right w:val="single" w:sz="4" w:space="0" w:color="auto"/>
            </w:tcBorders>
            <w:vAlign w:val="center"/>
            <w:hideMark/>
          </w:tcPr>
          <w:p w:rsidR="003638DE" w:rsidRPr="006E709F" w:rsidRDefault="003638DE" w:rsidP="00D75DE0">
            <w:pPr>
              <w:pStyle w:val="Tabletext"/>
              <w:spacing w:after="120"/>
              <w:rPr>
                <w:i/>
              </w:rPr>
            </w:pPr>
            <w:r w:rsidRPr="006E709F">
              <w:rPr>
                <w:i/>
              </w:rPr>
              <w:t>Contribution fee</w:t>
            </w:r>
          </w:p>
        </w:tc>
        <w:tc>
          <w:tcPr>
            <w:tcW w:w="1292" w:type="pct"/>
            <w:tcBorders>
              <w:top w:val="single" w:sz="4" w:space="0" w:color="auto"/>
              <w:left w:val="single" w:sz="4" w:space="0" w:color="auto"/>
              <w:bottom w:val="single" w:sz="4" w:space="0" w:color="auto"/>
              <w:right w:val="single" w:sz="4" w:space="0" w:color="auto"/>
            </w:tcBorders>
          </w:tcPr>
          <w:p w:rsidR="003638DE" w:rsidRPr="006E709F" w:rsidRDefault="003638DE" w:rsidP="00D75DE0">
            <w:pPr>
              <w:pStyle w:val="Tabletext"/>
              <w:spacing w:after="120"/>
            </w:pPr>
          </w:p>
        </w:tc>
      </w:tr>
      <w:tr w:rsidR="003638DE" w:rsidRPr="006E709F" w:rsidTr="00E118FA">
        <w:trPr>
          <w:gridAfter w:val="1"/>
          <w:wAfter w:w="8" w:type="pct"/>
        </w:trPr>
        <w:tc>
          <w:tcPr>
            <w:tcW w:w="3700" w:type="pct"/>
            <w:tcBorders>
              <w:top w:val="single" w:sz="4" w:space="0" w:color="auto"/>
              <w:left w:val="single" w:sz="4" w:space="0" w:color="auto"/>
              <w:bottom w:val="single" w:sz="4" w:space="0" w:color="auto"/>
              <w:right w:val="single" w:sz="4" w:space="0" w:color="auto"/>
            </w:tcBorders>
            <w:vAlign w:val="center"/>
            <w:hideMark/>
          </w:tcPr>
          <w:p w:rsidR="003638DE" w:rsidRPr="006E709F" w:rsidRDefault="003638DE" w:rsidP="00D75DE0">
            <w:pPr>
              <w:pStyle w:val="Tabletext"/>
              <w:spacing w:after="120"/>
              <w:rPr>
                <w:i/>
              </w:rPr>
            </w:pPr>
            <w:r w:rsidRPr="006E709F">
              <w:rPr>
                <w:i/>
              </w:rPr>
              <w:t>Withdrawal fee</w:t>
            </w:r>
          </w:p>
        </w:tc>
        <w:tc>
          <w:tcPr>
            <w:tcW w:w="1292" w:type="pct"/>
            <w:tcBorders>
              <w:top w:val="single" w:sz="4" w:space="0" w:color="auto"/>
              <w:left w:val="single" w:sz="4" w:space="0" w:color="auto"/>
              <w:bottom w:val="single" w:sz="4" w:space="0" w:color="auto"/>
              <w:right w:val="single" w:sz="4" w:space="0" w:color="auto"/>
            </w:tcBorders>
          </w:tcPr>
          <w:p w:rsidR="003638DE" w:rsidRPr="006E709F" w:rsidRDefault="003638DE" w:rsidP="00D75DE0">
            <w:pPr>
              <w:pStyle w:val="Tabletext"/>
              <w:spacing w:after="120"/>
            </w:pPr>
          </w:p>
        </w:tc>
      </w:tr>
      <w:tr w:rsidR="003638DE" w:rsidRPr="006E709F" w:rsidTr="00E118FA">
        <w:trPr>
          <w:gridAfter w:val="1"/>
          <w:wAfter w:w="8" w:type="pct"/>
        </w:trPr>
        <w:tc>
          <w:tcPr>
            <w:tcW w:w="3700" w:type="pct"/>
            <w:tcBorders>
              <w:top w:val="single" w:sz="4" w:space="0" w:color="auto"/>
              <w:left w:val="single" w:sz="4" w:space="0" w:color="auto"/>
              <w:bottom w:val="single" w:sz="4" w:space="0" w:color="auto"/>
              <w:right w:val="single" w:sz="4" w:space="0" w:color="auto"/>
            </w:tcBorders>
            <w:vAlign w:val="center"/>
            <w:hideMark/>
          </w:tcPr>
          <w:p w:rsidR="003638DE" w:rsidRPr="006E709F" w:rsidRDefault="003638DE" w:rsidP="00D75DE0">
            <w:pPr>
              <w:pStyle w:val="Tabletext"/>
              <w:spacing w:after="120"/>
              <w:rPr>
                <w:i/>
              </w:rPr>
            </w:pPr>
            <w:r w:rsidRPr="006E709F">
              <w:rPr>
                <w:i/>
              </w:rPr>
              <w:t>Termination fee</w:t>
            </w:r>
          </w:p>
        </w:tc>
        <w:tc>
          <w:tcPr>
            <w:tcW w:w="1292" w:type="pct"/>
            <w:tcBorders>
              <w:top w:val="single" w:sz="4" w:space="0" w:color="auto"/>
              <w:left w:val="single" w:sz="4" w:space="0" w:color="auto"/>
              <w:bottom w:val="single" w:sz="4" w:space="0" w:color="auto"/>
              <w:right w:val="single" w:sz="4" w:space="0" w:color="auto"/>
            </w:tcBorders>
          </w:tcPr>
          <w:p w:rsidR="003638DE" w:rsidRPr="006E709F" w:rsidRDefault="003638DE" w:rsidP="00D75DE0">
            <w:pPr>
              <w:pStyle w:val="Tabletext"/>
              <w:spacing w:after="120"/>
            </w:pPr>
          </w:p>
        </w:tc>
      </w:tr>
      <w:tr w:rsidR="003638DE" w:rsidRPr="006E709F" w:rsidTr="00E118FA">
        <w:trPr>
          <w:gridAfter w:val="1"/>
          <w:wAfter w:w="8" w:type="pct"/>
        </w:trPr>
        <w:tc>
          <w:tcPr>
            <w:tcW w:w="370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3638DE" w:rsidRPr="006E709F" w:rsidRDefault="003638DE" w:rsidP="00540D7E">
            <w:pPr>
              <w:keepLines/>
              <w:rPr>
                <w:rFonts w:cs="Times New Roman"/>
                <w:szCs w:val="18"/>
              </w:rPr>
            </w:pPr>
            <w:r w:rsidRPr="006E709F">
              <w:rPr>
                <w:rFonts w:cs="Times New Roman"/>
                <w:szCs w:val="18"/>
              </w:rPr>
              <w:t>Management costs</w:t>
            </w:r>
          </w:p>
        </w:tc>
        <w:tc>
          <w:tcPr>
            <w:tcW w:w="1292" w:type="pct"/>
            <w:tcBorders>
              <w:top w:val="single" w:sz="4" w:space="0" w:color="auto"/>
              <w:left w:val="single" w:sz="4" w:space="0" w:color="auto"/>
              <w:bottom w:val="single" w:sz="4" w:space="0" w:color="auto"/>
              <w:right w:val="single" w:sz="4" w:space="0" w:color="auto"/>
            </w:tcBorders>
            <w:shd w:val="clear" w:color="auto" w:fill="C0C0C0"/>
          </w:tcPr>
          <w:p w:rsidR="003638DE" w:rsidRPr="006E709F" w:rsidRDefault="003638DE" w:rsidP="00540D7E">
            <w:pPr>
              <w:keepLines/>
              <w:rPr>
                <w:rFonts w:cs="Times New Roman"/>
                <w:szCs w:val="18"/>
              </w:rPr>
            </w:pPr>
          </w:p>
        </w:tc>
      </w:tr>
      <w:tr w:rsidR="003638DE" w:rsidRPr="006E709F" w:rsidTr="00E118FA">
        <w:tc>
          <w:tcPr>
            <w:tcW w:w="3700" w:type="pct"/>
          </w:tcPr>
          <w:p w:rsidR="003638DE" w:rsidRPr="006E709F" w:rsidRDefault="003638DE" w:rsidP="00A801D0">
            <w:pPr>
              <w:pStyle w:val="Tabletext"/>
            </w:pPr>
            <w:r w:rsidRPr="006E709F">
              <w:rPr>
                <w:szCs w:val="18"/>
              </w:rPr>
              <w:t>The fees and costs for managing your investment</w:t>
            </w:r>
          </w:p>
        </w:tc>
        <w:tc>
          <w:tcPr>
            <w:tcW w:w="1300" w:type="pct"/>
            <w:gridSpan w:val="2"/>
          </w:tcPr>
          <w:p w:rsidR="003638DE" w:rsidRPr="006E709F" w:rsidRDefault="003638DE" w:rsidP="00221306">
            <w:pPr>
              <w:pStyle w:val="Tabletext"/>
            </w:pPr>
          </w:p>
        </w:tc>
      </w:tr>
    </w:tbl>
    <w:p w:rsidR="003638DE" w:rsidRPr="006E709F" w:rsidRDefault="003638DE" w:rsidP="00300DC6">
      <w:pPr>
        <w:pStyle w:val="notetext"/>
        <w:spacing w:before="0"/>
        <w:ind w:left="1134" w:firstLine="0"/>
      </w:pPr>
      <w:r w:rsidRPr="006E709F">
        <w:rPr>
          <w:i/>
        </w:rPr>
        <w:lastRenderedPageBreak/>
        <w:t xml:space="preserve">[If there are other service fees, such as advisor service fees or special request fees, include a cross reference to the document that contains the information mentioned in </w:t>
      </w:r>
      <w:r w:rsidR="00DA13DE" w:rsidRPr="006E709F">
        <w:rPr>
          <w:i/>
        </w:rPr>
        <w:t>paragraph (</w:t>
      </w:r>
      <w:r w:rsidRPr="006E709F">
        <w:rPr>
          <w:i/>
        </w:rPr>
        <w:t>10</w:t>
      </w:r>
      <w:r w:rsidR="00A801D0" w:rsidRPr="006E709F">
        <w:rPr>
          <w:i/>
        </w:rPr>
        <w:t>)(</w:t>
      </w:r>
      <w:r w:rsidRPr="006E709F">
        <w:rPr>
          <w:i/>
        </w:rPr>
        <w:t>a).]</w:t>
      </w:r>
      <w:r w:rsidRPr="006E709F">
        <w:t>.</w:t>
      </w:r>
    </w:p>
    <w:p w:rsidR="003638DE" w:rsidRPr="006E709F" w:rsidRDefault="003638DE" w:rsidP="00A801D0">
      <w:pPr>
        <w:pStyle w:val="subsection"/>
      </w:pPr>
      <w:r w:rsidRPr="006E709F">
        <w:tab/>
        <w:t>(4)</w:t>
      </w:r>
      <w:r w:rsidRPr="006E709F">
        <w:tab/>
        <w:t xml:space="preserve">The template is to be completed in accordance with </w:t>
      </w:r>
      <w:r w:rsidR="00A801D0" w:rsidRPr="006E709F">
        <w:t>Division</w:t>
      </w:r>
      <w:r w:rsidR="00DA13DE" w:rsidRPr="006E709F">
        <w:t> </w:t>
      </w:r>
      <w:r w:rsidRPr="006E709F">
        <w:t xml:space="preserve">3 of </w:t>
      </w:r>
      <w:r w:rsidR="00A801D0" w:rsidRPr="006E709F">
        <w:t>Schedule</w:t>
      </w:r>
      <w:r w:rsidR="00DA13DE" w:rsidRPr="006E709F">
        <w:t> </w:t>
      </w:r>
      <w:r w:rsidRPr="006E709F">
        <w:t>10</w:t>
      </w:r>
      <w:r w:rsidR="00525E05" w:rsidRPr="006E709F">
        <w:t xml:space="preserve"> </w:t>
      </w:r>
      <w:r w:rsidRPr="006E709F">
        <w:t>(including definitions applicable to that Division), except that:</w:t>
      </w:r>
    </w:p>
    <w:p w:rsidR="003638DE" w:rsidRPr="006E709F" w:rsidRDefault="003638DE" w:rsidP="00A801D0">
      <w:pPr>
        <w:pStyle w:val="paragraph"/>
      </w:pPr>
      <w:r w:rsidRPr="006E709F">
        <w:tab/>
        <w:t>(a)</w:t>
      </w:r>
      <w:r w:rsidRPr="006E709F">
        <w:tab/>
        <w:t>clauses</w:t>
      </w:r>
      <w:r w:rsidR="00DA13DE" w:rsidRPr="006E709F">
        <w:t> </w:t>
      </w:r>
      <w:r w:rsidRPr="006E709F">
        <w:t>203, 205, 206 and 207 and subclause</w:t>
      </w:r>
      <w:r w:rsidR="00DA13DE" w:rsidRPr="006E709F">
        <w:t> </w:t>
      </w:r>
      <w:r w:rsidRPr="006E709F">
        <w:t>208(2) do not apply; and</w:t>
      </w:r>
    </w:p>
    <w:p w:rsidR="003638DE" w:rsidRPr="006E709F" w:rsidRDefault="003638DE" w:rsidP="00A801D0">
      <w:pPr>
        <w:pStyle w:val="paragraph"/>
      </w:pPr>
      <w:r w:rsidRPr="006E709F">
        <w:tab/>
        <w:t>(b)</w:t>
      </w:r>
      <w:r w:rsidRPr="006E709F">
        <w:tab/>
        <w:t>the reference in clause</w:t>
      </w:r>
      <w:r w:rsidR="00DA13DE" w:rsidRPr="006E709F">
        <w:t> </w:t>
      </w:r>
      <w:r w:rsidRPr="006E709F">
        <w:t>204 to clause</w:t>
      </w:r>
      <w:r w:rsidR="00DA13DE" w:rsidRPr="006E709F">
        <w:t> </w:t>
      </w:r>
      <w:r w:rsidRPr="006E709F">
        <w:t>205 and clause</w:t>
      </w:r>
      <w:r w:rsidR="00DA13DE" w:rsidRPr="006E709F">
        <w:t> </w:t>
      </w:r>
      <w:r w:rsidRPr="006E709F">
        <w:t>206 does not apply; and</w:t>
      </w:r>
    </w:p>
    <w:p w:rsidR="003638DE" w:rsidRPr="006E709F" w:rsidRDefault="003638DE" w:rsidP="00A801D0">
      <w:pPr>
        <w:pStyle w:val="paragraph"/>
      </w:pPr>
      <w:r w:rsidRPr="006E709F">
        <w:tab/>
        <w:t>(c)</w:t>
      </w:r>
      <w:r w:rsidRPr="006E709F">
        <w:tab/>
        <w:t>the example in subclause</w:t>
      </w:r>
      <w:r w:rsidR="00DA13DE" w:rsidRPr="006E709F">
        <w:t> </w:t>
      </w:r>
      <w:r w:rsidRPr="006E709F">
        <w:t>208(1) is to be treated as stating:</w:t>
      </w:r>
    </w:p>
    <w:p w:rsidR="003638DE" w:rsidRPr="006E709F" w:rsidRDefault="003638DE" w:rsidP="00A801D0">
      <w:pPr>
        <w:pStyle w:val="paragraph"/>
      </w:pPr>
      <w:r w:rsidRPr="006E709F">
        <w:tab/>
      </w:r>
      <w:r w:rsidRPr="006E709F">
        <w:tab/>
        <w:t>“(for example, by using an asterisk with a footnote stating ‘The amount of this fee can be negotiated’)”.</w:t>
      </w:r>
    </w:p>
    <w:p w:rsidR="003638DE" w:rsidRPr="006E709F" w:rsidRDefault="003638DE" w:rsidP="00A801D0">
      <w:pPr>
        <w:pStyle w:val="subsection"/>
      </w:pPr>
      <w:r w:rsidRPr="006E709F">
        <w:tab/>
        <w:t>(5)</w:t>
      </w:r>
      <w:r w:rsidRPr="006E709F">
        <w:tab/>
        <w:t>Section</w:t>
      </w:r>
      <w:r w:rsidR="00DA13DE" w:rsidRPr="006E709F">
        <w:t> </w:t>
      </w:r>
      <w:r w:rsidRPr="006E709F">
        <w:t>6 must set out the information about fee changes set out in paragraph</w:t>
      </w:r>
      <w:r w:rsidR="00DA13DE" w:rsidRPr="006E709F">
        <w:t> </w:t>
      </w:r>
      <w:r w:rsidRPr="006E709F">
        <w:t xml:space="preserve">209(k) of </w:t>
      </w:r>
      <w:r w:rsidR="00A801D0" w:rsidRPr="006E709F">
        <w:t>Schedule</w:t>
      </w:r>
      <w:r w:rsidR="00DA13DE" w:rsidRPr="006E709F">
        <w:t> </w:t>
      </w:r>
      <w:r w:rsidRPr="006E709F">
        <w:t>10.</w:t>
      </w:r>
    </w:p>
    <w:p w:rsidR="003638DE" w:rsidRPr="006E709F" w:rsidRDefault="003638DE" w:rsidP="00A801D0">
      <w:pPr>
        <w:pStyle w:val="subsection"/>
      </w:pPr>
      <w:r w:rsidRPr="006E709F">
        <w:tab/>
        <w:t>(6)</w:t>
      </w:r>
      <w:r w:rsidRPr="006E709F">
        <w:tab/>
        <w:t>Section</w:t>
      </w:r>
      <w:r w:rsidR="00DA13DE" w:rsidRPr="006E709F">
        <w:t> </w:t>
      </w:r>
      <w:r w:rsidRPr="006E709F">
        <w:t>6 must:</w:t>
      </w:r>
    </w:p>
    <w:p w:rsidR="003638DE" w:rsidRPr="006E709F" w:rsidRDefault="003638DE" w:rsidP="00A801D0">
      <w:pPr>
        <w:pStyle w:val="paragraph"/>
      </w:pPr>
      <w:r w:rsidRPr="006E709F">
        <w:tab/>
        <w:t>(a)</w:t>
      </w:r>
      <w:r w:rsidRPr="006E709F">
        <w:tab/>
        <w:t>state that the information in the template can be used to compare costs between different simple managed investment schemes; and</w:t>
      </w:r>
    </w:p>
    <w:p w:rsidR="003638DE" w:rsidRPr="006E709F" w:rsidRDefault="003638DE" w:rsidP="00A801D0">
      <w:pPr>
        <w:pStyle w:val="paragraph"/>
      </w:pPr>
      <w:r w:rsidRPr="006E709F">
        <w:tab/>
        <w:t>(b)</w:t>
      </w:r>
      <w:r w:rsidRPr="006E709F">
        <w:tab/>
        <w:t>state concisely, and in general terms, that fees and costs can be paid directly from the person’s account or deducted from investment returns.</w:t>
      </w:r>
    </w:p>
    <w:p w:rsidR="003638DE" w:rsidRPr="006E709F" w:rsidRDefault="003638DE" w:rsidP="00A801D0">
      <w:pPr>
        <w:pStyle w:val="subsection"/>
      </w:pPr>
      <w:r w:rsidRPr="006E709F">
        <w:tab/>
        <w:t>(7)</w:t>
      </w:r>
      <w:r w:rsidRPr="006E709F">
        <w:tab/>
        <w:t>Section</w:t>
      </w:r>
      <w:r w:rsidR="00DA13DE" w:rsidRPr="006E709F">
        <w:t> </w:t>
      </w:r>
      <w:r w:rsidRPr="006E709F">
        <w:t>6 must give a worked example as follows:</w:t>
      </w:r>
    </w:p>
    <w:p w:rsidR="003638DE" w:rsidRPr="006E709F" w:rsidRDefault="003638DE" w:rsidP="00A801D0">
      <w:pPr>
        <w:pStyle w:val="paragraph"/>
      </w:pPr>
      <w:r w:rsidRPr="006E709F">
        <w:tab/>
        <w:t>(a)</w:t>
      </w:r>
      <w:r w:rsidRPr="006E709F">
        <w:tab/>
        <w:t>if the simple managed investment scheme does not have a balanced investment option (within the meaning given by item</w:t>
      </w:r>
      <w:r w:rsidR="00DA13DE" w:rsidRPr="006E709F">
        <w:t> </w:t>
      </w:r>
      <w:r w:rsidRPr="006E709F">
        <w:t xml:space="preserve">101 of </w:t>
      </w:r>
      <w:r w:rsidR="00A801D0" w:rsidRPr="006E709F">
        <w:t>Schedule</w:t>
      </w:r>
      <w:r w:rsidR="00DA13DE" w:rsidRPr="006E709F">
        <w:t> </w:t>
      </w:r>
      <w:r w:rsidRPr="006E709F">
        <w:t>10), section</w:t>
      </w:r>
      <w:r w:rsidR="00DA13DE" w:rsidRPr="006E709F">
        <w:t> </w:t>
      </w:r>
      <w:r w:rsidRPr="006E709F">
        <w:t>6 must give a worked example for the default investment option;</w:t>
      </w:r>
    </w:p>
    <w:p w:rsidR="003638DE" w:rsidRPr="006E709F" w:rsidRDefault="003638DE" w:rsidP="00A801D0">
      <w:pPr>
        <w:pStyle w:val="paragraph"/>
      </w:pPr>
      <w:r w:rsidRPr="006E709F">
        <w:tab/>
        <w:t>(b)</w:t>
      </w:r>
      <w:r w:rsidRPr="006E709F">
        <w:tab/>
        <w:t>if the simple managed investment scheme does not have a default option, and does not have a balanced investment option, section</w:t>
      </w:r>
      <w:r w:rsidR="00DA13DE" w:rsidRPr="006E709F">
        <w:t> </w:t>
      </w:r>
      <w:r w:rsidRPr="006E709F">
        <w:t>6 must give a worked example for the investment option under which the entity has the most funds invested;</w:t>
      </w:r>
    </w:p>
    <w:p w:rsidR="003638DE" w:rsidRPr="006E709F" w:rsidRDefault="003638DE" w:rsidP="00A801D0">
      <w:pPr>
        <w:pStyle w:val="subsection2"/>
      </w:pPr>
      <w:r w:rsidRPr="006E709F">
        <w:t>in accordance with Divisions</w:t>
      </w:r>
      <w:r w:rsidR="00DA13DE" w:rsidRPr="006E709F">
        <w:t> </w:t>
      </w:r>
      <w:r w:rsidRPr="006E709F">
        <w:t xml:space="preserve">5 and 6 of </w:t>
      </w:r>
      <w:r w:rsidR="00A801D0" w:rsidRPr="006E709F">
        <w:t>Schedule</w:t>
      </w:r>
      <w:r w:rsidR="00DA13DE" w:rsidRPr="006E709F">
        <w:t> </w:t>
      </w:r>
      <w:r w:rsidRPr="006E709F">
        <w:t>10 (including definitions applicable to those Divisions), except that clauses</w:t>
      </w:r>
      <w:r w:rsidR="00DA13DE" w:rsidRPr="006E709F">
        <w:t> </w:t>
      </w:r>
      <w:r w:rsidRPr="006E709F">
        <w:t>211 and 220 do not apply.</w:t>
      </w:r>
    </w:p>
    <w:p w:rsidR="003638DE" w:rsidRPr="006E709F" w:rsidRDefault="003638DE" w:rsidP="00A801D0">
      <w:pPr>
        <w:pStyle w:val="subsection"/>
      </w:pPr>
      <w:r w:rsidRPr="006E709F">
        <w:tab/>
        <w:t>(8)</w:t>
      </w:r>
      <w:r w:rsidRPr="006E709F">
        <w:tab/>
        <w:t>Section</w:t>
      </w:r>
      <w:r w:rsidR="00DA13DE" w:rsidRPr="006E709F">
        <w:t> </w:t>
      </w:r>
      <w:r w:rsidRPr="006E709F">
        <w:t>6:</w:t>
      </w:r>
    </w:p>
    <w:p w:rsidR="003638DE" w:rsidRPr="006E709F" w:rsidRDefault="003638DE" w:rsidP="00A801D0">
      <w:pPr>
        <w:pStyle w:val="paragraph"/>
      </w:pPr>
      <w:r w:rsidRPr="006E709F">
        <w:tab/>
        <w:t>(a)</w:t>
      </w:r>
      <w:r w:rsidRPr="006E709F">
        <w:tab/>
        <w:t>must refer to the calculator provided by ASIC on its FIDO website or a similar website operated by or on behalf of ASIC; and</w:t>
      </w:r>
    </w:p>
    <w:p w:rsidR="003638DE" w:rsidRPr="006E709F" w:rsidRDefault="003638DE" w:rsidP="00A801D0">
      <w:pPr>
        <w:pStyle w:val="paragraph"/>
      </w:pPr>
      <w:r w:rsidRPr="006E709F">
        <w:tab/>
        <w:t>(b)</w:t>
      </w:r>
      <w:r w:rsidRPr="006E709F">
        <w:tab/>
        <w:t>may also refer to the calculator (if any) provided by the responsible entity on its website; and</w:t>
      </w:r>
    </w:p>
    <w:p w:rsidR="003638DE" w:rsidRPr="006E709F" w:rsidRDefault="003638DE" w:rsidP="00A801D0">
      <w:pPr>
        <w:pStyle w:val="paragraph"/>
      </w:pPr>
      <w:r w:rsidRPr="006E709F">
        <w:tab/>
        <w:t>(c)</w:t>
      </w:r>
      <w:r w:rsidRPr="006E709F">
        <w:tab/>
        <w:t>must state that each calculator referred to can be used to calculate the effect of fees and costs on account balances.</w:t>
      </w:r>
    </w:p>
    <w:p w:rsidR="003638DE" w:rsidRPr="006E709F" w:rsidRDefault="003638DE" w:rsidP="00A801D0">
      <w:pPr>
        <w:pStyle w:val="subsection"/>
      </w:pPr>
      <w:r w:rsidRPr="006E709F">
        <w:tab/>
        <w:t>(9)</w:t>
      </w:r>
      <w:r w:rsidRPr="006E709F">
        <w:tab/>
        <w:t>If additional fees may be payable to a financial advisor, section</w:t>
      </w:r>
      <w:r w:rsidR="00DA13DE" w:rsidRPr="006E709F">
        <w:t> </w:t>
      </w:r>
      <w:r w:rsidRPr="006E709F">
        <w:t>6 must:</w:t>
      </w:r>
    </w:p>
    <w:p w:rsidR="003638DE" w:rsidRPr="006E709F" w:rsidRDefault="003638DE" w:rsidP="00A801D0">
      <w:pPr>
        <w:pStyle w:val="paragraph"/>
      </w:pPr>
      <w:r w:rsidRPr="006E709F">
        <w:tab/>
        <w:t>(a)</w:t>
      </w:r>
      <w:r w:rsidRPr="006E709F">
        <w:tab/>
        <w:t>state, in the form of a warning, that additional fees may be paid to a financial advisor if a financial advisor is consulted; and</w:t>
      </w:r>
    </w:p>
    <w:p w:rsidR="003638DE" w:rsidRPr="006E709F" w:rsidRDefault="003638DE" w:rsidP="00A801D0">
      <w:pPr>
        <w:pStyle w:val="paragraph"/>
      </w:pPr>
      <w:r w:rsidRPr="006E709F">
        <w:tab/>
        <w:t>(b)</w:t>
      </w:r>
      <w:r w:rsidRPr="006E709F">
        <w:tab/>
        <w:t>refer to the Statement of Advice in which details of the fees are set out.</w:t>
      </w:r>
    </w:p>
    <w:p w:rsidR="003638DE" w:rsidRPr="006E709F" w:rsidRDefault="003638DE" w:rsidP="00A801D0">
      <w:pPr>
        <w:pStyle w:val="subsection"/>
      </w:pPr>
      <w:r w:rsidRPr="006E709F">
        <w:tab/>
        <w:t>(10)</w:t>
      </w:r>
      <w:r w:rsidRPr="006E709F">
        <w:tab/>
        <w:t>The responsible entity:</w:t>
      </w:r>
    </w:p>
    <w:p w:rsidR="003638DE" w:rsidRPr="006E709F" w:rsidRDefault="003638DE" w:rsidP="00A801D0">
      <w:pPr>
        <w:pStyle w:val="paragraph"/>
      </w:pPr>
      <w:r w:rsidRPr="006E709F">
        <w:lastRenderedPageBreak/>
        <w:tab/>
        <w:t>(a)</w:t>
      </w:r>
      <w:r w:rsidRPr="006E709F">
        <w:tab/>
        <w:t>must provide the fees and costs of each of the investment options in accordance with Schedule</w:t>
      </w:r>
      <w:r w:rsidR="00DA13DE" w:rsidRPr="006E709F">
        <w:t> </w:t>
      </w:r>
      <w:r w:rsidRPr="006E709F">
        <w:t>10, and may do so by applying, adopting or incorporating a matter in writing; and</w:t>
      </w:r>
    </w:p>
    <w:p w:rsidR="003638DE" w:rsidRPr="006E709F" w:rsidRDefault="003638DE" w:rsidP="00A801D0">
      <w:pPr>
        <w:pStyle w:val="paragraph"/>
      </w:pPr>
      <w:r w:rsidRPr="006E709F">
        <w:tab/>
        <w:t>(b)</w:t>
      </w:r>
      <w:r w:rsidRPr="006E709F">
        <w:tab/>
        <w:t>may provide more detailed information about fees and costs by applying, adopting or incorporating a matter in writing.</w:t>
      </w:r>
    </w:p>
    <w:p w:rsidR="003638DE" w:rsidRPr="006E709F" w:rsidRDefault="00C44525" w:rsidP="00A801D0">
      <w:pPr>
        <w:pStyle w:val="ActHead5"/>
      </w:pPr>
      <w:bookmarkStart w:id="167" w:name="_Toc170547984"/>
      <w:r w:rsidRPr="000C4237">
        <w:rPr>
          <w:rStyle w:val="CharSectno"/>
        </w:rPr>
        <w:t>9</w:t>
      </w:r>
      <w:r w:rsidRPr="006E709F">
        <w:t xml:space="preserve">  </w:t>
      </w:r>
      <w:r w:rsidR="003638DE" w:rsidRPr="006E709F">
        <w:t>Contents of section</w:t>
      </w:r>
      <w:r w:rsidR="00DA13DE" w:rsidRPr="006E709F">
        <w:t> </w:t>
      </w:r>
      <w:r w:rsidR="003638DE" w:rsidRPr="006E709F">
        <w:t>7 (How managed investment schemes are taxed)</w:t>
      </w:r>
      <w:bookmarkEnd w:id="167"/>
    </w:p>
    <w:p w:rsidR="003638DE" w:rsidRPr="006E709F" w:rsidRDefault="003638DE" w:rsidP="00A801D0">
      <w:pPr>
        <w:pStyle w:val="subsection"/>
      </w:pPr>
      <w:r w:rsidRPr="006E709F">
        <w:tab/>
        <w:t>(1)</w:t>
      </w:r>
      <w:r w:rsidRPr="006E709F">
        <w:tab/>
        <w:t>Section</w:t>
      </w:r>
      <w:r w:rsidR="00DA13DE" w:rsidRPr="006E709F">
        <w:t> </w:t>
      </w:r>
      <w:r w:rsidRPr="006E709F">
        <w:t>7 of the Product Disclosure Statement must state, in the form of a warning, that:</w:t>
      </w:r>
    </w:p>
    <w:p w:rsidR="003638DE" w:rsidRPr="006E709F" w:rsidRDefault="003638DE" w:rsidP="00A801D0">
      <w:pPr>
        <w:pStyle w:val="paragraph"/>
      </w:pPr>
      <w:r w:rsidRPr="006E709F">
        <w:tab/>
        <w:t>(a)</w:t>
      </w:r>
      <w:r w:rsidRPr="006E709F">
        <w:tab/>
        <w:t xml:space="preserve">investing in a </w:t>
      </w:r>
      <w:r w:rsidR="00333B75" w:rsidRPr="006E709F">
        <w:t>registered</w:t>
      </w:r>
      <w:r w:rsidRPr="006E709F">
        <w:t xml:space="preserve"> scheme is likely to have tax consequences; and</w:t>
      </w:r>
    </w:p>
    <w:p w:rsidR="003638DE" w:rsidRPr="006E709F" w:rsidRDefault="003638DE" w:rsidP="00A801D0">
      <w:pPr>
        <w:pStyle w:val="paragraph"/>
      </w:pPr>
      <w:r w:rsidRPr="006E709F">
        <w:tab/>
        <w:t>(b)</w:t>
      </w:r>
      <w:r w:rsidRPr="006E709F">
        <w:tab/>
        <w:t>persons are strongly advised to seek professional tax advice.</w:t>
      </w:r>
    </w:p>
    <w:p w:rsidR="003638DE" w:rsidRPr="006E709F" w:rsidRDefault="003638DE" w:rsidP="00A801D0">
      <w:pPr>
        <w:pStyle w:val="subsection"/>
      </w:pPr>
      <w:r w:rsidRPr="006E709F">
        <w:tab/>
        <w:t>(2)</w:t>
      </w:r>
      <w:r w:rsidRPr="006E709F">
        <w:tab/>
        <w:t>Section</w:t>
      </w:r>
      <w:r w:rsidR="00DA13DE" w:rsidRPr="006E709F">
        <w:t> </w:t>
      </w:r>
      <w:r w:rsidRPr="006E709F">
        <w:t>7 must also include statements to the following effect:</w:t>
      </w:r>
    </w:p>
    <w:p w:rsidR="003638DE" w:rsidRPr="006E709F" w:rsidRDefault="003638DE" w:rsidP="00A801D0">
      <w:pPr>
        <w:pStyle w:val="paragraph"/>
      </w:pPr>
      <w:r w:rsidRPr="006E709F">
        <w:tab/>
        <w:t>(a)</w:t>
      </w:r>
      <w:r w:rsidRPr="006E709F">
        <w:tab/>
      </w:r>
      <w:r w:rsidR="00333B75" w:rsidRPr="006E709F">
        <w:t>registered</w:t>
      </w:r>
      <w:r w:rsidRPr="006E709F">
        <w:t xml:space="preserve"> schemes do not pay tax on behalf of members;</w:t>
      </w:r>
    </w:p>
    <w:p w:rsidR="003638DE" w:rsidRPr="006E709F" w:rsidRDefault="003638DE" w:rsidP="00A801D0">
      <w:pPr>
        <w:pStyle w:val="paragraph"/>
      </w:pPr>
      <w:r w:rsidRPr="006E709F">
        <w:tab/>
        <w:t>(b)</w:t>
      </w:r>
      <w:r w:rsidRPr="006E709F">
        <w:tab/>
        <w:t xml:space="preserve">members are assessed for tax on any income and capital gains generated by the </w:t>
      </w:r>
      <w:r w:rsidR="006F2E0A" w:rsidRPr="006E709F">
        <w:t>registered</w:t>
      </w:r>
      <w:r w:rsidRPr="006E709F">
        <w:t xml:space="preserve"> scheme.</w:t>
      </w:r>
    </w:p>
    <w:p w:rsidR="00083EFC" w:rsidRPr="006E709F" w:rsidRDefault="00083EFC" w:rsidP="00A801D0">
      <w:pPr>
        <w:pStyle w:val="subsection"/>
      </w:pPr>
      <w:r w:rsidRPr="006E709F">
        <w:tab/>
        <w:t>(3)</w:t>
      </w:r>
      <w:r w:rsidRPr="006E709F">
        <w:tab/>
        <w:t>The responsible entity may provide additional information about:</w:t>
      </w:r>
    </w:p>
    <w:p w:rsidR="00083EFC" w:rsidRPr="006E709F" w:rsidRDefault="00083EFC" w:rsidP="00A801D0">
      <w:pPr>
        <w:pStyle w:val="paragraph"/>
      </w:pPr>
      <w:r w:rsidRPr="006E709F">
        <w:tab/>
        <w:t>(a)</w:t>
      </w:r>
      <w:r w:rsidRPr="006E709F">
        <w:tab/>
        <w:t xml:space="preserve">taxation matters relating to the </w:t>
      </w:r>
      <w:r w:rsidR="006F2E0A" w:rsidRPr="006E709F">
        <w:t>registered</w:t>
      </w:r>
      <w:r w:rsidRPr="006E709F">
        <w:t xml:space="preserve"> scheme; or</w:t>
      </w:r>
    </w:p>
    <w:p w:rsidR="00083EFC" w:rsidRPr="006E709F" w:rsidRDefault="00083EFC" w:rsidP="00A801D0">
      <w:pPr>
        <w:pStyle w:val="paragraph"/>
      </w:pPr>
      <w:r w:rsidRPr="006E709F">
        <w:tab/>
        <w:t>(b)</w:t>
      </w:r>
      <w:r w:rsidRPr="006E709F">
        <w:tab/>
        <w:t xml:space="preserve">taxation matters relating to </w:t>
      </w:r>
      <w:r w:rsidR="006F2E0A" w:rsidRPr="006E709F">
        <w:t>registered</w:t>
      </w:r>
      <w:r w:rsidRPr="006E709F">
        <w:t xml:space="preserve"> schemes;</w:t>
      </w:r>
    </w:p>
    <w:p w:rsidR="00083EFC" w:rsidRPr="006E709F" w:rsidRDefault="00083EFC" w:rsidP="00A801D0">
      <w:pPr>
        <w:pStyle w:val="subsection2"/>
      </w:pPr>
      <w:r w:rsidRPr="006E709F">
        <w:t>by applying, adopting or incorporating a matter in writing.</w:t>
      </w:r>
    </w:p>
    <w:p w:rsidR="003638DE" w:rsidRPr="006E709F" w:rsidRDefault="00C44525" w:rsidP="00A801D0">
      <w:pPr>
        <w:pStyle w:val="ActHead5"/>
      </w:pPr>
      <w:bookmarkStart w:id="168" w:name="_Toc170547985"/>
      <w:r w:rsidRPr="000C4237">
        <w:rPr>
          <w:rStyle w:val="CharSectno"/>
        </w:rPr>
        <w:t>10</w:t>
      </w:r>
      <w:r w:rsidRPr="006E709F">
        <w:t xml:space="preserve">  </w:t>
      </w:r>
      <w:r w:rsidR="003638DE" w:rsidRPr="006E709F">
        <w:t>Contents of section</w:t>
      </w:r>
      <w:r w:rsidR="00DA13DE" w:rsidRPr="006E709F">
        <w:t> </w:t>
      </w:r>
      <w:r w:rsidR="003638DE" w:rsidRPr="006E709F">
        <w:t>8 (How to apply)</w:t>
      </w:r>
      <w:bookmarkEnd w:id="168"/>
    </w:p>
    <w:p w:rsidR="003638DE" w:rsidRPr="006E709F" w:rsidRDefault="003638DE" w:rsidP="00A801D0">
      <w:pPr>
        <w:pStyle w:val="subsection"/>
      </w:pPr>
      <w:r w:rsidRPr="006E709F">
        <w:tab/>
        <w:t>(1)</w:t>
      </w:r>
      <w:r w:rsidRPr="006E709F">
        <w:tab/>
        <w:t>Section</w:t>
      </w:r>
      <w:r w:rsidR="00DA13DE" w:rsidRPr="006E709F">
        <w:t> </w:t>
      </w:r>
      <w:r w:rsidRPr="006E709F">
        <w:t>8 of the Product Disclosure Statement must:</w:t>
      </w:r>
    </w:p>
    <w:p w:rsidR="003638DE" w:rsidRPr="006E709F" w:rsidRDefault="003638DE" w:rsidP="00A801D0">
      <w:pPr>
        <w:pStyle w:val="paragraph"/>
      </w:pPr>
      <w:r w:rsidRPr="006E709F">
        <w:tab/>
        <w:t>(a)</w:t>
      </w:r>
      <w:r w:rsidRPr="006E709F">
        <w:tab/>
        <w:t>describe, in the form of a summary, how to invest in the simple managed investment scheme; and</w:t>
      </w:r>
    </w:p>
    <w:p w:rsidR="003638DE" w:rsidRPr="006E709F" w:rsidRDefault="003638DE" w:rsidP="00A801D0">
      <w:pPr>
        <w:pStyle w:val="paragraph"/>
      </w:pPr>
      <w:r w:rsidRPr="006E709F">
        <w:tab/>
        <w:t>(b)</w:t>
      </w:r>
      <w:r w:rsidRPr="006E709F">
        <w:tab/>
        <w:t>explain the cooling</w:t>
      </w:r>
      <w:r w:rsidR="000C4237">
        <w:noBreakHyphen/>
      </w:r>
      <w:r w:rsidRPr="006E709F">
        <w:t>off period that applies to the simple managed investment scheme; and</w:t>
      </w:r>
    </w:p>
    <w:p w:rsidR="003638DE" w:rsidRPr="006E709F" w:rsidRDefault="003638DE" w:rsidP="00A801D0">
      <w:pPr>
        <w:pStyle w:val="paragraph"/>
      </w:pPr>
      <w:r w:rsidRPr="006E709F">
        <w:tab/>
        <w:t>(c)</w:t>
      </w:r>
      <w:r w:rsidRPr="006E709F">
        <w:tab/>
        <w:t>explain how to make a complaint (by means that include the provision of relevant contact details).</w:t>
      </w:r>
    </w:p>
    <w:p w:rsidR="003638DE" w:rsidRPr="006E709F" w:rsidRDefault="003638DE" w:rsidP="00A801D0">
      <w:pPr>
        <w:pStyle w:val="subsection"/>
      </w:pPr>
      <w:r w:rsidRPr="006E709F">
        <w:tab/>
        <w:t>(2)</w:t>
      </w:r>
      <w:r w:rsidRPr="006E709F">
        <w:tab/>
        <w:t>The responsible entity:</w:t>
      </w:r>
    </w:p>
    <w:p w:rsidR="003638DE" w:rsidRPr="006E709F" w:rsidRDefault="003638DE" w:rsidP="00A801D0">
      <w:pPr>
        <w:pStyle w:val="paragraph"/>
      </w:pPr>
      <w:r w:rsidRPr="006E709F">
        <w:tab/>
        <w:t>(a)</w:t>
      </w:r>
      <w:r w:rsidRPr="006E709F">
        <w:tab/>
        <w:t>may provide more detailed information about cooling</w:t>
      </w:r>
      <w:r w:rsidR="000C4237">
        <w:noBreakHyphen/>
      </w:r>
      <w:r w:rsidRPr="006E709F">
        <w:t>off periods, complaints and dispute resolution; and</w:t>
      </w:r>
    </w:p>
    <w:p w:rsidR="003638DE" w:rsidRPr="006E709F" w:rsidRDefault="003638DE" w:rsidP="00A801D0">
      <w:pPr>
        <w:pStyle w:val="paragraph"/>
      </w:pPr>
      <w:r w:rsidRPr="006E709F">
        <w:tab/>
        <w:t>(b)</w:t>
      </w:r>
      <w:r w:rsidRPr="006E709F">
        <w:tab/>
        <w:t>may provide that information by applying, adopting or incorporating a matter in writing.</w:t>
      </w:r>
    </w:p>
    <w:p w:rsidR="00953984" w:rsidRPr="006E709F" w:rsidRDefault="00953984" w:rsidP="00953984">
      <w:pPr>
        <w:pStyle w:val="ActHead1"/>
        <w:pageBreakBefore/>
      </w:pPr>
      <w:bookmarkStart w:id="169" w:name="_Toc170547986"/>
      <w:r w:rsidRPr="000C4237">
        <w:rPr>
          <w:rStyle w:val="CharChapNo"/>
        </w:rPr>
        <w:lastRenderedPageBreak/>
        <w:t>Schedule 10F</w:t>
      </w:r>
      <w:r w:rsidRPr="006E709F">
        <w:t>—</w:t>
      </w:r>
      <w:r w:rsidRPr="000C4237">
        <w:rPr>
          <w:rStyle w:val="CharChapText"/>
        </w:rPr>
        <w:t>Form and content of Product Disclosure Statement—simple sub</w:t>
      </w:r>
      <w:r w:rsidR="000C4237" w:rsidRPr="000C4237">
        <w:rPr>
          <w:rStyle w:val="CharChapText"/>
        </w:rPr>
        <w:noBreakHyphen/>
      </w:r>
      <w:r w:rsidRPr="000C4237">
        <w:rPr>
          <w:rStyle w:val="CharChapText"/>
        </w:rPr>
        <w:t>fund products</w:t>
      </w:r>
      <w:bookmarkEnd w:id="169"/>
    </w:p>
    <w:p w:rsidR="00953984" w:rsidRPr="006E709F" w:rsidRDefault="00953984" w:rsidP="00953984">
      <w:pPr>
        <w:pStyle w:val="notemargin"/>
      </w:pPr>
      <w:r w:rsidRPr="006E709F">
        <w:t>(regulation 7.9.11ZE)</w:t>
      </w:r>
    </w:p>
    <w:p w:rsidR="00953984" w:rsidRPr="006E709F" w:rsidRDefault="00953984" w:rsidP="00953984">
      <w:pPr>
        <w:pStyle w:val="Header"/>
      </w:pPr>
      <w:r w:rsidRPr="000C4237">
        <w:rPr>
          <w:rStyle w:val="CharPartNo"/>
        </w:rPr>
        <w:t xml:space="preserve"> </w:t>
      </w:r>
      <w:r w:rsidRPr="000C4237">
        <w:rPr>
          <w:rStyle w:val="CharPartText"/>
        </w:rPr>
        <w:t xml:space="preserve"> </w:t>
      </w:r>
    </w:p>
    <w:p w:rsidR="00953984" w:rsidRPr="006E709F" w:rsidRDefault="00953984" w:rsidP="00953984">
      <w:pPr>
        <w:pStyle w:val="ActHead5"/>
      </w:pPr>
      <w:bookmarkStart w:id="170" w:name="_Toc170547987"/>
      <w:r w:rsidRPr="000C4237">
        <w:rPr>
          <w:rStyle w:val="CharSectno"/>
        </w:rPr>
        <w:t>1</w:t>
      </w:r>
      <w:r w:rsidRPr="006E709F">
        <w:t xml:space="preserve">  Length and font size for Product Disclosure Statement for simple sub</w:t>
      </w:r>
      <w:r w:rsidR="000C4237">
        <w:noBreakHyphen/>
      </w:r>
      <w:r w:rsidRPr="006E709F">
        <w:t>fund product</w:t>
      </w:r>
      <w:bookmarkEnd w:id="170"/>
    </w:p>
    <w:p w:rsidR="00953984" w:rsidRPr="006E709F" w:rsidRDefault="00953984" w:rsidP="00953984">
      <w:pPr>
        <w:pStyle w:val="subsection"/>
      </w:pPr>
      <w:r w:rsidRPr="006E709F">
        <w:tab/>
        <w:t>(1)</w:t>
      </w:r>
      <w:r w:rsidRPr="006E709F">
        <w:tab/>
        <w:t>The length of a Product Disclosure Statement for a simple sub</w:t>
      </w:r>
      <w:r w:rsidR="000C4237">
        <w:noBreakHyphen/>
      </w:r>
      <w:r w:rsidRPr="006E709F">
        <w:t>fund product:</w:t>
      </w:r>
    </w:p>
    <w:p w:rsidR="00953984" w:rsidRPr="006E709F" w:rsidRDefault="00953984" w:rsidP="00953984">
      <w:pPr>
        <w:pStyle w:val="paragraph"/>
      </w:pPr>
      <w:r w:rsidRPr="006E709F">
        <w:tab/>
        <w:t>(a)</w:t>
      </w:r>
      <w:r w:rsidRPr="006E709F">
        <w:tab/>
        <w:t>to which Subdivision 4.2D of Division 4 of Part 7.9 applies; and</w:t>
      </w:r>
    </w:p>
    <w:p w:rsidR="00953984" w:rsidRPr="006E709F" w:rsidRDefault="00953984" w:rsidP="00953984">
      <w:pPr>
        <w:pStyle w:val="paragraph"/>
      </w:pPr>
      <w:r w:rsidRPr="006E709F">
        <w:tab/>
        <w:t>(b)</w:t>
      </w:r>
      <w:r w:rsidRPr="006E709F">
        <w:tab/>
        <w:t>that is referable to a sub</w:t>
      </w:r>
      <w:r w:rsidR="000C4237">
        <w:noBreakHyphen/>
      </w:r>
      <w:r w:rsidRPr="006E709F">
        <w:t>fund of a CCIV;</w:t>
      </w:r>
    </w:p>
    <w:p w:rsidR="00953984" w:rsidRPr="006E709F" w:rsidRDefault="00953984" w:rsidP="00953984">
      <w:pPr>
        <w:pStyle w:val="subsection2"/>
      </w:pPr>
      <w:r w:rsidRPr="006E709F">
        <w:t>must not exceed:</w:t>
      </w:r>
    </w:p>
    <w:p w:rsidR="00953984" w:rsidRPr="006E709F" w:rsidRDefault="00953984" w:rsidP="00953984">
      <w:pPr>
        <w:pStyle w:val="paragraph"/>
      </w:pPr>
      <w:r w:rsidRPr="006E709F">
        <w:tab/>
        <w:t>(c)</w:t>
      </w:r>
      <w:r w:rsidRPr="006E709F">
        <w:tab/>
        <w:t>if it is printed on A4 pages—8 pages; or</w:t>
      </w:r>
    </w:p>
    <w:p w:rsidR="00953984" w:rsidRPr="006E709F" w:rsidRDefault="00953984" w:rsidP="00953984">
      <w:pPr>
        <w:pStyle w:val="paragraph"/>
      </w:pPr>
      <w:r w:rsidRPr="006E709F">
        <w:tab/>
        <w:t>(d)</w:t>
      </w:r>
      <w:r w:rsidRPr="006E709F">
        <w:tab/>
        <w:t>if it is printed on A5 pages—16 pages; or</w:t>
      </w:r>
    </w:p>
    <w:p w:rsidR="00953984" w:rsidRPr="006E709F" w:rsidRDefault="00953984" w:rsidP="00953984">
      <w:pPr>
        <w:pStyle w:val="paragraph"/>
      </w:pPr>
      <w:r w:rsidRPr="006E709F">
        <w:tab/>
        <w:t>(e)</w:t>
      </w:r>
      <w:r w:rsidRPr="006E709F">
        <w:tab/>
        <w:t>if it is printed on DL pages—24 pages; or</w:t>
      </w:r>
    </w:p>
    <w:p w:rsidR="00953984" w:rsidRPr="006E709F" w:rsidRDefault="00953984" w:rsidP="00953984">
      <w:pPr>
        <w:pStyle w:val="paragraph"/>
      </w:pPr>
      <w:r w:rsidRPr="006E709F">
        <w:tab/>
        <w:t>(f)</w:t>
      </w:r>
      <w:r w:rsidRPr="006E709F">
        <w:tab/>
        <w:t>otherwise—if it is formatted to be printed on A4 pages, 8 A4 pages.</w:t>
      </w:r>
    </w:p>
    <w:p w:rsidR="00953984" w:rsidRPr="006E709F" w:rsidRDefault="00953984" w:rsidP="00953984">
      <w:pPr>
        <w:pStyle w:val="subsection2"/>
      </w:pPr>
      <w:r w:rsidRPr="006E709F">
        <w:t>This requirement does not apply to any matter in writing that is applied, adopted or incorporated by the Statement.</w:t>
      </w:r>
    </w:p>
    <w:p w:rsidR="00953984" w:rsidRPr="006E709F" w:rsidRDefault="00953984" w:rsidP="00953984">
      <w:pPr>
        <w:pStyle w:val="subsection"/>
      </w:pPr>
      <w:r w:rsidRPr="006E709F">
        <w:tab/>
        <w:t>(2)</w:t>
      </w:r>
      <w:r w:rsidRPr="006E709F">
        <w:tab/>
        <w:t>The minimum font size for text in the Statement is:</w:t>
      </w:r>
    </w:p>
    <w:p w:rsidR="00953984" w:rsidRPr="006E709F" w:rsidRDefault="00953984" w:rsidP="00953984">
      <w:pPr>
        <w:pStyle w:val="paragraph"/>
      </w:pPr>
      <w:r w:rsidRPr="006E709F">
        <w:tab/>
        <w:t>(a)</w:t>
      </w:r>
      <w:r w:rsidRPr="006E709F">
        <w:tab/>
        <w:t>for the name, address, ABN (if applicable), ACN (if applicable) and AFSL (if applicable) of the corporate director of the CCIV—8 points; and</w:t>
      </w:r>
    </w:p>
    <w:p w:rsidR="00953984" w:rsidRPr="006E709F" w:rsidRDefault="00953984" w:rsidP="00953984">
      <w:pPr>
        <w:pStyle w:val="paragraph"/>
      </w:pPr>
      <w:r w:rsidRPr="006E709F">
        <w:tab/>
        <w:t>(b)</w:t>
      </w:r>
      <w:r w:rsidRPr="006E709F">
        <w:tab/>
        <w:t>for the name, address, ABN (if applicable) and ACN (if applicable) of the CCIV—8 points; and</w:t>
      </w:r>
    </w:p>
    <w:p w:rsidR="00953984" w:rsidRPr="006E709F" w:rsidRDefault="00953984" w:rsidP="00953984">
      <w:pPr>
        <w:pStyle w:val="paragraph"/>
      </w:pPr>
      <w:r w:rsidRPr="006E709F">
        <w:tab/>
        <w:t>(c)</w:t>
      </w:r>
      <w:r w:rsidRPr="006E709F">
        <w:tab/>
        <w:t>for the name, ABN (if applicable) and ARFN (if applicable) of the sub</w:t>
      </w:r>
      <w:r w:rsidR="000C4237">
        <w:noBreakHyphen/>
      </w:r>
      <w:r w:rsidRPr="006E709F">
        <w:t>fund of the CCIV—8 points; and</w:t>
      </w:r>
    </w:p>
    <w:p w:rsidR="00953984" w:rsidRPr="006E709F" w:rsidRDefault="00953984" w:rsidP="00953984">
      <w:pPr>
        <w:pStyle w:val="paragraph"/>
      </w:pPr>
      <w:r w:rsidRPr="006E709F">
        <w:tab/>
        <w:t>(d)</w:t>
      </w:r>
      <w:r w:rsidRPr="006E709F">
        <w:tab/>
        <w:t>for all other text—9 points.</w:t>
      </w:r>
    </w:p>
    <w:p w:rsidR="00953984" w:rsidRPr="006E709F" w:rsidRDefault="00953984" w:rsidP="00953984">
      <w:pPr>
        <w:pStyle w:val="notetext"/>
      </w:pPr>
      <w:r w:rsidRPr="006E709F">
        <w:t>Note 1:</w:t>
      </w:r>
      <w:r w:rsidRPr="006E709F">
        <w:tab/>
        <w:t>The Product Disclosure Statement must be worded and presented in a clear, concise and effective manner—see subsection 1013C(3) of the Act.</w:t>
      </w:r>
    </w:p>
    <w:p w:rsidR="00953984" w:rsidRPr="006E709F" w:rsidRDefault="00953984" w:rsidP="00953984">
      <w:pPr>
        <w:pStyle w:val="notetext"/>
      </w:pPr>
      <w:r w:rsidRPr="006E709F">
        <w:t>Note 2:</w:t>
      </w:r>
      <w:r w:rsidRPr="006E709F">
        <w:tab/>
        <w:t>A person required to a give a Product Disclosure Statement to a vision</w:t>
      </w:r>
      <w:r w:rsidR="000C4237">
        <w:noBreakHyphen/>
      </w:r>
      <w:r w:rsidRPr="006E709F">
        <w:t xml:space="preserve">impaired person must comply with its obligations under the </w:t>
      </w:r>
      <w:r w:rsidRPr="006E709F">
        <w:rPr>
          <w:i/>
        </w:rPr>
        <w:t>Disability Discrimination Act 1992</w:t>
      </w:r>
      <w:r w:rsidRPr="006E709F">
        <w:t>.</w:t>
      </w:r>
    </w:p>
    <w:p w:rsidR="00953984" w:rsidRPr="006E709F" w:rsidRDefault="00953984" w:rsidP="00953984">
      <w:pPr>
        <w:pStyle w:val="ActHead5"/>
      </w:pPr>
      <w:bookmarkStart w:id="171" w:name="_Toc170547988"/>
      <w:r w:rsidRPr="000C4237">
        <w:rPr>
          <w:rStyle w:val="CharSectno"/>
        </w:rPr>
        <w:t>2</w:t>
      </w:r>
      <w:r w:rsidRPr="006E709F">
        <w:t xml:space="preserve">  Minimum content of Product Disclosure Statement for simple sub</w:t>
      </w:r>
      <w:r w:rsidR="000C4237">
        <w:noBreakHyphen/>
      </w:r>
      <w:r w:rsidRPr="006E709F">
        <w:t>fund product</w:t>
      </w:r>
      <w:bookmarkEnd w:id="171"/>
    </w:p>
    <w:p w:rsidR="00953984" w:rsidRPr="006E709F" w:rsidRDefault="00953984" w:rsidP="00953984">
      <w:pPr>
        <w:pStyle w:val="subsection"/>
      </w:pPr>
      <w:r w:rsidRPr="006E709F">
        <w:tab/>
        <w:t>(1)</w:t>
      </w:r>
      <w:r w:rsidRPr="006E709F">
        <w:tab/>
        <w:t>The Product Disclosure Statement for the simple sub</w:t>
      </w:r>
      <w:r w:rsidR="000C4237">
        <w:noBreakHyphen/>
      </w:r>
      <w:r w:rsidRPr="006E709F">
        <w:t>fund product must include sections that are numbered and titled as follows:</w:t>
      </w:r>
    </w:p>
    <w:p w:rsidR="00953984" w:rsidRPr="006E709F" w:rsidRDefault="00953984" w:rsidP="00953984">
      <w:pPr>
        <w:pStyle w:val="paragraph"/>
      </w:pPr>
      <w:r w:rsidRPr="006E709F">
        <w:tab/>
        <w:t>1.</w:t>
      </w:r>
      <w:r w:rsidRPr="006E709F">
        <w:tab/>
        <w:t>About [name of corporate director]</w:t>
      </w:r>
    </w:p>
    <w:p w:rsidR="00953984" w:rsidRPr="006E709F" w:rsidRDefault="00953984" w:rsidP="00953984">
      <w:pPr>
        <w:pStyle w:val="paragraph"/>
      </w:pPr>
      <w:r w:rsidRPr="006E709F">
        <w:tab/>
        <w:t>2.</w:t>
      </w:r>
      <w:r w:rsidRPr="006E709F">
        <w:tab/>
        <w:t>How [name of CCIV and sub</w:t>
      </w:r>
      <w:r w:rsidR="000C4237">
        <w:noBreakHyphen/>
      </w:r>
      <w:r w:rsidRPr="006E709F">
        <w:t>fund] work</w:t>
      </w:r>
    </w:p>
    <w:p w:rsidR="00953984" w:rsidRPr="006E709F" w:rsidRDefault="00953984" w:rsidP="00953984">
      <w:pPr>
        <w:pStyle w:val="paragraph"/>
      </w:pPr>
      <w:r w:rsidRPr="006E709F">
        <w:tab/>
        <w:t>3.</w:t>
      </w:r>
      <w:r w:rsidRPr="006E709F">
        <w:tab/>
        <w:t>Benefits of investing in [name of simple sub</w:t>
      </w:r>
      <w:r w:rsidR="000C4237">
        <w:noBreakHyphen/>
      </w:r>
      <w:r w:rsidRPr="006E709F">
        <w:t>fund product]</w:t>
      </w:r>
    </w:p>
    <w:p w:rsidR="00953984" w:rsidRPr="006E709F" w:rsidRDefault="00953984" w:rsidP="00953984">
      <w:pPr>
        <w:pStyle w:val="paragraph"/>
      </w:pPr>
      <w:r w:rsidRPr="006E709F">
        <w:tab/>
        <w:t>4.</w:t>
      </w:r>
      <w:r w:rsidRPr="006E709F">
        <w:tab/>
        <w:t>Risks of simple sub</w:t>
      </w:r>
      <w:r w:rsidR="000C4237">
        <w:noBreakHyphen/>
      </w:r>
      <w:r w:rsidRPr="006E709F">
        <w:t>fund products</w:t>
      </w:r>
    </w:p>
    <w:p w:rsidR="00953984" w:rsidRPr="006E709F" w:rsidRDefault="00953984" w:rsidP="00953984">
      <w:pPr>
        <w:pStyle w:val="paragraph"/>
      </w:pPr>
      <w:r w:rsidRPr="006E709F">
        <w:tab/>
        <w:t>5.</w:t>
      </w:r>
      <w:r w:rsidRPr="006E709F">
        <w:tab/>
        <w:t>How we invest your money</w:t>
      </w:r>
    </w:p>
    <w:p w:rsidR="00953984" w:rsidRPr="006E709F" w:rsidRDefault="00953984" w:rsidP="00953984">
      <w:pPr>
        <w:pStyle w:val="paragraph"/>
      </w:pPr>
      <w:r w:rsidRPr="006E709F">
        <w:tab/>
        <w:t>6.</w:t>
      </w:r>
      <w:r w:rsidRPr="006E709F">
        <w:tab/>
        <w:t>Fees and costs</w:t>
      </w:r>
    </w:p>
    <w:p w:rsidR="00953984" w:rsidRPr="006E709F" w:rsidRDefault="00953984" w:rsidP="00953984">
      <w:pPr>
        <w:pStyle w:val="paragraph"/>
      </w:pPr>
      <w:r w:rsidRPr="006E709F">
        <w:lastRenderedPageBreak/>
        <w:tab/>
        <w:t>7.</w:t>
      </w:r>
      <w:r w:rsidRPr="006E709F">
        <w:tab/>
        <w:t>How sub</w:t>
      </w:r>
      <w:r w:rsidR="000C4237">
        <w:noBreakHyphen/>
      </w:r>
      <w:r w:rsidRPr="006E709F">
        <w:t>funds of CCIVs are taxed</w:t>
      </w:r>
    </w:p>
    <w:p w:rsidR="00953984" w:rsidRPr="006E709F" w:rsidRDefault="00953984" w:rsidP="00953984">
      <w:pPr>
        <w:pStyle w:val="paragraph"/>
      </w:pPr>
      <w:r w:rsidRPr="006E709F">
        <w:tab/>
        <w:t>8.</w:t>
      </w:r>
      <w:r w:rsidRPr="006E709F">
        <w:tab/>
        <w:t>How to apply.</w:t>
      </w:r>
    </w:p>
    <w:p w:rsidR="00953984" w:rsidRPr="006E709F" w:rsidRDefault="00953984" w:rsidP="00953984">
      <w:pPr>
        <w:pStyle w:val="subsection"/>
      </w:pPr>
      <w:r w:rsidRPr="006E709F">
        <w:tab/>
        <w:t>(2)</w:t>
      </w:r>
      <w:r w:rsidRPr="006E709F">
        <w:tab/>
        <w:t>The Statement must include:</w:t>
      </w:r>
    </w:p>
    <w:p w:rsidR="00953984" w:rsidRPr="006E709F" w:rsidRDefault="00953984" w:rsidP="00953984">
      <w:pPr>
        <w:pStyle w:val="paragraph"/>
      </w:pPr>
      <w:r w:rsidRPr="006E709F">
        <w:tab/>
        <w:t>(a)</w:t>
      </w:r>
      <w:r w:rsidRPr="006E709F">
        <w:tab/>
        <w:t>a table of contents that sets out the titles mentioned in subclause (1); and</w:t>
      </w:r>
    </w:p>
    <w:p w:rsidR="00953984" w:rsidRPr="006E709F" w:rsidRDefault="00953984" w:rsidP="00953984">
      <w:pPr>
        <w:pStyle w:val="paragraph"/>
      </w:pPr>
      <w:r w:rsidRPr="006E709F">
        <w:tab/>
        <w:t>(b)</w:t>
      </w:r>
      <w:r w:rsidRPr="006E709F">
        <w:tab/>
        <w:t>the telephone number of the corporate director of the CCIV to enable a person who invests in the simple sub</w:t>
      </w:r>
      <w:r w:rsidR="000C4237">
        <w:noBreakHyphen/>
      </w:r>
      <w:r w:rsidRPr="006E709F">
        <w:t>fund product to request a copy of the following under regulation 7.9.11ZH:</w:t>
      </w:r>
    </w:p>
    <w:p w:rsidR="00953984" w:rsidRPr="006E709F" w:rsidRDefault="00953984" w:rsidP="00953984">
      <w:pPr>
        <w:pStyle w:val="paragraphsub"/>
      </w:pPr>
      <w:r w:rsidRPr="006E709F">
        <w:tab/>
        <w:t>(i)</w:t>
      </w:r>
      <w:r w:rsidRPr="006E709F">
        <w:tab/>
        <w:t>a copy of the Statement;</w:t>
      </w:r>
    </w:p>
    <w:p w:rsidR="00953984" w:rsidRPr="006E709F" w:rsidRDefault="00953984" w:rsidP="00953984">
      <w:pPr>
        <w:pStyle w:val="paragraphsub"/>
      </w:pPr>
      <w:r w:rsidRPr="006E709F">
        <w:tab/>
        <w:t>(ii)</w:t>
      </w:r>
      <w:r w:rsidRPr="006E709F">
        <w:tab/>
        <w:t>a copy of a matter in writing that is applied, adopted or incorporated by the Statement.</w:t>
      </w:r>
    </w:p>
    <w:p w:rsidR="00953984" w:rsidRPr="006E709F" w:rsidRDefault="00953984" w:rsidP="00953984">
      <w:pPr>
        <w:pStyle w:val="subsection"/>
      </w:pPr>
      <w:r w:rsidRPr="006E709F">
        <w:tab/>
        <w:t>(3)</w:t>
      </w:r>
      <w:r w:rsidRPr="006E709F">
        <w:tab/>
        <w:t>The Statement must:</w:t>
      </w:r>
    </w:p>
    <w:p w:rsidR="00953984" w:rsidRPr="006E709F" w:rsidRDefault="00953984" w:rsidP="00953984">
      <w:pPr>
        <w:pStyle w:val="paragraph"/>
      </w:pPr>
      <w:r w:rsidRPr="006E709F">
        <w:tab/>
        <w:t>(a)</w:t>
      </w:r>
      <w:r w:rsidRPr="006E709F">
        <w:tab/>
        <w:t>advise a person reading the Statement that:</w:t>
      </w:r>
    </w:p>
    <w:p w:rsidR="00953984" w:rsidRPr="006E709F" w:rsidRDefault="00953984" w:rsidP="00953984">
      <w:pPr>
        <w:pStyle w:val="paragraphsub"/>
      </w:pPr>
      <w:r w:rsidRPr="006E709F">
        <w:tab/>
        <w:t>(i)</w:t>
      </w:r>
      <w:r w:rsidRPr="006E709F">
        <w:tab/>
        <w:t>it is a summary of significant information and contains a number of references to important information (each of which forms part of the Statement); and</w:t>
      </w:r>
    </w:p>
    <w:p w:rsidR="00953984" w:rsidRPr="006E709F" w:rsidRDefault="00953984" w:rsidP="00953984">
      <w:pPr>
        <w:pStyle w:val="paragraphsub"/>
      </w:pPr>
      <w:r w:rsidRPr="006E709F">
        <w:tab/>
        <w:t>(ii)</w:t>
      </w:r>
      <w:r w:rsidRPr="006E709F">
        <w:tab/>
        <w:t>persons should consider that information before making a decision about the simple sub</w:t>
      </w:r>
      <w:r w:rsidR="000C4237">
        <w:noBreakHyphen/>
      </w:r>
      <w:r w:rsidRPr="006E709F">
        <w:t>fund product; and</w:t>
      </w:r>
    </w:p>
    <w:p w:rsidR="00953984" w:rsidRPr="006E709F" w:rsidRDefault="00953984" w:rsidP="00953984">
      <w:pPr>
        <w:pStyle w:val="paragraphsub"/>
      </w:pPr>
      <w:r w:rsidRPr="006E709F">
        <w:tab/>
        <w:t>(iii)</w:t>
      </w:r>
      <w:r w:rsidRPr="006E709F">
        <w:tab/>
        <w:t>the information provided in the Statement is general information only and does not take account of the person’s personal financial situation or needs; and</w:t>
      </w:r>
    </w:p>
    <w:p w:rsidR="00953984" w:rsidRPr="006E709F" w:rsidRDefault="00953984" w:rsidP="00953984">
      <w:pPr>
        <w:pStyle w:val="paragraphsub"/>
      </w:pPr>
      <w:r w:rsidRPr="006E709F">
        <w:tab/>
        <w:t>(iv)</w:t>
      </w:r>
      <w:r w:rsidRPr="006E709F">
        <w:tab/>
        <w:t>the person should obtain financial advice tailored to the person’s personal circumstances; and</w:t>
      </w:r>
    </w:p>
    <w:p w:rsidR="00953984" w:rsidRPr="006E709F" w:rsidRDefault="00953984" w:rsidP="00953984">
      <w:pPr>
        <w:pStyle w:val="paragraph"/>
      </w:pPr>
      <w:r w:rsidRPr="006E709F">
        <w:tab/>
        <w:t>(b)</w:t>
      </w:r>
      <w:r w:rsidRPr="006E709F">
        <w:tab/>
        <w:t>display the advice:</w:t>
      </w:r>
    </w:p>
    <w:p w:rsidR="00953984" w:rsidRPr="006E709F" w:rsidRDefault="00953984" w:rsidP="00953984">
      <w:pPr>
        <w:pStyle w:val="paragraphsub"/>
      </w:pPr>
      <w:r w:rsidRPr="006E709F">
        <w:tab/>
        <w:t>(i)</w:t>
      </w:r>
      <w:r w:rsidRPr="006E709F">
        <w:tab/>
        <w:t>at or near the beginning of the document; and</w:t>
      </w:r>
    </w:p>
    <w:p w:rsidR="00953984" w:rsidRPr="006E709F" w:rsidRDefault="00953984" w:rsidP="00953984">
      <w:pPr>
        <w:pStyle w:val="paragraphsub"/>
      </w:pPr>
      <w:r w:rsidRPr="006E709F">
        <w:tab/>
        <w:t>(ii)</w:t>
      </w:r>
      <w:r w:rsidRPr="006E709F">
        <w:tab/>
        <w:t>in a prominent position and style.</w:t>
      </w:r>
    </w:p>
    <w:p w:rsidR="00953984" w:rsidRPr="006E709F" w:rsidRDefault="00953984" w:rsidP="00953984">
      <w:pPr>
        <w:pStyle w:val="subsection"/>
      </w:pPr>
      <w:r w:rsidRPr="006E709F">
        <w:tab/>
        <w:t>(4)</w:t>
      </w:r>
      <w:r w:rsidRPr="006E709F">
        <w:tab/>
        <w:t>The Statement:</w:t>
      </w:r>
    </w:p>
    <w:p w:rsidR="00953984" w:rsidRPr="006E709F" w:rsidRDefault="00953984" w:rsidP="00953984">
      <w:pPr>
        <w:pStyle w:val="paragraph"/>
      </w:pPr>
      <w:r w:rsidRPr="006E709F">
        <w:tab/>
        <w:t>(a)</w:t>
      </w:r>
      <w:r w:rsidRPr="006E709F">
        <w:tab/>
        <w:t>may include additional sections after sections 1 to 8; and</w:t>
      </w:r>
    </w:p>
    <w:p w:rsidR="00953984" w:rsidRPr="006E709F" w:rsidRDefault="00953984" w:rsidP="00953984">
      <w:pPr>
        <w:pStyle w:val="paragraph"/>
      </w:pPr>
      <w:r w:rsidRPr="006E709F">
        <w:tab/>
        <w:t>(b)</w:t>
      </w:r>
      <w:r w:rsidRPr="006E709F">
        <w:tab/>
        <w:t>may include other information;</w:t>
      </w:r>
    </w:p>
    <w:p w:rsidR="00953984" w:rsidRPr="006E709F" w:rsidRDefault="00953984" w:rsidP="00953984">
      <w:pPr>
        <w:pStyle w:val="subsection2"/>
      </w:pPr>
      <w:r w:rsidRPr="006E709F">
        <w:t>to an extent that does not have the effect of contravening subclause 1(1).</w:t>
      </w:r>
    </w:p>
    <w:p w:rsidR="00953984" w:rsidRPr="006E709F" w:rsidRDefault="00953984" w:rsidP="00953984">
      <w:pPr>
        <w:pStyle w:val="subsection"/>
      </w:pPr>
      <w:r w:rsidRPr="006E709F">
        <w:tab/>
        <w:t>(5)</w:t>
      </w:r>
      <w:r w:rsidRPr="006E709F">
        <w:tab/>
        <w:t>The Product Disclosure Statement does not need to indicate that a particular requirement is not applicable to the simple sub</w:t>
      </w:r>
      <w:r w:rsidR="000C4237">
        <w:noBreakHyphen/>
      </w:r>
      <w:r w:rsidRPr="006E709F">
        <w:t>fund product.</w:t>
      </w:r>
    </w:p>
    <w:p w:rsidR="00953984" w:rsidRPr="006E709F" w:rsidRDefault="00953984" w:rsidP="00953984">
      <w:pPr>
        <w:pStyle w:val="notetext"/>
      </w:pPr>
      <w:r w:rsidRPr="006E709F">
        <w:t>Note:</w:t>
      </w:r>
      <w:r w:rsidRPr="006E709F">
        <w:tab/>
        <w:t>The Act, as modified in accordance with Subdivision 4.2D of Division 4 of Part 7.9, requires information to be included in the Product Disclosure Statement only to the extent to which the requirement is applicable to the simple sub</w:t>
      </w:r>
      <w:r w:rsidR="000C4237">
        <w:noBreakHyphen/>
      </w:r>
      <w:r w:rsidRPr="006E709F">
        <w:t>fund product.</w:t>
      </w:r>
    </w:p>
    <w:p w:rsidR="00953984" w:rsidRPr="006E709F" w:rsidRDefault="00953984" w:rsidP="00953984">
      <w:pPr>
        <w:pStyle w:val="ActHead5"/>
      </w:pPr>
      <w:bookmarkStart w:id="172" w:name="_Toc170547989"/>
      <w:r w:rsidRPr="000C4237">
        <w:rPr>
          <w:rStyle w:val="CharSectno"/>
        </w:rPr>
        <w:t>3</w:t>
      </w:r>
      <w:r w:rsidRPr="006E709F">
        <w:t xml:space="preserve">  Contents of section 1 (About [name of corporate director])</w:t>
      </w:r>
      <w:bookmarkEnd w:id="172"/>
    </w:p>
    <w:p w:rsidR="00953984" w:rsidRPr="006E709F" w:rsidRDefault="00953984" w:rsidP="00953984">
      <w:pPr>
        <w:pStyle w:val="subsection"/>
      </w:pPr>
      <w:r w:rsidRPr="006E709F">
        <w:tab/>
        <w:t>(1)</w:t>
      </w:r>
      <w:r w:rsidRPr="006E709F">
        <w:tab/>
        <w:t>Section 1 of the Product Disclosure Statement for the simple sub</w:t>
      </w:r>
      <w:r w:rsidR="000C4237">
        <w:noBreakHyphen/>
      </w:r>
      <w:r w:rsidRPr="006E709F">
        <w:t>fund product must describe, in the form of a summary:</w:t>
      </w:r>
    </w:p>
    <w:p w:rsidR="00953984" w:rsidRPr="006E709F" w:rsidRDefault="00953984" w:rsidP="00953984">
      <w:pPr>
        <w:pStyle w:val="paragraph"/>
      </w:pPr>
      <w:r w:rsidRPr="006E709F">
        <w:tab/>
        <w:t>(a)</w:t>
      </w:r>
      <w:r w:rsidRPr="006E709F">
        <w:tab/>
        <w:t>the corporate director of the CCIV and the corporate director’s role in operating the CCIV in relation to the sub</w:t>
      </w:r>
      <w:r w:rsidR="000C4237">
        <w:noBreakHyphen/>
      </w:r>
      <w:r w:rsidRPr="006E709F">
        <w:t>fund; and</w:t>
      </w:r>
    </w:p>
    <w:p w:rsidR="00953984" w:rsidRPr="006E709F" w:rsidRDefault="00953984" w:rsidP="00953984">
      <w:pPr>
        <w:pStyle w:val="paragraph"/>
      </w:pPr>
      <w:r w:rsidRPr="006E709F">
        <w:tab/>
        <w:t>(b)</w:t>
      </w:r>
      <w:r w:rsidRPr="006E709F">
        <w:tab/>
        <w:t>the investment manager for the sub</w:t>
      </w:r>
      <w:r w:rsidR="000C4237">
        <w:noBreakHyphen/>
      </w:r>
      <w:r w:rsidRPr="006E709F">
        <w:t>fund, if the investment manager for the sub</w:t>
      </w:r>
      <w:r w:rsidR="000C4237">
        <w:noBreakHyphen/>
      </w:r>
      <w:r w:rsidRPr="006E709F">
        <w:t>fund is different from the corporate director of the CCIV.</w:t>
      </w:r>
    </w:p>
    <w:p w:rsidR="00953984" w:rsidRPr="006E709F" w:rsidRDefault="00953984" w:rsidP="00953984">
      <w:pPr>
        <w:pStyle w:val="subsection"/>
      </w:pPr>
      <w:r w:rsidRPr="006E709F">
        <w:lastRenderedPageBreak/>
        <w:tab/>
        <w:t>(2)</w:t>
      </w:r>
      <w:r w:rsidRPr="006E709F">
        <w:tab/>
        <w:t>If there is more than one investment manager for the sub</w:t>
      </w:r>
      <w:r w:rsidR="000C4237">
        <w:noBreakHyphen/>
      </w:r>
      <w:r w:rsidRPr="006E709F">
        <w:t>fund, the Statement may describe a particular manager by applying, adopting or incorporating a matter in writing.</w:t>
      </w:r>
    </w:p>
    <w:p w:rsidR="00953984" w:rsidRPr="006E709F" w:rsidRDefault="00953984" w:rsidP="00953984">
      <w:pPr>
        <w:pStyle w:val="ActHead5"/>
      </w:pPr>
      <w:bookmarkStart w:id="173" w:name="_Toc170547990"/>
      <w:r w:rsidRPr="000C4237">
        <w:rPr>
          <w:rStyle w:val="CharSectno"/>
        </w:rPr>
        <w:t>4</w:t>
      </w:r>
      <w:r w:rsidRPr="006E709F">
        <w:t xml:space="preserve">  Contents of section 2 (How [name of CCIV and sub</w:t>
      </w:r>
      <w:r w:rsidR="000C4237">
        <w:noBreakHyphen/>
      </w:r>
      <w:r w:rsidRPr="006E709F">
        <w:t>fund] work)</w:t>
      </w:r>
      <w:bookmarkEnd w:id="173"/>
    </w:p>
    <w:p w:rsidR="00953984" w:rsidRPr="006E709F" w:rsidRDefault="00953984" w:rsidP="00953984">
      <w:pPr>
        <w:pStyle w:val="subsection"/>
      </w:pPr>
      <w:r w:rsidRPr="006E709F">
        <w:tab/>
        <w:t>(1)</w:t>
      </w:r>
      <w:r w:rsidRPr="006E709F">
        <w:tab/>
        <w:t>Section 2 of the Product Disclosure Statement for the simple sub</w:t>
      </w:r>
      <w:r w:rsidR="000C4237">
        <w:noBreakHyphen/>
      </w:r>
      <w:r w:rsidRPr="006E709F">
        <w:t>fund product must describe, in the form of a summary:</w:t>
      </w:r>
    </w:p>
    <w:p w:rsidR="00953984" w:rsidRPr="006E709F" w:rsidRDefault="00953984" w:rsidP="00953984">
      <w:pPr>
        <w:pStyle w:val="paragraph"/>
      </w:pPr>
      <w:r w:rsidRPr="006E709F">
        <w:tab/>
        <w:t>(a)</w:t>
      </w:r>
      <w:r w:rsidRPr="006E709F">
        <w:tab/>
        <w:t>how the CCIV and the sub</w:t>
      </w:r>
      <w:r w:rsidR="000C4237">
        <w:noBreakHyphen/>
      </w:r>
      <w:r w:rsidRPr="006E709F">
        <w:t>fund of the CCIV work; and</w:t>
      </w:r>
    </w:p>
    <w:p w:rsidR="00953984" w:rsidRPr="006E709F" w:rsidRDefault="00953984" w:rsidP="00953984">
      <w:pPr>
        <w:pStyle w:val="paragraph"/>
      </w:pPr>
      <w:r w:rsidRPr="006E709F">
        <w:tab/>
        <w:t>(b)</w:t>
      </w:r>
      <w:r w:rsidRPr="006E709F">
        <w:tab/>
        <w:t>the rights and interests that members of the sub</w:t>
      </w:r>
      <w:r w:rsidR="000C4237">
        <w:noBreakHyphen/>
      </w:r>
      <w:r w:rsidRPr="006E709F">
        <w:t>fund of the CCIV acquire.</w:t>
      </w:r>
    </w:p>
    <w:p w:rsidR="00953984" w:rsidRPr="006E709F" w:rsidRDefault="00953984" w:rsidP="00953984">
      <w:pPr>
        <w:pStyle w:val="subsection"/>
      </w:pPr>
      <w:r w:rsidRPr="006E709F">
        <w:tab/>
        <w:t>(2)</w:t>
      </w:r>
      <w:r w:rsidRPr="006E709F">
        <w:tab/>
        <w:t>Section 2 must:</w:t>
      </w:r>
    </w:p>
    <w:p w:rsidR="00953984" w:rsidRPr="006E709F" w:rsidRDefault="00953984" w:rsidP="00953984">
      <w:pPr>
        <w:pStyle w:val="paragraph"/>
      </w:pPr>
      <w:r w:rsidRPr="006E709F">
        <w:tab/>
        <w:t>(a)</w:t>
      </w:r>
      <w:r w:rsidRPr="006E709F">
        <w:tab/>
        <w:t>if applicable—describe, in the form of a summary, the minimum investment amounts; and</w:t>
      </w:r>
    </w:p>
    <w:p w:rsidR="00953984" w:rsidRPr="006E709F" w:rsidRDefault="00953984" w:rsidP="00953984">
      <w:pPr>
        <w:pStyle w:val="paragraph"/>
      </w:pPr>
      <w:r w:rsidRPr="006E709F">
        <w:tab/>
        <w:t>(b)</w:t>
      </w:r>
      <w:r w:rsidRPr="006E709F">
        <w:tab/>
        <w:t>provide information about the structure of the CCIV and the sub</w:t>
      </w:r>
      <w:r w:rsidR="000C4237">
        <w:noBreakHyphen/>
      </w:r>
      <w:r w:rsidRPr="006E709F">
        <w:t>fund of the CCIV; and</w:t>
      </w:r>
    </w:p>
    <w:p w:rsidR="00953984" w:rsidRPr="006E709F" w:rsidRDefault="00953984" w:rsidP="00953984">
      <w:pPr>
        <w:pStyle w:val="paragraph"/>
      </w:pPr>
      <w:r w:rsidRPr="006E709F">
        <w:tab/>
        <w:t>(c)</w:t>
      </w:r>
      <w:r w:rsidRPr="006E709F">
        <w:tab/>
        <w:t>state, in general terms, that the value of securities will vary as the market value of the assets of the sub</w:t>
      </w:r>
      <w:r w:rsidR="000C4237">
        <w:noBreakHyphen/>
      </w:r>
      <w:r w:rsidRPr="006E709F">
        <w:t>fund of the CCIV rise or fall; and</w:t>
      </w:r>
    </w:p>
    <w:p w:rsidR="00953984" w:rsidRPr="006E709F" w:rsidRDefault="00953984" w:rsidP="00953984">
      <w:pPr>
        <w:pStyle w:val="paragraph"/>
      </w:pPr>
      <w:r w:rsidRPr="006E709F">
        <w:tab/>
        <w:t>(d)</w:t>
      </w:r>
      <w:r w:rsidRPr="006E709F">
        <w:tab/>
        <w:t>describe, in the form of a summary, how members of the sub</w:t>
      </w:r>
      <w:r w:rsidR="000C4237">
        <w:noBreakHyphen/>
      </w:r>
      <w:r w:rsidRPr="006E709F">
        <w:t>fund can increase or decrease their investment by acquiring securities or disposing of securities; and</w:t>
      </w:r>
    </w:p>
    <w:p w:rsidR="00953984" w:rsidRPr="006E709F" w:rsidRDefault="00953984" w:rsidP="00953984">
      <w:pPr>
        <w:pStyle w:val="paragraph"/>
      </w:pPr>
      <w:r w:rsidRPr="006E709F">
        <w:tab/>
        <w:t>(e)</w:t>
      </w:r>
      <w:r w:rsidRPr="006E709F">
        <w:tab/>
        <w:t>state, in general terms, that in some circumstances, such as when there is a freeze on redemptions, members of the sub</w:t>
      </w:r>
      <w:r w:rsidR="000C4237">
        <w:noBreakHyphen/>
      </w:r>
      <w:r w:rsidRPr="006E709F">
        <w:t>fund may not be able to redeem shares or dispose of securities within the usual period upon request; and</w:t>
      </w:r>
    </w:p>
    <w:p w:rsidR="00953984" w:rsidRPr="006E709F" w:rsidRDefault="00953984" w:rsidP="00953984">
      <w:pPr>
        <w:pStyle w:val="paragraph"/>
      </w:pPr>
      <w:r w:rsidRPr="006E709F">
        <w:tab/>
        <w:t>(f)</w:t>
      </w:r>
      <w:r w:rsidRPr="006E709F">
        <w:tab/>
        <w:t>describe the frequency of distributions and explain how distributions are calculated.</w:t>
      </w:r>
    </w:p>
    <w:p w:rsidR="00953984" w:rsidRPr="006E709F" w:rsidRDefault="00953984" w:rsidP="00953984">
      <w:pPr>
        <w:pStyle w:val="subsection"/>
      </w:pPr>
      <w:r w:rsidRPr="006E709F">
        <w:tab/>
        <w:t>(3)</w:t>
      </w:r>
      <w:r w:rsidRPr="006E709F">
        <w:tab/>
        <w:t>The CCIV:</w:t>
      </w:r>
    </w:p>
    <w:p w:rsidR="00953984" w:rsidRPr="006E709F" w:rsidRDefault="00953984" w:rsidP="00953984">
      <w:pPr>
        <w:pStyle w:val="paragraph"/>
      </w:pPr>
      <w:r w:rsidRPr="006E709F">
        <w:tab/>
        <w:t>(a)</w:t>
      </w:r>
      <w:r w:rsidRPr="006E709F">
        <w:tab/>
        <w:t>may provide more detailed information on the acquisition and disposal of securities; and</w:t>
      </w:r>
    </w:p>
    <w:p w:rsidR="00953984" w:rsidRPr="006E709F" w:rsidRDefault="00953984" w:rsidP="00953984">
      <w:pPr>
        <w:pStyle w:val="paragraph"/>
      </w:pPr>
      <w:r w:rsidRPr="006E709F">
        <w:tab/>
        <w:t>(b)</w:t>
      </w:r>
      <w:r w:rsidRPr="006E709F">
        <w:tab/>
        <w:t>may provide the information by applying, adopting or incorporating a matter in writing.</w:t>
      </w:r>
    </w:p>
    <w:p w:rsidR="00953984" w:rsidRPr="006E709F" w:rsidRDefault="00953984" w:rsidP="00953984">
      <w:pPr>
        <w:pStyle w:val="ActHead5"/>
      </w:pPr>
      <w:bookmarkStart w:id="174" w:name="_Toc170547991"/>
      <w:r w:rsidRPr="000C4237">
        <w:rPr>
          <w:rStyle w:val="CharSectno"/>
        </w:rPr>
        <w:t>5</w:t>
      </w:r>
      <w:r w:rsidRPr="006E709F">
        <w:t xml:space="preserve">  Contents of section 3 (Benefits of investing in [name of simple sub</w:t>
      </w:r>
      <w:r w:rsidR="000C4237">
        <w:noBreakHyphen/>
      </w:r>
      <w:r w:rsidRPr="006E709F">
        <w:t>fund product])</w:t>
      </w:r>
      <w:bookmarkEnd w:id="174"/>
    </w:p>
    <w:p w:rsidR="00953984" w:rsidRPr="006E709F" w:rsidRDefault="00953984" w:rsidP="00953984">
      <w:pPr>
        <w:pStyle w:val="subsection"/>
      </w:pPr>
      <w:r w:rsidRPr="006E709F">
        <w:tab/>
        <w:t>(1)</w:t>
      </w:r>
      <w:r w:rsidRPr="006E709F">
        <w:tab/>
        <w:t>Section 3 of the Product Disclosure Statement for the simple sub</w:t>
      </w:r>
      <w:r w:rsidR="000C4237">
        <w:noBreakHyphen/>
      </w:r>
      <w:r w:rsidRPr="006E709F">
        <w:t>fund product must, before setting out any other information, describe, in the form of a summary:</w:t>
      </w:r>
    </w:p>
    <w:p w:rsidR="00953984" w:rsidRPr="006E709F" w:rsidRDefault="00953984" w:rsidP="00953984">
      <w:pPr>
        <w:pStyle w:val="paragraph"/>
      </w:pPr>
      <w:r w:rsidRPr="006E709F">
        <w:tab/>
        <w:t>(a)</w:t>
      </w:r>
      <w:r w:rsidRPr="006E709F">
        <w:tab/>
        <w:t>the significant features of the simple sub</w:t>
      </w:r>
      <w:r w:rsidR="000C4237">
        <w:noBreakHyphen/>
      </w:r>
      <w:r w:rsidRPr="006E709F">
        <w:t>fund product; and</w:t>
      </w:r>
    </w:p>
    <w:p w:rsidR="00953984" w:rsidRPr="006E709F" w:rsidRDefault="00953984" w:rsidP="00953984">
      <w:pPr>
        <w:pStyle w:val="paragraph"/>
      </w:pPr>
      <w:r w:rsidRPr="006E709F">
        <w:tab/>
        <w:t>(b)</w:t>
      </w:r>
      <w:r w:rsidRPr="006E709F">
        <w:tab/>
        <w:t>the significant benefits of the simple sub</w:t>
      </w:r>
      <w:r w:rsidR="000C4237">
        <w:noBreakHyphen/>
      </w:r>
      <w:r w:rsidRPr="006E709F">
        <w:t>fund product.</w:t>
      </w:r>
    </w:p>
    <w:p w:rsidR="00953984" w:rsidRPr="006E709F" w:rsidRDefault="00953984" w:rsidP="00953984">
      <w:pPr>
        <w:pStyle w:val="subsection"/>
      </w:pPr>
      <w:r w:rsidRPr="006E709F">
        <w:tab/>
        <w:t>(2)</w:t>
      </w:r>
      <w:r w:rsidRPr="006E709F">
        <w:tab/>
        <w:t>The CCIV may provide additional information about:</w:t>
      </w:r>
    </w:p>
    <w:p w:rsidR="00953984" w:rsidRPr="006E709F" w:rsidRDefault="00953984" w:rsidP="00953984">
      <w:pPr>
        <w:pStyle w:val="paragraph"/>
      </w:pPr>
      <w:r w:rsidRPr="006E709F">
        <w:tab/>
        <w:t>(a)</w:t>
      </w:r>
      <w:r w:rsidRPr="006E709F">
        <w:tab/>
        <w:t>any feature or benefit of the simple sub</w:t>
      </w:r>
      <w:r w:rsidR="000C4237">
        <w:noBreakHyphen/>
      </w:r>
      <w:r w:rsidRPr="006E709F">
        <w:t>fund product; or</w:t>
      </w:r>
    </w:p>
    <w:p w:rsidR="00953984" w:rsidRPr="006E709F" w:rsidRDefault="00953984" w:rsidP="00953984">
      <w:pPr>
        <w:pStyle w:val="paragraph"/>
      </w:pPr>
      <w:r w:rsidRPr="006E709F">
        <w:tab/>
        <w:t>(b)</w:t>
      </w:r>
      <w:r w:rsidRPr="006E709F">
        <w:tab/>
        <w:t>other features and benefits of the simple sub</w:t>
      </w:r>
      <w:r w:rsidR="000C4237">
        <w:noBreakHyphen/>
      </w:r>
      <w:r w:rsidRPr="006E709F">
        <w:t>fund product; or</w:t>
      </w:r>
    </w:p>
    <w:p w:rsidR="00953984" w:rsidRPr="006E709F" w:rsidRDefault="00953984" w:rsidP="00953984">
      <w:pPr>
        <w:pStyle w:val="paragraph"/>
      </w:pPr>
      <w:r w:rsidRPr="006E709F">
        <w:tab/>
        <w:t>(c)</w:t>
      </w:r>
      <w:r w:rsidRPr="006E709F">
        <w:tab/>
        <w:t>other features and benefits of simple sub</w:t>
      </w:r>
      <w:r w:rsidR="000C4237">
        <w:noBreakHyphen/>
      </w:r>
      <w:r w:rsidRPr="006E709F">
        <w:t>fund products;</w:t>
      </w:r>
    </w:p>
    <w:p w:rsidR="00953984" w:rsidRPr="006E709F" w:rsidRDefault="00953984" w:rsidP="00953984">
      <w:pPr>
        <w:pStyle w:val="subsection2"/>
      </w:pPr>
      <w:r w:rsidRPr="006E709F">
        <w:t>by applying, adopting or incorporating a matter in writing.</w:t>
      </w:r>
    </w:p>
    <w:p w:rsidR="00953984" w:rsidRPr="006E709F" w:rsidRDefault="00953984" w:rsidP="00953984">
      <w:pPr>
        <w:pStyle w:val="ActHead5"/>
      </w:pPr>
      <w:bookmarkStart w:id="175" w:name="_Toc170547992"/>
      <w:r w:rsidRPr="000C4237">
        <w:rPr>
          <w:rStyle w:val="CharSectno"/>
        </w:rPr>
        <w:lastRenderedPageBreak/>
        <w:t>6</w:t>
      </w:r>
      <w:r w:rsidRPr="006E709F">
        <w:t xml:space="preserve">  Contents of section 4 (Risks of simple sub</w:t>
      </w:r>
      <w:r w:rsidR="000C4237">
        <w:noBreakHyphen/>
      </w:r>
      <w:r w:rsidRPr="006E709F">
        <w:t>fund products)</w:t>
      </w:r>
      <w:bookmarkEnd w:id="175"/>
    </w:p>
    <w:p w:rsidR="00953984" w:rsidRPr="006E709F" w:rsidRDefault="00953984" w:rsidP="00953984">
      <w:pPr>
        <w:pStyle w:val="subsection"/>
      </w:pPr>
      <w:r w:rsidRPr="006E709F">
        <w:tab/>
        <w:t>(1)</w:t>
      </w:r>
      <w:r w:rsidRPr="006E709F">
        <w:tab/>
        <w:t>Section 4 of the Product Disclosure Statement for the simple sub</w:t>
      </w:r>
      <w:r w:rsidR="000C4237">
        <w:noBreakHyphen/>
      </w:r>
      <w:r w:rsidRPr="006E709F">
        <w:t>fund product must include statements to the following effect:</w:t>
      </w:r>
    </w:p>
    <w:p w:rsidR="00953984" w:rsidRPr="006E709F" w:rsidRDefault="00953984" w:rsidP="00953984">
      <w:pPr>
        <w:pStyle w:val="paragraph"/>
      </w:pPr>
      <w:r w:rsidRPr="006E709F">
        <w:tab/>
        <w:t>(a)</w:t>
      </w:r>
      <w:r w:rsidRPr="006E709F">
        <w:tab/>
        <w:t>all investments carry risk;</w:t>
      </w:r>
    </w:p>
    <w:p w:rsidR="00953984" w:rsidRPr="006E709F" w:rsidRDefault="00953984" w:rsidP="00953984">
      <w:pPr>
        <w:pStyle w:val="paragraph"/>
      </w:pPr>
      <w:r w:rsidRPr="006E709F">
        <w:tab/>
        <w:t>(b)</w:t>
      </w:r>
      <w:r w:rsidRPr="006E709F">
        <w:tab/>
        <w:t>different strategies may carry different levels of risk, depending on the assets that make up the strategy;</w:t>
      </w:r>
    </w:p>
    <w:p w:rsidR="00953984" w:rsidRPr="006E709F" w:rsidRDefault="00953984" w:rsidP="00953984">
      <w:pPr>
        <w:pStyle w:val="paragraph"/>
      </w:pPr>
      <w:r w:rsidRPr="006E709F">
        <w:tab/>
        <w:t>(c)</w:t>
      </w:r>
      <w:r w:rsidRPr="006E709F">
        <w:tab/>
        <w:t>assets with the highest long</w:t>
      </w:r>
      <w:r w:rsidR="000C4237">
        <w:noBreakHyphen/>
      </w:r>
      <w:r w:rsidRPr="006E709F">
        <w:t>term returns may also carry the highest level of short</w:t>
      </w:r>
      <w:r w:rsidR="000C4237">
        <w:noBreakHyphen/>
      </w:r>
      <w:r w:rsidRPr="006E709F">
        <w:t>term risk.</w:t>
      </w:r>
    </w:p>
    <w:p w:rsidR="00953984" w:rsidRPr="006E709F" w:rsidRDefault="00953984" w:rsidP="00953984">
      <w:pPr>
        <w:pStyle w:val="subsection"/>
      </w:pPr>
      <w:r w:rsidRPr="006E709F">
        <w:tab/>
        <w:t>(2)</w:t>
      </w:r>
      <w:r w:rsidRPr="006E709F">
        <w:tab/>
        <w:t>Section 4 must describe, in the form of a summary, the significant risks of the particular simple sub</w:t>
      </w:r>
      <w:r w:rsidR="000C4237">
        <w:noBreakHyphen/>
      </w:r>
      <w:r w:rsidRPr="006E709F">
        <w:t>fund product.</w:t>
      </w:r>
    </w:p>
    <w:p w:rsidR="00953984" w:rsidRPr="006E709F" w:rsidRDefault="00953984" w:rsidP="00953984">
      <w:pPr>
        <w:pStyle w:val="subsection"/>
      </w:pPr>
      <w:r w:rsidRPr="006E709F">
        <w:tab/>
        <w:t>(3)</w:t>
      </w:r>
      <w:r w:rsidRPr="006E709F">
        <w:tab/>
        <w:t>Section 4 must describe the significant risks of simple sub</w:t>
      </w:r>
      <w:r w:rsidR="000C4237">
        <w:noBreakHyphen/>
      </w:r>
      <w:r w:rsidRPr="006E709F">
        <w:t>fund products (to the extent only that the description required by subclause (2) has not already described the risk) by including statements to the following effect:</w:t>
      </w:r>
    </w:p>
    <w:p w:rsidR="00953984" w:rsidRPr="006E709F" w:rsidRDefault="00953984" w:rsidP="00953984">
      <w:pPr>
        <w:pStyle w:val="paragraph"/>
      </w:pPr>
      <w:r w:rsidRPr="006E709F">
        <w:tab/>
        <w:t>(a)</w:t>
      </w:r>
      <w:r w:rsidRPr="006E709F">
        <w:tab/>
        <w:t>the value of investments will vary;</w:t>
      </w:r>
    </w:p>
    <w:p w:rsidR="00953984" w:rsidRPr="006E709F" w:rsidRDefault="00953984" w:rsidP="00953984">
      <w:pPr>
        <w:pStyle w:val="paragraph"/>
      </w:pPr>
      <w:r w:rsidRPr="006E709F">
        <w:tab/>
        <w:t>(b)</w:t>
      </w:r>
      <w:r w:rsidRPr="006E709F">
        <w:tab/>
        <w:t>the level of returns will vary, and future returns may differ from past returns;</w:t>
      </w:r>
    </w:p>
    <w:p w:rsidR="00953984" w:rsidRPr="006E709F" w:rsidRDefault="00953984" w:rsidP="00953984">
      <w:pPr>
        <w:pStyle w:val="paragraph"/>
      </w:pPr>
      <w:r w:rsidRPr="006E709F">
        <w:tab/>
        <w:t>(c)</w:t>
      </w:r>
      <w:r w:rsidRPr="006E709F">
        <w:tab/>
        <w:t>returns are not guaranteed, and members may lose some of their money;</w:t>
      </w:r>
    </w:p>
    <w:p w:rsidR="00953984" w:rsidRPr="006E709F" w:rsidRDefault="00953984" w:rsidP="00953984">
      <w:pPr>
        <w:pStyle w:val="paragraph"/>
      </w:pPr>
      <w:r w:rsidRPr="006E709F">
        <w:tab/>
        <w:t>(d)</w:t>
      </w:r>
      <w:r w:rsidRPr="006E709F">
        <w:tab/>
        <w:t>laws affecting CCIVs may change in the future;</w:t>
      </w:r>
    </w:p>
    <w:p w:rsidR="00953984" w:rsidRPr="006E709F" w:rsidRDefault="00953984" w:rsidP="00953984">
      <w:pPr>
        <w:pStyle w:val="paragraph"/>
      </w:pPr>
      <w:r w:rsidRPr="006E709F">
        <w:tab/>
        <w:t>(e)</w:t>
      </w:r>
      <w:r w:rsidRPr="006E709F">
        <w:tab/>
        <w:t>the level of risk for each person will vary depending on a range of factors, including:</w:t>
      </w:r>
    </w:p>
    <w:p w:rsidR="00953984" w:rsidRPr="006E709F" w:rsidRDefault="00953984" w:rsidP="00953984">
      <w:pPr>
        <w:pStyle w:val="paragraphsub"/>
      </w:pPr>
      <w:r w:rsidRPr="006E709F">
        <w:tab/>
        <w:t>(i)</w:t>
      </w:r>
      <w:r w:rsidRPr="006E709F">
        <w:tab/>
        <w:t>age; and</w:t>
      </w:r>
    </w:p>
    <w:p w:rsidR="00953984" w:rsidRPr="006E709F" w:rsidRDefault="00953984" w:rsidP="00953984">
      <w:pPr>
        <w:pStyle w:val="paragraphsub"/>
      </w:pPr>
      <w:r w:rsidRPr="006E709F">
        <w:tab/>
        <w:t>(ii)</w:t>
      </w:r>
      <w:r w:rsidRPr="006E709F">
        <w:tab/>
        <w:t>investment time frames; and</w:t>
      </w:r>
    </w:p>
    <w:p w:rsidR="00953984" w:rsidRPr="006E709F" w:rsidRDefault="00953984" w:rsidP="00953984">
      <w:pPr>
        <w:pStyle w:val="paragraphsub"/>
      </w:pPr>
      <w:r w:rsidRPr="006E709F">
        <w:tab/>
        <w:t>(iii)</w:t>
      </w:r>
      <w:r w:rsidRPr="006E709F">
        <w:tab/>
        <w:t>where other parts of the person’s wealth are invested; and</w:t>
      </w:r>
    </w:p>
    <w:p w:rsidR="00953984" w:rsidRPr="006E709F" w:rsidRDefault="00953984" w:rsidP="00953984">
      <w:pPr>
        <w:pStyle w:val="paragraphsub"/>
      </w:pPr>
      <w:r w:rsidRPr="006E709F">
        <w:tab/>
        <w:t>(iv)</w:t>
      </w:r>
      <w:r w:rsidRPr="006E709F">
        <w:tab/>
        <w:t>the person’s risk tolerance.</w:t>
      </w:r>
    </w:p>
    <w:p w:rsidR="00953984" w:rsidRPr="006E709F" w:rsidRDefault="00953984" w:rsidP="00953984">
      <w:pPr>
        <w:pStyle w:val="subsection"/>
      </w:pPr>
      <w:r w:rsidRPr="006E709F">
        <w:tab/>
        <w:t>(4)</w:t>
      </w:r>
      <w:r w:rsidRPr="006E709F">
        <w:tab/>
        <w:t>The CCIV may provide additional information about significant risks of simple sub</w:t>
      </w:r>
      <w:r w:rsidR="000C4237">
        <w:noBreakHyphen/>
      </w:r>
      <w:r w:rsidRPr="006E709F">
        <w:t>fund products by applying, adopting or incorporating a matter in writing.</w:t>
      </w:r>
    </w:p>
    <w:p w:rsidR="00953984" w:rsidRPr="006E709F" w:rsidRDefault="00953984" w:rsidP="00953984">
      <w:pPr>
        <w:pStyle w:val="ActHead5"/>
      </w:pPr>
      <w:bookmarkStart w:id="176" w:name="_Toc170547993"/>
      <w:r w:rsidRPr="000C4237">
        <w:rPr>
          <w:rStyle w:val="CharSectno"/>
        </w:rPr>
        <w:t>7</w:t>
      </w:r>
      <w:r w:rsidRPr="006E709F">
        <w:t xml:space="preserve">  Contents of section 5 (How we invest your money)</w:t>
      </w:r>
      <w:bookmarkEnd w:id="176"/>
    </w:p>
    <w:p w:rsidR="00953984" w:rsidRPr="006E709F" w:rsidRDefault="00953984" w:rsidP="00953984">
      <w:pPr>
        <w:pStyle w:val="subsection"/>
      </w:pPr>
      <w:r w:rsidRPr="006E709F">
        <w:tab/>
        <w:t>(1)</w:t>
      </w:r>
      <w:r w:rsidRPr="006E709F">
        <w:tab/>
        <w:t>Section 5 of the Product Disclosure Statement for the simple sub</w:t>
      </w:r>
      <w:r w:rsidR="000C4237">
        <w:noBreakHyphen/>
      </w:r>
      <w:r w:rsidRPr="006E709F">
        <w:t>fund product must describe, in the form of a summary, the investment options offered by the CCIV.</w:t>
      </w:r>
    </w:p>
    <w:p w:rsidR="00953984" w:rsidRPr="006E709F" w:rsidRDefault="00953984" w:rsidP="00953984">
      <w:pPr>
        <w:pStyle w:val="subsection"/>
      </w:pPr>
      <w:r w:rsidRPr="006E709F">
        <w:tab/>
        <w:t>(2)</w:t>
      </w:r>
      <w:r w:rsidRPr="006E709F">
        <w:tab/>
        <w:t>Section 5 must state, in the form of a warning, that the person should consider:</w:t>
      </w:r>
    </w:p>
    <w:p w:rsidR="00953984" w:rsidRPr="006E709F" w:rsidRDefault="00953984" w:rsidP="00953984">
      <w:pPr>
        <w:pStyle w:val="paragraph"/>
      </w:pPr>
      <w:r w:rsidRPr="006E709F">
        <w:tab/>
        <w:t>(a)</w:t>
      </w:r>
      <w:r w:rsidRPr="006E709F">
        <w:tab/>
        <w:t>the likely investment return; and</w:t>
      </w:r>
    </w:p>
    <w:p w:rsidR="00953984" w:rsidRPr="006E709F" w:rsidRDefault="00953984" w:rsidP="00953984">
      <w:pPr>
        <w:pStyle w:val="paragraph"/>
      </w:pPr>
      <w:r w:rsidRPr="006E709F">
        <w:tab/>
        <w:t>(b)</w:t>
      </w:r>
      <w:r w:rsidRPr="006E709F">
        <w:tab/>
        <w:t>the risk; and</w:t>
      </w:r>
    </w:p>
    <w:p w:rsidR="00953984" w:rsidRPr="006E709F" w:rsidRDefault="00953984" w:rsidP="00953984">
      <w:pPr>
        <w:pStyle w:val="paragraph"/>
      </w:pPr>
      <w:r w:rsidRPr="006E709F">
        <w:tab/>
        <w:t>(c)</w:t>
      </w:r>
      <w:r w:rsidRPr="006E709F">
        <w:tab/>
        <w:t>the person’s investment time frame;</w:t>
      </w:r>
    </w:p>
    <w:p w:rsidR="00953984" w:rsidRPr="006E709F" w:rsidRDefault="00953984" w:rsidP="00953984">
      <w:pPr>
        <w:pStyle w:val="subsection2"/>
      </w:pPr>
      <w:r w:rsidRPr="006E709F">
        <w:t>when choosing an option in which to invest.</w:t>
      </w:r>
    </w:p>
    <w:p w:rsidR="00953984" w:rsidRPr="006E709F" w:rsidRDefault="00953984" w:rsidP="00953984">
      <w:pPr>
        <w:pStyle w:val="SubsectionHead"/>
      </w:pPr>
      <w:r w:rsidRPr="006E709F">
        <w:t>New simple sub</w:t>
      </w:r>
      <w:r w:rsidR="000C4237">
        <w:noBreakHyphen/>
      </w:r>
      <w:r w:rsidRPr="006E709F">
        <w:t>fund product</w:t>
      </w:r>
    </w:p>
    <w:p w:rsidR="00953984" w:rsidRPr="006E709F" w:rsidRDefault="00953984" w:rsidP="00953984">
      <w:pPr>
        <w:pStyle w:val="subsection"/>
      </w:pPr>
      <w:r w:rsidRPr="006E709F">
        <w:tab/>
        <w:t>(3)</w:t>
      </w:r>
      <w:r w:rsidRPr="006E709F">
        <w:tab/>
        <w:t>If the simple sub</w:t>
      </w:r>
      <w:r w:rsidR="000C4237">
        <w:noBreakHyphen/>
      </w:r>
      <w:r w:rsidRPr="006E709F">
        <w:t xml:space="preserve">fund product has never previously been offered to investors, and the CCIV does not offer any investment option mentioned in subclauses (4) and (5), section 5 must give the following information for the investment option </w:t>
      </w:r>
      <w:r w:rsidRPr="006E709F">
        <w:lastRenderedPageBreak/>
        <w:t>for the CCIV that the corporate director reasonably believes has the least volatile underlying assets (whether or not section 5 gives that information for any other investment option):</w:t>
      </w:r>
    </w:p>
    <w:p w:rsidR="00953984" w:rsidRPr="006E709F" w:rsidRDefault="00953984" w:rsidP="00953984">
      <w:pPr>
        <w:pStyle w:val="paragraph"/>
      </w:pPr>
      <w:r w:rsidRPr="006E709F">
        <w:tab/>
        <w:t>(a)</w:t>
      </w:r>
      <w:r w:rsidRPr="006E709F">
        <w:tab/>
        <w:t>the name of the option and a short description of it, including the type of investors for whom it is intended to be suitable;</w:t>
      </w:r>
    </w:p>
    <w:p w:rsidR="00953984" w:rsidRPr="006E709F" w:rsidRDefault="00953984" w:rsidP="00953984">
      <w:pPr>
        <w:pStyle w:val="paragraph"/>
      </w:pPr>
      <w:r w:rsidRPr="006E709F">
        <w:tab/>
        <w:t>(b)</w:t>
      </w:r>
      <w:r w:rsidRPr="006E709F">
        <w:tab/>
        <w:t>a list of the asset classes in which the option invests, setting out the strategic asset allocation of the asset classes in the form of a range or otherwise;</w:t>
      </w:r>
    </w:p>
    <w:p w:rsidR="00953984" w:rsidRPr="006E709F" w:rsidRDefault="00953984" w:rsidP="00953984">
      <w:pPr>
        <w:pStyle w:val="paragraph"/>
      </w:pPr>
      <w:r w:rsidRPr="006E709F">
        <w:tab/>
        <w:t>(c)</w:t>
      </w:r>
      <w:r w:rsidRPr="006E709F">
        <w:tab/>
        <w:t>a description of the investment return objective of the option;</w:t>
      </w:r>
    </w:p>
    <w:p w:rsidR="00953984" w:rsidRPr="006E709F" w:rsidRDefault="00953984" w:rsidP="00953984">
      <w:pPr>
        <w:pStyle w:val="paragraph"/>
      </w:pPr>
      <w:r w:rsidRPr="006E709F">
        <w:tab/>
        <w:t>(d)</w:t>
      </w:r>
      <w:r w:rsidRPr="006E709F">
        <w:tab/>
        <w:t>the minimum suggested time frame for holding the investment;</w:t>
      </w:r>
    </w:p>
    <w:p w:rsidR="00953984" w:rsidRPr="006E709F" w:rsidRDefault="00953984" w:rsidP="00953984">
      <w:pPr>
        <w:pStyle w:val="paragraph"/>
      </w:pPr>
      <w:r w:rsidRPr="006E709F">
        <w:tab/>
        <w:t>(e)</w:t>
      </w:r>
      <w:r w:rsidRPr="006E709F">
        <w:tab/>
        <w:t>a description, in the form of a summary, of the risk level of the option.</w:t>
      </w:r>
    </w:p>
    <w:p w:rsidR="00953984" w:rsidRPr="006E709F" w:rsidRDefault="00953984" w:rsidP="00953984">
      <w:pPr>
        <w:pStyle w:val="SubsectionHead"/>
      </w:pPr>
      <w:r w:rsidRPr="006E709F">
        <w:t>Balanced investment option</w:t>
      </w:r>
    </w:p>
    <w:p w:rsidR="00953984" w:rsidRPr="006E709F" w:rsidRDefault="00953984" w:rsidP="00953984">
      <w:pPr>
        <w:pStyle w:val="subsection"/>
      </w:pPr>
      <w:r w:rsidRPr="006E709F">
        <w:tab/>
        <w:t>(4)</w:t>
      </w:r>
      <w:r w:rsidRPr="006E709F">
        <w:tab/>
        <w:t>If the CCIV has a balanced investment option (within the meaning given by clause 101 of Schedule 10), section 5 must give the following information for the balanced investment option (whether or not section 5 gives that information for any other investment option):</w:t>
      </w:r>
    </w:p>
    <w:p w:rsidR="00953984" w:rsidRPr="006E709F" w:rsidRDefault="00953984" w:rsidP="00953984">
      <w:pPr>
        <w:pStyle w:val="paragraph"/>
      </w:pPr>
      <w:r w:rsidRPr="006E709F">
        <w:tab/>
        <w:t>(a)</w:t>
      </w:r>
      <w:r w:rsidRPr="006E709F">
        <w:tab/>
        <w:t>the name of the option and a short description of it, including the type of investors for whom it is intended to be suitable;</w:t>
      </w:r>
    </w:p>
    <w:p w:rsidR="00953984" w:rsidRPr="006E709F" w:rsidRDefault="00953984" w:rsidP="00953984">
      <w:pPr>
        <w:pStyle w:val="paragraph"/>
      </w:pPr>
      <w:r w:rsidRPr="006E709F">
        <w:tab/>
        <w:t>(b)</w:t>
      </w:r>
      <w:r w:rsidRPr="006E709F">
        <w:tab/>
        <w:t>a list of the asset classes in which the option invests, setting out the strategic asset allocation of the asset classes in the form of a range or otherwise;</w:t>
      </w:r>
    </w:p>
    <w:p w:rsidR="00953984" w:rsidRPr="006E709F" w:rsidRDefault="00953984" w:rsidP="00953984">
      <w:pPr>
        <w:pStyle w:val="paragraph"/>
      </w:pPr>
      <w:r w:rsidRPr="006E709F">
        <w:tab/>
        <w:t>(c)</w:t>
      </w:r>
      <w:r w:rsidRPr="006E709F">
        <w:tab/>
        <w:t>a description of the investment return objective of the option;</w:t>
      </w:r>
    </w:p>
    <w:p w:rsidR="00953984" w:rsidRPr="006E709F" w:rsidRDefault="00953984" w:rsidP="00953984">
      <w:pPr>
        <w:pStyle w:val="paragraph"/>
      </w:pPr>
      <w:r w:rsidRPr="006E709F">
        <w:tab/>
        <w:t>(d)</w:t>
      </w:r>
      <w:r w:rsidRPr="006E709F">
        <w:tab/>
        <w:t>the minimum suggested time frame for holding the investment;</w:t>
      </w:r>
    </w:p>
    <w:p w:rsidR="00953984" w:rsidRPr="006E709F" w:rsidRDefault="00953984" w:rsidP="00953984">
      <w:pPr>
        <w:pStyle w:val="paragraph"/>
      </w:pPr>
      <w:r w:rsidRPr="006E709F">
        <w:tab/>
        <w:t>(e)</w:t>
      </w:r>
      <w:r w:rsidRPr="006E709F">
        <w:tab/>
        <w:t>a description, in the form of a summary, of the risk level of the option.</w:t>
      </w:r>
    </w:p>
    <w:p w:rsidR="00953984" w:rsidRPr="006E709F" w:rsidRDefault="00953984" w:rsidP="00953984">
      <w:pPr>
        <w:pStyle w:val="SubsectionHead"/>
      </w:pPr>
      <w:r w:rsidRPr="006E709F">
        <w:t>No balanced investment option</w:t>
      </w:r>
    </w:p>
    <w:p w:rsidR="00953984" w:rsidRPr="006E709F" w:rsidRDefault="00953984" w:rsidP="00953984">
      <w:pPr>
        <w:pStyle w:val="subsection"/>
      </w:pPr>
      <w:r w:rsidRPr="006E709F">
        <w:tab/>
        <w:t>(5)</w:t>
      </w:r>
      <w:r w:rsidRPr="006E709F">
        <w:tab/>
        <w:t>If the CCIV does not have a balanced investment option (within the meaning given by clause 101 of Schedule 10), section 5 must give the following information for the investment option under which the CCIV has the most funds invested</w:t>
      </w:r>
      <w:r w:rsidRPr="006E709F">
        <w:rPr>
          <w:i/>
        </w:rPr>
        <w:t xml:space="preserve"> </w:t>
      </w:r>
      <w:r w:rsidRPr="006E709F">
        <w:t>(whether or not section 5 gives that information for any other investment option):</w:t>
      </w:r>
    </w:p>
    <w:p w:rsidR="00953984" w:rsidRPr="006E709F" w:rsidRDefault="00953984" w:rsidP="00953984">
      <w:pPr>
        <w:pStyle w:val="paragraph"/>
      </w:pPr>
      <w:r w:rsidRPr="006E709F">
        <w:tab/>
        <w:t>(a)</w:t>
      </w:r>
      <w:r w:rsidRPr="006E709F">
        <w:tab/>
        <w:t>the name of the option and a short description of it, including the type of investors for whom it is intended to be suitable;</w:t>
      </w:r>
    </w:p>
    <w:p w:rsidR="00953984" w:rsidRPr="006E709F" w:rsidRDefault="00953984" w:rsidP="00953984">
      <w:pPr>
        <w:pStyle w:val="paragraph"/>
      </w:pPr>
      <w:r w:rsidRPr="006E709F">
        <w:tab/>
        <w:t>(b)</w:t>
      </w:r>
      <w:r w:rsidRPr="006E709F">
        <w:tab/>
        <w:t>a list of the asset classes in which the option invests, setting out the strategic asset allocation of the asset classes in the form of a range or otherwise;</w:t>
      </w:r>
    </w:p>
    <w:p w:rsidR="00953984" w:rsidRPr="006E709F" w:rsidRDefault="00953984" w:rsidP="00953984">
      <w:pPr>
        <w:pStyle w:val="paragraph"/>
      </w:pPr>
      <w:r w:rsidRPr="006E709F">
        <w:tab/>
        <w:t>(c)</w:t>
      </w:r>
      <w:r w:rsidRPr="006E709F">
        <w:tab/>
        <w:t>a description of the investment return objective of the option;</w:t>
      </w:r>
    </w:p>
    <w:p w:rsidR="00953984" w:rsidRPr="006E709F" w:rsidRDefault="00953984" w:rsidP="00953984">
      <w:pPr>
        <w:pStyle w:val="paragraph"/>
      </w:pPr>
      <w:r w:rsidRPr="006E709F">
        <w:tab/>
        <w:t>(d)</w:t>
      </w:r>
      <w:r w:rsidRPr="006E709F">
        <w:tab/>
        <w:t>the minimum suggested time frame for holding the investment;</w:t>
      </w:r>
    </w:p>
    <w:p w:rsidR="00953984" w:rsidRPr="006E709F" w:rsidRDefault="00953984" w:rsidP="00953984">
      <w:pPr>
        <w:pStyle w:val="paragraph"/>
      </w:pPr>
      <w:r w:rsidRPr="006E709F">
        <w:tab/>
        <w:t>(e)</w:t>
      </w:r>
      <w:r w:rsidRPr="006E709F">
        <w:tab/>
        <w:t>a description, in the form of a summary, of the risk level of the option.</w:t>
      </w:r>
    </w:p>
    <w:p w:rsidR="00953984" w:rsidRPr="006E709F" w:rsidRDefault="00953984" w:rsidP="00953984">
      <w:pPr>
        <w:pStyle w:val="SubsectionHead"/>
      </w:pPr>
      <w:r w:rsidRPr="006E709F">
        <w:t>Additional information</w:t>
      </w:r>
    </w:p>
    <w:p w:rsidR="00953984" w:rsidRPr="006E709F" w:rsidRDefault="00953984" w:rsidP="00953984">
      <w:pPr>
        <w:pStyle w:val="subsection"/>
      </w:pPr>
      <w:r w:rsidRPr="006E709F">
        <w:tab/>
        <w:t>(6)</w:t>
      </w:r>
      <w:r w:rsidRPr="006E709F">
        <w:tab/>
        <w:t>Section 5:</w:t>
      </w:r>
    </w:p>
    <w:p w:rsidR="00953984" w:rsidRPr="006E709F" w:rsidRDefault="00953984" w:rsidP="00953984">
      <w:pPr>
        <w:pStyle w:val="paragraph"/>
      </w:pPr>
      <w:r w:rsidRPr="006E709F">
        <w:lastRenderedPageBreak/>
        <w:tab/>
        <w:t>(a)</w:t>
      </w:r>
      <w:r w:rsidRPr="006E709F">
        <w:tab/>
        <w:t>must make provision for each investment option that is not presented in section 5 in accordance with subclause (3), (4) or (5); and</w:t>
      </w:r>
    </w:p>
    <w:p w:rsidR="00953984" w:rsidRPr="006E709F" w:rsidRDefault="00953984" w:rsidP="00953984">
      <w:pPr>
        <w:pStyle w:val="paragraph"/>
      </w:pPr>
      <w:r w:rsidRPr="006E709F">
        <w:tab/>
        <w:t>(b)</w:t>
      </w:r>
      <w:r w:rsidRPr="006E709F">
        <w:tab/>
        <w:t>may make provision for the option by applying, adopting or incorporating a matter in a document that:</w:t>
      </w:r>
    </w:p>
    <w:p w:rsidR="00953984" w:rsidRPr="006E709F" w:rsidRDefault="00953984" w:rsidP="00953984">
      <w:pPr>
        <w:pStyle w:val="paragraphsub"/>
      </w:pPr>
      <w:r w:rsidRPr="006E709F">
        <w:tab/>
        <w:t>(i)</w:t>
      </w:r>
      <w:r w:rsidRPr="006E709F">
        <w:tab/>
        <w:t>includes the information mentioned in subclause (3), (4) or (5); and</w:t>
      </w:r>
    </w:p>
    <w:p w:rsidR="00953984" w:rsidRPr="006E709F" w:rsidRDefault="00953984" w:rsidP="00953984">
      <w:pPr>
        <w:pStyle w:val="paragraphsub"/>
      </w:pPr>
      <w:r w:rsidRPr="006E709F">
        <w:tab/>
        <w:t>(ii)</w:t>
      </w:r>
      <w:r w:rsidRPr="006E709F">
        <w:tab/>
        <w:t>presents it in the way mentioned in the subclause.</w:t>
      </w:r>
    </w:p>
    <w:p w:rsidR="00953984" w:rsidRPr="006E709F" w:rsidRDefault="00953984" w:rsidP="00953984">
      <w:pPr>
        <w:pStyle w:val="subsection"/>
      </w:pPr>
      <w:r w:rsidRPr="006E709F">
        <w:tab/>
        <w:t>(7)</w:t>
      </w:r>
      <w:r w:rsidRPr="006E709F">
        <w:tab/>
        <w:t>The CCIV:</w:t>
      </w:r>
    </w:p>
    <w:p w:rsidR="00953984" w:rsidRPr="006E709F" w:rsidRDefault="00953984" w:rsidP="00953984">
      <w:pPr>
        <w:pStyle w:val="paragraph"/>
      </w:pPr>
      <w:r w:rsidRPr="006E709F">
        <w:tab/>
        <w:t>(a)</w:t>
      </w:r>
      <w:r w:rsidRPr="006E709F">
        <w:tab/>
        <w:t>must provide information about how a member of the sub</w:t>
      </w:r>
      <w:r w:rsidR="000C4237">
        <w:noBreakHyphen/>
      </w:r>
      <w:r w:rsidRPr="006E709F">
        <w:t>fund of the CCIV may switch the member’s investments; and</w:t>
      </w:r>
    </w:p>
    <w:p w:rsidR="00953984" w:rsidRPr="006E709F" w:rsidRDefault="00953984" w:rsidP="00953984">
      <w:pPr>
        <w:pStyle w:val="paragraph"/>
      </w:pPr>
      <w:r w:rsidRPr="006E709F">
        <w:tab/>
        <w:t>(b)</w:t>
      </w:r>
      <w:r w:rsidRPr="006E709F">
        <w:tab/>
        <w:t>must provide information about:</w:t>
      </w:r>
    </w:p>
    <w:p w:rsidR="00953984" w:rsidRPr="006E709F" w:rsidRDefault="00953984" w:rsidP="00953984">
      <w:pPr>
        <w:pStyle w:val="paragraphsub"/>
      </w:pPr>
      <w:r w:rsidRPr="006E709F">
        <w:tab/>
        <w:t>(i)</w:t>
      </w:r>
      <w:r w:rsidRPr="006E709F">
        <w:tab/>
        <w:t>whether the CCIV’s investment options may be changed; and</w:t>
      </w:r>
    </w:p>
    <w:p w:rsidR="00953984" w:rsidRPr="006E709F" w:rsidRDefault="00953984" w:rsidP="00953984">
      <w:pPr>
        <w:pStyle w:val="paragraphsub"/>
      </w:pPr>
      <w:r w:rsidRPr="006E709F">
        <w:tab/>
        <w:t>(ii)</w:t>
      </w:r>
      <w:r w:rsidRPr="006E709F">
        <w:tab/>
        <w:t>if so, how the options may be changed; and</w:t>
      </w:r>
    </w:p>
    <w:p w:rsidR="00953984" w:rsidRPr="006E709F" w:rsidRDefault="00953984" w:rsidP="00953984">
      <w:pPr>
        <w:pStyle w:val="paragraph"/>
      </w:pPr>
      <w:r w:rsidRPr="006E709F">
        <w:tab/>
        <w:t>(c)</w:t>
      </w:r>
      <w:r w:rsidRPr="006E709F">
        <w:tab/>
        <w:t>must describe, in the form of a summary, the extent to which labour standards or environmental, social or ethical considerations are taken into account in the selection, retention or realisation of investments relating to the CCIV; and</w:t>
      </w:r>
    </w:p>
    <w:p w:rsidR="00953984" w:rsidRPr="006E709F" w:rsidRDefault="00953984" w:rsidP="00953984">
      <w:pPr>
        <w:pStyle w:val="paragraph"/>
      </w:pPr>
      <w:r w:rsidRPr="006E709F">
        <w:tab/>
        <w:t>(d)</w:t>
      </w:r>
      <w:r w:rsidRPr="006E709F">
        <w:tab/>
        <w:t>may provide the information in paragraphs (a) to (c), and any additional information about investment options, by applying, adopting or incorporating a matter in writing.</w:t>
      </w:r>
    </w:p>
    <w:p w:rsidR="00953984" w:rsidRPr="006E709F" w:rsidRDefault="00953984" w:rsidP="00953984">
      <w:pPr>
        <w:pStyle w:val="ActHead5"/>
      </w:pPr>
      <w:bookmarkStart w:id="177" w:name="_Toc170547994"/>
      <w:r w:rsidRPr="000C4237">
        <w:rPr>
          <w:rStyle w:val="CharSectno"/>
        </w:rPr>
        <w:t>8</w:t>
      </w:r>
      <w:r w:rsidRPr="006E709F">
        <w:t xml:space="preserve">  Contents of section 6 (Fees and costs)</w:t>
      </w:r>
      <w:bookmarkEnd w:id="177"/>
    </w:p>
    <w:p w:rsidR="00953984" w:rsidRPr="006E709F" w:rsidRDefault="00953984" w:rsidP="00953984">
      <w:pPr>
        <w:pStyle w:val="subsection"/>
      </w:pPr>
      <w:r w:rsidRPr="006E709F">
        <w:tab/>
        <w:t>(1)</w:t>
      </w:r>
      <w:r w:rsidRPr="006E709F">
        <w:tab/>
        <w:t>For each investment option of the CCIV that is presented in section 5 in detail in accordance with subclause 7(3), section 6 of the Product Disclosure Statement must state:</w:t>
      </w:r>
    </w:p>
    <w:p w:rsidR="00953984" w:rsidRPr="006E709F" w:rsidRDefault="00953984" w:rsidP="00953984">
      <w:pPr>
        <w:pStyle w:val="paragraph"/>
      </w:pPr>
      <w:r w:rsidRPr="006E709F">
        <w:tab/>
        <w:t>(a)</w:t>
      </w:r>
      <w:r w:rsidRPr="006E709F">
        <w:tab/>
        <w:t>the cost of acquiring the option; and</w:t>
      </w:r>
    </w:p>
    <w:p w:rsidR="00953984" w:rsidRPr="006E709F" w:rsidRDefault="00953984" w:rsidP="00953984">
      <w:pPr>
        <w:pStyle w:val="paragraph"/>
      </w:pPr>
      <w:r w:rsidRPr="006E709F">
        <w:tab/>
        <w:t>(b)</w:t>
      </w:r>
      <w:r w:rsidRPr="006E709F">
        <w:tab/>
        <w:t>the fees and costs that are charged in relation to the option.</w:t>
      </w:r>
    </w:p>
    <w:p w:rsidR="00953984" w:rsidRPr="006E709F" w:rsidRDefault="00953984" w:rsidP="00953984">
      <w:pPr>
        <w:pStyle w:val="notetext"/>
      </w:pPr>
      <w:r w:rsidRPr="006E709F">
        <w:t>Note:</w:t>
      </w:r>
      <w:r w:rsidRPr="006E709F">
        <w:tab/>
        <w:t>The statement will be made using the template set out in subclause (3).</w:t>
      </w:r>
    </w:p>
    <w:p w:rsidR="00953984" w:rsidRPr="006E709F" w:rsidRDefault="00953984" w:rsidP="00953984">
      <w:pPr>
        <w:pStyle w:val="subsection"/>
      </w:pPr>
      <w:r w:rsidRPr="006E709F">
        <w:tab/>
        <w:t>(2)</w:t>
      </w:r>
      <w:r w:rsidRPr="006E709F">
        <w:tab/>
        <w:t>Before setting out any other substantive material, section 6 must:</w:t>
      </w:r>
    </w:p>
    <w:p w:rsidR="00953984" w:rsidRPr="006E709F" w:rsidRDefault="00953984" w:rsidP="00953984">
      <w:pPr>
        <w:pStyle w:val="paragraph"/>
      </w:pPr>
      <w:r w:rsidRPr="006E709F">
        <w:tab/>
        <w:t>(a)</w:t>
      </w:r>
      <w:r w:rsidRPr="006E709F">
        <w:tab/>
        <w:t>set out the Consumer Advisory Warning in clause 221 of Schedule 10</w:t>
      </w:r>
      <w:r w:rsidRPr="006E709F">
        <w:rPr>
          <w:szCs w:val="22"/>
        </w:rPr>
        <w:t>; and</w:t>
      </w:r>
    </w:p>
    <w:p w:rsidR="00953984" w:rsidRPr="006E709F" w:rsidRDefault="00953984" w:rsidP="00953984">
      <w:pPr>
        <w:pStyle w:val="paragraph"/>
      </w:pPr>
      <w:r w:rsidRPr="006E709F">
        <w:tab/>
        <w:t>(b)</w:t>
      </w:r>
      <w:r w:rsidRPr="006E709F">
        <w:tab/>
        <w:t>give a concise example in the form set out in the Consumer Advisory Warning in clause 221 of Schedule 10.</w:t>
      </w:r>
    </w:p>
    <w:p w:rsidR="00953984" w:rsidRPr="006E709F" w:rsidRDefault="00953984" w:rsidP="00953984">
      <w:pPr>
        <w:pStyle w:val="subsection"/>
      </w:pPr>
      <w:r w:rsidRPr="006E709F">
        <w:tab/>
        <w:t>(3)</w:t>
      </w:r>
      <w:r w:rsidRPr="006E709F">
        <w:tab/>
        <w:t>Section 6 must set out the fees and costs for each investment option that is presented in section 5 in detail in accordance with subclause 7(3), using the following template:</w:t>
      </w:r>
    </w:p>
    <w:p w:rsidR="00953984" w:rsidRPr="006E709F" w:rsidRDefault="00953984" w:rsidP="00953984">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1"/>
        <w:gridCol w:w="2204"/>
        <w:gridCol w:w="14"/>
      </w:tblGrid>
      <w:tr w:rsidR="00953984" w:rsidRPr="006E709F" w:rsidTr="00BC2B6B">
        <w:trPr>
          <w:gridAfter w:val="1"/>
          <w:wAfter w:w="8" w:type="pct"/>
          <w:cantSplit/>
          <w:tblHeader/>
        </w:trPr>
        <w:tc>
          <w:tcPr>
            <w:tcW w:w="3700" w:type="pct"/>
            <w:tcBorders>
              <w:top w:val="single" w:sz="4" w:space="0" w:color="auto"/>
              <w:left w:val="single" w:sz="4" w:space="0" w:color="auto"/>
              <w:bottom w:val="single" w:sz="4" w:space="0" w:color="auto"/>
              <w:right w:val="single" w:sz="4" w:space="0" w:color="auto"/>
            </w:tcBorders>
            <w:shd w:val="clear" w:color="auto" w:fill="C0C0C0"/>
            <w:hideMark/>
          </w:tcPr>
          <w:p w:rsidR="00953984" w:rsidRPr="006E709F" w:rsidRDefault="00953984" w:rsidP="00BC2B6B">
            <w:pPr>
              <w:keepLines/>
              <w:rPr>
                <w:szCs w:val="18"/>
              </w:rPr>
            </w:pPr>
            <w:r w:rsidRPr="006E709F">
              <w:rPr>
                <w:szCs w:val="18"/>
              </w:rPr>
              <w:t>TYPE OF FEE OR COST</w:t>
            </w:r>
          </w:p>
        </w:tc>
        <w:tc>
          <w:tcPr>
            <w:tcW w:w="1292" w:type="pct"/>
            <w:tcBorders>
              <w:top w:val="single" w:sz="4" w:space="0" w:color="auto"/>
              <w:left w:val="single" w:sz="4" w:space="0" w:color="auto"/>
              <w:bottom w:val="single" w:sz="4" w:space="0" w:color="auto"/>
              <w:right w:val="single" w:sz="4" w:space="0" w:color="auto"/>
            </w:tcBorders>
            <w:shd w:val="clear" w:color="auto" w:fill="C0C0C0"/>
            <w:hideMark/>
          </w:tcPr>
          <w:p w:rsidR="00953984" w:rsidRPr="006E709F" w:rsidRDefault="00953984" w:rsidP="00BC2B6B">
            <w:pPr>
              <w:keepLines/>
              <w:rPr>
                <w:szCs w:val="18"/>
              </w:rPr>
            </w:pPr>
            <w:r w:rsidRPr="006E709F">
              <w:rPr>
                <w:szCs w:val="18"/>
              </w:rPr>
              <w:t>AMOUNT</w:t>
            </w:r>
          </w:p>
        </w:tc>
      </w:tr>
      <w:tr w:rsidR="00953984" w:rsidRPr="006E709F" w:rsidTr="00BC2B6B">
        <w:trPr>
          <w:gridAfter w:val="1"/>
          <w:wAfter w:w="8" w:type="pct"/>
        </w:trPr>
        <w:tc>
          <w:tcPr>
            <w:tcW w:w="370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53984" w:rsidRPr="006E709F" w:rsidRDefault="00953984" w:rsidP="00BC2B6B">
            <w:pPr>
              <w:keepLines/>
              <w:rPr>
                <w:i/>
                <w:sz w:val="16"/>
                <w:szCs w:val="18"/>
              </w:rPr>
            </w:pPr>
            <w:r w:rsidRPr="006E709F">
              <w:rPr>
                <w:szCs w:val="18"/>
              </w:rPr>
              <w:t>Fees when your money moves in or out of investment options of the CCIV</w:t>
            </w:r>
          </w:p>
        </w:tc>
        <w:tc>
          <w:tcPr>
            <w:tcW w:w="1292" w:type="pct"/>
            <w:tcBorders>
              <w:top w:val="single" w:sz="4" w:space="0" w:color="auto"/>
              <w:left w:val="single" w:sz="4" w:space="0" w:color="auto"/>
              <w:bottom w:val="single" w:sz="4" w:space="0" w:color="auto"/>
              <w:right w:val="single" w:sz="4" w:space="0" w:color="auto"/>
            </w:tcBorders>
            <w:shd w:val="clear" w:color="auto" w:fill="C0C0C0"/>
          </w:tcPr>
          <w:p w:rsidR="00953984" w:rsidRPr="006E709F" w:rsidRDefault="00953984" w:rsidP="00BC2B6B">
            <w:pPr>
              <w:keepLines/>
              <w:rPr>
                <w:b/>
                <w:szCs w:val="18"/>
              </w:rPr>
            </w:pPr>
          </w:p>
        </w:tc>
      </w:tr>
      <w:tr w:rsidR="00953984" w:rsidRPr="006E709F" w:rsidTr="00BC2B6B">
        <w:trPr>
          <w:gridAfter w:val="1"/>
          <w:wAfter w:w="8" w:type="pct"/>
        </w:trPr>
        <w:tc>
          <w:tcPr>
            <w:tcW w:w="3700" w:type="pct"/>
            <w:tcBorders>
              <w:top w:val="single" w:sz="4" w:space="0" w:color="auto"/>
              <w:left w:val="single" w:sz="4" w:space="0" w:color="auto"/>
              <w:bottom w:val="single" w:sz="4" w:space="0" w:color="auto"/>
              <w:right w:val="single" w:sz="4" w:space="0" w:color="auto"/>
            </w:tcBorders>
            <w:hideMark/>
          </w:tcPr>
          <w:p w:rsidR="00953984" w:rsidRPr="006E709F" w:rsidRDefault="00953984" w:rsidP="00BC2B6B">
            <w:pPr>
              <w:pStyle w:val="Tabletext"/>
              <w:spacing w:after="120"/>
              <w:rPr>
                <w:i/>
              </w:rPr>
            </w:pPr>
            <w:r w:rsidRPr="006E709F">
              <w:rPr>
                <w:i/>
              </w:rPr>
              <w:t>Establishment fee</w:t>
            </w:r>
          </w:p>
        </w:tc>
        <w:tc>
          <w:tcPr>
            <w:tcW w:w="1292" w:type="pct"/>
            <w:tcBorders>
              <w:top w:val="single" w:sz="4" w:space="0" w:color="auto"/>
              <w:left w:val="single" w:sz="4" w:space="0" w:color="auto"/>
              <w:bottom w:val="single" w:sz="4" w:space="0" w:color="auto"/>
              <w:right w:val="single" w:sz="4" w:space="0" w:color="auto"/>
            </w:tcBorders>
          </w:tcPr>
          <w:p w:rsidR="00953984" w:rsidRPr="006E709F" w:rsidRDefault="00953984" w:rsidP="00BC2B6B">
            <w:pPr>
              <w:pStyle w:val="Tabletext"/>
              <w:spacing w:after="120"/>
            </w:pPr>
          </w:p>
        </w:tc>
      </w:tr>
      <w:tr w:rsidR="00953984" w:rsidRPr="006E709F" w:rsidTr="00BC2B6B">
        <w:trPr>
          <w:gridAfter w:val="1"/>
          <w:wAfter w:w="8" w:type="pct"/>
        </w:trPr>
        <w:tc>
          <w:tcPr>
            <w:tcW w:w="3700" w:type="pct"/>
            <w:tcBorders>
              <w:top w:val="single" w:sz="4" w:space="0" w:color="auto"/>
              <w:left w:val="single" w:sz="4" w:space="0" w:color="auto"/>
              <w:bottom w:val="single" w:sz="4" w:space="0" w:color="auto"/>
              <w:right w:val="single" w:sz="4" w:space="0" w:color="auto"/>
            </w:tcBorders>
            <w:vAlign w:val="center"/>
            <w:hideMark/>
          </w:tcPr>
          <w:p w:rsidR="00953984" w:rsidRPr="006E709F" w:rsidRDefault="00953984" w:rsidP="00BC2B6B">
            <w:pPr>
              <w:pStyle w:val="Tabletext"/>
              <w:spacing w:after="120"/>
              <w:rPr>
                <w:i/>
              </w:rPr>
            </w:pPr>
            <w:r w:rsidRPr="006E709F">
              <w:rPr>
                <w:i/>
              </w:rPr>
              <w:t>Contribution fee</w:t>
            </w:r>
          </w:p>
        </w:tc>
        <w:tc>
          <w:tcPr>
            <w:tcW w:w="1292" w:type="pct"/>
            <w:tcBorders>
              <w:top w:val="single" w:sz="4" w:space="0" w:color="auto"/>
              <w:left w:val="single" w:sz="4" w:space="0" w:color="auto"/>
              <w:bottom w:val="single" w:sz="4" w:space="0" w:color="auto"/>
              <w:right w:val="single" w:sz="4" w:space="0" w:color="auto"/>
            </w:tcBorders>
          </w:tcPr>
          <w:p w:rsidR="00953984" w:rsidRPr="006E709F" w:rsidRDefault="00953984" w:rsidP="00BC2B6B">
            <w:pPr>
              <w:pStyle w:val="Tabletext"/>
              <w:spacing w:after="120"/>
            </w:pPr>
          </w:p>
        </w:tc>
      </w:tr>
      <w:tr w:rsidR="00953984" w:rsidRPr="006E709F" w:rsidTr="00BC2B6B">
        <w:trPr>
          <w:gridAfter w:val="1"/>
          <w:wAfter w:w="8" w:type="pct"/>
        </w:trPr>
        <w:tc>
          <w:tcPr>
            <w:tcW w:w="3700" w:type="pct"/>
            <w:tcBorders>
              <w:top w:val="single" w:sz="4" w:space="0" w:color="auto"/>
              <w:left w:val="single" w:sz="4" w:space="0" w:color="auto"/>
              <w:bottom w:val="single" w:sz="4" w:space="0" w:color="auto"/>
              <w:right w:val="single" w:sz="4" w:space="0" w:color="auto"/>
            </w:tcBorders>
            <w:vAlign w:val="center"/>
            <w:hideMark/>
          </w:tcPr>
          <w:p w:rsidR="00953984" w:rsidRPr="006E709F" w:rsidRDefault="00953984" w:rsidP="00BC2B6B">
            <w:pPr>
              <w:pStyle w:val="Tabletext"/>
              <w:spacing w:after="120"/>
              <w:rPr>
                <w:i/>
              </w:rPr>
            </w:pPr>
            <w:r w:rsidRPr="006E709F">
              <w:rPr>
                <w:i/>
              </w:rPr>
              <w:t>Withdrawal fee</w:t>
            </w:r>
          </w:p>
        </w:tc>
        <w:tc>
          <w:tcPr>
            <w:tcW w:w="1292" w:type="pct"/>
            <w:tcBorders>
              <w:top w:val="single" w:sz="4" w:space="0" w:color="auto"/>
              <w:left w:val="single" w:sz="4" w:space="0" w:color="auto"/>
              <w:bottom w:val="single" w:sz="4" w:space="0" w:color="auto"/>
              <w:right w:val="single" w:sz="4" w:space="0" w:color="auto"/>
            </w:tcBorders>
          </w:tcPr>
          <w:p w:rsidR="00953984" w:rsidRPr="006E709F" w:rsidRDefault="00953984" w:rsidP="00BC2B6B">
            <w:pPr>
              <w:pStyle w:val="Tabletext"/>
              <w:spacing w:after="120"/>
            </w:pPr>
          </w:p>
        </w:tc>
      </w:tr>
      <w:tr w:rsidR="00953984" w:rsidRPr="006E709F" w:rsidTr="00BC2B6B">
        <w:trPr>
          <w:gridAfter w:val="1"/>
          <w:wAfter w:w="8" w:type="pct"/>
        </w:trPr>
        <w:tc>
          <w:tcPr>
            <w:tcW w:w="3700" w:type="pct"/>
            <w:tcBorders>
              <w:top w:val="single" w:sz="4" w:space="0" w:color="auto"/>
              <w:left w:val="single" w:sz="4" w:space="0" w:color="auto"/>
              <w:bottom w:val="single" w:sz="4" w:space="0" w:color="auto"/>
              <w:right w:val="single" w:sz="4" w:space="0" w:color="auto"/>
            </w:tcBorders>
            <w:vAlign w:val="center"/>
            <w:hideMark/>
          </w:tcPr>
          <w:p w:rsidR="00953984" w:rsidRPr="006E709F" w:rsidRDefault="00953984" w:rsidP="00BC2B6B">
            <w:pPr>
              <w:pStyle w:val="Tabletext"/>
              <w:spacing w:after="120"/>
              <w:rPr>
                <w:i/>
              </w:rPr>
            </w:pPr>
            <w:r w:rsidRPr="006E709F">
              <w:rPr>
                <w:i/>
              </w:rPr>
              <w:lastRenderedPageBreak/>
              <w:t>Termination fee</w:t>
            </w:r>
          </w:p>
        </w:tc>
        <w:tc>
          <w:tcPr>
            <w:tcW w:w="1292" w:type="pct"/>
            <w:tcBorders>
              <w:top w:val="single" w:sz="4" w:space="0" w:color="auto"/>
              <w:left w:val="single" w:sz="4" w:space="0" w:color="auto"/>
              <w:bottom w:val="single" w:sz="4" w:space="0" w:color="auto"/>
              <w:right w:val="single" w:sz="4" w:space="0" w:color="auto"/>
            </w:tcBorders>
          </w:tcPr>
          <w:p w:rsidR="00953984" w:rsidRPr="006E709F" w:rsidRDefault="00953984" w:rsidP="00BC2B6B">
            <w:pPr>
              <w:pStyle w:val="Tabletext"/>
              <w:spacing w:after="120"/>
            </w:pPr>
          </w:p>
        </w:tc>
      </w:tr>
      <w:tr w:rsidR="00953984" w:rsidRPr="006E709F" w:rsidTr="00BC2B6B">
        <w:trPr>
          <w:gridAfter w:val="1"/>
          <w:wAfter w:w="8" w:type="pct"/>
        </w:trPr>
        <w:tc>
          <w:tcPr>
            <w:tcW w:w="370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53984" w:rsidRPr="006E709F" w:rsidRDefault="00953984" w:rsidP="00BC2B6B">
            <w:pPr>
              <w:keepLines/>
              <w:rPr>
                <w:szCs w:val="18"/>
              </w:rPr>
            </w:pPr>
            <w:r w:rsidRPr="006E709F">
              <w:rPr>
                <w:szCs w:val="18"/>
              </w:rPr>
              <w:t>Management costs</w:t>
            </w:r>
          </w:p>
        </w:tc>
        <w:tc>
          <w:tcPr>
            <w:tcW w:w="1292" w:type="pct"/>
            <w:tcBorders>
              <w:top w:val="single" w:sz="4" w:space="0" w:color="auto"/>
              <w:left w:val="single" w:sz="4" w:space="0" w:color="auto"/>
              <w:bottom w:val="single" w:sz="4" w:space="0" w:color="auto"/>
              <w:right w:val="single" w:sz="4" w:space="0" w:color="auto"/>
            </w:tcBorders>
            <w:shd w:val="clear" w:color="auto" w:fill="C0C0C0"/>
          </w:tcPr>
          <w:p w:rsidR="00953984" w:rsidRPr="006E709F" w:rsidRDefault="00953984" w:rsidP="00BC2B6B">
            <w:pPr>
              <w:keepLines/>
              <w:rPr>
                <w:szCs w:val="18"/>
              </w:rPr>
            </w:pPr>
          </w:p>
        </w:tc>
      </w:tr>
      <w:tr w:rsidR="00953984" w:rsidRPr="006E709F" w:rsidTr="00BC2B6B">
        <w:tc>
          <w:tcPr>
            <w:tcW w:w="3700" w:type="pct"/>
          </w:tcPr>
          <w:p w:rsidR="00953984" w:rsidRPr="006E709F" w:rsidRDefault="00953984" w:rsidP="00BC2B6B">
            <w:pPr>
              <w:pStyle w:val="Tabletext"/>
            </w:pPr>
            <w:r w:rsidRPr="006E709F">
              <w:rPr>
                <w:szCs w:val="18"/>
              </w:rPr>
              <w:t>The fees and costs for managing your investment</w:t>
            </w:r>
          </w:p>
        </w:tc>
        <w:tc>
          <w:tcPr>
            <w:tcW w:w="1300" w:type="pct"/>
            <w:gridSpan w:val="2"/>
          </w:tcPr>
          <w:p w:rsidR="00953984" w:rsidRPr="006E709F" w:rsidRDefault="00953984" w:rsidP="00BC2B6B">
            <w:pPr>
              <w:pStyle w:val="Tabletext"/>
            </w:pPr>
          </w:p>
        </w:tc>
      </w:tr>
    </w:tbl>
    <w:p w:rsidR="00953984" w:rsidRPr="006E709F" w:rsidRDefault="00953984" w:rsidP="00953984">
      <w:pPr>
        <w:pStyle w:val="notetext"/>
        <w:spacing w:before="0"/>
        <w:ind w:left="1134" w:firstLine="0"/>
      </w:pPr>
      <w:r w:rsidRPr="006E709F">
        <w:rPr>
          <w:i/>
        </w:rPr>
        <w:t>[If there are other service fees, such as advisor service fees or special request fees, include a cross</w:t>
      </w:r>
      <w:r w:rsidR="000C4237">
        <w:rPr>
          <w:i/>
        </w:rPr>
        <w:noBreakHyphen/>
      </w:r>
      <w:r w:rsidRPr="006E709F">
        <w:rPr>
          <w:i/>
        </w:rPr>
        <w:t>reference to the document that contains the information mentioned in paragraph (10)(a).]</w:t>
      </w:r>
      <w:r w:rsidRPr="006E709F">
        <w:t>.</w:t>
      </w:r>
    </w:p>
    <w:p w:rsidR="00953984" w:rsidRPr="006E709F" w:rsidRDefault="00953984" w:rsidP="00953984">
      <w:pPr>
        <w:pStyle w:val="subsection"/>
      </w:pPr>
      <w:r w:rsidRPr="006E709F">
        <w:tab/>
        <w:t>(4)</w:t>
      </w:r>
      <w:r w:rsidRPr="006E709F">
        <w:tab/>
        <w:t>The template is to be completed in accordance with Division 3 of Part 2 of Schedule 10 (including definitions applicable to that Division), except that:</w:t>
      </w:r>
    </w:p>
    <w:p w:rsidR="00953984" w:rsidRPr="006E709F" w:rsidRDefault="00953984" w:rsidP="00953984">
      <w:pPr>
        <w:pStyle w:val="paragraph"/>
      </w:pPr>
      <w:r w:rsidRPr="006E709F">
        <w:tab/>
        <w:t>(a)</w:t>
      </w:r>
      <w:r w:rsidRPr="006E709F">
        <w:tab/>
        <w:t>clauses 203, 205, 206 and 207 and subclause 208(2) do not apply; and</w:t>
      </w:r>
    </w:p>
    <w:p w:rsidR="00953984" w:rsidRPr="006E709F" w:rsidRDefault="00953984" w:rsidP="00953984">
      <w:pPr>
        <w:pStyle w:val="paragraph"/>
      </w:pPr>
      <w:r w:rsidRPr="006E709F">
        <w:tab/>
        <w:t>(b)</w:t>
      </w:r>
      <w:r w:rsidRPr="006E709F">
        <w:tab/>
        <w:t>the reference in clause 204 to clauses 205 and 206 does not apply; and</w:t>
      </w:r>
    </w:p>
    <w:p w:rsidR="00953984" w:rsidRPr="006E709F" w:rsidRDefault="00953984" w:rsidP="00953984">
      <w:pPr>
        <w:pStyle w:val="paragraph"/>
      </w:pPr>
      <w:r w:rsidRPr="006E709F">
        <w:tab/>
        <w:t>(c)</w:t>
      </w:r>
      <w:r w:rsidRPr="006E709F">
        <w:tab/>
        <w:t>the example in subclause 208(1) is to be treated as stating:</w:t>
      </w:r>
    </w:p>
    <w:p w:rsidR="00953984" w:rsidRPr="006E709F" w:rsidRDefault="00953984" w:rsidP="00953984">
      <w:pPr>
        <w:pStyle w:val="paragraph"/>
      </w:pPr>
      <w:r w:rsidRPr="006E709F">
        <w:tab/>
      </w:r>
      <w:r w:rsidRPr="006E709F">
        <w:tab/>
        <w:t>“(for example, by using an asterisk with a footnote stating ‘The amount of this fee can be negotiated.’)”.</w:t>
      </w:r>
    </w:p>
    <w:p w:rsidR="00953984" w:rsidRPr="006E709F" w:rsidRDefault="00953984" w:rsidP="00953984">
      <w:pPr>
        <w:pStyle w:val="subsection"/>
      </w:pPr>
      <w:r w:rsidRPr="006E709F">
        <w:tab/>
        <w:t>(5)</w:t>
      </w:r>
      <w:r w:rsidRPr="006E709F">
        <w:tab/>
        <w:t>Section 6 must set out the information about fee changes set out in paragraph 209(k) of Schedule 10.</w:t>
      </w:r>
    </w:p>
    <w:p w:rsidR="00953984" w:rsidRPr="006E709F" w:rsidRDefault="00953984" w:rsidP="00953984">
      <w:pPr>
        <w:pStyle w:val="subsection"/>
      </w:pPr>
      <w:r w:rsidRPr="006E709F">
        <w:tab/>
        <w:t>(6)</w:t>
      </w:r>
      <w:r w:rsidRPr="006E709F">
        <w:tab/>
        <w:t>Section 6 must:</w:t>
      </w:r>
    </w:p>
    <w:p w:rsidR="00953984" w:rsidRPr="006E709F" w:rsidRDefault="00953984" w:rsidP="00953984">
      <w:pPr>
        <w:pStyle w:val="paragraph"/>
      </w:pPr>
      <w:r w:rsidRPr="006E709F">
        <w:tab/>
        <w:t>(a)</w:t>
      </w:r>
      <w:r w:rsidRPr="006E709F">
        <w:tab/>
        <w:t>state that the information in the template can be used to compare costs between different simple sub</w:t>
      </w:r>
      <w:r w:rsidR="000C4237">
        <w:noBreakHyphen/>
      </w:r>
      <w:r w:rsidRPr="006E709F">
        <w:t>fund products; and</w:t>
      </w:r>
    </w:p>
    <w:p w:rsidR="00953984" w:rsidRPr="006E709F" w:rsidRDefault="00953984" w:rsidP="00953984">
      <w:pPr>
        <w:pStyle w:val="paragraph"/>
      </w:pPr>
      <w:r w:rsidRPr="006E709F">
        <w:tab/>
        <w:t>(b)</w:t>
      </w:r>
      <w:r w:rsidRPr="006E709F">
        <w:tab/>
        <w:t>state concisely, and in general terms, that fees and costs can be paid directly from the person’s account or deducted from investment returns.</w:t>
      </w:r>
    </w:p>
    <w:p w:rsidR="00953984" w:rsidRPr="006E709F" w:rsidRDefault="00953984" w:rsidP="00953984">
      <w:pPr>
        <w:pStyle w:val="subsection"/>
      </w:pPr>
      <w:r w:rsidRPr="006E709F">
        <w:tab/>
        <w:t>(7)</w:t>
      </w:r>
      <w:r w:rsidRPr="006E709F">
        <w:tab/>
        <w:t>Section 6 must give a worked example as follows:</w:t>
      </w:r>
    </w:p>
    <w:p w:rsidR="00953984" w:rsidRPr="006E709F" w:rsidRDefault="00953984" w:rsidP="00953984">
      <w:pPr>
        <w:pStyle w:val="paragraph"/>
      </w:pPr>
      <w:r w:rsidRPr="006E709F">
        <w:tab/>
        <w:t>(a)</w:t>
      </w:r>
      <w:r w:rsidRPr="006E709F">
        <w:tab/>
        <w:t>if the CCIV does not have a balanced investment option (within the meaning given by clause 101 of Schedule 10), section 6 must give a worked example for the default investment option;</w:t>
      </w:r>
    </w:p>
    <w:p w:rsidR="00953984" w:rsidRPr="006E709F" w:rsidRDefault="00953984" w:rsidP="00953984">
      <w:pPr>
        <w:pStyle w:val="paragraph"/>
      </w:pPr>
      <w:r w:rsidRPr="006E709F">
        <w:tab/>
        <w:t>(b)</w:t>
      </w:r>
      <w:r w:rsidRPr="006E709F">
        <w:tab/>
        <w:t>if the CCIV does not have a default option, and does not have a balanced investment option, section 6 must give a worked example for the investment option under which the CCIV has the most funds invested;</w:t>
      </w:r>
    </w:p>
    <w:p w:rsidR="00953984" w:rsidRPr="006E709F" w:rsidRDefault="00953984" w:rsidP="00953984">
      <w:pPr>
        <w:pStyle w:val="subsection2"/>
      </w:pPr>
      <w:r w:rsidRPr="006E709F">
        <w:t>in accordance with Divisions 5 and 6 of Part 2 of Schedule 10 (including definitions applicable to those Divisions), except that clauses 211 and 220 do not apply.</w:t>
      </w:r>
    </w:p>
    <w:p w:rsidR="00953984" w:rsidRPr="006E709F" w:rsidRDefault="00953984" w:rsidP="00953984">
      <w:pPr>
        <w:pStyle w:val="subsection"/>
      </w:pPr>
      <w:r w:rsidRPr="006E709F">
        <w:tab/>
        <w:t>(8)</w:t>
      </w:r>
      <w:r w:rsidRPr="006E709F">
        <w:tab/>
        <w:t>Section 6:</w:t>
      </w:r>
    </w:p>
    <w:p w:rsidR="00953984" w:rsidRPr="006E709F" w:rsidRDefault="00953984" w:rsidP="00953984">
      <w:pPr>
        <w:pStyle w:val="paragraph"/>
      </w:pPr>
      <w:r w:rsidRPr="006E709F">
        <w:tab/>
        <w:t>(a)</w:t>
      </w:r>
      <w:r w:rsidRPr="006E709F">
        <w:tab/>
        <w:t>must refer to the calculator (if any) provided by ASIC on a website operated by or on behalf of ASIC; and</w:t>
      </w:r>
    </w:p>
    <w:p w:rsidR="00953984" w:rsidRPr="006E709F" w:rsidRDefault="00953984" w:rsidP="00953984">
      <w:pPr>
        <w:pStyle w:val="paragraph"/>
      </w:pPr>
      <w:r w:rsidRPr="006E709F">
        <w:tab/>
        <w:t>(b)</w:t>
      </w:r>
      <w:r w:rsidRPr="006E709F">
        <w:tab/>
        <w:t>may also refer to the calculator (if any) provided by the CCIV on its website; and</w:t>
      </w:r>
    </w:p>
    <w:p w:rsidR="00953984" w:rsidRPr="006E709F" w:rsidRDefault="00953984" w:rsidP="00953984">
      <w:pPr>
        <w:pStyle w:val="paragraph"/>
      </w:pPr>
      <w:r w:rsidRPr="006E709F">
        <w:tab/>
        <w:t>(c)</w:t>
      </w:r>
      <w:r w:rsidRPr="006E709F">
        <w:tab/>
        <w:t>must state that each calculator referred to can be used to calculate the effect of fees and costs on account balances.</w:t>
      </w:r>
    </w:p>
    <w:p w:rsidR="00953984" w:rsidRPr="006E709F" w:rsidRDefault="00953984" w:rsidP="00953984">
      <w:pPr>
        <w:pStyle w:val="subsection"/>
      </w:pPr>
      <w:r w:rsidRPr="006E709F">
        <w:tab/>
        <w:t>(9)</w:t>
      </w:r>
      <w:r w:rsidRPr="006E709F">
        <w:tab/>
        <w:t>If additional fees may be payable to a financial advisor, section 6 must:</w:t>
      </w:r>
    </w:p>
    <w:p w:rsidR="00953984" w:rsidRPr="006E709F" w:rsidRDefault="00953984" w:rsidP="00953984">
      <w:pPr>
        <w:pStyle w:val="paragraph"/>
      </w:pPr>
      <w:r w:rsidRPr="006E709F">
        <w:tab/>
        <w:t>(a)</w:t>
      </w:r>
      <w:r w:rsidRPr="006E709F">
        <w:tab/>
        <w:t>state, in the form of a warning, that additional fees may be paid to a financial advisor if a financial advisor is consulted; and</w:t>
      </w:r>
    </w:p>
    <w:p w:rsidR="00953984" w:rsidRPr="006E709F" w:rsidRDefault="00953984" w:rsidP="00953984">
      <w:pPr>
        <w:pStyle w:val="paragraph"/>
      </w:pPr>
      <w:r w:rsidRPr="006E709F">
        <w:tab/>
        <w:t>(b)</w:t>
      </w:r>
      <w:r w:rsidRPr="006E709F">
        <w:tab/>
        <w:t>refer to the Statement of Advice in which details of the fees are set out.</w:t>
      </w:r>
    </w:p>
    <w:p w:rsidR="00953984" w:rsidRPr="006E709F" w:rsidRDefault="00953984" w:rsidP="00953984">
      <w:pPr>
        <w:pStyle w:val="subsection"/>
      </w:pPr>
      <w:r w:rsidRPr="006E709F">
        <w:lastRenderedPageBreak/>
        <w:tab/>
        <w:t>(10)</w:t>
      </w:r>
      <w:r w:rsidRPr="006E709F">
        <w:tab/>
        <w:t>The CCIV:</w:t>
      </w:r>
    </w:p>
    <w:p w:rsidR="00953984" w:rsidRPr="006E709F" w:rsidRDefault="00953984" w:rsidP="00953984">
      <w:pPr>
        <w:pStyle w:val="paragraph"/>
      </w:pPr>
      <w:r w:rsidRPr="006E709F">
        <w:tab/>
        <w:t>(a)</w:t>
      </w:r>
      <w:r w:rsidRPr="006E709F">
        <w:tab/>
        <w:t>must provide the fees and costs of each of the investment options in accordance with Schedule 10, and may do so by applying, adopting or incorporating a matter in writing; and</w:t>
      </w:r>
    </w:p>
    <w:p w:rsidR="00953984" w:rsidRPr="006E709F" w:rsidRDefault="00953984" w:rsidP="00953984">
      <w:pPr>
        <w:pStyle w:val="paragraph"/>
      </w:pPr>
      <w:r w:rsidRPr="006E709F">
        <w:tab/>
        <w:t>(b)</w:t>
      </w:r>
      <w:r w:rsidRPr="006E709F">
        <w:tab/>
        <w:t>may provide more detailed information about fees and costs by applying, adopting or incorporating a matter in writing.</w:t>
      </w:r>
    </w:p>
    <w:p w:rsidR="00953984" w:rsidRPr="006E709F" w:rsidRDefault="00953984" w:rsidP="00953984">
      <w:pPr>
        <w:pStyle w:val="ActHead5"/>
      </w:pPr>
      <w:bookmarkStart w:id="178" w:name="_Toc170547995"/>
      <w:r w:rsidRPr="000C4237">
        <w:rPr>
          <w:rStyle w:val="CharSectno"/>
        </w:rPr>
        <w:t>9</w:t>
      </w:r>
      <w:r w:rsidRPr="006E709F">
        <w:t xml:space="preserve">  Contents of section 7 (How sub</w:t>
      </w:r>
      <w:r w:rsidR="000C4237">
        <w:noBreakHyphen/>
      </w:r>
      <w:r w:rsidRPr="006E709F">
        <w:t>funds of CCIVs are taxed)</w:t>
      </w:r>
      <w:bookmarkEnd w:id="178"/>
    </w:p>
    <w:p w:rsidR="00953984" w:rsidRPr="006E709F" w:rsidRDefault="00953984" w:rsidP="00953984">
      <w:pPr>
        <w:pStyle w:val="subsection"/>
      </w:pPr>
      <w:r w:rsidRPr="006E709F">
        <w:tab/>
        <w:t>(1)</w:t>
      </w:r>
      <w:r w:rsidRPr="006E709F">
        <w:tab/>
        <w:t>Section 7 of the Product Disclosure Statement for the simple sub</w:t>
      </w:r>
      <w:r w:rsidR="000C4237">
        <w:noBreakHyphen/>
      </w:r>
      <w:r w:rsidRPr="006E709F">
        <w:t>fund product must state, in the form of a warning, that:</w:t>
      </w:r>
    </w:p>
    <w:p w:rsidR="00953984" w:rsidRPr="006E709F" w:rsidRDefault="00953984" w:rsidP="00953984">
      <w:pPr>
        <w:pStyle w:val="paragraph"/>
      </w:pPr>
      <w:r w:rsidRPr="006E709F">
        <w:tab/>
        <w:t>(a)</w:t>
      </w:r>
      <w:r w:rsidRPr="006E709F">
        <w:tab/>
        <w:t>investing in a simple sub</w:t>
      </w:r>
      <w:r w:rsidR="000C4237">
        <w:noBreakHyphen/>
      </w:r>
      <w:r w:rsidRPr="006E709F">
        <w:t>fund product is likely to have tax consequences; and</w:t>
      </w:r>
    </w:p>
    <w:p w:rsidR="00953984" w:rsidRPr="006E709F" w:rsidRDefault="00953984" w:rsidP="00953984">
      <w:pPr>
        <w:pStyle w:val="paragraph"/>
      </w:pPr>
      <w:r w:rsidRPr="006E709F">
        <w:tab/>
        <w:t>(b)</w:t>
      </w:r>
      <w:r w:rsidRPr="006E709F">
        <w:tab/>
        <w:t>persons are strongly advised to seek professional tax advice.</w:t>
      </w:r>
    </w:p>
    <w:p w:rsidR="00953984" w:rsidRPr="006E709F" w:rsidRDefault="00953984" w:rsidP="00953984">
      <w:pPr>
        <w:pStyle w:val="subsection"/>
      </w:pPr>
      <w:r w:rsidRPr="006E709F">
        <w:tab/>
        <w:t>(2)</w:t>
      </w:r>
      <w:r w:rsidRPr="006E709F">
        <w:tab/>
        <w:t>Section 7 must also include statements to the following effect:</w:t>
      </w:r>
    </w:p>
    <w:p w:rsidR="00953984" w:rsidRPr="006E709F" w:rsidRDefault="00953984" w:rsidP="00953984">
      <w:pPr>
        <w:pStyle w:val="paragraph"/>
      </w:pPr>
      <w:r w:rsidRPr="006E709F">
        <w:tab/>
        <w:t>(a)</w:t>
      </w:r>
      <w:r w:rsidRPr="006E709F">
        <w:tab/>
        <w:t>CCIVs and sub</w:t>
      </w:r>
      <w:r w:rsidR="000C4237">
        <w:noBreakHyphen/>
      </w:r>
      <w:r w:rsidRPr="006E709F">
        <w:t>funds do not pay tax on behalf of members;</w:t>
      </w:r>
    </w:p>
    <w:p w:rsidR="00953984" w:rsidRPr="006E709F" w:rsidRDefault="00953984" w:rsidP="00953984">
      <w:pPr>
        <w:pStyle w:val="paragraph"/>
      </w:pPr>
      <w:r w:rsidRPr="006E709F">
        <w:tab/>
        <w:t>(b)</w:t>
      </w:r>
      <w:r w:rsidRPr="006E709F">
        <w:tab/>
        <w:t>members of the sub</w:t>
      </w:r>
      <w:r w:rsidR="000C4237">
        <w:noBreakHyphen/>
      </w:r>
      <w:r w:rsidRPr="006E709F">
        <w:t>fund are assessed for tax on any income and capital gains generated by the sub</w:t>
      </w:r>
      <w:r w:rsidR="000C4237">
        <w:noBreakHyphen/>
      </w:r>
      <w:r w:rsidRPr="006E709F">
        <w:t>fund.</w:t>
      </w:r>
    </w:p>
    <w:p w:rsidR="00953984" w:rsidRPr="006E709F" w:rsidRDefault="00953984" w:rsidP="00953984">
      <w:pPr>
        <w:pStyle w:val="subsection"/>
      </w:pPr>
      <w:r w:rsidRPr="006E709F">
        <w:tab/>
        <w:t>(3)</w:t>
      </w:r>
      <w:r w:rsidRPr="006E709F">
        <w:tab/>
        <w:t>The CCIV may provide additional information about:</w:t>
      </w:r>
    </w:p>
    <w:p w:rsidR="00953984" w:rsidRPr="006E709F" w:rsidRDefault="00953984" w:rsidP="00953984">
      <w:pPr>
        <w:pStyle w:val="paragraph"/>
      </w:pPr>
      <w:r w:rsidRPr="006E709F">
        <w:tab/>
        <w:t>(a)</w:t>
      </w:r>
      <w:r w:rsidRPr="006E709F">
        <w:tab/>
        <w:t>taxation matters relating to the sub</w:t>
      </w:r>
      <w:r w:rsidR="000C4237">
        <w:noBreakHyphen/>
      </w:r>
      <w:r w:rsidRPr="006E709F">
        <w:t>fund of the CCIV; or</w:t>
      </w:r>
    </w:p>
    <w:p w:rsidR="00953984" w:rsidRPr="006E709F" w:rsidRDefault="00953984" w:rsidP="00953984">
      <w:pPr>
        <w:pStyle w:val="paragraph"/>
      </w:pPr>
      <w:r w:rsidRPr="006E709F">
        <w:tab/>
        <w:t>(b)</w:t>
      </w:r>
      <w:r w:rsidRPr="006E709F">
        <w:tab/>
        <w:t>taxation matters relating to sub</w:t>
      </w:r>
      <w:r w:rsidR="000C4237">
        <w:noBreakHyphen/>
      </w:r>
      <w:r w:rsidRPr="006E709F">
        <w:t>funds of CCIVs;</w:t>
      </w:r>
    </w:p>
    <w:p w:rsidR="00953984" w:rsidRPr="006E709F" w:rsidRDefault="00953984" w:rsidP="00953984">
      <w:pPr>
        <w:pStyle w:val="subsection2"/>
      </w:pPr>
      <w:r w:rsidRPr="006E709F">
        <w:t>by applying, adopting or incorporating a matter in writing.</w:t>
      </w:r>
    </w:p>
    <w:p w:rsidR="00953984" w:rsidRPr="006E709F" w:rsidRDefault="00953984" w:rsidP="00953984">
      <w:pPr>
        <w:pStyle w:val="notetext"/>
      </w:pPr>
      <w:r w:rsidRPr="006E709F">
        <w:t>Note:</w:t>
      </w:r>
      <w:r w:rsidRPr="006E709F">
        <w:tab/>
        <w:t>For taxation matters relating to sub</w:t>
      </w:r>
      <w:r w:rsidR="000C4237">
        <w:noBreakHyphen/>
      </w:r>
      <w:r w:rsidRPr="006E709F">
        <w:t>funds of CCIVs, see Subdivision 195</w:t>
      </w:r>
      <w:r w:rsidR="000C4237">
        <w:noBreakHyphen/>
      </w:r>
      <w:r w:rsidRPr="006E709F">
        <w:t xml:space="preserve">C of the </w:t>
      </w:r>
      <w:r w:rsidRPr="006E709F">
        <w:rPr>
          <w:i/>
        </w:rPr>
        <w:t>Income Tax Assessment Act 1997</w:t>
      </w:r>
      <w:r w:rsidRPr="006E709F">
        <w:t>.</w:t>
      </w:r>
    </w:p>
    <w:p w:rsidR="00953984" w:rsidRPr="006E709F" w:rsidRDefault="00953984" w:rsidP="00953984">
      <w:pPr>
        <w:pStyle w:val="ActHead5"/>
      </w:pPr>
      <w:bookmarkStart w:id="179" w:name="_Toc170547996"/>
      <w:r w:rsidRPr="000C4237">
        <w:rPr>
          <w:rStyle w:val="CharSectno"/>
        </w:rPr>
        <w:t>10</w:t>
      </w:r>
      <w:r w:rsidRPr="006E709F">
        <w:t xml:space="preserve">  Contents of section 8 (How to apply)</w:t>
      </w:r>
      <w:bookmarkEnd w:id="179"/>
    </w:p>
    <w:p w:rsidR="00953984" w:rsidRPr="006E709F" w:rsidRDefault="00953984" w:rsidP="00953984">
      <w:pPr>
        <w:pStyle w:val="subsection"/>
      </w:pPr>
      <w:r w:rsidRPr="006E709F">
        <w:tab/>
        <w:t>(1)</w:t>
      </w:r>
      <w:r w:rsidRPr="006E709F">
        <w:tab/>
        <w:t>Section 8 of the Product Disclosure Statement for the simple sub</w:t>
      </w:r>
      <w:r w:rsidR="000C4237">
        <w:noBreakHyphen/>
      </w:r>
      <w:r w:rsidRPr="006E709F">
        <w:t>fund product must:</w:t>
      </w:r>
    </w:p>
    <w:p w:rsidR="00953984" w:rsidRPr="006E709F" w:rsidRDefault="00953984" w:rsidP="00953984">
      <w:pPr>
        <w:pStyle w:val="paragraph"/>
      </w:pPr>
      <w:r w:rsidRPr="006E709F">
        <w:tab/>
        <w:t>(a)</w:t>
      </w:r>
      <w:r w:rsidRPr="006E709F">
        <w:tab/>
        <w:t>describe, in the form of a summary, how to invest in the simple sub</w:t>
      </w:r>
      <w:r w:rsidR="000C4237">
        <w:noBreakHyphen/>
      </w:r>
      <w:r w:rsidRPr="006E709F">
        <w:t>fund product; and</w:t>
      </w:r>
    </w:p>
    <w:p w:rsidR="00953984" w:rsidRPr="006E709F" w:rsidRDefault="00953984" w:rsidP="00953984">
      <w:pPr>
        <w:pStyle w:val="paragraph"/>
      </w:pPr>
      <w:r w:rsidRPr="006E709F">
        <w:tab/>
        <w:t>(b)</w:t>
      </w:r>
      <w:r w:rsidRPr="006E709F">
        <w:tab/>
        <w:t>explain the cooling</w:t>
      </w:r>
      <w:r w:rsidR="000C4237">
        <w:noBreakHyphen/>
      </w:r>
      <w:r w:rsidRPr="006E709F">
        <w:t>off period that applies to the simple sub</w:t>
      </w:r>
      <w:r w:rsidR="000C4237">
        <w:noBreakHyphen/>
      </w:r>
      <w:r w:rsidRPr="006E709F">
        <w:t>fund product; and</w:t>
      </w:r>
    </w:p>
    <w:p w:rsidR="00953984" w:rsidRPr="006E709F" w:rsidRDefault="00953984" w:rsidP="00953984">
      <w:pPr>
        <w:pStyle w:val="paragraph"/>
      </w:pPr>
      <w:r w:rsidRPr="006E709F">
        <w:tab/>
        <w:t>(c)</w:t>
      </w:r>
      <w:r w:rsidRPr="006E709F">
        <w:tab/>
        <w:t>explain how to make a complaint (by means that include the provision of relevant contact details).</w:t>
      </w:r>
    </w:p>
    <w:p w:rsidR="00953984" w:rsidRPr="006E709F" w:rsidRDefault="00953984" w:rsidP="00953984">
      <w:pPr>
        <w:pStyle w:val="subsection"/>
      </w:pPr>
      <w:r w:rsidRPr="006E709F">
        <w:tab/>
        <w:t>(2)</w:t>
      </w:r>
      <w:r w:rsidRPr="006E709F">
        <w:tab/>
        <w:t>The CCIV:</w:t>
      </w:r>
    </w:p>
    <w:p w:rsidR="00953984" w:rsidRPr="006E709F" w:rsidRDefault="00953984" w:rsidP="00953984">
      <w:pPr>
        <w:pStyle w:val="paragraph"/>
      </w:pPr>
      <w:r w:rsidRPr="006E709F">
        <w:tab/>
        <w:t>(a)</w:t>
      </w:r>
      <w:r w:rsidRPr="006E709F">
        <w:tab/>
        <w:t>may provide more detailed information about cooling</w:t>
      </w:r>
      <w:r w:rsidR="000C4237">
        <w:noBreakHyphen/>
      </w:r>
      <w:r w:rsidRPr="006E709F">
        <w:t>off periods, complaints and dispute resolution; and</w:t>
      </w:r>
    </w:p>
    <w:p w:rsidR="00953984" w:rsidRPr="006E709F" w:rsidRDefault="00953984" w:rsidP="00953984">
      <w:pPr>
        <w:pStyle w:val="paragraph"/>
      </w:pPr>
      <w:r w:rsidRPr="006E709F">
        <w:tab/>
        <w:t>(b)</w:t>
      </w:r>
      <w:r w:rsidRPr="006E709F">
        <w:tab/>
        <w:t>may provide that information by applying, adopting or incorporating a matter in writing.</w:t>
      </w:r>
    </w:p>
    <w:p w:rsidR="00326DD7" w:rsidRPr="006E709F" w:rsidRDefault="00326DD7" w:rsidP="00583C00">
      <w:pPr>
        <w:sectPr w:rsidR="00326DD7" w:rsidRPr="006E709F" w:rsidSect="0054047A">
          <w:headerReference w:type="even" r:id="rId63"/>
          <w:headerReference w:type="default" r:id="rId64"/>
          <w:footerReference w:type="even" r:id="rId65"/>
          <w:footerReference w:type="default" r:id="rId66"/>
          <w:headerReference w:type="first" r:id="rId67"/>
          <w:footerReference w:type="first" r:id="rId68"/>
          <w:pgSz w:w="11907" w:h="16839" w:code="9"/>
          <w:pgMar w:top="2325" w:right="1797" w:bottom="1440" w:left="1797" w:header="720" w:footer="709" w:gutter="0"/>
          <w:cols w:space="720"/>
          <w:docGrid w:linePitch="299"/>
        </w:sectPr>
      </w:pPr>
    </w:p>
    <w:p w:rsidR="00A75A8D" w:rsidRPr="006E709F" w:rsidRDefault="00A75A8D" w:rsidP="009244F1">
      <w:pPr>
        <w:pStyle w:val="ActHead1"/>
        <w:pageBreakBefore/>
      </w:pPr>
      <w:bookmarkStart w:id="180" w:name="_Toc170547997"/>
      <w:r w:rsidRPr="000C4237">
        <w:rPr>
          <w:rStyle w:val="CharChapNo"/>
        </w:rPr>
        <w:lastRenderedPageBreak/>
        <w:t>Schedule</w:t>
      </w:r>
      <w:r w:rsidR="00DA13DE" w:rsidRPr="000C4237">
        <w:rPr>
          <w:rStyle w:val="CharChapNo"/>
        </w:rPr>
        <w:t> </w:t>
      </w:r>
      <w:r w:rsidRPr="000C4237">
        <w:rPr>
          <w:rStyle w:val="CharChapNo"/>
        </w:rPr>
        <w:t>11</w:t>
      </w:r>
      <w:r w:rsidRPr="006E709F">
        <w:t>—</w:t>
      </w:r>
      <w:r w:rsidRPr="000C4237">
        <w:rPr>
          <w:rStyle w:val="CharChapText"/>
        </w:rPr>
        <w:t>Persons who are not covered by section</w:t>
      </w:r>
      <w:r w:rsidR="00DA13DE" w:rsidRPr="000C4237">
        <w:rPr>
          <w:rStyle w:val="CharChapText"/>
        </w:rPr>
        <w:t> </w:t>
      </w:r>
      <w:r w:rsidRPr="000C4237">
        <w:rPr>
          <w:rStyle w:val="CharChapText"/>
        </w:rPr>
        <w:t>1433 of the Act</w:t>
      </w:r>
      <w:bookmarkEnd w:id="180"/>
    </w:p>
    <w:p w:rsidR="002A22A4" w:rsidRPr="006E709F" w:rsidRDefault="002A22A4" w:rsidP="00A801D0">
      <w:pPr>
        <w:pStyle w:val="notemargin"/>
      </w:pPr>
      <w:r w:rsidRPr="006E709F">
        <w:t>(regulation</w:t>
      </w:r>
      <w:r w:rsidR="00DA13DE" w:rsidRPr="006E709F">
        <w:t> </w:t>
      </w:r>
      <w:r w:rsidRPr="006E709F">
        <w:t>10.2.36)</w:t>
      </w:r>
    </w:p>
    <w:p w:rsidR="002A22A4" w:rsidRPr="006E709F" w:rsidRDefault="00A801D0" w:rsidP="002A22A4">
      <w:pPr>
        <w:pStyle w:val="Header"/>
      </w:pPr>
      <w:r w:rsidRPr="000C4237">
        <w:rPr>
          <w:rStyle w:val="CharPartNo"/>
        </w:rPr>
        <w:t xml:space="preserve"> </w:t>
      </w:r>
      <w:r w:rsidRPr="000C4237">
        <w:rPr>
          <w:rStyle w:val="CharPartText"/>
        </w:rPr>
        <w:t xml:space="preserve"> </w:t>
      </w:r>
    </w:p>
    <w:p w:rsidR="00A801D0" w:rsidRPr="006E709F" w:rsidRDefault="00A801D0" w:rsidP="00A801D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88"/>
        <w:gridCol w:w="4802"/>
        <w:gridCol w:w="2939"/>
      </w:tblGrid>
      <w:tr w:rsidR="002A22A4" w:rsidRPr="006E709F" w:rsidTr="00E118FA">
        <w:trPr>
          <w:tblHeader/>
        </w:trPr>
        <w:tc>
          <w:tcPr>
            <w:tcW w:w="462" w:type="pct"/>
            <w:tcBorders>
              <w:top w:val="single" w:sz="12" w:space="0" w:color="auto"/>
              <w:bottom w:val="single" w:sz="12" w:space="0" w:color="auto"/>
            </w:tcBorders>
            <w:shd w:val="clear" w:color="auto" w:fill="auto"/>
          </w:tcPr>
          <w:p w:rsidR="002A22A4" w:rsidRPr="006E709F" w:rsidRDefault="002A22A4" w:rsidP="00C44525">
            <w:pPr>
              <w:pStyle w:val="TableHeading"/>
            </w:pPr>
            <w:r w:rsidRPr="006E709F">
              <w:t>Item</w:t>
            </w:r>
          </w:p>
        </w:tc>
        <w:tc>
          <w:tcPr>
            <w:tcW w:w="2815" w:type="pct"/>
            <w:tcBorders>
              <w:top w:val="single" w:sz="12" w:space="0" w:color="auto"/>
              <w:bottom w:val="single" w:sz="12" w:space="0" w:color="auto"/>
            </w:tcBorders>
            <w:shd w:val="clear" w:color="auto" w:fill="auto"/>
          </w:tcPr>
          <w:p w:rsidR="002A22A4" w:rsidRPr="006E709F" w:rsidRDefault="002A22A4" w:rsidP="00C44525">
            <w:pPr>
              <w:pStyle w:val="TableHeading"/>
            </w:pPr>
            <w:r w:rsidRPr="006E709F">
              <w:t>Person</w:t>
            </w:r>
          </w:p>
        </w:tc>
        <w:tc>
          <w:tcPr>
            <w:tcW w:w="1723" w:type="pct"/>
            <w:tcBorders>
              <w:top w:val="single" w:sz="12" w:space="0" w:color="auto"/>
              <w:bottom w:val="single" w:sz="12" w:space="0" w:color="auto"/>
            </w:tcBorders>
            <w:shd w:val="clear" w:color="auto" w:fill="auto"/>
          </w:tcPr>
          <w:p w:rsidR="002A22A4" w:rsidRPr="006E709F" w:rsidRDefault="002A22A4" w:rsidP="00C44525">
            <w:pPr>
              <w:pStyle w:val="TableHeading"/>
            </w:pPr>
            <w:r w:rsidRPr="006E709F">
              <w:t>Period</w:t>
            </w:r>
          </w:p>
        </w:tc>
      </w:tr>
      <w:tr w:rsidR="002A22A4" w:rsidRPr="006E709F" w:rsidTr="00E118FA">
        <w:tc>
          <w:tcPr>
            <w:tcW w:w="462" w:type="pct"/>
            <w:tcBorders>
              <w:top w:val="single" w:sz="12" w:space="0" w:color="auto"/>
            </w:tcBorders>
            <w:shd w:val="clear" w:color="auto" w:fill="auto"/>
          </w:tcPr>
          <w:p w:rsidR="002A22A4" w:rsidRPr="006E709F" w:rsidRDefault="002A22A4" w:rsidP="00A801D0">
            <w:pPr>
              <w:pStyle w:val="Tabletext"/>
            </w:pPr>
            <w:r w:rsidRPr="006E709F">
              <w:rPr>
                <w:szCs w:val="22"/>
              </w:rPr>
              <w:t>1</w:t>
            </w:r>
          </w:p>
        </w:tc>
        <w:tc>
          <w:tcPr>
            <w:tcW w:w="2815" w:type="pct"/>
            <w:tcBorders>
              <w:top w:val="single" w:sz="12" w:space="0" w:color="auto"/>
            </w:tcBorders>
            <w:shd w:val="clear" w:color="auto" w:fill="auto"/>
          </w:tcPr>
          <w:p w:rsidR="002A22A4" w:rsidRPr="006E709F" w:rsidRDefault="002A22A4" w:rsidP="00A801D0">
            <w:pPr>
              <w:pStyle w:val="Tabletext"/>
            </w:pPr>
            <w:r w:rsidRPr="006E709F">
              <w:rPr>
                <w:szCs w:val="22"/>
              </w:rPr>
              <w:t>A person who is or has been an insolvent under administration</w:t>
            </w:r>
          </w:p>
        </w:tc>
        <w:tc>
          <w:tcPr>
            <w:tcW w:w="1723" w:type="pct"/>
            <w:tcBorders>
              <w:top w:val="single" w:sz="12" w:space="0" w:color="auto"/>
            </w:tcBorders>
            <w:shd w:val="clear" w:color="auto" w:fill="auto"/>
          </w:tcPr>
          <w:p w:rsidR="002A22A4" w:rsidRPr="006E709F" w:rsidRDefault="002A22A4" w:rsidP="00A801D0">
            <w:pPr>
              <w:pStyle w:val="Tabletext"/>
            </w:pPr>
            <w:r w:rsidRPr="006E709F">
              <w:rPr>
                <w:szCs w:val="22"/>
              </w:rPr>
              <w:t>5 years after the start of the administration</w:t>
            </w:r>
          </w:p>
        </w:tc>
      </w:tr>
      <w:tr w:rsidR="002A22A4" w:rsidRPr="006E709F" w:rsidTr="00E118FA">
        <w:tc>
          <w:tcPr>
            <w:tcW w:w="462" w:type="pct"/>
            <w:shd w:val="clear" w:color="auto" w:fill="auto"/>
          </w:tcPr>
          <w:p w:rsidR="002A22A4" w:rsidRPr="006E709F" w:rsidRDefault="002A22A4" w:rsidP="00A801D0">
            <w:pPr>
              <w:pStyle w:val="Tabletext"/>
            </w:pPr>
            <w:r w:rsidRPr="006E709F">
              <w:rPr>
                <w:szCs w:val="22"/>
              </w:rPr>
              <w:t>2</w:t>
            </w:r>
          </w:p>
        </w:tc>
        <w:tc>
          <w:tcPr>
            <w:tcW w:w="2815" w:type="pct"/>
            <w:shd w:val="clear" w:color="auto" w:fill="auto"/>
          </w:tcPr>
          <w:p w:rsidR="002A22A4" w:rsidRPr="006E709F" w:rsidRDefault="002A22A4" w:rsidP="009244F1">
            <w:pPr>
              <w:pStyle w:val="Tabletext"/>
            </w:pPr>
            <w:r w:rsidRPr="006E709F">
              <w:rPr>
                <w:szCs w:val="22"/>
              </w:rPr>
              <w:t xml:space="preserve">A body corporate that has been </w:t>
            </w:r>
            <w:r w:rsidR="00A75A8D" w:rsidRPr="006E709F">
              <w:t>a Chapter</w:t>
            </w:r>
            <w:r w:rsidR="00DA13DE" w:rsidRPr="006E709F">
              <w:t> </w:t>
            </w:r>
            <w:r w:rsidR="00A75A8D" w:rsidRPr="006E709F">
              <w:t>5 body corporate</w:t>
            </w:r>
          </w:p>
        </w:tc>
        <w:tc>
          <w:tcPr>
            <w:tcW w:w="1723" w:type="pct"/>
            <w:shd w:val="clear" w:color="auto" w:fill="auto"/>
          </w:tcPr>
          <w:p w:rsidR="002A22A4" w:rsidRPr="006E709F" w:rsidRDefault="002A22A4" w:rsidP="00A801D0">
            <w:pPr>
              <w:pStyle w:val="Tabletext"/>
            </w:pPr>
            <w:r w:rsidRPr="006E709F">
              <w:rPr>
                <w:szCs w:val="22"/>
              </w:rPr>
              <w:t>5 years after the start of the administration</w:t>
            </w:r>
          </w:p>
        </w:tc>
      </w:tr>
      <w:tr w:rsidR="002A22A4" w:rsidRPr="006E709F" w:rsidTr="00E118FA">
        <w:tc>
          <w:tcPr>
            <w:tcW w:w="462" w:type="pct"/>
            <w:shd w:val="clear" w:color="auto" w:fill="auto"/>
          </w:tcPr>
          <w:p w:rsidR="002A22A4" w:rsidRPr="006E709F" w:rsidRDefault="002A22A4" w:rsidP="00A801D0">
            <w:pPr>
              <w:pStyle w:val="Tabletext"/>
            </w:pPr>
            <w:r w:rsidRPr="006E709F">
              <w:rPr>
                <w:szCs w:val="22"/>
              </w:rPr>
              <w:t>3</w:t>
            </w:r>
          </w:p>
        </w:tc>
        <w:tc>
          <w:tcPr>
            <w:tcW w:w="2815" w:type="pct"/>
            <w:shd w:val="clear" w:color="auto" w:fill="auto"/>
          </w:tcPr>
          <w:p w:rsidR="002A22A4" w:rsidRPr="006E709F" w:rsidRDefault="002A22A4" w:rsidP="00A801D0">
            <w:pPr>
              <w:pStyle w:val="Tabletext"/>
            </w:pPr>
            <w:r w:rsidRPr="006E709F">
              <w:rPr>
                <w:szCs w:val="22"/>
              </w:rPr>
              <w:t>A person who has been convicted of fraud</w:t>
            </w:r>
          </w:p>
        </w:tc>
        <w:tc>
          <w:tcPr>
            <w:tcW w:w="1723" w:type="pct"/>
            <w:shd w:val="clear" w:color="auto" w:fill="auto"/>
          </w:tcPr>
          <w:p w:rsidR="002A22A4" w:rsidRPr="006E709F" w:rsidRDefault="002A22A4" w:rsidP="00A801D0">
            <w:pPr>
              <w:pStyle w:val="Tabletext"/>
            </w:pPr>
            <w:r w:rsidRPr="006E709F">
              <w:rPr>
                <w:szCs w:val="22"/>
              </w:rPr>
              <w:t>10 years after the conviction</w:t>
            </w:r>
          </w:p>
        </w:tc>
      </w:tr>
      <w:tr w:rsidR="002A22A4" w:rsidRPr="006E709F" w:rsidTr="00E118FA">
        <w:tc>
          <w:tcPr>
            <w:tcW w:w="462" w:type="pct"/>
            <w:shd w:val="clear" w:color="auto" w:fill="auto"/>
          </w:tcPr>
          <w:p w:rsidR="002A22A4" w:rsidRPr="006E709F" w:rsidRDefault="002A22A4" w:rsidP="00A801D0">
            <w:pPr>
              <w:pStyle w:val="Tabletext"/>
            </w:pPr>
            <w:r w:rsidRPr="006E709F">
              <w:rPr>
                <w:szCs w:val="22"/>
              </w:rPr>
              <w:t>4</w:t>
            </w:r>
          </w:p>
        </w:tc>
        <w:tc>
          <w:tcPr>
            <w:tcW w:w="2815" w:type="pct"/>
            <w:shd w:val="clear" w:color="auto" w:fill="auto"/>
          </w:tcPr>
          <w:p w:rsidR="002A22A4" w:rsidRPr="006E709F" w:rsidRDefault="002A22A4" w:rsidP="00A801D0">
            <w:pPr>
              <w:pStyle w:val="Tabletext"/>
            </w:pPr>
            <w:r w:rsidRPr="006E709F">
              <w:rPr>
                <w:szCs w:val="22"/>
              </w:rPr>
              <w:t>A person to whom the following circumstances apply:</w:t>
            </w:r>
          </w:p>
          <w:p w:rsidR="002A22A4" w:rsidRPr="006E709F" w:rsidRDefault="00A801D0" w:rsidP="00A801D0">
            <w:pPr>
              <w:pStyle w:val="Tablea"/>
            </w:pPr>
            <w:r w:rsidRPr="006E709F">
              <w:rPr>
                <w:szCs w:val="22"/>
              </w:rPr>
              <w:t>(</w:t>
            </w:r>
            <w:r w:rsidR="002A22A4" w:rsidRPr="006E709F">
              <w:rPr>
                <w:szCs w:val="22"/>
              </w:rPr>
              <w:t>a</w:t>
            </w:r>
            <w:r w:rsidRPr="006E709F">
              <w:rPr>
                <w:szCs w:val="22"/>
              </w:rPr>
              <w:t xml:space="preserve">) </w:t>
            </w:r>
            <w:r w:rsidR="002A22A4" w:rsidRPr="006E709F">
              <w:rPr>
                <w:szCs w:val="22"/>
              </w:rPr>
              <w:t>the person is the subject of legal proceedings for criminal fraud;</w:t>
            </w:r>
          </w:p>
          <w:p w:rsidR="0048795D" w:rsidRPr="006E709F" w:rsidRDefault="00A801D0" w:rsidP="00A801D0">
            <w:pPr>
              <w:pStyle w:val="Tablea"/>
            </w:pPr>
            <w:r w:rsidRPr="006E709F">
              <w:t>(</w:t>
            </w:r>
            <w:r w:rsidR="002A22A4" w:rsidRPr="006E709F">
              <w:t>b</w:t>
            </w:r>
            <w:r w:rsidRPr="006E709F">
              <w:t xml:space="preserve">) </w:t>
            </w:r>
            <w:r w:rsidR="002A22A4" w:rsidRPr="006E709F">
              <w:t>the proceedings could, because of the content or nature of the relevant originating process, result in a judgment being made that would cause a person to be someone to whom item</w:t>
            </w:r>
            <w:r w:rsidR="00DA13DE" w:rsidRPr="006E709F">
              <w:t> </w:t>
            </w:r>
            <w:r w:rsidR="002A22A4" w:rsidRPr="006E709F">
              <w:t>3 applies;</w:t>
            </w:r>
          </w:p>
          <w:p w:rsidR="002A22A4" w:rsidRPr="006E709F" w:rsidRDefault="00A801D0" w:rsidP="00A801D0">
            <w:pPr>
              <w:pStyle w:val="Tablea"/>
            </w:pPr>
            <w:r w:rsidRPr="006E709F">
              <w:t>(</w:t>
            </w:r>
            <w:r w:rsidR="002A22A4" w:rsidRPr="006E709F">
              <w:t>c</w:t>
            </w:r>
            <w:r w:rsidRPr="006E709F">
              <w:t xml:space="preserve">) </w:t>
            </w:r>
            <w:r w:rsidR="002A22A4" w:rsidRPr="006E709F">
              <w:t>the court has not delivered a judgment in relation to the issue of the fraud</w:t>
            </w:r>
          </w:p>
        </w:tc>
        <w:tc>
          <w:tcPr>
            <w:tcW w:w="1723" w:type="pct"/>
            <w:shd w:val="clear" w:color="auto" w:fill="auto"/>
          </w:tcPr>
          <w:p w:rsidR="002A22A4" w:rsidRPr="006E709F" w:rsidRDefault="002A22A4" w:rsidP="00A801D0">
            <w:pPr>
              <w:pStyle w:val="Tabletext"/>
            </w:pPr>
          </w:p>
        </w:tc>
      </w:tr>
      <w:tr w:rsidR="00C44525" w:rsidRPr="006E709F" w:rsidTr="00E118FA">
        <w:tc>
          <w:tcPr>
            <w:tcW w:w="462" w:type="pct"/>
            <w:tcBorders>
              <w:bottom w:val="single" w:sz="4" w:space="0" w:color="auto"/>
            </w:tcBorders>
            <w:shd w:val="clear" w:color="auto" w:fill="auto"/>
          </w:tcPr>
          <w:p w:rsidR="00C44525" w:rsidRPr="006E709F" w:rsidRDefault="00C44525" w:rsidP="00A801D0">
            <w:pPr>
              <w:pStyle w:val="Tabletext"/>
            </w:pPr>
            <w:r w:rsidRPr="006E709F">
              <w:rPr>
                <w:szCs w:val="22"/>
              </w:rPr>
              <w:t>5</w:t>
            </w:r>
          </w:p>
        </w:tc>
        <w:tc>
          <w:tcPr>
            <w:tcW w:w="2815" w:type="pct"/>
            <w:tcBorders>
              <w:bottom w:val="single" w:sz="4" w:space="0" w:color="auto"/>
            </w:tcBorders>
            <w:shd w:val="clear" w:color="auto" w:fill="auto"/>
          </w:tcPr>
          <w:p w:rsidR="00C44525" w:rsidRPr="006E709F" w:rsidRDefault="00C44525" w:rsidP="00A801D0">
            <w:pPr>
              <w:pStyle w:val="Tabletext"/>
            </w:pPr>
            <w:r w:rsidRPr="006E709F">
              <w:rPr>
                <w:szCs w:val="22"/>
              </w:rPr>
              <w:t>A person to whom the following circumstances apply:</w:t>
            </w:r>
          </w:p>
          <w:p w:rsidR="00C44525" w:rsidRPr="006E709F" w:rsidRDefault="00C44525" w:rsidP="00A801D0">
            <w:pPr>
              <w:pStyle w:val="Tablea"/>
            </w:pPr>
            <w:r w:rsidRPr="006E709F">
              <w:rPr>
                <w:szCs w:val="22"/>
              </w:rPr>
              <w:t>(a) the person has been found liable by a court for a contravention of a law relating to financial services activities;</w:t>
            </w:r>
          </w:p>
          <w:p w:rsidR="00C44525" w:rsidRPr="006E709F" w:rsidRDefault="00C44525" w:rsidP="00A801D0">
            <w:pPr>
              <w:pStyle w:val="Tablea"/>
            </w:pPr>
            <w:r w:rsidRPr="006E709F">
              <w:t>(b) the proceedings were brought by a regulator;</w:t>
            </w:r>
          </w:p>
          <w:p w:rsidR="00C44525" w:rsidRPr="006E709F" w:rsidRDefault="00C44525" w:rsidP="00750EE3">
            <w:pPr>
              <w:pStyle w:val="Tablea"/>
            </w:pPr>
            <w:r w:rsidRPr="006E709F">
              <w:rPr>
                <w:szCs w:val="22"/>
              </w:rPr>
              <w:t>(c) the proceedings related to conduct that occurred in the course of the person’s engaging in financial services activities, and was related to that person’s activities</w:t>
            </w:r>
          </w:p>
        </w:tc>
        <w:tc>
          <w:tcPr>
            <w:tcW w:w="1723" w:type="pct"/>
            <w:tcBorders>
              <w:bottom w:val="single" w:sz="4" w:space="0" w:color="auto"/>
            </w:tcBorders>
            <w:shd w:val="clear" w:color="auto" w:fill="auto"/>
          </w:tcPr>
          <w:p w:rsidR="00C44525" w:rsidRPr="006E709F" w:rsidRDefault="00C44525" w:rsidP="00A801D0">
            <w:pPr>
              <w:pStyle w:val="Tabletext"/>
            </w:pPr>
            <w:r w:rsidRPr="006E709F">
              <w:rPr>
                <w:szCs w:val="22"/>
              </w:rPr>
              <w:t>10 years after the conduct first occurred</w:t>
            </w:r>
          </w:p>
        </w:tc>
      </w:tr>
      <w:tr w:rsidR="002A22A4" w:rsidRPr="006E709F" w:rsidTr="00E118FA">
        <w:tc>
          <w:tcPr>
            <w:tcW w:w="462" w:type="pct"/>
            <w:tcBorders>
              <w:bottom w:val="nil"/>
            </w:tcBorders>
            <w:shd w:val="clear" w:color="auto" w:fill="auto"/>
          </w:tcPr>
          <w:p w:rsidR="002A22A4" w:rsidRPr="006E709F" w:rsidRDefault="002A22A4" w:rsidP="00A801D0">
            <w:pPr>
              <w:pStyle w:val="Tabletext"/>
            </w:pPr>
            <w:r w:rsidRPr="006E709F">
              <w:rPr>
                <w:szCs w:val="22"/>
              </w:rPr>
              <w:t>6</w:t>
            </w:r>
          </w:p>
        </w:tc>
        <w:tc>
          <w:tcPr>
            <w:tcW w:w="2815" w:type="pct"/>
            <w:tcBorders>
              <w:bottom w:val="nil"/>
            </w:tcBorders>
            <w:shd w:val="clear" w:color="auto" w:fill="auto"/>
          </w:tcPr>
          <w:p w:rsidR="002A22A4" w:rsidRPr="006E709F" w:rsidRDefault="002A22A4" w:rsidP="00A801D0">
            <w:pPr>
              <w:pStyle w:val="Tabletext"/>
            </w:pPr>
            <w:r w:rsidRPr="006E709F">
              <w:rPr>
                <w:szCs w:val="22"/>
              </w:rPr>
              <w:t>A person to whom the following circumstances apply:</w:t>
            </w:r>
          </w:p>
          <w:p w:rsidR="002A22A4" w:rsidRPr="006E709F" w:rsidRDefault="00A801D0" w:rsidP="00A801D0">
            <w:pPr>
              <w:pStyle w:val="Tablea"/>
            </w:pPr>
            <w:r w:rsidRPr="006E709F">
              <w:rPr>
                <w:szCs w:val="22"/>
              </w:rPr>
              <w:t>(</w:t>
            </w:r>
            <w:r w:rsidR="002A22A4" w:rsidRPr="006E709F">
              <w:rPr>
                <w:szCs w:val="22"/>
              </w:rPr>
              <w:t>a</w:t>
            </w:r>
            <w:r w:rsidRPr="006E709F">
              <w:rPr>
                <w:szCs w:val="22"/>
              </w:rPr>
              <w:t xml:space="preserve">) </w:t>
            </w:r>
            <w:r w:rsidR="002A22A4" w:rsidRPr="006E709F">
              <w:rPr>
                <w:szCs w:val="22"/>
              </w:rPr>
              <w:t>the person is the subject of legal proceedings for a contravention of a law relating to financial services activities;</w:t>
            </w:r>
          </w:p>
          <w:p w:rsidR="002A22A4" w:rsidRPr="006E709F" w:rsidRDefault="00A801D0" w:rsidP="00A801D0">
            <w:pPr>
              <w:pStyle w:val="Tablea"/>
            </w:pPr>
            <w:r w:rsidRPr="006E709F">
              <w:t>(</w:t>
            </w:r>
            <w:r w:rsidR="002A22A4" w:rsidRPr="006E709F">
              <w:t>b</w:t>
            </w:r>
            <w:r w:rsidRPr="006E709F">
              <w:t xml:space="preserve">) </w:t>
            </w:r>
            <w:r w:rsidR="002A22A4" w:rsidRPr="006E709F">
              <w:t>the proceedings were brought by a regulator;</w:t>
            </w:r>
          </w:p>
        </w:tc>
        <w:tc>
          <w:tcPr>
            <w:tcW w:w="1723" w:type="pct"/>
            <w:tcBorders>
              <w:bottom w:val="nil"/>
            </w:tcBorders>
            <w:shd w:val="clear" w:color="auto" w:fill="auto"/>
          </w:tcPr>
          <w:p w:rsidR="002A22A4" w:rsidRPr="006E709F" w:rsidRDefault="002A22A4" w:rsidP="00A801D0">
            <w:pPr>
              <w:pStyle w:val="Tabletext"/>
            </w:pPr>
          </w:p>
        </w:tc>
      </w:tr>
      <w:tr w:rsidR="00873E94" w:rsidRPr="006E709F" w:rsidTr="00E118FA">
        <w:trPr>
          <w:trHeight w:val="255"/>
        </w:trPr>
        <w:tc>
          <w:tcPr>
            <w:tcW w:w="462" w:type="pct"/>
            <w:tcBorders>
              <w:top w:val="nil"/>
            </w:tcBorders>
            <w:shd w:val="clear" w:color="auto" w:fill="auto"/>
          </w:tcPr>
          <w:p w:rsidR="00873E94" w:rsidRPr="006E709F" w:rsidRDefault="00873E94" w:rsidP="00497EC9">
            <w:pPr>
              <w:pStyle w:val="Tabletext"/>
              <w:rPr>
                <w:szCs w:val="22"/>
              </w:rPr>
            </w:pPr>
          </w:p>
        </w:tc>
        <w:tc>
          <w:tcPr>
            <w:tcW w:w="2815" w:type="pct"/>
            <w:tcBorders>
              <w:top w:val="nil"/>
            </w:tcBorders>
            <w:shd w:val="clear" w:color="auto" w:fill="auto"/>
          </w:tcPr>
          <w:p w:rsidR="00873E94" w:rsidRPr="006E709F" w:rsidRDefault="00873E94" w:rsidP="00497EC9">
            <w:pPr>
              <w:pStyle w:val="Tablea"/>
            </w:pPr>
            <w:r w:rsidRPr="006E709F">
              <w:t>(c) the proceedings relate to conduct that occurred in the course of the person’s engaging in financial services activities, and was related to that person’s activities;</w:t>
            </w:r>
          </w:p>
          <w:p w:rsidR="00873E94" w:rsidRPr="006E709F" w:rsidRDefault="00873E94" w:rsidP="00873E94">
            <w:pPr>
              <w:pStyle w:val="Tablea"/>
              <w:keepNext/>
              <w:keepLines/>
              <w:rPr>
                <w:szCs w:val="22"/>
              </w:rPr>
            </w:pPr>
            <w:r w:rsidRPr="006E709F">
              <w:t>(d) the court has not delivered a judgment in relation to the contravention</w:t>
            </w:r>
          </w:p>
        </w:tc>
        <w:tc>
          <w:tcPr>
            <w:tcW w:w="1723" w:type="pct"/>
            <w:tcBorders>
              <w:top w:val="nil"/>
            </w:tcBorders>
            <w:shd w:val="clear" w:color="auto" w:fill="auto"/>
          </w:tcPr>
          <w:p w:rsidR="00873E94" w:rsidRPr="006E709F" w:rsidRDefault="00873E94" w:rsidP="00873E94">
            <w:pPr>
              <w:pStyle w:val="Tabletext"/>
              <w:keepNext/>
              <w:keepLines/>
            </w:pPr>
          </w:p>
        </w:tc>
      </w:tr>
      <w:tr w:rsidR="002A22A4" w:rsidRPr="006E709F" w:rsidTr="00E118FA">
        <w:trPr>
          <w:cantSplit/>
        </w:trPr>
        <w:tc>
          <w:tcPr>
            <w:tcW w:w="462" w:type="pct"/>
            <w:shd w:val="clear" w:color="auto" w:fill="auto"/>
          </w:tcPr>
          <w:p w:rsidR="002A22A4" w:rsidRPr="006E709F" w:rsidRDefault="002A22A4" w:rsidP="00A801D0">
            <w:pPr>
              <w:pStyle w:val="Tabletext"/>
            </w:pPr>
            <w:r w:rsidRPr="006E709F">
              <w:rPr>
                <w:szCs w:val="22"/>
              </w:rPr>
              <w:lastRenderedPageBreak/>
              <w:t>7</w:t>
            </w:r>
          </w:p>
        </w:tc>
        <w:tc>
          <w:tcPr>
            <w:tcW w:w="2815" w:type="pct"/>
            <w:shd w:val="clear" w:color="auto" w:fill="auto"/>
          </w:tcPr>
          <w:p w:rsidR="002A22A4" w:rsidRPr="006E709F" w:rsidRDefault="002A22A4" w:rsidP="00A801D0">
            <w:pPr>
              <w:pStyle w:val="Tabletext"/>
            </w:pPr>
            <w:r w:rsidRPr="006E709F">
              <w:rPr>
                <w:szCs w:val="22"/>
              </w:rPr>
              <w:t>A person who has had:</w:t>
            </w:r>
          </w:p>
          <w:p w:rsidR="002A22A4" w:rsidRPr="006E709F" w:rsidRDefault="00A801D0" w:rsidP="00A801D0">
            <w:pPr>
              <w:pStyle w:val="Tablea"/>
            </w:pPr>
            <w:r w:rsidRPr="006E709F">
              <w:rPr>
                <w:szCs w:val="22"/>
              </w:rPr>
              <w:t>(</w:t>
            </w:r>
            <w:r w:rsidR="002A22A4" w:rsidRPr="006E709F">
              <w:rPr>
                <w:szCs w:val="22"/>
              </w:rPr>
              <w:t>a</w:t>
            </w:r>
            <w:r w:rsidRPr="006E709F">
              <w:rPr>
                <w:szCs w:val="22"/>
              </w:rPr>
              <w:t xml:space="preserve">) </w:t>
            </w:r>
            <w:r w:rsidR="002A22A4" w:rsidRPr="006E709F">
              <w:rPr>
                <w:szCs w:val="22"/>
              </w:rPr>
              <w:t>an authorisation; or</w:t>
            </w:r>
          </w:p>
          <w:p w:rsidR="002A22A4" w:rsidRPr="006E709F" w:rsidRDefault="00A801D0" w:rsidP="00A801D0">
            <w:pPr>
              <w:pStyle w:val="Tablea"/>
            </w:pPr>
            <w:r w:rsidRPr="006E709F">
              <w:t>(</w:t>
            </w:r>
            <w:r w:rsidR="002A22A4" w:rsidRPr="006E709F">
              <w:t>b</w:t>
            </w:r>
            <w:r w:rsidRPr="006E709F">
              <w:t xml:space="preserve">) </w:t>
            </w:r>
            <w:r w:rsidR="002A22A4" w:rsidRPr="006E709F">
              <w:t>a registration; or</w:t>
            </w:r>
          </w:p>
          <w:p w:rsidR="0048795D" w:rsidRPr="006E709F" w:rsidRDefault="00A801D0" w:rsidP="00A801D0">
            <w:pPr>
              <w:pStyle w:val="Tablea"/>
            </w:pPr>
            <w:r w:rsidRPr="006E709F">
              <w:t>(</w:t>
            </w:r>
            <w:r w:rsidR="002A22A4" w:rsidRPr="006E709F">
              <w:t>c</w:t>
            </w:r>
            <w:r w:rsidRPr="006E709F">
              <w:t xml:space="preserve">) </w:t>
            </w:r>
            <w:r w:rsidR="002A22A4" w:rsidRPr="006E709F">
              <w:t>a licence; or</w:t>
            </w:r>
          </w:p>
          <w:p w:rsidR="0048795D" w:rsidRPr="006E709F" w:rsidRDefault="00A801D0" w:rsidP="00A801D0">
            <w:pPr>
              <w:pStyle w:val="Tablea"/>
            </w:pPr>
            <w:r w:rsidRPr="006E709F">
              <w:t>(</w:t>
            </w:r>
            <w:r w:rsidR="002A22A4" w:rsidRPr="006E709F">
              <w:t>d</w:t>
            </w:r>
            <w:r w:rsidRPr="006E709F">
              <w:t xml:space="preserve">) </w:t>
            </w:r>
            <w:r w:rsidR="002A22A4" w:rsidRPr="006E709F">
              <w:t>the ability to engage in financial services activities;</w:t>
            </w:r>
          </w:p>
          <w:p w:rsidR="002A22A4" w:rsidRPr="006E709F" w:rsidRDefault="002A22A4" w:rsidP="00A801D0">
            <w:pPr>
              <w:pStyle w:val="Tabletext"/>
            </w:pPr>
            <w:r w:rsidRPr="006E709F">
              <w:rPr>
                <w:szCs w:val="22"/>
              </w:rPr>
              <w:t>cancelled, suspended or revoked by, or as a direct result of the actions of, a regulator</w:t>
            </w:r>
          </w:p>
        </w:tc>
        <w:tc>
          <w:tcPr>
            <w:tcW w:w="1723" w:type="pct"/>
            <w:shd w:val="clear" w:color="auto" w:fill="auto"/>
          </w:tcPr>
          <w:p w:rsidR="002A22A4" w:rsidRPr="006E709F" w:rsidRDefault="002A22A4" w:rsidP="00A801D0">
            <w:pPr>
              <w:pStyle w:val="Tabletext"/>
            </w:pPr>
            <w:r w:rsidRPr="006E709F">
              <w:rPr>
                <w:szCs w:val="22"/>
              </w:rPr>
              <w:t>5 years after the cancellation, suspension or revocation</w:t>
            </w:r>
          </w:p>
        </w:tc>
      </w:tr>
      <w:tr w:rsidR="002A22A4" w:rsidRPr="006E709F" w:rsidTr="00E118FA">
        <w:tc>
          <w:tcPr>
            <w:tcW w:w="462" w:type="pct"/>
            <w:shd w:val="clear" w:color="auto" w:fill="auto"/>
          </w:tcPr>
          <w:p w:rsidR="002A22A4" w:rsidRPr="006E709F" w:rsidRDefault="002A22A4" w:rsidP="00A801D0">
            <w:pPr>
              <w:pStyle w:val="Tabletext"/>
            </w:pPr>
            <w:r w:rsidRPr="006E709F">
              <w:t>8</w:t>
            </w:r>
          </w:p>
        </w:tc>
        <w:tc>
          <w:tcPr>
            <w:tcW w:w="2815" w:type="pct"/>
            <w:shd w:val="clear" w:color="auto" w:fill="auto"/>
          </w:tcPr>
          <w:p w:rsidR="002A22A4" w:rsidRPr="006E709F" w:rsidRDefault="002A22A4" w:rsidP="00A801D0">
            <w:pPr>
              <w:pStyle w:val="Tabletext"/>
            </w:pPr>
            <w:r w:rsidRPr="006E709F">
              <w:t>A person who is a responsible officer of a person mentioned in item</w:t>
            </w:r>
            <w:r w:rsidR="00DA13DE" w:rsidRPr="006E709F">
              <w:t> </w:t>
            </w:r>
            <w:r w:rsidRPr="006E709F">
              <w:t>1</w:t>
            </w:r>
          </w:p>
        </w:tc>
        <w:tc>
          <w:tcPr>
            <w:tcW w:w="1723" w:type="pct"/>
            <w:shd w:val="clear" w:color="auto" w:fill="auto"/>
          </w:tcPr>
          <w:p w:rsidR="002A22A4" w:rsidRPr="006E709F" w:rsidRDefault="002A22A4" w:rsidP="00A801D0">
            <w:pPr>
              <w:pStyle w:val="Tabletext"/>
            </w:pPr>
          </w:p>
        </w:tc>
      </w:tr>
      <w:tr w:rsidR="002A22A4" w:rsidRPr="006E709F" w:rsidTr="00E118FA">
        <w:tc>
          <w:tcPr>
            <w:tcW w:w="462" w:type="pct"/>
            <w:shd w:val="clear" w:color="auto" w:fill="auto"/>
          </w:tcPr>
          <w:p w:rsidR="002A22A4" w:rsidRPr="006E709F" w:rsidRDefault="002A22A4" w:rsidP="00A801D0">
            <w:pPr>
              <w:pStyle w:val="Tabletext"/>
            </w:pPr>
            <w:r w:rsidRPr="006E709F">
              <w:t>8A</w:t>
            </w:r>
          </w:p>
        </w:tc>
        <w:tc>
          <w:tcPr>
            <w:tcW w:w="2815" w:type="pct"/>
            <w:shd w:val="clear" w:color="auto" w:fill="auto"/>
          </w:tcPr>
          <w:p w:rsidR="002A22A4" w:rsidRPr="006E709F" w:rsidRDefault="002A22A4" w:rsidP="00A801D0">
            <w:pPr>
              <w:pStyle w:val="Tabletext"/>
            </w:pPr>
            <w:r w:rsidRPr="006E709F">
              <w:t>A person who is a subsidiary of a body corporate mentioned in item</w:t>
            </w:r>
            <w:r w:rsidR="00DA13DE" w:rsidRPr="006E709F">
              <w:t> </w:t>
            </w:r>
            <w:r w:rsidRPr="006E709F">
              <w:t>2</w:t>
            </w:r>
          </w:p>
        </w:tc>
        <w:tc>
          <w:tcPr>
            <w:tcW w:w="1723" w:type="pct"/>
            <w:shd w:val="clear" w:color="auto" w:fill="auto"/>
          </w:tcPr>
          <w:p w:rsidR="002A22A4" w:rsidRPr="006E709F" w:rsidRDefault="002A22A4" w:rsidP="00A801D0">
            <w:pPr>
              <w:pStyle w:val="Tabletext"/>
            </w:pPr>
          </w:p>
        </w:tc>
      </w:tr>
      <w:tr w:rsidR="002A22A4" w:rsidRPr="006E709F" w:rsidTr="00E118FA">
        <w:tc>
          <w:tcPr>
            <w:tcW w:w="462" w:type="pct"/>
            <w:shd w:val="clear" w:color="auto" w:fill="auto"/>
          </w:tcPr>
          <w:p w:rsidR="002A22A4" w:rsidRPr="006E709F" w:rsidRDefault="002A22A4" w:rsidP="00A801D0">
            <w:pPr>
              <w:pStyle w:val="Tabletext"/>
            </w:pPr>
            <w:r w:rsidRPr="006E709F">
              <w:t>8B</w:t>
            </w:r>
          </w:p>
        </w:tc>
        <w:tc>
          <w:tcPr>
            <w:tcW w:w="2815" w:type="pct"/>
            <w:shd w:val="clear" w:color="auto" w:fill="auto"/>
          </w:tcPr>
          <w:p w:rsidR="002A22A4" w:rsidRPr="006E709F" w:rsidRDefault="002A22A4" w:rsidP="00A801D0">
            <w:pPr>
              <w:pStyle w:val="Tabletext"/>
            </w:pPr>
            <w:r w:rsidRPr="006E709F">
              <w:t>A person (</w:t>
            </w:r>
            <w:r w:rsidRPr="006E709F">
              <w:rPr>
                <w:b/>
                <w:i/>
              </w:rPr>
              <w:t>person 1</w:t>
            </w:r>
            <w:r w:rsidRPr="006E709F">
              <w:t>) who is related body corporate of a body corporate that is mentioned in item</w:t>
            </w:r>
            <w:r w:rsidR="00DA13DE" w:rsidRPr="006E709F">
              <w:t> </w:t>
            </w:r>
            <w:r w:rsidRPr="006E709F">
              <w:t>2 (</w:t>
            </w:r>
            <w:r w:rsidRPr="006E709F">
              <w:rPr>
                <w:b/>
                <w:i/>
              </w:rPr>
              <w:t>person 2</w:t>
            </w:r>
            <w:r w:rsidRPr="006E709F">
              <w:t xml:space="preserve">), if person 2 has previously held a licence, registration or authorisation granted by a regulator mentioned in </w:t>
            </w:r>
            <w:r w:rsidR="00DA13DE" w:rsidRPr="006E709F">
              <w:t>paragraphs (</w:t>
            </w:r>
            <w:r w:rsidRPr="006E709F">
              <w:t xml:space="preserve">a) to (d) of the definition of </w:t>
            </w:r>
            <w:r w:rsidRPr="006E709F">
              <w:rPr>
                <w:b/>
                <w:i/>
              </w:rPr>
              <w:t>regulator</w:t>
            </w:r>
            <w:r w:rsidRPr="006E709F">
              <w:t xml:space="preserve"> in regulation</w:t>
            </w:r>
            <w:r w:rsidR="00DA13DE" w:rsidRPr="006E709F">
              <w:t> </w:t>
            </w:r>
            <w:r w:rsidRPr="006E709F">
              <w:t>10.2.35</w:t>
            </w:r>
          </w:p>
        </w:tc>
        <w:tc>
          <w:tcPr>
            <w:tcW w:w="1723" w:type="pct"/>
            <w:shd w:val="clear" w:color="auto" w:fill="auto"/>
          </w:tcPr>
          <w:p w:rsidR="002A22A4" w:rsidRPr="006E709F" w:rsidRDefault="002A22A4" w:rsidP="00A801D0">
            <w:pPr>
              <w:pStyle w:val="Tabletext"/>
            </w:pPr>
          </w:p>
        </w:tc>
      </w:tr>
      <w:tr w:rsidR="002A22A4" w:rsidRPr="006E709F" w:rsidTr="00E118FA">
        <w:tc>
          <w:tcPr>
            <w:tcW w:w="462" w:type="pct"/>
            <w:tcBorders>
              <w:bottom w:val="single" w:sz="4" w:space="0" w:color="auto"/>
            </w:tcBorders>
            <w:shd w:val="clear" w:color="auto" w:fill="auto"/>
          </w:tcPr>
          <w:p w:rsidR="002A22A4" w:rsidRPr="006E709F" w:rsidRDefault="002A22A4" w:rsidP="00A801D0">
            <w:pPr>
              <w:pStyle w:val="Tabletext"/>
            </w:pPr>
            <w:r w:rsidRPr="006E709F">
              <w:rPr>
                <w:szCs w:val="22"/>
              </w:rPr>
              <w:t>9</w:t>
            </w:r>
          </w:p>
        </w:tc>
        <w:tc>
          <w:tcPr>
            <w:tcW w:w="2815" w:type="pct"/>
            <w:tcBorders>
              <w:bottom w:val="single" w:sz="4" w:space="0" w:color="auto"/>
            </w:tcBorders>
            <w:shd w:val="clear" w:color="auto" w:fill="auto"/>
          </w:tcPr>
          <w:p w:rsidR="002A22A4" w:rsidRPr="006E709F" w:rsidRDefault="002A22A4" w:rsidP="00A801D0">
            <w:pPr>
              <w:pStyle w:val="Tabletext"/>
            </w:pPr>
            <w:r w:rsidRPr="006E709F">
              <w:rPr>
                <w:szCs w:val="22"/>
              </w:rPr>
              <w:t>A person an associate of whom is a person mentioned in any of items</w:t>
            </w:r>
            <w:r w:rsidR="00DA13DE" w:rsidRPr="006E709F">
              <w:rPr>
                <w:szCs w:val="22"/>
              </w:rPr>
              <w:t> </w:t>
            </w:r>
            <w:r w:rsidRPr="006E709F">
              <w:rPr>
                <w:szCs w:val="22"/>
              </w:rPr>
              <w:t>3 to 7</w:t>
            </w:r>
          </w:p>
        </w:tc>
        <w:tc>
          <w:tcPr>
            <w:tcW w:w="1723" w:type="pct"/>
            <w:tcBorders>
              <w:bottom w:val="single" w:sz="4" w:space="0" w:color="auto"/>
            </w:tcBorders>
            <w:shd w:val="clear" w:color="auto" w:fill="auto"/>
          </w:tcPr>
          <w:p w:rsidR="002A22A4" w:rsidRPr="006E709F" w:rsidRDefault="002A22A4" w:rsidP="00A801D0">
            <w:pPr>
              <w:pStyle w:val="Tabletext"/>
            </w:pPr>
          </w:p>
        </w:tc>
      </w:tr>
      <w:tr w:rsidR="002A22A4" w:rsidRPr="006E709F" w:rsidTr="00E118FA">
        <w:tc>
          <w:tcPr>
            <w:tcW w:w="462" w:type="pct"/>
            <w:tcBorders>
              <w:bottom w:val="single" w:sz="12" w:space="0" w:color="auto"/>
            </w:tcBorders>
            <w:shd w:val="clear" w:color="auto" w:fill="auto"/>
          </w:tcPr>
          <w:p w:rsidR="002A22A4" w:rsidRPr="006E709F" w:rsidRDefault="002A22A4" w:rsidP="00A801D0">
            <w:pPr>
              <w:pStyle w:val="Tabletext"/>
            </w:pPr>
            <w:r w:rsidRPr="006E709F">
              <w:rPr>
                <w:szCs w:val="22"/>
              </w:rPr>
              <w:t>10</w:t>
            </w:r>
          </w:p>
        </w:tc>
        <w:tc>
          <w:tcPr>
            <w:tcW w:w="2815" w:type="pct"/>
            <w:tcBorders>
              <w:bottom w:val="single" w:sz="12" w:space="0" w:color="auto"/>
            </w:tcBorders>
            <w:shd w:val="clear" w:color="auto" w:fill="auto"/>
          </w:tcPr>
          <w:p w:rsidR="002A22A4" w:rsidRPr="006E709F" w:rsidRDefault="002A22A4" w:rsidP="00A801D0">
            <w:pPr>
              <w:pStyle w:val="Tabletext"/>
            </w:pPr>
            <w:r w:rsidRPr="006E709F">
              <w:rPr>
                <w:szCs w:val="22"/>
              </w:rPr>
              <w:t>A person who is deemed to be a registered insurance broker under subsection</w:t>
            </w:r>
            <w:r w:rsidR="00DA13DE" w:rsidRPr="006E709F">
              <w:rPr>
                <w:szCs w:val="22"/>
              </w:rPr>
              <w:t> </w:t>
            </w:r>
            <w:r w:rsidRPr="006E709F">
              <w:rPr>
                <w:szCs w:val="22"/>
              </w:rPr>
              <w:t xml:space="preserve">24(2) of the </w:t>
            </w:r>
            <w:r w:rsidRPr="006E709F">
              <w:rPr>
                <w:i/>
                <w:szCs w:val="22"/>
              </w:rPr>
              <w:t>Insurance (Agents and Brokers) Act 1984</w:t>
            </w:r>
          </w:p>
          <w:p w:rsidR="002A22A4" w:rsidRPr="006E709F" w:rsidRDefault="002A22A4" w:rsidP="00A801D0">
            <w:pPr>
              <w:pStyle w:val="Tabletext"/>
            </w:pPr>
            <w:r w:rsidRPr="006E709F">
              <w:t>This item applies to the person only to the extent that the person operates insurance broking activities that are described in that Act</w:t>
            </w:r>
          </w:p>
        </w:tc>
        <w:tc>
          <w:tcPr>
            <w:tcW w:w="1723" w:type="pct"/>
            <w:tcBorders>
              <w:bottom w:val="single" w:sz="12" w:space="0" w:color="auto"/>
            </w:tcBorders>
            <w:shd w:val="clear" w:color="auto" w:fill="auto"/>
          </w:tcPr>
          <w:p w:rsidR="002A22A4" w:rsidRPr="006E709F" w:rsidRDefault="002A22A4" w:rsidP="00A801D0">
            <w:pPr>
              <w:pStyle w:val="Tabletext"/>
            </w:pPr>
          </w:p>
        </w:tc>
      </w:tr>
    </w:tbl>
    <w:p w:rsidR="002A22A4" w:rsidRPr="006E709F" w:rsidRDefault="00A801D0" w:rsidP="00C2336D">
      <w:pPr>
        <w:pStyle w:val="ActHead1"/>
        <w:pageBreakBefore/>
      </w:pPr>
      <w:bookmarkStart w:id="181" w:name="_Toc170547998"/>
      <w:r w:rsidRPr="000C4237">
        <w:rPr>
          <w:rStyle w:val="CharChapNo"/>
        </w:rPr>
        <w:lastRenderedPageBreak/>
        <w:t>Schedule</w:t>
      </w:r>
      <w:r w:rsidR="00DA13DE" w:rsidRPr="000C4237">
        <w:rPr>
          <w:rStyle w:val="CharChapNo"/>
        </w:rPr>
        <w:t> </w:t>
      </w:r>
      <w:r w:rsidR="002A22A4" w:rsidRPr="000C4237">
        <w:rPr>
          <w:rStyle w:val="CharChapNo"/>
        </w:rPr>
        <w:t>12</w:t>
      </w:r>
      <w:r w:rsidRPr="006E709F">
        <w:t>—</w:t>
      </w:r>
      <w:r w:rsidR="002A22A4" w:rsidRPr="000C4237">
        <w:rPr>
          <w:rStyle w:val="CharChapText"/>
        </w:rPr>
        <w:t>ASIC transitional standards</w:t>
      </w:r>
      <w:bookmarkEnd w:id="181"/>
    </w:p>
    <w:p w:rsidR="002A22A4" w:rsidRPr="006E709F" w:rsidRDefault="002A22A4" w:rsidP="00A801D0">
      <w:pPr>
        <w:pStyle w:val="notemargin"/>
      </w:pPr>
      <w:r w:rsidRPr="006E709F">
        <w:t>(regulation</w:t>
      </w:r>
      <w:r w:rsidR="00DA13DE" w:rsidRPr="006E709F">
        <w:t> </w:t>
      </w:r>
      <w:r w:rsidRPr="006E709F">
        <w:t>12.7.01)</w:t>
      </w:r>
    </w:p>
    <w:p w:rsidR="002A22A4" w:rsidRPr="006E709F" w:rsidRDefault="00A801D0" w:rsidP="002A22A4">
      <w:pPr>
        <w:pStyle w:val="Header"/>
      </w:pPr>
      <w:r w:rsidRPr="000C4237">
        <w:rPr>
          <w:rStyle w:val="CharPartNo"/>
        </w:rPr>
        <w:t xml:space="preserve"> </w:t>
      </w:r>
      <w:r w:rsidRPr="000C4237">
        <w:rPr>
          <w:rStyle w:val="CharPartText"/>
        </w:rPr>
        <w:t xml:space="preserve"> </w:t>
      </w:r>
    </w:p>
    <w:p w:rsidR="002A22A4" w:rsidRPr="006E709F" w:rsidRDefault="002A22A4" w:rsidP="00A801D0">
      <w:pPr>
        <w:pStyle w:val="subsection"/>
      </w:pPr>
      <w:r w:rsidRPr="006E709F">
        <w:rPr>
          <w:color w:val="000000"/>
        </w:rPr>
        <w:t>1.</w:t>
      </w:r>
      <w:r w:rsidRPr="006E709F">
        <w:rPr>
          <w:color w:val="000000"/>
        </w:rPr>
        <w:tab/>
      </w:r>
      <w:r w:rsidRPr="006E709F">
        <w:rPr>
          <w:color w:val="000000"/>
        </w:rPr>
        <w:tab/>
        <w:t xml:space="preserve">The following provisions of Book 3 of the Prudential Notes and Prudential Standards issued by AFIC under </w:t>
      </w:r>
      <w:r w:rsidR="00A801D0" w:rsidRPr="006E709F">
        <w:rPr>
          <w:color w:val="000000"/>
        </w:rPr>
        <w:t>Part</w:t>
      </w:r>
      <w:r w:rsidR="00DA13DE" w:rsidRPr="006E709F">
        <w:rPr>
          <w:color w:val="000000"/>
        </w:rPr>
        <w:t> </w:t>
      </w:r>
      <w:r w:rsidRPr="006E709F">
        <w:rPr>
          <w:color w:val="000000"/>
        </w:rPr>
        <w:t>4 of the AFIC Code of a State or Territory, as in force immediately before the transfer date:</w:t>
      </w:r>
    </w:p>
    <w:p w:rsidR="002A22A4" w:rsidRPr="006E709F" w:rsidRDefault="002A22A4" w:rsidP="00A801D0">
      <w:pPr>
        <w:pStyle w:val="paragraph"/>
      </w:pPr>
      <w:r w:rsidRPr="006E709F">
        <w:rPr>
          <w:color w:val="000000"/>
        </w:rPr>
        <w:tab/>
        <w:t>(a)</w:t>
      </w:r>
      <w:r w:rsidRPr="006E709F">
        <w:rPr>
          <w:color w:val="000000"/>
        </w:rPr>
        <w:tab/>
        <w:t xml:space="preserve">the modification of the accounting standard known as Accounting Standard AASB 1032 (published in the </w:t>
      </w:r>
      <w:r w:rsidRPr="006E709F">
        <w:rPr>
          <w:i/>
          <w:color w:val="000000"/>
        </w:rPr>
        <w:t>Gazette</w:t>
      </w:r>
      <w:r w:rsidRPr="006E709F">
        <w:rPr>
          <w:color w:val="000000"/>
        </w:rPr>
        <w:t xml:space="preserve"> on 12</w:t>
      </w:r>
      <w:r w:rsidR="00DA13DE" w:rsidRPr="006E709F">
        <w:rPr>
          <w:color w:val="000000"/>
        </w:rPr>
        <w:t> </w:t>
      </w:r>
      <w:r w:rsidRPr="006E709F">
        <w:rPr>
          <w:color w:val="000000"/>
        </w:rPr>
        <w:t xml:space="preserve">December 1996) by Prudential Standard 3.3.1, except the definition of </w:t>
      </w:r>
      <w:r w:rsidRPr="006E709F">
        <w:rPr>
          <w:b/>
          <w:i/>
          <w:color w:val="000000"/>
        </w:rPr>
        <w:t>deposits</w:t>
      </w:r>
      <w:r w:rsidRPr="006E709F">
        <w:rPr>
          <w:b/>
          <w:color w:val="000000"/>
        </w:rPr>
        <w:t xml:space="preserve"> </w:t>
      </w:r>
      <w:r w:rsidRPr="006E709F">
        <w:rPr>
          <w:color w:val="000000"/>
        </w:rPr>
        <w:t>added to the accounting standard by the Prudential Standard;</w:t>
      </w:r>
    </w:p>
    <w:p w:rsidR="002A22A4" w:rsidRPr="006E709F" w:rsidRDefault="002A22A4" w:rsidP="00A801D0">
      <w:pPr>
        <w:pStyle w:val="paragraph"/>
      </w:pPr>
      <w:r w:rsidRPr="006E709F">
        <w:tab/>
        <w:t>(b)</w:t>
      </w:r>
      <w:r w:rsidRPr="006E709F">
        <w:tab/>
        <w:t>Prudential Standard 3.5.4;</w:t>
      </w:r>
    </w:p>
    <w:p w:rsidR="002A22A4" w:rsidRPr="006E709F" w:rsidRDefault="002A22A4" w:rsidP="00A801D0">
      <w:pPr>
        <w:pStyle w:val="paragraph"/>
      </w:pPr>
      <w:r w:rsidRPr="006E709F">
        <w:tab/>
        <w:t>(c)</w:t>
      </w:r>
      <w:r w:rsidRPr="006E709F">
        <w:tab/>
        <w:t>Prudential Standard 3.5.5;</w:t>
      </w:r>
    </w:p>
    <w:p w:rsidR="002A22A4" w:rsidRPr="006E709F" w:rsidRDefault="002A22A4" w:rsidP="00A801D0">
      <w:pPr>
        <w:pStyle w:val="paragraph"/>
      </w:pPr>
      <w:r w:rsidRPr="006E709F">
        <w:tab/>
        <w:t>(d)</w:t>
      </w:r>
      <w:r w:rsidRPr="006E709F">
        <w:tab/>
        <w:t>Prudential Standard 3.7.1;</w:t>
      </w:r>
    </w:p>
    <w:p w:rsidR="002A22A4" w:rsidRPr="006E709F" w:rsidRDefault="002A22A4" w:rsidP="00A801D0">
      <w:pPr>
        <w:pStyle w:val="paragraph"/>
      </w:pPr>
      <w:r w:rsidRPr="006E709F">
        <w:tab/>
        <w:t>(e)</w:t>
      </w:r>
      <w:r w:rsidRPr="006E709F">
        <w:tab/>
        <w:t>Prudential Standard 3.7.4;</w:t>
      </w:r>
    </w:p>
    <w:p w:rsidR="002A22A4" w:rsidRPr="006E709F" w:rsidRDefault="002A22A4" w:rsidP="00A801D0">
      <w:pPr>
        <w:pStyle w:val="paragraph"/>
      </w:pPr>
      <w:r w:rsidRPr="006E709F">
        <w:tab/>
        <w:t>(f)</w:t>
      </w:r>
      <w:r w:rsidRPr="006E709F">
        <w:tab/>
        <w:t>Prudential Standard 3.7.5.</w:t>
      </w:r>
    </w:p>
    <w:p w:rsidR="002A22A4" w:rsidRPr="006E709F" w:rsidRDefault="002A22A4" w:rsidP="00A801D0">
      <w:pPr>
        <w:pStyle w:val="subsection"/>
      </w:pPr>
      <w:r w:rsidRPr="006E709F">
        <w:rPr>
          <w:color w:val="000000"/>
        </w:rPr>
        <w:t>2.</w:t>
      </w:r>
      <w:r w:rsidRPr="006E709F">
        <w:rPr>
          <w:color w:val="000000"/>
        </w:rPr>
        <w:tab/>
      </w:r>
      <w:r w:rsidRPr="006E709F">
        <w:rPr>
          <w:color w:val="000000"/>
        </w:rPr>
        <w:tab/>
        <w:t xml:space="preserve">The following provisions of Book 4 of the Prudential Notes and Prudential Standards issued by AFIC under </w:t>
      </w:r>
      <w:r w:rsidR="00A801D0" w:rsidRPr="006E709F">
        <w:rPr>
          <w:color w:val="000000"/>
        </w:rPr>
        <w:t>Part</w:t>
      </w:r>
      <w:r w:rsidR="00DA13DE" w:rsidRPr="006E709F">
        <w:rPr>
          <w:color w:val="000000"/>
        </w:rPr>
        <w:t> </w:t>
      </w:r>
      <w:r w:rsidRPr="006E709F">
        <w:rPr>
          <w:color w:val="000000"/>
        </w:rPr>
        <w:t>4 of the AFIC Code of a State or Territory, as in force immediately before the transfer date:</w:t>
      </w:r>
    </w:p>
    <w:p w:rsidR="002A22A4" w:rsidRPr="006E709F" w:rsidRDefault="002A22A4" w:rsidP="00A801D0">
      <w:pPr>
        <w:pStyle w:val="paragraph"/>
      </w:pPr>
      <w:r w:rsidRPr="006E709F">
        <w:rPr>
          <w:color w:val="000000"/>
        </w:rPr>
        <w:tab/>
        <w:t>(a)</w:t>
      </w:r>
      <w:r w:rsidRPr="006E709F">
        <w:rPr>
          <w:color w:val="000000"/>
        </w:rPr>
        <w:tab/>
        <w:t xml:space="preserve">the modification of the accounting standard known Accounting Standard AASB 1032 (published in the </w:t>
      </w:r>
      <w:r w:rsidRPr="006E709F">
        <w:rPr>
          <w:i/>
          <w:color w:val="000000"/>
        </w:rPr>
        <w:t>Gazette</w:t>
      </w:r>
      <w:r w:rsidRPr="006E709F">
        <w:rPr>
          <w:color w:val="000000"/>
        </w:rPr>
        <w:t xml:space="preserve"> on 12</w:t>
      </w:r>
      <w:r w:rsidR="00DA13DE" w:rsidRPr="006E709F">
        <w:rPr>
          <w:color w:val="000000"/>
        </w:rPr>
        <w:t> </w:t>
      </w:r>
      <w:r w:rsidRPr="006E709F">
        <w:rPr>
          <w:color w:val="000000"/>
        </w:rPr>
        <w:t xml:space="preserve">December 1996) by Prudential Standard 4.3.1, except the definition of </w:t>
      </w:r>
      <w:r w:rsidRPr="006E709F">
        <w:rPr>
          <w:b/>
          <w:i/>
          <w:color w:val="000000"/>
        </w:rPr>
        <w:t>deposits</w:t>
      </w:r>
      <w:r w:rsidRPr="006E709F">
        <w:rPr>
          <w:b/>
          <w:color w:val="000000"/>
        </w:rPr>
        <w:t xml:space="preserve"> </w:t>
      </w:r>
      <w:r w:rsidRPr="006E709F">
        <w:rPr>
          <w:color w:val="000000"/>
        </w:rPr>
        <w:t>added to the accounting standard by the Prudential Standard;</w:t>
      </w:r>
    </w:p>
    <w:p w:rsidR="002A22A4" w:rsidRPr="006E709F" w:rsidRDefault="002A22A4" w:rsidP="00A801D0">
      <w:pPr>
        <w:pStyle w:val="paragraph"/>
      </w:pPr>
      <w:r w:rsidRPr="006E709F">
        <w:tab/>
        <w:t>(b)</w:t>
      </w:r>
      <w:r w:rsidRPr="006E709F">
        <w:tab/>
        <w:t>Prudential Standard 4.7.1;</w:t>
      </w:r>
    </w:p>
    <w:p w:rsidR="002A22A4" w:rsidRPr="006E709F" w:rsidRDefault="002A22A4" w:rsidP="00A801D0">
      <w:pPr>
        <w:pStyle w:val="paragraph"/>
      </w:pPr>
      <w:r w:rsidRPr="006E709F">
        <w:tab/>
        <w:t>(c)</w:t>
      </w:r>
      <w:r w:rsidRPr="006E709F">
        <w:tab/>
        <w:t>Prudential Standard 4.7.4;</w:t>
      </w:r>
    </w:p>
    <w:p w:rsidR="002A22A4" w:rsidRPr="006E709F" w:rsidRDefault="002A22A4" w:rsidP="00A801D0">
      <w:pPr>
        <w:pStyle w:val="paragraph"/>
      </w:pPr>
      <w:r w:rsidRPr="006E709F">
        <w:tab/>
        <w:t>(d)</w:t>
      </w:r>
      <w:r w:rsidRPr="006E709F">
        <w:tab/>
        <w:t>Prudential Standard 4.7.5.</w:t>
      </w:r>
    </w:p>
    <w:p w:rsidR="002A22A4" w:rsidRPr="006E709F" w:rsidRDefault="002A22A4" w:rsidP="00A801D0">
      <w:pPr>
        <w:pStyle w:val="subsection"/>
      </w:pPr>
      <w:r w:rsidRPr="006E709F">
        <w:rPr>
          <w:color w:val="000000"/>
        </w:rPr>
        <w:t>3.</w:t>
      </w:r>
      <w:r w:rsidRPr="006E709F">
        <w:rPr>
          <w:color w:val="000000"/>
        </w:rPr>
        <w:tab/>
      </w:r>
      <w:r w:rsidRPr="006E709F">
        <w:rPr>
          <w:color w:val="000000"/>
        </w:rPr>
        <w:tab/>
        <w:t xml:space="preserve">The following provisions of Book 5 of the Prudential Notes and Prudential Standards issued by AFIC under </w:t>
      </w:r>
      <w:r w:rsidR="00A801D0" w:rsidRPr="006E709F">
        <w:rPr>
          <w:color w:val="000000"/>
        </w:rPr>
        <w:t>Part</w:t>
      </w:r>
      <w:r w:rsidR="00DA13DE" w:rsidRPr="006E709F">
        <w:rPr>
          <w:color w:val="000000"/>
        </w:rPr>
        <w:t> </w:t>
      </w:r>
      <w:r w:rsidRPr="006E709F">
        <w:rPr>
          <w:color w:val="000000"/>
        </w:rPr>
        <w:t>4 of the AFIC Code of a State or Territory, as in force immediately before the transfer date:</w:t>
      </w:r>
    </w:p>
    <w:p w:rsidR="002A22A4" w:rsidRPr="006E709F" w:rsidRDefault="002A22A4" w:rsidP="00A801D0">
      <w:pPr>
        <w:pStyle w:val="paragraph"/>
      </w:pPr>
      <w:r w:rsidRPr="006E709F">
        <w:rPr>
          <w:color w:val="000000"/>
        </w:rPr>
        <w:tab/>
        <w:t>(a)</w:t>
      </w:r>
      <w:r w:rsidRPr="006E709F">
        <w:rPr>
          <w:color w:val="000000"/>
        </w:rPr>
        <w:tab/>
        <w:t>Prudential Standard 5.5.1;</w:t>
      </w:r>
    </w:p>
    <w:p w:rsidR="002A22A4" w:rsidRPr="006E709F" w:rsidRDefault="002A22A4" w:rsidP="00A801D0">
      <w:pPr>
        <w:pStyle w:val="paragraph"/>
      </w:pPr>
      <w:r w:rsidRPr="006E709F">
        <w:tab/>
        <w:t>(b)</w:t>
      </w:r>
      <w:r w:rsidRPr="006E709F">
        <w:tab/>
        <w:t>Prudential Standard 5.5.3;</w:t>
      </w:r>
    </w:p>
    <w:p w:rsidR="002A22A4" w:rsidRPr="006E709F" w:rsidRDefault="002A22A4" w:rsidP="00A801D0">
      <w:pPr>
        <w:pStyle w:val="paragraph"/>
      </w:pPr>
      <w:r w:rsidRPr="006E709F">
        <w:tab/>
        <w:t>(c)</w:t>
      </w:r>
      <w:r w:rsidRPr="006E709F">
        <w:tab/>
        <w:t>Prudential Standard 5.5.4.</w:t>
      </w:r>
    </w:p>
    <w:p w:rsidR="002A22A4" w:rsidRPr="006E709F" w:rsidRDefault="002A22A4" w:rsidP="00A801D0">
      <w:pPr>
        <w:pStyle w:val="subsection"/>
      </w:pPr>
      <w:r w:rsidRPr="006E709F">
        <w:rPr>
          <w:color w:val="000000"/>
        </w:rPr>
        <w:t>4.</w:t>
      </w:r>
      <w:r w:rsidRPr="006E709F">
        <w:rPr>
          <w:color w:val="000000"/>
        </w:rPr>
        <w:tab/>
      </w:r>
      <w:r w:rsidRPr="006E709F">
        <w:rPr>
          <w:color w:val="000000"/>
        </w:rPr>
        <w:tab/>
        <w:t xml:space="preserve">The following provisions of Book 6 of the Prudential Notes and Prudential Standards issued by AFIC under </w:t>
      </w:r>
      <w:r w:rsidR="00A801D0" w:rsidRPr="006E709F">
        <w:rPr>
          <w:color w:val="000000"/>
        </w:rPr>
        <w:t>Part</w:t>
      </w:r>
      <w:r w:rsidR="00DA13DE" w:rsidRPr="006E709F">
        <w:rPr>
          <w:color w:val="000000"/>
        </w:rPr>
        <w:t> </w:t>
      </w:r>
      <w:r w:rsidRPr="006E709F">
        <w:rPr>
          <w:color w:val="000000"/>
        </w:rPr>
        <w:t>4 of the AFIC Code of a State or Territory, as in force immediately before the transfer date:</w:t>
      </w:r>
    </w:p>
    <w:p w:rsidR="002A22A4" w:rsidRPr="006E709F" w:rsidRDefault="002A22A4" w:rsidP="00A801D0">
      <w:pPr>
        <w:pStyle w:val="paragraph"/>
      </w:pPr>
      <w:r w:rsidRPr="006E709F">
        <w:rPr>
          <w:color w:val="000000"/>
        </w:rPr>
        <w:tab/>
        <w:t>(a)</w:t>
      </w:r>
      <w:r w:rsidRPr="006E709F">
        <w:rPr>
          <w:color w:val="000000"/>
        </w:rPr>
        <w:tab/>
        <w:t>Prudential Standard 6.7.2;</w:t>
      </w:r>
    </w:p>
    <w:p w:rsidR="002A22A4" w:rsidRPr="006E709F" w:rsidRDefault="002A22A4" w:rsidP="00A801D0">
      <w:pPr>
        <w:pStyle w:val="paragraph"/>
      </w:pPr>
      <w:r w:rsidRPr="006E709F">
        <w:tab/>
        <w:t>(b)</w:t>
      </w:r>
      <w:r w:rsidRPr="006E709F">
        <w:tab/>
        <w:t>Prudential Standard 6.7.4;</w:t>
      </w:r>
    </w:p>
    <w:p w:rsidR="002A22A4" w:rsidRPr="006E709F" w:rsidRDefault="002A22A4" w:rsidP="00A801D0">
      <w:pPr>
        <w:pStyle w:val="paragraph"/>
      </w:pPr>
      <w:r w:rsidRPr="006E709F">
        <w:tab/>
        <w:t>(c)</w:t>
      </w:r>
      <w:r w:rsidRPr="006E709F">
        <w:tab/>
        <w:t>Prudential Standard 6.7.5;</w:t>
      </w:r>
    </w:p>
    <w:p w:rsidR="002A22A4" w:rsidRPr="006E709F" w:rsidRDefault="002A22A4" w:rsidP="00A801D0">
      <w:pPr>
        <w:pStyle w:val="paragraph"/>
      </w:pPr>
      <w:r w:rsidRPr="006E709F">
        <w:tab/>
        <w:t>(d)</w:t>
      </w:r>
      <w:r w:rsidRPr="006E709F">
        <w:tab/>
        <w:t>Prudential Standard 6.8.3.</w:t>
      </w:r>
    </w:p>
    <w:p w:rsidR="00E8131B" w:rsidRPr="006E709F" w:rsidRDefault="00E8131B" w:rsidP="00A52BA3">
      <w:pPr>
        <w:pStyle w:val="ActHead1"/>
        <w:pageBreakBefore/>
      </w:pPr>
      <w:bookmarkStart w:id="182" w:name="_Toc170547999"/>
      <w:r w:rsidRPr="000C4237">
        <w:rPr>
          <w:rStyle w:val="CharChapNo"/>
        </w:rPr>
        <w:lastRenderedPageBreak/>
        <w:t>Schedule</w:t>
      </w:r>
      <w:r w:rsidR="00DA13DE" w:rsidRPr="000C4237">
        <w:rPr>
          <w:rStyle w:val="CharChapNo"/>
        </w:rPr>
        <w:t> </w:t>
      </w:r>
      <w:r w:rsidRPr="000C4237">
        <w:rPr>
          <w:rStyle w:val="CharChapNo"/>
        </w:rPr>
        <w:t>13</w:t>
      </w:r>
      <w:r w:rsidRPr="006E709F">
        <w:t>—</w:t>
      </w:r>
      <w:r w:rsidRPr="000C4237">
        <w:rPr>
          <w:rStyle w:val="CharChapText"/>
        </w:rPr>
        <w:t>Transition to Part</w:t>
      </w:r>
      <w:r w:rsidR="00DA13DE" w:rsidRPr="000C4237">
        <w:rPr>
          <w:rStyle w:val="CharChapText"/>
        </w:rPr>
        <w:t> </w:t>
      </w:r>
      <w:r w:rsidRPr="000C4237">
        <w:rPr>
          <w:rStyle w:val="CharChapText"/>
        </w:rPr>
        <w:t>3 of the Insolvency Practice Schedule (Corporations)</w:t>
      </w:r>
      <w:bookmarkEnd w:id="182"/>
    </w:p>
    <w:p w:rsidR="00E8131B" w:rsidRPr="006E709F" w:rsidRDefault="00E8131B" w:rsidP="009244F1">
      <w:pPr>
        <w:pStyle w:val="notemargin"/>
      </w:pPr>
      <w:r w:rsidRPr="006E709F">
        <w:t>Note:</w:t>
      </w:r>
      <w:r w:rsidRPr="006E709F">
        <w:tab/>
        <w:t>See subregulation</w:t>
      </w:r>
      <w:r w:rsidR="00DA13DE" w:rsidRPr="006E709F">
        <w:t> </w:t>
      </w:r>
      <w:r w:rsidRPr="006E709F">
        <w:t>10.25.01(3).</w:t>
      </w:r>
    </w:p>
    <w:p w:rsidR="00E8131B" w:rsidRPr="006E709F" w:rsidRDefault="00E8131B" w:rsidP="00E8131B">
      <w:pPr>
        <w:pStyle w:val="Header"/>
      </w:pPr>
      <w:bookmarkStart w:id="183" w:name="f_Check_Lines_below"/>
      <w:bookmarkEnd w:id="183"/>
      <w:r w:rsidRPr="000C4237">
        <w:rPr>
          <w:rStyle w:val="CharPartNo"/>
        </w:rPr>
        <w:t xml:space="preserve"> </w:t>
      </w:r>
      <w:r w:rsidRPr="000C4237">
        <w:rPr>
          <w:rStyle w:val="CharPartText"/>
        </w:rPr>
        <w:t xml:space="preserve"> </w:t>
      </w:r>
    </w:p>
    <w:p w:rsidR="00E8131B" w:rsidRPr="006E709F" w:rsidRDefault="00E8131B" w:rsidP="00E8131B">
      <w:pPr>
        <w:pStyle w:val="Header"/>
      </w:pPr>
      <w:r w:rsidRPr="000C4237">
        <w:rPr>
          <w:rStyle w:val="CharDivNo"/>
        </w:rPr>
        <w:t xml:space="preserve"> </w:t>
      </w:r>
      <w:r w:rsidRPr="000C4237">
        <w:rPr>
          <w:rStyle w:val="CharDivText"/>
        </w:rPr>
        <w:t xml:space="preserve"> </w:t>
      </w:r>
    </w:p>
    <w:p w:rsidR="00E8131B" w:rsidRPr="006E709F" w:rsidRDefault="00E8131B" w:rsidP="00F00C89">
      <w:pPr>
        <w:pStyle w:val="Specialaat"/>
      </w:pPr>
      <w:r w:rsidRPr="006E709F">
        <w:t>Corporations Act 2001</w:t>
      </w:r>
    </w:p>
    <w:p w:rsidR="00E8131B" w:rsidRPr="006E709F" w:rsidRDefault="00E8131B" w:rsidP="00A52BA3">
      <w:pPr>
        <w:pStyle w:val="ItemHead"/>
      </w:pPr>
      <w:r w:rsidRPr="006E709F">
        <w:t>1  Section</w:t>
      </w:r>
      <w:r w:rsidR="00DA13DE" w:rsidRPr="006E709F">
        <w:t> </w:t>
      </w:r>
      <w:r w:rsidRPr="006E709F">
        <w:t>1550 (paragraph relating to Part</w:t>
      </w:r>
      <w:r w:rsidR="00DA13DE" w:rsidRPr="006E709F">
        <w:t> </w:t>
      </w:r>
      <w:r w:rsidRPr="006E709F">
        <w:t>3)</w:t>
      </w:r>
    </w:p>
    <w:p w:rsidR="00E8131B" w:rsidRPr="006E709F" w:rsidRDefault="00E8131B" w:rsidP="00F925D9">
      <w:pPr>
        <w:pStyle w:val="Item"/>
        <w:keepLines w:val="0"/>
      </w:pPr>
      <w:r w:rsidRPr="006E709F">
        <w:t>Omit “that starts on or after the commencement of Part</w:t>
      </w:r>
      <w:r w:rsidR="00DA13DE" w:rsidRPr="006E709F">
        <w:t> </w:t>
      </w:r>
      <w:r w:rsidRPr="006E709F">
        <w:t>1 of Schedule</w:t>
      </w:r>
      <w:r w:rsidR="00DA13DE" w:rsidRPr="006E709F">
        <w:t> </w:t>
      </w:r>
      <w:r w:rsidRPr="006E709F">
        <w:t xml:space="preserve">2 to the </w:t>
      </w:r>
      <w:r w:rsidRPr="006E709F">
        <w:rPr>
          <w:i/>
        </w:rPr>
        <w:t>Insolvency Law Reform Act 2016</w:t>
      </w:r>
      <w:r w:rsidRPr="006E709F">
        <w:t>”, substitute “that starts on or after 1</w:t>
      </w:r>
      <w:r w:rsidR="00DA13DE" w:rsidRPr="006E709F">
        <w:t> </w:t>
      </w:r>
      <w:r w:rsidRPr="006E709F">
        <w:t>September 2017”.</w:t>
      </w:r>
    </w:p>
    <w:p w:rsidR="00E8131B" w:rsidRPr="006E709F" w:rsidRDefault="00E8131B" w:rsidP="00A52BA3">
      <w:pPr>
        <w:pStyle w:val="ItemHead"/>
      </w:pPr>
      <w:r w:rsidRPr="006E709F">
        <w:t>2  After section</w:t>
      </w:r>
      <w:r w:rsidR="00DA13DE" w:rsidRPr="006E709F">
        <w:t> </w:t>
      </w:r>
      <w:r w:rsidRPr="006E709F">
        <w:t>1554</w:t>
      </w:r>
    </w:p>
    <w:p w:rsidR="00E8131B" w:rsidRPr="006E709F" w:rsidRDefault="00E8131B" w:rsidP="00E8131B">
      <w:pPr>
        <w:pStyle w:val="Item"/>
      </w:pPr>
      <w:r w:rsidRPr="006E709F">
        <w:t>Insert:</w:t>
      </w:r>
    </w:p>
    <w:p w:rsidR="00E8131B" w:rsidRPr="006E709F" w:rsidRDefault="00E8131B" w:rsidP="00A52BA3">
      <w:pPr>
        <w:pStyle w:val="Specials"/>
      </w:pPr>
      <w:r w:rsidRPr="006E709F">
        <w:t>1554A  Saving of Register of Official Liquidators</w:t>
      </w:r>
    </w:p>
    <w:p w:rsidR="00E8131B" w:rsidRPr="006E709F" w:rsidRDefault="00E8131B" w:rsidP="00E8131B">
      <w:pPr>
        <w:pStyle w:val="subsection"/>
      </w:pPr>
      <w:r w:rsidRPr="006E709F">
        <w:tab/>
        <w:t>(1)</w:t>
      </w:r>
      <w:r w:rsidRPr="006E709F">
        <w:tab/>
        <w:t>This section applies to the Register of Official Liquidators kept in accordance with subsection</w:t>
      </w:r>
      <w:r w:rsidR="00DA13DE" w:rsidRPr="006E709F">
        <w:t> </w:t>
      </w:r>
      <w:r w:rsidRPr="006E709F">
        <w:t>1286(2) of the old Act.</w:t>
      </w:r>
    </w:p>
    <w:p w:rsidR="00E8131B" w:rsidRPr="006E709F" w:rsidRDefault="00E8131B" w:rsidP="00E8131B">
      <w:pPr>
        <w:pStyle w:val="subsection"/>
      </w:pPr>
      <w:r w:rsidRPr="006E709F">
        <w:tab/>
        <w:t>(2)</w:t>
      </w:r>
      <w:r w:rsidRPr="006E709F">
        <w:tab/>
        <w:t>Despite the repeal of sections</w:t>
      </w:r>
      <w:r w:rsidR="00DA13DE" w:rsidRPr="006E709F">
        <w:t> </w:t>
      </w:r>
      <w:r w:rsidRPr="006E709F">
        <w:t>1283 and 1286 by Schedule</w:t>
      </w:r>
      <w:r w:rsidR="00DA13DE" w:rsidRPr="006E709F">
        <w:t> </w:t>
      </w:r>
      <w:r w:rsidRPr="006E709F">
        <w:t xml:space="preserve">2 to the </w:t>
      </w:r>
      <w:r w:rsidRPr="006E709F">
        <w:rPr>
          <w:i/>
        </w:rPr>
        <w:t>Insolvency Law Reform Act 2016</w:t>
      </w:r>
      <w:r w:rsidRPr="006E709F">
        <w:t>, the Register of Official Liquidators continues in existence, and may be dealt with, as if those repeals had not happened.</w:t>
      </w:r>
    </w:p>
    <w:p w:rsidR="00E8131B" w:rsidRPr="006E709F" w:rsidRDefault="00E8131B" w:rsidP="00A52BA3">
      <w:pPr>
        <w:pStyle w:val="ItemHead"/>
      </w:pPr>
      <w:r w:rsidRPr="006E709F">
        <w:t>3  Section</w:t>
      </w:r>
      <w:r w:rsidR="00DA13DE" w:rsidRPr="006E709F">
        <w:t> </w:t>
      </w:r>
      <w:r w:rsidRPr="006E709F">
        <w:t>1578 (paragraph relating to new external administrations)</w:t>
      </w:r>
    </w:p>
    <w:p w:rsidR="00E8131B" w:rsidRPr="006E709F" w:rsidRDefault="00E8131B" w:rsidP="00F925D9">
      <w:pPr>
        <w:pStyle w:val="Item"/>
        <w:keepLines w:val="0"/>
      </w:pPr>
      <w:r w:rsidRPr="006E709F">
        <w:t xml:space="preserve">Omit “the commencement of the </w:t>
      </w:r>
      <w:r w:rsidRPr="006E709F">
        <w:rPr>
          <w:i/>
        </w:rPr>
        <w:t>Insolvency Law Reform Act 2016</w:t>
      </w:r>
      <w:r w:rsidRPr="006E709F">
        <w:t xml:space="preserve"> (called new external administrations)”, substitute “1</w:t>
      </w:r>
      <w:r w:rsidR="00DA13DE" w:rsidRPr="006E709F">
        <w:t> </w:t>
      </w:r>
      <w:r w:rsidRPr="006E709F">
        <w:t>September 2017”.</w:t>
      </w:r>
    </w:p>
    <w:p w:rsidR="00E8131B" w:rsidRPr="006E709F" w:rsidRDefault="00E8131B" w:rsidP="00A52BA3">
      <w:pPr>
        <w:pStyle w:val="ItemHead"/>
      </w:pPr>
      <w:r w:rsidRPr="006E709F">
        <w:t>4  Section</w:t>
      </w:r>
      <w:r w:rsidR="00DA13DE" w:rsidRPr="006E709F">
        <w:t> </w:t>
      </w:r>
      <w:r w:rsidRPr="006E709F">
        <w:t>1579</w:t>
      </w:r>
    </w:p>
    <w:p w:rsidR="00E8131B" w:rsidRPr="006E709F" w:rsidRDefault="00E8131B" w:rsidP="00F925D9">
      <w:pPr>
        <w:pStyle w:val="Item"/>
        <w:keepLines w:val="0"/>
      </w:pPr>
      <w:r w:rsidRPr="006E709F">
        <w:t>Repeal the section, substitute:</w:t>
      </w:r>
    </w:p>
    <w:p w:rsidR="00E8131B" w:rsidRPr="006E709F" w:rsidRDefault="00E8131B" w:rsidP="00A52BA3">
      <w:pPr>
        <w:pStyle w:val="Specials"/>
      </w:pPr>
      <w:r w:rsidRPr="006E709F">
        <w:t>1579  Application of Part</w:t>
      </w:r>
      <w:r w:rsidR="00DA13DE" w:rsidRPr="006E709F">
        <w:t> </w:t>
      </w:r>
      <w:r w:rsidRPr="006E709F">
        <w:t>3 of the Insolvency Practice Schedule (Corporations)—general rules</w:t>
      </w:r>
    </w:p>
    <w:p w:rsidR="00E8131B" w:rsidRPr="006E709F" w:rsidRDefault="00E8131B" w:rsidP="00E8131B">
      <w:pPr>
        <w:pStyle w:val="subsection"/>
      </w:pPr>
      <w:r w:rsidRPr="006E709F">
        <w:tab/>
        <w:t>(1)</w:t>
      </w:r>
      <w:r w:rsidRPr="006E709F">
        <w:tab/>
        <w:t>Part</w:t>
      </w:r>
      <w:r w:rsidR="00DA13DE" w:rsidRPr="006E709F">
        <w:t> </w:t>
      </w:r>
      <w:r w:rsidRPr="006E709F">
        <w:t>3 of the Insolvency Practice Schedule (Corporations) applies in relation to an external administration of a company that starts on or after 1</w:t>
      </w:r>
      <w:r w:rsidR="00DA13DE" w:rsidRPr="006E709F">
        <w:t> </w:t>
      </w:r>
      <w:r w:rsidRPr="006E709F">
        <w:t>September 2017.</w:t>
      </w:r>
    </w:p>
    <w:p w:rsidR="00E8131B" w:rsidRPr="006E709F" w:rsidRDefault="00E8131B" w:rsidP="00E8131B">
      <w:pPr>
        <w:pStyle w:val="subsection"/>
      </w:pPr>
      <w:r w:rsidRPr="006E709F">
        <w:tab/>
        <w:t>(2)</w:t>
      </w:r>
      <w:r w:rsidRPr="006E709F">
        <w:tab/>
        <w:t>Part</w:t>
      </w:r>
      <w:r w:rsidR="00DA13DE" w:rsidRPr="006E709F">
        <w:t> </w:t>
      </w:r>
      <w:r w:rsidRPr="006E709F">
        <w:t>3 of the Insolvency Practice Schedule (Corporations) applies in relation to an ongoing external administration of a company in accordance with this Division.</w:t>
      </w:r>
    </w:p>
    <w:p w:rsidR="00E8131B" w:rsidRPr="006E709F" w:rsidRDefault="00E8131B" w:rsidP="00A52BA3">
      <w:pPr>
        <w:pStyle w:val="ItemHead"/>
      </w:pPr>
      <w:r w:rsidRPr="006E709F">
        <w:t>5  Sections</w:t>
      </w:r>
      <w:r w:rsidR="00DA13DE" w:rsidRPr="006E709F">
        <w:t> </w:t>
      </w:r>
      <w:r w:rsidRPr="006E709F">
        <w:t>1581 and 1582</w:t>
      </w:r>
    </w:p>
    <w:p w:rsidR="00E8131B" w:rsidRPr="006E709F" w:rsidRDefault="00E8131B" w:rsidP="00E8131B">
      <w:pPr>
        <w:pStyle w:val="Item"/>
      </w:pPr>
      <w:r w:rsidRPr="006E709F">
        <w:t>Repeal the sections, substitute:</w:t>
      </w:r>
    </w:p>
    <w:p w:rsidR="00E8131B" w:rsidRPr="006E709F" w:rsidRDefault="00E8131B" w:rsidP="00A52BA3">
      <w:pPr>
        <w:pStyle w:val="Specials"/>
      </w:pPr>
      <w:r w:rsidRPr="006E709F">
        <w:lastRenderedPageBreak/>
        <w:t>1581  Old Act continues to apply in relation to remuneration for administrators already appointed or appointed during transition period</w:t>
      </w:r>
    </w:p>
    <w:p w:rsidR="00E8131B" w:rsidRPr="006E709F" w:rsidRDefault="00E8131B" w:rsidP="00E8131B">
      <w:pPr>
        <w:pStyle w:val="subsection"/>
      </w:pPr>
      <w:r w:rsidRPr="006E709F">
        <w:tab/>
        <w:t>(1)</w:t>
      </w:r>
      <w:r w:rsidRPr="006E709F">
        <w:tab/>
        <w:t>Despite the repeal of sections</w:t>
      </w:r>
      <w:r w:rsidR="00DA13DE" w:rsidRPr="006E709F">
        <w:t> </w:t>
      </w:r>
      <w:r w:rsidRPr="006E709F">
        <w:t>449E and 473 and the repeal and substitution of subsections</w:t>
      </w:r>
      <w:r w:rsidR="00DA13DE" w:rsidRPr="006E709F">
        <w:t> </w:t>
      </w:r>
      <w:r w:rsidRPr="006E709F">
        <w:t>499(3) to (7) of the old Act by Schedule</w:t>
      </w:r>
      <w:r w:rsidR="00DA13DE" w:rsidRPr="006E709F">
        <w:t> </w:t>
      </w:r>
      <w:r w:rsidRPr="006E709F">
        <w:t xml:space="preserve">2 to the </w:t>
      </w:r>
      <w:r w:rsidRPr="006E709F">
        <w:rPr>
          <w:i/>
        </w:rPr>
        <w:t>Insolvency Law Reform Act 2016</w:t>
      </w:r>
      <w:r w:rsidRPr="006E709F">
        <w:t>, the old Act continues to apply in relation to the remuneration of an external administrator of a company who is appointed:</w:t>
      </w:r>
    </w:p>
    <w:p w:rsidR="00E8131B" w:rsidRPr="006E709F" w:rsidRDefault="00E8131B" w:rsidP="00E8131B">
      <w:pPr>
        <w:pStyle w:val="paragraph"/>
      </w:pPr>
      <w:r w:rsidRPr="006E709F">
        <w:tab/>
        <w:t>(a)</w:t>
      </w:r>
      <w:r w:rsidRPr="006E709F">
        <w:tab/>
        <w:t>before the start time; or</w:t>
      </w:r>
    </w:p>
    <w:p w:rsidR="00E8131B" w:rsidRPr="006E709F" w:rsidRDefault="00E8131B" w:rsidP="00E8131B">
      <w:pPr>
        <w:pStyle w:val="paragraph"/>
      </w:pPr>
      <w:r w:rsidRPr="006E709F">
        <w:tab/>
        <w:t>(b)</w:t>
      </w:r>
      <w:r w:rsidRPr="006E709F">
        <w:tab/>
        <w:t>during the transition period.</w:t>
      </w:r>
    </w:p>
    <w:p w:rsidR="00E8131B" w:rsidRPr="006E709F" w:rsidRDefault="00E8131B" w:rsidP="00E8131B">
      <w:pPr>
        <w:pStyle w:val="subsection"/>
      </w:pPr>
      <w:r w:rsidRPr="006E709F">
        <w:tab/>
        <w:t>(2)</w:t>
      </w:r>
      <w:r w:rsidRPr="006E709F">
        <w:tab/>
        <w:t xml:space="preserve">Despite </w:t>
      </w:r>
      <w:r w:rsidR="00DA13DE" w:rsidRPr="006E709F">
        <w:t>subsection (</w:t>
      </w:r>
      <w:r w:rsidRPr="006E709F">
        <w:t>1), if, under Subdivision F of this Division, Division</w:t>
      </w:r>
      <w:r w:rsidR="00DA13DE" w:rsidRPr="006E709F">
        <w:t> </w:t>
      </w:r>
      <w:r w:rsidRPr="006E709F">
        <w:t>75 of the Insolvency Practice Schedule (Corporations) rather than the old Act would apply to a meeting that deals with the remuneration of an external administrator of a company who is appointed before the start time or during the transition period, Division</w:t>
      </w:r>
      <w:r w:rsidR="00DA13DE" w:rsidRPr="006E709F">
        <w:t> </w:t>
      </w:r>
      <w:r w:rsidRPr="006E709F">
        <w:t>75 of the Insolvency Practice Schedule (Corporations) applies to that meeting.</w:t>
      </w:r>
    </w:p>
    <w:p w:rsidR="00E8131B" w:rsidRPr="006E709F" w:rsidRDefault="00E8131B" w:rsidP="00E8131B">
      <w:pPr>
        <w:pStyle w:val="subsection"/>
      </w:pPr>
      <w:r w:rsidRPr="006E709F">
        <w:tab/>
        <w:t>(3)</w:t>
      </w:r>
      <w:r w:rsidRPr="006E709F">
        <w:tab/>
        <w:t>In this section:</w:t>
      </w:r>
    </w:p>
    <w:p w:rsidR="00E8131B" w:rsidRPr="006E709F" w:rsidRDefault="00E8131B" w:rsidP="00E8131B">
      <w:pPr>
        <w:pStyle w:val="Definition"/>
      </w:pPr>
      <w:r w:rsidRPr="006E709F">
        <w:rPr>
          <w:b/>
          <w:i/>
        </w:rPr>
        <w:t>start time</w:t>
      </w:r>
      <w:r w:rsidRPr="006E709F">
        <w:t xml:space="preserve"> means the commencement of Schedule</w:t>
      </w:r>
      <w:r w:rsidR="00DA13DE" w:rsidRPr="006E709F">
        <w:t> </w:t>
      </w:r>
      <w:r w:rsidRPr="006E709F">
        <w:t xml:space="preserve">1 to the </w:t>
      </w:r>
      <w:r w:rsidRPr="006E709F">
        <w:rPr>
          <w:i/>
        </w:rPr>
        <w:t>Insolvency Law Reform Act 2016</w:t>
      </w:r>
      <w:r w:rsidRPr="006E709F">
        <w:t>.</w:t>
      </w:r>
    </w:p>
    <w:p w:rsidR="00E8131B" w:rsidRPr="006E709F" w:rsidRDefault="00E8131B" w:rsidP="00E8131B">
      <w:pPr>
        <w:pStyle w:val="Definition"/>
      </w:pPr>
      <w:r w:rsidRPr="006E709F">
        <w:rPr>
          <w:b/>
          <w:i/>
        </w:rPr>
        <w:t>transition period</w:t>
      </w:r>
      <w:r w:rsidRPr="006E709F">
        <w:t xml:space="preserve"> means the period:</w:t>
      </w:r>
    </w:p>
    <w:p w:rsidR="00E8131B" w:rsidRPr="006E709F" w:rsidRDefault="00E8131B" w:rsidP="00E8131B">
      <w:pPr>
        <w:pStyle w:val="paragraph"/>
      </w:pPr>
      <w:r w:rsidRPr="006E709F">
        <w:tab/>
        <w:t>(a)</w:t>
      </w:r>
      <w:r w:rsidRPr="006E709F">
        <w:tab/>
        <w:t>starting immediately after the start time; and</w:t>
      </w:r>
    </w:p>
    <w:p w:rsidR="00E8131B" w:rsidRPr="006E709F" w:rsidRDefault="00E8131B" w:rsidP="00E8131B">
      <w:pPr>
        <w:pStyle w:val="paragraph"/>
      </w:pPr>
      <w:r w:rsidRPr="006E709F">
        <w:tab/>
        <w:t>(b)</w:t>
      </w:r>
      <w:r w:rsidRPr="006E709F">
        <w:tab/>
        <w:t>ending at the end of 31</w:t>
      </w:r>
      <w:r w:rsidR="00DA13DE" w:rsidRPr="006E709F">
        <w:t> </w:t>
      </w:r>
      <w:r w:rsidRPr="006E709F">
        <w:t>August 2017.</w:t>
      </w:r>
    </w:p>
    <w:p w:rsidR="00E8131B" w:rsidRPr="006E709F" w:rsidRDefault="00E8131B" w:rsidP="00A52BA3">
      <w:pPr>
        <w:pStyle w:val="Specials"/>
      </w:pPr>
      <w:r w:rsidRPr="006E709F">
        <w:t>1582  Duties of administrators relating to remuneration and other benefits</w:t>
      </w:r>
    </w:p>
    <w:p w:rsidR="00E8131B" w:rsidRPr="006E709F" w:rsidRDefault="00E8131B" w:rsidP="00E8131B">
      <w:pPr>
        <w:pStyle w:val="subsection"/>
      </w:pPr>
      <w:r w:rsidRPr="006E709F">
        <w:tab/>
        <w:t>(1)</w:t>
      </w:r>
      <w:r w:rsidRPr="006E709F">
        <w:tab/>
        <w:t>Section</w:t>
      </w:r>
      <w:r w:rsidR="00DA13DE" w:rsidRPr="006E709F">
        <w:t> </w:t>
      </w:r>
      <w:r w:rsidRPr="006E709F">
        <w:t>60</w:t>
      </w:r>
      <w:r w:rsidR="000C4237">
        <w:noBreakHyphen/>
      </w:r>
      <w:r w:rsidRPr="006E709F">
        <w:t>20 of the Insolvency Practice Schedule (Corporations) applies on and after 1</w:t>
      </w:r>
      <w:r w:rsidR="00DA13DE" w:rsidRPr="006E709F">
        <w:t> </w:t>
      </w:r>
      <w:r w:rsidRPr="006E709F">
        <w:t>September 2017 in relation to an external administrator of an ongoing external administration of a company regardless of when the administrator was appointed.</w:t>
      </w:r>
    </w:p>
    <w:p w:rsidR="00E8131B" w:rsidRPr="006E709F" w:rsidRDefault="00E8131B" w:rsidP="00E8131B">
      <w:pPr>
        <w:pStyle w:val="subsection"/>
      </w:pPr>
      <w:r w:rsidRPr="006E709F">
        <w:tab/>
        <w:t>(2)</w:t>
      </w:r>
      <w:r w:rsidRPr="006E709F">
        <w:tab/>
        <w:t>However, that section does not apply in relation to arrangements made before 1</w:t>
      </w:r>
      <w:r w:rsidR="00DA13DE" w:rsidRPr="006E709F">
        <w:t> </w:t>
      </w:r>
      <w:r w:rsidRPr="006E709F">
        <w:t>September 2017.</w:t>
      </w:r>
    </w:p>
    <w:p w:rsidR="00E8131B" w:rsidRPr="006E709F" w:rsidRDefault="00E8131B" w:rsidP="00A52BA3">
      <w:pPr>
        <w:pStyle w:val="ItemHead"/>
      </w:pPr>
      <w:r w:rsidRPr="006E709F">
        <w:t>6  Subsection</w:t>
      </w:r>
      <w:r w:rsidR="00DA13DE" w:rsidRPr="006E709F">
        <w:t> </w:t>
      </w:r>
      <w:r w:rsidRPr="006E709F">
        <w:t>1582(1)</w:t>
      </w:r>
    </w:p>
    <w:p w:rsidR="00E8131B" w:rsidRPr="006E709F" w:rsidRDefault="00E8131B" w:rsidP="00F925D9">
      <w:pPr>
        <w:pStyle w:val="Item"/>
        <w:keepLines w:val="0"/>
      </w:pPr>
      <w:r w:rsidRPr="006E709F">
        <w:t>After “applies”, insert “on and after 1</w:t>
      </w:r>
      <w:r w:rsidR="00DA13DE" w:rsidRPr="006E709F">
        <w:t> </w:t>
      </w:r>
      <w:r w:rsidRPr="006E709F">
        <w:t>September 2017”.</w:t>
      </w:r>
    </w:p>
    <w:p w:rsidR="00E8131B" w:rsidRPr="006E709F" w:rsidRDefault="00E8131B" w:rsidP="00A52BA3">
      <w:pPr>
        <w:pStyle w:val="ItemHead"/>
      </w:pPr>
      <w:r w:rsidRPr="006E709F">
        <w:t>7  Section</w:t>
      </w:r>
      <w:r w:rsidR="00DA13DE" w:rsidRPr="006E709F">
        <w:t> </w:t>
      </w:r>
      <w:r w:rsidRPr="006E709F">
        <w:t>1584</w:t>
      </w:r>
    </w:p>
    <w:p w:rsidR="00E8131B" w:rsidRPr="006E709F" w:rsidRDefault="00E8131B" w:rsidP="00F925D9">
      <w:pPr>
        <w:pStyle w:val="Item"/>
        <w:keepLines w:val="0"/>
      </w:pPr>
      <w:r w:rsidRPr="006E709F">
        <w:t>Omit all the words after “applies”, substitute “on and after 1</w:t>
      </w:r>
      <w:r w:rsidR="00DA13DE" w:rsidRPr="006E709F">
        <w:t> </w:t>
      </w:r>
      <w:r w:rsidRPr="006E709F">
        <w:t>September 2017 regardless of when the vacancy in the office of the liquidator arose”.</w:t>
      </w:r>
    </w:p>
    <w:p w:rsidR="00E8131B" w:rsidRPr="006E709F" w:rsidRDefault="00E8131B" w:rsidP="00A52BA3">
      <w:pPr>
        <w:pStyle w:val="ItemHead"/>
      </w:pPr>
      <w:r w:rsidRPr="006E709F">
        <w:t>8  At the end of section</w:t>
      </w:r>
      <w:r w:rsidR="00DA13DE" w:rsidRPr="006E709F">
        <w:t> </w:t>
      </w:r>
      <w:r w:rsidRPr="006E709F">
        <w:t>1586</w:t>
      </w:r>
    </w:p>
    <w:p w:rsidR="00E8131B" w:rsidRPr="006E709F" w:rsidRDefault="00E8131B" w:rsidP="00F925D9">
      <w:pPr>
        <w:pStyle w:val="Item"/>
        <w:keepLines w:val="0"/>
      </w:pPr>
      <w:r w:rsidRPr="006E709F">
        <w:t>Add “on and after 1</w:t>
      </w:r>
      <w:r w:rsidR="00DA13DE" w:rsidRPr="006E709F">
        <w:t> </w:t>
      </w:r>
      <w:r w:rsidRPr="006E709F">
        <w:t>September 2017”.</w:t>
      </w:r>
    </w:p>
    <w:p w:rsidR="00E8131B" w:rsidRPr="006E709F" w:rsidRDefault="00E8131B" w:rsidP="00A52BA3">
      <w:pPr>
        <w:pStyle w:val="ItemHead"/>
      </w:pPr>
      <w:r w:rsidRPr="006E709F">
        <w:t>9  Subsection</w:t>
      </w:r>
      <w:r w:rsidR="00DA13DE" w:rsidRPr="006E709F">
        <w:t> </w:t>
      </w:r>
      <w:r w:rsidRPr="006E709F">
        <w:t>1588(2) (heading)</w:t>
      </w:r>
    </w:p>
    <w:p w:rsidR="00E8131B" w:rsidRPr="006E709F" w:rsidRDefault="00E8131B" w:rsidP="00E8131B">
      <w:pPr>
        <w:pStyle w:val="Item"/>
      </w:pPr>
      <w:r w:rsidRPr="006E709F">
        <w:t>Repeal the heading, substitute:</w:t>
      </w:r>
    </w:p>
    <w:p w:rsidR="00E8131B" w:rsidRPr="006E709F" w:rsidRDefault="00E8131B" w:rsidP="00E8131B">
      <w:pPr>
        <w:pStyle w:val="SubsectionHead"/>
      </w:pPr>
      <w:r w:rsidRPr="006E709F">
        <w:lastRenderedPageBreak/>
        <w:t>Old regulations continue to apply to money received before 1</w:t>
      </w:r>
      <w:r w:rsidR="00DA13DE" w:rsidRPr="006E709F">
        <w:t> </w:t>
      </w:r>
      <w:r w:rsidRPr="006E709F">
        <w:t>September 2017</w:t>
      </w:r>
    </w:p>
    <w:p w:rsidR="00E8131B" w:rsidRPr="006E709F" w:rsidRDefault="00E8131B" w:rsidP="00A52BA3">
      <w:pPr>
        <w:pStyle w:val="ItemHead"/>
      </w:pPr>
      <w:r w:rsidRPr="006E709F">
        <w:t>10  Subsection</w:t>
      </w:r>
      <w:r w:rsidR="00DA13DE" w:rsidRPr="006E709F">
        <w:t> </w:t>
      </w:r>
      <w:r w:rsidRPr="006E709F">
        <w:t>1590(2) (heading)</w:t>
      </w:r>
    </w:p>
    <w:p w:rsidR="00E8131B" w:rsidRPr="006E709F" w:rsidRDefault="00E8131B" w:rsidP="00E8131B">
      <w:pPr>
        <w:pStyle w:val="Item"/>
      </w:pPr>
      <w:r w:rsidRPr="006E709F">
        <w:t>Repeal the heading, substitute:</w:t>
      </w:r>
    </w:p>
    <w:p w:rsidR="00E8131B" w:rsidRPr="006E709F" w:rsidRDefault="00E8131B" w:rsidP="00E8131B">
      <w:pPr>
        <w:pStyle w:val="SubsectionHead"/>
      </w:pPr>
      <w:r w:rsidRPr="006E709F">
        <w:t>Old regulations continue to apply to securities received before 1</w:t>
      </w:r>
      <w:r w:rsidR="00DA13DE" w:rsidRPr="006E709F">
        <w:t> </w:t>
      </w:r>
      <w:r w:rsidRPr="006E709F">
        <w:t>September 2017</w:t>
      </w:r>
    </w:p>
    <w:p w:rsidR="00E8131B" w:rsidRPr="006E709F" w:rsidRDefault="00E8131B" w:rsidP="00A52BA3">
      <w:pPr>
        <w:pStyle w:val="ItemHead"/>
      </w:pPr>
      <w:r w:rsidRPr="006E709F">
        <w:t>11  At the end of section</w:t>
      </w:r>
      <w:r w:rsidR="00DA13DE" w:rsidRPr="006E709F">
        <w:t> </w:t>
      </w:r>
      <w:r w:rsidRPr="006E709F">
        <w:t>1591</w:t>
      </w:r>
    </w:p>
    <w:p w:rsidR="00E8131B" w:rsidRPr="006E709F" w:rsidRDefault="00E8131B" w:rsidP="00F925D9">
      <w:pPr>
        <w:pStyle w:val="Item"/>
        <w:keepLines w:val="0"/>
      </w:pPr>
      <w:r w:rsidRPr="006E709F">
        <w:t>Add “on and after 1</w:t>
      </w:r>
      <w:r w:rsidR="00DA13DE" w:rsidRPr="006E709F">
        <w:t> </w:t>
      </w:r>
      <w:r w:rsidRPr="006E709F">
        <w:t>September 2017”.</w:t>
      </w:r>
    </w:p>
    <w:p w:rsidR="00E8131B" w:rsidRPr="006E709F" w:rsidRDefault="00E8131B" w:rsidP="00A52BA3">
      <w:pPr>
        <w:pStyle w:val="ItemHead"/>
      </w:pPr>
      <w:r w:rsidRPr="006E709F">
        <w:t>12  Section</w:t>
      </w:r>
      <w:r w:rsidR="00DA13DE" w:rsidRPr="006E709F">
        <w:t> </w:t>
      </w:r>
      <w:r w:rsidRPr="006E709F">
        <w:t>1592</w:t>
      </w:r>
    </w:p>
    <w:p w:rsidR="00E8131B" w:rsidRPr="006E709F" w:rsidRDefault="00E8131B" w:rsidP="00F925D9">
      <w:pPr>
        <w:pStyle w:val="Item"/>
        <w:keepLines w:val="0"/>
      </w:pPr>
      <w:r w:rsidRPr="006E709F">
        <w:t>Repeal the section, substitute:</w:t>
      </w:r>
    </w:p>
    <w:p w:rsidR="00E8131B" w:rsidRPr="006E709F" w:rsidRDefault="00E8131B" w:rsidP="00A52BA3">
      <w:pPr>
        <w:pStyle w:val="Specials"/>
      </w:pPr>
      <w:r w:rsidRPr="006E709F">
        <w:t>1592  Transitional rules for annual administration returns</w:t>
      </w:r>
    </w:p>
    <w:p w:rsidR="00E8131B" w:rsidRPr="006E709F" w:rsidRDefault="00E8131B" w:rsidP="00E8131B">
      <w:pPr>
        <w:pStyle w:val="subsection"/>
      </w:pPr>
      <w:r w:rsidRPr="006E709F">
        <w:tab/>
        <w:t>(1)</w:t>
      </w:r>
      <w:r w:rsidRPr="006E709F">
        <w:tab/>
        <w:t>Section</w:t>
      </w:r>
      <w:r w:rsidR="00DA13DE" w:rsidRPr="006E709F">
        <w:t> </w:t>
      </w:r>
      <w:r w:rsidRPr="006E709F">
        <w:t>70</w:t>
      </w:r>
      <w:r w:rsidR="000C4237">
        <w:noBreakHyphen/>
      </w:r>
      <w:r w:rsidRPr="006E709F">
        <w:t>5 of the Insolvency Practice Schedule (Corporations) applies in relation to a person if the person first began to be an external administrator of a company on or after 1</w:t>
      </w:r>
      <w:r w:rsidR="00DA13DE" w:rsidRPr="006E709F">
        <w:t> </w:t>
      </w:r>
      <w:r w:rsidRPr="006E709F">
        <w:t>September 2017.</w:t>
      </w:r>
    </w:p>
    <w:p w:rsidR="00E8131B" w:rsidRPr="006E709F" w:rsidRDefault="00E8131B" w:rsidP="00E8131B">
      <w:pPr>
        <w:pStyle w:val="subsection"/>
      </w:pPr>
      <w:r w:rsidRPr="006E709F">
        <w:tab/>
        <w:t>(2)</w:t>
      </w:r>
      <w:r w:rsidRPr="006E709F">
        <w:tab/>
        <w:t>Section</w:t>
      </w:r>
      <w:r w:rsidR="00DA13DE" w:rsidRPr="006E709F">
        <w:t> </w:t>
      </w:r>
      <w:r w:rsidRPr="006E709F">
        <w:t>70</w:t>
      </w:r>
      <w:r w:rsidR="000C4237">
        <w:noBreakHyphen/>
      </w:r>
      <w:r w:rsidRPr="006E709F">
        <w:t>5 of the Insolvency Practice Schedule (Corporations) also applies in relation to a person if the person first began to be an external administrator of a company before 1</w:t>
      </w:r>
      <w:r w:rsidR="00DA13DE" w:rsidRPr="006E709F">
        <w:t> </w:t>
      </w:r>
      <w:r w:rsidRPr="006E709F">
        <w:t>September 2017 as if the reference in that section to an administration return year for the administrator were a reference to:</w:t>
      </w:r>
    </w:p>
    <w:p w:rsidR="00E8131B" w:rsidRPr="006E709F" w:rsidRDefault="00E8131B" w:rsidP="00E8131B">
      <w:pPr>
        <w:pStyle w:val="paragraph"/>
      </w:pPr>
      <w:r w:rsidRPr="006E709F">
        <w:tab/>
        <w:t>(a)</w:t>
      </w:r>
      <w:r w:rsidRPr="006E709F">
        <w:tab/>
        <w:t>the first full year starting on or after 1</w:t>
      </w:r>
      <w:r w:rsidR="00DA13DE" w:rsidRPr="006E709F">
        <w:t> </w:t>
      </w:r>
      <w:r w:rsidRPr="006E709F">
        <w:t>September 2017 that is an anniversary of when the person first began to be the external administrator of the company; and</w:t>
      </w:r>
    </w:p>
    <w:p w:rsidR="00E8131B" w:rsidRPr="006E709F" w:rsidRDefault="00E8131B" w:rsidP="00E8131B">
      <w:pPr>
        <w:pStyle w:val="paragraph"/>
      </w:pPr>
      <w:r w:rsidRPr="006E709F">
        <w:tab/>
        <w:t>(b)</w:t>
      </w:r>
      <w:r w:rsidRPr="006E709F">
        <w:tab/>
        <w:t>each subsequent period of 12 months.</w:t>
      </w:r>
    </w:p>
    <w:p w:rsidR="00E8131B" w:rsidRPr="006E709F" w:rsidRDefault="00E8131B" w:rsidP="00E8131B">
      <w:pPr>
        <w:pStyle w:val="subsection"/>
      </w:pPr>
      <w:r w:rsidRPr="006E709F">
        <w:tab/>
        <w:t>(3)</w:t>
      </w:r>
      <w:r w:rsidRPr="006E709F">
        <w:tab/>
        <w:t>Despite the repeal of the old return provisions by Schedule</w:t>
      </w:r>
      <w:r w:rsidR="00DA13DE" w:rsidRPr="006E709F">
        <w:t> </w:t>
      </w:r>
      <w:r w:rsidRPr="006E709F">
        <w:t xml:space="preserve">2 to the </w:t>
      </w:r>
      <w:r w:rsidRPr="006E709F">
        <w:rPr>
          <w:i/>
        </w:rPr>
        <w:t>Insolvency Law Reform Act 2016</w:t>
      </w:r>
      <w:r w:rsidRPr="006E709F">
        <w:t>, those provisions continue to apply to an external administrator of a company appointed before 1</w:t>
      </w:r>
      <w:r w:rsidR="00DA13DE" w:rsidRPr="006E709F">
        <w:t> </w:t>
      </w:r>
      <w:r w:rsidRPr="006E709F">
        <w:t>September 2017:</w:t>
      </w:r>
    </w:p>
    <w:p w:rsidR="00E8131B" w:rsidRPr="006E709F" w:rsidRDefault="00E8131B" w:rsidP="00E8131B">
      <w:pPr>
        <w:pStyle w:val="paragraph"/>
      </w:pPr>
      <w:r w:rsidRPr="006E709F">
        <w:tab/>
        <w:t>(a)</w:t>
      </w:r>
      <w:r w:rsidRPr="006E709F">
        <w:tab/>
        <w:t>if the end of the 6</w:t>
      </w:r>
      <w:r w:rsidR="000C4237">
        <w:noBreakHyphen/>
      </w:r>
      <w:r w:rsidRPr="006E709F">
        <w:t>month period referred to in the old return provisions occurs before 1</w:t>
      </w:r>
      <w:r w:rsidR="00DA13DE" w:rsidRPr="006E709F">
        <w:t> </w:t>
      </w:r>
      <w:r w:rsidRPr="006E709F">
        <w:t>March 2018—in relation to that period; and</w:t>
      </w:r>
    </w:p>
    <w:p w:rsidR="00E8131B" w:rsidRPr="006E709F" w:rsidRDefault="00E8131B" w:rsidP="00E8131B">
      <w:pPr>
        <w:pStyle w:val="paragraph"/>
      </w:pPr>
      <w:r w:rsidRPr="006E709F">
        <w:tab/>
        <w:t>(b)</w:t>
      </w:r>
      <w:r w:rsidRPr="006E709F">
        <w:tab/>
        <w:t>if the end of that period is not an anniversary of the administrator’s appointment—in relation to the subsequent 6</w:t>
      </w:r>
      <w:r w:rsidR="000C4237">
        <w:noBreakHyphen/>
      </w:r>
      <w:r w:rsidRPr="006E709F">
        <w:t>month period.</w:t>
      </w:r>
    </w:p>
    <w:p w:rsidR="00E8131B" w:rsidRPr="006E709F" w:rsidRDefault="00E8131B" w:rsidP="00E8131B">
      <w:pPr>
        <w:pStyle w:val="subsection"/>
      </w:pPr>
      <w:r w:rsidRPr="006E709F">
        <w:tab/>
        <w:t>(4)</w:t>
      </w:r>
      <w:r w:rsidRPr="006E709F">
        <w:tab/>
        <w:t>To avoid doubt, despite the repeal of the old return provisions by Schedule</w:t>
      </w:r>
      <w:r w:rsidR="00DA13DE" w:rsidRPr="006E709F">
        <w:t> </w:t>
      </w:r>
      <w:r w:rsidRPr="006E709F">
        <w:t>2 to the</w:t>
      </w:r>
      <w:r w:rsidRPr="006E709F">
        <w:rPr>
          <w:i/>
        </w:rPr>
        <w:t xml:space="preserve"> Insolvency Law Reform Act 2016</w:t>
      </w:r>
      <w:r w:rsidRPr="006E709F">
        <w:t>, audits may be continued in relation to accounts lodged under those provisions as if the old Act continued to apply.</w:t>
      </w:r>
    </w:p>
    <w:p w:rsidR="00E8131B" w:rsidRPr="006E709F" w:rsidRDefault="00E8131B" w:rsidP="00E8131B">
      <w:pPr>
        <w:pStyle w:val="subsection"/>
      </w:pPr>
      <w:r w:rsidRPr="006E709F">
        <w:tab/>
        <w:t>(5)</w:t>
      </w:r>
      <w:r w:rsidRPr="006E709F">
        <w:tab/>
        <w:t>In this section:</w:t>
      </w:r>
    </w:p>
    <w:p w:rsidR="00E8131B" w:rsidRPr="006E709F" w:rsidRDefault="00E8131B" w:rsidP="00E8131B">
      <w:pPr>
        <w:pStyle w:val="Definition"/>
      </w:pPr>
      <w:r w:rsidRPr="006E709F">
        <w:rPr>
          <w:b/>
          <w:i/>
        </w:rPr>
        <w:t>old return provisions</w:t>
      </w:r>
      <w:r w:rsidRPr="006E709F">
        <w:t xml:space="preserve"> means the following provisions of the old Act:</w:t>
      </w:r>
    </w:p>
    <w:p w:rsidR="00E8131B" w:rsidRPr="006E709F" w:rsidRDefault="00E8131B" w:rsidP="00E8131B">
      <w:pPr>
        <w:pStyle w:val="paragraph"/>
      </w:pPr>
      <w:r w:rsidRPr="006E709F">
        <w:tab/>
        <w:t>(a)</w:t>
      </w:r>
      <w:r w:rsidRPr="006E709F">
        <w:tab/>
        <w:t>subsection</w:t>
      </w:r>
      <w:r w:rsidR="00DA13DE" w:rsidRPr="006E709F">
        <w:t> </w:t>
      </w:r>
      <w:r w:rsidRPr="006E709F">
        <w:t>438E(1);</w:t>
      </w:r>
    </w:p>
    <w:p w:rsidR="00E8131B" w:rsidRPr="006E709F" w:rsidRDefault="00E8131B" w:rsidP="00E8131B">
      <w:pPr>
        <w:pStyle w:val="paragraph"/>
      </w:pPr>
      <w:r w:rsidRPr="006E709F">
        <w:tab/>
        <w:t>(b)</w:t>
      </w:r>
      <w:r w:rsidRPr="006E709F">
        <w:tab/>
        <w:t>subsection</w:t>
      </w:r>
      <w:r w:rsidR="00DA13DE" w:rsidRPr="006E709F">
        <w:t> </w:t>
      </w:r>
      <w:r w:rsidRPr="006E709F">
        <w:t>445J(1);</w:t>
      </w:r>
    </w:p>
    <w:p w:rsidR="00E8131B" w:rsidRPr="006E709F" w:rsidRDefault="00E8131B" w:rsidP="00E8131B">
      <w:pPr>
        <w:pStyle w:val="paragraph"/>
      </w:pPr>
      <w:r w:rsidRPr="006E709F">
        <w:tab/>
        <w:t>(c)</w:t>
      </w:r>
      <w:r w:rsidRPr="006E709F">
        <w:tab/>
        <w:t>subsection</w:t>
      </w:r>
      <w:r w:rsidR="00DA13DE" w:rsidRPr="006E709F">
        <w:t> </w:t>
      </w:r>
      <w:r w:rsidRPr="006E709F">
        <w:t>539(1), other than the extent to which it relates to a liquidator ceasing to act as liquidator.</w:t>
      </w:r>
    </w:p>
    <w:p w:rsidR="00E8131B" w:rsidRPr="006E709F" w:rsidRDefault="00E8131B" w:rsidP="00A52BA3">
      <w:pPr>
        <w:pStyle w:val="Specials"/>
      </w:pPr>
      <w:r w:rsidRPr="006E709F">
        <w:lastRenderedPageBreak/>
        <w:t>1592A  Transitional rules for end of administration returns</w:t>
      </w:r>
    </w:p>
    <w:p w:rsidR="00E8131B" w:rsidRPr="006E709F" w:rsidRDefault="00E8131B" w:rsidP="00E8131B">
      <w:pPr>
        <w:pStyle w:val="subsection"/>
      </w:pPr>
      <w:r w:rsidRPr="006E709F">
        <w:tab/>
        <w:t>(1)</w:t>
      </w:r>
      <w:r w:rsidRPr="006E709F">
        <w:tab/>
        <w:t>Section</w:t>
      </w:r>
      <w:r w:rsidR="00DA13DE" w:rsidRPr="006E709F">
        <w:t> </w:t>
      </w:r>
      <w:r w:rsidRPr="006E709F">
        <w:t>70</w:t>
      </w:r>
      <w:r w:rsidR="000C4237">
        <w:noBreakHyphen/>
      </w:r>
      <w:r w:rsidRPr="006E709F">
        <w:t>6 of the Insolvency Practice Schedule (Corporations) applies in relation to external administrations that end on or after 1</w:t>
      </w:r>
      <w:r w:rsidR="00DA13DE" w:rsidRPr="006E709F">
        <w:t> </w:t>
      </w:r>
      <w:r w:rsidRPr="006E709F">
        <w:t>September 2017.</w:t>
      </w:r>
    </w:p>
    <w:p w:rsidR="00E8131B" w:rsidRPr="006E709F" w:rsidRDefault="00E8131B" w:rsidP="00E8131B">
      <w:pPr>
        <w:pStyle w:val="subsection"/>
      </w:pPr>
      <w:r w:rsidRPr="006E709F">
        <w:tab/>
        <w:t>(2)</w:t>
      </w:r>
      <w:r w:rsidRPr="006E709F">
        <w:tab/>
        <w:t>Despite the repeal of the old return provisions by Schedule</w:t>
      </w:r>
      <w:r w:rsidR="00DA13DE" w:rsidRPr="006E709F">
        <w:t> </w:t>
      </w:r>
      <w:r w:rsidRPr="006E709F">
        <w:t xml:space="preserve">2 to the </w:t>
      </w:r>
      <w:r w:rsidRPr="006E709F">
        <w:rPr>
          <w:i/>
        </w:rPr>
        <w:t>Insolvency Law Reform Act 2016</w:t>
      </w:r>
      <w:r w:rsidRPr="006E709F">
        <w:t>, those provisions continue to apply, in relation to an external administrator of a company, if the external administrator ceases to act as an external administrator for the company before 1</w:t>
      </w:r>
      <w:r w:rsidR="00DA13DE" w:rsidRPr="006E709F">
        <w:t> </w:t>
      </w:r>
      <w:r w:rsidRPr="006E709F">
        <w:t>September 2017.</w:t>
      </w:r>
    </w:p>
    <w:p w:rsidR="00E8131B" w:rsidRPr="006E709F" w:rsidRDefault="00E8131B" w:rsidP="00E8131B">
      <w:pPr>
        <w:pStyle w:val="subsection"/>
      </w:pPr>
      <w:r w:rsidRPr="006E709F">
        <w:tab/>
        <w:t>(3)</w:t>
      </w:r>
      <w:r w:rsidRPr="006E709F">
        <w:tab/>
        <w:t>To avoid doubt, despite the repeal of the old return provisions by Schedule</w:t>
      </w:r>
      <w:r w:rsidR="00DA13DE" w:rsidRPr="006E709F">
        <w:t> </w:t>
      </w:r>
      <w:r w:rsidRPr="006E709F">
        <w:t>2 to the</w:t>
      </w:r>
      <w:r w:rsidRPr="006E709F">
        <w:rPr>
          <w:i/>
        </w:rPr>
        <w:t xml:space="preserve"> Insolvency Law Reform Act 2016</w:t>
      </w:r>
      <w:r w:rsidRPr="006E709F">
        <w:t>, audits may be continued in relation to accounts lodged under those provisions as if the old Act continued to apply.</w:t>
      </w:r>
    </w:p>
    <w:p w:rsidR="00E8131B" w:rsidRPr="006E709F" w:rsidRDefault="00E8131B" w:rsidP="00E8131B">
      <w:pPr>
        <w:pStyle w:val="subsection"/>
      </w:pPr>
      <w:r w:rsidRPr="006E709F">
        <w:tab/>
        <w:t>(4)</w:t>
      </w:r>
      <w:r w:rsidRPr="006E709F">
        <w:tab/>
        <w:t>In this section:</w:t>
      </w:r>
    </w:p>
    <w:p w:rsidR="00E8131B" w:rsidRPr="006E709F" w:rsidRDefault="00E8131B" w:rsidP="00E8131B">
      <w:pPr>
        <w:pStyle w:val="Definition"/>
      </w:pPr>
      <w:r w:rsidRPr="006E709F">
        <w:rPr>
          <w:b/>
          <w:i/>
        </w:rPr>
        <w:t>old return provisions</w:t>
      </w:r>
      <w:r w:rsidRPr="006E709F">
        <w:t xml:space="preserve"> means the following provisions of the old Act, as in force before their repeal by Schedule</w:t>
      </w:r>
      <w:r w:rsidR="00DA13DE" w:rsidRPr="006E709F">
        <w:t> </w:t>
      </w:r>
      <w:r w:rsidRPr="006E709F">
        <w:t xml:space="preserve">2 to the </w:t>
      </w:r>
      <w:r w:rsidRPr="006E709F">
        <w:rPr>
          <w:i/>
        </w:rPr>
        <w:t>Insolvency Law Reform Act 2016</w:t>
      </w:r>
      <w:r w:rsidRPr="006E709F">
        <w:t>:</w:t>
      </w:r>
    </w:p>
    <w:p w:rsidR="00E8131B" w:rsidRPr="006E709F" w:rsidRDefault="00E8131B" w:rsidP="00E8131B">
      <w:pPr>
        <w:pStyle w:val="paragraph"/>
      </w:pPr>
      <w:r w:rsidRPr="006E709F">
        <w:tab/>
        <w:t>(a)</w:t>
      </w:r>
      <w:r w:rsidRPr="006E709F">
        <w:tab/>
        <w:t>subsection</w:t>
      </w:r>
      <w:r w:rsidR="00DA13DE" w:rsidRPr="006E709F">
        <w:t> </w:t>
      </w:r>
      <w:r w:rsidRPr="006E709F">
        <w:t>438E(2);</w:t>
      </w:r>
    </w:p>
    <w:p w:rsidR="00E8131B" w:rsidRPr="006E709F" w:rsidRDefault="00E8131B" w:rsidP="00E8131B">
      <w:pPr>
        <w:pStyle w:val="paragraph"/>
      </w:pPr>
      <w:r w:rsidRPr="006E709F">
        <w:tab/>
        <w:t>(b)</w:t>
      </w:r>
      <w:r w:rsidRPr="006E709F">
        <w:tab/>
        <w:t>subsection</w:t>
      </w:r>
      <w:r w:rsidR="00DA13DE" w:rsidRPr="006E709F">
        <w:t> </w:t>
      </w:r>
      <w:r w:rsidRPr="006E709F">
        <w:t>445J(2);</w:t>
      </w:r>
    </w:p>
    <w:p w:rsidR="00E8131B" w:rsidRPr="006E709F" w:rsidRDefault="00E8131B" w:rsidP="00E8131B">
      <w:pPr>
        <w:pStyle w:val="paragraph"/>
      </w:pPr>
      <w:r w:rsidRPr="006E709F">
        <w:tab/>
        <w:t>(c)</w:t>
      </w:r>
      <w:r w:rsidRPr="006E709F">
        <w:tab/>
        <w:t>subsection</w:t>
      </w:r>
      <w:r w:rsidR="00DA13DE" w:rsidRPr="006E709F">
        <w:t> </w:t>
      </w:r>
      <w:r w:rsidRPr="006E709F">
        <w:t>539(1), to the extent to which it relates to a liquidator ceasing to act as liquidator.</w:t>
      </w:r>
    </w:p>
    <w:p w:rsidR="00E8131B" w:rsidRPr="006E709F" w:rsidRDefault="00E8131B" w:rsidP="00A52BA3">
      <w:pPr>
        <w:pStyle w:val="ItemHead"/>
      </w:pPr>
      <w:r w:rsidRPr="006E709F">
        <w:t>13  Section</w:t>
      </w:r>
      <w:r w:rsidR="00DA13DE" w:rsidRPr="006E709F">
        <w:t> </w:t>
      </w:r>
      <w:r w:rsidRPr="006E709F">
        <w:t>1594</w:t>
      </w:r>
    </w:p>
    <w:p w:rsidR="00E8131B" w:rsidRPr="006E709F" w:rsidRDefault="00E8131B" w:rsidP="00F925D9">
      <w:pPr>
        <w:pStyle w:val="Item"/>
        <w:keepLines w:val="0"/>
      </w:pPr>
      <w:r w:rsidRPr="006E709F">
        <w:t>After “apply”, insert “on and after 1</w:t>
      </w:r>
      <w:r w:rsidR="00DA13DE" w:rsidRPr="006E709F">
        <w:t> </w:t>
      </w:r>
      <w:r w:rsidRPr="006E709F">
        <w:t>September 2017”.</w:t>
      </w:r>
    </w:p>
    <w:p w:rsidR="00E8131B" w:rsidRPr="006E709F" w:rsidRDefault="00E8131B" w:rsidP="00A52BA3">
      <w:pPr>
        <w:pStyle w:val="ItemHead"/>
      </w:pPr>
      <w:r w:rsidRPr="006E709F">
        <w:t>14  Subsection</w:t>
      </w:r>
      <w:r w:rsidR="00DA13DE" w:rsidRPr="006E709F">
        <w:t> </w:t>
      </w:r>
      <w:r w:rsidRPr="006E709F">
        <w:t>1596(1)</w:t>
      </w:r>
    </w:p>
    <w:p w:rsidR="00E8131B" w:rsidRPr="006E709F" w:rsidRDefault="00E8131B" w:rsidP="00F925D9">
      <w:pPr>
        <w:pStyle w:val="Item"/>
        <w:keepLines w:val="0"/>
      </w:pPr>
      <w:r w:rsidRPr="006E709F">
        <w:t>After “applies”, insert “on and after 1</w:t>
      </w:r>
      <w:r w:rsidR="00DA13DE" w:rsidRPr="006E709F">
        <w:t> </w:t>
      </w:r>
      <w:r w:rsidRPr="006E709F">
        <w:t>September 2017”.</w:t>
      </w:r>
    </w:p>
    <w:p w:rsidR="00E8131B" w:rsidRPr="006E709F" w:rsidRDefault="00E8131B" w:rsidP="00A52BA3">
      <w:pPr>
        <w:pStyle w:val="ItemHead"/>
      </w:pPr>
      <w:r w:rsidRPr="006E709F">
        <w:t>15  Sections</w:t>
      </w:r>
      <w:r w:rsidR="00DA13DE" w:rsidRPr="006E709F">
        <w:t> </w:t>
      </w:r>
      <w:r w:rsidRPr="006E709F">
        <w:t>1597, 1598 and 1599</w:t>
      </w:r>
    </w:p>
    <w:p w:rsidR="00E8131B" w:rsidRPr="006E709F" w:rsidRDefault="00E8131B" w:rsidP="00F925D9">
      <w:pPr>
        <w:pStyle w:val="Item"/>
        <w:keepLines w:val="0"/>
      </w:pPr>
      <w:r w:rsidRPr="006E709F">
        <w:t>After “applies”, insert “on and after 1</w:t>
      </w:r>
      <w:r w:rsidR="00DA13DE" w:rsidRPr="006E709F">
        <w:t> </w:t>
      </w:r>
      <w:r w:rsidRPr="006E709F">
        <w:t>September 2017”.</w:t>
      </w:r>
    </w:p>
    <w:p w:rsidR="00E8131B" w:rsidRPr="006E709F" w:rsidRDefault="00E8131B" w:rsidP="00A52BA3">
      <w:pPr>
        <w:pStyle w:val="ItemHead"/>
      </w:pPr>
      <w:r w:rsidRPr="006E709F">
        <w:t>16  At the end of section</w:t>
      </w:r>
      <w:r w:rsidR="00DA13DE" w:rsidRPr="006E709F">
        <w:t> </w:t>
      </w:r>
      <w:r w:rsidRPr="006E709F">
        <w:t>1601</w:t>
      </w:r>
    </w:p>
    <w:p w:rsidR="00E8131B" w:rsidRPr="006E709F" w:rsidRDefault="00E8131B" w:rsidP="00F925D9">
      <w:pPr>
        <w:pStyle w:val="Item"/>
        <w:keepLines w:val="0"/>
      </w:pPr>
      <w:r w:rsidRPr="006E709F">
        <w:t>Add “on and after 1</w:t>
      </w:r>
      <w:r w:rsidR="00DA13DE" w:rsidRPr="006E709F">
        <w:t> </w:t>
      </w:r>
      <w:r w:rsidRPr="006E709F">
        <w:t>September 2017”.</w:t>
      </w:r>
    </w:p>
    <w:p w:rsidR="00E8131B" w:rsidRPr="006E709F" w:rsidRDefault="00E8131B" w:rsidP="00A52BA3">
      <w:pPr>
        <w:pStyle w:val="ItemHead"/>
      </w:pPr>
      <w:r w:rsidRPr="006E709F">
        <w:t>17  Section</w:t>
      </w:r>
      <w:r w:rsidR="00DA13DE" w:rsidRPr="006E709F">
        <w:t> </w:t>
      </w:r>
      <w:r w:rsidRPr="006E709F">
        <w:t>1604</w:t>
      </w:r>
    </w:p>
    <w:p w:rsidR="00E8131B" w:rsidRPr="006E709F" w:rsidRDefault="00E8131B" w:rsidP="00F925D9">
      <w:pPr>
        <w:pStyle w:val="Item"/>
        <w:keepLines w:val="0"/>
      </w:pPr>
      <w:r w:rsidRPr="006E709F">
        <w:t>Omit “2017”, insert “2018”.</w:t>
      </w:r>
    </w:p>
    <w:p w:rsidR="00E8131B" w:rsidRPr="006E709F" w:rsidRDefault="00E8131B" w:rsidP="00A52BA3">
      <w:pPr>
        <w:pStyle w:val="ItemHead"/>
      </w:pPr>
      <w:r w:rsidRPr="006E709F">
        <w:t>18  Section</w:t>
      </w:r>
      <w:r w:rsidR="00DA13DE" w:rsidRPr="006E709F">
        <w:t> </w:t>
      </w:r>
      <w:r w:rsidRPr="006E709F">
        <w:t>1606</w:t>
      </w:r>
    </w:p>
    <w:p w:rsidR="00E8131B" w:rsidRPr="006E709F" w:rsidRDefault="00E8131B" w:rsidP="00F925D9">
      <w:pPr>
        <w:pStyle w:val="Item"/>
        <w:keepLines w:val="0"/>
      </w:pPr>
      <w:r w:rsidRPr="006E709F">
        <w:t>After “apply”, insert “on and after 1</w:t>
      </w:r>
      <w:r w:rsidR="00DA13DE" w:rsidRPr="006E709F">
        <w:t> </w:t>
      </w:r>
      <w:r w:rsidRPr="006E709F">
        <w:t>September 2017”.</w:t>
      </w:r>
    </w:p>
    <w:p w:rsidR="00E8131B" w:rsidRPr="006E709F" w:rsidRDefault="00E8131B" w:rsidP="00A52BA3">
      <w:pPr>
        <w:pStyle w:val="ItemHead"/>
      </w:pPr>
      <w:r w:rsidRPr="006E709F">
        <w:t>19  Section</w:t>
      </w:r>
      <w:r w:rsidR="00DA13DE" w:rsidRPr="006E709F">
        <w:t> </w:t>
      </w:r>
      <w:r w:rsidRPr="006E709F">
        <w:t>1606</w:t>
      </w:r>
    </w:p>
    <w:p w:rsidR="00E8131B" w:rsidRPr="006E709F" w:rsidRDefault="00E8131B" w:rsidP="00F925D9">
      <w:pPr>
        <w:pStyle w:val="Item"/>
        <w:keepLines w:val="0"/>
      </w:pPr>
      <w:r w:rsidRPr="006E709F">
        <w:t>Omit “the commencement day”, substitute “that day”.</w:t>
      </w:r>
    </w:p>
    <w:p w:rsidR="00E8131B" w:rsidRPr="006E709F" w:rsidRDefault="00E8131B" w:rsidP="00A52BA3">
      <w:pPr>
        <w:pStyle w:val="ItemHead"/>
      </w:pPr>
      <w:r w:rsidRPr="006E709F">
        <w:t>20  Section</w:t>
      </w:r>
      <w:r w:rsidR="00DA13DE" w:rsidRPr="006E709F">
        <w:t> </w:t>
      </w:r>
      <w:r w:rsidRPr="006E709F">
        <w:t>1612</w:t>
      </w:r>
    </w:p>
    <w:p w:rsidR="00E8131B" w:rsidRPr="006E709F" w:rsidRDefault="00E8131B" w:rsidP="00F925D9">
      <w:pPr>
        <w:pStyle w:val="Item"/>
        <w:keepLines w:val="0"/>
      </w:pPr>
      <w:r w:rsidRPr="006E709F">
        <w:t>After “apply”, insert “on and after 1</w:t>
      </w:r>
      <w:r w:rsidR="00DA13DE" w:rsidRPr="006E709F">
        <w:t> </w:t>
      </w:r>
      <w:r w:rsidRPr="006E709F">
        <w:t>September 2017”.</w:t>
      </w:r>
    </w:p>
    <w:p w:rsidR="00E8131B" w:rsidRPr="006E709F" w:rsidRDefault="00E8131B" w:rsidP="00A52BA3">
      <w:pPr>
        <w:pStyle w:val="ItemHead"/>
      </w:pPr>
      <w:r w:rsidRPr="006E709F">
        <w:lastRenderedPageBreak/>
        <w:t>21  Section</w:t>
      </w:r>
      <w:r w:rsidR="00DA13DE" w:rsidRPr="006E709F">
        <w:t> </w:t>
      </w:r>
      <w:r w:rsidRPr="006E709F">
        <w:t>1612</w:t>
      </w:r>
    </w:p>
    <w:p w:rsidR="00E8131B" w:rsidRPr="006E709F" w:rsidRDefault="00E8131B" w:rsidP="00F925D9">
      <w:pPr>
        <w:pStyle w:val="Item"/>
        <w:keepLines w:val="0"/>
      </w:pPr>
      <w:r w:rsidRPr="006E709F">
        <w:t>Omit “the commencement day”, substitute “that day”.</w:t>
      </w:r>
    </w:p>
    <w:p w:rsidR="00E8131B" w:rsidRPr="006E709F" w:rsidRDefault="00E8131B" w:rsidP="00A52BA3">
      <w:pPr>
        <w:pStyle w:val="ItemHead"/>
      </w:pPr>
      <w:r w:rsidRPr="006E709F">
        <w:t>22  Section</w:t>
      </w:r>
      <w:r w:rsidR="00DA13DE" w:rsidRPr="006E709F">
        <w:t> </w:t>
      </w:r>
      <w:r w:rsidRPr="006E709F">
        <w:t>1613</w:t>
      </w:r>
    </w:p>
    <w:p w:rsidR="00E8131B" w:rsidRPr="006E709F" w:rsidRDefault="00E8131B" w:rsidP="00F925D9">
      <w:pPr>
        <w:pStyle w:val="Item"/>
        <w:keepLines w:val="0"/>
      </w:pPr>
      <w:r w:rsidRPr="006E709F">
        <w:t>After “applies”, insert “on and after 1</w:t>
      </w:r>
      <w:r w:rsidR="00DA13DE" w:rsidRPr="006E709F">
        <w:t> </w:t>
      </w:r>
      <w:r w:rsidRPr="006E709F">
        <w:t>September 2017”.</w:t>
      </w:r>
    </w:p>
    <w:p w:rsidR="00E8131B" w:rsidRPr="006E709F" w:rsidRDefault="00E8131B" w:rsidP="00A52BA3">
      <w:pPr>
        <w:pStyle w:val="ItemHead"/>
      </w:pPr>
      <w:r w:rsidRPr="006E709F">
        <w:t>23  Section</w:t>
      </w:r>
      <w:r w:rsidR="00DA13DE" w:rsidRPr="006E709F">
        <w:t> </w:t>
      </w:r>
      <w:r w:rsidRPr="006E709F">
        <w:t>1615</w:t>
      </w:r>
    </w:p>
    <w:p w:rsidR="00E8131B" w:rsidRPr="006E709F" w:rsidRDefault="00E8131B" w:rsidP="00F925D9">
      <w:pPr>
        <w:pStyle w:val="Item"/>
        <w:keepLines w:val="0"/>
      </w:pPr>
      <w:r w:rsidRPr="006E709F">
        <w:t>After “applies”, insert “on and after 1</w:t>
      </w:r>
      <w:r w:rsidR="00DA13DE" w:rsidRPr="006E709F">
        <w:t> </w:t>
      </w:r>
      <w:r w:rsidRPr="006E709F">
        <w:t>September 2017”.</w:t>
      </w:r>
    </w:p>
    <w:p w:rsidR="00E8131B" w:rsidRPr="006E709F" w:rsidRDefault="00E8131B" w:rsidP="00A52BA3">
      <w:pPr>
        <w:pStyle w:val="ItemHead"/>
      </w:pPr>
      <w:r w:rsidRPr="006E709F">
        <w:t>24  Section</w:t>
      </w:r>
      <w:r w:rsidR="00DA13DE" w:rsidRPr="006E709F">
        <w:t> </w:t>
      </w:r>
      <w:r w:rsidRPr="006E709F">
        <w:t>1615</w:t>
      </w:r>
    </w:p>
    <w:p w:rsidR="00E8131B" w:rsidRPr="006E709F" w:rsidRDefault="00E8131B" w:rsidP="00F925D9">
      <w:pPr>
        <w:pStyle w:val="Item"/>
        <w:keepLines w:val="0"/>
      </w:pPr>
      <w:r w:rsidRPr="006E709F">
        <w:t>Omit “the commencement day”, substitute “that day”.</w:t>
      </w:r>
    </w:p>
    <w:p w:rsidR="00E8131B" w:rsidRPr="006E709F" w:rsidRDefault="00E8131B" w:rsidP="00A52BA3">
      <w:pPr>
        <w:pStyle w:val="ItemHead"/>
      </w:pPr>
      <w:r w:rsidRPr="006E709F">
        <w:t>25  Subsection</w:t>
      </w:r>
      <w:r w:rsidR="00DA13DE" w:rsidRPr="006E709F">
        <w:t> </w:t>
      </w:r>
      <w:r w:rsidRPr="006E709F">
        <w:t>1618(2)</w:t>
      </w:r>
    </w:p>
    <w:p w:rsidR="00E8131B" w:rsidRPr="006E709F" w:rsidRDefault="00E8131B" w:rsidP="00F925D9">
      <w:pPr>
        <w:pStyle w:val="Item"/>
        <w:keepLines w:val="0"/>
      </w:pPr>
      <w:r w:rsidRPr="006E709F">
        <w:t>After “apply”, insert “on and after 1</w:t>
      </w:r>
      <w:r w:rsidR="00DA13DE" w:rsidRPr="006E709F">
        <w:t> </w:t>
      </w:r>
      <w:r w:rsidRPr="006E709F">
        <w:t>September 2017”.</w:t>
      </w:r>
    </w:p>
    <w:p w:rsidR="00E8131B" w:rsidRPr="006E709F" w:rsidRDefault="00E8131B" w:rsidP="00A52BA3">
      <w:pPr>
        <w:pStyle w:val="ItemHead"/>
      </w:pPr>
      <w:r w:rsidRPr="006E709F">
        <w:t>26  Subsection</w:t>
      </w:r>
      <w:r w:rsidR="00DA13DE" w:rsidRPr="006E709F">
        <w:t> </w:t>
      </w:r>
      <w:r w:rsidRPr="006E709F">
        <w:t>1618(2)</w:t>
      </w:r>
    </w:p>
    <w:p w:rsidR="00E8131B" w:rsidRPr="006E709F" w:rsidRDefault="00E8131B" w:rsidP="00F925D9">
      <w:pPr>
        <w:pStyle w:val="Item"/>
        <w:keepLines w:val="0"/>
      </w:pPr>
      <w:r w:rsidRPr="006E709F">
        <w:t>Omit “the commencement day”, substitute “that day”.</w:t>
      </w:r>
    </w:p>
    <w:p w:rsidR="00E8131B" w:rsidRPr="006E709F" w:rsidRDefault="00E8131B" w:rsidP="00A52BA3">
      <w:pPr>
        <w:pStyle w:val="ItemHead"/>
      </w:pPr>
      <w:r w:rsidRPr="006E709F">
        <w:t>27  Subsection</w:t>
      </w:r>
      <w:r w:rsidR="00DA13DE" w:rsidRPr="006E709F">
        <w:t> </w:t>
      </w:r>
      <w:r w:rsidRPr="006E709F">
        <w:t>1618(3)</w:t>
      </w:r>
    </w:p>
    <w:p w:rsidR="00E8131B" w:rsidRPr="006E709F" w:rsidRDefault="00E8131B" w:rsidP="00F925D9">
      <w:pPr>
        <w:pStyle w:val="Item"/>
        <w:keepLines w:val="0"/>
      </w:pPr>
      <w:r w:rsidRPr="006E709F">
        <w:t>After “applies”, insert “on and after 1</w:t>
      </w:r>
      <w:r w:rsidR="00DA13DE" w:rsidRPr="006E709F">
        <w:t> </w:t>
      </w:r>
      <w:r w:rsidRPr="006E709F">
        <w:t>September 2017”.</w:t>
      </w:r>
    </w:p>
    <w:p w:rsidR="00E8131B" w:rsidRPr="006E709F" w:rsidRDefault="00E8131B" w:rsidP="00A52BA3">
      <w:pPr>
        <w:pStyle w:val="ItemHead"/>
      </w:pPr>
      <w:r w:rsidRPr="006E709F">
        <w:t>28  Subsection</w:t>
      </w:r>
      <w:r w:rsidR="00DA13DE" w:rsidRPr="006E709F">
        <w:t> </w:t>
      </w:r>
      <w:r w:rsidRPr="006E709F">
        <w:t>1618(3)</w:t>
      </w:r>
    </w:p>
    <w:p w:rsidR="00E8131B" w:rsidRPr="006E709F" w:rsidRDefault="00E8131B" w:rsidP="00F925D9">
      <w:pPr>
        <w:pStyle w:val="Item"/>
        <w:keepLines w:val="0"/>
      </w:pPr>
      <w:r w:rsidRPr="006E709F">
        <w:t>Omit “the commencement day”, substitute “that day”.</w:t>
      </w:r>
    </w:p>
    <w:p w:rsidR="00E8131B" w:rsidRPr="006E709F" w:rsidRDefault="00E8131B" w:rsidP="00A52BA3">
      <w:pPr>
        <w:pStyle w:val="ItemHead"/>
      </w:pPr>
      <w:r w:rsidRPr="006E709F">
        <w:t>29  Subsection</w:t>
      </w:r>
      <w:r w:rsidR="00DA13DE" w:rsidRPr="006E709F">
        <w:t> </w:t>
      </w:r>
      <w:r w:rsidRPr="006E709F">
        <w:t>1618(4)</w:t>
      </w:r>
    </w:p>
    <w:p w:rsidR="00E8131B" w:rsidRPr="006E709F" w:rsidRDefault="00E8131B" w:rsidP="00F925D9">
      <w:pPr>
        <w:pStyle w:val="Item"/>
        <w:keepLines w:val="0"/>
      </w:pPr>
      <w:r w:rsidRPr="006E709F">
        <w:t>After “applies”, insert “on and after 1</w:t>
      </w:r>
      <w:r w:rsidR="00DA13DE" w:rsidRPr="006E709F">
        <w:t> </w:t>
      </w:r>
      <w:r w:rsidRPr="006E709F">
        <w:t>September 2017”.</w:t>
      </w:r>
    </w:p>
    <w:p w:rsidR="00E8131B" w:rsidRPr="006E709F" w:rsidRDefault="00E8131B" w:rsidP="00A52BA3">
      <w:pPr>
        <w:pStyle w:val="ItemHead"/>
      </w:pPr>
      <w:r w:rsidRPr="006E709F">
        <w:t>30  Subsection</w:t>
      </w:r>
      <w:r w:rsidR="00DA13DE" w:rsidRPr="006E709F">
        <w:t> </w:t>
      </w:r>
      <w:r w:rsidRPr="006E709F">
        <w:t>1618(4)</w:t>
      </w:r>
    </w:p>
    <w:p w:rsidR="00E8131B" w:rsidRPr="006E709F" w:rsidRDefault="00E8131B" w:rsidP="00F925D9">
      <w:pPr>
        <w:pStyle w:val="Item"/>
        <w:keepLines w:val="0"/>
      </w:pPr>
      <w:r w:rsidRPr="006E709F">
        <w:t>Omit “the commencement day”, substitute “that day”.</w:t>
      </w:r>
    </w:p>
    <w:p w:rsidR="00E8131B" w:rsidRPr="006E709F" w:rsidRDefault="00E8131B" w:rsidP="00A52BA3">
      <w:pPr>
        <w:pStyle w:val="ItemHead"/>
      </w:pPr>
      <w:r w:rsidRPr="006E709F">
        <w:t>31  Subsection</w:t>
      </w:r>
      <w:r w:rsidR="00DA13DE" w:rsidRPr="006E709F">
        <w:t> </w:t>
      </w:r>
      <w:r w:rsidRPr="006E709F">
        <w:t>1618(6)</w:t>
      </w:r>
    </w:p>
    <w:p w:rsidR="00E8131B" w:rsidRPr="006E709F" w:rsidRDefault="00E8131B" w:rsidP="00F925D9">
      <w:pPr>
        <w:pStyle w:val="Item"/>
        <w:keepLines w:val="0"/>
      </w:pPr>
      <w:r w:rsidRPr="006E709F">
        <w:t>After “applies”, insert “on and after 1</w:t>
      </w:r>
      <w:r w:rsidR="00DA13DE" w:rsidRPr="006E709F">
        <w:t> </w:t>
      </w:r>
      <w:r w:rsidRPr="006E709F">
        <w:t>September 2017”.</w:t>
      </w:r>
    </w:p>
    <w:p w:rsidR="00E8131B" w:rsidRPr="006E709F" w:rsidRDefault="00E8131B" w:rsidP="00A52BA3">
      <w:pPr>
        <w:pStyle w:val="ItemHead"/>
      </w:pPr>
      <w:r w:rsidRPr="006E709F">
        <w:t>32  Subsection</w:t>
      </w:r>
      <w:r w:rsidR="00DA13DE" w:rsidRPr="006E709F">
        <w:t> </w:t>
      </w:r>
      <w:r w:rsidRPr="006E709F">
        <w:t>1618(6)</w:t>
      </w:r>
    </w:p>
    <w:p w:rsidR="00E8131B" w:rsidRPr="006E709F" w:rsidRDefault="00E8131B" w:rsidP="00F925D9">
      <w:pPr>
        <w:pStyle w:val="Item"/>
        <w:keepLines w:val="0"/>
      </w:pPr>
      <w:r w:rsidRPr="006E709F">
        <w:t>Omit “the commencement day”, substitute “that day”.</w:t>
      </w:r>
    </w:p>
    <w:p w:rsidR="00E8131B" w:rsidRPr="006E709F" w:rsidRDefault="00E8131B" w:rsidP="00A52BA3">
      <w:pPr>
        <w:pStyle w:val="ItemHead"/>
      </w:pPr>
      <w:r w:rsidRPr="006E709F">
        <w:t>33  Subsection</w:t>
      </w:r>
      <w:r w:rsidR="00DA13DE" w:rsidRPr="006E709F">
        <w:t> </w:t>
      </w:r>
      <w:r w:rsidRPr="006E709F">
        <w:t>1619(2)</w:t>
      </w:r>
    </w:p>
    <w:p w:rsidR="00E8131B" w:rsidRPr="006E709F" w:rsidRDefault="00E8131B" w:rsidP="00F925D9">
      <w:pPr>
        <w:pStyle w:val="Item"/>
        <w:keepLines w:val="0"/>
      </w:pPr>
      <w:r w:rsidRPr="006E709F">
        <w:t>After “apply”, insert “on and after 1</w:t>
      </w:r>
      <w:r w:rsidR="00DA13DE" w:rsidRPr="006E709F">
        <w:t> </w:t>
      </w:r>
      <w:r w:rsidRPr="006E709F">
        <w:t>September 2017”.</w:t>
      </w:r>
    </w:p>
    <w:p w:rsidR="00E8131B" w:rsidRPr="006E709F" w:rsidRDefault="00E8131B" w:rsidP="00A52BA3">
      <w:pPr>
        <w:pStyle w:val="ItemHead"/>
      </w:pPr>
      <w:r w:rsidRPr="006E709F">
        <w:t>34  Subsection</w:t>
      </w:r>
      <w:r w:rsidR="00DA13DE" w:rsidRPr="006E709F">
        <w:t> </w:t>
      </w:r>
      <w:r w:rsidRPr="006E709F">
        <w:t>1619(2)</w:t>
      </w:r>
    </w:p>
    <w:p w:rsidR="00E8131B" w:rsidRPr="006E709F" w:rsidRDefault="00E8131B" w:rsidP="00F925D9">
      <w:pPr>
        <w:pStyle w:val="Item"/>
        <w:keepLines w:val="0"/>
      </w:pPr>
      <w:r w:rsidRPr="006E709F">
        <w:t>Omit “the commencement day”, substitute “that day”.</w:t>
      </w:r>
    </w:p>
    <w:p w:rsidR="00E8131B" w:rsidRPr="006E709F" w:rsidRDefault="00E8131B" w:rsidP="00A52BA3">
      <w:pPr>
        <w:pStyle w:val="ItemHead"/>
      </w:pPr>
      <w:r w:rsidRPr="006E709F">
        <w:t>35  Subsection</w:t>
      </w:r>
      <w:r w:rsidR="00DA13DE" w:rsidRPr="006E709F">
        <w:t> </w:t>
      </w:r>
      <w:r w:rsidRPr="006E709F">
        <w:t>1619(4)</w:t>
      </w:r>
    </w:p>
    <w:p w:rsidR="00E8131B" w:rsidRPr="006E709F" w:rsidRDefault="00E8131B" w:rsidP="00F925D9">
      <w:pPr>
        <w:pStyle w:val="Item"/>
        <w:keepLines w:val="0"/>
      </w:pPr>
      <w:r w:rsidRPr="006E709F">
        <w:t>After “applies”, insert “on and after 1</w:t>
      </w:r>
      <w:r w:rsidR="00DA13DE" w:rsidRPr="006E709F">
        <w:t> </w:t>
      </w:r>
      <w:r w:rsidRPr="006E709F">
        <w:t>September 2017”.</w:t>
      </w:r>
    </w:p>
    <w:p w:rsidR="00E8131B" w:rsidRPr="006E709F" w:rsidRDefault="00E8131B" w:rsidP="00A52BA3">
      <w:pPr>
        <w:pStyle w:val="ItemHead"/>
      </w:pPr>
      <w:r w:rsidRPr="006E709F">
        <w:lastRenderedPageBreak/>
        <w:t>36  Subsection</w:t>
      </w:r>
      <w:r w:rsidR="00DA13DE" w:rsidRPr="006E709F">
        <w:t> </w:t>
      </w:r>
      <w:r w:rsidRPr="006E709F">
        <w:t>1619(4)</w:t>
      </w:r>
    </w:p>
    <w:p w:rsidR="00E8131B" w:rsidRPr="006E709F" w:rsidRDefault="00E8131B" w:rsidP="00F925D9">
      <w:pPr>
        <w:pStyle w:val="Item"/>
        <w:keepLines w:val="0"/>
      </w:pPr>
      <w:r w:rsidRPr="006E709F">
        <w:t>Omit “the commencement day”, substitute “that day”.</w:t>
      </w:r>
    </w:p>
    <w:p w:rsidR="00E8131B" w:rsidRPr="006E709F" w:rsidRDefault="00E8131B" w:rsidP="00A52BA3">
      <w:pPr>
        <w:pStyle w:val="ItemHead"/>
      </w:pPr>
      <w:r w:rsidRPr="006E709F">
        <w:t>37  Section</w:t>
      </w:r>
      <w:r w:rsidR="00DA13DE" w:rsidRPr="006E709F">
        <w:t> </w:t>
      </w:r>
      <w:r w:rsidRPr="006E709F">
        <w:t>1620</w:t>
      </w:r>
    </w:p>
    <w:p w:rsidR="00E8131B" w:rsidRPr="006E709F" w:rsidRDefault="00E8131B" w:rsidP="00F925D9">
      <w:pPr>
        <w:pStyle w:val="Item"/>
        <w:keepLines w:val="0"/>
      </w:pPr>
      <w:r w:rsidRPr="006E709F">
        <w:t>After “applies”, insert “on and after 1</w:t>
      </w:r>
      <w:r w:rsidR="00DA13DE" w:rsidRPr="006E709F">
        <w:t> </w:t>
      </w:r>
      <w:r w:rsidRPr="006E709F">
        <w:t>September 2017”.</w:t>
      </w:r>
    </w:p>
    <w:p w:rsidR="00E8131B" w:rsidRPr="006E709F" w:rsidRDefault="00E8131B" w:rsidP="00A52BA3">
      <w:pPr>
        <w:pStyle w:val="ItemHead"/>
      </w:pPr>
      <w:r w:rsidRPr="006E709F">
        <w:t>38  Section</w:t>
      </w:r>
      <w:r w:rsidR="00DA13DE" w:rsidRPr="006E709F">
        <w:t> </w:t>
      </w:r>
      <w:r w:rsidRPr="006E709F">
        <w:t>1620</w:t>
      </w:r>
    </w:p>
    <w:p w:rsidR="00E8131B" w:rsidRPr="006E709F" w:rsidRDefault="00E8131B" w:rsidP="00F925D9">
      <w:pPr>
        <w:pStyle w:val="Item"/>
        <w:keepLines w:val="0"/>
      </w:pPr>
      <w:r w:rsidRPr="006E709F">
        <w:t>Omit “the commencement day”, substitute “that day”.</w:t>
      </w:r>
    </w:p>
    <w:p w:rsidR="00E8131B" w:rsidRPr="006E709F" w:rsidRDefault="00E8131B" w:rsidP="00A52BA3">
      <w:pPr>
        <w:pStyle w:val="ItemHead"/>
      </w:pPr>
      <w:r w:rsidRPr="006E709F">
        <w:t>39  Section</w:t>
      </w:r>
      <w:r w:rsidR="00DA13DE" w:rsidRPr="006E709F">
        <w:t> </w:t>
      </w:r>
      <w:r w:rsidRPr="006E709F">
        <w:t>1623</w:t>
      </w:r>
    </w:p>
    <w:p w:rsidR="00E8131B" w:rsidRPr="006E709F" w:rsidRDefault="00E8131B" w:rsidP="00F925D9">
      <w:pPr>
        <w:pStyle w:val="Item"/>
        <w:keepLines w:val="0"/>
      </w:pPr>
      <w:r w:rsidRPr="006E709F">
        <w:t>Repeal the section, substitute:</w:t>
      </w:r>
    </w:p>
    <w:p w:rsidR="00E8131B" w:rsidRPr="006E709F" w:rsidRDefault="00E8131B" w:rsidP="00A52BA3">
      <w:pPr>
        <w:pStyle w:val="Specials"/>
      </w:pPr>
      <w:r w:rsidRPr="006E709F">
        <w:t>1623  Transitional rules for controller returns</w:t>
      </w:r>
    </w:p>
    <w:p w:rsidR="00E8131B" w:rsidRPr="006E709F" w:rsidRDefault="00E8131B" w:rsidP="00E8131B">
      <w:pPr>
        <w:pStyle w:val="subsection"/>
      </w:pPr>
      <w:r w:rsidRPr="006E709F">
        <w:tab/>
        <w:t>(1)</w:t>
      </w:r>
      <w:r w:rsidRPr="006E709F">
        <w:tab/>
        <w:t>Section</w:t>
      </w:r>
      <w:r w:rsidR="00DA13DE" w:rsidRPr="006E709F">
        <w:t> </w:t>
      </w:r>
      <w:r w:rsidRPr="006E709F">
        <w:t>422A, as inserted by Schedule</w:t>
      </w:r>
      <w:r w:rsidR="00DA13DE" w:rsidRPr="006E709F">
        <w:t> </w:t>
      </w:r>
      <w:r w:rsidRPr="006E709F">
        <w:t xml:space="preserve">2 to the </w:t>
      </w:r>
      <w:r w:rsidRPr="006E709F">
        <w:rPr>
          <w:i/>
        </w:rPr>
        <w:t>Insolvency Law Reform Act 2016</w:t>
      </w:r>
      <w:r w:rsidRPr="006E709F">
        <w:t>, applies in relation to a person if the person first began to be a controller of the property of a corporation on or after 1</w:t>
      </w:r>
      <w:r w:rsidR="00DA13DE" w:rsidRPr="006E709F">
        <w:t> </w:t>
      </w:r>
      <w:r w:rsidRPr="006E709F">
        <w:t>September 2017.</w:t>
      </w:r>
    </w:p>
    <w:p w:rsidR="00E8131B" w:rsidRPr="006E709F" w:rsidRDefault="00E8131B" w:rsidP="00E8131B">
      <w:pPr>
        <w:pStyle w:val="subsection"/>
      </w:pPr>
      <w:r w:rsidRPr="006E709F">
        <w:tab/>
        <w:t>(2)</w:t>
      </w:r>
      <w:r w:rsidRPr="006E709F">
        <w:tab/>
        <w:t>Section</w:t>
      </w:r>
      <w:r w:rsidR="00DA13DE" w:rsidRPr="006E709F">
        <w:t> </w:t>
      </w:r>
      <w:r w:rsidRPr="006E709F">
        <w:t>422A, as inserted by Schedule</w:t>
      </w:r>
      <w:r w:rsidR="00DA13DE" w:rsidRPr="006E709F">
        <w:t> </w:t>
      </w:r>
      <w:r w:rsidRPr="006E709F">
        <w:t xml:space="preserve">2 to the </w:t>
      </w:r>
      <w:r w:rsidRPr="006E709F">
        <w:rPr>
          <w:i/>
        </w:rPr>
        <w:t>Insolvency Law Reform Act 2016</w:t>
      </w:r>
      <w:r w:rsidRPr="006E709F">
        <w:t>, also applies in relation to a person if the person first began to be the controller of the property of a corporation before 1</w:t>
      </w:r>
      <w:r w:rsidR="00DA13DE" w:rsidRPr="006E709F">
        <w:t> </w:t>
      </w:r>
      <w:r w:rsidRPr="006E709F">
        <w:t>September 2017 as if the reference in that section to a control return year for the controller were a reference to:</w:t>
      </w:r>
    </w:p>
    <w:p w:rsidR="00E8131B" w:rsidRPr="006E709F" w:rsidRDefault="00E8131B" w:rsidP="00E8131B">
      <w:pPr>
        <w:pStyle w:val="paragraph"/>
      </w:pPr>
      <w:r w:rsidRPr="006E709F">
        <w:tab/>
        <w:t>(a)</w:t>
      </w:r>
      <w:r w:rsidRPr="006E709F">
        <w:tab/>
        <w:t>the first full year starting on or after 1</w:t>
      </w:r>
      <w:r w:rsidR="00DA13DE" w:rsidRPr="006E709F">
        <w:t> </w:t>
      </w:r>
      <w:r w:rsidRPr="006E709F">
        <w:t>September 2017 that is an anniversary of when the person first began to be the controller of the property of a corporation; and</w:t>
      </w:r>
    </w:p>
    <w:p w:rsidR="00E8131B" w:rsidRPr="006E709F" w:rsidRDefault="00E8131B" w:rsidP="00E8131B">
      <w:pPr>
        <w:pStyle w:val="paragraph"/>
      </w:pPr>
      <w:r w:rsidRPr="006E709F">
        <w:tab/>
        <w:t>(b)</w:t>
      </w:r>
      <w:r w:rsidRPr="006E709F">
        <w:tab/>
        <w:t>each subsequent period of 12 months.</w:t>
      </w:r>
    </w:p>
    <w:p w:rsidR="00E8131B" w:rsidRPr="006E709F" w:rsidRDefault="00E8131B" w:rsidP="00E8131B">
      <w:pPr>
        <w:pStyle w:val="subsection"/>
      </w:pPr>
      <w:r w:rsidRPr="006E709F">
        <w:tab/>
        <w:t>(3)</w:t>
      </w:r>
      <w:r w:rsidRPr="006E709F">
        <w:tab/>
        <w:t>Despite the repeal of subsections</w:t>
      </w:r>
      <w:r w:rsidR="00DA13DE" w:rsidRPr="006E709F">
        <w:t> </w:t>
      </w:r>
      <w:r w:rsidRPr="006E709F">
        <w:t>432(1) and (1A) of the old Act by Schedule</w:t>
      </w:r>
      <w:r w:rsidR="00DA13DE" w:rsidRPr="006E709F">
        <w:t> </w:t>
      </w:r>
      <w:r w:rsidRPr="006E709F">
        <w:t xml:space="preserve">2 to the </w:t>
      </w:r>
      <w:r w:rsidRPr="006E709F">
        <w:rPr>
          <w:i/>
        </w:rPr>
        <w:t>Insolvency Law Reform Act 2016</w:t>
      </w:r>
      <w:r w:rsidRPr="006E709F">
        <w:t>, those subsections continue to apply, in relation to a controller of a corporation appointed before 1</w:t>
      </w:r>
      <w:r w:rsidR="00DA13DE" w:rsidRPr="006E709F">
        <w:t> </w:t>
      </w:r>
      <w:r w:rsidRPr="006E709F">
        <w:t>September 2017:</w:t>
      </w:r>
    </w:p>
    <w:p w:rsidR="00E8131B" w:rsidRPr="006E709F" w:rsidRDefault="00E8131B" w:rsidP="00E8131B">
      <w:pPr>
        <w:pStyle w:val="paragraph"/>
      </w:pPr>
      <w:r w:rsidRPr="006E709F">
        <w:tab/>
        <w:t>(a)</w:t>
      </w:r>
      <w:r w:rsidRPr="006E709F">
        <w:tab/>
        <w:t>if the end of the 6</w:t>
      </w:r>
      <w:r w:rsidR="000C4237">
        <w:noBreakHyphen/>
      </w:r>
      <w:r w:rsidRPr="006E709F">
        <w:t>month period referred to in paragraph</w:t>
      </w:r>
      <w:r w:rsidR="00DA13DE" w:rsidRPr="006E709F">
        <w:t> </w:t>
      </w:r>
      <w:r w:rsidRPr="006E709F">
        <w:t>432(1)(a) occurs before 1</w:t>
      </w:r>
      <w:r w:rsidR="00DA13DE" w:rsidRPr="006E709F">
        <w:t> </w:t>
      </w:r>
      <w:r w:rsidRPr="006E709F">
        <w:t>March 2018—in relation to that period; and</w:t>
      </w:r>
    </w:p>
    <w:p w:rsidR="00E8131B" w:rsidRPr="006E709F" w:rsidRDefault="00E8131B" w:rsidP="00E8131B">
      <w:pPr>
        <w:pStyle w:val="paragraph"/>
      </w:pPr>
      <w:r w:rsidRPr="006E709F">
        <w:tab/>
        <w:t>(b)</w:t>
      </w:r>
      <w:r w:rsidRPr="006E709F">
        <w:tab/>
        <w:t>if the end of that period is not an anniversary of the administrator’s appointment—in relation to the subsequent 6</w:t>
      </w:r>
      <w:r w:rsidR="000C4237">
        <w:noBreakHyphen/>
      </w:r>
      <w:r w:rsidRPr="006E709F">
        <w:t>month period.</w:t>
      </w:r>
    </w:p>
    <w:p w:rsidR="00E8131B" w:rsidRPr="006E709F" w:rsidRDefault="00E8131B" w:rsidP="00E8131B">
      <w:pPr>
        <w:pStyle w:val="subsection"/>
      </w:pPr>
      <w:r w:rsidRPr="006E709F">
        <w:tab/>
        <w:t>(4)</w:t>
      </w:r>
      <w:r w:rsidRPr="006E709F">
        <w:tab/>
        <w:t>To avoid doubt, despite the repeal of subsections</w:t>
      </w:r>
      <w:r w:rsidR="00DA13DE" w:rsidRPr="006E709F">
        <w:t> </w:t>
      </w:r>
      <w:r w:rsidRPr="006E709F">
        <w:t>432(1) and (1A) of the old Act by Schedule</w:t>
      </w:r>
      <w:r w:rsidR="00DA13DE" w:rsidRPr="006E709F">
        <w:t> </w:t>
      </w:r>
      <w:r w:rsidRPr="006E709F">
        <w:t>2 to the</w:t>
      </w:r>
      <w:r w:rsidRPr="006E709F">
        <w:rPr>
          <w:i/>
        </w:rPr>
        <w:t xml:space="preserve"> Insolvency Law Reform Act 2016</w:t>
      </w:r>
      <w:r w:rsidRPr="006E709F">
        <w:t>, audits may be continued in relation to accounts lodged under those provisions as if the old Act continued to apply.</w:t>
      </w:r>
    </w:p>
    <w:p w:rsidR="00E8131B" w:rsidRPr="006E709F" w:rsidRDefault="00E8131B" w:rsidP="00A52BA3">
      <w:pPr>
        <w:pStyle w:val="Specials"/>
      </w:pPr>
      <w:r w:rsidRPr="006E709F">
        <w:t>1623A  Transitional rules for end of control returns</w:t>
      </w:r>
    </w:p>
    <w:p w:rsidR="00E8131B" w:rsidRPr="006E709F" w:rsidRDefault="00E8131B" w:rsidP="00E8131B">
      <w:pPr>
        <w:pStyle w:val="subsection"/>
      </w:pPr>
      <w:r w:rsidRPr="006E709F">
        <w:tab/>
        <w:t>(1)</w:t>
      </w:r>
      <w:r w:rsidRPr="006E709F">
        <w:tab/>
        <w:t>Section</w:t>
      </w:r>
      <w:r w:rsidR="00DA13DE" w:rsidRPr="006E709F">
        <w:t> </w:t>
      </w:r>
      <w:r w:rsidRPr="006E709F">
        <w:t>422B, as inserted by Schedule</w:t>
      </w:r>
      <w:r w:rsidR="00DA13DE" w:rsidRPr="006E709F">
        <w:t> </w:t>
      </w:r>
      <w:r w:rsidRPr="006E709F">
        <w:t xml:space="preserve">2 to the </w:t>
      </w:r>
      <w:r w:rsidRPr="006E709F">
        <w:rPr>
          <w:i/>
        </w:rPr>
        <w:t>Insolvency Law Reform Act 2016</w:t>
      </w:r>
      <w:r w:rsidRPr="006E709F">
        <w:t>, applies in relation to a control of the property of a corporation that ends on or after 1</w:t>
      </w:r>
      <w:r w:rsidR="00DA13DE" w:rsidRPr="006E709F">
        <w:t> </w:t>
      </w:r>
      <w:r w:rsidRPr="006E709F">
        <w:t>September 2017.</w:t>
      </w:r>
    </w:p>
    <w:p w:rsidR="00E8131B" w:rsidRPr="006E709F" w:rsidRDefault="00E8131B" w:rsidP="00E8131B">
      <w:pPr>
        <w:pStyle w:val="subsection"/>
      </w:pPr>
      <w:r w:rsidRPr="006E709F">
        <w:tab/>
        <w:t>(2)</w:t>
      </w:r>
      <w:r w:rsidRPr="006E709F">
        <w:tab/>
        <w:t>Despite the repeal of subsections</w:t>
      </w:r>
      <w:r w:rsidR="00DA13DE" w:rsidRPr="006E709F">
        <w:t> </w:t>
      </w:r>
      <w:r w:rsidRPr="006E709F">
        <w:t>432(1) and (1A) of the old Act by Schedule</w:t>
      </w:r>
      <w:r w:rsidR="00DA13DE" w:rsidRPr="006E709F">
        <w:t> </w:t>
      </w:r>
      <w:r w:rsidRPr="006E709F">
        <w:t xml:space="preserve">2 to the </w:t>
      </w:r>
      <w:r w:rsidRPr="006E709F">
        <w:rPr>
          <w:i/>
        </w:rPr>
        <w:t>Insolvency Law Reform Act 2016</w:t>
      </w:r>
      <w:r w:rsidRPr="006E709F">
        <w:t xml:space="preserve">, those subsections continue to apply, in </w:t>
      </w:r>
      <w:r w:rsidRPr="006E709F">
        <w:lastRenderedPageBreak/>
        <w:t>relation to controllers that cease to be a controller of property of a corporation, if the cessation occurs before 1</w:t>
      </w:r>
      <w:r w:rsidR="00DA13DE" w:rsidRPr="006E709F">
        <w:t> </w:t>
      </w:r>
      <w:r w:rsidRPr="006E709F">
        <w:t>September 2017.</w:t>
      </w:r>
    </w:p>
    <w:p w:rsidR="00E8131B" w:rsidRPr="006E709F" w:rsidRDefault="00E8131B" w:rsidP="00A52BA3">
      <w:pPr>
        <w:pStyle w:val="ItemHead"/>
      </w:pPr>
      <w:r w:rsidRPr="006E709F">
        <w:t>40  Subsection</w:t>
      </w:r>
      <w:r w:rsidR="00DA13DE" w:rsidRPr="006E709F">
        <w:t> </w:t>
      </w:r>
      <w:r w:rsidRPr="006E709F">
        <w:t>1627(3)</w:t>
      </w:r>
    </w:p>
    <w:p w:rsidR="00E8131B" w:rsidRPr="006E709F" w:rsidRDefault="00E8131B" w:rsidP="00A52BA3">
      <w:pPr>
        <w:pStyle w:val="Item"/>
      </w:pPr>
      <w:r w:rsidRPr="006E709F">
        <w:t>After “apply”, insert “on and after 1</w:t>
      </w:r>
      <w:r w:rsidR="00DA13DE" w:rsidRPr="006E709F">
        <w:t> </w:t>
      </w:r>
      <w:r w:rsidRPr="006E709F">
        <w:t>September 2017”.</w:t>
      </w:r>
    </w:p>
    <w:p w:rsidR="009E74E8" w:rsidRPr="006E709F" w:rsidRDefault="009E74E8" w:rsidP="00492787">
      <w:pPr>
        <w:sectPr w:rsidR="009E74E8" w:rsidRPr="006E709F" w:rsidSect="0054047A">
          <w:headerReference w:type="even" r:id="rId69"/>
          <w:headerReference w:type="default" r:id="rId70"/>
          <w:footerReference w:type="even" r:id="rId71"/>
          <w:footerReference w:type="default" r:id="rId72"/>
          <w:headerReference w:type="first" r:id="rId73"/>
          <w:footerReference w:type="first" r:id="rId74"/>
          <w:pgSz w:w="11907" w:h="16839" w:code="9"/>
          <w:pgMar w:top="2325" w:right="1797" w:bottom="1440" w:left="1797" w:header="720" w:footer="709" w:gutter="0"/>
          <w:cols w:space="720"/>
          <w:docGrid w:linePitch="299"/>
        </w:sectPr>
      </w:pPr>
    </w:p>
    <w:p w:rsidR="00492787" w:rsidRPr="006E709F" w:rsidRDefault="00492787" w:rsidP="00492787"/>
    <w:sectPr w:rsidR="00492787" w:rsidRPr="006E709F" w:rsidSect="0054047A">
      <w:headerReference w:type="even" r:id="rId75"/>
      <w:headerReference w:type="default" r:id="rId76"/>
      <w:footerReference w:type="even" r:id="rId77"/>
      <w:footerReference w:type="default" r:id="rId78"/>
      <w:headerReference w:type="first" r:id="rId79"/>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944" w:rsidRDefault="00292944">
      <w:r>
        <w:separator/>
      </w:r>
    </w:p>
  </w:endnote>
  <w:endnote w:type="continuationSeparator" w:id="0">
    <w:p w:rsidR="00292944" w:rsidRDefault="0029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Default="0029294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i/>
              <w:sz w:val="16"/>
              <w:szCs w:val="16"/>
            </w:rPr>
          </w:pP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47A">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w:t>
          </w:r>
          <w:r w:rsidRPr="007B3B51">
            <w:rPr>
              <w:i/>
              <w:sz w:val="16"/>
              <w:szCs w:val="16"/>
            </w:rPr>
            <w:fldChar w:fldCharType="end"/>
          </w:r>
        </w:p>
      </w:tc>
    </w:tr>
    <w:tr w:rsidR="00292944" w:rsidRPr="00130F37" w:rsidTr="001D4C13">
      <w:tc>
        <w:tcPr>
          <w:tcW w:w="1499" w:type="pct"/>
          <w:gridSpan w:val="2"/>
        </w:tcPr>
        <w:p w:rsidR="00292944" w:rsidRPr="00130F37" w:rsidRDefault="00292944" w:rsidP="006F5FE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3E82">
            <w:rPr>
              <w:sz w:val="16"/>
              <w:szCs w:val="16"/>
            </w:rPr>
            <w:t>196</w:t>
          </w:r>
          <w:r w:rsidRPr="00130F37">
            <w:rPr>
              <w:sz w:val="16"/>
              <w:szCs w:val="16"/>
            </w:rPr>
            <w:fldChar w:fldCharType="end"/>
          </w:r>
        </w:p>
      </w:tc>
      <w:tc>
        <w:tcPr>
          <w:tcW w:w="1999" w:type="pct"/>
        </w:tcPr>
        <w:p w:rsidR="00292944" w:rsidRPr="00130F37" w:rsidRDefault="00292944" w:rsidP="006F5FE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t>22/06/2024</w:t>
          </w:r>
          <w:r w:rsidRPr="00130F37">
            <w:rPr>
              <w:sz w:val="16"/>
              <w:szCs w:val="16"/>
            </w:rPr>
            <w:fldChar w:fldCharType="end"/>
          </w:r>
        </w:p>
      </w:tc>
      <w:tc>
        <w:tcPr>
          <w:tcW w:w="1502" w:type="pct"/>
          <w:gridSpan w:val="2"/>
        </w:tcPr>
        <w:p w:rsidR="00292944" w:rsidRPr="00130F37" w:rsidRDefault="00292944" w:rsidP="006F5FE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3E82">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instrText>29/06/2024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3E82">
            <w:rPr>
              <w:noProof/>
              <w:sz w:val="16"/>
              <w:szCs w:val="16"/>
            </w:rPr>
            <w:t>29/06/2024</w:t>
          </w:r>
          <w:r w:rsidRPr="00130F37">
            <w:rPr>
              <w:sz w:val="16"/>
              <w:szCs w:val="16"/>
            </w:rPr>
            <w:fldChar w:fldCharType="end"/>
          </w:r>
        </w:p>
      </w:tc>
    </w:tr>
  </w:tbl>
  <w:p w:rsidR="00292944" w:rsidRDefault="00292944" w:rsidP="006F5FE9"/>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E118F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i/>
              <w:sz w:val="16"/>
              <w:szCs w:val="16"/>
            </w:rPr>
          </w:pP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3E82">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147</w:t>
          </w:r>
          <w:r w:rsidRPr="007B3B51">
            <w:rPr>
              <w:i/>
              <w:sz w:val="16"/>
              <w:szCs w:val="16"/>
            </w:rPr>
            <w:fldChar w:fldCharType="end"/>
          </w:r>
        </w:p>
      </w:tc>
    </w:tr>
    <w:tr w:rsidR="00292944" w:rsidRPr="00130F37" w:rsidTr="00E118FA">
      <w:tc>
        <w:tcPr>
          <w:tcW w:w="1499" w:type="pct"/>
          <w:gridSpan w:val="2"/>
        </w:tcPr>
        <w:p w:rsidR="00292944" w:rsidRPr="00130F37" w:rsidRDefault="00292944" w:rsidP="006F5FE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3E82">
            <w:rPr>
              <w:sz w:val="16"/>
              <w:szCs w:val="16"/>
            </w:rPr>
            <w:t>196</w:t>
          </w:r>
          <w:r w:rsidRPr="00130F37">
            <w:rPr>
              <w:sz w:val="16"/>
              <w:szCs w:val="16"/>
            </w:rPr>
            <w:fldChar w:fldCharType="end"/>
          </w:r>
        </w:p>
      </w:tc>
      <w:tc>
        <w:tcPr>
          <w:tcW w:w="1999" w:type="pct"/>
        </w:tcPr>
        <w:p w:rsidR="00292944" w:rsidRPr="00130F37" w:rsidRDefault="00292944" w:rsidP="006F5FE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3E82">
            <w:rPr>
              <w:sz w:val="16"/>
              <w:szCs w:val="16"/>
            </w:rPr>
            <w:t>22/06/2024</w:t>
          </w:r>
          <w:r w:rsidRPr="00130F37">
            <w:rPr>
              <w:sz w:val="16"/>
              <w:szCs w:val="16"/>
            </w:rPr>
            <w:fldChar w:fldCharType="end"/>
          </w:r>
        </w:p>
      </w:tc>
      <w:tc>
        <w:tcPr>
          <w:tcW w:w="1502" w:type="pct"/>
          <w:gridSpan w:val="2"/>
        </w:tcPr>
        <w:p w:rsidR="00292944" w:rsidRPr="00130F37" w:rsidRDefault="00292944" w:rsidP="006F5FE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3E82">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3E82">
            <w:rPr>
              <w:sz w:val="16"/>
              <w:szCs w:val="16"/>
            </w:rPr>
            <w:instrText>29/06/2024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3E82">
            <w:rPr>
              <w:noProof/>
              <w:sz w:val="16"/>
              <w:szCs w:val="16"/>
            </w:rPr>
            <w:t>29/06/2024</w:t>
          </w:r>
          <w:r w:rsidRPr="00130F37">
            <w:rPr>
              <w:sz w:val="16"/>
              <w:szCs w:val="16"/>
            </w:rPr>
            <w:fldChar w:fldCharType="end"/>
          </w:r>
        </w:p>
      </w:tc>
    </w:tr>
  </w:tbl>
  <w:p w:rsidR="00292944" w:rsidRPr="00C648C9" w:rsidRDefault="00292944" w:rsidP="00E118F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w:t>
          </w:r>
          <w:r w:rsidRPr="007B3B51">
            <w:rPr>
              <w:i/>
              <w:sz w:val="16"/>
              <w:szCs w:val="16"/>
            </w:rPr>
            <w:fldChar w:fldCharType="end"/>
          </w: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47A">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p>
      </w:tc>
    </w:tr>
    <w:tr w:rsidR="00292944" w:rsidRPr="0055472E" w:rsidTr="001D4C13">
      <w:tc>
        <w:tcPr>
          <w:tcW w:w="1499" w:type="pct"/>
          <w:gridSpan w:val="2"/>
        </w:tcPr>
        <w:p w:rsidR="00292944" w:rsidRPr="0055472E" w:rsidRDefault="00292944" w:rsidP="006F5FE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3E82">
            <w:rPr>
              <w:sz w:val="16"/>
              <w:szCs w:val="16"/>
            </w:rPr>
            <w:t>196</w:t>
          </w:r>
          <w:r w:rsidRPr="0055472E">
            <w:rPr>
              <w:sz w:val="16"/>
              <w:szCs w:val="16"/>
            </w:rPr>
            <w:fldChar w:fldCharType="end"/>
          </w:r>
        </w:p>
      </w:tc>
      <w:tc>
        <w:tcPr>
          <w:tcW w:w="1999" w:type="pct"/>
        </w:tcPr>
        <w:p w:rsidR="00292944" w:rsidRPr="0055472E" w:rsidRDefault="00292944" w:rsidP="006F5FE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t>22/06/2024</w:t>
          </w:r>
          <w:r w:rsidRPr="0055472E">
            <w:rPr>
              <w:sz w:val="16"/>
              <w:szCs w:val="16"/>
            </w:rPr>
            <w:fldChar w:fldCharType="end"/>
          </w:r>
        </w:p>
      </w:tc>
      <w:tc>
        <w:tcPr>
          <w:tcW w:w="1502" w:type="pct"/>
          <w:gridSpan w:val="2"/>
        </w:tcPr>
        <w:p w:rsidR="00292944" w:rsidRPr="0055472E" w:rsidRDefault="00292944" w:rsidP="006F5FE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3E82">
            <w:rPr>
              <w:sz w:val="16"/>
              <w:szCs w:val="16"/>
            </w:rPr>
            <w:instrText>29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instrText>29/06/2024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3E82">
            <w:rPr>
              <w:noProof/>
              <w:sz w:val="16"/>
              <w:szCs w:val="16"/>
            </w:rPr>
            <w:t>29/06/2024</w:t>
          </w:r>
          <w:r w:rsidRPr="0055472E">
            <w:rPr>
              <w:sz w:val="16"/>
              <w:szCs w:val="16"/>
            </w:rPr>
            <w:fldChar w:fldCharType="end"/>
          </w:r>
        </w:p>
      </w:tc>
    </w:tr>
  </w:tbl>
  <w:p w:rsidR="00292944" w:rsidRDefault="00292944" w:rsidP="006F5FE9"/>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i/>
              <w:sz w:val="16"/>
              <w:szCs w:val="16"/>
            </w:rPr>
          </w:pP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47A">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w:t>
          </w:r>
          <w:r w:rsidRPr="007B3B51">
            <w:rPr>
              <w:i/>
              <w:sz w:val="16"/>
              <w:szCs w:val="16"/>
            </w:rPr>
            <w:fldChar w:fldCharType="end"/>
          </w:r>
        </w:p>
      </w:tc>
    </w:tr>
    <w:tr w:rsidR="00292944" w:rsidRPr="00130F37" w:rsidTr="001D4C13">
      <w:tc>
        <w:tcPr>
          <w:tcW w:w="1499" w:type="pct"/>
          <w:gridSpan w:val="2"/>
        </w:tcPr>
        <w:p w:rsidR="00292944" w:rsidRPr="00130F37" w:rsidRDefault="00292944" w:rsidP="006F5FE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3E82">
            <w:rPr>
              <w:sz w:val="16"/>
              <w:szCs w:val="16"/>
            </w:rPr>
            <w:t>196</w:t>
          </w:r>
          <w:r w:rsidRPr="00130F37">
            <w:rPr>
              <w:sz w:val="16"/>
              <w:szCs w:val="16"/>
            </w:rPr>
            <w:fldChar w:fldCharType="end"/>
          </w:r>
        </w:p>
      </w:tc>
      <w:tc>
        <w:tcPr>
          <w:tcW w:w="1999" w:type="pct"/>
        </w:tcPr>
        <w:p w:rsidR="00292944" w:rsidRPr="00130F37" w:rsidRDefault="00292944" w:rsidP="006F5FE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t>22/06/2024</w:t>
          </w:r>
          <w:r w:rsidRPr="00130F37">
            <w:rPr>
              <w:sz w:val="16"/>
              <w:szCs w:val="16"/>
            </w:rPr>
            <w:fldChar w:fldCharType="end"/>
          </w:r>
        </w:p>
      </w:tc>
      <w:tc>
        <w:tcPr>
          <w:tcW w:w="1502" w:type="pct"/>
          <w:gridSpan w:val="2"/>
        </w:tcPr>
        <w:p w:rsidR="00292944" w:rsidRPr="00130F37" w:rsidRDefault="00292944" w:rsidP="006F5FE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3E82">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instrText>29/06/2024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3E82">
            <w:rPr>
              <w:noProof/>
              <w:sz w:val="16"/>
              <w:szCs w:val="16"/>
            </w:rPr>
            <w:t>29/06/2024</w:t>
          </w:r>
          <w:r w:rsidRPr="00130F37">
            <w:rPr>
              <w:sz w:val="16"/>
              <w:szCs w:val="16"/>
            </w:rPr>
            <w:fldChar w:fldCharType="end"/>
          </w:r>
        </w:p>
      </w:tc>
    </w:tr>
  </w:tbl>
  <w:p w:rsidR="00292944" w:rsidRDefault="00292944" w:rsidP="006F5FE9"/>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2B0EA5" w:rsidRDefault="00292944" w:rsidP="004B6E7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92944" w:rsidTr="00E118FA">
      <w:tc>
        <w:tcPr>
          <w:tcW w:w="947" w:type="pct"/>
        </w:tcPr>
        <w:p w:rsidR="00292944" w:rsidRDefault="00292944" w:rsidP="004B6E7C">
          <w:pPr>
            <w:spacing w:line="0" w:lineRule="atLeast"/>
            <w:rPr>
              <w:sz w:val="18"/>
            </w:rPr>
          </w:pPr>
        </w:p>
      </w:tc>
      <w:tc>
        <w:tcPr>
          <w:tcW w:w="3688" w:type="pct"/>
        </w:tcPr>
        <w:p w:rsidR="00292944" w:rsidRDefault="00292944" w:rsidP="004B6E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3E82">
            <w:rPr>
              <w:i/>
              <w:sz w:val="18"/>
            </w:rPr>
            <w:t>Corporations Regulations 2001</w:t>
          </w:r>
          <w:r w:rsidRPr="007A1328">
            <w:rPr>
              <w:i/>
              <w:sz w:val="18"/>
            </w:rPr>
            <w:fldChar w:fldCharType="end"/>
          </w:r>
        </w:p>
      </w:tc>
      <w:tc>
        <w:tcPr>
          <w:tcW w:w="365" w:type="pct"/>
        </w:tcPr>
        <w:p w:rsidR="00292944" w:rsidRDefault="00292944" w:rsidP="004B6E7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147</w:t>
          </w:r>
          <w:r w:rsidRPr="00ED79B6">
            <w:rPr>
              <w:i/>
              <w:sz w:val="18"/>
            </w:rPr>
            <w:fldChar w:fldCharType="end"/>
          </w:r>
        </w:p>
      </w:tc>
    </w:tr>
  </w:tbl>
  <w:p w:rsidR="00292944" w:rsidRPr="00ED79B6" w:rsidRDefault="00292944" w:rsidP="004B6E7C">
    <w:pPr>
      <w:rPr>
        <w:i/>
        <w:sz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w:t>
          </w:r>
          <w:r w:rsidRPr="007B3B51">
            <w:rPr>
              <w:i/>
              <w:sz w:val="16"/>
              <w:szCs w:val="16"/>
            </w:rPr>
            <w:fldChar w:fldCharType="end"/>
          </w: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47A">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p>
      </w:tc>
    </w:tr>
    <w:tr w:rsidR="00292944" w:rsidRPr="0055472E" w:rsidTr="001D4C13">
      <w:tc>
        <w:tcPr>
          <w:tcW w:w="1499" w:type="pct"/>
          <w:gridSpan w:val="2"/>
        </w:tcPr>
        <w:p w:rsidR="00292944" w:rsidRPr="0055472E" w:rsidRDefault="00292944" w:rsidP="006F5FE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3E82">
            <w:rPr>
              <w:sz w:val="16"/>
              <w:szCs w:val="16"/>
            </w:rPr>
            <w:t>196</w:t>
          </w:r>
          <w:r w:rsidRPr="0055472E">
            <w:rPr>
              <w:sz w:val="16"/>
              <w:szCs w:val="16"/>
            </w:rPr>
            <w:fldChar w:fldCharType="end"/>
          </w:r>
        </w:p>
      </w:tc>
      <w:tc>
        <w:tcPr>
          <w:tcW w:w="1999" w:type="pct"/>
        </w:tcPr>
        <w:p w:rsidR="00292944" w:rsidRPr="0055472E" w:rsidRDefault="00292944" w:rsidP="006F5FE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t>22/06/2024</w:t>
          </w:r>
          <w:r w:rsidRPr="0055472E">
            <w:rPr>
              <w:sz w:val="16"/>
              <w:szCs w:val="16"/>
            </w:rPr>
            <w:fldChar w:fldCharType="end"/>
          </w:r>
        </w:p>
      </w:tc>
      <w:tc>
        <w:tcPr>
          <w:tcW w:w="1502" w:type="pct"/>
          <w:gridSpan w:val="2"/>
        </w:tcPr>
        <w:p w:rsidR="00292944" w:rsidRPr="0055472E" w:rsidRDefault="00292944" w:rsidP="006F5FE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3E82">
            <w:rPr>
              <w:sz w:val="16"/>
              <w:szCs w:val="16"/>
            </w:rPr>
            <w:instrText>29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instrText>29/06/2024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3E82">
            <w:rPr>
              <w:noProof/>
              <w:sz w:val="16"/>
              <w:szCs w:val="16"/>
            </w:rPr>
            <w:t>29/06/2024</w:t>
          </w:r>
          <w:r w:rsidRPr="0055472E">
            <w:rPr>
              <w:sz w:val="16"/>
              <w:szCs w:val="16"/>
            </w:rPr>
            <w:fldChar w:fldCharType="end"/>
          </w:r>
        </w:p>
      </w:tc>
    </w:tr>
  </w:tbl>
  <w:p w:rsidR="00292944" w:rsidRDefault="00292944" w:rsidP="006F5FE9"/>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i/>
              <w:sz w:val="16"/>
              <w:szCs w:val="16"/>
            </w:rPr>
          </w:pP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47A">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29</w:t>
          </w:r>
          <w:r w:rsidRPr="007B3B51">
            <w:rPr>
              <w:i/>
              <w:sz w:val="16"/>
              <w:szCs w:val="16"/>
            </w:rPr>
            <w:fldChar w:fldCharType="end"/>
          </w:r>
        </w:p>
      </w:tc>
    </w:tr>
    <w:tr w:rsidR="00292944" w:rsidRPr="00130F37" w:rsidTr="001D4C13">
      <w:tc>
        <w:tcPr>
          <w:tcW w:w="1499" w:type="pct"/>
          <w:gridSpan w:val="2"/>
        </w:tcPr>
        <w:p w:rsidR="00292944" w:rsidRPr="00130F37" w:rsidRDefault="00292944" w:rsidP="006F5FE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3E82">
            <w:rPr>
              <w:sz w:val="16"/>
              <w:szCs w:val="16"/>
            </w:rPr>
            <w:t>196</w:t>
          </w:r>
          <w:r w:rsidRPr="00130F37">
            <w:rPr>
              <w:sz w:val="16"/>
              <w:szCs w:val="16"/>
            </w:rPr>
            <w:fldChar w:fldCharType="end"/>
          </w:r>
        </w:p>
      </w:tc>
      <w:tc>
        <w:tcPr>
          <w:tcW w:w="1999" w:type="pct"/>
        </w:tcPr>
        <w:p w:rsidR="00292944" w:rsidRPr="00130F37" w:rsidRDefault="00292944" w:rsidP="006F5FE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t>22/06/2024</w:t>
          </w:r>
          <w:r w:rsidRPr="00130F37">
            <w:rPr>
              <w:sz w:val="16"/>
              <w:szCs w:val="16"/>
            </w:rPr>
            <w:fldChar w:fldCharType="end"/>
          </w:r>
        </w:p>
      </w:tc>
      <w:tc>
        <w:tcPr>
          <w:tcW w:w="1502" w:type="pct"/>
          <w:gridSpan w:val="2"/>
        </w:tcPr>
        <w:p w:rsidR="00292944" w:rsidRPr="00130F37" w:rsidRDefault="00292944" w:rsidP="006F5FE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3E82">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instrText>29/06/2024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3E82">
            <w:rPr>
              <w:noProof/>
              <w:sz w:val="16"/>
              <w:szCs w:val="16"/>
            </w:rPr>
            <w:t>29/06/2024</w:t>
          </w:r>
          <w:r w:rsidRPr="00130F37">
            <w:rPr>
              <w:sz w:val="16"/>
              <w:szCs w:val="16"/>
            </w:rPr>
            <w:fldChar w:fldCharType="end"/>
          </w:r>
        </w:p>
      </w:tc>
    </w:tr>
  </w:tbl>
  <w:p w:rsidR="00292944" w:rsidRDefault="00292944" w:rsidP="006F5FE9"/>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Default="00292944">
    <w:pPr>
      <w:pBdr>
        <w:top w:val="single" w:sz="6" w:space="1" w:color="auto"/>
      </w:pBdr>
      <w:rPr>
        <w:sz w:val="18"/>
      </w:rPr>
    </w:pPr>
  </w:p>
  <w:p w:rsidR="00292944" w:rsidRDefault="00292944">
    <w:pPr>
      <w:jc w:val="right"/>
      <w:rPr>
        <w:i/>
        <w:sz w:val="18"/>
      </w:rPr>
    </w:pPr>
    <w:r>
      <w:rPr>
        <w:i/>
        <w:sz w:val="18"/>
      </w:rPr>
      <w:fldChar w:fldCharType="begin"/>
    </w:r>
    <w:r>
      <w:rPr>
        <w:i/>
        <w:sz w:val="18"/>
      </w:rPr>
      <w:instrText xml:space="preserve"> STYLEREF ShortT </w:instrText>
    </w:r>
    <w:r>
      <w:rPr>
        <w:i/>
        <w:sz w:val="18"/>
      </w:rPr>
      <w:fldChar w:fldCharType="separate"/>
    </w:r>
    <w:r w:rsidR="00DE3E82">
      <w:rPr>
        <w:i/>
        <w:noProof/>
        <w:sz w:val="18"/>
      </w:rPr>
      <w:t>Corporations Regulations 2001</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147</w:t>
    </w:r>
    <w:r>
      <w:rPr>
        <w:i/>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38</w:t>
          </w:r>
          <w:r w:rsidRPr="007B3B51">
            <w:rPr>
              <w:i/>
              <w:sz w:val="16"/>
              <w:szCs w:val="16"/>
            </w:rPr>
            <w:fldChar w:fldCharType="end"/>
          </w: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47A">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p>
      </w:tc>
    </w:tr>
    <w:tr w:rsidR="00292944" w:rsidRPr="0055472E" w:rsidTr="001D4C13">
      <w:tc>
        <w:tcPr>
          <w:tcW w:w="1499" w:type="pct"/>
          <w:gridSpan w:val="2"/>
        </w:tcPr>
        <w:p w:rsidR="00292944" w:rsidRPr="0055472E" w:rsidRDefault="00292944" w:rsidP="006F5FE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3E82">
            <w:rPr>
              <w:sz w:val="16"/>
              <w:szCs w:val="16"/>
            </w:rPr>
            <w:t>196</w:t>
          </w:r>
          <w:r w:rsidRPr="0055472E">
            <w:rPr>
              <w:sz w:val="16"/>
              <w:szCs w:val="16"/>
            </w:rPr>
            <w:fldChar w:fldCharType="end"/>
          </w:r>
        </w:p>
      </w:tc>
      <w:tc>
        <w:tcPr>
          <w:tcW w:w="1999" w:type="pct"/>
        </w:tcPr>
        <w:p w:rsidR="00292944" w:rsidRPr="0055472E" w:rsidRDefault="00292944" w:rsidP="006F5FE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t>22/06/2024</w:t>
          </w:r>
          <w:r w:rsidRPr="0055472E">
            <w:rPr>
              <w:sz w:val="16"/>
              <w:szCs w:val="16"/>
            </w:rPr>
            <w:fldChar w:fldCharType="end"/>
          </w:r>
        </w:p>
      </w:tc>
      <w:tc>
        <w:tcPr>
          <w:tcW w:w="1502" w:type="pct"/>
          <w:gridSpan w:val="2"/>
        </w:tcPr>
        <w:p w:rsidR="00292944" w:rsidRPr="0055472E" w:rsidRDefault="00292944" w:rsidP="006F5FE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3E82">
            <w:rPr>
              <w:sz w:val="16"/>
              <w:szCs w:val="16"/>
            </w:rPr>
            <w:instrText>29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instrText>29/06/2024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3E82">
            <w:rPr>
              <w:noProof/>
              <w:sz w:val="16"/>
              <w:szCs w:val="16"/>
            </w:rPr>
            <w:t>29/06/2024</w:t>
          </w:r>
          <w:r w:rsidRPr="0055472E">
            <w:rPr>
              <w:sz w:val="16"/>
              <w:szCs w:val="16"/>
            </w:rPr>
            <w:fldChar w:fldCharType="end"/>
          </w:r>
        </w:p>
      </w:tc>
    </w:tr>
  </w:tbl>
  <w:p w:rsidR="00292944" w:rsidRDefault="00292944" w:rsidP="006F5FE9"/>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i/>
              <w:sz w:val="16"/>
              <w:szCs w:val="16"/>
            </w:rPr>
          </w:pP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47A">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w:t>
          </w:r>
          <w:r w:rsidRPr="007B3B51">
            <w:rPr>
              <w:i/>
              <w:sz w:val="16"/>
              <w:szCs w:val="16"/>
            </w:rPr>
            <w:fldChar w:fldCharType="end"/>
          </w:r>
        </w:p>
      </w:tc>
    </w:tr>
    <w:tr w:rsidR="00292944" w:rsidRPr="00130F37" w:rsidTr="001D4C13">
      <w:tc>
        <w:tcPr>
          <w:tcW w:w="1499" w:type="pct"/>
          <w:gridSpan w:val="2"/>
        </w:tcPr>
        <w:p w:rsidR="00292944" w:rsidRPr="00130F37" w:rsidRDefault="00292944" w:rsidP="006F5FE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3E82">
            <w:rPr>
              <w:sz w:val="16"/>
              <w:szCs w:val="16"/>
            </w:rPr>
            <w:t>196</w:t>
          </w:r>
          <w:r w:rsidRPr="00130F37">
            <w:rPr>
              <w:sz w:val="16"/>
              <w:szCs w:val="16"/>
            </w:rPr>
            <w:fldChar w:fldCharType="end"/>
          </w:r>
        </w:p>
      </w:tc>
      <w:tc>
        <w:tcPr>
          <w:tcW w:w="1999" w:type="pct"/>
        </w:tcPr>
        <w:p w:rsidR="00292944" w:rsidRPr="00130F37" w:rsidRDefault="00292944" w:rsidP="006F5FE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t>22/06/2024</w:t>
          </w:r>
          <w:r w:rsidRPr="00130F37">
            <w:rPr>
              <w:sz w:val="16"/>
              <w:szCs w:val="16"/>
            </w:rPr>
            <w:fldChar w:fldCharType="end"/>
          </w:r>
        </w:p>
      </w:tc>
      <w:tc>
        <w:tcPr>
          <w:tcW w:w="1502" w:type="pct"/>
          <w:gridSpan w:val="2"/>
        </w:tcPr>
        <w:p w:rsidR="00292944" w:rsidRPr="00130F37" w:rsidRDefault="00292944" w:rsidP="006F5FE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3E82">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instrText>29/06/2024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3E82">
            <w:rPr>
              <w:noProof/>
              <w:sz w:val="16"/>
              <w:szCs w:val="16"/>
            </w:rPr>
            <w:t>29/06/2024</w:t>
          </w:r>
          <w:r w:rsidRPr="00130F37">
            <w:rPr>
              <w:sz w:val="16"/>
              <w:szCs w:val="16"/>
            </w:rPr>
            <w:fldChar w:fldCharType="end"/>
          </w:r>
        </w:p>
      </w:tc>
    </w:tr>
  </w:tbl>
  <w:p w:rsidR="00292944" w:rsidRDefault="00292944" w:rsidP="006F5F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Default="00292944" w:rsidP="00C7136B">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C648C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583C00">
          <w:pPr>
            <w:rPr>
              <w:i/>
              <w:sz w:val="16"/>
              <w:szCs w:val="16"/>
            </w:rPr>
          </w:pPr>
        </w:p>
      </w:tc>
      <w:tc>
        <w:tcPr>
          <w:tcW w:w="3688" w:type="pct"/>
          <w:gridSpan w:val="3"/>
        </w:tcPr>
        <w:p w:rsidR="00292944" w:rsidRPr="007B3B51" w:rsidRDefault="00292944"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3E82">
            <w:rPr>
              <w:i/>
              <w:noProof/>
              <w:sz w:val="16"/>
              <w:szCs w:val="16"/>
            </w:rPr>
            <w:t>Corporations Regulations 2001</w:t>
          </w:r>
          <w:r w:rsidRPr="007B3B51">
            <w:rPr>
              <w:i/>
              <w:sz w:val="16"/>
              <w:szCs w:val="16"/>
            </w:rPr>
            <w:fldChar w:fldCharType="end"/>
          </w:r>
        </w:p>
      </w:tc>
      <w:tc>
        <w:tcPr>
          <w:tcW w:w="458" w:type="pct"/>
        </w:tcPr>
        <w:p w:rsidR="00292944" w:rsidRPr="007B3B51" w:rsidRDefault="00292944" w:rsidP="00583C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147</w:t>
          </w:r>
          <w:r w:rsidRPr="007B3B51">
            <w:rPr>
              <w:i/>
              <w:sz w:val="16"/>
              <w:szCs w:val="16"/>
            </w:rPr>
            <w:fldChar w:fldCharType="end"/>
          </w:r>
        </w:p>
      </w:tc>
    </w:tr>
    <w:tr w:rsidR="00292944" w:rsidRPr="00130F37" w:rsidTr="00E118FA">
      <w:tc>
        <w:tcPr>
          <w:tcW w:w="1499" w:type="pct"/>
          <w:gridSpan w:val="2"/>
        </w:tcPr>
        <w:p w:rsidR="00292944" w:rsidRPr="00130F37" w:rsidRDefault="00292944" w:rsidP="00583C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3E82">
            <w:rPr>
              <w:sz w:val="16"/>
              <w:szCs w:val="16"/>
            </w:rPr>
            <w:t>196</w:t>
          </w:r>
          <w:r w:rsidRPr="00130F37">
            <w:rPr>
              <w:sz w:val="16"/>
              <w:szCs w:val="16"/>
            </w:rPr>
            <w:fldChar w:fldCharType="end"/>
          </w:r>
        </w:p>
      </w:tc>
      <w:tc>
        <w:tcPr>
          <w:tcW w:w="1999" w:type="pct"/>
        </w:tcPr>
        <w:p w:rsidR="00292944" w:rsidRPr="00130F37" w:rsidRDefault="00292944" w:rsidP="00583C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3E82">
            <w:rPr>
              <w:sz w:val="16"/>
              <w:szCs w:val="16"/>
            </w:rPr>
            <w:t>22/06/2024</w:t>
          </w:r>
          <w:r w:rsidRPr="00130F37">
            <w:rPr>
              <w:sz w:val="16"/>
              <w:szCs w:val="16"/>
            </w:rPr>
            <w:fldChar w:fldCharType="end"/>
          </w:r>
        </w:p>
      </w:tc>
      <w:tc>
        <w:tcPr>
          <w:tcW w:w="1502" w:type="pct"/>
          <w:gridSpan w:val="2"/>
        </w:tcPr>
        <w:p w:rsidR="00292944" w:rsidRPr="00130F37" w:rsidRDefault="00292944" w:rsidP="00583C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3E82">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3E82">
            <w:rPr>
              <w:sz w:val="16"/>
              <w:szCs w:val="16"/>
            </w:rPr>
            <w:instrText>29/06/2024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3E82">
            <w:rPr>
              <w:noProof/>
              <w:sz w:val="16"/>
              <w:szCs w:val="16"/>
            </w:rPr>
            <w:t>29/06/2024</w:t>
          </w:r>
          <w:r w:rsidRPr="00130F37">
            <w:rPr>
              <w:sz w:val="16"/>
              <w:szCs w:val="16"/>
            </w:rPr>
            <w:fldChar w:fldCharType="end"/>
          </w:r>
        </w:p>
      </w:tc>
    </w:tr>
  </w:tbl>
  <w:p w:rsidR="00292944" w:rsidRPr="008258B2" w:rsidRDefault="00292944" w:rsidP="00C648C9">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60</w:t>
          </w:r>
          <w:r w:rsidRPr="007B3B51">
            <w:rPr>
              <w:i/>
              <w:sz w:val="16"/>
              <w:szCs w:val="16"/>
            </w:rPr>
            <w:fldChar w:fldCharType="end"/>
          </w: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47A">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p>
      </w:tc>
    </w:tr>
    <w:tr w:rsidR="00292944" w:rsidRPr="0055472E" w:rsidTr="001D4C13">
      <w:tc>
        <w:tcPr>
          <w:tcW w:w="1499" w:type="pct"/>
          <w:gridSpan w:val="2"/>
        </w:tcPr>
        <w:p w:rsidR="00292944" w:rsidRPr="0055472E" w:rsidRDefault="00292944" w:rsidP="006F5FE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3E82">
            <w:rPr>
              <w:sz w:val="16"/>
              <w:szCs w:val="16"/>
            </w:rPr>
            <w:t>196</w:t>
          </w:r>
          <w:r w:rsidRPr="0055472E">
            <w:rPr>
              <w:sz w:val="16"/>
              <w:szCs w:val="16"/>
            </w:rPr>
            <w:fldChar w:fldCharType="end"/>
          </w:r>
        </w:p>
      </w:tc>
      <w:tc>
        <w:tcPr>
          <w:tcW w:w="1999" w:type="pct"/>
        </w:tcPr>
        <w:p w:rsidR="00292944" w:rsidRPr="0055472E" w:rsidRDefault="00292944" w:rsidP="006F5FE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t>22/06/2024</w:t>
          </w:r>
          <w:r w:rsidRPr="0055472E">
            <w:rPr>
              <w:sz w:val="16"/>
              <w:szCs w:val="16"/>
            </w:rPr>
            <w:fldChar w:fldCharType="end"/>
          </w:r>
        </w:p>
      </w:tc>
      <w:tc>
        <w:tcPr>
          <w:tcW w:w="1502" w:type="pct"/>
          <w:gridSpan w:val="2"/>
        </w:tcPr>
        <w:p w:rsidR="00292944" w:rsidRPr="0055472E" w:rsidRDefault="00292944" w:rsidP="006F5FE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3E82">
            <w:rPr>
              <w:sz w:val="16"/>
              <w:szCs w:val="16"/>
            </w:rPr>
            <w:instrText>29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instrText>29/06/2024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3E82">
            <w:rPr>
              <w:noProof/>
              <w:sz w:val="16"/>
              <w:szCs w:val="16"/>
            </w:rPr>
            <w:t>29/06/2024</w:t>
          </w:r>
          <w:r w:rsidRPr="0055472E">
            <w:rPr>
              <w:sz w:val="16"/>
              <w:szCs w:val="16"/>
            </w:rPr>
            <w:fldChar w:fldCharType="end"/>
          </w:r>
        </w:p>
      </w:tc>
    </w:tr>
  </w:tbl>
  <w:p w:rsidR="00292944" w:rsidRDefault="00292944" w:rsidP="006F5FE9"/>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i/>
              <w:sz w:val="16"/>
              <w:szCs w:val="16"/>
            </w:rPr>
          </w:pP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47A">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59</w:t>
          </w:r>
          <w:r w:rsidRPr="007B3B51">
            <w:rPr>
              <w:i/>
              <w:sz w:val="16"/>
              <w:szCs w:val="16"/>
            </w:rPr>
            <w:fldChar w:fldCharType="end"/>
          </w:r>
        </w:p>
      </w:tc>
    </w:tr>
    <w:tr w:rsidR="00292944" w:rsidRPr="00130F37" w:rsidTr="001D4C13">
      <w:tc>
        <w:tcPr>
          <w:tcW w:w="1499" w:type="pct"/>
          <w:gridSpan w:val="2"/>
        </w:tcPr>
        <w:p w:rsidR="00292944" w:rsidRPr="00130F37" w:rsidRDefault="00292944" w:rsidP="006F5FE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3E82">
            <w:rPr>
              <w:sz w:val="16"/>
              <w:szCs w:val="16"/>
            </w:rPr>
            <w:t>196</w:t>
          </w:r>
          <w:r w:rsidRPr="00130F37">
            <w:rPr>
              <w:sz w:val="16"/>
              <w:szCs w:val="16"/>
            </w:rPr>
            <w:fldChar w:fldCharType="end"/>
          </w:r>
        </w:p>
      </w:tc>
      <w:tc>
        <w:tcPr>
          <w:tcW w:w="1999" w:type="pct"/>
        </w:tcPr>
        <w:p w:rsidR="00292944" w:rsidRPr="00130F37" w:rsidRDefault="00292944" w:rsidP="006F5FE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t>22/06/2024</w:t>
          </w:r>
          <w:r w:rsidRPr="00130F37">
            <w:rPr>
              <w:sz w:val="16"/>
              <w:szCs w:val="16"/>
            </w:rPr>
            <w:fldChar w:fldCharType="end"/>
          </w:r>
        </w:p>
      </w:tc>
      <w:tc>
        <w:tcPr>
          <w:tcW w:w="1502" w:type="pct"/>
          <w:gridSpan w:val="2"/>
        </w:tcPr>
        <w:p w:rsidR="00292944" w:rsidRPr="00130F37" w:rsidRDefault="00292944" w:rsidP="006F5FE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3E82">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instrText>29/06/2024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3E82">
            <w:rPr>
              <w:noProof/>
              <w:sz w:val="16"/>
              <w:szCs w:val="16"/>
            </w:rPr>
            <w:t>29/06/2024</w:t>
          </w:r>
          <w:r w:rsidRPr="00130F37">
            <w:rPr>
              <w:sz w:val="16"/>
              <w:szCs w:val="16"/>
            </w:rPr>
            <w:fldChar w:fldCharType="end"/>
          </w:r>
        </w:p>
      </w:tc>
    </w:tr>
  </w:tbl>
  <w:p w:rsidR="00292944" w:rsidRDefault="00292944" w:rsidP="006F5FE9"/>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8258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583C00">
          <w:pPr>
            <w:rPr>
              <w:i/>
              <w:sz w:val="16"/>
              <w:szCs w:val="16"/>
            </w:rPr>
          </w:pPr>
        </w:p>
      </w:tc>
      <w:tc>
        <w:tcPr>
          <w:tcW w:w="3688" w:type="pct"/>
          <w:gridSpan w:val="3"/>
        </w:tcPr>
        <w:p w:rsidR="00292944" w:rsidRPr="007B3B51" w:rsidRDefault="00292944"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3E82">
            <w:rPr>
              <w:i/>
              <w:noProof/>
              <w:sz w:val="16"/>
              <w:szCs w:val="16"/>
            </w:rPr>
            <w:t>Corporations Regulations 2001</w:t>
          </w:r>
          <w:r w:rsidRPr="007B3B51">
            <w:rPr>
              <w:i/>
              <w:sz w:val="16"/>
              <w:szCs w:val="16"/>
            </w:rPr>
            <w:fldChar w:fldCharType="end"/>
          </w:r>
        </w:p>
      </w:tc>
      <w:tc>
        <w:tcPr>
          <w:tcW w:w="458" w:type="pct"/>
        </w:tcPr>
        <w:p w:rsidR="00292944" w:rsidRPr="007B3B51" w:rsidRDefault="00292944" w:rsidP="00583C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147</w:t>
          </w:r>
          <w:r w:rsidRPr="007B3B51">
            <w:rPr>
              <w:i/>
              <w:sz w:val="16"/>
              <w:szCs w:val="16"/>
            </w:rPr>
            <w:fldChar w:fldCharType="end"/>
          </w:r>
        </w:p>
      </w:tc>
    </w:tr>
    <w:tr w:rsidR="00292944" w:rsidRPr="00130F37" w:rsidTr="00E118FA">
      <w:tc>
        <w:tcPr>
          <w:tcW w:w="1499" w:type="pct"/>
          <w:gridSpan w:val="2"/>
        </w:tcPr>
        <w:p w:rsidR="00292944" w:rsidRPr="00130F37" w:rsidRDefault="00292944" w:rsidP="00583C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3E82">
            <w:rPr>
              <w:sz w:val="16"/>
              <w:szCs w:val="16"/>
            </w:rPr>
            <w:t>196</w:t>
          </w:r>
          <w:r w:rsidRPr="00130F37">
            <w:rPr>
              <w:sz w:val="16"/>
              <w:szCs w:val="16"/>
            </w:rPr>
            <w:fldChar w:fldCharType="end"/>
          </w:r>
        </w:p>
      </w:tc>
      <w:tc>
        <w:tcPr>
          <w:tcW w:w="1999" w:type="pct"/>
        </w:tcPr>
        <w:p w:rsidR="00292944" w:rsidRPr="00130F37" w:rsidRDefault="00292944" w:rsidP="00583C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3E82">
            <w:rPr>
              <w:sz w:val="16"/>
              <w:szCs w:val="16"/>
            </w:rPr>
            <w:t>22/06/2024</w:t>
          </w:r>
          <w:r w:rsidRPr="00130F37">
            <w:rPr>
              <w:sz w:val="16"/>
              <w:szCs w:val="16"/>
            </w:rPr>
            <w:fldChar w:fldCharType="end"/>
          </w:r>
        </w:p>
      </w:tc>
      <w:tc>
        <w:tcPr>
          <w:tcW w:w="1502" w:type="pct"/>
          <w:gridSpan w:val="2"/>
        </w:tcPr>
        <w:p w:rsidR="00292944" w:rsidRPr="00130F37" w:rsidRDefault="00292944" w:rsidP="00583C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3E82">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3E82">
            <w:rPr>
              <w:sz w:val="16"/>
              <w:szCs w:val="16"/>
            </w:rPr>
            <w:instrText>29/06/2024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3E82">
            <w:rPr>
              <w:noProof/>
              <w:sz w:val="16"/>
              <w:szCs w:val="16"/>
            </w:rPr>
            <w:t>29/06/2024</w:t>
          </w:r>
          <w:r w:rsidRPr="00130F37">
            <w:rPr>
              <w:sz w:val="16"/>
              <w:szCs w:val="16"/>
            </w:rPr>
            <w:fldChar w:fldCharType="end"/>
          </w:r>
        </w:p>
      </w:tc>
    </w:tr>
  </w:tbl>
  <w:p w:rsidR="00292944" w:rsidRPr="008258B2" w:rsidRDefault="00292944" w:rsidP="008258B2">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92</w:t>
          </w:r>
          <w:r w:rsidRPr="007B3B51">
            <w:rPr>
              <w:i/>
              <w:sz w:val="16"/>
              <w:szCs w:val="16"/>
            </w:rPr>
            <w:fldChar w:fldCharType="end"/>
          </w: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47A">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p>
      </w:tc>
    </w:tr>
    <w:tr w:rsidR="00292944" w:rsidRPr="0055472E" w:rsidTr="001D4C13">
      <w:tc>
        <w:tcPr>
          <w:tcW w:w="1499" w:type="pct"/>
          <w:gridSpan w:val="2"/>
        </w:tcPr>
        <w:p w:rsidR="00292944" w:rsidRPr="0055472E" w:rsidRDefault="00292944" w:rsidP="006F5FE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3E82">
            <w:rPr>
              <w:sz w:val="16"/>
              <w:szCs w:val="16"/>
            </w:rPr>
            <w:t>196</w:t>
          </w:r>
          <w:r w:rsidRPr="0055472E">
            <w:rPr>
              <w:sz w:val="16"/>
              <w:szCs w:val="16"/>
            </w:rPr>
            <w:fldChar w:fldCharType="end"/>
          </w:r>
        </w:p>
      </w:tc>
      <w:tc>
        <w:tcPr>
          <w:tcW w:w="1999" w:type="pct"/>
        </w:tcPr>
        <w:p w:rsidR="00292944" w:rsidRPr="0055472E" w:rsidRDefault="00292944" w:rsidP="006F5FE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t>22/06/2024</w:t>
          </w:r>
          <w:r w:rsidRPr="0055472E">
            <w:rPr>
              <w:sz w:val="16"/>
              <w:szCs w:val="16"/>
            </w:rPr>
            <w:fldChar w:fldCharType="end"/>
          </w:r>
        </w:p>
      </w:tc>
      <w:tc>
        <w:tcPr>
          <w:tcW w:w="1502" w:type="pct"/>
          <w:gridSpan w:val="2"/>
        </w:tcPr>
        <w:p w:rsidR="00292944" w:rsidRPr="0055472E" w:rsidRDefault="00292944" w:rsidP="006F5FE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3E82">
            <w:rPr>
              <w:sz w:val="16"/>
              <w:szCs w:val="16"/>
            </w:rPr>
            <w:instrText>29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instrText>29/06/2024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3E82">
            <w:rPr>
              <w:noProof/>
              <w:sz w:val="16"/>
              <w:szCs w:val="16"/>
            </w:rPr>
            <w:t>29/06/2024</w:t>
          </w:r>
          <w:r w:rsidRPr="0055472E">
            <w:rPr>
              <w:sz w:val="16"/>
              <w:szCs w:val="16"/>
            </w:rPr>
            <w:fldChar w:fldCharType="end"/>
          </w:r>
        </w:p>
      </w:tc>
    </w:tr>
  </w:tbl>
  <w:p w:rsidR="00292944" w:rsidRDefault="00292944" w:rsidP="006F5FE9"/>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i/>
              <w:sz w:val="16"/>
              <w:szCs w:val="16"/>
            </w:rPr>
          </w:pP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47A">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93</w:t>
          </w:r>
          <w:r w:rsidRPr="007B3B51">
            <w:rPr>
              <w:i/>
              <w:sz w:val="16"/>
              <w:szCs w:val="16"/>
            </w:rPr>
            <w:fldChar w:fldCharType="end"/>
          </w:r>
        </w:p>
      </w:tc>
    </w:tr>
    <w:tr w:rsidR="00292944" w:rsidRPr="00130F37" w:rsidTr="001D4C13">
      <w:tc>
        <w:tcPr>
          <w:tcW w:w="1499" w:type="pct"/>
          <w:gridSpan w:val="2"/>
        </w:tcPr>
        <w:p w:rsidR="00292944" w:rsidRPr="00130F37" w:rsidRDefault="00292944" w:rsidP="006F5FE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3E82">
            <w:rPr>
              <w:sz w:val="16"/>
              <w:szCs w:val="16"/>
            </w:rPr>
            <w:t>196</w:t>
          </w:r>
          <w:r w:rsidRPr="00130F37">
            <w:rPr>
              <w:sz w:val="16"/>
              <w:szCs w:val="16"/>
            </w:rPr>
            <w:fldChar w:fldCharType="end"/>
          </w:r>
        </w:p>
      </w:tc>
      <w:tc>
        <w:tcPr>
          <w:tcW w:w="1999" w:type="pct"/>
        </w:tcPr>
        <w:p w:rsidR="00292944" w:rsidRPr="00130F37" w:rsidRDefault="00292944" w:rsidP="006F5FE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t>22/06/2024</w:t>
          </w:r>
          <w:r w:rsidRPr="00130F37">
            <w:rPr>
              <w:sz w:val="16"/>
              <w:szCs w:val="16"/>
            </w:rPr>
            <w:fldChar w:fldCharType="end"/>
          </w:r>
        </w:p>
      </w:tc>
      <w:tc>
        <w:tcPr>
          <w:tcW w:w="1502" w:type="pct"/>
          <w:gridSpan w:val="2"/>
        </w:tcPr>
        <w:p w:rsidR="00292944" w:rsidRPr="00130F37" w:rsidRDefault="00292944" w:rsidP="006F5FE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3E82">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instrText>29/06/2024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3E82">
            <w:rPr>
              <w:noProof/>
              <w:sz w:val="16"/>
              <w:szCs w:val="16"/>
            </w:rPr>
            <w:t>29/06/2024</w:t>
          </w:r>
          <w:r w:rsidRPr="00130F37">
            <w:rPr>
              <w:sz w:val="16"/>
              <w:szCs w:val="16"/>
            </w:rPr>
            <w:fldChar w:fldCharType="end"/>
          </w:r>
        </w:p>
      </w:tc>
    </w:tr>
  </w:tbl>
  <w:p w:rsidR="00292944" w:rsidRDefault="00292944" w:rsidP="006F5FE9"/>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8258B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583C00">
          <w:pPr>
            <w:rPr>
              <w:i/>
              <w:sz w:val="16"/>
              <w:szCs w:val="16"/>
            </w:rPr>
          </w:pPr>
        </w:p>
      </w:tc>
      <w:tc>
        <w:tcPr>
          <w:tcW w:w="3688" w:type="pct"/>
          <w:gridSpan w:val="3"/>
        </w:tcPr>
        <w:p w:rsidR="00292944" w:rsidRPr="007B3B51" w:rsidRDefault="00292944"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3E82">
            <w:rPr>
              <w:i/>
              <w:noProof/>
              <w:sz w:val="16"/>
              <w:szCs w:val="16"/>
            </w:rPr>
            <w:t>Corporations Regulations 2001</w:t>
          </w:r>
          <w:r w:rsidRPr="007B3B51">
            <w:rPr>
              <w:i/>
              <w:sz w:val="16"/>
              <w:szCs w:val="16"/>
            </w:rPr>
            <w:fldChar w:fldCharType="end"/>
          </w:r>
        </w:p>
      </w:tc>
      <w:tc>
        <w:tcPr>
          <w:tcW w:w="458" w:type="pct"/>
        </w:tcPr>
        <w:p w:rsidR="00292944" w:rsidRPr="007B3B51" w:rsidRDefault="00292944" w:rsidP="00583C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147</w:t>
          </w:r>
          <w:r w:rsidRPr="007B3B51">
            <w:rPr>
              <w:i/>
              <w:sz w:val="16"/>
              <w:szCs w:val="16"/>
            </w:rPr>
            <w:fldChar w:fldCharType="end"/>
          </w:r>
        </w:p>
      </w:tc>
    </w:tr>
    <w:tr w:rsidR="00292944" w:rsidRPr="00130F37" w:rsidTr="00E118FA">
      <w:tc>
        <w:tcPr>
          <w:tcW w:w="1499" w:type="pct"/>
          <w:gridSpan w:val="2"/>
        </w:tcPr>
        <w:p w:rsidR="00292944" w:rsidRPr="00130F37" w:rsidRDefault="00292944" w:rsidP="00583C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3E82">
            <w:rPr>
              <w:sz w:val="16"/>
              <w:szCs w:val="16"/>
            </w:rPr>
            <w:t>196</w:t>
          </w:r>
          <w:r w:rsidRPr="00130F37">
            <w:rPr>
              <w:sz w:val="16"/>
              <w:szCs w:val="16"/>
            </w:rPr>
            <w:fldChar w:fldCharType="end"/>
          </w:r>
        </w:p>
      </w:tc>
      <w:tc>
        <w:tcPr>
          <w:tcW w:w="1999" w:type="pct"/>
        </w:tcPr>
        <w:p w:rsidR="00292944" w:rsidRPr="00130F37" w:rsidRDefault="00292944" w:rsidP="00583C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3E82">
            <w:rPr>
              <w:sz w:val="16"/>
              <w:szCs w:val="16"/>
            </w:rPr>
            <w:t>22/06/2024</w:t>
          </w:r>
          <w:r w:rsidRPr="00130F37">
            <w:rPr>
              <w:sz w:val="16"/>
              <w:szCs w:val="16"/>
            </w:rPr>
            <w:fldChar w:fldCharType="end"/>
          </w:r>
        </w:p>
      </w:tc>
      <w:tc>
        <w:tcPr>
          <w:tcW w:w="1502" w:type="pct"/>
          <w:gridSpan w:val="2"/>
        </w:tcPr>
        <w:p w:rsidR="00292944" w:rsidRPr="00130F37" w:rsidRDefault="00292944" w:rsidP="00583C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3E82">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3E82">
            <w:rPr>
              <w:sz w:val="16"/>
              <w:szCs w:val="16"/>
            </w:rPr>
            <w:instrText>29/06/2024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3E82">
            <w:rPr>
              <w:noProof/>
              <w:sz w:val="16"/>
              <w:szCs w:val="16"/>
            </w:rPr>
            <w:t>29/06/2024</w:t>
          </w:r>
          <w:r w:rsidRPr="00130F37">
            <w:rPr>
              <w:sz w:val="16"/>
              <w:szCs w:val="16"/>
            </w:rPr>
            <w:fldChar w:fldCharType="end"/>
          </w:r>
        </w:p>
      </w:tc>
    </w:tr>
  </w:tbl>
  <w:p w:rsidR="00292944" w:rsidRPr="00326DD7" w:rsidRDefault="00292944" w:rsidP="008258B2">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136</w:t>
          </w:r>
          <w:r w:rsidRPr="007B3B51">
            <w:rPr>
              <w:i/>
              <w:sz w:val="16"/>
              <w:szCs w:val="16"/>
            </w:rPr>
            <w:fldChar w:fldCharType="end"/>
          </w: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3E82">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p>
      </w:tc>
    </w:tr>
    <w:tr w:rsidR="00292944" w:rsidRPr="0055472E" w:rsidTr="001D4C13">
      <w:tc>
        <w:tcPr>
          <w:tcW w:w="1499" w:type="pct"/>
          <w:gridSpan w:val="2"/>
        </w:tcPr>
        <w:p w:rsidR="00292944" w:rsidRPr="0055472E" w:rsidRDefault="00292944" w:rsidP="006F5FE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3E82">
            <w:rPr>
              <w:sz w:val="16"/>
              <w:szCs w:val="16"/>
            </w:rPr>
            <w:t>196</w:t>
          </w:r>
          <w:r w:rsidRPr="0055472E">
            <w:rPr>
              <w:sz w:val="16"/>
              <w:szCs w:val="16"/>
            </w:rPr>
            <w:fldChar w:fldCharType="end"/>
          </w:r>
        </w:p>
      </w:tc>
      <w:tc>
        <w:tcPr>
          <w:tcW w:w="1999" w:type="pct"/>
        </w:tcPr>
        <w:p w:rsidR="00292944" w:rsidRPr="0055472E" w:rsidRDefault="00292944" w:rsidP="006F5FE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t>22/06/2024</w:t>
          </w:r>
          <w:r w:rsidRPr="0055472E">
            <w:rPr>
              <w:sz w:val="16"/>
              <w:szCs w:val="16"/>
            </w:rPr>
            <w:fldChar w:fldCharType="end"/>
          </w:r>
        </w:p>
      </w:tc>
      <w:tc>
        <w:tcPr>
          <w:tcW w:w="1502" w:type="pct"/>
          <w:gridSpan w:val="2"/>
        </w:tcPr>
        <w:p w:rsidR="00292944" w:rsidRPr="0055472E" w:rsidRDefault="00292944" w:rsidP="006F5FE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3E82">
            <w:rPr>
              <w:sz w:val="16"/>
              <w:szCs w:val="16"/>
            </w:rPr>
            <w:instrText>29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instrText>29/06/2024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3E82">
            <w:rPr>
              <w:noProof/>
              <w:sz w:val="16"/>
              <w:szCs w:val="16"/>
            </w:rPr>
            <w:t>29/06/2024</w:t>
          </w:r>
          <w:r w:rsidRPr="0055472E">
            <w:rPr>
              <w:sz w:val="16"/>
              <w:szCs w:val="16"/>
            </w:rPr>
            <w:fldChar w:fldCharType="end"/>
          </w:r>
        </w:p>
      </w:tc>
    </w:tr>
  </w:tbl>
  <w:p w:rsidR="00292944" w:rsidRDefault="00292944" w:rsidP="006F5FE9"/>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i/>
              <w:sz w:val="16"/>
              <w:szCs w:val="16"/>
            </w:rPr>
          </w:pP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3E82">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137</w:t>
          </w:r>
          <w:r w:rsidRPr="007B3B51">
            <w:rPr>
              <w:i/>
              <w:sz w:val="16"/>
              <w:szCs w:val="16"/>
            </w:rPr>
            <w:fldChar w:fldCharType="end"/>
          </w:r>
        </w:p>
      </w:tc>
    </w:tr>
    <w:tr w:rsidR="00292944" w:rsidRPr="00130F37" w:rsidTr="001D4C13">
      <w:tc>
        <w:tcPr>
          <w:tcW w:w="1499" w:type="pct"/>
          <w:gridSpan w:val="2"/>
        </w:tcPr>
        <w:p w:rsidR="00292944" w:rsidRPr="00130F37" w:rsidRDefault="00292944" w:rsidP="006F5FE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3E82">
            <w:rPr>
              <w:sz w:val="16"/>
              <w:szCs w:val="16"/>
            </w:rPr>
            <w:t>196</w:t>
          </w:r>
          <w:r w:rsidRPr="00130F37">
            <w:rPr>
              <w:sz w:val="16"/>
              <w:szCs w:val="16"/>
            </w:rPr>
            <w:fldChar w:fldCharType="end"/>
          </w:r>
        </w:p>
      </w:tc>
      <w:tc>
        <w:tcPr>
          <w:tcW w:w="1999" w:type="pct"/>
        </w:tcPr>
        <w:p w:rsidR="00292944" w:rsidRPr="00130F37" w:rsidRDefault="00292944" w:rsidP="006F5FE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t>22/06/2024</w:t>
          </w:r>
          <w:r w:rsidRPr="00130F37">
            <w:rPr>
              <w:sz w:val="16"/>
              <w:szCs w:val="16"/>
            </w:rPr>
            <w:fldChar w:fldCharType="end"/>
          </w:r>
        </w:p>
      </w:tc>
      <w:tc>
        <w:tcPr>
          <w:tcW w:w="1502" w:type="pct"/>
          <w:gridSpan w:val="2"/>
        </w:tcPr>
        <w:p w:rsidR="00292944" w:rsidRPr="00130F37" w:rsidRDefault="00292944" w:rsidP="006F5FE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3E82">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instrText>29/06/2024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3E82">
            <w:rPr>
              <w:noProof/>
              <w:sz w:val="16"/>
              <w:szCs w:val="16"/>
            </w:rPr>
            <w:t>29/06/2024</w:t>
          </w:r>
          <w:r w:rsidRPr="00130F37">
            <w:rPr>
              <w:sz w:val="16"/>
              <w:szCs w:val="16"/>
            </w:rPr>
            <w:fldChar w:fldCharType="end"/>
          </w:r>
        </w:p>
      </w:tc>
    </w:tr>
  </w:tbl>
  <w:p w:rsidR="00292944" w:rsidRDefault="00292944" w:rsidP="006F5FE9"/>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326DD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583C00">
          <w:pPr>
            <w:rPr>
              <w:i/>
              <w:sz w:val="16"/>
              <w:szCs w:val="16"/>
            </w:rPr>
          </w:pPr>
        </w:p>
      </w:tc>
      <w:tc>
        <w:tcPr>
          <w:tcW w:w="3688" w:type="pct"/>
          <w:gridSpan w:val="3"/>
        </w:tcPr>
        <w:p w:rsidR="00292944" w:rsidRPr="007B3B51" w:rsidRDefault="00292944" w:rsidP="00583C0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3E82">
            <w:rPr>
              <w:i/>
              <w:noProof/>
              <w:sz w:val="16"/>
              <w:szCs w:val="16"/>
            </w:rPr>
            <w:t>Corporations Regulations 2001</w:t>
          </w:r>
          <w:r w:rsidRPr="007B3B51">
            <w:rPr>
              <w:i/>
              <w:sz w:val="16"/>
              <w:szCs w:val="16"/>
            </w:rPr>
            <w:fldChar w:fldCharType="end"/>
          </w:r>
        </w:p>
      </w:tc>
      <w:tc>
        <w:tcPr>
          <w:tcW w:w="458" w:type="pct"/>
        </w:tcPr>
        <w:p w:rsidR="00292944" w:rsidRPr="007B3B51" w:rsidRDefault="00292944" w:rsidP="00583C0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147</w:t>
          </w:r>
          <w:r w:rsidRPr="007B3B51">
            <w:rPr>
              <w:i/>
              <w:sz w:val="16"/>
              <w:szCs w:val="16"/>
            </w:rPr>
            <w:fldChar w:fldCharType="end"/>
          </w:r>
        </w:p>
      </w:tc>
    </w:tr>
    <w:tr w:rsidR="00292944" w:rsidRPr="00130F37" w:rsidTr="00E118FA">
      <w:tc>
        <w:tcPr>
          <w:tcW w:w="1499" w:type="pct"/>
          <w:gridSpan w:val="2"/>
        </w:tcPr>
        <w:p w:rsidR="00292944" w:rsidRPr="00130F37" w:rsidRDefault="00292944" w:rsidP="00583C0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3E82">
            <w:rPr>
              <w:sz w:val="16"/>
              <w:szCs w:val="16"/>
            </w:rPr>
            <w:t>196</w:t>
          </w:r>
          <w:r w:rsidRPr="00130F37">
            <w:rPr>
              <w:sz w:val="16"/>
              <w:szCs w:val="16"/>
            </w:rPr>
            <w:fldChar w:fldCharType="end"/>
          </w:r>
        </w:p>
      </w:tc>
      <w:tc>
        <w:tcPr>
          <w:tcW w:w="1999" w:type="pct"/>
        </w:tcPr>
        <w:p w:rsidR="00292944" w:rsidRPr="00130F37" w:rsidRDefault="00292944" w:rsidP="00583C0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E3E82">
            <w:rPr>
              <w:sz w:val="16"/>
              <w:szCs w:val="16"/>
            </w:rPr>
            <w:t>22/06/2024</w:t>
          </w:r>
          <w:r w:rsidRPr="00130F37">
            <w:rPr>
              <w:sz w:val="16"/>
              <w:szCs w:val="16"/>
            </w:rPr>
            <w:fldChar w:fldCharType="end"/>
          </w:r>
        </w:p>
      </w:tc>
      <w:tc>
        <w:tcPr>
          <w:tcW w:w="1502" w:type="pct"/>
          <w:gridSpan w:val="2"/>
        </w:tcPr>
        <w:p w:rsidR="00292944" w:rsidRPr="00130F37" w:rsidRDefault="00292944" w:rsidP="00583C0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3E82">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E3E82">
            <w:rPr>
              <w:sz w:val="16"/>
              <w:szCs w:val="16"/>
            </w:rPr>
            <w:instrText>29/06/2024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3E82">
            <w:rPr>
              <w:noProof/>
              <w:sz w:val="16"/>
              <w:szCs w:val="16"/>
            </w:rPr>
            <w:t>29/06/2024</w:t>
          </w:r>
          <w:r w:rsidRPr="00130F37">
            <w:rPr>
              <w:sz w:val="16"/>
              <w:szCs w:val="16"/>
            </w:rPr>
            <w:fldChar w:fldCharType="end"/>
          </w:r>
        </w:p>
      </w:tc>
    </w:tr>
  </w:tbl>
  <w:p w:rsidR="00292944" w:rsidRPr="006B1CAD" w:rsidRDefault="00292944" w:rsidP="00326D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ED79B6" w:rsidRDefault="00292944" w:rsidP="00C7136B">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146</w:t>
          </w:r>
          <w:r w:rsidRPr="007B3B51">
            <w:rPr>
              <w:i/>
              <w:sz w:val="16"/>
              <w:szCs w:val="16"/>
            </w:rPr>
            <w:fldChar w:fldCharType="end"/>
          </w: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3E82">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p>
      </w:tc>
    </w:tr>
    <w:tr w:rsidR="00292944" w:rsidRPr="0055472E" w:rsidTr="001D4C13">
      <w:tc>
        <w:tcPr>
          <w:tcW w:w="1499" w:type="pct"/>
          <w:gridSpan w:val="2"/>
        </w:tcPr>
        <w:p w:rsidR="00292944" w:rsidRPr="0055472E" w:rsidRDefault="00292944" w:rsidP="006F5FE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3E82">
            <w:rPr>
              <w:sz w:val="16"/>
              <w:szCs w:val="16"/>
            </w:rPr>
            <w:t>196</w:t>
          </w:r>
          <w:r w:rsidRPr="0055472E">
            <w:rPr>
              <w:sz w:val="16"/>
              <w:szCs w:val="16"/>
            </w:rPr>
            <w:fldChar w:fldCharType="end"/>
          </w:r>
        </w:p>
      </w:tc>
      <w:tc>
        <w:tcPr>
          <w:tcW w:w="1999" w:type="pct"/>
        </w:tcPr>
        <w:p w:rsidR="00292944" w:rsidRPr="0055472E" w:rsidRDefault="00292944" w:rsidP="006F5FE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t>22/06/2024</w:t>
          </w:r>
          <w:r w:rsidRPr="0055472E">
            <w:rPr>
              <w:sz w:val="16"/>
              <w:szCs w:val="16"/>
            </w:rPr>
            <w:fldChar w:fldCharType="end"/>
          </w:r>
        </w:p>
      </w:tc>
      <w:tc>
        <w:tcPr>
          <w:tcW w:w="1502" w:type="pct"/>
          <w:gridSpan w:val="2"/>
        </w:tcPr>
        <w:p w:rsidR="00292944" w:rsidRPr="0055472E" w:rsidRDefault="00292944" w:rsidP="006F5FE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3E82">
            <w:rPr>
              <w:sz w:val="16"/>
              <w:szCs w:val="16"/>
            </w:rPr>
            <w:instrText>29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instrText>29/06/2024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3E82">
            <w:rPr>
              <w:noProof/>
              <w:sz w:val="16"/>
              <w:szCs w:val="16"/>
            </w:rPr>
            <w:t>29/06/2024</w:t>
          </w:r>
          <w:r w:rsidRPr="0055472E">
            <w:rPr>
              <w:sz w:val="16"/>
              <w:szCs w:val="16"/>
            </w:rPr>
            <w:fldChar w:fldCharType="end"/>
          </w:r>
        </w:p>
      </w:tc>
    </w:tr>
  </w:tbl>
  <w:p w:rsidR="00292944" w:rsidRDefault="00292944" w:rsidP="006F5FE9"/>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i/>
              <w:sz w:val="16"/>
              <w:szCs w:val="16"/>
            </w:rPr>
          </w:pP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3E82">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147</w:t>
          </w:r>
          <w:r w:rsidRPr="007B3B51">
            <w:rPr>
              <w:i/>
              <w:sz w:val="16"/>
              <w:szCs w:val="16"/>
            </w:rPr>
            <w:fldChar w:fldCharType="end"/>
          </w:r>
        </w:p>
      </w:tc>
    </w:tr>
    <w:tr w:rsidR="00292944" w:rsidRPr="00130F37" w:rsidTr="001D4C13">
      <w:tc>
        <w:tcPr>
          <w:tcW w:w="1499" w:type="pct"/>
          <w:gridSpan w:val="2"/>
        </w:tcPr>
        <w:p w:rsidR="00292944" w:rsidRPr="00130F37" w:rsidRDefault="00292944" w:rsidP="006F5FE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3E82">
            <w:rPr>
              <w:sz w:val="16"/>
              <w:szCs w:val="16"/>
            </w:rPr>
            <w:t>196</w:t>
          </w:r>
          <w:r w:rsidRPr="00130F37">
            <w:rPr>
              <w:sz w:val="16"/>
              <w:szCs w:val="16"/>
            </w:rPr>
            <w:fldChar w:fldCharType="end"/>
          </w:r>
        </w:p>
      </w:tc>
      <w:tc>
        <w:tcPr>
          <w:tcW w:w="1999" w:type="pct"/>
        </w:tcPr>
        <w:p w:rsidR="00292944" w:rsidRPr="00130F37" w:rsidRDefault="00292944" w:rsidP="006F5FE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t>22/06/2024</w:t>
          </w:r>
          <w:r w:rsidRPr="00130F37">
            <w:rPr>
              <w:sz w:val="16"/>
              <w:szCs w:val="16"/>
            </w:rPr>
            <w:fldChar w:fldCharType="end"/>
          </w:r>
        </w:p>
      </w:tc>
      <w:tc>
        <w:tcPr>
          <w:tcW w:w="1502" w:type="pct"/>
          <w:gridSpan w:val="2"/>
        </w:tcPr>
        <w:p w:rsidR="00292944" w:rsidRPr="00130F37" w:rsidRDefault="00292944" w:rsidP="006F5FE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3E82">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instrText>29/06/2024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3E82">
            <w:rPr>
              <w:noProof/>
              <w:sz w:val="16"/>
              <w:szCs w:val="16"/>
            </w:rPr>
            <w:t>29/06/2024</w:t>
          </w:r>
          <w:r w:rsidRPr="00130F37">
            <w:rPr>
              <w:sz w:val="16"/>
              <w:szCs w:val="16"/>
            </w:rPr>
            <w:fldChar w:fldCharType="end"/>
          </w:r>
        </w:p>
      </w:tc>
    </w:tr>
  </w:tbl>
  <w:p w:rsidR="00292944" w:rsidRDefault="00292944" w:rsidP="006F5FE9"/>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2B0EA5" w:rsidRDefault="00292944" w:rsidP="009E74E8">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92944" w:rsidTr="00E118FA">
      <w:tc>
        <w:tcPr>
          <w:tcW w:w="947" w:type="pct"/>
        </w:tcPr>
        <w:p w:rsidR="00292944" w:rsidRDefault="00292944" w:rsidP="009E74E8">
          <w:pPr>
            <w:spacing w:line="0" w:lineRule="atLeast"/>
            <w:rPr>
              <w:sz w:val="18"/>
            </w:rPr>
          </w:pPr>
        </w:p>
      </w:tc>
      <w:tc>
        <w:tcPr>
          <w:tcW w:w="3688" w:type="pct"/>
        </w:tcPr>
        <w:p w:rsidR="00292944" w:rsidRDefault="00292944" w:rsidP="009E74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3E82">
            <w:rPr>
              <w:i/>
              <w:sz w:val="18"/>
            </w:rPr>
            <w:t>Corporations Regulations 2001</w:t>
          </w:r>
          <w:r w:rsidRPr="007A1328">
            <w:rPr>
              <w:i/>
              <w:sz w:val="18"/>
            </w:rPr>
            <w:fldChar w:fldCharType="end"/>
          </w:r>
        </w:p>
      </w:tc>
      <w:tc>
        <w:tcPr>
          <w:tcW w:w="365" w:type="pct"/>
        </w:tcPr>
        <w:p w:rsidR="00292944" w:rsidRDefault="00292944" w:rsidP="009E74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147</w:t>
          </w:r>
          <w:r w:rsidRPr="00ED79B6">
            <w:rPr>
              <w:i/>
              <w:sz w:val="18"/>
            </w:rPr>
            <w:fldChar w:fldCharType="end"/>
          </w:r>
        </w:p>
      </w:tc>
    </w:tr>
  </w:tbl>
  <w:p w:rsidR="00292944" w:rsidRPr="00ED79B6" w:rsidRDefault="00292944" w:rsidP="009E74E8">
    <w:pPr>
      <w:rPr>
        <w:i/>
        <w:sz w:val="18"/>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147</w:t>
          </w:r>
          <w:r w:rsidRPr="007B3B51">
            <w:rPr>
              <w:i/>
              <w:sz w:val="16"/>
              <w:szCs w:val="16"/>
            </w:rPr>
            <w:fldChar w:fldCharType="end"/>
          </w: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3E82">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p>
      </w:tc>
    </w:tr>
    <w:tr w:rsidR="00292944" w:rsidRPr="0055472E" w:rsidTr="001D4C13">
      <w:tc>
        <w:tcPr>
          <w:tcW w:w="1499" w:type="pct"/>
          <w:gridSpan w:val="2"/>
        </w:tcPr>
        <w:p w:rsidR="00292944" w:rsidRPr="0055472E" w:rsidRDefault="00292944" w:rsidP="006F5FE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3E82">
            <w:rPr>
              <w:sz w:val="16"/>
              <w:szCs w:val="16"/>
            </w:rPr>
            <w:t>196</w:t>
          </w:r>
          <w:r w:rsidRPr="0055472E">
            <w:rPr>
              <w:sz w:val="16"/>
              <w:szCs w:val="16"/>
            </w:rPr>
            <w:fldChar w:fldCharType="end"/>
          </w:r>
        </w:p>
      </w:tc>
      <w:tc>
        <w:tcPr>
          <w:tcW w:w="1999" w:type="pct"/>
        </w:tcPr>
        <w:p w:rsidR="00292944" w:rsidRPr="0055472E" w:rsidRDefault="00292944" w:rsidP="006F5FE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t>22/06/2024</w:t>
          </w:r>
          <w:r w:rsidRPr="0055472E">
            <w:rPr>
              <w:sz w:val="16"/>
              <w:szCs w:val="16"/>
            </w:rPr>
            <w:fldChar w:fldCharType="end"/>
          </w:r>
        </w:p>
      </w:tc>
      <w:tc>
        <w:tcPr>
          <w:tcW w:w="1502" w:type="pct"/>
          <w:gridSpan w:val="2"/>
        </w:tcPr>
        <w:p w:rsidR="00292944" w:rsidRPr="0055472E" w:rsidRDefault="00292944" w:rsidP="006F5FE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3E82">
            <w:rPr>
              <w:sz w:val="16"/>
              <w:szCs w:val="16"/>
            </w:rPr>
            <w:instrText>29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instrText>29/06/2024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3E82">
            <w:rPr>
              <w:noProof/>
              <w:sz w:val="16"/>
              <w:szCs w:val="16"/>
            </w:rPr>
            <w:t>29/06/2024</w:t>
          </w:r>
          <w:r w:rsidRPr="0055472E">
            <w:rPr>
              <w:sz w:val="16"/>
              <w:szCs w:val="16"/>
            </w:rPr>
            <w:fldChar w:fldCharType="end"/>
          </w:r>
        </w:p>
      </w:tc>
    </w:tr>
  </w:tbl>
  <w:p w:rsidR="00292944" w:rsidRDefault="00292944" w:rsidP="006F5FE9"/>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i/>
              <w:sz w:val="16"/>
              <w:szCs w:val="16"/>
            </w:rPr>
          </w:pP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E3E82">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147</w:t>
          </w:r>
          <w:r w:rsidRPr="007B3B51">
            <w:rPr>
              <w:i/>
              <w:sz w:val="16"/>
              <w:szCs w:val="16"/>
            </w:rPr>
            <w:fldChar w:fldCharType="end"/>
          </w:r>
        </w:p>
      </w:tc>
    </w:tr>
    <w:tr w:rsidR="00292944" w:rsidRPr="00130F37" w:rsidTr="001D4C13">
      <w:tc>
        <w:tcPr>
          <w:tcW w:w="1499" w:type="pct"/>
          <w:gridSpan w:val="2"/>
        </w:tcPr>
        <w:p w:rsidR="00292944" w:rsidRPr="00130F37" w:rsidRDefault="00292944" w:rsidP="006F5FE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3E82">
            <w:rPr>
              <w:sz w:val="16"/>
              <w:szCs w:val="16"/>
            </w:rPr>
            <w:t>196</w:t>
          </w:r>
          <w:r w:rsidRPr="00130F37">
            <w:rPr>
              <w:sz w:val="16"/>
              <w:szCs w:val="16"/>
            </w:rPr>
            <w:fldChar w:fldCharType="end"/>
          </w:r>
        </w:p>
      </w:tc>
      <w:tc>
        <w:tcPr>
          <w:tcW w:w="1999" w:type="pct"/>
        </w:tcPr>
        <w:p w:rsidR="00292944" w:rsidRPr="00130F37" w:rsidRDefault="00292944" w:rsidP="006F5FE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t>22/06/2024</w:t>
          </w:r>
          <w:r w:rsidRPr="00130F37">
            <w:rPr>
              <w:sz w:val="16"/>
              <w:szCs w:val="16"/>
            </w:rPr>
            <w:fldChar w:fldCharType="end"/>
          </w:r>
        </w:p>
      </w:tc>
      <w:tc>
        <w:tcPr>
          <w:tcW w:w="1502" w:type="pct"/>
          <w:gridSpan w:val="2"/>
        </w:tcPr>
        <w:p w:rsidR="00292944" w:rsidRPr="00130F37" w:rsidRDefault="00292944" w:rsidP="006F5FE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3E82">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instrText>29/06/2024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3E82">
            <w:rPr>
              <w:noProof/>
              <w:sz w:val="16"/>
              <w:szCs w:val="16"/>
            </w:rPr>
            <w:t>29/06/2024</w:t>
          </w:r>
          <w:r w:rsidRPr="00130F37">
            <w:rPr>
              <w:sz w:val="16"/>
              <w:szCs w:val="16"/>
            </w:rPr>
            <w:fldChar w:fldCharType="end"/>
          </w:r>
        </w:p>
      </w:tc>
    </w:tr>
  </w:tbl>
  <w:p w:rsidR="00292944" w:rsidRDefault="00292944" w:rsidP="006F5FE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47A">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p>
      </w:tc>
    </w:tr>
    <w:tr w:rsidR="00292944" w:rsidRPr="0055472E" w:rsidTr="001D4C13">
      <w:tc>
        <w:tcPr>
          <w:tcW w:w="1499" w:type="pct"/>
          <w:gridSpan w:val="2"/>
        </w:tcPr>
        <w:p w:rsidR="00292944" w:rsidRPr="0055472E" w:rsidRDefault="00292944" w:rsidP="006F5FE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3E82">
            <w:rPr>
              <w:sz w:val="16"/>
              <w:szCs w:val="16"/>
            </w:rPr>
            <w:t>196</w:t>
          </w:r>
          <w:r w:rsidRPr="0055472E">
            <w:rPr>
              <w:sz w:val="16"/>
              <w:szCs w:val="16"/>
            </w:rPr>
            <w:fldChar w:fldCharType="end"/>
          </w:r>
        </w:p>
      </w:tc>
      <w:tc>
        <w:tcPr>
          <w:tcW w:w="1999" w:type="pct"/>
        </w:tcPr>
        <w:p w:rsidR="00292944" w:rsidRPr="0055472E" w:rsidRDefault="00292944" w:rsidP="006F5FE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t>22/06/2024</w:t>
          </w:r>
          <w:r w:rsidRPr="0055472E">
            <w:rPr>
              <w:sz w:val="16"/>
              <w:szCs w:val="16"/>
            </w:rPr>
            <w:fldChar w:fldCharType="end"/>
          </w:r>
        </w:p>
      </w:tc>
      <w:tc>
        <w:tcPr>
          <w:tcW w:w="1502" w:type="pct"/>
          <w:gridSpan w:val="2"/>
        </w:tcPr>
        <w:p w:rsidR="00292944" w:rsidRPr="0055472E" w:rsidRDefault="00292944" w:rsidP="006F5FE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3E82">
            <w:rPr>
              <w:sz w:val="16"/>
              <w:szCs w:val="16"/>
            </w:rPr>
            <w:instrText>29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instrText>29/06/2024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3E82">
            <w:rPr>
              <w:noProof/>
              <w:sz w:val="16"/>
              <w:szCs w:val="16"/>
            </w:rPr>
            <w:t>29/06/2024</w:t>
          </w:r>
          <w:r w:rsidRPr="0055472E">
            <w:rPr>
              <w:sz w:val="16"/>
              <w:szCs w:val="16"/>
            </w:rPr>
            <w:fldChar w:fldCharType="end"/>
          </w:r>
        </w:p>
      </w:tc>
    </w:tr>
  </w:tbl>
  <w:p w:rsidR="00292944" w:rsidRDefault="00292944" w:rsidP="006F5FE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i/>
              <w:sz w:val="16"/>
              <w:szCs w:val="16"/>
            </w:rPr>
          </w:pP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47A">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w:t>
          </w:r>
          <w:r w:rsidRPr="007B3B51">
            <w:rPr>
              <w:i/>
              <w:sz w:val="16"/>
              <w:szCs w:val="16"/>
            </w:rPr>
            <w:fldChar w:fldCharType="end"/>
          </w:r>
        </w:p>
      </w:tc>
    </w:tr>
    <w:tr w:rsidR="00292944" w:rsidRPr="00130F37" w:rsidTr="001D4C13">
      <w:tc>
        <w:tcPr>
          <w:tcW w:w="1499" w:type="pct"/>
          <w:gridSpan w:val="2"/>
        </w:tcPr>
        <w:p w:rsidR="00292944" w:rsidRPr="00130F37" w:rsidRDefault="00292944" w:rsidP="006F5FE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3E82">
            <w:rPr>
              <w:sz w:val="16"/>
              <w:szCs w:val="16"/>
            </w:rPr>
            <w:t>196</w:t>
          </w:r>
          <w:r w:rsidRPr="00130F37">
            <w:rPr>
              <w:sz w:val="16"/>
              <w:szCs w:val="16"/>
            </w:rPr>
            <w:fldChar w:fldCharType="end"/>
          </w:r>
        </w:p>
      </w:tc>
      <w:tc>
        <w:tcPr>
          <w:tcW w:w="1999" w:type="pct"/>
        </w:tcPr>
        <w:p w:rsidR="00292944" w:rsidRPr="00130F37" w:rsidRDefault="00292944" w:rsidP="006F5FE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t>22/06/2024</w:t>
          </w:r>
          <w:r w:rsidRPr="00130F37">
            <w:rPr>
              <w:sz w:val="16"/>
              <w:szCs w:val="16"/>
            </w:rPr>
            <w:fldChar w:fldCharType="end"/>
          </w:r>
        </w:p>
      </w:tc>
      <w:tc>
        <w:tcPr>
          <w:tcW w:w="1502" w:type="pct"/>
          <w:gridSpan w:val="2"/>
        </w:tcPr>
        <w:p w:rsidR="00292944" w:rsidRPr="00130F37" w:rsidRDefault="00292944" w:rsidP="006F5FE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3E82">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instrText>29/06/2024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3E82">
            <w:rPr>
              <w:noProof/>
              <w:sz w:val="16"/>
              <w:szCs w:val="16"/>
            </w:rPr>
            <w:t>29/06/2024</w:t>
          </w:r>
          <w:r w:rsidRPr="00130F37">
            <w:rPr>
              <w:sz w:val="16"/>
              <w:szCs w:val="16"/>
            </w:rPr>
            <w:fldChar w:fldCharType="end"/>
          </w:r>
        </w:p>
      </w:tc>
    </w:tr>
  </w:tbl>
  <w:p w:rsidR="00292944" w:rsidRDefault="00292944" w:rsidP="006F5FE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w:t>
          </w:r>
          <w:r w:rsidRPr="007B3B51">
            <w:rPr>
              <w:i/>
              <w:sz w:val="16"/>
              <w:szCs w:val="16"/>
            </w:rPr>
            <w:fldChar w:fldCharType="end"/>
          </w: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47A">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p>
      </w:tc>
    </w:tr>
    <w:tr w:rsidR="00292944" w:rsidRPr="0055472E" w:rsidTr="001D4C13">
      <w:tc>
        <w:tcPr>
          <w:tcW w:w="1499" w:type="pct"/>
          <w:gridSpan w:val="2"/>
        </w:tcPr>
        <w:p w:rsidR="00292944" w:rsidRPr="0055472E" w:rsidRDefault="00292944" w:rsidP="006F5FE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3E82">
            <w:rPr>
              <w:sz w:val="16"/>
              <w:szCs w:val="16"/>
            </w:rPr>
            <w:t>196</w:t>
          </w:r>
          <w:r w:rsidRPr="0055472E">
            <w:rPr>
              <w:sz w:val="16"/>
              <w:szCs w:val="16"/>
            </w:rPr>
            <w:fldChar w:fldCharType="end"/>
          </w:r>
        </w:p>
      </w:tc>
      <w:tc>
        <w:tcPr>
          <w:tcW w:w="1999" w:type="pct"/>
        </w:tcPr>
        <w:p w:rsidR="00292944" w:rsidRPr="0055472E" w:rsidRDefault="00292944" w:rsidP="006F5FE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t>22/06/2024</w:t>
          </w:r>
          <w:r w:rsidRPr="0055472E">
            <w:rPr>
              <w:sz w:val="16"/>
              <w:szCs w:val="16"/>
            </w:rPr>
            <w:fldChar w:fldCharType="end"/>
          </w:r>
        </w:p>
      </w:tc>
      <w:tc>
        <w:tcPr>
          <w:tcW w:w="1502" w:type="pct"/>
          <w:gridSpan w:val="2"/>
        </w:tcPr>
        <w:p w:rsidR="00292944" w:rsidRPr="0055472E" w:rsidRDefault="00292944" w:rsidP="006F5FE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3E82">
            <w:rPr>
              <w:sz w:val="16"/>
              <w:szCs w:val="16"/>
            </w:rPr>
            <w:instrText>29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instrText>29/06/2024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3E82">
            <w:rPr>
              <w:noProof/>
              <w:sz w:val="16"/>
              <w:szCs w:val="16"/>
            </w:rPr>
            <w:t>29/06/2024</w:t>
          </w:r>
          <w:r w:rsidRPr="0055472E">
            <w:rPr>
              <w:sz w:val="16"/>
              <w:szCs w:val="16"/>
            </w:rPr>
            <w:fldChar w:fldCharType="end"/>
          </w:r>
        </w:p>
      </w:tc>
    </w:tr>
  </w:tbl>
  <w:p w:rsidR="00292944" w:rsidRDefault="00292944" w:rsidP="006F5FE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i/>
              <w:sz w:val="16"/>
              <w:szCs w:val="16"/>
            </w:rPr>
          </w:pP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47A">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292944" w:rsidRPr="00130F37" w:rsidTr="001D4C13">
      <w:tc>
        <w:tcPr>
          <w:tcW w:w="1499" w:type="pct"/>
          <w:gridSpan w:val="2"/>
        </w:tcPr>
        <w:p w:rsidR="00292944" w:rsidRPr="00130F37" w:rsidRDefault="00292944" w:rsidP="006F5FE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E3E82">
            <w:rPr>
              <w:sz w:val="16"/>
              <w:szCs w:val="16"/>
            </w:rPr>
            <w:t>196</w:t>
          </w:r>
          <w:r w:rsidRPr="00130F37">
            <w:rPr>
              <w:sz w:val="16"/>
              <w:szCs w:val="16"/>
            </w:rPr>
            <w:fldChar w:fldCharType="end"/>
          </w:r>
        </w:p>
      </w:tc>
      <w:tc>
        <w:tcPr>
          <w:tcW w:w="1999" w:type="pct"/>
        </w:tcPr>
        <w:p w:rsidR="00292944" w:rsidRPr="00130F37" w:rsidRDefault="00292944" w:rsidP="006F5FE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t>22/06/2024</w:t>
          </w:r>
          <w:r w:rsidRPr="00130F37">
            <w:rPr>
              <w:sz w:val="16"/>
              <w:szCs w:val="16"/>
            </w:rPr>
            <w:fldChar w:fldCharType="end"/>
          </w:r>
        </w:p>
      </w:tc>
      <w:tc>
        <w:tcPr>
          <w:tcW w:w="1502" w:type="pct"/>
          <w:gridSpan w:val="2"/>
        </w:tcPr>
        <w:p w:rsidR="00292944" w:rsidRPr="00130F37" w:rsidRDefault="00292944" w:rsidP="006F5FE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E3E82">
            <w:rPr>
              <w:sz w:val="16"/>
              <w:szCs w:val="16"/>
            </w:rPr>
            <w:instrText>29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DE3E82">
            <w:rPr>
              <w:sz w:val="16"/>
              <w:szCs w:val="16"/>
            </w:rPr>
            <w:instrText>29/06/2024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E3E82">
            <w:rPr>
              <w:noProof/>
              <w:sz w:val="16"/>
              <w:szCs w:val="16"/>
            </w:rPr>
            <w:t>29/06/2024</w:t>
          </w:r>
          <w:r w:rsidRPr="00130F37">
            <w:rPr>
              <w:sz w:val="16"/>
              <w:szCs w:val="16"/>
            </w:rPr>
            <w:fldChar w:fldCharType="end"/>
          </w:r>
        </w:p>
      </w:tc>
    </w:tr>
  </w:tbl>
  <w:p w:rsidR="00292944" w:rsidRDefault="00292944" w:rsidP="006F5FE9"/>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2B0EA5" w:rsidRDefault="00292944" w:rsidP="004B6E7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92944" w:rsidTr="00E118FA">
      <w:tc>
        <w:tcPr>
          <w:tcW w:w="947" w:type="pct"/>
        </w:tcPr>
        <w:p w:rsidR="00292944" w:rsidRDefault="00292944" w:rsidP="004B6E7C">
          <w:pPr>
            <w:spacing w:line="0" w:lineRule="atLeast"/>
            <w:rPr>
              <w:sz w:val="18"/>
            </w:rPr>
          </w:pPr>
        </w:p>
      </w:tc>
      <w:tc>
        <w:tcPr>
          <w:tcW w:w="3688" w:type="pct"/>
        </w:tcPr>
        <w:p w:rsidR="00292944" w:rsidRDefault="00292944" w:rsidP="004B6E7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E3E82">
            <w:rPr>
              <w:i/>
              <w:sz w:val="18"/>
            </w:rPr>
            <w:t>Corporations Regulations 2001</w:t>
          </w:r>
          <w:r w:rsidRPr="007A1328">
            <w:rPr>
              <w:i/>
              <w:sz w:val="18"/>
            </w:rPr>
            <w:fldChar w:fldCharType="end"/>
          </w:r>
        </w:p>
      </w:tc>
      <w:tc>
        <w:tcPr>
          <w:tcW w:w="365" w:type="pct"/>
        </w:tcPr>
        <w:p w:rsidR="00292944" w:rsidRDefault="00292944" w:rsidP="004B6E7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147</w:t>
          </w:r>
          <w:r w:rsidRPr="00ED79B6">
            <w:rPr>
              <w:i/>
              <w:sz w:val="18"/>
            </w:rPr>
            <w:fldChar w:fldCharType="end"/>
          </w:r>
        </w:p>
      </w:tc>
    </w:tr>
  </w:tbl>
  <w:p w:rsidR="00292944" w:rsidRPr="00ED79B6" w:rsidRDefault="00292944" w:rsidP="004B6E7C">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7B3B51" w:rsidRDefault="00292944" w:rsidP="006F5FE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292944" w:rsidRPr="007B3B51" w:rsidTr="00E118FA">
      <w:tc>
        <w:tcPr>
          <w:tcW w:w="854" w:type="pct"/>
        </w:tcPr>
        <w:p w:rsidR="00292944" w:rsidRPr="007B3B51" w:rsidRDefault="00292944" w:rsidP="006F5FE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rsidR="00292944" w:rsidRPr="007B3B51" w:rsidRDefault="00292944" w:rsidP="006F5FE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4047A">
            <w:rPr>
              <w:i/>
              <w:noProof/>
              <w:sz w:val="16"/>
              <w:szCs w:val="16"/>
            </w:rPr>
            <w:t>Corporations Regulations 2001</w:t>
          </w:r>
          <w:r w:rsidRPr="007B3B51">
            <w:rPr>
              <w:i/>
              <w:sz w:val="16"/>
              <w:szCs w:val="16"/>
            </w:rPr>
            <w:fldChar w:fldCharType="end"/>
          </w:r>
        </w:p>
      </w:tc>
      <w:tc>
        <w:tcPr>
          <w:tcW w:w="458" w:type="pct"/>
        </w:tcPr>
        <w:p w:rsidR="00292944" w:rsidRPr="007B3B51" w:rsidRDefault="00292944" w:rsidP="006F5FE9">
          <w:pPr>
            <w:jc w:val="right"/>
            <w:rPr>
              <w:sz w:val="16"/>
              <w:szCs w:val="16"/>
            </w:rPr>
          </w:pPr>
        </w:p>
      </w:tc>
    </w:tr>
    <w:tr w:rsidR="00292944" w:rsidRPr="0055472E" w:rsidTr="001D4C13">
      <w:tc>
        <w:tcPr>
          <w:tcW w:w="1499" w:type="pct"/>
          <w:gridSpan w:val="2"/>
        </w:tcPr>
        <w:p w:rsidR="00292944" w:rsidRPr="0055472E" w:rsidRDefault="00292944" w:rsidP="006F5FE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E3E82">
            <w:rPr>
              <w:sz w:val="16"/>
              <w:szCs w:val="16"/>
            </w:rPr>
            <w:t>196</w:t>
          </w:r>
          <w:r w:rsidRPr="0055472E">
            <w:rPr>
              <w:sz w:val="16"/>
              <w:szCs w:val="16"/>
            </w:rPr>
            <w:fldChar w:fldCharType="end"/>
          </w:r>
        </w:p>
      </w:tc>
      <w:tc>
        <w:tcPr>
          <w:tcW w:w="1999" w:type="pct"/>
        </w:tcPr>
        <w:p w:rsidR="00292944" w:rsidRPr="0055472E" w:rsidRDefault="00292944" w:rsidP="006F5FE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t>22/06/2024</w:t>
          </w:r>
          <w:r w:rsidRPr="0055472E">
            <w:rPr>
              <w:sz w:val="16"/>
              <w:szCs w:val="16"/>
            </w:rPr>
            <w:fldChar w:fldCharType="end"/>
          </w:r>
        </w:p>
      </w:tc>
      <w:tc>
        <w:tcPr>
          <w:tcW w:w="1502" w:type="pct"/>
          <w:gridSpan w:val="2"/>
        </w:tcPr>
        <w:p w:rsidR="00292944" w:rsidRPr="0055472E" w:rsidRDefault="00292944" w:rsidP="006F5FE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E3E82">
            <w:rPr>
              <w:sz w:val="16"/>
              <w:szCs w:val="16"/>
            </w:rPr>
            <w:instrText>29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DE3E82">
            <w:rPr>
              <w:sz w:val="16"/>
              <w:szCs w:val="16"/>
            </w:rPr>
            <w:instrText>29/06/2024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E3E82">
            <w:rPr>
              <w:noProof/>
              <w:sz w:val="16"/>
              <w:szCs w:val="16"/>
            </w:rPr>
            <w:t>29/06/2024</w:t>
          </w:r>
          <w:r w:rsidRPr="0055472E">
            <w:rPr>
              <w:sz w:val="16"/>
              <w:szCs w:val="16"/>
            </w:rPr>
            <w:fldChar w:fldCharType="end"/>
          </w:r>
        </w:p>
      </w:tc>
    </w:tr>
  </w:tbl>
  <w:p w:rsidR="00292944" w:rsidRDefault="00292944" w:rsidP="006F5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944" w:rsidRDefault="00292944">
      <w:r>
        <w:separator/>
      </w:r>
    </w:p>
  </w:footnote>
  <w:footnote w:type="continuationSeparator" w:id="0">
    <w:p w:rsidR="00292944" w:rsidRDefault="00292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Default="00292944" w:rsidP="00C7136B">
    <w:pPr>
      <w:pStyle w:val="Header"/>
      <w:pBdr>
        <w:bottom w:val="single" w:sz="6" w:space="1" w:color="auto"/>
      </w:pBdr>
    </w:pPr>
  </w:p>
  <w:p w:rsidR="00292944" w:rsidRDefault="00292944" w:rsidP="00C7136B">
    <w:pPr>
      <w:pStyle w:val="Header"/>
      <w:pBdr>
        <w:bottom w:val="single" w:sz="6" w:space="1" w:color="auto"/>
      </w:pBdr>
    </w:pPr>
  </w:p>
  <w:p w:rsidR="00292944" w:rsidRPr="001E77D2" w:rsidRDefault="00292944" w:rsidP="00C7136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D675F1" w:rsidRDefault="00292944">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54047A">
      <w:rPr>
        <w:b/>
        <w:noProof/>
        <w:sz w:val="20"/>
      </w:rPr>
      <w:t>Schedule 5C</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54047A">
      <w:rPr>
        <w:noProof/>
        <w:sz w:val="20"/>
      </w:rPr>
      <w:t>Conduct of auditor—relevant relationships</w:t>
    </w:r>
    <w:r w:rsidRPr="00D675F1">
      <w:rPr>
        <w:sz w:val="20"/>
      </w:rPr>
      <w:fldChar w:fldCharType="end"/>
    </w:r>
  </w:p>
  <w:p w:rsidR="00292944" w:rsidRPr="00D675F1" w:rsidRDefault="00292944">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292944" w:rsidRPr="00D675F1" w:rsidRDefault="00292944">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292944" w:rsidRPr="00D675F1" w:rsidRDefault="00292944">
    <w:pPr>
      <w:rPr>
        <w:b/>
      </w:rPr>
    </w:pPr>
  </w:p>
  <w:p w:rsidR="00292944" w:rsidRPr="00E118FA" w:rsidRDefault="00292944" w:rsidP="00E118FA">
    <w:pPr>
      <w:pBdr>
        <w:bottom w:val="single" w:sz="6" w:space="1" w:color="auto"/>
      </w:pBdr>
      <w:spacing w:after="120"/>
      <w:rPr>
        <w:sz w:val="24"/>
      </w:rPr>
    </w:pPr>
    <w:r w:rsidRPr="00E118FA">
      <w:rPr>
        <w:sz w:val="24"/>
      </w:rPr>
      <w:t xml:space="preserve">Clause </w:t>
    </w:r>
    <w:r w:rsidRPr="00E118FA">
      <w:rPr>
        <w:sz w:val="24"/>
      </w:rPr>
      <w:fldChar w:fldCharType="begin"/>
    </w:r>
    <w:r w:rsidRPr="00E118FA">
      <w:rPr>
        <w:sz w:val="24"/>
      </w:rPr>
      <w:instrText xml:space="preserve"> STYLEREF CharSectno </w:instrText>
    </w:r>
    <w:r w:rsidRPr="00E118FA">
      <w:rPr>
        <w:sz w:val="24"/>
      </w:rPr>
      <w:fldChar w:fldCharType="separate"/>
    </w:r>
    <w:r w:rsidR="0054047A">
      <w:rPr>
        <w:noProof/>
        <w:sz w:val="24"/>
      </w:rPr>
      <w:t>1</w:t>
    </w:r>
    <w:r w:rsidRPr="00E118FA">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D675F1" w:rsidRDefault="00292944">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54047A">
      <w:rPr>
        <w:noProof/>
        <w:sz w:val="20"/>
      </w:rPr>
      <w:t>Conduct of auditor—relevant relationships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54047A">
      <w:rPr>
        <w:b/>
        <w:noProof/>
        <w:sz w:val="20"/>
      </w:rPr>
      <w:t>Schedule 5C</w:t>
    </w:r>
    <w:r w:rsidRPr="00D675F1">
      <w:rPr>
        <w:b/>
        <w:sz w:val="20"/>
      </w:rPr>
      <w:fldChar w:fldCharType="end"/>
    </w:r>
  </w:p>
  <w:p w:rsidR="00292944" w:rsidRPr="00D675F1" w:rsidRDefault="00292944">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292944" w:rsidRPr="00D675F1" w:rsidRDefault="00292944">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292944" w:rsidRPr="00D675F1" w:rsidRDefault="00292944">
    <w:pPr>
      <w:jc w:val="right"/>
      <w:rPr>
        <w:b/>
      </w:rPr>
    </w:pPr>
  </w:p>
  <w:p w:rsidR="00292944" w:rsidRPr="00E118FA" w:rsidRDefault="00292944" w:rsidP="00E118FA">
    <w:pPr>
      <w:pBdr>
        <w:bottom w:val="single" w:sz="6" w:space="1" w:color="auto"/>
      </w:pBdr>
      <w:spacing w:after="120"/>
      <w:jc w:val="right"/>
      <w:rPr>
        <w:sz w:val="24"/>
      </w:rPr>
    </w:pPr>
    <w:r w:rsidRPr="00E118FA">
      <w:rPr>
        <w:sz w:val="24"/>
      </w:rPr>
      <w:t xml:space="preserve">Clause </w:t>
    </w:r>
    <w:r w:rsidRPr="00E118FA">
      <w:rPr>
        <w:sz w:val="24"/>
      </w:rPr>
      <w:fldChar w:fldCharType="begin"/>
    </w:r>
    <w:r w:rsidRPr="00E118FA">
      <w:rPr>
        <w:sz w:val="24"/>
      </w:rPr>
      <w:instrText xml:space="preserve"> STYLEREF CharSectno </w:instrText>
    </w:r>
    <w:r w:rsidRPr="00E118FA">
      <w:rPr>
        <w:sz w:val="24"/>
      </w:rPr>
      <w:fldChar w:fldCharType="separate"/>
    </w:r>
    <w:r w:rsidR="0054047A">
      <w:rPr>
        <w:noProof/>
        <w:sz w:val="24"/>
      </w:rPr>
      <w:t>3</w:t>
    </w:r>
    <w:r w:rsidRPr="00E118FA">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E118FA" w:rsidRDefault="00292944">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D675F1" w:rsidRDefault="00292944" w:rsidP="002F332A">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54047A">
      <w:rPr>
        <w:b/>
        <w:noProof/>
        <w:sz w:val="20"/>
      </w:rPr>
      <w:t>Schedule 8</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54047A">
      <w:rPr>
        <w:noProof/>
        <w:sz w:val="20"/>
      </w:rPr>
      <w:t>Schemes of arrangement under Part 5.1 of the Act</w:t>
    </w:r>
    <w:r w:rsidRPr="00D675F1">
      <w:rPr>
        <w:sz w:val="20"/>
      </w:rPr>
      <w:fldChar w:fldCharType="end"/>
    </w:r>
  </w:p>
  <w:p w:rsidR="00292944" w:rsidRPr="00D675F1" w:rsidRDefault="00292944" w:rsidP="002F332A">
    <w:pPr>
      <w:rPr>
        <w:b/>
        <w:sz w:val="20"/>
      </w:rPr>
    </w:pPr>
    <w:r w:rsidRPr="00D675F1">
      <w:rPr>
        <w:b/>
        <w:sz w:val="20"/>
      </w:rPr>
      <w:fldChar w:fldCharType="begin"/>
    </w:r>
    <w:r w:rsidRPr="00D675F1">
      <w:rPr>
        <w:b/>
        <w:sz w:val="20"/>
      </w:rPr>
      <w:instrText xml:space="preserve"> STYLEREF CharPartNo </w:instrText>
    </w:r>
    <w:r w:rsidR="0054047A">
      <w:rPr>
        <w:b/>
        <w:sz w:val="20"/>
      </w:rPr>
      <w:fldChar w:fldCharType="separate"/>
    </w:r>
    <w:r w:rsidR="0054047A">
      <w:rPr>
        <w:b/>
        <w:noProof/>
        <w:sz w:val="20"/>
      </w:rPr>
      <w:t>Chapter 5</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54047A">
      <w:rPr>
        <w:sz w:val="20"/>
      </w:rPr>
      <w:fldChar w:fldCharType="separate"/>
    </w:r>
    <w:r w:rsidR="0054047A">
      <w:rPr>
        <w:noProof/>
        <w:sz w:val="20"/>
      </w:rPr>
      <w:t>External administration</w:t>
    </w:r>
    <w:r w:rsidRPr="00D675F1">
      <w:rPr>
        <w:sz w:val="20"/>
      </w:rPr>
      <w:fldChar w:fldCharType="end"/>
    </w:r>
  </w:p>
  <w:p w:rsidR="00292944" w:rsidRPr="00D675F1" w:rsidRDefault="00292944" w:rsidP="002F332A">
    <w:pPr>
      <w:rPr>
        <w:sz w:val="20"/>
      </w:rPr>
    </w:pPr>
    <w:r w:rsidRPr="00D675F1">
      <w:rPr>
        <w:b/>
        <w:sz w:val="20"/>
      </w:rPr>
      <w:fldChar w:fldCharType="begin"/>
    </w:r>
    <w:r w:rsidRPr="00D675F1">
      <w:rPr>
        <w:b/>
        <w:sz w:val="20"/>
      </w:rPr>
      <w:instrText xml:space="preserve"> STYLEREF CharDivNo </w:instrText>
    </w:r>
    <w:r w:rsidR="0054047A">
      <w:rPr>
        <w:b/>
        <w:sz w:val="20"/>
      </w:rPr>
      <w:fldChar w:fldCharType="separate"/>
    </w:r>
    <w:r w:rsidR="0054047A">
      <w:rPr>
        <w:b/>
        <w:noProof/>
        <w:sz w:val="20"/>
      </w:rPr>
      <w:t>Part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54047A">
      <w:rPr>
        <w:sz w:val="20"/>
      </w:rPr>
      <w:fldChar w:fldCharType="separate"/>
    </w:r>
    <w:r w:rsidR="0054047A">
      <w:rPr>
        <w:noProof/>
        <w:sz w:val="20"/>
      </w:rPr>
      <w:t>Prescribed information relating to proposed compromise or arrangement with members or a class of members</w:t>
    </w:r>
    <w:r w:rsidRPr="00D675F1">
      <w:rPr>
        <w:sz w:val="20"/>
      </w:rPr>
      <w:fldChar w:fldCharType="end"/>
    </w:r>
  </w:p>
  <w:p w:rsidR="00292944" w:rsidRPr="00D675F1" w:rsidRDefault="00292944" w:rsidP="002F332A">
    <w:pPr>
      <w:rPr>
        <w:b/>
      </w:rPr>
    </w:pPr>
  </w:p>
  <w:p w:rsidR="00292944" w:rsidRPr="00D675F1" w:rsidRDefault="00292944" w:rsidP="002F332A">
    <w:pPr>
      <w:pBdr>
        <w:bottom w:val="single" w:sz="6" w:space="1" w:color="auto"/>
      </w:pBdr>
    </w:pPr>
  </w:p>
  <w:p w:rsidR="00292944" w:rsidRPr="00B13146" w:rsidRDefault="00292944" w:rsidP="002F332A">
    <w:pPr>
      <w:pStyle w:val="Header"/>
      <w:rPr>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D675F1" w:rsidRDefault="00292944" w:rsidP="00065887">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54047A">
      <w:rPr>
        <w:noProof/>
        <w:sz w:val="20"/>
      </w:rPr>
      <w:t>Schemes of arrangement under Part 5.1 of the Act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54047A">
      <w:rPr>
        <w:b/>
        <w:noProof/>
        <w:sz w:val="20"/>
      </w:rPr>
      <w:t>Schedule 8</w:t>
    </w:r>
    <w:r w:rsidRPr="00D675F1">
      <w:rPr>
        <w:b/>
        <w:sz w:val="20"/>
      </w:rPr>
      <w:fldChar w:fldCharType="end"/>
    </w:r>
  </w:p>
  <w:p w:rsidR="00292944" w:rsidRPr="00D675F1" w:rsidRDefault="00292944" w:rsidP="00065887">
    <w:pPr>
      <w:jc w:val="right"/>
      <w:rPr>
        <w:b/>
        <w:sz w:val="20"/>
      </w:rPr>
    </w:pPr>
    <w:r w:rsidRPr="00D675F1">
      <w:rPr>
        <w:sz w:val="20"/>
      </w:rPr>
      <w:fldChar w:fldCharType="begin"/>
    </w:r>
    <w:r w:rsidRPr="00D675F1">
      <w:rPr>
        <w:sz w:val="20"/>
      </w:rPr>
      <w:instrText xml:space="preserve"> STYLEREF CharPartText </w:instrText>
    </w:r>
    <w:r w:rsidR="0054047A">
      <w:rPr>
        <w:sz w:val="20"/>
      </w:rPr>
      <w:fldChar w:fldCharType="separate"/>
    </w:r>
    <w:r w:rsidR="0054047A">
      <w:rPr>
        <w:noProof/>
        <w:sz w:val="20"/>
      </w:rPr>
      <w:t>External administration</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54047A">
      <w:rPr>
        <w:b/>
        <w:sz w:val="20"/>
      </w:rPr>
      <w:fldChar w:fldCharType="separate"/>
    </w:r>
    <w:r w:rsidR="0054047A">
      <w:rPr>
        <w:b/>
        <w:noProof/>
        <w:sz w:val="20"/>
      </w:rPr>
      <w:t>Chapter 5</w:t>
    </w:r>
    <w:r w:rsidRPr="00D675F1">
      <w:rPr>
        <w:b/>
        <w:sz w:val="20"/>
      </w:rPr>
      <w:fldChar w:fldCharType="end"/>
    </w:r>
  </w:p>
  <w:p w:rsidR="00292944" w:rsidRPr="00D675F1" w:rsidRDefault="00292944" w:rsidP="00065887">
    <w:pPr>
      <w:jc w:val="right"/>
      <w:rPr>
        <w:sz w:val="20"/>
      </w:rPr>
    </w:pPr>
    <w:r w:rsidRPr="00D675F1">
      <w:rPr>
        <w:sz w:val="20"/>
      </w:rPr>
      <w:fldChar w:fldCharType="begin"/>
    </w:r>
    <w:r w:rsidRPr="00D675F1">
      <w:rPr>
        <w:sz w:val="20"/>
      </w:rPr>
      <w:instrText xml:space="preserve"> STYLEREF CharDivText </w:instrText>
    </w:r>
    <w:r w:rsidR="0054047A">
      <w:rPr>
        <w:sz w:val="20"/>
      </w:rPr>
      <w:fldChar w:fldCharType="separate"/>
    </w:r>
    <w:r w:rsidR="0054047A">
      <w:rPr>
        <w:noProof/>
        <w:sz w:val="20"/>
      </w:rPr>
      <w:t>Prescribed information relating to proposed compromise or arrangement with members or class of members for transfer to a trustee</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0054047A">
      <w:rPr>
        <w:b/>
        <w:sz w:val="20"/>
      </w:rPr>
      <w:fldChar w:fldCharType="separate"/>
    </w:r>
    <w:r w:rsidR="0054047A">
      <w:rPr>
        <w:b/>
        <w:noProof/>
        <w:sz w:val="20"/>
      </w:rPr>
      <w:t>Part 4</w:t>
    </w:r>
    <w:r w:rsidRPr="00D675F1">
      <w:rPr>
        <w:b/>
        <w:sz w:val="20"/>
      </w:rPr>
      <w:fldChar w:fldCharType="end"/>
    </w:r>
  </w:p>
  <w:p w:rsidR="00292944" w:rsidRPr="00D675F1" w:rsidRDefault="00292944" w:rsidP="00065887">
    <w:pPr>
      <w:jc w:val="right"/>
      <w:rPr>
        <w:b/>
      </w:rPr>
    </w:pPr>
  </w:p>
  <w:p w:rsidR="00292944" w:rsidRPr="00D675F1" w:rsidRDefault="00292944" w:rsidP="00065887">
    <w:pPr>
      <w:pBdr>
        <w:bottom w:val="single" w:sz="6" w:space="1" w:color="auto"/>
      </w:pBdr>
      <w:jc w:val="right"/>
    </w:pPr>
    <w:r w:rsidRPr="00D675F1">
      <w:t xml:space="preserve"> </w:t>
    </w:r>
  </w:p>
  <w:p w:rsidR="00292944" w:rsidRPr="00065887" w:rsidRDefault="00292944" w:rsidP="0006588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Default="0029294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D675F1" w:rsidRDefault="00292944">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54047A">
      <w:rPr>
        <w:b/>
        <w:noProof/>
        <w:sz w:val="20"/>
      </w:rPr>
      <w:t>Schedule 8A</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54047A">
      <w:rPr>
        <w:noProof/>
        <w:sz w:val="20"/>
      </w:rPr>
      <w:t>Deed of company arrangement—prescribed provisions</w:t>
    </w:r>
    <w:r w:rsidRPr="00D675F1">
      <w:rPr>
        <w:sz w:val="20"/>
      </w:rPr>
      <w:fldChar w:fldCharType="end"/>
    </w:r>
  </w:p>
  <w:p w:rsidR="00292944" w:rsidRPr="00D675F1" w:rsidRDefault="00292944">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292944" w:rsidRPr="00D675F1" w:rsidRDefault="00292944">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292944" w:rsidRPr="00D675F1" w:rsidRDefault="00292944">
    <w:pPr>
      <w:rPr>
        <w:b/>
      </w:rPr>
    </w:pPr>
  </w:p>
  <w:p w:rsidR="00292944" w:rsidRPr="001D4C13" w:rsidRDefault="00292944">
    <w:pPr>
      <w:pBdr>
        <w:bottom w:val="single" w:sz="6" w:space="1" w:color="auto"/>
      </w:pBdr>
      <w:rPr>
        <w:sz w:val="24"/>
        <w:szCs w:val="24"/>
      </w:rPr>
    </w:pPr>
    <w:r w:rsidRPr="001D4C13">
      <w:rPr>
        <w:sz w:val="24"/>
        <w:szCs w:val="24"/>
      </w:rPr>
      <w:t xml:space="preserve">Clause </w:t>
    </w:r>
    <w:r w:rsidRPr="001D4C13">
      <w:rPr>
        <w:sz w:val="24"/>
        <w:szCs w:val="24"/>
      </w:rPr>
      <w:fldChar w:fldCharType="begin"/>
    </w:r>
    <w:r w:rsidRPr="001D4C13">
      <w:rPr>
        <w:sz w:val="24"/>
        <w:szCs w:val="24"/>
      </w:rPr>
      <w:instrText xml:space="preserve"> STYLEREF CharSectno </w:instrText>
    </w:r>
    <w:r w:rsidRPr="001D4C13">
      <w:rPr>
        <w:sz w:val="24"/>
        <w:szCs w:val="24"/>
      </w:rPr>
      <w:fldChar w:fldCharType="separate"/>
    </w:r>
    <w:r w:rsidR="0054047A">
      <w:rPr>
        <w:noProof/>
        <w:sz w:val="24"/>
        <w:szCs w:val="24"/>
      </w:rPr>
      <w:t>12</w:t>
    </w:r>
    <w:r w:rsidRPr="001D4C13">
      <w:rPr>
        <w:noProof/>
        <w:sz w:val="24"/>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D675F1" w:rsidRDefault="00292944">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54047A">
      <w:rPr>
        <w:noProof/>
        <w:sz w:val="20"/>
      </w:rPr>
      <w:t>Deed of company arrangement—prescribed provisions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54047A">
      <w:rPr>
        <w:b/>
        <w:noProof/>
        <w:sz w:val="20"/>
      </w:rPr>
      <w:t>Schedule 8A</w:t>
    </w:r>
    <w:r w:rsidRPr="00D675F1">
      <w:rPr>
        <w:b/>
        <w:sz w:val="20"/>
      </w:rPr>
      <w:fldChar w:fldCharType="end"/>
    </w:r>
  </w:p>
  <w:p w:rsidR="00292944" w:rsidRPr="00D675F1" w:rsidRDefault="00292944">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292944" w:rsidRPr="00D675F1" w:rsidRDefault="00292944">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292944" w:rsidRPr="00D675F1" w:rsidRDefault="00292944">
    <w:pPr>
      <w:jc w:val="right"/>
      <w:rPr>
        <w:b/>
      </w:rPr>
    </w:pPr>
  </w:p>
  <w:p w:rsidR="00292944" w:rsidRPr="001D4C13" w:rsidRDefault="00292944">
    <w:pPr>
      <w:pBdr>
        <w:bottom w:val="single" w:sz="6" w:space="1" w:color="auto"/>
      </w:pBdr>
      <w:jc w:val="right"/>
      <w:rPr>
        <w:sz w:val="24"/>
        <w:szCs w:val="24"/>
      </w:rPr>
    </w:pPr>
    <w:r w:rsidRPr="001D4C13">
      <w:rPr>
        <w:sz w:val="24"/>
        <w:szCs w:val="24"/>
      </w:rPr>
      <w:t xml:space="preserve">Clause </w:t>
    </w:r>
    <w:r w:rsidRPr="001D4C13">
      <w:rPr>
        <w:sz w:val="24"/>
        <w:szCs w:val="24"/>
      </w:rPr>
      <w:fldChar w:fldCharType="begin"/>
    </w:r>
    <w:r w:rsidRPr="001D4C13">
      <w:rPr>
        <w:sz w:val="24"/>
        <w:szCs w:val="24"/>
      </w:rPr>
      <w:instrText xml:space="preserve"> STYLEREF CharSectno </w:instrText>
    </w:r>
    <w:r w:rsidRPr="001D4C13">
      <w:rPr>
        <w:sz w:val="24"/>
        <w:szCs w:val="24"/>
      </w:rPr>
      <w:fldChar w:fldCharType="separate"/>
    </w:r>
    <w:r w:rsidR="0054047A">
      <w:rPr>
        <w:noProof/>
        <w:sz w:val="24"/>
        <w:szCs w:val="24"/>
      </w:rPr>
      <w:t>8</w:t>
    </w:r>
    <w:r w:rsidRPr="001D4C13">
      <w:rPr>
        <w:noProof/>
        <w:sz w:val="24"/>
        <w:szCs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Default="00292944"/>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Default="00292944">
    <w:pPr>
      <w:rPr>
        <w:sz w:val="20"/>
      </w:rPr>
    </w:pPr>
    <w:r>
      <w:rPr>
        <w:b/>
        <w:sz w:val="20"/>
      </w:rPr>
      <w:fldChar w:fldCharType="begin"/>
    </w:r>
    <w:r>
      <w:rPr>
        <w:b/>
        <w:sz w:val="20"/>
      </w:rPr>
      <w:instrText xml:space="preserve"> STYLEREF CharChapNo </w:instrText>
    </w:r>
    <w:r>
      <w:rPr>
        <w:b/>
        <w:sz w:val="20"/>
      </w:rPr>
      <w:fldChar w:fldCharType="separate"/>
    </w:r>
    <w:r w:rsidR="0054047A">
      <w:rPr>
        <w:b/>
        <w:noProof/>
        <w:sz w:val="20"/>
      </w:rPr>
      <w:t>Schedule 8D</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4047A">
      <w:rPr>
        <w:noProof/>
        <w:sz w:val="20"/>
      </w:rPr>
      <w:t>Tables for reporting portfolio holding information</w:t>
    </w:r>
    <w:r>
      <w:rPr>
        <w:sz w:val="20"/>
      </w:rPr>
      <w:fldChar w:fldCharType="end"/>
    </w:r>
  </w:p>
  <w:p w:rsidR="00292944" w:rsidRDefault="0029294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92944" w:rsidRDefault="00292944" w:rsidP="00C648C9">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Default="00292944" w:rsidP="00C7136B">
    <w:pPr>
      <w:pStyle w:val="Header"/>
      <w:pBdr>
        <w:bottom w:val="single" w:sz="4" w:space="1" w:color="auto"/>
      </w:pBdr>
    </w:pPr>
  </w:p>
  <w:p w:rsidR="00292944" w:rsidRDefault="00292944" w:rsidP="00C7136B">
    <w:pPr>
      <w:pStyle w:val="Header"/>
      <w:pBdr>
        <w:bottom w:val="single" w:sz="4" w:space="1" w:color="auto"/>
      </w:pBdr>
    </w:pPr>
  </w:p>
  <w:p w:rsidR="00292944" w:rsidRPr="001E77D2" w:rsidRDefault="00292944" w:rsidP="00C7136B">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8A2C51" w:rsidRDefault="0029294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54047A">
      <w:rPr>
        <w:noProof/>
        <w:sz w:val="20"/>
      </w:rPr>
      <w:t>Companies authorised to effect transfers under Part 7.11 of the Act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54047A">
      <w:rPr>
        <w:b/>
        <w:noProof/>
        <w:sz w:val="20"/>
      </w:rPr>
      <w:t>Schedule 9</w:t>
    </w:r>
    <w:r w:rsidRPr="008A2C51">
      <w:rPr>
        <w:b/>
        <w:sz w:val="20"/>
      </w:rPr>
      <w:fldChar w:fldCharType="end"/>
    </w:r>
  </w:p>
  <w:p w:rsidR="00292944" w:rsidRPr="008A2C51" w:rsidRDefault="00292944">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292944" w:rsidRPr="008A2C51" w:rsidRDefault="00292944" w:rsidP="00C648C9">
    <w:pPr>
      <w:pBdr>
        <w:bottom w:val="single" w:sz="6" w:space="1" w:color="auto"/>
      </w:pBdr>
      <w:spacing w:after="120"/>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Default="00292944"/>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D675F1" w:rsidRDefault="00292944">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54047A">
      <w:rPr>
        <w:b/>
        <w:noProof/>
        <w:sz w:val="20"/>
      </w:rPr>
      <w:t>Schedule 10</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54047A">
      <w:rPr>
        <w:noProof/>
        <w:sz w:val="20"/>
      </w:rPr>
      <w:t>Disclosure of fees and other costs</w:t>
    </w:r>
    <w:r w:rsidRPr="00D675F1">
      <w:rPr>
        <w:sz w:val="20"/>
      </w:rPr>
      <w:fldChar w:fldCharType="end"/>
    </w:r>
  </w:p>
  <w:p w:rsidR="00292944" w:rsidRPr="00D675F1" w:rsidRDefault="00292944">
    <w:pPr>
      <w:rPr>
        <w:b/>
        <w:sz w:val="20"/>
      </w:rPr>
    </w:pPr>
    <w:r w:rsidRPr="00D675F1">
      <w:rPr>
        <w:b/>
        <w:sz w:val="20"/>
      </w:rPr>
      <w:fldChar w:fldCharType="begin"/>
    </w:r>
    <w:r w:rsidRPr="00D675F1">
      <w:rPr>
        <w:b/>
        <w:sz w:val="20"/>
      </w:rPr>
      <w:instrText xml:space="preserve"> STYLEREF CharPartNo </w:instrText>
    </w:r>
    <w:r w:rsidR="00DE3E82">
      <w:rPr>
        <w:b/>
        <w:sz w:val="20"/>
      </w:rPr>
      <w:fldChar w:fldCharType="separate"/>
    </w:r>
    <w:r w:rsidR="0054047A">
      <w:rPr>
        <w:b/>
        <w:noProof/>
        <w:sz w:val="20"/>
      </w:rPr>
      <w:t>Part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DE3E82">
      <w:rPr>
        <w:sz w:val="20"/>
      </w:rPr>
      <w:fldChar w:fldCharType="separate"/>
    </w:r>
    <w:r w:rsidR="0054047A">
      <w:rPr>
        <w:noProof/>
        <w:sz w:val="20"/>
      </w:rPr>
      <w:t>Fees and costs in periodic statements</w:t>
    </w:r>
    <w:r w:rsidRPr="00D675F1">
      <w:rPr>
        <w:sz w:val="20"/>
      </w:rPr>
      <w:fldChar w:fldCharType="end"/>
    </w:r>
  </w:p>
  <w:p w:rsidR="00292944" w:rsidRPr="00D675F1" w:rsidRDefault="00292944">
    <w:pPr>
      <w:rPr>
        <w:sz w:val="20"/>
      </w:rPr>
    </w:pPr>
    <w:r w:rsidRPr="00D675F1">
      <w:rPr>
        <w:b/>
        <w:sz w:val="20"/>
      </w:rPr>
      <w:fldChar w:fldCharType="begin"/>
    </w:r>
    <w:r w:rsidRPr="00D675F1">
      <w:rPr>
        <w:b/>
        <w:sz w:val="20"/>
      </w:rPr>
      <w:instrText xml:space="preserve"> STYLEREF CharDivNo </w:instrText>
    </w:r>
    <w:r w:rsidR="0054047A">
      <w:rPr>
        <w:b/>
        <w:sz w:val="20"/>
      </w:rPr>
      <w:fldChar w:fldCharType="separate"/>
    </w:r>
    <w:r w:rsidR="0054047A">
      <w:rPr>
        <w:b/>
        <w:noProof/>
        <w:sz w:val="20"/>
      </w:rPr>
      <w:t>Division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54047A">
      <w:rPr>
        <w:sz w:val="20"/>
      </w:rPr>
      <w:fldChar w:fldCharType="separate"/>
    </w:r>
    <w:r w:rsidR="0054047A">
      <w:rPr>
        <w:noProof/>
        <w:sz w:val="20"/>
      </w:rPr>
      <w:t>Total fees</w:t>
    </w:r>
    <w:r w:rsidRPr="00D675F1">
      <w:rPr>
        <w:sz w:val="20"/>
      </w:rPr>
      <w:fldChar w:fldCharType="end"/>
    </w:r>
  </w:p>
  <w:p w:rsidR="00292944" w:rsidRPr="00D675F1" w:rsidRDefault="00292944">
    <w:pPr>
      <w:rPr>
        <w:b/>
      </w:rPr>
    </w:pPr>
  </w:p>
  <w:p w:rsidR="00292944" w:rsidRPr="001D4C13" w:rsidRDefault="00292944" w:rsidP="008258B2">
    <w:pPr>
      <w:pBdr>
        <w:bottom w:val="single" w:sz="6" w:space="1" w:color="auto"/>
      </w:pBdr>
      <w:spacing w:after="120"/>
      <w:rPr>
        <w:sz w:val="24"/>
        <w:szCs w:val="24"/>
      </w:rPr>
    </w:pPr>
    <w:r w:rsidRPr="001D4C13">
      <w:rPr>
        <w:sz w:val="24"/>
        <w:szCs w:val="24"/>
      </w:rPr>
      <w:t xml:space="preserve">Clause </w:t>
    </w:r>
    <w:r w:rsidRPr="001D4C13">
      <w:rPr>
        <w:sz w:val="24"/>
        <w:szCs w:val="24"/>
      </w:rPr>
      <w:fldChar w:fldCharType="begin"/>
    </w:r>
    <w:r w:rsidRPr="001D4C13">
      <w:rPr>
        <w:sz w:val="24"/>
        <w:szCs w:val="24"/>
      </w:rPr>
      <w:instrText xml:space="preserve"> STYLEREF CharSectno </w:instrText>
    </w:r>
    <w:r w:rsidRPr="001D4C13">
      <w:rPr>
        <w:sz w:val="24"/>
        <w:szCs w:val="24"/>
      </w:rPr>
      <w:fldChar w:fldCharType="separate"/>
    </w:r>
    <w:r w:rsidR="0054047A">
      <w:rPr>
        <w:noProof/>
        <w:sz w:val="24"/>
        <w:szCs w:val="24"/>
      </w:rPr>
      <w:t>302</w:t>
    </w:r>
    <w:r w:rsidRPr="001D4C13">
      <w:rPr>
        <w:noProof/>
        <w:sz w:val="24"/>
        <w:szCs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D675F1" w:rsidRDefault="00292944">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54047A">
      <w:rPr>
        <w:noProof/>
        <w:sz w:val="20"/>
      </w:rPr>
      <w:t>Disclosure of fees and other costs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54047A">
      <w:rPr>
        <w:b/>
        <w:noProof/>
        <w:sz w:val="20"/>
      </w:rPr>
      <w:t>Schedule 10</w:t>
    </w:r>
    <w:r w:rsidRPr="00D675F1">
      <w:rPr>
        <w:b/>
        <w:sz w:val="20"/>
      </w:rPr>
      <w:fldChar w:fldCharType="end"/>
    </w:r>
  </w:p>
  <w:p w:rsidR="00292944" w:rsidRPr="00D675F1" w:rsidRDefault="00292944">
    <w:pPr>
      <w:jc w:val="right"/>
      <w:rPr>
        <w:b/>
        <w:sz w:val="20"/>
      </w:rPr>
    </w:pPr>
    <w:r w:rsidRPr="00D675F1">
      <w:rPr>
        <w:sz w:val="20"/>
      </w:rPr>
      <w:fldChar w:fldCharType="begin"/>
    </w:r>
    <w:r w:rsidRPr="00D675F1">
      <w:rPr>
        <w:sz w:val="20"/>
      </w:rPr>
      <w:instrText xml:space="preserve"> STYLEREF CharPartText </w:instrText>
    </w:r>
    <w:r w:rsidR="00DE3E82">
      <w:rPr>
        <w:sz w:val="20"/>
      </w:rPr>
      <w:fldChar w:fldCharType="separate"/>
    </w:r>
    <w:r w:rsidR="0054047A">
      <w:rPr>
        <w:noProof/>
        <w:sz w:val="20"/>
      </w:rPr>
      <w:t>Fees and costs in periodic statements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DE3E82">
      <w:rPr>
        <w:b/>
        <w:sz w:val="20"/>
      </w:rPr>
      <w:fldChar w:fldCharType="separate"/>
    </w:r>
    <w:r w:rsidR="0054047A">
      <w:rPr>
        <w:b/>
        <w:noProof/>
        <w:sz w:val="20"/>
      </w:rPr>
      <w:t>Part 3</w:t>
    </w:r>
    <w:r w:rsidRPr="00D675F1">
      <w:rPr>
        <w:b/>
        <w:sz w:val="20"/>
      </w:rPr>
      <w:fldChar w:fldCharType="end"/>
    </w:r>
  </w:p>
  <w:p w:rsidR="00292944" w:rsidRPr="00D675F1" w:rsidRDefault="00292944">
    <w:pPr>
      <w:jc w:val="right"/>
      <w:rPr>
        <w:sz w:val="20"/>
      </w:rPr>
    </w:pPr>
    <w:r w:rsidRPr="00D675F1">
      <w:rPr>
        <w:sz w:val="20"/>
      </w:rPr>
      <w:fldChar w:fldCharType="begin"/>
    </w:r>
    <w:r w:rsidRPr="00D675F1">
      <w:rPr>
        <w:sz w:val="20"/>
      </w:rPr>
      <w:instrText xml:space="preserve"> STYLEREF CharDivText </w:instrText>
    </w:r>
    <w:r w:rsidR="0054047A">
      <w:rPr>
        <w:sz w:val="20"/>
      </w:rPr>
      <w:fldChar w:fldCharType="separate"/>
    </w:r>
    <w:r w:rsidR="0054047A">
      <w:rPr>
        <w:noProof/>
        <w:sz w:val="20"/>
      </w:rPr>
      <w:t>Additional Explanation of Fees and Costs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0054047A">
      <w:rPr>
        <w:b/>
        <w:sz w:val="20"/>
      </w:rPr>
      <w:fldChar w:fldCharType="separate"/>
    </w:r>
    <w:r w:rsidR="0054047A">
      <w:rPr>
        <w:b/>
        <w:noProof/>
        <w:sz w:val="20"/>
      </w:rPr>
      <w:t>Division 3</w:t>
    </w:r>
    <w:r w:rsidRPr="00D675F1">
      <w:rPr>
        <w:b/>
        <w:sz w:val="20"/>
      </w:rPr>
      <w:fldChar w:fldCharType="end"/>
    </w:r>
  </w:p>
  <w:p w:rsidR="00292944" w:rsidRPr="00D675F1" w:rsidRDefault="00292944">
    <w:pPr>
      <w:jc w:val="right"/>
      <w:rPr>
        <w:b/>
      </w:rPr>
    </w:pPr>
  </w:p>
  <w:p w:rsidR="00292944" w:rsidRPr="001D4C13" w:rsidRDefault="00292944" w:rsidP="008258B2">
    <w:pPr>
      <w:pBdr>
        <w:bottom w:val="single" w:sz="6" w:space="1" w:color="auto"/>
      </w:pBdr>
      <w:spacing w:after="120"/>
      <w:jc w:val="right"/>
      <w:rPr>
        <w:sz w:val="24"/>
        <w:szCs w:val="24"/>
      </w:rPr>
    </w:pPr>
    <w:r w:rsidRPr="001D4C13">
      <w:rPr>
        <w:sz w:val="24"/>
        <w:szCs w:val="24"/>
      </w:rPr>
      <w:t xml:space="preserve">Clause </w:t>
    </w:r>
    <w:r w:rsidRPr="001D4C13">
      <w:rPr>
        <w:sz w:val="24"/>
        <w:szCs w:val="24"/>
      </w:rPr>
      <w:fldChar w:fldCharType="begin"/>
    </w:r>
    <w:r w:rsidRPr="001D4C13">
      <w:rPr>
        <w:sz w:val="24"/>
        <w:szCs w:val="24"/>
      </w:rPr>
      <w:instrText xml:space="preserve"> STYLEREF CharSectno </w:instrText>
    </w:r>
    <w:r w:rsidRPr="001D4C13">
      <w:rPr>
        <w:sz w:val="24"/>
        <w:szCs w:val="24"/>
      </w:rPr>
      <w:fldChar w:fldCharType="separate"/>
    </w:r>
    <w:r w:rsidR="0054047A">
      <w:rPr>
        <w:noProof/>
        <w:sz w:val="24"/>
        <w:szCs w:val="24"/>
      </w:rPr>
      <w:t>303</w:t>
    </w:r>
    <w:r w:rsidRPr="001D4C13">
      <w:rPr>
        <w:noProof/>
        <w:sz w:val="24"/>
        <w:szCs w:val="24"/>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Default="00292944"/>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D675F1" w:rsidRDefault="00292944">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54047A">
      <w:rPr>
        <w:b/>
        <w:noProof/>
        <w:sz w:val="20"/>
      </w:rPr>
      <w:t>Schedule 10A</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54047A">
      <w:rPr>
        <w:noProof/>
        <w:sz w:val="20"/>
      </w:rPr>
      <w:t>Modifications of Part 7.9 of the Act</w:t>
    </w:r>
    <w:r w:rsidRPr="00D675F1">
      <w:rPr>
        <w:sz w:val="20"/>
      </w:rPr>
      <w:fldChar w:fldCharType="end"/>
    </w:r>
  </w:p>
  <w:p w:rsidR="00292944" w:rsidRPr="00D675F1" w:rsidRDefault="00292944">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54047A">
      <w:rPr>
        <w:b/>
        <w:noProof/>
        <w:sz w:val="20"/>
      </w:rPr>
      <w:t>Part 19</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54047A">
      <w:rPr>
        <w:noProof/>
        <w:sz w:val="20"/>
      </w:rPr>
      <w:t>Modifications for carbon units, Australian carbon credit units and eligible international emissions units</w:t>
    </w:r>
    <w:r w:rsidRPr="00D675F1">
      <w:rPr>
        <w:sz w:val="20"/>
      </w:rPr>
      <w:fldChar w:fldCharType="end"/>
    </w:r>
  </w:p>
  <w:p w:rsidR="00292944" w:rsidRPr="00D675F1" w:rsidRDefault="00292944">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292944" w:rsidRPr="00D675F1" w:rsidRDefault="00292944">
    <w:pPr>
      <w:rPr>
        <w:b/>
      </w:rPr>
    </w:pPr>
  </w:p>
  <w:p w:rsidR="00292944" w:rsidRPr="00D675F1" w:rsidRDefault="00292944" w:rsidP="008258B2">
    <w:pPr>
      <w:pBdr>
        <w:bottom w:val="single" w:sz="6" w:space="1" w:color="auto"/>
      </w:pBdr>
      <w:spacing w:after="12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D675F1" w:rsidRDefault="00292944">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54047A">
      <w:rPr>
        <w:noProof/>
        <w:sz w:val="20"/>
      </w:rPr>
      <w:t>Modifications of Part 7.9 of the Act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54047A">
      <w:rPr>
        <w:b/>
        <w:noProof/>
        <w:sz w:val="20"/>
      </w:rPr>
      <w:t>Schedule 10A</w:t>
    </w:r>
    <w:r w:rsidRPr="00D675F1">
      <w:rPr>
        <w:b/>
        <w:sz w:val="20"/>
      </w:rPr>
      <w:fldChar w:fldCharType="end"/>
    </w:r>
  </w:p>
  <w:p w:rsidR="00292944" w:rsidRPr="00D675F1" w:rsidRDefault="00292944">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54047A">
      <w:rPr>
        <w:noProof/>
        <w:sz w:val="20"/>
      </w:rPr>
      <w:t>Modifications for carbon units, Australian carbon credit units and eligible international emissions units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54047A">
      <w:rPr>
        <w:b/>
        <w:noProof/>
        <w:sz w:val="20"/>
      </w:rPr>
      <w:t>Part 19</w:t>
    </w:r>
    <w:r w:rsidRPr="00D675F1">
      <w:rPr>
        <w:b/>
        <w:sz w:val="20"/>
      </w:rPr>
      <w:fldChar w:fldCharType="end"/>
    </w:r>
  </w:p>
  <w:p w:rsidR="00292944" w:rsidRPr="00D675F1" w:rsidRDefault="00292944">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292944" w:rsidRPr="00D675F1" w:rsidRDefault="00292944">
    <w:pPr>
      <w:jc w:val="right"/>
      <w:rPr>
        <w:b/>
      </w:rPr>
    </w:pPr>
  </w:p>
  <w:p w:rsidR="00292944" w:rsidRPr="00D675F1" w:rsidRDefault="00292944" w:rsidP="008258B2">
    <w:pPr>
      <w:pBdr>
        <w:bottom w:val="single" w:sz="6" w:space="1" w:color="auto"/>
      </w:pBdr>
      <w:spacing w:after="120"/>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Default="00292944"/>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D675F1" w:rsidRDefault="00292944">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DE3E82">
      <w:rPr>
        <w:b/>
        <w:noProof/>
        <w:sz w:val="20"/>
      </w:rPr>
      <w:t>Schedule 10F</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DE3E82">
      <w:rPr>
        <w:noProof/>
        <w:sz w:val="20"/>
      </w:rPr>
      <w:t>Form and content of Product Disclosure Statement—simple sub-fund products</w:t>
    </w:r>
    <w:r w:rsidRPr="00D675F1">
      <w:rPr>
        <w:sz w:val="20"/>
      </w:rPr>
      <w:fldChar w:fldCharType="end"/>
    </w:r>
  </w:p>
  <w:p w:rsidR="00292944" w:rsidRPr="00D675F1" w:rsidRDefault="00292944">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292944" w:rsidRPr="00D675F1" w:rsidRDefault="00292944">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292944" w:rsidRPr="00D675F1" w:rsidRDefault="00292944">
    <w:pPr>
      <w:rPr>
        <w:b/>
      </w:rPr>
    </w:pPr>
  </w:p>
  <w:p w:rsidR="00292944" w:rsidRPr="001D4C13" w:rsidRDefault="00292944" w:rsidP="00326DD7">
    <w:pPr>
      <w:pBdr>
        <w:bottom w:val="single" w:sz="6" w:space="1" w:color="auto"/>
      </w:pBdr>
      <w:spacing w:after="120"/>
      <w:rPr>
        <w:sz w:val="24"/>
        <w:szCs w:val="24"/>
      </w:rPr>
    </w:pPr>
    <w:r w:rsidRPr="001D4C13">
      <w:rPr>
        <w:sz w:val="24"/>
        <w:szCs w:val="24"/>
      </w:rPr>
      <w:t xml:space="preserve">Clause </w:t>
    </w:r>
    <w:r w:rsidRPr="001D4C13">
      <w:rPr>
        <w:sz w:val="24"/>
        <w:szCs w:val="24"/>
      </w:rPr>
      <w:fldChar w:fldCharType="begin"/>
    </w:r>
    <w:r w:rsidRPr="001D4C13">
      <w:rPr>
        <w:sz w:val="24"/>
        <w:szCs w:val="24"/>
      </w:rPr>
      <w:instrText xml:space="preserve"> STYLEREF CharSectno </w:instrText>
    </w:r>
    <w:r w:rsidRPr="001D4C13">
      <w:rPr>
        <w:sz w:val="24"/>
        <w:szCs w:val="24"/>
      </w:rPr>
      <w:fldChar w:fldCharType="separate"/>
    </w:r>
    <w:r w:rsidR="00DE3E82">
      <w:rPr>
        <w:noProof/>
        <w:sz w:val="24"/>
        <w:szCs w:val="24"/>
      </w:rPr>
      <w:t>8</w:t>
    </w:r>
    <w:r w:rsidRPr="001D4C13">
      <w:rPr>
        <w:noProof/>
        <w:sz w:val="24"/>
        <w:szCs w:val="24"/>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D675F1" w:rsidRDefault="00292944">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DE3E82">
      <w:rPr>
        <w:noProof/>
        <w:sz w:val="20"/>
      </w:rPr>
      <w:t>Form and content of Product Disclosure Statement—simple sub-fund products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DE3E82">
      <w:rPr>
        <w:b/>
        <w:noProof/>
        <w:sz w:val="20"/>
      </w:rPr>
      <w:t>Schedule 10F</w:t>
    </w:r>
    <w:r w:rsidRPr="00D675F1">
      <w:rPr>
        <w:b/>
        <w:sz w:val="20"/>
      </w:rPr>
      <w:fldChar w:fldCharType="end"/>
    </w:r>
  </w:p>
  <w:p w:rsidR="00292944" w:rsidRPr="00D675F1" w:rsidRDefault="00292944">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292944" w:rsidRPr="00D675F1" w:rsidRDefault="00292944">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292944" w:rsidRPr="00D675F1" w:rsidRDefault="00292944">
    <w:pPr>
      <w:jc w:val="right"/>
      <w:rPr>
        <w:b/>
      </w:rPr>
    </w:pPr>
  </w:p>
  <w:p w:rsidR="00292944" w:rsidRPr="001D4C13" w:rsidRDefault="00292944" w:rsidP="00326DD7">
    <w:pPr>
      <w:pBdr>
        <w:bottom w:val="single" w:sz="6" w:space="1" w:color="auto"/>
      </w:pBdr>
      <w:spacing w:after="120"/>
      <w:jc w:val="right"/>
      <w:rPr>
        <w:sz w:val="24"/>
        <w:szCs w:val="24"/>
      </w:rPr>
    </w:pPr>
    <w:r w:rsidRPr="001D4C13">
      <w:rPr>
        <w:sz w:val="24"/>
        <w:szCs w:val="24"/>
      </w:rPr>
      <w:t xml:space="preserve">Clause </w:t>
    </w:r>
    <w:r w:rsidRPr="001D4C13">
      <w:rPr>
        <w:sz w:val="24"/>
        <w:szCs w:val="24"/>
      </w:rPr>
      <w:fldChar w:fldCharType="begin"/>
    </w:r>
    <w:r w:rsidRPr="001D4C13">
      <w:rPr>
        <w:sz w:val="24"/>
        <w:szCs w:val="24"/>
      </w:rPr>
      <w:instrText xml:space="preserve"> STYLEREF CharSectno </w:instrText>
    </w:r>
    <w:r w:rsidRPr="001D4C13">
      <w:rPr>
        <w:sz w:val="24"/>
        <w:szCs w:val="24"/>
      </w:rPr>
      <w:fldChar w:fldCharType="separate"/>
    </w:r>
    <w:r w:rsidR="00DE3E82">
      <w:rPr>
        <w:noProof/>
        <w:sz w:val="24"/>
        <w:szCs w:val="24"/>
      </w:rPr>
      <w:t>9</w:t>
    </w:r>
    <w:r w:rsidRPr="001D4C13">
      <w:rPr>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5F1388" w:rsidRDefault="00292944" w:rsidP="00C7136B">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Default="00292944"/>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Default="00292944">
    <w:pPr>
      <w:rPr>
        <w:sz w:val="20"/>
      </w:rPr>
    </w:pPr>
    <w:r>
      <w:rPr>
        <w:b/>
        <w:sz w:val="20"/>
      </w:rPr>
      <w:fldChar w:fldCharType="begin"/>
    </w:r>
    <w:r>
      <w:rPr>
        <w:b/>
        <w:sz w:val="20"/>
      </w:rPr>
      <w:instrText xml:space="preserve"> STYLEREF CharChapNo </w:instrText>
    </w:r>
    <w:r>
      <w:rPr>
        <w:b/>
        <w:sz w:val="20"/>
      </w:rPr>
      <w:fldChar w:fldCharType="separate"/>
    </w:r>
    <w:r w:rsidR="00DE3E82">
      <w:rPr>
        <w:b/>
        <w:noProof/>
        <w:sz w:val="20"/>
      </w:rPr>
      <w:t>Schedule 13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DE3E82">
      <w:rPr>
        <w:noProof/>
        <w:sz w:val="20"/>
      </w:rPr>
      <w:t>Transition to Part 3 of the Insolvency Practice Schedule (Corporations)</w:t>
    </w:r>
    <w:r>
      <w:rPr>
        <w:sz w:val="20"/>
      </w:rPr>
      <w:fldChar w:fldCharType="end"/>
    </w:r>
  </w:p>
  <w:p w:rsidR="00292944" w:rsidRDefault="00292944">
    <w:pPr>
      <w:pBdr>
        <w:bottom w:val="single" w:sz="6" w:space="1" w:color="auto"/>
      </w:pBdr>
      <w:rPr>
        <w:sz w:val="20"/>
      </w:rPr>
    </w:pPr>
  </w:p>
  <w:p w:rsidR="00292944" w:rsidRDefault="00292944">
    <w:pPr>
      <w:pBdr>
        <w:bottom w:val="single" w:sz="6" w:space="1" w:color="auto"/>
      </w:pBd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8A2C51" w:rsidRDefault="00292944">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DE3E82">
      <w:rPr>
        <w:noProof/>
        <w:sz w:val="20"/>
      </w:rPr>
      <w:t>Transition to Part 3 of the Insolvency Practice Schedule (Corporations)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DE3E82">
      <w:rPr>
        <w:b/>
        <w:noProof/>
        <w:sz w:val="20"/>
      </w:rPr>
      <w:t>Schedule 13</w:t>
    </w:r>
    <w:r w:rsidRPr="008A2C51">
      <w:rPr>
        <w:b/>
        <w:sz w:val="20"/>
      </w:rPr>
      <w:fldChar w:fldCharType="end"/>
    </w:r>
  </w:p>
  <w:p w:rsidR="00292944" w:rsidRPr="008A2C51" w:rsidRDefault="00292944">
    <w:pPr>
      <w:pBdr>
        <w:bottom w:val="single" w:sz="6" w:space="1" w:color="auto"/>
      </w:pBdr>
      <w:jc w:val="right"/>
      <w:rPr>
        <w:b/>
        <w:sz w:val="20"/>
      </w:rPr>
    </w:pPr>
  </w:p>
  <w:p w:rsidR="00292944" w:rsidRPr="008A2C51" w:rsidRDefault="00292944">
    <w:pPr>
      <w:pBdr>
        <w:bottom w:val="single" w:sz="6" w:space="1" w:color="auto"/>
      </w:pBdr>
      <w:jc w:val="righ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Default="00292944"/>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BE5CD2" w:rsidRDefault="00292944" w:rsidP="007678F7">
    <w:pPr>
      <w:rPr>
        <w:sz w:val="26"/>
        <w:szCs w:val="26"/>
      </w:rPr>
    </w:pPr>
  </w:p>
  <w:p w:rsidR="00292944" w:rsidRPr="0020230A" w:rsidRDefault="00292944" w:rsidP="007678F7">
    <w:pPr>
      <w:rPr>
        <w:b/>
        <w:sz w:val="20"/>
      </w:rPr>
    </w:pPr>
    <w:r w:rsidRPr="0020230A">
      <w:rPr>
        <w:b/>
        <w:sz w:val="20"/>
      </w:rPr>
      <w:t>Endnotes</w:t>
    </w:r>
  </w:p>
  <w:p w:rsidR="00292944" w:rsidRPr="007A1328" w:rsidRDefault="00292944" w:rsidP="007678F7">
    <w:pPr>
      <w:rPr>
        <w:sz w:val="20"/>
      </w:rPr>
    </w:pPr>
  </w:p>
  <w:p w:rsidR="00292944" w:rsidRPr="007A1328" w:rsidRDefault="00292944" w:rsidP="007678F7">
    <w:pPr>
      <w:rPr>
        <w:b/>
        <w:sz w:val="24"/>
      </w:rPr>
    </w:pPr>
  </w:p>
  <w:p w:rsidR="00292944" w:rsidRPr="00BE5CD2" w:rsidRDefault="00292944" w:rsidP="007678F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E3E82">
      <w:rPr>
        <w:b/>
        <w:bCs/>
        <w:noProof/>
        <w:szCs w:val="22"/>
        <w:lang w:val="en-US"/>
      </w:rPr>
      <w:t>Error! No text of specified style in document.</w:t>
    </w:r>
    <w:r>
      <w:rPr>
        <w:szCs w:val="22"/>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BE5CD2" w:rsidRDefault="00292944" w:rsidP="007678F7">
    <w:pPr>
      <w:jc w:val="right"/>
      <w:rPr>
        <w:sz w:val="26"/>
        <w:szCs w:val="26"/>
      </w:rPr>
    </w:pPr>
  </w:p>
  <w:p w:rsidR="00292944" w:rsidRPr="0020230A" w:rsidRDefault="00292944" w:rsidP="007678F7">
    <w:pPr>
      <w:jc w:val="right"/>
      <w:rPr>
        <w:b/>
        <w:sz w:val="20"/>
      </w:rPr>
    </w:pPr>
    <w:r w:rsidRPr="0020230A">
      <w:rPr>
        <w:b/>
        <w:sz w:val="20"/>
      </w:rPr>
      <w:t>Endnotes</w:t>
    </w:r>
  </w:p>
  <w:p w:rsidR="00292944" w:rsidRPr="007A1328" w:rsidRDefault="00292944" w:rsidP="007678F7">
    <w:pPr>
      <w:jc w:val="right"/>
      <w:rPr>
        <w:sz w:val="20"/>
      </w:rPr>
    </w:pPr>
  </w:p>
  <w:p w:rsidR="00292944" w:rsidRPr="007A1328" w:rsidRDefault="00292944" w:rsidP="007678F7">
    <w:pPr>
      <w:jc w:val="right"/>
      <w:rPr>
        <w:b/>
        <w:sz w:val="24"/>
      </w:rPr>
    </w:pPr>
  </w:p>
  <w:p w:rsidR="00292944" w:rsidRPr="00BE5CD2" w:rsidRDefault="00292944" w:rsidP="007678F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E3E82">
      <w:rPr>
        <w:b/>
        <w:bCs/>
        <w:noProof/>
        <w:szCs w:val="22"/>
        <w:lang w:val="en-US"/>
      </w:rPr>
      <w:t>Error! No text of specified style in document.</w:t>
    </w:r>
    <w:r>
      <w:rPr>
        <w:szCs w:val="22"/>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Default="00292944" w:rsidP="00EA0056">
    <w:pPr>
      <w:pStyle w:val="Header"/>
    </w:pPr>
  </w:p>
  <w:p w:rsidR="00292944" w:rsidRPr="00EA0056" w:rsidRDefault="00292944" w:rsidP="00EA00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ED79B6" w:rsidRDefault="00292944" w:rsidP="000858E6">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ED79B6" w:rsidRDefault="00292944" w:rsidP="000858E6">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ED79B6" w:rsidRDefault="00292944" w:rsidP="000858E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Default="00292944">
    <w:pPr>
      <w:rPr>
        <w:sz w:val="20"/>
      </w:rPr>
    </w:pPr>
    <w:r>
      <w:rPr>
        <w:b/>
        <w:sz w:val="20"/>
      </w:rPr>
      <w:fldChar w:fldCharType="begin"/>
    </w:r>
    <w:r>
      <w:rPr>
        <w:b/>
        <w:sz w:val="20"/>
      </w:rPr>
      <w:instrText xml:space="preserve"> STYLEREF CharChapNo </w:instrText>
    </w:r>
    <w:r w:rsidR="00DE3E82">
      <w:rPr>
        <w:b/>
        <w:sz w:val="20"/>
      </w:rPr>
      <w:fldChar w:fldCharType="separate"/>
    </w:r>
    <w:r w:rsidR="0054047A">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sidR="00DE3E82">
      <w:rPr>
        <w:sz w:val="20"/>
      </w:rPr>
      <w:fldChar w:fldCharType="separate"/>
    </w:r>
    <w:r w:rsidR="0054047A">
      <w:rPr>
        <w:noProof/>
        <w:sz w:val="20"/>
      </w:rPr>
      <w:t>Prescribed amounts</w:t>
    </w:r>
    <w:r>
      <w:rPr>
        <w:sz w:val="20"/>
      </w:rPr>
      <w:fldChar w:fldCharType="end"/>
    </w:r>
  </w:p>
  <w:p w:rsidR="00292944" w:rsidRDefault="00292944">
    <w:pPr>
      <w:pBdr>
        <w:bottom w:val="single" w:sz="6" w:space="1" w:color="auto"/>
      </w:pBdr>
      <w:rPr>
        <w:sz w:val="20"/>
      </w:rPr>
    </w:pPr>
  </w:p>
  <w:p w:rsidR="00292944" w:rsidRDefault="00292944">
    <w:pPr>
      <w:pBdr>
        <w:bottom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Pr="008A2C51" w:rsidRDefault="00292944">
    <w:pPr>
      <w:jc w:val="right"/>
      <w:rPr>
        <w:sz w:val="20"/>
      </w:rPr>
    </w:pPr>
    <w:r w:rsidRPr="008A2C51">
      <w:rPr>
        <w:sz w:val="20"/>
      </w:rPr>
      <w:fldChar w:fldCharType="begin"/>
    </w:r>
    <w:r w:rsidRPr="008A2C51">
      <w:rPr>
        <w:sz w:val="20"/>
      </w:rPr>
      <w:instrText xml:space="preserve"> STYLEREF CharChapText </w:instrText>
    </w:r>
    <w:r w:rsidR="00DE3E82">
      <w:rPr>
        <w:sz w:val="20"/>
      </w:rPr>
      <w:fldChar w:fldCharType="separate"/>
    </w:r>
    <w:r w:rsidR="0054047A">
      <w:rPr>
        <w:noProof/>
        <w:sz w:val="20"/>
      </w:rPr>
      <w:t>Prescribed amounts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DE3E82">
      <w:rPr>
        <w:b/>
        <w:sz w:val="20"/>
      </w:rPr>
      <w:fldChar w:fldCharType="separate"/>
    </w:r>
    <w:r w:rsidR="0054047A">
      <w:rPr>
        <w:b/>
        <w:noProof/>
        <w:sz w:val="20"/>
      </w:rPr>
      <w:t>Schedule 4</w:t>
    </w:r>
    <w:r w:rsidRPr="008A2C51">
      <w:rPr>
        <w:b/>
        <w:sz w:val="20"/>
      </w:rPr>
      <w:fldChar w:fldCharType="end"/>
    </w:r>
  </w:p>
  <w:p w:rsidR="00292944" w:rsidRPr="008A2C51" w:rsidRDefault="00292944">
    <w:pPr>
      <w:pBdr>
        <w:bottom w:val="single" w:sz="6" w:space="1" w:color="auto"/>
      </w:pBdr>
      <w:jc w:val="right"/>
      <w:rPr>
        <w:b/>
        <w:sz w:val="20"/>
      </w:rPr>
    </w:pPr>
  </w:p>
  <w:p w:rsidR="00292944" w:rsidRPr="008A2C51" w:rsidRDefault="00292944">
    <w:pPr>
      <w:pBdr>
        <w:bottom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44" w:rsidRDefault="002929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35215B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934D97"/>
    <w:multiLevelType w:val="multilevel"/>
    <w:tmpl w:val="7E5AD4A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1D155D9"/>
    <w:multiLevelType w:val="hybridMultilevel"/>
    <w:tmpl w:val="67721468"/>
    <w:lvl w:ilvl="0" w:tplc="E8022940">
      <w:start w:val="1"/>
      <w:numFmt w:val="bullet"/>
      <w:lvlText w:val=""/>
      <w:lvlJc w:val="left"/>
      <w:pPr>
        <w:tabs>
          <w:tab w:val="num" w:pos="284"/>
        </w:tabs>
        <w:ind w:left="1247" w:hanging="283"/>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90B1C"/>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6E87D40"/>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6"/>
  </w:num>
  <w:num w:numId="3">
    <w:abstractNumId w:val="21"/>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24"/>
  </w:num>
  <w:num w:numId="17">
    <w:abstractNumId w:val="14"/>
  </w:num>
  <w:num w:numId="18">
    <w:abstractNumId w:val="17"/>
  </w:num>
  <w:num w:numId="19">
    <w:abstractNumId w:val="20"/>
  </w:num>
  <w:num w:numId="20">
    <w:abstractNumId w:val="25"/>
  </w:num>
  <w:num w:numId="21">
    <w:abstractNumId w:val="22"/>
  </w:num>
  <w:num w:numId="22">
    <w:abstractNumId w:val="13"/>
  </w:num>
  <w:num w:numId="23">
    <w:abstractNumId w:val="10"/>
  </w:num>
  <w:num w:numId="24">
    <w:abstractNumId w:val="23"/>
  </w:num>
  <w:num w:numId="25">
    <w:abstractNumId w:val="15"/>
  </w:num>
  <w:num w:numId="26">
    <w:abstractNumId w:val="11"/>
  </w:num>
  <w:num w:numId="2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068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2203"/>
    <w:rsid w:val="00002328"/>
    <w:rsid w:val="00003F43"/>
    <w:rsid w:val="0000439F"/>
    <w:rsid w:val="000047FD"/>
    <w:rsid w:val="0000499F"/>
    <w:rsid w:val="00004B7F"/>
    <w:rsid w:val="00004E4C"/>
    <w:rsid w:val="00004FE4"/>
    <w:rsid w:val="00005355"/>
    <w:rsid w:val="00005463"/>
    <w:rsid w:val="000056EE"/>
    <w:rsid w:val="00005F5B"/>
    <w:rsid w:val="00006F3C"/>
    <w:rsid w:val="00007D0C"/>
    <w:rsid w:val="00010203"/>
    <w:rsid w:val="00010AE1"/>
    <w:rsid w:val="00010C9B"/>
    <w:rsid w:val="00011E7A"/>
    <w:rsid w:val="00012087"/>
    <w:rsid w:val="00012A4E"/>
    <w:rsid w:val="00012FC1"/>
    <w:rsid w:val="00014BA0"/>
    <w:rsid w:val="00016C24"/>
    <w:rsid w:val="00017270"/>
    <w:rsid w:val="0001739E"/>
    <w:rsid w:val="0002127D"/>
    <w:rsid w:val="00023FD2"/>
    <w:rsid w:val="00024D1F"/>
    <w:rsid w:val="00024D3A"/>
    <w:rsid w:val="00030D0B"/>
    <w:rsid w:val="0003177E"/>
    <w:rsid w:val="00031B7F"/>
    <w:rsid w:val="00032444"/>
    <w:rsid w:val="000335B7"/>
    <w:rsid w:val="0003429B"/>
    <w:rsid w:val="0003434D"/>
    <w:rsid w:val="0003486A"/>
    <w:rsid w:val="0003498B"/>
    <w:rsid w:val="00036D30"/>
    <w:rsid w:val="00037BD4"/>
    <w:rsid w:val="000406AC"/>
    <w:rsid w:val="00040F13"/>
    <w:rsid w:val="00042A1F"/>
    <w:rsid w:val="0004591F"/>
    <w:rsid w:val="00045E89"/>
    <w:rsid w:val="0004785F"/>
    <w:rsid w:val="000509CD"/>
    <w:rsid w:val="00050A77"/>
    <w:rsid w:val="00051C68"/>
    <w:rsid w:val="00054384"/>
    <w:rsid w:val="00055737"/>
    <w:rsid w:val="00055931"/>
    <w:rsid w:val="00055E25"/>
    <w:rsid w:val="00055EFD"/>
    <w:rsid w:val="000577C6"/>
    <w:rsid w:val="00057F43"/>
    <w:rsid w:val="00060482"/>
    <w:rsid w:val="00061DF0"/>
    <w:rsid w:val="000627F0"/>
    <w:rsid w:val="00065887"/>
    <w:rsid w:val="00065A0E"/>
    <w:rsid w:val="00070583"/>
    <w:rsid w:val="000705D9"/>
    <w:rsid w:val="000712F4"/>
    <w:rsid w:val="000717F3"/>
    <w:rsid w:val="00071EC5"/>
    <w:rsid w:val="00072910"/>
    <w:rsid w:val="000753EE"/>
    <w:rsid w:val="00075B39"/>
    <w:rsid w:val="00075B3D"/>
    <w:rsid w:val="00076C3C"/>
    <w:rsid w:val="00077176"/>
    <w:rsid w:val="00077881"/>
    <w:rsid w:val="00080FD5"/>
    <w:rsid w:val="00083EFC"/>
    <w:rsid w:val="00084B73"/>
    <w:rsid w:val="000858B3"/>
    <w:rsid w:val="000858E6"/>
    <w:rsid w:val="000864A8"/>
    <w:rsid w:val="000866DA"/>
    <w:rsid w:val="000907A6"/>
    <w:rsid w:val="0009201B"/>
    <w:rsid w:val="00092802"/>
    <w:rsid w:val="00093161"/>
    <w:rsid w:val="00095414"/>
    <w:rsid w:val="00095B6C"/>
    <w:rsid w:val="000A09B1"/>
    <w:rsid w:val="000A17A0"/>
    <w:rsid w:val="000A48EE"/>
    <w:rsid w:val="000A7D00"/>
    <w:rsid w:val="000B0A20"/>
    <w:rsid w:val="000B0D94"/>
    <w:rsid w:val="000B1D27"/>
    <w:rsid w:val="000B26C3"/>
    <w:rsid w:val="000B4E2A"/>
    <w:rsid w:val="000B52F3"/>
    <w:rsid w:val="000B5B0D"/>
    <w:rsid w:val="000B6E4F"/>
    <w:rsid w:val="000B7272"/>
    <w:rsid w:val="000C29A9"/>
    <w:rsid w:val="000C2CBA"/>
    <w:rsid w:val="000C4237"/>
    <w:rsid w:val="000C4AB2"/>
    <w:rsid w:val="000C50F7"/>
    <w:rsid w:val="000C5546"/>
    <w:rsid w:val="000C56FE"/>
    <w:rsid w:val="000C58CD"/>
    <w:rsid w:val="000D0B82"/>
    <w:rsid w:val="000D112D"/>
    <w:rsid w:val="000D163B"/>
    <w:rsid w:val="000D27BD"/>
    <w:rsid w:val="000D32D5"/>
    <w:rsid w:val="000D33EE"/>
    <w:rsid w:val="000D363E"/>
    <w:rsid w:val="000D3A49"/>
    <w:rsid w:val="000D3DF2"/>
    <w:rsid w:val="000D6AAF"/>
    <w:rsid w:val="000D7E12"/>
    <w:rsid w:val="000E081D"/>
    <w:rsid w:val="000E087A"/>
    <w:rsid w:val="000E7D66"/>
    <w:rsid w:val="000F0F41"/>
    <w:rsid w:val="000F122F"/>
    <w:rsid w:val="000F140F"/>
    <w:rsid w:val="000F29FD"/>
    <w:rsid w:val="000F2B88"/>
    <w:rsid w:val="000F3657"/>
    <w:rsid w:val="000F3DA6"/>
    <w:rsid w:val="000F4093"/>
    <w:rsid w:val="000F5769"/>
    <w:rsid w:val="000F5ABE"/>
    <w:rsid w:val="000F5E26"/>
    <w:rsid w:val="000F71C3"/>
    <w:rsid w:val="001011D9"/>
    <w:rsid w:val="00102067"/>
    <w:rsid w:val="00102C20"/>
    <w:rsid w:val="00103ACF"/>
    <w:rsid w:val="00104E0F"/>
    <w:rsid w:val="00104F5C"/>
    <w:rsid w:val="001051A9"/>
    <w:rsid w:val="00105963"/>
    <w:rsid w:val="00105D3A"/>
    <w:rsid w:val="00105F91"/>
    <w:rsid w:val="001062D1"/>
    <w:rsid w:val="00110B45"/>
    <w:rsid w:val="00111E48"/>
    <w:rsid w:val="00112531"/>
    <w:rsid w:val="0011352A"/>
    <w:rsid w:val="00114286"/>
    <w:rsid w:val="001142C7"/>
    <w:rsid w:val="00116D14"/>
    <w:rsid w:val="001174E5"/>
    <w:rsid w:val="001179D8"/>
    <w:rsid w:val="0012191C"/>
    <w:rsid w:val="00121E5A"/>
    <w:rsid w:val="00122CA1"/>
    <w:rsid w:val="00122F00"/>
    <w:rsid w:val="0012512D"/>
    <w:rsid w:val="0012578F"/>
    <w:rsid w:val="0012693C"/>
    <w:rsid w:val="00126C33"/>
    <w:rsid w:val="00126D00"/>
    <w:rsid w:val="001270FF"/>
    <w:rsid w:val="0012748B"/>
    <w:rsid w:val="0013082A"/>
    <w:rsid w:val="00132895"/>
    <w:rsid w:val="00133419"/>
    <w:rsid w:val="00135555"/>
    <w:rsid w:val="001363F5"/>
    <w:rsid w:val="00136AC3"/>
    <w:rsid w:val="00144C8F"/>
    <w:rsid w:val="00145C33"/>
    <w:rsid w:val="0014660D"/>
    <w:rsid w:val="001501C0"/>
    <w:rsid w:val="0015049B"/>
    <w:rsid w:val="00150D34"/>
    <w:rsid w:val="00151DDC"/>
    <w:rsid w:val="00152086"/>
    <w:rsid w:val="00152824"/>
    <w:rsid w:val="001532EA"/>
    <w:rsid w:val="00153593"/>
    <w:rsid w:val="001544DD"/>
    <w:rsid w:val="00154F32"/>
    <w:rsid w:val="00157766"/>
    <w:rsid w:val="00160593"/>
    <w:rsid w:val="00160E68"/>
    <w:rsid w:val="001612F1"/>
    <w:rsid w:val="00161905"/>
    <w:rsid w:val="00161A06"/>
    <w:rsid w:val="00161D48"/>
    <w:rsid w:val="00161FA1"/>
    <w:rsid w:val="001622C5"/>
    <w:rsid w:val="001638BA"/>
    <w:rsid w:val="00166A76"/>
    <w:rsid w:val="00166BCE"/>
    <w:rsid w:val="0017044C"/>
    <w:rsid w:val="00170A9D"/>
    <w:rsid w:val="001712B0"/>
    <w:rsid w:val="001720BD"/>
    <w:rsid w:val="00175C4E"/>
    <w:rsid w:val="00176E76"/>
    <w:rsid w:val="0017797E"/>
    <w:rsid w:val="00177FC2"/>
    <w:rsid w:val="00180CD3"/>
    <w:rsid w:val="0018132D"/>
    <w:rsid w:val="00181B22"/>
    <w:rsid w:val="001826BD"/>
    <w:rsid w:val="0018433E"/>
    <w:rsid w:val="0018531C"/>
    <w:rsid w:val="00185D15"/>
    <w:rsid w:val="001871F5"/>
    <w:rsid w:val="00187A11"/>
    <w:rsid w:val="00191AF7"/>
    <w:rsid w:val="00191B57"/>
    <w:rsid w:val="00192773"/>
    <w:rsid w:val="0019284D"/>
    <w:rsid w:val="00193454"/>
    <w:rsid w:val="00194ABA"/>
    <w:rsid w:val="00195953"/>
    <w:rsid w:val="00196E73"/>
    <w:rsid w:val="00197FE8"/>
    <w:rsid w:val="001A180A"/>
    <w:rsid w:val="001A2474"/>
    <w:rsid w:val="001A25BD"/>
    <w:rsid w:val="001A299D"/>
    <w:rsid w:val="001A41E0"/>
    <w:rsid w:val="001A4EDF"/>
    <w:rsid w:val="001A51A7"/>
    <w:rsid w:val="001A5773"/>
    <w:rsid w:val="001A6143"/>
    <w:rsid w:val="001A6BF1"/>
    <w:rsid w:val="001A78D8"/>
    <w:rsid w:val="001B2CBF"/>
    <w:rsid w:val="001B4152"/>
    <w:rsid w:val="001B54AE"/>
    <w:rsid w:val="001B5997"/>
    <w:rsid w:val="001B5A2C"/>
    <w:rsid w:val="001B680B"/>
    <w:rsid w:val="001B6A39"/>
    <w:rsid w:val="001B7079"/>
    <w:rsid w:val="001B7692"/>
    <w:rsid w:val="001C1DA5"/>
    <w:rsid w:val="001C2D2D"/>
    <w:rsid w:val="001C3CFF"/>
    <w:rsid w:val="001C486F"/>
    <w:rsid w:val="001C5E97"/>
    <w:rsid w:val="001C6C78"/>
    <w:rsid w:val="001C76A9"/>
    <w:rsid w:val="001D1730"/>
    <w:rsid w:val="001D1EE0"/>
    <w:rsid w:val="001D21DD"/>
    <w:rsid w:val="001D253A"/>
    <w:rsid w:val="001D49E7"/>
    <w:rsid w:val="001D4C13"/>
    <w:rsid w:val="001D4DD2"/>
    <w:rsid w:val="001D53F8"/>
    <w:rsid w:val="001D5EE9"/>
    <w:rsid w:val="001D7FE5"/>
    <w:rsid w:val="001E04B7"/>
    <w:rsid w:val="001E0597"/>
    <w:rsid w:val="001E064E"/>
    <w:rsid w:val="001E0659"/>
    <w:rsid w:val="001E1150"/>
    <w:rsid w:val="001E1EDA"/>
    <w:rsid w:val="001E3E2F"/>
    <w:rsid w:val="001E4BBA"/>
    <w:rsid w:val="001E4E13"/>
    <w:rsid w:val="001E4F56"/>
    <w:rsid w:val="001E551F"/>
    <w:rsid w:val="001E55BB"/>
    <w:rsid w:val="001F0821"/>
    <w:rsid w:val="001F126F"/>
    <w:rsid w:val="001F1501"/>
    <w:rsid w:val="001F204C"/>
    <w:rsid w:val="001F2892"/>
    <w:rsid w:val="001F2EE6"/>
    <w:rsid w:val="001F30AD"/>
    <w:rsid w:val="001F3532"/>
    <w:rsid w:val="001F56EE"/>
    <w:rsid w:val="001F5BF2"/>
    <w:rsid w:val="001F6A40"/>
    <w:rsid w:val="001F7501"/>
    <w:rsid w:val="0020209A"/>
    <w:rsid w:val="002027BE"/>
    <w:rsid w:val="00203681"/>
    <w:rsid w:val="00203CE2"/>
    <w:rsid w:val="0020488A"/>
    <w:rsid w:val="00204989"/>
    <w:rsid w:val="0020623E"/>
    <w:rsid w:val="00206E15"/>
    <w:rsid w:val="00207F84"/>
    <w:rsid w:val="0021105D"/>
    <w:rsid w:val="00211753"/>
    <w:rsid w:val="00211BF9"/>
    <w:rsid w:val="002125DA"/>
    <w:rsid w:val="002133BD"/>
    <w:rsid w:val="00214739"/>
    <w:rsid w:val="00216D99"/>
    <w:rsid w:val="0022012B"/>
    <w:rsid w:val="00220774"/>
    <w:rsid w:val="00220EDA"/>
    <w:rsid w:val="002211AA"/>
    <w:rsid w:val="00221306"/>
    <w:rsid w:val="00221683"/>
    <w:rsid w:val="00222DA1"/>
    <w:rsid w:val="00223A7F"/>
    <w:rsid w:val="0022433C"/>
    <w:rsid w:val="002250FB"/>
    <w:rsid w:val="002264C5"/>
    <w:rsid w:val="002303A1"/>
    <w:rsid w:val="00231A22"/>
    <w:rsid w:val="002323B8"/>
    <w:rsid w:val="0023273B"/>
    <w:rsid w:val="00233A6B"/>
    <w:rsid w:val="00234400"/>
    <w:rsid w:val="00234592"/>
    <w:rsid w:val="00235545"/>
    <w:rsid w:val="00236CC1"/>
    <w:rsid w:val="002403C9"/>
    <w:rsid w:val="002406FE"/>
    <w:rsid w:val="0024143B"/>
    <w:rsid w:val="002459F9"/>
    <w:rsid w:val="00247078"/>
    <w:rsid w:val="00252408"/>
    <w:rsid w:val="0025470D"/>
    <w:rsid w:val="00254B2F"/>
    <w:rsid w:val="00254C12"/>
    <w:rsid w:val="0025780F"/>
    <w:rsid w:val="002607D9"/>
    <w:rsid w:val="00260E53"/>
    <w:rsid w:val="00262431"/>
    <w:rsid w:val="002627AC"/>
    <w:rsid w:val="00262E44"/>
    <w:rsid w:val="00263165"/>
    <w:rsid w:val="00263576"/>
    <w:rsid w:val="00263A82"/>
    <w:rsid w:val="00264257"/>
    <w:rsid w:val="0026479A"/>
    <w:rsid w:val="002647F3"/>
    <w:rsid w:val="00265523"/>
    <w:rsid w:val="0026593A"/>
    <w:rsid w:val="0026606C"/>
    <w:rsid w:val="00266C62"/>
    <w:rsid w:val="00266DB8"/>
    <w:rsid w:val="0026798E"/>
    <w:rsid w:val="002705A1"/>
    <w:rsid w:val="00270610"/>
    <w:rsid w:val="00270793"/>
    <w:rsid w:val="00270826"/>
    <w:rsid w:val="002715B4"/>
    <w:rsid w:val="00272543"/>
    <w:rsid w:val="0027363B"/>
    <w:rsid w:val="002739BF"/>
    <w:rsid w:val="002768F6"/>
    <w:rsid w:val="0027791A"/>
    <w:rsid w:val="00281596"/>
    <w:rsid w:val="00282DD6"/>
    <w:rsid w:val="00282DDB"/>
    <w:rsid w:val="00282FA2"/>
    <w:rsid w:val="00283CDE"/>
    <w:rsid w:val="00284073"/>
    <w:rsid w:val="00285334"/>
    <w:rsid w:val="002871D6"/>
    <w:rsid w:val="00287E80"/>
    <w:rsid w:val="002912A6"/>
    <w:rsid w:val="00292944"/>
    <w:rsid w:val="0029363A"/>
    <w:rsid w:val="0029419E"/>
    <w:rsid w:val="002947B2"/>
    <w:rsid w:val="00296435"/>
    <w:rsid w:val="0029646C"/>
    <w:rsid w:val="00296E69"/>
    <w:rsid w:val="002A02EC"/>
    <w:rsid w:val="002A22A4"/>
    <w:rsid w:val="002A2FB5"/>
    <w:rsid w:val="002A3E74"/>
    <w:rsid w:val="002A3F48"/>
    <w:rsid w:val="002A4272"/>
    <w:rsid w:val="002A57A4"/>
    <w:rsid w:val="002A58D9"/>
    <w:rsid w:val="002A5A68"/>
    <w:rsid w:val="002A63B4"/>
    <w:rsid w:val="002A717F"/>
    <w:rsid w:val="002A74DA"/>
    <w:rsid w:val="002B0B6E"/>
    <w:rsid w:val="002B24CF"/>
    <w:rsid w:val="002B32BC"/>
    <w:rsid w:val="002B5EFD"/>
    <w:rsid w:val="002B5F2A"/>
    <w:rsid w:val="002C007A"/>
    <w:rsid w:val="002C0CC8"/>
    <w:rsid w:val="002C0E89"/>
    <w:rsid w:val="002C2E54"/>
    <w:rsid w:val="002C3181"/>
    <w:rsid w:val="002C42F1"/>
    <w:rsid w:val="002C6704"/>
    <w:rsid w:val="002C7155"/>
    <w:rsid w:val="002C72F3"/>
    <w:rsid w:val="002C7812"/>
    <w:rsid w:val="002C79E4"/>
    <w:rsid w:val="002C7F8D"/>
    <w:rsid w:val="002D0948"/>
    <w:rsid w:val="002D2D61"/>
    <w:rsid w:val="002D35D3"/>
    <w:rsid w:val="002D35D9"/>
    <w:rsid w:val="002D3CF6"/>
    <w:rsid w:val="002D40B4"/>
    <w:rsid w:val="002D5219"/>
    <w:rsid w:val="002D54FA"/>
    <w:rsid w:val="002D6040"/>
    <w:rsid w:val="002D66C6"/>
    <w:rsid w:val="002D68D5"/>
    <w:rsid w:val="002E0042"/>
    <w:rsid w:val="002E0FF5"/>
    <w:rsid w:val="002E1C56"/>
    <w:rsid w:val="002E1FBE"/>
    <w:rsid w:val="002E456B"/>
    <w:rsid w:val="002E55C0"/>
    <w:rsid w:val="002E594A"/>
    <w:rsid w:val="002E6232"/>
    <w:rsid w:val="002E6F5A"/>
    <w:rsid w:val="002E7A27"/>
    <w:rsid w:val="002E7C73"/>
    <w:rsid w:val="002E7F04"/>
    <w:rsid w:val="002F0F4C"/>
    <w:rsid w:val="002F149C"/>
    <w:rsid w:val="002F332A"/>
    <w:rsid w:val="002F3F03"/>
    <w:rsid w:val="002F4113"/>
    <w:rsid w:val="002F49D1"/>
    <w:rsid w:val="002F50BB"/>
    <w:rsid w:val="002F6EF5"/>
    <w:rsid w:val="00300DB9"/>
    <w:rsid w:val="00300DC6"/>
    <w:rsid w:val="00300FFC"/>
    <w:rsid w:val="00303703"/>
    <w:rsid w:val="003042EE"/>
    <w:rsid w:val="00305E53"/>
    <w:rsid w:val="0030627F"/>
    <w:rsid w:val="0030632C"/>
    <w:rsid w:val="00306C98"/>
    <w:rsid w:val="00307F70"/>
    <w:rsid w:val="003105F2"/>
    <w:rsid w:val="00310679"/>
    <w:rsid w:val="00316D3E"/>
    <w:rsid w:val="00317B32"/>
    <w:rsid w:val="003204B1"/>
    <w:rsid w:val="00320785"/>
    <w:rsid w:val="00320EF0"/>
    <w:rsid w:val="00323C52"/>
    <w:rsid w:val="003242D2"/>
    <w:rsid w:val="00324A68"/>
    <w:rsid w:val="003261E6"/>
    <w:rsid w:val="003269CD"/>
    <w:rsid w:val="00326DD7"/>
    <w:rsid w:val="00327892"/>
    <w:rsid w:val="00327AAB"/>
    <w:rsid w:val="00330B2D"/>
    <w:rsid w:val="003312D0"/>
    <w:rsid w:val="00332261"/>
    <w:rsid w:val="00332853"/>
    <w:rsid w:val="003328BD"/>
    <w:rsid w:val="003331E1"/>
    <w:rsid w:val="00333783"/>
    <w:rsid w:val="00333B75"/>
    <w:rsid w:val="00333D1A"/>
    <w:rsid w:val="0033494E"/>
    <w:rsid w:val="003356C8"/>
    <w:rsid w:val="00336768"/>
    <w:rsid w:val="00337DE4"/>
    <w:rsid w:val="0034020A"/>
    <w:rsid w:val="003433E4"/>
    <w:rsid w:val="00344CC4"/>
    <w:rsid w:val="00344E7A"/>
    <w:rsid w:val="003459F0"/>
    <w:rsid w:val="00345BBB"/>
    <w:rsid w:val="00345F4F"/>
    <w:rsid w:val="003466F5"/>
    <w:rsid w:val="00346DC2"/>
    <w:rsid w:val="00347010"/>
    <w:rsid w:val="00347380"/>
    <w:rsid w:val="00347ABE"/>
    <w:rsid w:val="00347EDA"/>
    <w:rsid w:val="00351600"/>
    <w:rsid w:val="003528A0"/>
    <w:rsid w:val="00354DBA"/>
    <w:rsid w:val="00355406"/>
    <w:rsid w:val="003562ED"/>
    <w:rsid w:val="003567D5"/>
    <w:rsid w:val="003570F6"/>
    <w:rsid w:val="0035717B"/>
    <w:rsid w:val="00357434"/>
    <w:rsid w:val="00357FFB"/>
    <w:rsid w:val="0036153C"/>
    <w:rsid w:val="00362A66"/>
    <w:rsid w:val="003638DE"/>
    <w:rsid w:val="00363D4B"/>
    <w:rsid w:val="00365485"/>
    <w:rsid w:val="00366209"/>
    <w:rsid w:val="00366584"/>
    <w:rsid w:val="00367A98"/>
    <w:rsid w:val="00370761"/>
    <w:rsid w:val="00371C60"/>
    <w:rsid w:val="00371F8A"/>
    <w:rsid w:val="0037396E"/>
    <w:rsid w:val="00374594"/>
    <w:rsid w:val="00374FE0"/>
    <w:rsid w:val="00377DAC"/>
    <w:rsid w:val="00377DE6"/>
    <w:rsid w:val="003811A2"/>
    <w:rsid w:val="00383E1C"/>
    <w:rsid w:val="00384CBF"/>
    <w:rsid w:val="003854F5"/>
    <w:rsid w:val="00386F8E"/>
    <w:rsid w:val="0039057B"/>
    <w:rsid w:val="003912F0"/>
    <w:rsid w:val="0039239A"/>
    <w:rsid w:val="0039283C"/>
    <w:rsid w:val="00393A96"/>
    <w:rsid w:val="0039666C"/>
    <w:rsid w:val="00396732"/>
    <w:rsid w:val="00396ECA"/>
    <w:rsid w:val="003979CD"/>
    <w:rsid w:val="003A051E"/>
    <w:rsid w:val="003A3291"/>
    <w:rsid w:val="003A3F2A"/>
    <w:rsid w:val="003A464C"/>
    <w:rsid w:val="003A5195"/>
    <w:rsid w:val="003A5EE0"/>
    <w:rsid w:val="003A7FC3"/>
    <w:rsid w:val="003B040F"/>
    <w:rsid w:val="003B09D6"/>
    <w:rsid w:val="003B111C"/>
    <w:rsid w:val="003B19E6"/>
    <w:rsid w:val="003B2570"/>
    <w:rsid w:val="003B43B8"/>
    <w:rsid w:val="003B6B1F"/>
    <w:rsid w:val="003B730A"/>
    <w:rsid w:val="003B7A3D"/>
    <w:rsid w:val="003C0A02"/>
    <w:rsid w:val="003C14CF"/>
    <w:rsid w:val="003C1D3B"/>
    <w:rsid w:val="003C3E11"/>
    <w:rsid w:val="003C4729"/>
    <w:rsid w:val="003C4818"/>
    <w:rsid w:val="003C4ED7"/>
    <w:rsid w:val="003C5BB1"/>
    <w:rsid w:val="003C5E00"/>
    <w:rsid w:val="003C672B"/>
    <w:rsid w:val="003C700C"/>
    <w:rsid w:val="003C777E"/>
    <w:rsid w:val="003C7903"/>
    <w:rsid w:val="003C7990"/>
    <w:rsid w:val="003D007D"/>
    <w:rsid w:val="003D0A08"/>
    <w:rsid w:val="003D10F8"/>
    <w:rsid w:val="003D167A"/>
    <w:rsid w:val="003D20DD"/>
    <w:rsid w:val="003D2459"/>
    <w:rsid w:val="003D29AD"/>
    <w:rsid w:val="003D2AE0"/>
    <w:rsid w:val="003D4B8B"/>
    <w:rsid w:val="003D5151"/>
    <w:rsid w:val="003D70D6"/>
    <w:rsid w:val="003D77A1"/>
    <w:rsid w:val="003E1E72"/>
    <w:rsid w:val="003E34E0"/>
    <w:rsid w:val="003E3EAC"/>
    <w:rsid w:val="003E4ADE"/>
    <w:rsid w:val="003E5C06"/>
    <w:rsid w:val="003E6843"/>
    <w:rsid w:val="003E756F"/>
    <w:rsid w:val="003E767A"/>
    <w:rsid w:val="003F049A"/>
    <w:rsid w:val="003F1A97"/>
    <w:rsid w:val="003F1AF9"/>
    <w:rsid w:val="003F4E15"/>
    <w:rsid w:val="003F7995"/>
    <w:rsid w:val="00400E04"/>
    <w:rsid w:val="004018B5"/>
    <w:rsid w:val="00401E00"/>
    <w:rsid w:val="0040200F"/>
    <w:rsid w:val="00403A4E"/>
    <w:rsid w:val="00406079"/>
    <w:rsid w:val="004064A8"/>
    <w:rsid w:val="00410086"/>
    <w:rsid w:val="00410C1A"/>
    <w:rsid w:val="0041218C"/>
    <w:rsid w:val="00413B57"/>
    <w:rsid w:val="00413BA8"/>
    <w:rsid w:val="0041412D"/>
    <w:rsid w:val="00415CBD"/>
    <w:rsid w:val="00415D63"/>
    <w:rsid w:val="0041651B"/>
    <w:rsid w:val="00417433"/>
    <w:rsid w:val="004207D7"/>
    <w:rsid w:val="0042105D"/>
    <w:rsid w:val="00421202"/>
    <w:rsid w:val="00424431"/>
    <w:rsid w:val="0042507F"/>
    <w:rsid w:val="004250C0"/>
    <w:rsid w:val="00427249"/>
    <w:rsid w:val="004326FB"/>
    <w:rsid w:val="00432C13"/>
    <w:rsid w:val="00432CA7"/>
    <w:rsid w:val="004331C1"/>
    <w:rsid w:val="00433AC7"/>
    <w:rsid w:val="00433C3B"/>
    <w:rsid w:val="00434671"/>
    <w:rsid w:val="00434AFD"/>
    <w:rsid w:val="004351D7"/>
    <w:rsid w:val="0043599C"/>
    <w:rsid w:val="004365EC"/>
    <w:rsid w:val="00436B74"/>
    <w:rsid w:val="00436EEC"/>
    <w:rsid w:val="00441257"/>
    <w:rsid w:val="004412F1"/>
    <w:rsid w:val="00441529"/>
    <w:rsid w:val="00442444"/>
    <w:rsid w:val="0044474C"/>
    <w:rsid w:val="0044652B"/>
    <w:rsid w:val="004471EA"/>
    <w:rsid w:val="0044735B"/>
    <w:rsid w:val="0045009F"/>
    <w:rsid w:val="0045046B"/>
    <w:rsid w:val="00450B28"/>
    <w:rsid w:val="00451061"/>
    <w:rsid w:val="004513B9"/>
    <w:rsid w:val="00451D8F"/>
    <w:rsid w:val="00452100"/>
    <w:rsid w:val="00452E1E"/>
    <w:rsid w:val="00452E84"/>
    <w:rsid w:val="00452F6B"/>
    <w:rsid w:val="00453A70"/>
    <w:rsid w:val="00454D0B"/>
    <w:rsid w:val="00456FD3"/>
    <w:rsid w:val="00457990"/>
    <w:rsid w:val="00457AC5"/>
    <w:rsid w:val="0046029D"/>
    <w:rsid w:val="0046072F"/>
    <w:rsid w:val="00461649"/>
    <w:rsid w:val="004626DC"/>
    <w:rsid w:val="004648F0"/>
    <w:rsid w:val="004663D9"/>
    <w:rsid w:val="004665D8"/>
    <w:rsid w:val="00471144"/>
    <w:rsid w:val="004712B4"/>
    <w:rsid w:val="00471D4D"/>
    <w:rsid w:val="004721D2"/>
    <w:rsid w:val="0047221D"/>
    <w:rsid w:val="004732EE"/>
    <w:rsid w:val="00474FC5"/>
    <w:rsid w:val="00475854"/>
    <w:rsid w:val="004769DB"/>
    <w:rsid w:val="00480344"/>
    <w:rsid w:val="00480561"/>
    <w:rsid w:val="00481F8A"/>
    <w:rsid w:val="00482B0A"/>
    <w:rsid w:val="00483D74"/>
    <w:rsid w:val="0048795D"/>
    <w:rsid w:val="00490956"/>
    <w:rsid w:val="00490F58"/>
    <w:rsid w:val="004925FA"/>
    <w:rsid w:val="00492787"/>
    <w:rsid w:val="00492AF6"/>
    <w:rsid w:val="00493A74"/>
    <w:rsid w:val="004943F7"/>
    <w:rsid w:val="0049476B"/>
    <w:rsid w:val="00495B24"/>
    <w:rsid w:val="00496FCE"/>
    <w:rsid w:val="00497C0E"/>
    <w:rsid w:val="00497EC9"/>
    <w:rsid w:val="004A08BE"/>
    <w:rsid w:val="004A1073"/>
    <w:rsid w:val="004A16D4"/>
    <w:rsid w:val="004A217F"/>
    <w:rsid w:val="004A2292"/>
    <w:rsid w:val="004A28C7"/>
    <w:rsid w:val="004A4D51"/>
    <w:rsid w:val="004A4FFB"/>
    <w:rsid w:val="004A59C1"/>
    <w:rsid w:val="004A6496"/>
    <w:rsid w:val="004A64DF"/>
    <w:rsid w:val="004A6E37"/>
    <w:rsid w:val="004B1E60"/>
    <w:rsid w:val="004B1F1F"/>
    <w:rsid w:val="004B3107"/>
    <w:rsid w:val="004B3F60"/>
    <w:rsid w:val="004B487F"/>
    <w:rsid w:val="004B65B9"/>
    <w:rsid w:val="004B6C9F"/>
    <w:rsid w:val="004B6E7C"/>
    <w:rsid w:val="004B717C"/>
    <w:rsid w:val="004B7422"/>
    <w:rsid w:val="004B774F"/>
    <w:rsid w:val="004C2BDD"/>
    <w:rsid w:val="004C3685"/>
    <w:rsid w:val="004C3EE5"/>
    <w:rsid w:val="004C4116"/>
    <w:rsid w:val="004C682D"/>
    <w:rsid w:val="004C75E8"/>
    <w:rsid w:val="004D11E0"/>
    <w:rsid w:val="004D2360"/>
    <w:rsid w:val="004D25B2"/>
    <w:rsid w:val="004D2CCB"/>
    <w:rsid w:val="004D3C5B"/>
    <w:rsid w:val="004D5C50"/>
    <w:rsid w:val="004D5EA1"/>
    <w:rsid w:val="004D72A4"/>
    <w:rsid w:val="004E01BE"/>
    <w:rsid w:val="004E033B"/>
    <w:rsid w:val="004E135D"/>
    <w:rsid w:val="004E231D"/>
    <w:rsid w:val="004E2744"/>
    <w:rsid w:val="004E3375"/>
    <w:rsid w:val="004E434B"/>
    <w:rsid w:val="004E5380"/>
    <w:rsid w:val="004E6672"/>
    <w:rsid w:val="004E6F59"/>
    <w:rsid w:val="004F0A32"/>
    <w:rsid w:val="004F1512"/>
    <w:rsid w:val="004F33CB"/>
    <w:rsid w:val="004F51E6"/>
    <w:rsid w:val="004F552A"/>
    <w:rsid w:val="004F586F"/>
    <w:rsid w:val="004F6F63"/>
    <w:rsid w:val="004F74F8"/>
    <w:rsid w:val="00500142"/>
    <w:rsid w:val="005013BC"/>
    <w:rsid w:val="0050161B"/>
    <w:rsid w:val="0050171C"/>
    <w:rsid w:val="005017B3"/>
    <w:rsid w:val="005017E2"/>
    <w:rsid w:val="00501BBD"/>
    <w:rsid w:val="0050304B"/>
    <w:rsid w:val="0050404D"/>
    <w:rsid w:val="00504EC9"/>
    <w:rsid w:val="00506142"/>
    <w:rsid w:val="0050695B"/>
    <w:rsid w:val="0051105F"/>
    <w:rsid w:val="005117F0"/>
    <w:rsid w:val="0051295D"/>
    <w:rsid w:val="005133DE"/>
    <w:rsid w:val="00513DA2"/>
    <w:rsid w:val="0051543A"/>
    <w:rsid w:val="00521736"/>
    <w:rsid w:val="00522548"/>
    <w:rsid w:val="0052287B"/>
    <w:rsid w:val="00523213"/>
    <w:rsid w:val="00524587"/>
    <w:rsid w:val="00524BE1"/>
    <w:rsid w:val="00524DB5"/>
    <w:rsid w:val="00525E05"/>
    <w:rsid w:val="0052661F"/>
    <w:rsid w:val="00526E3F"/>
    <w:rsid w:val="00527CD5"/>
    <w:rsid w:val="00530753"/>
    <w:rsid w:val="00530827"/>
    <w:rsid w:val="00530E5D"/>
    <w:rsid w:val="0053247F"/>
    <w:rsid w:val="0053379E"/>
    <w:rsid w:val="00534E3A"/>
    <w:rsid w:val="00535BFA"/>
    <w:rsid w:val="00535E55"/>
    <w:rsid w:val="005378CE"/>
    <w:rsid w:val="00537A86"/>
    <w:rsid w:val="0054047A"/>
    <w:rsid w:val="005404A4"/>
    <w:rsid w:val="0054091E"/>
    <w:rsid w:val="00540D7E"/>
    <w:rsid w:val="00540E25"/>
    <w:rsid w:val="005413C1"/>
    <w:rsid w:val="00541C84"/>
    <w:rsid w:val="0054260B"/>
    <w:rsid w:val="00542780"/>
    <w:rsid w:val="005428AE"/>
    <w:rsid w:val="005441BF"/>
    <w:rsid w:val="00544CB0"/>
    <w:rsid w:val="00547324"/>
    <w:rsid w:val="005473FF"/>
    <w:rsid w:val="005500EE"/>
    <w:rsid w:val="005525D2"/>
    <w:rsid w:val="00553BBD"/>
    <w:rsid w:val="00553CCE"/>
    <w:rsid w:val="005548F9"/>
    <w:rsid w:val="005564F4"/>
    <w:rsid w:val="005570F2"/>
    <w:rsid w:val="0056111F"/>
    <w:rsid w:val="005612A3"/>
    <w:rsid w:val="00561460"/>
    <w:rsid w:val="005620F8"/>
    <w:rsid w:val="00562622"/>
    <w:rsid w:val="00563891"/>
    <w:rsid w:val="00564001"/>
    <w:rsid w:val="005645DD"/>
    <w:rsid w:val="00565229"/>
    <w:rsid w:val="005652C3"/>
    <w:rsid w:val="00565AC8"/>
    <w:rsid w:val="00565E6F"/>
    <w:rsid w:val="005702F9"/>
    <w:rsid w:val="0057152E"/>
    <w:rsid w:val="0057269A"/>
    <w:rsid w:val="00572D20"/>
    <w:rsid w:val="00574642"/>
    <w:rsid w:val="00574792"/>
    <w:rsid w:val="00575CA1"/>
    <w:rsid w:val="005763FD"/>
    <w:rsid w:val="00577475"/>
    <w:rsid w:val="005811A3"/>
    <w:rsid w:val="00581493"/>
    <w:rsid w:val="005838CC"/>
    <w:rsid w:val="00583931"/>
    <w:rsid w:val="00583C00"/>
    <w:rsid w:val="00584623"/>
    <w:rsid w:val="00584A71"/>
    <w:rsid w:val="005867F2"/>
    <w:rsid w:val="005875A1"/>
    <w:rsid w:val="00587803"/>
    <w:rsid w:val="00590019"/>
    <w:rsid w:val="0059029B"/>
    <w:rsid w:val="00590B66"/>
    <w:rsid w:val="00590CBA"/>
    <w:rsid w:val="005927CE"/>
    <w:rsid w:val="00593C59"/>
    <w:rsid w:val="00593ED0"/>
    <w:rsid w:val="00594304"/>
    <w:rsid w:val="00594F6A"/>
    <w:rsid w:val="005959AC"/>
    <w:rsid w:val="005962C0"/>
    <w:rsid w:val="00597BBF"/>
    <w:rsid w:val="005A03FD"/>
    <w:rsid w:val="005A04A5"/>
    <w:rsid w:val="005A0F53"/>
    <w:rsid w:val="005A191D"/>
    <w:rsid w:val="005A2035"/>
    <w:rsid w:val="005A2115"/>
    <w:rsid w:val="005A2A56"/>
    <w:rsid w:val="005A2BCA"/>
    <w:rsid w:val="005A44F5"/>
    <w:rsid w:val="005A4AA2"/>
    <w:rsid w:val="005A501D"/>
    <w:rsid w:val="005A52EA"/>
    <w:rsid w:val="005A545C"/>
    <w:rsid w:val="005A58BB"/>
    <w:rsid w:val="005A6477"/>
    <w:rsid w:val="005A6D7C"/>
    <w:rsid w:val="005A702F"/>
    <w:rsid w:val="005A7F57"/>
    <w:rsid w:val="005B2AC2"/>
    <w:rsid w:val="005B2BDF"/>
    <w:rsid w:val="005B3DAC"/>
    <w:rsid w:val="005B6849"/>
    <w:rsid w:val="005B76BB"/>
    <w:rsid w:val="005C1431"/>
    <w:rsid w:val="005C15B2"/>
    <w:rsid w:val="005C1AE4"/>
    <w:rsid w:val="005C20BB"/>
    <w:rsid w:val="005C21F7"/>
    <w:rsid w:val="005C2A3C"/>
    <w:rsid w:val="005C3387"/>
    <w:rsid w:val="005C4214"/>
    <w:rsid w:val="005C51A5"/>
    <w:rsid w:val="005C538B"/>
    <w:rsid w:val="005C6A83"/>
    <w:rsid w:val="005C6CDC"/>
    <w:rsid w:val="005C7760"/>
    <w:rsid w:val="005C7BB8"/>
    <w:rsid w:val="005C7F32"/>
    <w:rsid w:val="005D20EE"/>
    <w:rsid w:val="005D3AE0"/>
    <w:rsid w:val="005D3B00"/>
    <w:rsid w:val="005D40F1"/>
    <w:rsid w:val="005D491C"/>
    <w:rsid w:val="005D5651"/>
    <w:rsid w:val="005D6967"/>
    <w:rsid w:val="005D6BF2"/>
    <w:rsid w:val="005D6F22"/>
    <w:rsid w:val="005E065F"/>
    <w:rsid w:val="005E1556"/>
    <w:rsid w:val="005E3F5E"/>
    <w:rsid w:val="005E42DE"/>
    <w:rsid w:val="005E44AC"/>
    <w:rsid w:val="005E4A95"/>
    <w:rsid w:val="005E5309"/>
    <w:rsid w:val="005E53DB"/>
    <w:rsid w:val="005E6D7C"/>
    <w:rsid w:val="005E7BC6"/>
    <w:rsid w:val="005F05B3"/>
    <w:rsid w:val="005F1914"/>
    <w:rsid w:val="005F1E07"/>
    <w:rsid w:val="005F2574"/>
    <w:rsid w:val="005F2B39"/>
    <w:rsid w:val="005F3433"/>
    <w:rsid w:val="005F38C6"/>
    <w:rsid w:val="005F5365"/>
    <w:rsid w:val="005F5CD7"/>
    <w:rsid w:val="00600A2B"/>
    <w:rsid w:val="006014AD"/>
    <w:rsid w:val="006014BA"/>
    <w:rsid w:val="0060432E"/>
    <w:rsid w:val="00604871"/>
    <w:rsid w:val="0060499E"/>
    <w:rsid w:val="00604A10"/>
    <w:rsid w:val="0060503D"/>
    <w:rsid w:val="00605FCF"/>
    <w:rsid w:val="00610AD7"/>
    <w:rsid w:val="00610C99"/>
    <w:rsid w:val="00610CB1"/>
    <w:rsid w:val="00612B13"/>
    <w:rsid w:val="00612B4F"/>
    <w:rsid w:val="006133D2"/>
    <w:rsid w:val="00614A97"/>
    <w:rsid w:val="00614B64"/>
    <w:rsid w:val="00615902"/>
    <w:rsid w:val="00616BB5"/>
    <w:rsid w:val="00617EA8"/>
    <w:rsid w:val="006213D2"/>
    <w:rsid w:val="00622E13"/>
    <w:rsid w:val="00625356"/>
    <w:rsid w:val="00627CCB"/>
    <w:rsid w:val="00630C62"/>
    <w:rsid w:val="00630D57"/>
    <w:rsid w:val="00631B33"/>
    <w:rsid w:val="00631CA8"/>
    <w:rsid w:val="00631D4F"/>
    <w:rsid w:val="00632BDC"/>
    <w:rsid w:val="006333AA"/>
    <w:rsid w:val="006334F8"/>
    <w:rsid w:val="006345AC"/>
    <w:rsid w:val="0063460D"/>
    <w:rsid w:val="006349DB"/>
    <w:rsid w:val="0063571B"/>
    <w:rsid w:val="00635E39"/>
    <w:rsid w:val="00636892"/>
    <w:rsid w:val="00636CC6"/>
    <w:rsid w:val="00640B51"/>
    <w:rsid w:val="006410F2"/>
    <w:rsid w:val="00642A78"/>
    <w:rsid w:val="00642AF3"/>
    <w:rsid w:val="0064376E"/>
    <w:rsid w:val="00644851"/>
    <w:rsid w:val="00644B91"/>
    <w:rsid w:val="00645165"/>
    <w:rsid w:val="006455B3"/>
    <w:rsid w:val="00645A49"/>
    <w:rsid w:val="00647421"/>
    <w:rsid w:val="006503AC"/>
    <w:rsid w:val="00651C69"/>
    <w:rsid w:val="00652069"/>
    <w:rsid w:val="006526AB"/>
    <w:rsid w:val="006528A0"/>
    <w:rsid w:val="00653F43"/>
    <w:rsid w:val="006548E6"/>
    <w:rsid w:val="00654D00"/>
    <w:rsid w:val="00654F13"/>
    <w:rsid w:val="006556E5"/>
    <w:rsid w:val="00655B11"/>
    <w:rsid w:val="00657047"/>
    <w:rsid w:val="0065794A"/>
    <w:rsid w:val="00662BEB"/>
    <w:rsid w:val="00664E4D"/>
    <w:rsid w:val="006652F0"/>
    <w:rsid w:val="006669AF"/>
    <w:rsid w:val="00666ED5"/>
    <w:rsid w:val="0067008A"/>
    <w:rsid w:val="0067079D"/>
    <w:rsid w:val="00670DD3"/>
    <w:rsid w:val="006710CD"/>
    <w:rsid w:val="006714B5"/>
    <w:rsid w:val="00672003"/>
    <w:rsid w:val="006722A8"/>
    <w:rsid w:val="00672979"/>
    <w:rsid w:val="00673B23"/>
    <w:rsid w:val="00674FCD"/>
    <w:rsid w:val="00675103"/>
    <w:rsid w:val="00675602"/>
    <w:rsid w:val="0067602D"/>
    <w:rsid w:val="00677261"/>
    <w:rsid w:val="00677BE1"/>
    <w:rsid w:val="00680C9B"/>
    <w:rsid w:val="0068136E"/>
    <w:rsid w:val="00685462"/>
    <w:rsid w:val="00685AE7"/>
    <w:rsid w:val="00685D64"/>
    <w:rsid w:val="00686152"/>
    <w:rsid w:val="00686B3B"/>
    <w:rsid w:val="00686BBA"/>
    <w:rsid w:val="00687A73"/>
    <w:rsid w:val="006916E5"/>
    <w:rsid w:val="006937D5"/>
    <w:rsid w:val="0069387B"/>
    <w:rsid w:val="00693AF2"/>
    <w:rsid w:val="00694DDE"/>
    <w:rsid w:val="00694F02"/>
    <w:rsid w:val="00695CE6"/>
    <w:rsid w:val="006966E6"/>
    <w:rsid w:val="00696721"/>
    <w:rsid w:val="006A0B2F"/>
    <w:rsid w:val="006A179B"/>
    <w:rsid w:val="006A1BD7"/>
    <w:rsid w:val="006A221B"/>
    <w:rsid w:val="006A303F"/>
    <w:rsid w:val="006A4BA5"/>
    <w:rsid w:val="006A6877"/>
    <w:rsid w:val="006A7253"/>
    <w:rsid w:val="006B03D6"/>
    <w:rsid w:val="006B107D"/>
    <w:rsid w:val="006B1990"/>
    <w:rsid w:val="006B1CAD"/>
    <w:rsid w:val="006B28EE"/>
    <w:rsid w:val="006B56EE"/>
    <w:rsid w:val="006B5ECE"/>
    <w:rsid w:val="006B63C4"/>
    <w:rsid w:val="006B7A8A"/>
    <w:rsid w:val="006B7BB9"/>
    <w:rsid w:val="006C1FF7"/>
    <w:rsid w:val="006C30E7"/>
    <w:rsid w:val="006C31CA"/>
    <w:rsid w:val="006C345F"/>
    <w:rsid w:val="006C44C2"/>
    <w:rsid w:val="006C4BED"/>
    <w:rsid w:val="006C53D2"/>
    <w:rsid w:val="006C5434"/>
    <w:rsid w:val="006C556F"/>
    <w:rsid w:val="006C5A19"/>
    <w:rsid w:val="006C6772"/>
    <w:rsid w:val="006C777F"/>
    <w:rsid w:val="006C795D"/>
    <w:rsid w:val="006C7CF2"/>
    <w:rsid w:val="006D0603"/>
    <w:rsid w:val="006D0CF8"/>
    <w:rsid w:val="006D1271"/>
    <w:rsid w:val="006D18DE"/>
    <w:rsid w:val="006D453D"/>
    <w:rsid w:val="006D4B99"/>
    <w:rsid w:val="006D50F5"/>
    <w:rsid w:val="006D5CF6"/>
    <w:rsid w:val="006E071A"/>
    <w:rsid w:val="006E2070"/>
    <w:rsid w:val="006E299E"/>
    <w:rsid w:val="006E2FD8"/>
    <w:rsid w:val="006E37C5"/>
    <w:rsid w:val="006E3EFC"/>
    <w:rsid w:val="006E5DC1"/>
    <w:rsid w:val="006E6AF8"/>
    <w:rsid w:val="006E709F"/>
    <w:rsid w:val="006E779C"/>
    <w:rsid w:val="006F00FE"/>
    <w:rsid w:val="006F2504"/>
    <w:rsid w:val="006F2951"/>
    <w:rsid w:val="006F2E0A"/>
    <w:rsid w:val="006F352B"/>
    <w:rsid w:val="006F3639"/>
    <w:rsid w:val="006F45DF"/>
    <w:rsid w:val="006F4850"/>
    <w:rsid w:val="006F4ACA"/>
    <w:rsid w:val="006F5FE9"/>
    <w:rsid w:val="006F6409"/>
    <w:rsid w:val="006F6D19"/>
    <w:rsid w:val="006F6F57"/>
    <w:rsid w:val="007005CD"/>
    <w:rsid w:val="00702D94"/>
    <w:rsid w:val="007037DD"/>
    <w:rsid w:val="00703AD1"/>
    <w:rsid w:val="00704504"/>
    <w:rsid w:val="00705200"/>
    <w:rsid w:val="0070664A"/>
    <w:rsid w:val="0070669D"/>
    <w:rsid w:val="007067C6"/>
    <w:rsid w:val="00710049"/>
    <w:rsid w:val="00710CA8"/>
    <w:rsid w:val="00712301"/>
    <w:rsid w:val="00712816"/>
    <w:rsid w:val="00714BE7"/>
    <w:rsid w:val="0071610E"/>
    <w:rsid w:val="007172BA"/>
    <w:rsid w:val="00717563"/>
    <w:rsid w:val="00717800"/>
    <w:rsid w:val="007208CF"/>
    <w:rsid w:val="007218C8"/>
    <w:rsid w:val="00723AEE"/>
    <w:rsid w:val="00723E92"/>
    <w:rsid w:val="00723EE9"/>
    <w:rsid w:val="007256D8"/>
    <w:rsid w:val="00725AF1"/>
    <w:rsid w:val="00726D7F"/>
    <w:rsid w:val="007271B7"/>
    <w:rsid w:val="00730AB3"/>
    <w:rsid w:val="007313BC"/>
    <w:rsid w:val="007319FB"/>
    <w:rsid w:val="00731BE4"/>
    <w:rsid w:val="00732207"/>
    <w:rsid w:val="00732425"/>
    <w:rsid w:val="00732B58"/>
    <w:rsid w:val="0073309B"/>
    <w:rsid w:val="00733D1E"/>
    <w:rsid w:val="00733ED9"/>
    <w:rsid w:val="00735B24"/>
    <w:rsid w:val="00736E3C"/>
    <w:rsid w:val="00737398"/>
    <w:rsid w:val="007375AB"/>
    <w:rsid w:val="0073761F"/>
    <w:rsid w:val="0073777B"/>
    <w:rsid w:val="0074014C"/>
    <w:rsid w:val="007404DC"/>
    <w:rsid w:val="00740932"/>
    <w:rsid w:val="00741A0C"/>
    <w:rsid w:val="00742BE4"/>
    <w:rsid w:val="00743118"/>
    <w:rsid w:val="00744874"/>
    <w:rsid w:val="0074530F"/>
    <w:rsid w:val="00745C90"/>
    <w:rsid w:val="00746416"/>
    <w:rsid w:val="00746AA9"/>
    <w:rsid w:val="00747B08"/>
    <w:rsid w:val="00750ADF"/>
    <w:rsid w:val="00750EE3"/>
    <w:rsid w:val="00750F54"/>
    <w:rsid w:val="007528E0"/>
    <w:rsid w:val="00754BCB"/>
    <w:rsid w:val="007576E3"/>
    <w:rsid w:val="00757D9D"/>
    <w:rsid w:val="00757DB5"/>
    <w:rsid w:val="00760A5E"/>
    <w:rsid w:val="00761295"/>
    <w:rsid w:val="0076166B"/>
    <w:rsid w:val="00761859"/>
    <w:rsid w:val="00761FE0"/>
    <w:rsid w:val="00762057"/>
    <w:rsid w:val="007624EF"/>
    <w:rsid w:val="007640FB"/>
    <w:rsid w:val="007678F7"/>
    <w:rsid w:val="00770426"/>
    <w:rsid w:val="007723F6"/>
    <w:rsid w:val="00772407"/>
    <w:rsid w:val="00772C01"/>
    <w:rsid w:val="00780AAC"/>
    <w:rsid w:val="00781470"/>
    <w:rsid w:val="00781656"/>
    <w:rsid w:val="007822DC"/>
    <w:rsid w:val="00785C4E"/>
    <w:rsid w:val="00787873"/>
    <w:rsid w:val="00787CE2"/>
    <w:rsid w:val="00787D5F"/>
    <w:rsid w:val="00787E97"/>
    <w:rsid w:val="00790361"/>
    <w:rsid w:val="00791129"/>
    <w:rsid w:val="007916FB"/>
    <w:rsid w:val="00791B5B"/>
    <w:rsid w:val="00792C57"/>
    <w:rsid w:val="00792D08"/>
    <w:rsid w:val="0079367A"/>
    <w:rsid w:val="00793C32"/>
    <w:rsid w:val="007946F0"/>
    <w:rsid w:val="007952D3"/>
    <w:rsid w:val="0079593C"/>
    <w:rsid w:val="0079643C"/>
    <w:rsid w:val="0079710F"/>
    <w:rsid w:val="00797A29"/>
    <w:rsid w:val="00797C09"/>
    <w:rsid w:val="007A0E61"/>
    <w:rsid w:val="007A1349"/>
    <w:rsid w:val="007A18FD"/>
    <w:rsid w:val="007A1CA7"/>
    <w:rsid w:val="007A1E17"/>
    <w:rsid w:val="007A2C53"/>
    <w:rsid w:val="007A3567"/>
    <w:rsid w:val="007A4B84"/>
    <w:rsid w:val="007A71D2"/>
    <w:rsid w:val="007B0BDA"/>
    <w:rsid w:val="007B0E9A"/>
    <w:rsid w:val="007B0EAD"/>
    <w:rsid w:val="007B2986"/>
    <w:rsid w:val="007B35CB"/>
    <w:rsid w:val="007B4BFA"/>
    <w:rsid w:val="007B4C28"/>
    <w:rsid w:val="007B59B9"/>
    <w:rsid w:val="007B5B20"/>
    <w:rsid w:val="007B5E92"/>
    <w:rsid w:val="007B6785"/>
    <w:rsid w:val="007B69F1"/>
    <w:rsid w:val="007B78C9"/>
    <w:rsid w:val="007B78EC"/>
    <w:rsid w:val="007C012A"/>
    <w:rsid w:val="007C0378"/>
    <w:rsid w:val="007C066D"/>
    <w:rsid w:val="007C1652"/>
    <w:rsid w:val="007C1D51"/>
    <w:rsid w:val="007C23A0"/>
    <w:rsid w:val="007C378E"/>
    <w:rsid w:val="007C49D9"/>
    <w:rsid w:val="007C510B"/>
    <w:rsid w:val="007C55FA"/>
    <w:rsid w:val="007C7081"/>
    <w:rsid w:val="007C762D"/>
    <w:rsid w:val="007C7D49"/>
    <w:rsid w:val="007D2042"/>
    <w:rsid w:val="007D4900"/>
    <w:rsid w:val="007D5872"/>
    <w:rsid w:val="007D5E30"/>
    <w:rsid w:val="007D6175"/>
    <w:rsid w:val="007E195E"/>
    <w:rsid w:val="007E21C3"/>
    <w:rsid w:val="007E3C9F"/>
    <w:rsid w:val="007E4C4D"/>
    <w:rsid w:val="007E4CA0"/>
    <w:rsid w:val="007E5000"/>
    <w:rsid w:val="007E5A57"/>
    <w:rsid w:val="007E5B77"/>
    <w:rsid w:val="007E7D93"/>
    <w:rsid w:val="007F0F09"/>
    <w:rsid w:val="007F0F79"/>
    <w:rsid w:val="007F3136"/>
    <w:rsid w:val="007F4099"/>
    <w:rsid w:val="007F6B43"/>
    <w:rsid w:val="008007F4"/>
    <w:rsid w:val="00800EE9"/>
    <w:rsid w:val="00802693"/>
    <w:rsid w:val="00802C6E"/>
    <w:rsid w:val="008056C8"/>
    <w:rsid w:val="008064DB"/>
    <w:rsid w:val="008127C6"/>
    <w:rsid w:val="00812CA6"/>
    <w:rsid w:val="008135E3"/>
    <w:rsid w:val="00813EEF"/>
    <w:rsid w:val="008157D8"/>
    <w:rsid w:val="00816194"/>
    <w:rsid w:val="008164ED"/>
    <w:rsid w:val="00817215"/>
    <w:rsid w:val="00817611"/>
    <w:rsid w:val="008176E0"/>
    <w:rsid w:val="008200F1"/>
    <w:rsid w:val="00820847"/>
    <w:rsid w:val="00820E6A"/>
    <w:rsid w:val="00821522"/>
    <w:rsid w:val="00821A93"/>
    <w:rsid w:val="00821CAF"/>
    <w:rsid w:val="00821EED"/>
    <w:rsid w:val="00822B05"/>
    <w:rsid w:val="008235E9"/>
    <w:rsid w:val="008242BF"/>
    <w:rsid w:val="00825168"/>
    <w:rsid w:val="00825411"/>
    <w:rsid w:val="008258B2"/>
    <w:rsid w:val="008267F2"/>
    <w:rsid w:val="00827366"/>
    <w:rsid w:val="008307DC"/>
    <w:rsid w:val="008311DE"/>
    <w:rsid w:val="008323EE"/>
    <w:rsid w:val="008324F2"/>
    <w:rsid w:val="00834026"/>
    <w:rsid w:val="00834B31"/>
    <w:rsid w:val="00835E66"/>
    <w:rsid w:val="0084014F"/>
    <w:rsid w:val="00840644"/>
    <w:rsid w:val="00841107"/>
    <w:rsid w:val="00841367"/>
    <w:rsid w:val="008421EA"/>
    <w:rsid w:val="0084286D"/>
    <w:rsid w:val="00842F88"/>
    <w:rsid w:val="00843134"/>
    <w:rsid w:val="00843B6E"/>
    <w:rsid w:val="008442AE"/>
    <w:rsid w:val="00844448"/>
    <w:rsid w:val="00846FD5"/>
    <w:rsid w:val="00847032"/>
    <w:rsid w:val="00850128"/>
    <w:rsid w:val="008517FC"/>
    <w:rsid w:val="00851BEA"/>
    <w:rsid w:val="00851EE1"/>
    <w:rsid w:val="008529D0"/>
    <w:rsid w:val="0085560E"/>
    <w:rsid w:val="00855B7C"/>
    <w:rsid w:val="008570B4"/>
    <w:rsid w:val="00857358"/>
    <w:rsid w:val="00860108"/>
    <w:rsid w:val="0086024A"/>
    <w:rsid w:val="008607DB"/>
    <w:rsid w:val="008608F1"/>
    <w:rsid w:val="00860E7C"/>
    <w:rsid w:val="00860E8F"/>
    <w:rsid w:val="008621D6"/>
    <w:rsid w:val="00862DE9"/>
    <w:rsid w:val="008632EC"/>
    <w:rsid w:val="00863611"/>
    <w:rsid w:val="008640AA"/>
    <w:rsid w:val="00864EF3"/>
    <w:rsid w:val="0086781C"/>
    <w:rsid w:val="0087003B"/>
    <w:rsid w:val="00871026"/>
    <w:rsid w:val="008714D8"/>
    <w:rsid w:val="00871517"/>
    <w:rsid w:val="00871878"/>
    <w:rsid w:val="00871D4D"/>
    <w:rsid w:val="00872034"/>
    <w:rsid w:val="00872B38"/>
    <w:rsid w:val="00873A55"/>
    <w:rsid w:val="00873E94"/>
    <w:rsid w:val="00874548"/>
    <w:rsid w:val="00875880"/>
    <w:rsid w:val="00876D08"/>
    <w:rsid w:val="008771C4"/>
    <w:rsid w:val="00877461"/>
    <w:rsid w:val="00877DCE"/>
    <w:rsid w:val="0088161E"/>
    <w:rsid w:val="00882150"/>
    <w:rsid w:val="008834A0"/>
    <w:rsid w:val="00883677"/>
    <w:rsid w:val="0088409B"/>
    <w:rsid w:val="00884550"/>
    <w:rsid w:val="008849A8"/>
    <w:rsid w:val="00884A91"/>
    <w:rsid w:val="008861C9"/>
    <w:rsid w:val="00886F84"/>
    <w:rsid w:val="00887518"/>
    <w:rsid w:val="0089029B"/>
    <w:rsid w:val="00890A16"/>
    <w:rsid w:val="00890E49"/>
    <w:rsid w:val="00891735"/>
    <w:rsid w:val="00891FC0"/>
    <w:rsid w:val="00893856"/>
    <w:rsid w:val="00895CA2"/>
    <w:rsid w:val="00896CD4"/>
    <w:rsid w:val="00896D83"/>
    <w:rsid w:val="00897196"/>
    <w:rsid w:val="00897854"/>
    <w:rsid w:val="00897BB9"/>
    <w:rsid w:val="008A0D3A"/>
    <w:rsid w:val="008A0FBD"/>
    <w:rsid w:val="008A16AA"/>
    <w:rsid w:val="008A176F"/>
    <w:rsid w:val="008A17EB"/>
    <w:rsid w:val="008A33D1"/>
    <w:rsid w:val="008A3989"/>
    <w:rsid w:val="008A3D32"/>
    <w:rsid w:val="008A3E41"/>
    <w:rsid w:val="008A4767"/>
    <w:rsid w:val="008A4835"/>
    <w:rsid w:val="008A5870"/>
    <w:rsid w:val="008A5DD5"/>
    <w:rsid w:val="008A63A5"/>
    <w:rsid w:val="008A6631"/>
    <w:rsid w:val="008A7FAD"/>
    <w:rsid w:val="008B3048"/>
    <w:rsid w:val="008B4677"/>
    <w:rsid w:val="008B55F2"/>
    <w:rsid w:val="008B5FF9"/>
    <w:rsid w:val="008B617D"/>
    <w:rsid w:val="008B65FB"/>
    <w:rsid w:val="008B6BF4"/>
    <w:rsid w:val="008B77D7"/>
    <w:rsid w:val="008B7DD7"/>
    <w:rsid w:val="008C02C4"/>
    <w:rsid w:val="008C0E91"/>
    <w:rsid w:val="008C1854"/>
    <w:rsid w:val="008C1D70"/>
    <w:rsid w:val="008C29D7"/>
    <w:rsid w:val="008C38FE"/>
    <w:rsid w:val="008C457C"/>
    <w:rsid w:val="008C53AB"/>
    <w:rsid w:val="008C6FF9"/>
    <w:rsid w:val="008C7A88"/>
    <w:rsid w:val="008D0106"/>
    <w:rsid w:val="008D4EAC"/>
    <w:rsid w:val="008D4F67"/>
    <w:rsid w:val="008D5F38"/>
    <w:rsid w:val="008D64ED"/>
    <w:rsid w:val="008D67FF"/>
    <w:rsid w:val="008D6CC1"/>
    <w:rsid w:val="008E0073"/>
    <w:rsid w:val="008E0082"/>
    <w:rsid w:val="008E02E5"/>
    <w:rsid w:val="008E0A76"/>
    <w:rsid w:val="008E1D82"/>
    <w:rsid w:val="008E20A8"/>
    <w:rsid w:val="008E2322"/>
    <w:rsid w:val="008E29C8"/>
    <w:rsid w:val="008E444B"/>
    <w:rsid w:val="008E4C0D"/>
    <w:rsid w:val="008E547B"/>
    <w:rsid w:val="008E714C"/>
    <w:rsid w:val="008E71C9"/>
    <w:rsid w:val="008E74ED"/>
    <w:rsid w:val="008E7D39"/>
    <w:rsid w:val="008F0407"/>
    <w:rsid w:val="008F0F0F"/>
    <w:rsid w:val="008F14E7"/>
    <w:rsid w:val="008F1C0A"/>
    <w:rsid w:val="008F3B7A"/>
    <w:rsid w:val="008F4A8A"/>
    <w:rsid w:val="008F4C1A"/>
    <w:rsid w:val="008F58C5"/>
    <w:rsid w:val="008F5BFF"/>
    <w:rsid w:val="008F5EC2"/>
    <w:rsid w:val="008F6901"/>
    <w:rsid w:val="008F69ED"/>
    <w:rsid w:val="008F6EFD"/>
    <w:rsid w:val="008F7F09"/>
    <w:rsid w:val="00900C3E"/>
    <w:rsid w:val="00901D54"/>
    <w:rsid w:val="00901DA5"/>
    <w:rsid w:val="00902908"/>
    <w:rsid w:val="00902FB5"/>
    <w:rsid w:val="00904AB9"/>
    <w:rsid w:val="0090512E"/>
    <w:rsid w:val="0090622C"/>
    <w:rsid w:val="009064CC"/>
    <w:rsid w:val="009070F5"/>
    <w:rsid w:val="00911A0B"/>
    <w:rsid w:val="00914CC9"/>
    <w:rsid w:val="00915745"/>
    <w:rsid w:val="00915C51"/>
    <w:rsid w:val="00916A07"/>
    <w:rsid w:val="00916E98"/>
    <w:rsid w:val="0091710B"/>
    <w:rsid w:val="0091775E"/>
    <w:rsid w:val="00917CC4"/>
    <w:rsid w:val="00921000"/>
    <w:rsid w:val="00921326"/>
    <w:rsid w:val="009234BD"/>
    <w:rsid w:val="009244F1"/>
    <w:rsid w:val="009250EA"/>
    <w:rsid w:val="009261A7"/>
    <w:rsid w:val="009267F6"/>
    <w:rsid w:val="00930017"/>
    <w:rsid w:val="009300A9"/>
    <w:rsid w:val="0093033C"/>
    <w:rsid w:val="009303AB"/>
    <w:rsid w:val="009315E7"/>
    <w:rsid w:val="00932373"/>
    <w:rsid w:val="009336A5"/>
    <w:rsid w:val="009356C5"/>
    <w:rsid w:val="00936077"/>
    <w:rsid w:val="009365FD"/>
    <w:rsid w:val="00936E37"/>
    <w:rsid w:val="00936ED2"/>
    <w:rsid w:val="00940A57"/>
    <w:rsid w:val="0094167B"/>
    <w:rsid w:val="0094181A"/>
    <w:rsid w:val="009419E6"/>
    <w:rsid w:val="009425A4"/>
    <w:rsid w:val="009426DC"/>
    <w:rsid w:val="009442EA"/>
    <w:rsid w:val="009443C6"/>
    <w:rsid w:val="00944599"/>
    <w:rsid w:val="00944F69"/>
    <w:rsid w:val="0094672B"/>
    <w:rsid w:val="0095322A"/>
    <w:rsid w:val="00953984"/>
    <w:rsid w:val="00954282"/>
    <w:rsid w:val="009553F5"/>
    <w:rsid w:val="009560C1"/>
    <w:rsid w:val="00956F91"/>
    <w:rsid w:val="00957BDC"/>
    <w:rsid w:val="00962175"/>
    <w:rsid w:val="009625E6"/>
    <w:rsid w:val="0096299F"/>
    <w:rsid w:val="00966587"/>
    <w:rsid w:val="009667C2"/>
    <w:rsid w:val="00966C84"/>
    <w:rsid w:val="009676B9"/>
    <w:rsid w:val="009715C6"/>
    <w:rsid w:val="009720AC"/>
    <w:rsid w:val="00972654"/>
    <w:rsid w:val="00973CA7"/>
    <w:rsid w:val="00974416"/>
    <w:rsid w:val="00977284"/>
    <w:rsid w:val="009774FA"/>
    <w:rsid w:val="00977B25"/>
    <w:rsid w:val="00977DC7"/>
    <w:rsid w:val="00981712"/>
    <w:rsid w:val="009817E9"/>
    <w:rsid w:val="0098212A"/>
    <w:rsid w:val="009826B1"/>
    <w:rsid w:val="009827CF"/>
    <w:rsid w:val="00982FFF"/>
    <w:rsid w:val="009833E9"/>
    <w:rsid w:val="009837AA"/>
    <w:rsid w:val="0098563D"/>
    <w:rsid w:val="00985664"/>
    <w:rsid w:val="009873BE"/>
    <w:rsid w:val="00987DF2"/>
    <w:rsid w:val="0099003F"/>
    <w:rsid w:val="0099037B"/>
    <w:rsid w:val="00992087"/>
    <w:rsid w:val="00992710"/>
    <w:rsid w:val="00994A00"/>
    <w:rsid w:val="00994C3A"/>
    <w:rsid w:val="0099540C"/>
    <w:rsid w:val="009A28FF"/>
    <w:rsid w:val="009A2913"/>
    <w:rsid w:val="009A3EEE"/>
    <w:rsid w:val="009A595E"/>
    <w:rsid w:val="009A5D27"/>
    <w:rsid w:val="009A65C2"/>
    <w:rsid w:val="009A763A"/>
    <w:rsid w:val="009B00C8"/>
    <w:rsid w:val="009B0738"/>
    <w:rsid w:val="009B2AEC"/>
    <w:rsid w:val="009B2F75"/>
    <w:rsid w:val="009B39A3"/>
    <w:rsid w:val="009B467E"/>
    <w:rsid w:val="009B5241"/>
    <w:rsid w:val="009B5E26"/>
    <w:rsid w:val="009B5FFE"/>
    <w:rsid w:val="009C0C7C"/>
    <w:rsid w:val="009C1F95"/>
    <w:rsid w:val="009C3067"/>
    <w:rsid w:val="009C6C36"/>
    <w:rsid w:val="009D071E"/>
    <w:rsid w:val="009D0870"/>
    <w:rsid w:val="009D0C04"/>
    <w:rsid w:val="009D1951"/>
    <w:rsid w:val="009D3AD1"/>
    <w:rsid w:val="009D53B7"/>
    <w:rsid w:val="009D678A"/>
    <w:rsid w:val="009E008A"/>
    <w:rsid w:val="009E0425"/>
    <w:rsid w:val="009E0B14"/>
    <w:rsid w:val="009E1F0D"/>
    <w:rsid w:val="009E2224"/>
    <w:rsid w:val="009E2F30"/>
    <w:rsid w:val="009E3171"/>
    <w:rsid w:val="009E4230"/>
    <w:rsid w:val="009E5D2D"/>
    <w:rsid w:val="009E6382"/>
    <w:rsid w:val="009E6909"/>
    <w:rsid w:val="009E74E8"/>
    <w:rsid w:val="009F0FE1"/>
    <w:rsid w:val="009F1AD7"/>
    <w:rsid w:val="009F23F9"/>
    <w:rsid w:val="009F3211"/>
    <w:rsid w:val="009F5214"/>
    <w:rsid w:val="009F5964"/>
    <w:rsid w:val="009F5BB9"/>
    <w:rsid w:val="009F64CD"/>
    <w:rsid w:val="009F7143"/>
    <w:rsid w:val="009F7EB0"/>
    <w:rsid w:val="00A00AD5"/>
    <w:rsid w:val="00A012D6"/>
    <w:rsid w:val="00A012FC"/>
    <w:rsid w:val="00A01333"/>
    <w:rsid w:val="00A01FB2"/>
    <w:rsid w:val="00A024B7"/>
    <w:rsid w:val="00A03F84"/>
    <w:rsid w:val="00A043D9"/>
    <w:rsid w:val="00A07434"/>
    <w:rsid w:val="00A10839"/>
    <w:rsid w:val="00A11064"/>
    <w:rsid w:val="00A11542"/>
    <w:rsid w:val="00A1281A"/>
    <w:rsid w:val="00A12A82"/>
    <w:rsid w:val="00A13979"/>
    <w:rsid w:val="00A15171"/>
    <w:rsid w:val="00A153FF"/>
    <w:rsid w:val="00A1546C"/>
    <w:rsid w:val="00A16FF6"/>
    <w:rsid w:val="00A173C5"/>
    <w:rsid w:val="00A173FE"/>
    <w:rsid w:val="00A1798C"/>
    <w:rsid w:val="00A17D1D"/>
    <w:rsid w:val="00A20966"/>
    <w:rsid w:val="00A21753"/>
    <w:rsid w:val="00A23135"/>
    <w:rsid w:val="00A233D4"/>
    <w:rsid w:val="00A24023"/>
    <w:rsid w:val="00A24643"/>
    <w:rsid w:val="00A24703"/>
    <w:rsid w:val="00A24CAC"/>
    <w:rsid w:val="00A24F8A"/>
    <w:rsid w:val="00A25488"/>
    <w:rsid w:val="00A25DE9"/>
    <w:rsid w:val="00A26EC4"/>
    <w:rsid w:val="00A27064"/>
    <w:rsid w:val="00A30F79"/>
    <w:rsid w:val="00A3159E"/>
    <w:rsid w:val="00A31BE9"/>
    <w:rsid w:val="00A31C98"/>
    <w:rsid w:val="00A32270"/>
    <w:rsid w:val="00A34CB8"/>
    <w:rsid w:val="00A34E62"/>
    <w:rsid w:val="00A37D65"/>
    <w:rsid w:val="00A40077"/>
    <w:rsid w:val="00A40923"/>
    <w:rsid w:val="00A41CFD"/>
    <w:rsid w:val="00A45208"/>
    <w:rsid w:val="00A50B67"/>
    <w:rsid w:val="00A52BA3"/>
    <w:rsid w:val="00A53AD1"/>
    <w:rsid w:val="00A53E27"/>
    <w:rsid w:val="00A563C5"/>
    <w:rsid w:val="00A570DC"/>
    <w:rsid w:val="00A5794C"/>
    <w:rsid w:val="00A57DDC"/>
    <w:rsid w:val="00A60EDD"/>
    <w:rsid w:val="00A62F94"/>
    <w:rsid w:val="00A6301D"/>
    <w:rsid w:val="00A633A6"/>
    <w:rsid w:val="00A63529"/>
    <w:rsid w:val="00A63773"/>
    <w:rsid w:val="00A64473"/>
    <w:rsid w:val="00A65208"/>
    <w:rsid w:val="00A655B1"/>
    <w:rsid w:val="00A65B34"/>
    <w:rsid w:val="00A65E36"/>
    <w:rsid w:val="00A65E65"/>
    <w:rsid w:val="00A6757C"/>
    <w:rsid w:val="00A67BBC"/>
    <w:rsid w:val="00A7009D"/>
    <w:rsid w:val="00A702BE"/>
    <w:rsid w:val="00A7030B"/>
    <w:rsid w:val="00A70ED6"/>
    <w:rsid w:val="00A71E0C"/>
    <w:rsid w:val="00A7238F"/>
    <w:rsid w:val="00A72821"/>
    <w:rsid w:val="00A7522A"/>
    <w:rsid w:val="00A754E9"/>
    <w:rsid w:val="00A75A8D"/>
    <w:rsid w:val="00A7652F"/>
    <w:rsid w:val="00A770BC"/>
    <w:rsid w:val="00A7716D"/>
    <w:rsid w:val="00A7733D"/>
    <w:rsid w:val="00A801D0"/>
    <w:rsid w:val="00A80D6A"/>
    <w:rsid w:val="00A8136B"/>
    <w:rsid w:val="00A81C9D"/>
    <w:rsid w:val="00A82998"/>
    <w:rsid w:val="00A83D26"/>
    <w:rsid w:val="00A84070"/>
    <w:rsid w:val="00A85B5D"/>
    <w:rsid w:val="00A864D9"/>
    <w:rsid w:val="00A86A0C"/>
    <w:rsid w:val="00A874E3"/>
    <w:rsid w:val="00A91F48"/>
    <w:rsid w:val="00A920AC"/>
    <w:rsid w:val="00A9232E"/>
    <w:rsid w:val="00A92399"/>
    <w:rsid w:val="00A92ABF"/>
    <w:rsid w:val="00A92D59"/>
    <w:rsid w:val="00A939BC"/>
    <w:rsid w:val="00A95E70"/>
    <w:rsid w:val="00A96A0F"/>
    <w:rsid w:val="00AA0F44"/>
    <w:rsid w:val="00AA2055"/>
    <w:rsid w:val="00AA34B0"/>
    <w:rsid w:val="00AA3B20"/>
    <w:rsid w:val="00AA4DF7"/>
    <w:rsid w:val="00AA54F6"/>
    <w:rsid w:val="00AA64FB"/>
    <w:rsid w:val="00AA71AB"/>
    <w:rsid w:val="00AB05FF"/>
    <w:rsid w:val="00AB16EB"/>
    <w:rsid w:val="00AB1797"/>
    <w:rsid w:val="00AB25BF"/>
    <w:rsid w:val="00AB3AB7"/>
    <w:rsid w:val="00AB4143"/>
    <w:rsid w:val="00AB4F16"/>
    <w:rsid w:val="00AB5839"/>
    <w:rsid w:val="00AB5D10"/>
    <w:rsid w:val="00AB77DF"/>
    <w:rsid w:val="00AB7E7F"/>
    <w:rsid w:val="00AC2749"/>
    <w:rsid w:val="00AC358B"/>
    <w:rsid w:val="00AC3C82"/>
    <w:rsid w:val="00AC3DA0"/>
    <w:rsid w:val="00AC3FBB"/>
    <w:rsid w:val="00AC4E91"/>
    <w:rsid w:val="00AC6E10"/>
    <w:rsid w:val="00AD364D"/>
    <w:rsid w:val="00AD373E"/>
    <w:rsid w:val="00AD41AD"/>
    <w:rsid w:val="00AD4C82"/>
    <w:rsid w:val="00AD4D95"/>
    <w:rsid w:val="00AD50E3"/>
    <w:rsid w:val="00AD576F"/>
    <w:rsid w:val="00AD6E9C"/>
    <w:rsid w:val="00AD767D"/>
    <w:rsid w:val="00AD79BF"/>
    <w:rsid w:val="00AD7E8C"/>
    <w:rsid w:val="00AE08F9"/>
    <w:rsid w:val="00AE09EB"/>
    <w:rsid w:val="00AE1FF2"/>
    <w:rsid w:val="00AE2CCB"/>
    <w:rsid w:val="00AE2F61"/>
    <w:rsid w:val="00AE3004"/>
    <w:rsid w:val="00AE3905"/>
    <w:rsid w:val="00AE39F0"/>
    <w:rsid w:val="00AE3BDB"/>
    <w:rsid w:val="00AE5649"/>
    <w:rsid w:val="00AF065C"/>
    <w:rsid w:val="00AF0707"/>
    <w:rsid w:val="00AF0B03"/>
    <w:rsid w:val="00AF0CDC"/>
    <w:rsid w:val="00AF161C"/>
    <w:rsid w:val="00AF2A5E"/>
    <w:rsid w:val="00AF6863"/>
    <w:rsid w:val="00AF6D4E"/>
    <w:rsid w:val="00B0132B"/>
    <w:rsid w:val="00B01628"/>
    <w:rsid w:val="00B02301"/>
    <w:rsid w:val="00B03AD8"/>
    <w:rsid w:val="00B03F3E"/>
    <w:rsid w:val="00B0534F"/>
    <w:rsid w:val="00B0561F"/>
    <w:rsid w:val="00B06012"/>
    <w:rsid w:val="00B06BD0"/>
    <w:rsid w:val="00B0762A"/>
    <w:rsid w:val="00B07797"/>
    <w:rsid w:val="00B07959"/>
    <w:rsid w:val="00B11FF4"/>
    <w:rsid w:val="00B13146"/>
    <w:rsid w:val="00B13571"/>
    <w:rsid w:val="00B13D81"/>
    <w:rsid w:val="00B14E37"/>
    <w:rsid w:val="00B16490"/>
    <w:rsid w:val="00B16A8D"/>
    <w:rsid w:val="00B17A1D"/>
    <w:rsid w:val="00B17D78"/>
    <w:rsid w:val="00B2000D"/>
    <w:rsid w:val="00B21486"/>
    <w:rsid w:val="00B216A7"/>
    <w:rsid w:val="00B2417E"/>
    <w:rsid w:val="00B241B7"/>
    <w:rsid w:val="00B2574C"/>
    <w:rsid w:val="00B26286"/>
    <w:rsid w:val="00B267A3"/>
    <w:rsid w:val="00B27112"/>
    <w:rsid w:val="00B2730F"/>
    <w:rsid w:val="00B3116D"/>
    <w:rsid w:val="00B3248A"/>
    <w:rsid w:val="00B32702"/>
    <w:rsid w:val="00B3409F"/>
    <w:rsid w:val="00B341F1"/>
    <w:rsid w:val="00B34325"/>
    <w:rsid w:val="00B35731"/>
    <w:rsid w:val="00B3576A"/>
    <w:rsid w:val="00B3783A"/>
    <w:rsid w:val="00B404C8"/>
    <w:rsid w:val="00B41A08"/>
    <w:rsid w:val="00B41EE8"/>
    <w:rsid w:val="00B42FD1"/>
    <w:rsid w:val="00B4372D"/>
    <w:rsid w:val="00B43F39"/>
    <w:rsid w:val="00B440EB"/>
    <w:rsid w:val="00B4451E"/>
    <w:rsid w:val="00B44EBE"/>
    <w:rsid w:val="00B464C2"/>
    <w:rsid w:val="00B46B9C"/>
    <w:rsid w:val="00B47714"/>
    <w:rsid w:val="00B50B2D"/>
    <w:rsid w:val="00B51393"/>
    <w:rsid w:val="00B529C7"/>
    <w:rsid w:val="00B534E5"/>
    <w:rsid w:val="00B53F26"/>
    <w:rsid w:val="00B54566"/>
    <w:rsid w:val="00B564FE"/>
    <w:rsid w:val="00B56658"/>
    <w:rsid w:val="00B56B8D"/>
    <w:rsid w:val="00B57A31"/>
    <w:rsid w:val="00B57FD0"/>
    <w:rsid w:val="00B61093"/>
    <w:rsid w:val="00B62049"/>
    <w:rsid w:val="00B64636"/>
    <w:rsid w:val="00B647BA"/>
    <w:rsid w:val="00B64D46"/>
    <w:rsid w:val="00B65B18"/>
    <w:rsid w:val="00B65D71"/>
    <w:rsid w:val="00B6604D"/>
    <w:rsid w:val="00B66B48"/>
    <w:rsid w:val="00B66FDF"/>
    <w:rsid w:val="00B67D56"/>
    <w:rsid w:val="00B70748"/>
    <w:rsid w:val="00B709E8"/>
    <w:rsid w:val="00B70F70"/>
    <w:rsid w:val="00B71B56"/>
    <w:rsid w:val="00B72E0A"/>
    <w:rsid w:val="00B739C5"/>
    <w:rsid w:val="00B73DA6"/>
    <w:rsid w:val="00B73FF1"/>
    <w:rsid w:val="00B7470A"/>
    <w:rsid w:val="00B74EBD"/>
    <w:rsid w:val="00B750D0"/>
    <w:rsid w:val="00B75420"/>
    <w:rsid w:val="00B76B46"/>
    <w:rsid w:val="00B76F60"/>
    <w:rsid w:val="00B779A9"/>
    <w:rsid w:val="00B800B7"/>
    <w:rsid w:val="00B8060F"/>
    <w:rsid w:val="00B82EAA"/>
    <w:rsid w:val="00B83B13"/>
    <w:rsid w:val="00B859F3"/>
    <w:rsid w:val="00B861BC"/>
    <w:rsid w:val="00B86690"/>
    <w:rsid w:val="00B86B64"/>
    <w:rsid w:val="00B90E14"/>
    <w:rsid w:val="00B92BBB"/>
    <w:rsid w:val="00B93DCF"/>
    <w:rsid w:val="00B9447F"/>
    <w:rsid w:val="00B94612"/>
    <w:rsid w:val="00B94EB9"/>
    <w:rsid w:val="00B95171"/>
    <w:rsid w:val="00B958F4"/>
    <w:rsid w:val="00B959AA"/>
    <w:rsid w:val="00B96795"/>
    <w:rsid w:val="00B977B2"/>
    <w:rsid w:val="00BA0C98"/>
    <w:rsid w:val="00BA1507"/>
    <w:rsid w:val="00BA3AA3"/>
    <w:rsid w:val="00BA3AB2"/>
    <w:rsid w:val="00BA4847"/>
    <w:rsid w:val="00BA4CD6"/>
    <w:rsid w:val="00BA56DA"/>
    <w:rsid w:val="00BA5A9A"/>
    <w:rsid w:val="00BA5B4B"/>
    <w:rsid w:val="00BA61EE"/>
    <w:rsid w:val="00BA761C"/>
    <w:rsid w:val="00BB1851"/>
    <w:rsid w:val="00BB28C2"/>
    <w:rsid w:val="00BB30B9"/>
    <w:rsid w:val="00BB3795"/>
    <w:rsid w:val="00BB648D"/>
    <w:rsid w:val="00BB7BC0"/>
    <w:rsid w:val="00BC0507"/>
    <w:rsid w:val="00BC057A"/>
    <w:rsid w:val="00BC19C3"/>
    <w:rsid w:val="00BC19D7"/>
    <w:rsid w:val="00BC19F0"/>
    <w:rsid w:val="00BC1FFB"/>
    <w:rsid w:val="00BC2B6B"/>
    <w:rsid w:val="00BC39F0"/>
    <w:rsid w:val="00BC57AC"/>
    <w:rsid w:val="00BC5E9B"/>
    <w:rsid w:val="00BC6290"/>
    <w:rsid w:val="00BC63F3"/>
    <w:rsid w:val="00BC7212"/>
    <w:rsid w:val="00BC7F4D"/>
    <w:rsid w:val="00BD0348"/>
    <w:rsid w:val="00BD059B"/>
    <w:rsid w:val="00BD0A25"/>
    <w:rsid w:val="00BD12AB"/>
    <w:rsid w:val="00BD1680"/>
    <w:rsid w:val="00BD1854"/>
    <w:rsid w:val="00BD1C41"/>
    <w:rsid w:val="00BD2A53"/>
    <w:rsid w:val="00BD5207"/>
    <w:rsid w:val="00BD52AE"/>
    <w:rsid w:val="00BD5A84"/>
    <w:rsid w:val="00BD66F9"/>
    <w:rsid w:val="00BD7669"/>
    <w:rsid w:val="00BD7A5D"/>
    <w:rsid w:val="00BD7C0A"/>
    <w:rsid w:val="00BE067A"/>
    <w:rsid w:val="00BE1F8D"/>
    <w:rsid w:val="00BE2088"/>
    <w:rsid w:val="00BE2AFB"/>
    <w:rsid w:val="00BE3012"/>
    <w:rsid w:val="00BE7291"/>
    <w:rsid w:val="00BF06AE"/>
    <w:rsid w:val="00BF2525"/>
    <w:rsid w:val="00BF35F2"/>
    <w:rsid w:val="00BF714A"/>
    <w:rsid w:val="00BF7270"/>
    <w:rsid w:val="00BF7680"/>
    <w:rsid w:val="00C00DAD"/>
    <w:rsid w:val="00C00F85"/>
    <w:rsid w:val="00C0160B"/>
    <w:rsid w:val="00C01C57"/>
    <w:rsid w:val="00C01C82"/>
    <w:rsid w:val="00C02A7E"/>
    <w:rsid w:val="00C02DBF"/>
    <w:rsid w:val="00C03332"/>
    <w:rsid w:val="00C033F1"/>
    <w:rsid w:val="00C03601"/>
    <w:rsid w:val="00C03F82"/>
    <w:rsid w:val="00C06C54"/>
    <w:rsid w:val="00C06E57"/>
    <w:rsid w:val="00C10C4E"/>
    <w:rsid w:val="00C1122B"/>
    <w:rsid w:val="00C114AE"/>
    <w:rsid w:val="00C115CC"/>
    <w:rsid w:val="00C13341"/>
    <w:rsid w:val="00C13B45"/>
    <w:rsid w:val="00C13DCF"/>
    <w:rsid w:val="00C143E8"/>
    <w:rsid w:val="00C15112"/>
    <w:rsid w:val="00C15824"/>
    <w:rsid w:val="00C16BD7"/>
    <w:rsid w:val="00C17668"/>
    <w:rsid w:val="00C2008E"/>
    <w:rsid w:val="00C2176A"/>
    <w:rsid w:val="00C22D02"/>
    <w:rsid w:val="00C22FD0"/>
    <w:rsid w:val="00C2336D"/>
    <w:rsid w:val="00C2348F"/>
    <w:rsid w:val="00C23AE5"/>
    <w:rsid w:val="00C23BEB"/>
    <w:rsid w:val="00C24D82"/>
    <w:rsid w:val="00C269FA"/>
    <w:rsid w:val="00C26D05"/>
    <w:rsid w:val="00C2769E"/>
    <w:rsid w:val="00C307F7"/>
    <w:rsid w:val="00C30F51"/>
    <w:rsid w:val="00C30FEB"/>
    <w:rsid w:val="00C316BD"/>
    <w:rsid w:val="00C32136"/>
    <w:rsid w:val="00C321EA"/>
    <w:rsid w:val="00C322BA"/>
    <w:rsid w:val="00C328E8"/>
    <w:rsid w:val="00C33891"/>
    <w:rsid w:val="00C33D2A"/>
    <w:rsid w:val="00C3427B"/>
    <w:rsid w:val="00C3490D"/>
    <w:rsid w:val="00C34B2A"/>
    <w:rsid w:val="00C35BE6"/>
    <w:rsid w:val="00C36BD7"/>
    <w:rsid w:val="00C377F9"/>
    <w:rsid w:val="00C37E13"/>
    <w:rsid w:val="00C408BF"/>
    <w:rsid w:val="00C41250"/>
    <w:rsid w:val="00C41828"/>
    <w:rsid w:val="00C4352B"/>
    <w:rsid w:val="00C44525"/>
    <w:rsid w:val="00C448BD"/>
    <w:rsid w:val="00C44EAB"/>
    <w:rsid w:val="00C452AC"/>
    <w:rsid w:val="00C473F9"/>
    <w:rsid w:val="00C50C6F"/>
    <w:rsid w:val="00C50FB8"/>
    <w:rsid w:val="00C51C82"/>
    <w:rsid w:val="00C52068"/>
    <w:rsid w:val="00C52454"/>
    <w:rsid w:val="00C52FFA"/>
    <w:rsid w:val="00C53EDA"/>
    <w:rsid w:val="00C5685E"/>
    <w:rsid w:val="00C56C15"/>
    <w:rsid w:val="00C572CB"/>
    <w:rsid w:val="00C572F0"/>
    <w:rsid w:val="00C57A99"/>
    <w:rsid w:val="00C57D8C"/>
    <w:rsid w:val="00C57DD5"/>
    <w:rsid w:val="00C61155"/>
    <w:rsid w:val="00C629F4"/>
    <w:rsid w:val="00C62B55"/>
    <w:rsid w:val="00C63D0C"/>
    <w:rsid w:val="00C648C9"/>
    <w:rsid w:val="00C6496A"/>
    <w:rsid w:val="00C64C2D"/>
    <w:rsid w:val="00C65016"/>
    <w:rsid w:val="00C65097"/>
    <w:rsid w:val="00C65608"/>
    <w:rsid w:val="00C66015"/>
    <w:rsid w:val="00C673FB"/>
    <w:rsid w:val="00C6796A"/>
    <w:rsid w:val="00C67F17"/>
    <w:rsid w:val="00C70FAF"/>
    <w:rsid w:val="00C7136B"/>
    <w:rsid w:val="00C7169F"/>
    <w:rsid w:val="00C73487"/>
    <w:rsid w:val="00C73929"/>
    <w:rsid w:val="00C74420"/>
    <w:rsid w:val="00C74DDA"/>
    <w:rsid w:val="00C755F6"/>
    <w:rsid w:val="00C75849"/>
    <w:rsid w:val="00C76148"/>
    <w:rsid w:val="00C80FAB"/>
    <w:rsid w:val="00C81402"/>
    <w:rsid w:val="00C81A6B"/>
    <w:rsid w:val="00C82160"/>
    <w:rsid w:val="00C82911"/>
    <w:rsid w:val="00C82D38"/>
    <w:rsid w:val="00C82DF2"/>
    <w:rsid w:val="00C8422F"/>
    <w:rsid w:val="00C85260"/>
    <w:rsid w:val="00C8527D"/>
    <w:rsid w:val="00C85563"/>
    <w:rsid w:val="00C85BC2"/>
    <w:rsid w:val="00C861D2"/>
    <w:rsid w:val="00C86594"/>
    <w:rsid w:val="00C86AF3"/>
    <w:rsid w:val="00C90EE6"/>
    <w:rsid w:val="00C91888"/>
    <w:rsid w:val="00C92281"/>
    <w:rsid w:val="00C92475"/>
    <w:rsid w:val="00C92CDA"/>
    <w:rsid w:val="00C931CB"/>
    <w:rsid w:val="00C93238"/>
    <w:rsid w:val="00C9472B"/>
    <w:rsid w:val="00C9542E"/>
    <w:rsid w:val="00C956E4"/>
    <w:rsid w:val="00C95A4E"/>
    <w:rsid w:val="00C96597"/>
    <w:rsid w:val="00C969F3"/>
    <w:rsid w:val="00C96E79"/>
    <w:rsid w:val="00C978EF"/>
    <w:rsid w:val="00CA1EB2"/>
    <w:rsid w:val="00CA4A64"/>
    <w:rsid w:val="00CA4C10"/>
    <w:rsid w:val="00CA59CE"/>
    <w:rsid w:val="00CA5AA2"/>
    <w:rsid w:val="00CA64E3"/>
    <w:rsid w:val="00CB07F4"/>
    <w:rsid w:val="00CB0FAB"/>
    <w:rsid w:val="00CB1659"/>
    <w:rsid w:val="00CB1A21"/>
    <w:rsid w:val="00CB1F74"/>
    <w:rsid w:val="00CB45F0"/>
    <w:rsid w:val="00CB7DB8"/>
    <w:rsid w:val="00CC0B48"/>
    <w:rsid w:val="00CC0BF6"/>
    <w:rsid w:val="00CC1AAC"/>
    <w:rsid w:val="00CC1BAE"/>
    <w:rsid w:val="00CC1FC2"/>
    <w:rsid w:val="00CC226D"/>
    <w:rsid w:val="00CC3263"/>
    <w:rsid w:val="00CC3802"/>
    <w:rsid w:val="00CC3948"/>
    <w:rsid w:val="00CC4EF4"/>
    <w:rsid w:val="00CC5A7E"/>
    <w:rsid w:val="00CC60E7"/>
    <w:rsid w:val="00CC652F"/>
    <w:rsid w:val="00CC7753"/>
    <w:rsid w:val="00CC7CA2"/>
    <w:rsid w:val="00CD11C3"/>
    <w:rsid w:val="00CD3A64"/>
    <w:rsid w:val="00CD3C48"/>
    <w:rsid w:val="00CD5A9F"/>
    <w:rsid w:val="00CD5EFD"/>
    <w:rsid w:val="00CD74DB"/>
    <w:rsid w:val="00CD7FB4"/>
    <w:rsid w:val="00CE1F7D"/>
    <w:rsid w:val="00CE233A"/>
    <w:rsid w:val="00CE3489"/>
    <w:rsid w:val="00CE52CF"/>
    <w:rsid w:val="00CE7F66"/>
    <w:rsid w:val="00CF07FF"/>
    <w:rsid w:val="00CF188B"/>
    <w:rsid w:val="00CF31ED"/>
    <w:rsid w:val="00CF43D9"/>
    <w:rsid w:val="00CF6548"/>
    <w:rsid w:val="00CF67DD"/>
    <w:rsid w:val="00CF6D76"/>
    <w:rsid w:val="00CF6E7B"/>
    <w:rsid w:val="00D00727"/>
    <w:rsid w:val="00D007F5"/>
    <w:rsid w:val="00D015A4"/>
    <w:rsid w:val="00D0198E"/>
    <w:rsid w:val="00D01A83"/>
    <w:rsid w:val="00D0239B"/>
    <w:rsid w:val="00D030E1"/>
    <w:rsid w:val="00D04844"/>
    <w:rsid w:val="00D0485E"/>
    <w:rsid w:val="00D05323"/>
    <w:rsid w:val="00D06CBB"/>
    <w:rsid w:val="00D1025E"/>
    <w:rsid w:val="00D10555"/>
    <w:rsid w:val="00D107BB"/>
    <w:rsid w:val="00D11AFF"/>
    <w:rsid w:val="00D11E34"/>
    <w:rsid w:val="00D1214F"/>
    <w:rsid w:val="00D14F44"/>
    <w:rsid w:val="00D15D86"/>
    <w:rsid w:val="00D169E6"/>
    <w:rsid w:val="00D202F3"/>
    <w:rsid w:val="00D20605"/>
    <w:rsid w:val="00D20969"/>
    <w:rsid w:val="00D214FD"/>
    <w:rsid w:val="00D222D8"/>
    <w:rsid w:val="00D22521"/>
    <w:rsid w:val="00D23153"/>
    <w:rsid w:val="00D23277"/>
    <w:rsid w:val="00D232C9"/>
    <w:rsid w:val="00D23688"/>
    <w:rsid w:val="00D240D8"/>
    <w:rsid w:val="00D245CA"/>
    <w:rsid w:val="00D24AD0"/>
    <w:rsid w:val="00D24ADD"/>
    <w:rsid w:val="00D264A5"/>
    <w:rsid w:val="00D304D1"/>
    <w:rsid w:val="00D30C55"/>
    <w:rsid w:val="00D30CAA"/>
    <w:rsid w:val="00D31A8C"/>
    <w:rsid w:val="00D333AF"/>
    <w:rsid w:val="00D3366D"/>
    <w:rsid w:val="00D34392"/>
    <w:rsid w:val="00D348BB"/>
    <w:rsid w:val="00D35A40"/>
    <w:rsid w:val="00D3639F"/>
    <w:rsid w:val="00D36966"/>
    <w:rsid w:val="00D36C76"/>
    <w:rsid w:val="00D37DCD"/>
    <w:rsid w:val="00D37DE8"/>
    <w:rsid w:val="00D40A21"/>
    <w:rsid w:val="00D41BB8"/>
    <w:rsid w:val="00D43C47"/>
    <w:rsid w:val="00D43FEC"/>
    <w:rsid w:val="00D4458B"/>
    <w:rsid w:val="00D4502B"/>
    <w:rsid w:val="00D46002"/>
    <w:rsid w:val="00D47851"/>
    <w:rsid w:val="00D50A88"/>
    <w:rsid w:val="00D50CAF"/>
    <w:rsid w:val="00D50D04"/>
    <w:rsid w:val="00D510D6"/>
    <w:rsid w:val="00D5158D"/>
    <w:rsid w:val="00D534DC"/>
    <w:rsid w:val="00D5406C"/>
    <w:rsid w:val="00D54098"/>
    <w:rsid w:val="00D55201"/>
    <w:rsid w:val="00D5603D"/>
    <w:rsid w:val="00D57CE3"/>
    <w:rsid w:val="00D60570"/>
    <w:rsid w:val="00D619FB"/>
    <w:rsid w:val="00D63363"/>
    <w:rsid w:val="00D6365B"/>
    <w:rsid w:val="00D651CB"/>
    <w:rsid w:val="00D662B7"/>
    <w:rsid w:val="00D669BD"/>
    <w:rsid w:val="00D670C0"/>
    <w:rsid w:val="00D67E98"/>
    <w:rsid w:val="00D701C4"/>
    <w:rsid w:val="00D70296"/>
    <w:rsid w:val="00D70A77"/>
    <w:rsid w:val="00D70DDC"/>
    <w:rsid w:val="00D70F6C"/>
    <w:rsid w:val="00D719E9"/>
    <w:rsid w:val="00D72599"/>
    <w:rsid w:val="00D729DE"/>
    <w:rsid w:val="00D72CF6"/>
    <w:rsid w:val="00D73981"/>
    <w:rsid w:val="00D75DE0"/>
    <w:rsid w:val="00D763F6"/>
    <w:rsid w:val="00D7772E"/>
    <w:rsid w:val="00D80486"/>
    <w:rsid w:val="00D80D44"/>
    <w:rsid w:val="00D8137D"/>
    <w:rsid w:val="00D81E28"/>
    <w:rsid w:val="00D837F0"/>
    <w:rsid w:val="00D83D6A"/>
    <w:rsid w:val="00D850BE"/>
    <w:rsid w:val="00D8529D"/>
    <w:rsid w:val="00D87361"/>
    <w:rsid w:val="00D909A1"/>
    <w:rsid w:val="00D90A35"/>
    <w:rsid w:val="00D90B12"/>
    <w:rsid w:val="00D9415C"/>
    <w:rsid w:val="00D9431E"/>
    <w:rsid w:val="00D94429"/>
    <w:rsid w:val="00D944FC"/>
    <w:rsid w:val="00D9574F"/>
    <w:rsid w:val="00D9596B"/>
    <w:rsid w:val="00D95DC8"/>
    <w:rsid w:val="00D96FAA"/>
    <w:rsid w:val="00D97191"/>
    <w:rsid w:val="00D97867"/>
    <w:rsid w:val="00D97C6A"/>
    <w:rsid w:val="00D97F3C"/>
    <w:rsid w:val="00DA0FBE"/>
    <w:rsid w:val="00DA119C"/>
    <w:rsid w:val="00DA13DE"/>
    <w:rsid w:val="00DA2E60"/>
    <w:rsid w:val="00DA483A"/>
    <w:rsid w:val="00DA522E"/>
    <w:rsid w:val="00DA638E"/>
    <w:rsid w:val="00DA65C5"/>
    <w:rsid w:val="00DA67DC"/>
    <w:rsid w:val="00DA6FFD"/>
    <w:rsid w:val="00DA71CD"/>
    <w:rsid w:val="00DB2833"/>
    <w:rsid w:val="00DB2E9E"/>
    <w:rsid w:val="00DB37DB"/>
    <w:rsid w:val="00DB3D4E"/>
    <w:rsid w:val="00DB41FA"/>
    <w:rsid w:val="00DB4526"/>
    <w:rsid w:val="00DB655D"/>
    <w:rsid w:val="00DB6D86"/>
    <w:rsid w:val="00DB78AA"/>
    <w:rsid w:val="00DC0E0B"/>
    <w:rsid w:val="00DC0F72"/>
    <w:rsid w:val="00DC2EB7"/>
    <w:rsid w:val="00DC383F"/>
    <w:rsid w:val="00DC48A1"/>
    <w:rsid w:val="00DC6C87"/>
    <w:rsid w:val="00DC7276"/>
    <w:rsid w:val="00DC7715"/>
    <w:rsid w:val="00DD0A5E"/>
    <w:rsid w:val="00DD0D00"/>
    <w:rsid w:val="00DD0FD6"/>
    <w:rsid w:val="00DD2F8C"/>
    <w:rsid w:val="00DD311A"/>
    <w:rsid w:val="00DD3616"/>
    <w:rsid w:val="00DD3819"/>
    <w:rsid w:val="00DD4758"/>
    <w:rsid w:val="00DD618C"/>
    <w:rsid w:val="00DE0A50"/>
    <w:rsid w:val="00DE0AAD"/>
    <w:rsid w:val="00DE23DF"/>
    <w:rsid w:val="00DE27F6"/>
    <w:rsid w:val="00DE3E82"/>
    <w:rsid w:val="00DE4BBB"/>
    <w:rsid w:val="00DF00E3"/>
    <w:rsid w:val="00DF09BD"/>
    <w:rsid w:val="00DF0C43"/>
    <w:rsid w:val="00DF171D"/>
    <w:rsid w:val="00DF244B"/>
    <w:rsid w:val="00DF4677"/>
    <w:rsid w:val="00DF4AEA"/>
    <w:rsid w:val="00DF7A67"/>
    <w:rsid w:val="00E002A5"/>
    <w:rsid w:val="00E0170F"/>
    <w:rsid w:val="00E0430D"/>
    <w:rsid w:val="00E051BF"/>
    <w:rsid w:val="00E0765E"/>
    <w:rsid w:val="00E07D2E"/>
    <w:rsid w:val="00E07D5B"/>
    <w:rsid w:val="00E07D81"/>
    <w:rsid w:val="00E115EE"/>
    <w:rsid w:val="00E118FA"/>
    <w:rsid w:val="00E12F96"/>
    <w:rsid w:val="00E14676"/>
    <w:rsid w:val="00E15749"/>
    <w:rsid w:val="00E17649"/>
    <w:rsid w:val="00E17D1D"/>
    <w:rsid w:val="00E20B93"/>
    <w:rsid w:val="00E20C93"/>
    <w:rsid w:val="00E20F4D"/>
    <w:rsid w:val="00E212D0"/>
    <w:rsid w:val="00E216B3"/>
    <w:rsid w:val="00E216E5"/>
    <w:rsid w:val="00E23BDE"/>
    <w:rsid w:val="00E241E1"/>
    <w:rsid w:val="00E24FDA"/>
    <w:rsid w:val="00E27507"/>
    <w:rsid w:val="00E2775B"/>
    <w:rsid w:val="00E313CB"/>
    <w:rsid w:val="00E31B78"/>
    <w:rsid w:val="00E32979"/>
    <w:rsid w:val="00E32F59"/>
    <w:rsid w:val="00E33135"/>
    <w:rsid w:val="00E33190"/>
    <w:rsid w:val="00E342EA"/>
    <w:rsid w:val="00E35798"/>
    <w:rsid w:val="00E371BB"/>
    <w:rsid w:val="00E376FA"/>
    <w:rsid w:val="00E42ECD"/>
    <w:rsid w:val="00E44C91"/>
    <w:rsid w:val="00E45D18"/>
    <w:rsid w:val="00E476B6"/>
    <w:rsid w:val="00E512BC"/>
    <w:rsid w:val="00E528B4"/>
    <w:rsid w:val="00E530C8"/>
    <w:rsid w:val="00E54DE8"/>
    <w:rsid w:val="00E55384"/>
    <w:rsid w:val="00E5704B"/>
    <w:rsid w:val="00E57162"/>
    <w:rsid w:val="00E60769"/>
    <w:rsid w:val="00E62BED"/>
    <w:rsid w:val="00E646C3"/>
    <w:rsid w:val="00E649BA"/>
    <w:rsid w:val="00E64B1F"/>
    <w:rsid w:val="00E64C5E"/>
    <w:rsid w:val="00E64D87"/>
    <w:rsid w:val="00E65FBB"/>
    <w:rsid w:val="00E66B61"/>
    <w:rsid w:val="00E71A67"/>
    <w:rsid w:val="00E71ED2"/>
    <w:rsid w:val="00E73600"/>
    <w:rsid w:val="00E73A1B"/>
    <w:rsid w:val="00E73B97"/>
    <w:rsid w:val="00E7628C"/>
    <w:rsid w:val="00E762EC"/>
    <w:rsid w:val="00E76310"/>
    <w:rsid w:val="00E767C1"/>
    <w:rsid w:val="00E8066F"/>
    <w:rsid w:val="00E8082B"/>
    <w:rsid w:val="00E8131B"/>
    <w:rsid w:val="00E823B6"/>
    <w:rsid w:val="00E83B50"/>
    <w:rsid w:val="00E83CB5"/>
    <w:rsid w:val="00E84CDA"/>
    <w:rsid w:val="00E90714"/>
    <w:rsid w:val="00E929C6"/>
    <w:rsid w:val="00E94691"/>
    <w:rsid w:val="00E95A6B"/>
    <w:rsid w:val="00E96D54"/>
    <w:rsid w:val="00E970A8"/>
    <w:rsid w:val="00EA0056"/>
    <w:rsid w:val="00EA14B9"/>
    <w:rsid w:val="00EA23EB"/>
    <w:rsid w:val="00EA2718"/>
    <w:rsid w:val="00EA46A9"/>
    <w:rsid w:val="00EA5A24"/>
    <w:rsid w:val="00EA6DD6"/>
    <w:rsid w:val="00EA716E"/>
    <w:rsid w:val="00EB00FD"/>
    <w:rsid w:val="00EB0CFD"/>
    <w:rsid w:val="00EB31CA"/>
    <w:rsid w:val="00EB347A"/>
    <w:rsid w:val="00EB3ABA"/>
    <w:rsid w:val="00EB3CF7"/>
    <w:rsid w:val="00EB485E"/>
    <w:rsid w:val="00EB5E42"/>
    <w:rsid w:val="00EB69E7"/>
    <w:rsid w:val="00EC3814"/>
    <w:rsid w:val="00EC3FEE"/>
    <w:rsid w:val="00EC4139"/>
    <w:rsid w:val="00EC5948"/>
    <w:rsid w:val="00EC67C2"/>
    <w:rsid w:val="00EC6938"/>
    <w:rsid w:val="00EC744B"/>
    <w:rsid w:val="00EC7B4D"/>
    <w:rsid w:val="00ED01DF"/>
    <w:rsid w:val="00ED240D"/>
    <w:rsid w:val="00ED2535"/>
    <w:rsid w:val="00ED310D"/>
    <w:rsid w:val="00ED431E"/>
    <w:rsid w:val="00ED49A0"/>
    <w:rsid w:val="00ED599E"/>
    <w:rsid w:val="00ED5BEF"/>
    <w:rsid w:val="00ED7009"/>
    <w:rsid w:val="00EE1BD4"/>
    <w:rsid w:val="00EE45E3"/>
    <w:rsid w:val="00EE471B"/>
    <w:rsid w:val="00EE4A5D"/>
    <w:rsid w:val="00EE4D51"/>
    <w:rsid w:val="00EE5415"/>
    <w:rsid w:val="00EE6F91"/>
    <w:rsid w:val="00EE7651"/>
    <w:rsid w:val="00EF19DE"/>
    <w:rsid w:val="00EF1C61"/>
    <w:rsid w:val="00EF335B"/>
    <w:rsid w:val="00EF4F03"/>
    <w:rsid w:val="00EF61F0"/>
    <w:rsid w:val="00F00901"/>
    <w:rsid w:val="00F00C4C"/>
    <w:rsid w:val="00F00C72"/>
    <w:rsid w:val="00F00C89"/>
    <w:rsid w:val="00F011D7"/>
    <w:rsid w:val="00F01233"/>
    <w:rsid w:val="00F0186C"/>
    <w:rsid w:val="00F03CB8"/>
    <w:rsid w:val="00F0410D"/>
    <w:rsid w:val="00F04222"/>
    <w:rsid w:val="00F04553"/>
    <w:rsid w:val="00F06871"/>
    <w:rsid w:val="00F10548"/>
    <w:rsid w:val="00F12546"/>
    <w:rsid w:val="00F12F28"/>
    <w:rsid w:val="00F13078"/>
    <w:rsid w:val="00F1343A"/>
    <w:rsid w:val="00F16B86"/>
    <w:rsid w:val="00F17AC1"/>
    <w:rsid w:val="00F20CA0"/>
    <w:rsid w:val="00F21027"/>
    <w:rsid w:val="00F2117F"/>
    <w:rsid w:val="00F21751"/>
    <w:rsid w:val="00F231F2"/>
    <w:rsid w:val="00F2509E"/>
    <w:rsid w:val="00F272C1"/>
    <w:rsid w:val="00F30475"/>
    <w:rsid w:val="00F31759"/>
    <w:rsid w:val="00F32DDD"/>
    <w:rsid w:val="00F335F7"/>
    <w:rsid w:val="00F33606"/>
    <w:rsid w:val="00F35903"/>
    <w:rsid w:val="00F3623A"/>
    <w:rsid w:val="00F363BE"/>
    <w:rsid w:val="00F402C6"/>
    <w:rsid w:val="00F40479"/>
    <w:rsid w:val="00F4190A"/>
    <w:rsid w:val="00F44200"/>
    <w:rsid w:val="00F4587A"/>
    <w:rsid w:val="00F4594E"/>
    <w:rsid w:val="00F46A20"/>
    <w:rsid w:val="00F4774F"/>
    <w:rsid w:val="00F50DE7"/>
    <w:rsid w:val="00F514B7"/>
    <w:rsid w:val="00F5332E"/>
    <w:rsid w:val="00F5486E"/>
    <w:rsid w:val="00F54B0B"/>
    <w:rsid w:val="00F54EA2"/>
    <w:rsid w:val="00F556B4"/>
    <w:rsid w:val="00F56C0E"/>
    <w:rsid w:val="00F57308"/>
    <w:rsid w:val="00F57858"/>
    <w:rsid w:val="00F57E67"/>
    <w:rsid w:val="00F60524"/>
    <w:rsid w:val="00F6160F"/>
    <w:rsid w:val="00F61F77"/>
    <w:rsid w:val="00F62F47"/>
    <w:rsid w:val="00F63F3F"/>
    <w:rsid w:val="00F66C18"/>
    <w:rsid w:val="00F66E21"/>
    <w:rsid w:val="00F67947"/>
    <w:rsid w:val="00F70932"/>
    <w:rsid w:val="00F716BE"/>
    <w:rsid w:val="00F72662"/>
    <w:rsid w:val="00F74717"/>
    <w:rsid w:val="00F748ED"/>
    <w:rsid w:val="00F7523B"/>
    <w:rsid w:val="00F77655"/>
    <w:rsid w:val="00F812C1"/>
    <w:rsid w:val="00F82368"/>
    <w:rsid w:val="00F82E5A"/>
    <w:rsid w:val="00F8464C"/>
    <w:rsid w:val="00F85736"/>
    <w:rsid w:val="00F878DE"/>
    <w:rsid w:val="00F879AB"/>
    <w:rsid w:val="00F87D8B"/>
    <w:rsid w:val="00F902A7"/>
    <w:rsid w:val="00F92320"/>
    <w:rsid w:val="00F925D9"/>
    <w:rsid w:val="00F9319E"/>
    <w:rsid w:val="00F96370"/>
    <w:rsid w:val="00F96D3F"/>
    <w:rsid w:val="00F973CD"/>
    <w:rsid w:val="00FA02FB"/>
    <w:rsid w:val="00FA21C8"/>
    <w:rsid w:val="00FA22E4"/>
    <w:rsid w:val="00FA2BCC"/>
    <w:rsid w:val="00FA3E10"/>
    <w:rsid w:val="00FA3F1D"/>
    <w:rsid w:val="00FA543C"/>
    <w:rsid w:val="00FA55BF"/>
    <w:rsid w:val="00FA7892"/>
    <w:rsid w:val="00FA7AC8"/>
    <w:rsid w:val="00FB149B"/>
    <w:rsid w:val="00FB1C41"/>
    <w:rsid w:val="00FB2359"/>
    <w:rsid w:val="00FB2A3E"/>
    <w:rsid w:val="00FB313D"/>
    <w:rsid w:val="00FB3299"/>
    <w:rsid w:val="00FB34E1"/>
    <w:rsid w:val="00FB3E66"/>
    <w:rsid w:val="00FB4596"/>
    <w:rsid w:val="00FB515C"/>
    <w:rsid w:val="00FB715C"/>
    <w:rsid w:val="00FC1CF1"/>
    <w:rsid w:val="00FC1D30"/>
    <w:rsid w:val="00FC2214"/>
    <w:rsid w:val="00FC3EC0"/>
    <w:rsid w:val="00FC4D96"/>
    <w:rsid w:val="00FC4E22"/>
    <w:rsid w:val="00FC4F2F"/>
    <w:rsid w:val="00FC5705"/>
    <w:rsid w:val="00FC601A"/>
    <w:rsid w:val="00FC6F6D"/>
    <w:rsid w:val="00FC7064"/>
    <w:rsid w:val="00FC7400"/>
    <w:rsid w:val="00FD02A8"/>
    <w:rsid w:val="00FD1FE4"/>
    <w:rsid w:val="00FD212A"/>
    <w:rsid w:val="00FD3021"/>
    <w:rsid w:val="00FD3692"/>
    <w:rsid w:val="00FD41B2"/>
    <w:rsid w:val="00FD45F8"/>
    <w:rsid w:val="00FD4915"/>
    <w:rsid w:val="00FD4B3A"/>
    <w:rsid w:val="00FD732A"/>
    <w:rsid w:val="00FE0E79"/>
    <w:rsid w:val="00FE102F"/>
    <w:rsid w:val="00FE152C"/>
    <w:rsid w:val="00FE244C"/>
    <w:rsid w:val="00FE42FF"/>
    <w:rsid w:val="00FE4797"/>
    <w:rsid w:val="00FE7947"/>
    <w:rsid w:val="00FF0A98"/>
    <w:rsid w:val="00FF106A"/>
    <w:rsid w:val="00FF1154"/>
    <w:rsid w:val="00FF147E"/>
    <w:rsid w:val="00FF1E2C"/>
    <w:rsid w:val="00FF20D1"/>
    <w:rsid w:val="00FF25B6"/>
    <w:rsid w:val="00FF337F"/>
    <w:rsid w:val="00FF4176"/>
    <w:rsid w:val="00FF43E9"/>
    <w:rsid w:val="00FF50D7"/>
    <w:rsid w:val="00FF5814"/>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0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92944"/>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292944"/>
    <w:pPr>
      <w:keepNext/>
      <w:keepLines/>
      <w:numPr>
        <w:numId w:val="2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2944"/>
    <w:pPr>
      <w:keepNext/>
      <w:keepLines/>
      <w:numPr>
        <w:ilvl w:val="1"/>
        <w:numId w:val="2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2944"/>
    <w:pPr>
      <w:keepNext/>
      <w:keepLines/>
      <w:numPr>
        <w:ilvl w:val="2"/>
        <w:numId w:val="2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92944"/>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92944"/>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92944"/>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92944"/>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92944"/>
    <w:pPr>
      <w:keepNext/>
      <w:keepLines/>
      <w:numPr>
        <w:ilvl w:val="7"/>
        <w:numId w:val="2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92944"/>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292944"/>
    <w:pPr>
      <w:tabs>
        <w:tab w:val="center" w:pos="4153"/>
        <w:tab w:val="right" w:pos="8306"/>
      </w:tabs>
    </w:pPr>
    <w:rPr>
      <w:sz w:val="22"/>
      <w:szCs w:val="24"/>
    </w:rPr>
  </w:style>
  <w:style w:type="numbering" w:styleId="111111">
    <w:name w:val="Outline List 2"/>
    <w:basedOn w:val="NoList"/>
    <w:rsid w:val="00292944"/>
    <w:pPr>
      <w:numPr>
        <w:numId w:val="26"/>
      </w:numPr>
    </w:pPr>
  </w:style>
  <w:style w:type="numbering" w:styleId="1ai">
    <w:name w:val="Outline List 1"/>
    <w:basedOn w:val="NoList"/>
    <w:rsid w:val="00292944"/>
    <w:pPr>
      <w:numPr>
        <w:numId w:val="2"/>
      </w:numPr>
    </w:pPr>
  </w:style>
  <w:style w:type="numbering" w:styleId="ArticleSection">
    <w:name w:val="Outline List 3"/>
    <w:basedOn w:val="NoList"/>
    <w:rsid w:val="00292944"/>
    <w:pPr>
      <w:numPr>
        <w:numId w:val="27"/>
      </w:numPr>
    </w:pPr>
  </w:style>
  <w:style w:type="paragraph" w:styleId="BlockText">
    <w:name w:val="Block Text"/>
    <w:basedOn w:val="Normal"/>
    <w:rsid w:val="00292944"/>
    <w:pPr>
      <w:spacing w:after="120"/>
      <w:ind w:left="1440" w:right="1440"/>
    </w:pPr>
  </w:style>
  <w:style w:type="paragraph" w:styleId="BodyText">
    <w:name w:val="Body Text"/>
    <w:basedOn w:val="Normal"/>
    <w:link w:val="BodyTextChar"/>
    <w:rsid w:val="00292944"/>
    <w:pPr>
      <w:spacing w:after="120"/>
    </w:pPr>
  </w:style>
  <w:style w:type="paragraph" w:styleId="BodyText2">
    <w:name w:val="Body Text 2"/>
    <w:basedOn w:val="Normal"/>
    <w:link w:val="BodyText2Char"/>
    <w:rsid w:val="00292944"/>
    <w:pPr>
      <w:spacing w:after="120" w:line="480" w:lineRule="auto"/>
    </w:pPr>
  </w:style>
  <w:style w:type="paragraph" w:styleId="BodyText3">
    <w:name w:val="Body Text 3"/>
    <w:basedOn w:val="Normal"/>
    <w:link w:val="BodyText3Char"/>
    <w:rsid w:val="00292944"/>
    <w:pPr>
      <w:spacing w:after="120"/>
    </w:pPr>
    <w:rPr>
      <w:sz w:val="16"/>
      <w:szCs w:val="16"/>
    </w:rPr>
  </w:style>
  <w:style w:type="paragraph" w:styleId="BodyTextFirstIndent">
    <w:name w:val="Body Text First Indent"/>
    <w:basedOn w:val="BodyText"/>
    <w:link w:val="BodyTextFirstIndentChar"/>
    <w:rsid w:val="00292944"/>
    <w:pPr>
      <w:ind w:firstLine="210"/>
    </w:pPr>
  </w:style>
  <w:style w:type="paragraph" w:styleId="BodyTextIndent">
    <w:name w:val="Body Text Indent"/>
    <w:basedOn w:val="Normal"/>
    <w:link w:val="BodyTextIndentChar"/>
    <w:rsid w:val="00292944"/>
    <w:pPr>
      <w:spacing w:after="120"/>
      <w:ind w:left="283"/>
    </w:pPr>
  </w:style>
  <w:style w:type="paragraph" w:styleId="BodyTextFirstIndent2">
    <w:name w:val="Body Text First Indent 2"/>
    <w:basedOn w:val="BodyTextIndent"/>
    <w:link w:val="BodyTextFirstIndent2Char"/>
    <w:rsid w:val="00292944"/>
    <w:pPr>
      <w:ind w:firstLine="210"/>
    </w:pPr>
  </w:style>
  <w:style w:type="paragraph" w:styleId="BodyTextIndent2">
    <w:name w:val="Body Text Indent 2"/>
    <w:basedOn w:val="Normal"/>
    <w:link w:val="BodyTextIndent2Char"/>
    <w:rsid w:val="00292944"/>
    <w:pPr>
      <w:spacing w:after="120" w:line="480" w:lineRule="auto"/>
      <w:ind w:left="283"/>
    </w:pPr>
  </w:style>
  <w:style w:type="paragraph" w:styleId="BodyTextIndent3">
    <w:name w:val="Body Text Indent 3"/>
    <w:basedOn w:val="Normal"/>
    <w:link w:val="BodyTextIndent3Char"/>
    <w:rsid w:val="00292944"/>
    <w:pPr>
      <w:spacing w:after="120"/>
      <w:ind w:left="283"/>
    </w:pPr>
    <w:rPr>
      <w:sz w:val="16"/>
      <w:szCs w:val="16"/>
    </w:rPr>
  </w:style>
  <w:style w:type="paragraph" w:styleId="Closing">
    <w:name w:val="Closing"/>
    <w:basedOn w:val="Normal"/>
    <w:link w:val="ClosingChar"/>
    <w:rsid w:val="00292944"/>
    <w:pPr>
      <w:ind w:left="4252"/>
    </w:pPr>
  </w:style>
  <w:style w:type="paragraph" w:styleId="Date">
    <w:name w:val="Date"/>
    <w:basedOn w:val="Normal"/>
    <w:next w:val="Normal"/>
    <w:link w:val="DateChar"/>
    <w:rsid w:val="00292944"/>
  </w:style>
  <w:style w:type="paragraph" w:styleId="E-mailSignature">
    <w:name w:val="E-mail Signature"/>
    <w:basedOn w:val="Normal"/>
    <w:link w:val="E-mailSignatureChar"/>
    <w:rsid w:val="00292944"/>
  </w:style>
  <w:style w:type="character" w:styleId="Emphasis">
    <w:name w:val="Emphasis"/>
    <w:basedOn w:val="DefaultParagraphFont"/>
    <w:qFormat/>
    <w:rsid w:val="00292944"/>
    <w:rPr>
      <w:i/>
      <w:iCs/>
    </w:rPr>
  </w:style>
  <w:style w:type="paragraph" w:styleId="EnvelopeAddress">
    <w:name w:val="envelope address"/>
    <w:basedOn w:val="Normal"/>
    <w:rsid w:val="0029294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92944"/>
    <w:rPr>
      <w:rFonts w:ascii="Arial" w:hAnsi="Arial" w:cs="Arial"/>
      <w:sz w:val="20"/>
    </w:rPr>
  </w:style>
  <w:style w:type="character" w:styleId="FollowedHyperlink">
    <w:name w:val="FollowedHyperlink"/>
    <w:basedOn w:val="DefaultParagraphFont"/>
    <w:rsid w:val="00292944"/>
    <w:rPr>
      <w:color w:val="800080"/>
      <w:u w:val="single"/>
    </w:rPr>
  </w:style>
  <w:style w:type="paragraph" w:styleId="Header">
    <w:name w:val="header"/>
    <w:basedOn w:val="OPCParaBase"/>
    <w:link w:val="HeaderChar"/>
    <w:unhideWhenUsed/>
    <w:rsid w:val="00292944"/>
    <w:pPr>
      <w:keepNext/>
      <w:keepLines/>
      <w:tabs>
        <w:tab w:val="center" w:pos="4150"/>
        <w:tab w:val="right" w:pos="8307"/>
      </w:tabs>
      <w:spacing w:line="160" w:lineRule="exact"/>
    </w:pPr>
    <w:rPr>
      <w:sz w:val="16"/>
    </w:rPr>
  </w:style>
  <w:style w:type="character" w:styleId="HTMLAcronym">
    <w:name w:val="HTML Acronym"/>
    <w:basedOn w:val="DefaultParagraphFont"/>
    <w:rsid w:val="00292944"/>
  </w:style>
  <w:style w:type="paragraph" w:styleId="HTMLAddress">
    <w:name w:val="HTML Address"/>
    <w:basedOn w:val="Normal"/>
    <w:link w:val="HTMLAddressChar"/>
    <w:rsid w:val="00292944"/>
    <w:rPr>
      <w:i/>
      <w:iCs/>
    </w:rPr>
  </w:style>
  <w:style w:type="character" w:styleId="HTMLCite">
    <w:name w:val="HTML Cite"/>
    <w:basedOn w:val="DefaultParagraphFont"/>
    <w:rsid w:val="00292944"/>
    <w:rPr>
      <w:i/>
      <w:iCs/>
    </w:rPr>
  </w:style>
  <w:style w:type="character" w:styleId="HTMLCode">
    <w:name w:val="HTML Code"/>
    <w:basedOn w:val="DefaultParagraphFont"/>
    <w:rsid w:val="00292944"/>
    <w:rPr>
      <w:rFonts w:ascii="Courier New" w:hAnsi="Courier New" w:cs="Courier New"/>
      <w:sz w:val="20"/>
      <w:szCs w:val="20"/>
    </w:rPr>
  </w:style>
  <w:style w:type="character" w:styleId="HTMLDefinition">
    <w:name w:val="HTML Definition"/>
    <w:basedOn w:val="DefaultParagraphFont"/>
    <w:rsid w:val="00292944"/>
    <w:rPr>
      <w:i/>
      <w:iCs/>
    </w:rPr>
  </w:style>
  <w:style w:type="character" w:styleId="HTMLKeyboard">
    <w:name w:val="HTML Keyboard"/>
    <w:basedOn w:val="DefaultParagraphFont"/>
    <w:rsid w:val="00292944"/>
    <w:rPr>
      <w:rFonts w:ascii="Courier New" w:hAnsi="Courier New" w:cs="Courier New"/>
      <w:sz w:val="20"/>
      <w:szCs w:val="20"/>
    </w:rPr>
  </w:style>
  <w:style w:type="paragraph" w:styleId="HTMLPreformatted">
    <w:name w:val="HTML Preformatted"/>
    <w:basedOn w:val="Normal"/>
    <w:link w:val="HTMLPreformattedChar"/>
    <w:rsid w:val="00292944"/>
    <w:rPr>
      <w:rFonts w:ascii="Courier New" w:hAnsi="Courier New" w:cs="Courier New"/>
      <w:sz w:val="20"/>
    </w:rPr>
  </w:style>
  <w:style w:type="character" w:styleId="HTMLSample">
    <w:name w:val="HTML Sample"/>
    <w:basedOn w:val="DefaultParagraphFont"/>
    <w:rsid w:val="00292944"/>
    <w:rPr>
      <w:rFonts w:ascii="Courier New" w:hAnsi="Courier New" w:cs="Courier New"/>
    </w:rPr>
  </w:style>
  <w:style w:type="character" w:styleId="HTMLTypewriter">
    <w:name w:val="HTML Typewriter"/>
    <w:basedOn w:val="DefaultParagraphFont"/>
    <w:rsid w:val="00292944"/>
    <w:rPr>
      <w:rFonts w:ascii="Courier New" w:hAnsi="Courier New" w:cs="Courier New"/>
      <w:sz w:val="20"/>
      <w:szCs w:val="20"/>
    </w:rPr>
  </w:style>
  <w:style w:type="character" w:styleId="HTMLVariable">
    <w:name w:val="HTML Variable"/>
    <w:basedOn w:val="DefaultParagraphFont"/>
    <w:rsid w:val="00292944"/>
    <w:rPr>
      <w:i/>
      <w:iCs/>
    </w:rPr>
  </w:style>
  <w:style w:type="character" w:styleId="Hyperlink">
    <w:name w:val="Hyperlink"/>
    <w:basedOn w:val="DefaultParagraphFont"/>
    <w:rsid w:val="00292944"/>
    <w:rPr>
      <w:color w:val="0000FF"/>
      <w:u w:val="single"/>
    </w:rPr>
  </w:style>
  <w:style w:type="character" w:styleId="LineNumber">
    <w:name w:val="line number"/>
    <w:basedOn w:val="OPCCharBase"/>
    <w:uiPriority w:val="99"/>
    <w:unhideWhenUsed/>
    <w:rsid w:val="00292944"/>
    <w:rPr>
      <w:sz w:val="16"/>
    </w:rPr>
  </w:style>
  <w:style w:type="paragraph" w:styleId="List">
    <w:name w:val="List"/>
    <w:basedOn w:val="Normal"/>
    <w:rsid w:val="00292944"/>
    <w:pPr>
      <w:ind w:left="283" w:hanging="283"/>
    </w:pPr>
  </w:style>
  <w:style w:type="paragraph" w:styleId="List2">
    <w:name w:val="List 2"/>
    <w:basedOn w:val="Normal"/>
    <w:rsid w:val="00292944"/>
    <w:pPr>
      <w:ind w:left="566" w:hanging="283"/>
    </w:pPr>
  </w:style>
  <w:style w:type="paragraph" w:styleId="List3">
    <w:name w:val="List 3"/>
    <w:basedOn w:val="Normal"/>
    <w:rsid w:val="00292944"/>
    <w:pPr>
      <w:ind w:left="849" w:hanging="283"/>
    </w:pPr>
  </w:style>
  <w:style w:type="paragraph" w:styleId="List4">
    <w:name w:val="List 4"/>
    <w:basedOn w:val="Normal"/>
    <w:rsid w:val="00292944"/>
    <w:pPr>
      <w:ind w:left="1132" w:hanging="283"/>
    </w:pPr>
  </w:style>
  <w:style w:type="paragraph" w:styleId="List5">
    <w:name w:val="List 5"/>
    <w:basedOn w:val="Normal"/>
    <w:rsid w:val="00292944"/>
    <w:pPr>
      <w:ind w:left="1415" w:hanging="283"/>
    </w:pPr>
  </w:style>
  <w:style w:type="paragraph" w:styleId="ListBullet">
    <w:name w:val="List Bullet"/>
    <w:basedOn w:val="Normal"/>
    <w:autoRedefine/>
    <w:rsid w:val="00292944"/>
    <w:pPr>
      <w:tabs>
        <w:tab w:val="num" w:pos="360"/>
      </w:tabs>
      <w:ind w:left="360" w:hanging="360"/>
    </w:pPr>
  </w:style>
  <w:style w:type="paragraph" w:styleId="ListBullet2">
    <w:name w:val="List Bullet 2"/>
    <w:basedOn w:val="Normal"/>
    <w:autoRedefine/>
    <w:rsid w:val="00292944"/>
    <w:pPr>
      <w:tabs>
        <w:tab w:val="num" w:pos="360"/>
      </w:tabs>
    </w:pPr>
  </w:style>
  <w:style w:type="paragraph" w:styleId="ListBullet3">
    <w:name w:val="List Bullet 3"/>
    <w:basedOn w:val="Normal"/>
    <w:autoRedefine/>
    <w:rsid w:val="00292944"/>
    <w:pPr>
      <w:tabs>
        <w:tab w:val="num" w:pos="926"/>
      </w:tabs>
      <w:ind w:left="926" w:hanging="360"/>
    </w:pPr>
  </w:style>
  <w:style w:type="paragraph" w:styleId="ListBullet4">
    <w:name w:val="List Bullet 4"/>
    <w:basedOn w:val="Normal"/>
    <w:autoRedefine/>
    <w:rsid w:val="00292944"/>
    <w:pPr>
      <w:tabs>
        <w:tab w:val="num" w:pos="1209"/>
      </w:tabs>
      <w:ind w:left="1209" w:hanging="360"/>
    </w:pPr>
  </w:style>
  <w:style w:type="paragraph" w:styleId="ListBullet5">
    <w:name w:val="List Bullet 5"/>
    <w:basedOn w:val="Normal"/>
    <w:autoRedefine/>
    <w:rsid w:val="00292944"/>
    <w:pPr>
      <w:tabs>
        <w:tab w:val="num" w:pos="1492"/>
      </w:tabs>
      <w:ind w:left="1492" w:hanging="360"/>
    </w:pPr>
  </w:style>
  <w:style w:type="paragraph" w:styleId="ListContinue">
    <w:name w:val="List Continue"/>
    <w:basedOn w:val="Normal"/>
    <w:rsid w:val="00292944"/>
    <w:pPr>
      <w:spacing w:after="120"/>
      <w:ind w:left="283"/>
    </w:pPr>
  </w:style>
  <w:style w:type="paragraph" w:styleId="ListContinue2">
    <w:name w:val="List Continue 2"/>
    <w:basedOn w:val="Normal"/>
    <w:rsid w:val="00292944"/>
    <w:pPr>
      <w:spacing w:after="120"/>
      <w:ind w:left="566"/>
    </w:pPr>
  </w:style>
  <w:style w:type="paragraph" w:styleId="ListContinue3">
    <w:name w:val="List Continue 3"/>
    <w:basedOn w:val="Normal"/>
    <w:rsid w:val="00292944"/>
    <w:pPr>
      <w:spacing w:after="120"/>
      <w:ind w:left="849"/>
    </w:pPr>
  </w:style>
  <w:style w:type="paragraph" w:styleId="ListContinue4">
    <w:name w:val="List Continue 4"/>
    <w:basedOn w:val="Normal"/>
    <w:rsid w:val="00292944"/>
    <w:pPr>
      <w:spacing w:after="120"/>
      <w:ind w:left="1132"/>
    </w:pPr>
  </w:style>
  <w:style w:type="paragraph" w:styleId="ListContinue5">
    <w:name w:val="List Continue 5"/>
    <w:basedOn w:val="Normal"/>
    <w:rsid w:val="00292944"/>
    <w:pPr>
      <w:spacing w:after="120"/>
      <w:ind w:left="1415"/>
    </w:pPr>
  </w:style>
  <w:style w:type="paragraph" w:styleId="ListNumber">
    <w:name w:val="List Number"/>
    <w:basedOn w:val="Normal"/>
    <w:rsid w:val="00292944"/>
    <w:pPr>
      <w:tabs>
        <w:tab w:val="num" w:pos="360"/>
      </w:tabs>
      <w:ind w:left="360" w:hanging="360"/>
    </w:pPr>
  </w:style>
  <w:style w:type="paragraph" w:styleId="ListNumber2">
    <w:name w:val="List Number 2"/>
    <w:basedOn w:val="Normal"/>
    <w:rsid w:val="00292944"/>
    <w:pPr>
      <w:tabs>
        <w:tab w:val="num" w:pos="643"/>
      </w:tabs>
      <w:ind w:left="643" w:hanging="360"/>
    </w:pPr>
  </w:style>
  <w:style w:type="paragraph" w:styleId="ListNumber3">
    <w:name w:val="List Number 3"/>
    <w:basedOn w:val="Normal"/>
    <w:rsid w:val="00292944"/>
    <w:pPr>
      <w:tabs>
        <w:tab w:val="num" w:pos="926"/>
      </w:tabs>
      <w:ind w:left="926" w:hanging="360"/>
    </w:pPr>
  </w:style>
  <w:style w:type="paragraph" w:styleId="ListNumber4">
    <w:name w:val="List Number 4"/>
    <w:basedOn w:val="Normal"/>
    <w:rsid w:val="00292944"/>
    <w:pPr>
      <w:tabs>
        <w:tab w:val="num" w:pos="1209"/>
      </w:tabs>
      <w:ind w:left="1209" w:hanging="360"/>
    </w:pPr>
  </w:style>
  <w:style w:type="paragraph" w:styleId="ListNumber5">
    <w:name w:val="List Number 5"/>
    <w:basedOn w:val="Normal"/>
    <w:rsid w:val="00292944"/>
    <w:pPr>
      <w:tabs>
        <w:tab w:val="num" w:pos="1492"/>
      </w:tabs>
      <w:ind w:left="1492" w:hanging="360"/>
    </w:pPr>
  </w:style>
  <w:style w:type="paragraph" w:styleId="MessageHeader">
    <w:name w:val="Message Header"/>
    <w:basedOn w:val="Normal"/>
    <w:link w:val="MessageHeaderChar"/>
    <w:rsid w:val="0029294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292944"/>
  </w:style>
  <w:style w:type="paragraph" w:styleId="NormalIndent">
    <w:name w:val="Normal Indent"/>
    <w:basedOn w:val="Normal"/>
    <w:rsid w:val="00292944"/>
    <w:pPr>
      <w:ind w:left="720"/>
    </w:pPr>
  </w:style>
  <w:style w:type="character" w:styleId="PageNumber">
    <w:name w:val="page number"/>
    <w:basedOn w:val="DefaultParagraphFont"/>
    <w:rsid w:val="00292944"/>
  </w:style>
  <w:style w:type="paragraph" w:styleId="PlainText">
    <w:name w:val="Plain Text"/>
    <w:basedOn w:val="Normal"/>
    <w:link w:val="PlainTextChar"/>
    <w:rsid w:val="00292944"/>
    <w:rPr>
      <w:rFonts w:ascii="Courier New" w:hAnsi="Courier New" w:cs="Courier New"/>
      <w:sz w:val="20"/>
    </w:rPr>
  </w:style>
  <w:style w:type="paragraph" w:styleId="Salutation">
    <w:name w:val="Salutation"/>
    <w:basedOn w:val="Normal"/>
    <w:next w:val="Normal"/>
    <w:link w:val="SalutationChar"/>
    <w:rsid w:val="00292944"/>
  </w:style>
  <w:style w:type="paragraph" w:styleId="Signature">
    <w:name w:val="Signature"/>
    <w:basedOn w:val="Normal"/>
    <w:link w:val="SignatureChar"/>
    <w:rsid w:val="00292944"/>
    <w:pPr>
      <w:ind w:left="4252"/>
    </w:pPr>
  </w:style>
  <w:style w:type="character" w:styleId="Strong">
    <w:name w:val="Strong"/>
    <w:basedOn w:val="DefaultParagraphFont"/>
    <w:qFormat/>
    <w:rsid w:val="00292944"/>
    <w:rPr>
      <w:b/>
      <w:bCs/>
    </w:rPr>
  </w:style>
  <w:style w:type="paragraph" w:styleId="Subtitle">
    <w:name w:val="Subtitle"/>
    <w:basedOn w:val="Normal"/>
    <w:link w:val="SubtitleChar"/>
    <w:qFormat/>
    <w:rsid w:val="00292944"/>
    <w:pPr>
      <w:spacing w:after="60"/>
      <w:jc w:val="center"/>
      <w:outlineLvl w:val="1"/>
    </w:pPr>
    <w:rPr>
      <w:rFonts w:ascii="Arial" w:hAnsi="Arial" w:cs="Arial"/>
    </w:rPr>
  </w:style>
  <w:style w:type="table" w:styleId="Table3Deffects1">
    <w:name w:val="Table 3D effects 1"/>
    <w:basedOn w:val="TableNormal"/>
    <w:rsid w:val="0029294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9294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9294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9294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9294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9294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9294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9294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9294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9294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9294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9294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9294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9294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9294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9294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9294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9294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9294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9294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9294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9294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9294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9294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9294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9294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9294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9294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9294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9294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9294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9294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9294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9294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9294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9294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9294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9294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9294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9294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92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9294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9294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9294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92944"/>
    <w:pPr>
      <w:spacing w:before="240" w:after="60"/>
    </w:pPr>
    <w:rPr>
      <w:rFonts w:ascii="Arial" w:hAnsi="Arial" w:cs="Arial"/>
      <w:b/>
      <w:bCs/>
      <w:sz w:val="40"/>
      <w:szCs w:val="40"/>
    </w:rPr>
  </w:style>
  <w:style w:type="character" w:customStyle="1" w:styleId="CharAmSchNo">
    <w:name w:val="CharAmSchNo"/>
    <w:basedOn w:val="OPCCharBase"/>
    <w:qFormat/>
    <w:rsid w:val="00292944"/>
  </w:style>
  <w:style w:type="character" w:customStyle="1" w:styleId="CharAmSchText">
    <w:name w:val="CharAmSchText"/>
    <w:basedOn w:val="OPCCharBase"/>
    <w:qFormat/>
    <w:rsid w:val="00292944"/>
  </w:style>
  <w:style w:type="character" w:customStyle="1" w:styleId="CharChapNo">
    <w:name w:val="CharChapNo"/>
    <w:basedOn w:val="OPCCharBase"/>
    <w:uiPriority w:val="1"/>
    <w:qFormat/>
    <w:rsid w:val="00292944"/>
  </w:style>
  <w:style w:type="character" w:customStyle="1" w:styleId="CharChapText">
    <w:name w:val="CharChapText"/>
    <w:basedOn w:val="OPCCharBase"/>
    <w:uiPriority w:val="1"/>
    <w:qFormat/>
    <w:rsid w:val="00292944"/>
  </w:style>
  <w:style w:type="character" w:customStyle="1" w:styleId="CharDivNo">
    <w:name w:val="CharDivNo"/>
    <w:basedOn w:val="OPCCharBase"/>
    <w:uiPriority w:val="1"/>
    <w:qFormat/>
    <w:rsid w:val="00292944"/>
  </w:style>
  <w:style w:type="character" w:customStyle="1" w:styleId="CharDivText">
    <w:name w:val="CharDivText"/>
    <w:basedOn w:val="OPCCharBase"/>
    <w:uiPriority w:val="1"/>
    <w:qFormat/>
    <w:rsid w:val="00292944"/>
  </w:style>
  <w:style w:type="character" w:customStyle="1" w:styleId="CharPartNo">
    <w:name w:val="CharPartNo"/>
    <w:basedOn w:val="OPCCharBase"/>
    <w:uiPriority w:val="1"/>
    <w:qFormat/>
    <w:rsid w:val="00292944"/>
  </w:style>
  <w:style w:type="character" w:customStyle="1" w:styleId="CharPartText">
    <w:name w:val="CharPartText"/>
    <w:basedOn w:val="OPCCharBase"/>
    <w:uiPriority w:val="1"/>
    <w:qFormat/>
    <w:rsid w:val="00292944"/>
  </w:style>
  <w:style w:type="character" w:customStyle="1" w:styleId="OPCCharBase">
    <w:name w:val="OPCCharBase"/>
    <w:uiPriority w:val="1"/>
    <w:qFormat/>
    <w:rsid w:val="00292944"/>
  </w:style>
  <w:style w:type="paragraph" w:customStyle="1" w:styleId="OPCParaBase">
    <w:name w:val="OPCParaBase"/>
    <w:link w:val="OPCParaBaseChar"/>
    <w:qFormat/>
    <w:rsid w:val="00292944"/>
    <w:pPr>
      <w:spacing w:line="260" w:lineRule="atLeast"/>
    </w:pPr>
    <w:rPr>
      <w:sz w:val="22"/>
    </w:rPr>
  </w:style>
  <w:style w:type="character" w:customStyle="1" w:styleId="CharSectno">
    <w:name w:val="CharSectno"/>
    <w:basedOn w:val="OPCCharBase"/>
    <w:qFormat/>
    <w:rsid w:val="00292944"/>
  </w:style>
  <w:style w:type="character" w:styleId="EndnoteReference">
    <w:name w:val="endnote reference"/>
    <w:basedOn w:val="DefaultParagraphFont"/>
    <w:rsid w:val="00292944"/>
    <w:rPr>
      <w:vertAlign w:val="superscript"/>
    </w:rPr>
  </w:style>
  <w:style w:type="paragraph" w:styleId="EndnoteText">
    <w:name w:val="endnote text"/>
    <w:basedOn w:val="Normal"/>
    <w:link w:val="EndnoteTextChar"/>
    <w:rsid w:val="00292944"/>
    <w:rPr>
      <w:sz w:val="20"/>
    </w:rPr>
  </w:style>
  <w:style w:type="character" w:styleId="FootnoteReference">
    <w:name w:val="footnote reference"/>
    <w:basedOn w:val="DefaultParagraphFont"/>
    <w:rsid w:val="00292944"/>
    <w:rPr>
      <w:rFonts w:ascii="Times New Roman" w:hAnsi="Times New Roman"/>
      <w:sz w:val="20"/>
      <w:vertAlign w:val="superscript"/>
    </w:rPr>
  </w:style>
  <w:style w:type="paragraph" w:styleId="FootnoteText">
    <w:name w:val="footnote text"/>
    <w:basedOn w:val="Normal"/>
    <w:link w:val="FootnoteTextChar"/>
    <w:rsid w:val="00292944"/>
    <w:rPr>
      <w:sz w:val="20"/>
    </w:rPr>
  </w:style>
  <w:style w:type="paragraph" w:customStyle="1" w:styleId="Formula">
    <w:name w:val="Formula"/>
    <w:basedOn w:val="OPCParaBase"/>
    <w:rsid w:val="00292944"/>
    <w:pPr>
      <w:spacing w:line="240" w:lineRule="auto"/>
      <w:ind w:left="1134"/>
    </w:pPr>
    <w:rPr>
      <w:sz w:val="20"/>
    </w:rPr>
  </w:style>
  <w:style w:type="paragraph" w:customStyle="1" w:styleId="ShortT">
    <w:name w:val="ShortT"/>
    <w:basedOn w:val="OPCParaBase"/>
    <w:next w:val="Normal"/>
    <w:qFormat/>
    <w:rsid w:val="00292944"/>
    <w:pPr>
      <w:spacing w:line="240" w:lineRule="auto"/>
    </w:pPr>
    <w:rPr>
      <w:b/>
      <w:sz w:val="40"/>
    </w:rPr>
  </w:style>
  <w:style w:type="paragraph" w:customStyle="1" w:styleId="Penalty">
    <w:name w:val="Penalty"/>
    <w:basedOn w:val="OPCParaBase"/>
    <w:rsid w:val="00292944"/>
    <w:pPr>
      <w:tabs>
        <w:tab w:val="left" w:pos="2977"/>
      </w:tabs>
      <w:spacing w:before="180" w:line="240" w:lineRule="auto"/>
      <w:ind w:left="1985" w:hanging="851"/>
    </w:pPr>
  </w:style>
  <w:style w:type="paragraph" w:customStyle="1" w:styleId="Actno">
    <w:name w:val="Actno"/>
    <w:basedOn w:val="ShortT"/>
    <w:next w:val="Normal"/>
    <w:qFormat/>
    <w:rsid w:val="00292944"/>
  </w:style>
  <w:style w:type="paragraph" w:styleId="TOC1">
    <w:name w:val="toc 1"/>
    <w:basedOn w:val="Normal"/>
    <w:next w:val="Normal"/>
    <w:uiPriority w:val="39"/>
    <w:unhideWhenUsed/>
    <w:rsid w:val="00292944"/>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92944"/>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92944"/>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92944"/>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92944"/>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92944"/>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92944"/>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92944"/>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92944"/>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292944"/>
    <w:pPr>
      <w:spacing w:line="240" w:lineRule="auto"/>
    </w:pPr>
    <w:rPr>
      <w:sz w:val="20"/>
    </w:rPr>
  </w:style>
  <w:style w:type="paragraph" w:customStyle="1" w:styleId="Blocks">
    <w:name w:val="Blocks"/>
    <w:aliases w:val="bb"/>
    <w:basedOn w:val="OPCParaBase"/>
    <w:qFormat/>
    <w:rsid w:val="00292944"/>
    <w:pPr>
      <w:spacing w:line="240" w:lineRule="auto"/>
    </w:pPr>
    <w:rPr>
      <w:sz w:val="24"/>
    </w:rPr>
  </w:style>
  <w:style w:type="paragraph" w:styleId="BalloonText">
    <w:name w:val="Balloon Text"/>
    <w:basedOn w:val="Normal"/>
    <w:link w:val="BalloonTextChar"/>
    <w:uiPriority w:val="99"/>
    <w:unhideWhenUsed/>
    <w:rsid w:val="00292944"/>
    <w:pPr>
      <w:spacing w:line="240" w:lineRule="auto"/>
    </w:pPr>
    <w:rPr>
      <w:rFonts w:ascii="Tahoma" w:hAnsi="Tahoma" w:cs="Tahoma"/>
      <w:sz w:val="16"/>
      <w:szCs w:val="16"/>
    </w:rPr>
  </w:style>
  <w:style w:type="paragraph" w:styleId="Caption">
    <w:name w:val="caption"/>
    <w:basedOn w:val="Normal"/>
    <w:next w:val="Normal"/>
    <w:qFormat/>
    <w:rsid w:val="00292944"/>
    <w:pPr>
      <w:spacing w:before="120" w:after="120"/>
    </w:pPr>
    <w:rPr>
      <w:b/>
      <w:bCs/>
      <w:sz w:val="20"/>
    </w:rPr>
  </w:style>
  <w:style w:type="character" w:styleId="CommentReference">
    <w:name w:val="annotation reference"/>
    <w:basedOn w:val="DefaultParagraphFont"/>
    <w:rsid w:val="00292944"/>
    <w:rPr>
      <w:sz w:val="16"/>
      <w:szCs w:val="16"/>
    </w:rPr>
  </w:style>
  <w:style w:type="paragraph" w:styleId="CommentText">
    <w:name w:val="annotation text"/>
    <w:basedOn w:val="Normal"/>
    <w:link w:val="CommentTextChar"/>
    <w:rsid w:val="00292944"/>
    <w:rPr>
      <w:sz w:val="20"/>
    </w:rPr>
  </w:style>
  <w:style w:type="paragraph" w:styleId="CommentSubject">
    <w:name w:val="annotation subject"/>
    <w:basedOn w:val="CommentText"/>
    <w:next w:val="CommentText"/>
    <w:link w:val="CommentSubjectChar"/>
    <w:rsid w:val="00292944"/>
    <w:rPr>
      <w:b/>
      <w:bCs/>
    </w:rPr>
  </w:style>
  <w:style w:type="paragraph" w:styleId="DocumentMap">
    <w:name w:val="Document Map"/>
    <w:basedOn w:val="Normal"/>
    <w:link w:val="DocumentMapChar"/>
    <w:rsid w:val="00292944"/>
    <w:pPr>
      <w:shd w:val="clear" w:color="auto" w:fill="000080"/>
    </w:pPr>
    <w:rPr>
      <w:rFonts w:ascii="Tahoma" w:hAnsi="Tahoma" w:cs="Tahoma"/>
    </w:rPr>
  </w:style>
  <w:style w:type="paragraph" w:styleId="Index1">
    <w:name w:val="index 1"/>
    <w:basedOn w:val="Normal"/>
    <w:next w:val="Normal"/>
    <w:autoRedefine/>
    <w:rsid w:val="00292944"/>
    <w:pPr>
      <w:ind w:left="240" w:hanging="240"/>
    </w:pPr>
  </w:style>
  <w:style w:type="paragraph" w:styleId="Index2">
    <w:name w:val="index 2"/>
    <w:basedOn w:val="Normal"/>
    <w:next w:val="Normal"/>
    <w:autoRedefine/>
    <w:rsid w:val="00292944"/>
    <w:pPr>
      <w:ind w:left="480" w:hanging="240"/>
    </w:pPr>
  </w:style>
  <w:style w:type="paragraph" w:styleId="Index3">
    <w:name w:val="index 3"/>
    <w:basedOn w:val="Normal"/>
    <w:next w:val="Normal"/>
    <w:autoRedefine/>
    <w:rsid w:val="00292944"/>
    <w:pPr>
      <w:ind w:left="720" w:hanging="240"/>
    </w:pPr>
  </w:style>
  <w:style w:type="paragraph" w:styleId="Index4">
    <w:name w:val="index 4"/>
    <w:basedOn w:val="Normal"/>
    <w:next w:val="Normal"/>
    <w:autoRedefine/>
    <w:rsid w:val="00292944"/>
    <w:pPr>
      <w:ind w:left="960" w:hanging="240"/>
    </w:pPr>
  </w:style>
  <w:style w:type="paragraph" w:styleId="Index5">
    <w:name w:val="index 5"/>
    <w:basedOn w:val="Normal"/>
    <w:next w:val="Normal"/>
    <w:autoRedefine/>
    <w:rsid w:val="00292944"/>
    <w:pPr>
      <w:ind w:left="1200" w:hanging="240"/>
    </w:pPr>
  </w:style>
  <w:style w:type="paragraph" w:styleId="Index6">
    <w:name w:val="index 6"/>
    <w:basedOn w:val="Normal"/>
    <w:next w:val="Normal"/>
    <w:autoRedefine/>
    <w:rsid w:val="00292944"/>
    <w:pPr>
      <w:ind w:left="1440" w:hanging="240"/>
    </w:pPr>
  </w:style>
  <w:style w:type="paragraph" w:styleId="Index7">
    <w:name w:val="index 7"/>
    <w:basedOn w:val="Normal"/>
    <w:next w:val="Normal"/>
    <w:autoRedefine/>
    <w:rsid w:val="00292944"/>
    <w:pPr>
      <w:ind w:left="1680" w:hanging="240"/>
    </w:pPr>
  </w:style>
  <w:style w:type="paragraph" w:styleId="Index8">
    <w:name w:val="index 8"/>
    <w:basedOn w:val="Normal"/>
    <w:next w:val="Normal"/>
    <w:autoRedefine/>
    <w:rsid w:val="00292944"/>
    <w:pPr>
      <w:ind w:left="1920" w:hanging="240"/>
    </w:pPr>
  </w:style>
  <w:style w:type="paragraph" w:styleId="Index9">
    <w:name w:val="index 9"/>
    <w:basedOn w:val="Normal"/>
    <w:next w:val="Normal"/>
    <w:autoRedefine/>
    <w:rsid w:val="00292944"/>
    <w:pPr>
      <w:ind w:left="2160" w:hanging="240"/>
    </w:pPr>
  </w:style>
  <w:style w:type="paragraph" w:styleId="IndexHeading">
    <w:name w:val="index heading"/>
    <w:basedOn w:val="Normal"/>
    <w:next w:val="Index1"/>
    <w:rsid w:val="00292944"/>
    <w:rPr>
      <w:rFonts w:ascii="Arial" w:hAnsi="Arial" w:cs="Arial"/>
      <w:b/>
      <w:bCs/>
    </w:rPr>
  </w:style>
  <w:style w:type="paragraph" w:styleId="MacroText">
    <w:name w:val="macro"/>
    <w:link w:val="MacroTextChar"/>
    <w:rsid w:val="0029294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292944"/>
    <w:pPr>
      <w:ind w:left="240" w:hanging="240"/>
    </w:pPr>
  </w:style>
  <w:style w:type="paragraph" w:styleId="TableofFigures">
    <w:name w:val="table of figures"/>
    <w:basedOn w:val="Normal"/>
    <w:next w:val="Normal"/>
    <w:rsid w:val="00292944"/>
    <w:pPr>
      <w:ind w:left="480" w:hanging="480"/>
    </w:pPr>
  </w:style>
  <w:style w:type="paragraph" w:styleId="TOAHeading">
    <w:name w:val="toa heading"/>
    <w:basedOn w:val="Normal"/>
    <w:next w:val="Normal"/>
    <w:rsid w:val="00292944"/>
    <w:pPr>
      <w:spacing w:before="120"/>
    </w:pPr>
    <w:rPr>
      <w:rFonts w:ascii="Arial" w:hAnsi="Arial" w:cs="Arial"/>
      <w:b/>
      <w:bCs/>
    </w:rPr>
  </w:style>
  <w:style w:type="paragraph" w:customStyle="1" w:styleId="ItemHead">
    <w:name w:val="ItemHead"/>
    <w:aliases w:val="ih"/>
    <w:basedOn w:val="OPCParaBase"/>
    <w:next w:val="Item"/>
    <w:link w:val="ItemHeadChar"/>
    <w:rsid w:val="00292944"/>
    <w:pPr>
      <w:keepNext/>
      <w:keepLines/>
      <w:spacing w:before="220" w:line="240" w:lineRule="auto"/>
      <w:ind w:left="709" w:hanging="709"/>
    </w:pPr>
    <w:rPr>
      <w:rFonts w:ascii="Arial" w:hAnsi="Arial"/>
      <w:b/>
      <w:kern w:val="28"/>
      <w:sz w:val="24"/>
    </w:rPr>
  </w:style>
  <w:style w:type="paragraph" w:customStyle="1" w:styleId="BoxText">
    <w:name w:val="BoxText"/>
    <w:aliases w:val="bt"/>
    <w:basedOn w:val="OPCParaBase"/>
    <w:qFormat/>
    <w:rsid w:val="0029294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LPNotebullet">
    <w:name w:val="TLPNote(bullet)"/>
    <w:basedOn w:val="OPCParaBase"/>
    <w:rsid w:val="00292944"/>
    <w:pPr>
      <w:numPr>
        <w:numId w:val="19"/>
      </w:numPr>
      <w:tabs>
        <w:tab w:val="clear" w:pos="2517"/>
        <w:tab w:val="left" w:pos="357"/>
      </w:tabs>
      <w:spacing w:before="60" w:line="198" w:lineRule="exact"/>
      <w:ind w:left="0" w:firstLine="0"/>
    </w:pPr>
    <w:rPr>
      <w:sz w:val="18"/>
    </w:rPr>
  </w:style>
  <w:style w:type="paragraph" w:customStyle="1" w:styleId="Definition">
    <w:name w:val="Definition"/>
    <w:aliases w:val="dd"/>
    <w:basedOn w:val="OPCParaBase"/>
    <w:link w:val="DefinitionChar"/>
    <w:rsid w:val="00292944"/>
    <w:pPr>
      <w:spacing w:before="180" w:line="240" w:lineRule="auto"/>
      <w:ind w:left="1134"/>
    </w:pPr>
  </w:style>
  <w:style w:type="paragraph" w:customStyle="1" w:styleId="subsection">
    <w:name w:val="subsection"/>
    <w:aliases w:val="ss"/>
    <w:basedOn w:val="OPCParaBase"/>
    <w:link w:val="subsectionChar"/>
    <w:rsid w:val="00292944"/>
    <w:pPr>
      <w:tabs>
        <w:tab w:val="right" w:pos="1021"/>
      </w:tabs>
      <w:spacing w:before="180" w:line="240" w:lineRule="auto"/>
      <w:ind w:left="1134" w:hanging="1134"/>
    </w:pPr>
  </w:style>
  <w:style w:type="paragraph" w:customStyle="1" w:styleId="paragraph">
    <w:name w:val="paragraph"/>
    <w:aliases w:val="a"/>
    <w:basedOn w:val="OPCParaBase"/>
    <w:link w:val="paragraphChar"/>
    <w:rsid w:val="00292944"/>
    <w:pPr>
      <w:tabs>
        <w:tab w:val="right" w:pos="1531"/>
      </w:tabs>
      <w:spacing w:before="40" w:line="240" w:lineRule="auto"/>
      <w:ind w:left="1644" w:hanging="1644"/>
    </w:pPr>
  </w:style>
  <w:style w:type="paragraph" w:customStyle="1" w:styleId="paragraphsub">
    <w:name w:val="paragraph(sub)"/>
    <w:aliases w:val="aa"/>
    <w:basedOn w:val="OPCParaBase"/>
    <w:rsid w:val="00292944"/>
    <w:pPr>
      <w:tabs>
        <w:tab w:val="right" w:pos="1985"/>
      </w:tabs>
      <w:spacing w:before="40" w:line="240" w:lineRule="auto"/>
      <w:ind w:left="2098" w:hanging="2098"/>
    </w:pPr>
  </w:style>
  <w:style w:type="paragraph" w:customStyle="1" w:styleId="subsection2">
    <w:name w:val="subsection2"/>
    <w:aliases w:val="ss2"/>
    <w:basedOn w:val="OPCParaBase"/>
    <w:next w:val="subsection"/>
    <w:link w:val="subsection2Char"/>
    <w:rsid w:val="00292944"/>
    <w:pPr>
      <w:spacing w:before="40" w:line="240" w:lineRule="auto"/>
      <w:ind w:left="1134"/>
    </w:pPr>
  </w:style>
  <w:style w:type="paragraph" w:customStyle="1" w:styleId="notetext">
    <w:name w:val="note(text)"/>
    <w:aliases w:val="n"/>
    <w:basedOn w:val="OPCParaBase"/>
    <w:link w:val="notetextChar"/>
    <w:rsid w:val="00292944"/>
    <w:pPr>
      <w:spacing w:before="122" w:line="240" w:lineRule="auto"/>
      <w:ind w:left="1985" w:hanging="851"/>
    </w:pPr>
    <w:rPr>
      <w:sz w:val="18"/>
    </w:rPr>
  </w:style>
  <w:style w:type="paragraph" w:customStyle="1" w:styleId="Item">
    <w:name w:val="Item"/>
    <w:aliases w:val="i"/>
    <w:basedOn w:val="OPCParaBase"/>
    <w:next w:val="ItemHead"/>
    <w:link w:val="ItemChar"/>
    <w:rsid w:val="00292944"/>
    <w:pPr>
      <w:keepLines/>
      <w:spacing w:before="80" w:line="240" w:lineRule="auto"/>
      <w:ind w:left="709"/>
    </w:pPr>
  </w:style>
  <w:style w:type="paragraph" w:customStyle="1" w:styleId="SubsectionHead">
    <w:name w:val="SubsectionHead"/>
    <w:aliases w:val="ssh"/>
    <w:basedOn w:val="OPCParaBase"/>
    <w:next w:val="subsection"/>
    <w:rsid w:val="00292944"/>
    <w:pPr>
      <w:keepNext/>
      <w:keepLines/>
      <w:spacing w:before="240" w:line="240" w:lineRule="auto"/>
      <w:ind w:left="1134"/>
    </w:pPr>
    <w:rPr>
      <w:i/>
    </w:rPr>
  </w:style>
  <w:style w:type="character" w:customStyle="1" w:styleId="CharAmPartNo">
    <w:name w:val="CharAmPartNo"/>
    <w:basedOn w:val="OPCCharBase"/>
    <w:qFormat/>
    <w:rsid w:val="00292944"/>
  </w:style>
  <w:style w:type="paragraph" w:customStyle="1" w:styleId="paragraphsub-sub">
    <w:name w:val="paragraph(sub-sub)"/>
    <w:aliases w:val="aaa"/>
    <w:basedOn w:val="OPCParaBase"/>
    <w:rsid w:val="00292944"/>
    <w:pPr>
      <w:tabs>
        <w:tab w:val="right" w:pos="2722"/>
      </w:tabs>
      <w:spacing w:before="40" w:line="240" w:lineRule="auto"/>
      <w:ind w:left="2835" w:hanging="2835"/>
    </w:pPr>
  </w:style>
  <w:style w:type="character" w:customStyle="1" w:styleId="paragraphChar">
    <w:name w:val="paragraph Char"/>
    <w:aliases w:val="a Char"/>
    <w:basedOn w:val="DefaultParagraphFont"/>
    <w:link w:val="paragraph"/>
    <w:rsid w:val="00F011D7"/>
    <w:rPr>
      <w:sz w:val="22"/>
    </w:rPr>
  </w:style>
  <w:style w:type="character" w:customStyle="1" w:styleId="subsectionChar">
    <w:name w:val="subsection Char"/>
    <w:aliases w:val="ss Char"/>
    <w:basedOn w:val="DefaultParagraphFont"/>
    <w:link w:val="subsection"/>
    <w:rsid w:val="00292944"/>
    <w:rPr>
      <w:sz w:val="22"/>
    </w:rPr>
  </w:style>
  <w:style w:type="paragraph" w:customStyle="1" w:styleId="BoxHeadBold">
    <w:name w:val="BoxHeadBold"/>
    <w:aliases w:val="bhb"/>
    <w:basedOn w:val="BoxText"/>
    <w:next w:val="BoxText"/>
    <w:qFormat/>
    <w:rsid w:val="00292944"/>
    <w:rPr>
      <w:b/>
    </w:rPr>
  </w:style>
  <w:style w:type="paragraph" w:customStyle="1" w:styleId="BoxHeadItalic">
    <w:name w:val="BoxHeadItalic"/>
    <w:aliases w:val="bhi"/>
    <w:basedOn w:val="BoxText"/>
    <w:next w:val="BoxStep"/>
    <w:qFormat/>
    <w:rsid w:val="00292944"/>
    <w:rPr>
      <w:i/>
    </w:rPr>
  </w:style>
  <w:style w:type="paragraph" w:customStyle="1" w:styleId="BoxList">
    <w:name w:val="BoxList"/>
    <w:aliases w:val="bl"/>
    <w:basedOn w:val="BoxText"/>
    <w:qFormat/>
    <w:rsid w:val="00292944"/>
    <w:pPr>
      <w:ind w:left="1559" w:hanging="425"/>
    </w:pPr>
  </w:style>
  <w:style w:type="paragraph" w:customStyle="1" w:styleId="BoxNote">
    <w:name w:val="BoxNote"/>
    <w:aliases w:val="bn"/>
    <w:basedOn w:val="BoxText"/>
    <w:qFormat/>
    <w:rsid w:val="00292944"/>
    <w:pPr>
      <w:tabs>
        <w:tab w:val="left" w:pos="1985"/>
      </w:tabs>
      <w:spacing w:before="122" w:line="198" w:lineRule="exact"/>
      <w:ind w:left="2948" w:hanging="1814"/>
    </w:pPr>
    <w:rPr>
      <w:sz w:val="18"/>
    </w:rPr>
  </w:style>
  <w:style w:type="paragraph" w:customStyle="1" w:styleId="BoxPara">
    <w:name w:val="BoxPara"/>
    <w:aliases w:val="bp"/>
    <w:basedOn w:val="BoxText"/>
    <w:qFormat/>
    <w:rsid w:val="00292944"/>
    <w:pPr>
      <w:tabs>
        <w:tab w:val="right" w:pos="2268"/>
      </w:tabs>
      <w:ind w:left="2552" w:hanging="1418"/>
    </w:pPr>
  </w:style>
  <w:style w:type="paragraph" w:customStyle="1" w:styleId="BoxStep">
    <w:name w:val="BoxStep"/>
    <w:aliases w:val="bs"/>
    <w:basedOn w:val="BoxText"/>
    <w:qFormat/>
    <w:rsid w:val="00292944"/>
    <w:pPr>
      <w:ind w:left="1985" w:hanging="851"/>
    </w:pPr>
  </w:style>
  <w:style w:type="character" w:customStyle="1" w:styleId="CharAmPartText">
    <w:name w:val="CharAmPartText"/>
    <w:basedOn w:val="OPCCharBase"/>
    <w:qFormat/>
    <w:rsid w:val="00292944"/>
  </w:style>
  <w:style w:type="character" w:customStyle="1" w:styleId="CharBoldItalic">
    <w:name w:val="CharBoldItalic"/>
    <w:basedOn w:val="OPCCharBase"/>
    <w:uiPriority w:val="1"/>
    <w:qFormat/>
    <w:rsid w:val="00292944"/>
    <w:rPr>
      <w:b/>
      <w:i/>
    </w:rPr>
  </w:style>
  <w:style w:type="character" w:customStyle="1" w:styleId="CharItalic">
    <w:name w:val="CharItalic"/>
    <w:basedOn w:val="OPCCharBase"/>
    <w:uiPriority w:val="1"/>
    <w:qFormat/>
    <w:rsid w:val="00292944"/>
    <w:rPr>
      <w:i/>
    </w:rPr>
  </w:style>
  <w:style w:type="character" w:customStyle="1" w:styleId="CharSubdNo">
    <w:name w:val="CharSubdNo"/>
    <w:basedOn w:val="OPCCharBase"/>
    <w:uiPriority w:val="1"/>
    <w:qFormat/>
    <w:rsid w:val="00292944"/>
  </w:style>
  <w:style w:type="character" w:customStyle="1" w:styleId="CharSubdText">
    <w:name w:val="CharSubdText"/>
    <w:basedOn w:val="OPCCharBase"/>
    <w:uiPriority w:val="1"/>
    <w:qFormat/>
    <w:rsid w:val="00292944"/>
  </w:style>
  <w:style w:type="paragraph" w:customStyle="1" w:styleId="CTA--">
    <w:name w:val="CTA --"/>
    <w:basedOn w:val="OPCParaBase"/>
    <w:next w:val="Normal"/>
    <w:rsid w:val="00292944"/>
    <w:pPr>
      <w:spacing w:before="60" w:line="240" w:lineRule="atLeast"/>
      <w:ind w:left="142" w:hanging="142"/>
    </w:pPr>
    <w:rPr>
      <w:sz w:val="20"/>
    </w:rPr>
  </w:style>
  <w:style w:type="paragraph" w:customStyle="1" w:styleId="CTA-">
    <w:name w:val="CTA -"/>
    <w:basedOn w:val="OPCParaBase"/>
    <w:rsid w:val="00292944"/>
    <w:pPr>
      <w:spacing w:before="60" w:line="240" w:lineRule="atLeast"/>
      <w:ind w:left="85" w:hanging="85"/>
    </w:pPr>
    <w:rPr>
      <w:sz w:val="20"/>
    </w:rPr>
  </w:style>
  <w:style w:type="paragraph" w:customStyle="1" w:styleId="CTA---">
    <w:name w:val="CTA ---"/>
    <w:basedOn w:val="OPCParaBase"/>
    <w:next w:val="Normal"/>
    <w:rsid w:val="00292944"/>
    <w:pPr>
      <w:spacing w:before="60" w:line="240" w:lineRule="atLeast"/>
      <w:ind w:left="198" w:hanging="198"/>
    </w:pPr>
    <w:rPr>
      <w:sz w:val="20"/>
    </w:rPr>
  </w:style>
  <w:style w:type="paragraph" w:customStyle="1" w:styleId="CTA----">
    <w:name w:val="CTA ----"/>
    <w:basedOn w:val="OPCParaBase"/>
    <w:next w:val="Normal"/>
    <w:rsid w:val="00292944"/>
    <w:pPr>
      <w:spacing w:before="60" w:line="240" w:lineRule="atLeast"/>
      <w:ind w:left="255" w:hanging="255"/>
    </w:pPr>
    <w:rPr>
      <w:sz w:val="20"/>
    </w:rPr>
  </w:style>
  <w:style w:type="paragraph" w:customStyle="1" w:styleId="CTA1a">
    <w:name w:val="CTA 1(a)"/>
    <w:basedOn w:val="OPCParaBase"/>
    <w:rsid w:val="00292944"/>
    <w:pPr>
      <w:tabs>
        <w:tab w:val="right" w:pos="414"/>
      </w:tabs>
      <w:spacing w:before="40" w:line="240" w:lineRule="atLeast"/>
      <w:ind w:left="675" w:hanging="675"/>
    </w:pPr>
    <w:rPr>
      <w:sz w:val="20"/>
    </w:rPr>
  </w:style>
  <w:style w:type="paragraph" w:customStyle="1" w:styleId="CTA1ai">
    <w:name w:val="CTA 1(a)(i)"/>
    <w:basedOn w:val="OPCParaBase"/>
    <w:rsid w:val="00292944"/>
    <w:pPr>
      <w:tabs>
        <w:tab w:val="right" w:pos="1004"/>
      </w:tabs>
      <w:spacing w:before="40" w:line="240" w:lineRule="atLeast"/>
      <w:ind w:left="1253" w:hanging="1253"/>
    </w:pPr>
    <w:rPr>
      <w:sz w:val="20"/>
    </w:rPr>
  </w:style>
  <w:style w:type="paragraph" w:customStyle="1" w:styleId="CTA2a">
    <w:name w:val="CTA 2(a)"/>
    <w:basedOn w:val="OPCParaBase"/>
    <w:rsid w:val="00292944"/>
    <w:pPr>
      <w:tabs>
        <w:tab w:val="right" w:pos="482"/>
      </w:tabs>
      <w:spacing w:before="40" w:line="240" w:lineRule="atLeast"/>
      <w:ind w:left="748" w:hanging="748"/>
    </w:pPr>
    <w:rPr>
      <w:sz w:val="20"/>
    </w:rPr>
  </w:style>
  <w:style w:type="paragraph" w:customStyle="1" w:styleId="CTA2ai">
    <w:name w:val="CTA 2(a)(i)"/>
    <w:basedOn w:val="OPCParaBase"/>
    <w:rsid w:val="00292944"/>
    <w:pPr>
      <w:tabs>
        <w:tab w:val="right" w:pos="1089"/>
      </w:tabs>
      <w:spacing w:before="40" w:line="240" w:lineRule="atLeast"/>
      <w:ind w:left="1327" w:hanging="1327"/>
    </w:pPr>
    <w:rPr>
      <w:sz w:val="20"/>
    </w:rPr>
  </w:style>
  <w:style w:type="paragraph" w:customStyle="1" w:styleId="CTA3a">
    <w:name w:val="CTA 3(a)"/>
    <w:basedOn w:val="OPCParaBase"/>
    <w:rsid w:val="00292944"/>
    <w:pPr>
      <w:tabs>
        <w:tab w:val="right" w:pos="556"/>
      </w:tabs>
      <w:spacing w:before="40" w:line="240" w:lineRule="atLeast"/>
      <w:ind w:left="805" w:hanging="805"/>
    </w:pPr>
    <w:rPr>
      <w:sz w:val="20"/>
    </w:rPr>
  </w:style>
  <w:style w:type="paragraph" w:customStyle="1" w:styleId="CTA3ai">
    <w:name w:val="CTA 3(a)(i)"/>
    <w:basedOn w:val="OPCParaBase"/>
    <w:rsid w:val="00292944"/>
    <w:pPr>
      <w:tabs>
        <w:tab w:val="right" w:pos="1140"/>
      </w:tabs>
      <w:spacing w:before="40" w:line="240" w:lineRule="atLeast"/>
      <w:ind w:left="1361" w:hanging="1361"/>
    </w:pPr>
    <w:rPr>
      <w:sz w:val="20"/>
    </w:rPr>
  </w:style>
  <w:style w:type="paragraph" w:customStyle="1" w:styleId="CTA4a">
    <w:name w:val="CTA 4(a)"/>
    <w:basedOn w:val="OPCParaBase"/>
    <w:rsid w:val="00292944"/>
    <w:pPr>
      <w:tabs>
        <w:tab w:val="right" w:pos="624"/>
      </w:tabs>
      <w:spacing w:before="40" w:line="240" w:lineRule="atLeast"/>
      <w:ind w:left="873" w:hanging="873"/>
    </w:pPr>
    <w:rPr>
      <w:sz w:val="20"/>
    </w:rPr>
  </w:style>
  <w:style w:type="paragraph" w:customStyle="1" w:styleId="CTA4ai">
    <w:name w:val="CTA 4(a)(i)"/>
    <w:basedOn w:val="OPCParaBase"/>
    <w:rsid w:val="00292944"/>
    <w:pPr>
      <w:tabs>
        <w:tab w:val="right" w:pos="1213"/>
      </w:tabs>
      <w:spacing w:before="40" w:line="240" w:lineRule="atLeast"/>
      <w:ind w:left="1452" w:hanging="1452"/>
    </w:pPr>
    <w:rPr>
      <w:sz w:val="20"/>
    </w:rPr>
  </w:style>
  <w:style w:type="paragraph" w:customStyle="1" w:styleId="CTACAPS">
    <w:name w:val="CTA CAPS"/>
    <w:basedOn w:val="OPCParaBase"/>
    <w:rsid w:val="00292944"/>
    <w:pPr>
      <w:spacing w:before="60" w:line="240" w:lineRule="atLeast"/>
    </w:pPr>
    <w:rPr>
      <w:sz w:val="20"/>
    </w:rPr>
  </w:style>
  <w:style w:type="paragraph" w:customStyle="1" w:styleId="CTAright">
    <w:name w:val="CTA right"/>
    <w:basedOn w:val="OPCParaBase"/>
    <w:rsid w:val="00292944"/>
    <w:pPr>
      <w:spacing w:before="60" w:line="240" w:lineRule="auto"/>
      <w:jc w:val="right"/>
    </w:pPr>
    <w:rPr>
      <w:sz w:val="20"/>
    </w:rPr>
  </w:style>
  <w:style w:type="character" w:customStyle="1" w:styleId="HeaderChar">
    <w:name w:val="Header Char"/>
    <w:basedOn w:val="DefaultParagraphFont"/>
    <w:link w:val="Header"/>
    <w:rsid w:val="00292944"/>
    <w:rPr>
      <w:sz w:val="16"/>
    </w:rPr>
  </w:style>
  <w:style w:type="paragraph" w:customStyle="1" w:styleId="House">
    <w:name w:val="House"/>
    <w:basedOn w:val="OPCParaBase"/>
    <w:rsid w:val="00292944"/>
    <w:pPr>
      <w:spacing w:line="240" w:lineRule="auto"/>
    </w:pPr>
    <w:rPr>
      <w:sz w:val="28"/>
    </w:rPr>
  </w:style>
  <w:style w:type="paragraph" w:customStyle="1" w:styleId="LongT">
    <w:name w:val="LongT"/>
    <w:basedOn w:val="OPCParaBase"/>
    <w:rsid w:val="00292944"/>
    <w:pPr>
      <w:spacing w:line="240" w:lineRule="auto"/>
    </w:pPr>
    <w:rPr>
      <w:b/>
      <w:sz w:val="32"/>
    </w:rPr>
  </w:style>
  <w:style w:type="paragraph" w:customStyle="1" w:styleId="notedraft">
    <w:name w:val="note(draft)"/>
    <w:aliases w:val="nd"/>
    <w:basedOn w:val="OPCParaBase"/>
    <w:rsid w:val="00292944"/>
    <w:pPr>
      <w:spacing w:before="240" w:line="240" w:lineRule="auto"/>
      <w:ind w:left="284" w:hanging="284"/>
    </w:pPr>
    <w:rPr>
      <w:i/>
      <w:sz w:val="24"/>
    </w:rPr>
  </w:style>
  <w:style w:type="paragraph" w:customStyle="1" w:styleId="notemargin">
    <w:name w:val="note(margin)"/>
    <w:aliases w:val="nm"/>
    <w:basedOn w:val="OPCParaBase"/>
    <w:rsid w:val="00292944"/>
    <w:pPr>
      <w:tabs>
        <w:tab w:val="left" w:pos="709"/>
      </w:tabs>
      <w:spacing w:before="122" w:line="198" w:lineRule="exact"/>
      <w:ind w:left="709" w:hanging="709"/>
    </w:pPr>
    <w:rPr>
      <w:sz w:val="18"/>
    </w:rPr>
  </w:style>
  <w:style w:type="paragraph" w:customStyle="1" w:styleId="notepara">
    <w:name w:val="note(para)"/>
    <w:aliases w:val="na"/>
    <w:basedOn w:val="OPCParaBase"/>
    <w:rsid w:val="00292944"/>
    <w:pPr>
      <w:spacing w:before="40" w:line="198" w:lineRule="exact"/>
      <w:ind w:left="2354" w:hanging="369"/>
    </w:pPr>
    <w:rPr>
      <w:sz w:val="18"/>
    </w:rPr>
  </w:style>
  <w:style w:type="paragraph" w:customStyle="1" w:styleId="noteParlAmend">
    <w:name w:val="note(ParlAmend)"/>
    <w:aliases w:val="npp"/>
    <w:basedOn w:val="OPCParaBase"/>
    <w:next w:val="ParlAmend"/>
    <w:rsid w:val="00292944"/>
    <w:pPr>
      <w:spacing w:line="240" w:lineRule="auto"/>
      <w:jc w:val="right"/>
    </w:pPr>
    <w:rPr>
      <w:rFonts w:ascii="Arial" w:hAnsi="Arial"/>
      <w:b/>
      <w:i/>
    </w:rPr>
  </w:style>
  <w:style w:type="paragraph" w:customStyle="1" w:styleId="Page1">
    <w:name w:val="Page1"/>
    <w:basedOn w:val="OPCParaBase"/>
    <w:rsid w:val="00292944"/>
    <w:pPr>
      <w:spacing w:before="5600" w:line="240" w:lineRule="auto"/>
    </w:pPr>
    <w:rPr>
      <w:b/>
      <w:sz w:val="32"/>
    </w:rPr>
  </w:style>
  <w:style w:type="paragraph" w:customStyle="1" w:styleId="ParlAmend">
    <w:name w:val="ParlAmend"/>
    <w:aliases w:val="pp"/>
    <w:basedOn w:val="OPCParaBase"/>
    <w:rsid w:val="00292944"/>
    <w:pPr>
      <w:spacing w:before="240" w:line="240" w:lineRule="atLeast"/>
      <w:ind w:hanging="567"/>
    </w:pPr>
    <w:rPr>
      <w:sz w:val="24"/>
    </w:rPr>
  </w:style>
  <w:style w:type="paragraph" w:customStyle="1" w:styleId="Portfolio">
    <w:name w:val="Portfolio"/>
    <w:basedOn w:val="OPCParaBase"/>
    <w:rsid w:val="00292944"/>
    <w:pPr>
      <w:spacing w:line="240" w:lineRule="auto"/>
    </w:pPr>
    <w:rPr>
      <w:i/>
      <w:sz w:val="20"/>
    </w:rPr>
  </w:style>
  <w:style w:type="paragraph" w:customStyle="1" w:styleId="Preamble">
    <w:name w:val="Preamble"/>
    <w:basedOn w:val="OPCParaBase"/>
    <w:next w:val="Normal"/>
    <w:rsid w:val="0029294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92944"/>
    <w:pPr>
      <w:spacing w:line="240" w:lineRule="auto"/>
    </w:pPr>
    <w:rPr>
      <w:i/>
      <w:sz w:val="20"/>
    </w:rPr>
  </w:style>
  <w:style w:type="paragraph" w:customStyle="1" w:styleId="Session">
    <w:name w:val="Session"/>
    <w:basedOn w:val="OPCParaBase"/>
    <w:rsid w:val="00292944"/>
    <w:pPr>
      <w:spacing w:line="240" w:lineRule="auto"/>
    </w:pPr>
    <w:rPr>
      <w:sz w:val="28"/>
    </w:rPr>
  </w:style>
  <w:style w:type="paragraph" w:customStyle="1" w:styleId="Sponsor">
    <w:name w:val="Sponsor"/>
    <w:basedOn w:val="OPCParaBase"/>
    <w:rsid w:val="00292944"/>
    <w:pPr>
      <w:spacing w:line="240" w:lineRule="auto"/>
    </w:pPr>
    <w:rPr>
      <w:i/>
    </w:rPr>
  </w:style>
  <w:style w:type="paragraph" w:customStyle="1" w:styleId="Subitem">
    <w:name w:val="Subitem"/>
    <w:aliases w:val="iss"/>
    <w:basedOn w:val="OPCParaBase"/>
    <w:rsid w:val="00292944"/>
    <w:pPr>
      <w:spacing w:before="180" w:line="240" w:lineRule="auto"/>
      <w:ind w:left="709" w:hanging="709"/>
    </w:pPr>
  </w:style>
  <w:style w:type="paragraph" w:customStyle="1" w:styleId="SubitemHead">
    <w:name w:val="SubitemHead"/>
    <w:aliases w:val="issh"/>
    <w:basedOn w:val="OPCParaBase"/>
    <w:rsid w:val="00292944"/>
    <w:pPr>
      <w:keepNext/>
      <w:keepLines/>
      <w:spacing w:before="220" w:line="240" w:lineRule="auto"/>
      <w:ind w:left="709"/>
    </w:pPr>
    <w:rPr>
      <w:rFonts w:ascii="Arial" w:hAnsi="Arial"/>
      <w:i/>
      <w:kern w:val="28"/>
    </w:rPr>
  </w:style>
  <w:style w:type="paragraph" w:customStyle="1" w:styleId="Tablea">
    <w:name w:val="Table(a)"/>
    <w:aliases w:val="ta"/>
    <w:basedOn w:val="OPCParaBase"/>
    <w:rsid w:val="00292944"/>
    <w:pPr>
      <w:spacing w:before="60" w:line="240" w:lineRule="auto"/>
      <w:ind w:left="284" w:hanging="284"/>
    </w:pPr>
    <w:rPr>
      <w:sz w:val="20"/>
    </w:rPr>
  </w:style>
  <w:style w:type="paragraph" w:customStyle="1" w:styleId="TableAA">
    <w:name w:val="Table(AA)"/>
    <w:aliases w:val="taaa"/>
    <w:basedOn w:val="OPCParaBase"/>
    <w:rsid w:val="0029294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9294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292944"/>
    <w:pPr>
      <w:spacing w:before="60" w:line="240" w:lineRule="atLeast"/>
    </w:pPr>
    <w:rPr>
      <w:sz w:val="20"/>
    </w:rPr>
  </w:style>
  <w:style w:type="paragraph" w:customStyle="1" w:styleId="TLPBoxTextnote">
    <w:name w:val="TLPBoxText(note"/>
    <w:aliases w:val="right)"/>
    <w:basedOn w:val="OPCParaBase"/>
    <w:rsid w:val="0029294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right">
    <w:name w:val="TLPnote(right)"/>
    <w:aliases w:val="nr"/>
    <w:basedOn w:val="OPCParaBase"/>
    <w:rsid w:val="00292944"/>
    <w:pPr>
      <w:spacing w:before="122" w:line="198" w:lineRule="exact"/>
      <w:ind w:left="1985" w:hanging="851"/>
      <w:jc w:val="right"/>
    </w:pPr>
    <w:rPr>
      <w:sz w:val="18"/>
    </w:rPr>
  </w:style>
  <w:style w:type="paragraph" w:customStyle="1" w:styleId="TLPTableBullet">
    <w:name w:val="TLPTableBullet"/>
    <w:aliases w:val="ttb"/>
    <w:basedOn w:val="OPCParaBase"/>
    <w:rsid w:val="00292944"/>
    <w:pPr>
      <w:spacing w:line="240" w:lineRule="exact"/>
      <w:ind w:left="284" w:hanging="284"/>
    </w:pPr>
    <w:rPr>
      <w:sz w:val="20"/>
    </w:rPr>
  </w:style>
  <w:style w:type="paragraph" w:customStyle="1" w:styleId="TofSectsGroupHeading">
    <w:name w:val="TofSects(GroupHeading)"/>
    <w:basedOn w:val="OPCParaBase"/>
    <w:next w:val="TofSectsSection"/>
    <w:rsid w:val="00292944"/>
    <w:pPr>
      <w:keepLines/>
      <w:spacing w:before="240" w:after="120" w:line="240" w:lineRule="auto"/>
      <w:ind w:left="794"/>
    </w:pPr>
    <w:rPr>
      <w:b/>
      <w:kern w:val="28"/>
      <w:sz w:val="20"/>
    </w:rPr>
  </w:style>
  <w:style w:type="paragraph" w:customStyle="1" w:styleId="TofSectsHeading">
    <w:name w:val="TofSects(Heading)"/>
    <w:basedOn w:val="OPCParaBase"/>
    <w:rsid w:val="00292944"/>
    <w:pPr>
      <w:spacing w:before="240" w:after="120" w:line="240" w:lineRule="auto"/>
    </w:pPr>
    <w:rPr>
      <w:b/>
      <w:sz w:val="24"/>
    </w:rPr>
  </w:style>
  <w:style w:type="paragraph" w:customStyle="1" w:styleId="TofSectsSection">
    <w:name w:val="TofSects(Section)"/>
    <w:basedOn w:val="OPCParaBase"/>
    <w:rsid w:val="00292944"/>
    <w:pPr>
      <w:keepLines/>
      <w:spacing w:before="40" w:line="240" w:lineRule="auto"/>
      <w:ind w:left="1588" w:hanging="794"/>
    </w:pPr>
    <w:rPr>
      <w:kern w:val="28"/>
      <w:sz w:val="18"/>
    </w:rPr>
  </w:style>
  <w:style w:type="paragraph" w:customStyle="1" w:styleId="TofSectsSubdiv">
    <w:name w:val="TofSects(Subdiv)"/>
    <w:basedOn w:val="OPCParaBase"/>
    <w:rsid w:val="00292944"/>
    <w:pPr>
      <w:keepLines/>
      <w:spacing w:before="80" w:line="240" w:lineRule="auto"/>
      <w:ind w:left="1588" w:hanging="794"/>
    </w:pPr>
    <w:rPr>
      <w:kern w:val="28"/>
    </w:rPr>
  </w:style>
  <w:style w:type="paragraph" w:customStyle="1" w:styleId="WRStyle">
    <w:name w:val="WR Style"/>
    <w:aliases w:val="WR"/>
    <w:basedOn w:val="OPCParaBase"/>
    <w:rsid w:val="00292944"/>
    <w:pPr>
      <w:spacing w:before="240" w:line="240" w:lineRule="auto"/>
      <w:ind w:left="284" w:hanging="284"/>
    </w:pPr>
    <w:rPr>
      <w:b/>
      <w:i/>
      <w:kern w:val="28"/>
      <w:sz w:val="24"/>
    </w:rPr>
  </w:style>
  <w:style w:type="character" w:customStyle="1" w:styleId="Heading1Char">
    <w:name w:val="Heading 1 Char"/>
    <w:basedOn w:val="DefaultParagraphFont"/>
    <w:link w:val="Heading1"/>
    <w:uiPriority w:val="9"/>
    <w:rsid w:val="00292944"/>
    <w:rPr>
      <w:rFonts w:asciiTheme="majorHAnsi" w:eastAsiaTheme="majorEastAsia" w:hAnsiTheme="majorHAnsi" w:cstheme="majorBidi"/>
      <w:b/>
      <w:bCs/>
      <w:color w:val="365F91" w:themeColor="accent1" w:themeShade="BF"/>
      <w:sz w:val="28"/>
      <w:szCs w:val="28"/>
      <w:lang w:eastAsia="en-US"/>
    </w:rPr>
  </w:style>
  <w:style w:type="paragraph" w:customStyle="1" w:styleId="noteToPara">
    <w:name w:val="noteToPara"/>
    <w:aliases w:val="ntp"/>
    <w:basedOn w:val="OPCParaBase"/>
    <w:rsid w:val="00292944"/>
    <w:pPr>
      <w:spacing w:before="122" w:line="198" w:lineRule="exact"/>
      <w:ind w:left="2353" w:hanging="709"/>
    </w:pPr>
    <w:rPr>
      <w:sz w:val="18"/>
    </w:rPr>
  </w:style>
  <w:style w:type="character" w:customStyle="1" w:styleId="FooterChar">
    <w:name w:val="Footer Char"/>
    <w:basedOn w:val="DefaultParagraphFont"/>
    <w:link w:val="Footer"/>
    <w:rsid w:val="00292944"/>
    <w:rPr>
      <w:sz w:val="22"/>
      <w:szCs w:val="24"/>
    </w:rPr>
  </w:style>
  <w:style w:type="character" w:customStyle="1" w:styleId="BalloonTextChar">
    <w:name w:val="Balloon Text Char"/>
    <w:basedOn w:val="DefaultParagraphFont"/>
    <w:link w:val="BalloonText"/>
    <w:uiPriority w:val="99"/>
    <w:rsid w:val="0029294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92944"/>
    <w:pPr>
      <w:keepNext/>
      <w:spacing w:before="60" w:line="240" w:lineRule="atLeast"/>
    </w:pPr>
    <w:rPr>
      <w:b/>
      <w:sz w:val="20"/>
    </w:rPr>
  </w:style>
  <w:style w:type="table" w:customStyle="1" w:styleId="CFlag">
    <w:name w:val="CFlag"/>
    <w:basedOn w:val="TableNormal"/>
    <w:uiPriority w:val="99"/>
    <w:rsid w:val="00292944"/>
    <w:tblPr/>
  </w:style>
  <w:style w:type="paragraph" w:customStyle="1" w:styleId="ENotesText">
    <w:name w:val="ENotesText"/>
    <w:aliases w:val="Ent"/>
    <w:basedOn w:val="OPCParaBase"/>
    <w:next w:val="Normal"/>
    <w:rsid w:val="00292944"/>
    <w:pPr>
      <w:spacing w:before="120"/>
    </w:pPr>
  </w:style>
  <w:style w:type="paragraph" w:customStyle="1" w:styleId="CompiledActNo">
    <w:name w:val="CompiledActNo"/>
    <w:basedOn w:val="OPCParaBase"/>
    <w:next w:val="Normal"/>
    <w:rsid w:val="00292944"/>
    <w:rPr>
      <w:b/>
      <w:sz w:val="24"/>
      <w:szCs w:val="24"/>
    </w:rPr>
  </w:style>
  <w:style w:type="paragraph" w:customStyle="1" w:styleId="CompiledMadeUnder">
    <w:name w:val="CompiledMadeUnder"/>
    <w:basedOn w:val="OPCParaBase"/>
    <w:next w:val="Normal"/>
    <w:rsid w:val="00292944"/>
    <w:rPr>
      <w:i/>
      <w:sz w:val="24"/>
      <w:szCs w:val="24"/>
    </w:rPr>
  </w:style>
  <w:style w:type="paragraph" w:customStyle="1" w:styleId="Paragraphsub-sub-sub">
    <w:name w:val="Paragraph(sub-sub-sub)"/>
    <w:aliases w:val="aaaa"/>
    <w:basedOn w:val="OPCParaBase"/>
    <w:rsid w:val="0029294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9294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9294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9294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9294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92944"/>
    <w:pPr>
      <w:spacing w:before="60" w:line="240" w:lineRule="auto"/>
    </w:pPr>
    <w:rPr>
      <w:rFonts w:cs="Arial"/>
      <w:sz w:val="20"/>
      <w:szCs w:val="22"/>
    </w:rPr>
  </w:style>
  <w:style w:type="paragraph" w:customStyle="1" w:styleId="NoteToSubpara">
    <w:name w:val="NoteToSubpara"/>
    <w:aliases w:val="nts"/>
    <w:basedOn w:val="OPCParaBase"/>
    <w:rsid w:val="00292944"/>
    <w:pPr>
      <w:spacing w:before="40" w:line="198" w:lineRule="exact"/>
      <w:ind w:left="2835" w:hanging="709"/>
    </w:pPr>
    <w:rPr>
      <w:sz w:val="18"/>
    </w:rPr>
  </w:style>
  <w:style w:type="paragraph" w:customStyle="1" w:styleId="ENoteTableHeading">
    <w:name w:val="ENoteTableHeading"/>
    <w:aliases w:val="enth"/>
    <w:basedOn w:val="OPCParaBase"/>
    <w:rsid w:val="00292944"/>
    <w:pPr>
      <w:keepNext/>
      <w:spacing w:before="60" w:line="240" w:lineRule="atLeast"/>
    </w:pPr>
    <w:rPr>
      <w:rFonts w:ascii="Arial" w:hAnsi="Arial"/>
      <w:b/>
      <w:sz w:val="16"/>
    </w:rPr>
  </w:style>
  <w:style w:type="paragraph" w:customStyle="1" w:styleId="ENoteTableText">
    <w:name w:val="ENoteTableText"/>
    <w:aliases w:val="entt"/>
    <w:basedOn w:val="OPCParaBase"/>
    <w:rsid w:val="00292944"/>
    <w:pPr>
      <w:spacing w:before="60" w:line="240" w:lineRule="atLeast"/>
    </w:pPr>
    <w:rPr>
      <w:sz w:val="16"/>
    </w:rPr>
  </w:style>
  <w:style w:type="paragraph" w:customStyle="1" w:styleId="ENoteTTi">
    <w:name w:val="ENoteTTi"/>
    <w:aliases w:val="entti"/>
    <w:basedOn w:val="OPCParaBase"/>
    <w:rsid w:val="00292944"/>
    <w:pPr>
      <w:keepNext/>
      <w:spacing w:before="60" w:line="240" w:lineRule="atLeast"/>
      <w:ind w:left="170"/>
    </w:pPr>
    <w:rPr>
      <w:sz w:val="16"/>
    </w:rPr>
  </w:style>
  <w:style w:type="paragraph" w:customStyle="1" w:styleId="ENoteTTIndentHeading">
    <w:name w:val="ENoteTTIndentHeading"/>
    <w:aliases w:val="enTTHi"/>
    <w:basedOn w:val="OPCParaBase"/>
    <w:rsid w:val="00292944"/>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292944"/>
    <w:pPr>
      <w:spacing w:before="120"/>
      <w:outlineLvl w:val="1"/>
    </w:pPr>
    <w:rPr>
      <w:b/>
      <w:sz w:val="28"/>
      <w:szCs w:val="28"/>
    </w:rPr>
  </w:style>
  <w:style w:type="paragraph" w:customStyle="1" w:styleId="ENotesHeading2">
    <w:name w:val="ENotesHeading 2"/>
    <w:aliases w:val="Enh2"/>
    <w:basedOn w:val="OPCParaBase"/>
    <w:next w:val="Normal"/>
    <w:rsid w:val="00292944"/>
    <w:pPr>
      <w:spacing w:before="120" w:after="120"/>
      <w:outlineLvl w:val="2"/>
    </w:pPr>
    <w:rPr>
      <w:b/>
      <w:sz w:val="24"/>
      <w:szCs w:val="28"/>
    </w:rPr>
  </w:style>
  <w:style w:type="paragraph" w:customStyle="1" w:styleId="ENotesHeading3">
    <w:name w:val="ENotesHeading 3"/>
    <w:aliases w:val="Enh3"/>
    <w:basedOn w:val="OPCParaBase"/>
    <w:next w:val="Normal"/>
    <w:rsid w:val="00292944"/>
    <w:pPr>
      <w:keepNext/>
      <w:spacing w:before="120" w:line="240" w:lineRule="auto"/>
      <w:outlineLvl w:val="4"/>
    </w:pPr>
    <w:rPr>
      <w:b/>
      <w:szCs w:val="24"/>
    </w:rPr>
  </w:style>
  <w:style w:type="paragraph" w:customStyle="1" w:styleId="InstNo">
    <w:name w:val="InstNo"/>
    <w:basedOn w:val="OPCParaBase"/>
    <w:next w:val="Normal"/>
    <w:rsid w:val="00292944"/>
    <w:rPr>
      <w:b/>
      <w:sz w:val="28"/>
      <w:szCs w:val="32"/>
    </w:rPr>
  </w:style>
  <w:style w:type="paragraph" w:customStyle="1" w:styleId="TerritoryT">
    <w:name w:val="TerritoryT"/>
    <w:basedOn w:val="OPCParaBase"/>
    <w:next w:val="Normal"/>
    <w:rsid w:val="00292944"/>
    <w:rPr>
      <w:b/>
      <w:sz w:val="32"/>
    </w:rPr>
  </w:style>
  <w:style w:type="paragraph" w:customStyle="1" w:styleId="LegislationMadeUnder">
    <w:name w:val="LegislationMadeUnder"/>
    <w:basedOn w:val="OPCParaBase"/>
    <w:next w:val="Normal"/>
    <w:rsid w:val="00292944"/>
    <w:rPr>
      <w:i/>
      <w:sz w:val="32"/>
      <w:szCs w:val="32"/>
    </w:rPr>
  </w:style>
  <w:style w:type="paragraph" w:customStyle="1" w:styleId="ActHead10">
    <w:name w:val="ActHead 10"/>
    <w:aliases w:val="sp"/>
    <w:basedOn w:val="OPCParaBase"/>
    <w:next w:val="ActHead3"/>
    <w:rsid w:val="00292944"/>
    <w:pPr>
      <w:keepNext/>
      <w:spacing w:before="280" w:line="240" w:lineRule="auto"/>
      <w:outlineLvl w:val="1"/>
    </w:pPr>
    <w:rPr>
      <w:b/>
      <w:sz w:val="32"/>
      <w:szCs w:val="30"/>
    </w:rPr>
  </w:style>
  <w:style w:type="paragraph" w:customStyle="1" w:styleId="SignCoverPageEnd">
    <w:name w:val="SignCoverPageEnd"/>
    <w:basedOn w:val="OPCParaBase"/>
    <w:next w:val="Normal"/>
    <w:rsid w:val="0029294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92944"/>
    <w:pPr>
      <w:pBdr>
        <w:top w:val="single" w:sz="4" w:space="1" w:color="auto"/>
      </w:pBdr>
      <w:spacing w:before="360"/>
      <w:ind w:right="397"/>
      <w:jc w:val="both"/>
    </w:pPr>
  </w:style>
  <w:style w:type="paragraph" w:customStyle="1" w:styleId="NotesHeading2">
    <w:name w:val="NotesHeading 2"/>
    <w:basedOn w:val="OPCParaBase"/>
    <w:next w:val="Normal"/>
    <w:rsid w:val="00292944"/>
    <w:rPr>
      <w:b/>
      <w:sz w:val="28"/>
      <w:szCs w:val="28"/>
    </w:rPr>
  </w:style>
  <w:style w:type="paragraph" w:customStyle="1" w:styleId="NotesHeading1">
    <w:name w:val="NotesHeading 1"/>
    <w:basedOn w:val="OPCParaBase"/>
    <w:next w:val="Normal"/>
    <w:rsid w:val="00292944"/>
    <w:rPr>
      <w:b/>
      <w:sz w:val="28"/>
      <w:szCs w:val="28"/>
    </w:rPr>
  </w:style>
  <w:style w:type="paragraph" w:customStyle="1" w:styleId="ActHead1">
    <w:name w:val="ActHead 1"/>
    <w:aliases w:val="c"/>
    <w:basedOn w:val="OPCParaBase"/>
    <w:next w:val="Normal"/>
    <w:qFormat/>
    <w:rsid w:val="0029294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29294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29294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9294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9294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9294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9294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9294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92944"/>
    <w:pPr>
      <w:keepNext/>
      <w:keepLines/>
      <w:spacing w:before="280" w:line="240" w:lineRule="auto"/>
      <w:ind w:left="1134" w:hanging="1134"/>
      <w:outlineLvl w:val="8"/>
    </w:pPr>
    <w:rPr>
      <w:b/>
      <w:i/>
      <w:kern w:val="28"/>
      <w:sz w:val="28"/>
    </w:rPr>
  </w:style>
  <w:style w:type="character" w:customStyle="1" w:styleId="OPCParaBaseChar">
    <w:name w:val="OPCParaBase Char"/>
    <w:basedOn w:val="DefaultParagraphFont"/>
    <w:link w:val="OPCParaBase"/>
    <w:rsid w:val="00EA46A9"/>
    <w:rPr>
      <w:sz w:val="22"/>
    </w:rPr>
  </w:style>
  <w:style w:type="character" w:customStyle="1" w:styleId="ActHead2Char">
    <w:name w:val="ActHead 2 Char"/>
    <w:aliases w:val="p Char"/>
    <w:basedOn w:val="OPCParaBaseChar"/>
    <w:link w:val="ActHead2"/>
    <w:rsid w:val="00EA46A9"/>
    <w:rPr>
      <w:b/>
      <w:kern w:val="28"/>
      <w:sz w:val="32"/>
    </w:rPr>
  </w:style>
  <w:style w:type="character" w:customStyle="1" w:styleId="ActHead5Char">
    <w:name w:val="ActHead 5 Char"/>
    <w:aliases w:val="s Char"/>
    <w:link w:val="ActHead5"/>
    <w:rsid w:val="00292944"/>
    <w:rPr>
      <w:b/>
      <w:kern w:val="28"/>
      <w:sz w:val="24"/>
    </w:rPr>
  </w:style>
  <w:style w:type="paragraph" w:customStyle="1" w:styleId="MadeunderText">
    <w:name w:val="MadeunderText"/>
    <w:basedOn w:val="OPCParaBase"/>
    <w:next w:val="Normal"/>
    <w:rsid w:val="00292944"/>
    <w:pPr>
      <w:spacing w:before="240"/>
    </w:pPr>
    <w:rPr>
      <w:sz w:val="24"/>
      <w:szCs w:val="24"/>
    </w:rPr>
  </w:style>
  <w:style w:type="paragraph" w:styleId="Revision">
    <w:name w:val="Revision"/>
    <w:hidden/>
    <w:uiPriority w:val="99"/>
    <w:semiHidden/>
    <w:rsid w:val="00705200"/>
    <w:rPr>
      <w:rFonts w:eastAsiaTheme="minorHAnsi" w:cstheme="minorBidi"/>
      <w:sz w:val="22"/>
      <w:lang w:eastAsia="en-US"/>
    </w:rPr>
  </w:style>
  <w:style w:type="paragraph" w:customStyle="1" w:styleId="SubPartCASA">
    <w:name w:val="SubPart(CASA)"/>
    <w:aliases w:val="csp"/>
    <w:basedOn w:val="OPCParaBase"/>
    <w:next w:val="ActHead3"/>
    <w:rsid w:val="0029294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92944"/>
  </w:style>
  <w:style w:type="character" w:customStyle="1" w:styleId="CharSubPartNoCASA">
    <w:name w:val="CharSubPartNo(CASA)"/>
    <w:basedOn w:val="OPCCharBase"/>
    <w:uiPriority w:val="1"/>
    <w:rsid w:val="00292944"/>
  </w:style>
  <w:style w:type="paragraph" w:customStyle="1" w:styleId="ENoteTTIndentHeadingSub">
    <w:name w:val="ENoteTTIndentHeadingSub"/>
    <w:aliases w:val="enTTHis"/>
    <w:basedOn w:val="OPCParaBase"/>
    <w:rsid w:val="00292944"/>
    <w:pPr>
      <w:keepNext/>
      <w:spacing w:before="60" w:line="240" w:lineRule="atLeast"/>
      <w:ind w:left="340"/>
    </w:pPr>
    <w:rPr>
      <w:b/>
      <w:sz w:val="16"/>
    </w:rPr>
  </w:style>
  <w:style w:type="paragraph" w:customStyle="1" w:styleId="ENoteTTiSub">
    <w:name w:val="ENoteTTiSub"/>
    <w:aliases w:val="enttis"/>
    <w:basedOn w:val="OPCParaBase"/>
    <w:rsid w:val="00292944"/>
    <w:pPr>
      <w:keepNext/>
      <w:spacing w:before="60" w:line="240" w:lineRule="atLeast"/>
      <w:ind w:left="340"/>
    </w:pPr>
    <w:rPr>
      <w:sz w:val="16"/>
    </w:rPr>
  </w:style>
  <w:style w:type="paragraph" w:customStyle="1" w:styleId="SubDivisionMigration">
    <w:name w:val="SubDivisionMigration"/>
    <w:aliases w:val="sdm"/>
    <w:basedOn w:val="OPCParaBase"/>
    <w:rsid w:val="0029294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92944"/>
    <w:pPr>
      <w:keepNext/>
      <w:keepLines/>
      <w:spacing w:before="240" w:line="240" w:lineRule="auto"/>
      <w:ind w:left="1134" w:hanging="1134"/>
    </w:pPr>
    <w:rPr>
      <w:b/>
      <w:sz w:val="28"/>
    </w:rPr>
  </w:style>
  <w:style w:type="paragraph" w:customStyle="1" w:styleId="FreeForm">
    <w:name w:val="FreeForm"/>
    <w:rsid w:val="00292944"/>
    <w:rPr>
      <w:rFonts w:ascii="Arial" w:eastAsiaTheme="minorHAnsi" w:hAnsi="Arial" w:cstheme="minorBidi"/>
      <w:sz w:val="22"/>
      <w:lang w:eastAsia="en-US"/>
    </w:rPr>
  </w:style>
  <w:style w:type="paragraph" w:customStyle="1" w:styleId="SOText">
    <w:name w:val="SO Text"/>
    <w:aliases w:val="sot"/>
    <w:link w:val="SOTextChar"/>
    <w:rsid w:val="0029294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92944"/>
    <w:rPr>
      <w:rFonts w:eastAsiaTheme="minorHAnsi" w:cstheme="minorBidi"/>
      <w:sz w:val="22"/>
      <w:lang w:eastAsia="en-US"/>
    </w:rPr>
  </w:style>
  <w:style w:type="paragraph" w:customStyle="1" w:styleId="SOTextNote">
    <w:name w:val="SO TextNote"/>
    <w:aliases w:val="sont"/>
    <w:basedOn w:val="SOText"/>
    <w:qFormat/>
    <w:rsid w:val="00292944"/>
    <w:pPr>
      <w:spacing w:before="122" w:line="198" w:lineRule="exact"/>
      <w:ind w:left="1843" w:hanging="709"/>
    </w:pPr>
    <w:rPr>
      <w:sz w:val="18"/>
    </w:rPr>
  </w:style>
  <w:style w:type="paragraph" w:customStyle="1" w:styleId="SOPara">
    <w:name w:val="SO Para"/>
    <w:aliases w:val="soa"/>
    <w:basedOn w:val="SOText"/>
    <w:link w:val="SOParaChar"/>
    <w:qFormat/>
    <w:rsid w:val="00292944"/>
    <w:pPr>
      <w:tabs>
        <w:tab w:val="right" w:pos="1786"/>
      </w:tabs>
      <w:spacing w:before="40"/>
      <w:ind w:left="2070" w:hanging="936"/>
    </w:pPr>
  </w:style>
  <w:style w:type="character" w:customStyle="1" w:styleId="SOParaChar">
    <w:name w:val="SO Para Char"/>
    <w:aliases w:val="soa Char"/>
    <w:basedOn w:val="DefaultParagraphFont"/>
    <w:link w:val="SOPara"/>
    <w:rsid w:val="00292944"/>
    <w:rPr>
      <w:rFonts w:eastAsiaTheme="minorHAnsi" w:cstheme="minorBidi"/>
      <w:sz w:val="22"/>
      <w:lang w:eastAsia="en-US"/>
    </w:rPr>
  </w:style>
  <w:style w:type="paragraph" w:customStyle="1" w:styleId="FileName">
    <w:name w:val="FileName"/>
    <w:basedOn w:val="Normal"/>
    <w:rsid w:val="00292944"/>
  </w:style>
  <w:style w:type="paragraph" w:customStyle="1" w:styleId="SOHeadBold">
    <w:name w:val="SO HeadBold"/>
    <w:aliases w:val="sohb"/>
    <w:basedOn w:val="SOText"/>
    <w:next w:val="SOText"/>
    <w:link w:val="SOHeadBoldChar"/>
    <w:qFormat/>
    <w:rsid w:val="00292944"/>
    <w:rPr>
      <w:b/>
    </w:rPr>
  </w:style>
  <w:style w:type="character" w:customStyle="1" w:styleId="SOHeadBoldChar">
    <w:name w:val="SO HeadBold Char"/>
    <w:aliases w:val="sohb Char"/>
    <w:basedOn w:val="DefaultParagraphFont"/>
    <w:link w:val="SOHeadBold"/>
    <w:rsid w:val="0029294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92944"/>
    <w:rPr>
      <w:i/>
    </w:rPr>
  </w:style>
  <w:style w:type="character" w:customStyle="1" w:styleId="SOHeadItalicChar">
    <w:name w:val="SO HeadItalic Char"/>
    <w:aliases w:val="sohi Char"/>
    <w:basedOn w:val="DefaultParagraphFont"/>
    <w:link w:val="SOHeadItalic"/>
    <w:rsid w:val="00292944"/>
    <w:rPr>
      <w:rFonts w:eastAsiaTheme="minorHAnsi" w:cstheme="minorBidi"/>
      <w:i/>
      <w:sz w:val="22"/>
      <w:lang w:eastAsia="en-US"/>
    </w:rPr>
  </w:style>
  <w:style w:type="paragraph" w:customStyle="1" w:styleId="SOBullet">
    <w:name w:val="SO Bullet"/>
    <w:aliases w:val="sotb"/>
    <w:basedOn w:val="SOText"/>
    <w:link w:val="SOBulletChar"/>
    <w:qFormat/>
    <w:rsid w:val="00292944"/>
    <w:pPr>
      <w:ind w:left="1559" w:hanging="425"/>
    </w:pPr>
  </w:style>
  <w:style w:type="character" w:customStyle="1" w:styleId="SOBulletChar">
    <w:name w:val="SO Bullet Char"/>
    <w:aliases w:val="sotb Char"/>
    <w:basedOn w:val="DefaultParagraphFont"/>
    <w:link w:val="SOBullet"/>
    <w:rsid w:val="00292944"/>
    <w:rPr>
      <w:rFonts w:eastAsiaTheme="minorHAnsi" w:cstheme="minorBidi"/>
      <w:sz w:val="22"/>
      <w:lang w:eastAsia="en-US"/>
    </w:rPr>
  </w:style>
  <w:style w:type="paragraph" w:customStyle="1" w:styleId="SOBulletNote">
    <w:name w:val="SO BulletNote"/>
    <w:aliases w:val="sonb"/>
    <w:basedOn w:val="SOTextNote"/>
    <w:link w:val="SOBulletNoteChar"/>
    <w:qFormat/>
    <w:rsid w:val="00292944"/>
    <w:pPr>
      <w:tabs>
        <w:tab w:val="left" w:pos="1560"/>
      </w:tabs>
      <w:ind w:left="2268" w:hanging="1134"/>
    </w:pPr>
  </w:style>
  <w:style w:type="character" w:customStyle="1" w:styleId="SOBulletNoteChar">
    <w:name w:val="SO BulletNote Char"/>
    <w:aliases w:val="sonb Char"/>
    <w:basedOn w:val="DefaultParagraphFont"/>
    <w:link w:val="SOBulletNote"/>
    <w:rsid w:val="00292944"/>
    <w:rPr>
      <w:rFonts w:eastAsiaTheme="minorHAnsi" w:cstheme="minorBidi"/>
      <w:sz w:val="18"/>
      <w:lang w:eastAsia="en-US"/>
    </w:rPr>
  </w:style>
  <w:style w:type="paragraph" w:customStyle="1" w:styleId="Specials">
    <w:name w:val="Special s"/>
    <w:basedOn w:val="ActHead5"/>
    <w:link w:val="SpecialsChar"/>
    <w:rsid w:val="00F32DDD"/>
    <w:pPr>
      <w:outlineLvl w:val="9"/>
    </w:pPr>
  </w:style>
  <w:style w:type="character" w:customStyle="1" w:styleId="SpecialsChar">
    <w:name w:val="Special s Char"/>
    <w:basedOn w:val="ActHead5Char"/>
    <w:link w:val="Specials"/>
    <w:rsid w:val="00F32DDD"/>
    <w:rPr>
      <w:b/>
      <w:kern w:val="28"/>
      <w:sz w:val="24"/>
    </w:rPr>
  </w:style>
  <w:style w:type="paragraph" w:customStyle="1" w:styleId="Specialaat">
    <w:name w:val="Special aat"/>
    <w:basedOn w:val="ActHead9"/>
    <w:link w:val="SpecialaatChar"/>
    <w:rsid w:val="00AD79BF"/>
    <w:pPr>
      <w:outlineLvl w:val="9"/>
    </w:pPr>
  </w:style>
  <w:style w:type="character" w:customStyle="1" w:styleId="SpecialaatChar">
    <w:name w:val="Special aat Char"/>
    <w:basedOn w:val="DefaultParagraphFont"/>
    <w:link w:val="Specialaat"/>
    <w:rsid w:val="00AD79BF"/>
    <w:rPr>
      <w:b/>
      <w:i/>
      <w:kern w:val="28"/>
      <w:sz w:val="28"/>
    </w:rPr>
  </w:style>
  <w:style w:type="character" w:customStyle="1" w:styleId="ItemHeadChar">
    <w:name w:val="ItemHead Char"/>
    <w:aliases w:val="ih Char"/>
    <w:basedOn w:val="OPCParaBaseChar"/>
    <w:link w:val="ItemHead"/>
    <w:rsid w:val="00024D1F"/>
    <w:rPr>
      <w:rFonts w:ascii="Arial" w:hAnsi="Arial"/>
      <w:b/>
      <w:kern w:val="28"/>
      <w:sz w:val="24"/>
    </w:rPr>
  </w:style>
  <w:style w:type="character" w:customStyle="1" w:styleId="ItemChar">
    <w:name w:val="Item Char"/>
    <w:aliases w:val="i Char"/>
    <w:basedOn w:val="DefaultParagraphFont"/>
    <w:link w:val="Item"/>
    <w:rsid w:val="00024D1F"/>
    <w:rPr>
      <w:sz w:val="22"/>
    </w:rPr>
  </w:style>
  <w:style w:type="character" w:customStyle="1" w:styleId="Heading2Char">
    <w:name w:val="Heading 2 Char"/>
    <w:basedOn w:val="DefaultParagraphFont"/>
    <w:link w:val="Heading2"/>
    <w:uiPriority w:val="9"/>
    <w:rsid w:val="00292944"/>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292944"/>
    <w:rPr>
      <w:rFonts w:asciiTheme="majorHAnsi" w:eastAsiaTheme="majorEastAsia" w:hAnsiTheme="majorHAnsi" w:cstheme="majorBidi"/>
      <w:b/>
      <w:bCs/>
      <w:color w:val="4F81BD" w:themeColor="accent1"/>
      <w:sz w:val="22"/>
      <w:lang w:eastAsia="en-US"/>
    </w:rPr>
  </w:style>
  <w:style w:type="paragraph" w:customStyle="1" w:styleId="Speciald">
    <w:name w:val="Special d"/>
    <w:basedOn w:val="ActHead3"/>
    <w:link w:val="SpecialdChar"/>
    <w:rsid w:val="0022433C"/>
    <w:pPr>
      <w:outlineLvl w:val="9"/>
    </w:pPr>
  </w:style>
  <w:style w:type="character" w:customStyle="1" w:styleId="ActHead3Char">
    <w:name w:val="ActHead 3 Char"/>
    <w:aliases w:val="d Char"/>
    <w:basedOn w:val="OPCParaBaseChar"/>
    <w:link w:val="ActHead3"/>
    <w:rsid w:val="0022433C"/>
    <w:rPr>
      <w:b/>
      <w:kern w:val="28"/>
      <w:sz w:val="28"/>
    </w:rPr>
  </w:style>
  <w:style w:type="character" w:customStyle="1" w:styleId="SpecialdChar">
    <w:name w:val="Special d Char"/>
    <w:basedOn w:val="ActHead3Char"/>
    <w:link w:val="Speciald"/>
    <w:rsid w:val="0022433C"/>
    <w:rPr>
      <w:b/>
      <w:kern w:val="28"/>
      <w:sz w:val="28"/>
    </w:rPr>
  </w:style>
  <w:style w:type="paragraph" w:customStyle="1" w:styleId="EnStatement">
    <w:name w:val="EnStatement"/>
    <w:basedOn w:val="Normal"/>
    <w:rsid w:val="00292944"/>
    <w:pPr>
      <w:numPr>
        <w:numId w:val="24"/>
      </w:numPr>
    </w:pPr>
    <w:rPr>
      <w:rFonts w:eastAsia="Times New Roman" w:cs="Times New Roman"/>
      <w:lang w:eastAsia="en-AU"/>
    </w:rPr>
  </w:style>
  <w:style w:type="paragraph" w:customStyle="1" w:styleId="EnStatementHeading">
    <w:name w:val="EnStatementHeading"/>
    <w:basedOn w:val="Normal"/>
    <w:rsid w:val="00292944"/>
    <w:rPr>
      <w:rFonts w:eastAsia="Times New Roman" w:cs="Times New Roman"/>
      <w:b/>
      <w:lang w:eastAsia="en-AU"/>
    </w:rPr>
  </w:style>
  <w:style w:type="paragraph" w:customStyle="1" w:styleId="Transitional">
    <w:name w:val="Transitional"/>
    <w:aliases w:val="tr"/>
    <w:basedOn w:val="ItemHead"/>
    <w:next w:val="Item"/>
    <w:rsid w:val="00292944"/>
  </w:style>
  <w:style w:type="character" w:customStyle="1" w:styleId="TabletextChar">
    <w:name w:val="Tabletext Char"/>
    <w:aliases w:val="tt Char"/>
    <w:basedOn w:val="DefaultParagraphFont"/>
    <w:link w:val="Tabletext"/>
    <w:rsid w:val="00875880"/>
  </w:style>
  <w:style w:type="character" w:customStyle="1" w:styleId="notetextChar">
    <w:name w:val="note(text) Char"/>
    <w:aliases w:val="n Char"/>
    <w:basedOn w:val="DefaultParagraphFont"/>
    <w:link w:val="notetext"/>
    <w:rsid w:val="00292944"/>
    <w:rPr>
      <w:sz w:val="18"/>
    </w:rPr>
  </w:style>
  <w:style w:type="character" w:customStyle="1" w:styleId="DefinitionChar">
    <w:name w:val="Definition Char"/>
    <w:aliases w:val="dd Char"/>
    <w:link w:val="Definition"/>
    <w:rsid w:val="006C30E7"/>
    <w:rPr>
      <w:sz w:val="22"/>
    </w:rPr>
  </w:style>
  <w:style w:type="character" w:customStyle="1" w:styleId="subsection2Char">
    <w:name w:val="subsection2 Char"/>
    <w:aliases w:val="ss2 Char"/>
    <w:basedOn w:val="DefaultParagraphFont"/>
    <w:link w:val="subsection2"/>
    <w:locked/>
    <w:rsid w:val="007D5872"/>
    <w:rPr>
      <w:sz w:val="22"/>
    </w:rPr>
  </w:style>
  <w:style w:type="paragraph" w:customStyle="1" w:styleId="Specialih">
    <w:name w:val="Special ih"/>
    <w:basedOn w:val="ItemHead"/>
    <w:link w:val="SpecialihChar"/>
    <w:rsid w:val="007D5872"/>
  </w:style>
  <w:style w:type="character" w:customStyle="1" w:styleId="SpecialihChar">
    <w:name w:val="Special ih Char"/>
    <w:basedOn w:val="ItemHeadChar"/>
    <w:link w:val="Specialih"/>
    <w:rsid w:val="007D5872"/>
    <w:rPr>
      <w:rFonts w:ascii="Arial" w:hAnsi="Arial"/>
      <w:b/>
      <w:kern w:val="28"/>
      <w:sz w:val="24"/>
    </w:rPr>
  </w:style>
  <w:style w:type="character" w:customStyle="1" w:styleId="Heading4Char">
    <w:name w:val="Heading 4 Char"/>
    <w:basedOn w:val="DefaultParagraphFont"/>
    <w:link w:val="Heading4"/>
    <w:uiPriority w:val="9"/>
    <w:rsid w:val="00292944"/>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292944"/>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292944"/>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292944"/>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292944"/>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292944"/>
    <w:rPr>
      <w:rFonts w:asciiTheme="majorHAnsi" w:eastAsiaTheme="majorEastAsia" w:hAnsiTheme="majorHAnsi" w:cstheme="majorBidi"/>
      <w:i/>
      <w:iCs/>
      <w:color w:val="404040" w:themeColor="text1" w:themeTint="BF"/>
      <w:lang w:eastAsia="en-US"/>
    </w:rPr>
  </w:style>
  <w:style w:type="paragraph" w:styleId="Bibliography">
    <w:name w:val="Bibliography"/>
    <w:basedOn w:val="Normal"/>
    <w:next w:val="Normal"/>
    <w:uiPriority w:val="37"/>
    <w:semiHidden/>
    <w:unhideWhenUsed/>
    <w:rsid w:val="00292944"/>
  </w:style>
  <w:style w:type="character" w:customStyle="1" w:styleId="BodyTextChar">
    <w:name w:val="Body Text Char"/>
    <w:basedOn w:val="DefaultParagraphFont"/>
    <w:link w:val="BodyText"/>
    <w:rsid w:val="00292944"/>
    <w:rPr>
      <w:rFonts w:eastAsiaTheme="minorHAnsi" w:cstheme="minorBidi"/>
      <w:sz w:val="22"/>
      <w:lang w:eastAsia="en-US"/>
    </w:rPr>
  </w:style>
  <w:style w:type="character" w:customStyle="1" w:styleId="BodyText2Char">
    <w:name w:val="Body Text 2 Char"/>
    <w:basedOn w:val="DefaultParagraphFont"/>
    <w:link w:val="BodyText2"/>
    <w:rsid w:val="00292944"/>
    <w:rPr>
      <w:rFonts w:eastAsiaTheme="minorHAnsi" w:cstheme="minorBidi"/>
      <w:sz w:val="22"/>
      <w:lang w:eastAsia="en-US"/>
    </w:rPr>
  </w:style>
  <w:style w:type="character" w:customStyle="1" w:styleId="BodyText3Char">
    <w:name w:val="Body Text 3 Char"/>
    <w:basedOn w:val="DefaultParagraphFont"/>
    <w:link w:val="BodyText3"/>
    <w:rsid w:val="00292944"/>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292944"/>
    <w:rPr>
      <w:rFonts w:eastAsiaTheme="minorHAnsi" w:cstheme="minorBidi"/>
      <w:sz w:val="22"/>
      <w:lang w:eastAsia="en-US"/>
    </w:rPr>
  </w:style>
  <w:style w:type="character" w:customStyle="1" w:styleId="BodyTextIndentChar">
    <w:name w:val="Body Text Indent Char"/>
    <w:basedOn w:val="DefaultParagraphFont"/>
    <w:link w:val="BodyTextIndent"/>
    <w:rsid w:val="00292944"/>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292944"/>
    <w:rPr>
      <w:rFonts w:eastAsiaTheme="minorHAnsi" w:cstheme="minorBidi"/>
      <w:sz w:val="22"/>
      <w:lang w:eastAsia="en-US"/>
    </w:rPr>
  </w:style>
  <w:style w:type="character" w:customStyle="1" w:styleId="BodyTextIndent2Char">
    <w:name w:val="Body Text Indent 2 Char"/>
    <w:basedOn w:val="DefaultParagraphFont"/>
    <w:link w:val="BodyTextIndent2"/>
    <w:rsid w:val="00292944"/>
    <w:rPr>
      <w:rFonts w:eastAsiaTheme="minorHAnsi" w:cstheme="minorBidi"/>
      <w:sz w:val="22"/>
      <w:lang w:eastAsia="en-US"/>
    </w:rPr>
  </w:style>
  <w:style w:type="character" w:customStyle="1" w:styleId="BodyTextIndent3Char">
    <w:name w:val="Body Text Indent 3 Char"/>
    <w:basedOn w:val="DefaultParagraphFont"/>
    <w:link w:val="BodyTextIndent3"/>
    <w:rsid w:val="00292944"/>
    <w:rPr>
      <w:rFonts w:eastAsiaTheme="minorHAnsi" w:cstheme="minorBidi"/>
      <w:sz w:val="16"/>
      <w:szCs w:val="16"/>
      <w:lang w:eastAsia="en-US"/>
    </w:rPr>
  </w:style>
  <w:style w:type="character" w:styleId="BookTitle">
    <w:name w:val="Book Title"/>
    <w:basedOn w:val="DefaultParagraphFont"/>
    <w:uiPriority w:val="33"/>
    <w:qFormat/>
    <w:rsid w:val="00292944"/>
    <w:rPr>
      <w:b/>
      <w:bCs/>
      <w:i/>
      <w:iCs/>
      <w:spacing w:val="5"/>
    </w:rPr>
  </w:style>
  <w:style w:type="character" w:customStyle="1" w:styleId="ClosingChar">
    <w:name w:val="Closing Char"/>
    <w:basedOn w:val="DefaultParagraphFont"/>
    <w:link w:val="Closing"/>
    <w:rsid w:val="00292944"/>
    <w:rPr>
      <w:rFonts w:eastAsiaTheme="minorHAnsi" w:cstheme="minorBidi"/>
      <w:sz w:val="22"/>
      <w:lang w:eastAsia="en-US"/>
    </w:rPr>
  </w:style>
  <w:style w:type="table" w:styleId="ColorfulGrid">
    <w:name w:val="Colorful Grid"/>
    <w:basedOn w:val="TableNormal"/>
    <w:uiPriority w:val="73"/>
    <w:semiHidden/>
    <w:unhideWhenUsed/>
    <w:rsid w:val="0029294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9294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9294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9294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9294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9294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9294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92944"/>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92944"/>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92944"/>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92944"/>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92944"/>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92944"/>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92944"/>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9294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9294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9294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92944"/>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92944"/>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92944"/>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92944"/>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292944"/>
    <w:rPr>
      <w:rFonts w:eastAsiaTheme="minorHAnsi" w:cstheme="minorBidi"/>
      <w:lang w:eastAsia="en-US"/>
    </w:rPr>
  </w:style>
  <w:style w:type="character" w:customStyle="1" w:styleId="CommentSubjectChar">
    <w:name w:val="Comment Subject Char"/>
    <w:basedOn w:val="CommentTextChar"/>
    <w:link w:val="CommentSubject"/>
    <w:rsid w:val="00292944"/>
    <w:rPr>
      <w:rFonts w:eastAsiaTheme="minorHAnsi" w:cstheme="minorBidi"/>
      <w:b/>
      <w:bCs/>
      <w:lang w:eastAsia="en-US"/>
    </w:rPr>
  </w:style>
  <w:style w:type="table" w:styleId="DarkList">
    <w:name w:val="Dark List"/>
    <w:basedOn w:val="TableNormal"/>
    <w:uiPriority w:val="70"/>
    <w:semiHidden/>
    <w:unhideWhenUsed/>
    <w:rsid w:val="00292944"/>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92944"/>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92944"/>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92944"/>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92944"/>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92944"/>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92944"/>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292944"/>
    <w:rPr>
      <w:rFonts w:eastAsiaTheme="minorHAnsi" w:cstheme="minorBidi"/>
      <w:sz w:val="22"/>
      <w:lang w:eastAsia="en-US"/>
    </w:rPr>
  </w:style>
  <w:style w:type="character" w:customStyle="1" w:styleId="DocumentMapChar">
    <w:name w:val="Document Map Char"/>
    <w:basedOn w:val="DefaultParagraphFont"/>
    <w:link w:val="DocumentMap"/>
    <w:rsid w:val="00292944"/>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292944"/>
    <w:rPr>
      <w:rFonts w:eastAsiaTheme="minorHAnsi" w:cstheme="minorBidi"/>
      <w:sz w:val="22"/>
      <w:lang w:eastAsia="en-US"/>
    </w:rPr>
  </w:style>
  <w:style w:type="character" w:customStyle="1" w:styleId="EndnoteTextChar">
    <w:name w:val="Endnote Text Char"/>
    <w:basedOn w:val="DefaultParagraphFont"/>
    <w:link w:val="EndnoteText"/>
    <w:rsid w:val="00292944"/>
    <w:rPr>
      <w:rFonts w:eastAsiaTheme="minorHAnsi" w:cstheme="minorBidi"/>
      <w:lang w:eastAsia="en-US"/>
    </w:rPr>
  </w:style>
  <w:style w:type="character" w:customStyle="1" w:styleId="FootnoteTextChar">
    <w:name w:val="Footnote Text Char"/>
    <w:basedOn w:val="DefaultParagraphFont"/>
    <w:link w:val="FootnoteText"/>
    <w:rsid w:val="00292944"/>
    <w:rPr>
      <w:rFonts w:eastAsiaTheme="minorHAnsi" w:cstheme="minorBidi"/>
      <w:lang w:eastAsia="en-US"/>
    </w:rPr>
  </w:style>
  <w:style w:type="table" w:styleId="GridTable1Light">
    <w:name w:val="Grid Table 1 Light"/>
    <w:basedOn w:val="TableNormal"/>
    <w:uiPriority w:val="46"/>
    <w:rsid w:val="00292944"/>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92944"/>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92944"/>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92944"/>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92944"/>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92944"/>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92944"/>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92944"/>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92944"/>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92944"/>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92944"/>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92944"/>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92944"/>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92944"/>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9294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9294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9294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9294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9294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9294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9294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9294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9294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9294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9294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9294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9294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9294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9294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9294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9294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9294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9294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9294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9294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9294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9294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9294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9294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9294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9294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9294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9294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9294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9294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9294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9294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9294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9294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92944"/>
    <w:rPr>
      <w:color w:val="2B579A"/>
      <w:shd w:val="clear" w:color="auto" w:fill="E1DFDD"/>
    </w:rPr>
  </w:style>
  <w:style w:type="character" w:customStyle="1" w:styleId="HTMLAddressChar">
    <w:name w:val="HTML Address Char"/>
    <w:basedOn w:val="DefaultParagraphFont"/>
    <w:link w:val="HTMLAddress"/>
    <w:rsid w:val="00292944"/>
    <w:rPr>
      <w:rFonts w:eastAsiaTheme="minorHAnsi" w:cstheme="minorBidi"/>
      <w:i/>
      <w:iCs/>
      <w:sz w:val="22"/>
      <w:lang w:eastAsia="en-US"/>
    </w:rPr>
  </w:style>
  <w:style w:type="character" w:customStyle="1" w:styleId="HTMLPreformattedChar">
    <w:name w:val="HTML Preformatted Char"/>
    <w:basedOn w:val="DefaultParagraphFont"/>
    <w:link w:val="HTMLPreformatted"/>
    <w:rsid w:val="00292944"/>
    <w:rPr>
      <w:rFonts w:ascii="Courier New" w:eastAsiaTheme="minorHAnsi" w:hAnsi="Courier New" w:cs="Courier New"/>
      <w:lang w:eastAsia="en-US"/>
    </w:rPr>
  </w:style>
  <w:style w:type="character" w:styleId="IntenseEmphasis">
    <w:name w:val="Intense Emphasis"/>
    <w:basedOn w:val="DefaultParagraphFont"/>
    <w:uiPriority w:val="21"/>
    <w:qFormat/>
    <w:rsid w:val="00292944"/>
    <w:rPr>
      <w:i/>
      <w:iCs/>
      <w:color w:val="4F81BD" w:themeColor="accent1"/>
    </w:rPr>
  </w:style>
  <w:style w:type="paragraph" w:styleId="IntenseQuote">
    <w:name w:val="Intense Quote"/>
    <w:basedOn w:val="Normal"/>
    <w:next w:val="Normal"/>
    <w:link w:val="IntenseQuoteChar"/>
    <w:uiPriority w:val="30"/>
    <w:qFormat/>
    <w:rsid w:val="0029294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92944"/>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292944"/>
    <w:rPr>
      <w:b/>
      <w:bCs/>
      <w:smallCaps/>
      <w:color w:val="4F81BD" w:themeColor="accent1"/>
      <w:spacing w:val="5"/>
    </w:rPr>
  </w:style>
  <w:style w:type="table" w:styleId="LightGrid">
    <w:name w:val="Light Grid"/>
    <w:basedOn w:val="TableNormal"/>
    <w:uiPriority w:val="62"/>
    <w:semiHidden/>
    <w:unhideWhenUsed/>
    <w:rsid w:val="0029294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9294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9294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9294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9294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9294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9294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9294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9294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9294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9294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9294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9294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9294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92944"/>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92944"/>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92944"/>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92944"/>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92944"/>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92944"/>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92944"/>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92944"/>
    <w:pPr>
      <w:ind w:left="720"/>
      <w:contextualSpacing/>
    </w:pPr>
  </w:style>
  <w:style w:type="table" w:styleId="ListTable1Light">
    <w:name w:val="List Table 1 Light"/>
    <w:basedOn w:val="TableNormal"/>
    <w:uiPriority w:val="46"/>
    <w:rsid w:val="00292944"/>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92944"/>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92944"/>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92944"/>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92944"/>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92944"/>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92944"/>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92944"/>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92944"/>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92944"/>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92944"/>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92944"/>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92944"/>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92944"/>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92944"/>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92944"/>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92944"/>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92944"/>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92944"/>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92944"/>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92944"/>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9294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9294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9294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9294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9294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9294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9294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92944"/>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92944"/>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92944"/>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92944"/>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92944"/>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92944"/>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92944"/>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92944"/>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92944"/>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92944"/>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92944"/>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92944"/>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92944"/>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92944"/>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92944"/>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92944"/>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92944"/>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92944"/>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92944"/>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92944"/>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92944"/>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292944"/>
    <w:rPr>
      <w:rFonts w:ascii="Courier New" w:hAnsi="Courier New" w:cs="Courier New"/>
    </w:rPr>
  </w:style>
  <w:style w:type="table" w:styleId="MediumGrid1">
    <w:name w:val="Medium Grid 1"/>
    <w:basedOn w:val="TableNormal"/>
    <w:uiPriority w:val="67"/>
    <w:semiHidden/>
    <w:unhideWhenUsed/>
    <w:rsid w:val="0029294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9294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9294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9294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9294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9294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9294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9294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9294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9294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9294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9294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9294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9294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9294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9294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9294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9294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9294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9294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9294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92944"/>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92944"/>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92944"/>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92944"/>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92944"/>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92944"/>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92944"/>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9294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9294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9294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9294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9294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9294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9294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9294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9294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9294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9294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9294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9294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9294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9294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9294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9294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9294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9294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9294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9294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92944"/>
    <w:rPr>
      <w:color w:val="2B579A"/>
      <w:shd w:val="clear" w:color="auto" w:fill="E1DFDD"/>
    </w:rPr>
  </w:style>
  <w:style w:type="character" w:customStyle="1" w:styleId="MessageHeaderChar">
    <w:name w:val="Message Header Char"/>
    <w:basedOn w:val="DefaultParagraphFont"/>
    <w:link w:val="MessageHeader"/>
    <w:rsid w:val="00292944"/>
    <w:rPr>
      <w:rFonts w:ascii="Arial" w:eastAsiaTheme="minorHAnsi" w:hAnsi="Arial" w:cs="Arial"/>
      <w:sz w:val="22"/>
      <w:shd w:val="pct20" w:color="auto" w:fill="auto"/>
      <w:lang w:eastAsia="en-US"/>
    </w:rPr>
  </w:style>
  <w:style w:type="paragraph" w:styleId="NoSpacing">
    <w:name w:val="No Spacing"/>
    <w:uiPriority w:val="1"/>
    <w:qFormat/>
    <w:rsid w:val="00292944"/>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292944"/>
    <w:pPr>
      <w:spacing w:line="240" w:lineRule="auto"/>
    </w:pPr>
  </w:style>
  <w:style w:type="character" w:customStyle="1" w:styleId="NoteHeadingChar">
    <w:name w:val="Note Heading Char"/>
    <w:basedOn w:val="DefaultParagraphFont"/>
    <w:link w:val="NoteHeading"/>
    <w:uiPriority w:val="99"/>
    <w:semiHidden/>
    <w:rsid w:val="00292944"/>
    <w:rPr>
      <w:rFonts w:eastAsiaTheme="minorHAnsi" w:cstheme="minorBidi"/>
      <w:sz w:val="22"/>
      <w:lang w:eastAsia="en-US"/>
    </w:rPr>
  </w:style>
  <w:style w:type="character" w:styleId="PlaceholderText">
    <w:name w:val="Placeholder Text"/>
    <w:basedOn w:val="DefaultParagraphFont"/>
    <w:uiPriority w:val="99"/>
    <w:semiHidden/>
    <w:rsid w:val="00292944"/>
    <w:rPr>
      <w:color w:val="808080"/>
    </w:rPr>
  </w:style>
  <w:style w:type="table" w:styleId="PlainTable1">
    <w:name w:val="Plain Table 1"/>
    <w:basedOn w:val="TableNormal"/>
    <w:uiPriority w:val="41"/>
    <w:rsid w:val="00292944"/>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92944"/>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92944"/>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92944"/>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92944"/>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292944"/>
    <w:rPr>
      <w:rFonts w:ascii="Courier New" w:eastAsiaTheme="minorHAnsi" w:hAnsi="Courier New" w:cs="Courier New"/>
      <w:lang w:eastAsia="en-US"/>
    </w:rPr>
  </w:style>
  <w:style w:type="paragraph" w:styleId="Quote">
    <w:name w:val="Quote"/>
    <w:basedOn w:val="Normal"/>
    <w:next w:val="Normal"/>
    <w:link w:val="QuoteChar"/>
    <w:uiPriority w:val="29"/>
    <w:qFormat/>
    <w:rsid w:val="002929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2944"/>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292944"/>
    <w:rPr>
      <w:rFonts w:eastAsiaTheme="minorHAnsi" w:cstheme="minorBidi"/>
      <w:sz w:val="22"/>
      <w:lang w:eastAsia="en-US"/>
    </w:rPr>
  </w:style>
  <w:style w:type="character" w:customStyle="1" w:styleId="SignatureChar">
    <w:name w:val="Signature Char"/>
    <w:basedOn w:val="DefaultParagraphFont"/>
    <w:link w:val="Signature"/>
    <w:rsid w:val="00292944"/>
    <w:rPr>
      <w:rFonts w:eastAsiaTheme="minorHAnsi" w:cstheme="minorBidi"/>
      <w:sz w:val="22"/>
      <w:lang w:eastAsia="en-US"/>
    </w:rPr>
  </w:style>
  <w:style w:type="character" w:styleId="SmartHyperlink">
    <w:name w:val="Smart Hyperlink"/>
    <w:basedOn w:val="DefaultParagraphFont"/>
    <w:uiPriority w:val="99"/>
    <w:semiHidden/>
    <w:unhideWhenUsed/>
    <w:rsid w:val="00292944"/>
    <w:rPr>
      <w:u w:val="dotted"/>
    </w:rPr>
  </w:style>
  <w:style w:type="character" w:customStyle="1" w:styleId="SubtitleChar">
    <w:name w:val="Subtitle Char"/>
    <w:basedOn w:val="DefaultParagraphFont"/>
    <w:link w:val="Subtitle"/>
    <w:rsid w:val="00292944"/>
    <w:rPr>
      <w:rFonts w:ascii="Arial" w:eastAsiaTheme="minorHAnsi" w:hAnsi="Arial" w:cs="Arial"/>
      <w:sz w:val="22"/>
      <w:lang w:eastAsia="en-US"/>
    </w:rPr>
  </w:style>
  <w:style w:type="character" w:styleId="SubtleEmphasis">
    <w:name w:val="Subtle Emphasis"/>
    <w:basedOn w:val="DefaultParagraphFont"/>
    <w:uiPriority w:val="19"/>
    <w:qFormat/>
    <w:rsid w:val="00292944"/>
    <w:rPr>
      <w:i/>
      <w:iCs/>
      <w:color w:val="404040" w:themeColor="text1" w:themeTint="BF"/>
    </w:rPr>
  </w:style>
  <w:style w:type="character" w:styleId="SubtleReference">
    <w:name w:val="Subtle Reference"/>
    <w:basedOn w:val="DefaultParagraphFont"/>
    <w:uiPriority w:val="31"/>
    <w:qFormat/>
    <w:rsid w:val="00292944"/>
    <w:rPr>
      <w:smallCaps/>
      <w:color w:val="5A5A5A" w:themeColor="text1" w:themeTint="A5"/>
    </w:rPr>
  </w:style>
  <w:style w:type="table" w:styleId="TableGridLight">
    <w:name w:val="Grid Table Light"/>
    <w:basedOn w:val="TableNormal"/>
    <w:uiPriority w:val="40"/>
    <w:rsid w:val="00292944"/>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292944"/>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292944"/>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292944"/>
    <w:rPr>
      <w:color w:val="605E5C"/>
      <w:shd w:val="clear" w:color="auto" w:fill="E1DFDD"/>
    </w:rPr>
  </w:style>
  <w:style w:type="paragraph" w:customStyle="1" w:styleId="SOText2">
    <w:name w:val="SO Text2"/>
    <w:aliases w:val="sot2"/>
    <w:basedOn w:val="Normal"/>
    <w:next w:val="SOText"/>
    <w:link w:val="SOText2Char"/>
    <w:rsid w:val="0029294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92944"/>
    <w:rPr>
      <w:rFonts w:eastAsiaTheme="minorHAnsi" w:cstheme="minorBidi"/>
      <w:sz w:val="22"/>
      <w:lang w:eastAsia="en-US"/>
    </w:rPr>
  </w:style>
  <w:style w:type="paragraph" w:customStyle="1" w:styleId="ETAsubitem">
    <w:name w:val="ETA(subitem)"/>
    <w:basedOn w:val="OPCParaBase"/>
    <w:rsid w:val="00292944"/>
    <w:pPr>
      <w:tabs>
        <w:tab w:val="right" w:pos="340"/>
      </w:tabs>
      <w:spacing w:before="60" w:line="240" w:lineRule="auto"/>
      <w:ind w:left="454" w:hanging="454"/>
    </w:pPr>
    <w:rPr>
      <w:sz w:val="20"/>
    </w:rPr>
  </w:style>
  <w:style w:type="paragraph" w:customStyle="1" w:styleId="ETApara">
    <w:name w:val="ETA(para)"/>
    <w:basedOn w:val="OPCParaBase"/>
    <w:rsid w:val="00292944"/>
    <w:pPr>
      <w:tabs>
        <w:tab w:val="right" w:pos="754"/>
      </w:tabs>
      <w:spacing w:before="60" w:line="240" w:lineRule="auto"/>
      <w:ind w:left="828" w:hanging="828"/>
    </w:pPr>
    <w:rPr>
      <w:sz w:val="20"/>
    </w:rPr>
  </w:style>
  <w:style w:type="paragraph" w:customStyle="1" w:styleId="ETAsubpara">
    <w:name w:val="ETA(subpara)"/>
    <w:basedOn w:val="OPCParaBase"/>
    <w:rsid w:val="00292944"/>
    <w:pPr>
      <w:tabs>
        <w:tab w:val="right" w:pos="1083"/>
      </w:tabs>
      <w:spacing w:before="60" w:line="240" w:lineRule="auto"/>
      <w:ind w:left="1191" w:hanging="1191"/>
    </w:pPr>
    <w:rPr>
      <w:sz w:val="20"/>
    </w:rPr>
  </w:style>
  <w:style w:type="paragraph" w:customStyle="1" w:styleId="ETAsub-subpara">
    <w:name w:val="ETA(sub-subpara)"/>
    <w:basedOn w:val="OPCParaBase"/>
    <w:rsid w:val="00292944"/>
    <w:pPr>
      <w:tabs>
        <w:tab w:val="right" w:pos="1412"/>
      </w:tabs>
      <w:spacing w:before="60" w:line="240" w:lineRule="auto"/>
      <w:ind w:left="1525" w:hanging="1525"/>
    </w:pPr>
    <w:rPr>
      <w:sz w:val="20"/>
    </w:rPr>
  </w:style>
  <w:style w:type="character" w:customStyle="1" w:styleId="charlegsubtitle1">
    <w:name w:val="charlegsubtitle1"/>
    <w:basedOn w:val="DefaultParagraphFont"/>
    <w:rsid w:val="00292944"/>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52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29.xml"/><Relationship Id="rId76" Type="http://schemas.openxmlformats.org/officeDocument/2006/relationships/header" Target="header35.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1.xml"/><Relationship Id="rId58" Type="http://schemas.openxmlformats.org/officeDocument/2006/relationships/header" Target="header26.xml"/><Relationship Id="rId66" Type="http://schemas.openxmlformats.org/officeDocument/2006/relationships/footer" Target="footer28.xml"/><Relationship Id="rId74" Type="http://schemas.openxmlformats.org/officeDocument/2006/relationships/footer" Target="footer32.xml"/><Relationship Id="rId79" Type="http://schemas.openxmlformats.org/officeDocument/2006/relationships/header" Target="header36.xml"/><Relationship Id="rId5" Type="http://schemas.openxmlformats.org/officeDocument/2006/relationships/webSettings" Target="webSettings.xml"/><Relationship Id="rId61" Type="http://schemas.openxmlformats.org/officeDocument/2006/relationships/header" Target="header2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header" Target="header23.xml"/><Relationship Id="rId60" Type="http://schemas.openxmlformats.org/officeDocument/2006/relationships/footer" Target="footer25.xml"/><Relationship Id="rId65" Type="http://schemas.openxmlformats.org/officeDocument/2006/relationships/footer" Target="footer27.xml"/><Relationship Id="rId73" Type="http://schemas.openxmlformats.org/officeDocument/2006/relationships/header" Target="header33.xml"/><Relationship Id="rId78" Type="http://schemas.openxmlformats.org/officeDocument/2006/relationships/footer" Target="footer34.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header" Target="header18.xml"/><Relationship Id="rId48" Type="http://schemas.openxmlformats.org/officeDocument/2006/relationships/footer" Target="footer19.xml"/><Relationship Id="rId56" Type="http://schemas.openxmlformats.org/officeDocument/2006/relationships/footer" Target="footer23.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footer" Target="footer33.xml"/><Relationship Id="rId8" Type="http://schemas.openxmlformats.org/officeDocument/2006/relationships/image" Target="media/image1.wmf"/><Relationship Id="rId51" Type="http://schemas.openxmlformats.org/officeDocument/2006/relationships/header" Target="header22.xml"/><Relationship Id="rId72" Type="http://schemas.openxmlformats.org/officeDocument/2006/relationships/footer" Target="footer31.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59" Type="http://schemas.openxmlformats.org/officeDocument/2006/relationships/footer" Target="footer24.xml"/><Relationship Id="rId67" Type="http://schemas.openxmlformats.org/officeDocument/2006/relationships/header" Target="header30.xml"/><Relationship Id="rId20" Type="http://schemas.openxmlformats.org/officeDocument/2006/relationships/header" Target="header6.xml"/><Relationship Id="rId41" Type="http://schemas.openxmlformats.org/officeDocument/2006/relationships/footer" Target="footer15.xml"/><Relationship Id="rId54" Type="http://schemas.openxmlformats.org/officeDocument/2006/relationships/footer" Target="footer22.xml"/><Relationship Id="rId62" Type="http://schemas.openxmlformats.org/officeDocument/2006/relationships/footer" Target="footer26.xml"/><Relationship Id="rId70" Type="http://schemas.openxmlformats.org/officeDocument/2006/relationships/header" Target="header32.xml"/><Relationship Id="rId75"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header" Target="header21.xml"/><Relationship Id="rId57" Type="http://schemas.openxmlformats.org/officeDocument/2006/relationships/header" Target="header2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9DE94-4E23-42CB-92FD-257BAB4A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175</Pages>
  <Words>47749</Words>
  <Characters>241917</Characters>
  <Application>Microsoft Office Word</Application>
  <DocSecurity>0</DocSecurity>
  <PresentationFormat/>
  <Lines>6431</Lines>
  <Paragraphs>3774</Paragraphs>
  <ScaleCrop>false</ScaleCrop>
  <HeadingPairs>
    <vt:vector size="2" baseType="variant">
      <vt:variant>
        <vt:lpstr>Title</vt:lpstr>
      </vt:variant>
      <vt:variant>
        <vt:i4>1</vt:i4>
      </vt:variant>
    </vt:vector>
  </HeadingPairs>
  <TitlesOfParts>
    <vt:vector size="1" baseType="lpstr">
      <vt:lpstr>Corporations Regulations 2001</vt:lpstr>
    </vt:vector>
  </TitlesOfParts>
  <Manager/>
  <Company/>
  <LinksUpToDate>false</LinksUpToDate>
  <CharactersWithSpaces>287642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Regulations 2001</dc:title>
  <dc:subject/>
  <dc:creator/>
  <cp:keywords/>
  <dc:description/>
  <cp:lastModifiedBy/>
  <cp:revision>1</cp:revision>
  <cp:lastPrinted>2013-05-24T02:03:00Z</cp:lastPrinted>
  <dcterms:created xsi:type="dcterms:W3CDTF">2024-06-29T00:51:00Z</dcterms:created>
  <dcterms:modified xsi:type="dcterms:W3CDTF">2024-06-29T00:51:00Z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Corporations Regulations 2001</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hangedTitle">
    <vt:lpwstr>Corporations Regulations 2001</vt:lpwstr>
  </property>
  <property fmtid="{D5CDD505-2E9C-101B-9397-08002B2CF9AE}" pid="16" name="DoNotAsk">
    <vt:lpwstr>1</vt:lpwstr>
  </property>
  <property fmtid="{D5CDD505-2E9C-101B-9397-08002B2CF9AE}" pid="17" name="CompilationVersion">
    <vt:i4>3</vt:i4>
  </property>
  <property fmtid="{D5CDD505-2E9C-101B-9397-08002B2CF9AE}" pid="18" name="CompilationNumber">
    <vt:lpwstr>196</vt:lpwstr>
  </property>
  <property fmtid="{D5CDD505-2E9C-101B-9397-08002B2CF9AE}" pid="19" name="StartDate">
    <vt:lpwstr>22 June 2024</vt:lpwstr>
  </property>
  <property fmtid="{D5CDD505-2E9C-101B-9397-08002B2CF9AE}" pid="20" name="PreparedDate">
    <vt:filetime>2016-04-17T14:00:00Z</vt:filetime>
  </property>
  <property fmtid="{D5CDD505-2E9C-101B-9397-08002B2CF9AE}" pid="21" name="RegisteredDate">
    <vt:lpwstr>29 June 2024</vt:lpwstr>
  </property>
  <property fmtid="{D5CDD505-2E9C-101B-9397-08002B2CF9AE}" pid="22" name="IncludesUpTo">
    <vt:lpwstr>F2024L00725</vt:lpwstr>
  </property>
</Properties>
</file>