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E28" w:rsidRPr="00FD3101" w:rsidRDefault="009B0E28" w:rsidP="00AE5925">
      <w:r w:rsidRPr="00FD310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7" o:title=""/>
          </v:shape>
          <o:OLEObject Type="Embed" ProgID="Word.Picture.8" ShapeID="_x0000_i1025" DrawAspect="Content" ObjectID="_1721115741" r:id="rId8"/>
        </w:object>
      </w:r>
    </w:p>
    <w:p w:rsidR="009B0E28" w:rsidRPr="00FD3101" w:rsidRDefault="009B0E28" w:rsidP="00AE5925">
      <w:pPr>
        <w:pStyle w:val="ShortT"/>
        <w:spacing w:before="240"/>
      </w:pPr>
      <w:bookmarkStart w:id="0" w:name="_GoBack"/>
      <w:r w:rsidRPr="00FD3101">
        <w:t xml:space="preserve">Corporations (Review Fees) </w:t>
      </w:r>
      <w:r w:rsidR="009A6D8A">
        <w:t>Regulations 2</w:t>
      </w:r>
      <w:r w:rsidRPr="00FD3101">
        <w:t>003</w:t>
      </w:r>
      <w:bookmarkEnd w:id="0"/>
    </w:p>
    <w:p w:rsidR="009B0E28" w:rsidRPr="00FD3101" w:rsidRDefault="009B0E28" w:rsidP="00AE5925">
      <w:pPr>
        <w:pStyle w:val="CompiledActNo"/>
        <w:spacing w:before="240"/>
      </w:pPr>
      <w:r w:rsidRPr="00FD3101">
        <w:t>Statutory Rules No.</w:t>
      </w:r>
      <w:r w:rsidR="00840DF8" w:rsidRPr="00FD3101">
        <w:t> </w:t>
      </w:r>
      <w:r w:rsidRPr="00FD3101">
        <w:t>160, 2003</w:t>
      </w:r>
    </w:p>
    <w:p w:rsidR="009B0E28" w:rsidRPr="00FD3101" w:rsidRDefault="009B0E28" w:rsidP="009B0E28">
      <w:pPr>
        <w:pStyle w:val="MadeunderText"/>
      </w:pPr>
      <w:r w:rsidRPr="00FD3101">
        <w:t>made under the</w:t>
      </w:r>
    </w:p>
    <w:p w:rsidR="009B0E28" w:rsidRPr="00FD3101" w:rsidRDefault="009B0E28" w:rsidP="009B0E28">
      <w:pPr>
        <w:pStyle w:val="CompiledMadeUnder"/>
        <w:spacing w:before="240"/>
      </w:pPr>
      <w:r w:rsidRPr="00FD3101">
        <w:t>Corporations (Review Fees) Act 2003</w:t>
      </w:r>
    </w:p>
    <w:p w:rsidR="009B0E28" w:rsidRPr="00FD3101" w:rsidRDefault="009B0E28" w:rsidP="00AE5925">
      <w:pPr>
        <w:spacing w:before="1000"/>
        <w:rPr>
          <w:rFonts w:cs="Arial"/>
          <w:b/>
          <w:sz w:val="32"/>
          <w:szCs w:val="32"/>
        </w:rPr>
      </w:pPr>
      <w:r w:rsidRPr="00FD3101">
        <w:rPr>
          <w:rFonts w:cs="Arial"/>
          <w:b/>
          <w:sz w:val="32"/>
          <w:szCs w:val="32"/>
        </w:rPr>
        <w:t>Compilation No.</w:t>
      </w:r>
      <w:r w:rsidR="00840DF8" w:rsidRPr="00FD3101">
        <w:rPr>
          <w:rFonts w:cs="Arial"/>
          <w:b/>
          <w:sz w:val="32"/>
          <w:szCs w:val="32"/>
        </w:rPr>
        <w:t> </w:t>
      </w:r>
      <w:r w:rsidRPr="00FD3101">
        <w:rPr>
          <w:rFonts w:cs="Arial"/>
          <w:b/>
          <w:sz w:val="32"/>
          <w:szCs w:val="32"/>
        </w:rPr>
        <w:fldChar w:fldCharType="begin"/>
      </w:r>
      <w:r w:rsidRPr="00FD3101">
        <w:rPr>
          <w:rFonts w:cs="Arial"/>
          <w:b/>
          <w:sz w:val="32"/>
          <w:szCs w:val="32"/>
        </w:rPr>
        <w:instrText xml:space="preserve"> DOCPROPERTY  CompilationNumber </w:instrText>
      </w:r>
      <w:r w:rsidRPr="00FD3101">
        <w:rPr>
          <w:rFonts w:cs="Arial"/>
          <w:b/>
          <w:sz w:val="32"/>
          <w:szCs w:val="32"/>
        </w:rPr>
        <w:fldChar w:fldCharType="separate"/>
      </w:r>
      <w:r w:rsidR="005B5F4D">
        <w:rPr>
          <w:rFonts w:cs="Arial"/>
          <w:b/>
          <w:sz w:val="32"/>
          <w:szCs w:val="32"/>
        </w:rPr>
        <w:t>10</w:t>
      </w:r>
      <w:r w:rsidRPr="00FD3101">
        <w:rPr>
          <w:rFonts w:cs="Arial"/>
          <w:b/>
          <w:sz w:val="32"/>
          <w:szCs w:val="32"/>
        </w:rPr>
        <w:fldChar w:fldCharType="end"/>
      </w:r>
    </w:p>
    <w:p w:rsidR="009B0E28" w:rsidRPr="00FD3101" w:rsidRDefault="009B0E28" w:rsidP="00FD3101">
      <w:pPr>
        <w:tabs>
          <w:tab w:val="left" w:pos="3600"/>
        </w:tabs>
        <w:spacing w:before="480"/>
        <w:rPr>
          <w:rFonts w:cs="Arial"/>
          <w:sz w:val="24"/>
        </w:rPr>
      </w:pPr>
      <w:r w:rsidRPr="00FD3101">
        <w:rPr>
          <w:rFonts w:cs="Arial"/>
          <w:b/>
          <w:sz w:val="24"/>
        </w:rPr>
        <w:t>Compilation date:</w:t>
      </w:r>
      <w:r w:rsidR="00FD3101" w:rsidRPr="00FD3101">
        <w:rPr>
          <w:rFonts w:cs="Arial"/>
          <w:b/>
          <w:sz w:val="24"/>
        </w:rPr>
        <w:tab/>
      </w:r>
      <w:r w:rsidRPr="005B5F4D">
        <w:rPr>
          <w:rFonts w:cs="Arial"/>
          <w:sz w:val="24"/>
        </w:rPr>
        <w:fldChar w:fldCharType="begin"/>
      </w:r>
      <w:r w:rsidR="00DF62CC">
        <w:rPr>
          <w:rFonts w:cs="Arial"/>
          <w:sz w:val="24"/>
        </w:rPr>
        <w:instrText>DOCPROPERTY StartDate \@ "d MMMM yyyy" \* MERGEFORMAT</w:instrText>
      </w:r>
      <w:r w:rsidRPr="005B5F4D">
        <w:rPr>
          <w:rFonts w:cs="Arial"/>
          <w:sz w:val="24"/>
        </w:rPr>
        <w:fldChar w:fldCharType="separate"/>
      </w:r>
      <w:r w:rsidR="00DF62CC">
        <w:rPr>
          <w:rFonts w:cs="Arial"/>
          <w:sz w:val="24"/>
        </w:rPr>
        <w:t>1 July 2022</w:t>
      </w:r>
      <w:r w:rsidRPr="005B5F4D">
        <w:rPr>
          <w:rFonts w:cs="Arial"/>
          <w:sz w:val="24"/>
        </w:rPr>
        <w:fldChar w:fldCharType="end"/>
      </w:r>
    </w:p>
    <w:p w:rsidR="009B0E28" w:rsidRPr="00FD3101" w:rsidRDefault="009B0E28" w:rsidP="00AE5925">
      <w:pPr>
        <w:spacing w:before="240"/>
        <w:rPr>
          <w:rFonts w:cs="Arial"/>
          <w:sz w:val="24"/>
        </w:rPr>
      </w:pPr>
      <w:r w:rsidRPr="00FD3101">
        <w:rPr>
          <w:rFonts w:cs="Arial"/>
          <w:b/>
          <w:sz w:val="24"/>
        </w:rPr>
        <w:t>Includes amendments up to:</w:t>
      </w:r>
      <w:r w:rsidRPr="00FD3101">
        <w:rPr>
          <w:rFonts w:cs="Arial"/>
          <w:b/>
          <w:sz w:val="24"/>
        </w:rPr>
        <w:tab/>
      </w:r>
      <w:r w:rsidRPr="005B5F4D">
        <w:rPr>
          <w:rFonts w:cs="Arial"/>
          <w:sz w:val="24"/>
        </w:rPr>
        <w:fldChar w:fldCharType="begin"/>
      </w:r>
      <w:r w:rsidRPr="005B5F4D">
        <w:rPr>
          <w:rFonts w:cs="Arial"/>
          <w:sz w:val="24"/>
        </w:rPr>
        <w:instrText xml:space="preserve"> DOCPROPERTY IncludesUpTo </w:instrText>
      </w:r>
      <w:r w:rsidRPr="005B5F4D">
        <w:rPr>
          <w:rFonts w:cs="Arial"/>
          <w:sz w:val="24"/>
        </w:rPr>
        <w:fldChar w:fldCharType="separate"/>
      </w:r>
      <w:r w:rsidR="005B5F4D" w:rsidRPr="005B5F4D">
        <w:rPr>
          <w:rFonts w:cs="Arial"/>
          <w:sz w:val="24"/>
        </w:rPr>
        <w:t>F2022L00466</w:t>
      </w:r>
      <w:r w:rsidRPr="005B5F4D">
        <w:rPr>
          <w:rFonts w:cs="Arial"/>
          <w:sz w:val="24"/>
        </w:rPr>
        <w:fldChar w:fldCharType="end"/>
      </w:r>
    </w:p>
    <w:p w:rsidR="009B0E28" w:rsidRPr="00FD3101" w:rsidRDefault="009B0E28" w:rsidP="00FD3101">
      <w:pPr>
        <w:tabs>
          <w:tab w:val="left" w:pos="3600"/>
        </w:tabs>
        <w:spacing w:before="240" w:after="240"/>
        <w:rPr>
          <w:rFonts w:cs="Arial"/>
          <w:sz w:val="28"/>
          <w:szCs w:val="28"/>
        </w:rPr>
      </w:pPr>
      <w:r w:rsidRPr="00FD3101">
        <w:rPr>
          <w:rFonts w:cs="Arial"/>
          <w:b/>
          <w:sz w:val="24"/>
        </w:rPr>
        <w:t>Registered:</w:t>
      </w:r>
      <w:r w:rsidR="00FD3101" w:rsidRPr="00FD3101">
        <w:rPr>
          <w:rFonts w:cs="Arial"/>
          <w:b/>
          <w:sz w:val="24"/>
        </w:rPr>
        <w:tab/>
      </w:r>
      <w:r w:rsidRPr="005B5F4D">
        <w:rPr>
          <w:rFonts w:cs="Arial"/>
          <w:sz w:val="24"/>
        </w:rPr>
        <w:fldChar w:fldCharType="begin"/>
      </w:r>
      <w:r w:rsidRPr="005B5F4D">
        <w:rPr>
          <w:rFonts w:cs="Arial"/>
          <w:sz w:val="24"/>
        </w:rPr>
        <w:instrText xml:space="preserve"> IF </w:instrText>
      </w:r>
      <w:r w:rsidRPr="005B5F4D">
        <w:rPr>
          <w:rFonts w:cs="Arial"/>
          <w:sz w:val="24"/>
        </w:rPr>
        <w:fldChar w:fldCharType="begin"/>
      </w:r>
      <w:r w:rsidRPr="005B5F4D">
        <w:rPr>
          <w:rFonts w:cs="Arial"/>
          <w:sz w:val="24"/>
        </w:rPr>
        <w:instrText xml:space="preserve"> DOCPROPERTY RegisteredDate </w:instrText>
      </w:r>
      <w:r w:rsidRPr="005B5F4D">
        <w:rPr>
          <w:rFonts w:cs="Arial"/>
          <w:sz w:val="24"/>
        </w:rPr>
        <w:fldChar w:fldCharType="separate"/>
      </w:r>
      <w:r w:rsidR="005B5F4D" w:rsidRPr="005B5F4D">
        <w:rPr>
          <w:rFonts w:cs="Arial"/>
          <w:sz w:val="24"/>
        </w:rPr>
        <w:instrText>04/08/2022</w:instrText>
      </w:r>
      <w:r w:rsidRPr="005B5F4D">
        <w:rPr>
          <w:rFonts w:cs="Arial"/>
          <w:sz w:val="24"/>
        </w:rPr>
        <w:fldChar w:fldCharType="end"/>
      </w:r>
      <w:r w:rsidRPr="005B5F4D">
        <w:rPr>
          <w:rFonts w:cs="Arial"/>
          <w:sz w:val="24"/>
        </w:rPr>
        <w:instrText xml:space="preserve"> = #1/1/1901# "Unknown" </w:instrText>
      </w:r>
      <w:r w:rsidRPr="005B5F4D">
        <w:rPr>
          <w:rFonts w:cs="Arial"/>
          <w:sz w:val="24"/>
        </w:rPr>
        <w:fldChar w:fldCharType="begin"/>
      </w:r>
      <w:r w:rsidRPr="005B5F4D">
        <w:rPr>
          <w:rFonts w:cs="Arial"/>
          <w:sz w:val="24"/>
        </w:rPr>
        <w:instrText xml:space="preserve"> DOCPROPERTY RegisteredDate \@ "d MMMM yyyy" </w:instrText>
      </w:r>
      <w:r w:rsidRPr="005B5F4D">
        <w:rPr>
          <w:rFonts w:cs="Arial"/>
          <w:sz w:val="24"/>
        </w:rPr>
        <w:fldChar w:fldCharType="separate"/>
      </w:r>
      <w:r w:rsidR="005B5F4D" w:rsidRPr="005B5F4D">
        <w:rPr>
          <w:rFonts w:cs="Arial"/>
          <w:sz w:val="24"/>
        </w:rPr>
        <w:instrText>4 August 2022</w:instrText>
      </w:r>
      <w:r w:rsidRPr="005B5F4D">
        <w:rPr>
          <w:rFonts w:cs="Arial"/>
          <w:sz w:val="24"/>
        </w:rPr>
        <w:fldChar w:fldCharType="end"/>
      </w:r>
      <w:r w:rsidRPr="005B5F4D">
        <w:rPr>
          <w:rFonts w:cs="Arial"/>
          <w:sz w:val="24"/>
        </w:rPr>
        <w:instrText xml:space="preserve"> \*MERGEFORMAT </w:instrText>
      </w:r>
      <w:r w:rsidRPr="005B5F4D">
        <w:rPr>
          <w:rFonts w:cs="Arial"/>
          <w:sz w:val="24"/>
        </w:rPr>
        <w:fldChar w:fldCharType="separate"/>
      </w:r>
      <w:r w:rsidR="009A6D8A">
        <w:rPr>
          <w:rFonts w:cs="Arial"/>
          <w:noProof/>
          <w:sz w:val="24"/>
        </w:rPr>
        <w:t>4 August</w:t>
      </w:r>
      <w:r w:rsidR="005B5F4D" w:rsidRPr="005B5F4D">
        <w:rPr>
          <w:rFonts w:cs="Arial"/>
          <w:noProof/>
          <w:sz w:val="24"/>
        </w:rPr>
        <w:t xml:space="preserve"> 2022</w:t>
      </w:r>
      <w:r w:rsidRPr="005B5F4D">
        <w:rPr>
          <w:rFonts w:cs="Arial"/>
          <w:sz w:val="24"/>
        </w:rPr>
        <w:fldChar w:fldCharType="end"/>
      </w:r>
    </w:p>
    <w:p w:rsidR="009B0E28" w:rsidRPr="00FD3101" w:rsidRDefault="009B0E28" w:rsidP="00AE5925">
      <w:pPr>
        <w:pageBreakBefore/>
        <w:rPr>
          <w:rFonts w:cs="Arial"/>
          <w:b/>
          <w:sz w:val="32"/>
          <w:szCs w:val="32"/>
        </w:rPr>
      </w:pPr>
      <w:r w:rsidRPr="00FD3101">
        <w:rPr>
          <w:rFonts w:cs="Arial"/>
          <w:b/>
          <w:sz w:val="32"/>
          <w:szCs w:val="32"/>
        </w:rPr>
        <w:lastRenderedPageBreak/>
        <w:t>About this compilation</w:t>
      </w:r>
    </w:p>
    <w:p w:rsidR="009B0E28" w:rsidRPr="00FD3101" w:rsidRDefault="009B0E28" w:rsidP="00AE5925">
      <w:pPr>
        <w:spacing w:before="240"/>
        <w:rPr>
          <w:rFonts w:cs="Arial"/>
        </w:rPr>
      </w:pPr>
      <w:r w:rsidRPr="00FD3101">
        <w:rPr>
          <w:rFonts w:cs="Arial"/>
          <w:b/>
          <w:szCs w:val="22"/>
        </w:rPr>
        <w:t>This compilation</w:t>
      </w:r>
    </w:p>
    <w:p w:rsidR="009B0E28" w:rsidRPr="00FD3101" w:rsidRDefault="009B0E28" w:rsidP="00AE5925">
      <w:pPr>
        <w:spacing w:before="120" w:after="120"/>
        <w:rPr>
          <w:rFonts w:cs="Arial"/>
          <w:szCs w:val="22"/>
        </w:rPr>
      </w:pPr>
      <w:r w:rsidRPr="00FD3101">
        <w:rPr>
          <w:rFonts w:cs="Arial"/>
          <w:szCs w:val="22"/>
        </w:rPr>
        <w:t xml:space="preserve">This is a compilation of the </w:t>
      </w:r>
      <w:r w:rsidRPr="00FD3101">
        <w:rPr>
          <w:rFonts w:cs="Arial"/>
          <w:i/>
          <w:szCs w:val="22"/>
        </w:rPr>
        <w:fldChar w:fldCharType="begin"/>
      </w:r>
      <w:r w:rsidRPr="00FD3101">
        <w:rPr>
          <w:rFonts w:cs="Arial"/>
          <w:i/>
          <w:szCs w:val="22"/>
        </w:rPr>
        <w:instrText xml:space="preserve"> STYLEREF  ShortT </w:instrText>
      </w:r>
      <w:r w:rsidRPr="00FD3101">
        <w:rPr>
          <w:rFonts w:cs="Arial"/>
          <w:i/>
          <w:szCs w:val="22"/>
        </w:rPr>
        <w:fldChar w:fldCharType="separate"/>
      </w:r>
      <w:r w:rsidR="009A6D8A">
        <w:rPr>
          <w:rFonts w:cs="Arial"/>
          <w:i/>
          <w:noProof/>
          <w:szCs w:val="22"/>
        </w:rPr>
        <w:t>Corporations (Review Fees) Regulations 2003</w:t>
      </w:r>
      <w:r w:rsidRPr="00FD3101">
        <w:rPr>
          <w:rFonts w:cs="Arial"/>
          <w:i/>
          <w:szCs w:val="22"/>
        </w:rPr>
        <w:fldChar w:fldCharType="end"/>
      </w:r>
      <w:r w:rsidRPr="00FD3101">
        <w:rPr>
          <w:rFonts w:cs="Arial"/>
          <w:szCs w:val="22"/>
        </w:rPr>
        <w:t xml:space="preserve"> that shows the text of the law as amended and in force on </w:t>
      </w:r>
      <w:r w:rsidRPr="005B5F4D">
        <w:rPr>
          <w:rFonts w:cs="Arial"/>
          <w:szCs w:val="22"/>
        </w:rPr>
        <w:fldChar w:fldCharType="begin"/>
      </w:r>
      <w:r w:rsidR="00DF62CC">
        <w:rPr>
          <w:rFonts w:cs="Arial"/>
          <w:szCs w:val="22"/>
        </w:rPr>
        <w:instrText>DOCPROPERTY StartDate \@ "d MMMM yyyy" \* MERGEFORMAT</w:instrText>
      </w:r>
      <w:r w:rsidRPr="005B5F4D">
        <w:rPr>
          <w:rFonts w:cs="Arial"/>
          <w:szCs w:val="22"/>
        </w:rPr>
        <w:fldChar w:fldCharType="separate"/>
      </w:r>
      <w:r w:rsidR="00DF62CC">
        <w:rPr>
          <w:rFonts w:cs="Arial"/>
          <w:szCs w:val="22"/>
        </w:rPr>
        <w:t>1 July 2022</w:t>
      </w:r>
      <w:r w:rsidRPr="005B5F4D">
        <w:rPr>
          <w:rFonts w:cs="Arial"/>
          <w:szCs w:val="22"/>
        </w:rPr>
        <w:fldChar w:fldCharType="end"/>
      </w:r>
      <w:r w:rsidRPr="00FD3101">
        <w:rPr>
          <w:rFonts w:cs="Arial"/>
          <w:szCs w:val="22"/>
        </w:rPr>
        <w:t xml:space="preserve"> (the </w:t>
      </w:r>
      <w:r w:rsidRPr="00FD3101">
        <w:rPr>
          <w:rFonts w:cs="Arial"/>
          <w:b/>
          <w:i/>
          <w:szCs w:val="22"/>
        </w:rPr>
        <w:t>compilation date</w:t>
      </w:r>
      <w:r w:rsidRPr="00FD3101">
        <w:rPr>
          <w:rFonts w:cs="Arial"/>
          <w:szCs w:val="22"/>
        </w:rPr>
        <w:t>).</w:t>
      </w:r>
    </w:p>
    <w:p w:rsidR="009B0E28" w:rsidRPr="00FD3101" w:rsidRDefault="009B0E28" w:rsidP="00AE5925">
      <w:pPr>
        <w:spacing w:after="120"/>
        <w:rPr>
          <w:rFonts w:cs="Arial"/>
          <w:szCs w:val="22"/>
        </w:rPr>
      </w:pPr>
      <w:r w:rsidRPr="00FD3101">
        <w:rPr>
          <w:rFonts w:cs="Arial"/>
          <w:szCs w:val="22"/>
        </w:rPr>
        <w:t xml:space="preserve">The notes at the end of this compilation (the </w:t>
      </w:r>
      <w:r w:rsidRPr="00FD3101">
        <w:rPr>
          <w:rFonts w:cs="Arial"/>
          <w:b/>
          <w:i/>
          <w:szCs w:val="22"/>
        </w:rPr>
        <w:t>endnotes</w:t>
      </w:r>
      <w:r w:rsidRPr="00FD3101">
        <w:rPr>
          <w:rFonts w:cs="Arial"/>
          <w:szCs w:val="22"/>
        </w:rPr>
        <w:t>) include information about amending laws and the amendment history of provisions of the compiled law.</w:t>
      </w:r>
    </w:p>
    <w:p w:rsidR="009B0E28" w:rsidRPr="00FD3101" w:rsidRDefault="009B0E28" w:rsidP="00AE5925">
      <w:pPr>
        <w:tabs>
          <w:tab w:val="left" w:pos="5640"/>
        </w:tabs>
        <w:spacing w:before="120" w:after="120"/>
        <w:rPr>
          <w:rFonts w:cs="Arial"/>
          <w:b/>
          <w:szCs w:val="22"/>
        </w:rPr>
      </w:pPr>
      <w:r w:rsidRPr="00FD3101">
        <w:rPr>
          <w:rFonts w:cs="Arial"/>
          <w:b/>
          <w:szCs w:val="22"/>
        </w:rPr>
        <w:t>Uncommenced amendments</w:t>
      </w:r>
    </w:p>
    <w:p w:rsidR="009B0E28" w:rsidRPr="00FD3101" w:rsidRDefault="009B0E28" w:rsidP="00AE5925">
      <w:pPr>
        <w:spacing w:after="120"/>
        <w:rPr>
          <w:rFonts w:cs="Arial"/>
          <w:szCs w:val="22"/>
        </w:rPr>
      </w:pPr>
      <w:r w:rsidRPr="00FD310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B0E28" w:rsidRPr="00FD3101" w:rsidRDefault="009B0E28" w:rsidP="00AE5925">
      <w:pPr>
        <w:spacing w:before="120" w:after="120"/>
        <w:rPr>
          <w:rFonts w:cs="Arial"/>
          <w:b/>
          <w:szCs w:val="22"/>
        </w:rPr>
      </w:pPr>
      <w:r w:rsidRPr="00FD3101">
        <w:rPr>
          <w:rFonts w:cs="Arial"/>
          <w:b/>
          <w:szCs w:val="22"/>
        </w:rPr>
        <w:t>Application, saving and transitional provisions for provisions and amendments</w:t>
      </w:r>
    </w:p>
    <w:p w:rsidR="009B0E28" w:rsidRPr="00FD3101" w:rsidRDefault="009B0E28" w:rsidP="00AE5925">
      <w:pPr>
        <w:spacing w:after="120"/>
        <w:rPr>
          <w:rFonts w:cs="Arial"/>
          <w:szCs w:val="22"/>
        </w:rPr>
      </w:pPr>
      <w:r w:rsidRPr="00FD3101">
        <w:rPr>
          <w:rFonts w:cs="Arial"/>
          <w:szCs w:val="22"/>
        </w:rPr>
        <w:t>If the operation of a provision or amendment of the compiled law is affected by an application, saving or transitional provision that is not included in this compilation, details are included in the endnotes.</w:t>
      </w:r>
    </w:p>
    <w:p w:rsidR="009B0E28" w:rsidRPr="00FD3101" w:rsidRDefault="009B0E28" w:rsidP="00AE5925">
      <w:pPr>
        <w:spacing w:after="120"/>
        <w:rPr>
          <w:rFonts w:cs="Arial"/>
          <w:b/>
          <w:szCs w:val="22"/>
        </w:rPr>
      </w:pPr>
      <w:r w:rsidRPr="00FD3101">
        <w:rPr>
          <w:rFonts w:cs="Arial"/>
          <w:b/>
          <w:szCs w:val="22"/>
        </w:rPr>
        <w:t>Editorial changes</w:t>
      </w:r>
    </w:p>
    <w:p w:rsidR="009B0E28" w:rsidRPr="00FD3101" w:rsidRDefault="009B0E28" w:rsidP="00AE5925">
      <w:pPr>
        <w:spacing w:after="120"/>
        <w:rPr>
          <w:rFonts w:cs="Arial"/>
          <w:szCs w:val="22"/>
        </w:rPr>
      </w:pPr>
      <w:r w:rsidRPr="00FD3101">
        <w:rPr>
          <w:rFonts w:cs="Arial"/>
          <w:szCs w:val="22"/>
        </w:rPr>
        <w:t>For more information about any editorial changes made in this compilation, see the endnotes.</w:t>
      </w:r>
    </w:p>
    <w:p w:rsidR="009B0E28" w:rsidRPr="00FD3101" w:rsidRDefault="009B0E28" w:rsidP="00AE5925">
      <w:pPr>
        <w:spacing w:before="120" w:after="120"/>
        <w:rPr>
          <w:rFonts w:cs="Arial"/>
          <w:b/>
          <w:szCs w:val="22"/>
        </w:rPr>
      </w:pPr>
      <w:r w:rsidRPr="00FD3101">
        <w:rPr>
          <w:rFonts w:cs="Arial"/>
          <w:b/>
          <w:szCs w:val="22"/>
        </w:rPr>
        <w:t>Modifications</w:t>
      </w:r>
    </w:p>
    <w:p w:rsidR="009B0E28" w:rsidRPr="00FD3101" w:rsidRDefault="009B0E28" w:rsidP="00AE5925">
      <w:pPr>
        <w:spacing w:after="120"/>
        <w:rPr>
          <w:rFonts w:cs="Arial"/>
          <w:szCs w:val="22"/>
        </w:rPr>
      </w:pPr>
      <w:r w:rsidRPr="00FD310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B0E28" w:rsidRPr="00FD3101" w:rsidRDefault="009B0E28" w:rsidP="00AE5925">
      <w:pPr>
        <w:spacing w:before="80" w:after="120"/>
        <w:rPr>
          <w:rFonts w:cs="Arial"/>
          <w:b/>
          <w:szCs w:val="22"/>
        </w:rPr>
      </w:pPr>
      <w:r w:rsidRPr="00FD3101">
        <w:rPr>
          <w:rFonts w:cs="Arial"/>
          <w:b/>
          <w:szCs w:val="22"/>
        </w:rPr>
        <w:t>Self</w:t>
      </w:r>
      <w:r w:rsidR="009A6D8A">
        <w:rPr>
          <w:rFonts w:cs="Arial"/>
          <w:b/>
          <w:szCs w:val="22"/>
        </w:rPr>
        <w:noBreakHyphen/>
      </w:r>
      <w:r w:rsidRPr="00FD3101">
        <w:rPr>
          <w:rFonts w:cs="Arial"/>
          <w:b/>
          <w:szCs w:val="22"/>
        </w:rPr>
        <w:t>repealing provisions</w:t>
      </w:r>
    </w:p>
    <w:p w:rsidR="009B0E28" w:rsidRPr="00FD3101" w:rsidRDefault="009B0E28" w:rsidP="00AE5925">
      <w:pPr>
        <w:spacing w:after="120"/>
        <w:rPr>
          <w:rFonts w:cs="Arial"/>
          <w:szCs w:val="22"/>
        </w:rPr>
      </w:pPr>
      <w:r w:rsidRPr="00FD3101">
        <w:rPr>
          <w:rFonts w:cs="Arial"/>
          <w:szCs w:val="22"/>
        </w:rPr>
        <w:t>If a provision of the compiled law has been repealed in accordance with a provision of the law, details are included in the endnotes.</w:t>
      </w:r>
    </w:p>
    <w:p w:rsidR="009B0E28" w:rsidRPr="00FD3101" w:rsidRDefault="009B0E28" w:rsidP="00AE5925">
      <w:pPr>
        <w:pStyle w:val="Header"/>
        <w:tabs>
          <w:tab w:val="clear" w:pos="4150"/>
          <w:tab w:val="clear" w:pos="8307"/>
        </w:tabs>
      </w:pPr>
      <w:r w:rsidRPr="009A6D8A">
        <w:rPr>
          <w:rStyle w:val="CharChapNo"/>
        </w:rPr>
        <w:t xml:space="preserve"> </w:t>
      </w:r>
      <w:r w:rsidRPr="009A6D8A">
        <w:rPr>
          <w:rStyle w:val="CharChapText"/>
        </w:rPr>
        <w:t xml:space="preserve"> </w:t>
      </w:r>
    </w:p>
    <w:p w:rsidR="009B0E28" w:rsidRPr="00FD3101" w:rsidRDefault="009B0E28" w:rsidP="00AE5925">
      <w:pPr>
        <w:pStyle w:val="Header"/>
        <w:tabs>
          <w:tab w:val="clear" w:pos="4150"/>
          <w:tab w:val="clear" w:pos="8307"/>
        </w:tabs>
      </w:pPr>
      <w:r w:rsidRPr="009A6D8A">
        <w:rPr>
          <w:rStyle w:val="CharPartNo"/>
        </w:rPr>
        <w:t xml:space="preserve"> </w:t>
      </w:r>
      <w:r w:rsidRPr="009A6D8A">
        <w:rPr>
          <w:rStyle w:val="CharPartText"/>
        </w:rPr>
        <w:t xml:space="preserve"> </w:t>
      </w:r>
    </w:p>
    <w:p w:rsidR="009B0E28" w:rsidRPr="00FD3101" w:rsidRDefault="009B0E28" w:rsidP="00AE5925">
      <w:pPr>
        <w:pStyle w:val="Header"/>
        <w:tabs>
          <w:tab w:val="clear" w:pos="4150"/>
          <w:tab w:val="clear" w:pos="8307"/>
        </w:tabs>
      </w:pPr>
      <w:r w:rsidRPr="009A6D8A">
        <w:rPr>
          <w:rStyle w:val="CharDivNo"/>
        </w:rPr>
        <w:t xml:space="preserve"> </w:t>
      </w:r>
      <w:r w:rsidRPr="009A6D8A">
        <w:rPr>
          <w:rStyle w:val="CharDivText"/>
        </w:rPr>
        <w:t xml:space="preserve"> </w:t>
      </w:r>
    </w:p>
    <w:p w:rsidR="009B0E28" w:rsidRPr="00FD3101" w:rsidRDefault="009B0E28" w:rsidP="00AE5925">
      <w:pPr>
        <w:sectPr w:rsidR="009B0E28" w:rsidRPr="00FD3101" w:rsidSect="003B34C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240F59" w:rsidRPr="00FD3101" w:rsidRDefault="00240F59" w:rsidP="00221CD3">
      <w:pPr>
        <w:rPr>
          <w:sz w:val="36"/>
        </w:rPr>
      </w:pPr>
      <w:r w:rsidRPr="00FD3101">
        <w:rPr>
          <w:sz w:val="36"/>
        </w:rPr>
        <w:lastRenderedPageBreak/>
        <w:t>Contents</w:t>
      </w:r>
    </w:p>
    <w:p w:rsidR="00DF62CC" w:rsidRDefault="00240F59">
      <w:pPr>
        <w:pStyle w:val="TOC2"/>
        <w:rPr>
          <w:rFonts w:asciiTheme="minorHAnsi" w:eastAsiaTheme="minorEastAsia" w:hAnsiTheme="minorHAnsi" w:cstheme="minorBidi"/>
          <w:b w:val="0"/>
          <w:noProof/>
          <w:kern w:val="0"/>
          <w:sz w:val="22"/>
          <w:szCs w:val="22"/>
        </w:rPr>
      </w:pPr>
      <w:r w:rsidRPr="005F3544">
        <w:fldChar w:fldCharType="begin"/>
      </w:r>
      <w:r w:rsidRPr="00FD3101">
        <w:instrText xml:space="preserve"> TOC \o "1-9" </w:instrText>
      </w:r>
      <w:r w:rsidRPr="005F3544">
        <w:fldChar w:fldCharType="separate"/>
      </w:r>
      <w:r w:rsidR="00DF62CC">
        <w:rPr>
          <w:noProof/>
        </w:rPr>
        <w:t>Part 1—Preliminary</w:t>
      </w:r>
      <w:r w:rsidR="00DF62CC" w:rsidRPr="00DF62CC">
        <w:rPr>
          <w:b w:val="0"/>
          <w:noProof/>
          <w:sz w:val="18"/>
        </w:rPr>
        <w:tab/>
      </w:r>
      <w:r w:rsidR="00DF62CC" w:rsidRPr="00DF62CC">
        <w:rPr>
          <w:b w:val="0"/>
          <w:noProof/>
          <w:sz w:val="18"/>
        </w:rPr>
        <w:fldChar w:fldCharType="begin"/>
      </w:r>
      <w:r w:rsidR="00DF62CC" w:rsidRPr="00DF62CC">
        <w:rPr>
          <w:b w:val="0"/>
          <w:noProof/>
          <w:sz w:val="18"/>
        </w:rPr>
        <w:instrText xml:space="preserve"> PAGEREF _Toc110502740 \h </w:instrText>
      </w:r>
      <w:r w:rsidR="00DF62CC" w:rsidRPr="00DF62CC">
        <w:rPr>
          <w:b w:val="0"/>
          <w:noProof/>
          <w:sz w:val="18"/>
        </w:rPr>
      </w:r>
      <w:r w:rsidR="00DF62CC" w:rsidRPr="00DF62CC">
        <w:rPr>
          <w:b w:val="0"/>
          <w:noProof/>
          <w:sz w:val="18"/>
        </w:rPr>
        <w:fldChar w:fldCharType="separate"/>
      </w:r>
      <w:r w:rsidR="00DF62CC" w:rsidRPr="00DF62CC">
        <w:rPr>
          <w:b w:val="0"/>
          <w:noProof/>
          <w:sz w:val="18"/>
        </w:rPr>
        <w:t>1</w:t>
      </w:r>
      <w:r w:rsidR="00DF62CC" w:rsidRPr="00DF62CC">
        <w:rPr>
          <w:b w:val="0"/>
          <w:noProof/>
          <w:sz w:val="18"/>
        </w:rPr>
        <w:fldChar w:fldCharType="end"/>
      </w:r>
    </w:p>
    <w:p w:rsidR="00DF62CC" w:rsidRDefault="00DF62CC">
      <w:pPr>
        <w:pStyle w:val="TOC5"/>
        <w:rPr>
          <w:rFonts w:asciiTheme="minorHAnsi" w:eastAsiaTheme="minorEastAsia" w:hAnsiTheme="minorHAnsi" w:cstheme="minorBidi"/>
          <w:noProof/>
          <w:kern w:val="0"/>
          <w:sz w:val="22"/>
          <w:szCs w:val="22"/>
        </w:rPr>
      </w:pPr>
      <w:r>
        <w:rPr>
          <w:noProof/>
        </w:rPr>
        <w:t>1</w:t>
      </w:r>
      <w:r>
        <w:rPr>
          <w:noProof/>
        </w:rPr>
        <w:tab/>
        <w:t>Name of Regulations</w:t>
      </w:r>
      <w:r w:rsidRPr="00DF62CC">
        <w:rPr>
          <w:noProof/>
        </w:rPr>
        <w:tab/>
      </w:r>
      <w:r w:rsidRPr="00DF62CC">
        <w:rPr>
          <w:noProof/>
        </w:rPr>
        <w:fldChar w:fldCharType="begin"/>
      </w:r>
      <w:r w:rsidRPr="00DF62CC">
        <w:rPr>
          <w:noProof/>
        </w:rPr>
        <w:instrText xml:space="preserve"> PAGEREF _Toc110502741 \h </w:instrText>
      </w:r>
      <w:r w:rsidRPr="00DF62CC">
        <w:rPr>
          <w:noProof/>
        </w:rPr>
      </w:r>
      <w:r w:rsidRPr="00DF62CC">
        <w:rPr>
          <w:noProof/>
        </w:rPr>
        <w:fldChar w:fldCharType="separate"/>
      </w:r>
      <w:r w:rsidRPr="00DF62CC">
        <w:rPr>
          <w:noProof/>
        </w:rPr>
        <w:t>1</w:t>
      </w:r>
      <w:r w:rsidRPr="00DF62CC">
        <w:rPr>
          <w:noProof/>
        </w:rPr>
        <w:fldChar w:fldCharType="end"/>
      </w:r>
    </w:p>
    <w:p w:rsidR="00DF62CC" w:rsidRDefault="00DF62CC">
      <w:pPr>
        <w:pStyle w:val="TOC5"/>
        <w:rPr>
          <w:rFonts w:asciiTheme="minorHAnsi" w:eastAsiaTheme="minorEastAsia" w:hAnsiTheme="minorHAnsi" w:cstheme="minorBidi"/>
          <w:noProof/>
          <w:kern w:val="0"/>
          <w:sz w:val="22"/>
          <w:szCs w:val="22"/>
        </w:rPr>
      </w:pPr>
      <w:r>
        <w:rPr>
          <w:noProof/>
        </w:rPr>
        <w:t>3</w:t>
      </w:r>
      <w:r>
        <w:rPr>
          <w:noProof/>
        </w:rPr>
        <w:tab/>
        <w:t>Definitions</w:t>
      </w:r>
      <w:r w:rsidRPr="00DF62CC">
        <w:rPr>
          <w:noProof/>
        </w:rPr>
        <w:tab/>
      </w:r>
      <w:r w:rsidRPr="00DF62CC">
        <w:rPr>
          <w:noProof/>
        </w:rPr>
        <w:fldChar w:fldCharType="begin"/>
      </w:r>
      <w:r w:rsidRPr="00DF62CC">
        <w:rPr>
          <w:noProof/>
        </w:rPr>
        <w:instrText xml:space="preserve"> PAGEREF _Toc110502742 \h </w:instrText>
      </w:r>
      <w:r w:rsidRPr="00DF62CC">
        <w:rPr>
          <w:noProof/>
        </w:rPr>
      </w:r>
      <w:r w:rsidRPr="00DF62CC">
        <w:rPr>
          <w:noProof/>
        </w:rPr>
        <w:fldChar w:fldCharType="separate"/>
      </w:r>
      <w:r w:rsidRPr="00DF62CC">
        <w:rPr>
          <w:noProof/>
        </w:rPr>
        <w:t>1</w:t>
      </w:r>
      <w:r w:rsidRPr="00DF62CC">
        <w:rPr>
          <w:noProof/>
        </w:rPr>
        <w:fldChar w:fldCharType="end"/>
      </w:r>
    </w:p>
    <w:p w:rsidR="00DF62CC" w:rsidRDefault="00DF62CC">
      <w:pPr>
        <w:pStyle w:val="TOC2"/>
        <w:rPr>
          <w:rFonts w:asciiTheme="minorHAnsi" w:eastAsiaTheme="minorEastAsia" w:hAnsiTheme="minorHAnsi" w:cstheme="minorBidi"/>
          <w:b w:val="0"/>
          <w:noProof/>
          <w:kern w:val="0"/>
          <w:sz w:val="22"/>
          <w:szCs w:val="22"/>
        </w:rPr>
      </w:pPr>
      <w:r>
        <w:rPr>
          <w:noProof/>
        </w:rPr>
        <w:t>Part 2—Review fees</w:t>
      </w:r>
      <w:r w:rsidRPr="00DF62CC">
        <w:rPr>
          <w:b w:val="0"/>
          <w:noProof/>
          <w:sz w:val="18"/>
        </w:rPr>
        <w:tab/>
      </w:r>
      <w:r w:rsidRPr="00DF62CC">
        <w:rPr>
          <w:b w:val="0"/>
          <w:noProof/>
          <w:sz w:val="18"/>
        </w:rPr>
        <w:fldChar w:fldCharType="begin"/>
      </w:r>
      <w:r w:rsidRPr="00DF62CC">
        <w:rPr>
          <w:b w:val="0"/>
          <w:noProof/>
          <w:sz w:val="18"/>
        </w:rPr>
        <w:instrText xml:space="preserve"> PAGEREF _Toc110502743 \h </w:instrText>
      </w:r>
      <w:r w:rsidRPr="00DF62CC">
        <w:rPr>
          <w:b w:val="0"/>
          <w:noProof/>
          <w:sz w:val="18"/>
        </w:rPr>
      </w:r>
      <w:r w:rsidRPr="00DF62CC">
        <w:rPr>
          <w:b w:val="0"/>
          <w:noProof/>
          <w:sz w:val="18"/>
        </w:rPr>
        <w:fldChar w:fldCharType="separate"/>
      </w:r>
      <w:r w:rsidRPr="00DF62CC">
        <w:rPr>
          <w:b w:val="0"/>
          <w:noProof/>
          <w:sz w:val="18"/>
        </w:rPr>
        <w:t>3</w:t>
      </w:r>
      <w:r w:rsidRPr="00DF62CC">
        <w:rPr>
          <w:b w:val="0"/>
          <w:noProof/>
          <w:sz w:val="18"/>
        </w:rPr>
        <w:fldChar w:fldCharType="end"/>
      </w:r>
    </w:p>
    <w:p w:rsidR="00DF62CC" w:rsidRDefault="00DF62CC">
      <w:pPr>
        <w:pStyle w:val="TOC5"/>
        <w:rPr>
          <w:rFonts w:asciiTheme="minorHAnsi" w:eastAsiaTheme="minorEastAsia" w:hAnsiTheme="minorHAnsi" w:cstheme="minorBidi"/>
          <w:noProof/>
          <w:kern w:val="0"/>
          <w:sz w:val="22"/>
          <w:szCs w:val="22"/>
        </w:rPr>
      </w:pPr>
      <w:r>
        <w:rPr>
          <w:noProof/>
        </w:rPr>
        <w:t>4</w:t>
      </w:r>
      <w:r>
        <w:rPr>
          <w:noProof/>
        </w:rPr>
        <w:tab/>
        <w:t>Review fees</w:t>
      </w:r>
      <w:r w:rsidRPr="00DF62CC">
        <w:rPr>
          <w:noProof/>
        </w:rPr>
        <w:tab/>
      </w:r>
      <w:r w:rsidRPr="00DF62CC">
        <w:rPr>
          <w:noProof/>
        </w:rPr>
        <w:fldChar w:fldCharType="begin"/>
      </w:r>
      <w:r w:rsidRPr="00DF62CC">
        <w:rPr>
          <w:noProof/>
        </w:rPr>
        <w:instrText xml:space="preserve"> PAGEREF _Toc110502744 \h </w:instrText>
      </w:r>
      <w:r w:rsidRPr="00DF62CC">
        <w:rPr>
          <w:noProof/>
        </w:rPr>
      </w:r>
      <w:r w:rsidRPr="00DF62CC">
        <w:rPr>
          <w:noProof/>
        </w:rPr>
        <w:fldChar w:fldCharType="separate"/>
      </w:r>
      <w:r w:rsidRPr="00DF62CC">
        <w:rPr>
          <w:noProof/>
        </w:rPr>
        <w:t>3</w:t>
      </w:r>
      <w:r w:rsidRPr="00DF62CC">
        <w:rPr>
          <w:noProof/>
        </w:rPr>
        <w:fldChar w:fldCharType="end"/>
      </w:r>
    </w:p>
    <w:p w:rsidR="00DF62CC" w:rsidRDefault="00DF62CC">
      <w:pPr>
        <w:pStyle w:val="TOC5"/>
        <w:rPr>
          <w:rFonts w:asciiTheme="minorHAnsi" w:eastAsiaTheme="minorEastAsia" w:hAnsiTheme="minorHAnsi" w:cstheme="minorBidi"/>
          <w:noProof/>
          <w:kern w:val="0"/>
          <w:sz w:val="22"/>
          <w:szCs w:val="22"/>
        </w:rPr>
      </w:pPr>
      <w:r>
        <w:rPr>
          <w:noProof/>
        </w:rPr>
        <w:t>5</w:t>
      </w:r>
      <w:r>
        <w:rPr>
          <w:noProof/>
        </w:rPr>
        <w:tab/>
        <w:t>No fee for second review date in a financial year</w:t>
      </w:r>
      <w:r w:rsidRPr="00DF62CC">
        <w:rPr>
          <w:noProof/>
        </w:rPr>
        <w:tab/>
      </w:r>
      <w:r w:rsidRPr="00DF62CC">
        <w:rPr>
          <w:noProof/>
        </w:rPr>
        <w:fldChar w:fldCharType="begin"/>
      </w:r>
      <w:r w:rsidRPr="00DF62CC">
        <w:rPr>
          <w:noProof/>
        </w:rPr>
        <w:instrText xml:space="preserve"> PAGEREF _Toc110502745 \h </w:instrText>
      </w:r>
      <w:r w:rsidRPr="00DF62CC">
        <w:rPr>
          <w:noProof/>
        </w:rPr>
      </w:r>
      <w:r w:rsidRPr="00DF62CC">
        <w:rPr>
          <w:noProof/>
        </w:rPr>
        <w:fldChar w:fldCharType="separate"/>
      </w:r>
      <w:r w:rsidRPr="00DF62CC">
        <w:rPr>
          <w:noProof/>
        </w:rPr>
        <w:t>4</w:t>
      </w:r>
      <w:r w:rsidRPr="00DF62CC">
        <w:rPr>
          <w:noProof/>
        </w:rPr>
        <w:fldChar w:fldCharType="end"/>
      </w:r>
    </w:p>
    <w:p w:rsidR="00DF62CC" w:rsidRDefault="00DF62CC">
      <w:pPr>
        <w:pStyle w:val="TOC2"/>
        <w:rPr>
          <w:rFonts w:asciiTheme="minorHAnsi" w:eastAsiaTheme="minorEastAsia" w:hAnsiTheme="minorHAnsi" w:cstheme="minorBidi"/>
          <w:b w:val="0"/>
          <w:noProof/>
          <w:kern w:val="0"/>
          <w:sz w:val="22"/>
          <w:szCs w:val="22"/>
        </w:rPr>
      </w:pPr>
      <w:r>
        <w:rPr>
          <w:noProof/>
        </w:rPr>
        <w:t>Part 3—Application, saving and transitional provisions</w:t>
      </w:r>
      <w:r w:rsidRPr="00DF62CC">
        <w:rPr>
          <w:b w:val="0"/>
          <w:noProof/>
          <w:sz w:val="18"/>
        </w:rPr>
        <w:tab/>
      </w:r>
      <w:r w:rsidRPr="00DF62CC">
        <w:rPr>
          <w:b w:val="0"/>
          <w:noProof/>
          <w:sz w:val="18"/>
        </w:rPr>
        <w:fldChar w:fldCharType="begin"/>
      </w:r>
      <w:r w:rsidRPr="00DF62CC">
        <w:rPr>
          <w:b w:val="0"/>
          <w:noProof/>
          <w:sz w:val="18"/>
        </w:rPr>
        <w:instrText xml:space="preserve"> PAGEREF _Toc110502746 \h </w:instrText>
      </w:r>
      <w:r w:rsidRPr="00DF62CC">
        <w:rPr>
          <w:b w:val="0"/>
          <w:noProof/>
          <w:sz w:val="18"/>
        </w:rPr>
      </w:r>
      <w:r w:rsidRPr="00DF62CC">
        <w:rPr>
          <w:b w:val="0"/>
          <w:noProof/>
          <w:sz w:val="18"/>
        </w:rPr>
        <w:fldChar w:fldCharType="separate"/>
      </w:r>
      <w:r w:rsidRPr="00DF62CC">
        <w:rPr>
          <w:b w:val="0"/>
          <w:noProof/>
          <w:sz w:val="18"/>
        </w:rPr>
        <w:t>6</w:t>
      </w:r>
      <w:r w:rsidRPr="00DF62CC">
        <w:rPr>
          <w:b w:val="0"/>
          <w:noProof/>
          <w:sz w:val="18"/>
        </w:rPr>
        <w:fldChar w:fldCharType="end"/>
      </w:r>
    </w:p>
    <w:p w:rsidR="00DF62CC" w:rsidRDefault="00DF62CC">
      <w:pPr>
        <w:pStyle w:val="TOC3"/>
        <w:rPr>
          <w:rFonts w:asciiTheme="minorHAnsi" w:eastAsiaTheme="minorEastAsia" w:hAnsiTheme="minorHAnsi" w:cstheme="minorBidi"/>
          <w:b w:val="0"/>
          <w:noProof/>
          <w:kern w:val="0"/>
          <w:szCs w:val="22"/>
        </w:rPr>
      </w:pPr>
      <w:r>
        <w:rPr>
          <w:noProof/>
        </w:rPr>
        <w:t>Division 1—Amendments made by the Corporations (Review Fees) Amendment (Corporate Collective Investment Vehicle Framework) Regulations 2022</w:t>
      </w:r>
      <w:r w:rsidRPr="00DF62CC">
        <w:rPr>
          <w:b w:val="0"/>
          <w:noProof/>
          <w:sz w:val="18"/>
        </w:rPr>
        <w:tab/>
      </w:r>
      <w:r w:rsidRPr="00DF62CC">
        <w:rPr>
          <w:b w:val="0"/>
          <w:noProof/>
          <w:sz w:val="18"/>
        </w:rPr>
        <w:fldChar w:fldCharType="begin"/>
      </w:r>
      <w:r w:rsidRPr="00DF62CC">
        <w:rPr>
          <w:b w:val="0"/>
          <w:noProof/>
          <w:sz w:val="18"/>
        </w:rPr>
        <w:instrText xml:space="preserve"> PAGEREF _Toc110502747 \h </w:instrText>
      </w:r>
      <w:r w:rsidRPr="00DF62CC">
        <w:rPr>
          <w:b w:val="0"/>
          <w:noProof/>
          <w:sz w:val="18"/>
        </w:rPr>
      </w:r>
      <w:r w:rsidRPr="00DF62CC">
        <w:rPr>
          <w:b w:val="0"/>
          <w:noProof/>
          <w:sz w:val="18"/>
        </w:rPr>
        <w:fldChar w:fldCharType="separate"/>
      </w:r>
      <w:r w:rsidRPr="00DF62CC">
        <w:rPr>
          <w:b w:val="0"/>
          <w:noProof/>
          <w:sz w:val="18"/>
        </w:rPr>
        <w:t>6</w:t>
      </w:r>
      <w:r w:rsidRPr="00DF62CC">
        <w:rPr>
          <w:b w:val="0"/>
          <w:noProof/>
          <w:sz w:val="18"/>
        </w:rPr>
        <w:fldChar w:fldCharType="end"/>
      </w:r>
    </w:p>
    <w:p w:rsidR="00DF62CC" w:rsidRDefault="00DF62CC">
      <w:pPr>
        <w:pStyle w:val="TOC5"/>
        <w:rPr>
          <w:rFonts w:asciiTheme="minorHAnsi" w:eastAsiaTheme="minorEastAsia" w:hAnsiTheme="minorHAnsi" w:cstheme="minorBidi"/>
          <w:noProof/>
          <w:kern w:val="0"/>
          <w:sz w:val="22"/>
          <w:szCs w:val="22"/>
        </w:rPr>
      </w:pPr>
      <w:r>
        <w:rPr>
          <w:noProof/>
        </w:rPr>
        <w:t>6</w:t>
      </w:r>
      <w:r>
        <w:rPr>
          <w:noProof/>
        </w:rPr>
        <w:tab/>
        <w:t>Indexation of review fees for CCIVs</w:t>
      </w:r>
      <w:r w:rsidRPr="00DF62CC">
        <w:rPr>
          <w:noProof/>
        </w:rPr>
        <w:tab/>
      </w:r>
      <w:r w:rsidRPr="00DF62CC">
        <w:rPr>
          <w:noProof/>
        </w:rPr>
        <w:fldChar w:fldCharType="begin"/>
      </w:r>
      <w:r w:rsidRPr="00DF62CC">
        <w:rPr>
          <w:noProof/>
        </w:rPr>
        <w:instrText xml:space="preserve"> PAGEREF _Toc110502748 \h </w:instrText>
      </w:r>
      <w:r w:rsidRPr="00DF62CC">
        <w:rPr>
          <w:noProof/>
        </w:rPr>
      </w:r>
      <w:r w:rsidRPr="00DF62CC">
        <w:rPr>
          <w:noProof/>
        </w:rPr>
        <w:fldChar w:fldCharType="separate"/>
      </w:r>
      <w:r w:rsidRPr="00DF62CC">
        <w:rPr>
          <w:noProof/>
        </w:rPr>
        <w:t>6</w:t>
      </w:r>
      <w:r w:rsidRPr="00DF62CC">
        <w:rPr>
          <w:noProof/>
        </w:rPr>
        <w:fldChar w:fldCharType="end"/>
      </w:r>
    </w:p>
    <w:p w:rsidR="00DF62CC" w:rsidRDefault="00DF62CC">
      <w:pPr>
        <w:pStyle w:val="TOC1"/>
        <w:rPr>
          <w:rFonts w:asciiTheme="minorHAnsi" w:eastAsiaTheme="minorEastAsia" w:hAnsiTheme="minorHAnsi" w:cstheme="minorBidi"/>
          <w:b w:val="0"/>
          <w:noProof/>
          <w:kern w:val="0"/>
          <w:sz w:val="22"/>
          <w:szCs w:val="22"/>
        </w:rPr>
      </w:pPr>
      <w:r>
        <w:rPr>
          <w:noProof/>
        </w:rPr>
        <w:t>Schedule 1—Review fees</w:t>
      </w:r>
      <w:r w:rsidRPr="00DF62CC">
        <w:rPr>
          <w:b w:val="0"/>
          <w:noProof/>
          <w:sz w:val="18"/>
        </w:rPr>
        <w:tab/>
      </w:r>
      <w:r w:rsidRPr="00DF62CC">
        <w:rPr>
          <w:b w:val="0"/>
          <w:noProof/>
          <w:sz w:val="18"/>
        </w:rPr>
        <w:fldChar w:fldCharType="begin"/>
      </w:r>
      <w:r w:rsidRPr="00DF62CC">
        <w:rPr>
          <w:b w:val="0"/>
          <w:noProof/>
          <w:sz w:val="18"/>
        </w:rPr>
        <w:instrText xml:space="preserve"> PAGEREF _Toc110502749 \h </w:instrText>
      </w:r>
      <w:r w:rsidRPr="00DF62CC">
        <w:rPr>
          <w:b w:val="0"/>
          <w:noProof/>
          <w:sz w:val="18"/>
        </w:rPr>
      </w:r>
      <w:r w:rsidRPr="00DF62CC">
        <w:rPr>
          <w:b w:val="0"/>
          <w:noProof/>
          <w:sz w:val="18"/>
        </w:rPr>
        <w:fldChar w:fldCharType="separate"/>
      </w:r>
      <w:r w:rsidRPr="00DF62CC">
        <w:rPr>
          <w:b w:val="0"/>
          <w:noProof/>
          <w:sz w:val="18"/>
        </w:rPr>
        <w:t>7</w:t>
      </w:r>
      <w:r w:rsidRPr="00DF62CC">
        <w:rPr>
          <w:b w:val="0"/>
          <w:noProof/>
          <w:sz w:val="18"/>
        </w:rPr>
        <w:fldChar w:fldCharType="end"/>
      </w:r>
    </w:p>
    <w:p w:rsidR="00DF62CC" w:rsidRDefault="00DF62CC">
      <w:pPr>
        <w:pStyle w:val="TOC2"/>
        <w:rPr>
          <w:rFonts w:asciiTheme="minorHAnsi" w:eastAsiaTheme="minorEastAsia" w:hAnsiTheme="minorHAnsi" w:cstheme="minorBidi"/>
          <w:b w:val="0"/>
          <w:noProof/>
          <w:kern w:val="0"/>
          <w:sz w:val="22"/>
          <w:szCs w:val="22"/>
        </w:rPr>
      </w:pPr>
      <w:r>
        <w:rPr>
          <w:noProof/>
        </w:rPr>
        <w:t>Part 1—Annual fees</w:t>
      </w:r>
      <w:r w:rsidRPr="00DF62CC">
        <w:rPr>
          <w:b w:val="0"/>
          <w:noProof/>
          <w:sz w:val="18"/>
        </w:rPr>
        <w:tab/>
      </w:r>
      <w:r w:rsidRPr="00DF62CC">
        <w:rPr>
          <w:b w:val="0"/>
          <w:noProof/>
          <w:sz w:val="18"/>
        </w:rPr>
        <w:fldChar w:fldCharType="begin"/>
      </w:r>
      <w:r w:rsidRPr="00DF62CC">
        <w:rPr>
          <w:b w:val="0"/>
          <w:noProof/>
          <w:sz w:val="18"/>
        </w:rPr>
        <w:instrText xml:space="preserve"> PAGEREF _Toc110502750 \h </w:instrText>
      </w:r>
      <w:r w:rsidRPr="00DF62CC">
        <w:rPr>
          <w:b w:val="0"/>
          <w:noProof/>
          <w:sz w:val="18"/>
        </w:rPr>
      </w:r>
      <w:r w:rsidRPr="00DF62CC">
        <w:rPr>
          <w:b w:val="0"/>
          <w:noProof/>
          <w:sz w:val="18"/>
        </w:rPr>
        <w:fldChar w:fldCharType="separate"/>
      </w:r>
      <w:r w:rsidRPr="00DF62CC">
        <w:rPr>
          <w:b w:val="0"/>
          <w:noProof/>
          <w:sz w:val="18"/>
        </w:rPr>
        <w:t>7</w:t>
      </w:r>
      <w:r w:rsidRPr="00DF62CC">
        <w:rPr>
          <w:b w:val="0"/>
          <w:noProof/>
          <w:sz w:val="18"/>
        </w:rPr>
        <w:fldChar w:fldCharType="end"/>
      </w:r>
    </w:p>
    <w:p w:rsidR="00DF62CC" w:rsidRDefault="00DF62CC">
      <w:pPr>
        <w:pStyle w:val="TOC2"/>
        <w:rPr>
          <w:rFonts w:asciiTheme="minorHAnsi" w:eastAsiaTheme="minorEastAsia" w:hAnsiTheme="minorHAnsi" w:cstheme="minorBidi"/>
          <w:b w:val="0"/>
          <w:noProof/>
          <w:kern w:val="0"/>
          <w:sz w:val="22"/>
          <w:szCs w:val="22"/>
        </w:rPr>
      </w:pPr>
      <w:r>
        <w:rPr>
          <w:noProof/>
        </w:rPr>
        <w:t>Part 1A—Upfront fees</w:t>
      </w:r>
      <w:r w:rsidRPr="00DF62CC">
        <w:rPr>
          <w:b w:val="0"/>
          <w:noProof/>
          <w:sz w:val="18"/>
        </w:rPr>
        <w:tab/>
      </w:r>
      <w:r w:rsidRPr="00DF62CC">
        <w:rPr>
          <w:b w:val="0"/>
          <w:noProof/>
          <w:sz w:val="18"/>
        </w:rPr>
        <w:fldChar w:fldCharType="begin"/>
      </w:r>
      <w:r w:rsidRPr="00DF62CC">
        <w:rPr>
          <w:b w:val="0"/>
          <w:noProof/>
          <w:sz w:val="18"/>
        </w:rPr>
        <w:instrText xml:space="preserve"> PAGEREF _Toc110502751 \h </w:instrText>
      </w:r>
      <w:r w:rsidRPr="00DF62CC">
        <w:rPr>
          <w:b w:val="0"/>
          <w:noProof/>
          <w:sz w:val="18"/>
        </w:rPr>
      </w:r>
      <w:r w:rsidRPr="00DF62CC">
        <w:rPr>
          <w:b w:val="0"/>
          <w:noProof/>
          <w:sz w:val="18"/>
        </w:rPr>
        <w:fldChar w:fldCharType="separate"/>
      </w:r>
      <w:r w:rsidRPr="00DF62CC">
        <w:rPr>
          <w:b w:val="0"/>
          <w:noProof/>
          <w:sz w:val="18"/>
        </w:rPr>
        <w:t>8</w:t>
      </w:r>
      <w:r w:rsidRPr="00DF62CC">
        <w:rPr>
          <w:b w:val="0"/>
          <w:noProof/>
          <w:sz w:val="18"/>
        </w:rPr>
        <w:fldChar w:fldCharType="end"/>
      </w:r>
    </w:p>
    <w:p w:rsidR="00DF62CC" w:rsidRDefault="00DF62CC">
      <w:pPr>
        <w:pStyle w:val="TOC2"/>
        <w:rPr>
          <w:rFonts w:asciiTheme="minorHAnsi" w:eastAsiaTheme="minorEastAsia" w:hAnsiTheme="minorHAnsi" w:cstheme="minorBidi"/>
          <w:b w:val="0"/>
          <w:noProof/>
          <w:kern w:val="0"/>
          <w:sz w:val="22"/>
          <w:szCs w:val="22"/>
        </w:rPr>
      </w:pPr>
      <w:r>
        <w:rPr>
          <w:noProof/>
        </w:rPr>
        <w:t>Part 2—Late fees</w:t>
      </w:r>
      <w:r w:rsidRPr="00DF62CC">
        <w:rPr>
          <w:b w:val="0"/>
          <w:noProof/>
          <w:sz w:val="18"/>
        </w:rPr>
        <w:tab/>
      </w:r>
      <w:r w:rsidRPr="00DF62CC">
        <w:rPr>
          <w:b w:val="0"/>
          <w:noProof/>
          <w:sz w:val="18"/>
        </w:rPr>
        <w:fldChar w:fldCharType="begin"/>
      </w:r>
      <w:r w:rsidRPr="00DF62CC">
        <w:rPr>
          <w:b w:val="0"/>
          <w:noProof/>
          <w:sz w:val="18"/>
        </w:rPr>
        <w:instrText xml:space="preserve"> PAGEREF _Toc110502752 \h </w:instrText>
      </w:r>
      <w:r w:rsidRPr="00DF62CC">
        <w:rPr>
          <w:b w:val="0"/>
          <w:noProof/>
          <w:sz w:val="18"/>
        </w:rPr>
      </w:r>
      <w:r w:rsidRPr="00DF62CC">
        <w:rPr>
          <w:b w:val="0"/>
          <w:noProof/>
          <w:sz w:val="18"/>
        </w:rPr>
        <w:fldChar w:fldCharType="separate"/>
      </w:r>
      <w:r w:rsidRPr="00DF62CC">
        <w:rPr>
          <w:b w:val="0"/>
          <w:noProof/>
          <w:sz w:val="18"/>
        </w:rPr>
        <w:t>9</w:t>
      </w:r>
      <w:r w:rsidRPr="00DF62CC">
        <w:rPr>
          <w:b w:val="0"/>
          <w:noProof/>
          <w:sz w:val="18"/>
        </w:rPr>
        <w:fldChar w:fldCharType="end"/>
      </w:r>
    </w:p>
    <w:p w:rsidR="00DF62CC" w:rsidRDefault="00DF62CC" w:rsidP="00DF62CC">
      <w:pPr>
        <w:pStyle w:val="TOC2"/>
        <w:rPr>
          <w:rFonts w:asciiTheme="minorHAnsi" w:eastAsiaTheme="minorEastAsia" w:hAnsiTheme="minorHAnsi" w:cstheme="minorBidi"/>
          <w:b w:val="0"/>
          <w:noProof/>
          <w:kern w:val="0"/>
          <w:sz w:val="22"/>
          <w:szCs w:val="22"/>
        </w:rPr>
      </w:pPr>
      <w:r>
        <w:rPr>
          <w:noProof/>
        </w:rPr>
        <w:t>Endnotes</w:t>
      </w:r>
      <w:r w:rsidRPr="00DF62CC">
        <w:rPr>
          <w:b w:val="0"/>
          <w:noProof/>
          <w:sz w:val="18"/>
        </w:rPr>
        <w:tab/>
      </w:r>
      <w:r w:rsidRPr="00DF62CC">
        <w:rPr>
          <w:b w:val="0"/>
          <w:noProof/>
          <w:sz w:val="18"/>
        </w:rPr>
        <w:fldChar w:fldCharType="begin"/>
      </w:r>
      <w:r w:rsidRPr="00DF62CC">
        <w:rPr>
          <w:b w:val="0"/>
          <w:noProof/>
          <w:sz w:val="18"/>
        </w:rPr>
        <w:instrText xml:space="preserve"> PAGEREF _Toc110502753 \h </w:instrText>
      </w:r>
      <w:r w:rsidRPr="00DF62CC">
        <w:rPr>
          <w:b w:val="0"/>
          <w:noProof/>
          <w:sz w:val="18"/>
        </w:rPr>
      </w:r>
      <w:r w:rsidRPr="00DF62CC">
        <w:rPr>
          <w:b w:val="0"/>
          <w:noProof/>
          <w:sz w:val="18"/>
        </w:rPr>
        <w:fldChar w:fldCharType="separate"/>
      </w:r>
      <w:r w:rsidRPr="00DF62CC">
        <w:rPr>
          <w:b w:val="0"/>
          <w:noProof/>
          <w:sz w:val="18"/>
        </w:rPr>
        <w:t>10</w:t>
      </w:r>
      <w:r w:rsidRPr="00DF62CC">
        <w:rPr>
          <w:b w:val="0"/>
          <w:noProof/>
          <w:sz w:val="18"/>
        </w:rPr>
        <w:fldChar w:fldCharType="end"/>
      </w:r>
    </w:p>
    <w:p w:rsidR="00DF62CC" w:rsidRDefault="00DF62CC">
      <w:pPr>
        <w:pStyle w:val="TOC3"/>
        <w:rPr>
          <w:rFonts w:asciiTheme="minorHAnsi" w:eastAsiaTheme="minorEastAsia" w:hAnsiTheme="minorHAnsi" w:cstheme="minorBidi"/>
          <w:b w:val="0"/>
          <w:noProof/>
          <w:kern w:val="0"/>
          <w:szCs w:val="22"/>
        </w:rPr>
      </w:pPr>
      <w:r>
        <w:rPr>
          <w:noProof/>
        </w:rPr>
        <w:t>Endnote 1—About the endnotes</w:t>
      </w:r>
      <w:r w:rsidRPr="00DF62CC">
        <w:rPr>
          <w:b w:val="0"/>
          <w:noProof/>
          <w:sz w:val="18"/>
        </w:rPr>
        <w:tab/>
      </w:r>
      <w:r w:rsidRPr="00DF62CC">
        <w:rPr>
          <w:b w:val="0"/>
          <w:noProof/>
          <w:sz w:val="18"/>
        </w:rPr>
        <w:fldChar w:fldCharType="begin"/>
      </w:r>
      <w:r w:rsidRPr="00DF62CC">
        <w:rPr>
          <w:b w:val="0"/>
          <w:noProof/>
          <w:sz w:val="18"/>
        </w:rPr>
        <w:instrText xml:space="preserve"> PAGEREF _Toc110502754 \h </w:instrText>
      </w:r>
      <w:r w:rsidRPr="00DF62CC">
        <w:rPr>
          <w:b w:val="0"/>
          <w:noProof/>
          <w:sz w:val="18"/>
        </w:rPr>
      </w:r>
      <w:r w:rsidRPr="00DF62CC">
        <w:rPr>
          <w:b w:val="0"/>
          <w:noProof/>
          <w:sz w:val="18"/>
        </w:rPr>
        <w:fldChar w:fldCharType="separate"/>
      </w:r>
      <w:r w:rsidRPr="00DF62CC">
        <w:rPr>
          <w:b w:val="0"/>
          <w:noProof/>
          <w:sz w:val="18"/>
        </w:rPr>
        <w:t>10</w:t>
      </w:r>
      <w:r w:rsidRPr="00DF62CC">
        <w:rPr>
          <w:b w:val="0"/>
          <w:noProof/>
          <w:sz w:val="18"/>
        </w:rPr>
        <w:fldChar w:fldCharType="end"/>
      </w:r>
    </w:p>
    <w:p w:rsidR="00DF62CC" w:rsidRDefault="00DF62CC">
      <w:pPr>
        <w:pStyle w:val="TOC3"/>
        <w:rPr>
          <w:rFonts w:asciiTheme="minorHAnsi" w:eastAsiaTheme="minorEastAsia" w:hAnsiTheme="minorHAnsi" w:cstheme="minorBidi"/>
          <w:b w:val="0"/>
          <w:noProof/>
          <w:kern w:val="0"/>
          <w:szCs w:val="22"/>
        </w:rPr>
      </w:pPr>
      <w:r>
        <w:rPr>
          <w:noProof/>
        </w:rPr>
        <w:t>Endnote 2—Abbreviation key</w:t>
      </w:r>
      <w:r w:rsidRPr="00DF62CC">
        <w:rPr>
          <w:b w:val="0"/>
          <w:noProof/>
          <w:sz w:val="18"/>
        </w:rPr>
        <w:tab/>
      </w:r>
      <w:r w:rsidRPr="00DF62CC">
        <w:rPr>
          <w:b w:val="0"/>
          <w:noProof/>
          <w:sz w:val="18"/>
        </w:rPr>
        <w:fldChar w:fldCharType="begin"/>
      </w:r>
      <w:r w:rsidRPr="00DF62CC">
        <w:rPr>
          <w:b w:val="0"/>
          <w:noProof/>
          <w:sz w:val="18"/>
        </w:rPr>
        <w:instrText xml:space="preserve"> PAGEREF _Toc110502755 \h </w:instrText>
      </w:r>
      <w:r w:rsidRPr="00DF62CC">
        <w:rPr>
          <w:b w:val="0"/>
          <w:noProof/>
          <w:sz w:val="18"/>
        </w:rPr>
      </w:r>
      <w:r w:rsidRPr="00DF62CC">
        <w:rPr>
          <w:b w:val="0"/>
          <w:noProof/>
          <w:sz w:val="18"/>
        </w:rPr>
        <w:fldChar w:fldCharType="separate"/>
      </w:r>
      <w:r w:rsidRPr="00DF62CC">
        <w:rPr>
          <w:b w:val="0"/>
          <w:noProof/>
          <w:sz w:val="18"/>
        </w:rPr>
        <w:t>11</w:t>
      </w:r>
      <w:r w:rsidRPr="00DF62CC">
        <w:rPr>
          <w:b w:val="0"/>
          <w:noProof/>
          <w:sz w:val="18"/>
        </w:rPr>
        <w:fldChar w:fldCharType="end"/>
      </w:r>
    </w:p>
    <w:p w:rsidR="00DF62CC" w:rsidRDefault="00DF62CC">
      <w:pPr>
        <w:pStyle w:val="TOC3"/>
        <w:rPr>
          <w:rFonts w:asciiTheme="minorHAnsi" w:eastAsiaTheme="minorEastAsia" w:hAnsiTheme="minorHAnsi" w:cstheme="minorBidi"/>
          <w:b w:val="0"/>
          <w:noProof/>
          <w:kern w:val="0"/>
          <w:szCs w:val="22"/>
        </w:rPr>
      </w:pPr>
      <w:r>
        <w:rPr>
          <w:noProof/>
        </w:rPr>
        <w:t>Endnote 3—Legislation history</w:t>
      </w:r>
      <w:r w:rsidRPr="00DF62CC">
        <w:rPr>
          <w:b w:val="0"/>
          <w:noProof/>
          <w:sz w:val="18"/>
        </w:rPr>
        <w:tab/>
      </w:r>
      <w:r w:rsidRPr="00DF62CC">
        <w:rPr>
          <w:b w:val="0"/>
          <w:noProof/>
          <w:sz w:val="18"/>
        </w:rPr>
        <w:fldChar w:fldCharType="begin"/>
      </w:r>
      <w:r w:rsidRPr="00DF62CC">
        <w:rPr>
          <w:b w:val="0"/>
          <w:noProof/>
          <w:sz w:val="18"/>
        </w:rPr>
        <w:instrText xml:space="preserve"> PAGEREF _Toc110502756 \h </w:instrText>
      </w:r>
      <w:r w:rsidRPr="00DF62CC">
        <w:rPr>
          <w:b w:val="0"/>
          <w:noProof/>
          <w:sz w:val="18"/>
        </w:rPr>
      </w:r>
      <w:r w:rsidRPr="00DF62CC">
        <w:rPr>
          <w:b w:val="0"/>
          <w:noProof/>
          <w:sz w:val="18"/>
        </w:rPr>
        <w:fldChar w:fldCharType="separate"/>
      </w:r>
      <w:r w:rsidRPr="00DF62CC">
        <w:rPr>
          <w:b w:val="0"/>
          <w:noProof/>
          <w:sz w:val="18"/>
        </w:rPr>
        <w:t>12</w:t>
      </w:r>
      <w:r w:rsidRPr="00DF62CC">
        <w:rPr>
          <w:b w:val="0"/>
          <w:noProof/>
          <w:sz w:val="18"/>
        </w:rPr>
        <w:fldChar w:fldCharType="end"/>
      </w:r>
    </w:p>
    <w:p w:rsidR="00DF62CC" w:rsidRPr="00DF62CC" w:rsidRDefault="00DF62CC">
      <w:pPr>
        <w:pStyle w:val="TOC3"/>
        <w:rPr>
          <w:rFonts w:eastAsiaTheme="minorEastAsia"/>
          <w:b w:val="0"/>
          <w:noProof/>
          <w:kern w:val="0"/>
          <w:sz w:val="18"/>
          <w:szCs w:val="22"/>
        </w:rPr>
      </w:pPr>
      <w:r>
        <w:rPr>
          <w:noProof/>
        </w:rPr>
        <w:t>Endnote 4—Amendment history</w:t>
      </w:r>
      <w:r w:rsidRPr="00DF62CC">
        <w:rPr>
          <w:b w:val="0"/>
          <w:noProof/>
          <w:sz w:val="18"/>
        </w:rPr>
        <w:tab/>
      </w:r>
      <w:r w:rsidRPr="00DF62CC">
        <w:rPr>
          <w:b w:val="0"/>
          <w:noProof/>
          <w:sz w:val="18"/>
        </w:rPr>
        <w:fldChar w:fldCharType="begin"/>
      </w:r>
      <w:r w:rsidRPr="00DF62CC">
        <w:rPr>
          <w:b w:val="0"/>
          <w:noProof/>
          <w:sz w:val="18"/>
        </w:rPr>
        <w:instrText xml:space="preserve"> PAGEREF _Toc110502757 \h </w:instrText>
      </w:r>
      <w:r w:rsidRPr="00DF62CC">
        <w:rPr>
          <w:b w:val="0"/>
          <w:noProof/>
          <w:sz w:val="18"/>
        </w:rPr>
      </w:r>
      <w:r w:rsidRPr="00DF62CC">
        <w:rPr>
          <w:b w:val="0"/>
          <w:noProof/>
          <w:sz w:val="18"/>
        </w:rPr>
        <w:fldChar w:fldCharType="separate"/>
      </w:r>
      <w:r w:rsidRPr="00DF62CC">
        <w:rPr>
          <w:b w:val="0"/>
          <w:noProof/>
          <w:sz w:val="18"/>
        </w:rPr>
        <w:t>13</w:t>
      </w:r>
      <w:r w:rsidRPr="00DF62CC">
        <w:rPr>
          <w:b w:val="0"/>
          <w:noProof/>
          <w:sz w:val="18"/>
        </w:rPr>
        <w:fldChar w:fldCharType="end"/>
      </w:r>
    </w:p>
    <w:p w:rsidR="00240F59" w:rsidRPr="00FD3101" w:rsidRDefault="00240F59" w:rsidP="00B30C25">
      <w:pPr>
        <w:ind w:right="1792"/>
      </w:pPr>
      <w:r w:rsidRPr="00DF62CC">
        <w:rPr>
          <w:rFonts w:cs="Times New Roman"/>
          <w:sz w:val="18"/>
        </w:rPr>
        <w:fldChar w:fldCharType="end"/>
      </w:r>
    </w:p>
    <w:p w:rsidR="003164D4" w:rsidRPr="00FD3101" w:rsidRDefault="003164D4" w:rsidP="001E29E2">
      <w:pPr>
        <w:sectPr w:rsidR="003164D4" w:rsidRPr="00FD3101" w:rsidSect="003B34C5">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bookmarkStart w:id="1" w:name="OPCSB_ContentsB5"/>
    </w:p>
    <w:p w:rsidR="00FD3101" w:rsidRPr="00890F81" w:rsidRDefault="009A6D8A" w:rsidP="00FD3101">
      <w:pPr>
        <w:pStyle w:val="ActHead2"/>
      </w:pPr>
      <w:bookmarkStart w:id="2" w:name="_Toc110502740"/>
      <w:bookmarkEnd w:id="1"/>
      <w:r w:rsidRPr="009A6D8A">
        <w:rPr>
          <w:rStyle w:val="CharPartNo"/>
        </w:rPr>
        <w:lastRenderedPageBreak/>
        <w:t>Part 1</w:t>
      </w:r>
      <w:r w:rsidR="00FD3101" w:rsidRPr="00890F81">
        <w:t>—</w:t>
      </w:r>
      <w:r w:rsidR="00FD3101" w:rsidRPr="009A6D8A">
        <w:rPr>
          <w:rStyle w:val="CharPartText"/>
        </w:rPr>
        <w:t>Preliminary</w:t>
      </w:r>
      <w:bookmarkEnd w:id="2"/>
    </w:p>
    <w:p w:rsidR="00FD3101" w:rsidRPr="00890F81" w:rsidRDefault="00FD3101" w:rsidP="00FD3101">
      <w:pPr>
        <w:pStyle w:val="Header"/>
      </w:pPr>
      <w:r w:rsidRPr="009A6D8A">
        <w:rPr>
          <w:rStyle w:val="CharDivNo"/>
        </w:rPr>
        <w:t xml:space="preserve"> </w:t>
      </w:r>
      <w:r w:rsidRPr="009A6D8A">
        <w:rPr>
          <w:rStyle w:val="CharDivText"/>
        </w:rPr>
        <w:t xml:space="preserve"> </w:t>
      </w:r>
    </w:p>
    <w:p w:rsidR="000F6C4D" w:rsidRPr="00890F81" w:rsidRDefault="000F6C4D" w:rsidP="00240F59">
      <w:pPr>
        <w:pStyle w:val="ActHead5"/>
        <w:rPr>
          <w:sz w:val="18"/>
        </w:rPr>
      </w:pPr>
      <w:bookmarkStart w:id="3" w:name="_Toc110502741"/>
      <w:r w:rsidRPr="009A6D8A">
        <w:rPr>
          <w:rStyle w:val="CharSectno"/>
        </w:rPr>
        <w:t>1</w:t>
      </w:r>
      <w:r w:rsidR="00240F59" w:rsidRPr="00890F81">
        <w:t xml:space="preserve">  </w:t>
      </w:r>
      <w:r w:rsidRPr="00890F81">
        <w:t>Name of Regulations</w:t>
      </w:r>
      <w:bookmarkEnd w:id="3"/>
    </w:p>
    <w:p w:rsidR="000F6C4D" w:rsidRPr="00890F81" w:rsidRDefault="000F6C4D" w:rsidP="00240F59">
      <w:pPr>
        <w:pStyle w:val="subsection"/>
      </w:pPr>
      <w:r w:rsidRPr="00890F81">
        <w:tab/>
      </w:r>
      <w:r w:rsidRPr="00890F81">
        <w:tab/>
        <w:t xml:space="preserve">These Regulations are the </w:t>
      </w:r>
      <w:r w:rsidRPr="00890F81">
        <w:rPr>
          <w:i/>
        </w:rPr>
        <w:t xml:space="preserve">Corporations (Review Fees) </w:t>
      </w:r>
      <w:r w:rsidR="009A6D8A">
        <w:rPr>
          <w:i/>
        </w:rPr>
        <w:t>Regulations 2</w:t>
      </w:r>
      <w:r w:rsidRPr="00890F81">
        <w:rPr>
          <w:i/>
        </w:rPr>
        <w:t>003</w:t>
      </w:r>
      <w:r w:rsidRPr="00890F81">
        <w:t>.</w:t>
      </w:r>
    </w:p>
    <w:p w:rsidR="000F6C4D" w:rsidRPr="00890F81" w:rsidRDefault="000F6C4D" w:rsidP="00240F59">
      <w:pPr>
        <w:pStyle w:val="ActHead5"/>
      </w:pPr>
      <w:bookmarkStart w:id="4" w:name="_Toc110502742"/>
      <w:r w:rsidRPr="009A6D8A">
        <w:rPr>
          <w:rStyle w:val="CharSectno"/>
        </w:rPr>
        <w:t>3</w:t>
      </w:r>
      <w:r w:rsidR="00240F59" w:rsidRPr="00890F81">
        <w:t xml:space="preserve">  </w:t>
      </w:r>
      <w:r w:rsidRPr="00890F81">
        <w:t>Definitions</w:t>
      </w:r>
      <w:bookmarkEnd w:id="4"/>
    </w:p>
    <w:p w:rsidR="000F6C4D" w:rsidRPr="00890F81" w:rsidRDefault="000F6C4D" w:rsidP="00240F59">
      <w:pPr>
        <w:pStyle w:val="subsection"/>
      </w:pPr>
      <w:r w:rsidRPr="00890F81">
        <w:tab/>
      </w:r>
      <w:r w:rsidR="00FD3101" w:rsidRPr="00890F81">
        <w:t>(1)</w:t>
      </w:r>
      <w:r w:rsidR="00FD3101" w:rsidRPr="00355BAE">
        <w:tab/>
      </w:r>
      <w:r w:rsidRPr="00890F81">
        <w:t>In these Regulations:</w:t>
      </w:r>
    </w:p>
    <w:p w:rsidR="000F6C4D" w:rsidRPr="00890F81" w:rsidRDefault="000F6C4D" w:rsidP="00240F59">
      <w:pPr>
        <w:pStyle w:val="Definition"/>
      </w:pPr>
      <w:r w:rsidRPr="00890F81">
        <w:rPr>
          <w:b/>
          <w:i/>
        </w:rPr>
        <w:t xml:space="preserve">Act </w:t>
      </w:r>
      <w:r w:rsidRPr="00890F81">
        <w:t xml:space="preserve">means the </w:t>
      </w:r>
      <w:r w:rsidRPr="00890F81">
        <w:rPr>
          <w:i/>
        </w:rPr>
        <w:t>Corporations Act 2001</w:t>
      </w:r>
      <w:r w:rsidRPr="00890F81">
        <w:t>.</w:t>
      </w:r>
    </w:p>
    <w:p w:rsidR="000F6C4D" w:rsidRPr="00890F81" w:rsidRDefault="000F6C4D" w:rsidP="00240F59">
      <w:pPr>
        <w:pStyle w:val="Definition"/>
      </w:pPr>
      <w:r w:rsidRPr="00890F81">
        <w:rPr>
          <w:b/>
          <w:bCs/>
          <w:i/>
          <w:iCs/>
        </w:rPr>
        <w:t xml:space="preserve">small transferring financial institution </w:t>
      </w:r>
      <w:r w:rsidRPr="00890F81">
        <w:t>means a transferring financial institution of a State or Territory:</w:t>
      </w:r>
    </w:p>
    <w:p w:rsidR="000F6C4D" w:rsidRPr="00890F81" w:rsidRDefault="000F6C4D" w:rsidP="00240F59">
      <w:pPr>
        <w:pStyle w:val="paragraph"/>
      </w:pPr>
      <w:r w:rsidRPr="00890F81">
        <w:tab/>
        <w:t>(a)</w:t>
      </w:r>
      <w:r w:rsidRPr="00890F81">
        <w:tab/>
        <w:t>for which a review date applies in accordance with sections</w:t>
      </w:r>
      <w:r w:rsidR="00840DF8" w:rsidRPr="00890F81">
        <w:t> </w:t>
      </w:r>
      <w:r w:rsidRPr="00890F81">
        <w:t>345A, 345B and 345C of the Act; and</w:t>
      </w:r>
    </w:p>
    <w:p w:rsidR="000F6C4D" w:rsidRPr="00890F81" w:rsidRDefault="000F6C4D" w:rsidP="00240F59">
      <w:pPr>
        <w:pStyle w:val="paragraph"/>
      </w:pPr>
      <w:r w:rsidRPr="00890F81">
        <w:tab/>
        <w:t>(b)</w:t>
      </w:r>
      <w:r w:rsidRPr="00890F81">
        <w:tab/>
        <w:t xml:space="preserve">for which any of the following circumstances exists on </w:t>
      </w:r>
      <w:r w:rsidR="009A6D8A">
        <w:t>1 July</w:t>
      </w:r>
      <w:r w:rsidRPr="00890F81">
        <w:t xml:space="preserve"> immediately before that review date:</w:t>
      </w:r>
    </w:p>
    <w:p w:rsidR="000F6C4D" w:rsidRPr="00890F81" w:rsidRDefault="000F6C4D" w:rsidP="00240F59">
      <w:pPr>
        <w:pStyle w:val="paragraphsub"/>
      </w:pPr>
      <w:r w:rsidRPr="00890F81">
        <w:tab/>
        <w:t>(i)</w:t>
      </w:r>
      <w:r w:rsidRPr="00890F81">
        <w:tab/>
        <w:t xml:space="preserve">a levy under the </w:t>
      </w:r>
      <w:r w:rsidRPr="00890F81">
        <w:rPr>
          <w:i/>
        </w:rPr>
        <w:t>Authorised Deposit</w:t>
      </w:r>
      <w:r w:rsidR="009A6D8A">
        <w:rPr>
          <w:i/>
        </w:rPr>
        <w:noBreakHyphen/>
      </w:r>
      <w:r w:rsidRPr="00890F81">
        <w:rPr>
          <w:i/>
        </w:rPr>
        <w:t xml:space="preserve">taking Institutions Supervisory Levy Imposition Act 1998 </w:t>
      </w:r>
      <w:r w:rsidRPr="00890F81">
        <w:t xml:space="preserve">or the </w:t>
      </w:r>
      <w:r w:rsidRPr="00890F81">
        <w:rPr>
          <w:i/>
        </w:rPr>
        <w:t xml:space="preserve">Life Insurance Supervisory Levy Imposition Act 1998 </w:t>
      </w:r>
      <w:r w:rsidRPr="00890F81">
        <w:t xml:space="preserve">is not payable; </w:t>
      </w:r>
    </w:p>
    <w:p w:rsidR="000F6C4D" w:rsidRPr="00890F81" w:rsidRDefault="000F6C4D" w:rsidP="00240F59">
      <w:pPr>
        <w:pStyle w:val="paragraphsub"/>
      </w:pPr>
      <w:r w:rsidRPr="00890F81">
        <w:tab/>
        <w:t>(ii)</w:t>
      </w:r>
      <w:r w:rsidRPr="00890F81">
        <w:tab/>
        <w:t>the minimum levy amount determined under subsection</w:t>
      </w:r>
      <w:r w:rsidR="00840DF8" w:rsidRPr="00890F81">
        <w:t> </w:t>
      </w:r>
      <w:r w:rsidRPr="00890F81">
        <w:t xml:space="preserve">7 (3) of the </w:t>
      </w:r>
      <w:r w:rsidRPr="00890F81">
        <w:rPr>
          <w:i/>
          <w:iCs/>
        </w:rPr>
        <w:t>Authorised Deposit</w:t>
      </w:r>
      <w:r w:rsidR="009A6D8A">
        <w:rPr>
          <w:i/>
          <w:iCs/>
        </w:rPr>
        <w:noBreakHyphen/>
      </w:r>
      <w:r w:rsidRPr="00890F81">
        <w:rPr>
          <w:i/>
          <w:iCs/>
        </w:rPr>
        <w:t>taking Institutions Supervisory Levy Imposition Act 1998</w:t>
      </w:r>
      <w:r w:rsidRPr="00890F81">
        <w:rPr>
          <w:i/>
        </w:rPr>
        <w:t xml:space="preserve"> </w:t>
      </w:r>
      <w:r w:rsidRPr="00890F81">
        <w:t xml:space="preserve">is payable; </w:t>
      </w:r>
    </w:p>
    <w:p w:rsidR="000F6C4D" w:rsidRPr="00890F81" w:rsidRDefault="000F6C4D" w:rsidP="00240F59">
      <w:pPr>
        <w:pStyle w:val="paragraphsub"/>
      </w:pPr>
      <w:r w:rsidRPr="00890F81">
        <w:tab/>
        <w:t>(iii)</w:t>
      </w:r>
      <w:r w:rsidRPr="00890F81">
        <w:tab/>
        <w:t>the minimum levy amount determined under subsection</w:t>
      </w:r>
      <w:r w:rsidR="00840DF8" w:rsidRPr="00890F81">
        <w:t> </w:t>
      </w:r>
      <w:r w:rsidRPr="00890F81">
        <w:t xml:space="preserve">7 (3) of the </w:t>
      </w:r>
      <w:r w:rsidRPr="00890F81">
        <w:rPr>
          <w:i/>
          <w:iCs/>
        </w:rPr>
        <w:t>Life Insurance Supervisory Levy Imposition Act 1998</w:t>
      </w:r>
      <w:r w:rsidRPr="00890F81">
        <w:rPr>
          <w:i/>
        </w:rPr>
        <w:t xml:space="preserve"> </w:t>
      </w:r>
      <w:r w:rsidRPr="00890F81">
        <w:t>is payable.</w:t>
      </w:r>
    </w:p>
    <w:p w:rsidR="000F6C4D" w:rsidRPr="00890F81" w:rsidRDefault="000F6C4D" w:rsidP="00240F59">
      <w:pPr>
        <w:pStyle w:val="Definition"/>
      </w:pPr>
      <w:r w:rsidRPr="00890F81">
        <w:rPr>
          <w:b/>
          <w:i/>
        </w:rPr>
        <w:t xml:space="preserve">special purpose company </w:t>
      </w:r>
      <w:r w:rsidRPr="00890F81">
        <w:t>means:</w:t>
      </w:r>
    </w:p>
    <w:p w:rsidR="000F6C4D" w:rsidRPr="00890F81" w:rsidRDefault="000F6C4D" w:rsidP="00240F59">
      <w:pPr>
        <w:pStyle w:val="paragraph"/>
      </w:pPr>
      <w:r w:rsidRPr="00890F81">
        <w:tab/>
        <w:t>(a)</w:t>
      </w:r>
      <w:r w:rsidRPr="00890F81">
        <w:tab/>
        <w:t xml:space="preserve">a company holding a licence that is continued in force by </w:t>
      </w:r>
      <w:r w:rsidR="009A6D8A">
        <w:t>section 1</w:t>
      </w:r>
      <w:r w:rsidRPr="00890F81">
        <w:t>51 of the Act and allows the company to omit ‘Limited’ from its name; or</w:t>
      </w:r>
    </w:p>
    <w:p w:rsidR="000F6C4D" w:rsidRPr="00890F81" w:rsidRDefault="000F6C4D" w:rsidP="00240F59">
      <w:pPr>
        <w:pStyle w:val="paragraph"/>
      </w:pPr>
      <w:r w:rsidRPr="00890F81">
        <w:tab/>
        <w:t>(b)</w:t>
      </w:r>
      <w:r w:rsidRPr="00890F81">
        <w:tab/>
        <w:t>in the case of a company limited by guarantee, or by both shares and guarantee, that was registered immediately before the commencement of this paragraph</w:t>
      </w:r>
      <w:r w:rsidR="00240F59" w:rsidRPr="00890F81">
        <w:t>—</w:t>
      </w:r>
      <w:r w:rsidRPr="00890F81">
        <w:t>if the constitution of the company states that the company:</w:t>
      </w:r>
    </w:p>
    <w:p w:rsidR="000F6C4D" w:rsidRPr="00890F81" w:rsidRDefault="000F6C4D" w:rsidP="00240F59">
      <w:pPr>
        <w:pStyle w:val="paragraphsub"/>
      </w:pPr>
      <w:r w:rsidRPr="00890F81">
        <w:tab/>
        <w:t>(i)</w:t>
      </w:r>
      <w:r w:rsidRPr="00890F81">
        <w:tab/>
        <w:t>is formed for the purpose of providing recreation or amusement or promoting commerce, industry, art, science, religion, charity, patriotism, pension or superannuation schemes or any other object useful to the community; and</w:t>
      </w:r>
    </w:p>
    <w:p w:rsidR="000F6C4D" w:rsidRPr="00890F81" w:rsidRDefault="000F6C4D" w:rsidP="00240F59">
      <w:pPr>
        <w:pStyle w:val="paragraphsub"/>
      </w:pPr>
      <w:r w:rsidRPr="00890F81">
        <w:tab/>
        <w:t>(ii)</w:t>
      </w:r>
      <w:r w:rsidRPr="00890F81">
        <w:tab/>
        <w:t>applies its profits (if any) or other income in promoting its purpose; and</w:t>
      </w:r>
    </w:p>
    <w:p w:rsidR="000F6C4D" w:rsidRPr="00890F81" w:rsidRDefault="000F6C4D" w:rsidP="00240F59">
      <w:pPr>
        <w:pStyle w:val="paragraphsub"/>
      </w:pPr>
      <w:r w:rsidRPr="00890F81">
        <w:tab/>
        <w:t>(iii)</w:t>
      </w:r>
      <w:r w:rsidRPr="00890F81">
        <w:tab/>
        <w:t>prohibits the distribution of its income or property to its members; or</w:t>
      </w:r>
    </w:p>
    <w:p w:rsidR="000F6C4D" w:rsidRPr="00890F81" w:rsidRDefault="000F6C4D" w:rsidP="00240F59">
      <w:pPr>
        <w:pStyle w:val="paragraph"/>
      </w:pPr>
      <w:r w:rsidRPr="00890F81">
        <w:tab/>
        <w:t>(c)</w:t>
      </w:r>
      <w:r w:rsidRPr="00890F81">
        <w:tab/>
        <w:t>a company that, under sub</w:t>
      </w:r>
      <w:r w:rsidR="009A6D8A">
        <w:t>section 1</w:t>
      </w:r>
      <w:r w:rsidRPr="00890F81">
        <w:t>50 (1) of the Act, is registered without ‘Limited’ in its name; or</w:t>
      </w:r>
    </w:p>
    <w:p w:rsidR="000F6C4D" w:rsidRPr="00890F81" w:rsidRDefault="000F6C4D" w:rsidP="00240F59">
      <w:pPr>
        <w:pStyle w:val="paragraph"/>
      </w:pPr>
      <w:r w:rsidRPr="00890F81">
        <w:tab/>
        <w:t>(d)</w:t>
      </w:r>
      <w:r w:rsidRPr="00890F81">
        <w:tab/>
        <w:t>a company the constitution of which:</w:t>
      </w:r>
    </w:p>
    <w:p w:rsidR="000F6C4D" w:rsidRPr="00890F81" w:rsidRDefault="000F6C4D" w:rsidP="00240F59">
      <w:pPr>
        <w:pStyle w:val="paragraphsub"/>
      </w:pPr>
      <w:r w:rsidRPr="00890F81">
        <w:tab/>
        <w:t>(i)</w:t>
      </w:r>
      <w:r w:rsidRPr="00890F81">
        <w:tab/>
        <w:t>requires the company to pursue charitable purposes only and to apply its income in promoting those purposes; and</w:t>
      </w:r>
    </w:p>
    <w:p w:rsidR="000F6C4D" w:rsidRPr="00890F81" w:rsidRDefault="000F6C4D" w:rsidP="00240F59">
      <w:pPr>
        <w:pStyle w:val="paragraphsub"/>
      </w:pPr>
      <w:r w:rsidRPr="00890F81">
        <w:lastRenderedPageBreak/>
        <w:tab/>
        <w:t>(ii)</w:t>
      </w:r>
      <w:r w:rsidRPr="00890F81">
        <w:tab/>
        <w:t>prohibits the company making distributions to its members and paying fees to its directors; and</w:t>
      </w:r>
    </w:p>
    <w:p w:rsidR="000F6C4D" w:rsidRPr="00890F81" w:rsidRDefault="000F6C4D" w:rsidP="00240F59">
      <w:pPr>
        <w:pStyle w:val="paragraphsub"/>
      </w:pPr>
      <w:r w:rsidRPr="00890F81">
        <w:tab/>
        <w:t>(iii)</w:t>
      </w:r>
      <w:r w:rsidRPr="00890F81">
        <w:tab/>
        <w:t>requires its directors to approve all other payments the company makes to them; or</w:t>
      </w:r>
    </w:p>
    <w:p w:rsidR="000F6C4D" w:rsidRPr="00890F81" w:rsidRDefault="000F6C4D" w:rsidP="00240F59">
      <w:pPr>
        <w:pStyle w:val="paragraph"/>
      </w:pPr>
      <w:r w:rsidRPr="00890F81">
        <w:tab/>
        <w:t>(e)</w:t>
      </w:r>
      <w:r w:rsidRPr="00890F81">
        <w:tab/>
        <w:t>a proprietary company, if:</w:t>
      </w:r>
    </w:p>
    <w:p w:rsidR="000F6C4D" w:rsidRPr="00890F81" w:rsidRDefault="000F6C4D" w:rsidP="00240F59">
      <w:pPr>
        <w:pStyle w:val="paragraphsub"/>
      </w:pPr>
      <w:r w:rsidRPr="00890F81">
        <w:tab/>
        <w:t>(i)</w:t>
      </w:r>
      <w:r w:rsidRPr="00890F81">
        <w:tab/>
        <w:t>the company is the proprietor of land on which a building divided into separate residential areas and areas for common use is erected; and</w:t>
      </w:r>
    </w:p>
    <w:p w:rsidR="000F6C4D" w:rsidRPr="00890F81" w:rsidRDefault="000F6C4D" w:rsidP="00240F59">
      <w:pPr>
        <w:pStyle w:val="paragraphsub"/>
      </w:pPr>
      <w:r w:rsidRPr="00890F81">
        <w:tab/>
        <w:t>(ii)</w:t>
      </w:r>
      <w:r w:rsidRPr="00890F81">
        <w:tab/>
        <w:t>the members of the company are entitled, because of the shares they hold in the company, to the exclusive occupation of 1 or more of the residential areas and to the use of the common areas; and</w:t>
      </w:r>
    </w:p>
    <w:p w:rsidR="000F6C4D" w:rsidRPr="00890F81" w:rsidRDefault="000F6C4D" w:rsidP="00240F59">
      <w:pPr>
        <w:pStyle w:val="paragraphsub"/>
      </w:pPr>
      <w:r w:rsidRPr="00890F81">
        <w:tab/>
        <w:t>(iii)</w:t>
      </w:r>
      <w:r w:rsidRPr="00890F81">
        <w:tab/>
        <w:t>the company only operates to facilitate and enforce the rights of company members in relation to the exclusive occupation of the residential areas and to maintain the common areas; or</w:t>
      </w:r>
    </w:p>
    <w:p w:rsidR="000F6C4D" w:rsidRPr="00890F81" w:rsidRDefault="000F6C4D" w:rsidP="00240F59">
      <w:pPr>
        <w:pStyle w:val="paragraph"/>
      </w:pPr>
      <w:r w:rsidRPr="00890F81">
        <w:tab/>
        <w:t>(f)</w:t>
      </w:r>
      <w:r w:rsidRPr="00890F81">
        <w:tab/>
        <w:t xml:space="preserve">a company, other than a company mentioned in </w:t>
      </w:r>
      <w:r w:rsidR="00840DF8" w:rsidRPr="00890F81">
        <w:t>paragraph (</w:t>
      </w:r>
      <w:r w:rsidRPr="00890F81">
        <w:t>a), (b), (c), (d) or (e), if:</w:t>
      </w:r>
    </w:p>
    <w:p w:rsidR="000F6C4D" w:rsidRPr="00890F81" w:rsidRDefault="000F6C4D" w:rsidP="00240F59">
      <w:pPr>
        <w:pStyle w:val="paragraphsub"/>
      </w:pPr>
      <w:r w:rsidRPr="00890F81">
        <w:tab/>
        <w:t>(i)</w:t>
      </w:r>
      <w:r w:rsidRPr="00890F81">
        <w:tab/>
        <w:t>the constitution of the company prohibits distribution of the company’s income or property to its members; and</w:t>
      </w:r>
    </w:p>
    <w:p w:rsidR="000F6C4D" w:rsidRPr="00890F81" w:rsidRDefault="000F6C4D" w:rsidP="00240F59">
      <w:pPr>
        <w:pStyle w:val="paragraphsub"/>
      </w:pPr>
      <w:r w:rsidRPr="00890F81">
        <w:tab/>
        <w:t>(ii)</w:t>
      </w:r>
      <w:r w:rsidRPr="00890F81">
        <w:tab/>
        <w:t xml:space="preserve">the sole purpose of the company is to act as the trustee of a regulated superannuation fund within the meaning of </w:t>
      </w:r>
      <w:r w:rsidR="009A6D8A">
        <w:t>section 1</w:t>
      </w:r>
      <w:r w:rsidRPr="00890F81">
        <w:t xml:space="preserve">9 of the </w:t>
      </w:r>
      <w:r w:rsidRPr="00890F81">
        <w:rPr>
          <w:i/>
          <w:iCs/>
        </w:rPr>
        <w:t>Superannuation Industry (Supervision) Act 1993</w:t>
      </w:r>
      <w:r w:rsidRPr="00890F81">
        <w:t>.</w:t>
      </w:r>
    </w:p>
    <w:p w:rsidR="000F6C4D" w:rsidRPr="00890F81" w:rsidRDefault="000F6C4D" w:rsidP="00240F59">
      <w:pPr>
        <w:pStyle w:val="Definition"/>
      </w:pPr>
      <w:r w:rsidRPr="00890F81">
        <w:rPr>
          <w:b/>
          <w:bCs/>
          <w:i/>
          <w:iCs/>
        </w:rPr>
        <w:t>transferring financial institution of a State or Territory</w:t>
      </w:r>
      <w:r w:rsidRPr="00890F81">
        <w:rPr>
          <w:b/>
          <w:i/>
        </w:rPr>
        <w:t xml:space="preserve"> </w:t>
      </w:r>
      <w:r w:rsidRPr="00890F81">
        <w:t>has the meaning given by clause</w:t>
      </w:r>
      <w:r w:rsidR="00840DF8" w:rsidRPr="00890F81">
        <w:t> </w:t>
      </w:r>
      <w:r w:rsidRPr="00890F81">
        <w:t>1 of Schedule</w:t>
      </w:r>
      <w:r w:rsidR="00840DF8" w:rsidRPr="00890F81">
        <w:t> </w:t>
      </w:r>
      <w:r w:rsidRPr="00890F81">
        <w:t>4 to the Act.</w:t>
      </w:r>
    </w:p>
    <w:p w:rsidR="00FD3101" w:rsidRPr="00890F81" w:rsidRDefault="00FD3101" w:rsidP="00FD3101">
      <w:pPr>
        <w:pStyle w:val="subsection"/>
      </w:pPr>
      <w:r w:rsidRPr="00890F81">
        <w:tab/>
        <w:t>(2)</w:t>
      </w:r>
      <w:r w:rsidRPr="00890F81">
        <w:tab/>
        <w:t>Other expressions used in these Regulations that are defined in the Act have the same meanings as they have in that Act.</w:t>
      </w:r>
    </w:p>
    <w:p w:rsidR="00FD3101" w:rsidRPr="00890F81" w:rsidRDefault="009A6D8A" w:rsidP="008B7998">
      <w:pPr>
        <w:pStyle w:val="ActHead2"/>
        <w:pageBreakBefore/>
      </w:pPr>
      <w:bookmarkStart w:id="5" w:name="_Toc110502743"/>
      <w:r w:rsidRPr="009A6D8A">
        <w:rPr>
          <w:rStyle w:val="CharPartNo"/>
        </w:rPr>
        <w:lastRenderedPageBreak/>
        <w:t>Part 2</w:t>
      </w:r>
      <w:r w:rsidR="00FD3101" w:rsidRPr="00890F81">
        <w:t>—</w:t>
      </w:r>
      <w:r w:rsidR="00FD3101" w:rsidRPr="009A6D8A">
        <w:rPr>
          <w:rStyle w:val="CharPartText"/>
        </w:rPr>
        <w:t>Review fees</w:t>
      </w:r>
      <w:bookmarkEnd w:id="5"/>
    </w:p>
    <w:p w:rsidR="00FD3101" w:rsidRPr="00890F81" w:rsidRDefault="00FD3101" w:rsidP="00FD3101">
      <w:pPr>
        <w:pStyle w:val="Header"/>
      </w:pPr>
      <w:r w:rsidRPr="009A6D8A">
        <w:rPr>
          <w:rStyle w:val="CharDivNo"/>
        </w:rPr>
        <w:t xml:space="preserve"> </w:t>
      </w:r>
      <w:r w:rsidRPr="009A6D8A">
        <w:rPr>
          <w:rStyle w:val="CharDivText"/>
        </w:rPr>
        <w:t xml:space="preserve"> </w:t>
      </w:r>
    </w:p>
    <w:p w:rsidR="001057AE" w:rsidRPr="00890F81" w:rsidRDefault="001057AE" w:rsidP="00240F59">
      <w:pPr>
        <w:pStyle w:val="ActHead5"/>
        <w:rPr>
          <w:sz w:val="18"/>
        </w:rPr>
      </w:pPr>
      <w:bookmarkStart w:id="6" w:name="_Toc110502744"/>
      <w:r w:rsidRPr="009A6D8A">
        <w:rPr>
          <w:rStyle w:val="CharSectno"/>
        </w:rPr>
        <w:t>4</w:t>
      </w:r>
      <w:r w:rsidR="00240F59" w:rsidRPr="00890F81">
        <w:t xml:space="preserve">  </w:t>
      </w:r>
      <w:r w:rsidRPr="00890F81">
        <w:t>Review fees</w:t>
      </w:r>
      <w:bookmarkEnd w:id="6"/>
      <w:r w:rsidRPr="00890F81">
        <w:rPr>
          <w:sz w:val="18"/>
        </w:rPr>
        <w:t xml:space="preserve"> </w:t>
      </w:r>
    </w:p>
    <w:p w:rsidR="001057AE" w:rsidRPr="00890F81" w:rsidRDefault="001057AE" w:rsidP="00240F59">
      <w:pPr>
        <w:pStyle w:val="SubsectionHead"/>
      </w:pPr>
      <w:r w:rsidRPr="00890F81">
        <w:t>Fees</w:t>
      </w:r>
    </w:p>
    <w:p w:rsidR="001057AE" w:rsidRPr="00890F81" w:rsidRDefault="001057AE" w:rsidP="00240F59">
      <w:pPr>
        <w:pStyle w:val="subsection"/>
      </w:pPr>
      <w:r w:rsidRPr="00890F81">
        <w:tab/>
        <w:t>(1)</w:t>
      </w:r>
      <w:r w:rsidRPr="00890F81">
        <w:tab/>
        <w:t>For subsection</w:t>
      </w:r>
      <w:r w:rsidR="00840DF8" w:rsidRPr="00890F81">
        <w:t> </w:t>
      </w:r>
      <w:r w:rsidRPr="00890F81">
        <w:t xml:space="preserve">5 (1) of the </w:t>
      </w:r>
      <w:r w:rsidRPr="00890F81">
        <w:rPr>
          <w:i/>
        </w:rPr>
        <w:t>Corporations (Review Fees) Act 2003</w:t>
      </w:r>
      <w:r w:rsidRPr="00890F81">
        <w:t xml:space="preserve">, fees are prescribed in relation to review dates for a </w:t>
      </w:r>
      <w:r w:rsidR="003A2B4A" w:rsidRPr="00890F81">
        <w:t>company, registered scheme or notified foreign passport fund</w:t>
      </w:r>
      <w:r w:rsidRPr="00890F81">
        <w:t xml:space="preserve"> mentioned in an item of </w:t>
      </w:r>
      <w:r w:rsidR="009A6D8A">
        <w:t>Part 1</w:t>
      </w:r>
      <w:r w:rsidRPr="00890F81">
        <w:t xml:space="preserve"> of Schedule</w:t>
      </w:r>
      <w:r w:rsidR="00840DF8" w:rsidRPr="00890F81">
        <w:t> </w:t>
      </w:r>
      <w:r w:rsidRPr="00890F81">
        <w:t>1 if the fees are to be paid annually.</w:t>
      </w:r>
    </w:p>
    <w:p w:rsidR="001057AE" w:rsidRPr="00890F81" w:rsidRDefault="001057AE" w:rsidP="00240F59">
      <w:pPr>
        <w:pStyle w:val="subsection"/>
      </w:pPr>
      <w:r w:rsidRPr="00890F81">
        <w:tab/>
        <w:t>(2)</w:t>
      </w:r>
      <w:r w:rsidRPr="00890F81">
        <w:tab/>
        <w:t>For subsection</w:t>
      </w:r>
      <w:r w:rsidR="00840DF8" w:rsidRPr="00890F81">
        <w:t> </w:t>
      </w:r>
      <w:r w:rsidRPr="00890F81">
        <w:t xml:space="preserve">5 (1) of the </w:t>
      </w:r>
      <w:r w:rsidRPr="00890F81">
        <w:rPr>
          <w:i/>
        </w:rPr>
        <w:t>Corporations (Review Fees) Act 2003</w:t>
      </w:r>
      <w:r w:rsidRPr="00890F81">
        <w:t xml:space="preserve">: </w:t>
      </w:r>
    </w:p>
    <w:p w:rsidR="001057AE" w:rsidRPr="00890F81" w:rsidRDefault="001057AE" w:rsidP="00240F59">
      <w:pPr>
        <w:pStyle w:val="paragraph"/>
      </w:pPr>
      <w:r w:rsidRPr="00890F81">
        <w:tab/>
        <w:t>(a)</w:t>
      </w:r>
      <w:r w:rsidRPr="00890F81">
        <w:tab/>
        <w:t xml:space="preserve">fees are prescribed in relation to review dates for a </w:t>
      </w:r>
      <w:r w:rsidR="003A2B4A" w:rsidRPr="00890F81">
        <w:t>company, registered scheme or notified foreign passport fund</w:t>
      </w:r>
      <w:r w:rsidRPr="00890F81">
        <w:t xml:space="preserve"> mentioned in an item of </w:t>
      </w:r>
      <w:r w:rsidR="009A6D8A">
        <w:t>Part 1</w:t>
      </w:r>
      <w:r w:rsidRPr="00890F81">
        <w:t>A of Schedule</w:t>
      </w:r>
      <w:r w:rsidR="00840DF8" w:rsidRPr="00890F81">
        <w:t> </w:t>
      </w:r>
      <w:r w:rsidRPr="00890F81">
        <w:t>1 if the fees are to be paid before the conduct of the review; and</w:t>
      </w:r>
    </w:p>
    <w:p w:rsidR="001057AE" w:rsidRPr="00890F81" w:rsidRDefault="001057AE" w:rsidP="00240F59">
      <w:pPr>
        <w:pStyle w:val="paragraph"/>
      </w:pPr>
      <w:r w:rsidRPr="00890F81">
        <w:tab/>
        <w:t>(b)</w:t>
      </w:r>
      <w:r w:rsidRPr="00890F81">
        <w:tab/>
        <w:t xml:space="preserve">a </w:t>
      </w:r>
      <w:r w:rsidR="003A2B4A" w:rsidRPr="00890F81">
        <w:t>company, registered scheme or notified foreign passport fund</w:t>
      </w:r>
      <w:r w:rsidRPr="00890F81">
        <w:t xml:space="preserve"> that pays the fee specified in this regulation before the conduct of the review is not required to pay another fee in relation to review dates for the period of 10 years starting when the </w:t>
      </w:r>
      <w:r w:rsidR="003A2B4A" w:rsidRPr="00890F81">
        <w:t>company, registered scheme or notified foreign passport fund</w:t>
      </w:r>
      <w:r w:rsidRPr="00890F81">
        <w:t xml:space="preserve"> pays the fee.</w:t>
      </w:r>
    </w:p>
    <w:p w:rsidR="001057AE" w:rsidRPr="00890F81" w:rsidRDefault="001057AE" w:rsidP="00240F59">
      <w:pPr>
        <w:pStyle w:val="subsection"/>
      </w:pPr>
      <w:r w:rsidRPr="00890F81">
        <w:tab/>
        <w:t>(3)</w:t>
      </w:r>
      <w:r w:rsidRPr="00890F81">
        <w:tab/>
        <w:t>For subsection</w:t>
      </w:r>
      <w:r w:rsidR="00840DF8" w:rsidRPr="00890F81">
        <w:t> </w:t>
      </w:r>
      <w:r w:rsidRPr="00890F81">
        <w:t xml:space="preserve">5 (1) of the </w:t>
      </w:r>
      <w:r w:rsidRPr="00890F81">
        <w:rPr>
          <w:i/>
          <w:iCs/>
        </w:rPr>
        <w:t>Corporations (Review Fees) Act 2003</w:t>
      </w:r>
      <w:r w:rsidRPr="00890F81">
        <w:t xml:space="preserve">, fees are specified in relation to review dates for a </w:t>
      </w:r>
      <w:r w:rsidR="003A2B4A" w:rsidRPr="00890F81">
        <w:t>company, registered scheme or notified foreign passport fund</w:t>
      </w:r>
      <w:r w:rsidRPr="00890F81">
        <w:t xml:space="preserve"> in the circumstances mentioned in column 2 of </w:t>
      </w:r>
      <w:r w:rsidR="009A6D8A">
        <w:t>Part 2</w:t>
      </w:r>
      <w:r w:rsidRPr="00890F81">
        <w:t xml:space="preserve"> of Schedule</w:t>
      </w:r>
      <w:r w:rsidR="00840DF8" w:rsidRPr="00890F81">
        <w:t> </w:t>
      </w:r>
      <w:r w:rsidRPr="00890F81">
        <w:t>1.</w:t>
      </w:r>
    </w:p>
    <w:p w:rsidR="001057AE" w:rsidRPr="00890F81" w:rsidRDefault="001057AE" w:rsidP="00240F59">
      <w:pPr>
        <w:pStyle w:val="SubsectionHead"/>
      </w:pPr>
      <w:r w:rsidRPr="00890F81">
        <w:t>Amount of fees</w:t>
      </w:r>
    </w:p>
    <w:p w:rsidR="001057AE" w:rsidRPr="00890F81" w:rsidRDefault="001057AE" w:rsidP="00240F59">
      <w:pPr>
        <w:pStyle w:val="subsection"/>
      </w:pPr>
      <w:r w:rsidRPr="00890F81">
        <w:tab/>
        <w:t>(4)</w:t>
      </w:r>
      <w:r w:rsidRPr="00890F81">
        <w:tab/>
        <w:t>For subsection</w:t>
      </w:r>
      <w:r w:rsidR="00840DF8" w:rsidRPr="00890F81">
        <w:t> </w:t>
      </w:r>
      <w:r w:rsidRPr="00890F81">
        <w:t xml:space="preserve">6 (1) of the </w:t>
      </w:r>
      <w:r w:rsidRPr="00890F81">
        <w:rPr>
          <w:i/>
          <w:iCs/>
        </w:rPr>
        <w:t>Corporations (Review Fees) Act 2003</w:t>
      </w:r>
      <w:r w:rsidRPr="00890F81">
        <w:t>, the amount of a review fee</w:t>
      </w:r>
      <w:r w:rsidR="00E37E6C" w:rsidRPr="00890F81">
        <w:t xml:space="preserve"> for a </w:t>
      </w:r>
      <w:r w:rsidR="003A2B4A" w:rsidRPr="00890F81">
        <w:t>company, registered scheme or notified foreign passport fund</w:t>
      </w:r>
      <w:r w:rsidRPr="00890F81">
        <w:t xml:space="preserve"> is:</w:t>
      </w:r>
    </w:p>
    <w:p w:rsidR="001057AE" w:rsidRPr="00890F81" w:rsidRDefault="001057AE" w:rsidP="00240F59">
      <w:pPr>
        <w:pStyle w:val="paragraph"/>
      </w:pPr>
      <w:r w:rsidRPr="00890F81">
        <w:tab/>
        <w:t>(a)</w:t>
      </w:r>
      <w:r w:rsidRPr="00890F81">
        <w:tab/>
        <w:t>if subregulation</w:t>
      </w:r>
      <w:r w:rsidR="00840DF8" w:rsidRPr="00890F81">
        <w:t> </w:t>
      </w:r>
      <w:r w:rsidRPr="00890F81">
        <w:t>5 (2) applies to the fee</w:t>
      </w:r>
      <w:r w:rsidR="00240F59" w:rsidRPr="00890F81">
        <w:t>—</w:t>
      </w:r>
      <w:r w:rsidRPr="00890F81">
        <w:t>zero; and</w:t>
      </w:r>
    </w:p>
    <w:p w:rsidR="001057AE" w:rsidRPr="00890F81" w:rsidRDefault="001057AE" w:rsidP="00240F59">
      <w:pPr>
        <w:pStyle w:val="paragraph"/>
      </w:pPr>
      <w:r w:rsidRPr="00890F81">
        <w:tab/>
        <w:t>(b)</w:t>
      </w:r>
      <w:r w:rsidRPr="00890F81">
        <w:tab/>
        <w:t>if subregulation</w:t>
      </w:r>
      <w:r w:rsidR="00093C32" w:rsidRPr="00890F81">
        <w:t> </w:t>
      </w:r>
      <w:r w:rsidRPr="00890F81">
        <w:t>(5), (6) or (7) applies</w:t>
      </w:r>
      <w:r w:rsidR="00240F59" w:rsidRPr="00890F81">
        <w:t>—</w:t>
      </w:r>
      <w:r w:rsidRPr="00890F81">
        <w:t>the lesser of:</w:t>
      </w:r>
    </w:p>
    <w:p w:rsidR="001057AE" w:rsidRPr="00890F81" w:rsidRDefault="001057AE" w:rsidP="00240F59">
      <w:pPr>
        <w:pStyle w:val="paragraphsub"/>
      </w:pPr>
      <w:r w:rsidRPr="00890F81">
        <w:tab/>
        <w:t>(i)</w:t>
      </w:r>
      <w:r w:rsidRPr="00890F81">
        <w:tab/>
        <w:t>the amount specified in that subregulation; and</w:t>
      </w:r>
    </w:p>
    <w:p w:rsidR="001057AE" w:rsidRPr="00890F81" w:rsidRDefault="001057AE" w:rsidP="00240F59">
      <w:pPr>
        <w:pStyle w:val="paragraphsub"/>
      </w:pPr>
      <w:r w:rsidRPr="00890F81">
        <w:tab/>
        <w:t>(ii)</w:t>
      </w:r>
      <w:r w:rsidRPr="00890F81">
        <w:tab/>
        <w:t>$10</w:t>
      </w:r>
      <w:r w:rsidR="00840DF8" w:rsidRPr="00890F81">
        <w:t> </w:t>
      </w:r>
      <w:r w:rsidRPr="00890F81">
        <w:t>000.</w:t>
      </w:r>
    </w:p>
    <w:p w:rsidR="001057AE" w:rsidRPr="00890F81" w:rsidRDefault="00240F59" w:rsidP="00240F59">
      <w:pPr>
        <w:pStyle w:val="notetext"/>
      </w:pPr>
      <w:r w:rsidRPr="00890F81">
        <w:t>Note:</w:t>
      </w:r>
      <w:r w:rsidRPr="00890F81">
        <w:tab/>
      </w:r>
      <w:r w:rsidR="001057AE" w:rsidRPr="00890F81">
        <w:t>Regulation</w:t>
      </w:r>
      <w:r w:rsidR="00840DF8" w:rsidRPr="00890F81">
        <w:t> </w:t>
      </w:r>
      <w:r w:rsidR="001057AE" w:rsidRPr="00890F81">
        <w:t xml:space="preserve">5 applies if the effect of a change of review date is that there will be 2 review dates for the </w:t>
      </w:r>
      <w:r w:rsidR="003A2B4A" w:rsidRPr="00890F81">
        <w:t>company, scheme or fund</w:t>
      </w:r>
      <w:r w:rsidR="001057AE" w:rsidRPr="00890F81">
        <w:t xml:space="preserve"> in a financial year.</w:t>
      </w:r>
    </w:p>
    <w:p w:rsidR="001057AE" w:rsidRPr="00890F81" w:rsidRDefault="001057AE" w:rsidP="00240F59">
      <w:pPr>
        <w:pStyle w:val="subsection"/>
      </w:pPr>
      <w:r w:rsidRPr="00890F81">
        <w:tab/>
        <w:t>(5)</w:t>
      </w:r>
      <w:r w:rsidRPr="00890F81">
        <w:tab/>
        <w:t xml:space="preserve">In the financial year starting on </w:t>
      </w:r>
      <w:r w:rsidR="009A6D8A">
        <w:t>1 July</w:t>
      </w:r>
      <w:r w:rsidR="00FC6D6E" w:rsidRPr="00890F81">
        <w:t xml:space="preserve"> 2011,</w:t>
      </w:r>
      <w:r w:rsidRPr="00890F81">
        <w:t xml:space="preserve"> the amount of a review fee is the amount mentioned in column 3 of each item of Schedule</w:t>
      </w:r>
      <w:r w:rsidR="00840DF8" w:rsidRPr="00890F81">
        <w:t> </w:t>
      </w:r>
      <w:r w:rsidRPr="00890F81">
        <w:t>1 that relates to the company or registered scheme.</w:t>
      </w:r>
    </w:p>
    <w:p w:rsidR="001057AE" w:rsidRPr="00890F81" w:rsidRDefault="001057AE" w:rsidP="00240F59">
      <w:pPr>
        <w:pStyle w:val="subsection"/>
      </w:pPr>
      <w:r w:rsidRPr="00890F81">
        <w:tab/>
        <w:t>(6)</w:t>
      </w:r>
      <w:r w:rsidRPr="00890F81">
        <w:tab/>
        <w:t xml:space="preserve">In the financial year starting on </w:t>
      </w:r>
      <w:r w:rsidR="009A6D8A">
        <w:t>1 July</w:t>
      </w:r>
      <w:r w:rsidRPr="00890F81">
        <w:t xml:space="preserve"> </w:t>
      </w:r>
      <w:r w:rsidR="00FC6D6E" w:rsidRPr="00890F81">
        <w:t>2012,</w:t>
      </w:r>
      <w:r w:rsidRPr="00890F81">
        <w:t xml:space="preserve"> or a subsequent </w:t>
      </w:r>
      <w:r w:rsidR="009A6D8A">
        <w:t>1 July</w:t>
      </w:r>
      <w:r w:rsidRPr="00890F81">
        <w:t>, if the latest CPI number is greater than the earlier CPI number, the amount of a review fee</w:t>
      </w:r>
      <w:r w:rsidR="00E37E6C" w:rsidRPr="00890F81">
        <w:t xml:space="preserve"> for a </w:t>
      </w:r>
      <w:r w:rsidR="003A2B4A" w:rsidRPr="00890F81">
        <w:t>company, registered scheme or notified foreign passport fund</w:t>
      </w:r>
      <w:r w:rsidRPr="00890F81">
        <w:t xml:space="preserve"> is the amount worked out using the formula:</w:t>
      </w:r>
    </w:p>
    <w:p w:rsidR="001057AE" w:rsidRPr="00890F81" w:rsidRDefault="00240F59" w:rsidP="00240F59">
      <w:pPr>
        <w:pStyle w:val="subsection"/>
        <w:spacing w:before="120" w:after="120"/>
      </w:pPr>
      <w:r w:rsidRPr="00890F81">
        <w:lastRenderedPageBreak/>
        <w:tab/>
      </w:r>
      <w:r w:rsidRPr="00890F81">
        <w:tab/>
      </w:r>
      <w:r w:rsidR="008B7998">
        <w:rPr>
          <w:noProof/>
        </w:rPr>
        <w:drawing>
          <wp:inline distT="0" distB="0" distL="0" distR="0">
            <wp:extent cx="2971800" cy="381000"/>
            <wp:effectExtent l="0" t="0" r="0" b="0"/>
            <wp:docPr id="1" name="Picture 1" descr="Start formula start fraction previous indexable amount times latest CPI number over earlier CPI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start fraction previous indexable amount times latest CPI number over earlier CPI number end fraction end formu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1800" cy="381000"/>
                    </a:xfrm>
                    <a:prstGeom prst="rect">
                      <a:avLst/>
                    </a:prstGeom>
                    <a:noFill/>
                    <a:ln>
                      <a:noFill/>
                    </a:ln>
                  </pic:spPr>
                </pic:pic>
              </a:graphicData>
            </a:graphic>
          </wp:inline>
        </w:drawing>
      </w:r>
    </w:p>
    <w:p w:rsidR="001057AE" w:rsidRPr="00890F81" w:rsidRDefault="001057AE" w:rsidP="00240F59">
      <w:pPr>
        <w:pStyle w:val="subsection2"/>
      </w:pPr>
      <w:r w:rsidRPr="00890F81">
        <w:t>where:</w:t>
      </w:r>
    </w:p>
    <w:p w:rsidR="00E37E6C" w:rsidRPr="00890F81" w:rsidRDefault="00E37E6C" w:rsidP="00E37E6C">
      <w:pPr>
        <w:pStyle w:val="Definition"/>
      </w:pPr>
      <w:r w:rsidRPr="00890F81">
        <w:rPr>
          <w:b/>
          <w:i/>
        </w:rPr>
        <w:t>previous indexable amount</w:t>
      </w:r>
      <w:r w:rsidRPr="00890F81">
        <w:t xml:space="preserve"> is the amount of the review fee for the </w:t>
      </w:r>
      <w:r w:rsidR="003A2B4A" w:rsidRPr="00890F81">
        <w:t>company, registered scheme or notified foreign passport fund</w:t>
      </w:r>
      <w:r w:rsidRPr="00890F81">
        <w:t xml:space="preserve"> that was applicable immediately before that </w:t>
      </w:r>
      <w:r w:rsidR="009A6D8A">
        <w:t>1 July</w:t>
      </w:r>
      <w:r w:rsidRPr="00890F81">
        <w:t>.</w:t>
      </w:r>
    </w:p>
    <w:p w:rsidR="001057AE" w:rsidRPr="00890F81" w:rsidRDefault="001057AE" w:rsidP="00240F59">
      <w:pPr>
        <w:pStyle w:val="subsection"/>
      </w:pPr>
      <w:r w:rsidRPr="00890F81">
        <w:tab/>
        <w:t>(7)</w:t>
      </w:r>
      <w:r w:rsidRPr="00890F81">
        <w:tab/>
        <w:t xml:space="preserve">In the financial year starting on </w:t>
      </w:r>
      <w:r w:rsidR="009A6D8A">
        <w:t>1 July</w:t>
      </w:r>
      <w:r w:rsidRPr="00890F81">
        <w:t xml:space="preserve"> </w:t>
      </w:r>
      <w:r w:rsidR="00FC6D6E" w:rsidRPr="00890F81">
        <w:t>2012,</w:t>
      </w:r>
      <w:r w:rsidRPr="00890F81">
        <w:t xml:space="preserve"> or a subsequent </w:t>
      </w:r>
      <w:r w:rsidR="009A6D8A">
        <w:t>1 July</w:t>
      </w:r>
      <w:r w:rsidRPr="00890F81">
        <w:t>, if the latest CPI number is not greater than the earlier CPI number, the amount of a review fee</w:t>
      </w:r>
      <w:r w:rsidR="00E37E6C" w:rsidRPr="00890F81">
        <w:t xml:space="preserve"> for </w:t>
      </w:r>
      <w:r w:rsidR="003A2B4A" w:rsidRPr="00890F81">
        <w:t>a company, registered scheme or notified foreign passport fund</w:t>
      </w:r>
      <w:r w:rsidRPr="00890F81">
        <w:t xml:space="preserve"> is the amount of the review fee that was applicable immediately before that </w:t>
      </w:r>
      <w:r w:rsidR="009A6D8A">
        <w:t>1 July</w:t>
      </w:r>
      <w:r w:rsidRPr="00890F81">
        <w:t>.</w:t>
      </w:r>
    </w:p>
    <w:p w:rsidR="00E37E6C" w:rsidRPr="00890F81" w:rsidRDefault="00E37E6C" w:rsidP="00E37E6C">
      <w:pPr>
        <w:pStyle w:val="subsection"/>
      </w:pPr>
      <w:r w:rsidRPr="00890F81">
        <w:tab/>
        <w:t>(7A)</w:t>
      </w:r>
      <w:r w:rsidRPr="00890F81">
        <w:tab/>
        <w:t xml:space="preserve">In the financial year starting on </w:t>
      </w:r>
      <w:r w:rsidR="009A6D8A">
        <w:t>1 July</w:t>
      </w:r>
      <w:r w:rsidRPr="00890F81">
        <w:t xml:space="preserve"> 2018, the review fee for a proprietary company is the amount worked out under subregulation (6) or (7) (as the case requires) increased by $4.</w:t>
      </w:r>
    </w:p>
    <w:p w:rsidR="00E37E6C" w:rsidRPr="00890F81" w:rsidRDefault="00E37E6C" w:rsidP="00E37E6C">
      <w:pPr>
        <w:pStyle w:val="notetext"/>
      </w:pPr>
      <w:r w:rsidRPr="00890F81">
        <w:t>Note:</w:t>
      </w:r>
      <w:r w:rsidRPr="00890F81">
        <w:tab/>
        <w:t>This increase will be reflected in subsequent financial years, as part of the review fee for the preceding financial year.</w:t>
      </w:r>
    </w:p>
    <w:p w:rsidR="001057AE" w:rsidRPr="00890F81" w:rsidRDefault="001057AE" w:rsidP="00240F59">
      <w:pPr>
        <w:pStyle w:val="subsection"/>
      </w:pPr>
      <w:r w:rsidRPr="00890F81">
        <w:tab/>
        <w:t>(8)</w:t>
      </w:r>
      <w:r w:rsidRPr="00890F81">
        <w:tab/>
        <w:t>If, apart from this subregulation, the amount specified under subregulation</w:t>
      </w:r>
      <w:r w:rsidR="00093C32" w:rsidRPr="00890F81">
        <w:t> </w:t>
      </w:r>
      <w:r w:rsidRPr="00890F81">
        <w:t>(6) would be an amount of dollars and cents, the amount is to be rounded to the nearest whole dollar and, if the amount to be rounded is 50 cents, rounded down.</w:t>
      </w:r>
    </w:p>
    <w:p w:rsidR="001057AE" w:rsidRPr="00890F81" w:rsidRDefault="001057AE" w:rsidP="00240F59">
      <w:pPr>
        <w:pStyle w:val="subsection"/>
      </w:pPr>
      <w:r w:rsidRPr="00890F81">
        <w:tab/>
        <w:t>(9)</w:t>
      </w:r>
      <w:r w:rsidRPr="00890F81">
        <w:tab/>
        <w:t>For this regulation:</w:t>
      </w:r>
    </w:p>
    <w:p w:rsidR="001057AE" w:rsidRPr="00890F81" w:rsidRDefault="001057AE" w:rsidP="00240F59">
      <w:pPr>
        <w:pStyle w:val="paragraph"/>
      </w:pPr>
      <w:r w:rsidRPr="00890F81">
        <w:tab/>
        <w:t>(a)</w:t>
      </w:r>
      <w:r w:rsidRPr="00890F81">
        <w:tab/>
        <w:t>if the Australian Statistician publishes a CPI number for a March quarter in substitution for a CPI number previously published by the Australian Statistician for that quarter, the publication of the later CPI number must be disregarded; and</w:t>
      </w:r>
    </w:p>
    <w:p w:rsidR="001057AE" w:rsidRPr="00890F81" w:rsidRDefault="001057AE" w:rsidP="00240F59">
      <w:pPr>
        <w:pStyle w:val="paragraph"/>
      </w:pPr>
      <w:r w:rsidRPr="00890F81">
        <w:tab/>
        <w:t>(b)</w:t>
      </w:r>
      <w:r w:rsidRPr="00890F81">
        <w:tab/>
        <w:t>if the Australian Statistician changes the reference base for the Consumer Price Index, then, after the change is made, regard must be had only to the CPI numbers published using the new reference base.</w:t>
      </w:r>
    </w:p>
    <w:p w:rsidR="001057AE" w:rsidRPr="00890F81" w:rsidRDefault="001057AE" w:rsidP="00240F59">
      <w:pPr>
        <w:pStyle w:val="subsection"/>
      </w:pPr>
      <w:r w:rsidRPr="00890F81">
        <w:tab/>
        <w:t>(10)</w:t>
      </w:r>
      <w:r w:rsidRPr="00890F81">
        <w:tab/>
        <w:t>In this regulation:</w:t>
      </w:r>
      <w:r w:rsidRPr="00890F81">
        <w:tab/>
      </w:r>
    </w:p>
    <w:p w:rsidR="001057AE" w:rsidRPr="00890F81" w:rsidRDefault="001057AE" w:rsidP="00240F59">
      <w:pPr>
        <w:pStyle w:val="Definition"/>
      </w:pPr>
      <w:r w:rsidRPr="00890F81">
        <w:rPr>
          <w:b/>
          <w:i/>
        </w:rPr>
        <w:t xml:space="preserve">CPI number </w:t>
      </w:r>
      <w:r w:rsidRPr="00890F81">
        <w:t>means the All Groups Consumer Price Index number (being the weighted average of the 8 Australian capital cities) published by the Australian Statistician.</w:t>
      </w:r>
    </w:p>
    <w:p w:rsidR="001057AE" w:rsidRPr="00890F81" w:rsidRDefault="001057AE" w:rsidP="00240F59">
      <w:pPr>
        <w:pStyle w:val="Definition"/>
      </w:pPr>
      <w:r w:rsidRPr="00890F81">
        <w:rPr>
          <w:b/>
          <w:i/>
        </w:rPr>
        <w:t xml:space="preserve">earlier CPI number </w:t>
      </w:r>
      <w:r w:rsidRPr="00890F81">
        <w:t>is the CPI number for the March quarter 2 financial years before the relevant financial year begins.</w:t>
      </w:r>
    </w:p>
    <w:p w:rsidR="001057AE" w:rsidRPr="00890F81" w:rsidRDefault="001057AE" w:rsidP="00240F59">
      <w:pPr>
        <w:pStyle w:val="Definition"/>
      </w:pPr>
      <w:r w:rsidRPr="00890F81">
        <w:rPr>
          <w:b/>
          <w:i/>
        </w:rPr>
        <w:t xml:space="preserve">latest CPI number </w:t>
      </w:r>
      <w:r w:rsidRPr="00890F81">
        <w:t xml:space="preserve">is the CPI number for the last March quarter before the relevant financial year begins.  </w:t>
      </w:r>
    </w:p>
    <w:p w:rsidR="000F6C4D" w:rsidRPr="00890F81" w:rsidRDefault="000F6C4D" w:rsidP="00240F59">
      <w:pPr>
        <w:pStyle w:val="ActHead5"/>
      </w:pPr>
      <w:bookmarkStart w:id="7" w:name="_Toc110502745"/>
      <w:r w:rsidRPr="009A6D8A">
        <w:rPr>
          <w:rStyle w:val="CharSectno"/>
        </w:rPr>
        <w:t>5</w:t>
      </w:r>
      <w:r w:rsidR="00240F59" w:rsidRPr="00890F81">
        <w:t xml:space="preserve">  </w:t>
      </w:r>
      <w:r w:rsidRPr="00890F81">
        <w:t>No fee for second review date in a financial year</w:t>
      </w:r>
      <w:bookmarkEnd w:id="7"/>
    </w:p>
    <w:p w:rsidR="000F6C4D" w:rsidRPr="00890F81" w:rsidRDefault="000F6C4D" w:rsidP="00240F59">
      <w:pPr>
        <w:pStyle w:val="subsection"/>
      </w:pPr>
      <w:r w:rsidRPr="00890F81">
        <w:tab/>
        <w:t>(1)</w:t>
      </w:r>
      <w:r w:rsidRPr="00890F81">
        <w:tab/>
        <w:t>This regulation applies if:</w:t>
      </w:r>
    </w:p>
    <w:p w:rsidR="000F6C4D" w:rsidRPr="00890F81" w:rsidRDefault="000F6C4D" w:rsidP="00240F59">
      <w:pPr>
        <w:pStyle w:val="paragraph"/>
      </w:pPr>
      <w:r w:rsidRPr="00890F81">
        <w:tab/>
        <w:t>(a)</w:t>
      </w:r>
      <w:r w:rsidRPr="00890F81">
        <w:tab/>
      </w:r>
      <w:r w:rsidR="003A2B4A" w:rsidRPr="00890F81">
        <w:t>a company, responsible entity of a registered scheme or operator of a notified foreign passport fund</w:t>
      </w:r>
      <w:r w:rsidRPr="00890F81">
        <w:t xml:space="preserve"> changes the review date for the </w:t>
      </w:r>
      <w:r w:rsidR="003A2B4A" w:rsidRPr="00890F81">
        <w:t>company, scheme or fund</w:t>
      </w:r>
      <w:r w:rsidRPr="00890F81">
        <w:t xml:space="preserve"> under section</w:t>
      </w:r>
      <w:r w:rsidR="00840DF8" w:rsidRPr="00890F81">
        <w:t> </w:t>
      </w:r>
      <w:r w:rsidRPr="00890F81">
        <w:t>345B of the Act; and</w:t>
      </w:r>
    </w:p>
    <w:p w:rsidR="000F6C4D" w:rsidRPr="00890F81" w:rsidRDefault="000F6C4D" w:rsidP="00240F59">
      <w:pPr>
        <w:pStyle w:val="paragraph"/>
      </w:pPr>
      <w:r w:rsidRPr="00890F81">
        <w:lastRenderedPageBreak/>
        <w:tab/>
        <w:t>(b)</w:t>
      </w:r>
      <w:r w:rsidRPr="00890F81">
        <w:tab/>
        <w:t xml:space="preserve">the effect of the change of review date is that there will be 2 review dates for the </w:t>
      </w:r>
      <w:r w:rsidR="003A2B4A" w:rsidRPr="00890F81">
        <w:t>company, scheme or fund</w:t>
      </w:r>
      <w:r w:rsidRPr="00890F81">
        <w:t xml:space="preserve"> in a financial year.</w:t>
      </w:r>
    </w:p>
    <w:p w:rsidR="000F6C4D" w:rsidRPr="00890F81" w:rsidRDefault="000F6C4D" w:rsidP="00240F59">
      <w:pPr>
        <w:pStyle w:val="subsection"/>
      </w:pPr>
      <w:r w:rsidRPr="00890F81">
        <w:tab/>
        <w:t>(2)</w:t>
      </w:r>
      <w:r w:rsidRPr="00890F81">
        <w:tab/>
        <w:t>For subsection</w:t>
      </w:r>
      <w:r w:rsidR="00840DF8" w:rsidRPr="00890F81">
        <w:t> </w:t>
      </w:r>
      <w:r w:rsidRPr="00890F81">
        <w:t xml:space="preserve">6 (1) of the </w:t>
      </w:r>
      <w:r w:rsidRPr="00890F81">
        <w:rPr>
          <w:i/>
        </w:rPr>
        <w:t>Corporations (Review Fees) Act 2003</w:t>
      </w:r>
      <w:r w:rsidRPr="00890F81">
        <w:t xml:space="preserve">, no review fee is prescribed for the second of the review dates mentioned in </w:t>
      </w:r>
      <w:r w:rsidR="00840DF8" w:rsidRPr="00890F81">
        <w:t>paragraph (</w:t>
      </w:r>
      <w:r w:rsidRPr="00890F81">
        <w:t>1) (b).</w:t>
      </w:r>
    </w:p>
    <w:p w:rsidR="000F6C4D" w:rsidRPr="00890F81" w:rsidRDefault="000F6C4D" w:rsidP="00240F59">
      <w:pPr>
        <w:pStyle w:val="subsection"/>
      </w:pPr>
      <w:r w:rsidRPr="00890F81">
        <w:tab/>
        <w:t>(3)</w:t>
      </w:r>
      <w:r w:rsidRPr="00890F81">
        <w:tab/>
        <w:t>In this regulation:</w:t>
      </w:r>
    </w:p>
    <w:p w:rsidR="000F6C4D" w:rsidRDefault="000F6C4D" w:rsidP="00240F59">
      <w:pPr>
        <w:pStyle w:val="Definition"/>
      </w:pPr>
      <w:r w:rsidRPr="00890F81">
        <w:rPr>
          <w:b/>
          <w:i/>
        </w:rPr>
        <w:t xml:space="preserve">financial year </w:t>
      </w:r>
      <w:r w:rsidRPr="00890F81">
        <w:t xml:space="preserve">means a period of 12 months commencing on </w:t>
      </w:r>
      <w:r w:rsidR="009A6D8A">
        <w:t>1 July</w:t>
      </w:r>
      <w:r w:rsidRPr="00890F81">
        <w:t>.</w:t>
      </w:r>
    </w:p>
    <w:p w:rsidR="00FD3101" w:rsidRPr="00355BAE" w:rsidRDefault="009A6D8A" w:rsidP="008B7998">
      <w:pPr>
        <w:pStyle w:val="ActHead2"/>
        <w:pageBreakBefore/>
      </w:pPr>
      <w:bookmarkStart w:id="8" w:name="_Toc110502746"/>
      <w:r w:rsidRPr="009A6D8A">
        <w:rPr>
          <w:rStyle w:val="CharPartNo"/>
        </w:rPr>
        <w:lastRenderedPageBreak/>
        <w:t>Part 3</w:t>
      </w:r>
      <w:r w:rsidR="00FD3101" w:rsidRPr="00355BAE">
        <w:t>—</w:t>
      </w:r>
      <w:r w:rsidR="00FD3101" w:rsidRPr="009A6D8A">
        <w:rPr>
          <w:rStyle w:val="CharPartText"/>
        </w:rPr>
        <w:t>Application, saving and transitional provisions</w:t>
      </w:r>
      <w:bookmarkEnd w:id="8"/>
    </w:p>
    <w:p w:rsidR="00FD3101" w:rsidRPr="00355BAE" w:rsidRDefault="00FD3101" w:rsidP="00FD3101">
      <w:pPr>
        <w:pStyle w:val="ActHead3"/>
      </w:pPr>
      <w:bookmarkStart w:id="9" w:name="_Toc110502747"/>
      <w:r w:rsidRPr="009A6D8A">
        <w:rPr>
          <w:rStyle w:val="CharDivNo"/>
        </w:rPr>
        <w:t>Division 1</w:t>
      </w:r>
      <w:r w:rsidRPr="00355BAE">
        <w:t>—</w:t>
      </w:r>
      <w:r w:rsidRPr="009A6D8A">
        <w:rPr>
          <w:rStyle w:val="CharDivText"/>
        </w:rPr>
        <w:t xml:space="preserve">Amendments made by the Corporations (Review Fees) Amendment (Corporate Collective Investment Vehicle Framework) </w:t>
      </w:r>
      <w:r w:rsidR="009A6D8A" w:rsidRPr="009A6D8A">
        <w:rPr>
          <w:rStyle w:val="CharDivText"/>
        </w:rPr>
        <w:t>Regulations 2</w:t>
      </w:r>
      <w:r w:rsidRPr="009A6D8A">
        <w:rPr>
          <w:rStyle w:val="CharDivText"/>
        </w:rPr>
        <w:t>022</w:t>
      </w:r>
      <w:bookmarkEnd w:id="9"/>
    </w:p>
    <w:p w:rsidR="00FD3101" w:rsidRPr="00355BAE" w:rsidRDefault="00FD3101" w:rsidP="00FD3101">
      <w:pPr>
        <w:pStyle w:val="ActHead5"/>
      </w:pPr>
      <w:bookmarkStart w:id="10" w:name="_Toc110502748"/>
      <w:r w:rsidRPr="009A6D8A">
        <w:rPr>
          <w:rStyle w:val="CharSectno"/>
        </w:rPr>
        <w:t>6</w:t>
      </w:r>
      <w:r w:rsidRPr="00355BAE">
        <w:t xml:space="preserve">  Indexation of review fees for CCIVs</w:t>
      </w:r>
      <w:bookmarkEnd w:id="10"/>
    </w:p>
    <w:p w:rsidR="00FD3101" w:rsidRPr="00355BAE" w:rsidRDefault="00FD3101" w:rsidP="00FD3101">
      <w:pPr>
        <w:pStyle w:val="subsection"/>
      </w:pPr>
      <w:r w:rsidRPr="00355BAE">
        <w:tab/>
        <w:t>(1)</w:t>
      </w:r>
      <w:r w:rsidRPr="00355BAE">
        <w:tab/>
        <w:t xml:space="preserve">Despite subregulations 4(4), (6) and (7), in the financial year starting on </w:t>
      </w:r>
      <w:r w:rsidR="009A6D8A">
        <w:t>1 July</w:t>
      </w:r>
      <w:r w:rsidRPr="00355BAE">
        <w:t xml:space="preserve"> 2022, the amount of a review fee prescribed in relation to review dates for a company mentioned in </w:t>
      </w:r>
      <w:r w:rsidR="009A6D8A">
        <w:t>item 1</w:t>
      </w:r>
      <w:r w:rsidRPr="00355BAE">
        <w:t xml:space="preserve">02A of the table in </w:t>
      </w:r>
      <w:r w:rsidR="009A6D8A">
        <w:t>Part 1</w:t>
      </w:r>
      <w:r w:rsidRPr="00355BAE">
        <w:t xml:space="preserve"> or 1A of Schedule 1, as inserted by the amending regulations, is the amount mentioned in column 3 of the item in that Part for the company.</w:t>
      </w:r>
    </w:p>
    <w:p w:rsidR="00FD3101" w:rsidRPr="00355BAE" w:rsidRDefault="00FD3101" w:rsidP="00FD3101">
      <w:pPr>
        <w:pStyle w:val="subsection"/>
      </w:pPr>
      <w:r w:rsidRPr="00355BAE">
        <w:tab/>
        <w:t>(2)</w:t>
      </w:r>
      <w:r w:rsidRPr="00355BAE">
        <w:tab/>
        <w:t>In this regulation:</w:t>
      </w:r>
    </w:p>
    <w:p w:rsidR="00FD3101" w:rsidRPr="00890F81" w:rsidRDefault="00FD3101" w:rsidP="00240F59">
      <w:pPr>
        <w:pStyle w:val="Definition"/>
      </w:pPr>
      <w:r w:rsidRPr="00355BAE">
        <w:rPr>
          <w:b/>
          <w:i/>
        </w:rPr>
        <w:t>amending regulations</w:t>
      </w:r>
      <w:r w:rsidRPr="00355BAE">
        <w:t xml:space="preserve"> means the </w:t>
      </w:r>
      <w:r w:rsidRPr="00355BAE">
        <w:rPr>
          <w:i/>
          <w:noProof/>
        </w:rPr>
        <w:t xml:space="preserve">Corporations (Review Fees) Amendment (Corporate Collective Investment Vehicle Framework) </w:t>
      </w:r>
      <w:r w:rsidR="009A6D8A">
        <w:rPr>
          <w:i/>
          <w:noProof/>
        </w:rPr>
        <w:t>Regulations 2</w:t>
      </w:r>
      <w:r w:rsidRPr="00355BAE">
        <w:rPr>
          <w:i/>
          <w:noProof/>
        </w:rPr>
        <w:t>022</w:t>
      </w:r>
      <w:r w:rsidRPr="00355BAE">
        <w:rPr>
          <w:noProof/>
        </w:rPr>
        <w:t>.</w:t>
      </w:r>
    </w:p>
    <w:p w:rsidR="000F6C4D" w:rsidRPr="00890F81" w:rsidRDefault="000F6C4D" w:rsidP="00F76DB0"/>
    <w:p w:rsidR="00240F59" w:rsidRPr="00890F81" w:rsidRDefault="00240F59" w:rsidP="001E29E2">
      <w:pPr>
        <w:sectPr w:rsidR="00240F59" w:rsidRPr="00890F81" w:rsidSect="003B34C5">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11" w:name="OPCSB_BodyPrincipleB5"/>
    </w:p>
    <w:p w:rsidR="000F6C4D" w:rsidRPr="00890F81" w:rsidRDefault="000F6C4D" w:rsidP="008B7998">
      <w:pPr>
        <w:pStyle w:val="ActHead1"/>
        <w:pageBreakBefore/>
      </w:pPr>
      <w:bookmarkStart w:id="12" w:name="_Toc110502749"/>
      <w:bookmarkEnd w:id="11"/>
      <w:r w:rsidRPr="009A6D8A">
        <w:rPr>
          <w:rStyle w:val="CharChapNo"/>
        </w:rPr>
        <w:lastRenderedPageBreak/>
        <w:t>Schedule</w:t>
      </w:r>
      <w:r w:rsidR="00840DF8" w:rsidRPr="009A6D8A">
        <w:rPr>
          <w:rStyle w:val="CharChapNo"/>
        </w:rPr>
        <w:t> </w:t>
      </w:r>
      <w:r w:rsidRPr="009A6D8A">
        <w:rPr>
          <w:rStyle w:val="CharChapNo"/>
        </w:rPr>
        <w:t>1</w:t>
      </w:r>
      <w:r w:rsidR="00240F59" w:rsidRPr="00890F81">
        <w:t>—</w:t>
      </w:r>
      <w:r w:rsidRPr="009A6D8A">
        <w:rPr>
          <w:rStyle w:val="CharChapText"/>
        </w:rPr>
        <w:t>Review fees</w:t>
      </w:r>
      <w:bookmarkEnd w:id="12"/>
    </w:p>
    <w:p w:rsidR="000F6C4D" w:rsidRPr="00890F81" w:rsidRDefault="000F6C4D" w:rsidP="00240F59">
      <w:pPr>
        <w:pStyle w:val="notemargin"/>
      </w:pPr>
      <w:r w:rsidRPr="00890F81">
        <w:t>(regulation</w:t>
      </w:r>
      <w:r w:rsidR="00840DF8" w:rsidRPr="00890F81">
        <w:t> </w:t>
      </w:r>
      <w:r w:rsidRPr="00890F81">
        <w:t>4)</w:t>
      </w:r>
    </w:p>
    <w:p w:rsidR="008966C6" w:rsidRPr="00890F81" w:rsidRDefault="009A6D8A" w:rsidP="00240F59">
      <w:pPr>
        <w:pStyle w:val="ActHead2"/>
      </w:pPr>
      <w:bookmarkStart w:id="13" w:name="_Toc110502750"/>
      <w:r w:rsidRPr="009A6D8A">
        <w:rPr>
          <w:rStyle w:val="CharPartNo"/>
        </w:rPr>
        <w:t>Part 1</w:t>
      </w:r>
      <w:r w:rsidR="00240F59" w:rsidRPr="00890F81">
        <w:t>—</w:t>
      </w:r>
      <w:r w:rsidR="008966C6" w:rsidRPr="009A6D8A">
        <w:rPr>
          <w:rStyle w:val="CharPartText"/>
        </w:rPr>
        <w:t>Annual fees</w:t>
      </w:r>
      <w:bookmarkEnd w:id="13"/>
    </w:p>
    <w:p w:rsidR="000F6C4D" w:rsidRPr="00890F81" w:rsidRDefault="000F6C4D" w:rsidP="000F6C4D">
      <w:pPr>
        <w:rPr>
          <w:sz w:val="16"/>
          <w:szCs w:val="16"/>
        </w:rPr>
      </w:pPr>
    </w:p>
    <w:p w:rsidR="00240F59" w:rsidRPr="00890F81" w:rsidRDefault="00240F59" w:rsidP="00240F5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6600"/>
        <w:gridCol w:w="1209"/>
      </w:tblGrid>
      <w:tr w:rsidR="000F6C4D" w:rsidRPr="00890F81" w:rsidTr="00093C32">
        <w:tc>
          <w:tcPr>
            <w:tcW w:w="422" w:type="pct"/>
            <w:tcBorders>
              <w:top w:val="single" w:sz="12" w:space="0" w:color="auto"/>
              <w:bottom w:val="single" w:sz="12" w:space="0" w:color="auto"/>
            </w:tcBorders>
            <w:shd w:val="clear" w:color="auto" w:fill="auto"/>
          </w:tcPr>
          <w:p w:rsidR="000F6C4D" w:rsidRPr="00890F81" w:rsidRDefault="000F6C4D" w:rsidP="00240F59">
            <w:pPr>
              <w:pStyle w:val="TableHeading"/>
              <w:rPr>
                <w:sz w:val="18"/>
                <w:szCs w:val="18"/>
              </w:rPr>
            </w:pPr>
            <w:r w:rsidRPr="00890F81">
              <w:rPr>
                <w:sz w:val="18"/>
                <w:szCs w:val="18"/>
              </w:rPr>
              <w:t>Item</w:t>
            </w:r>
          </w:p>
        </w:tc>
        <w:tc>
          <w:tcPr>
            <w:tcW w:w="3869" w:type="pct"/>
            <w:tcBorders>
              <w:top w:val="single" w:sz="12" w:space="0" w:color="auto"/>
              <w:bottom w:val="single" w:sz="12" w:space="0" w:color="auto"/>
            </w:tcBorders>
            <w:shd w:val="clear" w:color="auto" w:fill="auto"/>
          </w:tcPr>
          <w:p w:rsidR="000F6C4D" w:rsidRPr="00890F81" w:rsidRDefault="000F6C4D" w:rsidP="00240F59">
            <w:pPr>
              <w:pStyle w:val="TableHeading"/>
              <w:rPr>
                <w:sz w:val="18"/>
                <w:szCs w:val="18"/>
              </w:rPr>
            </w:pPr>
            <w:r w:rsidRPr="00890F81">
              <w:rPr>
                <w:sz w:val="18"/>
                <w:szCs w:val="18"/>
              </w:rPr>
              <w:t>Company, registered scheme</w:t>
            </w:r>
            <w:r w:rsidR="006D1228" w:rsidRPr="00890F81">
              <w:rPr>
                <w:sz w:val="18"/>
                <w:szCs w:val="18"/>
              </w:rPr>
              <w:t>, notified foreign passport fund</w:t>
            </w:r>
            <w:r w:rsidRPr="00890F81">
              <w:rPr>
                <w:sz w:val="18"/>
                <w:szCs w:val="18"/>
              </w:rPr>
              <w:t xml:space="preserve"> or person</w:t>
            </w:r>
          </w:p>
        </w:tc>
        <w:tc>
          <w:tcPr>
            <w:tcW w:w="709" w:type="pct"/>
            <w:tcBorders>
              <w:top w:val="single" w:sz="12" w:space="0" w:color="auto"/>
              <w:bottom w:val="single" w:sz="12" w:space="0" w:color="auto"/>
            </w:tcBorders>
            <w:shd w:val="clear" w:color="auto" w:fill="auto"/>
          </w:tcPr>
          <w:p w:rsidR="000F6C4D" w:rsidRPr="00890F81" w:rsidRDefault="000F6C4D" w:rsidP="00240F59">
            <w:pPr>
              <w:pStyle w:val="TableHeading"/>
              <w:rPr>
                <w:sz w:val="18"/>
                <w:szCs w:val="18"/>
              </w:rPr>
            </w:pPr>
            <w:r w:rsidRPr="00890F81">
              <w:rPr>
                <w:sz w:val="18"/>
                <w:szCs w:val="18"/>
              </w:rPr>
              <w:t>Fee ($)</w:t>
            </w:r>
          </w:p>
        </w:tc>
      </w:tr>
      <w:tr w:rsidR="000F6C4D" w:rsidRPr="00890F81" w:rsidTr="00093C32">
        <w:tc>
          <w:tcPr>
            <w:tcW w:w="422" w:type="pct"/>
            <w:tcBorders>
              <w:top w:val="single" w:sz="12" w:space="0" w:color="auto"/>
            </w:tcBorders>
            <w:shd w:val="clear" w:color="auto" w:fill="auto"/>
          </w:tcPr>
          <w:p w:rsidR="000F6C4D" w:rsidRPr="00890F81" w:rsidRDefault="000F6C4D" w:rsidP="00240F59">
            <w:pPr>
              <w:pStyle w:val="Tabletext"/>
            </w:pPr>
            <w:r w:rsidRPr="00890F81">
              <w:t>101</w:t>
            </w:r>
          </w:p>
        </w:tc>
        <w:tc>
          <w:tcPr>
            <w:tcW w:w="3869" w:type="pct"/>
            <w:tcBorders>
              <w:top w:val="single" w:sz="12" w:space="0" w:color="auto"/>
            </w:tcBorders>
            <w:shd w:val="clear" w:color="auto" w:fill="auto"/>
          </w:tcPr>
          <w:p w:rsidR="000F6C4D" w:rsidRPr="00890F81" w:rsidRDefault="000F6C4D" w:rsidP="00240F59">
            <w:pPr>
              <w:pStyle w:val="Tabletext"/>
            </w:pPr>
            <w:r w:rsidRPr="00890F81">
              <w:t>A public company, except a special purpose company or a small transferring financial institution</w:t>
            </w:r>
          </w:p>
        </w:tc>
        <w:tc>
          <w:tcPr>
            <w:tcW w:w="709" w:type="pct"/>
            <w:tcBorders>
              <w:top w:val="single" w:sz="12" w:space="0" w:color="auto"/>
            </w:tcBorders>
            <w:shd w:val="clear" w:color="auto" w:fill="auto"/>
          </w:tcPr>
          <w:p w:rsidR="000F6C4D" w:rsidRPr="00890F81" w:rsidRDefault="00FC6D6E" w:rsidP="00240F59">
            <w:pPr>
              <w:pStyle w:val="Tabletext"/>
            </w:pPr>
            <w:r w:rsidRPr="00890F81">
              <w:t>1</w:t>
            </w:r>
            <w:r w:rsidR="00840DF8" w:rsidRPr="00890F81">
              <w:t> </w:t>
            </w:r>
            <w:r w:rsidRPr="00890F81">
              <w:t>069.00</w:t>
            </w:r>
          </w:p>
        </w:tc>
      </w:tr>
      <w:tr w:rsidR="000F6C4D" w:rsidRPr="00890F81" w:rsidTr="00093C32">
        <w:tc>
          <w:tcPr>
            <w:tcW w:w="422" w:type="pct"/>
            <w:shd w:val="clear" w:color="auto" w:fill="auto"/>
          </w:tcPr>
          <w:p w:rsidR="000F6C4D" w:rsidRPr="00890F81" w:rsidRDefault="000F6C4D" w:rsidP="00240F59">
            <w:pPr>
              <w:pStyle w:val="Tabletext"/>
            </w:pPr>
            <w:r w:rsidRPr="00890F81">
              <w:t>102</w:t>
            </w:r>
          </w:p>
        </w:tc>
        <w:tc>
          <w:tcPr>
            <w:tcW w:w="3869" w:type="pct"/>
            <w:shd w:val="clear" w:color="auto" w:fill="auto"/>
          </w:tcPr>
          <w:p w:rsidR="000F6C4D" w:rsidRPr="00890F81" w:rsidRDefault="000F6C4D" w:rsidP="00240F59">
            <w:pPr>
              <w:pStyle w:val="Tabletext"/>
            </w:pPr>
            <w:r w:rsidRPr="00890F81">
              <w:t>A proprietary company, except a special purpose company</w:t>
            </w:r>
          </w:p>
        </w:tc>
        <w:tc>
          <w:tcPr>
            <w:tcW w:w="709" w:type="pct"/>
            <w:shd w:val="clear" w:color="auto" w:fill="auto"/>
          </w:tcPr>
          <w:p w:rsidR="000F6C4D" w:rsidRPr="00890F81" w:rsidRDefault="00FC6D6E" w:rsidP="00240F59">
            <w:pPr>
              <w:pStyle w:val="Tabletext"/>
            </w:pPr>
            <w:r w:rsidRPr="00890F81">
              <w:t>226.50</w:t>
            </w:r>
          </w:p>
        </w:tc>
      </w:tr>
      <w:tr w:rsidR="00FD3101" w:rsidRPr="00890F81" w:rsidTr="00093C32">
        <w:tc>
          <w:tcPr>
            <w:tcW w:w="422" w:type="pct"/>
            <w:shd w:val="clear" w:color="auto" w:fill="auto"/>
          </w:tcPr>
          <w:p w:rsidR="00FD3101" w:rsidRPr="00890F81" w:rsidRDefault="00FD3101" w:rsidP="00FD3101">
            <w:pPr>
              <w:pStyle w:val="Tabletext"/>
            </w:pPr>
            <w:r w:rsidRPr="00355BAE">
              <w:t>102A</w:t>
            </w:r>
          </w:p>
        </w:tc>
        <w:tc>
          <w:tcPr>
            <w:tcW w:w="3869" w:type="pct"/>
            <w:shd w:val="clear" w:color="auto" w:fill="auto"/>
          </w:tcPr>
          <w:p w:rsidR="00FD3101" w:rsidRPr="00890F81" w:rsidRDefault="00FD3101" w:rsidP="00FD3101">
            <w:pPr>
              <w:pStyle w:val="Tabletext"/>
            </w:pPr>
            <w:r w:rsidRPr="00355BAE">
              <w:t>A CCIV, except a special purpose company</w:t>
            </w:r>
          </w:p>
        </w:tc>
        <w:tc>
          <w:tcPr>
            <w:tcW w:w="709" w:type="pct"/>
            <w:shd w:val="clear" w:color="auto" w:fill="auto"/>
          </w:tcPr>
          <w:p w:rsidR="00FD3101" w:rsidRPr="00890F81" w:rsidRDefault="00FD3101" w:rsidP="00FD3101">
            <w:pPr>
              <w:pStyle w:val="Tabletext"/>
            </w:pPr>
            <w:r w:rsidRPr="00355BAE">
              <w:t>1 281.00</w:t>
            </w:r>
          </w:p>
        </w:tc>
      </w:tr>
      <w:tr w:rsidR="00FD3101" w:rsidRPr="00890F81" w:rsidTr="00093C32">
        <w:tc>
          <w:tcPr>
            <w:tcW w:w="422" w:type="pct"/>
            <w:shd w:val="clear" w:color="auto" w:fill="auto"/>
          </w:tcPr>
          <w:p w:rsidR="00FD3101" w:rsidRPr="00890F81" w:rsidRDefault="00FD3101" w:rsidP="00FD3101">
            <w:pPr>
              <w:pStyle w:val="Tabletext"/>
            </w:pPr>
            <w:r w:rsidRPr="00890F81">
              <w:t>103</w:t>
            </w:r>
          </w:p>
        </w:tc>
        <w:tc>
          <w:tcPr>
            <w:tcW w:w="3869" w:type="pct"/>
            <w:shd w:val="clear" w:color="auto" w:fill="auto"/>
          </w:tcPr>
          <w:p w:rsidR="00FD3101" w:rsidRPr="00890F81" w:rsidRDefault="00FD3101" w:rsidP="00FD3101">
            <w:pPr>
              <w:pStyle w:val="Tabletext"/>
            </w:pPr>
            <w:r w:rsidRPr="00890F81">
              <w:t>A special purpose company</w:t>
            </w:r>
          </w:p>
        </w:tc>
        <w:tc>
          <w:tcPr>
            <w:tcW w:w="709" w:type="pct"/>
            <w:shd w:val="clear" w:color="auto" w:fill="auto"/>
          </w:tcPr>
          <w:p w:rsidR="00FD3101" w:rsidRPr="00890F81" w:rsidRDefault="00FD3101" w:rsidP="00FD3101">
            <w:pPr>
              <w:pStyle w:val="Tabletext"/>
            </w:pPr>
            <w:r w:rsidRPr="00890F81">
              <w:t>40.00</w:t>
            </w:r>
          </w:p>
        </w:tc>
      </w:tr>
      <w:tr w:rsidR="00FD3101" w:rsidRPr="00890F81" w:rsidTr="00093C32">
        <w:tc>
          <w:tcPr>
            <w:tcW w:w="422" w:type="pct"/>
            <w:shd w:val="clear" w:color="auto" w:fill="auto"/>
          </w:tcPr>
          <w:p w:rsidR="00FD3101" w:rsidRPr="00890F81" w:rsidRDefault="00FD3101" w:rsidP="00FD3101">
            <w:pPr>
              <w:pStyle w:val="Tabletext"/>
            </w:pPr>
            <w:r w:rsidRPr="00890F81">
              <w:t>104</w:t>
            </w:r>
          </w:p>
        </w:tc>
        <w:tc>
          <w:tcPr>
            <w:tcW w:w="3869" w:type="pct"/>
            <w:shd w:val="clear" w:color="auto" w:fill="auto"/>
          </w:tcPr>
          <w:p w:rsidR="00FD3101" w:rsidRPr="00890F81" w:rsidRDefault="00FD3101" w:rsidP="00FD3101">
            <w:pPr>
              <w:pStyle w:val="Tabletext"/>
            </w:pPr>
            <w:r w:rsidRPr="00890F81">
              <w:t xml:space="preserve">A registered scheme or notified foreign passport fund </w:t>
            </w:r>
          </w:p>
        </w:tc>
        <w:tc>
          <w:tcPr>
            <w:tcW w:w="709" w:type="pct"/>
            <w:shd w:val="clear" w:color="auto" w:fill="auto"/>
          </w:tcPr>
          <w:p w:rsidR="00FD3101" w:rsidRPr="00890F81" w:rsidRDefault="00FD3101" w:rsidP="00FD3101">
            <w:pPr>
              <w:pStyle w:val="Tabletext"/>
            </w:pPr>
            <w:r w:rsidRPr="00890F81">
              <w:t>1 069.00</w:t>
            </w:r>
          </w:p>
        </w:tc>
      </w:tr>
      <w:tr w:rsidR="00FD3101" w:rsidRPr="00890F81" w:rsidTr="00093C32">
        <w:tc>
          <w:tcPr>
            <w:tcW w:w="422" w:type="pct"/>
            <w:shd w:val="clear" w:color="auto" w:fill="auto"/>
          </w:tcPr>
          <w:p w:rsidR="00FD3101" w:rsidRPr="00890F81" w:rsidRDefault="00FD3101" w:rsidP="00FD3101">
            <w:pPr>
              <w:pStyle w:val="Tabletext"/>
            </w:pPr>
            <w:r w:rsidRPr="00890F81">
              <w:t>105</w:t>
            </w:r>
          </w:p>
        </w:tc>
        <w:tc>
          <w:tcPr>
            <w:tcW w:w="3869" w:type="pct"/>
            <w:shd w:val="clear" w:color="auto" w:fill="auto"/>
          </w:tcPr>
          <w:p w:rsidR="00FD3101" w:rsidRPr="00890F81" w:rsidRDefault="00FD3101" w:rsidP="00FD3101">
            <w:pPr>
              <w:pStyle w:val="Tabletext"/>
            </w:pPr>
            <w:r w:rsidRPr="00890F81">
              <w:t>A registered scheme that is being wound up</w:t>
            </w:r>
          </w:p>
        </w:tc>
        <w:tc>
          <w:tcPr>
            <w:tcW w:w="709" w:type="pct"/>
            <w:shd w:val="clear" w:color="auto" w:fill="auto"/>
          </w:tcPr>
          <w:p w:rsidR="00FD3101" w:rsidRPr="00890F81" w:rsidRDefault="00FD3101" w:rsidP="00FD3101">
            <w:pPr>
              <w:pStyle w:val="Tabletext"/>
            </w:pPr>
            <w:r w:rsidRPr="00890F81">
              <w:t>no fee</w:t>
            </w:r>
          </w:p>
        </w:tc>
      </w:tr>
      <w:tr w:rsidR="00FD3101" w:rsidRPr="00890F81" w:rsidTr="00093C32">
        <w:tc>
          <w:tcPr>
            <w:tcW w:w="422" w:type="pct"/>
            <w:shd w:val="clear" w:color="auto" w:fill="auto"/>
          </w:tcPr>
          <w:p w:rsidR="00FD3101" w:rsidRPr="00890F81" w:rsidRDefault="00FD3101" w:rsidP="00FD3101">
            <w:pPr>
              <w:pStyle w:val="Tabletext"/>
            </w:pPr>
            <w:r w:rsidRPr="00890F81">
              <w:t>105A</w:t>
            </w:r>
          </w:p>
        </w:tc>
        <w:tc>
          <w:tcPr>
            <w:tcW w:w="3869" w:type="pct"/>
            <w:shd w:val="clear" w:color="auto" w:fill="auto"/>
          </w:tcPr>
          <w:p w:rsidR="00FD3101" w:rsidRPr="00890F81" w:rsidRDefault="00FD3101" w:rsidP="00FD3101">
            <w:pPr>
              <w:pStyle w:val="Tabletext"/>
            </w:pPr>
            <w:r w:rsidRPr="00890F81">
              <w:t>A notified foreign passport fund in relation to which a notice has been given under sub</w:t>
            </w:r>
            <w:r w:rsidR="009A6D8A">
              <w:t>section 1</w:t>
            </w:r>
            <w:r w:rsidRPr="00890F81">
              <w:t>216J(1) of the Act (notices to be given before removing a fund as a notified foreign passport fund)</w:t>
            </w:r>
          </w:p>
        </w:tc>
        <w:tc>
          <w:tcPr>
            <w:tcW w:w="709" w:type="pct"/>
            <w:shd w:val="clear" w:color="auto" w:fill="auto"/>
          </w:tcPr>
          <w:p w:rsidR="00FD3101" w:rsidRPr="00890F81" w:rsidRDefault="00FD3101" w:rsidP="00FD3101">
            <w:pPr>
              <w:pStyle w:val="Tabletext"/>
            </w:pPr>
            <w:r w:rsidRPr="00890F81">
              <w:t>no fee</w:t>
            </w:r>
          </w:p>
        </w:tc>
      </w:tr>
      <w:tr w:rsidR="00FD3101" w:rsidRPr="00890F81" w:rsidTr="00093C32">
        <w:tc>
          <w:tcPr>
            <w:tcW w:w="422" w:type="pct"/>
            <w:tcBorders>
              <w:bottom w:val="single" w:sz="4" w:space="0" w:color="auto"/>
            </w:tcBorders>
            <w:shd w:val="clear" w:color="auto" w:fill="auto"/>
          </w:tcPr>
          <w:p w:rsidR="00FD3101" w:rsidRPr="00890F81" w:rsidRDefault="00FD3101" w:rsidP="00FD3101">
            <w:pPr>
              <w:pStyle w:val="Tabletext"/>
            </w:pPr>
            <w:r w:rsidRPr="00890F81">
              <w:t>106</w:t>
            </w:r>
          </w:p>
        </w:tc>
        <w:tc>
          <w:tcPr>
            <w:tcW w:w="3869" w:type="pct"/>
            <w:tcBorders>
              <w:bottom w:val="single" w:sz="4" w:space="0" w:color="auto"/>
            </w:tcBorders>
            <w:shd w:val="clear" w:color="auto" w:fill="auto"/>
          </w:tcPr>
          <w:p w:rsidR="00FD3101" w:rsidRPr="00890F81" w:rsidRDefault="00FD3101" w:rsidP="00FD3101">
            <w:pPr>
              <w:pStyle w:val="Tabletext"/>
            </w:pPr>
            <w:r w:rsidRPr="00890F81">
              <w:t>A small transferring financial institution, except a special purpose company</w:t>
            </w:r>
          </w:p>
        </w:tc>
        <w:tc>
          <w:tcPr>
            <w:tcW w:w="709" w:type="pct"/>
            <w:tcBorders>
              <w:bottom w:val="single" w:sz="4" w:space="0" w:color="auto"/>
            </w:tcBorders>
            <w:shd w:val="clear" w:color="auto" w:fill="auto"/>
          </w:tcPr>
          <w:p w:rsidR="00FD3101" w:rsidRPr="00890F81" w:rsidRDefault="00FD3101" w:rsidP="00FD3101">
            <w:pPr>
              <w:pStyle w:val="Tabletext"/>
            </w:pPr>
            <w:r w:rsidRPr="00890F81">
              <w:t>214.00</w:t>
            </w:r>
          </w:p>
        </w:tc>
      </w:tr>
      <w:tr w:rsidR="00FD3101" w:rsidRPr="00890F81" w:rsidTr="00093C32">
        <w:tc>
          <w:tcPr>
            <w:tcW w:w="422" w:type="pct"/>
            <w:tcBorders>
              <w:bottom w:val="single" w:sz="4" w:space="0" w:color="auto"/>
            </w:tcBorders>
            <w:shd w:val="clear" w:color="auto" w:fill="auto"/>
          </w:tcPr>
          <w:p w:rsidR="00FD3101" w:rsidRPr="00890F81" w:rsidRDefault="00FD3101" w:rsidP="00FD3101">
            <w:pPr>
              <w:pStyle w:val="Tabletext"/>
            </w:pPr>
            <w:r w:rsidRPr="00890F81">
              <w:t>107</w:t>
            </w:r>
          </w:p>
        </w:tc>
        <w:tc>
          <w:tcPr>
            <w:tcW w:w="3869" w:type="pct"/>
            <w:tcBorders>
              <w:bottom w:val="single" w:sz="4" w:space="0" w:color="auto"/>
            </w:tcBorders>
            <w:shd w:val="clear" w:color="auto" w:fill="auto"/>
          </w:tcPr>
          <w:p w:rsidR="00FD3101" w:rsidRPr="00890F81" w:rsidRDefault="00FD3101" w:rsidP="00FD3101">
            <w:pPr>
              <w:pStyle w:val="Tabletext"/>
            </w:pPr>
            <w:r w:rsidRPr="00890F81">
              <w:t>A company in liquidation</w:t>
            </w:r>
          </w:p>
        </w:tc>
        <w:tc>
          <w:tcPr>
            <w:tcW w:w="709" w:type="pct"/>
            <w:tcBorders>
              <w:bottom w:val="single" w:sz="4" w:space="0" w:color="auto"/>
            </w:tcBorders>
            <w:shd w:val="clear" w:color="auto" w:fill="auto"/>
          </w:tcPr>
          <w:p w:rsidR="00FD3101" w:rsidRPr="00890F81" w:rsidRDefault="00FD3101" w:rsidP="00FD3101">
            <w:pPr>
              <w:pStyle w:val="Tabletext"/>
            </w:pPr>
            <w:r w:rsidRPr="00890F81">
              <w:t>no fee</w:t>
            </w:r>
          </w:p>
        </w:tc>
      </w:tr>
      <w:tr w:rsidR="00FD3101" w:rsidRPr="00890F81" w:rsidTr="00093C32">
        <w:tc>
          <w:tcPr>
            <w:tcW w:w="422" w:type="pct"/>
            <w:tcBorders>
              <w:bottom w:val="single" w:sz="12" w:space="0" w:color="auto"/>
            </w:tcBorders>
            <w:shd w:val="clear" w:color="auto" w:fill="auto"/>
          </w:tcPr>
          <w:p w:rsidR="00FD3101" w:rsidRPr="00890F81" w:rsidRDefault="00FD3101" w:rsidP="00FD3101">
            <w:pPr>
              <w:pStyle w:val="Tabletext"/>
            </w:pPr>
            <w:r w:rsidRPr="00890F81">
              <w:t>108</w:t>
            </w:r>
          </w:p>
        </w:tc>
        <w:tc>
          <w:tcPr>
            <w:tcW w:w="3869" w:type="pct"/>
            <w:tcBorders>
              <w:bottom w:val="single" w:sz="12" w:space="0" w:color="auto"/>
            </w:tcBorders>
            <w:shd w:val="clear" w:color="auto" w:fill="auto"/>
          </w:tcPr>
          <w:p w:rsidR="00FD3101" w:rsidRPr="00890F81" w:rsidRDefault="00FD3101" w:rsidP="00FD3101">
            <w:pPr>
              <w:pStyle w:val="Tabletext"/>
            </w:pPr>
            <w:r w:rsidRPr="00890F81">
              <w:t xml:space="preserve">A registered entity under the </w:t>
            </w:r>
            <w:r w:rsidRPr="00890F81">
              <w:rPr>
                <w:i/>
              </w:rPr>
              <w:t>Australian Charities and Not</w:t>
            </w:r>
            <w:r w:rsidR="009A6D8A">
              <w:rPr>
                <w:i/>
              </w:rPr>
              <w:noBreakHyphen/>
            </w:r>
            <w:r w:rsidRPr="00890F81">
              <w:rPr>
                <w:i/>
              </w:rPr>
              <w:t>for</w:t>
            </w:r>
            <w:r w:rsidR="009A6D8A">
              <w:rPr>
                <w:i/>
              </w:rPr>
              <w:noBreakHyphen/>
            </w:r>
            <w:r w:rsidRPr="00890F81">
              <w:rPr>
                <w:i/>
              </w:rPr>
              <w:t>profits Commission Act 2012</w:t>
            </w:r>
          </w:p>
        </w:tc>
        <w:tc>
          <w:tcPr>
            <w:tcW w:w="709" w:type="pct"/>
            <w:tcBorders>
              <w:bottom w:val="single" w:sz="12" w:space="0" w:color="auto"/>
            </w:tcBorders>
            <w:shd w:val="clear" w:color="auto" w:fill="auto"/>
          </w:tcPr>
          <w:p w:rsidR="00FD3101" w:rsidRPr="00890F81" w:rsidRDefault="00FD3101" w:rsidP="00FD3101">
            <w:pPr>
              <w:pStyle w:val="Tabletext"/>
            </w:pPr>
            <w:r w:rsidRPr="00890F81">
              <w:t>no fee</w:t>
            </w:r>
          </w:p>
        </w:tc>
      </w:tr>
    </w:tbl>
    <w:p w:rsidR="008966C6" w:rsidRPr="00890F81" w:rsidRDefault="009A6D8A" w:rsidP="00240F59">
      <w:pPr>
        <w:pStyle w:val="ActHead2"/>
        <w:pageBreakBefore/>
      </w:pPr>
      <w:bookmarkStart w:id="14" w:name="_Toc110502751"/>
      <w:r w:rsidRPr="009A6D8A">
        <w:rPr>
          <w:rStyle w:val="CharPartNo"/>
        </w:rPr>
        <w:lastRenderedPageBreak/>
        <w:t>Part 1</w:t>
      </w:r>
      <w:r w:rsidR="008966C6" w:rsidRPr="009A6D8A">
        <w:rPr>
          <w:rStyle w:val="CharPartNo"/>
        </w:rPr>
        <w:t>A</w:t>
      </w:r>
      <w:r w:rsidR="00240F59" w:rsidRPr="00890F81">
        <w:t>—</w:t>
      </w:r>
      <w:r w:rsidR="008966C6" w:rsidRPr="009A6D8A">
        <w:rPr>
          <w:rStyle w:val="CharPartText"/>
        </w:rPr>
        <w:t>Upfront fees</w:t>
      </w:r>
      <w:bookmarkEnd w:id="14"/>
    </w:p>
    <w:p w:rsidR="008966C6" w:rsidRPr="00890F81" w:rsidRDefault="008966C6" w:rsidP="008966C6">
      <w:pPr>
        <w:rPr>
          <w:sz w:val="16"/>
          <w:szCs w:val="16"/>
        </w:rPr>
      </w:pPr>
    </w:p>
    <w:p w:rsidR="00240F59" w:rsidRPr="00890F81" w:rsidRDefault="00240F59" w:rsidP="00240F59">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23"/>
        <w:gridCol w:w="6649"/>
        <w:gridCol w:w="1157"/>
      </w:tblGrid>
      <w:tr w:rsidR="008966C6" w:rsidRPr="00890F81" w:rsidTr="00093C32">
        <w:trPr>
          <w:tblHeader/>
        </w:trPr>
        <w:tc>
          <w:tcPr>
            <w:tcW w:w="424" w:type="pct"/>
            <w:tcBorders>
              <w:top w:val="single" w:sz="12" w:space="0" w:color="auto"/>
              <w:bottom w:val="single" w:sz="12" w:space="0" w:color="auto"/>
            </w:tcBorders>
            <w:shd w:val="clear" w:color="auto" w:fill="auto"/>
          </w:tcPr>
          <w:p w:rsidR="008966C6" w:rsidRPr="00890F81" w:rsidRDefault="008966C6" w:rsidP="00240F59">
            <w:pPr>
              <w:pStyle w:val="TableHeading"/>
              <w:rPr>
                <w:sz w:val="18"/>
                <w:szCs w:val="18"/>
              </w:rPr>
            </w:pPr>
            <w:r w:rsidRPr="00890F81">
              <w:rPr>
                <w:sz w:val="18"/>
                <w:szCs w:val="18"/>
              </w:rPr>
              <w:t>Item</w:t>
            </w:r>
          </w:p>
        </w:tc>
        <w:tc>
          <w:tcPr>
            <w:tcW w:w="3898" w:type="pct"/>
            <w:tcBorders>
              <w:top w:val="single" w:sz="12" w:space="0" w:color="auto"/>
              <w:bottom w:val="single" w:sz="12" w:space="0" w:color="auto"/>
            </w:tcBorders>
            <w:shd w:val="clear" w:color="auto" w:fill="auto"/>
          </w:tcPr>
          <w:p w:rsidR="008966C6" w:rsidRPr="00890F81" w:rsidRDefault="008966C6">
            <w:pPr>
              <w:pStyle w:val="TableHeading"/>
              <w:rPr>
                <w:sz w:val="18"/>
                <w:szCs w:val="18"/>
              </w:rPr>
            </w:pPr>
            <w:r w:rsidRPr="00890F81">
              <w:rPr>
                <w:sz w:val="18"/>
                <w:szCs w:val="18"/>
              </w:rPr>
              <w:t>Company, registered scheme</w:t>
            </w:r>
            <w:r w:rsidR="003A2B4A" w:rsidRPr="00890F81">
              <w:rPr>
                <w:sz w:val="18"/>
                <w:szCs w:val="18"/>
              </w:rPr>
              <w:t>, notified foreign passport fund</w:t>
            </w:r>
            <w:r w:rsidRPr="00890F81">
              <w:rPr>
                <w:sz w:val="18"/>
                <w:szCs w:val="18"/>
              </w:rPr>
              <w:t xml:space="preserve"> or person</w:t>
            </w:r>
          </w:p>
        </w:tc>
        <w:tc>
          <w:tcPr>
            <w:tcW w:w="678" w:type="pct"/>
            <w:tcBorders>
              <w:top w:val="single" w:sz="12" w:space="0" w:color="auto"/>
              <w:bottom w:val="single" w:sz="12" w:space="0" w:color="auto"/>
            </w:tcBorders>
            <w:shd w:val="clear" w:color="auto" w:fill="auto"/>
          </w:tcPr>
          <w:p w:rsidR="008966C6" w:rsidRPr="00890F81" w:rsidRDefault="008966C6" w:rsidP="00240F59">
            <w:pPr>
              <w:pStyle w:val="TableHeading"/>
              <w:rPr>
                <w:sz w:val="18"/>
                <w:szCs w:val="18"/>
              </w:rPr>
            </w:pPr>
            <w:r w:rsidRPr="00890F81">
              <w:rPr>
                <w:sz w:val="18"/>
                <w:szCs w:val="18"/>
              </w:rPr>
              <w:t>Fee ($)</w:t>
            </w:r>
          </w:p>
        </w:tc>
      </w:tr>
      <w:tr w:rsidR="008966C6" w:rsidRPr="00890F81" w:rsidTr="00093C32">
        <w:tc>
          <w:tcPr>
            <w:tcW w:w="424" w:type="pct"/>
            <w:tcBorders>
              <w:top w:val="single" w:sz="12" w:space="0" w:color="auto"/>
            </w:tcBorders>
            <w:shd w:val="clear" w:color="auto" w:fill="auto"/>
          </w:tcPr>
          <w:p w:rsidR="008966C6" w:rsidRPr="00890F81" w:rsidRDefault="008966C6" w:rsidP="00240F59">
            <w:pPr>
              <w:pStyle w:val="Tabletext"/>
            </w:pPr>
            <w:r w:rsidRPr="00890F81">
              <w:t>101</w:t>
            </w:r>
          </w:p>
        </w:tc>
        <w:tc>
          <w:tcPr>
            <w:tcW w:w="3898" w:type="pct"/>
            <w:tcBorders>
              <w:top w:val="single" w:sz="12" w:space="0" w:color="auto"/>
            </w:tcBorders>
            <w:shd w:val="clear" w:color="auto" w:fill="auto"/>
          </w:tcPr>
          <w:p w:rsidR="008966C6" w:rsidRPr="00890F81" w:rsidRDefault="008966C6" w:rsidP="00240F59">
            <w:pPr>
              <w:pStyle w:val="Tabletext"/>
            </w:pPr>
            <w:r w:rsidRPr="00890F81">
              <w:t>A public company, except a special purpose company or a small transferring financial institution</w:t>
            </w:r>
          </w:p>
        </w:tc>
        <w:tc>
          <w:tcPr>
            <w:tcW w:w="678" w:type="pct"/>
            <w:tcBorders>
              <w:top w:val="single" w:sz="12" w:space="0" w:color="auto"/>
            </w:tcBorders>
            <w:shd w:val="clear" w:color="auto" w:fill="auto"/>
          </w:tcPr>
          <w:p w:rsidR="008966C6" w:rsidRPr="00890F81" w:rsidRDefault="008966C6" w:rsidP="00240F59">
            <w:pPr>
              <w:pStyle w:val="Tabletext"/>
            </w:pPr>
            <w:r w:rsidRPr="00890F81">
              <w:t>7</w:t>
            </w:r>
            <w:r w:rsidR="00840DF8" w:rsidRPr="00890F81">
              <w:t> </w:t>
            </w:r>
            <w:r w:rsidRPr="00890F81">
              <w:t>700</w:t>
            </w:r>
          </w:p>
        </w:tc>
      </w:tr>
      <w:tr w:rsidR="008966C6" w:rsidRPr="00890F81" w:rsidTr="00093C32">
        <w:tc>
          <w:tcPr>
            <w:tcW w:w="424" w:type="pct"/>
            <w:shd w:val="clear" w:color="auto" w:fill="auto"/>
          </w:tcPr>
          <w:p w:rsidR="008966C6" w:rsidRPr="00890F81" w:rsidRDefault="008966C6" w:rsidP="00240F59">
            <w:pPr>
              <w:pStyle w:val="Tabletext"/>
            </w:pPr>
            <w:r w:rsidRPr="00890F81">
              <w:t>102</w:t>
            </w:r>
          </w:p>
        </w:tc>
        <w:tc>
          <w:tcPr>
            <w:tcW w:w="3898" w:type="pct"/>
            <w:shd w:val="clear" w:color="auto" w:fill="auto"/>
          </w:tcPr>
          <w:p w:rsidR="008966C6" w:rsidRPr="00890F81" w:rsidRDefault="008966C6" w:rsidP="00240F59">
            <w:pPr>
              <w:pStyle w:val="Tabletext"/>
            </w:pPr>
            <w:r w:rsidRPr="00890F81">
              <w:t>A proprietary company, except a special purpose company</w:t>
            </w:r>
          </w:p>
        </w:tc>
        <w:tc>
          <w:tcPr>
            <w:tcW w:w="678" w:type="pct"/>
            <w:shd w:val="clear" w:color="auto" w:fill="auto"/>
          </w:tcPr>
          <w:p w:rsidR="008966C6" w:rsidRPr="00890F81" w:rsidRDefault="008966C6" w:rsidP="00240F59">
            <w:pPr>
              <w:pStyle w:val="Tabletext"/>
            </w:pPr>
            <w:r w:rsidRPr="00890F81">
              <w:t>1</w:t>
            </w:r>
            <w:r w:rsidR="00840DF8" w:rsidRPr="00890F81">
              <w:t> </w:t>
            </w:r>
            <w:r w:rsidRPr="00890F81">
              <w:t>600</w:t>
            </w:r>
          </w:p>
        </w:tc>
      </w:tr>
      <w:tr w:rsidR="00FD3101" w:rsidRPr="00890F81" w:rsidTr="00093C32">
        <w:tc>
          <w:tcPr>
            <w:tcW w:w="424" w:type="pct"/>
            <w:shd w:val="clear" w:color="auto" w:fill="auto"/>
          </w:tcPr>
          <w:p w:rsidR="00FD3101" w:rsidRPr="00890F81" w:rsidRDefault="00FD3101" w:rsidP="00FD3101">
            <w:pPr>
              <w:pStyle w:val="Tabletext"/>
            </w:pPr>
            <w:r w:rsidRPr="00355BAE">
              <w:t>102A</w:t>
            </w:r>
          </w:p>
        </w:tc>
        <w:tc>
          <w:tcPr>
            <w:tcW w:w="3898" w:type="pct"/>
            <w:shd w:val="clear" w:color="auto" w:fill="auto"/>
          </w:tcPr>
          <w:p w:rsidR="00FD3101" w:rsidRPr="00890F81" w:rsidRDefault="00FD3101" w:rsidP="00FD3101">
            <w:pPr>
              <w:pStyle w:val="Tabletext"/>
            </w:pPr>
            <w:r w:rsidRPr="00355BAE">
              <w:t>A CCIV, except a special purpose company</w:t>
            </w:r>
          </w:p>
        </w:tc>
        <w:tc>
          <w:tcPr>
            <w:tcW w:w="678" w:type="pct"/>
            <w:shd w:val="clear" w:color="auto" w:fill="auto"/>
          </w:tcPr>
          <w:p w:rsidR="00FD3101" w:rsidRPr="00890F81" w:rsidRDefault="00FD3101" w:rsidP="00FD3101">
            <w:pPr>
              <w:pStyle w:val="Tabletext"/>
            </w:pPr>
            <w:r w:rsidRPr="00355BAE">
              <w:t>9 851</w:t>
            </w:r>
          </w:p>
        </w:tc>
      </w:tr>
      <w:tr w:rsidR="00FD3101" w:rsidRPr="00890F81" w:rsidTr="00093C32">
        <w:tc>
          <w:tcPr>
            <w:tcW w:w="424" w:type="pct"/>
            <w:tcBorders>
              <w:bottom w:val="single" w:sz="4" w:space="0" w:color="auto"/>
            </w:tcBorders>
            <w:shd w:val="clear" w:color="auto" w:fill="auto"/>
          </w:tcPr>
          <w:p w:rsidR="00FD3101" w:rsidRPr="00890F81" w:rsidRDefault="00FD3101" w:rsidP="00FD3101">
            <w:pPr>
              <w:pStyle w:val="Tabletext"/>
            </w:pPr>
            <w:r w:rsidRPr="00890F81">
              <w:t>103</w:t>
            </w:r>
          </w:p>
        </w:tc>
        <w:tc>
          <w:tcPr>
            <w:tcW w:w="3898" w:type="pct"/>
            <w:tcBorders>
              <w:bottom w:val="single" w:sz="4" w:space="0" w:color="auto"/>
            </w:tcBorders>
            <w:shd w:val="clear" w:color="auto" w:fill="auto"/>
          </w:tcPr>
          <w:p w:rsidR="00FD3101" w:rsidRPr="00890F81" w:rsidRDefault="00FD3101" w:rsidP="00FD3101">
            <w:pPr>
              <w:pStyle w:val="Tabletext"/>
            </w:pPr>
            <w:r w:rsidRPr="00890F81">
              <w:t>A special purpose company</w:t>
            </w:r>
          </w:p>
        </w:tc>
        <w:tc>
          <w:tcPr>
            <w:tcW w:w="678" w:type="pct"/>
            <w:tcBorders>
              <w:bottom w:val="single" w:sz="4" w:space="0" w:color="auto"/>
            </w:tcBorders>
            <w:shd w:val="clear" w:color="auto" w:fill="auto"/>
          </w:tcPr>
          <w:p w:rsidR="00FD3101" w:rsidRPr="00890F81" w:rsidRDefault="00FD3101" w:rsidP="00FD3101">
            <w:pPr>
              <w:pStyle w:val="Tabletext"/>
            </w:pPr>
            <w:r w:rsidRPr="00890F81">
              <w:t>300</w:t>
            </w:r>
          </w:p>
        </w:tc>
      </w:tr>
      <w:tr w:rsidR="00FD3101" w:rsidRPr="00890F81" w:rsidTr="00093C32">
        <w:tc>
          <w:tcPr>
            <w:tcW w:w="424" w:type="pct"/>
            <w:tcBorders>
              <w:bottom w:val="single" w:sz="12" w:space="0" w:color="auto"/>
            </w:tcBorders>
            <w:shd w:val="clear" w:color="auto" w:fill="auto"/>
          </w:tcPr>
          <w:p w:rsidR="00FD3101" w:rsidRPr="00890F81" w:rsidRDefault="00FD3101" w:rsidP="00FD3101">
            <w:pPr>
              <w:pStyle w:val="Tabletext"/>
            </w:pPr>
            <w:r w:rsidRPr="00890F81">
              <w:t>104</w:t>
            </w:r>
          </w:p>
        </w:tc>
        <w:tc>
          <w:tcPr>
            <w:tcW w:w="3898" w:type="pct"/>
            <w:tcBorders>
              <w:bottom w:val="single" w:sz="12" w:space="0" w:color="auto"/>
            </w:tcBorders>
            <w:shd w:val="clear" w:color="auto" w:fill="auto"/>
          </w:tcPr>
          <w:p w:rsidR="00FD3101" w:rsidRPr="00890F81" w:rsidRDefault="00FD3101" w:rsidP="00FD3101">
            <w:pPr>
              <w:pStyle w:val="Tabletext"/>
            </w:pPr>
            <w:r w:rsidRPr="00890F81">
              <w:t>A registered scheme or notified foreign passport fund</w:t>
            </w:r>
          </w:p>
        </w:tc>
        <w:tc>
          <w:tcPr>
            <w:tcW w:w="678" w:type="pct"/>
            <w:tcBorders>
              <w:bottom w:val="single" w:sz="12" w:space="0" w:color="auto"/>
            </w:tcBorders>
            <w:shd w:val="clear" w:color="auto" w:fill="auto"/>
          </w:tcPr>
          <w:p w:rsidR="00FD3101" w:rsidRPr="00890F81" w:rsidRDefault="00FD3101" w:rsidP="00FD3101">
            <w:pPr>
              <w:pStyle w:val="Tabletext"/>
            </w:pPr>
            <w:r w:rsidRPr="00890F81">
              <w:t>7 700</w:t>
            </w:r>
          </w:p>
        </w:tc>
      </w:tr>
    </w:tbl>
    <w:p w:rsidR="000F6C4D" w:rsidRPr="00890F81" w:rsidRDefault="009A6D8A" w:rsidP="00240F59">
      <w:pPr>
        <w:pStyle w:val="ActHead2"/>
        <w:pageBreakBefore/>
      </w:pPr>
      <w:bookmarkStart w:id="15" w:name="_Toc110502752"/>
      <w:r w:rsidRPr="009A6D8A">
        <w:rPr>
          <w:rStyle w:val="CharPartNo"/>
        </w:rPr>
        <w:lastRenderedPageBreak/>
        <w:t>Part 2</w:t>
      </w:r>
      <w:r w:rsidR="00240F59" w:rsidRPr="00890F81">
        <w:t>—</w:t>
      </w:r>
      <w:r w:rsidR="000F6C4D" w:rsidRPr="009A6D8A">
        <w:rPr>
          <w:rStyle w:val="CharPartText"/>
        </w:rPr>
        <w:t>Late fees</w:t>
      </w:r>
      <w:bookmarkEnd w:id="15"/>
    </w:p>
    <w:p w:rsidR="000F6C4D" w:rsidRPr="00890F81" w:rsidRDefault="000F6C4D" w:rsidP="00F24D67">
      <w:pPr>
        <w:keepNext/>
        <w:keepLines/>
        <w:rPr>
          <w:sz w:val="16"/>
          <w:szCs w:val="16"/>
        </w:rPr>
      </w:pPr>
    </w:p>
    <w:p w:rsidR="00240F59" w:rsidRPr="00890F81" w:rsidRDefault="00240F59" w:rsidP="00240F5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5"/>
        <w:gridCol w:w="6608"/>
        <w:gridCol w:w="1186"/>
      </w:tblGrid>
      <w:tr w:rsidR="000F6C4D" w:rsidRPr="00890F81" w:rsidTr="00093C32">
        <w:trPr>
          <w:tblHeader/>
        </w:trPr>
        <w:tc>
          <w:tcPr>
            <w:tcW w:w="431" w:type="pct"/>
            <w:tcBorders>
              <w:top w:val="single" w:sz="12" w:space="0" w:color="auto"/>
              <w:bottom w:val="single" w:sz="12" w:space="0" w:color="auto"/>
            </w:tcBorders>
            <w:shd w:val="clear" w:color="auto" w:fill="auto"/>
          </w:tcPr>
          <w:p w:rsidR="000F6C4D" w:rsidRPr="00890F81" w:rsidRDefault="000F6C4D" w:rsidP="00240F59">
            <w:pPr>
              <w:pStyle w:val="TableHeading"/>
              <w:rPr>
                <w:sz w:val="18"/>
                <w:szCs w:val="18"/>
              </w:rPr>
            </w:pPr>
            <w:r w:rsidRPr="00890F81">
              <w:rPr>
                <w:sz w:val="18"/>
                <w:szCs w:val="18"/>
              </w:rPr>
              <w:t>Item</w:t>
            </w:r>
          </w:p>
        </w:tc>
        <w:tc>
          <w:tcPr>
            <w:tcW w:w="3874" w:type="pct"/>
            <w:tcBorders>
              <w:top w:val="single" w:sz="12" w:space="0" w:color="auto"/>
              <w:bottom w:val="single" w:sz="12" w:space="0" w:color="auto"/>
            </w:tcBorders>
            <w:shd w:val="clear" w:color="auto" w:fill="auto"/>
          </w:tcPr>
          <w:p w:rsidR="000F6C4D" w:rsidRPr="00890F81" w:rsidRDefault="000F6C4D" w:rsidP="00240F59">
            <w:pPr>
              <w:pStyle w:val="TableHeading"/>
              <w:rPr>
                <w:sz w:val="18"/>
                <w:szCs w:val="18"/>
              </w:rPr>
            </w:pPr>
            <w:r w:rsidRPr="00890F81">
              <w:rPr>
                <w:sz w:val="18"/>
                <w:szCs w:val="18"/>
              </w:rPr>
              <w:t>Circumstance</w:t>
            </w:r>
          </w:p>
        </w:tc>
        <w:tc>
          <w:tcPr>
            <w:tcW w:w="695" w:type="pct"/>
            <w:tcBorders>
              <w:top w:val="single" w:sz="12" w:space="0" w:color="auto"/>
              <w:bottom w:val="single" w:sz="12" w:space="0" w:color="auto"/>
            </w:tcBorders>
            <w:shd w:val="clear" w:color="auto" w:fill="auto"/>
          </w:tcPr>
          <w:p w:rsidR="000F6C4D" w:rsidRPr="00890F81" w:rsidRDefault="000F6C4D" w:rsidP="00240F59">
            <w:pPr>
              <w:pStyle w:val="TableHeading"/>
              <w:rPr>
                <w:sz w:val="18"/>
                <w:szCs w:val="18"/>
              </w:rPr>
            </w:pPr>
            <w:r w:rsidRPr="00890F81">
              <w:rPr>
                <w:sz w:val="18"/>
                <w:szCs w:val="18"/>
              </w:rPr>
              <w:t>Fee ($)</w:t>
            </w:r>
          </w:p>
        </w:tc>
      </w:tr>
      <w:tr w:rsidR="000F6C4D" w:rsidRPr="00890F81" w:rsidTr="00093C32">
        <w:tc>
          <w:tcPr>
            <w:tcW w:w="431" w:type="pct"/>
            <w:tcBorders>
              <w:top w:val="single" w:sz="12" w:space="0" w:color="auto"/>
            </w:tcBorders>
            <w:shd w:val="clear" w:color="auto" w:fill="auto"/>
          </w:tcPr>
          <w:p w:rsidR="000F6C4D" w:rsidRPr="00890F81" w:rsidRDefault="000F6C4D" w:rsidP="00240F59">
            <w:pPr>
              <w:pStyle w:val="Tabletext"/>
            </w:pPr>
            <w:r w:rsidRPr="00890F81">
              <w:t>201</w:t>
            </w:r>
          </w:p>
        </w:tc>
        <w:tc>
          <w:tcPr>
            <w:tcW w:w="3874" w:type="pct"/>
            <w:tcBorders>
              <w:top w:val="single" w:sz="12" w:space="0" w:color="auto"/>
            </w:tcBorders>
            <w:shd w:val="clear" w:color="auto" w:fill="auto"/>
          </w:tcPr>
          <w:p w:rsidR="000F6C4D" w:rsidRPr="00890F81" w:rsidRDefault="000F6C4D" w:rsidP="00240F59">
            <w:pPr>
              <w:pStyle w:val="Tabletext"/>
            </w:pPr>
            <w:r w:rsidRPr="00890F81">
              <w:t xml:space="preserve">Paying a review fee mentioned in </w:t>
            </w:r>
            <w:r w:rsidR="009A6D8A">
              <w:t>Part 1</w:t>
            </w:r>
            <w:r w:rsidRPr="00890F81">
              <w:t xml:space="preserve"> </w:t>
            </w:r>
            <w:r w:rsidR="008966C6" w:rsidRPr="00890F81">
              <w:t xml:space="preserve">or </w:t>
            </w:r>
            <w:r w:rsidR="009A6D8A">
              <w:t>Part 1</w:t>
            </w:r>
            <w:r w:rsidR="008966C6" w:rsidRPr="00890F81">
              <w:t xml:space="preserve">A </w:t>
            </w:r>
            <w:r w:rsidRPr="00890F81">
              <w:t>after the date on which the fee becomes due and payable, but within 1 month after that date</w:t>
            </w:r>
          </w:p>
        </w:tc>
        <w:tc>
          <w:tcPr>
            <w:tcW w:w="695" w:type="pct"/>
            <w:tcBorders>
              <w:top w:val="single" w:sz="12" w:space="0" w:color="auto"/>
            </w:tcBorders>
            <w:shd w:val="clear" w:color="auto" w:fill="auto"/>
          </w:tcPr>
          <w:p w:rsidR="000F6C4D" w:rsidRPr="00890F81" w:rsidRDefault="000F6C4D" w:rsidP="00240F59">
            <w:pPr>
              <w:pStyle w:val="Tabletext"/>
            </w:pPr>
            <w:r w:rsidRPr="00890F81">
              <w:t>65</w:t>
            </w:r>
          </w:p>
        </w:tc>
      </w:tr>
      <w:tr w:rsidR="000F6C4D" w:rsidRPr="00890F81" w:rsidTr="00093C32">
        <w:tc>
          <w:tcPr>
            <w:tcW w:w="431" w:type="pct"/>
            <w:tcBorders>
              <w:bottom w:val="single" w:sz="4" w:space="0" w:color="auto"/>
            </w:tcBorders>
            <w:shd w:val="clear" w:color="auto" w:fill="auto"/>
          </w:tcPr>
          <w:p w:rsidR="000F6C4D" w:rsidRPr="00890F81" w:rsidRDefault="000F6C4D" w:rsidP="00240F59">
            <w:pPr>
              <w:pStyle w:val="Tabletext"/>
            </w:pPr>
            <w:r w:rsidRPr="00890F81">
              <w:t>202</w:t>
            </w:r>
          </w:p>
        </w:tc>
        <w:tc>
          <w:tcPr>
            <w:tcW w:w="3874" w:type="pct"/>
            <w:tcBorders>
              <w:bottom w:val="single" w:sz="4" w:space="0" w:color="auto"/>
            </w:tcBorders>
            <w:shd w:val="clear" w:color="auto" w:fill="auto"/>
          </w:tcPr>
          <w:p w:rsidR="000F6C4D" w:rsidRPr="00890F81" w:rsidRDefault="000F6C4D" w:rsidP="00240F59">
            <w:pPr>
              <w:pStyle w:val="Tabletext"/>
            </w:pPr>
            <w:r w:rsidRPr="00890F81">
              <w:t xml:space="preserve">Paying a review fee mentioned in </w:t>
            </w:r>
            <w:r w:rsidR="009A6D8A">
              <w:t>Part 1</w:t>
            </w:r>
            <w:r w:rsidRPr="00890F81">
              <w:t xml:space="preserve"> </w:t>
            </w:r>
            <w:r w:rsidR="008966C6" w:rsidRPr="00890F81">
              <w:t xml:space="preserve">or </w:t>
            </w:r>
            <w:r w:rsidR="009A6D8A">
              <w:t>Part 1</w:t>
            </w:r>
            <w:r w:rsidR="008966C6" w:rsidRPr="00890F81">
              <w:t xml:space="preserve">A </w:t>
            </w:r>
            <w:r w:rsidRPr="00890F81">
              <w:t>more than 1 month after the date on which the fee becomes due and payable</w:t>
            </w:r>
          </w:p>
        </w:tc>
        <w:tc>
          <w:tcPr>
            <w:tcW w:w="695" w:type="pct"/>
            <w:tcBorders>
              <w:bottom w:val="single" w:sz="4" w:space="0" w:color="auto"/>
            </w:tcBorders>
            <w:shd w:val="clear" w:color="auto" w:fill="auto"/>
          </w:tcPr>
          <w:p w:rsidR="000F6C4D" w:rsidRPr="00890F81" w:rsidRDefault="000F6C4D" w:rsidP="00240F59">
            <w:pPr>
              <w:pStyle w:val="Tabletext"/>
            </w:pPr>
            <w:r w:rsidRPr="00890F81">
              <w:t>270</w:t>
            </w:r>
          </w:p>
        </w:tc>
      </w:tr>
      <w:tr w:rsidR="000F6C4D" w:rsidRPr="00890F81" w:rsidTr="00093C32">
        <w:tc>
          <w:tcPr>
            <w:tcW w:w="431" w:type="pct"/>
            <w:tcBorders>
              <w:bottom w:val="single" w:sz="12" w:space="0" w:color="auto"/>
            </w:tcBorders>
            <w:shd w:val="clear" w:color="auto" w:fill="auto"/>
          </w:tcPr>
          <w:p w:rsidR="000F6C4D" w:rsidRPr="00890F81" w:rsidRDefault="000F6C4D" w:rsidP="00240F59">
            <w:pPr>
              <w:pStyle w:val="Tabletext"/>
            </w:pPr>
          </w:p>
        </w:tc>
        <w:tc>
          <w:tcPr>
            <w:tcW w:w="3874" w:type="pct"/>
            <w:tcBorders>
              <w:bottom w:val="single" w:sz="12" w:space="0" w:color="auto"/>
            </w:tcBorders>
            <w:shd w:val="clear" w:color="auto" w:fill="auto"/>
          </w:tcPr>
          <w:p w:rsidR="000F6C4D" w:rsidRPr="00890F81" w:rsidRDefault="00240F59" w:rsidP="00240F59">
            <w:pPr>
              <w:pStyle w:val="Tabletext"/>
            </w:pPr>
            <w:r w:rsidRPr="00890F81">
              <w:t>Note:</w:t>
            </w:r>
            <w:r w:rsidRPr="00890F81">
              <w:tab/>
            </w:r>
            <w:r w:rsidR="000F6C4D" w:rsidRPr="00890F81">
              <w:t>For when a fee becomes due and payable, see sub</w:t>
            </w:r>
            <w:r w:rsidR="009A6D8A">
              <w:t>section 1</w:t>
            </w:r>
            <w:r w:rsidR="000F6C4D" w:rsidRPr="00890F81">
              <w:t>351 (3) of the Act.</w:t>
            </w:r>
          </w:p>
        </w:tc>
        <w:tc>
          <w:tcPr>
            <w:tcW w:w="695" w:type="pct"/>
            <w:tcBorders>
              <w:bottom w:val="single" w:sz="12" w:space="0" w:color="auto"/>
            </w:tcBorders>
            <w:shd w:val="clear" w:color="auto" w:fill="auto"/>
          </w:tcPr>
          <w:p w:rsidR="000F6C4D" w:rsidRPr="00890F81" w:rsidRDefault="000F6C4D" w:rsidP="00240F59">
            <w:pPr>
              <w:pStyle w:val="Tabletext"/>
            </w:pPr>
          </w:p>
        </w:tc>
      </w:tr>
    </w:tbl>
    <w:p w:rsidR="000F6C4D" w:rsidRPr="00890F81" w:rsidRDefault="000F6C4D" w:rsidP="000F6C4D"/>
    <w:p w:rsidR="00240F59" w:rsidRPr="00890F81" w:rsidRDefault="00240F59" w:rsidP="001E29E2">
      <w:pPr>
        <w:sectPr w:rsidR="00240F59" w:rsidRPr="00890F81" w:rsidSect="003B34C5">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16" w:name="OPCSB_NonAmendNoClausesB5"/>
    </w:p>
    <w:p w:rsidR="00ED6EEA" w:rsidRDefault="00ED6EEA" w:rsidP="00ED6EEA">
      <w:pPr>
        <w:pStyle w:val="ENotesHeading1"/>
        <w:pageBreakBefore/>
      </w:pPr>
      <w:bookmarkStart w:id="17" w:name="_Toc110502753"/>
      <w:bookmarkEnd w:id="16"/>
      <w:r>
        <w:lastRenderedPageBreak/>
        <w:t>Endnotes</w:t>
      </w:r>
      <w:bookmarkEnd w:id="17"/>
    </w:p>
    <w:p w:rsidR="00ED6EEA" w:rsidRDefault="00ED6EEA" w:rsidP="00ED6EEA">
      <w:pPr>
        <w:pStyle w:val="ENotesHeading2"/>
        <w:spacing w:line="240" w:lineRule="auto"/>
        <w:outlineLvl w:val="9"/>
      </w:pPr>
      <w:bookmarkStart w:id="18" w:name="_Toc110502754"/>
      <w:r>
        <w:t>Endnote 1—About the endnotes</w:t>
      </w:r>
      <w:bookmarkEnd w:id="18"/>
    </w:p>
    <w:p w:rsidR="00ED6EEA" w:rsidRDefault="00ED6EEA" w:rsidP="00ED6EEA">
      <w:pPr>
        <w:spacing w:after="120"/>
      </w:pPr>
      <w:r>
        <w:t>The endnotes provide information about this compilation and the compiled law.</w:t>
      </w:r>
    </w:p>
    <w:p w:rsidR="00ED6EEA" w:rsidRDefault="00ED6EEA" w:rsidP="00ED6EEA">
      <w:pPr>
        <w:spacing w:after="120"/>
      </w:pPr>
      <w:r>
        <w:t>The following endnotes are included in every compilation:</w:t>
      </w:r>
    </w:p>
    <w:p w:rsidR="00ED6EEA" w:rsidRDefault="00ED6EEA" w:rsidP="00ED6EEA">
      <w:r>
        <w:t>Endnote 1—About the endnotes</w:t>
      </w:r>
    </w:p>
    <w:p w:rsidR="00ED6EEA" w:rsidRDefault="00ED6EEA" w:rsidP="00ED6EEA">
      <w:r>
        <w:t>Endnote 2—Abbreviation key</w:t>
      </w:r>
    </w:p>
    <w:p w:rsidR="00ED6EEA" w:rsidRDefault="00ED6EEA" w:rsidP="00ED6EEA">
      <w:r>
        <w:t>Endnote 3—Legislation history</w:t>
      </w:r>
    </w:p>
    <w:p w:rsidR="00ED6EEA" w:rsidRDefault="00ED6EEA" w:rsidP="00ED6EEA">
      <w:pPr>
        <w:spacing w:after="120"/>
      </w:pPr>
      <w:r>
        <w:t>Endnote 4—Amendment history</w:t>
      </w:r>
    </w:p>
    <w:p w:rsidR="00ED6EEA" w:rsidRDefault="00ED6EEA" w:rsidP="00ED6EEA">
      <w:r>
        <w:rPr>
          <w:b/>
        </w:rPr>
        <w:t>Abbreviation key—Endnote 2</w:t>
      </w:r>
    </w:p>
    <w:p w:rsidR="00ED6EEA" w:rsidRDefault="00ED6EEA" w:rsidP="00ED6EEA">
      <w:pPr>
        <w:spacing w:after="120"/>
      </w:pPr>
      <w:r>
        <w:t>The abbreviation key sets out abbreviations that may be used in the endnotes.</w:t>
      </w:r>
    </w:p>
    <w:p w:rsidR="00ED6EEA" w:rsidRDefault="00ED6EEA" w:rsidP="00ED6EEA">
      <w:pPr>
        <w:rPr>
          <w:b/>
        </w:rPr>
      </w:pPr>
      <w:r>
        <w:rPr>
          <w:b/>
        </w:rPr>
        <w:t>Legislation history and amendment history—Endnotes 3 and 4</w:t>
      </w:r>
    </w:p>
    <w:p w:rsidR="00ED6EEA" w:rsidRDefault="00ED6EEA" w:rsidP="00ED6EEA">
      <w:pPr>
        <w:spacing w:after="120"/>
      </w:pPr>
      <w:r>
        <w:t>Amending laws are annotated in the legislation history and amendment history.</w:t>
      </w:r>
    </w:p>
    <w:p w:rsidR="00ED6EEA" w:rsidRDefault="00ED6EEA" w:rsidP="00ED6EEA">
      <w:pPr>
        <w:spacing w:after="120"/>
      </w:pPr>
      <w: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D6EEA" w:rsidRDefault="00ED6EEA" w:rsidP="00ED6EEA">
      <w:pPr>
        <w:spacing w:after="120"/>
      </w:pPr>
      <w: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D6EEA" w:rsidRDefault="00ED6EEA" w:rsidP="00ED6EEA">
      <w:pPr>
        <w:rPr>
          <w:b/>
        </w:rPr>
      </w:pPr>
      <w:r>
        <w:rPr>
          <w:b/>
        </w:rPr>
        <w:t>Editorial changes</w:t>
      </w:r>
    </w:p>
    <w:p w:rsidR="00ED6EEA" w:rsidRDefault="00ED6EEA" w:rsidP="00ED6EEA">
      <w:pPr>
        <w:spacing w:after="120"/>
      </w:pPr>
      <w:r>
        <w:t xml:space="preserve">The </w:t>
      </w:r>
      <w:r>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D6EEA" w:rsidRDefault="00ED6EEA" w:rsidP="00ED6EEA">
      <w:pPr>
        <w:spacing w:after="120"/>
      </w:pPr>
      <w:r>
        <w:t>If the compilation includes editorial changes, the endnotes include a brief outline of the changes in general terms. Full details of any changes can be obtained from the Office of Parliamentary Counsel.</w:t>
      </w:r>
    </w:p>
    <w:p w:rsidR="00ED6EEA" w:rsidRDefault="00ED6EEA" w:rsidP="00ED6EEA">
      <w:pPr>
        <w:keepNext/>
      </w:pPr>
      <w:r>
        <w:rPr>
          <w:b/>
        </w:rPr>
        <w:t>Misdescribed amendments</w:t>
      </w:r>
    </w:p>
    <w:p w:rsidR="00ED6EEA" w:rsidRDefault="00ED6EEA" w:rsidP="00ED6EEA">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A6D8A">
        <w:t>section 1</w:t>
      </w:r>
      <w:r>
        <w:t xml:space="preserve">5V of the </w:t>
      </w:r>
      <w:r>
        <w:rPr>
          <w:i/>
        </w:rPr>
        <w:t>Legislation Act 2003</w:t>
      </w:r>
      <w:r>
        <w:t>.</w:t>
      </w:r>
    </w:p>
    <w:p w:rsidR="00ED6EEA" w:rsidRDefault="00ED6EEA" w:rsidP="00ED6EEA">
      <w:pPr>
        <w:spacing w:before="120" w:after="240"/>
      </w:pPr>
      <w:r>
        <w:t>If a misdescribed amendment cannot be given effect as intended, the amendment is not incorporated and “(md not incorp)” is added to the amendment history.</w:t>
      </w:r>
    </w:p>
    <w:p w:rsidR="00ED6EEA" w:rsidRDefault="00ED6EEA" w:rsidP="00ED6EEA">
      <w:pPr>
        <w:spacing w:line="240" w:lineRule="auto"/>
      </w:pPr>
    </w:p>
    <w:p w:rsidR="006D1A16" w:rsidRDefault="006D1A16" w:rsidP="006D1A16">
      <w:pPr>
        <w:pStyle w:val="ENotesHeading2"/>
        <w:pageBreakBefore/>
        <w:outlineLvl w:val="9"/>
      </w:pPr>
      <w:bookmarkStart w:id="19" w:name="_Toc110502755"/>
      <w:r>
        <w:lastRenderedPageBreak/>
        <w:t>Endnote 2—Abbreviation key</w:t>
      </w:r>
      <w:bookmarkEnd w:id="19"/>
    </w:p>
    <w:tbl>
      <w:tblPr>
        <w:tblW w:w="5000" w:type="pct"/>
        <w:tblLook w:val="04A0" w:firstRow="1" w:lastRow="0" w:firstColumn="1" w:lastColumn="0" w:noHBand="0" w:noVBand="1"/>
      </w:tblPr>
      <w:tblGrid>
        <w:gridCol w:w="4570"/>
        <w:gridCol w:w="3959"/>
      </w:tblGrid>
      <w:tr w:rsidR="006D1A16" w:rsidTr="006D1A16">
        <w:tc>
          <w:tcPr>
            <w:tcW w:w="2679" w:type="pct"/>
          </w:tcPr>
          <w:p w:rsidR="006D1A16" w:rsidRDefault="006D1A16">
            <w:pPr>
              <w:spacing w:before="60"/>
              <w:ind w:left="34"/>
              <w:rPr>
                <w:sz w:val="20"/>
              </w:rPr>
            </w:pPr>
          </w:p>
        </w:tc>
        <w:tc>
          <w:tcPr>
            <w:tcW w:w="2321" w:type="pct"/>
            <w:hideMark/>
          </w:tcPr>
          <w:p w:rsidR="006D1A16" w:rsidRDefault="006D1A16">
            <w:pPr>
              <w:spacing w:before="60"/>
              <w:ind w:left="34"/>
              <w:rPr>
                <w:sz w:val="20"/>
              </w:rPr>
            </w:pPr>
            <w:r>
              <w:rPr>
                <w:sz w:val="20"/>
              </w:rPr>
              <w:t>o = order(s)</w:t>
            </w:r>
          </w:p>
        </w:tc>
      </w:tr>
      <w:tr w:rsidR="006D1A16" w:rsidTr="006D1A16">
        <w:tc>
          <w:tcPr>
            <w:tcW w:w="2679" w:type="pct"/>
            <w:hideMark/>
          </w:tcPr>
          <w:p w:rsidR="006D1A16" w:rsidRDefault="006D1A16">
            <w:pPr>
              <w:spacing w:before="60"/>
              <w:ind w:left="34"/>
              <w:rPr>
                <w:sz w:val="20"/>
              </w:rPr>
            </w:pPr>
            <w:r>
              <w:rPr>
                <w:sz w:val="20"/>
              </w:rPr>
              <w:t>ad = added or inserted</w:t>
            </w:r>
          </w:p>
        </w:tc>
        <w:tc>
          <w:tcPr>
            <w:tcW w:w="2321" w:type="pct"/>
            <w:hideMark/>
          </w:tcPr>
          <w:p w:rsidR="006D1A16" w:rsidRDefault="006D1A16">
            <w:pPr>
              <w:spacing w:before="60"/>
              <w:ind w:left="34"/>
              <w:rPr>
                <w:sz w:val="20"/>
              </w:rPr>
            </w:pPr>
            <w:r>
              <w:rPr>
                <w:sz w:val="20"/>
              </w:rPr>
              <w:t>Ord = Ordinance</w:t>
            </w:r>
          </w:p>
        </w:tc>
      </w:tr>
      <w:tr w:rsidR="006D1A16" w:rsidTr="006D1A16">
        <w:tc>
          <w:tcPr>
            <w:tcW w:w="2679" w:type="pct"/>
            <w:hideMark/>
          </w:tcPr>
          <w:p w:rsidR="006D1A16" w:rsidRDefault="006D1A16">
            <w:pPr>
              <w:spacing w:before="60"/>
              <w:ind w:left="34"/>
              <w:rPr>
                <w:sz w:val="20"/>
              </w:rPr>
            </w:pPr>
            <w:r>
              <w:rPr>
                <w:sz w:val="20"/>
              </w:rPr>
              <w:t>am = amended</w:t>
            </w:r>
          </w:p>
        </w:tc>
        <w:tc>
          <w:tcPr>
            <w:tcW w:w="2321" w:type="pct"/>
            <w:hideMark/>
          </w:tcPr>
          <w:p w:rsidR="006D1A16" w:rsidRDefault="006D1A16">
            <w:pPr>
              <w:spacing w:before="60"/>
              <w:ind w:left="34"/>
              <w:rPr>
                <w:sz w:val="20"/>
              </w:rPr>
            </w:pPr>
            <w:r>
              <w:rPr>
                <w:sz w:val="20"/>
              </w:rPr>
              <w:t>orig = original</w:t>
            </w:r>
          </w:p>
        </w:tc>
      </w:tr>
      <w:tr w:rsidR="006D1A16" w:rsidTr="006D1A16">
        <w:tc>
          <w:tcPr>
            <w:tcW w:w="2679" w:type="pct"/>
            <w:hideMark/>
          </w:tcPr>
          <w:p w:rsidR="006D1A16" w:rsidRDefault="006D1A16">
            <w:pPr>
              <w:spacing w:before="60"/>
              <w:ind w:left="34"/>
              <w:rPr>
                <w:sz w:val="20"/>
              </w:rPr>
            </w:pPr>
            <w:r>
              <w:rPr>
                <w:sz w:val="20"/>
              </w:rPr>
              <w:t>amdt = amendment</w:t>
            </w:r>
          </w:p>
        </w:tc>
        <w:tc>
          <w:tcPr>
            <w:tcW w:w="2321" w:type="pct"/>
            <w:hideMark/>
          </w:tcPr>
          <w:p w:rsidR="006D1A16" w:rsidRDefault="006D1A16">
            <w:pPr>
              <w:spacing w:before="60"/>
              <w:ind w:left="34"/>
              <w:rPr>
                <w:sz w:val="20"/>
              </w:rPr>
            </w:pPr>
            <w:r>
              <w:rPr>
                <w:sz w:val="20"/>
              </w:rPr>
              <w:t>par = paragraph(s)/subparagraph(s)</w:t>
            </w:r>
          </w:p>
        </w:tc>
      </w:tr>
      <w:tr w:rsidR="006D1A16" w:rsidTr="006D1A16">
        <w:tc>
          <w:tcPr>
            <w:tcW w:w="2679" w:type="pct"/>
            <w:hideMark/>
          </w:tcPr>
          <w:p w:rsidR="006D1A16" w:rsidRDefault="006D1A16">
            <w:pPr>
              <w:spacing w:before="60"/>
              <w:ind w:left="34"/>
              <w:rPr>
                <w:sz w:val="20"/>
              </w:rPr>
            </w:pPr>
            <w:r>
              <w:rPr>
                <w:sz w:val="20"/>
              </w:rPr>
              <w:t>c = clause(s)</w:t>
            </w:r>
          </w:p>
        </w:tc>
        <w:tc>
          <w:tcPr>
            <w:tcW w:w="2321" w:type="pct"/>
            <w:hideMark/>
          </w:tcPr>
          <w:p w:rsidR="006D1A16" w:rsidRDefault="006D1A16">
            <w:pPr>
              <w:ind w:left="34" w:firstLine="249"/>
              <w:rPr>
                <w:sz w:val="20"/>
              </w:rPr>
            </w:pPr>
            <w:r>
              <w:rPr>
                <w:sz w:val="20"/>
              </w:rPr>
              <w:t>/sub</w:t>
            </w:r>
            <w:r w:rsidR="009A6D8A">
              <w:rPr>
                <w:sz w:val="20"/>
              </w:rPr>
              <w:noBreakHyphen/>
            </w:r>
            <w:r>
              <w:rPr>
                <w:sz w:val="20"/>
              </w:rPr>
              <w:t>subparagraph(s)</w:t>
            </w:r>
          </w:p>
        </w:tc>
      </w:tr>
      <w:tr w:rsidR="006D1A16" w:rsidTr="006D1A16">
        <w:tc>
          <w:tcPr>
            <w:tcW w:w="2679" w:type="pct"/>
            <w:hideMark/>
          </w:tcPr>
          <w:p w:rsidR="006D1A16" w:rsidRDefault="006D1A16">
            <w:pPr>
              <w:spacing w:before="60"/>
              <w:ind w:left="34"/>
              <w:rPr>
                <w:sz w:val="20"/>
              </w:rPr>
            </w:pPr>
            <w:r>
              <w:rPr>
                <w:sz w:val="20"/>
              </w:rPr>
              <w:t>C[x] = Compilation No. x</w:t>
            </w:r>
          </w:p>
        </w:tc>
        <w:tc>
          <w:tcPr>
            <w:tcW w:w="2321" w:type="pct"/>
            <w:hideMark/>
          </w:tcPr>
          <w:p w:rsidR="006D1A16" w:rsidRDefault="006D1A16">
            <w:pPr>
              <w:spacing w:before="60"/>
              <w:ind w:left="34"/>
              <w:rPr>
                <w:sz w:val="20"/>
              </w:rPr>
            </w:pPr>
            <w:r>
              <w:rPr>
                <w:sz w:val="20"/>
              </w:rPr>
              <w:t>pres = present</w:t>
            </w:r>
          </w:p>
        </w:tc>
      </w:tr>
      <w:tr w:rsidR="006D1A16" w:rsidTr="006D1A16">
        <w:tc>
          <w:tcPr>
            <w:tcW w:w="2679" w:type="pct"/>
            <w:hideMark/>
          </w:tcPr>
          <w:p w:rsidR="006D1A16" w:rsidRDefault="006D1A16">
            <w:pPr>
              <w:spacing w:before="60"/>
              <w:ind w:left="34"/>
              <w:rPr>
                <w:sz w:val="20"/>
              </w:rPr>
            </w:pPr>
            <w:r>
              <w:rPr>
                <w:sz w:val="20"/>
              </w:rPr>
              <w:t>Ch = Chapter(s)</w:t>
            </w:r>
          </w:p>
        </w:tc>
        <w:tc>
          <w:tcPr>
            <w:tcW w:w="2321" w:type="pct"/>
            <w:hideMark/>
          </w:tcPr>
          <w:p w:rsidR="006D1A16" w:rsidRDefault="006D1A16">
            <w:pPr>
              <w:spacing w:before="60"/>
              <w:ind w:left="34"/>
              <w:rPr>
                <w:sz w:val="20"/>
              </w:rPr>
            </w:pPr>
            <w:r>
              <w:rPr>
                <w:sz w:val="20"/>
              </w:rPr>
              <w:t>prev = previous</w:t>
            </w:r>
          </w:p>
        </w:tc>
      </w:tr>
      <w:tr w:rsidR="006D1A16" w:rsidTr="006D1A16">
        <w:tc>
          <w:tcPr>
            <w:tcW w:w="2679" w:type="pct"/>
            <w:hideMark/>
          </w:tcPr>
          <w:p w:rsidR="006D1A16" w:rsidRDefault="006D1A16">
            <w:pPr>
              <w:spacing w:before="60"/>
              <w:ind w:left="34"/>
              <w:rPr>
                <w:sz w:val="20"/>
              </w:rPr>
            </w:pPr>
            <w:r>
              <w:rPr>
                <w:sz w:val="20"/>
              </w:rPr>
              <w:t>def = definition(s)</w:t>
            </w:r>
          </w:p>
        </w:tc>
        <w:tc>
          <w:tcPr>
            <w:tcW w:w="2321" w:type="pct"/>
            <w:hideMark/>
          </w:tcPr>
          <w:p w:rsidR="006D1A16" w:rsidRDefault="006D1A16">
            <w:pPr>
              <w:spacing w:before="60"/>
              <w:ind w:left="34"/>
              <w:rPr>
                <w:sz w:val="20"/>
              </w:rPr>
            </w:pPr>
            <w:r>
              <w:rPr>
                <w:sz w:val="20"/>
              </w:rPr>
              <w:t>(prev…) = previously</w:t>
            </w:r>
          </w:p>
        </w:tc>
      </w:tr>
      <w:tr w:rsidR="006D1A16" w:rsidTr="006D1A16">
        <w:tc>
          <w:tcPr>
            <w:tcW w:w="2679" w:type="pct"/>
            <w:hideMark/>
          </w:tcPr>
          <w:p w:rsidR="006D1A16" w:rsidRDefault="006D1A16">
            <w:pPr>
              <w:spacing w:before="60"/>
              <w:ind w:left="34"/>
              <w:rPr>
                <w:sz w:val="20"/>
              </w:rPr>
            </w:pPr>
            <w:r>
              <w:rPr>
                <w:sz w:val="20"/>
              </w:rPr>
              <w:t>Dict = Dictionary</w:t>
            </w:r>
          </w:p>
        </w:tc>
        <w:tc>
          <w:tcPr>
            <w:tcW w:w="2321" w:type="pct"/>
            <w:hideMark/>
          </w:tcPr>
          <w:p w:rsidR="006D1A16" w:rsidRDefault="006D1A16">
            <w:pPr>
              <w:spacing w:before="60"/>
              <w:ind w:left="34"/>
              <w:rPr>
                <w:sz w:val="20"/>
              </w:rPr>
            </w:pPr>
            <w:r>
              <w:rPr>
                <w:sz w:val="20"/>
              </w:rPr>
              <w:t>Pt = Part(s)</w:t>
            </w:r>
          </w:p>
        </w:tc>
      </w:tr>
      <w:tr w:rsidR="006D1A16" w:rsidTr="006D1A16">
        <w:tc>
          <w:tcPr>
            <w:tcW w:w="2679" w:type="pct"/>
            <w:hideMark/>
          </w:tcPr>
          <w:p w:rsidR="006D1A16" w:rsidRDefault="006D1A16">
            <w:pPr>
              <w:spacing w:before="60"/>
              <w:ind w:left="34"/>
              <w:rPr>
                <w:sz w:val="20"/>
              </w:rPr>
            </w:pPr>
            <w:r>
              <w:rPr>
                <w:sz w:val="20"/>
              </w:rPr>
              <w:t>disallowed = disallowed by Parliament</w:t>
            </w:r>
          </w:p>
        </w:tc>
        <w:tc>
          <w:tcPr>
            <w:tcW w:w="2321" w:type="pct"/>
            <w:hideMark/>
          </w:tcPr>
          <w:p w:rsidR="006D1A16" w:rsidRDefault="006D1A16">
            <w:pPr>
              <w:spacing w:before="60"/>
              <w:ind w:left="34"/>
              <w:rPr>
                <w:sz w:val="20"/>
              </w:rPr>
            </w:pPr>
            <w:r>
              <w:rPr>
                <w:sz w:val="20"/>
              </w:rPr>
              <w:t>r = regulation(s)/rule(s)</w:t>
            </w:r>
          </w:p>
        </w:tc>
      </w:tr>
      <w:tr w:rsidR="006D1A16" w:rsidTr="006D1A16">
        <w:tc>
          <w:tcPr>
            <w:tcW w:w="2679" w:type="pct"/>
            <w:hideMark/>
          </w:tcPr>
          <w:p w:rsidR="006D1A16" w:rsidRDefault="006D1A16">
            <w:pPr>
              <w:spacing w:before="60"/>
              <w:ind w:left="34"/>
              <w:rPr>
                <w:sz w:val="20"/>
              </w:rPr>
            </w:pPr>
            <w:r>
              <w:rPr>
                <w:sz w:val="20"/>
              </w:rPr>
              <w:t>Div = Division(s)</w:t>
            </w:r>
          </w:p>
        </w:tc>
        <w:tc>
          <w:tcPr>
            <w:tcW w:w="2321" w:type="pct"/>
          </w:tcPr>
          <w:p w:rsidR="006D1A16" w:rsidRDefault="006D1A16">
            <w:pPr>
              <w:spacing w:before="60"/>
              <w:ind w:left="34"/>
              <w:rPr>
                <w:sz w:val="20"/>
              </w:rPr>
            </w:pPr>
          </w:p>
        </w:tc>
      </w:tr>
      <w:tr w:rsidR="006D1A16" w:rsidTr="006D1A16">
        <w:tc>
          <w:tcPr>
            <w:tcW w:w="2679" w:type="pct"/>
            <w:hideMark/>
          </w:tcPr>
          <w:p w:rsidR="006D1A16" w:rsidRDefault="006D1A16">
            <w:pPr>
              <w:spacing w:before="60"/>
              <w:ind w:left="34"/>
              <w:rPr>
                <w:sz w:val="20"/>
              </w:rPr>
            </w:pPr>
            <w:r>
              <w:rPr>
                <w:sz w:val="20"/>
              </w:rPr>
              <w:t>exp = expires/expired or ceases/ceased to have</w:t>
            </w:r>
          </w:p>
        </w:tc>
        <w:tc>
          <w:tcPr>
            <w:tcW w:w="2321" w:type="pct"/>
            <w:hideMark/>
          </w:tcPr>
          <w:p w:rsidR="006D1A16" w:rsidRDefault="006D1A16">
            <w:pPr>
              <w:spacing w:before="60"/>
              <w:ind w:left="34"/>
              <w:rPr>
                <w:sz w:val="20"/>
              </w:rPr>
            </w:pPr>
            <w:r>
              <w:rPr>
                <w:sz w:val="20"/>
              </w:rPr>
              <w:t>reloc = relocated</w:t>
            </w:r>
          </w:p>
        </w:tc>
      </w:tr>
      <w:tr w:rsidR="006D1A16" w:rsidTr="006D1A16">
        <w:tc>
          <w:tcPr>
            <w:tcW w:w="2679" w:type="pct"/>
            <w:hideMark/>
          </w:tcPr>
          <w:p w:rsidR="006D1A16" w:rsidRDefault="006D1A16">
            <w:pPr>
              <w:ind w:left="34" w:firstLine="249"/>
              <w:rPr>
                <w:sz w:val="20"/>
              </w:rPr>
            </w:pPr>
            <w:r>
              <w:rPr>
                <w:sz w:val="20"/>
              </w:rPr>
              <w:t>effect</w:t>
            </w:r>
          </w:p>
        </w:tc>
        <w:tc>
          <w:tcPr>
            <w:tcW w:w="2321" w:type="pct"/>
            <w:hideMark/>
          </w:tcPr>
          <w:p w:rsidR="006D1A16" w:rsidRDefault="006D1A16">
            <w:pPr>
              <w:spacing w:before="60"/>
              <w:ind w:left="34"/>
              <w:rPr>
                <w:sz w:val="20"/>
              </w:rPr>
            </w:pPr>
            <w:r>
              <w:rPr>
                <w:sz w:val="20"/>
              </w:rPr>
              <w:t>renum = renumbered</w:t>
            </w:r>
          </w:p>
        </w:tc>
      </w:tr>
      <w:tr w:rsidR="006D1A16" w:rsidTr="006D1A16">
        <w:tc>
          <w:tcPr>
            <w:tcW w:w="2679" w:type="pct"/>
            <w:hideMark/>
          </w:tcPr>
          <w:p w:rsidR="006D1A16" w:rsidRDefault="006D1A16">
            <w:pPr>
              <w:spacing w:before="60"/>
              <w:ind w:left="34"/>
              <w:rPr>
                <w:sz w:val="20"/>
              </w:rPr>
            </w:pPr>
            <w:r>
              <w:rPr>
                <w:sz w:val="20"/>
              </w:rPr>
              <w:t>F = Federal Register of Legislation</w:t>
            </w:r>
          </w:p>
        </w:tc>
        <w:tc>
          <w:tcPr>
            <w:tcW w:w="2321" w:type="pct"/>
            <w:hideMark/>
          </w:tcPr>
          <w:p w:rsidR="006D1A16" w:rsidRDefault="006D1A16">
            <w:pPr>
              <w:spacing w:before="60"/>
              <w:ind w:left="34"/>
              <w:rPr>
                <w:sz w:val="20"/>
              </w:rPr>
            </w:pPr>
            <w:r>
              <w:rPr>
                <w:sz w:val="20"/>
              </w:rPr>
              <w:t>rep = repealed</w:t>
            </w:r>
          </w:p>
        </w:tc>
      </w:tr>
      <w:tr w:rsidR="006D1A16" w:rsidTr="006D1A16">
        <w:tc>
          <w:tcPr>
            <w:tcW w:w="2679" w:type="pct"/>
            <w:hideMark/>
          </w:tcPr>
          <w:p w:rsidR="006D1A16" w:rsidRDefault="006D1A16">
            <w:pPr>
              <w:spacing w:before="60"/>
              <w:ind w:left="34"/>
              <w:rPr>
                <w:sz w:val="20"/>
              </w:rPr>
            </w:pPr>
            <w:r>
              <w:rPr>
                <w:sz w:val="20"/>
              </w:rPr>
              <w:t>gaz = gazette</w:t>
            </w:r>
          </w:p>
        </w:tc>
        <w:tc>
          <w:tcPr>
            <w:tcW w:w="2321" w:type="pct"/>
            <w:hideMark/>
          </w:tcPr>
          <w:p w:rsidR="006D1A16" w:rsidRDefault="006D1A16">
            <w:pPr>
              <w:spacing w:before="60"/>
              <w:ind w:left="34"/>
              <w:rPr>
                <w:sz w:val="20"/>
              </w:rPr>
            </w:pPr>
            <w:r>
              <w:rPr>
                <w:sz w:val="20"/>
              </w:rPr>
              <w:t>rs = repealed and substituted</w:t>
            </w:r>
          </w:p>
        </w:tc>
      </w:tr>
      <w:tr w:rsidR="006D1A16" w:rsidTr="006D1A16">
        <w:tc>
          <w:tcPr>
            <w:tcW w:w="2679" w:type="pct"/>
            <w:hideMark/>
          </w:tcPr>
          <w:p w:rsidR="006D1A16" w:rsidRDefault="006D1A16">
            <w:pPr>
              <w:spacing w:before="60"/>
              <w:ind w:left="34"/>
              <w:rPr>
                <w:sz w:val="20"/>
              </w:rPr>
            </w:pPr>
            <w:r>
              <w:rPr>
                <w:sz w:val="20"/>
              </w:rPr>
              <w:t xml:space="preserve">LA = </w:t>
            </w:r>
            <w:r>
              <w:rPr>
                <w:i/>
                <w:sz w:val="20"/>
              </w:rPr>
              <w:t>Legislation Act 2003</w:t>
            </w:r>
          </w:p>
        </w:tc>
        <w:tc>
          <w:tcPr>
            <w:tcW w:w="2321" w:type="pct"/>
            <w:hideMark/>
          </w:tcPr>
          <w:p w:rsidR="006D1A16" w:rsidRDefault="006D1A16">
            <w:pPr>
              <w:spacing w:before="60"/>
              <w:ind w:left="34"/>
              <w:rPr>
                <w:sz w:val="20"/>
              </w:rPr>
            </w:pPr>
            <w:r>
              <w:rPr>
                <w:sz w:val="20"/>
              </w:rPr>
              <w:t>s = section(s)/subsection(s)</w:t>
            </w:r>
          </w:p>
        </w:tc>
      </w:tr>
      <w:tr w:rsidR="006D1A16" w:rsidTr="006D1A16">
        <w:tc>
          <w:tcPr>
            <w:tcW w:w="2679" w:type="pct"/>
            <w:hideMark/>
          </w:tcPr>
          <w:p w:rsidR="006D1A16" w:rsidRDefault="006D1A16">
            <w:pPr>
              <w:spacing w:before="60"/>
              <w:ind w:left="34"/>
              <w:rPr>
                <w:sz w:val="20"/>
              </w:rPr>
            </w:pPr>
            <w:r>
              <w:rPr>
                <w:sz w:val="20"/>
              </w:rPr>
              <w:t xml:space="preserve">LIA = </w:t>
            </w:r>
            <w:r>
              <w:rPr>
                <w:i/>
                <w:sz w:val="20"/>
              </w:rPr>
              <w:t>Legislative Instruments Act 2003</w:t>
            </w:r>
          </w:p>
        </w:tc>
        <w:tc>
          <w:tcPr>
            <w:tcW w:w="2321" w:type="pct"/>
            <w:hideMark/>
          </w:tcPr>
          <w:p w:rsidR="006D1A16" w:rsidRDefault="006D1A16">
            <w:pPr>
              <w:spacing w:before="60"/>
              <w:ind w:left="34"/>
              <w:rPr>
                <w:sz w:val="20"/>
              </w:rPr>
            </w:pPr>
            <w:r>
              <w:rPr>
                <w:sz w:val="20"/>
              </w:rPr>
              <w:t>Sch = Schedule(s)</w:t>
            </w:r>
          </w:p>
        </w:tc>
      </w:tr>
      <w:tr w:rsidR="006D1A16" w:rsidTr="006D1A16">
        <w:tc>
          <w:tcPr>
            <w:tcW w:w="2679" w:type="pct"/>
            <w:hideMark/>
          </w:tcPr>
          <w:p w:rsidR="006D1A16" w:rsidRDefault="006D1A16">
            <w:pPr>
              <w:spacing w:before="60"/>
              <w:ind w:left="34"/>
              <w:rPr>
                <w:sz w:val="20"/>
              </w:rPr>
            </w:pPr>
            <w:r>
              <w:rPr>
                <w:sz w:val="20"/>
              </w:rPr>
              <w:t>(md) = misdescribed amendment can be given</w:t>
            </w:r>
          </w:p>
        </w:tc>
        <w:tc>
          <w:tcPr>
            <w:tcW w:w="2321" w:type="pct"/>
            <w:hideMark/>
          </w:tcPr>
          <w:p w:rsidR="006D1A16" w:rsidRDefault="006D1A16">
            <w:pPr>
              <w:spacing w:before="60"/>
              <w:ind w:left="34"/>
              <w:rPr>
                <w:sz w:val="20"/>
              </w:rPr>
            </w:pPr>
            <w:r>
              <w:rPr>
                <w:sz w:val="20"/>
              </w:rPr>
              <w:t>Sdiv = Subdivision(s)</w:t>
            </w:r>
          </w:p>
        </w:tc>
      </w:tr>
      <w:tr w:rsidR="006D1A16" w:rsidTr="006D1A16">
        <w:tc>
          <w:tcPr>
            <w:tcW w:w="2679" w:type="pct"/>
            <w:hideMark/>
          </w:tcPr>
          <w:p w:rsidR="006D1A16" w:rsidRDefault="006D1A16">
            <w:pPr>
              <w:ind w:left="34" w:firstLine="249"/>
              <w:rPr>
                <w:sz w:val="20"/>
              </w:rPr>
            </w:pPr>
            <w:r>
              <w:rPr>
                <w:sz w:val="20"/>
              </w:rPr>
              <w:t>effect</w:t>
            </w:r>
          </w:p>
        </w:tc>
        <w:tc>
          <w:tcPr>
            <w:tcW w:w="2321" w:type="pct"/>
            <w:hideMark/>
          </w:tcPr>
          <w:p w:rsidR="006D1A16" w:rsidRDefault="006D1A16">
            <w:pPr>
              <w:spacing w:before="60"/>
              <w:ind w:left="34"/>
              <w:rPr>
                <w:sz w:val="20"/>
              </w:rPr>
            </w:pPr>
            <w:r>
              <w:rPr>
                <w:sz w:val="20"/>
              </w:rPr>
              <w:t>SLI = Select Legislative Instrument</w:t>
            </w:r>
          </w:p>
        </w:tc>
      </w:tr>
      <w:tr w:rsidR="006D1A16" w:rsidTr="006D1A16">
        <w:tc>
          <w:tcPr>
            <w:tcW w:w="2679" w:type="pct"/>
            <w:hideMark/>
          </w:tcPr>
          <w:p w:rsidR="006D1A16" w:rsidRDefault="006D1A16">
            <w:pPr>
              <w:spacing w:before="60"/>
              <w:ind w:left="34"/>
              <w:rPr>
                <w:sz w:val="20"/>
              </w:rPr>
            </w:pPr>
            <w:r>
              <w:rPr>
                <w:sz w:val="20"/>
              </w:rPr>
              <w:t>(md not incorp) = misdescribed amendment</w:t>
            </w:r>
          </w:p>
        </w:tc>
        <w:tc>
          <w:tcPr>
            <w:tcW w:w="2321" w:type="pct"/>
            <w:hideMark/>
          </w:tcPr>
          <w:p w:rsidR="006D1A16" w:rsidRDefault="006D1A16">
            <w:pPr>
              <w:spacing w:before="60"/>
              <w:ind w:left="34"/>
              <w:rPr>
                <w:sz w:val="20"/>
              </w:rPr>
            </w:pPr>
            <w:r>
              <w:rPr>
                <w:sz w:val="20"/>
              </w:rPr>
              <w:t>SR = Statutory Rules</w:t>
            </w:r>
          </w:p>
        </w:tc>
      </w:tr>
      <w:tr w:rsidR="006D1A16" w:rsidTr="006D1A16">
        <w:tc>
          <w:tcPr>
            <w:tcW w:w="2679" w:type="pct"/>
            <w:hideMark/>
          </w:tcPr>
          <w:p w:rsidR="006D1A16" w:rsidRDefault="006D1A16">
            <w:pPr>
              <w:ind w:left="34" w:firstLine="249"/>
              <w:rPr>
                <w:sz w:val="20"/>
              </w:rPr>
            </w:pPr>
            <w:r>
              <w:rPr>
                <w:sz w:val="20"/>
              </w:rPr>
              <w:t>cannot be given effect</w:t>
            </w:r>
          </w:p>
        </w:tc>
        <w:tc>
          <w:tcPr>
            <w:tcW w:w="2321" w:type="pct"/>
            <w:hideMark/>
          </w:tcPr>
          <w:p w:rsidR="006D1A16" w:rsidRDefault="006D1A16">
            <w:pPr>
              <w:spacing w:before="60"/>
              <w:ind w:left="34"/>
              <w:rPr>
                <w:sz w:val="20"/>
              </w:rPr>
            </w:pPr>
            <w:r>
              <w:rPr>
                <w:sz w:val="20"/>
              </w:rPr>
              <w:t>Sub</w:t>
            </w:r>
            <w:r w:rsidR="009A6D8A">
              <w:rPr>
                <w:sz w:val="20"/>
              </w:rPr>
              <w:noBreakHyphen/>
            </w:r>
            <w:r>
              <w:rPr>
                <w:sz w:val="20"/>
              </w:rPr>
              <w:t>Ch = Sub</w:t>
            </w:r>
            <w:r w:rsidR="009A6D8A">
              <w:rPr>
                <w:sz w:val="20"/>
              </w:rPr>
              <w:noBreakHyphen/>
            </w:r>
            <w:r>
              <w:rPr>
                <w:sz w:val="20"/>
              </w:rPr>
              <w:t>Chapter(s)</w:t>
            </w:r>
          </w:p>
        </w:tc>
      </w:tr>
      <w:tr w:rsidR="006D1A16" w:rsidTr="006D1A16">
        <w:tc>
          <w:tcPr>
            <w:tcW w:w="2679" w:type="pct"/>
            <w:hideMark/>
          </w:tcPr>
          <w:p w:rsidR="006D1A16" w:rsidRDefault="006D1A16">
            <w:pPr>
              <w:spacing w:before="60"/>
              <w:ind w:left="34"/>
              <w:rPr>
                <w:sz w:val="20"/>
              </w:rPr>
            </w:pPr>
            <w:r>
              <w:rPr>
                <w:sz w:val="20"/>
              </w:rPr>
              <w:t>mod = modified/modification</w:t>
            </w:r>
          </w:p>
        </w:tc>
        <w:tc>
          <w:tcPr>
            <w:tcW w:w="2321" w:type="pct"/>
            <w:hideMark/>
          </w:tcPr>
          <w:p w:rsidR="006D1A16" w:rsidRDefault="006D1A16">
            <w:pPr>
              <w:spacing w:before="60"/>
              <w:ind w:left="34"/>
              <w:rPr>
                <w:sz w:val="20"/>
              </w:rPr>
            </w:pPr>
            <w:r>
              <w:rPr>
                <w:sz w:val="20"/>
              </w:rPr>
              <w:t>SubPt = Subpart(s)</w:t>
            </w:r>
          </w:p>
        </w:tc>
      </w:tr>
      <w:tr w:rsidR="006D1A16" w:rsidTr="006D1A16">
        <w:tc>
          <w:tcPr>
            <w:tcW w:w="2679" w:type="pct"/>
            <w:hideMark/>
          </w:tcPr>
          <w:p w:rsidR="006D1A16" w:rsidRDefault="006D1A16">
            <w:pPr>
              <w:spacing w:before="60"/>
              <w:ind w:left="34"/>
              <w:rPr>
                <w:sz w:val="20"/>
              </w:rPr>
            </w:pPr>
            <w:r>
              <w:rPr>
                <w:sz w:val="20"/>
              </w:rPr>
              <w:t>No. = Number(s)</w:t>
            </w:r>
          </w:p>
        </w:tc>
        <w:tc>
          <w:tcPr>
            <w:tcW w:w="2321" w:type="pct"/>
            <w:hideMark/>
          </w:tcPr>
          <w:p w:rsidR="006D1A16" w:rsidRDefault="006D1A16">
            <w:pPr>
              <w:spacing w:before="60"/>
              <w:ind w:left="34"/>
              <w:rPr>
                <w:sz w:val="20"/>
              </w:rPr>
            </w:pPr>
            <w:r>
              <w:rPr>
                <w:sz w:val="20"/>
                <w:u w:val="single"/>
              </w:rPr>
              <w:t>underlining</w:t>
            </w:r>
            <w:r>
              <w:rPr>
                <w:sz w:val="20"/>
              </w:rPr>
              <w:t xml:space="preserve"> = whole or part not</w:t>
            </w:r>
          </w:p>
        </w:tc>
      </w:tr>
      <w:tr w:rsidR="006D1A16" w:rsidTr="006D1A16">
        <w:trPr>
          <w:trHeight w:val="302"/>
        </w:trPr>
        <w:tc>
          <w:tcPr>
            <w:tcW w:w="2679" w:type="pct"/>
          </w:tcPr>
          <w:p w:rsidR="006D1A16" w:rsidRDefault="006D1A16">
            <w:pPr>
              <w:spacing w:before="60"/>
              <w:ind w:left="34"/>
              <w:rPr>
                <w:sz w:val="20"/>
              </w:rPr>
            </w:pPr>
          </w:p>
        </w:tc>
        <w:tc>
          <w:tcPr>
            <w:tcW w:w="2321" w:type="pct"/>
            <w:hideMark/>
          </w:tcPr>
          <w:p w:rsidR="006D1A16" w:rsidRDefault="006D1A16">
            <w:pPr>
              <w:ind w:left="34" w:firstLine="249"/>
              <w:rPr>
                <w:sz w:val="20"/>
              </w:rPr>
            </w:pPr>
            <w:r>
              <w:rPr>
                <w:sz w:val="20"/>
              </w:rPr>
              <w:t>commenced or to be commenced</w:t>
            </w:r>
          </w:p>
        </w:tc>
      </w:tr>
    </w:tbl>
    <w:p w:rsidR="009B0E28" w:rsidRPr="00890F81" w:rsidRDefault="009B0E28" w:rsidP="00AE5925">
      <w:pPr>
        <w:pStyle w:val="Tabletext"/>
      </w:pPr>
    </w:p>
    <w:p w:rsidR="009B0E28" w:rsidRPr="00890F81" w:rsidRDefault="009B0E28" w:rsidP="00093C32">
      <w:pPr>
        <w:pStyle w:val="ENotesHeading2"/>
        <w:pageBreakBefore/>
        <w:outlineLvl w:val="9"/>
      </w:pPr>
      <w:bookmarkStart w:id="20" w:name="_Toc110502756"/>
      <w:r w:rsidRPr="00890F81">
        <w:lastRenderedPageBreak/>
        <w:t>Endnote 3—Legislation history</w:t>
      </w:r>
      <w:bookmarkEnd w:id="20"/>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49"/>
        <w:gridCol w:w="2160"/>
        <w:gridCol w:w="2160"/>
        <w:gridCol w:w="2160"/>
      </w:tblGrid>
      <w:tr w:rsidR="009B0E28" w:rsidRPr="00890F81" w:rsidTr="00093C32">
        <w:trPr>
          <w:cantSplit/>
          <w:trHeight w:val="536"/>
          <w:tblHeader/>
        </w:trPr>
        <w:tc>
          <w:tcPr>
            <w:tcW w:w="1202"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Number and year</w:t>
            </w:r>
          </w:p>
        </w:tc>
        <w:tc>
          <w:tcPr>
            <w:tcW w:w="1266" w:type="pct"/>
            <w:tcBorders>
              <w:top w:val="single" w:sz="12" w:space="0" w:color="auto"/>
              <w:bottom w:val="single" w:sz="12" w:space="0" w:color="auto"/>
            </w:tcBorders>
            <w:shd w:val="clear" w:color="auto" w:fill="auto"/>
          </w:tcPr>
          <w:p w:rsidR="009B0E28" w:rsidRPr="00890F81" w:rsidRDefault="004D36B5" w:rsidP="00EE5CC2">
            <w:pPr>
              <w:pStyle w:val="ENoteTableHeading"/>
            </w:pPr>
            <w:r w:rsidRPr="00890F81">
              <w:t xml:space="preserve">FRLI registration </w:t>
            </w:r>
            <w:r w:rsidR="00EE5CC2" w:rsidRPr="00890F81">
              <w:t>or gazettal</w:t>
            </w:r>
          </w:p>
        </w:tc>
        <w:tc>
          <w:tcPr>
            <w:tcW w:w="1266"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Commencement</w:t>
            </w:r>
          </w:p>
        </w:tc>
        <w:tc>
          <w:tcPr>
            <w:tcW w:w="1266"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Application, saving and transitional provisions</w:t>
            </w:r>
          </w:p>
        </w:tc>
      </w:tr>
      <w:tr w:rsidR="009B0E28" w:rsidRPr="00890F81" w:rsidTr="00093C32">
        <w:trPr>
          <w:cantSplit/>
          <w:trHeight w:val="298"/>
        </w:trPr>
        <w:tc>
          <w:tcPr>
            <w:tcW w:w="1202" w:type="pct"/>
            <w:tcBorders>
              <w:top w:val="single" w:sz="12" w:space="0" w:color="auto"/>
              <w:bottom w:val="single" w:sz="4" w:space="0" w:color="auto"/>
            </w:tcBorders>
            <w:shd w:val="clear" w:color="auto" w:fill="auto"/>
          </w:tcPr>
          <w:p w:rsidR="009B0E28" w:rsidRPr="00890F81" w:rsidRDefault="009B0E28" w:rsidP="00AE5925">
            <w:pPr>
              <w:pStyle w:val="ENoteTableText"/>
            </w:pPr>
            <w:r w:rsidRPr="00890F81">
              <w:t>2003 No.</w:t>
            </w:r>
            <w:r w:rsidR="00840DF8" w:rsidRPr="00890F81">
              <w:t> </w:t>
            </w:r>
            <w:r w:rsidRPr="00890F81">
              <w:t>160</w:t>
            </w:r>
          </w:p>
        </w:tc>
        <w:tc>
          <w:tcPr>
            <w:tcW w:w="1266" w:type="pct"/>
            <w:tcBorders>
              <w:top w:val="single" w:sz="12" w:space="0" w:color="auto"/>
              <w:bottom w:val="single" w:sz="4" w:space="0" w:color="auto"/>
            </w:tcBorders>
            <w:shd w:val="clear" w:color="auto" w:fill="auto"/>
          </w:tcPr>
          <w:p w:rsidR="009B0E28" w:rsidRPr="00890F81" w:rsidRDefault="009B0E28" w:rsidP="00AE5925">
            <w:pPr>
              <w:pStyle w:val="ENoteTableText"/>
            </w:pPr>
            <w:r w:rsidRPr="00890F81">
              <w:t>26</w:t>
            </w:r>
            <w:r w:rsidR="00840DF8" w:rsidRPr="00890F81">
              <w:t> </w:t>
            </w:r>
            <w:r w:rsidRPr="00890F81">
              <w:t>June 2003</w:t>
            </w:r>
          </w:p>
        </w:tc>
        <w:tc>
          <w:tcPr>
            <w:tcW w:w="1266" w:type="pct"/>
            <w:tcBorders>
              <w:top w:val="single" w:sz="12" w:space="0" w:color="auto"/>
              <w:bottom w:val="single" w:sz="4" w:space="0" w:color="auto"/>
            </w:tcBorders>
            <w:shd w:val="clear" w:color="auto" w:fill="auto"/>
          </w:tcPr>
          <w:p w:rsidR="009B0E28" w:rsidRPr="00890F81" w:rsidRDefault="009A6D8A" w:rsidP="00AE5925">
            <w:pPr>
              <w:pStyle w:val="ENoteTableText"/>
            </w:pPr>
            <w:r>
              <w:t>1 July</w:t>
            </w:r>
            <w:r w:rsidR="009B0E28" w:rsidRPr="00890F81">
              <w:t xml:space="preserve"> 2003</w:t>
            </w:r>
          </w:p>
        </w:tc>
        <w:tc>
          <w:tcPr>
            <w:tcW w:w="1266" w:type="pct"/>
            <w:tcBorders>
              <w:top w:val="single" w:sz="12" w:space="0" w:color="auto"/>
              <w:bottom w:val="single" w:sz="4" w:space="0" w:color="auto"/>
            </w:tcBorders>
            <w:shd w:val="clear" w:color="auto" w:fill="auto"/>
          </w:tcPr>
          <w:p w:rsidR="009B0E28" w:rsidRPr="00890F81" w:rsidRDefault="009B0E28" w:rsidP="00AE5925">
            <w:pPr>
              <w:pStyle w:val="ENoteTableText"/>
            </w:pPr>
          </w:p>
        </w:tc>
      </w:tr>
      <w:tr w:rsidR="009B0E28" w:rsidRPr="00890F81" w:rsidTr="00093C32">
        <w:trPr>
          <w:cantSplit/>
          <w:trHeight w:val="298"/>
        </w:trPr>
        <w:tc>
          <w:tcPr>
            <w:tcW w:w="1202" w:type="pct"/>
            <w:shd w:val="clear" w:color="auto" w:fill="auto"/>
          </w:tcPr>
          <w:p w:rsidR="009B0E28" w:rsidRPr="00890F81" w:rsidRDefault="009B0E28" w:rsidP="00AE5925">
            <w:pPr>
              <w:pStyle w:val="ENoteTableText"/>
            </w:pPr>
            <w:r w:rsidRPr="00890F81">
              <w:t>2003 No.</w:t>
            </w:r>
            <w:r w:rsidR="00840DF8" w:rsidRPr="00890F81">
              <w:t> </w:t>
            </w:r>
            <w:r w:rsidRPr="00890F81">
              <w:t>370</w:t>
            </w:r>
          </w:p>
        </w:tc>
        <w:tc>
          <w:tcPr>
            <w:tcW w:w="1266" w:type="pct"/>
            <w:shd w:val="clear" w:color="auto" w:fill="auto"/>
          </w:tcPr>
          <w:p w:rsidR="009B0E28" w:rsidRPr="00890F81" w:rsidRDefault="009B0E28" w:rsidP="00AE5925">
            <w:pPr>
              <w:pStyle w:val="ENoteTableText"/>
            </w:pPr>
            <w:r w:rsidRPr="00890F81">
              <w:t>23 Dec 2003</w:t>
            </w:r>
          </w:p>
        </w:tc>
        <w:tc>
          <w:tcPr>
            <w:tcW w:w="1266" w:type="pct"/>
            <w:shd w:val="clear" w:color="auto" w:fill="auto"/>
          </w:tcPr>
          <w:p w:rsidR="009B0E28" w:rsidRPr="00890F81" w:rsidRDefault="009B0E28" w:rsidP="00AE5925">
            <w:pPr>
              <w:pStyle w:val="ENoteTableText"/>
            </w:pPr>
            <w:r w:rsidRPr="00890F81">
              <w:t>1 Jan 2004</w:t>
            </w:r>
          </w:p>
        </w:tc>
        <w:tc>
          <w:tcPr>
            <w:tcW w:w="1266" w:type="pct"/>
            <w:shd w:val="clear" w:color="auto" w:fill="auto"/>
          </w:tcPr>
          <w:p w:rsidR="009B0E28" w:rsidRPr="00890F81" w:rsidRDefault="009B0E28" w:rsidP="00AE5925">
            <w:pPr>
              <w:pStyle w:val="ENoteTableText"/>
            </w:pPr>
            <w:r w:rsidRPr="00890F81">
              <w:t>—</w:t>
            </w:r>
          </w:p>
        </w:tc>
      </w:tr>
      <w:tr w:rsidR="009B0E28" w:rsidRPr="00890F81" w:rsidTr="00093C32">
        <w:trPr>
          <w:cantSplit/>
          <w:trHeight w:val="298"/>
        </w:trPr>
        <w:tc>
          <w:tcPr>
            <w:tcW w:w="1202" w:type="pct"/>
            <w:shd w:val="clear" w:color="auto" w:fill="auto"/>
          </w:tcPr>
          <w:p w:rsidR="009B0E28" w:rsidRPr="00890F81" w:rsidRDefault="009B0E28" w:rsidP="00AE5925">
            <w:pPr>
              <w:pStyle w:val="ENoteTableText"/>
            </w:pPr>
            <w:r w:rsidRPr="00890F81">
              <w:t>2004 No.</w:t>
            </w:r>
            <w:r w:rsidR="00840DF8" w:rsidRPr="00890F81">
              <w:t> </w:t>
            </w:r>
            <w:r w:rsidRPr="00890F81">
              <w:t>196</w:t>
            </w:r>
          </w:p>
        </w:tc>
        <w:tc>
          <w:tcPr>
            <w:tcW w:w="1266" w:type="pct"/>
            <w:shd w:val="clear" w:color="auto" w:fill="auto"/>
          </w:tcPr>
          <w:p w:rsidR="009B0E28" w:rsidRPr="00890F81" w:rsidRDefault="009A6D8A" w:rsidP="00AE5925">
            <w:pPr>
              <w:pStyle w:val="ENoteTableText"/>
            </w:pPr>
            <w:r>
              <w:t>1 July</w:t>
            </w:r>
            <w:r w:rsidR="009B0E28" w:rsidRPr="00890F81">
              <w:t xml:space="preserve"> 2004</w:t>
            </w:r>
          </w:p>
        </w:tc>
        <w:tc>
          <w:tcPr>
            <w:tcW w:w="1266" w:type="pct"/>
            <w:shd w:val="clear" w:color="auto" w:fill="auto"/>
          </w:tcPr>
          <w:p w:rsidR="009B0E28" w:rsidRPr="00890F81" w:rsidRDefault="009A6D8A" w:rsidP="00AE5925">
            <w:pPr>
              <w:pStyle w:val="ENoteTableText"/>
            </w:pPr>
            <w:r>
              <w:t>1 July</w:t>
            </w:r>
            <w:r w:rsidR="009B0E28" w:rsidRPr="00890F81">
              <w:t xml:space="preserve"> 2004</w:t>
            </w:r>
          </w:p>
        </w:tc>
        <w:tc>
          <w:tcPr>
            <w:tcW w:w="1266" w:type="pct"/>
            <w:shd w:val="clear" w:color="auto" w:fill="auto"/>
          </w:tcPr>
          <w:p w:rsidR="009B0E28" w:rsidRPr="00890F81" w:rsidRDefault="009B0E28" w:rsidP="00AE5925">
            <w:pPr>
              <w:pStyle w:val="ENoteTableText"/>
            </w:pPr>
            <w:r w:rsidRPr="00890F81">
              <w:t>—</w:t>
            </w:r>
          </w:p>
        </w:tc>
      </w:tr>
      <w:tr w:rsidR="009B0E28" w:rsidRPr="00890F81" w:rsidTr="00093C32">
        <w:trPr>
          <w:cantSplit/>
          <w:trHeight w:val="521"/>
        </w:trPr>
        <w:tc>
          <w:tcPr>
            <w:tcW w:w="1202" w:type="pct"/>
            <w:shd w:val="clear" w:color="auto" w:fill="auto"/>
          </w:tcPr>
          <w:p w:rsidR="009B0E28" w:rsidRPr="00890F81" w:rsidRDefault="009B0E28" w:rsidP="00AE5925">
            <w:pPr>
              <w:pStyle w:val="ENoteTableText"/>
            </w:pPr>
            <w:r w:rsidRPr="00890F81">
              <w:t>2007 No.</w:t>
            </w:r>
            <w:r w:rsidR="00840DF8" w:rsidRPr="00890F81">
              <w:t> </w:t>
            </w:r>
            <w:r w:rsidRPr="00890F81">
              <w:t>200</w:t>
            </w:r>
          </w:p>
        </w:tc>
        <w:tc>
          <w:tcPr>
            <w:tcW w:w="1266" w:type="pct"/>
            <w:shd w:val="clear" w:color="auto" w:fill="auto"/>
          </w:tcPr>
          <w:p w:rsidR="009B0E28" w:rsidRPr="00890F81" w:rsidRDefault="009B0E28" w:rsidP="00AE5925">
            <w:pPr>
              <w:pStyle w:val="ENoteTableText"/>
            </w:pPr>
            <w:r w:rsidRPr="00890F81">
              <w:t>29</w:t>
            </w:r>
            <w:r w:rsidR="00840DF8" w:rsidRPr="00890F81">
              <w:t> </w:t>
            </w:r>
            <w:r w:rsidRPr="00890F81">
              <w:t>June 2007 (</w:t>
            </w:r>
            <w:r w:rsidRPr="00890F81">
              <w:rPr>
                <w:i/>
              </w:rPr>
              <w:t>see</w:t>
            </w:r>
            <w:r w:rsidRPr="00890F81">
              <w:t xml:space="preserve"> F2007L01902)</w:t>
            </w:r>
          </w:p>
        </w:tc>
        <w:tc>
          <w:tcPr>
            <w:tcW w:w="1266" w:type="pct"/>
            <w:shd w:val="clear" w:color="auto" w:fill="auto"/>
          </w:tcPr>
          <w:p w:rsidR="009B0E28" w:rsidRPr="00890F81" w:rsidRDefault="009B0E28" w:rsidP="003B3A75">
            <w:pPr>
              <w:pStyle w:val="ENoteTableText"/>
            </w:pPr>
            <w:r w:rsidRPr="00890F81">
              <w:t xml:space="preserve">1 Sept 2007 </w:t>
            </w:r>
            <w:r w:rsidR="003B3A75" w:rsidRPr="00890F81">
              <w:t>(</w:t>
            </w:r>
            <w:r w:rsidRPr="00890F81">
              <w:t>r 2)</w:t>
            </w:r>
          </w:p>
        </w:tc>
        <w:tc>
          <w:tcPr>
            <w:tcW w:w="1266" w:type="pct"/>
            <w:shd w:val="clear" w:color="auto" w:fill="auto"/>
          </w:tcPr>
          <w:p w:rsidR="009B0E28" w:rsidRPr="00890F81" w:rsidRDefault="009B0E28" w:rsidP="00AE5925">
            <w:pPr>
              <w:pStyle w:val="ENoteTableText"/>
            </w:pPr>
            <w:r w:rsidRPr="00890F81">
              <w:t>—</w:t>
            </w:r>
          </w:p>
        </w:tc>
      </w:tr>
      <w:tr w:rsidR="009B0E28" w:rsidRPr="00890F81" w:rsidTr="00093C32">
        <w:trPr>
          <w:cantSplit/>
          <w:trHeight w:val="536"/>
        </w:trPr>
        <w:tc>
          <w:tcPr>
            <w:tcW w:w="1202" w:type="pct"/>
            <w:shd w:val="clear" w:color="auto" w:fill="auto"/>
          </w:tcPr>
          <w:p w:rsidR="009B0E28" w:rsidRPr="00890F81" w:rsidRDefault="009B0E28" w:rsidP="00AE5925">
            <w:pPr>
              <w:pStyle w:val="ENoteTableText"/>
            </w:pPr>
            <w:r w:rsidRPr="00890F81">
              <w:t>2010 No.</w:t>
            </w:r>
            <w:r w:rsidR="00840DF8" w:rsidRPr="00890F81">
              <w:t> </w:t>
            </w:r>
            <w:r w:rsidRPr="00890F81">
              <w:t>58</w:t>
            </w:r>
          </w:p>
        </w:tc>
        <w:tc>
          <w:tcPr>
            <w:tcW w:w="1266" w:type="pct"/>
            <w:shd w:val="clear" w:color="auto" w:fill="auto"/>
          </w:tcPr>
          <w:p w:rsidR="009B0E28" w:rsidRPr="00890F81" w:rsidRDefault="009B0E28" w:rsidP="00AE5925">
            <w:pPr>
              <w:pStyle w:val="ENoteTableText"/>
            </w:pPr>
            <w:r w:rsidRPr="00890F81">
              <w:t>25 Mar 2010 (</w:t>
            </w:r>
            <w:r w:rsidRPr="00890F81">
              <w:rPr>
                <w:i/>
              </w:rPr>
              <w:t xml:space="preserve">see </w:t>
            </w:r>
            <w:r w:rsidRPr="00890F81">
              <w:t>F2010L00740)</w:t>
            </w:r>
          </w:p>
        </w:tc>
        <w:tc>
          <w:tcPr>
            <w:tcW w:w="1266" w:type="pct"/>
            <w:shd w:val="clear" w:color="auto" w:fill="auto"/>
          </w:tcPr>
          <w:p w:rsidR="009B0E28" w:rsidRPr="00890F81" w:rsidRDefault="009B0E28" w:rsidP="00AE5925">
            <w:pPr>
              <w:pStyle w:val="ENoteTableText"/>
            </w:pPr>
            <w:r w:rsidRPr="00890F81">
              <w:t>26 Mar 2010</w:t>
            </w:r>
          </w:p>
        </w:tc>
        <w:tc>
          <w:tcPr>
            <w:tcW w:w="1266" w:type="pct"/>
            <w:shd w:val="clear" w:color="auto" w:fill="auto"/>
          </w:tcPr>
          <w:p w:rsidR="009B0E28" w:rsidRPr="00890F81" w:rsidRDefault="009B0E28" w:rsidP="00AE5925">
            <w:pPr>
              <w:pStyle w:val="ENoteTableText"/>
            </w:pPr>
            <w:r w:rsidRPr="00890F81">
              <w:t>—</w:t>
            </w:r>
          </w:p>
        </w:tc>
      </w:tr>
      <w:tr w:rsidR="009B0E28" w:rsidRPr="00890F81" w:rsidTr="00093C32">
        <w:trPr>
          <w:cantSplit/>
          <w:trHeight w:val="536"/>
        </w:trPr>
        <w:tc>
          <w:tcPr>
            <w:tcW w:w="1202" w:type="pct"/>
            <w:shd w:val="clear" w:color="auto" w:fill="auto"/>
          </w:tcPr>
          <w:p w:rsidR="009B0E28" w:rsidRPr="00890F81" w:rsidRDefault="009B0E28" w:rsidP="00AE5925">
            <w:pPr>
              <w:pStyle w:val="ENoteTableText"/>
            </w:pPr>
            <w:r w:rsidRPr="00890F81">
              <w:t>2011 No.</w:t>
            </w:r>
            <w:r w:rsidR="00840DF8" w:rsidRPr="00890F81">
              <w:t> </w:t>
            </w:r>
            <w:r w:rsidRPr="00890F81">
              <w:t>109</w:t>
            </w:r>
          </w:p>
        </w:tc>
        <w:tc>
          <w:tcPr>
            <w:tcW w:w="1266" w:type="pct"/>
            <w:shd w:val="clear" w:color="auto" w:fill="auto"/>
          </w:tcPr>
          <w:p w:rsidR="009B0E28" w:rsidRPr="00890F81" w:rsidRDefault="009B0E28" w:rsidP="00AE5925">
            <w:pPr>
              <w:pStyle w:val="ENoteTableText"/>
            </w:pPr>
            <w:r w:rsidRPr="00890F81">
              <w:t>21</w:t>
            </w:r>
            <w:r w:rsidR="00840DF8" w:rsidRPr="00890F81">
              <w:t> </w:t>
            </w:r>
            <w:r w:rsidRPr="00890F81">
              <w:t>June 2011 (</w:t>
            </w:r>
            <w:r w:rsidRPr="00890F81">
              <w:rPr>
                <w:i/>
              </w:rPr>
              <w:t>see</w:t>
            </w:r>
            <w:r w:rsidRPr="00890F81">
              <w:t xml:space="preserve"> F2011L01089)</w:t>
            </w:r>
          </w:p>
        </w:tc>
        <w:tc>
          <w:tcPr>
            <w:tcW w:w="1266" w:type="pct"/>
            <w:shd w:val="clear" w:color="auto" w:fill="auto"/>
          </w:tcPr>
          <w:p w:rsidR="009B0E28" w:rsidRPr="00890F81" w:rsidRDefault="009A6D8A" w:rsidP="00AE5925">
            <w:pPr>
              <w:pStyle w:val="ENoteTableText"/>
            </w:pPr>
            <w:r>
              <w:t>1 July</w:t>
            </w:r>
            <w:r w:rsidR="009B0E28" w:rsidRPr="00890F81">
              <w:t xml:space="preserve"> 2011</w:t>
            </w:r>
          </w:p>
        </w:tc>
        <w:tc>
          <w:tcPr>
            <w:tcW w:w="1266" w:type="pct"/>
            <w:shd w:val="clear" w:color="auto" w:fill="auto"/>
          </w:tcPr>
          <w:p w:rsidR="009B0E28" w:rsidRPr="00890F81" w:rsidRDefault="009B0E28" w:rsidP="00AE5925">
            <w:pPr>
              <w:pStyle w:val="ENoteTableText"/>
            </w:pPr>
            <w:r w:rsidRPr="00890F81">
              <w:t>—</w:t>
            </w:r>
          </w:p>
        </w:tc>
      </w:tr>
      <w:tr w:rsidR="009B0E28" w:rsidRPr="00890F81" w:rsidTr="00093C32">
        <w:trPr>
          <w:cantSplit/>
          <w:trHeight w:val="521"/>
        </w:trPr>
        <w:tc>
          <w:tcPr>
            <w:tcW w:w="1202" w:type="pct"/>
            <w:tcBorders>
              <w:bottom w:val="single" w:sz="12" w:space="0" w:color="auto"/>
            </w:tcBorders>
            <w:shd w:val="clear" w:color="auto" w:fill="auto"/>
          </w:tcPr>
          <w:p w:rsidR="009B0E28" w:rsidRPr="00890F81" w:rsidRDefault="009B0E28" w:rsidP="00AE5925">
            <w:pPr>
              <w:pStyle w:val="ENoteTableText"/>
            </w:pPr>
            <w:r w:rsidRPr="00890F81">
              <w:t>125, 2013</w:t>
            </w:r>
          </w:p>
        </w:tc>
        <w:tc>
          <w:tcPr>
            <w:tcW w:w="1266" w:type="pct"/>
            <w:tcBorders>
              <w:bottom w:val="single" w:sz="12" w:space="0" w:color="auto"/>
            </w:tcBorders>
            <w:shd w:val="clear" w:color="auto" w:fill="auto"/>
          </w:tcPr>
          <w:p w:rsidR="009B0E28" w:rsidRPr="00890F81" w:rsidRDefault="009B0E28" w:rsidP="00AE5925">
            <w:pPr>
              <w:pStyle w:val="ENoteTableText"/>
            </w:pPr>
            <w:r w:rsidRPr="00890F81">
              <w:t>14</w:t>
            </w:r>
            <w:r w:rsidR="00840DF8" w:rsidRPr="00890F81">
              <w:t> </w:t>
            </w:r>
            <w:r w:rsidRPr="00890F81">
              <w:t>June 2013 (</w:t>
            </w:r>
            <w:r w:rsidRPr="00890F81">
              <w:rPr>
                <w:i/>
              </w:rPr>
              <w:t>see</w:t>
            </w:r>
            <w:r w:rsidRPr="00890F81">
              <w:t xml:space="preserve"> F2013L00993)</w:t>
            </w:r>
          </w:p>
        </w:tc>
        <w:tc>
          <w:tcPr>
            <w:tcW w:w="1266" w:type="pct"/>
            <w:tcBorders>
              <w:bottom w:val="single" w:sz="12" w:space="0" w:color="auto"/>
            </w:tcBorders>
            <w:shd w:val="clear" w:color="auto" w:fill="auto"/>
          </w:tcPr>
          <w:p w:rsidR="009B0E28" w:rsidRPr="00890F81" w:rsidRDefault="009B0E28" w:rsidP="00AE5925">
            <w:pPr>
              <w:pStyle w:val="ENoteTableText"/>
            </w:pPr>
            <w:r w:rsidRPr="00890F81">
              <w:t>Sch 1 (item</w:t>
            </w:r>
            <w:r w:rsidR="00840DF8" w:rsidRPr="00890F81">
              <w:t> </w:t>
            </w:r>
            <w:r w:rsidRPr="00890F81">
              <w:t xml:space="preserve">2): </w:t>
            </w:r>
            <w:r w:rsidR="009A6D8A">
              <w:t>1 July</w:t>
            </w:r>
            <w:r w:rsidRPr="00890F81">
              <w:t xml:space="preserve"> 2013</w:t>
            </w:r>
          </w:p>
        </w:tc>
        <w:tc>
          <w:tcPr>
            <w:tcW w:w="1266" w:type="pct"/>
            <w:tcBorders>
              <w:bottom w:val="single" w:sz="12" w:space="0" w:color="auto"/>
            </w:tcBorders>
            <w:shd w:val="clear" w:color="auto" w:fill="auto"/>
          </w:tcPr>
          <w:p w:rsidR="009B0E28" w:rsidRPr="00890F81" w:rsidRDefault="009B0E28" w:rsidP="00AE5925">
            <w:pPr>
              <w:pStyle w:val="ENoteTableText"/>
            </w:pPr>
            <w:r w:rsidRPr="00890F81">
              <w:t>—</w:t>
            </w:r>
          </w:p>
        </w:tc>
      </w:tr>
    </w:tbl>
    <w:p w:rsidR="009B0E28" w:rsidRPr="00890F81" w:rsidRDefault="009B0E28" w:rsidP="00AE592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02"/>
        <w:gridCol w:w="2059"/>
        <w:gridCol w:w="2061"/>
        <w:gridCol w:w="2207"/>
      </w:tblGrid>
      <w:tr w:rsidR="009B0E28" w:rsidRPr="00890F81" w:rsidTr="00093C32">
        <w:trPr>
          <w:cantSplit/>
          <w:tblHeader/>
        </w:trPr>
        <w:tc>
          <w:tcPr>
            <w:tcW w:w="1291"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Name</w:t>
            </w:r>
          </w:p>
        </w:tc>
        <w:tc>
          <w:tcPr>
            <w:tcW w:w="1207"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Registration</w:t>
            </w:r>
          </w:p>
        </w:tc>
        <w:tc>
          <w:tcPr>
            <w:tcW w:w="1208"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Commencement</w:t>
            </w:r>
          </w:p>
        </w:tc>
        <w:tc>
          <w:tcPr>
            <w:tcW w:w="1294" w:type="pct"/>
            <w:tcBorders>
              <w:top w:val="single" w:sz="12" w:space="0" w:color="auto"/>
              <w:bottom w:val="single" w:sz="12" w:space="0" w:color="auto"/>
            </w:tcBorders>
            <w:shd w:val="clear" w:color="auto" w:fill="auto"/>
          </w:tcPr>
          <w:p w:rsidR="009B0E28" w:rsidRPr="00890F81" w:rsidRDefault="009B0E28" w:rsidP="00AE5925">
            <w:pPr>
              <w:pStyle w:val="ENoteTableHeading"/>
            </w:pPr>
            <w:r w:rsidRPr="00890F81">
              <w:t>Application, saving and transitional provisions</w:t>
            </w:r>
          </w:p>
        </w:tc>
      </w:tr>
      <w:tr w:rsidR="009B0E28" w:rsidRPr="00890F81" w:rsidTr="001C4F0D">
        <w:trPr>
          <w:cantSplit/>
        </w:trPr>
        <w:tc>
          <w:tcPr>
            <w:tcW w:w="1291" w:type="pct"/>
            <w:shd w:val="clear" w:color="auto" w:fill="auto"/>
          </w:tcPr>
          <w:p w:rsidR="009B0E28" w:rsidRPr="00890F81" w:rsidRDefault="00911B8A" w:rsidP="00AE5925">
            <w:pPr>
              <w:pStyle w:val="ENoteTableText"/>
            </w:pPr>
            <w:r w:rsidRPr="00890F81">
              <w:t xml:space="preserve">ASIC Supervisory Cost Recovery Levy Amendment (Enhancements) </w:t>
            </w:r>
            <w:r w:rsidR="009A6D8A">
              <w:t>Regulations 2</w:t>
            </w:r>
            <w:r w:rsidRPr="00890F81">
              <w:t>018</w:t>
            </w:r>
          </w:p>
        </w:tc>
        <w:tc>
          <w:tcPr>
            <w:tcW w:w="1207" w:type="pct"/>
            <w:shd w:val="clear" w:color="auto" w:fill="auto"/>
          </w:tcPr>
          <w:p w:rsidR="009B0E28" w:rsidRPr="00890F81" w:rsidRDefault="00911B8A" w:rsidP="00AE5925">
            <w:pPr>
              <w:pStyle w:val="ENoteTableText"/>
            </w:pPr>
            <w:r w:rsidRPr="00890F81">
              <w:t>29</w:t>
            </w:r>
            <w:r w:rsidR="00840DF8" w:rsidRPr="00890F81">
              <w:t> </w:t>
            </w:r>
            <w:r w:rsidRPr="00890F81">
              <w:t>June 2018 (F2018L00963)</w:t>
            </w:r>
          </w:p>
        </w:tc>
        <w:tc>
          <w:tcPr>
            <w:tcW w:w="1208" w:type="pct"/>
            <w:shd w:val="clear" w:color="auto" w:fill="auto"/>
          </w:tcPr>
          <w:p w:rsidR="009B0E28" w:rsidRPr="00890F81" w:rsidRDefault="00911B8A" w:rsidP="00AE5925">
            <w:pPr>
              <w:pStyle w:val="ENoteTableText"/>
            </w:pPr>
            <w:r w:rsidRPr="00890F81">
              <w:t xml:space="preserve">Sch 15: </w:t>
            </w:r>
            <w:r w:rsidR="009A6D8A">
              <w:t>1 July</w:t>
            </w:r>
            <w:r w:rsidRPr="00890F81">
              <w:t xml:space="preserve"> 2018 (s 2(1) </w:t>
            </w:r>
            <w:r w:rsidR="009A6D8A">
              <w:t>item 1</w:t>
            </w:r>
            <w:r w:rsidRPr="00890F81">
              <w:t>1)</w:t>
            </w:r>
          </w:p>
        </w:tc>
        <w:tc>
          <w:tcPr>
            <w:tcW w:w="1294" w:type="pct"/>
            <w:shd w:val="clear" w:color="auto" w:fill="auto"/>
          </w:tcPr>
          <w:p w:rsidR="009B0E28" w:rsidRPr="00890F81" w:rsidRDefault="00911B8A" w:rsidP="00AE5925">
            <w:pPr>
              <w:pStyle w:val="ENoteTableText"/>
            </w:pPr>
            <w:r w:rsidRPr="00890F81">
              <w:t>—</w:t>
            </w:r>
          </w:p>
        </w:tc>
      </w:tr>
      <w:tr w:rsidR="004F60B7" w:rsidRPr="00890F81" w:rsidTr="008B7998">
        <w:trPr>
          <w:cantSplit/>
        </w:trPr>
        <w:tc>
          <w:tcPr>
            <w:tcW w:w="1291" w:type="pct"/>
            <w:shd w:val="clear" w:color="auto" w:fill="auto"/>
          </w:tcPr>
          <w:p w:rsidR="004F60B7" w:rsidRPr="00890F81" w:rsidRDefault="004F60B7" w:rsidP="00AE5925">
            <w:pPr>
              <w:pStyle w:val="ENoteTableText"/>
            </w:pPr>
            <w:r w:rsidRPr="00890F81">
              <w:t xml:space="preserve">Corporations Amendment (Asia Region Funds Passport) </w:t>
            </w:r>
            <w:r w:rsidR="009A6D8A">
              <w:t>Regulations 2</w:t>
            </w:r>
            <w:r w:rsidRPr="00890F81">
              <w:t>018</w:t>
            </w:r>
          </w:p>
        </w:tc>
        <w:tc>
          <w:tcPr>
            <w:tcW w:w="1207" w:type="pct"/>
            <w:shd w:val="clear" w:color="auto" w:fill="auto"/>
          </w:tcPr>
          <w:p w:rsidR="004F60B7" w:rsidRPr="00890F81" w:rsidRDefault="004F60B7" w:rsidP="00AE5925">
            <w:pPr>
              <w:pStyle w:val="ENoteTableText"/>
            </w:pPr>
            <w:r w:rsidRPr="00890F81">
              <w:t>20 Aug 2018 (F2018L01144)</w:t>
            </w:r>
          </w:p>
        </w:tc>
        <w:tc>
          <w:tcPr>
            <w:tcW w:w="1208" w:type="pct"/>
            <w:shd w:val="clear" w:color="auto" w:fill="auto"/>
          </w:tcPr>
          <w:p w:rsidR="004F60B7" w:rsidRPr="00890F81" w:rsidRDefault="004F60B7" w:rsidP="001C4F0D">
            <w:pPr>
              <w:pStyle w:val="ENoteTableText"/>
            </w:pPr>
            <w:r w:rsidRPr="00890F81">
              <w:t>Sch 2 (items</w:t>
            </w:r>
            <w:r w:rsidR="00840DF8" w:rsidRPr="00890F81">
              <w:t> </w:t>
            </w:r>
            <w:r w:rsidRPr="00890F81">
              <w:t>27–38): 18</w:t>
            </w:r>
            <w:r w:rsidR="001C4F0D" w:rsidRPr="00890F81">
              <w:t> </w:t>
            </w:r>
            <w:r w:rsidRPr="00890F81">
              <w:t>Sept 2018 (s 2(1) item</w:t>
            </w:r>
            <w:r w:rsidR="00840DF8" w:rsidRPr="00890F81">
              <w:t> </w:t>
            </w:r>
            <w:r w:rsidRPr="00890F81">
              <w:t>2)</w:t>
            </w:r>
          </w:p>
        </w:tc>
        <w:tc>
          <w:tcPr>
            <w:tcW w:w="1294" w:type="pct"/>
            <w:shd w:val="clear" w:color="auto" w:fill="auto"/>
          </w:tcPr>
          <w:p w:rsidR="004F60B7" w:rsidRPr="00890F81" w:rsidRDefault="004F60B7" w:rsidP="00AE5925">
            <w:pPr>
              <w:pStyle w:val="ENoteTableText"/>
            </w:pPr>
            <w:r w:rsidRPr="00890F81">
              <w:t>—</w:t>
            </w:r>
          </w:p>
        </w:tc>
      </w:tr>
      <w:tr w:rsidR="00FD3101" w:rsidRPr="00890F81" w:rsidTr="00093C32">
        <w:trPr>
          <w:cantSplit/>
        </w:trPr>
        <w:tc>
          <w:tcPr>
            <w:tcW w:w="1291" w:type="pct"/>
            <w:tcBorders>
              <w:bottom w:val="single" w:sz="12" w:space="0" w:color="auto"/>
            </w:tcBorders>
            <w:shd w:val="clear" w:color="auto" w:fill="auto"/>
          </w:tcPr>
          <w:p w:rsidR="00FD3101" w:rsidRPr="00890F81" w:rsidRDefault="00FD3101" w:rsidP="00AE5925">
            <w:pPr>
              <w:pStyle w:val="ENoteTableText"/>
            </w:pPr>
            <w:r w:rsidRPr="00FD3101">
              <w:t xml:space="preserve">Corporations (Review Fees) Amendment (Corporate Collective Investment Vehicle Framework) </w:t>
            </w:r>
            <w:r w:rsidR="009A6D8A">
              <w:t>Regulations 2</w:t>
            </w:r>
            <w:r w:rsidRPr="00FD3101">
              <w:t>022</w:t>
            </w:r>
          </w:p>
        </w:tc>
        <w:tc>
          <w:tcPr>
            <w:tcW w:w="1207" w:type="pct"/>
            <w:tcBorders>
              <w:bottom w:val="single" w:sz="12" w:space="0" w:color="auto"/>
            </w:tcBorders>
            <w:shd w:val="clear" w:color="auto" w:fill="auto"/>
          </w:tcPr>
          <w:p w:rsidR="00FD3101" w:rsidRPr="00890F81" w:rsidRDefault="00FD3101" w:rsidP="00AE5925">
            <w:pPr>
              <w:pStyle w:val="ENoteTableText"/>
            </w:pPr>
            <w:r>
              <w:t>31 Mar 2022 (</w:t>
            </w:r>
            <w:r w:rsidRPr="00FD3101">
              <w:t>F2022L00466</w:t>
            </w:r>
            <w:r>
              <w:t>)</w:t>
            </w:r>
          </w:p>
        </w:tc>
        <w:tc>
          <w:tcPr>
            <w:tcW w:w="1208" w:type="pct"/>
            <w:tcBorders>
              <w:bottom w:val="single" w:sz="12" w:space="0" w:color="auto"/>
            </w:tcBorders>
            <w:shd w:val="clear" w:color="auto" w:fill="auto"/>
          </w:tcPr>
          <w:p w:rsidR="00FD3101" w:rsidRPr="00890F81" w:rsidRDefault="009A6D8A" w:rsidP="001C4F0D">
            <w:pPr>
              <w:pStyle w:val="ENoteTableText"/>
            </w:pPr>
            <w:r>
              <w:t>1 July</w:t>
            </w:r>
            <w:r w:rsidR="00FD3101">
              <w:t xml:space="preserve"> 2022 (s 2(1) </w:t>
            </w:r>
            <w:r>
              <w:t>item 1</w:t>
            </w:r>
            <w:r w:rsidR="00FD3101">
              <w:t>)</w:t>
            </w:r>
          </w:p>
        </w:tc>
        <w:tc>
          <w:tcPr>
            <w:tcW w:w="1294" w:type="pct"/>
            <w:tcBorders>
              <w:bottom w:val="single" w:sz="12" w:space="0" w:color="auto"/>
            </w:tcBorders>
            <w:shd w:val="clear" w:color="auto" w:fill="auto"/>
          </w:tcPr>
          <w:p w:rsidR="00FD3101" w:rsidRPr="00890F81" w:rsidRDefault="00FD3101" w:rsidP="00AE5925">
            <w:pPr>
              <w:pStyle w:val="ENoteTableText"/>
            </w:pPr>
            <w:r>
              <w:t>—</w:t>
            </w:r>
          </w:p>
        </w:tc>
      </w:tr>
    </w:tbl>
    <w:p w:rsidR="009B0E28" w:rsidRPr="00890F81" w:rsidRDefault="009B0E28" w:rsidP="00AE5925">
      <w:pPr>
        <w:pStyle w:val="Tabletext"/>
      </w:pPr>
    </w:p>
    <w:p w:rsidR="00476157" w:rsidRPr="00890F81" w:rsidRDefault="00476157" w:rsidP="00A26F99">
      <w:pPr>
        <w:pStyle w:val="ENotesHeading2"/>
        <w:pageBreakBefore/>
        <w:outlineLvl w:val="9"/>
      </w:pPr>
      <w:bookmarkStart w:id="21" w:name="_Toc110502757"/>
      <w:r w:rsidRPr="00890F81">
        <w:lastRenderedPageBreak/>
        <w:t>Endnote 4—Amendment history</w:t>
      </w:r>
      <w:bookmarkEnd w:id="21"/>
    </w:p>
    <w:p w:rsidR="00476157" w:rsidRPr="00890F81" w:rsidRDefault="00476157" w:rsidP="001E29E2">
      <w:pPr>
        <w:pStyle w:val="Tabletext"/>
      </w:pPr>
    </w:p>
    <w:tbl>
      <w:tblPr>
        <w:tblW w:w="5000" w:type="pct"/>
        <w:tblLook w:val="0000" w:firstRow="0" w:lastRow="0" w:firstColumn="0" w:lastColumn="0" w:noHBand="0" w:noVBand="0"/>
      </w:tblPr>
      <w:tblGrid>
        <w:gridCol w:w="2576"/>
        <w:gridCol w:w="5953"/>
      </w:tblGrid>
      <w:tr w:rsidR="00476157" w:rsidRPr="00890F81" w:rsidTr="00093C32">
        <w:trPr>
          <w:cantSplit/>
          <w:tblHeader/>
        </w:trPr>
        <w:tc>
          <w:tcPr>
            <w:tcW w:w="1510" w:type="pct"/>
            <w:tcBorders>
              <w:top w:val="single" w:sz="12" w:space="0" w:color="auto"/>
              <w:bottom w:val="single" w:sz="12" w:space="0" w:color="auto"/>
            </w:tcBorders>
            <w:shd w:val="clear" w:color="auto" w:fill="auto"/>
          </w:tcPr>
          <w:p w:rsidR="00476157" w:rsidRPr="00890F81" w:rsidRDefault="00476157" w:rsidP="001E29E2">
            <w:pPr>
              <w:pStyle w:val="ENoteTableHeading"/>
            </w:pPr>
            <w:r w:rsidRPr="00890F81">
              <w:t>Provision affected</w:t>
            </w:r>
          </w:p>
        </w:tc>
        <w:tc>
          <w:tcPr>
            <w:tcW w:w="3490" w:type="pct"/>
            <w:tcBorders>
              <w:top w:val="single" w:sz="12" w:space="0" w:color="auto"/>
              <w:bottom w:val="single" w:sz="12" w:space="0" w:color="auto"/>
            </w:tcBorders>
            <w:shd w:val="clear" w:color="auto" w:fill="auto"/>
          </w:tcPr>
          <w:p w:rsidR="00476157" w:rsidRPr="00890F81" w:rsidRDefault="00476157" w:rsidP="001E29E2">
            <w:pPr>
              <w:pStyle w:val="ENoteTableHeading"/>
            </w:pPr>
            <w:r w:rsidRPr="00890F81">
              <w:t>How affected</w:t>
            </w:r>
          </w:p>
        </w:tc>
      </w:tr>
      <w:tr w:rsidR="00AE5925" w:rsidRPr="00890F81" w:rsidTr="00093C32">
        <w:trPr>
          <w:cantSplit/>
          <w:tblHeader/>
        </w:trPr>
        <w:tc>
          <w:tcPr>
            <w:tcW w:w="1510" w:type="pct"/>
            <w:tcBorders>
              <w:top w:val="single" w:sz="12" w:space="0" w:color="auto"/>
            </w:tcBorders>
            <w:shd w:val="clear" w:color="auto" w:fill="auto"/>
          </w:tcPr>
          <w:p w:rsidR="00AE5925" w:rsidRPr="005B5F4D" w:rsidRDefault="009A6D8A" w:rsidP="00490BA7">
            <w:pPr>
              <w:pStyle w:val="ENoteTableText"/>
              <w:tabs>
                <w:tab w:val="center" w:leader="dot" w:pos="2268"/>
              </w:tabs>
              <w:rPr>
                <w:b/>
              </w:rPr>
            </w:pPr>
            <w:r>
              <w:rPr>
                <w:b/>
              </w:rPr>
              <w:t>Part 1</w:t>
            </w:r>
          </w:p>
        </w:tc>
        <w:tc>
          <w:tcPr>
            <w:tcW w:w="3490" w:type="pct"/>
            <w:tcBorders>
              <w:top w:val="single" w:sz="12" w:space="0" w:color="auto"/>
            </w:tcBorders>
            <w:shd w:val="clear" w:color="auto" w:fill="auto"/>
          </w:tcPr>
          <w:p w:rsidR="00AE5925" w:rsidRPr="00890F81" w:rsidRDefault="00AE5925" w:rsidP="00490BA7">
            <w:pPr>
              <w:pStyle w:val="ENoteTableText"/>
            </w:pPr>
          </w:p>
        </w:tc>
      </w:tr>
      <w:tr w:rsidR="00075126" w:rsidRPr="00890F81" w:rsidTr="00093C32">
        <w:trPr>
          <w:cantSplit/>
        </w:trPr>
        <w:tc>
          <w:tcPr>
            <w:tcW w:w="1510" w:type="pct"/>
            <w:shd w:val="clear" w:color="auto" w:fill="auto"/>
          </w:tcPr>
          <w:p w:rsidR="00075126" w:rsidRPr="00890F81" w:rsidRDefault="009A6D8A" w:rsidP="00075126">
            <w:pPr>
              <w:pStyle w:val="ENoteTableText"/>
              <w:tabs>
                <w:tab w:val="center" w:leader="dot" w:pos="2268"/>
              </w:tabs>
            </w:pPr>
            <w:r>
              <w:t>Part 1</w:t>
            </w:r>
            <w:r w:rsidR="00075126">
              <w:t xml:space="preserve"> heading</w:t>
            </w:r>
            <w:r w:rsidR="00075126">
              <w:tab/>
            </w:r>
          </w:p>
        </w:tc>
        <w:tc>
          <w:tcPr>
            <w:tcW w:w="3490" w:type="pct"/>
            <w:shd w:val="clear" w:color="auto" w:fill="auto"/>
          </w:tcPr>
          <w:p w:rsidR="00075126" w:rsidRPr="00890F81" w:rsidRDefault="00075126" w:rsidP="00075126">
            <w:pPr>
              <w:pStyle w:val="ENoteTableText"/>
            </w:pPr>
            <w:r>
              <w:t xml:space="preserve">ad </w:t>
            </w:r>
            <w:r w:rsidRPr="00FD3101">
              <w:t>F2022L00466</w:t>
            </w:r>
          </w:p>
        </w:tc>
      </w:tr>
      <w:tr w:rsidR="00075126" w:rsidRPr="00890F81" w:rsidTr="00093C32">
        <w:trPr>
          <w:cantSplit/>
        </w:trPr>
        <w:tc>
          <w:tcPr>
            <w:tcW w:w="1510" w:type="pct"/>
            <w:shd w:val="clear" w:color="auto" w:fill="auto"/>
          </w:tcPr>
          <w:p w:rsidR="00075126" w:rsidRPr="00890F81" w:rsidRDefault="00075126" w:rsidP="00075126">
            <w:pPr>
              <w:pStyle w:val="ENoteTableText"/>
              <w:tabs>
                <w:tab w:val="center" w:leader="dot" w:pos="2268"/>
              </w:tabs>
            </w:pPr>
            <w:r w:rsidRPr="00890F81">
              <w:t>r 2</w:t>
            </w:r>
            <w:r w:rsidRPr="00890F81">
              <w:tab/>
            </w:r>
          </w:p>
        </w:tc>
        <w:tc>
          <w:tcPr>
            <w:tcW w:w="3490" w:type="pct"/>
            <w:shd w:val="clear" w:color="auto" w:fill="auto"/>
          </w:tcPr>
          <w:p w:rsidR="00075126" w:rsidRPr="00890F81" w:rsidRDefault="00075126" w:rsidP="00075126">
            <w:pPr>
              <w:pStyle w:val="ENoteTableText"/>
            </w:pPr>
            <w:r w:rsidRPr="00890F81">
              <w:t>rep LA s 48D</w:t>
            </w:r>
          </w:p>
        </w:tc>
      </w:tr>
      <w:tr w:rsidR="00075126" w:rsidRPr="00890F81" w:rsidTr="00093C32">
        <w:trPr>
          <w:cantSplit/>
        </w:trPr>
        <w:tc>
          <w:tcPr>
            <w:tcW w:w="1510" w:type="pct"/>
            <w:shd w:val="clear" w:color="auto" w:fill="auto"/>
          </w:tcPr>
          <w:p w:rsidR="00075126" w:rsidRPr="00890F81" w:rsidRDefault="00075126" w:rsidP="00075126">
            <w:pPr>
              <w:pStyle w:val="ENoteTableText"/>
              <w:tabs>
                <w:tab w:val="center" w:leader="dot" w:pos="2268"/>
              </w:tabs>
            </w:pPr>
            <w:r>
              <w:t>r 3</w:t>
            </w:r>
            <w:r w:rsidR="00773E9F">
              <w:tab/>
            </w:r>
          </w:p>
        </w:tc>
        <w:tc>
          <w:tcPr>
            <w:tcW w:w="3490" w:type="pct"/>
            <w:shd w:val="clear" w:color="auto" w:fill="auto"/>
          </w:tcPr>
          <w:p w:rsidR="00075126" w:rsidRPr="00890F81" w:rsidRDefault="00075126" w:rsidP="00075126">
            <w:pPr>
              <w:pStyle w:val="ENoteTableText"/>
            </w:pPr>
            <w:r>
              <w:t xml:space="preserve">am </w:t>
            </w:r>
            <w:r w:rsidRPr="00FD3101">
              <w:t>F2022L00466</w:t>
            </w:r>
          </w:p>
        </w:tc>
      </w:tr>
      <w:tr w:rsidR="00075126" w:rsidRPr="00890F81" w:rsidTr="00093C32">
        <w:trPr>
          <w:cantSplit/>
        </w:trPr>
        <w:tc>
          <w:tcPr>
            <w:tcW w:w="1510" w:type="pct"/>
            <w:shd w:val="clear" w:color="auto" w:fill="auto"/>
          </w:tcPr>
          <w:p w:rsidR="00075126" w:rsidRPr="005B5F4D" w:rsidRDefault="009A6D8A" w:rsidP="00075126">
            <w:pPr>
              <w:pStyle w:val="ENoteTableText"/>
              <w:tabs>
                <w:tab w:val="center" w:leader="dot" w:pos="2268"/>
              </w:tabs>
              <w:rPr>
                <w:b/>
              </w:rPr>
            </w:pPr>
            <w:r>
              <w:rPr>
                <w:b/>
              </w:rPr>
              <w:t>Part 2</w:t>
            </w:r>
          </w:p>
        </w:tc>
        <w:tc>
          <w:tcPr>
            <w:tcW w:w="3490" w:type="pct"/>
            <w:shd w:val="clear" w:color="auto" w:fill="auto"/>
          </w:tcPr>
          <w:p w:rsidR="00075126" w:rsidRDefault="00075126" w:rsidP="00075126">
            <w:pPr>
              <w:pStyle w:val="ENoteTableText"/>
            </w:pPr>
          </w:p>
        </w:tc>
      </w:tr>
      <w:tr w:rsidR="00075126" w:rsidRPr="00890F81" w:rsidTr="00093C32">
        <w:trPr>
          <w:cantSplit/>
        </w:trPr>
        <w:tc>
          <w:tcPr>
            <w:tcW w:w="1510" w:type="pct"/>
            <w:shd w:val="clear" w:color="auto" w:fill="auto"/>
          </w:tcPr>
          <w:p w:rsidR="00075126" w:rsidRPr="005B5F4D" w:rsidRDefault="009A6D8A" w:rsidP="00075126">
            <w:pPr>
              <w:pStyle w:val="ENoteTableText"/>
              <w:tabs>
                <w:tab w:val="center" w:leader="dot" w:pos="2268"/>
              </w:tabs>
            </w:pPr>
            <w:r>
              <w:t>Part 2</w:t>
            </w:r>
            <w:r w:rsidR="00075126">
              <w:t xml:space="preserve"> heading</w:t>
            </w:r>
            <w:r w:rsidR="00075126">
              <w:tab/>
            </w:r>
          </w:p>
        </w:tc>
        <w:tc>
          <w:tcPr>
            <w:tcW w:w="3490" w:type="pct"/>
            <w:shd w:val="clear" w:color="auto" w:fill="auto"/>
          </w:tcPr>
          <w:p w:rsidR="00075126" w:rsidRDefault="00075126" w:rsidP="00075126">
            <w:pPr>
              <w:pStyle w:val="ENoteTableText"/>
            </w:pPr>
            <w:r>
              <w:t xml:space="preserve">ad </w:t>
            </w:r>
            <w:r w:rsidRPr="00FD3101">
              <w:t>F2022L00466</w:t>
            </w:r>
          </w:p>
        </w:tc>
      </w:tr>
      <w:tr w:rsidR="00075126" w:rsidRPr="00890F81" w:rsidTr="00093C32">
        <w:trPr>
          <w:cantSplit/>
        </w:trPr>
        <w:tc>
          <w:tcPr>
            <w:tcW w:w="1510" w:type="pct"/>
            <w:shd w:val="clear" w:color="auto" w:fill="auto"/>
          </w:tcPr>
          <w:p w:rsidR="00075126" w:rsidRPr="00890F81" w:rsidRDefault="00075126" w:rsidP="00075126">
            <w:pPr>
              <w:pStyle w:val="ENoteTableText"/>
              <w:tabs>
                <w:tab w:val="center" w:leader="dot" w:pos="2268"/>
              </w:tabs>
            </w:pPr>
            <w:r w:rsidRPr="00890F81">
              <w:t>r 4</w:t>
            </w:r>
            <w:r w:rsidRPr="00890F81">
              <w:tab/>
            </w:r>
          </w:p>
        </w:tc>
        <w:tc>
          <w:tcPr>
            <w:tcW w:w="3490" w:type="pct"/>
            <w:shd w:val="clear" w:color="auto" w:fill="auto"/>
          </w:tcPr>
          <w:p w:rsidR="00075126" w:rsidRPr="00890F81" w:rsidRDefault="00075126" w:rsidP="00075126">
            <w:pPr>
              <w:pStyle w:val="ENoteTableText"/>
            </w:pPr>
            <w:r w:rsidRPr="00890F81">
              <w:t>rs No 370, 2003</w:t>
            </w:r>
          </w:p>
        </w:tc>
      </w:tr>
      <w:tr w:rsidR="00075126" w:rsidRPr="00890F81" w:rsidTr="00093C32">
        <w:trPr>
          <w:cantSplit/>
        </w:trPr>
        <w:tc>
          <w:tcPr>
            <w:tcW w:w="1510" w:type="pct"/>
            <w:shd w:val="clear" w:color="auto" w:fill="auto"/>
          </w:tcPr>
          <w:p w:rsidR="00075126" w:rsidRPr="00890F81" w:rsidRDefault="00075126" w:rsidP="00075126">
            <w:pPr>
              <w:pStyle w:val="ENoteTableText"/>
            </w:pPr>
          </w:p>
        </w:tc>
        <w:tc>
          <w:tcPr>
            <w:tcW w:w="3490" w:type="pct"/>
            <w:shd w:val="clear" w:color="auto" w:fill="auto"/>
          </w:tcPr>
          <w:p w:rsidR="00075126" w:rsidRPr="00890F81" w:rsidRDefault="00075126" w:rsidP="00075126">
            <w:pPr>
              <w:pStyle w:val="ENoteTableText"/>
            </w:pPr>
            <w:r w:rsidRPr="00890F81">
              <w:t>am No 200, 2007</w:t>
            </w:r>
          </w:p>
        </w:tc>
      </w:tr>
      <w:tr w:rsidR="00075126" w:rsidRPr="00890F81" w:rsidTr="00093C32">
        <w:trPr>
          <w:cantSplit/>
        </w:trPr>
        <w:tc>
          <w:tcPr>
            <w:tcW w:w="1510" w:type="pct"/>
            <w:shd w:val="clear" w:color="auto" w:fill="auto"/>
          </w:tcPr>
          <w:p w:rsidR="00075126" w:rsidRPr="00890F81" w:rsidRDefault="00075126" w:rsidP="00075126">
            <w:pPr>
              <w:pStyle w:val="ENoteTableText"/>
            </w:pPr>
          </w:p>
        </w:tc>
        <w:tc>
          <w:tcPr>
            <w:tcW w:w="3490" w:type="pct"/>
            <w:shd w:val="clear" w:color="auto" w:fill="auto"/>
          </w:tcPr>
          <w:p w:rsidR="00075126" w:rsidRPr="00890F81" w:rsidRDefault="00075126" w:rsidP="00075126">
            <w:pPr>
              <w:pStyle w:val="ENoteTableText"/>
            </w:pPr>
            <w:r w:rsidRPr="00890F81">
              <w:t>rs No 58, 2010</w:t>
            </w:r>
          </w:p>
        </w:tc>
      </w:tr>
      <w:tr w:rsidR="00075126" w:rsidRPr="00890F81" w:rsidTr="00093C32">
        <w:trPr>
          <w:cantSplit/>
        </w:trPr>
        <w:tc>
          <w:tcPr>
            <w:tcW w:w="1510" w:type="pct"/>
            <w:shd w:val="clear" w:color="auto" w:fill="auto"/>
          </w:tcPr>
          <w:p w:rsidR="00075126" w:rsidRPr="00890F81" w:rsidRDefault="00075126" w:rsidP="00075126">
            <w:pPr>
              <w:pStyle w:val="ENoteTableText"/>
            </w:pPr>
          </w:p>
        </w:tc>
        <w:tc>
          <w:tcPr>
            <w:tcW w:w="3490" w:type="pct"/>
            <w:shd w:val="clear" w:color="auto" w:fill="auto"/>
          </w:tcPr>
          <w:p w:rsidR="00075126" w:rsidRPr="00890F81" w:rsidRDefault="00075126" w:rsidP="00075126">
            <w:pPr>
              <w:pStyle w:val="ENoteTableText"/>
            </w:pPr>
            <w:r w:rsidRPr="00890F81">
              <w:t>am No 109, 2011; F2018L00963; F2018L01144</w:t>
            </w:r>
          </w:p>
        </w:tc>
      </w:tr>
      <w:tr w:rsidR="00075126" w:rsidRPr="00890F81" w:rsidTr="00093C32">
        <w:trPr>
          <w:cantSplit/>
        </w:trPr>
        <w:tc>
          <w:tcPr>
            <w:tcW w:w="1510" w:type="pct"/>
            <w:shd w:val="clear" w:color="auto" w:fill="auto"/>
          </w:tcPr>
          <w:p w:rsidR="00075126" w:rsidRPr="00890F81" w:rsidRDefault="00075126" w:rsidP="00075126">
            <w:pPr>
              <w:pStyle w:val="ENoteTableText"/>
              <w:tabs>
                <w:tab w:val="center" w:leader="dot" w:pos="2268"/>
              </w:tabs>
            </w:pPr>
            <w:r w:rsidRPr="00890F81">
              <w:t>r 5</w:t>
            </w:r>
            <w:r w:rsidRPr="00890F81">
              <w:tab/>
            </w:r>
          </w:p>
        </w:tc>
        <w:tc>
          <w:tcPr>
            <w:tcW w:w="3490" w:type="pct"/>
            <w:shd w:val="clear" w:color="auto" w:fill="auto"/>
          </w:tcPr>
          <w:p w:rsidR="00075126" w:rsidRPr="00890F81" w:rsidRDefault="00075126" w:rsidP="00075126">
            <w:pPr>
              <w:pStyle w:val="ENoteTableText"/>
            </w:pPr>
            <w:r w:rsidRPr="00890F81">
              <w:t>am F2018L01144</w:t>
            </w:r>
          </w:p>
        </w:tc>
      </w:tr>
      <w:tr w:rsidR="00075126" w:rsidRPr="00890F81" w:rsidTr="00093C32">
        <w:trPr>
          <w:cantSplit/>
        </w:trPr>
        <w:tc>
          <w:tcPr>
            <w:tcW w:w="1510" w:type="pct"/>
            <w:shd w:val="clear" w:color="auto" w:fill="auto"/>
          </w:tcPr>
          <w:p w:rsidR="00075126" w:rsidRPr="005B5F4D" w:rsidRDefault="009A6D8A" w:rsidP="00075126">
            <w:pPr>
              <w:pStyle w:val="ENoteTableText"/>
              <w:tabs>
                <w:tab w:val="center" w:leader="dot" w:pos="2268"/>
              </w:tabs>
              <w:rPr>
                <w:b/>
              </w:rPr>
            </w:pPr>
            <w:r>
              <w:rPr>
                <w:b/>
              </w:rPr>
              <w:t>Part 3</w:t>
            </w:r>
          </w:p>
        </w:tc>
        <w:tc>
          <w:tcPr>
            <w:tcW w:w="3490" w:type="pct"/>
            <w:shd w:val="clear" w:color="auto" w:fill="auto"/>
          </w:tcPr>
          <w:p w:rsidR="00075126" w:rsidRPr="00890F81" w:rsidRDefault="00075126" w:rsidP="00075126">
            <w:pPr>
              <w:pStyle w:val="ENoteTableText"/>
            </w:pPr>
          </w:p>
        </w:tc>
      </w:tr>
      <w:tr w:rsidR="00075126" w:rsidRPr="00890F81" w:rsidTr="00093C32">
        <w:trPr>
          <w:cantSplit/>
        </w:trPr>
        <w:tc>
          <w:tcPr>
            <w:tcW w:w="1510" w:type="pct"/>
            <w:shd w:val="clear" w:color="auto" w:fill="auto"/>
          </w:tcPr>
          <w:p w:rsidR="00075126" w:rsidRDefault="009A6D8A" w:rsidP="00075126">
            <w:pPr>
              <w:pStyle w:val="ENoteTableText"/>
              <w:tabs>
                <w:tab w:val="center" w:leader="dot" w:pos="2268"/>
              </w:tabs>
            </w:pPr>
            <w:r>
              <w:t>Part 3</w:t>
            </w:r>
            <w:r w:rsidR="00075126">
              <w:tab/>
            </w:r>
          </w:p>
        </w:tc>
        <w:tc>
          <w:tcPr>
            <w:tcW w:w="3490" w:type="pct"/>
            <w:shd w:val="clear" w:color="auto" w:fill="auto"/>
          </w:tcPr>
          <w:p w:rsidR="00075126" w:rsidRPr="00890F81" w:rsidRDefault="00075126" w:rsidP="00075126">
            <w:pPr>
              <w:pStyle w:val="ENoteTableText"/>
            </w:pPr>
            <w:r>
              <w:t xml:space="preserve">ad </w:t>
            </w:r>
            <w:r w:rsidRPr="00FD3101">
              <w:t>F2022L00466</w:t>
            </w:r>
          </w:p>
        </w:tc>
      </w:tr>
      <w:tr w:rsidR="00075126" w:rsidRPr="00890F81" w:rsidTr="00093C32">
        <w:trPr>
          <w:cantSplit/>
        </w:trPr>
        <w:tc>
          <w:tcPr>
            <w:tcW w:w="1510" w:type="pct"/>
            <w:shd w:val="clear" w:color="auto" w:fill="auto"/>
          </w:tcPr>
          <w:p w:rsidR="00075126" w:rsidRDefault="00075126" w:rsidP="00075126">
            <w:pPr>
              <w:pStyle w:val="ENoteTableText"/>
              <w:tabs>
                <w:tab w:val="center" w:leader="dot" w:pos="2268"/>
              </w:tabs>
            </w:pPr>
            <w:r>
              <w:t>r 6</w:t>
            </w:r>
            <w:r>
              <w:tab/>
            </w:r>
          </w:p>
        </w:tc>
        <w:tc>
          <w:tcPr>
            <w:tcW w:w="3490" w:type="pct"/>
            <w:shd w:val="clear" w:color="auto" w:fill="auto"/>
          </w:tcPr>
          <w:p w:rsidR="00075126" w:rsidRDefault="00075126" w:rsidP="00075126">
            <w:pPr>
              <w:pStyle w:val="ENoteTableText"/>
            </w:pPr>
            <w:r>
              <w:t xml:space="preserve">ad </w:t>
            </w:r>
            <w:r w:rsidRPr="00FD3101">
              <w:t>F2022L00466</w:t>
            </w:r>
          </w:p>
        </w:tc>
      </w:tr>
      <w:tr w:rsidR="00075126" w:rsidRPr="00890F81" w:rsidTr="00093C32">
        <w:trPr>
          <w:cantSplit/>
        </w:trPr>
        <w:tc>
          <w:tcPr>
            <w:tcW w:w="1510" w:type="pct"/>
            <w:shd w:val="clear" w:color="auto" w:fill="auto"/>
          </w:tcPr>
          <w:p w:rsidR="00075126" w:rsidRPr="00890F81" w:rsidRDefault="00075126" w:rsidP="00075126">
            <w:pPr>
              <w:pStyle w:val="ENoteTableText"/>
            </w:pPr>
            <w:r w:rsidRPr="00890F81">
              <w:rPr>
                <w:b/>
              </w:rPr>
              <w:t>Schedule 1</w:t>
            </w:r>
          </w:p>
        </w:tc>
        <w:tc>
          <w:tcPr>
            <w:tcW w:w="3490" w:type="pct"/>
            <w:shd w:val="clear" w:color="auto" w:fill="auto"/>
          </w:tcPr>
          <w:p w:rsidR="00075126" w:rsidRPr="00890F81" w:rsidRDefault="00075126" w:rsidP="00075126">
            <w:pPr>
              <w:pStyle w:val="ENoteTableText"/>
            </w:pPr>
          </w:p>
        </w:tc>
      </w:tr>
      <w:tr w:rsidR="00075126" w:rsidRPr="00890F81" w:rsidTr="00093C32">
        <w:trPr>
          <w:cantSplit/>
        </w:trPr>
        <w:tc>
          <w:tcPr>
            <w:tcW w:w="1510" w:type="pct"/>
            <w:shd w:val="clear" w:color="auto" w:fill="auto"/>
          </w:tcPr>
          <w:p w:rsidR="00075126" w:rsidRPr="00890F81" w:rsidRDefault="00075126" w:rsidP="00075126">
            <w:pPr>
              <w:pStyle w:val="ENoteTableText"/>
              <w:tabs>
                <w:tab w:val="center" w:leader="dot" w:pos="2268"/>
              </w:tabs>
            </w:pPr>
            <w:r w:rsidRPr="00890F81">
              <w:t>Schedule 1</w:t>
            </w:r>
            <w:r w:rsidRPr="00890F81">
              <w:tab/>
            </w:r>
          </w:p>
        </w:tc>
        <w:tc>
          <w:tcPr>
            <w:tcW w:w="3490" w:type="pct"/>
            <w:shd w:val="clear" w:color="auto" w:fill="auto"/>
          </w:tcPr>
          <w:p w:rsidR="00075126" w:rsidRPr="00890F81" w:rsidRDefault="00075126" w:rsidP="00075126">
            <w:pPr>
              <w:pStyle w:val="ENoteTableText"/>
            </w:pPr>
            <w:r w:rsidRPr="00890F81">
              <w:t>rs No 370, 2003</w:t>
            </w:r>
          </w:p>
        </w:tc>
      </w:tr>
      <w:tr w:rsidR="00075126" w:rsidRPr="00890F81" w:rsidTr="00093C32">
        <w:trPr>
          <w:cantSplit/>
        </w:trPr>
        <w:tc>
          <w:tcPr>
            <w:tcW w:w="1510" w:type="pct"/>
            <w:tcBorders>
              <w:bottom w:val="single" w:sz="12" w:space="0" w:color="auto"/>
            </w:tcBorders>
            <w:shd w:val="clear" w:color="auto" w:fill="auto"/>
          </w:tcPr>
          <w:p w:rsidR="00075126" w:rsidRPr="00890F81" w:rsidRDefault="00075126" w:rsidP="00075126">
            <w:pPr>
              <w:pStyle w:val="ENoteTableText"/>
            </w:pPr>
          </w:p>
        </w:tc>
        <w:tc>
          <w:tcPr>
            <w:tcW w:w="3490" w:type="pct"/>
            <w:tcBorders>
              <w:bottom w:val="single" w:sz="12" w:space="0" w:color="auto"/>
            </w:tcBorders>
            <w:shd w:val="clear" w:color="auto" w:fill="auto"/>
          </w:tcPr>
          <w:p w:rsidR="00075126" w:rsidRPr="00890F81" w:rsidRDefault="00075126" w:rsidP="00075126">
            <w:pPr>
              <w:pStyle w:val="ENoteTableText"/>
              <w:rPr>
                <w:rFonts w:ascii="Courier New" w:eastAsiaTheme="minorHAnsi" w:hAnsi="Courier New" w:cs="Courier New"/>
                <w:lang w:eastAsia="en-US"/>
              </w:rPr>
            </w:pPr>
            <w:r w:rsidRPr="00890F81">
              <w:t>am No 196, 2004; No 200, 2007; No 109, 2011; No 125, 2013; F2018L01144</w:t>
            </w:r>
            <w:r>
              <w:t xml:space="preserve">; </w:t>
            </w:r>
            <w:r w:rsidRPr="00FD3101">
              <w:t>F2022L00466</w:t>
            </w:r>
          </w:p>
        </w:tc>
      </w:tr>
    </w:tbl>
    <w:p w:rsidR="00240F59" w:rsidRPr="00890F81" w:rsidRDefault="00240F59" w:rsidP="001E29E2"/>
    <w:p w:rsidR="003164D4" w:rsidRPr="00890F81" w:rsidRDefault="003164D4" w:rsidP="001E29E2">
      <w:pPr>
        <w:sectPr w:rsidR="003164D4" w:rsidRPr="00890F81" w:rsidSect="003B34C5">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F34BCF" w:rsidRPr="00890F81" w:rsidRDefault="00F34BCF" w:rsidP="003164D4"/>
    <w:sectPr w:rsidR="00F34BCF" w:rsidRPr="00890F81" w:rsidSect="003B34C5">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16" w:rsidRDefault="006D1A16" w:rsidP="00AC2308">
      <w:r>
        <w:separator/>
      </w:r>
    </w:p>
  </w:endnote>
  <w:endnote w:type="continuationSeparator" w:id="0">
    <w:p w:rsidR="006D1A16" w:rsidRDefault="006D1A16" w:rsidP="00AC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i/>
              <w:sz w:val="16"/>
              <w:szCs w:val="16"/>
            </w:rPr>
          </w:pP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D50">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6D1A16" w:rsidRPr="00130F37" w:rsidTr="00BD112D">
      <w:tc>
        <w:tcPr>
          <w:tcW w:w="1499" w:type="pct"/>
          <w:gridSpan w:val="2"/>
        </w:tcPr>
        <w:p w:rsidR="006D1A16" w:rsidRPr="00130F37" w:rsidRDefault="006D1A16" w:rsidP="00AE59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A6D8A">
            <w:rPr>
              <w:sz w:val="16"/>
              <w:szCs w:val="16"/>
            </w:rPr>
            <w:t>10</w:t>
          </w:r>
          <w:r w:rsidRPr="00130F37">
            <w:rPr>
              <w:sz w:val="16"/>
              <w:szCs w:val="16"/>
            </w:rPr>
            <w:fldChar w:fldCharType="end"/>
          </w:r>
        </w:p>
      </w:tc>
      <w:tc>
        <w:tcPr>
          <w:tcW w:w="1999" w:type="pct"/>
        </w:tcPr>
        <w:p w:rsidR="006D1A16" w:rsidRPr="00130F37" w:rsidRDefault="006D1A16" w:rsidP="00AE592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A6D8A">
            <w:rPr>
              <w:sz w:val="16"/>
              <w:szCs w:val="16"/>
            </w:rPr>
            <w:t>01/07/2022</w:t>
          </w:r>
          <w:r w:rsidRPr="00130F37">
            <w:rPr>
              <w:sz w:val="16"/>
              <w:szCs w:val="16"/>
            </w:rPr>
            <w:fldChar w:fldCharType="end"/>
          </w:r>
        </w:p>
      </w:tc>
      <w:tc>
        <w:tcPr>
          <w:tcW w:w="1502" w:type="pct"/>
          <w:gridSpan w:val="2"/>
        </w:tcPr>
        <w:p w:rsidR="006D1A16" w:rsidRPr="00130F37" w:rsidRDefault="006D1A16" w:rsidP="00AE59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A6D8A">
            <w:rPr>
              <w:noProof/>
              <w:sz w:val="16"/>
              <w:szCs w:val="16"/>
            </w:rPr>
            <w:t>04/08/2022</w:t>
          </w:r>
          <w:r w:rsidRPr="00130F37">
            <w:rPr>
              <w:sz w:val="16"/>
              <w:szCs w:val="16"/>
            </w:rPr>
            <w:fldChar w:fldCharType="end"/>
          </w:r>
        </w:p>
      </w:tc>
    </w:tr>
  </w:tbl>
  <w:p w:rsidR="006D1A16" w:rsidRPr="009B0E28" w:rsidRDefault="006D1A16" w:rsidP="009B0E2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2B0EA5" w:rsidRDefault="006D1A16" w:rsidP="003164D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D1A16" w:rsidTr="00093C32">
      <w:tc>
        <w:tcPr>
          <w:tcW w:w="947" w:type="pct"/>
        </w:tcPr>
        <w:p w:rsidR="006D1A16" w:rsidRDefault="006D1A16" w:rsidP="001E29E2">
          <w:pPr>
            <w:spacing w:line="0" w:lineRule="atLeast"/>
            <w:rPr>
              <w:sz w:val="18"/>
            </w:rPr>
          </w:pPr>
        </w:p>
      </w:tc>
      <w:tc>
        <w:tcPr>
          <w:tcW w:w="3688" w:type="pct"/>
        </w:tcPr>
        <w:p w:rsidR="006D1A16" w:rsidRDefault="006D1A16" w:rsidP="001E2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6D8A">
            <w:rPr>
              <w:i/>
              <w:sz w:val="18"/>
            </w:rPr>
            <w:t>Corporations (Review Fees) Regulations 2003</w:t>
          </w:r>
          <w:r w:rsidRPr="007A1328">
            <w:rPr>
              <w:i/>
              <w:sz w:val="18"/>
            </w:rPr>
            <w:fldChar w:fldCharType="end"/>
          </w:r>
        </w:p>
      </w:tc>
      <w:tc>
        <w:tcPr>
          <w:tcW w:w="365" w:type="pct"/>
        </w:tcPr>
        <w:p w:rsidR="006D1A16" w:rsidRDefault="006D1A16" w:rsidP="001E29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rsidR="006D1A16" w:rsidRPr="00ED79B6" w:rsidRDefault="006D1A16" w:rsidP="003164D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D50">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p>
      </w:tc>
    </w:tr>
    <w:tr w:rsidR="006D1A16" w:rsidRPr="0055472E" w:rsidTr="00BD112D">
      <w:tc>
        <w:tcPr>
          <w:tcW w:w="1499" w:type="pct"/>
          <w:gridSpan w:val="2"/>
        </w:tcPr>
        <w:p w:rsidR="006D1A16" w:rsidRPr="0055472E" w:rsidRDefault="006D1A16" w:rsidP="00AE59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A6D8A">
            <w:rPr>
              <w:sz w:val="16"/>
              <w:szCs w:val="16"/>
            </w:rPr>
            <w:t>10</w:t>
          </w:r>
          <w:r w:rsidRPr="0055472E">
            <w:rPr>
              <w:sz w:val="16"/>
              <w:szCs w:val="16"/>
            </w:rPr>
            <w:fldChar w:fldCharType="end"/>
          </w:r>
        </w:p>
      </w:tc>
      <w:tc>
        <w:tcPr>
          <w:tcW w:w="1999" w:type="pct"/>
        </w:tcPr>
        <w:p w:rsidR="006D1A16" w:rsidRPr="0055472E" w:rsidRDefault="006D1A16" w:rsidP="00AE592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A6D8A">
            <w:rPr>
              <w:sz w:val="16"/>
              <w:szCs w:val="16"/>
            </w:rPr>
            <w:t>01/07/2022</w:t>
          </w:r>
          <w:r w:rsidRPr="0055472E">
            <w:rPr>
              <w:sz w:val="16"/>
              <w:szCs w:val="16"/>
            </w:rPr>
            <w:fldChar w:fldCharType="end"/>
          </w:r>
        </w:p>
      </w:tc>
      <w:tc>
        <w:tcPr>
          <w:tcW w:w="1502" w:type="pct"/>
          <w:gridSpan w:val="2"/>
        </w:tcPr>
        <w:p w:rsidR="006D1A16" w:rsidRPr="0055472E" w:rsidRDefault="006D1A16" w:rsidP="00AE59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A6D8A">
            <w:rPr>
              <w:noProof/>
              <w:sz w:val="16"/>
              <w:szCs w:val="16"/>
            </w:rPr>
            <w:t>04/08/2022</w:t>
          </w:r>
          <w:r w:rsidRPr="0055472E">
            <w:rPr>
              <w:sz w:val="16"/>
              <w:szCs w:val="16"/>
            </w:rPr>
            <w:fldChar w:fldCharType="end"/>
          </w:r>
        </w:p>
      </w:tc>
    </w:tr>
  </w:tbl>
  <w:p w:rsidR="006D1A16" w:rsidRPr="009B0E28" w:rsidRDefault="006D1A16" w:rsidP="009B0E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i/>
              <w:sz w:val="16"/>
              <w:szCs w:val="16"/>
            </w:rPr>
          </w:pP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34C5">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6D1A16" w:rsidRPr="00130F37" w:rsidTr="00BD112D">
      <w:tc>
        <w:tcPr>
          <w:tcW w:w="1499" w:type="pct"/>
          <w:gridSpan w:val="2"/>
        </w:tcPr>
        <w:p w:rsidR="006D1A16" w:rsidRPr="00130F37" w:rsidRDefault="006D1A16" w:rsidP="00AE59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A6D8A">
            <w:rPr>
              <w:sz w:val="16"/>
              <w:szCs w:val="16"/>
            </w:rPr>
            <w:t>10</w:t>
          </w:r>
          <w:r w:rsidRPr="00130F37">
            <w:rPr>
              <w:sz w:val="16"/>
              <w:szCs w:val="16"/>
            </w:rPr>
            <w:fldChar w:fldCharType="end"/>
          </w:r>
        </w:p>
      </w:tc>
      <w:tc>
        <w:tcPr>
          <w:tcW w:w="1999" w:type="pct"/>
        </w:tcPr>
        <w:p w:rsidR="006D1A16" w:rsidRPr="00130F37" w:rsidRDefault="006D1A16" w:rsidP="00AE592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A6D8A">
            <w:rPr>
              <w:sz w:val="16"/>
              <w:szCs w:val="16"/>
            </w:rPr>
            <w:t>01/07/2022</w:t>
          </w:r>
          <w:r w:rsidRPr="00130F37">
            <w:rPr>
              <w:sz w:val="16"/>
              <w:szCs w:val="16"/>
            </w:rPr>
            <w:fldChar w:fldCharType="end"/>
          </w:r>
        </w:p>
      </w:tc>
      <w:tc>
        <w:tcPr>
          <w:tcW w:w="1502" w:type="pct"/>
          <w:gridSpan w:val="2"/>
        </w:tcPr>
        <w:p w:rsidR="006D1A16" w:rsidRPr="00130F37" w:rsidRDefault="006D1A16" w:rsidP="00AE59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A6D8A">
            <w:rPr>
              <w:noProof/>
              <w:sz w:val="16"/>
              <w:szCs w:val="16"/>
            </w:rPr>
            <w:t>04/08/2022</w:t>
          </w:r>
          <w:r w:rsidRPr="00130F37">
            <w:rPr>
              <w:sz w:val="16"/>
              <w:szCs w:val="16"/>
            </w:rPr>
            <w:fldChar w:fldCharType="end"/>
          </w:r>
        </w:p>
      </w:tc>
    </w:tr>
  </w:tbl>
  <w:p w:rsidR="006D1A16" w:rsidRPr="009B0E28" w:rsidRDefault="006D1A16" w:rsidP="009B0E2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A6D8A">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p>
      </w:tc>
    </w:tr>
    <w:tr w:rsidR="006D1A16" w:rsidRPr="0055472E" w:rsidTr="00BD112D">
      <w:tc>
        <w:tcPr>
          <w:tcW w:w="1499" w:type="pct"/>
          <w:gridSpan w:val="2"/>
        </w:tcPr>
        <w:p w:rsidR="006D1A16" w:rsidRPr="0055472E" w:rsidRDefault="006D1A16" w:rsidP="00AE59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A6D8A">
            <w:rPr>
              <w:sz w:val="16"/>
              <w:szCs w:val="16"/>
            </w:rPr>
            <w:t>10</w:t>
          </w:r>
          <w:r w:rsidRPr="0055472E">
            <w:rPr>
              <w:sz w:val="16"/>
              <w:szCs w:val="16"/>
            </w:rPr>
            <w:fldChar w:fldCharType="end"/>
          </w:r>
        </w:p>
      </w:tc>
      <w:tc>
        <w:tcPr>
          <w:tcW w:w="1999" w:type="pct"/>
        </w:tcPr>
        <w:p w:rsidR="006D1A16" w:rsidRPr="0055472E" w:rsidRDefault="006D1A16" w:rsidP="00AE592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A6D8A">
            <w:rPr>
              <w:sz w:val="16"/>
              <w:szCs w:val="16"/>
            </w:rPr>
            <w:t>01/07/2022</w:t>
          </w:r>
          <w:r w:rsidRPr="0055472E">
            <w:rPr>
              <w:sz w:val="16"/>
              <w:szCs w:val="16"/>
            </w:rPr>
            <w:fldChar w:fldCharType="end"/>
          </w:r>
        </w:p>
      </w:tc>
      <w:tc>
        <w:tcPr>
          <w:tcW w:w="1502" w:type="pct"/>
          <w:gridSpan w:val="2"/>
        </w:tcPr>
        <w:p w:rsidR="006D1A16" w:rsidRPr="0055472E" w:rsidRDefault="006D1A16" w:rsidP="00AE59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A6D8A">
            <w:rPr>
              <w:noProof/>
              <w:sz w:val="16"/>
              <w:szCs w:val="16"/>
            </w:rPr>
            <w:t>04/08/2022</w:t>
          </w:r>
          <w:r w:rsidRPr="0055472E">
            <w:rPr>
              <w:sz w:val="16"/>
              <w:szCs w:val="16"/>
            </w:rPr>
            <w:fldChar w:fldCharType="end"/>
          </w:r>
        </w:p>
      </w:tc>
    </w:tr>
  </w:tbl>
  <w:p w:rsidR="006D1A16" w:rsidRPr="009B0E28" w:rsidRDefault="006D1A16" w:rsidP="009B0E2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i/>
              <w:sz w:val="16"/>
              <w:szCs w:val="16"/>
            </w:rPr>
          </w:pP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A6D8A">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6D1A16" w:rsidRPr="00130F37" w:rsidTr="00BD112D">
      <w:tc>
        <w:tcPr>
          <w:tcW w:w="1499" w:type="pct"/>
          <w:gridSpan w:val="2"/>
        </w:tcPr>
        <w:p w:rsidR="006D1A16" w:rsidRPr="00130F37" w:rsidRDefault="006D1A16" w:rsidP="00AE59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A6D8A">
            <w:rPr>
              <w:sz w:val="16"/>
              <w:szCs w:val="16"/>
            </w:rPr>
            <w:t>10</w:t>
          </w:r>
          <w:r w:rsidRPr="00130F37">
            <w:rPr>
              <w:sz w:val="16"/>
              <w:szCs w:val="16"/>
            </w:rPr>
            <w:fldChar w:fldCharType="end"/>
          </w:r>
        </w:p>
      </w:tc>
      <w:tc>
        <w:tcPr>
          <w:tcW w:w="1999" w:type="pct"/>
        </w:tcPr>
        <w:p w:rsidR="006D1A16" w:rsidRPr="00130F37" w:rsidRDefault="006D1A16" w:rsidP="00AE592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A6D8A">
            <w:rPr>
              <w:sz w:val="16"/>
              <w:szCs w:val="16"/>
            </w:rPr>
            <w:t>01/07/2022</w:t>
          </w:r>
          <w:r w:rsidRPr="00130F37">
            <w:rPr>
              <w:sz w:val="16"/>
              <w:szCs w:val="16"/>
            </w:rPr>
            <w:fldChar w:fldCharType="end"/>
          </w:r>
        </w:p>
      </w:tc>
      <w:tc>
        <w:tcPr>
          <w:tcW w:w="1502" w:type="pct"/>
          <w:gridSpan w:val="2"/>
        </w:tcPr>
        <w:p w:rsidR="006D1A16" w:rsidRPr="00130F37" w:rsidRDefault="006D1A16" w:rsidP="00AE59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A6D8A">
            <w:rPr>
              <w:noProof/>
              <w:sz w:val="16"/>
              <w:szCs w:val="16"/>
            </w:rPr>
            <w:t>04/08/2022</w:t>
          </w:r>
          <w:r w:rsidRPr="00130F37">
            <w:rPr>
              <w:sz w:val="16"/>
              <w:szCs w:val="16"/>
            </w:rPr>
            <w:fldChar w:fldCharType="end"/>
          </w:r>
        </w:p>
      </w:tc>
    </w:tr>
  </w:tbl>
  <w:p w:rsidR="006D1A16" w:rsidRPr="009B0E28" w:rsidRDefault="006D1A16" w:rsidP="009B0E2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2B0EA5" w:rsidRDefault="006D1A16" w:rsidP="003164D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D1A16" w:rsidTr="00093C32">
      <w:tc>
        <w:tcPr>
          <w:tcW w:w="947" w:type="pct"/>
        </w:tcPr>
        <w:p w:rsidR="006D1A16" w:rsidRDefault="006D1A16" w:rsidP="001E29E2">
          <w:pPr>
            <w:spacing w:line="0" w:lineRule="atLeast"/>
            <w:rPr>
              <w:sz w:val="18"/>
            </w:rPr>
          </w:pPr>
        </w:p>
      </w:tc>
      <w:tc>
        <w:tcPr>
          <w:tcW w:w="3688" w:type="pct"/>
        </w:tcPr>
        <w:p w:rsidR="006D1A16" w:rsidRDefault="006D1A16" w:rsidP="001E2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6D8A">
            <w:rPr>
              <w:i/>
              <w:sz w:val="18"/>
            </w:rPr>
            <w:t>Corporations (Review Fees) Regulations 2003</w:t>
          </w:r>
          <w:r w:rsidRPr="007A1328">
            <w:rPr>
              <w:i/>
              <w:sz w:val="18"/>
            </w:rPr>
            <w:fldChar w:fldCharType="end"/>
          </w:r>
        </w:p>
      </w:tc>
      <w:tc>
        <w:tcPr>
          <w:tcW w:w="365" w:type="pct"/>
        </w:tcPr>
        <w:p w:rsidR="006D1A16" w:rsidRDefault="006D1A16" w:rsidP="001E29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rsidR="006D1A16" w:rsidRPr="00ED79B6" w:rsidRDefault="006D1A16" w:rsidP="003164D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rsidP="00AE592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ED79B6" w:rsidRDefault="006D1A16" w:rsidP="00AE59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A6D8A">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p>
      </w:tc>
    </w:tr>
    <w:tr w:rsidR="006D1A16" w:rsidRPr="0055472E" w:rsidTr="00BD112D">
      <w:tc>
        <w:tcPr>
          <w:tcW w:w="1499" w:type="pct"/>
          <w:gridSpan w:val="2"/>
        </w:tcPr>
        <w:p w:rsidR="006D1A16" w:rsidRPr="0055472E" w:rsidRDefault="006D1A16" w:rsidP="00AE59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A6D8A">
            <w:rPr>
              <w:sz w:val="16"/>
              <w:szCs w:val="16"/>
            </w:rPr>
            <w:t>10</w:t>
          </w:r>
          <w:r w:rsidRPr="0055472E">
            <w:rPr>
              <w:sz w:val="16"/>
              <w:szCs w:val="16"/>
            </w:rPr>
            <w:fldChar w:fldCharType="end"/>
          </w:r>
        </w:p>
      </w:tc>
      <w:tc>
        <w:tcPr>
          <w:tcW w:w="1999" w:type="pct"/>
        </w:tcPr>
        <w:p w:rsidR="006D1A16" w:rsidRPr="0055472E" w:rsidRDefault="006D1A16" w:rsidP="00AE592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A6D8A">
            <w:rPr>
              <w:sz w:val="16"/>
              <w:szCs w:val="16"/>
            </w:rPr>
            <w:t>01/07/2022</w:t>
          </w:r>
          <w:r w:rsidRPr="0055472E">
            <w:rPr>
              <w:sz w:val="16"/>
              <w:szCs w:val="16"/>
            </w:rPr>
            <w:fldChar w:fldCharType="end"/>
          </w:r>
        </w:p>
      </w:tc>
      <w:tc>
        <w:tcPr>
          <w:tcW w:w="1502" w:type="pct"/>
          <w:gridSpan w:val="2"/>
        </w:tcPr>
        <w:p w:rsidR="006D1A16" w:rsidRPr="0055472E" w:rsidRDefault="006D1A16" w:rsidP="00AE59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A6D8A">
            <w:rPr>
              <w:noProof/>
              <w:sz w:val="16"/>
              <w:szCs w:val="16"/>
            </w:rPr>
            <w:t>04/08/2022</w:t>
          </w:r>
          <w:r w:rsidRPr="0055472E">
            <w:rPr>
              <w:sz w:val="16"/>
              <w:szCs w:val="16"/>
            </w:rPr>
            <w:fldChar w:fldCharType="end"/>
          </w:r>
        </w:p>
      </w:tc>
    </w:tr>
  </w:tbl>
  <w:p w:rsidR="006D1A16" w:rsidRPr="009B0E28" w:rsidRDefault="006D1A16" w:rsidP="009B0E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i/>
              <w:sz w:val="16"/>
              <w:szCs w:val="16"/>
            </w:rPr>
          </w:pP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34C5">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D1A16" w:rsidRPr="00130F37" w:rsidTr="00BD112D">
      <w:tc>
        <w:tcPr>
          <w:tcW w:w="1499" w:type="pct"/>
          <w:gridSpan w:val="2"/>
        </w:tcPr>
        <w:p w:rsidR="006D1A16" w:rsidRPr="00130F37" w:rsidRDefault="006D1A16" w:rsidP="00AE59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A6D8A">
            <w:rPr>
              <w:sz w:val="16"/>
              <w:szCs w:val="16"/>
            </w:rPr>
            <w:t>10</w:t>
          </w:r>
          <w:r w:rsidRPr="00130F37">
            <w:rPr>
              <w:sz w:val="16"/>
              <w:szCs w:val="16"/>
            </w:rPr>
            <w:fldChar w:fldCharType="end"/>
          </w:r>
        </w:p>
      </w:tc>
      <w:tc>
        <w:tcPr>
          <w:tcW w:w="1999" w:type="pct"/>
        </w:tcPr>
        <w:p w:rsidR="006D1A16" w:rsidRPr="00130F37" w:rsidRDefault="006D1A16" w:rsidP="00AE592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A6D8A">
            <w:rPr>
              <w:sz w:val="16"/>
              <w:szCs w:val="16"/>
            </w:rPr>
            <w:t>01/07/2022</w:t>
          </w:r>
          <w:r w:rsidRPr="00130F37">
            <w:rPr>
              <w:sz w:val="16"/>
              <w:szCs w:val="16"/>
            </w:rPr>
            <w:fldChar w:fldCharType="end"/>
          </w:r>
        </w:p>
      </w:tc>
      <w:tc>
        <w:tcPr>
          <w:tcW w:w="1502" w:type="pct"/>
          <w:gridSpan w:val="2"/>
        </w:tcPr>
        <w:p w:rsidR="006D1A16" w:rsidRPr="00130F37" w:rsidRDefault="006D1A16" w:rsidP="00AE59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A6D8A">
            <w:rPr>
              <w:noProof/>
              <w:sz w:val="16"/>
              <w:szCs w:val="16"/>
            </w:rPr>
            <w:t>04/08/2022</w:t>
          </w:r>
          <w:r w:rsidRPr="00130F37">
            <w:rPr>
              <w:sz w:val="16"/>
              <w:szCs w:val="16"/>
            </w:rPr>
            <w:fldChar w:fldCharType="end"/>
          </w:r>
        </w:p>
      </w:tc>
    </w:tr>
  </w:tbl>
  <w:p w:rsidR="006D1A16" w:rsidRPr="009B0E28" w:rsidRDefault="006D1A16" w:rsidP="009B0E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D50">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p>
      </w:tc>
    </w:tr>
    <w:tr w:rsidR="006D1A16" w:rsidRPr="0055472E" w:rsidTr="00BD112D">
      <w:tc>
        <w:tcPr>
          <w:tcW w:w="1499" w:type="pct"/>
          <w:gridSpan w:val="2"/>
        </w:tcPr>
        <w:p w:rsidR="006D1A16" w:rsidRPr="0055472E" w:rsidRDefault="006D1A16" w:rsidP="00AE59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A6D8A">
            <w:rPr>
              <w:sz w:val="16"/>
              <w:szCs w:val="16"/>
            </w:rPr>
            <w:t>10</w:t>
          </w:r>
          <w:r w:rsidRPr="0055472E">
            <w:rPr>
              <w:sz w:val="16"/>
              <w:szCs w:val="16"/>
            </w:rPr>
            <w:fldChar w:fldCharType="end"/>
          </w:r>
        </w:p>
      </w:tc>
      <w:tc>
        <w:tcPr>
          <w:tcW w:w="1999" w:type="pct"/>
        </w:tcPr>
        <w:p w:rsidR="006D1A16" w:rsidRPr="0055472E" w:rsidRDefault="006D1A16" w:rsidP="00AE592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A6D8A">
            <w:rPr>
              <w:sz w:val="16"/>
              <w:szCs w:val="16"/>
            </w:rPr>
            <w:t>01/07/2022</w:t>
          </w:r>
          <w:r w:rsidRPr="0055472E">
            <w:rPr>
              <w:sz w:val="16"/>
              <w:szCs w:val="16"/>
            </w:rPr>
            <w:fldChar w:fldCharType="end"/>
          </w:r>
        </w:p>
      </w:tc>
      <w:tc>
        <w:tcPr>
          <w:tcW w:w="1502" w:type="pct"/>
          <w:gridSpan w:val="2"/>
        </w:tcPr>
        <w:p w:rsidR="006D1A16" w:rsidRPr="0055472E" w:rsidRDefault="006D1A16" w:rsidP="00AE59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A6D8A">
            <w:rPr>
              <w:noProof/>
              <w:sz w:val="16"/>
              <w:szCs w:val="16"/>
            </w:rPr>
            <w:t>04/08/2022</w:t>
          </w:r>
          <w:r w:rsidRPr="0055472E">
            <w:rPr>
              <w:sz w:val="16"/>
              <w:szCs w:val="16"/>
            </w:rPr>
            <w:fldChar w:fldCharType="end"/>
          </w:r>
        </w:p>
      </w:tc>
    </w:tr>
  </w:tbl>
  <w:p w:rsidR="006D1A16" w:rsidRPr="009B0E28" w:rsidRDefault="006D1A16" w:rsidP="009B0E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i/>
              <w:sz w:val="16"/>
              <w:szCs w:val="16"/>
            </w:rPr>
          </w:pP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34C5">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D1A16" w:rsidRPr="00130F37" w:rsidTr="00BD112D">
      <w:tc>
        <w:tcPr>
          <w:tcW w:w="1499" w:type="pct"/>
          <w:gridSpan w:val="2"/>
        </w:tcPr>
        <w:p w:rsidR="006D1A16" w:rsidRPr="00130F37" w:rsidRDefault="006D1A16" w:rsidP="00AE59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A6D8A">
            <w:rPr>
              <w:sz w:val="16"/>
              <w:szCs w:val="16"/>
            </w:rPr>
            <w:t>10</w:t>
          </w:r>
          <w:r w:rsidRPr="00130F37">
            <w:rPr>
              <w:sz w:val="16"/>
              <w:szCs w:val="16"/>
            </w:rPr>
            <w:fldChar w:fldCharType="end"/>
          </w:r>
        </w:p>
      </w:tc>
      <w:tc>
        <w:tcPr>
          <w:tcW w:w="1999" w:type="pct"/>
        </w:tcPr>
        <w:p w:rsidR="006D1A16" w:rsidRPr="00130F37" w:rsidRDefault="006D1A16" w:rsidP="00AE592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A6D8A">
            <w:rPr>
              <w:sz w:val="16"/>
              <w:szCs w:val="16"/>
            </w:rPr>
            <w:t>01/07/2022</w:t>
          </w:r>
          <w:r w:rsidRPr="00130F37">
            <w:rPr>
              <w:sz w:val="16"/>
              <w:szCs w:val="16"/>
            </w:rPr>
            <w:fldChar w:fldCharType="end"/>
          </w:r>
        </w:p>
      </w:tc>
      <w:tc>
        <w:tcPr>
          <w:tcW w:w="1502" w:type="pct"/>
          <w:gridSpan w:val="2"/>
        </w:tcPr>
        <w:p w:rsidR="006D1A16" w:rsidRPr="00130F37" w:rsidRDefault="006D1A16" w:rsidP="00AE59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A6D8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A6D8A">
            <w:rPr>
              <w:noProof/>
              <w:sz w:val="16"/>
              <w:szCs w:val="16"/>
            </w:rPr>
            <w:t>04/08/2022</w:t>
          </w:r>
          <w:r w:rsidRPr="00130F37">
            <w:rPr>
              <w:sz w:val="16"/>
              <w:szCs w:val="16"/>
            </w:rPr>
            <w:fldChar w:fldCharType="end"/>
          </w:r>
        </w:p>
      </w:tc>
    </w:tr>
  </w:tbl>
  <w:p w:rsidR="006D1A16" w:rsidRPr="009B0E28" w:rsidRDefault="006D1A16" w:rsidP="009B0E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2B0EA5" w:rsidRDefault="006D1A16" w:rsidP="003164D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D1A16" w:rsidTr="00093C32">
      <w:tc>
        <w:tcPr>
          <w:tcW w:w="947" w:type="pct"/>
        </w:tcPr>
        <w:p w:rsidR="006D1A16" w:rsidRDefault="006D1A16" w:rsidP="001E29E2">
          <w:pPr>
            <w:spacing w:line="0" w:lineRule="atLeast"/>
            <w:rPr>
              <w:sz w:val="18"/>
            </w:rPr>
          </w:pPr>
        </w:p>
      </w:tc>
      <w:tc>
        <w:tcPr>
          <w:tcW w:w="3688" w:type="pct"/>
        </w:tcPr>
        <w:p w:rsidR="006D1A16" w:rsidRDefault="006D1A16" w:rsidP="001E2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A6D8A">
            <w:rPr>
              <w:i/>
              <w:sz w:val="18"/>
            </w:rPr>
            <w:t>Corporations (Review Fees) Regulations 2003</w:t>
          </w:r>
          <w:r w:rsidRPr="007A1328">
            <w:rPr>
              <w:i/>
              <w:sz w:val="18"/>
            </w:rPr>
            <w:fldChar w:fldCharType="end"/>
          </w:r>
        </w:p>
      </w:tc>
      <w:tc>
        <w:tcPr>
          <w:tcW w:w="365" w:type="pct"/>
        </w:tcPr>
        <w:p w:rsidR="006D1A16" w:rsidRDefault="006D1A16" w:rsidP="001E29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rsidR="006D1A16" w:rsidRPr="00ED79B6" w:rsidRDefault="006D1A16" w:rsidP="003164D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B3B51" w:rsidRDefault="006D1A16" w:rsidP="00AE59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D1A16" w:rsidRPr="007B3B51" w:rsidTr="00093C32">
      <w:tc>
        <w:tcPr>
          <w:tcW w:w="854" w:type="pct"/>
        </w:tcPr>
        <w:p w:rsidR="006D1A16" w:rsidRPr="007B3B51" w:rsidRDefault="006D1A16" w:rsidP="00AE59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6D1A16" w:rsidRPr="007B3B51" w:rsidRDefault="006D1A16" w:rsidP="00AE59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D50">
            <w:rPr>
              <w:i/>
              <w:noProof/>
              <w:sz w:val="16"/>
              <w:szCs w:val="16"/>
            </w:rPr>
            <w:t>Corporations (Review Fees) Regulations 2003</w:t>
          </w:r>
          <w:r w:rsidRPr="007B3B51">
            <w:rPr>
              <w:i/>
              <w:sz w:val="16"/>
              <w:szCs w:val="16"/>
            </w:rPr>
            <w:fldChar w:fldCharType="end"/>
          </w:r>
        </w:p>
      </w:tc>
      <w:tc>
        <w:tcPr>
          <w:tcW w:w="458" w:type="pct"/>
        </w:tcPr>
        <w:p w:rsidR="006D1A16" w:rsidRPr="007B3B51" w:rsidRDefault="006D1A16" w:rsidP="00AE5925">
          <w:pPr>
            <w:jc w:val="right"/>
            <w:rPr>
              <w:sz w:val="16"/>
              <w:szCs w:val="16"/>
            </w:rPr>
          </w:pPr>
        </w:p>
      </w:tc>
    </w:tr>
    <w:tr w:rsidR="006D1A16" w:rsidRPr="0055472E" w:rsidTr="00BD112D">
      <w:tc>
        <w:tcPr>
          <w:tcW w:w="1499" w:type="pct"/>
          <w:gridSpan w:val="2"/>
        </w:tcPr>
        <w:p w:rsidR="006D1A16" w:rsidRPr="0055472E" w:rsidRDefault="006D1A16" w:rsidP="00AE59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A6D8A">
            <w:rPr>
              <w:sz w:val="16"/>
              <w:szCs w:val="16"/>
            </w:rPr>
            <w:t>10</w:t>
          </w:r>
          <w:r w:rsidRPr="0055472E">
            <w:rPr>
              <w:sz w:val="16"/>
              <w:szCs w:val="16"/>
            </w:rPr>
            <w:fldChar w:fldCharType="end"/>
          </w:r>
        </w:p>
      </w:tc>
      <w:tc>
        <w:tcPr>
          <w:tcW w:w="1999" w:type="pct"/>
        </w:tcPr>
        <w:p w:rsidR="006D1A16" w:rsidRPr="0055472E" w:rsidRDefault="006D1A16" w:rsidP="00AE592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A6D8A">
            <w:rPr>
              <w:sz w:val="16"/>
              <w:szCs w:val="16"/>
            </w:rPr>
            <w:t>01/07/2022</w:t>
          </w:r>
          <w:r w:rsidRPr="0055472E">
            <w:rPr>
              <w:sz w:val="16"/>
              <w:szCs w:val="16"/>
            </w:rPr>
            <w:fldChar w:fldCharType="end"/>
          </w:r>
        </w:p>
      </w:tc>
      <w:tc>
        <w:tcPr>
          <w:tcW w:w="1502" w:type="pct"/>
          <w:gridSpan w:val="2"/>
        </w:tcPr>
        <w:p w:rsidR="006D1A16" w:rsidRPr="0055472E" w:rsidRDefault="006D1A16" w:rsidP="00AE59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A6D8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A6D8A">
            <w:rPr>
              <w:noProof/>
              <w:sz w:val="16"/>
              <w:szCs w:val="16"/>
            </w:rPr>
            <w:t>04/08/2022</w:t>
          </w:r>
          <w:r w:rsidRPr="0055472E">
            <w:rPr>
              <w:sz w:val="16"/>
              <w:szCs w:val="16"/>
            </w:rPr>
            <w:fldChar w:fldCharType="end"/>
          </w:r>
        </w:p>
      </w:tc>
    </w:tr>
  </w:tbl>
  <w:p w:rsidR="006D1A16" w:rsidRPr="009B0E28" w:rsidRDefault="006D1A16" w:rsidP="009B0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16" w:rsidRDefault="006D1A16" w:rsidP="00AC2308">
      <w:r>
        <w:separator/>
      </w:r>
    </w:p>
  </w:footnote>
  <w:footnote w:type="continuationSeparator" w:id="0">
    <w:p w:rsidR="006D1A16" w:rsidRDefault="006D1A16" w:rsidP="00AC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rsidP="00AE5925">
    <w:pPr>
      <w:pStyle w:val="Header"/>
      <w:pBdr>
        <w:bottom w:val="single" w:sz="6" w:space="1" w:color="auto"/>
      </w:pBdr>
    </w:pPr>
  </w:p>
  <w:p w:rsidR="006D1A16" w:rsidRDefault="006D1A16" w:rsidP="00AE5925">
    <w:pPr>
      <w:pStyle w:val="Header"/>
      <w:pBdr>
        <w:bottom w:val="single" w:sz="6" w:space="1" w:color="auto"/>
      </w:pBdr>
    </w:pPr>
  </w:p>
  <w:p w:rsidR="006D1A16" w:rsidRPr="001E77D2" w:rsidRDefault="006D1A16" w:rsidP="00AE592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pPr>
      <w:rPr>
        <w:sz w:val="20"/>
      </w:rPr>
    </w:pPr>
    <w:r>
      <w:rPr>
        <w:b/>
        <w:sz w:val="20"/>
      </w:rPr>
      <w:fldChar w:fldCharType="begin"/>
    </w:r>
    <w:r>
      <w:rPr>
        <w:b/>
        <w:sz w:val="20"/>
      </w:rPr>
      <w:instrText xml:space="preserve"> STYLEREF CharChapNo </w:instrText>
    </w:r>
    <w:r w:rsidR="009A6D8A">
      <w:rPr>
        <w:b/>
        <w:sz w:val="20"/>
      </w:rPr>
      <w:fldChar w:fldCharType="separate"/>
    </w:r>
    <w:r w:rsidR="004A7D5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9A6D8A">
      <w:rPr>
        <w:sz w:val="20"/>
      </w:rPr>
      <w:fldChar w:fldCharType="separate"/>
    </w:r>
    <w:r w:rsidR="004A7D50">
      <w:rPr>
        <w:noProof/>
        <w:sz w:val="20"/>
      </w:rPr>
      <w:t>Review fees</w:t>
    </w:r>
    <w:r>
      <w:rPr>
        <w:sz w:val="20"/>
      </w:rPr>
      <w:fldChar w:fldCharType="end"/>
    </w:r>
  </w:p>
  <w:p w:rsidR="006D1A16" w:rsidRDefault="006D1A1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4A7D50">
      <w:rPr>
        <w:b/>
        <w:noProof/>
        <w:sz w:val="20"/>
      </w:rPr>
      <w:t>Part 1A</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A7D50">
      <w:rPr>
        <w:noProof/>
        <w:sz w:val="20"/>
      </w:rPr>
      <w:t>Upfront fees</w:t>
    </w:r>
    <w:r>
      <w:rPr>
        <w:sz w:val="20"/>
      </w:rPr>
      <w:fldChar w:fldCharType="end"/>
    </w:r>
  </w:p>
  <w:p w:rsidR="006D1A16" w:rsidRDefault="006D1A16">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8A2C51" w:rsidRDefault="006D1A16">
    <w:pPr>
      <w:jc w:val="right"/>
      <w:rPr>
        <w:sz w:val="20"/>
      </w:rPr>
    </w:pPr>
    <w:r w:rsidRPr="008A2C51">
      <w:rPr>
        <w:sz w:val="20"/>
      </w:rPr>
      <w:fldChar w:fldCharType="begin"/>
    </w:r>
    <w:r w:rsidRPr="008A2C51">
      <w:rPr>
        <w:sz w:val="20"/>
      </w:rPr>
      <w:instrText xml:space="preserve"> STYLEREF CharChapText </w:instrText>
    </w:r>
    <w:r w:rsidR="009A6D8A">
      <w:rPr>
        <w:sz w:val="20"/>
      </w:rPr>
      <w:fldChar w:fldCharType="separate"/>
    </w:r>
    <w:r w:rsidR="004A7D50">
      <w:rPr>
        <w:noProof/>
        <w:sz w:val="20"/>
      </w:rPr>
      <w:t>Review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9A6D8A">
      <w:rPr>
        <w:b/>
        <w:sz w:val="20"/>
      </w:rPr>
      <w:fldChar w:fldCharType="separate"/>
    </w:r>
    <w:r w:rsidR="004A7D50">
      <w:rPr>
        <w:b/>
        <w:noProof/>
        <w:sz w:val="20"/>
      </w:rPr>
      <w:t>Schedule 1</w:t>
    </w:r>
    <w:r w:rsidRPr="008A2C51">
      <w:rPr>
        <w:b/>
        <w:sz w:val="20"/>
      </w:rPr>
      <w:fldChar w:fldCharType="end"/>
    </w:r>
  </w:p>
  <w:p w:rsidR="006D1A16" w:rsidRPr="008A2C51" w:rsidRDefault="006D1A1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4A7D50">
      <w:rPr>
        <w:noProof/>
        <w:sz w:val="20"/>
      </w:rPr>
      <w:t>Late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4A7D50">
      <w:rPr>
        <w:b/>
        <w:noProof/>
        <w:sz w:val="20"/>
      </w:rPr>
      <w:t>Part 2</w:t>
    </w:r>
    <w:r w:rsidRPr="008A2C51">
      <w:rPr>
        <w:b/>
        <w:sz w:val="20"/>
      </w:rPr>
      <w:fldChar w:fldCharType="end"/>
    </w:r>
  </w:p>
  <w:p w:rsidR="006D1A16" w:rsidRPr="008A2C51" w:rsidRDefault="006D1A16">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BE5CD2" w:rsidRDefault="006D1A16" w:rsidP="001E29E2">
    <w:pPr>
      <w:rPr>
        <w:sz w:val="26"/>
        <w:szCs w:val="26"/>
      </w:rPr>
    </w:pPr>
  </w:p>
  <w:p w:rsidR="006D1A16" w:rsidRPr="0020230A" w:rsidRDefault="006D1A16" w:rsidP="001E29E2">
    <w:pPr>
      <w:rPr>
        <w:b/>
        <w:sz w:val="20"/>
      </w:rPr>
    </w:pPr>
    <w:r w:rsidRPr="0020230A">
      <w:rPr>
        <w:b/>
        <w:sz w:val="20"/>
      </w:rPr>
      <w:t>Endnotes</w:t>
    </w:r>
  </w:p>
  <w:p w:rsidR="006D1A16" w:rsidRPr="007A1328" w:rsidRDefault="006D1A16" w:rsidP="001E29E2">
    <w:pPr>
      <w:rPr>
        <w:sz w:val="20"/>
      </w:rPr>
    </w:pPr>
  </w:p>
  <w:p w:rsidR="006D1A16" w:rsidRPr="007A1328" w:rsidRDefault="006D1A16" w:rsidP="001E29E2">
    <w:pPr>
      <w:rPr>
        <w:b/>
        <w:sz w:val="24"/>
      </w:rPr>
    </w:pPr>
  </w:p>
  <w:p w:rsidR="006D1A16" w:rsidRPr="00BE5CD2" w:rsidRDefault="006D1A16" w:rsidP="001E29E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A7D5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BE5CD2" w:rsidRDefault="006D1A16" w:rsidP="001E29E2">
    <w:pPr>
      <w:jc w:val="right"/>
      <w:rPr>
        <w:sz w:val="26"/>
        <w:szCs w:val="26"/>
      </w:rPr>
    </w:pPr>
  </w:p>
  <w:p w:rsidR="006D1A16" w:rsidRPr="0020230A" w:rsidRDefault="006D1A16" w:rsidP="001E29E2">
    <w:pPr>
      <w:jc w:val="right"/>
      <w:rPr>
        <w:b/>
        <w:sz w:val="20"/>
      </w:rPr>
    </w:pPr>
    <w:r w:rsidRPr="0020230A">
      <w:rPr>
        <w:b/>
        <w:sz w:val="20"/>
      </w:rPr>
      <w:t>Endnotes</w:t>
    </w:r>
  </w:p>
  <w:p w:rsidR="006D1A16" w:rsidRPr="007A1328" w:rsidRDefault="006D1A16" w:rsidP="001E29E2">
    <w:pPr>
      <w:jc w:val="right"/>
      <w:rPr>
        <w:sz w:val="20"/>
      </w:rPr>
    </w:pPr>
  </w:p>
  <w:p w:rsidR="006D1A16" w:rsidRPr="007A1328" w:rsidRDefault="006D1A16" w:rsidP="001E29E2">
    <w:pPr>
      <w:jc w:val="right"/>
      <w:rPr>
        <w:b/>
        <w:sz w:val="24"/>
      </w:rPr>
    </w:pPr>
  </w:p>
  <w:p w:rsidR="006D1A16" w:rsidRPr="00BE5CD2" w:rsidRDefault="006D1A16" w:rsidP="001E29E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B34C5">
      <w:rPr>
        <w:noProof/>
        <w:szCs w:val="22"/>
      </w:rPr>
      <w:t>Endnote 2—Abbreviation key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BE5CD2" w:rsidRDefault="006D1A16" w:rsidP="001E29E2">
    <w:pPr>
      <w:rPr>
        <w:sz w:val="26"/>
        <w:szCs w:val="26"/>
      </w:rPr>
    </w:pPr>
  </w:p>
  <w:p w:rsidR="006D1A16" w:rsidRPr="0020230A" w:rsidRDefault="006D1A16" w:rsidP="001E29E2">
    <w:pPr>
      <w:rPr>
        <w:b/>
        <w:sz w:val="20"/>
      </w:rPr>
    </w:pPr>
    <w:r w:rsidRPr="0020230A">
      <w:rPr>
        <w:b/>
        <w:sz w:val="20"/>
      </w:rPr>
      <w:t>Endnotes</w:t>
    </w:r>
  </w:p>
  <w:p w:rsidR="006D1A16" w:rsidRPr="007A1328" w:rsidRDefault="006D1A16" w:rsidP="001E29E2">
    <w:pPr>
      <w:rPr>
        <w:sz w:val="20"/>
      </w:rPr>
    </w:pPr>
  </w:p>
  <w:p w:rsidR="006D1A16" w:rsidRPr="007A1328" w:rsidRDefault="006D1A16" w:rsidP="001E29E2">
    <w:pPr>
      <w:rPr>
        <w:b/>
        <w:sz w:val="24"/>
      </w:rPr>
    </w:pPr>
  </w:p>
  <w:p w:rsidR="006D1A16" w:rsidRPr="00BE5CD2" w:rsidRDefault="006D1A16" w:rsidP="001E29E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A6D8A">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167"/>
    </w:tblGrid>
    <w:tr w:rsidR="006D1A16">
      <w:tc>
        <w:tcPr>
          <w:tcW w:w="7167" w:type="dxa"/>
        </w:tcPr>
        <w:p w:rsidR="006D1A16" w:rsidRDefault="006D1A16" w:rsidP="00F34BCF">
          <w:r>
            <w:t xml:space="preserve">Notes to the </w:t>
          </w:r>
          <w:r w:rsidRPr="00264A41">
            <w:rPr>
              <w:i/>
            </w:rPr>
            <w:fldChar w:fldCharType="begin"/>
          </w:r>
          <w:r w:rsidRPr="00264A41">
            <w:rPr>
              <w:i/>
            </w:rPr>
            <w:instrText xml:space="preserve"> STYLEREF  Title </w:instrText>
          </w:r>
          <w:r w:rsidRPr="00264A41">
            <w:rPr>
              <w:i/>
            </w:rPr>
            <w:fldChar w:fldCharType="separate"/>
          </w:r>
          <w:r w:rsidR="009A6D8A">
            <w:rPr>
              <w:b/>
              <w:bCs/>
              <w:i/>
              <w:noProof/>
              <w:lang w:val="en-US"/>
            </w:rPr>
            <w:t>Error! No text of specified style in document.</w:t>
          </w:r>
          <w:r w:rsidRPr="00264A41">
            <w:rPr>
              <w:i/>
            </w:rPr>
            <w:fldChar w:fldCharType="end"/>
          </w:r>
        </w:p>
      </w:tc>
    </w:tr>
    <w:tr w:rsidR="006D1A16">
      <w:tc>
        <w:tcPr>
          <w:tcW w:w="7167" w:type="dxa"/>
        </w:tcPr>
        <w:p w:rsidR="006D1A16" w:rsidRDefault="006D1A16" w:rsidP="00F34BCF"/>
      </w:tc>
    </w:tr>
    <w:tr w:rsidR="006D1A16">
      <w:tc>
        <w:tcPr>
          <w:tcW w:w="7167" w:type="dxa"/>
          <w:tcBorders>
            <w:bottom w:val="single" w:sz="4" w:space="0" w:color="auto"/>
          </w:tcBorders>
          <w:shd w:val="clear" w:color="auto" w:fill="auto"/>
        </w:tcPr>
        <w:p w:rsidR="006D1A16" w:rsidRDefault="006D1A16" w:rsidP="00F34BCF">
          <w:r>
            <w:fldChar w:fldCharType="begin"/>
          </w:r>
          <w:r>
            <w:instrText xml:space="preserve"> STYLEREF  CharENotesHeading  \* CHARFORMAT </w:instrText>
          </w:r>
          <w:r>
            <w:fldChar w:fldCharType="separate"/>
          </w:r>
          <w:r w:rsidR="009A6D8A">
            <w:rPr>
              <w:b/>
              <w:bCs/>
              <w:noProof/>
              <w:lang w:val="en-US"/>
            </w:rPr>
            <w:t>Error! Use the Home tab to apply CharENotesHeading to the text that you want to appear here.</w:t>
          </w:r>
          <w:r>
            <w:fldChar w:fldCharType="end"/>
          </w:r>
        </w:p>
      </w:tc>
    </w:tr>
  </w:tbl>
  <w:p w:rsidR="006D1A16" w:rsidRDefault="006D1A16" w:rsidP="00F34BC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rsidP="00F34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rsidP="00AE5925">
    <w:pPr>
      <w:pStyle w:val="Header"/>
      <w:pBdr>
        <w:bottom w:val="single" w:sz="4" w:space="1" w:color="auto"/>
      </w:pBdr>
    </w:pPr>
  </w:p>
  <w:p w:rsidR="006D1A16" w:rsidRDefault="006D1A16" w:rsidP="00AE5925">
    <w:pPr>
      <w:pStyle w:val="Header"/>
      <w:pBdr>
        <w:bottom w:val="single" w:sz="4" w:space="1" w:color="auto"/>
      </w:pBdr>
    </w:pPr>
  </w:p>
  <w:p w:rsidR="006D1A16" w:rsidRPr="001E77D2" w:rsidRDefault="006D1A16" w:rsidP="00AE592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5F1388" w:rsidRDefault="006D1A16" w:rsidP="00AE592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ED79B6" w:rsidRDefault="006D1A16" w:rsidP="009B0E28">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ED79B6" w:rsidRDefault="006D1A16" w:rsidP="009B0E28">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ED79B6" w:rsidRDefault="006D1A16" w:rsidP="001E29E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Default="006D1A16" w:rsidP="001E29E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D1A16" w:rsidRDefault="006D1A16" w:rsidP="001E29E2">
    <w:pPr>
      <w:rPr>
        <w:sz w:val="20"/>
      </w:rPr>
    </w:pPr>
    <w:r w:rsidRPr="007A1328">
      <w:rPr>
        <w:b/>
        <w:sz w:val="20"/>
      </w:rPr>
      <w:fldChar w:fldCharType="begin"/>
    </w:r>
    <w:r w:rsidRPr="007A1328">
      <w:rPr>
        <w:b/>
        <w:sz w:val="20"/>
      </w:rPr>
      <w:instrText xml:space="preserve"> STYLEREF CharPartNo </w:instrText>
    </w:r>
    <w:r w:rsidR="009A6D8A">
      <w:rPr>
        <w:b/>
        <w:sz w:val="20"/>
      </w:rPr>
      <w:fldChar w:fldCharType="separate"/>
    </w:r>
    <w:r w:rsidR="004A7D5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A6D8A">
      <w:rPr>
        <w:sz w:val="20"/>
      </w:rPr>
      <w:fldChar w:fldCharType="separate"/>
    </w:r>
    <w:r w:rsidR="004A7D50">
      <w:rPr>
        <w:noProof/>
        <w:sz w:val="20"/>
      </w:rPr>
      <w:t>Application, saving and transitional provisions</w:t>
    </w:r>
    <w:r>
      <w:rPr>
        <w:sz w:val="20"/>
      </w:rPr>
      <w:fldChar w:fldCharType="end"/>
    </w:r>
  </w:p>
  <w:p w:rsidR="006D1A16" w:rsidRPr="007A1328" w:rsidRDefault="006D1A16" w:rsidP="001E29E2">
    <w:pPr>
      <w:rPr>
        <w:sz w:val="20"/>
      </w:rPr>
    </w:pPr>
    <w:r>
      <w:rPr>
        <w:b/>
        <w:sz w:val="20"/>
      </w:rPr>
      <w:fldChar w:fldCharType="begin"/>
    </w:r>
    <w:r>
      <w:rPr>
        <w:b/>
        <w:sz w:val="20"/>
      </w:rPr>
      <w:instrText xml:space="preserve"> STYLEREF CharDivNo </w:instrText>
    </w:r>
    <w:r w:rsidR="004A7D50">
      <w:rPr>
        <w:b/>
        <w:sz w:val="20"/>
      </w:rPr>
      <w:fldChar w:fldCharType="separate"/>
    </w:r>
    <w:r w:rsidR="004A7D50">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A7D50">
      <w:rPr>
        <w:sz w:val="20"/>
      </w:rPr>
      <w:fldChar w:fldCharType="separate"/>
    </w:r>
    <w:r w:rsidR="004A7D50">
      <w:rPr>
        <w:noProof/>
        <w:sz w:val="20"/>
      </w:rPr>
      <w:t>Amendments made by the Corporations (Review Fees) Amendment (Corporate Collective Investment Vehicle Framework) Regulations 2022</w:t>
    </w:r>
    <w:r>
      <w:rPr>
        <w:sz w:val="20"/>
      </w:rPr>
      <w:fldChar w:fldCharType="end"/>
    </w:r>
  </w:p>
  <w:p w:rsidR="006D1A16" w:rsidRPr="007A1328" w:rsidRDefault="006D1A16" w:rsidP="001E29E2">
    <w:pPr>
      <w:rPr>
        <w:b/>
        <w:sz w:val="24"/>
      </w:rPr>
    </w:pPr>
  </w:p>
  <w:p w:rsidR="006D1A16" w:rsidRPr="007A1328" w:rsidRDefault="006D1A16" w:rsidP="001E29E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9A6D8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7D50">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A1328" w:rsidRDefault="006D1A16" w:rsidP="001E29E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D1A16" w:rsidRPr="007A1328" w:rsidRDefault="006D1A16" w:rsidP="001E29E2">
    <w:pPr>
      <w:jc w:val="right"/>
      <w:rPr>
        <w:sz w:val="20"/>
      </w:rPr>
    </w:pPr>
    <w:r w:rsidRPr="007A1328">
      <w:rPr>
        <w:sz w:val="20"/>
      </w:rPr>
      <w:fldChar w:fldCharType="begin"/>
    </w:r>
    <w:r w:rsidRPr="007A1328">
      <w:rPr>
        <w:sz w:val="20"/>
      </w:rPr>
      <w:instrText xml:space="preserve"> STYLEREF CharPartText </w:instrText>
    </w:r>
    <w:r w:rsidR="004A7D50">
      <w:rPr>
        <w:sz w:val="20"/>
      </w:rPr>
      <w:fldChar w:fldCharType="separate"/>
    </w:r>
    <w:r w:rsidR="003B34C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A7D50">
      <w:rPr>
        <w:b/>
        <w:sz w:val="20"/>
      </w:rPr>
      <w:fldChar w:fldCharType="separate"/>
    </w:r>
    <w:r w:rsidR="003B34C5">
      <w:rPr>
        <w:b/>
        <w:noProof/>
        <w:sz w:val="20"/>
      </w:rPr>
      <w:t>Part 1</w:t>
    </w:r>
    <w:r>
      <w:rPr>
        <w:b/>
        <w:sz w:val="20"/>
      </w:rPr>
      <w:fldChar w:fldCharType="end"/>
    </w:r>
  </w:p>
  <w:p w:rsidR="006D1A16" w:rsidRPr="007A1328" w:rsidRDefault="006D1A16" w:rsidP="001E29E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D1A16" w:rsidRPr="007A1328" w:rsidRDefault="006D1A16" w:rsidP="001E29E2">
    <w:pPr>
      <w:jc w:val="right"/>
      <w:rPr>
        <w:b/>
        <w:sz w:val="24"/>
      </w:rPr>
    </w:pPr>
  </w:p>
  <w:p w:rsidR="006D1A16" w:rsidRPr="007A1328" w:rsidRDefault="006D1A16" w:rsidP="001E29E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9A6D8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34C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16" w:rsidRPr="007A1328" w:rsidRDefault="006D1A16" w:rsidP="001E29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439F"/>
    <w:rsid w:val="000047FD"/>
    <w:rsid w:val="000056EE"/>
    <w:rsid w:val="00006F3C"/>
    <w:rsid w:val="00010203"/>
    <w:rsid w:val="00011BD7"/>
    <w:rsid w:val="00012A4E"/>
    <w:rsid w:val="0001739E"/>
    <w:rsid w:val="00023FD2"/>
    <w:rsid w:val="0003434D"/>
    <w:rsid w:val="0003498B"/>
    <w:rsid w:val="00055E25"/>
    <w:rsid w:val="00056FEE"/>
    <w:rsid w:val="00065A0E"/>
    <w:rsid w:val="00075126"/>
    <w:rsid w:val="000753EE"/>
    <w:rsid w:val="00075B3D"/>
    <w:rsid w:val="0008324A"/>
    <w:rsid w:val="000874EB"/>
    <w:rsid w:val="00092802"/>
    <w:rsid w:val="00093C32"/>
    <w:rsid w:val="000B0A20"/>
    <w:rsid w:val="000B26C3"/>
    <w:rsid w:val="000B52F3"/>
    <w:rsid w:val="000C56FE"/>
    <w:rsid w:val="000D112D"/>
    <w:rsid w:val="000D363E"/>
    <w:rsid w:val="000E081D"/>
    <w:rsid w:val="000F140F"/>
    <w:rsid w:val="000F2187"/>
    <w:rsid w:val="000F6C4D"/>
    <w:rsid w:val="001057AE"/>
    <w:rsid w:val="00105D4B"/>
    <w:rsid w:val="00106EBB"/>
    <w:rsid w:val="0010710F"/>
    <w:rsid w:val="001117E3"/>
    <w:rsid w:val="00111E48"/>
    <w:rsid w:val="00114286"/>
    <w:rsid w:val="00122CA1"/>
    <w:rsid w:val="00123387"/>
    <w:rsid w:val="00123DEC"/>
    <w:rsid w:val="00126C33"/>
    <w:rsid w:val="00126D00"/>
    <w:rsid w:val="00132EB5"/>
    <w:rsid w:val="00133419"/>
    <w:rsid w:val="001363F5"/>
    <w:rsid w:val="00144F26"/>
    <w:rsid w:val="00145C33"/>
    <w:rsid w:val="0014660D"/>
    <w:rsid w:val="00152824"/>
    <w:rsid w:val="00153593"/>
    <w:rsid w:val="00153843"/>
    <w:rsid w:val="001544DD"/>
    <w:rsid w:val="00180CD3"/>
    <w:rsid w:val="001827BB"/>
    <w:rsid w:val="00191B57"/>
    <w:rsid w:val="00195953"/>
    <w:rsid w:val="001A25BD"/>
    <w:rsid w:val="001B680B"/>
    <w:rsid w:val="001B7079"/>
    <w:rsid w:val="001C2D2D"/>
    <w:rsid w:val="001C3CFF"/>
    <w:rsid w:val="001C4F0D"/>
    <w:rsid w:val="001C6C78"/>
    <w:rsid w:val="001D1730"/>
    <w:rsid w:val="001D49E7"/>
    <w:rsid w:val="001D53F8"/>
    <w:rsid w:val="001E0659"/>
    <w:rsid w:val="001E29E2"/>
    <w:rsid w:val="001E551F"/>
    <w:rsid w:val="001F204C"/>
    <w:rsid w:val="0020488A"/>
    <w:rsid w:val="00207859"/>
    <w:rsid w:val="002125DA"/>
    <w:rsid w:val="00220EDA"/>
    <w:rsid w:val="00221CD3"/>
    <w:rsid w:val="00222DA1"/>
    <w:rsid w:val="00223A7F"/>
    <w:rsid w:val="002250FB"/>
    <w:rsid w:val="002303A1"/>
    <w:rsid w:val="00240F59"/>
    <w:rsid w:val="00254B2F"/>
    <w:rsid w:val="00254C12"/>
    <w:rsid w:val="00262431"/>
    <w:rsid w:val="002705A1"/>
    <w:rsid w:val="00270826"/>
    <w:rsid w:val="0027363B"/>
    <w:rsid w:val="00286B0C"/>
    <w:rsid w:val="002902DD"/>
    <w:rsid w:val="00296435"/>
    <w:rsid w:val="0029646C"/>
    <w:rsid w:val="00296E69"/>
    <w:rsid w:val="002A25CC"/>
    <w:rsid w:val="002A449F"/>
    <w:rsid w:val="002A57A4"/>
    <w:rsid w:val="002B0517"/>
    <w:rsid w:val="002C0E89"/>
    <w:rsid w:val="002C42F1"/>
    <w:rsid w:val="002C79E4"/>
    <w:rsid w:val="002C7F8D"/>
    <w:rsid w:val="002D35D3"/>
    <w:rsid w:val="002E21AF"/>
    <w:rsid w:val="002F149C"/>
    <w:rsid w:val="002F238C"/>
    <w:rsid w:val="0030627F"/>
    <w:rsid w:val="003164D4"/>
    <w:rsid w:val="00320AAB"/>
    <w:rsid w:val="003242D2"/>
    <w:rsid w:val="003269CD"/>
    <w:rsid w:val="00327AAB"/>
    <w:rsid w:val="003328BD"/>
    <w:rsid w:val="00336768"/>
    <w:rsid w:val="00336A0F"/>
    <w:rsid w:val="00342096"/>
    <w:rsid w:val="00347380"/>
    <w:rsid w:val="00347ABE"/>
    <w:rsid w:val="00351600"/>
    <w:rsid w:val="003567D5"/>
    <w:rsid w:val="003570F6"/>
    <w:rsid w:val="00365485"/>
    <w:rsid w:val="00366209"/>
    <w:rsid w:val="00367B37"/>
    <w:rsid w:val="00393A96"/>
    <w:rsid w:val="00396732"/>
    <w:rsid w:val="003A2B4A"/>
    <w:rsid w:val="003A3291"/>
    <w:rsid w:val="003B34C5"/>
    <w:rsid w:val="003B3A75"/>
    <w:rsid w:val="003B560E"/>
    <w:rsid w:val="003C1D3B"/>
    <w:rsid w:val="003C66B8"/>
    <w:rsid w:val="003C700C"/>
    <w:rsid w:val="003D20DD"/>
    <w:rsid w:val="003D72F5"/>
    <w:rsid w:val="003E030F"/>
    <w:rsid w:val="003F1A97"/>
    <w:rsid w:val="003F1AF9"/>
    <w:rsid w:val="004207D7"/>
    <w:rsid w:val="00421CF8"/>
    <w:rsid w:val="00424431"/>
    <w:rsid w:val="00427249"/>
    <w:rsid w:val="00436CFE"/>
    <w:rsid w:val="00441257"/>
    <w:rsid w:val="00442444"/>
    <w:rsid w:val="0044575F"/>
    <w:rsid w:val="00451033"/>
    <w:rsid w:val="00452B7A"/>
    <w:rsid w:val="00454D0B"/>
    <w:rsid w:val="00457AC5"/>
    <w:rsid w:val="00461DCF"/>
    <w:rsid w:val="00462947"/>
    <w:rsid w:val="0047221D"/>
    <w:rsid w:val="00476157"/>
    <w:rsid w:val="00482B0A"/>
    <w:rsid w:val="0048369D"/>
    <w:rsid w:val="00490956"/>
    <w:rsid w:val="00490BA7"/>
    <w:rsid w:val="00492AF6"/>
    <w:rsid w:val="0049476B"/>
    <w:rsid w:val="004A7D50"/>
    <w:rsid w:val="004B1E60"/>
    <w:rsid w:val="004B717C"/>
    <w:rsid w:val="004C4116"/>
    <w:rsid w:val="004D169D"/>
    <w:rsid w:val="004D25B2"/>
    <w:rsid w:val="004D2CCB"/>
    <w:rsid w:val="004D36B5"/>
    <w:rsid w:val="004E01BE"/>
    <w:rsid w:val="004E3375"/>
    <w:rsid w:val="004E6672"/>
    <w:rsid w:val="004F0A32"/>
    <w:rsid w:val="004F261B"/>
    <w:rsid w:val="004F586F"/>
    <w:rsid w:val="004F5EEC"/>
    <w:rsid w:val="004F60B7"/>
    <w:rsid w:val="004F6F63"/>
    <w:rsid w:val="0051543A"/>
    <w:rsid w:val="00524BE1"/>
    <w:rsid w:val="00535BFA"/>
    <w:rsid w:val="00553BBD"/>
    <w:rsid w:val="00553CCE"/>
    <w:rsid w:val="005548F9"/>
    <w:rsid w:val="00561460"/>
    <w:rsid w:val="00564001"/>
    <w:rsid w:val="00571CCD"/>
    <w:rsid w:val="00577475"/>
    <w:rsid w:val="00584A71"/>
    <w:rsid w:val="005867F2"/>
    <w:rsid w:val="00590B66"/>
    <w:rsid w:val="00594F6A"/>
    <w:rsid w:val="005A04A5"/>
    <w:rsid w:val="005A0F53"/>
    <w:rsid w:val="005A2A56"/>
    <w:rsid w:val="005B2BDF"/>
    <w:rsid w:val="005B5F4D"/>
    <w:rsid w:val="005C20BB"/>
    <w:rsid w:val="005C7760"/>
    <w:rsid w:val="005C7BB8"/>
    <w:rsid w:val="005D40F1"/>
    <w:rsid w:val="005D491C"/>
    <w:rsid w:val="005D5651"/>
    <w:rsid w:val="005D6F22"/>
    <w:rsid w:val="005E42DE"/>
    <w:rsid w:val="005E5309"/>
    <w:rsid w:val="005E6D7C"/>
    <w:rsid w:val="005F3544"/>
    <w:rsid w:val="005F38C6"/>
    <w:rsid w:val="005F5365"/>
    <w:rsid w:val="0060405C"/>
    <w:rsid w:val="0060499E"/>
    <w:rsid w:val="006051EF"/>
    <w:rsid w:val="00610CB1"/>
    <w:rsid w:val="0061234D"/>
    <w:rsid w:val="006133D2"/>
    <w:rsid w:val="00630C62"/>
    <w:rsid w:val="006334F8"/>
    <w:rsid w:val="00645165"/>
    <w:rsid w:val="00645A49"/>
    <w:rsid w:val="00647421"/>
    <w:rsid w:val="006503AC"/>
    <w:rsid w:val="006548E6"/>
    <w:rsid w:val="00657047"/>
    <w:rsid w:val="0065794A"/>
    <w:rsid w:val="00672003"/>
    <w:rsid w:val="00672979"/>
    <w:rsid w:val="00673424"/>
    <w:rsid w:val="00675602"/>
    <w:rsid w:val="00686152"/>
    <w:rsid w:val="00697054"/>
    <w:rsid w:val="006A4BA5"/>
    <w:rsid w:val="006B28EE"/>
    <w:rsid w:val="006B6149"/>
    <w:rsid w:val="006C31CA"/>
    <w:rsid w:val="006C4BED"/>
    <w:rsid w:val="006C53D2"/>
    <w:rsid w:val="006C598D"/>
    <w:rsid w:val="006C646B"/>
    <w:rsid w:val="006C795D"/>
    <w:rsid w:val="006D0603"/>
    <w:rsid w:val="006D1228"/>
    <w:rsid w:val="006D18DE"/>
    <w:rsid w:val="006D1A16"/>
    <w:rsid w:val="006D4B99"/>
    <w:rsid w:val="006E480C"/>
    <w:rsid w:val="006E6AF8"/>
    <w:rsid w:val="006F2504"/>
    <w:rsid w:val="006F4850"/>
    <w:rsid w:val="007037DD"/>
    <w:rsid w:val="007067C6"/>
    <w:rsid w:val="00717563"/>
    <w:rsid w:val="0072542F"/>
    <w:rsid w:val="00730AB3"/>
    <w:rsid w:val="00732425"/>
    <w:rsid w:val="00733D1E"/>
    <w:rsid w:val="00733ED9"/>
    <w:rsid w:val="00735B24"/>
    <w:rsid w:val="0073761F"/>
    <w:rsid w:val="00741201"/>
    <w:rsid w:val="00742BE4"/>
    <w:rsid w:val="0074530F"/>
    <w:rsid w:val="00750F54"/>
    <w:rsid w:val="0075511E"/>
    <w:rsid w:val="007576E3"/>
    <w:rsid w:val="00757D9D"/>
    <w:rsid w:val="0076175C"/>
    <w:rsid w:val="007640FB"/>
    <w:rsid w:val="00765141"/>
    <w:rsid w:val="00773E9F"/>
    <w:rsid w:val="007769A5"/>
    <w:rsid w:val="00782484"/>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D3DDA"/>
    <w:rsid w:val="007E15FB"/>
    <w:rsid w:val="007E21C3"/>
    <w:rsid w:val="007F6B43"/>
    <w:rsid w:val="00800EE9"/>
    <w:rsid w:val="00802693"/>
    <w:rsid w:val="0081069E"/>
    <w:rsid w:val="008200F1"/>
    <w:rsid w:val="00820E6A"/>
    <w:rsid w:val="00834026"/>
    <w:rsid w:val="00840DF8"/>
    <w:rsid w:val="008421EA"/>
    <w:rsid w:val="0084699E"/>
    <w:rsid w:val="008529D0"/>
    <w:rsid w:val="00855B7C"/>
    <w:rsid w:val="008621D6"/>
    <w:rsid w:val="008747B5"/>
    <w:rsid w:val="00884A91"/>
    <w:rsid w:val="00890A16"/>
    <w:rsid w:val="00890F81"/>
    <w:rsid w:val="008966C6"/>
    <w:rsid w:val="008978D3"/>
    <w:rsid w:val="008A0D3A"/>
    <w:rsid w:val="008A3D32"/>
    <w:rsid w:val="008A5870"/>
    <w:rsid w:val="008A5DD5"/>
    <w:rsid w:val="008B2EC4"/>
    <w:rsid w:val="008B7998"/>
    <w:rsid w:val="008B7DD7"/>
    <w:rsid w:val="008C1D70"/>
    <w:rsid w:val="008C38FE"/>
    <w:rsid w:val="008D64ED"/>
    <w:rsid w:val="008E02E5"/>
    <w:rsid w:val="008E069A"/>
    <w:rsid w:val="008E74ED"/>
    <w:rsid w:val="008E7D39"/>
    <w:rsid w:val="008F5EC2"/>
    <w:rsid w:val="00900B51"/>
    <w:rsid w:val="00901D54"/>
    <w:rsid w:val="00901DA5"/>
    <w:rsid w:val="00902FB5"/>
    <w:rsid w:val="009070F5"/>
    <w:rsid w:val="00911B8A"/>
    <w:rsid w:val="0091411C"/>
    <w:rsid w:val="00914CC9"/>
    <w:rsid w:val="00915090"/>
    <w:rsid w:val="0093033C"/>
    <w:rsid w:val="00933F4E"/>
    <w:rsid w:val="009356C5"/>
    <w:rsid w:val="00935B83"/>
    <w:rsid w:val="00944599"/>
    <w:rsid w:val="00951AEA"/>
    <w:rsid w:val="0095322A"/>
    <w:rsid w:val="009553F5"/>
    <w:rsid w:val="009676B9"/>
    <w:rsid w:val="0097393A"/>
    <w:rsid w:val="0098205B"/>
    <w:rsid w:val="00982FFF"/>
    <w:rsid w:val="009849F8"/>
    <w:rsid w:val="00984E9E"/>
    <w:rsid w:val="00987DF2"/>
    <w:rsid w:val="00992087"/>
    <w:rsid w:val="00992710"/>
    <w:rsid w:val="009A595E"/>
    <w:rsid w:val="009A6018"/>
    <w:rsid w:val="009A6D8A"/>
    <w:rsid w:val="009B0E28"/>
    <w:rsid w:val="009C4410"/>
    <w:rsid w:val="009E3171"/>
    <w:rsid w:val="009F3211"/>
    <w:rsid w:val="009F71FE"/>
    <w:rsid w:val="00A01333"/>
    <w:rsid w:val="00A01FB2"/>
    <w:rsid w:val="00A03F84"/>
    <w:rsid w:val="00A1281A"/>
    <w:rsid w:val="00A17D1D"/>
    <w:rsid w:val="00A20966"/>
    <w:rsid w:val="00A26EC4"/>
    <w:rsid w:val="00A26F99"/>
    <w:rsid w:val="00A31BE9"/>
    <w:rsid w:val="00A40923"/>
    <w:rsid w:val="00A439AC"/>
    <w:rsid w:val="00A443EA"/>
    <w:rsid w:val="00A5794C"/>
    <w:rsid w:val="00A7238F"/>
    <w:rsid w:val="00A76914"/>
    <w:rsid w:val="00A76F26"/>
    <w:rsid w:val="00A836BD"/>
    <w:rsid w:val="00A91F48"/>
    <w:rsid w:val="00A939BC"/>
    <w:rsid w:val="00AA64FB"/>
    <w:rsid w:val="00AB3AB7"/>
    <w:rsid w:val="00AC2308"/>
    <w:rsid w:val="00AC2749"/>
    <w:rsid w:val="00AD4C82"/>
    <w:rsid w:val="00AE3BDB"/>
    <w:rsid w:val="00AE5649"/>
    <w:rsid w:val="00AE5925"/>
    <w:rsid w:val="00B02301"/>
    <w:rsid w:val="00B04E4B"/>
    <w:rsid w:val="00B11FF4"/>
    <w:rsid w:val="00B165A7"/>
    <w:rsid w:val="00B267A3"/>
    <w:rsid w:val="00B2730F"/>
    <w:rsid w:val="00B30C25"/>
    <w:rsid w:val="00B32831"/>
    <w:rsid w:val="00B341F1"/>
    <w:rsid w:val="00B40406"/>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9199F"/>
    <w:rsid w:val="00B91A90"/>
    <w:rsid w:val="00BA3AA3"/>
    <w:rsid w:val="00BA4CD6"/>
    <w:rsid w:val="00BA56DA"/>
    <w:rsid w:val="00BA5A9A"/>
    <w:rsid w:val="00BA61EE"/>
    <w:rsid w:val="00BA761C"/>
    <w:rsid w:val="00BB532C"/>
    <w:rsid w:val="00BC63F3"/>
    <w:rsid w:val="00BD0348"/>
    <w:rsid w:val="00BD112D"/>
    <w:rsid w:val="00BD12AB"/>
    <w:rsid w:val="00BE6847"/>
    <w:rsid w:val="00BE7291"/>
    <w:rsid w:val="00C02DBF"/>
    <w:rsid w:val="00C03332"/>
    <w:rsid w:val="00C13341"/>
    <w:rsid w:val="00C143E8"/>
    <w:rsid w:val="00C17668"/>
    <w:rsid w:val="00C24D82"/>
    <w:rsid w:val="00C27C94"/>
    <w:rsid w:val="00C321EA"/>
    <w:rsid w:val="00C333B9"/>
    <w:rsid w:val="00C33891"/>
    <w:rsid w:val="00C34B2A"/>
    <w:rsid w:val="00C452AC"/>
    <w:rsid w:val="00C50FB8"/>
    <w:rsid w:val="00C5685E"/>
    <w:rsid w:val="00C56C15"/>
    <w:rsid w:val="00C65016"/>
    <w:rsid w:val="00C70765"/>
    <w:rsid w:val="00C70FAF"/>
    <w:rsid w:val="00C7159C"/>
    <w:rsid w:val="00C73929"/>
    <w:rsid w:val="00C82160"/>
    <w:rsid w:val="00C82911"/>
    <w:rsid w:val="00C82D38"/>
    <w:rsid w:val="00C85260"/>
    <w:rsid w:val="00C861D2"/>
    <w:rsid w:val="00C92281"/>
    <w:rsid w:val="00C92CDA"/>
    <w:rsid w:val="00C9472B"/>
    <w:rsid w:val="00C95A4E"/>
    <w:rsid w:val="00C96597"/>
    <w:rsid w:val="00C969F3"/>
    <w:rsid w:val="00CA0C99"/>
    <w:rsid w:val="00CA1EB2"/>
    <w:rsid w:val="00CA2D2A"/>
    <w:rsid w:val="00CC1FC2"/>
    <w:rsid w:val="00CC4EF4"/>
    <w:rsid w:val="00CC5A7E"/>
    <w:rsid w:val="00CC60E7"/>
    <w:rsid w:val="00CC7753"/>
    <w:rsid w:val="00CC7CA2"/>
    <w:rsid w:val="00CD11C3"/>
    <w:rsid w:val="00CE233A"/>
    <w:rsid w:val="00CF5C28"/>
    <w:rsid w:val="00D10555"/>
    <w:rsid w:val="00D222D8"/>
    <w:rsid w:val="00D23277"/>
    <w:rsid w:val="00D304D1"/>
    <w:rsid w:val="00D36966"/>
    <w:rsid w:val="00D4075C"/>
    <w:rsid w:val="00D43C47"/>
    <w:rsid w:val="00D4502B"/>
    <w:rsid w:val="00D47851"/>
    <w:rsid w:val="00D50A88"/>
    <w:rsid w:val="00D50D04"/>
    <w:rsid w:val="00D510D6"/>
    <w:rsid w:val="00D80D44"/>
    <w:rsid w:val="00D84DEF"/>
    <w:rsid w:val="00D90DA4"/>
    <w:rsid w:val="00D933B0"/>
    <w:rsid w:val="00D9415C"/>
    <w:rsid w:val="00D9574F"/>
    <w:rsid w:val="00D96FAA"/>
    <w:rsid w:val="00D97C6A"/>
    <w:rsid w:val="00D97F3C"/>
    <w:rsid w:val="00DB2833"/>
    <w:rsid w:val="00DB657B"/>
    <w:rsid w:val="00DB78AA"/>
    <w:rsid w:val="00DD1FB4"/>
    <w:rsid w:val="00DD3616"/>
    <w:rsid w:val="00DE0A50"/>
    <w:rsid w:val="00DE511A"/>
    <w:rsid w:val="00DF4CFF"/>
    <w:rsid w:val="00DF62CC"/>
    <w:rsid w:val="00DF7A67"/>
    <w:rsid w:val="00E0170F"/>
    <w:rsid w:val="00E115EE"/>
    <w:rsid w:val="00E14581"/>
    <w:rsid w:val="00E16845"/>
    <w:rsid w:val="00E212D0"/>
    <w:rsid w:val="00E25AF6"/>
    <w:rsid w:val="00E371BB"/>
    <w:rsid w:val="00E37E6C"/>
    <w:rsid w:val="00E476B6"/>
    <w:rsid w:val="00E62BED"/>
    <w:rsid w:val="00E73A1B"/>
    <w:rsid w:val="00E76310"/>
    <w:rsid w:val="00E83CB5"/>
    <w:rsid w:val="00E95A6B"/>
    <w:rsid w:val="00EA0056"/>
    <w:rsid w:val="00EA14B9"/>
    <w:rsid w:val="00EB00FD"/>
    <w:rsid w:val="00EB31CA"/>
    <w:rsid w:val="00EC6938"/>
    <w:rsid w:val="00EC77C3"/>
    <w:rsid w:val="00ED26A9"/>
    <w:rsid w:val="00ED310D"/>
    <w:rsid w:val="00ED6EEA"/>
    <w:rsid w:val="00EE5CC2"/>
    <w:rsid w:val="00EE7651"/>
    <w:rsid w:val="00EF3586"/>
    <w:rsid w:val="00EF4F03"/>
    <w:rsid w:val="00F00C4C"/>
    <w:rsid w:val="00F03CB8"/>
    <w:rsid w:val="00F04553"/>
    <w:rsid w:val="00F10548"/>
    <w:rsid w:val="00F1343A"/>
    <w:rsid w:val="00F21027"/>
    <w:rsid w:val="00F24D67"/>
    <w:rsid w:val="00F33606"/>
    <w:rsid w:val="00F34BCF"/>
    <w:rsid w:val="00F35903"/>
    <w:rsid w:val="00F3623A"/>
    <w:rsid w:val="00F4594E"/>
    <w:rsid w:val="00F5332E"/>
    <w:rsid w:val="00F53CB6"/>
    <w:rsid w:val="00F54B0B"/>
    <w:rsid w:val="00F57858"/>
    <w:rsid w:val="00F60524"/>
    <w:rsid w:val="00F72662"/>
    <w:rsid w:val="00F72DBA"/>
    <w:rsid w:val="00F76DB0"/>
    <w:rsid w:val="00F8464C"/>
    <w:rsid w:val="00F85736"/>
    <w:rsid w:val="00F93AC3"/>
    <w:rsid w:val="00FB2A3E"/>
    <w:rsid w:val="00FB515C"/>
    <w:rsid w:val="00FC1CF1"/>
    <w:rsid w:val="00FC6D6E"/>
    <w:rsid w:val="00FD212A"/>
    <w:rsid w:val="00FD3101"/>
    <w:rsid w:val="00FD41B2"/>
    <w:rsid w:val="00FD4915"/>
    <w:rsid w:val="00FD4B3A"/>
    <w:rsid w:val="00FE22D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F62CC"/>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DF62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2CC"/>
  </w:style>
  <w:style w:type="character" w:customStyle="1" w:styleId="CharSubPartTextCASA">
    <w:name w:val="CharSubPartText(CASA)"/>
    <w:basedOn w:val="OPCCharBase"/>
    <w:uiPriority w:val="1"/>
    <w:rsid w:val="00DF62CC"/>
  </w:style>
  <w:style w:type="character" w:customStyle="1" w:styleId="CharSubPartNoCASA">
    <w:name w:val="CharSubPartNo(CASA)"/>
    <w:basedOn w:val="OPCCharBase"/>
    <w:uiPriority w:val="1"/>
    <w:rsid w:val="00DF62CC"/>
  </w:style>
  <w:style w:type="paragraph" w:styleId="Footer">
    <w:name w:val="footer"/>
    <w:link w:val="FooterChar"/>
    <w:rsid w:val="00DF62CC"/>
    <w:pPr>
      <w:tabs>
        <w:tab w:val="center" w:pos="4153"/>
        <w:tab w:val="right" w:pos="8306"/>
      </w:tabs>
    </w:pPr>
    <w:rPr>
      <w:sz w:val="22"/>
      <w:szCs w:val="24"/>
    </w:rPr>
  </w:style>
  <w:style w:type="paragraph" w:customStyle="1" w:styleId="ENoteTTIndentHeadingSub">
    <w:name w:val="ENoteTTIndentHeadingSub"/>
    <w:aliases w:val="enTTHis"/>
    <w:basedOn w:val="OPCParaBase"/>
    <w:rsid w:val="00DF62CC"/>
    <w:pPr>
      <w:keepNext/>
      <w:spacing w:before="60" w:line="240" w:lineRule="atLeast"/>
      <w:ind w:left="340"/>
    </w:pPr>
    <w:rPr>
      <w:b/>
      <w:sz w:val="16"/>
    </w:rPr>
  </w:style>
  <w:style w:type="paragraph" w:customStyle="1" w:styleId="ENoteTTiSub">
    <w:name w:val="ENoteTTiSub"/>
    <w:aliases w:val="enttis"/>
    <w:basedOn w:val="OPCParaBase"/>
    <w:rsid w:val="00DF62CC"/>
    <w:pPr>
      <w:keepNext/>
      <w:spacing w:before="60" w:line="240" w:lineRule="atLeast"/>
      <w:ind w:left="340"/>
    </w:pPr>
    <w:rPr>
      <w:sz w:val="16"/>
    </w:rPr>
  </w:style>
  <w:style w:type="paragraph" w:customStyle="1" w:styleId="SubDivisionMigration">
    <w:name w:val="SubDivisionMigration"/>
    <w:aliases w:val="sdm"/>
    <w:basedOn w:val="OPCParaBase"/>
    <w:rsid w:val="00DF62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62CC"/>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F62C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F62C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F62C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F62CC"/>
  </w:style>
  <w:style w:type="character" w:customStyle="1" w:styleId="CharAmSchText">
    <w:name w:val="CharAmSchText"/>
    <w:basedOn w:val="OPCCharBase"/>
    <w:uiPriority w:val="1"/>
    <w:qFormat/>
    <w:rsid w:val="00DF62CC"/>
  </w:style>
  <w:style w:type="character" w:customStyle="1" w:styleId="CharChapNo">
    <w:name w:val="CharChapNo"/>
    <w:basedOn w:val="OPCCharBase"/>
    <w:qFormat/>
    <w:rsid w:val="00DF62CC"/>
  </w:style>
  <w:style w:type="character" w:customStyle="1" w:styleId="CharChapText">
    <w:name w:val="CharChapText"/>
    <w:basedOn w:val="OPCCharBase"/>
    <w:qFormat/>
    <w:rsid w:val="00DF62CC"/>
  </w:style>
  <w:style w:type="character" w:customStyle="1" w:styleId="CharDivNo">
    <w:name w:val="CharDivNo"/>
    <w:basedOn w:val="OPCCharBase"/>
    <w:qFormat/>
    <w:rsid w:val="00DF62CC"/>
  </w:style>
  <w:style w:type="character" w:customStyle="1" w:styleId="CharDivText">
    <w:name w:val="CharDivText"/>
    <w:basedOn w:val="OPCCharBase"/>
    <w:qFormat/>
    <w:rsid w:val="00DF62CC"/>
  </w:style>
  <w:style w:type="character" w:customStyle="1" w:styleId="CharPartNo">
    <w:name w:val="CharPartNo"/>
    <w:basedOn w:val="OPCCharBase"/>
    <w:qFormat/>
    <w:rsid w:val="00DF62CC"/>
  </w:style>
  <w:style w:type="character" w:customStyle="1" w:styleId="CharPartText">
    <w:name w:val="CharPartText"/>
    <w:basedOn w:val="OPCCharBase"/>
    <w:qFormat/>
    <w:rsid w:val="00DF62CC"/>
  </w:style>
  <w:style w:type="character" w:customStyle="1" w:styleId="OPCCharBase">
    <w:name w:val="OPCCharBase"/>
    <w:uiPriority w:val="1"/>
    <w:qFormat/>
    <w:rsid w:val="00DF62CC"/>
  </w:style>
  <w:style w:type="paragraph" w:customStyle="1" w:styleId="OPCParaBase">
    <w:name w:val="OPCParaBase"/>
    <w:qFormat/>
    <w:rsid w:val="00DF62CC"/>
    <w:pPr>
      <w:spacing w:line="260" w:lineRule="atLeast"/>
    </w:pPr>
    <w:rPr>
      <w:sz w:val="22"/>
    </w:rPr>
  </w:style>
  <w:style w:type="character" w:customStyle="1" w:styleId="CharSectno">
    <w:name w:val="CharSectno"/>
    <w:basedOn w:val="OPCCharBase"/>
    <w:qFormat/>
    <w:rsid w:val="00DF62C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F62CC"/>
    <w:pPr>
      <w:spacing w:line="240" w:lineRule="auto"/>
      <w:ind w:left="1134"/>
    </w:pPr>
    <w:rPr>
      <w:sz w:val="20"/>
    </w:rPr>
  </w:style>
  <w:style w:type="paragraph" w:customStyle="1" w:styleId="ShortT">
    <w:name w:val="ShortT"/>
    <w:basedOn w:val="OPCParaBase"/>
    <w:next w:val="Normal"/>
    <w:qFormat/>
    <w:rsid w:val="00DF62CC"/>
    <w:pPr>
      <w:spacing w:line="240" w:lineRule="auto"/>
    </w:pPr>
    <w:rPr>
      <w:b/>
      <w:sz w:val="40"/>
    </w:rPr>
  </w:style>
  <w:style w:type="paragraph" w:customStyle="1" w:styleId="Penalty">
    <w:name w:val="Penalty"/>
    <w:basedOn w:val="OPCParaBase"/>
    <w:rsid w:val="00DF62CC"/>
    <w:pPr>
      <w:tabs>
        <w:tab w:val="left" w:pos="2977"/>
      </w:tabs>
      <w:spacing w:before="180" w:line="240" w:lineRule="auto"/>
      <w:ind w:left="1985" w:hanging="851"/>
    </w:pPr>
  </w:style>
  <w:style w:type="paragraph" w:styleId="TOC1">
    <w:name w:val="toc 1"/>
    <w:basedOn w:val="OPCParaBase"/>
    <w:next w:val="Normal"/>
    <w:uiPriority w:val="39"/>
    <w:unhideWhenUsed/>
    <w:rsid w:val="00DF62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F62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F62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F62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F62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F62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F62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F62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F62C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F62CC"/>
    <w:pPr>
      <w:spacing w:line="240" w:lineRule="auto"/>
    </w:pPr>
    <w:rPr>
      <w:sz w:val="20"/>
    </w:rPr>
  </w:style>
  <w:style w:type="paragraph" w:customStyle="1" w:styleId="ActHead1">
    <w:name w:val="ActHead 1"/>
    <w:aliases w:val="c"/>
    <w:basedOn w:val="OPCParaBase"/>
    <w:next w:val="Normal"/>
    <w:qFormat/>
    <w:rsid w:val="00DF62CC"/>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F62C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DF62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62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62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F62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62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62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62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62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62CC"/>
  </w:style>
  <w:style w:type="paragraph" w:customStyle="1" w:styleId="Blocks">
    <w:name w:val="Blocks"/>
    <w:aliases w:val="bb"/>
    <w:basedOn w:val="OPCParaBase"/>
    <w:qFormat/>
    <w:rsid w:val="00DF62CC"/>
    <w:pPr>
      <w:spacing w:line="240" w:lineRule="auto"/>
    </w:pPr>
    <w:rPr>
      <w:sz w:val="24"/>
    </w:rPr>
  </w:style>
  <w:style w:type="paragraph" w:customStyle="1" w:styleId="BoxText">
    <w:name w:val="BoxText"/>
    <w:aliases w:val="bt"/>
    <w:basedOn w:val="OPCParaBase"/>
    <w:qFormat/>
    <w:rsid w:val="00DF62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62CC"/>
    <w:rPr>
      <w:b/>
    </w:rPr>
  </w:style>
  <w:style w:type="paragraph" w:customStyle="1" w:styleId="BoxHeadItalic">
    <w:name w:val="BoxHeadItalic"/>
    <w:aliases w:val="bhi"/>
    <w:basedOn w:val="BoxText"/>
    <w:next w:val="BoxStep"/>
    <w:qFormat/>
    <w:rsid w:val="00DF62CC"/>
    <w:rPr>
      <w:i/>
    </w:rPr>
  </w:style>
  <w:style w:type="paragraph" w:customStyle="1" w:styleId="BoxList">
    <w:name w:val="BoxList"/>
    <w:aliases w:val="bl"/>
    <w:basedOn w:val="BoxText"/>
    <w:qFormat/>
    <w:rsid w:val="00DF62CC"/>
    <w:pPr>
      <w:ind w:left="1559" w:hanging="425"/>
    </w:pPr>
  </w:style>
  <w:style w:type="paragraph" w:customStyle="1" w:styleId="BoxNote">
    <w:name w:val="BoxNote"/>
    <w:aliases w:val="bn"/>
    <w:basedOn w:val="BoxText"/>
    <w:qFormat/>
    <w:rsid w:val="00DF62CC"/>
    <w:pPr>
      <w:tabs>
        <w:tab w:val="left" w:pos="1985"/>
      </w:tabs>
      <w:spacing w:before="122" w:line="198" w:lineRule="exact"/>
      <w:ind w:left="2948" w:hanging="1814"/>
    </w:pPr>
    <w:rPr>
      <w:sz w:val="18"/>
    </w:rPr>
  </w:style>
  <w:style w:type="paragraph" w:customStyle="1" w:styleId="BoxPara">
    <w:name w:val="BoxPara"/>
    <w:aliases w:val="bp"/>
    <w:basedOn w:val="BoxText"/>
    <w:qFormat/>
    <w:rsid w:val="00DF62CC"/>
    <w:pPr>
      <w:tabs>
        <w:tab w:val="right" w:pos="2268"/>
      </w:tabs>
      <w:ind w:left="2552" w:hanging="1418"/>
    </w:pPr>
  </w:style>
  <w:style w:type="paragraph" w:customStyle="1" w:styleId="BoxStep">
    <w:name w:val="BoxStep"/>
    <w:aliases w:val="bs"/>
    <w:basedOn w:val="BoxText"/>
    <w:qFormat/>
    <w:rsid w:val="00DF62CC"/>
    <w:pPr>
      <w:ind w:left="1985" w:hanging="851"/>
    </w:pPr>
  </w:style>
  <w:style w:type="character" w:customStyle="1" w:styleId="CharAmPartNo">
    <w:name w:val="CharAmPartNo"/>
    <w:basedOn w:val="OPCCharBase"/>
    <w:uiPriority w:val="1"/>
    <w:qFormat/>
    <w:rsid w:val="00DF62CC"/>
  </w:style>
  <w:style w:type="character" w:customStyle="1" w:styleId="CharAmPartText">
    <w:name w:val="CharAmPartText"/>
    <w:basedOn w:val="OPCCharBase"/>
    <w:uiPriority w:val="1"/>
    <w:qFormat/>
    <w:rsid w:val="00DF62CC"/>
  </w:style>
  <w:style w:type="character" w:customStyle="1" w:styleId="CharBoldItalic">
    <w:name w:val="CharBoldItalic"/>
    <w:basedOn w:val="OPCCharBase"/>
    <w:uiPriority w:val="1"/>
    <w:qFormat/>
    <w:rsid w:val="00DF62CC"/>
    <w:rPr>
      <w:b/>
      <w:i/>
    </w:rPr>
  </w:style>
  <w:style w:type="character" w:customStyle="1" w:styleId="CharItalic">
    <w:name w:val="CharItalic"/>
    <w:basedOn w:val="OPCCharBase"/>
    <w:uiPriority w:val="1"/>
    <w:qFormat/>
    <w:rsid w:val="00DF62CC"/>
    <w:rPr>
      <w:i/>
    </w:rPr>
  </w:style>
  <w:style w:type="character" w:customStyle="1" w:styleId="CharSubdNo">
    <w:name w:val="CharSubdNo"/>
    <w:basedOn w:val="OPCCharBase"/>
    <w:uiPriority w:val="1"/>
    <w:qFormat/>
    <w:rsid w:val="00DF62CC"/>
  </w:style>
  <w:style w:type="character" w:customStyle="1" w:styleId="CharSubdText">
    <w:name w:val="CharSubdText"/>
    <w:basedOn w:val="OPCCharBase"/>
    <w:uiPriority w:val="1"/>
    <w:qFormat/>
    <w:rsid w:val="00DF62CC"/>
  </w:style>
  <w:style w:type="paragraph" w:customStyle="1" w:styleId="CTA--">
    <w:name w:val="CTA --"/>
    <w:basedOn w:val="OPCParaBase"/>
    <w:next w:val="Normal"/>
    <w:rsid w:val="00DF62CC"/>
    <w:pPr>
      <w:spacing w:before="60" w:line="240" w:lineRule="atLeast"/>
      <w:ind w:left="142" w:hanging="142"/>
    </w:pPr>
    <w:rPr>
      <w:sz w:val="20"/>
    </w:rPr>
  </w:style>
  <w:style w:type="paragraph" w:customStyle="1" w:styleId="CTA-">
    <w:name w:val="CTA -"/>
    <w:basedOn w:val="OPCParaBase"/>
    <w:rsid w:val="00DF62CC"/>
    <w:pPr>
      <w:spacing w:before="60" w:line="240" w:lineRule="atLeast"/>
      <w:ind w:left="85" w:hanging="85"/>
    </w:pPr>
    <w:rPr>
      <w:sz w:val="20"/>
    </w:rPr>
  </w:style>
  <w:style w:type="paragraph" w:customStyle="1" w:styleId="CTA---">
    <w:name w:val="CTA ---"/>
    <w:basedOn w:val="OPCParaBase"/>
    <w:next w:val="Normal"/>
    <w:rsid w:val="00DF62CC"/>
    <w:pPr>
      <w:spacing w:before="60" w:line="240" w:lineRule="atLeast"/>
      <w:ind w:left="198" w:hanging="198"/>
    </w:pPr>
    <w:rPr>
      <w:sz w:val="20"/>
    </w:rPr>
  </w:style>
  <w:style w:type="paragraph" w:customStyle="1" w:styleId="CTA----">
    <w:name w:val="CTA ----"/>
    <w:basedOn w:val="OPCParaBase"/>
    <w:next w:val="Normal"/>
    <w:rsid w:val="00DF62CC"/>
    <w:pPr>
      <w:spacing w:before="60" w:line="240" w:lineRule="atLeast"/>
      <w:ind w:left="255" w:hanging="255"/>
    </w:pPr>
    <w:rPr>
      <w:sz w:val="20"/>
    </w:rPr>
  </w:style>
  <w:style w:type="paragraph" w:customStyle="1" w:styleId="CTA1a">
    <w:name w:val="CTA 1(a)"/>
    <w:basedOn w:val="OPCParaBase"/>
    <w:rsid w:val="00DF62CC"/>
    <w:pPr>
      <w:tabs>
        <w:tab w:val="right" w:pos="414"/>
      </w:tabs>
      <w:spacing w:before="40" w:line="240" w:lineRule="atLeast"/>
      <w:ind w:left="675" w:hanging="675"/>
    </w:pPr>
    <w:rPr>
      <w:sz w:val="20"/>
    </w:rPr>
  </w:style>
  <w:style w:type="paragraph" w:customStyle="1" w:styleId="CTA1ai">
    <w:name w:val="CTA 1(a)(i)"/>
    <w:basedOn w:val="OPCParaBase"/>
    <w:rsid w:val="00DF62CC"/>
    <w:pPr>
      <w:tabs>
        <w:tab w:val="right" w:pos="1004"/>
      </w:tabs>
      <w:spacing w:before="40" w:line="240" w:lineRule="atLeast"/>
      <w:ind w:left="1253" w:hanging="1253"/>
    </w:pPr>
    <w:rPr>
      <w:sz w:val="20"/>
    </w:rPr>
  </w:style>
  <w:style w:type="paragraph" w:customStyle="1" w:styleId="CTA2a">
    <w:name w:val="CTA 2(a)"/>
    <w:basedOn w:val="OPCParaBase"/>
    <w:rsid w:val="00DF62CC"/>
    <w:pPr>
      <w:tabs>
        <w:tab w:val="right" w:pos="482"/>
      </w:tabs>
      <w:spacing w:before="40" w:line="240" w:lineRule="atLeast"/>
      <w:ind w:left="748" w:hanging="748"/>
    </w:pPr>
    <w:rPr>
      <w:sz w:val="20"/>
    </w:rPr>
  </w:style>
  <w:style w:type="paragraph" w:customStyle="1" w:styleId="CTA2ai">
    <w:name w:val="CTA 2(a)(i)"/>
    <w:basedOn w:val="OPCParaBase"/>
    <w:rsid w:val="00DF62CC"/>
    <w:pPr>
      <w:tabs>
        <w:tab w:val="right" w:pos="1089"/>
      </w:tabs>
      <w:spacing w:before="40" w:line="240" w:lineRule="atLeast"/>
      <w:ind w:left="1327" w:hanging="1327"/>
    </w:pPr>
    <w:rPr>
      <w:sz w:val="20"/>
    </w:rPr>
  </w:style>
  <w:style w:type="paragraph" w:customStyle="1" w:styleId="CTA3a">
    <w:name w:val="CTA 3(a)"/>
    <w:basedOn w:val="OPCParaBase"/>
    <w:rsid w:val="00DF62CC"/>
    <w:pPr>
      <w:tabs>
        <w:tab w:val="right" w:pos="556"/>
      </w:tabs>
      <w:spacing w:before="40" w:line="240" w:lineRule="atLeast"/>
      <w:ind w:left="805" w:hanging="805"/>
    </w:pPr>
    <w:rPr>
      <w:sz w:val="20"/>
    </w:rPr>
  </w:style>
  <w:style w:type="paragraph" w:customStyle="1" w:styleId="CTA3ai">
    <w:name w:val="CTA 3(a)(i)"/>
    <w:basedOn w:val="OPCParaBase"/>
    <w:rsid w:val="00DF62CC"/>
    <w:pPr>
      <w:tabs>
        <w:tab w:val="right" w:pos="1140"/>
      </w:tabs>
      <w:spacing w:before="40" w:line="240" w:lineRule="atLeast"/>
      <w:ind w:left="1361" w:hanging="1361"/>
    </w:pPr>
    <w:rPr>
      <w:sz w:val="20"/>
    </w:rPr>
  </w:style>
  <w:style w:type="paragraph" w:customStyle="1" w:styleId="CTA4a">
    <w:name w:val="CTA 4(a)"/>
    <w:basedOn w:val="OPCParaBase"/>
    <w:rsid w:val="00DF62CC"/>
    <w:pPr>
      <w:tabs>
        <w:tab w:val="right" w:pos="624"/>
      </w:tabs>
      <w:spacing w:before="40" w:line="240" w:lineRule="atLeast"/>
      <w:ind w:left="873" w:hanging="873"/>
    </w:pPr>
    <w:rPr>
      <w:sz w:val="20"/>
    </w:rPr>
  </w:style>
  <w:style w:type="paragraph" w:customStyle="1" w:styleId="CTA4ai">
    <w:name w:val="CTA 4(a)(i)"/>
    <w:basedOn w:val="OPCParaBase"/>
    <w:rsid w:val="00DF62CC"/>
    <w:pPr>
      <w:tabs>
        <w:tab w:val="right" w:pos="1213"/>
      </w:tabs>
      <w:spacing w:before="40" w:line="240" w:lineRule="atLeast"/>
      <w:ind w:left="1452" w:hanging="1452"/>
    </w:pPr>
    <w:rPr>
      <w:sz w:val="20"/>
    </w:rPr>
  </w:style>
  <w:style w:type="paragraph" w:customStyle="1" w:styleId="CTACAPS">
    <w:name w:val="CTA CAPS"/>
    <w:basedOn w:val="OPCParaBase"/>
    <w:rsid w:val="00DF62CC"/>
    <w:pPr>
      <w:spacing w:before="60" w:line="240" w:lineRule="atLeast"/>
    </w:pPr>
    <w:rPr>
      <w:sz w:val="20"/>
    </w:rPr>
  </w:style>
  <w:style w:type="paragraph" w:customStyle="1" w:styleId="CTAright">
    <w:name w:val="CTA right"/>
    <w:basedOn w:val="OPCParaBase"/>
    <w:rsid w:val="00DF62CC"/>
    <w:pPr>
      <w:spacing w:before="60" w:line="240" w:lineRule="auto"/>
      <w:jc w:val="right"/>
    </w:pPr>
    <w:rPr>
      <w:sz w:val="20"/>
    </w:rPr>
  </w:style>
  <w:style w:type="paragraph" w:customStyle="1" w:styleId="subsection">
    <w:name w:val="subsection"/>
    <w:aliases w:val="ss,Subsection"/>
    <w:basedOn w:val="OPCParaBase"/>
    <w:link w:val="subsectionChar"/>
    <w:rsid w:val="00DF62CC"/>
    <w:pPr>
      <w:tabs>
        <w:tab w:val="right" w:pos="1021"/>
      </w:tabs>
      <w:spacing w:before="180" w:line="240" w:lineRule="auto"/>
      <w:ind w:left="1134" w:hanging="1134"/>
    </w:pPr>
  </w:style>
  <w:style w:type="paragraph" w:customStyle="1" w:styleId="Definition">
    <w:name w:val="Definition"/>
    <w:aliases w:val="dd"/>
    <w:basedOn w:val="OPCParaBase"/>
    <w:rsid w:val="00DF62CC"/>
    <w:pPr>
      <w:spacing w:before="180" w:line="240" w:lineRule="auto"/>
      <w:ind w:left="1134"/>
    </w:pPr>
  </w:style>
  <w:style w:type="paragraph" w:customStyle="1" w:styleId="EndNotespara">
    <w:name w:val="EndNotes(para)"/>
    <w:aliases w:val="eta"/>
    <w:basedOn w:val="OPCParaBase"/>
    <w:next w:val="EndNotessubpara"/>
    <w:rsid w:val="00DF62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62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62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62C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F62CC"/>
    <w:rPr>
      <w:sz w:val="16"/>
    </w:rPr>
  </w:style>
  <w:style w:type="paragraph" w:customStyle="1" w:styleId="House">
    <w:name w:val="House"/>
    <w:basedOn w:val="OPCParaBase"/>
    <w:rsid w:val="00DF62CC"/>
    <w:pPr>
      <w:spacing w:line="240" w:lineRule="auto"/>
    </w:pPr>
    <w:rPr>
      <w:sz w:val="28"/>
    </w:rPr>
  </w:style>
  <w:style w:type="paragraph" w:customStyle="1" w:styleId="Item">
    <w:name w:val="Item"/>
    <w:aliases w:val="i"/>
    <w:basedOn w:val="OPCParaBase"/>
    <w:next w:val="ItemHead"/>
    <w:rsid w:val="00DF62CC"/>
    <w:pPr>
      <w:keepLines/>
      <w:spacing w:before="80" w:line="240" w:lineRule="auto"/>
      <w:ind w:left="709"/>
    </w:pPr>
  </w:style>
  <w:style w:type="paragraph" w:customStyle="1" w:styleId="ItemHead">
    <w:name w:val="ItemHead"/>
    <w:aliases w:val="ih"/>
    <w:basedOn w:val="OPCParaBase"/>
    <w:next w:val="Item"/>
    <w:rsid w:val="00DF62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62CC"/>
    <w:pPr>
      <w:spacing w:line="240" w:lineRule="auto"/>
    </w:pPr>
    <w:rPr>
      <w:b/>
      <w:sz w:val="32"/>
    </w:rPr>
  </w:style>
  <w:style w:type="paragraph" w:customStyle="1" w:styleId="notedraft">
    <w:name w:val="note(draft)"/>
    <w:aliases w:val="nd"/>
    <w:basedOn w:val="OPCParaBase"/>
    <w:rsid w:val="00DF62CC"/>
    <w:pPr>
      <w:spacing w:before="240" w:line="240" w:lineRule="auto"/>
      <w:ind w:left="284" w:hanging="284"/>
    </w:pPr>
    <w:rPr>
      <w:i/>
      <w:sz w:val="24"/>
    </w:rPr>
  </w:style>
  <w:style w:type="paragraph" w:customStyle="1" w:styleId="notemargin">
    <w:name w:val="note(margin)"/>
    <w:aliases w:val="nm"/>
    <w:basedOn w:val="OPCParaBase"/>
    <w:rsid w:val="00DF62CC"/>
    <w:pPr>
      <w:tabs>
        <w:tab w:val="left" w:pos="709"/>
      </w:tabs>
      <w:spacing w:before="122" w:line="198" w:lineRule="exact"/>
      <w:ind w:left="709" w:hanging="709"/>
    </w:pPr>
    <w:rPr>
      <w:sz w:val="18"/>
    </w:rPr>
  </w:style>
  <w:style w:type="paragraph" w:customStyle="1" w:styleId="noteToPara">
    <w:name w:val="noteToPara"/>
    <w:aliases w:val="ntp"/>
    <w:basedOn w:val="OPCParaBase"/>
    <w:rsid w:val="00DF62CC"/>
    <w:pPr>
      <w:spacing w:before="122" w:line="198" w:lineRule="exact"/>
      <w:ind w:left="2353" w:hanging="709"/>
    </w:pPr>
    <w:rPr>
      <w:sz w:val="18"/>
    </w:rPr>
  </w:style>
  <w:style w:type="paragraph" w:customStyle="1" w:styleId="noteParlAmend">
    <w:name w:val="note(ParlAmend)"/>
    <w:aliases w:val="npp"/>
    <w:basedOn w:val="OPCParaBase"/>
    <w:next w:val="ParlAmend"/>
    <w:rsid w:val="00DF62CC"/>
    <w:pPr>
      <w:spacing w:line="240" w:lineRule="auto"/>
      <w:jc w:val="right"/>
    </w:pPr>
    <w:rPr>
      <w:rFonts w:ascii="Arial" w:hAnsi="Arial"/>
      <w:b/>
      <w:i/>
    </w:rPr>
  </w:style>
  <w:style w:type="paragraph" w:customStyle="1" w:styleId="Page1">
    <w:name w:val="Page1"/>
    <w:basedOn w:val="OPCParaBase"/>
    <w:rsid w:val="00DF62CC"/>
    <w:pPr>
      <w:spacing w:before="5600" w:line="240" w:lineRule="auto"/>
    </w:pPr>
    <w:rPr>
      <w:b/>
      <w:sz w:val="32"/>
    </w:rPr>
  </w:style>
  <w:style w:type="paragraph" w:customStyle="1" w:styleId="paragraphsub">
    <w:name w:val="paragraph(sub)"/>
    <w:aliases w:val="aa"/>
    <w:basedOn w:val="OPCParaBase"/>
    <w:rsid w:val="00DF62CC"/>
    <w:pPr>
      <w:tabs>
        <w:tab w:val="right" w:pos="1985"/>
      </w:tabs>
      <w:spacing w:before="40" w:line="240" w:lineRule="auto"/>
      <w:ind w:left="2098" w:hanging="2098"/>
    </w:pPr>
  </w:style>
  <w:style w:type="paragraph" w:customStyle="1" w:styleId="paragraphsub-sub">
    <w:name w:val="paragraph(sub-sub)"/>
    <w:aliases w:val="aaa"/>
    <w:basedOn w:val="OPCParaBase"/>
    <w:rsid w:val="00DF62CC"/>
    <w:pPr>
      <w:tabs>
        <w:tab w:val="right" w:pos="2722"/>
      </w:tabs>
      <w:spacing w:before="40" w:line="240" w:lineRule="auto"/>
      <w:ind w:left="2835" w:hanging="2835"/>
    </w:pPr>
  </w:style>
  <w:style w:type="paragraph" w:customStyle="1" w:styleId="paragraph">
    <w:name w:val="paragraph"/>
    <w:aliases w:val="a"/>
    <w:basedOn w:val="OPCParaBase"/>
    <w:rsid w:val="00DF62CC"/>
    <w:pPr>
      <w:tabs>
        <w:tab w:val="right" w:pos="1531"/>
      </w:tabs>
      <w:spacing w:before="40" w:line="240" w:lineRule="auto"/>
      <w:ind w:left="1644" w:hanging="1644"/>
    </w:pPr>
  </w:style>
  <w:style w:type="paragraph" w:customStyle="1" w:styleId="ParlAmend">
    <w:name w:val="ParlAmend"/>
    <w:aliases w:val="pp"/>
    <w:basedOn w:val="OPCParaBase"/>
    <w:rsid w:val="00DF62CC"/>
    <w:pPr>
      <w:spacing w:before="240" w:line="240" w:lineRule="atLeast"/>
      <w:ind w:hanging="567"/>
    </w:pPr>
    <w:rPr>
      <w:sz w:val="24"/>
    </w:rPr>
  </w:style>
  <w:style w:type="paragraph" w:customStyle="1" w:styleId="Portfolio">
    <w:name w:val="Portfolio"/>
    <w:basedOn w:val="OPCParaBase"/>
    <w:rsid w:val="00DF62CC"/>
    <w:pPr>
      <w:spacing w:line="240" w:lineRule="auto"/>
    </w:pPr>
    <w:rPr>
      <w:i/>
      <w:sz w:val="20"/>
    </w:rPr>
  </w:style>
  <w:style w:type="paragraph" w:customStyle="1" w:styleId="Preamble">
    <w:name w:val="Preamble"/>
    <w:basedOn w:val="OPCParaBase"/>
    <w:next w:val="Normal"/>
    <w:rsid w:val="00DF62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62CC"/>
    <w:pPr>
      <w:spacing w:line="240" w:lineRule="auto"/>
    </w:pPr>
    <w:rPr>
      <w:i/>
      <w:sz w:val="20"/>
    </w:rPr>
  </w:style>
  <w:style w:type="paragraph" w:customStyle="1" w:styleId="Session">
    <w:name w:val="Session"/>
    <w:basedOn w:val="OPCParaBase"/>
    <w:rsid w:val="00DF62CC"/>
    <w:pPr>
      <w:spacing w:line="240" w:lineRule="auto"/>
    </w:pPr>
    <w:rPr>
      <w:sz w:val="28"/>
    </w:rPr>
  </w:style>
  <w:style w:type="paragraph" w:customStyle="1" w:styleId="Sponsor">
    <w:name w:val="Sponsor"/>
    <w:basedOn w:val="OPCParaBase"/>
    <w:rsid w:val="00DF62CC"/>
    <w:pPr>
      <w:spacing w:line="240" w:lineRule="auto"/>
    </w:pPr>
    <w:rPr>
      <w:i/>
    </w:rPr>
  </w:style>
  <w:style w:type="paragraph" w:customStyle="1" w:styleId="Subitem">
    <w:name w:val="Subitem"/>
    <w:aliases w:val="iss"/>
    <w:basedOn w:val="OPCParaBase"/>
    <w:rsid w:val="00DF62CC"/>
    <w:pPr>
      <w:spacing w:before="180" w:line="240" w:lineRule="auto"/>
      <w:ind w:left="709" w:hanging="709"/>
    </w:pPr>
  </w:style>
  <w:style w:type="paragraph" w:customStyle="1" w:styleId="SubitemHead">
    <w:name w:val="SubitemHead"/>
    <w:aliases w:val="issh"/>
    <w:basedOn w:val="OPCParaBase"/>
    <w:rsid w:val="00DF62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62CC"/>
    <w:pPr>
      <w:spacing w:before="40" w:line="240" w:lineRule="auto"/>
      <w:ind w:left="1134"/>
    </w:pPr>
  </w:style>
  <w:style w:type="paragraph" w:customStyle="1" w:styleId="SubsectionHead">
    <w:name w:val="SubsectionHead"/>
    <w:aliases w:val="ssh"/>
    <w:basedOn w:val="OPCParaBase"/>
    <w:next w:val="subsection"/>
    <w:rsid w:val="00DF62CC"/>
    <w:pPr>
      <w:keepNext/>
      <w:keepLines/>
      <w:spacing w:before="240" w:line="240" w:lineRule="auto"/>
      <w:ind w:left="1134"/>
    </w:pPr>
    <w:rPr>
      <w:i/>
    </w:rPr>
  </w:style>
  <w:style w:type="paragraph" w:customStyle="1" w:styleId="Tablea">
    <w:name w:val="Table(a)"/>
    <w:aliases w:val="ta"/>
    <w:basedOn w:val="OPCParaBase"/>
    <w:rsid w:val="00DF62CC"/>
    <w:pPr>
      <w:spacing w:before="60" w:line="240" w:lineRule="auto"/>
      <w:ind w:left="284" w:hanging="284"/>
    </w:pPr>
    <w:rPr>
      <w:sz w:val="20"/>
    </w:rPr>
  </w:style>
  <w:style w:type="paragraph" w:customStyle="1" w:styleId="TableAA">
    <w:name w:val="Table(AA)"/>
    <w:aliases w:val="taaa"/>
    <w:basedOn w:val="OPCParaBase"/>
    <w:rsid w:val="00DF62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62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62CC"/>
    <w:pPr>
      <w:spacing w:before="60" w:line="240" w:lineRule="atLeast"/>
    </w:pPr>
    <w:rPr>
      <w:sz w:val="20"/>
    </w:rPr>
  </w:style>
  <w:style w:type="paragraph" w:customStyle="1" w:styleId="TLPBoxTextnote">
    <w:name w:val="TLPBoxText(note"/>
    <w:aliases w:val="right)"/>
    <w:basedOn w:val="OPCParaBase"/>
    <w:rsid w:val="00DF62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62C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62CC"/>
    <w:pPr>
      <w:spacing w:before="122" w:line="198" w:lineRule="exact"/>
      <w:ind w:left="1985" w:hanging="851"/>
      <w:jc w:val="right"/>
    </w:pPr>
    <w:rPr>
      <w:sz w:val="18"/>
    </w:rPr>
  </w:style>
  <w:style w:type="paragraph" w:customStyle="1" w:styleId="TLPTableBullet">
    <w:name w:val="TLPTableBullet"/>
    <w:aliases w:val="ttb"/>
    <w:basedOn w:val="OPCParaBase"/>
    <w:rsid w:val="00DF62CC"/>
    <w:pPr>
      <w:spacing w:line="240" w:lineRule="exact"/>
      <w:ind w:left="284" w:hanging="284"/>
    </w:pPr>
    <w:rPr>
      <w:sz w:val="20"/>
    </w:rPr>
  </w:style>
  <w:style w:type="paragraph" w:customStyle="1" w:styleId="TofSectsGroupHeading">
    <w:name w:val="TofSects(GroupHeading)"/>
    <w:basedOn w:val="OPCParaBase"/>
    <w:next w:val="TofSectsSection"/>
    <w:rsid w:val="00DF62CC"/>
    <w:pPr>
      <w:keepLines/>
      <w:spacing w:before="240" w:after="120" w:line="240" w:lineRule="auto"/>
      <w:ind w:left="794"/>
    </w:pPr>
    <w:rPr>
      <w:b/>
      <w:kern w:val="28"/>
      <w:sz w:val="20"/>
    </w:rPr>
  </w:style>
  <w:style w:type="paragraph" w:customStyle="1" w:styleId="TofSectsHeading">
    <w:name w:val="TofSects(Heading)"/>
    <w:basedOn w:val="OPCParaBase"/>
    <w:rsid w:val="00DF62CC"/>
    <w:pPr>
      <w:spacing w:before="240" w:after="120" w:line="240" w:lineRule="auto"/>
    </w:pPr>
    <w:rPr>
      <w:b/>
      <w:sz w:val="24"/>
    </w:rPr>
  </w:style>
  <w:style w:type="paragraph" w:customStyle="1" w:styleId="TofSectsSection">
    <w:name w:val="TofSects(Section)"/>
    <w:basedOn w:val="OPCParaBase"/>
    <w:rsid w:val="00DF62CC"/>
    <w:pPr>
      <w:keepLines/>
      <w:spacing w:before="40" w:line="240" w:lineRule="auto"/>
      <w:ind w:left="1588" w:hanging="794"/>
    </w:pPr>
    <w:rPr>
      <w:kern w:val="28"/>
      <w:sz w:val="18"/>
    </w:rPr>
  </w:style>
  <w:style w:type="paragraph" w:customStyle="1" w:styleId="TofSectsSubdiv">
    <w:name w:val="TofSects(Subdiv)"/>
    <w:basedOn w:val="OPCParaBase"/>
    <w:rsid w:val="00DF62CC"/>
    <w:pPr>
      <w:keepLines/>
      <w:spacing w:before="80" w:line="240" w:lineRule="auto"/>
      <w:ind w:left="1588" w:hanging="794"/>
    </w:pPr>
    <w:rPr>
      <w:kern w:val="28"/>
    </w:rPr>
  </w:style>
  <w:style w:type="paragraph" w:customStyle="1" w:styleId="WRStyle">
    <w:name w:val="WR Style"/>
    <w:aliases w:val="WR"/>
    <w:basedOn w:val="OPCParaBase"/>
    <w:rsid w:val="00DF62CC"/>
    <w:pPr>
      <w:spacing w:before="240" w:line="240" w:lineRule="auto"/>
      <w:ind w:left="284" w:hanging="284"/>
    </w:pPr>
    <w:rPr>
      <w:b/>
      <w:i/>
      <w:kern w:val="28"/>
      <w:sz w:val="24"/>
    </w:rPr>
  </w:style>
  <w:style w:type="paragraph" w:customStyle="1" w:styleId="notepara">
    <w:name w:val="note(para)"/>
    <w:aliases w:val="na"/>
    <w:basedOn w:val="OPCParaBase"/>
    <w:rsid w:val="00DF62CC"/>
    <w:pPr>
      <w:spacing w:before="40" w:line="198" w:lineRule="exact"/>
      <w:ind w:left="2354" w:hanging="369"/>
    </w:pPr>
    <w:rPr>
      <w:sz w:val="18"/>
    </w:rPr>
  </w:style>
  <w:style w:type="character" w:customStyle="1" w:styleId="FooterChar">
    <w:name w:val="Footer Char"/>
    <w:basedOn w:val="DefaultParagraphFont"/>
    <w:link w:val="Footer"/>
    <w:rsid w:val="00DF62CC"/>
    <w:rPr>
      <w:sz w:val="22"/>
      <w:szCs w:val="24"/>
    </w:rPr>
  </w:style>
  <w:style w:type="table" w:customStyle="1" w:styleId="CFlag">
    <w:name w:val="CFlag"/>
    <w:basedOn w:val="TableNormal"/>
    <w:uiPriority w:val="99"/>
    <w:rsid w:val="00DF62CC"/>
    <w:tblPr/>
  </w:style>
  <w:style w:type="character" w:customStyle="1" w:styleId="BalloonTextChar">
    <w:name w:val="Balloon Text Char"/>
    <w:basedOn w:val="DefaultParagraphFont"/>
    <w:link w:val="BalloonText"/>
    <w:uiPriority w:val="99"/>
    <w:rsid w:val="00DF62CC"/>
    <w:rPr>
      <w:rFonts w:ascii="Tahoma" w:eastAsiaTheme="minorHAnsi" w:hAnsi="Tahoma" w:cs="Tahoma"/>
      <w:sz w:val="16"/>
      <w:szCs w:val="16"/>
      <w:lang w:eastAsia="en-US"/>
    </w:rPr>
  </w:style>
  <w:style w:type="paragraph" w:customStyle="1" w:styleId="InstNo">
    <w:name w:val="InstNo"/>
    <w:basedOn w:val="OPCParaBase"/>
    <w:next w:val="Normal"/>
    <w:rsid w:val="00DF62CC"/>
    <w:rPr>
      <w:b/>
      <w:sz w:val="28"/>
      <w:szCs w:val="32"/>
    </w:rPr>
  </w:style>
  <w:style w:type="paragraph" w:customStyle="1" w:styleId="TerritoryT">
    <w:name w:val="TerritoryT"/>
    <w:basedOn w:val="OPCParaBase"/>
    <w:next w:val="Normal"/>
    <w:rsid w:val="00DF62CC"/>
    <w:rPr>
      <w:b/>
      <w:sz w:val="32"/>
    </w:rPr>
  </w:style>
  <w:style w:type="paragraph" w:customStyle="1" w:styleId="LegislationMadeUnder">
    <w:name w:val="LegislationMadeUnder"/>
    <w:basedOn w:val="OPCParaBase"/>
    <w:next w:val="Normal"/>
    <w:rsid w:val="00DF62CC"/>
    <w:rPr>
      <w:i/>
      <w:sz w:val="32"/>
      <w:szCs w:val="32"/>
    </w:rPr>
  </w:style>
  <w:style w:type="paragraph" w:customStyle="1" w:styleId="ActHead10">
    <w:name w:val="ActHead 10"/>
    <w:aliases w:val="sp"/>
    <w:basedOn w:val="OPCParaBase"/>
    <w:next w:val="ActHead3"/>
    <w:rsid w:val="00DF62CC"/>
    <w:pPr>
      <w:keepNext/>
      <w:spacing w:before="280" w:line="240" w:lineRule="auto"/>
      <w:outlineLvl w:val="1"/>
    </w:pPr>
    <w:rPr>
      <w:b/>
      <w:sz w:val="32"/>
      <w:szCs w:val="30"/>
    </w:rPr>
  </w:style>
  <w:style w:type="paragraph" w:customStyle="1" w:styleId="SignCoverPageEnd">
    <w:name w:val="SignCoverPageEnd"/>
    <w:basedOn w:val="OPCParaBase"/>
    <w:next w:val="Normal"/>
    <w:rsid w:val="00DF62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62CC"/>
    <w:pPr>
      <w:pBdr>
        <w:top w:val="single" w:sz="4" w:space="1" w:color="auto"/>
      </w:pBdr>
      <w:spacing w:before="360"/>
      <w:ind w:right="397"/>
      <w:jc w:val="both"/>
    </w:pPr>
  </w:style>
  <w:style w:type="paragraph" w:customStyle="1" w:styleId="NotesHeading2">
    <w:name w:val="NotesHeading 2"/>
    <w:basedOn w:val="OPCParaBase"/>
    <w:next w:val="Normal"/>
    <w:rsid w:val="00DF62CC"/>
    <w:rPr>
      <w:b/>
      <w:sz w:val="28"/>
      <w:szCs w:val="28"/>
    </w:rPr>
  </w:style>
  <w:style w:type="paragraph" w:customStyle="1" w:styleId="NotesHeading1">
    <w:name w:val="NotesHeading 1"/>
    <w:basedOn w:val="OPCParaBase"/>
    <w:next w:val="Normal"/>
    <w:rsid w:val="00DF62CC"/>
    <w:rPr>
      <w:b/>
      <w:sz w:val="28"/>
      <w:szCs w:val="28"/>
    </w:rPr>
  </w:style>
  <w:style w:type="paragraph" w:customStyle="1" w:styleId="CompiledActNo">
    <w:name w:val="CompiledActNo"/>
    <w:basedOn w:val="OPCParaBase"/>
    <w:next w:val="Normal"/>
    <w:rsid w:val="00DF62CC"/>
    <w:rPr>
      <w:b/>
      <w:sz w:val="24"/>
      <w:szCs w:val="24"/>
    </w:rPr>
  </w:style>
  <w:style w:type="paragraph" w:customStyle="1" w:styleId="ENotesText">
    <w:name w:val="ENotesText"/>
    <w:aliases w:val="Ent"/>
    <w:basedOn w:val="OPCParaBase"/>
    <w:next w:val="Normal"/>
    <w:rsid w:val="00DF62CC"/>
    <w:pPr>
      <w:spacing w:before="120"/>
    </w:pPr>
  </w:style>
  <w:style w:type="paragraph" w:customStyle="1" w:styleId="CompiledMadeUnder">
    <w:name w:val="CompiledMadeUnder"/>
    <w:basedOn w:val="OPCParaBase"/>
    <w:next w:val="Normal"/>
    <w:rsid w:val="00DF62CC"/>
    <w:rPr>
      <w:i/>
      <w:sz w:val="24"/>
      <w:szCs w:val="24"/>
    </w:rPr>
  </w:style>
  <w:style w:type="paragraph" w:customStyle="1" w:styleId="Paragraphsub-sub-sub">
    <w:name w:val="Paragraph(sub-sub-sub)"/>
    <w:aliases w:val="aaaa"/>
    <w:basedOn w:val="OPCParaBase"/>
    <w:rsid w:val="00DF62CC"/>
    <w:pPr>
      <w:tabs>
        <w:tab w:val="right" w:pos="3402"/>
      </w:tabs>
      <w:spacing w:before="40" w:line="240" w:lineRule="auto"/>
      <w:ind w:left="3402" w:hanging="3402"/>
    </w:pPr>
  </w:style>
  <w:style w:type="paragraph" w:customStyle="1" w:styleId="TableTextEndNotes">
    <w:name w:val="TableTextEndNotes"/>
    <w:aliases w:val="Tten"/>
    <w:basedOn w:val="Normal"/>
    <w:rsid w:val="00DF62CC"/>
    <w:pPr>
      <w:spacing w:before="60" w:line="240" w:lineRule="auto"/>
    </w:pPr>
    <w:rPr>
      <w:rFonts w:cs="Arial"/>
      <w:sz w:val="20"/>
      <w:szCs w:val="22"/>
    </w:rPr>
  </w:style>
  <w:style w:type="paragraph" w:customStyle="1" w:styleId="TableHeading">
    <w:name w:val="TableHeading"/>
    <w:aliases w:val="th"/>
    <w:basedOn w:val="OPCParaBase"/>
    <w:next w:val="Tabletext"/>
    <w:rsid w:val="00DF62CC"/>
    <w:pPr>
      <w:keepNext/>
      <w:spacing w:before="60" w:line="240" w:lineRule="atLeast"/>
    </w:pPr>
    <w:rPr>
      <w:b/>
      <w:sz w:val="20"/>
    </w:rPr>
  </w:style>
  <w:style w:type="paragraph" w:customStyle="1" w:styleId="NoteToSubpara">
    <w:name w:val="NoteToSubpara"/>
    <w:aliases w:val="nts"/>
    <w:basedOn w:val="OPCParaBase"/>
    <w:rsid w:val="00DF62CC"/>
    <w:pPr>
      <w:spacing w:before="40" w:line="198" w:lineRule="exact"/>
      <w:ind w:left="2835" w:hanging="709"/>
    </w:pPr>
    <w:rPr>
      <w:sz w:val="18"/>
    </w:rPr>
  </w:style>
  <w:style w:type="paragraph" w:customStyle="1" w:styleId="ENoteTableHeading">
    <w:name w:val="ENoteTableHeading"/>
    <w:aliases w:val="enth"/>
    <w:basedOn w:val="OPCParaBase"/>
    <w:rsid w:val="00DF62CC"/>
    <w:pPr>
      <w:keepNext/>
      <w:spacing w:before="60" w:line="240" w:lineRule="atLeast"/>
    </w:pPr>
    <w:rPr>
      <w:rFonts w:ascii="Arial" w:hAnsi="Arial"/>
      <w:b/>
      <w:sz w:val="16"/>
    </w:rPr>
  </w:style>
  <w:style w:type="paragraph" w:customStyle="1" w:styleId="ENoteTTi">
    <w:name w:val="ENoteTTi"/>
    <w:aliases w:val="entti"/>
    <w:basedOn w:val="OPCParaBase"/>
    <w:rsid w:val="00DF62CC"/>
    <w:pPr>
      <w:keepNext/>
      <w:spacing w:before="60" w:line="240" w:lineRule="atLeast"/>
      <w:ind w:left="170"/>
    </w:pPr>
    <w:rPr>
      <w:sz w:val="16"/>
    </w:rPr>
  </w:style>
  <w:style w:type="paragraph" w:customStyle="1" w:styleId="ENotesHeading1">
    <w:name w:val="ENotesHeading 1"/>
    <w:aliases w:val="Enh1,ENh1"/>
    <w:basedOn w:val="OPCParaBase"/>
    <w:next w:val="Normal"/>
    <w:rsid w:val="00DF62CC"/>
    <w:pPr>
      <w:spacing w:before="120"/>
      <w:outlineLvl w:val="1"/>
    </w:pPr>
    <w:rPr>
      <w:b/>
      <w:sz w:val="28"/>
      <w:szCs w:val="28"/>
    </w:rPr>
  </w:style>
  <w:style w:type="paragraph" w:customStyle="1" w:styleId="ENotesHeading2">
    <w:name w:val="ENotesHeading 2"/>
    <w:aliases w:val="Enh2,ENh2"/>
    <w:basedOn w:val="OPCParaBase"/>
    <w:next w:val="Normal"/>
    <w:rsid w:val="00DF62CC"/>
    <w:pPr>
      <w:spacing w:before="120" w:after="120"/>
      <w:outlineLvl w:val="2"/>
    </w:pPr>
    <w:rPr>
      <w:b/>
      <w:sz w:val="24"/>
      <w:szCs w:val="28"/>
    </w:rPr>
  </w:style>
  <w:style w:type="paragraph" w:customStyle="1" w:styleId="ENotesHeading3">
    <w:name w:val="ENotesHeading 3"/>
    <w:aliases w:val="Enh3"/>
    <w:basedOn w:val="OPCParaBase"/>
    <w:next w:val="Normal"/>
    <w:rsid w:val="00DF62CC"/>
    <w:pPr>
      <w:keepNext/>
      <w:spacing w:before="120" w:line="240" w:lineRule="auto"/>
      <w:outlineLvl w:val="4"/>
    </w:pPr>
    <w:rPr>
      <w:b/>
      <w:szCs w:val="24"/>
    </w:rPr>
  </w:style>
  <w:style w:type="paragraph" w:customStyle="1" w:styleId="ENoteTTIndentHeading">
    <w:name w:val="ENoteTTIndentHeading"/>
    <w:aliases w:val="enTTHi"/>
    <w:basedOn w:val="OPCParaBase"/>
    <w:rsid w:val="00DF62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62CC"/>
    <w:pPr>
      <w:spacing w:before="60" w:line="240" w:lineRule="atLeast"/>
    </w:pPr>
    <w:rPr>
      <w:sz w:val="16"/>
    </w:rPr>
  </w:style>
  <w:style w:type="paragraph" w:customStyle="1" w:styleId="MadeunderText">
    <w:name w:val="MadeunderText"/>
    <w:basedOn w:val="OPCParaBase"/>
    <w:next w:val="CompiledMadeUnder"/>
    <w:rsid w:val="00DF62CC"/>
    <w:pPr>
      <w:spacing w:before="240"/>
    </w:pPr>
    <w:rPr>
      <w:sz w:val="24"/>
      <w:szCs w:val="24"/>
    </w:rPr>
  </w:style>
  <w:style w:type="paragraph" w:customStyle="1" w:styleId="SubPartCASA">
    <w:name w:val="SubPart(CASA)"/>
    <w:aliases w:val="csp"/>
    <w:basedOn w:val="OPCParaBase"/>
    <w:next w:val="ActHead3"/>
    <w:rsid w:val="00DF62CC"/>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DF62CC"/>
    <w:pPr>
      <w:spacing w:before="122" w:line="240" w:lineRule="auto"/>
      <w:ind w:left="1985" w:hanging="851"/>
    </w:pPr>
    <w:rPr>
      <w:sz w:val="18"/>
    </w:rPr>
  </w:style>
  <w:style w:type="paragraph" w:customStyle="1" w:styleId="FreeForm">
    <w:name w:val="FreeForm"/>
    <w:rsid w:val="00DF62CC"/>
    <w:rPr>
      <w:rFonts w:ascii="Arial" w:eastAsiaTheme="minorHAnsi" w:hAnsi="Arial" w:cstheme="minorBidi"/>
      <w:sz w:val="22"/>
      <w:lang w:eastAsia="en-US"/>
    </w:rPr>
  </w:style>
  <w:style w:type="paragraph" w:customStyle="1" w:styleId="SOText">
    <w:name w:val="SO Text"/>
    <w:aliases w:val="sot"/>
    <w:link w:val="SOTextChar"/>
    <w:rsid w:val="00DF62C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F62CC"/>
    <w:rPr>
      <w:rFonts w:eastAsiaTheme="minorHAnsi" w:cstheme="minorBidi"/>
      <w:sz w:val="22"/>
      <w:lang w:eastAsia="en-US"/>
    </w:rPr>
  </w:style>
  <w:style w:type="paragraph" w:customStyle="1" w:styleId="SOTextNote">
    <w:name w:val="SO TextNote"/>
    <w:aliases w:val="sont"/>
    <w:basedOn w:val="SOText"/>
    <w:qFormat/>
    <w:rsid w:val="00DF62CC"/>
    <w:pPr>
      <w:spacing w:before="122" w:line="198" w:lineRule="exact"/>
      <w:ind w:left="1843" w:hanging="709"/>
    </w:pPr>
    <w:rPr>
      <w:sz w:val="18"/>
    </w:rPr>
  </w:style>
  <w:style w:type="paragraph" w:customStyle="1" w:styleId="SOPara">
    <w:name w:val="SO Para"/>
    <w:aliases w:val="soa"/>
    <w:basedOn w:val="SOText"/>
    <w:link w:val="SOParaChar"/>
    <w:qFormat/>
    <w:rsid w:val="00DF62CC"/>
    <w:pPr>
      <w:tabs>
        <w:tab w:val="right" w:pos="1786"/>
      </w:tabs>
      <w:spacing w:before="40"/>
      <w:ind w:left="2070" w:hanging="936"/>
    </w:pPr>
  </w:style>
  <w:style w:type="character" w:customStyle="1" w:styleId="SOParaChar">
    <w:name w:val="SO Para Char"/>
    <w:aliases w:val="soa Char"/>
    <w:basedOn w:val="DefaultParagraphFont"/>
    <w:link w:val="SOPara"/>
    <w:rsid w:val="00DF62CC"/>
    <w:rPr>
      <w:rFonts w:eastAsiaTheme="minorHAnsi" w:cstheme="minorBidi"/>
      <w:sz w:val="22"/>
      <w:lang w:eastAsia="en-US"/>
    </w:rPr>
  </w:style>
  <w:style w:type="paragraph" w:customStyle="1" w:styleId="FileName">
    <w:name w:val="FileName"/>
    <w:basedOn w:val="Normal"/>
    <w:rsid w:val="00DF62CC"/>
  </w:style>
  <w:style w:type="paragraph" w:customStyle="1" w:styleId="SOHeadBold">
    <w:name w:val="SO HeadBold"/>
    <w:aliases w:val="sohb"/>
    <w:basedOn w:val="SOText"/>
    <w:next w:val="SOText"/>
    <w:link w:val="SOHeadBoldChar"/>
    <w:qFormat/>
    <w:rsid w:val="00DF62CC"/>
    <w:rPr>
      <w:b/>
    </w:rPr>
  </w:style>
  <w:style w:type="character" w:customStyle="1" w:styleId="SOHeadBoldChar">
    <w:name w:val="SO HeadBold Char"/>
    <w:aliases w:val="sohb Char"/>
    <w:basedOn w:val="DefaultParagraphFont"/>
    <w:link w:val="SOHeadBold"/>
    <w:rsid w:val="00DF62C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F62CC"/>
    <w:rPr>
      <w:i/>
    </w:rPr>
  </w:style>
  <w:style w:type="character" w:customStyle="1" w:styleId="SOHeadItalicChar">
    <w:name w:val="SO HeadItalic Char"/>
    <w:aliases w:val="sohi Char"/>
    <w:basedOn w:val="DefaultParagraphFont"/>
    <w:link w:val="SOHeadItalic"/>
    <w:rsid w:val="00DF62CC"/>
    <w:rPr>
      <w:rFonts w:eastAsiaTheme="minorHAnsi" w:cstheme="minorBidi"/>
      <w:i/>
      <w:sz w:val="22"/>
      <w:lang w:eastAsia="en-US"/>
    </w:rPr>
  </w:style>
  <w:style w:type="paragraph" w:customStyle="1" w:styleId="SOBullet">
    <w:name w:val="SO Bullet"/>
    <w:aliases w:val="sotb"/>
    <w:basedOn w:val="SOText"/>
    <w:link w:val="SOBulletChar"/>
    <w:qFormat/>
    <w:rsid w:val="00DF62CC"/>
    <w:pPr>
      <w:ind w:left="1559" w:hanging="425"/>
    </w:pPr>
  </w:style>
  <w:style w:type="character" w:customStyle="1" w:styleId="SOBulletChar">
    <w:name w:val="SO Bullet Char"/>
    <w:aliases w:val="sotb Char"/>
    <w:basedOn w:val="DefaultParagraphFont"/>
    <w:link w:val="SOBullet"/>
    <w:rsid w:val="00DF62CC"/>
    <w:rPr>
      <w:rFonts w:eastAsiaTheme="minorHAnsi" w:cstheme="minorBidi"/>
      <w:sz w:val="22"/>
      <w:lang w:eastAsia="en-US"/>
    </w:rPr>
  </w:style>
  <w:style w:type="paragraph" w:customStyle="1" w:styleId="SOBulletNote">
    <w:name w:val="SO BulletNote"/>
    <w:aliases w:val="sonb"/>
    <w:basedOn w:val="SOTextNote"/>
    <w:link w:val="SOBulletNoteChar"/>
    <w:qFormat/>
    <w:rsid w:val="00DF62CC"/>
    <w:pPr>
      <w:tabs>
        <w:tab w:val="left" w:pos="1560"/>
      </w:tabs>
      <w:ind w:left="2268" w:hanging="1134"/>
    </w:pPr>
  </w:style>
  <w:style w:type="character" w:customStyle="1" w:styleId="SOBulletNoteChar">
    <w:name w:val="SO BulletNote Char"/>
    <w:aliases w:val="sonb Char"/>
    <w:basedOn w:val="DefaultParagraphFont"/>
    <w:link w:val="SOBulletNote"/>
    <w:rsid w:val="00DF62CC"/>
    <w:rPr>
      <w:rFonts w:eastAsiaTheme="minorHAnsi" w:cstheme="minorBidi"/>
      <w:sz w:val="18"/>
      <w:lang w:eastAsia="en-US"/>
    </w:rPr>
  </w:style>
  <w:style w:type="paragraph" w:customStyle="1" w:styleId="EnStatement">
    <w:name w:val="EnStatement"/>
    <w:basedOn w:val="Normal"/>
    <w:rsid w:val="00DF62CC"/>
    <w:pPr>
      <w:numPr>
        <w:numId w:val="16"/>
      </w:numPr>
    </w:pPr>
    <w:rPr>
      <w:rFonts w:eastAsia="Times New Roman" w:cs="Times New Roman"/>
      <w:lang w:eastAsia="en-AU"/>
    </w:rPr>
  </w:style>
  <w:style w:type="paragraph" w:customStyle="1" w:styleId="EnStatementHeading">
    <w:name w:val="EnStatementHeading"/>
    <w:basedOn w:val="Normal"/>
    <w:rsid w:val="00DF62CC"/>
    <w:rPr>
      <w:rFonts w:eastAsia="Times New Roman" w:cs="Times New Roman"/>
      <w:b/>
      <w:lang w:eastAsia="en-AU"/>
    </w:rPr>
  </w:style>
  <w:style w:type="paragraph" w:customStyle="1" w:styleId="Transitional">
    <w:name w:val="Transitional"/>
    <w:aliases w:val="tr"/>
    <w:basedOn w:val="Normal"/>
    <w:next w:val="Normal"/>
    <w:rsid w:val="00DF62C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E37E6C"/>
    <w:rPr>
      <w:sz w:val="22"/>
    </w:rPr>
  </w:style>
  <w:style w:type="character" w:customStyle="1" w:styleId="notetextChar">
    <w:name w:val="note(text) Char"/>
    <w:aliases w:val="n Char"/>
    <w:basedOn w:val="DefaultParagraphFont"/>
    <w:link w:val="notetext"/>
    <w:rsid w:val="00E37E6C"/>
    <w:rPr>
      <w:sz w:val="18"/>
    </w:rPr>
  </w:style>
  <w:style w:type="paragraph" w:styleId="Revision">
    <w:name w:val="Revision"/>
    <w:hidden/>
    <w:uiPriority w:val="99"/>
    <w:semiHidden/>
    <w:rsid w:val="00A76F26"/>
    <w:rPr>
      <w:rFonts w:eastAsiaTheme="minorHAnsi" w:cstheme="minorBidi"/>
      <w:sz w:val="22"/>
      <w:lang w:eastAsia="en-US"/>
    </w:rPr>
  </w:style>
  <w:style w:type="character" w:customStyle="1" w:styleId="ActHead5Char">
    <w:name w:val="ActHead 5 Char"/>
    <w:aliases w:val="s Char"/>
    <w:link w:val="ActHead5"/>
    <w:rsid w:val="00FD3101"/>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742082">
      <w:bodyDiv w:val="1"/>
      <w:marLeft w:val="0"/>
      <w:marRight w:val="0"/>
      <w:marTop w:val="0"/>
      <w:marBottom w:val="0"/>
      <w:divBdr>
        <w:top w:val="none" w:sz="0" w:space="0" w:color="auto"/>
        <w:left w:val="none" w:sz="0" w:space="0" w:color="auto"/>
        <w:bottom w:val="none" w:sz="0" w:space="0" w:color="auto"/>
        <w:right w:val="none" w:sz="0" w:space="0" w:color="auto"/>
      </w:divBdr>
    </w:div>
    <w:div w:id="179898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17</Pages>
  <Words>3002</Words>
  <Characters>15031</Characters>
  <Application>Microsoft Office Word</Application>
  <DocSecurity>0</DocSecurity>
  <PresentationFormat/>
  <Lines>504</Lines>
  <Paragraphs>316</Paragraphs>
  <ScaleCrop>false</ScaleCrop>
  <HeadingPairs>
    <vt:vector size="2" baseType="variant">
      <vt:variant>
        <vt:lpstr>Title</vt:lpstr>
      </vt:variant>
      <vt:variant>
        <vt:i4>1</vt:i4>
      </vt:variant>
    </vt:vector>
  </HeadingPairs>
  <TitlesOfParts>
    <vt:vector size="1" baseType="lpstr">
      <vt:lpstr>Corporations (Review Fees) Regulations 2003</vt:lpstr>
    </vt:vector>
  </TitlesOfParts>
  <Manager/>
  <Company/>
  <LinksUpToDate>false</LinksUpToDate>
  <CharactersWithSpaces>17764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(Review Fees) Regulations 2003</dc:title>
  <dc:subject/>
  <dc:creator/>
  <cp:keywords/>
  <dc:description/>
  <cp:lastModifiedBy/>
  <cp:revision>1</cp:revision>
  <cp:lastPrinted>2013-08-19T01:36:00Z</cp:lastPrinted>
  <dcterms:created xsi:type="dcterms:W3CDTF">2022-08-04T00:55:00Z</dcterms:created>
  <dcterms:modified xsi:type="dcterms:W3CDTF">2022-08-04T00:55:00Z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(Review Fees) Regulations 2003</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2022</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10</vt:lpwstr>
  </property>
  <property fmtid="{D5CDD505-2E9C-101B-9397-08002B2CF9AE}" pid="19" name="StartDate">
    <vt:lpwstr>1 July 2022</vt:lpwstr>
  </property>
  <property fmtid="{D5CDD505-2E9C-101B-9397-08002B2CF9AE}" pid="20" name="IncludesUpTo">
    <vt:lpwstr>F2022L00466</vt:lpwstr>
  </property>
  <property fmtid="{D5CDD505-2E9C-101B-9397-08002B2CF9AE}" pid="21" name="RegisteredDate">
    <vt:lpwstr>04/08/2022</vt:lpwstr>
  </property>
</Properties>
</file>