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11" w:rsidRPr="00E75F11" w:rsidRDefault="00383242" w:rsidP="00E75F11">
      <w:pPr>
        <w:autoSpaceDE w:val="0"/>
        <w:autoSpaceDN w:val="0"/>
        <w:adjustRightInd w:val="0"/>
        <w:spacing w:before="2200" w:after="240" w:line="288" w:lineRule="auto"/>
        <w:jc w:val="center"/>
        <w:rPr>
          <w:sz w:val="22"/>
          <w:szCs w:val="20"/>
        </w:rPr>
      </w:pPr>
      <w:r w:rsidRPr="00E75F11">
        <w:rPr>
          <w:sz w:val="22"/>
          <w:szCs w:val="20"/>
        </w:rPr>
        <w:t>FOURTH AMENDING DEED TO THE</w:t>
      </w:r>
    </w:p>
    <w:p w:rsidR="00E75F11" w:rsidRPr="00E75F11" w:rsidRDefault="00383242" w:rsidP="00E75F11">
      <w:pPr>
        <w:autoSpaceDE w:val="0"/>
        <w:autoSpaceDN w:val="0"/>
        <w:adjustRightInd w:val="0"/>
        <w:spacing w:before="1200" w:after="240" w:line="288" w:lineRule="auto"/>
        <w:jc w:val="center"/>
        <w:rPr>
          <w:sz w:val="22"/>
          <w:szCs w:val="20"/>
        </w:rPr>
      </w:pPr>
      <w:r w:rsidRPr="00E75F11">
        <w:rPr>
          <w:sz w:val="22"/>
          <w:szCs w:val="20"/>
        </w:rPr>
        <w:t>DEED</w:t>
      </w:r>
    </w:p>
    <w:p w:rsidR="00E75F11" w:rsidRPr="00E75F11" w:rsidRDefault="00383242" w:rsidP="00E75F11">
      <w:pPr>
        <w:autoSpaceDE w:val="0"/>
        <w:autoSpaceDN w:val="0"/>
        <w:adjustRightInd w:val="0"/>
        <w:spacing w:after="240" w:line="288" w:lineRule="auto"/>
        <w:jc w:val="center"/>
        <w:rPr>
          <w:sz w:val="22"/>
          <w:szCs w:val="20"/>
        </w:rPr>
      </w:pPr>
      <w:r w:rsidRPr="00E75F11">
        <w:rPr>
          <w:sz w:val="22"/>
          <w:szCs w:val="20"/>
        </w:rPr>
        <w:t>TO ESTABLISH AN OCCUPATIONAL</w:t>
      </w:r>
    </w:p>
    <w:p w:rsidR="00E75F11" w:rsidRPr="00E75F11" w:rsidRDefault="00383242" w:rsidP="00E75F11">
      <w:pPr>
        <w:autoSpaceDE w:val="0"/>
        <w:autoSpaceDN w:val="0"/>
        <w:adjustRightInd w:val="0"/>
        <w:spacing w:after="240" w:line="288" w:lineRule="auto"/>
        <w:jc w:val="center"/>
        <w:rPr>
          <w:sz w:val="22"/>
          <w:szCs w:val="20"/>
        </w:rPr>
      </w:pPr>
      <w:r w:rsidRPr="00E75F11">
        <w:rPr>
          <w:sz w:val="22"/>
          <w:szCs w:val="20"/>
        </w:rPr>
        <w:t>SUPERANNUATION SCHEME FOR COMMONWEALTH</w:t>
      </w:r>
    </w:p>
    <w:p w:rsidR="00E75F11" w:rsidRPr="00E75F11" w:rsidRDefault="00383242" w:rsidP="00E75F11">
      <w:pPr>
        <w:autoSpaceDE w:val="0"/>
        <w:autoSpaceDN w:val="0"/>
        <w:adjustRightInd w:val="0"/>
        <w:spacing w:after="240" w:line="288" w:lineRule="auto"/>
        <w:jc w:val="center"/>
        <w:rPr>
          <w:sz w:val="22"/>
          <w:szCs w:val="20"/>
        </w:rPr>
      </w:pPr>
      <w:r w:rsidRPr="00E75F11">
        <w:rPr>
          <w:sz w:val="22"/>
          <w:szCs w:val="20"/>
        </w:rPr>
        <w:t>EMPLOYEES AND CERTAIN OTHER PERSONS</w:t>
      </w:r>
    </w:p>
    <w:p w:rsidR="00E75F11" w:rsidRPr="00E75F11" w:rsidRDefault="00383242" w:rsidP="00E75F11">
      <w:pPr>
        <w:autoSpaceDE w:val="0"/>
        <w:autoSpaceDN w:val="0"/>
        <w:adjustRightInd w:val="0"/>
        <w:spacing w:before="1440" w:after="1440" w:line="288" w:lineRule="auto"/>
        <w:jc w:val="center"/>
        <w:rPr>
          <w:sz w:val="22"/>
          <w:szCs w:val="20"/>
        </w:rPr>
      </w:pPr>
      <w:r w:rsidRPr="00E75F11">
        <w:rPr>
          <w:sz w:val="22"/>
          <w:szCs w:val="20"/>
        </w:rPr>
        <w:t>Pursuant to</w:t>
      </w:r>
    </w:p>
    <w:p w:rsidR="00E75F11" w:rsidRPr="00E75F11" w:rsidRDefault="00383242" w:rsidP="00E75F11">
      <w:pPr>
        <w:autoSpaceDE w:val="0"/>
        <w:autoSpaceDN w:val="0"/>
        <w:adjustRightInd w:val="0"/>
        <w:spacing w:before="29" w:after="240" w:line="288" w:lineRule="auto"/>
        <w:jc w:val="center"/>
        <w:rPr>
          <w:sz w:val="22"/>
          <w:szCs w:val="20"/>
        </w:rPr>
      </w:pPr>
      <w:r w:rsidRPr="00E75F11">
        <w:rPr>
          <w:sz w:val="22"/>
          <w:szCs w:val="20"/>
        </w:rPr>
        <w:t>SECTION 5 OF THE</w:t>
      </w:r>
    </w:p>
    <w:p w:rsidR="00E75F11" w:rsidRPr="00E75F11" w:rsidRDefault="00383242" w:rsidP="00E75F11">
      <w:pPr>
        <w:autoSpaceDE w:val="0"/>
        <w:autoSpaceDN w:val="0"/>
        <w:adjustRightInd w:val="0"/>
        <w:spacing w:after="1240" w:line="288" w:lineRule="auto"/>
        <w:jc w:val="center"/>
        <w:rPr>
          <w:sz w:val="22"/>
          <w:szCs w:val="20"/>
        </w:rPr>
      </w:pPr>
      <w:r w:rsidRPr="00E75F11">
        <w:rPr>
          <w:sz w:val="22"/>
          <w:szCs w:val="20"/>
        </w:rPr>
        <w:t>SUPERANNUATION ACT 1990</w:t>
      </w:r>
    </w:p>
    <w:p w:rsidR="00E75F11" w:rsidRDefault="00383242" w:rsidP="00E75F11">
      <w:pPr>
        <w:autoSpaceDE w:val="0"/>
        <w:autoSpaceDN w:val="0"/>
        <w:adjustRightInd w:val="0"/>
        <w:spacing w:after="240" w:line="288" w:lineRule="auto"/>
        <w:ind w:left="6480"/>
        <w:rPr>
          <w:sz w:val="20"/>
          <w:szCs w:val="20"/>
        </w:rPr>
      </w:pPr>
      <w:r w:rsidRPr="0077637B">
        <w:rPr>
          <w:sz w:val="20"/>
          <w:szCs w:val="20"/>
        </w:rPr>
        <w:t>Australian Government</w:t>
      </w:r>
    </w:p>
    <w:p w:rsidR="00E75F11" w:rsidRDefault="00383242" w:rsidP="00E75F11">
      <w:pPr>
        <w:autoSpaceDE w:val="0"/>
        <w:autoSpaceDN w:val="0"/>
        <w:adjustRightInd w:val="0"/>
        <w:spacing w:after="240" w:line="288" w:lineRule="auto"/>
        <w:ind w:left="6480"/>
        <w:rPr>
          <w:sz w:val="20"/>
          <w:szCs w:val="20"/>
        </w:rPr>
      </w:pPr>
      <w:r w:rsidRPr="0077637B">
        <w:rPr>
          <w:sz w:val="20"/>
          <w:szCs w:val="20"/>
        </w:rPr>
        <w:t>Solicitor</w:t>
      </w:r>
    </w:p>
    <w:p w:rsidR="00E75F11" w:rsidRDefault="00383242" w:rsidP="00E75F11">
      <w:pPr>
        <w:autoSpaceDE w:val="0"/>
        <w:autoSpaceDN w:val="0"/>
        <w:adjustRightInd w:val="0"/>
        <w:spacing w:after="240" w:line="288" w:lineRule="auto"/>
        <w:ind w:left="6480"/>
        <w:rPr>
          <w:sz w:val="20"/>
          <w:szCs w:val="20"/>
        </w:rPr>
      </w:pPr>
      <w:r w:rsidRPr="0077637B">
        <w:rPr>
          <w:sz w:val="20"/>
          <w:szCs w:val="20"/>
        </w:rPr>
        <w:t>Robert Garran Offices</w:t>
      </w:r>
    </w:p>
    <w:p w:rsidR="00E75F11" w:rsidRDefault="00383242" w:rsidP="00E75F11">
      <w:pPr>
        <w:autoSpaceDE w:val="0"/>
        <w:autoSpaceDN w:val="0"/>
        <w:adjustRightInd w:val="0"/>
        <w:spacing w:after="240" w:line="288" w:lineRule="auto"/>
        <w:ind w:left="6480"/>
        <w:rPr>
          <w:sz w:val="20"/>
          <w:szCs w:val="20"/>
        </w:rPr>
      </w:pPr>
      <w:r w:rsidRPr="0077637B">
        <w:rPr>
          <w:sz w:val="20"/>
          <w:szCs w:val="20"/>
        </w:rPr>
        <w:t>BARTON ACT 2600</w:t>
      </w:r>
    </w:p>
    <w:p w:rsidR="00E75F11" w:rsidRDefault="00E75F11" w:rsidP="00E75F11">
      <w:pPr>
        <w:autoSpaceDE w:val="0"/>
        <w:autoSpaceDN w:val="0"/>
        <w:adjustRightInd w:val="0"/>
        <w:spacing w:after="240" w:line="288" w:lineRule="auto"/>
        <w:rPr>
          <w:sz w:val="20"/>
          <w:szCs w:val="20"/>
        </w:rPr>
        <w:sectPr w:rsidR="00E75F11" w:rsidSect="00E75F11">
          <w:pgSz w:w="11909" w:h="16834" w:code="9"/>
          <w:pgMar w:top="720" w:right="720" w:bottom="720" w:left="720" w:header="720" w:footer="720" w:gutter="0"/>
          <w:cols w:space="720"/>
          <w:titlePg/>
          <w:docGrid w:linePitch="360"/>
        </w:sectPr>
      </w:pPr>
    </w:p>
    <w:p w:rsidR="00E75F11" w:rsidRDefault="00383242" w:rsidP="00E75F11">
      <w:pPr>
        <w:autoSpaceDE w:val="0"/>
        <w:autoSpaceDN w:val="0"/>
        <w:adjustRightInd w:val="0"/>
        <w:spacing w:after="240" w:line="288" w:lineRule="auto"/>
        <w:rPr>
          <w:sz w:val="20"/>
          <w:szCs w:val="20"/>
        </w:rPr>
      </w:pPr>
      <w:r w:rsidRPr="0077637B">
        <w:rPr>
          <w:sz w:val="20"/>
          <w:szCs w:val="20"/>
        </w:rPr>
        <w:lastRenderedPageBreak/>
        <w:t>THIS DEED is made on 21st</w:t>
      </w:r>
      <w:r w:rsidRPr="0077637B">
        <w:rPr>
          <w:i/>
          <w:iCs/>
          <w:sz w:val="20"/>
          <w:szCs w:val="20"/>
        </w:rPr>
        <w:t xml:space="preserve"> </w:t>
      </w:r>
      <w:r w:rsidRPr="0077637B">
        <w:rPr>
          <w:sz w:val="20"/>
          <w:szCs w:val="20"/>
        </w:rPr>
        <w:t>December 1992 by THE COMMONWEALTH OF AUSTRALIA (in this Deed called “the Commonwealth”).</w:t>
      </w:r>
    </w:p>
    <w:p w:rsidR="00E75F11" w:rsidRDefault="00383242" w:rsidP="00E75F11">
      <w:pPr>
        <w:autoSpaceDE w:val="0"/>
        <w:autoSpaceDN w:val="0"/>
        <w:adjustRightInd w:val="0"/>
        <w:spacing w:before="110" w:after="240" w:line="288" w:lineRule="auto"/>
        <w:rPr>
          <w:sz w:val="20"/>
          <w:szCs w:val="20"/>
        </w:rPr>
      </w:pPr>
      <w:r w:rsidRPr="0077637B">
        <w:rPr>
          <w:sz w:val="20"/>
          <w:szCs w:val="20"/>
        </w:rPr>
        <w:t>WHEREAS the Commonwealth Minister of State for Finance, for and on behalf of the Commonwealth, pursuant to section 4 of the Superannuation Act 1990, established by Deed dated 21 June 1990 (in this Deed called “the Trust Deed”) an occupational superannuation scheme (in this Deed called the “Superannuation Scheme”) in order to provide benefits for certain of its employees and for certain other persons;</w:t>
      </w:r>
    </w:p>
    <w:p w:rsidR="00E75F11" w:rsidRDefault="00383242" w:rsidP="00E75F11">
      <w:pPr>
        <w:autoSpaceDE w:val="0"/>
        <w:autoSpaceDN w:val="0"/>
        <w:adjustRightInd w:val="0"/>
        <w:spacing w:before="106" w:after="240" w:line="288" w:lineRule="auto"/>
        <w:rPr>
          <w:sz w:val="20"/>
          <w:szCs w:val="20"/>
        </w:rPr>
      </w:pPr>
      <w:r w:rsidRPr="0077637B">
        <w:rPr>
          <w:sz w:val="20"/>
          <w:szCs w:val="20"/>
        </w:rPr>
        <w:t>AND WHEREAS section 5 of the Superannuation Act 1990 provides that the Minister may, by signed instrument, amend the Trust Deed;</w:t>
      </w:r>
    </w:p>
    <w:p w:rsidR="00E75F11" w:rsidRDefault="00383242" w:rsidP="00E75F11">
      <w:pPr>
        <w:autoSpaceDE w:val="0"/>
        <w:autoSpaceDN w:val="0"/>
        <w:adjustRightInd w:val="0"/>
        <w:spacing w:before="110" w:after="240" w:line="288" w:lineRule="auto"/>
        <w:rPr>
          <w:sz w:val="20"/>
          <w:szCs w:val="20"/>
        </w:rPr>
      </w:pPr>
      <w:r w:rsidRPr="0077637B">
        <w:rPr>
          <w:sz w:val="20"/>
          <w:szCs w:val="20"/>
        </w:rPr>
        <w:t>AND WHEREAS by Deeds dated 21 June 1990, 1 July 1991 and 30 June 1992 (the First, Second and Third Amending Deeds, respectively) the Minister amended the Trust Deed and the Rules for the administration of the Superannuation Scheme set out in the Schedule to the Trust Deed;</w:t>
      </w:r>
    </w:p>
    <w:p w:rsidR="00E75F11" w:rsidRDefault="00383242" w:rsidP="00E75F11">
      <w:pPr>
        <w:autoSpaceDE w:val="0"/>
        <w:autoSpaceDN w:val="0"/>
        <w:adjustRightInd w:val="0"/>
        <w:spacing w:before="106" w:after="240" w:line="288" w:lineRule="auto"/>
        <w:rPr>
          <w:sz w:val="20"/>
          <w:szCs w:val="20"/>
        </w:rPr>
      </w:pPr>
      <w:r w:rsidRPr="0077637B">
        <w:rPr>
          <w:sz w:val="20"/>
          <w:szCs w:val="20"/>
        </w:rPr>
        <w:t>NOW THIS DEED WITNESSES that the Rules for the administration of the Superannuation Scheme set out in the Schedule to the Trust Deed are amended as follows:</w:t>
      </w:r>
    </w:p>
    <w:p w:rsidR="00E75F11" w:rsidRDefault="00383242" w:rsidP="00E75F11">
      <w:pPr>
        <w:autoSpaceDE w:val="0"/>
        <w:autoSpaceDN w:val="0"/>
        <w:adjustRightInd w:val="0"/>
        <w:spacing w:after="240" w:line="288" w:lineRule="auto"/>
        <w:ind w:left="1008" w:hanging="1008"/>
        <w:rPr>
          <w:sz w:val="20"/>
          <w:szCs w:val="20"/>
        </w:rPr>
      </w:pPr>
      <w:r w:rsidRPr="0077637B">
        <w:rPr>
          <w:sz w:val="20"/>
          <w:szCs w:val="20"/>
        </w:rPr>
        <w:t>1.1</w:t>
      </w:r>
      <w:r w:rsidRPr="0077637B">
        <w:rPr>
          <w:sz w:val="20"/>
          <w:szCs w:val="20"/>
        </w:rPr>
        <w:tab/>
        <w:t>Rule 1.1.1 is amended by:</w:t>
      </w:r>
    </w:p>
    <w:p w:rsidR="00E75F11" w:rsidRDefault="00383242" w:rsidP="00E75F11">
      <w:pPr>
        <w:tabs>
          <w:tab w:val="left" w:pos="1598"/>
        </w:tabs>
        <w:autoSpaceDE w:val="0"/>
        <w:autoSpaceDN w:val="0"/>
        <w:adjustRightInd w:val="0"/>
        <w:spacing w:before="130" w:after="240" w:line="288" w:lineRule="auto"/>
        <w:ind w:left="1598" w:hanging="686"/>
        <w:rPr>
          <w:sz w:val="20"/>
          <w:szCs w:val="20"/>
        </w:rPr>
      </w:pPr>
      <w:r w:rsidRPr="0077637B">
        <w:rPr>
          <w:sz w:val="20"/>
          <w:szCs w:val="20"/>
        </w:rPr>
        <w:t>(a)</w:t>
      </w:r>
      <w:r w:rsidRPr="0077637B">
        <w:rPr>
          <w:sz w:val="20"/>
          <w:szCs w:val="20"/>
        </w:rPr>
        <w:tab/>
        <w:t>adding the following definition after the definition of “minimum retiring age”:</w:t>
      </w:r>
    </w:p>
    <w:p w:rsidR="00E75F11" w:rsidRDefault="00383242" w:rsidP="00E75F11">
      <w:pPr>
        <w:autoSpaceDE w:val="0"/>
        <w:autoSpaceDN w:val="0"/>
        <w:adjustRightInd w:val="0"/>
        <w:spacing w:before="120" w:after="240" w:line="288" w:lineRule="auto"/>
        <w:ind w:left="1589"/>
        <w:rPr>
          <w:sz w:val="20"/>
          <w:szCs w:val="20"/>
        </w:rPr>
      </w:pPr>
      <w:r w:rsidRPr="0077637B">
        <w:rPr>
          <w:b/>
          <w:bCs/>
          <w:sz w:val="20"/>
          <w:szCs w:val="20"/>
        </w:rPr>
        <w:t>‘“mobility allowance”,</w:t>
      </w:r>
      <w:r w:rsidRPr="0077637B">
        <w:rPr>
          <w:sz w:val="20"/>
          <w:szCs w:val="20"/>
        </w:rPr>
        <w:t xml:space="preserve"> means an allowance of that name payable in accordance with a determination made under section 82D of the Public Service Act 1922;’ and</w:t>
      </w:r>
    </w:p>
    <w:p w:rsidR="00E75F11" w:rsidRDefault="00383242" w:rsidP="00E75F11">
      <w:pPr>
        <w:tabs>
          <w:tab w:val="left" w:pos="1598"/>
        </w:tabs>
        <w:autoSpaceDE w:val="0"/>
        <w:autoSpaceDN w:val="0"/>
        <w:adjustRightInd w:val="0"/>
        <w:spacing w:before="120" w:after="240" w:line="288" w:lineRule="auto"/>
        <w:ind w:left="1598" w:hanging="686"/>
        <w:rPr>
          <w:sz w:val="20"/>
          <w:szCs w:val="20"/>
        </w:rPr>
      </w:pPr>
      <w:r w:rsidRPr="0077637B">
        <w:rPr>
          <w:sz w:val="20"/>
          <w:szCs w:val="20"/>
        </w:rPr>
        <w:t>(b)</w:t>
      </w:r>
      <w:r w:rsidRPr="0077637B">
        <w:rPr>
          <w:sz w:val="20"/>
          <w:szCs w:val="20"/>
        </w:rPr>
        <w:tab/>
        <w:t>adding the following paragraph after paragraph (d) of the definition of “permanent full-time employee”:</w:t>
      </w:r>
    </w:p>
    <w:p w:rsidR="00E75F11" w:rsidRDefault="00383242" w:rsidP="00E75F11">
      <w:pPr>
        <w:autoSpaceDE w:val="0"/>
        <w:autoSpaceDN w:val="0"/>
        <w:adjustRightInd w:val="0"/>
        <w:spacing w:after="240" w:line="288" w:lineRule="auto"/>
        <w:ind w:left="3005" w:hanging="1392"/>
        <w:rPr>
          <w:sz w:val="20"/>
          <w:szCs w:val="20"/>
        </w:rPr>
      </w:pPr>
      <w:bookmarkStart w:id="0" w:name="_GoBack"/>
      <w:bookmarkEnd w:id="0"/>
      <w:r w:rsidRPr="0077637B">
        <w:rPr>
          <w:sz w:val="20"/>
          <w:szCs w:val="20"/>
        </w:rPr>
        <w:br w:type="page"/>
      </w:r>
      <w:r w:rsidRPr="0077637B">
        <w:rPr>
          <w:sz w:val="20"/>
          <w:szCs w:val="20"/>
        </w:rPr>
        <w:lastRenderedPageBreak/>
        <w:t>“or (e)</w:t>
      </w:r>
      <w:r w:rsidRPr="0077637B">
        <w:rPr>
          <w:sz w:val="20"/>
          <w:szCs w:val="20"/>
        </w:rPr>
        <w:tab/>
        <w:t>a person who is eligible to be paid a mobility allowance or who would be eligible to be paid the allowance except for the amount of income that the person is receiving;”.</w:t>
      </w:r>
    </w:p>
    <w:p w:rsidR="00E75F11" w:rsidRDefault="00383242" w:rsidP="00E75F11">
      <w:pPr>
        <w:autoSpaceDE w:val="0"/>
        <w:autoSpaceDN w:val="0"/>
        <w:adjustRightInd w:val="0"/>
        <w:spacing w:before="230" w:after="240" w:line="288" w:lineRule="auto"/>
        <w:ind w:left="845" w:hanging="845"/>
        <w:rPr>
          <w:sz w:val="20"/>
          <w:szCs w:val="20"/>
        </w:rPr>
      </w:pPr>
      <w:r w:rsidRPr="0077637B">
        <w:rPr>
          <w:sz w:val="20"/>
          <w:szCs w:val="20"/>
        </w:rPr>
        <w:t>1.2</w:t>
      </w:r>
      <w:r w:rsidRPr="0077637B">
        <w:rPr>
          <w:sz w:val="20"/>
          <w:szCs w:val="20"/>
        </w:rPr>
        <w:tab/>
        <w:t>The following rule and its heading are inserted after rule 2.1.4:</w:t>
      </w:r>
    </w:p>
    <w:p w:rsidR="00E75F11" w:rsidRDefault="00383242" w:rsidP="00E75F11">
      <w:pPr>
        <w:autoSpaceDE w:val="0"/>
        <w:autoSpaceDN w:val="0"/>
        <w:adjustRightInd w:val="0"/>
        <w:spacing w:before="130" w:after="240" w:line="288" w:lineRule="auto"/>
        <w:ind w:left="859"/>
        <w:rPr>
          <w:bCs/>
          <w:sz w:val="20"/>
          <w:szCs w:val="20"/>
        </w:rPr>
      </w:pPr>
      <w:r w:rsidRPr="0077637B">
        <w:rPr>
          <w:b/>
          <w:bCs/>
          <w:sz w:val="20"/>
          <w:szCs w:val="20"/>
        </w:rPr>
        <w:t>“Annual rate of salary for a member who is eligible to be paid mobility allowance</w:t>
      </w:r>
    </w:p>
    <w:p w:rsidR="00E75F11" w:rsidRDefault="00383242" w:rsidP="00E75F11">
      <w:pPr>
        <w:tabs>
          <w:tab w:val="left" w:pos="2520"/>
        </w:tabs>
        <w:autoSpaceDE w:val="0"/>
        <w:autoSpaceDN w:val="0"/>
        <w:adjustRightInd w:val="0"/>
        <w:spacing w:before="120" w:after="240" w:line="288" w:lineRule="auto"/>
        <w:ind w:left="850" w:firstLine="730"/>
        <w:rPr>
          <w:sz w:val="20"/>
          <w:szCs w:val="20"/>
        </w:rPr>
      </w:pPr>
      <w:r w:rsidRPr="0077637B">
        <w:rPr>
          <w:b/>
          <w:bCs/>
          <w:sz w:val="20"/>
          <w:szCs w:val="20"/>
        </w:rPr>
        <w:t>2.1.4A.</w:t>
      </w:r>
      <w:r w:rsidRPr="0077637B">
        <w:rPr>
          <w:sz w:val="20"/>
          <w:szCs w:val="20"/>
        </w:rPr>
        <w:tab/>
        <w:t>The annual rate of salary on a particular day for a member who is eligible to be paid a mobility allowance on that day, or who would be eligible to be paid the allowance on that day except for the amount of income that the member is receiving, shall be the greater of:</w:t>
      </w:r>
    </w:p>
    <w:p w:rsidR="00E75F11" w:rsidRDefault="00383242" w:rsidP="00E75F11">
      <w:pPr>
        <w:tabs>
          <w:tab w:val="left" w:pos="1565"/>
        </w:tabs>
        <w:autoSpaceDE w:val="0"/>
        <w:autoSpaceDN w:val="0"/>
        <w:adjustRightInd w:val="0"/>
        <w:spacing w:before="120" w:after="240" w:line="288" w:lineRule="auto"/>
        <w:ind w:left="1565" w:hanging="672"/>
        <w:rPr>
          <w:sz w:val="20"/>
          <w:szCs w:val="20"/>
        </w:rPr>
      </w:pPr>
      <w:r w:rsidRPr="0077637B">
        <w:rPr>
          <w:sz w:val="20"/>
          <w:szCs w:val="20"/>
        </w:rPr>
        <w:t>(a)</w:t>
      </w:r>
      <w:r w:rsidRPr="0077637B">
        <w:rPr>
          <w:sz w:val="20"/>
          <w:szCs w:val="20"/>
        </w:rPr>
        <w:tab/>
        <w:t>the annual rate of superannuation salary payable on that day in respect of the office that the member held immediately before becoming eligible for a mobility allowance; and</w:t>
      </w:r>
    </w:p>
    <w:p w:rsidR="00E75F11" w:rsidRDefault="00383242" w:rsidP="00E75F11">
      <w:pPr>
        <w:tabs>
          <w:tab w:val="left" w:pos="1565"/>
        </w:tabs>
        <w:autoSpaceDE w:val="0"/>
        <w:autoSpaceDN w:val="0"/>
        <w:adjustRightInd w:val="0"/>
        <w:spacing w:before="125" w:after="240" w:line="288" w:lineRule="auto"/>
        <w:ind w:left="1565" w:hanging="672"/>
        <w:rPr>
          <w:sz w:val="20"/>
          <w:szCs w:val="20"/>
        </w:rPr>
      </w:pPr>
      <w:r w:rsidRPr="0077637B">
        <w:rPr>
          <w:sz w:val="20"/>
          <w:szCs w:val="20"/>
        </w:rPr>
        <w:t>(b)</w:t>
      </w:r>
      <w:r w:rsidRPr="0077637B">
        <w:rPr>
          <w:sz w:val="20"/>
          <w:szCs w:val="20"/>
        </w:rPr>
        <w:tab/>
        <w:t>the annual rate of CSS salary (if any) applicable to the member on that day under rule 2.1.11.”</w:t>
      </w:r>
    </w:p>
    <w:p w:rsidR="00E75F11" w:rsidRDefault="00383242" w:rsidP="00E75F11">
      <w:pPr>
        <w:autoSpaceDE w:val="0"/>
        <w:autoSpaceDN w:val="0"/>
        <w:adjustRightInd w:val="0"/>
        <w:spacing w:after="240" w:line="288" w:lineRule="auto"/>
        <w:ind w:left="891" w:hanging="891"/>
        <w:rPr>
          <w:sz w:val="20"/>
          <w:szCs w:val="20"/>
        </w:rPr>
      </w:pPr>
      <w:r w:rsidRPr="0077637B">
        <w:rPr>
          <w:sz w:val="20"/>
          <w:szCs w:val="20"/>
        </w:rPr>
        <w:t>1.3</w:t>
      </w:r>
      <w:r w:rsidRPr="0077637B">
        <w:rPr>
          <w:sz w:val="20"/>
          <w:szCs w:val="20"/>
        </w:rPr>
        <w:tab/>
        <w:t>Rule 2.3.1 is amended by:</w:t>
      </w:r>
    </w:p>
    <w:p w:rsidR="00E75F11" w:rsidRDefault="00383242" w:rsidP="00E75F11">
      <w:pPr>
        <w:autoSpaceDE w:val="0"/>
        <w:autoSpaceDN w:val="0"/>
        <w:adjustRightInd w:val="0"/>
        <w:spacing w:before="144" w:after="240" w:line="288" w:lineRule="auto"/>
        <w:ind w:left="1555" w:hanging="662"/>
        <w:rPr>
          <w:sz w:val="20"/>
          <w:szCs w:val="20"/>
        </w:rPr>
      </w:pPr>
      <w:r w:rsidRPr="0077637B">
        <w:rPr>
          <w:sz w:val="20"/>
          <w:szCs w:val="20"/>
        </w:rPr>
        <w:t>(a)</w:t>
      </w:r>
      <w:r w:rsidRPr="0077637B">
        <w:rPr>
          <w:sz w:val="20"/>
          <w:szCs w:val="20"/>
        </w:rPr>
        <w:tab/>
        <w:t>replacing “members.” at the end of paragraph (g) with “members; or”; and</w:t>
      </w:r>
    </w:p>
    <w:p w:rsidR="00E75F11" w:rsidRDefault="00383242" w:rsidP="00E75F11">
      <w:pPr>
        <w:autoSpaceDE w:val="0"/>
        <w:autoSpaceDN w:val="0"/>
        <w:adjustRightInd w:val="0"/>
        <w:spacing w:after="240" w:line="288" w:lineRule="auto"/>
        <w:ind w:left="922"/>
        <w:rPr>
          <w:sz w:val="20"/>
          <w:szCs w:val="20"/>
        </w:rPr>
      </w:pPr>
      <w:r w:rsidRPr="0077637B">
        <w:rPr>
          <w:sz w:val="20"/>
          <w:szCs w:val="20"/>
        </w:rPr>
        <w:br w:type="page"/>
      </w:r>
      <w:r w:rsidRPr="0077637B">
        <w:rPr>
          <w:sz w:val="20"/>
          <w:szCs w:val="20"/>
        </w:rPr>
        <w:lastRenderedPageBreak/>
        <w:t>(b)</w:t>
      </w:r>
      <w:r w:rsidRPr="0077637B">
        <w:rPr>
          <w:sz w:val="20"/>
          <w:szCs w:val="20"/>
        </w:rPr>
        <w:tab/>
        <w:t>adding the following paragraph:</w:t>
      </w:r>
    </w:p>
    <w:p w:rsidR="00E75F11" w:rsidRDefault="00383242" w:rsidP="00E75F11">
      <w:pPr>
        <w:autoSpaceDE w:val="0"/>
        <w:autoSpaceDN w:val="0"/>
        <w:adjustRightInd w:val="0"/>
        <w:spacing w:before="202" w:after="240" w:line="288" w:lineRule="auto"/>
        <w:ind w:left="2299" w:hanging="682"/>
        <w:rPr>
          <w:sz w:val="20"/>
          <w:szCs w:val="20"/>
        </w:rPr>
      </w:pPr>
      <w:r w:rsidRPr="0077637B">
        <w:rPr>
          <w:sz w:val="20"/>
          <w:szCs w:val="20"/>
        </w:rPr>
        <w:t>“(h)</w:t>
      </w:r>
      <w:r w:rsidR="00E75F11">
        <w:rPr>
          <w:sz w:val="20"/>
          <w:szCs w:val="20"/>
        </w:rPr>
        <w:tab/>
      </w:r>
      <w:r w:rsidRPr="0077637B">
        <w:rPr>
          <w:sz w:val="20"/>
          <w:szCs w:val="20"/>
        </w:rPr>
        <w:t>where the member was eligible to be paid a mobility allowance on the anniversary of his or her birth immediately preceding the contribution due day, or would have been eligible to be paid the allowance on that anniversary of birth except for the amount of income that the member was then receiving, and:</w:t>
      </w:r>
    </w:p>
    <w:p w:rsidR="00E75F11" w:rsidRDefault="00383242" w:rsidP="00E75F11">
      <w:pPr>
        <w:autoSpaceDE w:val="0"/>
        <w:autoSpaceDN w:val="0"/>
        <w:adjustRightInd w:val="0"/>
        <w:spacing w:before="130" w:after="240" w:line="288" w:lineRule="auto"/>
        <w:ind w:left="3005" w:hanging="662"/>
        <w:rPr>
          <w:sz w:val="20"/>
          <w:szCs w:val="20"/>
        </w:rPr>
      </w:pPr>
      <w:r w:rsidRPr="0077637B">
        <w:rPr>
          <w:sz w:val="20"/>
          <w:szCs w:val="20"/>
        </w:rPr>
        <w:t>(</w:t>
      </w:r>
      <w:proofErr w:type="spellStart"/>
      <w:r w:rsidRPr="0077637B">
        <w:rPr>
          <w:sz w:val="20"/>
          <w:szCs w:val="20"/>
        </w:rPr>
        <w:t>i</w:t>
      </w:r>
      <w:proofErr w:type="spellEnd"/>
      <w:r w:rsidRPr="0077637B">
        <w:rPr>
          <w:sz w:val="20"/>
          <w:szCs w:val="20"/>
        </w:rPr>
        <w:t>)</w:t>
      </w:r>
      <w:r w:rsidRPr="0077637B">
        <w:rPr>
          <w:sz w:val="20"/>
          <w:szCs w:val="20"/>
        </w:rPr>
        <w:tab/>
        <w:t>where he or she was a member on that anniversary of birth - the fortnightly rate of salary on that anniversary of birth in respect of the office that he or she held immediately before becoming eligible for the mobility allowance; or</w:t>
      </w:r>
    </w:p>
    <w:p w:rsidR="00E75F11" w:rsidRDefault="00383242" w:rsidP="00E75F11">
      <w:pPr>
        <w:autoSpaceDE w:val="0"/>
        <w:autoSpaceDN w:val="0"/>
        <w:adjustRightInd w:val="0"/>
        <w:spacing w:before="115" w:after="240" w:line="288" w:lineRule="auto"/>
        <w:ind w:left="3000" w:hanging="677"/>
        <w:rPr>
          <w:sz w:val="20"/>
          <w:szCs w:val="20"/>
        </w:rPr>
      </w:pPr>
      <w:r w:rsidRPr="0077637B">
        <w:rPr>
          <w:sz w:val="20"/>
          <w:szCs w:val="20"/>
        </w:rPr>
        <w:t>(ii)</w:t>
      </w:r>
      <w:r w:rsidRPr="0077637B">
        <w:rPr>
          <w:sz w:val="20"/>
          <w:szCs w:val="20"/>
        </w:rPr>
        <w:tab/>
        <w:t>where he or she was an eligible employee for the purposes of the 1976 Act on the anniversary of birth immediately preceding the contribution due day - the fortnightly contribution salary on the contribution due day for the purposes of the 1976 Act in accordance with rule 2.4.2.”.</w:t>
      </w:r>
    </w:p>
    <w:p w:rsidR="00E75F11" w:rsidRDefault="00383242" w:rsidP="00E75F11">
      <w:pPr>
        <w:autoSpaceDE w:val="0"/>
        <w:autoSpaceDN w:val="0"/>
        <w:adjustRightInd w:val="0"/>
        <w:spacing w:before="178" w:after="240" w:line="288" w:lineRule="auto"/>
        <w:rPr>
          <w:sz w:val="20"/>
          <w:szCs w:val="20"/>
        </w:rPr>
      </w:pPr>
      <w:r w:rsidRPr="0077637B">
        <w:rPr>
          <w:sz w:val="20"/>
          <w:szCs w:val="20"/>
        </w:rPr>
        <w:t>1.4</w:t>
      </w:r>
      <w:r w:rsidRPr="0077637B">
        <w:rPr>
          <w:sz w:val="20"/>
          <w:szCs w:val="20"/>
        </w:rPr>
        <w:tab/>
        <w:t>Rule 3.1.7 is amended by replacing:</w:t>
      </w:r>
    </w:p>
    <w:p w:rsidR="00E75F11" w:rsidRDefault="00383242" w:rsidP="00E75F11">
      <w:pPr>
        <w:autoSpaceDE w:val="0"/>
        <w:autoSpaceDN w:val="0"/>
        <w:adjustRightInd w:val="0"/>
        <w:spacing w:after="240" w:line="288" w:lineRule="auto"/>
        <w:ind w:left="874"/>
        <w:rPr>
          <w:sz w:val="20"/>
          <w:szCs w:val="20"/>
        </w:rPr>
      </w:pPr>
      <w:r w:rsidRPr="0077637B">
        <w:rPr>
          <w:sz w:val="20"/>
          <w:szCs w:val="20"/>
        </w:rPr>
        <w:t>“Except where rule 3.1.12 and rule 3.1.13 apply,”</w:t>
      </w:r>
    </w:p>
    <w:p w:rsidR="00E75F11" w:rsidRDefault="00383242" w:rsidP="00E75F11">
      <w:pPr>
        <w:autoSpaceDE w:val="0"/>
        <w:autoSpaceDN w:val="0"/>
        <w:adjustRightInd w:val="0"/>
        <w:spacing w:after="240" w:line="288" w:lineRule="auto"/>
        <w:ind w:left="850"/>
        <w:rPr>
          <w:sz w:val="20"/>
          <w:szCs w:val="20"/>
        </w:rPr>
      </w:pPr>
      <w:r w:rsidRPr="0077637B">
        <w:rPr>
          <w:sz w:val="20"/>
          <w:szCs w:val="20"/>
        </w:rPr>
        <w:t>with:</w:t>
      </w:r>
    </w:p>
    <w:p w:rsidR="00E75F11" w:rsidRDefault="00383242" w:rsidP="00E75F11">
      <w:pPr>
        <w:autoSpaceDE w:val="0"/>
        <w:autoSpaceDN w:val="0"/>
        <w:adjustRightInd w:val="0"/>
        <w:spacing w:before="5" w:after="240" w:line="288" w:lineRule="auto"/>
        <w:ind w:left="869"/>
        <w:rPr>
          <w:sz w:val="20"/>
          <w:szCs w:val="20"/>
        </w:rPr>
      </w:pPr>
      <w:r w:rsidRPr="0077637B">
        <w:rPr>
          <w:sz w:val="20"/>
          <w:szCs w:val="20"/>
        </w:rPr>
        <w:t>“Except where rules 3.1.9A, 3.1.12 and 3.1.13 apply,”.</w:t>
      </w:r>
    </w:p>
    <w:p w:rsidR="00E75F11" w:rsidRDefault="00383242" w:rsidP="00E75F11">
      <w:pPr>
        <w:autoSpaceDE w:val="0"/>
        <w:autoSpaceDN w:val="0"/>
        <w:adjustRightInd w:val="0"/>
        <w:spacing w:after="240" w:line="288" w:lineRule="auto"/>
        <w:rPr>
          <w:sz w:val="20"/>
          <w:szCs w:val="20"/>
        </w:rPr>
      </w:pPr>
      <w:r w:rsidRPr="0077637B">
        <w:rPr>
          <w:sz w:val="20"/>
          <w:szCs w:val="20"/>
        </w:rPr>
        <w:br w:type="page"/>
      </w:r>
      <w:r w:rsidRPr="0077637B">
        <w:rPr>
          <w:sz w:val="20"/>
          <w:szCs w:val="20"/>
        </w:rPr>
        <w:lastRenderedPageBreak/>
        <w:t>1.5</w:t>
      </w:r>
      <w:r w:rsidRPr="0077637B">
        <w:rPr>
          <w:sz w:val="20"/>
          <w:szCs w:val="20"/>
        </w:rPr>
        <w:tab/>
        <w:t>The following rule is inserted after rule 3.1.9:</w:t>
      </w:r>
    </w:p>
    <w:p w:rsidR="00E75F11" w:rsidRDefault="00383242" w:rsidP="00E75F11">
      <w:pPr>
        <w:autoSpaceDE w:val="0"/>
        <w:autoSpaceDN w:val="0"/>
        <w:adjustRightInd w:val="0"/>
        <w:spacing w:before="120" w:after="240" w:line="288" w:lineRule="auto"/>
        <w:ind w:left="1042" w:firstLine="725"/>
        <w:rPr>
          <w:sz w:val="20"/>
          <w:szCs w:val="20"/>
        </w:rPr>
      </w:pPr>
      <w:r w:rsidRPr="0077637B">
        <w:rPr>
          <w:sz w:val="20"/>
          <w:szCs w:val="20"/>
        </w:rPr>
        <w:t>“</w:t>
      </w:r>
      <w:r w:rsidRPr="0077637B">
        <w:rPr>
          <w:b/>
          <w:bCs/>
          <w:sz w:val="20"/>
          <w:szCs w:val="20"/>
        </w:rPr>
        <w:t>3.1.9A.</w:t>
      </w:r>
      <w:r w:rsidRPr="0077637B">
        <w:rPr>
          <w:sz w:val="20"/>
          <w:szCs w:val="20"/>
        </w:rPr>
        <w:tab/>
        <w:t>Rule 3.1.7 does not apply to a member who is eligible to be paid a mobility allowance or who would be eligible to be paid the allowance except for the amount of income that the member is receiving.”</w:t>
      </w:r>
    </w:p>
    <w:p w:rsidR="00E75F11" w:rsidRDefault="00383242" w:rsidP="00E75F11">
      <w:pPr>
        <w:autoSpaceDE w:val="0"/>
        <w:autoSpaceDN w:val="0"/>
        <w:adjustRightInd w:val="0"/>
        <w:spacing w:before="58" w:after="240" w:line="288" w:lineRule="auto"/>
        <w:rPr>
          <w:sz w:val="20"/>
          <w:szCs w:val="20"/>
        </w:rPr>
      </w:pPr>
      <w:r w:rsidRPr="0077637B">
        <w:rPr>
          <w:sz w:val="20"/>
          <w:szCs w:val="20"/>
        </w:rPr>
        <w:t>2.</w:t>
      </w:r>
      <w:r w:rsidRPr="0077637B">
        <w:rPr>
          <w:sz w:val="20"/>
          <w:szCs w:val="20"/>
        </w:rPr>
        <w:tab/>
        <w:t>This Deed has effect from 21st December 1992.</w:t>
      </w:r>
    </w:p>
    <w:p w:rsidR="00E75F11" w:rsidRDefault="00383242" w:rsidP="00E75F11">
      <w:pPr>
        <w:autoSpaceDE w:val="0"/>
        <w:autoSpaceDN w:val="0"/>
        <w:adjustRightInd w:val="0"/>
        <w:spacing w:before="600" w:after="480" w:line="288" w:lineRule="auto"/>
        <w:rPr>
          <w:sz w:val="20"/>
          <w:szCs w:val="20"/>
        </w:rPr>
      </w:pPr>
      <w:r w:rsidRPr="0077637B">
        <w:rPr>
          <w:sz w:val="20"/>
          <w:szCs w:val="20"/>
        </w:rPr>
        <w:t>IN WITNESS whereof the Honourable Ralph Willis, Minister for Finance, has hereunto set the name of the Commonwealth of Australia and affixed his own seal the day and the year first above written.</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5144"/>
        <w:gridCol w:w="343"/>
        <w:gridCol w:w="5010"/>
      </w:tblGrid>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r w:rsidRPr="0077637B">
              <w:rPr>
                <w:sz w:val="20"/>
                <w:szCs w:val="20"/>
              </w:rPr>
              <w:t>SIGNED, SEALED AND DELIVERED</w:t>
            </w: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r w:rsidRPr="0077637B">
              <w:rPr>
                <w:sz w:val="20"/>
                <w:szCs w:val="20"/>
              </w:rPr>
              <w:t>by the Honourable RALPH WILLIS,</w:t>
            </w: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E75F11" w:rsidRPr="0077637B" w:rsidTr="008A6126">
        <w:trPr>
          <w:trHeight w:val="20"/>
        </w:trPr>
        <w:tc>
          <w:tcPr>
            <w:tcW w:w="5144" w:type="dxa"/>
            <w:tcBorders>
              <w:top w:val="nil"/>
              <w:left w:val="nil"/>
              <w:bottom w:val="nil"/>
              <w:right w:val="nil"/>
            </w:tcBorders>
          </w:tcPr>
          <w:p w:rsidR="00E75F11" w:rsidRPr="0077637B" w:rsidRDefault="00E75F11" w:rsidP="00E75F11">
            <w:pPr>
              <w:autoSpaceDE w:val="0"/>
              <w:autoSpaceDN w:val="0"/>
              <w:adjustRightInd w:val="0"/>
              <w:rPr>
                <w:sz w:val="20"/>
                <w:szCs w:val="20"/>
              </w:rPr>
            </w:pPr>
          </w:p>
        </w:tc>
        <w:tc>
          <w:tcPr>
            <w:tcW w:w="343" w:type="dxa"/>
            <w:tcBorders>
              <w:top w:val="nil"/>
              <w:left w:val="nil"/>
              <w:bottom w:val="nil"/>
              <w:right w:val="nil"/>
            </w:tcBorders>
          </w:tcPr>
          <w:p w:rsidR="00E75F11" w:rsidRPr="0077637B" w:rsidRDefault="00E75F11" w:rsidP="00434A68">
            <w:pPr>
              <w:autoSpaceDE w:val="0"/>
              <w:autoSpaceDN w:val="0"/>
              <w:adjustRightInd w:val="0"/>
              <w:jc w:val="center"/>
              <w:rPr>
                <w:sz w:val="20"/>
                <w:szCs w:val="20"/>
              </w:rPr>
            </w:pPr>
            <w:r w:rsidRPr="0077637B">
              <w:rPr>
                <w:sz w:val="20"/>
                <w:szCs w:val="20"/>
              </w:rPr>
              <w:t>)</w:t>
            </w:r>
          </w:p>
        </w:tc>
        <w:tc>
          <w:tcPr>
            <w:tcW w:w="5010" w:type="dxa"/>
            <w:vMerge w:val="restart"/>
            <w:tcBorders>
              <w:top w:val="nil"/>
              <w:left w:val="nil"/>
              <w:right w:val="nil"/>
            </w:tcBorders>
          </w:tcPr>
          <w:p w:rsidR="00E75F11" w:rsidRPr="0077637B" w:rsidRDefault="00E75F11" w:rsidP="00E75F11">
            <w:pPr>
              <w:autoSpaceDE w:val="0"/>
              <w:autoSpaceDN w:val="0"/>
              <w:adjustRightInd w:val="0"/>
              <w:jc w:val="center"/>
              <w:rPr>
                <w:sz w:val="20"/>
                <w:szCs w:val="20"/>
              </w:rPr>
            </w:pPr>
            <w:r>
              <w:rPr>
                <w:noProof/>
              </w:rPr>
              <w:drawing>
                <wp:inline distT="0" distB="0" distL="0" distR="0" wp14:anchorId="35F4E9EB" wp14:editId="0D6C665D">
                  <wp:extent cx="24098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09825" cy="638175"/>
                          </a:xfrm>
                          <a:prstGeom prst="rect">
                            <a:avLst/>
                          </a:prstGeom>
                        </pic:spPr>
                      </pic:pic>
                    </a:graphicData>
                  </a:graphic>
                </wp:inline>
              </w:drawing>
            </w:r>
          </w:p>
        </w:tc>
      </w:tr>
      <w:tr w:rsidR="00E75F11" w:rsidRPr="0077637B" w:rsidTr="008A6126">
        <w:trPr>
          <w:trHeight w:val="20"/>
        </w:trPr>
        <w:tc>
          <w:tcPr>
            <w:tcW w:w="5144" w:type="dxa"/>
            <w:tcBorders>
              <w:top w:val="nil"/>
              <w:left w:val="nil"/>
              <w:bottom w:val="nil"/>
              <w:right w:val="nil"/>
            </w:tcBorders>
          </w:tcPr>
          <w:p w:rsidR="00E75F11" w:rsidRPr="0077637B" w:rsidRDefault="00E75F11" w:rsidP="00E75F11">
            <w:pPr>
              <w:autoSpaceDE w:val="0"/>
              <w:autoSpaceDN w:val="0"/>
              <w:adjustRightInd w:val="0"/>
              <w:rPr>
                <w:sz w:val="20"/>
                <w:szCs w:val="20"/>
              </w:rPr>
            </w:pPr>
            <w:r w:rsidRPr="0077637B">
              <w:rPr>
                <w:sz w:val="20"/>
                <w:szCs w:val="20"/>
              </w:rPr>
              <w:t>Minister for Finance, for and</w:t>
            </w:r>
          </w:p>
        </w:tc>
        <w:tc>
          <w:tcPr>
            <w:tcW w:w="343" w:type="dxa"/>
            <w:tcBorders>
              <w:top w:val="nil"/>
              <w:left w:val="nil"/>
              <w:bottom w:val="nil"/>
              <w:right w:val="nil"/>
            </w:tcBorders>
          </w:tcPr>
          <w:p w:rsidR="00E75F11" w:rsidRPr="0077637B" w:rsidRDefault="00E75F11" w:rsidP="00434A68">
            <w:pPr>
              <w:autoSpaceDE w:val="0"/>
              <w:autoSpaceDN w:val="0"/>
              <w:adjustRightInd w:val="0"/>
              <w:jc w:val="center"/>
              <w:rPr>
                <w:sz w:val="20"/>
                <w:szCs w:val="20"/>
              </w:rPr>
            </w:pPr>
            <w:r w:rsidRPr="0077637B">
              <w:rPr>
                <w:sz w:val="20"/>
                <w:szCs w:val="20"/>
              </w:rPr>
              <w:t>)</w:t>
            </w:r>
          </w:p>
        </w:tc>
        <w:tc>
          <w:tcPr>
            <w:tcW w:w="5010" w:type="dxa"/>
            <w:vMerge/>
            <w:tcBorders>
              <w:left w:val="nil"/>
              <w:right w:val="nil"/>
            </w:tcBorders>
          </w:tcPr>
          <w:p w:rsidR="00E75F11" w:rsidRPr="0077637B" w:rsidRDefault="00E75F11" w:rsidP="00E75F11">
            <w:pPr>
              <w:autoSpaceDE w:val="0"/>
              <w:autoSpaceDN w:val="0"/>
              <w:adjustRightInd w:val="0"/>
              <w:rPr>
                <w:sz w:val="20"/>
                <w:szCs w:val="20"/>
              </w:rPr>
            </w:pPr>
          </w:p>
        </w:tc>
      </w:tr>
      <w:tr w:rsidR="00E75F11" w:rsidRPr="0077637B" w:rsidTr="008A6126">
        <w:trPr>
          <w:trHeight w:val="20"/>
        </w:trPr>
        <w:tc>
          <w:tcPr>
            <w:tcW w:w="5144" w:type="dxa"/>
            <w:tcBorders>
              <w:top w:val="nil"/>
              <w:left w:val="nil"/>
              <w:bottom w:val="nil"/>
              <w:right w:val="nil"/>
            </w:tcBorders>
          </w:tcPr>
          <w:p w:rsidR="00E75F11" w:rsidRPr="0077637B" w:rsidRDefault="00E75F11" w:rsidP="00E75F11">
            <w:pPr>
              <w:autoSpaceDE w:val="0"/>
              <w:autoSpaceDN w:val="0"/>
              <w:adjustRightInd w:val="0"/>
              <w:rPr>
                <w:sz w:val="20"/>
                <w:szCs w:val="20"/>
              </w:rPr>
            </w:pPr>
          </w:p>
        </w:tc>
        <w:tc>
          <w:tcPr>
            <w:tcW w:w="343" w:type="dxa"/>
            <w:tcBorders>
              <w:top w:val="nil"/>
              <w:left w:val="nil"/>
              <w:bottom w:val="nil"/>
              <w:right w:val="nil"/>
            </w:tcBorders>
          </w:tcPr>
          <w:p w:rsidR="00E75F11" w:rsidRPr="0077637B" w:rsidRDefault="00E75F11" w:rsidP="00434A68">
            <w:pPr>
              <w:autoSpaceDE w:val="0"/>
              <w:autoSpaceDN w:val="0"/>
              <w:adjustRightInd w:val="0"/>
              <w:jc w:val="center"/>
              <w:rPr>
                <w:sz w:val="20"/>
                <w:szCs w:val="20"/>
              </w:rPr>
            </w:pPr>
            <w:r w:rsidRPr="0077637B">
              <w:rPr>
                <w:sz w:val="20"/>
                <w:szCs w:val="20"/>
              </w:rPr>
              <w:t>)</w:t>
            </w:r>
          </w:p>
        </w:tc>
        <w:tc>
          <w:tcPr>
            <w:tcW w:w="5010" w:type="dxa"/>
            <w:vMerge/>
            <w:tcBorders>
              <w:left w:val="nil"/>
              <w:right w:val="nil"/>
            </w:tcBorders>
          </w:tcPr>
          <w:p w:rsidR="00E75F11" w:rsidRPr="0077637B" w:rsidRDefault="00E75F11" w:rsidP="00E75F11">
            <w:pPr>
              <w:autoSpaceDE w:val="0"/>
              <w:autoSpaceDN w:val="0"/>
              <w:adjustRightInd w:val="0"/>
              <w:rPr>
                <w:sz w:val="20"/>
                <w:szCs w:val="20"/>
              </w:rPr>
            </w:pPr>
          </w:p>
        </w:tc>
      </w:tr>
      <w:tr w:rsidR="00E75F11" w:rsidRPr="0077637B" w:rsidTr="008A6126">
        <w:trPr>
          <w:trHeight w:val="20"/>
        </w:trPr>
        <w:tc>
          <w:tcPr>
            <w:tcW w:w="5144" w:type="dxa"/>
            <w:tcBorders>
              <w:top w:val="nil"/>
              <w:left w:val="nil"/>
              <w:bottom w:val="nil"/>
              <w:right w:val="nil"/>
            </w:tcBorders>
          </w:tcPr>
          <w:p w:rsidR="00E75F11" w:rsidRPr="0077637B" w:rsidRDefault="00E75F11" w:rsidP="00E75F11">
            <w:pPr>
              <w:autoSpaceDE w:val="0"/>
              <w:autoSpaceDN w:val="0"/>
              <w:adjustRightInd w:val="0"/>
              <w:rPr>
                <w:sz w:val="20"/>
                <w:szCs w:val="20"/>
              </w:rPr>
            </w:pPr>
            <w:r w:rsidRPr="0077637B">
              <w:rPr>
                <w:sz w:val="20"/>
                <w:szCs w:val="20"/>
              </w:rPr>
              <w:t>on behalf of THE COMMONWEALTH</w:t>
            </w:r>
          </w:p>
        </w:tc>
        <w:tc>
          <w:tcPr>
            <w:tcW w:w="343" w:type="dxa"/>
            <w:tcBorders>
              <w:top w:val="nil"/>
              <w:left w:val="nil"/>
              <w:bottom w:val="nil"/>
              <w:right w:val="nil"/>
            </w:tcBorders>
          </w:tcPr>
          <w:p w:rsidR="00E75F11" w:rsidRPr="0077637B" w:rsidRDefault="00E75F11" w:rsidP="00434A68">
            <w:pPr>
              <w:autoSpaceDE w:val="0"/>
              <w:autoSpaceDN w:val="0"/>
              <w:adjustRightInd w:val="0"/>
              <w:jc w:val="center"/>
              <w:rPr>
                <w:sz w:val="20"/>
                <w:szCs w:val="20"/>
              </w:rPr>
            </w:pPr>
            <w:r w:rsidRPr="0077637B">
              <w:rPr>
                <w:sz w:val="20"/>
                <w:szCs w:val="20"/>
              </w:rPr>
              <w:t>)</w:t>
            </w:r>
          </w:p>
        </w:tc>
        <w:tc>
          <w:tcPr>
            <w:tcW w:w="5010" w:type="dxa"/>
            <w:vMerge/>
            <w:tcBorders>
              <w:left w:val="nil"/>
              <w:bottom w:val="dashSmallGap" w:sz="4" w:space="0" w:color="auto"/>
              <w:right w:val="nil"/>
            </w:tcBorders>
          </w:tcPr>
          <w:p w:rsidR="00E75F11" w:rsidRPr="0077637B" w:rsidRDefault="00E75F11"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dashSmallGap" w:sz="4" w:space="0" w:color="auto"/>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r w:rsidRPr="0077637B">
              <w:rPr>
                <w:sz w:val="20"/>
                <w:szCs w:val="20"/>
              </w:rPr>
              <w:t>OF AUSTRALIA, in the presence</w:t>
            </w: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dashSmallGap" w:sz="4" w:space="0" w:color="auto"/>
              <w:right w:val="nil"/>
            </w:tcBorders>
          </w:tcPr>
          <w:p w:rsidR="00383242" w:rsidRPr="0077637B" w:rsidRDefault="00383242" w:rsidP="00E75F11">
            <w:pPr>
              <w:tabs>
                <w:tab w:val="left" w:leader="dot" w:pos="4296"/>
              </w:tabs>
              <w:autoSpaceDE w:val="0"/>
              <w:autoSpaceDN w:val="0"/>
              <w:adjustRightInd w:val="0"/>
              <w:rPr>
                <w:sz w:val="20"/>
                <w:szCs w:val="20"/>
              </w:rPr>
            </w:pPr>
            <w:r w:rsidRPr="0077637B">
              <w:rPr>
                <w:sz w:val="20"/>
                <w:szCs w:val="20"/>
              </w:rPr>
              <w:t>of: [Illegible]</w:t>
            </w:r>
          </w:p>
        </w:tc>
        <w:tc>
          <w:tcPr>
            <w:tcW w:w="343" w:type="dxa"/>
            <w:tcBorders>
              <w:top w:val="nil"/>
              <w:left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dashSmallGap" w:sz="4" w:space="0" w:color="auto"/>
              <w:left w:val="nil"/>
              <w:bottom w:val="nil"/>
              <w:right w:val="nil"/>
            </w:tcBorders>
          </w:tcPr>
          <w:p w:rsidR="00383242" w:rsidRPr="0077637B" w:rsidRDefault="00383242" w:rsidP="00E75F11">
            <w:pPr>
              <w:autoSpaceDE w:val="0"/>
              <w:autoSpaceDN w:val="0"/>
              <w:adjustRightInd w:val="0"/>
              <w:jc w:val="center"/>
              <w:rPr>
                <w:sz w:val="20"/>
                <w:szCs w:val="20"/>
              </w:rPr>
            </w:pPr>
            <w:r w:rsidRPr="0077637B">
              <w:rPr>
                <w:sz w:val="20"/>
                <w:szCs w:val="20"/>
              </w:rPr>
              <w:t>(name) DIANNE JAY</w:t>
            </w:r>
          </w:p>
        </w:tc>
        <w:tc>
          <w:tcPr>
            <w:tcW w:w="343" w:type="dxa"/>
            <w:tcBorders>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dashSmallGap" w:sz="4" w:space="0" w:color="auto"/>
              <w:right w:val="nil"/>
            </w:tcBorders>
          </w:tcPr>
          <w:p w:rsidR="00383242" w:rsidRPr="0077637B" w:rsidRDefault="00383242" w:rsidP="00E75F11">
            <w:pPr>
              <w:autoSpaceDE w:val="0"/>
              <w:autoSpaceDN w:val="0"/>
              <w:adjustRightInd w:val="0"/>
              <w:jc w:val="center"/>
              <w:rPr>
                <w:sz w:val="20"/>
                <w:szCs w:val="20"/>
              </w:rPr>
            </w:pPr>
            <w:r w:rsidRPr="0077637B">
              <w:rPr>
                <w:sz w:val="20"/>
                <w:szCs w:val="20"/>
              </w:rPr>
              <w:t>A</w:t>
            </w:r>
            <w:r w:rsidR="00E75F11">
              <w:rPr>
                <w:sz w:val="20"/>
                <w:szCs w:val="20"/>
              </w:rPr>
              <w:t>B</w:t>
            </w:r>
            <w:r w:rsidRPr="0077637B">
              <w:rPr>
                <w:sz w:val="20"/>
                <w:szCs w:val="20"/>
              </w:rPr>
              <w:t xml:space="preserve"> BARANGAROO ST</w:t>
            </w:r>
          </w:p>
        </w:tc>
        <w:tc>
          <w:tcPr>
            <w:tcW w:w="343" w:type="dxa"/>
            <w:tcBorders>
              <w:top w:val="nil"/>
              <w:left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dashSmallGap" w:sz="4" w:space="0" w:color="auto"/>
              <w:left w:val="nil"/>
              <w:right w:val="nil"/>
            </w:tcBorders>
          </w:tcPr>
          <w:p w:rsidR="00383242" w:rsidRPr="0077637B" w:rsidRDefault="00383242" w:rsidP="00E75F11">
            <w:pPr>
              <w:autoSpaceDE w:val="0"/>
              <w:autoSpaceDN w:val="0"/>
              <w:adjustRightInd w:val="0"/>
              <w:rPr>
                <w:sz w:val="20"/>
                <w:szCs w:val="20"/>
              </w:rPr>
            </w:pPr>
          </w:p>
        </w:tc>
        <w:tc>
          <w:tcPr>
            <w:tcW w:w="343" w:type="dxa"/>
            <w:tcBorders>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dashSmallGap" w:sz="4" w:space="0" w:color="auto"/>
              <w:right w:val="nil"/>
            </w:tcBorders>
          </w:tcPr>
          <w:p w:rsidR="00383242" w:rsidRPr="0077637B" w:rsidRDefault="00543AC9" w:rsidP="00E75F11">
            <w:pPr>
              <w:autoSpaceDE w:val="0"/>
              <w:autoSpaceDN w:val="0"/>
              <w:adjustRightInd w:val="0"/>
              <w:jc w:val="center"/>
              <w:rPr>
                <w:sz w:val="20"/>
                <w:szCs w:val="20"/>
              </w:rPr>
            </w:pPr>
            <w:r>
              <w:rPr>
                <w:sz w:val="20"/>
                <w:szCs w:val="20"/>
              </w:rPr>
              <w:t>C</w:t>
            </w:r>
            <w:r w:rsidR="001E74D6">
              <w:rPr>
                <w:sz w:val="20"/>
                <w:szCs w:val="20"/>
              </w:rPr>
              <w:t>HISHOLM</w:t>
            </w:r>
            <w:r w:rsidR="00383242" w:rsidRPr="0077637B">
              <w:rPr>
                <w:sz w:val="20"/>
                <w:szCs w:val="20"/>
              </w:rPr>
              <w:t xml:space="preserve"> ACT 2905</w:t>
            </w:r>
          </w:p>
        </w:tc>
        <w:tc>
          <w:tcPr>
            <w:tcW w:w="343" w:type="dxa"/>
            <w:tcBorders>
              <w:top w:val="nil"/>
              <w:left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dashSmallGap" w:sz="4" w:space="0" w:color="auto"/>
              <w:left w:val="nil"/>
              <w:bottom w:val="nil"/>
              <w:right w:val="nil"/>
            </w:tcBorders>
          </w:tcPr>
          <w:p w:rsidR="00383242" w:rsidRPr="0077637B" w:rsidRDefault="00383242" w:rsidP="00E75F11">
            <w:pPr>
              <w:autoSpaceDE w:val="0"/>
              <w:autoSpaceDN w:val="0"/>
              <w:adjustRightInd w:val="0"/>
              <w:jc w:val="center"/>
              <w:rPr>
                <w:sz w:val="20"/>
                <w:szCs w:val="20"/>
              </w:rPr>
            </w:pPr>
            <w:r w:rsidRPr="0077637B">
              <w:rPr>
                <w:sz w:val="20"/>
                <w:szCs w:val="20"/>
              </w:rPr>
              <w:t>(address)</w:t>
            </w:r>
          </w:p>
        </w:tc>
        <w:tc>
          <w:tcPr>
            <w:tcW w:w="343" w:type="dxa"/>
            <w:tcBorders>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right w:val="nil"/>
            </w:tcBorders>
          </w:tcPr>
          <w:p w:rsidR="00383242" w:rsidRPr="0077637B" w:rsidRDefault="00383242" w:rsidP="00E75F11">
            <w:pPr>
              <w:autoSpaceDE w:val="0"/>
              <w:autoSpaceDN w:val="0"/>
              <w:adjustRightInd w:val="0"/>
              <w:rPr>
                <w:sz w:val="20"/>
                <w:szCs w:val="20"/>
              </w:rPr>
            </w:pPr>
          </w:p>
        </w:tc>
        <w:tc>
          <w:tcPr>
            <w:tcW w:w="343" w:type="dxa"/>
            <w:tcBorders>
              <w:top w:val="nil"/>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nil"/>
              <w:left w:val="nil"/>
              <w:bottom w:val="dashSmallGap" w:sz="4" w:space="0" w:color="auto"/>
              <w:right w:val="nil"/>
            </w:tcBorders>
          </w:tcPr>
          <w:p w:rsidR="00383242" w:rsidRPr="0077637B" w:rsidRDefault="00383242" w:rsidP="00E75F11">
            <w:pPr>
              <w:autoSpaceDE w:val="0"/>
              <w:autoSpaceDN w:val="0"/>
              <w:adjustRightInd w:val="0"/>
              <w:jc w:val="center"/>
              <w:rPr>
                <w:sz w:val="20"/>
                <w:szCs w:val="20"/>
              </w:rPr>
            </w:pPr>
            <w:r w:rsidRPr="0077637B">
              <w:rPr>
                <w:sz w:val="20"/>
                <w:szCs w:val="20"/>
              </w:rPr>
              <w:t>ADVISER TO MINISTER</w:t>
            </w:r>
          </w:p>
        </w:tc>
        <w:tc>
          <w:tcPr>
            <w:tcW w:w="343" w:type="dxa"/>
            <w:tcBorders>
              <w:top w:val="nil"/>
              <w:left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r w:rsidR="00383242" w:rsidRPr="0077637B" w:rsidTr="00E75F11">
        <w:trPr>
          <w:trHeight w:val="20"/>
        </w:trPr>
        <w:tc>
          <w:tcPr>
            <w:tcW w:w="5144" w:type="dxa"/>
            <w:tcBorders>
              <w:top w:val="dashSmallGap" w:sz="4" w:space="0" w:color="auto"/>
              <w:left w:val="nil"/>
              <w:bottom w:val="nil"/>
              <w:right w:val="nil"/>
            </w:tcBorders>
          </w:tcPr>
          <w:p w:rsidR="00383242" w:rsidRPr="0077637B" w:rsidRDefault="00383242" w:rsidP="00E75F11">
            <w:pPr>
              <w:autoSpaceDE w:val="0"/>
              <w:autoSpaceDN w:val="0"/>
              <w:adjustRightInd w:val="0"/>
              <w:jc w:val="center"/>
              <w:rPr>
                <w:sz w:val="20"/>
                <w:szCs w:val="20"/>
              </w:rPr>
            </w:pPr>
            <w:r w:rsidRPr="0077637B">
              <w:rPr>
                <w:sz w:val="20"/>
                <w:szCs w:val="20"/>
              </w:rPr>
              <w:t>(description)</w:t>
            </w:r>
          </w:p>
        </w:tc>
        <w:tc>
          <w:tcPr>
            <w:tcW w:w="343" w:type="dxa"/>
            <w:tcBorders>
              <w:left w:val="nil"/>
              <w:bottom w:val="nil"/>
              <w:right w:val="nil"/>
            </w:tcBorders>
          </w:tcPr>
          <w:p w:rsidR="00383242" w:rsidRPr="0077637B" w:rsidRDefault="00383242" w:rsidP="00434A68">
            <w:pPr>
              <w:autoSpaceDE w:val="0"/>
              <w:autoSpaceDN w:val="0"/>
              <w:adjustRightInd w:val="0"/>
              <w:jc w:val="center"/>
              <w:rPr>
                <w:sz w:val="20"/>
                <w:szCs w:val="20"/>
              </w:rPr>
            </w:pPr>
            <w:r w:rsidRPr="0077637B">
              <w:rPr>
                <w:sz w:val="20"/>
                <w:szCs w:val="20"/>
              </w:rPr>
              <w:t>)</w:t>
            </w:r>
          </w:p>
        </w:tc>
        <w:tc>
          <w:tcPr>
            <w:tcW w:w="5010" w:type="dxa"/>
            <w:tcBorders>
              <w:top w:val="nil"/>
              <w:left w:val="nil"/>
              <w:bottom w:val="nil"/>
              <w:right w:val="nil"/>
            </w:tcBorders>
          </w:tcPr>
          <w:p w:rsidR="00383242" w:rsidRPr="0077637B" w:rsidRDefault="00383242" w:rsidP="00E75F11">
            <w:pPr>
              <w:autoSpaceDE w:val="0"/>
              <w:autoSpaceDN w:val="0"/>
              <w:adjustRightInd w:val="0"/>
              <w:rPr>
                <w:sz w:val="20"/>
                <w:szCs w:val="20"/>
              </w:rPr>
            </w:pPr>
          </w:p>
        </w:tc>
      </w:tr>
    </w:tbl>
    <w:p w:rsidR="00B3530B" w:rsidRDefault="00B3530B" w:rsidP="00E75F11"/>
    <w:sectPr w:rsidR="00B3530B" w:rsidSect="00E75F11">
      <w:headerReference w:type="default" r:id="rId7"/>
      <w:pgSz w:w="11909" w:h="16834"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F11" w:rsidRDefault="00E75F11" w:rsidP="00E75F11">
      <w:r>
        <w:separator/>
      </w:r>
    </w:p>
  </w:endnote>
  <w:endnote w:type="continuationSeparator" w:id="0">
    <w:p w:rsidR="00E75F11" w:rsidRDefault="00E75F11" w:rsidP="00E7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F11" w:rsidRDefault="00E75F11" w:rsidP="00E75F11">
      <w:r>
        <w:separator/>
      </w:r>
    </w:p>
  </w:footnote>
  <w:footnote w:type="continuationSeparator" w:id="0">
    <w:p w:rsidR="00E75F11" w:rsidRDefault="00E75F11" w:rsidP="00E7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736628"/>
      <w:docPartObj>
        <w:docPartGallery w:val="Page Numbers (Top of Page)"/>
        <w:docPartUnique/>
      </w:docPartObj>
    </w:sdtPr>
    <w:sdtEndPr>
      <w:rPr>
        <w:noProof/>
        <w:sz w:val="20"/>
      </w:rPr>
    </w:sdtEndPr>
    <w:sdtContent>
      <w:p w:rsidR="00E75F11" w:rsidRPr="00E75F11" w:rsidRDefault="00E75F11" w:rsidP="00E75F11">
        <w:pPr>
          <w:pStyle w:val="Header"/>
          <w:spacing w:after="300"/>
          <w:jc w:val="center"/>
          <w:rPr>
            <w:sz w:val="20"/>
          </w:rPr>
        </w:pPr>
        <w:r w:rsidRPr="00E75F11">
          <w:rPr>
            <w:sz w:val="20"/>
          </w:rPr>
          <w:fldChar w:fldCharType="begin"/>
        </w:r>
        <w:r w:rsidRPr="00E75F11">
          <w:rPr>
            <w:sz w:val="20"/>
          </w:rPr>
          <w:instrText xml:space="preserve"> PAGE   \* MERGEFORMAT </w:instrText>
        </w:r>
        <w:r w:rsidRPr="00E75F11">
          <w:rPr>
            <w:sz w:val="20"/>
          </w:rPr>
          <w:fldChar w:fldCharType="separate"/>
        </w:r>
        <w:r w:rsidR="00434A68">
          <w:rPr>
            <w:noProof/>
            <w:sz w:val="20"/>
          </w:rPr>
          <w:t>3</w:t>
        </w:r>
        <w:r w:rsidRPr="00E75F11">
          <w:rPr>
            <w:noProof/>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242"/>
    <w:rsid w:val="001E74D6"/>
    <w:rsid w:val="00383242"/>
    <w:rsid w:val="00434A68"/>
    <w:rsid w:val="00543AC9"/>
    <w:rsid w:val="005D598B"/>
    <w:rsid w:val="009D1E6F"/>
    <w:rsid w:val="00B3530B"/>
    <w:rsid w:val="00E7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6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F11"/>
    <w:pPr>
      <w:tabs>
        <w:tab w:val="center" w:pos="4680"/>
        <w:tab w:val="right" w:pos="9360"/>
      </w:tabs>
    </w:pPr>
  </w:style>
  <w:style w:type="character" w:customStyle="1" w:styleId="HeaderChar">
    <w:name w:val="Header Char"/>
    <w:basedOn w:val="DefaultParagraphFont"/>
    <w:link w:val="Header"/>
    <w:uiPriority w:val="99"/>
    <w:rsid w:val="00E75F11"/>
    <w:rPr>
      <w:sz w:val="24"/>
      <w:szCs w:val="24"/>
    </w:rPr>
  </w:style>
  <w:style w:type="paragraph" w:styleId="Footer">
    <w:name w:val="footer"/>
    <w:basedOn w:val="Normal"/>
    <w:link w:val="FooterChar"/>
    <w:unhideWhenUsed/>
    <w:rsid w:val="00E75F11"/>
    <w:pPr>
      <w:tabs>
        <w:tab w:val="center" w:pos="4680"/>
        <w:tab w:val="right" w:pos="9360"/>
      </w:tabs>
    </w:pPr>
  </w:style>
  <w:style w:type="character" w:customStyle="1" w:styleId="FooterChar">
    <w:name w:val="Footer Char"/>
    <w:basedOn w:val="DefaultParagraphFont"/>
    <w:link w:val="Footer"/>
    <w:rsid w:val="00E75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3905</Characters>
  <Application>Microsoft Office Word</Application>
  <DocSecurity>0</DocSecurity>
  <Lines>229</Lines>
  <Paragraphs>148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2023-01-11T04:14:00Z</dcterms:created>
  <dcterms:modified xsi:type="dcterms:W3CDTF">2023-01-11T04:14:00Z</dcterms:modified>
</cp:coreProperties>
</file>