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B4F" w:rsidRDefault="006A22CC">
      <w:pPr>
        <w:pStyle w:val="BodyText"/>
        <w:ind w:left="220"/>
        <w:rPr>
          <w:sz w:val="20"/>
        </w:rPr>
      </w:pPr>
      <w:r>
        <w:rPr>
          <w:noProof/>
          <w:sz w:val="20"/>
        </w:rPr>
        <w:drawing>
          <wp:inline distT="0" distB="0" distL="0" distR="0">
            <wp:extent cx="1388200" cy="10698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8200" cy="1069848"/>
                    </a:xfrm>
                    <a:prstGeom prst="rect">
                      <a:avLst/>
                    </a:prstGeom>
                  </pic:spPr>
                </pic:pic>
              </a:graphicData>
            </a:graphic>
          </wp:inline>
        </w:drawing>
      </w:r>
    </w:p>
    <w:p w:rsidR="00CE3B4F" w:rsidRDefault="00CE3B4F">
      <w:pPr>
        <w:pStyle w:val="BodyText"/>
        <w:ind w:left="0"/>
        <w:rPr>
          <w:sz w:val="20"/>
        </w:rPr>
      </w:pPr>
    </w:p>
    <w:p w:rsidR="00CE3B4F" w:rsidRDefault="006A22CC">
      <w:pPr>
        <w:pStyle w:val="Title"/>
      </w:pPr>
      <w:r>
        <w:t>Vehicle Standard (Australian Design</w:t>
      </w:r>
      <w:r>
        <w:rPr>
          <w:spacing w:val="40"/>
        </w:rPr>
        <w:t xml:space="preserve"> </w:t>
      </w:r>
      <w:r>
        <w:t>Rule</w:t>
      </w:r>
      <w:r>
        <w:rPr>
          <w:spacing w:val="-5"/>
        </w:rPr>
        <w:t xml:space="preserve"> </w:t>
      </w:r>
      <w:r>
        <w:t>80/03</w:t>
      </w:r>
      <w:r>
        <w:rPr>
          <w:spacing w:val="-7"/>
        </w:rPr>
        <w:t xml:space="preserve"> </w:t>
      </w:r>
      <w:r>
        <w:t>—</w:t>
      </w:r>
      <w:r>
        <w:rPr>
          <w:spacing w:val="-5"/>
        </w:rPr>
        <w:t xml:space="preserve"> </w:t>
      </w:r>
      <w:r>
        <w:t>Emission</w:t>
      </w:r>
      <w:r>
        <w:rPr>
          <w:spacing w:val="-4"/>
        </w:rPr>
        <w:t xml:space="preserve"> </w:t>
      </w:r>
      <w:r>
        <w:t>Control</w:t>
      </w:r>
      <w:r>
        <w:rPr>
          <w:spacing w:val="-6"/>
        </w:rPr>
        <w:t xml:space="preserve"> </w:t>
      </w:r>
      <w:r>
        <w:t>for</w:t>
      </w:r>
      <w:r>
        <w:rPr>
          <w:spacing w:val="-7"/>
        </w:rPr>
        <w:t xml:space="preserve"> </w:t>
      </w:r>
      <w:r>
        <w:t>Heavy Vehicles) 2006</w:t>
      </w:r>
    </w:p>
    <w:p w:rsidR="00CE3B4F" w:rsidRDefault="006A22CC">
      <w:pPr>
        <w:spacing w:before="239"/>
        <w:ind w:left="198"/>
        <w:rPr>
          <w:rFonts w:ascii="Arial"/>
          <w:b/>
          <w:sz w:val="24"/>
        </w:rPr>
      </w:pPr>
      <w:r>
        <w:rPr>
          <w:rFonts w:ascii="Arial"/>
          <w:b/>
          <w:sz w:val="24"/>
        </w:rPr>
        <w:t>as</w:t>
      </w:r>
      <w:r>
        <w:rPr>
          <w:rFonts w:ascii="Arial"/>
          <w:b/>
          <w:spacing w:val="-3"/>
          <w:sz w:val="24"/>
        </w:rPr>
        <w:t xml:space="preserve"> </w:t>
      </w:r>
      <w:r>
        <w:rPr>
          <w:rFonts w:ascii="Arial"/>
          <w:b/>
          <w:spacing w:val="-2"/>
          <w:sz w:val="24"/>
        </w:rPr>
        <w:t>amended</w:t>
      </w:r>
    </w:p>
    <w:p w:rsidR="00CE3B4F" w:rsidRDefault="00CE3B4F">
      <w:pPr>
        <w:pStyle w:val="BodyText"/>
        <w:spacing w:before="10"/>
        <w:ind w:left="0"/>
        <w:rPr>
          <w:rFonts w:ascii="Arial"/>
          <w:b/>
          <w:sz w:val="20"/>
        </w:rPr>
      </w:pPr>
    </w:p>
    <w:p w:rsidR="00CE3B4F" w:rsidRDefault="006A22CC">
      <w:pPr>
        <w:pStyle w:val="BodyText"/>
        <w:ind w:left="198"/>
        <w:rPr>
          <w:rFonts w:ascii="Arial"/>
        </w:rPr>
      </w:pPr>
      <w:r>
        <w:rPr>
          <w:rFonts w:ascii="Arial"/>
        </w:rPr>
        <w:t>made</w:t>
      </w:r>
      <w:r>
        <w:rPr>
          <w:rFonts w:ascii="Arial"/>
          <w:spacing w:val="-3"/>
        </w:rPr>
        <w:t xml:space="preserve"> </w:t>
      </w:r>
      <w:r>
        <w:rPr>
          <w:rFonts w:ascii="Arial"/>
        </w:rPr>
        <w:t>under</w:t>
      </w:r>
      <w:r>
        <w:rPr>
          <w:rFonts w:ascii="Arial"/>
          <w:spacing w:val="-3"/>
        </w:rPr>
        <w:t xml:space="preserve"> </w:t>
      </w:r>
      <w:r>
        <w:rPr>
          <w:rFonts w:ascii="Arial"/>
        </w:rPr>
        <w:t>subsection</w:t>
      </w:r>
      <w:r>
        <w:rPr>
          <w:rFonts w:ascii="Arial"/>
          <w:spacing w:val="-2"/>
        </w:rPr>
        <w:t xml:space="preserve"> </w:t>
      </w:r>
      <w:r>
        <w:rPr>
          <w:rFonts w:ascii="Arial"/>
        </w:rPr>
        <w:t>7 (1)</w:t>
      </w:r>
      <w:r>
        <w:rPr>
          <w:rFonts w:ascii="Arial"/>
          <w:spacing w:val="-5"/>
        </w:rPr>
        <w:t xml:space="preserve"> </w:t>
      </w:r>
      <w:r>
        <w:rPr>
          <w:rFonts w:ascii="Arial"/>
        </w:rPr>
        <w:t>of</w:t>
      </w:r>
      <w:r>
        <w:rPr>
          <w:rFonts w:ascii="Arial"/>
          <w:spacing w:val="-1"/>
        </w:rPr>
        <w:t xml:space="preserve"> </w:t>
      </w:r>
      <w:r>
        <w:rPr>
          <w:rFonts w:ascii="Arial"/>
          <w:spacing w:val="-5"/>
        </w:rPr>
        <w:t>the</w:t>
      </w:r>
    </w:p>
    <w:p w:rsidR="00CE3B4F" w:rsidRDefault="00CE3B4F">
      <w:pPr>
        <w:pStyle w:val="BodyText"/>
        <w:spacing w:before="2"/>
        <w:ind w:left="0"/>
        <w:rPr>
          <w:rFonts w:ascii="Arial"/>
          <w:sz w:val="21"/>
        </w:rPr>
      </w:pPr>
    </w:p>
    <w:p w:rsidR="00CE3B4F" w:rsidRDefault="006A22CC">
      <w:pPr>
        <w:ind w:left="198"/>
        <w:rPr>
          <w:rFonts w:ascii="Arial"/>
          <w:i/>
          <w:sz w:val="28"/>
        </w:rPr>
      </w:pPr>
      <w:r>
        <w:pict>
          <v:rect id="docshape2" o:spid="_x0000_s1028" style="position:absolute;left:0;text-align:left;margin-left:88.45pt;margin-top:19.25pt;width:418.65pt;height:.5pt;z-index:-15728640;mso-wrap-distance-left:0;mso-wrap-distance-right:0;mso-position-horizontal-relative:page" fillcolor="black" stroked="f">
            <w10:wrap type="topAndBottom" anchorx="page"/>
          </v:rect>
        </w:pict>
      </w:r>
      <w:r>
        <w:rPr>
          <w:rFonts w:ascii="Arial"/>
          <w:i/>
          <w:sz w:val="28"/>
        </w:rPr>
        <w:t>Motor</w:t>
      </w:r>
      <w:r>
        <w:rPr>
          <w:rFonts w:ascii="Arial"/>
          <w:i/>
          <w:spacing w:val="-3"/>
          <w:sz w:val="28"/>
        </w:rPr>
        <w:t xml:space="preserve"> </w:t>
      </w:r>
      <w:r>
        <w:rPr>
          <w:rFonts w:ascii="Arial"/>
          <w:i/>
          <w:sz w:val="28"/>
        </w:rPr>
        <w:t>Vehicle</w:t>
      </w:r>
      <w:r>
        <w:rPr>
          <w:rFonts w:ascii="Arial"/>
          <w:i/>
          <w:spacing w:val="-3"/>
          <w:sz w:val="28"/>
        </w:rPr>
        <w:t xml:space="preserve"> </w:t>
      </w:r>
      <w:r>
        <w:rPr>
          <w:rFonts w:ascii="Arial"/>
          <w:i/>
          <w:sz w:val="28"/>
        </w:rPr>
        <w:t>Standards</w:t>
      </w:r>
      <w:r>
        <w:rPr>
          <w:rFonts w:ascii="Arial"/>
          <w:i/>
          <w:spacing w:val="-5"/>
          <w:sz w:val="28"/>
        </w:rPr>
        <w:t xml:space="preserve"> </w:t>
      </w:r>
      <w:r>
        <w:rPr>
          <w:rFonts w:ascii="Arial"/>
          <w:i/>
          <w:sz w:val="28"/>
        </w:rPr>
        <w:t>Act</w:t>
      </w:r>
      <w:r>
        <w:rPr>
          <w:rFonts w:ascii="Arial"/>
          <w:i/>
          <w:spacing w:val="-3"/>
          <w:sz w:val="28"/>
        </w:rPr>
        <w:t xml:space="preserve"> </w:t>
      </w:r>
      <w:r>
        <w:rPr>
          <w:rFonts w:ascii="Arial"/>
          <w:i/>
          <w:spacing w:val="-4"/>
          <w:sz w:val="28"/>
        </w:rPr>
        <w:t>1989</w:t>
      </w:r>
    </w:p>
    <w:p w:rsidR="00CE3B4F" w:rsidRDefault="00CE3B4F">
      <w:pPr>
        <w:pStyle w:val="BodyText"/>
        <w:spacing w:before="4"/>
        <w:ind w:left="0"/>
        <w:rPr>
          <w:rFonts w:ascii="Arial"/>
          <w:i/>
          <w:sz w:val="12"/>
        </w:rPr>
      </w:pPr>
    </w:p>
    <w:p w:rsidR="00CE3B4F" w:rsidRDefault="006A22CC">
      <w:pPr>
        <w:pStyle w:val="BodyText"/>
        <w:spacing w:before="90"/>
        <w:ind w:left="198"/>
      </w:pPr>
      <w:r>
        <w:t>This</w:t>
      </w:r>
      <w:r>
        <w:rPr>
          <w:spacing w:val="-4"/>
        </w:rPr>
        <w:t xml:space="preserve"> </w:t>
      </w:r>
      <w:r>
        <w:t>compilation</w:t>
      </w:r>
      <w:r>
        <w:rPr>
          <w:spacing w:val="-4"/>
        </w:rPr>
        <w:t xml:space="preserve"> </w:t>
      </w:r>
      <w:r>
        <w:t>was</w:t>
      </w:r>
      <w:r>
        <w:rPr>
          <w:spacing w:val="-4"/>
        </w:rPr>
        <w:t xml:space="preserve"> </w:t>
      </w:r>
      <w:r>
        <w:t>prepared</w:t>
      </w:r>
      <w:r>
        <w:rPr>
          <w:spacing w:val="-3"/>
        </w:rPr>
        <w:t xml:space="preserve"> </w:t>
      </w:r>
      <w:r>
        <w:t>on</w:t>
      </w:r>
      <w:r>
        <w:rPr>
          <w:spacing w:val="-3"/>
        </w:rPr>
        <w:t xml:space="preserve"> </w:t>
      </w:r>
      <w:r>
        <w:t>9</w:t>
      </w:r>
      <w:r>
        <w:rPr>
          <w:spacing w:val="-3"/>
        </w:rPr>
        <w:t xml:space="preserve"> </w:t>
      </w:r>
      <w:r>
        <w:t>January</w:t>
      </w:r>
      <w:r>
        <w:rPr>
          <w:spacing w:val="-8"/>
        </w:rPr>
        <w:t xml:space="preserve"> </w:t>
      </w:r>
      <w:r>
        <w:rPr>
          <w:spacing w:val="-4"/>
        </w:rPr>
        <w:t>2013</w:t>
      </w:r>
    </w:p>
    <w:p w:rsidR="00CE3B4F" w:rsidRDefault="006A22CC">
      <w:pPr>
        <w:ind w:left="198" w:right="818"/>
        <w:rPr>
          <w:i/>
          <w:sz w:val="24"/>
        </w:rPr>
      </w:pPr>
      <w:r>
        <w:rPr>
          <w:sz w:val="24"/>
        </w:rPr>
        <w:t>taking</w:t>
      </w:r>
      <w:r>
        <w:rPr>
          <w:spacing w:val="-7"/>
          <w:sz w:val="24"/>
        </w:rPr>
        <w:t xml:space="preserve"> </w:t>
      </w:r>
      <w:r>
        <w:rPr>
          <w:sz w:val="24"/>
        </w:rPr>
        <w:t>into</w:t>
      </w:r>
      <w:r>
        <w:rPr>
          <w:spacing w:val="-4"/>
          <w:sz w:val="24"/>
        </w:rPr>
        <w:t xml:space="preserve"> </w:t>
      </w:r>
      <w:r>
        <w:rPr>
          <w:sz w:val="24"/>
        </w:rPr>
        <w:t>account</w:t>
      </w:r>
      <w:r>
        <w:rPr>
          <w:spacing w:val="-4"/>
          <w:sz w:val="24"/>
        </w:rPr>
        <w:t xml:space="preserve"> </w:t>
      </w:r>
      <w:r>
        <w:rPr>
          <w:sz w:val="24"/>
        </w:rPr>
        <w:t>amendments</w:t>
      </w:r>
      <w:r>
        <w:rPr>
          <w:spacing w:val="-4"/>
          <w:sz w:val="24"/>
        </w:rPr>
        <w:t xml:space="preserve"> </w:t>
      </w:r>
      <w:r>
        <w:rPr>
          <w:sz w:val="24"/>
        </w:rPr>
        <w:t>up</w:t>
      </w:r>
      <w:r>
        <w:rPr>
          <w:spacing w:val="-4"/>
          <w:sz w:val="24"/>
        </w:rPr>
        <w:t xml:space="preserve"> </w:t>
      </w:r>
      <w:r>
        <w:rPr>
          <w:sz w:val="24"/>
        </w:rPr>
        <w:t>to</w:t>
      </w:r>
      <w:r>
        <w:rPr>
          <w:spacing w:val="-3"/>
          <w:sz w:val="24"/>
        </w:rPr>
        <w:t xml:space="preserve"> </w:t>
      </w:r>
      <w:r>
        <w:rPr>
          <w:i/>
          <w:sz w:val="24"/>
        </w:rPr>
        <w:t>Vehicle</w:t>
      </w:r>
      <w:r>
        <w:rPr>
          <w:i/>
          <w:spacing w:val="-5"/>
          <w:sz w:val="24"/>
        </w:rPr>
        <w:t xml:space="preserve"> </w:t>
      </w:r>
      <w:r>
        <w:rPr>
          <w:i/>
          <w:sz w:val="24"/>
        </w:rPr>
        <w:t>Standard</w:t>
      </w:r>
      <w:r>
        <w:rPr>
          <w:i/>
          <w:spacing w:val="-4"/>
          <w:sz w:val="24"/>
        </w:rPr>
        <w:t xml:space="preserve"> </w:t>
      </w:r>
      <w:r>
        <w:rPr>
          <w:i/>
          <w:sz w:val="24"/>
        </w:rPr>
        <w:t>(Australian</w:t>
      </w:r>
      <w:r>
        <w:rPr>
          <w:i/>
          <w:spacing w:val="-4"/>
          <w:sz w:val="24"/>
        </w:rPr>
        <w:t xml:space="preserve"> </w:t>
      </w:r>
      <w:r>
        <w:rPr>
          <w:i/>
          <w:sz w:val="24"/>
        </w:rPr>
        <w:t>Design</w:t>
      </w:r>
      <w:r>
        <w:rPr>
          <w:i/>
          <w:spacing w:val="-4"/>
          <w:sz w:val="24"/>
        </w:rPr>
        <w:t xml:space="preserve"> </w:t>
      </w:r>
      <w:r>
        <w:rPr>
          <w:i/>
          <w:sz w:val="24"/>
        </w:rPr>
        <w:t>Rule 80/03 — Emission Control for Heavy Vehicles) 2006 Amendment 2</w:t>
      </w:r>
    </w:p>
    <w:p w:rsidR="00CE3B4F" w:rsidRDefault="00CE3B4F">
      <w:pPr>
        <w:pStyle w:val="BodyText"/>
        <w:spacing w:before="10"/>
        <w:ind w:left="0"/>
        <w:rPr>
          <w:i/>
          <w:sz w:val="20"/>
        </w:rPr>
      </w:pPr>
    </w:p>
    <w:p w:rsidR="00CE3B4F" w:rsidRDefault="006A22CC">
      <w:pPr>
        <w:pStyle w:val="BodyText"/>
        <w:ind w:left="198" w:right="4879"/>
      </w:pPr>
      <w:r>
        <w:rPr>
          <w:b/>
        </w:rPr>
        <w:t>Volume</w:t>
      </w:r>
      <w:r>
        <w:rPr>
          <w:b/>
          <w:spacing w:val="-11"/>
        </w:rPr>
        <w:t xml:space="preserve"> </w:t>
      </w:r>
      <w:r>
        <w:rPr>
          <w:b/>
        </w:rPr>
        <w:t>1</w:t>
      </w:r>
      <w:r>
        <w:rPr>
          <w:b/>
          <w:spacing w:val="-8"/>
        </w:rPr>
        <w:t xml:space="preserve"> </w:t>
      </w:r>
      <w:r>
        <w:t>contains</w:t>
      </w:r>
      <w:r>
        <w:rPr>
          <w:spacing w:val="-10"/>
        </w:rPr>
        <w:t xml:space="preserve"> </w:t>
      </w:r>
      <w:r>
        <w:t>Clauses</w:t>
      </w:r>
      <w:r>
        <w:rPr>
          <w:spacing w:val="-9"/>
        </w:rPr>
        <w:t xml:space="preserve"> </w:t>
      </w:r>
      <w:r>
        <w:t>0.1–6 Volume 2 contains Appendix A Volume 3 contains Appendix B Volume 4 contains Appendix C</w:t>
      </w:r>
    </w:p>
    <w:p w:rsidR="00CE3B4F" w:rsidRDefault="006A22CC">
      <w:pPr>
        <w:pStyle w:val="BodyText"/>
        <w:ind w:left="198"/>
      </w:pPr>
      <w:r>
        <w:t>Volume</w:t>
      </w:r>
      <w:r>
        <w:rPr>
          <w:spacing w:val="-5"/>
        </w:rPr>
        <w:t xml:space="preserve"> </w:t>
      </w:r>
      <w:r>
        <w:t>5</w:t>
      </w:r>
      <w:r>
        <w:rPr>
          <w:spacing w:val="-6"/>
        </w:rPr>
        <w:t xml:space="preserve"> </w:t>
      </w:r>
      <w:r>
        <w:t>contains</w:t>
      </w:r>
      <w:r>
        <w:rPr>
          <w:spacing w:val="-5"/>
        </w:rPr>
        <w:t xml:space="preserve"> </w:t>
      </w:r>
      <w:r>
        <w:t>Appendix</w:t>
      </w:r>
      <w:r>
        <w:rPr>
          <w:spacing w:val="-3"/>
        </w:rPr>
        <w:t xml:space="preserve"> </w:t>
      </w:r>
      <w:r>
        <w:t>D</w:t>
      </w:r>
      <w:r>
        <w:rPr>
          <w:spacing w:val="-4"/>
        </w:rPr>
        <w:t xml:space="preserve"> </w:t>
      </w:r>
      <w:r>
        <w:t>and</w:t>
      </w:r>
      <w:r>
        <w:rPr>
          <w:spacing w:val="-5"/>
        </w:rPr>
        <w:t xml:space="preserve"> </w:t>
      </w:r>
      <w:r>
        <w:t>the</w:t>
      </w:r>
      <w:r>
        <w:rPr>
          <w:spacing w:val="-4"/>
        </w:rPr>
        <w:t xml:space="preserve"> </w:t>
      </w:r>
      <w:r>
        <w:rPr>
          <w:spacing w:val="-2"/>
        </w:rPr>
        <w:t>Notes</w:t>
      </w:r>
    </w:p>
    <w:p w:rsidR="00CE3B4F" w:rsidRDefault="00CE3B4F">
      <w:pPr>
        <w:pStyle w:val="BodyText"/>
        <w:spacing w:before="10"/>
        <w:ind w:left="0"/>
        <w:rPr>
          <w:sz w:val="20"/>
        </w:rPr>
      </w:pPr>
    </w:p>
    <w:p w:rsidR="00CE3B4F" w:rsidRDefault="006A22CC">
      <w:pPr>
        <w:pStyle w:val="BodyText"/>
        <w:ind w:left="198"/>
      </w:pPr>
      <w:r>
        <w:t>Prepared</w:t>
      </w:r>
      <w:r>
        <w:rPr>
          <w:spacing w:val="-5"/>
        </w:rPr>
        <w:t xml:space="preserve"> </w:t>
      </w:r>
      <w:r>
        <w:t>by</w:t>
      </w:r>
      <w:r>
        <w:rPr>
          <w:spacing w:val="-8"/>
        </w:rPr>
        <w:t xml:space="preserve"> </w:t>
      </w:r>
      <w:r>
        <w:t>the</w:t>
      </w:r>
      <w:r>
        <w:rPr>
          <w:spacing w:val="-6"/>
        </w:rPr>
        <w:t xml:space="preserve"> </w:t>
      </w:r>
      <w:r>
        <w:t>Office</w:t>
      </w:r>
      <w:r>
        <w:rPr>
          <w:spacing w:val="-5"/>
        </w:rPr>
        <w:t xml:space="preserve"> </w:t>
      </w:r>
      <w:r>
        <w:t>of</w:t>
      </w:r>
      <w:r>
        <w:rPr>
          <w:spacing w:val="-2"/>
        </w:rPr>
        <w:t xml:space="preserve"> </w:t>
      </w:r>
      <w:r>
        <w:t>Parliamentary</w:t>
      </w:r>
      <w:r>
        <w:rPr>
          <w:spacing w:val="-8"/>
        </w:rPr>
        <w:t xml:space="preserve"> </w:t>
      </w:r>
      <w:r>
        <w:t>Counsel,</w:t>
      </w:r>
      <w:r>
        <w:rPr>
          <w:spacing w:val="-2"/>
        </w:rPr>
        <w:t xml:space="preserve"> </w:t>
      </w:r>
      <w:bookmarkStart w:id="0" w:name="_GoBack"/>
      <w:bookmarkEnd w:id="0"/>
      <w:r>
        <w:rPr>
          <w:spacing w:val="-2"/>
        </w:rPr>
        <w:t>Canberra.</w:t>
      </w:r>
    </w:p>
    <w:p w:rsidR="00CE3B4F" w:rsidRDefault="00CE3B4F">
      <w:pPr>
        <w:sectPr w:rsidR="00CE3B4F">
          <w:footerReference w:type="default" r:id="rId8"/>
          <w:type w:val="continuous"/>
          <w:pgSz w:w="11910" w:h="16840"/>
          <w:pgMar w:top="1460" w:right="1440" w:bottom="540" w:left="1600" w:header="0" w:footer="343" w:gutter="0"/>
          <w:pgNumType w:start="1"/>
          <w:cols w:space="720"/>
        </w:sectPr>
      </w:pPr>
    </w:p>
    <w:p w:rsidR="00CE3B4F" w:rsidRDefault="006A22CC">
      <w:pPr>
        <w:spacing w:before="74"/>
        <w:ind w:left="102"/>
        <w:rPr>
          <w:rFonts w:ascii="Arial"/>
          <w:b/>
          <w:sz w:val="24"/>
        </w:rPr>
      </w:pPr>
      <w:r>
        <w:rPr>
          <w:rFonts w:ascii="Arial"/>
          <w:b/>
          <w:spacing w:val="-2"/>
          <w:sz w:val="24"/>
        </w:rPr>
        <w:lastRenderedPageBreak/>
        <w:t>CONTENTS</w:t>
      </w:r>
    </w:p>
    <w:sdt>
      <w:sdtPr>
        <w:id w:val="881445175"/>
        <w:docPartObj>
          <w:docPartGallery w:val="Table of Contents"/>
          <w:docPartUnique/>
        </w:docPartObj>
      </w:sdtPr>
      <w:sdtEndPr/>
      <w:sdtContent>
        <w:p w:rsidR="00CE3B4F" w:rsidRDefault="006A22CC">
          <w:pPr>
            <w:pStyle w:val="TOC1"/>
            <w:numPr>
              <w:ilvl w:val="1"/>
              <w:numId w:val="4"/>
            </w:numPr>
            <w:tabs>
              <w:tab w:val="left" w:pos="641"/>
              <w:tab w:val="left" w:pos="642"/>
              <w:tab w:val="right" w:leader="hyphen" w:pos="8596"/>
            </w:tabs>
          </w:pPr>
          <w:r>
            <w:t>NAME</w:t>
          </w:r>
          <w:r>
            <w:rPr>
              <w:spacing w:val="-9"/>
            </w:rPr>
            <w:t xml:space="preserve"> </w:t>
          </w:r>
          <w:r>
            <w:t>OF</w:t>
          </w:r>
          <w:r>
            <w:rPr>
              <w:spacing w:val="-9"/>
            </w:rPr>
            <w:t xml:space="preserve"> </w:t>
          </w:r>
          <w:r>
            <w:rPr>
              <w:spacing w:val="-2"/>
            </w:rPr>
            <w:t>STANDARD</w:t>
          </w:r>
          <w:r>
            <w:tab/>
          </w:r>
          <w:r>
            <w:rPr>
              <w:spacing w:val="-10"/>
            </w:rPr>
            <w:t>2</w:t>
          </w:r>
        </w:p>
        <w:p w:rsidR="00CE3B4F" w:rsidRDefault="006A22CC">
          <w:pPr>
            <w:pStyle w:val="TOC1"/>
            <w:numPr>
              <w:ilvl w:val="1"/>
              <w:numId w:val="4"/>
            </w:numPr>
            <w:tabs>
              <w:tab w:val="left" w:pos="641"/>
              <w:tab w:val="left" w:pos="642"/>
              <w:tab w:val="right" w:leader="hyphen" w:pos="8596"/>
            </w:tabs>
          </w:pPr>
          <w:r>
            <w:rPr>
              <w:spacing w:val="-2"/>
            </w:rPr>
            <w:t>COMMENCEMENT</w:t>
          </w:r>
          <w:r>
            <w:tab/>
          </w:r>
          <w:r>
            <w:rPr>
              <w:spacing w:val="-10"/>
            </w:rPr>
            <w:t>2</w:t>
          </w:r>
        </w:p>
        <w:p w:rsidR="00CE3B4F" w:rsidRDefault="006A22CC">
          <w:pPr>
            <w:pStyle w:val="TOC1"/>
            <w:numPr>
              <w:ilvl w:val="0"/>
              <w:numId w:val="3"/>
            </w:numPr>
            <w:tabs>
              <w:tab w:val="left" w:pos="641"/>
              <w:tab w:val="left" w:pos="642"/>
              <w:tab w:val="right" w:leader="hyphen" w:pos="8596"/>
            </w:tabs>
          </w:pPr>
          <w:hyperlink w:anchor="_TOC_250005" w:history="1">
            <w:r>
              <w:rPr>
                <w:spacing w:val="-2"/>
              </w:rPr>
              <w:t>SCOPE</w:t>
            </w:r>
            <w:r>
              <w:tab/>
            </w:r>
            <w:r>
              <w:rPr>
                <w:spacing w:val="-10"/>
              </w:rPr>
              <w:t>2</w:t>
            </w:r>
          </w:hyperlink>
        </w:p>
        <w:p w:rsidR="00CE3B4F" w:rsidRDefault="006A22CC">
          <w:pPr>
            <w:pStyle w:val="TOC1"/>
            <w:numPr>
              <w:ilvl w:val="0"/>
              <w:numId w:val="3"/>
            </w:numPr>
            <w:tabs>
              <w:tab w:val="left" w:pos="641"/>
              <w:tab w:val="left" w:pos="642"/>
              <w:tab w:val="right" w:leader="hyphen" w:pos="8596"/>
            </w:tabs>
          </w:pPr>
          <w:hyperlink w:anchor="_TOC_250004" w:history="1">
            <w:r>
              <w:t>APPLICABILITY</w:t>
            </w:r>
            <w:r>
              <w:rPr>
                <w:spacing w:val="-13"/>
              </w:rPr>
              <w:t xml:space="preserve"> </w:t>
            </w:r>
            <w:r>
              <w:t>AND</w:t>
            </w:r>
            <w:r>
              <w:rPr>
                <w:spacing w:val="-13"/>
              </w:rPr>
              <w:t xml:space="preserve"> </w:t>
            </w:r>
            <w:r>
              <w:rPr>
                <w:spacing w:val="-2"/>
              </w:rPr>
              <w:t>IMPLEMENTATION</w:t>
            </w:r>
            <w:r>
              <w:tab/>
            </w:r>
            <w:r>
              <w:rPr>
                <w:spacing w:val="-10"/>
              </w:rPr>
              <w:t>2</w:t>
            </w:r>
          </w:hyperlink>
        </w:p>
        <w:p w:rsidR="00CE3B4F" w:rsidRDefault="006A22CC">
          <w:pPr>
            <w:pStyle w:val="TOC1"/>
            <w:numPr>
              <w:ilvl w:val="0"/>
              <w:numId w:val="3"/>
            </w:numPr>
            <w:tabs>
              <w:tab w:val="left" w:pos="641"/>
              <w:tab w:val="left" w:pos="642"/>
              <w:tab w:val="right" w:leader="hyphen" w:pos="8596"/>
            </w:tabs>
          </w:pPr>
          <w:hyperlink w:anchor="_TOC_250003" w:history="1">
            <w:r>
              <w:rPr>
                <w:spacing w:val="-2"/>
              </w:rPr>
              <w:t>DEFINITIONS</w:t>
            </w:r>
            <w:r>
              <w:tab/>
            </w:r>
            <w:r>
              <w:rPr>
                <w:spacing w:val="-10"/>
              </w:rPr>
              <w:t>3</w:t>
            </w:r>
          </w:hyperlink>
        </w:p>
        <w:p w:rsidR="00CE3B4F" w:rsidRDefault="006A22CC">
          <w:pPr>
            <w:pStyle w:val="TOC1"/>
            <w:numPr>
              <w:ilvl w:val="0"/>
              <w:numId w:val="3"/>
            </w:numPr>
            <w:tabs>
              <w:tab w:val="left" w:pos="641"/>
              <w:tab w:val="left" w:pos="642"/>
              <w:tab w:val="right" w:leader="hyphen" w:pos="8596"/>
            </w:tabs>
            <w:spacing w:before="361"/>
          </w:pPr>
          <w:hyperlink w:anchor="_TOC_250002" w:history="1">
            <w:r>
              <w:rPr>
                <w:spacing w:val="-2"/>
              </w:rPr>
              <w:t>REQUIREMENTS</w:t>
            </w:r>
            <w:r>
              <w:tab/>
            </w:r>
            <w:r>
              <w:rPr>
                <w:spacing w:val="-10"/>
              </w:rPr>
              <w:t>3</w:t>
            </w:r>
          </w:hyperlink>
        </w:p>
        <w:p w:rsidR="00CE3B4F" w:rsidRDefault="006A22CC">
          <w:pPr>
            <w:pStyle w:val="TOC1"/>
            <w:numPr>
              <w:ilvl w:val="0"/>
              <w:numId w:val="3"/>
            </w:numPr>
            <w:tabs>
              <w:tab w:val="left" w:pos="641"/>
              <w:tab w:val="left" w:pos="642"/>
              <w:tab w:val="right" w:leader="hyphen" w:pos="8596"/>
            </w:tabs>
          </w:pPr>
          <w:hyperlink w:anchor="_TOC_250001" w:history="1">
            <w:r>
              <w:t>EXEMPTIONS</w:t>
            </w:r>
            <w:r>
              <w:rPr>
                <w:spacing w:val="-6"/>
              </w:rPr>
              <w:t xml:space="preserve"> </w:t>
            </w:r>
            <w:r>
              <w:t>AND</w:t>
            </w:r>
            <w:r>
              <w:rPr>
                <w:spacing w:val="-7"/>
              </w:rPr>
              <w:t xml:space="preserve"> </w:t>
            </w:r>
            <w:r>
              <w:t>ALTERNATIVE</w:t>
            </w:r>
            <w:r>
              <w:rPr>
                <w:spacing w:val="-10"/>
              </w:rPr>
              <w:t xml:space="preserve"> </w:t>
            </w:r>
            <w:r>
              <w:rPr>
                <w:spacing w:val="-2"/>
              </w:rPr>
              <w:t>PROCEDURES</w:t>
            </w:r>
            <w:r>
              <w:tab/>
            </w:r>
            <w:r>
              <w:rPr>
                <w:spacing w:val="-10"/>
              </w:rPr>
              <w:t>4</w:t>
            </w:r>
          </w:hyperlink>
        </w:p>
        <w:p w:rsidR="00CE3B4F" w:rsidRDefault="006A22CC">
          <w:pPr>
            <w:pStyle w:val="TOC1"/>
            <w:numPr>
              <w:ilvl w:val="0"/>
              <w:numId w:val="3"/>
            </w:numPr>
            <w:tabs>
              <w:tab w:val="left" w:pos="641"/>
              <w:tab w:val="left" w:pos="642"/>
              <w:tab w:val="right" w:leader="hyphen" w:pos="8596"/>
            </w:tabs>
          </w:pPr>
          <w:hyperlink w:anchor="_TOC_250000" w:history="1">
            <w:r>
              <w:t>ALTERNATIVE</w:t>
            </w:r>
            <w:r>
              <w:rPr>
                <w:spacing w:val="-11"/>
              </w:rPr>
              <w:t xml:space="preserve"> </w:t>
            </w:r>
            <w:r>
              <w:rPr>
                <w:spacing w:val="-2"/>
                <w:w w:val="95"/>
              </w:rPr>
              <w:t>STANDARDS</w:t>
            </w:r>
            <w:r>
              <w:tab/>
            </w:r>
            <w:r>
              <w:rPr>
                <w:spacing w:val="-10"/>
              </w:rPr>
              <w:t>4</w:t>
            </w:r>
          </w:hyperlink>
        </w:p>
      </w:sdtContent>
    </w:sdt>
    <w:p w:rsidR="00CE3B4F" w:rsidRDefault="00CE3B4F">
      <w:pPr>
        <w:pStyle w:val="BodyText"/>
        <w:ind w:left="0"/>
        <w:rPr>
          <w:rFonts w:ascii="Arial"/>
          <w:b/>
          <w:sz w:val="26"/>
        </w:rPr>
      </w:pPr>
    </w:p>
    <w:p w:rsidR="00CE3B4F" w:rsidRDefault="006A22CC">
      <w:pPr>
        <w:pStyle w:val="ListParagraph"/>
        <w:numPr>
          <w:ilvl w:val="1"/>
          <w:numId w:val="2"/>
        </w:numPr>
        <w:tabs>
          <w:tab w:val="left" w:pos="809"/>
          <w:tab w:val="left" w:pos="810"/>
        </w:tabs>
        <w:spacing w:before="217"/>
        <w:rPr>
          <w:rFonts w:ascii="Arial"/>
          <w:sz w:val="18"/>
        </w:rPr>
      </w:pPr>
      <w:r>
        <w:rPr>
          <w:rFonts w:ascii="Arial"/>
          <w:b/>
          <w:sz w:val="24"/>
        </w:rPr>
        <w:t>NAME</w:t>
      </w:r>
      <w:r>
        <w:rPr>
          <w:rFonts w:ascii="Arial"/>
          <w:b/>
          <w:spacing w:val="-9"/>
          <w:sz w:val="24"/>
        </w:rPr>
        <w:t xml:space="preserve"> </w:t>
      </w:r>
      <w:r>
        <w:rPr>
          <w:rFonts w:ascii="Arial"/>
          <w:b/>
          <w:sz w:val="24"/>
        </w:rPr>
        <w:t>OF</w:t>
      </w:r>
      <w:r>
        <w:rPr>
          <w:rFonts w:ascii="Arial"/>
          <w:b/>
          <w:spacing w:val="-9"/>
          <w:sz w:val="24"/>
        </w:rPr>
        <w:t xml:space="preserve"> </w:t>
      </w:r>
      <w:r>
        <w:rPr>
          <w:rFonts w:ascii="Arial"/>
          <w:b/>
          <w:sz w:val="24"/>
        </w:rPr>
        <w:t>STANDARD</w:t>
      </w:r>
      <w:r>
        <w:rPr>
          <w:rFonts w:ascii="Arial"/>
          <w:b/>
          <w:spacing w:val="-6"/>
          <w:sz w:val="24"/>
        </w:rPr>
        <w:t xml:space="preserve"> </w:t>
      </w:r>
      <w:r>
        <w:rPr>
          <w:rFonts w:ascii="Arial"/>
          <w:sz w:val="18"/>
        </w:rPr>
        <w:t>[</w:t>
      </w:r>
      <w:r>
        <w:rPr>
          <w:rFonts w:ascii="Arial"/>
          <w:i/>
          <w:sz w:val="18"/>
        </w:rPr>
        <w:t>see</w:t>
      </w:r>
      <w:r>
        <w:rPr>
          <w:rFonts w:ascii="Arial"/>
          <w:i/>
          <w:spacing w:val="-5"/>
          <w:sz w:val="18"/>
        </w:rPr>
        <w:t xml:space="preserve"> </w:t>
      </w:r>
      <w:r>
        <w:rPr>
          <w:rFonts w:ascii="Arial"/>
          <w:sz w:val="18"/>
        </w:rPr>
        <w:t>Note</w:t>
      </w:r>
      <w:r>
        <w:rPr>
          <w:rFonts w:ascii="Arial"/>
          <w:spacing w:val="-6"/>
          <w:sz w:val="18"/>
        </w:rPr>
        <w:t xml:space="preserve"> </w:t>
      </w:r>
      <w:r>
        <w:rPr>
          <w:rFonts w:ascii="Arial"/>
          <w:spacing w:val="-5"/>
          <w:sz w:val="18"/>
        </w:rPr>
        <w:t>1]</w:t>
      </w:r>
    </w:p>
    <w:p w:rsidR="00CE3B4F" w:rsidRDefault="00CE3B4F">
      <w:pPr>
        <w:pStyle w:val="BodyText"/>
        <w:spacing w:before="7"/>
        <w:ind w:left="0"/>
        <w:rPr>
          <w:rFonts w:ascii="Arial"/>
          <w:sz w:val="21"/>
        </w:rPr>
      </w:pPr>
    </w:p>
    <w:p w:rsidR="00CE3B4F" w:rsidRDefault="006A22CC">
      <w:pPr>
        <w:pStyle w:val="ListParagraph"/>
        <w:numPr>
          <w:ilvl w:val="2"/>
          <w:numId w:val="2"/>
        </w:numPr>
        <w:tabs>
          <w:tab w:val="left" w:pos="821"/>
          <w:tab w:val="left" w:pos="822"/>
        </w:tabs>
        <w:spacing w:before="0"/>
        <w:ind w:left="821" w:right="255"/>
        <w:rPr>
          <w:sz w:val="24"/>
        </w:rPr>
      </w:pPr>
      <w:r>
        <w:rPr>
          <w:sz w:val="24"/>
        </w:rPr>
        <w:t>This</w:t>
      </w:r>
      <w:r>
        <w:rPr>
          <w:spacing w:val="-1"/>
          <w:sz w:val="24"/>
        </w:rPr>
        <w:t xml:space="preserve"> </w:t>
      </w:r>
      <w:r>
        <w:rPr>
          <w:sz w:val="24"/>
        </w:rPr>
        <w:t>Standard</w:t>
      </w:r>
      <w:r>
        <w:rPr>
          <w:spacing w:val="-2"/>
          <w:sz w:val="24"/>
        </w:rPr>
        <w:t xml:space="preserve"> </w:t>
      </w:r>
      <w:r>
        <w:rPr>
          <w:sz w:val="24"/>
        </w:rPr>
        <w:t>is</w:t>
      </w:r>
      <w:r>
        <w:rPr>
          <w:spacing w:val="-1"/>
          <w:sz w:val="24"/>
        </w:rPr>
        <w:t xml:space="preserve"> </w:t>
      </w:r>
      <w:r>
        <w:rPr>
          <w:sz w:val="24"/>
        </w:rPr>
        <w:t xml:space="preserve">the </w:t>
      </w:r>
      <w:r>
        <w:rPr>
          <w:i/>
          <w:sz w:val="24"/>
        </w:rPr>
        <w:t>Vehicle</w:t>
      </w:r>
      <w:r>
        <w:rPr>
          <w:i/>
          <w:spacing w:val="-2"/>
          <w:sz w:val="24"/>
        </w:rPr>
        <w:t xml:space="preserve"> </w:t>
      </w:r>
      <w:r>
        <w:rPr>
          <w:i/>
          <w:sz w:val="24"/>
        </w:rPr>
        <w:t>Standard (Australian Design</w:t>
      </w:r>
      <w:r>
        <w:rPr>
          <w:i/>
          <w:spacing w:val="-1"/>
          <w:sz w:val="24"/>
        </w:rPr>
        <w:t xml:space="preserve"> </w:t>
      </w:r>
      <w:r>
        <w:rPr>
          <w:i/>
          <w:sz w:val="24"/>
        </w:rPr>
        <w:t>Rule</w:t>
      </w:r>
      <w:r>
        <w:rPr>
          <w:i/>
          <w:spacing w:val="-2"/>
          <w:sz w:val="24"/>
        </w:rPr>
        <w:t xml:space="preserve"> </w:t>
      </w:r>
      <w:r>
        <w:rPr>
          <w:i/>
          <w:sz w:val="24"/>
        </w:rPr>
        <w:t>80/03</w:t>
      </w:r>
      <w:r>
        <w:rPr>
          <w:i/>
          <w:spacing w:val="-1"/>
          <w:sz w:val="24"/>
        </w:rPr>
        <w:t xml:space="preserve"> </w:t>
      </w:r>
      <w:r>
        <w:rPr>
          <w:i/>
          <w:sz w:val="24"/>
        </w:rPr>
        <w:t>–</w:t>
      </w:r>
      <w:r>
        <w:rPr>
          <w:i/>
          <w:spacing w:val="-1"/>
          <w:sz w:val="24"/>
        </w:rPr>
        <w:t xml:space="preserve"> </w:t>
      </w:r>
      <w:r>
        <w:rPr>
          <w:i/>
          <w:sz w:val="24"/>
        </w:rPr>
        <w:t>Emission Control for Heavy Vehicles) 2006</w:t>
      </w:r>
      <w:r>
        <w:rPr>
          <w:sz w:val="24"/>
        </w:rPr>
        <w:t>.</w:t>
      </w:r>
    </w:p>
    <w:p w:rsidR="00CE3B4F" w:rsidRDefault="006A22CC">
      <w:pPr>
        <w:pStyle w:val="ListParagraph"/>
        <w:numPr>
          <w:ilvl w:val="2"/>
          <w:numId w:val="2"/>
        </w:numPr>
        <w:tabs>
          <w:tab w:val="left" w:pos="821"/>
          <w:tab w:val="left" w:pos="822"/>
        </w:tabs>
        <w:spacing w:before="230"/>
        <w:rPr>
          <w:sz w:val="24"/>
        </w:rPr>
      </w:pPr>
      <w:r>
        <w:rPr>
          <w:sz w:val="24"/>
        </w:rPr>
        <w:t>This</w:t>
      </w:r>
      <w:r>
        <w:rPr>
          <w:spacing w:val="-2"/>
          <w:sz w:val="24"/>
        </w:rPr>
        <w:t xml:space="preserve"> </w:t>
      </w:r>
      <w:r>
        <w:rPr>
          <w:sz w:val="24"/>
        </w:rPr>
        <w:t>Standard</w:t>
      </w:r>
      <w:r>
        <w:rPr>
          <w:spacing w:val="-2"/>
          <w:sz w:val="24"/>
        </w:rPr>
        <w:t xml:space="preserve"> </w:t>
      </w:r>
      <w:r>
        <w:rPr>
          <w:sz w:val="24"/>
        </w:rPr>
        <w:t>may</w:t>
      </w:r>
      <w:r>
        <w:rPr>
          <w:spacing w:val="-4"/>
          <w:sz w:val="24"/>
        </w:rPr>
        <w:t xml:space="preserve"> </w:t>
      </w:r>
      <w:r>
        <w:rPr>
          <w:sz w:val="24"/>
        </w:rPr>
        <w:t>also</w:t>
      </w:r>
      <w:r>
        <w:rPr>
          <w:spacing w:val="-2"/>
          <w:sz w:val="24"/>
        </w:rPr>
        <w:t xml:space="preserve"> </w:t>
      </w:r>
      <w:r>
        <w:rPr>
          <w:sz w:val="24"/>
        </w:rPr>
        <w:t>be</w:t>
      </w:r>
      <w:r>
        <w:rPr>
          <w:spacing w:val="-3"/>
          <w:sz w:val="24"/>
        </w:rPr>
        <w:t xml:space="preserve"> </w:t>
      </w:r>
      <w:r>
        <w:rPr>
          <w:sz w:val="24"/>
        </w:rPr>
        <w:t>cited</w:t>
      </w:r>
      <w:r>
        <w:rPr>
          <w:spacing w:val="-1"/>
          <w:sz w:val="24"/>
        </w:rPr>
        <w:t xml:space="preserve"> </w:t>
      </w:r>
      <w:r>
        <w:rPr>
          <w:sz w:val="24"/>
        </w:rPr>
        <w:t>as</w:t>
      </w:r>
      <w:r>
        <w:rPr>
          <w:spacing w:val="-2"/>
          <w:sz w:val="24"/>
        </w:rPr>
        <w:t xml:space="preserve"> </w:t>
      </w:r>
      <w:r>
        <w:rPr>
          <w:sz w:val="24"/>
        </w:rPr>
        <w:t>ADR</w:t>
      </w:r>
      <w:r>
        <w:rPr>
          <w:spacing w:val="-1"/>
          <w:sz w:val="24"/>
        </w:rPr>
        <w:t xml:space="preserve"> </w:t>
      </w:r>
      <w:r>
        <w:rPr>
          <w:spacing w:val="-2"/>
          <w:sz w:val="24"/>
        </w:rPr>
        <w:t>80/03.</w:t>
      </w:r>
    </w:p>
    <w:p w:rsidR="00CE3B4F" w:rsidRDefault="00CE3B4F">
      <w:pPr>
        <w:pStyle w:val="BodyText"/>
        <w:spacing w:before="7"/>
        <w:ind w:left="0"/>
        <w:rPr>
          <w:sz w:val="20"/>
        </w:rPr>
      </w:pPr>
    </w:p>
    <w:p w:rsidR="00CE3B4F" w:rsidRDefault="006A22CC">
      <w:pPr>
        <w:pStyle w:val="ListParagraph"/>
        <w:numPr>
          <w:ilvl w:val="1"/>
          <w:numId w:val="2"/>
        </w:numPr>
        <w:tabs>
          <w:tab w:val="left" w:pos="809"/>
          <w:tab w:val="left" w:pos="810"/>
        </w:tabs>
        <w:spacing w:before="0"/>
        <w:rPr>
          <w:rFonts w:ascii="Arial"/>
          <w:sz w:val="18"/>
        </w:rPr>
      </w:pPr>
      <w:r>
        <w:rPr>
          <w:rFonts w:ascii="Arial"/>
          <w:b/>
          <w:sz w:val="24"/>
        </w:rPr>
        <w:t>COMMENCEMENT</w:t>
      </w:r>
      <w:r>
        <w:rPr>
          <w:rFonts w:ascii="Arial"/>
          <w:b/>
          <w:spacing w:val="-5"/>
          <w:sz w:val="24"/>
        </w:rPr>
        <w:t xml:space="preserve"> </w:t>
      </w:r>
      <w:r>
        <w:rPr>
          <w:rFonts w:ascii="Arial"/>
          <w:sz w:val="18"/>
        </w:rPr>
        <w:t>[</w:t>
      </w:r>
      <w:r>
        <w:rPr>
          <w:rFonts w:ascii="Arial"/>
          <w:i/>
          <w:sz w:val="18"/>
        </w:rPr>
        <w:t>see</w:t>
      </w:r>
      <w:r>
        <w:rPr>
          <w:rFonts w:ascii="Arial"/>
          <w:i/>
          <w:spacing w:val="-4"/>
          <w:sz w:val="18"/>
        </w:rPr>
        <w:t xml:space="preserve"> </w:t>
      </w:r>
      <w:r>
        <w:rPr>
          <w:rFonts w:ascii="Arial"/>
          <w:sz w:val="18"/>
        </w:rPr>
        <w:t>Note</w:t>
      </w:r>
      <w:r>
        <w:rPr>
          <w:rFonts w:ascii="Arial"/>
          <w:spacing w:val="-4"/>
          <w:sz w:val="18"/>
        </w:rPr>
        <w:t xml:space="preserve"> </w:t>
      </w:r>
      <w:r>
        <w:rPr>
          <w:rFonts w:ascii="Arial"/>
          <w:spacing w:val="-5"/>
          <w:sz w:val="18"/>
        </w:rPr>
        <w:t>1]</w:t>
      </w:r>
    </w:p>
    <w:p w:rsidR="00CE3B4F" w:rsidRDefault="00CE3B4F">
      <w:pPr>
        <w:pStyle w:val="BodyText"/>
        <w:spacing w:before="7"/>
        <w:ind w:left="0"/>
        <w:rPr>
          <w:rFonts w:ascii="Arial"/>
          <w:sz w:val="21"/>
        </w:rPr>
      </w:pPr>
    </w:p>
    <w:p w:rsidR="00CE3B4F" w:rsidRDefault="006A22CC">
      <w:pPr>
        <w:pStyle w:val="ListParagraph"/>
        <w:numPr>
          <w:ilvl w:val="2"/>
          <w:numId w:val="2"/>
        </w:numPr>
        <w:tabs>
          <w:tab w:val="left" w:pos="821"/>
          <w:tab w:val="left" w:pos="822"/>
        </w:tabs>
        <w:spacing w:before="0"/>
        <w:rPr>
          <w:sz w:val="24"/>
        </w:rPr>
      </w:pPr>
      <w:r>
        <w:rPr>
          <w:sz w:val="24"/>
        </w:rPr>
        <w:t>This</w:t>
      </w:r>
      <w:r>
        <w:rPr>
          <w:spacing w:val="-1"/>
          <w:sz w:val="24"/>
        </w:rPr>
        <w:t xml:space="preserve"> </w:t>
      </w:r>
      <w:r>
        <w:rPr>
          <w:sz w:val="24"/>
        </w:rPr>
        <w:t>Standard</w:t>
      </w:r>
      <w:r>
        <w:rPr>
          <w:spacing w:val="-1"/>
          <w:sz w:val="24"/>
        </w:rPr>
        <w:t xml:space="preserve"> </w:t>
      </w:r>
      <w:r>
        <w:rPr>
          <w:sz w:val="24"/>
        </w:rPr>
        <w:t>commences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day</w:t>
      </w:r>
      <w:r>
        <w:rPr>
          <w:spacing w:val="-5"/>
          <w:sz w:val="24"/>
        </w:rPr>
        <w:t xml:space="preserve"> </w:t>
      </w:r>
      <w:r>
        <w:rPr>
          <w:sz w:val="24"/>
        </w:rPr>
        <w:t>after</w:t>
      </w:r>
      <w:r>
        <w:rPr>
          <w:spacing w:val="-1"/>
          <w:sz w:val="24"/>
        </w:rPr>
        <w:t xml:space="preserve"> </w:t>
      </w:r>
      <w:r>
        <w:rPr>
          <w:sz w:val="24"/>
        </w:rPr>
        <w:t>it</w:t>
      </w:r>
      <w:r>
        <w:rPr>
          <w:spacing w:val="-1"/>
          <w:sz w:val="24"/>
        </w:rPr>
        <w:t xml:space="preserve"> </w:t>
      </w:r>
      <w:r>
        <w:rPr>
          <w:sz w:val="24"/>
        </w:rPr>
        <w:t xml:space="preserve">is </w:t>
      </w:r>
      <w:r>
        <w:rPr>
          <w:spacing w:val="-2"/>
          <w:sz w:val="24"/>
        </w:rPr>
        <w:t>registered.</w:t>
      </w:r>
    </w:p>
    <w:p w:rsidR="00CE3B4F" w:rsidRDefault="00CE3B4F">
      <w:pPr>
        <w:pStyle w:val="BodyText"/>
        <w:spacing w:before="6"/>
        <w:ind w:left="0"/>
        <w:rPr>
          <w:sz w:val="20"/>
        </w:rPr>
      </w:pPr>
    </w:p>
    <w:p w:rsidR="00CE3B4F" w:rsidRDefault="006A22CC">
      <w:pPr>
        <w:pStyle w:val="Heading1"/>
        <w:numPr>
          <w:ilvl w:val="0"/>
          <w:numId w:val="1"/>
        </w:numPr>
        <w:tabs>
          <w:tab w:val="left" w:pos="809"/>
          <w:tab w:val="left" w:pos="810"/>
        </w:tabs>
        <w:spacing w:before="1"/>
      </w:pPr>
      <w:bookmarkStart w:id="1" w:name="_TOC_250005"/>
      <w:bookmarkEnd w:id="1"/>
      <w:r>
        <w:rPr>
          <w:spacing w:val="-2"/>
        </w:rPr>
        <w:t>SCOPE</w:t>
      </w:r>
    </w:p>
    <w:p w:rsidR="00CE3B4F" w:rsidRDefault="00CE3B4F">
      <w:pPr>
        <w:pStyle w:val="BodyText"/>
        <w:spacing w:before="8"/>
        <w:ind w:left="0"/>
        <w:rPr>
          <w:rFonts w:ascii="Arial"/>
          <w:b/>
          <w:sz w:val="21"/>
        </w:rPr>
      </w:pPr>
    </w:p>
    <w:p w:rsidR="00CE3B4F" w:rsidRDefault="006A22CC">
      <w:pPr>
        <w:pStyle w:val="ListParagraph"/>
        <w:numPr>
          <w:ilvl w:val="1"/>
          <w:numId w:val="1"/>
        </w:numPr>
        <w:tabs>
          <w:tab w:val="left" w:pos="821"/>
          <w:tab w:val="left" w:pos="822"/>
        </w:tabs>
        <w:spacing w:before="1" w:line="237" w:lineRule="auto"/>
        <w:ind w:left="821" w:right="260"/>
        <w:rPr>
          <w:sz w:val="24"/>
        </w:rPr>
      </w:pPr>
      <w:r>
        <w:rPr>
          <w:sz w:val="24"/>
        </w:rPr>
        <w:t>This vehicle standard prescribes the exhaust emissions requirements for engines used in heavy vehicles in order to reduce air pollution.</w:t>
      </w:r>
    </w:p>
    <w:p w:rsidR="00CE3B4F" w:rsidRDefault="00CE3B4F">
      <w:pPr>
        <w:pStyle w:val="BodyText"/>
        <w:spacing w:before="7"/>
        <w:ind w:left="0"/>
        <w:rPr>
          <w:sz w:val="20"/>
        </w:rPr>
      </w:pPr>
    </w:p>
    <w:p w:rsidR="00CE3B4F" w:rsidRDefault="006A22CC">
      <w:pPr>
        <w:pStyle w:val="Heading1"/>
        <w:numPr>
          <w:ilvl w:val="0"/>
          <w:numId w:val="1"/>
        </w:numPr>
        <w:tabs>
          <w:tab w:val="left" w:pos="809"/>
          <w:tab w:val="left" w:pos="810"/>
        </w:tabs>
        <w:spacing w:before="0"/>
      </w:pPr>
      <w:bookmarkStart w:id="2" w:name="_TOC_250004"/>
      <w:r>
        <w:t>APPLICABILITY</w:t>
      </w:r>
      <w:r>
        <w:rPr>
          <w:spacing w:val="-13"/>
        </w:rPr>
        <w:t xml:space="preserve"> </w:t>
      </w:r>
      <w:r>
        <w:t>AND</w:t>
      </w:r>
      <w:r>
        <w:rPr>
          <w:spacing w:val="-14"/>
        </w:rPr>
        <w:t xml:space="preserve"> </w:t>
      </w:r>
      <w:bookmarkEnd w:id="2"/>
      <w:r>
        <w:rPr>
          <w:spacing w:val="-2"/>
        </w:rPr>
        <w:t>IMPLEMENTATION</w:t>
      </w:r>
    </w:p>
    <w:p w:rsidR="00CE3B4F" w:rsidRDefault="00CE3B4F">
      <w:pPr>
        <w:pStyle w:val="BodyText"/>
        <w:spacing w:before="7"/>
        <w:ind w:left="0"/>
        <w:rPr>
          <w:rFonts w:ascii="Arial"/>
          <w:b/>
          <w:sz w:val="21"/>
        </w:rPr>
      </w:pPr>
    </w:p>
    <w:p w:rsidR="00CE3B4F" w:rsidRDefault="006A22CC">
      <w:pPr>
        <w:pStyle w:val="ListParagraph"/>
        <w:numPr>
          <w:ilvl w:val="1"/>
          <w:numId w:val="1"/>
        </w:numPr>
        <w:tabs>
          <w:tab w:val="left" w:pos="821"/>
          <w:tab w:val="left" w:pos="822"/>
        </w:tabs>
        <w:spacing w:before="0"/>
        <w:ind w:left="821" w:right="262"/>
        <w:rPr>
          <w:sz w:val="24"/>
        </w:rPr>
      </w:pPr>
      <w:r>
        <w:rPr>
          <w:sz w:val="24"/>
        </w:rPr>
        <w:t>This</w:t>
      </w:r>
      <w:r>
        <w:rPr>
          <w:spacing w:val="-3"/>
          <w:sz w:val="24"/>
        </w:rPr>
        <w:t xml:space="preserve"> </w:t>
      </w:r>
      <w:r>
        <w:rPr>
          <w:sz w:val="24"/>
        </w:rPr>
        <w:t>vehicle</w:t>
      </w:r>
      <w:r>
        <w:rPr>
          <w:spacing w:val="-4"/>
          <w:sz w:val="24"/>
        </w:rPr>
        <w:t xml:space="preserve"> </w:t>
      </w:r>
      <w:r>
        <w:rPr>
          <w:sz w:val="24"/>
        </w:rPr>
        <w:t>standard</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vehicles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M</w:t>
      </w:r>
      <w:r>
        <w:rPr>
          <w:spacing w:val="-1"/>
          <w:sz w:val="24"/>
        </w:rPr>
        <w:t xml:space="preserve"> </w:t>
      </w:r>
      <w:r>
        <w:rPr>
          <w:sz w:val="24"/>
        </w:rPr>
        <w:t>and</w:t>
      </w:r>
      <w:r>
        <w:rPr>
          <w:spacing w:val="-3"/>
          <w:sz w:val="24"/>
        </w:rPr>
        <w:t xml:space="preserve"> </w:t>
      </w:r>
      <w:r>
        <w:rPr>
          <w:sz w:val="24"/>
        </w:rPr>
        <w:t>N</w:t>
      </w:r>
      <w:r>
        <w:rPr>
          <w:spacing w:val="-2"/>
          <w:sz w:val="24"/>
        </w:rPr>
        <w:t xml:space="preserve"> </w:t>
      </w:r>
      <w:r>
        <w:rPr>
          <w:sz w:val="24"/>
        </w:rPr>
        <w:t>categories,</w:t>
      </w:r>
      <w:r>
        <w:rPr>
          <w:spacing w:val="-3"/>
          <w:sz w:val="24"/>
        </w:rPr>
        <w:t xml:space="preserve"> </w:t>
      </w:r>
      <w:r>
        <w:rPr>
          <w:sz w:val="24"/>
        </w:rPr>
        <w:t>with</w:t>
      </w:r>
      <w:r>
        <w:rPr>
          <w:spacing w:val="-3"/>
          <w:sz w:val="24"/>
        </w:rPr>
        <w:t xml:space="preserve"> </w:t>
      </w:r>
      <w:r>
        <w:rPr>
          <w:sz w:val="24"/>
        </w:rPr>
        <w:t>a</w:t>
      </w:r>
      <w:r>
        <w:rPr>
          <w:spacing w:val="-2"/>
          <w:sz w:val="24"/>
        </w:rPr>
        <w:t xml:space="preserve"> </w:t>
      </w:r>
      <w:proofErr w:type="spellStart"/>
      <w:r>
        <w:rPr>
          <w:sz w:val="24"/>
        </w:rPr>
        <w:t>GVM</w:t>
      </w:r>
      <w:proofErr w:type="spellEnd"/>
      <w:r>
        <w:rPr>
          <w:sz w:val="24"/>
        </w:rPr>
        <w:t xml:space="preserve"> greater than 3.5 </w:t>
      </w:r>
      <w:proofErr w:type="spellStart"/>
      <w:r>
        <w:rPr>
          <w:sz w:val="24"/>
        </w:rPr>
        <w:t>tonnes</w:t>
      </w:r>
      <w:proofErr w:type="spellEnd"/>
      <w:r>
        <w:rPr>
          <w:sz w:val="24"/>
        </w:rPr>
        <w:t>, as provided in clause 2.2.</w:t>
      </w:r>
    </w:p>
    <w:p w:rsidR="00CE3B4F" w:rsidRDefault="006A22CC">
      <w:pPr>
        <w:pStyle w:val="ListParagraph"/>
        <w:numPr>
          <w:ilvl w:val="1"/>
          <w:numId w:val="1"/>
        </w:numPr>
        <w:tabs>
          <w:tab w:val="left" w:pos="821"/>
          <w:tab w:val="left" w:pos="822"/>
        </w:tabs>
        <w:spacing w:before="233"/>
        <w:rPr>
          <w:sz w:val="24"/>
        </w:rPr>
      </w:pPr>
      <w:r>
        <w:rPr>
          <w:sz w:val="24"/>
        </w:rPr>
        <w:t>This</w:t>
      </w:r>
      <w:r>
        <w:rPr>
          <w:spacing w:val="-2"/>
          <w:sz w:val="24"/>
        </w:rPr>
        <w:t xml:space="preserve"> </w:t>
      </w:r>
      <w:r>
        <w:rPr>
          <w:sz w:val="24"/>
        </w:rPr>
        <w:t>vehicle</w:t>
      </w:r>
      <w:r>
        <w:rPr>
          <w:spacing w:val="-2"/>
          <w:sz w:val="24"/>
        </w:rPr>
        <w:t xml:space="preserve"> </w:t>
      </w:r>
      <w:r>
        <w:rPr>
          <w:sz w:val="24"/>
        </w:rPr>
        <w:t>standard</w:t>
      </w:r>
      <w:r>
        <w:rPr>
          <w:spacing w:val="-1"/>
          <w:sz w:val="24"/>
        </w:rPr>
        <w:t xml:space="preserve"> </w:t>
      </w:r>
      <w:r>
        <w:rPr>
          <w:spacing w:val="-2"/>
          <w:sz w:val="24"/>
        </w:rPr>
        <w:t>applies:</w:t>
      </w:r>
    </w:p>
    <w:p w:rsidR="00CE3B4F" w:rsidRDefault="006A22CC">
      <w:pPr>
        <w:pStyle w:val="ListParagraph"/>
        <w:numPr>
          <w:ilvl w:val="2"/>
          <w:numId w:val="1"/>
        </w:numPr>
        <w:tabs>
          <w:tab w:val="left" w:pos="809"/>
          <w:tab w:val="left" w:pos="810"/>
        </w:tabs>
        <w:spacing w:before="231"/>
        <w:ind w:right="261"/>
        <w:rPr>
          <w:sz w:val="24"/>
        </w:rPr>
      </w:pPr>
      <w:r>
        <w:rPr>
          <w:sz w:val="24"/>
        </w:rPr>
        <w:t>from</w:t>
      </w:r>
      <w:r>
        <w:rPr>
          <w:spacing w:val="39"/>
          <w:sz w:val="24"/>
        </w:rPr>
        <w:t xml:space="preserve"> </w:t>
      </w:r>
      <w:r>
        <w:rPr>
          <w:sz w:val="24"/>
        </w:rPr>
        <w:t>1</w:t>
      </w:r>
      <w:r>
        <w:rPr>
          <w:spacing w:val="38"/>
          <w:sz w:val="24"/>
        </w:rPr>
        <w:t xml:space="preserve"> </w:t>
      </w:r>
      <w:r>
        <w:rPr>
          <w:sz w:val="24"/>
        </w:rPr>
        <w:t>January</w:t>
      </w:r>
      <w:r>
        <w:rPr>
          <w:spacing w:val="33"/>
          <w:sz w:val="24"/>
        </w:rPr>
        <w:t xml:space="preserve"> </w:t>
      </w:r>
      <w:r>
        <w:rPr>
          <w:sz w:val="24"/>
        </w:rPr>
        <w:t>2010</w:t>
      </w:r>
      <w:r>
        <w:rPr>
          <w:spacing w:val="38"/>
          <w:sz w:val="24"/>
        </w:rPr>
        <w:t xml:space="preserve"> </w:t>
      </w:r>
      <w:r>
        <w:rPr>
          <w:sz w:val="24"/>
        </w:rPr>
        <w:t>in</w:t>
      </w:r>
      <w:r>
        <w:rPr>
          <w:spacing w:val="40"/>
          <w:sz w:val="24"/>
        </w:rPr>
        <w:t xml:space="preserve"> </w:t>
      </w:r>
      <w:r>
        <w:rPr>
          <w:sz w:val="24"/>
        </w:rPr>
        <w:t>relation</w:t>
      </w:r>
      <w:r>
        <w:rPr>
          <w:spacing w:val="39"/>
          <w:sz w:val="24"/>
        </w:rPr>
        <w:t xml:space="preserve"> </w:t>
      </w:r>
      <w:r>
        <w:rPr>
          <w:sz w:val="24"/>
        </w:rPr>
        <w:t>to</w:t>
      </w:r>
      <w:r>
        <w:rPr>
          <w:spacing w:val="39"/>
          <w:sz w:val="24"/>
        </w:rPr>
        <w:t xml:space="preserve"> </w:t>
      </w:r>
      <w:r>
        <w:rPr>
          <w:sz w:val="24"/>
        </w:rPr>
        <w:t>new</w:t>
      </w:r>
      <w:r>
        <w:rPr>
          <w:spacing w:val="38"/>
          <w:sz w:val="24"/>
        </w:rPr>
        <w:t xml:space="preserve"> </w:t>
      </w:r>
      <w:r>
        <w:rPr>
          <w:sz w:val="24"/>
        </w:rPr>
        <w:t>model</w:t>
      </w:r>
      <w:r>
        <w:rPr>
          <w:spacing w:val="40"/>
          <w:sz w:val="24"/>
        </w:rPr>
        <w:t xml:space="preserve"> </w:t>
      </w:r>
      <w:r>
        <w:rPr>
          <w:sz w:val="24"/>
        </w:rPr>
        <w:t>vehicles</w:t>
      </w:r>
      <w:r>
        <w:rPr>
          <w:spacing w:val="38"/>
          <w:sz w:val="24"/>
        </w:rPr>
        <w:t xml:space="preserve"> </w:t>
      </w:r>
      <w:r>
        <w:rPr>
          <w:sz w:val="24"/>
        </w:rPr>
        <w:t>produced</w:t>
      </w:r>
      <w:r>
        <w:rPr>
          <w:spacing w:val="38"/>
          <w:sz w:val="24"/>
        </w:rPr>
        <w:t xml:space="preserve"> </w:t>
      </w:r>
      <w:r>
        <w:rPr>
          <w:sz w:val="24"/>
        </w:rPr>
        <w:t>on</w:t>
      </w:r>
      <w:r>
        <w:rPr>
          <w:spacing w:val="38"/>
          <w:sz w:val="24"/>
        </w:rPr>
        <w:t xml:space="preserve"> </w:t>
      </w:r>
      <w:r>
        <w:rPr>
          <w:sz w:val="24"/>
        </w:rPr>
        <w:t>or</w:t>
      </w:r>
      <w:r>
        <w:rPr>
          <w:spacing w:val="40"/>
          <w:sz w:val="24"/>
        </w:rPr>
        <w:t xml:space="preserve"> </w:t>
      </w:r>
      <w:r>
        <w:rPr>
          <w:sz w:val="24"/>
        </w:rPr>
        <w:t>after 1 January 2010; and</w:t>
      </w:r>
    </w:p>
    <w:p w:rsidR="00CE3B4F" w:rsidRDefault="006A22CC">
      <w:pPr>
        <w:pStyle w:val="ListParagraph"/>
        <w:numPr>
          <w:ilvl w:val="2"/>
          <w:numId w:val="1"/>
        </w:numPr>
        <w:tabs>
          <w:tab w:val="left" w:pos="821"/>
          <w:tab w:val="left" w:pos="822"/>
        </w:tabs>
        <w:spacing w:before="233"/>
        <w:ind w:left="821" w:right="257" w:hanging="720"/>
        <w:rPr>
          <w:sz w:val="24"/>
        </w:rPr>
      </w:pPr>
      <w:r>
        <w:rPr>
          <w:sz w:val="24"/>
        </w:rPr>
        <w:t>from 1 January</w:t>
      </w:r>
      <w:r>
        <w:rPr>
          <w:spacing w:val="-3"/>
          <w:sz w:val="24"/>
        </w:rPr>
        <w:t xml:space="preserve"> </w:t>
      </w:r>
      <w:r>
        <w:rPr>
          <w:sz w:val="24"/>
        </w:rPr>
        <w:t>2011 in relation to vehicles produced on or after 1 January 2011, other than new model vehicles referred to in clause 2.2.1.</w:t>
      </w:r>
    </w:p>
    <w:p w:rsidR="00CE3B4F" w:rsidRDefault="00CE3B4F">
      <w:pPr>
        <w:pStyle w:val="BodyText"/>
        <w:ind w:left="0"/>
        <w:rPr>
          <w:sz w:val="20"/>
        </w:rPr>
      </w:pPr>
    </w:p>
    <w:p w:rsidR="00CE3B4F" w:rsidRDefault="00CE3B4F">
      <w:pPr>
        <w:pStyle w:val="BodyText"/>
        <w:ind w:left="0"/>
        <w:rPr>
          <w:sz w:val="20"/>
        </w:rPr>
      </w:pPr>
    </w:p>
    <w:p w:rsidR="00CE3B4F" w:rsidRDefault="006A22CC">
      <w:pPr>
        <w:pStyle w:val="BodyText"/>
        <w:spacing w:before="1"/>
        <w:ind w:left="0"/>
        <w:rPr>
          <w:sz w:val="10"/>
        </w:rPr>
      </w:pPr>
      <w:r>
        <w:pict>
          <v:shape id="docshape3" o:spid="_x0000_s1027" style="position:absolute;margin-left:85.1pt;margin-top:7pt;width:414.1pt;height:.5pt;z-index:-15728128;mso-wrap-distance-left:0;mso-wrap-distance-right:0;mso-position-horizontal-relative:page" coordorigin="1702,140" coordsize="8282,10" o:spt="100" adj="0,,0" path="m8723,140r-5876,l2837,140r,l1702,140r,10l2837,150r,l2847,150r5876,l8723,140xm9984,140r-1251,l8724,140r,10l8733,150r1251,l9984,140xe" fillcolor="black" stroked="f">
            <v:stroke joinstyle="round"/>
            <v:formulas/>
            <v:path arrowok="t" o:connecttype="segments"/>
            <w10:wrap type="topAndBottom" anchorx="page"/>
          </v:shape>
        </w:pict>
      </w:r>
    </w:p>
    <w:p w:rsidR="00CE3B4F" w:rsidRDefault="006A22CC">
      <w:pPr>
        <w:tabs>
          <w:tab w:val="left" w:pos="1544"/>
        </w:tabs>
        <w:spacing w:line="246" w:lineRule="exact"/>
        <w:ind w:left="210"/>
        <w:rPr>
          <w:rFonts w:ascii="Arial" w:hAnsi="Arial"/>
          <w:i/>
          <w:sz w:val="20"/>
        </w:rPr>
      </w:pPr>
      <w:r>
        <w:rPr>
          <w:rFonts w:ascii="Arial" w:hAnsi="Arial"/>
          <w:spacing w:val="-10"/>
          <w:position w:val="2"/>
          <w:sz w:val="20"/>
        </w:rPr>
        <w:t>2</w:t>
      </w:r>
      <w:r>
        <w:rPr>
          <w:rFonts w:ascii="Arial" w:hAnsi="Arial"/>
          <w:position w:val="2"/>
          <w:sz w:val="20"/>
        </w:rPr>
        <w:tab/>
      </w: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6"/>
          <w:sz w:val="20"/>
        </w:rPr>
        <w:t xml:space="preserve"> </w:t>
      </w:r>
      <w:r>
        <w:rPr>
          <w:rFonts w:ascii="Arial" w:hAnsi="Arial"/>
          <w:i/>
          <w:sz w:val="20"/>
        </w:rPr>
        <w:t>(Australian</w:t>
      </w:r>
      <w:r>
        <w:rPr>
          <w:rFonts w:ascii="Arial" w:hAnsi="Arial"/>
          <w:i/>
          <w:spacing w:val="-6"/>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 80/03</w:t>
      </w:r>
      <w:r>
        <w:rPr>
          <w:rFonts w:ascii="Arial" w:hAnsi="Arial"/>
          <w:i/>
          <w:spacing w:val="-4"/>
          <w:sz w:val="20"/>
        </w:rPr>
        <w:t xml:space="preserve"> </w:t>
      </w:r>
      <w:r>
        <w:rPr>
          <w:rFonts w:ascii="Arial" w:hAnsi="Arial"/>
          <w:i/>
          <w:sz w:val="20"/>
        </w:rPr>
        <w:t>–</w:t>
      </w:r>
      <w:r>
        <w:rPr>
          <w:rFonts w:ascii="Arial" w:hAnsi="Arial"/>
          <w:i/>
          <w:spacing w:val="-6"/>
          <w:sz w:val="20"/>
        </w:rPr>
        <w:t xml:space="preserve"> </w:t>
      </w:r>
      <w:r>
        <w:rPr>
          <w:rFonts w:ascii="Arial" w:hAnsi="Arial"/>
          <w:i/>
          <w:spacing w:val="-2"/>
          <w:sz w:val="20"/>
        </w:rPr>
        <w:t>Emission</w:t>
      </w:r>
    </w:p>
    <w:p w:rsidR="00CE3B4F" w:rsidRDefault="006A22CC">
      <w:pPr>
        <w:spacing w:line="229" w:lineRule="exact"/>
        <w:ind w:left="2711"/>
        <w:rPr>
          <w:rFonts w:ascii="Arial"/>
          <w:i/>
          <w:sz w:val="20"/>
        </w:rPr>
      </w:pPr>
      <w:r>
        <w:rPr>
          <w:rFonts w:ascii="Arial"/>
          <w:i/>
          <w:sz w:val="20"/>
        </w:rPr>
        <w:t>Control</w:t>
      </w:r>
      <w:r>
        <w:rPr>
          <w:rFonts w:ascii="Arial"/>
          <w:i/>
          <w:spacing w:val="-8"/>
          <w:sz w:val="20"/>
        </w:rPr>
        <w:t xml:space="preserve"> </w:t>
      </w:r>
      <w:r>
        <w:rPr>
          <w:rFonts w:ascii="Arial"/>
          <w:i/>
          <w:sz w:val="20"/>
        </w:rPr>
        <w:t>for</w:t>
      </w:r>
      <w:r>
        <w:rPr>
          <w:rFonts w:ascii="Arial"/>
          <w:i/>
          <w:spacing w:val="-5"/>
          <w:sz w:val="20"/>
        </w:rPr>
        <w:t xml:space="preserve"> </w:t>
      </w:r>
      <w:r>
        <w:rPr>
          <w:rFonts w:ascii="Arial"/>
          <w:i/>
          <w:sz w:val="20"/>
        </w:rPr>
        <w:t>Heavy</w:t>
      </w:r>
      <w:r>
        <w:rPr>
          <w:rFonts w:ascii="Arial"/>
          <w:i/>
          <w:spacing w:val="-5"/>
          <w:sz w:val="20"/>
        </w:rPr>
        <w:t xml:space="preserve"> </w:t>
      </w:r>
      <w:r>
        <w:rPr>
          <w:rFonts w:ascii="Arial"/>
          <w:i/>
          <w:sz w:val="20"/>
        </w:rPr>
        <w:t>Vehicles)</w:t>
      </w:r>
      <w:r>
        <w:rPr>
          <w:rFonts w:ascii="Arial"/>
          <w:i/>
          <w:spacing w:val="-5"/>
          <w:sz w:val="20"/>
        </w:rPr>
        <w:t xml:space="preserve"> </w:t>
      </w:r>
      <w:r>
        <w:rPr>
          <w:rFonts w:ascii="Arial"/>
          <w:i/>
          <w:spacing w:val="-4"/>
          <w:sz w:val="20"/>
        </w:rPr>
        <w:t>2006</w:t>
      </w:r>
    </w:p>
    <w:p w:rsidR="00CE3B4F" w:rsidRDefault="00CE3B4F">
      <w:pPr>
        <w:spacing w:line="229" w:lineRule="exact"/>
        <w:rPr>
          <w:rFonts w:ascii="Arial"/>
          <w:sz w:val="20"/>
        </w:rPr>
        <w:sectPr w:rsidR="00CE3B4F">
          <w:pgSz w:w="11910" w:h="16840"/>
          <w:pgMar w:top="1540" w:right="1440" w:bottom="540" w:left="1600" w:header="0" w:footer="343" w:gutter="0"/>
          <w:cols w:space="720"/>
        </w:sectPr>
      </w:pPr>
    </w:p>
    <w:p w:rsidR="00CE3B4F" w:rsidRDefault="006A22CC">
      <w:pPr>
        <w:pStyle w:val="ListParagraph"/>
        <w:numPr>
          <w:ilvl w:val="1"/>
          <w:numId w:val="1"/>
        </w:numPr>
        <w:tabs>
          <w:tab w:val="left" w:pos="822"/>
        </w:tabs>
        <w:spacing w:before="70"/>
        <w:ind w:left="821" w:right="260"/>
        <w:jc w:val="both"/>
        <w:rPr>
          <w:sz w:val="24"/>
        </w:rPr>
      </w:pPr>
      <w:r>
        <w:rPr>
          <w:sz w:val="24"/>
        </w:rPr>
        <w:lastRenderedPageBreak/>
        <w:t>For the purposes of clause 2.2.1, a new model vehicle is a vehicle of a model first produced with a date of manufacture on or after 1 January 2010.</w:t>
      </w:r>
    </w:p>
    <w:p w:rsidR="00CE3B4F" w:rsidRDefault="006A22CC">
      <w:pPr>
        <w:pStyle w:val="ListParagraph"/>
        <w:numPr>
          <w:ilvl w:val="1"/>
          <w:numId w:val="1"/>
        </w:numPr>
        <w:tabs>
          <w:tab w:val="left" w:pos="822"/>
        </w:tabs>
        <w:ind w:left="821" w:right="265"/>
        <w:jc w:val="both"/>
        <w:rPr>
          <w:sz w:val="24"/>
        </w:rPr>
      </w:pPr>
      <w:r>
        <w:rPr>
          <w:sz w:val="24"/>
        </w:rPr>
        <w:t>To the extent of any</w:t>
      </w:r>
      <w:r>
        <w:rPr>
          <w:spacing w:val="-3"/>
          <w:sz w:val="24"/>
        </w:rPr>
        <w:t xml:space="preserve"> </w:t>
      </w:r>
      <w:r>
        <w:rPr>
          <w:sz w:val="24"/>
        </w:rPr>
        <w:t>inconsistency, the applicability</w:t>
      </w:r>
      <w:r>
        <w:rPr>
          <w:spacing w:val="-3"/>
          <w:sz w:val="24"/>
        </w:rPr>
        <w:t xml:space="preserve"> </w:t>
      </w:r>
      <w:r>
        <w:rPr>
          <w:sz w:val="24"/>
        </w:rPr>
        <w:t>dates specified in clause 2.2 apply in lieu of any dat</w:t>
      </w:r>
      <w:r>
        <w:rPr>
          <w:sz w:val="24"/>
        </w:rPr>
        <w:t>es specified in Appendix A, Appendix B or Appendix C.</w:t>
      </w:r>
    </w:p>
    <w:p w:rsidR="00CE3B4F" w:rsidRDefault="006A22CC">
      <w:pPr>
        <w:pStyle w:val="Heading1"/>
        <w:numPr>
          <w:ilvl w:val="0"/>
          <w:numId w:val="1"/>
        </w:numPr>
        <w:tabs>
          <w:tab w:val="left" w:pos="809"/>
          <w:tab w:val="left" w:pos="810"/>
        </w:tabs>
      </w:pPr>
      <w:bookmarkStart w:id="3" w:name="_TOC_250003"/>
      <w:bookmarkEnd w:id="3"/>
      <w:r>
        <w:rPr>
          <w:spacing w:val="-2"/>
        </w:rPr>
        <w:t>DEFINITIONS</w:t>
      </w:r>
    </w:p>
    <w:p w:rsidR="00CE3B4F" w:rsidRDefault="00CE3B4F">
      <w:pPr>
        <w:pStyle w:val="BodyText"/>
        <w:spacing w:before="7"/>
        <w:ind w:left="0"/>
        <w:rPr>
          <w:rFonts w:ascii="Arial"/>
          <w:b/>
          <w:sz w:val="21"/>
        </w:rPr>
      </w:pPr>
    </w:p>
    <w:p w:rsidR="00CE3B4F" w:rsidRDefault="006A22CC">
      <w:pPr>
        <w:pStyle w:val="ListParagraph"/>
        <w:numPr>
          <w:ilvl w:val="1"/>
          <w:numId w:val="1"/>
        </w:numPr>
        <w:tabs>
          <w:tab w:val="left" w:pos="822"/>
        </w:tabs>
        <w:spacing w:before="0"/>
        <w:ind w:left="821" w:right="256"/>
        <w:jc w:val="both"/>
        <w:rPr>
          <w:sz w:val="24"/>
        </w:rPr>
      </w:pPr>
      <w:r>
        <w:rPr>
          <w:sz w:val="24"/>
        </w:rPr>
        <w:t>For the purposes of clause 2.3, “date of manufacture” means the date the vehicle is available in Australia in a condition which will enable an identification plate</w:t>
      </w:r>
      <w:r>
        <w:rPr>
          <w:spacing w:val="40"/>
          <w:sz w:val="24"/>
        </w:rPr>
        <w:t xml:space="preserve"> </w:t>
      </w:r>
      <w:r>
        <w:rPr>
          <w:sz w:val="24"/>
        </w:rPr>
        <w:t>to be lawfully affixed to</w:t>
      </w:r>
      <w:r>
        <w:rPr>
          <w:sz w:val="24"/>
        </w:rPr>
        <w:t xml:space="preserve"> the vehicle.</w:t>
      </w:r>
    </w:p>
    <w:p w:rsidR="00CE3B4F" w:rsidRDefault="006A22CC">
      <w:pPr>
        <w:pStyle w:val="ListParagraph"/>
        <w:numPr>
          <w:ilvl w:val="1"/>
          <w:numId w:val="1"/>
        </w:numPr>
        <w:tabs>
          <w:tab w:val="left" w:pos="822"/>
        </w:tabs>
        <w:ind w:left="821" w:right="256"/>
        <w:jc w:val="both"/>
        <w:rPr>
          <w:sz w:val="24"/>
        </w:rPr>
      </w:pPr>
      <w:r>
        <w:rPr>
          <w:sz w:val="24"/>
        </w:rPr>
        <w:t>For the purposes of clauses 6.2.5, 6.3.4 and 6.4.3, “reagent” has the meaning defined in section 2 (Definitions) of Annex I to Appendix B.</w:t>
      </w:r>
    </w:p>
    <w:p w:rsidR="00CE3B4F" w:rsidRDefault="006A22CC">
      <w:pPr>
        <w:pStyle w:val="ListParagraph"/>
        <w:numPr>
          <w:ilvl w:val="1"/>
          <w:numId w:val="1"/>
        </w:numPr>
        <w:tabs>
          <w:tab w:val="left" w:pos="822"/>
        </w:tabs>
        <w:ind w:left="821" w:right="259"/>
        <w:jc w:val="both"/>
        <w:rPr>
          <w:sz w:val="24"/>
        </w:rPr>
      </w:pPr>
      <w:r>
        <w:rPr>
          <w:sz w:val="24"/>
        </w:rPr>
        <w:t xml:space="preserve">For the purposes of clauses 6.2.4, 6.3.5 and 6.4.2, “defeat device” has the meaning defined in section </w:t>
      </w:r>
      <w:r>
        <w:rPr>
          <w:sz w:val="24"/>
        </w:rPr>
        <w:t>2 (Definitions and Abbreviations) of Annex I to Appendix A and “defeat strategy” has the meaning defined in section 2 (Definitions) of Annex I to Appendix B, as amended by Appendix C.</w:t>
      </w:r>
    </w:p>
    <w:p w:rsidR="00CE3B4F" w:rsidRDefault="006A22CC">
      <w:pPr>
        <w:pStyle w:val="Heading1"/>
        <w:numPr>
          <w:ilvl w:val="0"/>
          <w:numId w:val="1"/>
        </w:numPr>
        <w:tabs>
          <w:tab w:val="left" w:pos="821"/>
          <w:tab w:val="left" w:pos="822"/>
        </w:tabs>
        <w:spacing w:before="197"/>
        <w:ind w:left="822" w:hanging="720"/>
      </w:pPr>
      <w:bookmarkStart w:id="4" w:name="_TOC_250002"/>
      <w:bookmarkEnd w:id="4"/>
      <w:r>
        <w:rPr>
          <w:spacing w:val="-2"/>
        </w:rPr>
        <w:t>REQUIREMENTS</w:t>
      </w:r>
    </w:p>
    <w:p w:rsidR="00CE3B4F" w:rsidRDefault="00CE3B4F">
      <w:pPr>
        <w:pStyle w:val="BodyText"/>
        <w:spacing w:before="10"/>
        <w:ind w:left="0"/>
        <w:rPr>
          <w:rFonts w:ascii="Arial"/>
          <w:b/>
          <w:sz w:val="21"/>
        </w:rPr>
      </w:pPr>
    </w:p>
    <w:p w:rsidR="00CE3B4F" w:rsidRDefault="006A22CC">
      <w:pPr>
        <w:ind w:left="821"/>
        <w:rPr>
          <w:rFonts w:ascii="Arial"/>
          <w:b/>
        </w:rPr>
      </w:pPr>
      <w:r>
        <w:rPr>
          <w:rFonts w:ascii="Arial"/>
          <w:b/>
        </w:rPr>
        <w:t>Requirements</w:t>
      </w:r>
      <w:r>
        <w:rPr>
          <w:rFonts w:ascii="Arial"/>
          <w:b/>
          <w:spacing w:val="80"/>
        </w:rPr>
        <w:t xml:space="preserve"> </w:t>
      </w:r>
      <w:r>
        <w:rPr>
          <w:rFonts w:ascii="Arial"/>
          <w:b/>
        </w:rPr>
        <w:t>for</w:t>
      </w:r>
      <w:r>
        <w:rPr>
          <w:rFonts w:ascii="Arial"/>
          <w:b/>
          <w:spacing w:val="80"/>
        </w:rPr>
        <w:t xml:space="preserve"> </w:t>
      </w:r>
      <w:r>
        <w:rPr>
          <w:rFonts w:ascii="Arial"/>
          <w:b/>
        </w:rPr>
        <w:t>Diesel,</w:t>
      </w:r>
      <w:r>
        <w:rPr>
          <w:rFonts w:ascii="Arial"/>
          <w:b/>
          <w:spacing w:val="80"/>
        </w:rPr>
        <w:t xml:space="preserve"> </w:t>
      </w:r>
      <w:r>
        <w:rPr>
          <w:rFonts w:ascii="Arial"/>
          <w:b/>
        </w:rPr>
        <w:t>Liquefied</w:t>
      </w:r>
      <w:r>
        <w:rPr>
          <w:rFonts w:ascii="Arial"/>
          <w:b/>
          <w:spacing w:val="80"/>
        </w:rPr>
        <w:t xml:space="preserve"> </w:t>
      </w:r>
      <w:r>
        <w:rPr>
          <w:rFonts w:ascii="Arial"/>
          <w:b/>
        </w:rPr>
        <w:t>Petroleum</w:t>
      </w:r>
      <w:r>
        <w:rPr>
          <w:rFonts w:ascii="Arial"/>
          <w:b/>
          <w:spacing w:val="80"/>
        </w:rPr>
        <w:t xml:space="preserve"> </w:t>
      </w:r>
      <w:r>
        <w:rPr>
          <w:rFonts w:ascii="Arial"/>
          <w:b/>
        </w:rPr>
        <w:t>Gas</w:t>
      </w:r>
      <w:r>
        <w:rPr>
          <w:rFonts w:ascii="Arial"/>
          <w:b/>
          <w:spacing w:val="80"/>
        </w:rPr>
        <w:t xml:space="preserve"> </w:t>
      </w:r>
      <w:r>
        <w:rPr>
          <w:rFonts w:ascii="Arial"/>
          <w:b/>
        </w:rPr>
        <w:t>and</w:t>
      </w:r>
      <w:r>
        <w:rPr>
          <w:rFonts w:ascii="Arial"/>
          <w:b/>
          <w:spacing w:val="80"/>
        </w:rPr>
        <w:t xml:space="preserve"> </w:t>
      </w:r>
      <w:r>
        <w:rPr>
          <w:rFonts w:ascii="Arial"/>
          <w:b/>
        </w:rPr>
        <w:t>Natur</w:t>
      </w:r>
      <w:r>
        <w:rPr>
          <w:rFonts w:ascii="Arial"/>
          <w:b/>
        </w:rPr>
        <w:t>al</w:t>
      </w:r>
      <w:r>
        <w:rPr>
          <w:rFonts w:ascii="Arial"/>
          <w:b/>
          <w:spacing w:val="80"/>
        </w:rPr>
        <w:t xml:space="preserve"> </w:t>
      </w:r>
      <w:r>
        <w:rPr>
          <w:rFonts w:ascii="Arial"/>
          <w:b/>
        </w:rPr>
        <w:t xml:space="preserve">Gas </w:t>
      </w:r>
      <w:r>
        <w:rPr>
          <w:rFonts w:ascii="Arial"/>
          <w:b/>
          <w:spacing w:val="-2"/>
        </w:rPr>
        <w:t>Engines</w:t>
      </w:r>
    </w:p>
    <w:p w:rsidR="00CE3B4F" w:rsidRDefault="006A22CC">
      <w:pPr>
        <w:pStyle w:val="ListParagraph"/>
        <w:numPr>
          <w:ilvl w:val="1"/>
          <w:numId w:val="1"/>
        </w:numPr>
        <w:tabs>
          <w:tab w:val="left" w:pos="822"/>
        </w:tabs>
        <w:spacing w:before="186"/>
        <w:ind w:left="821" w:right="255"/>
        <w:jc w:val="both"/>
        <w:rPr>
          <w:sz w:val="24"/>
        </w:rPr>
      </w:pPr>
      <w:r>
        <w:rPr>
          <w:sz w:val="24"/>
        </w:rPr>
        <w:t>Subject to clauses 4.1.1, 4.1.2 and 4.1.3, engines which operate on diesel, liquefied petroleum gas or natural gas, and which comply with the technical requirements of Appendix A, Appendix B and Appendix C, will be accepted as complying with this vehicle s</w:t>
      </w:r>
      <w:r>
        <w:rPr>
          <w:sz w:val="24"/>
        </w:rPr>
        <w:t>tandard.</w:t>
      </w:r>
    </w:p>
    <w:p w:rsidR="00CE3B4F" w:rsidRDefault="006A22CC">
      <w:pPr>
        <w:pStyle w:val="ListParagraph"/>
        <w:numPr>
          <w:ilvl w:val="2"/>
          <w:numId w:val="1"/>
        </w:numPr>
        <w:tabs>
          <w:tab w:val="left" w:pos="822"/>
        </w:tabs>
        <w:spacing w:before="193"/>
        <w:ind w:left="821" w:right="256" w:hanging="720"/>
        <w:jc w:val="both"/>
        <w:rPr>
          <w:sz w:val="24"/>
        </w:rPr>
      </w:pPr>
      <w:r>
        <w:rPr>
          <w:sz w:val="24"/>
        </w:rPr>
        <w:t>Engines which operate on diesel shall comply with the relevant limit values in row B2 of Table 1 to section 6.2.1 of Appendix A and with the relevant limit values in row B2 of Table 2 to section 6.2.1 of Appendix A.</w:t>
      </w:r>
    </w:p>
    <w:p w:rsidR="00CE3B4F" w:rsidRDefault="006A22CC">
      <w:pPr>
        <w:pStyle w:val="ListParagraph"/>
        <w:numPr>
          <w:ilvl w:val="2"/>
          <w:numId w:val="1"/>
        </w:numPr>
        <w:tabs>
          <w:tab w:val="left" w:pos="822"/>
        </w:tabs>
        <w:ind w:left="821" w:right="252" w:hanging="720"/>
        <w:jc w:val="both"/>
        <w:rPr>
          <w:sz w:val="24"/>
        </w:rPr>
      </w:pPr>
      <w:r>
        <w:rPr>
          <w:sz w:val="24"/>
        </w:rPr>
        <w:t>Engines which operate on liquef</w:t>
      </w:r>
      <w:r>
        <w:rPr>
          <w:sz w:val="24"/>
        </w:rPr>
        <w:t>ied petroleum gas or natural gas shall comply with</w:t>
      </w:r>
      <w:r>
        <w:rPr>
          <w:spacing w:val="40"/>
          <w:sz w:val="24"/>
        </w:rPr>
        <w:t xml:space="preserve"> </w:t>
      </w:r>
      <w:r>
        <w:rPr>
          <w:sz w:val="24"/>
        </w:rPr>
        <w:t>the</w:t>
      </w:r>
      <w:r>
        <w:rPr>
          <w:spacing w:val="40"/>
          <w:sz w:val="24"/>
        </w:rPr>
        <w:t xml:space="preserve"> </w:t>
      </w:r>
      <w:r>
        <w:rPr>
          <w:sz w:val="24"/>
        </w:rPr>
        <w:t>relevant</w:t>
      </w:r>
      <w:r>
        <w:rPr>
          <w:spacing w:val="40"/>
          <w:sz w:val="24"/>
        </w:rPr>
        <w:t xml:space="preserve"> </w:t>
      </w:r>
      <w:r>
        <w:rPr>
          <w:sz w:val="24"/>
        </w:rPr>
        <w:t>limit</w:t>
      </w:r>
      <w:r>
        <w:rPr>
          <w:spacing w:val="40"/>
          <w:sz w:val="24"/>
        </w:rPr>
        <w:t xml:space="preserve"> </w:t>
      </w:r>
      <w:r>
        <w:rPr>
          <w:sz w:val="24"/>
        </w:rPr>
        <w:t>values</w:t>
      </w:r>
      <w:r>
        <w:rPr>
          <w:spacing w:val="40"/>
          <w:sz w:val="24"/>
        </w:rPr>
        <w:t xml:space="preserve"> </w:t>
      </w:r>
      <w:r>
        <w:rPr>
          <w:sz w:val="24"/>
        </w:rPr>
        <w:t>in</w:t>
      </w:r>
      <w:r>
        <w:rPr>
          <w:spacing w:val="40"/>
          <w:sz w:val="24"/>
        </w:rPr>
        <w:t xml:space="preserve"> </w:t>
      </w:r>
      <w:r>
        <w:rPr>
          <w:sz w:val="24"/>
        </w:rPr>
        <w:t>row</w:t>
      </w:r>
      <w:r>
        <w:rPr>
          <w:spacing w:val="40"/>
          <w:sz w:val="24"/>
        </w:rPr>
        <w:t xml:space="preserve"> </w:t>
      </w:r>
      <w:r>
        <w:rPr>
          <w:sz w:val="24"/>
        </w:rPr>
        <w:t>B2</w:t>
      </w:r>
      <w:r>
        <w:rPr>
          <w:spacing w:val="40"/>
          <w:sz w:val="24"/>
        </w:rPr>
        <w:t xml:space="preserve"> </w:t>
      </w:r>
      <w:r>
        <w:rPr>
          <w:sz w:val="24"/>
        </w:rPr>
        <w:t>of</w:t>
      </w:r>
      <w:r>
        <w:rPr>
          <w:spacing w:val="40"/>
          <w:sz w:val="24"/>
        </w:rPr>
        <w:t xml:space="preserve"> </w:t>
      </w:r>
      <w:r>
        <w:rPr>
          <w:sz w:val="24"/>
        </w:rPr>
        <w:t>Table</w:t>
      </w:r>
      <w:r>
        <w:rPr>
          <w:spacing w:val="40"/>
          <w:sz w:val="24"/>
        </w:rPr>
        <w:t xml:space="preserve"> </w:t>
      </w:r>
      <w:r>
        <w:rPr>
          <w:sz w:val="24"/>
        </w:rPr>
        <w:t>2</w:t>
      </w:r>
      <w:r>
        <w:rPr>
          <w:spacing w:val="40"/>
          <w:sz w:val="24"/>
        </w:rPr>
        <w:t xml:space="preserve"> </w:t>
      </w:r>
      <w:r>
        <w:rPr>
          <w:sz w:val="24"/>
        </w:rPr>
        <w:t>to</w:t>
      </w:r>
      <w:r>
        <w:rPr>
          <w:spacing w:val="40"/>
          <w:sz w:val="24"/>
        </w:rPr>
        <w:t xml:space="preserve"> </w:t>
      </w:r>
      <w:r>
        <w:rPr>
          <w:sz w:val="24"/>
        </w:rPr>
        <w:t>section</w:t>
      </w:r>
      <w:r>
        <w:rPr>
          <w:spacing w:val="40"/>
          <w:sz w:val="24"/>
        </w:rPr>
        <w:t xml:space="preserve"> </w:t>
      </w:r>
      <w:r>
        <w:rPr>
          <w:sz w:val="24"/>
        </w:rPr>
        <w:t>6.2.1</w:t>
      </w:r>
      <w:r>
        <w:rPr>
          <w:spacing w:val="40"/>
          <w:sz w:val="24"/>
        </w:rPr>
        <w:t xml:space="preserve"> </w:t>
      </w:r>
      <w:r>
        <w:rPr>
          <w:sz w:val="24"/>
        </w:rPr>
        <w:t>of Appendix A.</w:t>
      </w:r>
    </w:p>
    <w:p w:rsidR="00CE3B4F" w:rsidRDefault="006A22CC">
      <w:pPr>
        <w:pStyle w:val="ListParagraph"/>
        <w:numPr>
          <w:ilvl w:val="2"/>
          <w:numId w:val="1"/>
        </w:numPr>
        <w:tabs>
          <w:tab w:val="left" w:pos="822"/>
        </w:tabs>
        <w:ind w:left="821" w:right="254" w:hanging="720"/>
        <w:jc w:val="both"/>
        <w:rPr>
          <w:sz w:val="24"/>
        </w:rPr>
      </w:pPr>
      <w:r>
        <w:rPr>
          <w:sz w:val="24"/>
        </w:rPr>
        <w:t>Engines which operate on diesel, liquefied petroleum gas or natural gas, shall be equipped with an on board diagnostics (</w:t>
      </w:r>
      <w:proofErr w:type="spellStart"/>
      <w:r>
        <w:rPr>
          <w:sz w:val="24"/>
        </w:rPr>
        <w:t>OBD</w:t>
      </w:r>
      <w:proofErr w:type="spellEnd"/>
      <w:r>
        <w:rPr>
          <w:sz w:val="24"/>
        </w:rPr>
        <w:t xml:space="preserve">) </w:t>
      </w:r>
      <w:r>
        <w:rPr>
          <w:sz w:val="24"/>
        </w:rPr>
        <w:t>system which complies with the Stage</w:t>
      </w:r>
      <w:r>
        <w:rPr>
          <w:spacing w:val="40"/>
          <w:sz w:val="24"/>
        </w:rPr>
        <w:t xml:space="preserve"> </w:t>
      </w:r>
      <w:r>
        <w:rPr>
          <w:sz w:val="24"/>
        </w:rPr>
        <w:t>2</w:t>
      </w:r>
      <w:r>
        <w:rPr>
          <w:spacing w:val="40"/>
          <w:sz w:val="24"/>
        </w:rPr>
        <w:t xml:space="preserve"> </w:t>
      </w:r>
      <w:r>
        <w:rPr>
          <w:sz w:val="24"/>
        </w:rPr>
        <w:t>requirements</w:t>
      </w:r>
      <w:r>
        <w:rPr>
          <w:spacing w:val="40"/>
          <w:sz w:val="24"/>
        </w:rPr>
        <w:t xml:space="preserve"> </w:t>
      </w:r>
      <w:r>
        <w:rPr>
          <w:sz w:val="24"/>
        </w:rPr>
        <w:t>as</w:t>
      </w:r>
      <w:r>
        <w:rPr>
          <w:spacing w:val="40"/>
          <w:sz w:val="24"/>
        </w:rPr>
        <w:t xml:space="preserve"> </w:t>
      </w:r>
      <w:r>
        <w:rPr>
          <w:sz w:val="24"/>
        </w:rPr>
        <w:t>described</w:t>
      </w:r>
      <w:r>
        <w:rPr>
          <w:spacing w:val="40"/>
          <w:sz w:val="24"/>
        </w:rPr>
        <w:t xml:space="preserve"> </w:t>
      </w:r>
      <w:r>
        <w:rPr>
          <w:sz w:val="24"/>
        </w:rPr>
        <w:t>in</w:t>
      </w:r>
      <w:r>
        <w:rPr>
          <w:spacing w:val="40"/>
          <w:sz w:val="24"/>
        </w:rPr>
        <w:t xml:space="preserve"> </w:t>
      </w:r>
      <w:r>
        <w:rPr>
          <w:sz w:val="24"/>
        </w:rPr>
        <w:t>sections</w:t>
      </w:r>
      <w:r>
        <w:rPr>
          <w:spacing w:val="40"/>
          <w:sz w:val="24"/>
        </w:rPr>
        <w:t xml:space="preserve"> </w:t>
      </w:r>
      <w:r>
        <w:rPr>
          <w:sz w:val="24"/>
        </w:rPr>
        <w:t>6.5</w:t>
      </w:r>
      <w:r>
        <w:rPr>
          <w:spacing w:val="40"/>
          <w:sz w:val="24"/>
        </w:rPr>
        <w:t xml:space="preserve"> </w:t>
      </w:r>
      <w:r>
        <w:rPr>
          <w:sz w:val="24"/>
        </w:rPr>
        <w:t>of</w:t>
      </w:r>
      <w:r>
        <w:rPr>
          <w:spacing w:val="40"/>
          <w:sz w:val="24"/>
        </w:rPr>
        <w:t xml:space="preserve"> </w:t>
      </w:r>
      <w:r>
        <w:rPr>
          <w:sz w:val="24"/>
        </w:rPr>
        <w:t>Annex</w:t>
      </w:r>
      <w:r>
        <w:rPr>
          <w:spacing w:val="40"/>
          <w:sz w:val="24"/>
        </w:rPr>
        <w:t xml:space="preserve"> </w:t>
      </w:r>
      <w:r>
        <w:rPr>
          <w:sz w:val="24"/>
        </w:rPr>
        <w:t>I</w:t>
      </w:r>
      <w:r>
        <w:rPr>
          <w:spacing w:val="40"/>
          <w:sz w:val="24"/>
        </w:rPr>
        <w:t xml:space="preserve"> </w:t>
      </w:r>
      <w:r>
        <w:rPr>
          <w:sz w:val="24"/>
        </w:rPr>
        <w:t>and</w:t>
      </w:r>
      <w:r>
        <w:rPr>
          <w:spacing w:val="40"/>
          <w:sz w:val="24"/>
        </w:rPr>
        <w:t xml:space="preserve"> </w:t>
      </w:r>
      <w:r>
        <w:rPr>
          <w:sz w:val="24"/>
        </w:rPr>
        <w:t>3.3</w:t>
      </w:r>
      <w:r>
        <w:rPr>
          <w:spacing w:val="40"/>
          <w:sz w:val="24"/>
        </w:rPr>
        <w:t xml:space="preserve"> </w:t>
      </w:r>
      <w:r>
        <w:rPr>
          <w:sz w:val="24"/>
        </w:rPr>
        <w:t>of Annex IV of Appendix B, as amended by Appendix C.</w:t>
      </w:r>
    </w:p>
    <w:p w:rsidR="00CE3B4F" w:rsidRDefault="006A22CC">
      <w:pPr>
        <w:spacing w:before="196"/>
        <w:ind w:left="821"/>
        <w:rPr>
          <w:rFonts w:ascii="Arial"/>
          <w:b/>
        </w:rPr>
      </w:pPr>
      <w:r>
        <w:rPr>
          <w:rFonts w:ascii="Arial"/>
          <w:b/>
        </w:rPr>
        <w:t>Requirements</w:t>
      </w:r>
      <w:r>
        <w:rPr>
          <w:rFonts w:ascii="Arial"/>
          <w:b/>
          <w:spacing w:val="-6"/>
        </w:rPr>
        <w:t xml:space="preserve"> </w:t>
      </w:r>
      <w:r>
        <w:rPr>
          <w:rFonts w:ascii="Arial"/>
          <w:b/>
        </w:rPr>
        <w:t>for</w:t>
      </w:r>
      <w:r>
        <w:rPr>
          <w:rFonts w:ascii="Arial"/>
          <w:b/>
          <w:spacing w:val="-6"/>
        </w:rPr>
        <w:t xml:space="preserve"> </w:t>
      </w:r>
      <w:r>
        <w:rPr>
          <w:rFonts w:ascii="Arial"/>
          <w:b/>
        </w:rPr>
        <w:t>Petrol</w:t>
      </w:r>
      <w:r>
        <w:rPr>
          <w:rFonts w:ascii="Arial"/>
          <w:b/>
          <w:spacing w:val="-1"/>
        </w:rPr>
        <w:t xml:space="preserve"> </w:t>
      </w:r>
      <w:r>
        <w:rPr>
          <w:rFonts w:ascii="Arial"/>
          <w:b/>
          <w:spacing w:val="-2"/>
        </w:rPr>
        <w:t>Engines</w:t>
      </w:r>
    </w:p>
    <w:p w:rsidR="00CE3B4F" w:rsidRDefault="006A22CC">
      <w:pPr>
        <w:pStyle w:val="ListParagraph"/>
        <w:numPr>
          <w:ilvl w:val="1"/>
          <w:numId w:val="1"/>
        </w:numPr>
        <w:tabs>
          <w:tab w:val="left" w:pos="822"/>
        </w:tabs>
        <w:spacing w:before="190"/>
        <w:ind w:left="821" w:right="256"/>
        <w:jc w:val="both"/>
        <w:rPr>
          <w:sz w:val="24"/>
        </w:rPr>
      </w:pPr>
      <w:r>
        <w:rPr>
          <w:sz w:val="24"/>
        </w:rPr>
        <w:t>Subject to clause 4.2.1, vehicles which operate on petrol and which com</w:t>
      </w:r>
      <w:r>
        <w:rPr>
          <w:sz w:val="24"/>
        </w:rPr>
        <w:t>ply with technical requirements of United Nations – Economic Commission for Europe Regulation No. 83 Uniform Provisions Concerning the Approval of Vehicles with Regard to the Emissions of Pollutants According to Engine Fuel Requirements, Revision 3, incorp</w:t>
      </w:r>
      <w:r>
        <w:rPr>
          <w:sz w:val="24"/>
        </w:rPr>
        <w:t>orating the 05 series of Amendments, and all amendments up to and including supplement 5, will be accepted as complying with this vehicle standard.</w:t>
      </w:r>
    </w:p>
    <w:p w:rsidR="00CE3B4F" w:rsidRDefault="00CE3B4F">
      <w:pPr>
        <w:pStyle w:val="BodyText"/>
        <w:ind w:left="0"/>
        <w:rPr>
          <w:sz w:val="20"/>
        </w:rPr>
      </w:pPr>
    </w:p>
    <w:p w:rsidR="00CE3B4F" w:rsidRDefault="00CE3B4F">
      <w:pPr>
        <w:pStyle w:val="BodyText"/>
        <w:ind w:left="0"/>
        <w:rPr>
          <w:sz w:val="20"/>
        </w:rPr>
      </w:pPr>
    </w:p>
    <w:p w:rsidR="00CE3B4F" w:rsidRDefault="00CE3B4F">
      <w:pPr>
        <w:pStyle w:val="BodyText"/>
        <w:ind w:left="0"/>
        <w:rPr>
          <w:sz w:val="20"/>
        </w:rPr>
      </w:pPr>
    </w:p>
    <w:p w:rsidR="00CE3B4F" w:rsidRDefault="006A22CC">
      <w:pPr>
        <w:pStyle w:val="BodyText"/>
        <w:spacing w:before="1"/>
        <w:ind w:left="0"/>
        <w:rPr>
          <w:sz w:val="12"/>
        </w:rPr>
      </w:pPr>
      <w:r>
        <w:pict>
          <v:shape id="docshape5" o:spid="_x0000_s1026" style="position:absolute;margin-left:85.1pt;margin-top:8.15pt;width:414.1pt;height:.5pt;z-index:-15727616;mso-wrap-distance-left:0;mso-wrap-distance-right:0;mso-position-horizontal-relative:page" coordorigin="1702,163" coordsize="8282,10" o:spt="100" adj="0,,0" path="m8723,163r-5876,l2837,163r,l1702,163r,10l2837,173r,l2847,173r5876,l8723,163xm9984,163r-1251,l8724,163r,10l8733,173r1251,l9984,163xe" fillcolor="black" stroked="f">
            <v:stroke joinstyle="round"/>
            <v:formulas/>
            <v:path arrowok="t" o:connecttype="segments"/>
            <w10:wrap type="topAndBottom" anchorx="page"/>
          </v:shape>
        </w:pict>
      </w:r>
    </w:p>
    <w:p w:rsidR="00CE3B4F" w:rsidRDefault="006A22CC">
      <w:pPr>
        <w:tabs>
          <w:tab w:val="right" w:pos="8275"/>
        </w:tabs>
        <w:spacing w:line="246" w:lineRule="exact"/>
        <w:ind w:left="1544"/>
        <w:rPr>
          <w:rFonts w:ascii="Arial" w:hAnsi="Arial"/>
          <w:sz w:val="20"/>
        </w:rPr>
      </w:pP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6"/>
          <w:sz w:val="20"/>
        </w:rPr>
        <w:t xml:space="preserve"> </w:t>
      </w:r>
      <w:r>
        <w:rPr>
          <w:rFonts w:ascii="Arial" w:hAnsi="Arial"/>
          <w:i/>
          <w:sz w:val="20"/>
        </w:rPr>
        <w:t>(Australian</w:t>
      </w:r>
      <w:r>
        <w:rPr>
          <w:rFonts w:ascii="Arial" w:hAnsi="Arial"/>
          <w:i/>
          <w:spacing w:val="-6"/>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 80/03</w:t>
      </w:r>
      <w:r>
        <w:rPr>
          <w:rFonts w:ascii="Arial" w:hAnsi="Arial"/>
          <w:i/>
          <w:spacing w:val="-4"/>
          <w:sz w:val="20"/>
        </w:rPr>
        <w:t xml:space="preserve"> </w:t>
      </w:r>
      <w:r>
        <w:rPr>
          <w:rFonts w:ascii="Arial" w:hAnsi="Arial"/>
          <w:i/>
          <w:sz w:val="20"/>
        </w:rPr>
        <w:t>–</w:t>
      </w:r>
      <w:r>
        <w:rPr>
          <w:rFonts w:ascii="Arial" w:hAnsi="Arial"/>
          <w:i/>
          <w:spacing w:val="-6"/>
          <w:sz w:val="20"/>
        </w:rPr>
        <w:t xml:space="preserve"> </w:t>
      </w:r>
      <w:r>
        <w:rPr>
          <w:rFonts w:ascii="Arial" w:hAnsi="Arial"/>
          <w:i/>
          <w:spacing w:val="-2"/>
          <w:sz w:val="20"/>
        </w:rPr>
        <w:t>Emission</w:t>
      </w:r>
      <w:r>
        <w:rPr>
          <w:rFonts w:ascii="Arial" w:hAnsi="Arial"/>
          <w:i/>
          <w:sz w:val="20"/>
        </w:rPr>
        <w:tab/>
      </w:r>
      <w:r>
        <w:rPr>
          <w:rFonts w:ascii="Arial" w:hAnsi="Arial"/>
          <w:spacing w:val="-10"/>
          <w:position w:val="2"/>
          <w:sz w:val="20"/>
        </w:rPr>
        <w:t>3</w:t>
      </w:r>
    </w:p>
    <w:p w:rsidR="00CE3B4F" w:rsidRDefault="006A22CC">
      <w:pPr>
        <w:spacing w:line="229" w:lineRule="exact"/>
        <w:ind w:left="2711"/>
        <w:rPr>
          <w:rFonts w:ascii="Arial"/>
          <w:i/>
          <w:sz w:val="20"/>
        </w:rPr>
      </w:pPr>
      <w:r>
        <w:rPr>
          <w:rFonts w:ascii="Arial"/>
          <w:i/>
          <w:sz w:val="20"/>
        </w:rPr>
        <w:t>Control</w:t>
      </w:r>
      <w:r>
        <w:rPr>
          <w:rFonts w:ascii="Arial"/>
          <w:i/>
          <w:spacing w:val="-8"/>
          <w:sz w:val="20"/>
        </w:rPr>
        <w:t xml:space="preserve"> </w:t>
      </w:r>
      <w:r>
        <w:rPr>
          <w:rFonts w:ascii="Arial"/>
          <w:i/>
          <w:sz w:val="20"/>
        </w:rPr>
        <w:t>for</w:t>
      </w:r>
      <w:r>
        <w:rPr>
          <w:rFonts w:ascii="Arial"/>
          <w:i/>
          <w:spacing w:val="-5"/>
          <w:sz w:val="20"/>
        </w:rPr>
        <w:t xml:space="preserve"> </w:t>
      </w:r>
      <w:r>
        <w:rPr>
          <w:rFonts w:ascii="Arial"/>
          <w:i/>
          <w:sz w:val="20"/>
        </w:rPr>
        <w:t>Heavy</w:t>
      </w:r>
      <w:r>
        <w:rPr>
          <w:rFonts w:ascii="Arial"/>
          <w:i/>
          <w:spacing w:val="-5"/>
          <w:sz w:val="20"/>
        </w:rPr>
        <w:t xml:space="preserve"> </w:t>
      </w:r>
      <w:r>
        <w:rPr>
          <w:rFonts w:ascii="Arial"/>
          <w:i/>
          <w:sz w:val="20"/>
        </w:rPr>
        <w:t>Vehicles)</w:t>
      </w:r>
      <w:r>
        <w:rPr>
          <w:rFonts w:ascii="Arial"/>
          <w:i/>
          <w:spacing w:val="-5"/>
          <w:sz w:val="20"/>
        </w:rPr>
        <w:t xml:space="preserve"> </w:t>
      </w:r>
      <w:r>
        <w:rPr>
          <w:rFonts w:ascii="Arial"/>
          <w:i/>
          <w:spacing w:val="-4"/>
          <w:sz w:val="20"/>
        </w:rPr>
        <w:t>2006</w:t>
      </w:r>
    </w:p>
    <w:p w:rsidR="00CE3B4F" w:rsidRDefault="00CE3B4F">
      <w:pPr>
        <w:spacing w:line="229" w:lineRule="exact"/>
        <w:rPr>
          <w:rFonts w:ascii="Arial"/>
          <w:sz w:val="20"/>
        </w:rPr>
        <w:sectPr w:rsidR="00CE3B4F">
          <w:footerReference w:type="default" r:id="rId9"/>
          <w:pgSz w:w="11910" w:h="16840"/>
          <w:pgMar w:top="1180" w:right="1440" w:bottom="540" w:left="1600" w:header="0" w:footer="343" w:gutter="0"/>
          <w:cols w:space="720"/>
        </w:sectPr>
      </w:pPr>
    </w:p>
    <w:p w:rsidR="00CE3B4F" w:rsidRDefault="006A22CC">
      <w:pPr>
        <w:pStyle w:val="ListParagraph"/>
        <w:numPr>
          <w:ilvl w:val="2"/>
          <w:numId w:val="1"/>
        </w:numPr>
        <w:tabs>
          <w:tab w:val="left" w:pos="822"/>
        </w:tabs>
        <w:spacing w:before="70"/>
        <w:ind w:left="821" w:right="263" w:hanging="720"/>
        <w:jc w:val="both"/>
        <w:rPr>
          <w:sz w:val="24"/>
        </w:rPr>
      </w:pPr>
      <w:r>
        <w:rPr>
          <w:sz w:val="24"/>
        </w:rPr>
        <w:lastRenderedPageBreak/>
        <w:t>Vehicles shall comply with the limit values in row “B(2005)” of the table to paragraph 5.3.1.4 of the Regulation.</w:t>
      </w:r>
    </w:p>
    <w:p w:rsidR="00CE3B4F" w:rsidRDefault="006A22CC">
      <w:pPr>
        <w:pStyle w:val="Heading1"/>
        <w:numPr>
          <w:ilvl w:val="0"/>
          <w:numId w:val="1"/>
        </w:numPr>
        <w:tabs>
          <w:tab w:val="left" w:pos="809"/>
          <w:tab w:val="left" w:pos="810"/>
        </w:tabs>
      </w:pPr>
      <w:bookmarkStart w:id="5" w:name="_TOC_250001"/>
      <w:r>
        <w:t>EXEMPTIONS</w:t>
      </w:r>
      <w:r>
        <w:rPr>
          <w:spacing w:val="16"/>
        </w:rPr>
        <w:t xml:space="preserve"> </w:t>
      </w:r>
      <w:r>
        <w:t>AND</w:t>
      </w:r>
      <w:r>
        <w:rPr>
          <w:spacing w:val="-5"/>
        </w:rPr>
        <w:t xml:space="preserve"> </w:t>
      </w:r>
      <w:r>
        <w:t>ALTERNATIVE</w:t>
      </w:r>
      <w:r>
        <w:rPr>
          <w:spacing w:val="-8"/>
        </w:rPr>
        <w:t xml:space="preserve"> </w:t>
      </w:r>
      <w:bookmarkEnd w:id="5"/>
      <w:r>
        <w:rPr>
          <w:spacing w:val="-2"/>
        </w:rPr>
        <w:t>PROCEDURES</w:t>
      </w:r>
    </w:p>
    <w:p w:rsidR="00CE3B4F" w:rsidRDefault="00CE3B4F">
      <w:pPr>
        <w:pStyle w:val="BodyText"/>
        <w:spacing w:before="7"/>
        <w:ind w:left="0"/>
        <w:rPr>
          <w:rFonts w:ascii="Arial"/>
          <w:b/>
          <w:sz w:val="21"/>
        </w:rPr>
      </w:pPr>
    </w:p>
    <w:p w:rsidR="00CE3B4F" w:rsidRDefault="006A22CC">
      <w:pPr>
        <w:pStyle w:val="ListParagraph"/>
        <w:numPr>
          <w:ilvl w:val="1"/>
          <w:numId w:val="1"/>
        </w:numPr>
        <w:tabs>
          <w:tab w:val="left" w:pos="822"/>
        </w:tabs>
        <w:spacing w:before="0"/>
        <w:ind w:left="821" w:right="256"/>
        <w:jc w:val="both"/>
        <w:rPr>
          <w:sz w:val="24"/>
        </w:rPr>
      </w:pPr>
      <w:r>
        <w:rPr>
          <w:sz w:val="24"/>
        </w:rPr>
        <w:t xml:space="preserve">Any provisions related to the administrative processes for obtaining type approval under a European Commission or Council (EC) Directive, or for obtaining an approval from the United States Environment Protection Authority or from the Japanese Ministry of </w:t>
      </w:r>
      <w:r>
        <w:rPr>
          <w:sz w:val="24"/>
        </w:rPr>
        <w:t>Land, Infrastructure and Transport, do not apply to this vehicle standard.</w:t>
      </w:r>
    </w:p>
    <w:p w:rsidR="00CE3B4F" w:rsidRDefault="006A22CC">
      <w:pPr>
        <w:pStyle w:val="ListParagraph"/>
        <w:numPr>
          <w:ilvl w:val="1"/>
          <w:numId w:val="1"/>
        </w:numPr>
        <w:tabs>
          <w:tab w:val="left" w:pos="954"/>
        </w:tabs>
        <w:ind w:left="954" w:right="261" w:hanging="852"/>
        <w:jc w:val="both"/>
        <w:rPr>
          <w:sz w:val="24"/>
        </w:rPr>
      </w:pPr>
      <w:r>
        <w:rPr>
          <w:sz w:val="24"/>
        </w:rPr>
        <w:t xml:space="preserve">Except as provided in 5.2.1, EC, US EPA and Japanese approval certificates alone are not accepted as demonstration of compliance with this vehicle </w:t>
      </w:r>
      <w:r>
        <w:rPr>
          <w:spacing w:val="-2"/>
          <w:sz w:val="24"/>
        </w:rPr>
        <w:t>standard.</w:t>
      </w:r>
    </w:p>
    <w:p w:rsidR="00CE3B4F" w:rsidRDefault="006A22CC">
      <w:pPr>
        <w:pStyle w:val="ListParagraph"/>
        <w:numPr>
          <w:ilvl w:val="2"/>
          <w:numId w:val="1"/>
        </w:numPr>
        <w:tabs>
          <w:tab w:val="left" w:pos="954"/>
        </w:tabs>
        <w:ind w:left="954" w:right="261" w:hanging="852"/>
        <w:jc w:val="both"/>
        <w:rPr>
          <w:sz w:val="24"/>
        </w:rPr>
      </w:pPr>
      <w:r>
        <w:rPr>
          <w:sz w:val="24"/>
        </w:rPr>
        <w:t>US EPA approval certific</w:t>
      </w:r>
      <w:r>
        <w:rPr>
          <w:sz w:val="24"/>
        </w:rPr>
        <w:t xml:space="preserve">ates applying to the 2012 Model Year or later may be accepted as demonstration of compliance with the </w:t>
      </w:r>
      <w:proofErr w:type="spellStart"/>
      <w:r>
        <w:rPr>
          <w:sz w:val="24"/>
        </w:rPr>
        <w:t>OBD</w:t>
      </w:r>
      <w:proofErr w:type="spellEnd"/>
      <w:r>
        <w:rPr>
          <w:sz w:val="24"/>
        </w:rPr>
        <w:t xml:space="preserve"> and inducement requirements in clause 6.2.5.1.</w:t>
      </w:r>
    </w:p>
    <w:p w:rsidR="00CE3B4F" w:rsidRDefault="006A22CC">
      <w:pPr>
        <w:pStyle w:val="ListParagraph"/>
        <w:numPr>
          <w:ilvl w:val="1"/>
          <w:numId w:val="1"/>
        </w:numPr>
        <w:tabs>
          <w:tab w:val="left" w:pos="822"/>
        </w:tabs>
        <w:spacing w:before="193"/>
        <w:ind w:left="821" w:right="254"/>
        <w:jc w:val="both"/>
        <w:rPr>
          <w:sz w:val="24"/>
        </w:rPr>
      </w:pPr>
      <w:r>
        <w:rPr>
          <w:sz w:val="24"/>
        </w:rPr>
        <w:t>The preamble clauses (1) to (20) and Articles 1 to 12 in Appendix A, the preamble</w:t>
      </w:r>
      <w:r>
        <w:rPr>
          <w:spacing w:val="-2"/>
          <w:sz w:val="24"/>
        </w:rPr>
        <w:t xml:space="preserve"> </w:t>
      </w:r>
      <w:r>
        <w:rPr>
          <w:sz w:val="24"/>
        </w:rPr>
        <w:t>clauses</w:t>
      </w:r>
      <w:r>
        <w:rPr>
          <w:spacing w:val="-1"/>
          <w:sz w:val="24"/>
        </w:rPr>
        <w:t xml:space="preserve"> </w:t>
      </w:r>
      <w:r>
        <w:rPr>
          <w:sz w:val="24"/>
        </w:rPr>
        <w:t>(1)</w:t>
      </w:r>
      <w:r>
        <w:rPr>
          <w:spacing w:val="-2"/>
          <w:sz w:val="24"/>
        </w:rPr>
        <w:t xml:space="preserve"> </w:t>
      </w:r>
      <w:r>
        <w:rPr>
          <w:sz w:val="24"/>
        </w:rPr>
        <w:t>to</w:t>
      </w:r>
      <w:r>
        <w:rPr>
          <w:spacing w:val="-3"/>
          <w:sz w:val="24"/>
        </w:rPr>
        <w:t xml:space="preserve"> </w:t>
      </w:r>
      <w:r>
        <w:rPr>
          <w:sz w:val="24"/>
        </w:rPr>
        <w:t>(14)</w:t>
      </w:r>
      <w:r>
        <w:rPr>
          <w:spacing w:val="-3"/>
          <w:sz w:val="24"/>
        </w:rPr>
        <w:t xml:space="preserve"> </w:t>
      </w:r>
      <w:r>
        <w:rPr>
          <w:sz w:val="24"/>
        </w:rPr>
        <w:t>and</w:t>
      </w:r>
      <w:r>
        <w:rPr>
          <w:spacing w:val="-1"/>
          <w:sz w:val="24"/>
        </w:rPr>
        <w:t xml:space="preserve"> </w:t>
      </w:r>
      <w:r>
        <w:rPr>
          <w:sz w:val="24"/>
        </w:rPr>
        <w:t>Articles</w:t>
      </w:r>
      <w:r>
        <w:rPr>
          <w:spacing w:val="-3"/>
          <w:sz w:val="24"/>
        </w:rPr>
        <w:t xml:space="preserve"> </w:t>
      </w:r>
      <w:r>
        <w:rPr>
          <w:sz w:val="24"/>
        </w:rPr>
        <w:t>1</w:t>
      </w:r>
      <w:r>
        <w:rPr>
          <w:spacing w:val="-2"/>
          <w:sz w:val="24"/>
        </w:rPr>
        <w:t xml:space="preserve"> </w:t>
      </w:r>
      <w:r>
        <w:rPr>
          <w:sz w:val="24"/>
        </w:rPr>
        <w:t>to</w:t>
      </w:r>
      <w:r>
        <w:rPr>
          <w:spacing w:val="-3"/>
          <w:sz w:val="24"/>
        </w:rPr>
        <w:t xml:space="preserve"> </w:t>
      </w:r>
      <w:r>
        <w:rPr>
          <w:sz w:val="24"/>
        </w:rPr>
        <w:t>5</w:t>
      </w:r>
      <w:r>
        <w:rPr>
          <w:spacing w:val="-3"/>
          <w:sz w:val="24"/>
        </w:rPr>
        <w:t xml:space="preserve"> </w:t>
      </w:r>
      <w:r>
        <w:rPr>
          <w:sz w:val="24"/>
        </w:rPr>
        <w:t>in</w:t>
      </w:r>
      <w:r>
        <w:rPr>
          <w:spacing w:val="-1"/>
          <w:sz w:val="24"/>
        </w:rPr>
        <w:t xml:space="preserve"> </w:t>
      </w:r>
      <w:r>
        <w:rPr>
          <w:sz w:val="24"/>
        </w:rPr>
        <w:t>Appendix B,</w:t>
      </w:r>
      <w:r>
        <w:rPr>
          <w:spacing w:val="-3"/>
          <w:sz w:val="24"/>
        </w:rPr>
        <w:t xml:space="preserve"> </w:t>
      </w:r>
      <w:r>
        <w:rPr>
          <w:sz w:val="24"/>
        </w:rPr>
        <w:t>and</w:t>
      </w:r>
      <w:r>
        <w:rPr>
          <w:spacing w:val="-1"/>
          <w:sz w:val="24"/>
        </w:rPr>
        <w:t xml:space="preserve"> </w:t>
      </w:r>
      <w:r>
        <w:rPr>
          <w:sz w:val="24"/>
        </w:rPr>
        <w:t>the</w:t>
      </w:r>
      <w:r>
        <w:rPr>
          <w:spacing w:val="-3"/>
          <w:sz w:val="24"/>
        </w:rPr>
        <w:t xml:space="preserve"> </w:t>
      </w:r>
      <w:r>
        <w:rPr>
          <w:sz w:val="24"/>
        </w:rPr>
        <w:t>preamble clauses (1) to (9) and Articles 1 to 5 in Appendix C, do not apply to this vehicle standard, except for Article 3 and Article 4 of Appendix A.</w:t>
      </w:r>
    </w:p>
    <w:p w:rsidR="00CE3B4F" w:rsidRDefault="006A22CC">
      <w:pPr>
        <w:pStyle w:val="ListParagraph"/>
        <w:numPr>
          <w:ilvl w:val="1"/>
          <w:numId w:val="1"/>
        </w:numPr>
        <w:tabs>
          <w:tab w:val="left" w:pos="954"/>
        </w:tabs>
        <w:spacing w:before="190"/>
        <w:ind w:left="954" w:right="256" w:hanging="852"/>
        <w:jc w:val="both"/>
        <w:rPr>
          <w:sz w:val="24"/>
        </w:rPr>
      </w:pPr>
      <w:r>
        <w:rPr>
          <w:sz w:val="24"/>
        </w:rPr>
        <w:t>The reference to “Council Directive 70/220/EEC of 20 March 19</w:t>
      </w:r>
      <w:r>
        <w:rPr>
          <w:sz w:val="24"/>
        </w:rPr>
        <w:t>70 on the approximation of the laws of the Member States on measures to be taken against air pollution by emissions from motor vehicles” in Part 1 (Scope) of Annex I to Appendix A, and the reference to “Council Directive 70/220/EEC” in</w:t>
      </w:r>
      <w:r>
        <w:rPr>
          <w:spacing w:val="40"/>
          <w:sz w:val="24"/>
        </w:rPr>
        <w:t xml:space="preserve"> </w:t>
      </w:r>
      <w:r>
        <w:rPr>
          <w:sz w:val="24"/>
        </w:rPr>
        <w:t>Part</w:t>
      </w:r>
      <w:r>
        <w:rPr>
          <w:spacing w:val="40"/>
          <w:sz w:val="24"/>
        </w:rPr>
        <w:t xml:space="preserve"> </w:t>
      </w:r>
      <w:r>
        <w:rPr>
          <w:sz w:val="24"/>
        </w:rPr>
        <w:t>1</w:t>
      </w:r>
      <w:r>
        <w:rPr>
          <w:spacing w:val="40"/>
          <w:sz w:val="24"/>
        </w:rPr>
        <w:t xml:space="preserve"> </w:t>
      </w:r>
      <w:r>
        <w:rPr>
          <w:sz w:val="24"/>
        </w:rPr>
        <w:t>(Scope)</w:t>
      </w:r>
      <w:r>
        <w:rPr>
          <w:spacing w:val="40"/>
          <w:sz w:val="24"/>
        </w:rPr>
        <w:t xml:space="preserve"> </w:t>
      </w:r>
      <w:r>
        <w:rPr>
          <w:sz w:val="24"/>
        </w:rPr>
        <w:t>of</w:t>
      </w:r>
      <w:r>
        <w:rPr>
          <w:spacing w:val="40"/>
          <w:sz w:val="24"/>
        </w:rPr>
        <w:t xml:space="preserve"> </w:t>
      </w:r>
      <w:r>
        <w:rPr>
          <w:sz w:val="24"/>
        </w:rPr>
        <w:t>An</w:t>
      </w:r>
      <w:r>
        <w:rPr>
          <w:sz w:val="24"/>
        </w:rPr>
        <w:t>nex</w:t>
      </w:r>
      <w:r>
        <w:rPr>
          <w:spacing w:val="40"/>
          <w:sz w:val="24"/>
        </w:rPr>
        <w:t xml:space="preserve"> </w:t>
      </w:r>
      <w:r>
        <w:rPr>
          <w:sz w:val="24"/>
        </w:rPr>
        <w:t>I</w:t>
      </w:r>
      <w:r>
        <w:rPr>
          <w:spacing w:val="40"/>
          <w:sz w:val="24"/>
        </w:rPr>
        <w:t xml:space="preserve"> </w:t>
      </w:r>
      <w:r>
        <w:rPr>
          <w:sz w:val="24"/>
        </w:rPr>
        <w:t>to</w:t>
      </w:r>
      <w:r>
        <w:rPr>
          <w:spacing w:val="40"/>
          <w:sz w:val="24"/>
        </w:rPr>
        <w:t xml:space="preserve"> </w:t>
      </w:r>
      <w:r>
        <w:rPr>
          <w:sz w:val="24"/>
        </w:rPr>
        <w:t>Appendix</w:t>
      </w:r>
      <w:r>
        <w:rPr>
          <w:spacing w:val="40"/>
          <w:sz w:val="24"/>
        </w:rPr>
        <w:t xml:space="preserve"> </w:t>
      </w:r>
      <w:r>
        <w:rPr>
          <w:sz w:val="24"/>
        </w:rPr>
        <w:t>B,</w:t>
      </w:r>
      <w:r>
        <w:rPr>
          <w:spacing w:val="40"/>
          <w:sz w:val="24"/>
        </w:rPr>
        <w:t xml:space="preserve"> </w:t>
      </w:r>
      <w:r>
        <w:rPr>
          <w:sz w:val="24"/>
        </w:rPr>
        <w:t>are</w:t>
      </w:r>
      <w:r>
        <w:rPr>
          <w:spacing w:val="40"/>
          <w:sz w:val="24"/>
        </w:rPr>
        <w:t xml:space="preserve"> </w:t>
      </w:r>
      <w:r>
        <w:rPr>
          <w:sz w:val="24"/>
        </w:rPr>
        <w:t>both</w:t>
      </w:r>
      <w:r>
        <w:rPr>
          <w:spacing w:val="40"/>
          <w:sz w:val="24"/>
        </w:rPr>
        <w:t xml:space="preserve"> </w:t>
      </w:r>
      <w:r>
        <w:rPr>
          <w:sz w:val="24"/>
        </w:rPr>
        <w:t>amended</w:t>
      </w:r>
      <w:r>
        <w:rPr>
          <w:spacing w:val="40"/>
          <w:sz w:val="24"/>
        </w:rPr>
        <w:t xml:space="preserve"> </w:t>
      </w:r>
      <w:r>
        <w:rPr>
          <w:sz w:val="24"/>
        </w:rPr>
        <w:t>to</w:t>
      </w:r>
      <w:r>
        <w:rPr>
          <w:spacing w:val="40"/>
          <w:sz w:val="24"/>
        </w:rPr>
        <w:t xml:space="preserve"> </w:t>
      </w:r>
      <w:r>
        <w:rPr>
          <w:sz w:val="24"/>
        </w:rPr>
        <w:t>read “ADR 79/02, ADR 79/03 or ADR 79/04”.</w:t>
      </w:r>
    </w:p>
    <w:p w:rsidR="00CE3B4F" w:rsidRDefault="006A22CC">
      <w:pPr>
        <w:pStyle w:val="Heading1"/>
        <w:numPr>
          <w:ilvl w:val="0"/>
          <w:numId w:val="1"/>
        </w:numPr>
        <w:tabs>
          <w:tab w:val="left" w:pos="821"/>
          <w:tab w:val="left" w:pos="822"/>
        </w:tabs>
        <w:ind w:left="822" w:hanging="720"/>
      </w:pPr>
      <w:bookmarkStart w:id="6" w:name="_TOC_250000"/>
      <w:r>
        <w:t>ALTERNATIVE</w:t>
      </w:r>
      <w:r>
        <w:rPr>
          <w:spacing w:val="-11"/>
        </w:rPr>
        <w:t xml:space="preserve"> </w:t>
      </w:r>
      <w:bookmarkEnd w:id="6"/>
      <w:r>
        <w:rPr>
          <w:spacing w:val="-2"/>
        </w:rPr>
        <w:t>STANDARDS</w:t>
      </w:r>
    </w:p>
    <w:p w:rsidR="00CE3B4F" w:rsidRDefault="00CE3B4F">
      <w:pPr>
        <w:pStyle w:val="BodyText"/>
        <w:spacing w:before="10"/>
        <w:ind w:left="0"/>
        <w:rPr>
          <w:rFonts w:ascii="Arial"/>
          <w:b/>
          <w:sz w:val="21"/>
        </w:rPr>
      </w:pPr>
    </w:p>
    <w:p w:rsidR="00CE3B4F" w:rsidRDefault="006A22CC">
      <w:pPr>
        <w:ind w:left="821"/>
        <w:rPr>
          <w:rFonts w:ascii="Arial"/>
          <w:b/>
        </w:rPr>
      </w:pPr>
      <w:r>
        <w:rPr>
          <w:rFonts w:ascii="Arial"/>
          <w:b/>
        </w:rPr>
        <w:t>EC</w:t>
      </w:r>
      <w:r>
        <w:rPr>
          <w:rFonts w:ascii="Arial"/>
          <w:b/>
          <w:spacing w:val="-6"/>
        </w:rPr>
        <w:t xml:space="preserve"> </w:t>
      </w:r>
      <w:r>
        <w:rPr>
          <w:rFonts w:ascii="Arial"/>
          <w:b/>
        </w:rPr>
        <w:t>Directive</w:t>
      </w:r>
      <w:r>
        <w:rPr>
          <w:rFonts w:ascii="Arial"/>
          <w:b/>
          <w:spacing w:val="-3"/>
        </w:rPr>
        <w:t xml:space="preserve"> </w:t>
      </w:r>
      <w:r>
        <w:rPr>
          <w:rFonts w:ascii="Arial"/>
          <w:b/>
        </w:rPr>
        <w:t>(Diesel,</w:t>
      </w:r>
      <w:r>
        <w:rPr>
          <w:rFonts w:ascii="Arial"/>
          <w:b/>
          <w:spacing w:val="-4"/>
        </w:rPr>
        <w:t xml:space="preserve"> </w:t>
      </w:r>
      <w:r>
        <w:rPr>
          <w:rFonts w:ascii="Arial"/>
          <w:b/>
        </w:rPr>
        <w:t>Liquefied</w:t>
      </w:r>
      <w:r>
        <w:rPr>
          <w:rFonts w:ascii="Arial"/>
          <w:b/>
          <w:spacing w:val="-5"/>
        </w:rPr>
        <w:t xml:space="preserve"> </w:t>
      </w:r>
      <w:r>
        <w:rPr>
          <w:rFonts w:ascii="Arial"/>
          <w:b/>
        </w:rPr>
        <w:t>Petroleum</w:t>
      </w:r>
      <w:r>
        <w:rPr>
          <w:rFonts w:ascii="Arial"/>
          <w:b/>
          <w:spacing w:val="-3"/>
        </w:rPr>
        <w:t xml:space="preserve"> </w:t>
      </w:r>
      <w:r>
        <w:rPr>
          <w:rFonts w:ascii="Arial"/>
          <w:b/>
        </w:rPr>
        <w:t>Gas</w:t>
      </w:r>
      <w:r>
        <w:rPr>
          <w:rFonts w:ascii="Arial"/>
          <w:b/>
          <w:spacing w:val="-5"/>
        </w:rPr>
        <w:t xml:space="preserve"> </w:t>
      </w:r>
      <w:r>
        <w:rPr>
          <w:rFonts w:ascii="Arial"/>
          <w:b/>
        </w:rPr>
        <w:t>and</w:t>
      </w:r>
      <w:r>
        <w:rPr>
          <w:rFonts w:ascii="Arial"/>
          <w:b/>
          <w:spacing w:val="-4"/>
        </w:rPr>
        <w:t xml:space="preserve"> </w:t>
      </w:r>
      <w:r>
        <w:rPr>
          <w:rFonts w:ascii="Arial"/>
          <w:b/>
        </w:rPr>
        <w:t>Natural</w:t>
      </w:r>
      <w:r>
        <w:rPr>
          <w:rFonts w:ascii="Arial"/>
          <w:b/>
          <w:spacing w:val="-3"/>
        </w:rPr>
        <w:t xml:space="preserve"> </w:t>
      </w:r>
      <w:r>
        <w:rPr>
          <w:rFonts w:ascii="Arial"/>
          <w:b/>
        </w:rPr>
        <w:t>Gas</w:t>
      </w:r>
      <w:r>
        <w:rPr>
          <w:rFonts w:ascii="Arial"/>
          <w:b/>
          <w:spacing w:val="-5"/>
        </w:rPr>
        <w:t xml:space="preserve"> </w:t>
      </w:r>
      <w:r>
        <w:rPr>
          <w:rFonts w:ascii="Arial"/>
          <w:b/>
          <w:spacing w:val="-2"/>
        </w:rPr>
        <w:t>Engines)</w:t>
      </w:r>
    </w:p>
    <w:p w:rsidR="00CE3B4F" w:rsidRDefault="006A22CC">
      <w:pPr>
        <w:pStyle w:val="ListParagraph"/>
        <w:numPr>
          <w:ilvl w:val="1"/>
          <w:numId w:val="1"/>
        </w:numPr>
        <w:tabs>
          <w:tab w:val="left" w:pos="822"/>
        </w:tabs>
        <w:spacing w:before="190"/>
        <w:ind w:left="821" w:right="256"/>
        <w:jc w:val="both"/>
        <w:rPr>
          <w:sz w:val="24"/>
        </w:rPr>
      </w:pPr>
      <w:r>
        <w:rPr>
          <w:sz w:val="24"/>
        </w:rPr>
        <w:t>Subject to clauses 6.1.1, 6.1.2 and 6.1.3, for engines which operate on diesel, liquefied petroleum gas or natural gas, the technical requirements of Directive 2005/55/EC of the European Parliament and Council of 28</w:t>
      </w:r>
      <w:r>
        <w:rPr>
          <w:spacing w:val="-2"/>
          <w:sz w:val="24"/>
        </w:rPr>
        <w:t xml:space="preserve"> </w:t>
      </w:r>
      <w:r>
        <w:rPr>
          <w:sz w:val="24"/>
        </w:rPr>
        <w:t>September</w:t>
      </w:r>
      <w:r>
        <w:rPr>
          <w:spacing w:val="-2"/>
          <w:sz w:val="24"/>
        </w:rPr>
        <w:t xml:space="preserve"> </w:t>
      </w:r>
      <w:r>
        <w:rPr>
          <w:sz w:val="24"/>
        </w:rPr>
        <w:t>2005, together with the techni</w:t>
      </w:r>
      <w:r>
        <w:rPr>
          <w:sz w:val="24"/>
        </w:rPr>
        <w:t>cal requirements of Commission Directive 2005/78/EC</w:t>
      </w:r>
      <w:r>
        <w:rPr>
          <w:spacing w:val="40"/>
          <w:sz w:val="24"/>
        </w:rPr>
        <w:t xml:space="preserve"> </w:t>
      </w:r>
      <w:r>
        <w:rPr>
          <w:sz w:val="24"/>
        </w:rPr>
        <w:t xml:space="preserve">of 14 November 2005 and Commission Directive 2006/51/EC of 6 June 2006, are deemed to be equivalent to the technical requirements of this vehicle </w:t>
      </w:r>
      <w:r>
        <w:rPr>
          <w:spacing w:val="-2"/>
          <w:sz w:val="24"/>
        </w:rPr>
        <w:t>standard.</w:t>
      </w:r>
    </w:p>
    <w:p w:rsidR="00CE3B4F" w:rsidRDefault="006A22CC">
      <w:pPr>
        <w:pStyle w:val="ListParagraph"/>
        <w:numPr>
          <w:ilvl w:val="2"/>
          <w:numId w:val="1"/>
        </w:numPr>
        <w:tabs>
          <w:tab w:val="left" w:pos="822"/>
        </w:tabs>
        <w:ind w:left="821" w:right="255" w:hanging="720"/>
        <w:jc w:val="both"/>
        <w:rPr>
          <w:sz w:val="24"/>
        </w:rPr>
      </w:pPr>
      <w:r>
        <w:rPr>
          <w:sz w:val="24"/>
        </w:rPr>
        <w:t>Engines which operate on diesel shall comply wit</w:t>
      </w:r>
      <w:r>
        <w:rPr>
          <w:sz w:val="24"/>
        </w:rPr>
        <w:t xml:space="preserve">h the relevant limit values in row B2 of Table 1 and in row B2 of Table 2 to section 6.2.1 of Directive </w:t>
      </w:r>
      <w:r>
        <w:rPr>
          <w:spacing w:val="-2"/>
          <w:sz w:val="24"/>
        </w:rPr>
        <w:t>2005/55/EC.</w:t>
      </w:r>
    </w:p>
    <w:p w:rsidR="00CE3B4F" w:rsidRDefault="006A22CC">
      <w:pPr>
        <w:pStyle w:val="ListParagraph"/>
        <w:numPr>
          <w:ilvl w:val="2"/>
          <w:numId w:val="1"/>
        </w:numPr>
        <w:tabs>
          <w:tab w:val="left" w:pos="822"/>
        </w:tabs>
        <w:spacing w:before="231"/>
        <w:ind w:left="821" w:right="257" w:hanging="720"/>
        <w:jc w:val="both"/>
        <w:rPr>
          <w:sz w:val="24"/>
        </w:rPr>
      </w:pPr>
      <w:r>
        <w:rPr>
          <w:sz w:val="24"/>
        </w:rPr>
        <w:t xml:space="preserve">Engines which operate on liquefied petroleum gas or natural gas shall comply with the relevant limit values in row B2 of Table 2 to section </w:t>
      </w:r>
      <w:r>
        <w:rPr>
          <w:sz w:val="24"/>
        </w:rPr>
        <w:t xml:space="preserve">6.2.1 of Directive </w:t>
      </w:r>
      <w:r>
        <w:rPr>
          <w:spacing w:val="-2"/>
          <w:sz w:val="24"/>
        </w:rPr>
        <w:t>2005/55/EC.</w:t>
      </w:r>
    </w:p>
    <w:p w:rsidR="00CE3B4F" w:rsidRDefault="00CE3B4F">
      <w:pPr>
        <w:jc w:val="both"/>
        <w:rPr>
          <w:sz w:val="24"/>
        </w:rPr>
        <w:sectPr w:rsidR="00CE3B4F">
          <w:footerReference w:type="default" r:id="rId10"/>
          <w:pgSz w:w="11910" w:h="16840"/>
          <w:pgMar w:top="1180" w:right="1440" w:bottom="1320" w:left="1600" w:header="0" w:footer="1135" w:gutter="0"/>
          <w:cols w:space="720"/>
        </w:sectPr>
      </w:pPr>
    </w:p>
    <w:p w:rsidR="00CE3B4F" w:rsidRDefault="006A22CC">
      <w:pPr>
        <w:pStyle w:val="ListParagraph"/>
        <w:numPr>
          <w:ilvl w:val="2"/>
          <w:numId w:val="1"/>
        </w:numPr>
        <w:tabs>
          <w:tab w:val="left" w:pos="822"/>
        </w:tabs>
        <w:spacing w:before="70"/>
        <w:ind w:left="821" w:right="257" w:hanging="720"/>
        <w:jc w:val="both"/>
        <w:rPr>
          <w:sz w:val="24"/>
        </w:rPr>
      </w:pPr>
      <w:r>
        <w:rPr>
          <w:sz w:val="24"/>
        </w:rPr>
        <w:lastRenderedPageBreak/>
        <w:t xml:space="preserve">Engines which operate on diesel, liquefied petroleum gas or natural gas shall be equipped with an </w:t>
      </w:r>
      <w:proofErr w:type="spellStart"/>
      <w:r>
        <w:rPr>
          <w:sz w:val="24"/>
        </w:rPr>
        <w:t>OBD</w:t>
      </w:r>
      <w:proofErr w:type="spellEnd"/>
      <w:r>
        <w:rPr>
          <w:sz w:val="24"/>
        </w:rPr>
        <w:t xml:space="preserve"> system which complies with the Stage 2 requirements as described in sections 6.5 of Annex I and 3.3 of Annex IV of Directive 2005/78/EC, as amended by Dir</w:t>
      </w:r>
      <w:r>
        <w:rPr>
          <w:sz w:val="24"/>
        </w:rPr>
        <w:t>ective 2006/51/EC.</w:t>
      </w:r>
    </w:p>
    <w:p w:rsidR="00CE3B4F" w:rsidRDefault="00CE3B4F">
      <w:pPr>
        <w:pStyle w:val="BodyText"/>
        <w:spacing w:before="4"/>
        <w:ind w:left="0"/>
        <w:rPr>
          <w:sz w:val="20"/>
        </w:rPr>
      </w:pPr>
    </w:p>
    <w:p w:rsidR="00CE3B4F" w:rsidRDefault="006A22CC">
      <w:pPr>
        <w:ind w:left="821"/>
        <w:rPr>
          <w:rFonts w:ascii="Arial"/>
          <w:b/>
        </w:rPr>
      </w:pPr>
      <w:r>
        <w:rPr>
          <w:rFonts w:ascii="Arial"/>
          <w:b/>
        </w:rPr>
        <w:t>US</w:t>
      </w:r>
      <w:r>
        <w:rPr>
          <w:rFonts w:ascii="Arial"/>
          <w:b/>
          <w:spacing w:val="-5"/>
        </w:rPr>
        <w:t xml:space="preserve"> </w:t>
      </w:r>
      <w:r>
        <w:rPr>
          <w:rFonts w:ascii="Arial"/>
          <w:b/>
        </w:rPr>
        <w:t>EPA</w:t>
      </w:r>
      <w:r>
        <w:rPr>
          <w:rFonts w:ascii="Arial"/>
          <w:b/>
          <w:spacing w:val="-7"/>
        </w:rPr>
        <w:t xml:space="preserve"> </w:t>
      </w:r>
      <w:r>
        <w:rPr>
          <w:rFonts w:ascii="Arial"/>
          <w:b/>
        </w:rPr>
        <w:t>CFR</w:t>
      </w:r>
      <w:r>
        <w:rPr>
          <w:rFonts w:ascii="Arial"/>
          <w:b/>
          <w:spacing w:val="-2"/>
        </w:rPr>
        <w:t xml:space="preserve"> </w:t>
      </w:r>
      <w:r>
        <w:rPr>
          <w:rFonts w:ascii="Arial"/>
          <w:b/>
        </w:rPr>
        <w:t>(Diesel,</w:t>
      </w:r>
      <w:r>
        <w:rPr>
          <w:rFonts w:ascii="Arial"/>
          <w:b/>
          <w:spacing w:val="-3"/>
        </w:rPr>
        <w:t xml:space="preserve"> </w:t>
      </w:r>
      <w:r>
        <w:rPr>
          <w:rFonts w:ascii="Arial"/>
          <w:b/>
        </w:rPr>
        <w:t>Liquefied</w:t>
      </w:r>
      <w:r>
        <w:rPr>
          <w:rFonts w:ascii="Arial"/>
          <w:b/>
          <w:spacing w:val="-5"/>
        </w:rPr>
        <w:t xml:space="preserve"> </w:t>
      </w:r>
      <w:r>
        <w:rPr>
          <w:rFonts w:ascii="Arial"/>
          <w:b/>
        </w:rPr>
        <w:t>Petroleum</w:t>
      </w:r>
      <w:r>
        <w:rPr>
          <w:rFonts w:ascii="Arial"/>
          <w:b/>
          <w:spacing w:val="-3"/>
        </w:rPr>
        <w:t xml:space="preserve"> </w:t>
      </w:r>
      <w:r>
        <w:rPr>
          <w:rFonts w:ascii="Arial"/>
          <w:b/>
        </w:rPr>
        <w:t>Gas</w:t>
      </w:r>
      <w:r>
        <w:rPr>
          <w:rFonts w:ascii="Arial"/>
          <w:b/>
          <w:spacing w:val="-4"/>
        </w:rPr>
        <w:t xml:space="preserve"> </w:t>
      </w:r>
      <w:r>
        <w:rPr>
          <w:rFonts w:ascii="Arial"/>
          <w:b/>
        </w:rPr>
        <w:t>and</w:t>
      </w:r>
      <w:r>
        <w:rPr>
          <w:rFonts w:ascii="Arial"/>
          <w:b/>
          <w:spacing w:val="-1"/>
        </w:rPr>
        <w:t xml:space="preserve"> </w:t>
      </w:r>
      <w:r>
        <w:rPr>
          <w:rFonts w:ascii="Arial"/>
          <w:b/>
        </w:rPr>
        <w:t>Natural</w:t>
      </w:r>
      <w:r>
        <w:rPr>
          <w:rFonts w:ascii="Arial"/>
          <w:b/>
          <w:spacing w:val="-3"/>
        </w:rPr>
        <w:t xml:space="preserve"> </w:t>
      </w:r>
      <w:r>
        <w:rPr>
          <w:rFonts w:ascii="Arial"/>
          <w:b/>
        </w:rPr>
        <w:t>Gas</w:t>
      </w:r>
      <w:r>
        <w:rPr>
          <w:rFonts w:ascii="Arial"/>
          <w:b/>
          <w:spacing w:val="-3"/>
        </w:rPr>
        <w:t xml:space="preserve"> </w:t>
      </w:r>
      <w:r>
        <w:rPr>
          <w:rFonts w:ascii="Arial"/>
          <w:b/>
          <w:spacing w:val="-2"/>
        </w:rPr>
        <w:t>Engines)</w:t>
      </w:r>
    </w:p>
    <w:p w:rsidR="00CE3B4F" w:rsidRDefault="006A22CC">
      <w:pPr>
        <w:pStyle w:val="ListParagraph"/>
        <w:numPr>
          <w:ilvl w:val="1"/>
          <w:numId w:val="1"/>
        </w:numPr>
        <w:tabs>
          <w:tab w:val="left" w:pos="822"/>
        </w:tabs>
        <w:spacing w:before="190"/>
        <w:ind w:left="821" w:right="256"/>
        <w:jc w:val="both"/>
        <w:rPr>
          <w:sz w:val="24"/>
        </w:rPr>
      </w:pPr>
      <w:r>
        <w:rPr>
          <w:sz w:val="24"/>
        </w:rPr>
        <w:t>Subject to clauses 6.2.1 to 6.2.5 inclusive, for engines which operate on diesel, liquefied petroleum gas or natural gas, the technical requirements of the United States Code of Federal Regulations (CFR), Part 86 – Control of air pollution from new and in-</w:t>
      </w:r>
      <w:r>
        <w:rPr>
          <w:sz w:val="24"/>
        </w:rPr>
        <w:t xml:space="preserve">use motor vehicles and new and in-use motor vehicle engines certification and test procedures - Subpart A 40 CFR 86.007-11 Emission standards and supplemental requirements for 2007 and later model year diesel heavy-duty engines and vehicles, are deemed to </w:t>
      </w:r>
      <w:r>
        <w:rPr>
          <w:sz w:val="24"/>
        </w:rPr>
        <w:t>be equivalent to the technical requirements of this vehicle standard.</w:t>
      </w:r>
    </w:p>
    <w:p w:rsidR="00CE3B4F" w:rsidRDefault="006A22CC">
      <w:pPr>
        <w:pStyle w:val="ListParagraph"/>
        <w:numPr>
          <w:ilvl w:val="2"/>
          <w:numId w:val="1"/>
        </w:numPr>
        <w:tabs>
          <w:tab w:val="left" w:pos="822"/>
        </w:tabs>
        <w:spacing w:before="193"/>
        <w:ind w:left="821" w:right="256" w:hanging="720"/>
        <w:jc w:val="both"/>
        <w:rPr>
          <w:sz w:val="24"/>
        </w:rPr>
      </w:pPr>
      <w:r>
        <w:rPr>
          <w:sz w:val="24"/>
        </w:rPr>
        <w:t>Except as provided in 6.2.1.1 and 6.2.1.2, engines shall meet the emission limits specified in 86.007-11 (a)(1), paragraphs (</w:t>
      </w:r>
      <w:proofErr w:type="spellStart"/>
      <w:r>
        <w:rPr>
          <w:sz w:val="24"/>
        </w:rPr>
        <w:t>i</w:t>
      </w:r>
      <w:proofErr w:type="spellEnd"/>
      <w:r>
        <w:rPr>
          <w:sz w:val="24"/>
        </w:rPr>
        <w:t>)(A), (ii)(A), (iii)(A) and (iv)(A) and 86.007-11 (a)(3)</w:t>
      </w:r>
      <w:r>
        <w:rPr>
          <w:i/>
          <w:sz w:val="24"/>
        </w:rPr>
        <w:t>SET</w:t>
      </w:r>
      <w:r>
        <w:rPr>
          <w:sz w:val="24"/>
        </w:rPr>
        <w:t>(</w:t>
      </w:r>
      <w:proofErr w:type="spellStart"/>
      <w:r>
        <w:rPr>
          <w:sz w:val="24"/>
        </w:rPr>
        <w:t>i</w:t>
      </w:r>
      <w:proofErr w:type="spellEnd"/>
      <w:r>
        <w:rPr>
          <w:sz w:val="24"/>
        </w:rPr>
        <w:t>).</w:t>
      </w:r>
    </w:p>
    <w:p w:rsidR="00CE3B4F" w:rsidRDefault="006A22CC">
      <w:pPr>
        <w:pStyle w:val="ListParagraph"/>
        <w:numPr>
          <w:ilvl w:val="3"/>
          <w:numId w:val="1"/>
        </w:numPr>
        <w:tabs>
          <w:tab w:val="left" w:pos="822"/>
        </w:tabs>
        <w:ind w:left="821" w:right="255"/>
        <w:jc w:val="both"/>
        <w:rPr>
          <w:sz w:val="24"/>
        </w:rPr>
      </w:pPr>
      <w:r>
        <w:rPr>
          <w:sz w:val="24"/>
        </w:rPr>
        <w:t>Engines need not comply with the oxides of nitrogen and particulate limits specified in 86.007-11 (a)(1), paragraphs (</w:t>
      </w:r>
      <w:proofErr w:type="spellStart"/>
      <w:r>
        <w:rPr>
          <w:sz w:val="24"/>
        </w:rPr>
        <w:t>i</w:t>
      </w:r>
      <w:proofErr w:type="spellEnd"/>
      <w:r>
        <w:rPr>
          <w:sz w:val="24"/>
        </w:rPr>
        <w:t>)(A) and (iv)(A),</w:t>
      </w:r>
      <w:r>
        <w:rPr>
          <w:sz w:val="24"/>
        </w:rPr>
        <w:t xml:space="preserve"> respectively, provided the emissions of oxides of nitrogen and particulates from the engine do not exceed the limits specified for the transient test under either Option 1 or Option 2 in Table 1 when tested in accordance with the transient test cycle spec</w:t>
      </w:r>
      <w:r>
        <w:rPr>
          <w:sz w:val="24"/>
        </w:rPr>
        <w:t>ified in Subpart N 86.1333-2007.</w:t>
      </w:r>
    </w:p>
    <w:p w:rsidR="00CE3B4F" w:rsidRDefault="006A22CC">
      <w:pPr>
        <w:pStyle w:val="ListParagraph"/>
        <w:numPr>
          <w:ilvl w:val="3"/>
          <w:numId w:val="1"/>
        </w:numPr>
        <w:tabs>
          <w:tab w:val="left" w:pos="822"/>
        </w:tabs>
        <w:ind w:left="821" w:right="255"/>
        <w:jc w:val="both"/>
        <w:rPr>
          <w:sz w:val="24"/>
        </w:rPr>
      </w:pPr>
      <w:r>
        <w:rPr>
          <w:sz w:val="24"/>
        </w:rPr>
        <w:t>Engines need not comply with the weighted average emission limits specified in 86.007-11 (a)(3)</w:t>
      </w:r>
      <w:r>
        <w:rPr>
          <w:i/>
          <w:sz w:val="24"/>
        </w:rPr>
        <w:t>SET</w:t>
      </w:r>
      <w:r>
        <w:rPr>
          <w:sz w:val="24"/>
        </w:rPr>
        <w:t>(</w:t>
      </w:r>
      <w:proofErr w:type="spellStart"/>
      <w:r>
        <w:rPr>
          <w:sz w:val="24"/>
        </w:rPr>
        <w:t>i</w:t>
      </w:r>
      <w:proofErr w:type="spellEnd"/>
      <w:r>
        <w:rPr>
          <w:sz w:val="24"/>
        </w:rPr>
        <w:t>), provided the emissions of oxides of nitrogen and particulates from the engine do not exceed the limits specified for the</w:t>
      </w:r>
      <w:r>
        <w:rPr>
          <w:sz w:val="24"/>
        </w:rPr>
        <w:t xml:space="preserve"> steady</w:t>
      </w:r>
      <w:r>
        <w:rPr>
          <w:spacing w:val="40"/>
          <w:sz w:val="24"/>
        </w:rPr>
        <w:t xml:space="preserve"> </w:t>
      </w:r>
      <w:r>
        <w:rPr>
          <w:sz w:val="24"/>
        </w:rPr>
        <w:t>state test under either Option 1 or Option 2 in Table 1 when tested to the supplemental emissions test specified in Subpart N 86.1360-2007.</w:t>
      </w:r>
    </w:p>
    <w:p w:rsidR="00CE3B4F" w:rsidRDefault="006A22CC">
      <w:pPr>
        <w:spacing w:before="194"/>
        <w:ind w:left="821"/>
        <w:rPr>
          <w:rFonts w:ascii="Arial" w:hAnsi="Arial"/>
          <w:b/>
        </w:rPr>
      </w:pPr>
      <w:r>
        <w:rPr>
          <w:rFonts w:ascii="Arial" w:hAnsi="Arial"/>
          <w:b/>
        </w:rPr>
        <w:t>Table</w:t>
      </w:r>
      <w:r>
        <w:rPr>
          <w:rFonts w:ascii="Arial" w:hAnsi="Arial"/>
          <w:b/>
          <w:spacing w:val="-6"/>
        </w:rPr>
        <w:t xml:space="preserve"> </w:t>
      </w:r>
      <w:r>
        <w:rPr>
          <w:rFonts w:ascii="Arial" w:hAnsi="Arial"/>
          <w:b/>
        </w:rPr>
        <w:t>1</w:t>
      </w:r>
      <w:r>
        <w:rPr>
          <w:rFonts w:ascii="Arial" w:hAnsi="Arial"/>
          <w:b/>
          <w:spacing w:val="-2"/>
        </w:rPr>
        <w:t xml:space="preserve"> </w:t>
      </w:r>
      <w:r>
        <w:rPr>
          <w:rFonts w:ascii="Arial" w:hAnsi="Arial"/>
          <w:b/>
        </w:rPr>
        <w:t>–</w:t>
      </w:r>
      <w:r>
        <w:rPr>
          <w:rFonts w:ascii="Arial" w:hAnsi="Arial"/>
          <w:b/>
          <w:spacing w:val="-3"/>
        </w:rPr>
        <w:t xml:space="preserve"> </w:t>
      </w:r>
      <w:r>
        <w:rPr>
          <w:rFonts w:ascii="Arial" w:hAnsi="Arial"/>
          <w:b/>
        </w:rPr>
        <w:t>Emission</w:t>
      </w:r>
      <w:r>
        <w:rPr>
          <w:rFonts w:ascii="Arial" w:hAnsi="Arial"/>
          <w:b/>
          <w:spacing w:val="-3"/>
        </w:rPr>
        <w:t xml:space="preserve"> </w:t>
      </w:r>
      <w:r>
        <w:rPr>
          <w:rFonts w:ascii="Arial" w:hAnsi="Arial"/>
          <w:b/>
        </w:rPr>
        <w:t>Limit</w:t>
      </w:r>
      <w:r>
        <w:rPr>
          <w:rFonts w:ascii="Arial" w:hAnsi="Arial"/>
          <w:b/>
          <w:spacing w:val="-4"/>
        </w:rPr>
        <w:t xml:space="preserve"> </w:t>
      </w:r>
      <w:r>
        <w:rPr>
          <w:rFonts w:ascii="Arial" w:hAnsi="Arial"/>
          <w:b/>
        </w:rPr>
        <w:t>Options</w:t>
      </w:r>
      <w:r>
        <w:rPr>
          <w:rFonts w:ascii="Arial" w:hAnsi="Arial"/>
          <w:b/>
          <w:spacing w:val="-5"/>
        </w:rPr>
        <w:t xml:space="preserve"> </w:t>
      </w:r>
      <w:r>
        <w:rPr>
          <w:rFonts w:ascii="Arial" w:hAnsi="Arial"/>
          <w:b/>
        </w:rPr>
        <w:t>for</w:t>
      </w:r>
      <w:r>
        <w:rPr>
          <w:rFonts w:ascii="Arial" w:hAnsi="Arial"/>
          <w:b/>
          <w:spacing w:val="2"/>
        </w:rPr>
        <w:t xml:space="preserve"> </w:t>
      </w:r>
      <w:r>
        <w:rPr>
          <w:rFonts w:ascii="Arial" w:hAnsi="Arial"/>
          <w:b/>
        </w:rPr>
        <w:t>US</w:t>
      </w:r>
      <w:r>
        <w:rPr>
          <w:rFonts w:ascii="Arial" w:hAnsi="Arial"/>
          <w:b/>
          <w:spacing w:val="-3"/>
        </w:rPr>
        <w:t xml:space="preserve"> </w:t>
      </w:r>
      <w:r>
        <w:rPr>
          <w:rFonts w:ascii="Arial" w:hAnsi="Arial"/>
          <w:b/>
        </w:rPr>
        <w:t>Transient</w:t>
      </w:r>
      <w:r>
        <w:rPr>
          <w:rFonts w:ascii="Arial" w:hAnsi="Arial"/>
          <w:b/>
          <w:spacing w:val="-4"/>
        </w:rPr>
        <w:t xml:space="preserve"> </w:t>
      </w:r>
      <w:r>
        <w:rPr>
          <w:rFonts w:ascii="Arial" w:hAnsi="Arial"/>
          <w:b/>
        </w:rPr>
        <w:t>and</w:t>
      </w:r>
      <w:r>
        <w:rPr>
          <w:rFonts w:ascii="Arial" w:hAnsi="Arial"/>
          <w:b/>
          <w:spacing w:val="-3"/>
        </w:rPr>
        <w:t xml:space="preserve"> </w:t>
      </w:r>
      <w:r>
        <w:rPr>
          <w:rFonts w:ascii="Arial" w:hAnsi="Arial"/>
          <w:b/>
        </w:rPr>
        <w:t>Steady</w:t>
      </w:r>
      <w:r>
        <w:rPr>
          <w:rFonts w:ascii="Arial" w:hAnsi="Arial"/>
          <w:b/>
          <w:spacing w:val="-7"/>
        </w:rPr>
        <w:t xml:space="preserve"> </w:t>
      </w:r>
      <w:r>
        <w:rPr>
          <w:rFonts w:ascii="Arial" w:hAnsi="Arial"/>
          <w:b/>
        </w:rPr>
        <w:t>State</w:t>
      </w:r>
      <w:r>
        <w:rPr>
          <w:rFonts w:ascii="Arial" w:hAnsi="Arial"/>
          <w:b/>
          <w:spacing w:val="-2"/>
        </w:rPr>
        <w:t xml:space="preserve"> Tests</w:t>
      </w:r>
    </w:p>
    <w:p w:rsidR="00CE3B4F" w:rsidRDefault="00CE3B4F">
      <w:pPr>
        <w:pStyle w:val="BodyText"/>
        <w:spacing w:before="5"/>
        <w:ind w:left="0"/>
        <w:rPr>
          <w:rFonts w:ascii="Arial"/>
          <w:b/>
          <w:sz w:val="22"/>
        </w:rPr>
      </w:pPr>
    </w:p>
    <w:tbl>
      <w:tblPr>
        <w:tblW w:w="0" w:type="auto"/>
        <w:tblInd w:w="8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61"/>
        <w:gridCol w:w="1080"/>
        <w:gridCol w:w="2417"/>
        <w:gridCol w:w="2264"/>
      </w:tblGrid>
      <w:tr w:rsidR="00CE3B4F">
        <w:trPr>
          <w:trHeight w:val="492"/>
        </w:trPr>
        <w:tc>
          <w:tcPr>
            <w:tcW w:w="3241" w:type="dxa"/>
            <w:gridSpan w:val="2"/>
            <w:vMerge w:val="restart"/>
            <w:tcBorders>
              <w:bottom w:val="single" w:sz="12" w:space="0" w:color="000000"/>
              <w:right w:val="single" w:sz="12" w:space="0" w:color="000000"/>
            </w:tcBorders>
          </w:tcPr>
          <w:p w:rsidR="00CE3B4F" w:rsidRDefault="00CE3B4F">
            <w:pPr>
              <w:pStyle w:val="TableParagraph"/>
              <w:ind w:left="0"/>
              <w:jc w:val="left"/>
              <w:rPr>
                <w:rFonts w:ascii="Times New Roman"/>
              </w:rPr>
            </w:pPr>
          </w:p>
        </w:tc>
        <w:tc>
          <w:tcPr>
            <w:tcW w:w="4681" w:type="dxa"/>
            <w:gridSpan w:val="2"/>
            <w:tcBorders>
              <w:left w:val="single" w:sz="12" w:space="0" w:color="000000"/>
              <w:bottom w:val="single" w:sz="12" w:space="0" w:color="000000"/>
            </w:tcBorders>
            <w:shd w:val="clear" w:color="auto" w:fill="CCCCCC"/>
          </w:tcPr>
          <w:p w:rsidR="00CE3B4F" w:rsidRDefault="006A22CC">
            <w:pPr>
              <w:pStyle w:val="TableParagraph"/>
              <w:spacing w:before="116"/>
              <w:ind w:left="1059"/>
              <w:jc w:val="left"/>
              <w:rPr>
                <w:b/>
              </w:rPr>
            </w:pPr>
            <w:r>
              <w:rPr>
                <w:b/>
              </w:rPr>
              <w:t>Emission</w:t>
            </w:r>
            <w:r>
              <w:rPr>
                <w:b/>
                <w:spacing w:val="-6"/>
              </w:rPr>
              <w:t xml:space="preserve"> </w:t>
            </w:r>
            <w:r>
              <w:rPr>
                <w:b/>
              </w:rPr>
              <w:t>Limits</w:t>
            </w:r>
            <w:r>
              <w:rPr>
                <w:b/>
                <w:spacing w:val="-4"/>
              </w:rPr>
              <w:t xml:space="preserve"> </w:t>
            </w:r>
            <w:r>
              <w:rPr>
                <w:b/>
                <w:spacing w:val="-2"/>
              </w:rPr>
              <w:t>(g/kWh)</w:t>
            </w:r>
          </w:p>
        </w:tc>
      </w:tr>
      <w:tr w:rsidR="00CE3B4F">
        <w:trPr>
          <w:trHeight w:val="493"/>
        </w:trPr>
        <w:tc>
          <w:tcPr>
            <w:tcW w:w="3241" w:type="dxa"/>
            <w:gridSpan w:val="2"/>
            <w:vMerge/>
            <w:tcBorders>
              <w:top w:val="nil"/>
              <w:bottom w:val="single" w:sz="12" w:space="0" w:color="000000"/>
              <w:right w:val="single" w:sz="12" w:space="0" w:color="000000"/>
            </w:tcBorders>
          </w:tcPr>
          <w:p w:rsidR="00CE3B4F" w:rsidRDefault="00CE3B4F">
            <w:pPr>
              <w:rPr>
                <w:sz w:val="2"/>
                <w:szCs w:val="2"/>
              </w:rPr>
            </w:pPr>
          </w:p>
        </w:tc>
        <w:tc>
          <w:tcPr>
            <w:tcW w:w="2417" w:type="dxa"/>
            <w:tcBorders>
              <w:top w:val="single" w:sz="12" w:space="0" w:color="000000"/>
              <w:left w:val="single" w:sz="12" w:space="0" w:color="000000"/>
              <w:bottom w:val="single" w:sz="12" w:space="0" w:color="000000"/>
              <w:right w:val="single" w:sz="12" w:space="0" w:color="000000"/>
            </w:tcBorders>
            <w:shd w:val="clear" w:color="auto" w:fill="CCCCCC"/>
          </w:tcPr>
          <w:p w:rsidR="00CE3B4F" w:rsidRDefault="006A22CC">
            <w:pPr>
              <w:pStyle w:val="TableParagraph"/>
              <w:spacing w:before="117"/>
              <w:ind w:right="178"/>
              <w:rPr>
                <w:b/>
              </w:rPr>
            </w:pPr>
            <w:r>
              <w:rPr>
                <w:b/>
              </w:rPr>
              <w:t>Oxides</w:t>
            </w:r>
            <w:r>
              <w:rPr>
                <w:b/>
                <w:spacing w:val="-2"/>
              </w:rPr>
              <w:t xml:space="preserve"> </w:t>
            </w:r>
            <w:r>
              <w:rPr>
                <w:b/>
              </w:rPr>
              <w:t>of</w:t>
            </w:r>
            <w:r>
              <w:rPr>
                <w:b/>
                <w:spacing w:val="-1"/>
              </w:rPr>
              <w:t xml:space="preserve"> </w:t>
            </w:r>
            <w:r>
              <w:rPr>
                <w:b/>
                <w:spacing w:val="-2"/>
              </w:rPr>
              <w:t>Nitrogen</w:t>
            </w:r>
          </w:p>
        </w:tc>
        <w:tc>
          <w:tcPr>
            <w:tcW w:w="2264" w:type="dxa"/>
            <w:tcBorders>
              <w:top w:val="single" w:sz="12" w:space="0" w:color="000000"/>
              <w:left w:val="single" w:sz="12" w:space="0" w:color="000000"/>
              <w:bottom w:val="single" w:sz="12" w:space="0" w:color="000000"/>
            </w:tcBorders>
            <w:shd w:val="clear" w:color="auto" w:fill="CCCCCC"/>
          </w:tcPr>
          <w:p w:rsidR="00CE3B4F" w:rsidRDefault="006A22CC">
            <w:pPr>
              <w:pStyle w:val="TableParagraph"/>
              <w:spacing w:before="117"/>
              <w:ind w:left="502" w:right="461"/>
              <w:rPr>
                <w:b/>
              </w:rPr>
            </w:pPr>
            <w:r>
              <w:rPr>
                <w:b/>
                <w:spacing w:val="-2"/>
              </w:rPr>
              <w:t>Particulates</w:t>
            </w:r>
          </w:p>
        </w:tc>
      </w:tr>
      <w:tr w:rsidR="00CE3B4F">
        <w:trPr>
          <w:trHeight w:val="361"/>
        </w:trPr>
        <w:tc>
          <w:tcPr>
            <w:tcW w:w="2161" w:type="dxa"/>
            <w:vMerge w:val="restart"/>
            <w:tcBorders>
              <w:top w:val="single" w:sz="12" w:space="0" w:color="000000"/>
              <w:bottom w:val="single" w:sz="12" w:space="0" w:color="000000"/>
              <w:right w:val="single" w:sz="2" w:space="0" w:color="000000"/>
            </w:tcBorders>
            <w:shd w:val="clear" w:color="auto" w:fill="CCCCCC"/>
          </w:tcPr>
          <w:p w:rsidR="00CE3B4F" w:rsidRDefault="00CE3B4F">
            <w:pPr>
              <w:pStyle w:val="TableParagraph"/>
              <w:spacing w:before="7"/>
              <w:ind w:left="0"/>
              <w:jc w:val="left"/>
              <w:rPr>
                <w:b/>
                <w:sz w:val="21"/>
              </w:rPr>
            </w:pPr>
          </w:p>
          <w:p w:rsidR="00CE3B4F" w:rsidRDefault="006A22CC">
            <w:pPr>
              <w:pStyle w:val="TableParagraph"/>
              <w:ind w:left="107"/>
              <w:jc w:val="left"/>
              <w:rPr>
                <w:b/>
              </w:rPr>
            </w:pPr>
            <w:r>
              <w:rPr>
                <w:b/>
              </w:rPr>
              <w:t>Transient</w:t>
            </w:r>
            <w:r>
              <w:rPr>
                <w:b/>
                <w:spacing w:val="-6"/>
              </w:rPr>
              <w:t xml:space="preserve"> </w:t>
            </w:r>
            <w:r>
              <w:rPr>
                <w:b/>
                <w:spacing w:val="-4"/>
              </w:rPr>
              <w:t>Test</w:t>
            </w:r>
          </w:p>
        </w:tc>
        <w:tc>
          <w:tcPr>
            <w:tcW w:w="1080" w:type="dxa"/>
            <w:tcBorders>
              <w:top w:val="single" w:sz="12" w:space="0" w:color="000000"/>
              <w:left w:val="single" w:sz="2" w:space="0" w:color="000000"/>
              <w:bottom w:val="single" w:sz="2" w:space="0" w:color="000000"/>
              <w:right w:val="single" w:sz="12" w:space="0" w:color="000000"/>
            </w:tcBorders>
            <w:shd w:val="clear" w:color="auto" w:fill="CCCCCC"/>
          </w:tcPr>
          <w:p w:rsidR="00CE3B4F" w:rsidRDefault="006A22CC">
            <w:pPr>
              <w:pStyle w:val="TableParagraph"/>
              <w:spacing w:before="59"/>
              <w:ind w:left="139" w:right="64"/>
            </w:pPr>
            <w:r>
              <w:t>Option</w:t>
            </w:r>
            <w:r>
              <w:rPr>
                <w:spacing w:val="-4"/>
              </w:rPr>
              <w:t xml:space="preserve"> </w:t>
            </w:r>
            <w:r>
              <w:rPr>
                <w:spacing w:val="-10"/>
              </w:rPr>
              <w:t>1</w:t>
            </w:r>
          </w:p>
        </w:tc>
        <w:tc>
          <w:tcPr>
            <w:tcW w:w="2417" w:type="dxa"/>
            <w:tcBorders>
              <w:top w:val="single" w:sz="12" w:space="0" w:color="000000"/>
              <w:left w:val="single" w:sz="12" w:space="0" w:color="000000"/>
              <w:bottom w:val="single" w:sz="2" w:space="0" w:color="000000"/>
              <w:right w:val="single" w:sz="12" w:space="0" w:color="000000"/>
            </w:tcBorders>
          </w:tcPr>
          <w:p w:rsidR="00CE3B4F" w:rsidRDefault="006A22CC">
            <w:pPr>
              <w:pStyle w:val="TableParagraph"/>
              <w:spacing w:before="59"/>
              <w:ind w:right="174"/>
            </w:pPr>
            <w:r>
              <w:rPr>
                <w:spacing w:val="-5"/>
              </w:rPr>
              <w:t>2.0</w:t>
            </w:r>
          </w:p>
        </w:tc>
        <w:tc>
          <w:tcPr>
            <w:tcW w:w="2264" w:type="dxa"/>
            <w:tcBorders>
              <w:top w:val="single" w:sz="12" w:space="0" w:color="000000"/>
              <w:left w:val="single" w:sz="12" w:space="0" w:color="000000"/>
              <w:bottom w:val="single" w:sz="2" w:space="0" w:color="000000"/>
            </w:tcBorders>
          </w:tcPr>
          <w:p w:rsidR="00CE3B4F" w:rsidRDefault="006A22CC">
            <w:pPr>
              <w:pStyle w:val="TableParagraph"/>
              <w:spacing w:before="59"/>
              <w:ind w:left="502" w:right="459"/>
            </w:pPr>
            <w:r>
              <w:rPr>
                <w:spacing w:val="-4"/>
              </w:rPr>
              <w:t>0.03</w:t>
            </w:r>
          </w:p>
        </w:tc>
      </w:tr>
      <w:tr w:rsidR="00CE3B4F">
        <w:trPr>
          <w:trHeight w:val="365"/>
        </w:trPr>
        <w:tc>
          <w:tcPr>
            <w:tcW w:w="2161" w:type="dxa"/>
            <w:vMerge/>
            <w:tcBorders>
              <w:top w:val="nil"/>
              <w:bottom w:val="single" w:sz="12" w:space="0" w:color="000000"/>
              <w:right w:val="single" w:sz="2" w:space="0" w:color="000000"/>
            </w:tcBorders>
            <w:shd w:val="clear" w:color="auto" w:fill="CCCCCC"/>
          </w:tcPr>
          <w:p w:rsidR="00CE3B4F" w:rsidRDefault="00CE3B4F">
            <w:pPr>
              <w:rPr>
                <w:sz w:val="2"/>
                <w:szCs w:val="2"/>
              </w:rPr>
            </w:pPr>
          </w:p>
        </w:tc>
        <w:tc>
          <w:tcPr>
            <w:tcW w:w="1080" w:type="dxa"/>
            <w:tcBorders>
              <w:top w:val="single" w:sz="2" w:space="0" w:color="000000"/>
              <w:left w:val="single" w:sz="2" w:space="0" w:color="000000"/>
              <w:bottom w:val="single" w:sz="12" w:space="0" w:color="000000"/>
              <w:right w:val="single" w:sz="12" w:space="0" w:color="000000"/>
            </w:tcBorders>
            <w:shd w:val="clear" w:color="auto" w:fill="CCCCCC"/>
          </w:tcPr>
          <w:p w:rsidR="00CE3B4F" w:rsidRDefault="006A22CC">
            <w:pPr>
              <w:pStyle w:val="TableParagraph"/>
              <w:spacing w:before="50"/>
              <w:ind w:left="139" w:right="64"/>
            </w:pPr>
            <w:r>
              <w:t>Option</w:t>
            </w:r>
            <w:r>
              <w:rPr>
                <w:spacing w:val="-4"/>
              </w:rPr>
              <w:t xml:space="preserve"> </w:t>
            </w:r>
            <w:r>
              <w:rPr>
                <w:spacing w:val="-10"/>
              </w:rPr>
              <w:t>2</w:t>
            </w:r>
          </w:p>
        </w:tc>
        <w:tc>
          <w:tcPr>
            <w:tcW w:w="2417" w:type="dxa"/>
            <w:tcBorders>
              <w:top w:val="single" w:sz="2" w:space="0" w:color="000000"/>
              <w:left w:val="single" w:sz="12" w:space="0" w:color="000000"/>
              <w:bottom w:val="single" w:sz="12" w:space="0" w:color="000000"/>
              <w:right w:val="single" w:sz="12" w:space="0" w:color="000000"/>
            </w:tcBorders>
          </w:tcPr>
          <w:p w:rsidR="00CE3B4F" w:rsidRDefault="006A22CC">
            <w:pPr>
              <w:pStyle w:val="TableParagraph"/>
              <w:spacing w:before="50"/>
              <w:ind w:right="174"/>
            </w:pPr>
            <w:r>
              <w:rPr>
                <w:spacing w:val="-5"/>
              </w:rPr>
              <w:t>3.0</w:t>
            </w:r>
          </w:p>
        </w:tc>
        <w:tc>
          <w:tcPr>
            <w:tcW w:w="2264" w:type="dxa"/>
            <w:tcBorders>
              <w:top w:val="single" w:sz="2" w:space="0" w:color="000000"/>
              <w:left w:val="single" w:sz="12" w:space="0" w:color="000000"/>
              <w:bottom w:val="single" w:sz="12" w:space="0" w:color="000000"/>
            </w:tcBorders>
          </w:tcPr>
          <w:p w:rsidR="00CE3B4F" w:rsidRDefault="006A22CC">
            <w:pPr>
              <w:pStyle w:val="TableParagraph"/>
              <w:spacing w:before="50"/>
              <w:ind w:left="502" w:right="459"/>
            </w:pPr>
            <w:r>
              <w:rPr>
                <w:spacing w:val="-4"/>
              </w:rPr>
              <w:t>0.01</w:t>
            </w:r>
          </w:p>
        </w:tc>
      </w:tr>
      <w:tr w:rsidR="00CE3B4F">
        <w:trPr>
          <w:trHeight w:val="353"/>
        </w:trPr>
        <w:tc>
          <w:tcPr>
            <w:tcW w:w="2161" w:type="dxa"/>
            <w:vMerge w:val="restart"/>
            <w:tcBorders>
              <w:top w:val="single" w:sz="12" w:space="0" w:color="000000"/>
              <w:right w:val="single" w:sz="2" w:space="0" w:color="000000"/>
            </w:tcBorders>
            <w:shd w:val="clear" w:color="auto" w:fill="CCCCCC"/>
          </w:tcPr>
          <w:p w:rsidR="00CE3B4F" w:rsidRDefault="00CE3B4F">
            <w:pPr>
              <w:pStyle w:val="TableParagraph"/>
              <w:spacing w:before="5"/>
              <w:ind w:left="0"/>
              <w:jc w:val="left"/>
              <w:rPr>
                <w:b/>
                <w:sz w:val="21"/>
              </w:rPr>
            </w:pPr>
          </w:p>
          <w:p w:rsidR="00CE3B4F" w:rsidRDefault="006A22CC">
            <w:pPr>
              <w:pStyle w:val="TableParagraph"/>
              <w:ind w:left="107"/>
              <w:jc w:val="left"/>
              <w:rPr>
                <w:b/>
              </w:rPr>
            </w:pPr>
            <w:r>
              <w:rPr>
                <w:b/>
              </w:rPr>
              <w:t>Steady</w:t>
            </w:r>
            <w:r>
              <w:rPr>
                <w:b/>
                <w:spacing w:val="-7"/>
              </w:rPr>
              <w:t xml:space="preserve"> </w:t>
            </w:r>
            <w:r>
              <w:rPr>
                <w:b/>
              </w:rPr>
              <w:t xml:space="preserve">State </w:t>
            </w:r>
            <w:r>
              <w:rPr>
                <w:b/>
                <w:spacing w:val="-4"/>
              </w:rPr>
              <w:t>Test</w:t>
            </w:r>
          </w:p>
        </w:tc>
        <w:tc>
          <w:tcPr>
            <w:tcW w:w="1080" w:type="dxa"/>
            <w:tcBorders>
              <w:top w:val="single" w:sz="12" w:space="0" w:color="000000"/>
              <w:left w:val="single" w:sz="2" w:space="0" w:color="000000"/>
              <w:bottom w:val="single" w:sz="2" w:space="0" w:color="000000"/>
              <w:right w:val="single" w:sz="12" w:space="0" w:color="000000"/>
            </w:tcBorders>
            <w:shd w:val="clear" w:color="auto" w:fill="CCCCCC"/>
          </w:tcPr>
          <w:p w:rsidR="00CE3B4F" w:rsidRDefault="006A22CC">
            <w:pPr>
              <w:pStyle w:val="TableParagraph"/>
              <w:spacing w:before="57"/>
              <w:ind w:left="139" w:right="64"/>
            </w:pPr>
            <w:r>
              <w:t>Option</w:t>
            </w:r>
            <w:r>
              <w:rPr>
                <w:spacing w:val="-4"/>
              </w:rPr>
              <w:t xml:space="preserve"> </w:t>
            </w:r>
            <w:r>
              <w:rPr>
                <w:spacing w:val="-10"/>
              </w:rPr>
              <w:t>1</w:t>
            </w:r>
          </w:p>
        </w:tc>
        <w:tc>
          <w:tcPr>
            <w:tcW w:w="2417" w:type="dxa"/>
            <w:tcBorders>
              <w:top w:val="single" w:sz="12" w:space="0" w:color="000000"/>
              <w:left w:val="single" w:sz="12" w:space="0" w:color="000000"/>
              <w:bottom w:val="single" w:sz="2" w:space="0" w:color="000000"/>
              <w:right w:val="single" w:sz="12" w:space="0" w:color="000000"/>
            </w:tcBorders>
          </w:tcPr>
          <w:p w:rsidR="00CE3B4F" w:rsidRDefault="006A22CC">
            <w:pPr>
              <w:pStyle w:val="TableParagraph"/>
              <w:spacing w:before="57"/>
              <w:ind w:right="174"/>
            </w:pPr>
            <w:r>
              <w:rPr>
                <w:spacing w:val="-5"/>
              </w:rPr>
              <w:t>2.0</w:t>
            </w:r>
          </w:p>
        </w:tc>
        <w:tc>
          <w:tcPr>
            <w:tcW w:w="2264" w:type="dxa"/>
            <w:tcBorders>
              <w:top w:val="single" w:sz="12" w:space="0" w:color="000000"/>
              <w:left w:val="single" w:sz="12" w:space="0" w:color="000000"/>
              <w:bottom w:val="single" w:sz="2" w:space="0" w:color="000000"/>
            </w:tcBorders>
          </w:tcPr>
          <w:p w:rsidR="00CE3B4F" w:rsidRDefault="006A22CC">
            <w:pPr>
              <w:pStyle w:val="TableParagraph"/>
              <w:spacing w:before="57"/>
              <w:ind w:left="502" w:right="459"/>
            </w:pPr>
            <w:r>
              <w:rPr>
                <w:spacing w:val="-4"/>
              </w:rPr>
              <w:t>0.02</w:t>
            </w:r>
          </w:p>
        </w:tc>
      </w:tr>
      <w:tr w:rsidR="00CE3B4F">
        <w:trPr>
          <w:trHeight w:val="358"/>
        </w:trPr>
        <w:tc>
          <w:tcPr>
            <w:tcW w:w="2161" w:type="dxa"/>
            <w:vMerge/>
            <w:tcBorders>
              <w:top w:val="nil"/>
              <w:right w:val="single" w:sz="2" w:space="0" w:color="000000"/>
            </w:tcBorders>
            <w:shd w:val="clear" w:color="auto" w:fill="CCCCCC"/>
          </w:tcPr>
          <w:p w:rsidR="00CE3B4F" w:rsidRDefault="00CE3B4F">
            <w:pPr>
              <w:rPr>
                <w:sz w:val="2"/>
                <w:szCs w:val="2"/>
              </w:rPr>
            </w:pPr>
          </w:p>
        </w:tc>
        <w:tc>
          <w:tcPr>
            <w:tcW w:w="1080" w:type="dxa"/>
            <w:tcBorders>
              <w:top w:val="single" w:sz="2" w:space="0" w:color="000000"/>
              <w:left w:val="single" w:sz="2" w:space="0" w:color="000000"/>
              <w:right w:val="single" w:sz="12" w:space="0" w:color="000000"/>
            </w:tcBorders>
            <w:shd w:val="clear" w:color="auto" w:fill="CCCCCC"/>
          </w:tcPr>
          <w:p w:rsidR="00CE3B4F" w:rsidRDefault="006A22CC">
            <w:pPr>
              <w:pStyle w:val="TableParagraph"/>
              <w:spacing w:before="42"/>
              <w:ind w:left="139" w:right="64"/>
            </w:pPr>
            <w:r>
              <w:t>Option</w:t>
            </w:r>
            <w:r>
              <w:rPr>
                <w:spacing w:val="-4"/>
              </w:rPr>
              <w:t xml:space="preserve"> </w:t>
            </w:r>
            <w:r>
              <w:rPr>
                <w:spacing w:val="-10"/>
              </w:rPr>
              <w:t>2</w:t>
            </w:r>
          </w:p>
        </w:tc>
        <w:tc>
          <w:tcPr>
            <w:tcW w:w="2417" w:type="dxa"/>
            <w:tcBorders>
              <w:top w:val="single" w:sz="2" w:space="0" w:color="000000"/>
              <w:left w:val="single" w:sz="12" w:space="0" w:color="000000"/>
              <w:right w:val="single" w:sz="12" w:space="0" w:color="000000"/>
            </w:tcBorders>
          </w:tcPr>
          <w:p w:rsidR="00CE3B4F" w:rsidRDefault="006A22CC">
            <w:pPr>
              <w:pStyle w:val="TableParagraph"/>
              <w:spacing w:before="42"/>
              <w:ind w:right="174"/>
            </w:pPr>
            <w:r>
              <w:rPr>
                <w:spacing w:val="-5"/>
              </w:rPr>
              <w:t>3.0</w:t>
            </w:r>
          </w:p>
        </w:tc>
        <w:tc>
          <w:tcPr>
            <w:tcW w:w="2264" w:type="dxa"/>
            <w:tcBorders>
              <w:top w:val="single" w:sz="2" w:space="0" w:color="000000"/>
              <w:left w:val="single" w:sz="12" w:space="0" w:color="000000"/>
            </w:tcBorders>
          </w:tcPr>
          <w:p w:rsidR="00CE3B4F" w:rsidRDefault="006A22CC">
            <w:pPr>
              <w:pStyle w:val="TableParagraph"/>
              <w:spacing w:before="42"/>
              <w:ind w:left="502" w:right="459"/>
            </w:pPr>
            <w:r>
              <w:rPr>
                <w:spacing w:val="-4"/>
              </w:rPr>
              <w:t>0.01</w:t>
            </w:r>
          </w:p>
        </w:tc>
      </w:tr>
    </w:tbl>
    <w:p w:rsidR="00CE3B4F" w:rsidRDefault="006A22CC">
      <w:pPr>
        <w:pStyle w:val="ListParagraph"/>
        <w:numPr>
          <w:ilvl w:val="2"/>
          <w:numId w:val="1"/>
        </w:numPr>
        <w:tabs>
          <w:tab w:val="left" w:pos="822"/>
        </w:tabs>
        <w:spacing w:before="186"/>
        <w:ind w:left="821" w:right="256" w:hanging="720"/>
        <w:jc w:val="both"/>
        <w:rPr>
          <w:sz w:val="24"/>
        </w:rPr>
      </w:pPr>
      <w:r>
        <w:rPr>
          <w:sz w:val="24"/>
        </w:rPr>
        <w:t>Engines shall be tested in accordance with the applicable test procedures as specified in Subpart N 40</w:t>
      </w:r>
      <w:r>
        <w:rPr>
          <w:spacing w:val="-2"/>
          <w:sz w:val="24"/>
        </w:rPr>
        <w:t xml:space="preserve"> </w:t>
      </w:r>
      <w:r>
        <w:rPr>
          <w:sz w:val="24"/>
        </w:rPr>
        <w:t xml:space="preserve">CFR 86.1300 series – Emission Regulations for new Otto-cycle and diesel heavy duty engines; gaseous and particulate exhaust test </w:t>
      </w:r>
      <w:r>
        <w:rPr>
          <w:spacing w:val="-2"/>
          <w:sz w:val="24"/>
        </w:rPr>
        <w:t>procedures.</w:t>
      </w:r>
    </w:p>
    <w:p w:rsidR="00CE3B4F" w:rsidRDefault="006A22CC">
      <w:pPr>
        <w:pStyle w:val="ListParagraph"/>
        <w:numPr>
          <w:ilvl w:val="2"/>
          <w:numId w:val="1"/>
        </w:numPr>
        <w:tabs>
          <w:tab w:val="left" w:pos="822"/>
        </w:tabs>
        <w:ind w:left="821" w:right="260" w:hanging="720"/>
        <w:jc w:val="both"/>
        <w:rPr>
          <w:sz w:val="24"/>
        </w:rPr>
      </w:pPr>
      <w:r>
        <w:rPr>
          <w:sz w:val="24"/>
        </w:rPr>
        <w:t>Engines which operate on diesel, liquefied petroleum gas or natural gas shall satisfy</w:t>
      </w:r>
      <w:r>
        <w:rPr>
          <w:spacing w:val="20"/>
          <w:sz w:val="24"/>
        </w:rPr>
        <w:t xml:space="preserve"> </w:t>
      </w:r>
      <w:r>
        <w:rPr>
          <w:sz w:val="24"/>
        </w:rPr>
        <w:t>the</w:t>
      </w:r>
      <w:r>
        <w:rPr>
          <w:spacing w:val="25"/>
          <w:sz w:val="24"/>
        </w:rPr>
        <w:t xml:space="preserve"> </w:t>
      </w:r>
      <w:r>
        <w:rPr>
          <w:sz w:val="24"/>
        </w:rPr>
        <w:t>relevant</w:t>
      </w:r>
      <w:r>
        <w:rPr>
          <w:spacing w:val="26"/>
          <w:sz w:val="24"/>
        </w:rPr>
        <w:t xml:space="preserve"> </w:t>
      </w:r>
      <w:r>
        <w:rPr>
          <w:sz w:val="24"/>
        </w:rPr>
        <w:t>useful</w:t>
      </w:r>
      <w:r>
        <w:rPr>
          <w:spacing w:val="26"/>
          <w:sz w:val="24"/>
        </w:rPr>
        <w:t xml:space="preserve"> </w:t>
      </w:r>
      <w:r>
        <w:rPr>
          <w:sz w:val="24"/>
        </w:rPr>
        <w:t>life</w:t>
      </w:r>
      <w:r>
        <w:rPr>
          <w:spacing w:val="23"/>
          <w:sz w:val="24"/>
        </w:rPr>
        <w:t xml:space="preserve"> </w:t>
      </w:r>
      <w:r>
        <w:rPr>
          <w:sz w:val="24"/>
        </w:rPr>
        <w:t>prov</w:t>
      </w:r>
      <w:r>
        <w:rPr>
          <w:sz w:val="24"/>
        </w:rPr>
        <w:t>isions,</w:t>
      </w:r>
      <w:r>
        <w:rPr>
          <w:spacing w:val="25"/>
          <w:sz w:val="24"/>
        </w:rPr>
        <w:t xml:space="preserve"> </w:t>
      </w:r>
      <w:r>
        <w:rPr>
          <w:sz w:val="24"/>
        </w:rPr>
        <w:t>not</w:t>
      </w:r>
      <w:r>
        <w:rPr>
          <w:spacing w:val="26"/>
          <w:sz w:val="24"/>
        </w:rPr>
        <w:t xml:space="preserve"> </w:t>
      </w:r>
      <w:r>
        <w:rPr>
          <w:sz w:val="24"/>
        </w:rPr>
        <w:t>to</w:t>
      </w:r>
      <w:r>
        <w:rPr>
          <w:spacing w:val="23"/>
          <w:sz w:val="24"/>
        </w:rPr>
        <w:t xml:space="preserve"> </w:t>
      </w:r>
      <w:r>
        <w:rPr>
          <w:sz w:val="24"/>
        </w:rPr>
        <w:t>exceed</w:t>
      </w:r>
      <w:r>
        <w:rPr>
          <w:spacing w:val="25"/>
          <w:sz w:val="24"/>
        </w:rPr>
        <w:t xml:space="preserve"> </w:t>
      </w:r>
      <w:r>
        <w:rPr>
          <w:sz w:val="24"/>
        </w:rPr>
        <w:t>test</w:t>
      </w:r>
      <w:r>
        <w:rPr>
          <w:spacing w:val="25"/>
          <w:sz w:val="24"/>
        </w:rPr>
        <w:t xml:space="preserve"> </w:t>
      </w:r>
      <w:r>
        <w:rPr>
          <w:sz w:val="24"/>
        </w:rPr>
        <w:t>requirements,</w:t>
      </w:r>
      <w:r>
        <w:rPr>
          <w:spacing w:val="25"/>
          <w:sz w:val="24"/>
        </w:rPr>
        <w:t xml:space="preserve"> </w:t>
      </w:r>
      <w:r>
        <w:rPr>
          <w:sz w:val="24"/>
        </w:rPr>
        <w:t>and</w:t>
      </w:r>
    </w:p>
    <w:p w:rsidR="00CE3B4F" w:rsidRDefault="00CE3B4F">
      <w:pPr>
        <w:jc w:val="both"/>
        <w:rPr>
          <w:sz w:val="24"/>
        </w:rPr>
        <w:sectPr w:rsidR="00CE3B4F">
          <w:footerReference w:type="default" r:id="rId11"/>
          <w:pgSz w:w="11910" w:h="16840"/>
          <w:pgMar w:top="1180" w:right="1440" w:bottom="1400" w:left="1600" w:header="0" w:footer="1204" w:gutter="0"/>
          <w:cols w:space="720"/>
        </w:sectPr>
      </w:pPr>
    </w:p>
    <w:p w:rsidR="00CE3B4F" w:rsidRDefault="006A22CC">
      <w:pPr>
        <w:pStyle w:val="BodyText"/>
        <w:spacing w:before="70"/>
        <w:ind w:right="257"/>
        <w:jc w:val="both"/>
      </w:pPr>
      <w:r>
        <w:lastRenderedPageBreak/>
        <w:t>rules regarding use of auxiliary emission control devices applicable to 2007, 2008</w:t>
      </w:r>
      <w:r>
        <w:rPr>
          <w:spacing w:val="40"/>
        </w:rPr>
        <w:t xml:space="preserve"> </w:t>
      </w:r>
      <w:r>
        <w:t>and</w:t>
      </w:r>
      <w:r>
        <w:rPr>
          <w:spacing w:val="40"/>
        </w:rPr>
        <w:t xml:space="preserve"> </w:t>
      </w:r>
      <w:r>
        <w:t>2009</w:t>
      </w:r>
      <w:r>
        <w:rPr>
          <w:spacing w:val="40"/>
        </w:rPr>
        <w:t xml:space="preserve"> </w:t>
      </w:r>
      <w:r>
        <w:t>model</w:t>
      </w:r>
      <w:r>
        <w:rPr>
          <w:spacing w:val="40"/>
        </w:rPr>
        <w:t xml:space="preserve"> </w:t>
      </w:r>
      <w:r>
        <w:t>year</w:t>
      </w:r>
      <w:r>
        <w:rPr>
          <w:spacing w:val="40"/>
        </w:rPr>
        <w:t xml:space="preserve"> </w:t>
      </w:r>
      <w:r>
        <w:t>diesel</w:t>
      </w:r>
      <w:r>
        <w:rPr>
          <w:spacing w:val="40"/>
        </w:rPr>
        <w:t xml:space="preserve"> </w:t>
      </w:r>
      <w:r>
        <w:t>heavy-duty</w:t>
      </w:r>
      <w:r>
        <w:rPr>
          <w:spacing w:val="40"/>
        </w:rPr>
        <w:t xml:space="preserve"> </w:t>
      </w:r>
      <w:r>
        <w:t>engines</w:t>
      </w:r>
      <w:r>
        <w:rPr>
          <w:spacing w:val="40"/>
        </w:rPr>
        <w:t xml:space="preserve"> </w:t>
      </w:r>
      <w:r>
        <w:t>and</w:t>
      </w:r>
      <w:r>
        <w:rPr>
          <w:spacing w:val="40"/>
        </w:rPr>
        <w:t xml:space="preserve"> </w:t>
      </w:r>
      <w:r>
        <w:t>vehicles</w:t>
      </w:r>
      <w:r>
        <w:rPr>
          <w:spacing w:val="40"/>
        </w:rPr>
        <w:t xml:space="preserve"> </w:t>
      </w:r>
      <w:r>
        <w:t>under CFR Part 86.</w:t>
      </w:r>
    </w:p>
    <w:p w:rsidR="00CE3B4F" w:rsidRDefault="006A22CC">
      <w:pPr>
        <w:pStyle w:val="ListParagraph"/>
        <w:numPr>
          <w:ilvl w:val="2"/>
          <w:numId w:val="1"/>
        </w:numPr>
        <w:tabs>
          <w:tab w:val="left" w:pos="821"/>
          <w:tab w:val="left" w:pos="822"/>
        </w:tabs>
        <w:spacing w:before="193"/>
        <w:ind w:left="822" w:hanging="720"/>
        <w:rPr>
          <w:sz w:val="24"/>
        </w:rPr>
      </w:pPr>
      <w:r>
        <w:rPr>
          <w:sz w:val="24"/>
        </w:rPr>
        <w:t>Engines</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equipped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defeat</w:t>
      </w:r>
      <w:r>
        <w:rPr>
          <w:spacing w:val="-1"/>
          <w:sz w:val="24"/>
        </w:rPr>
        <w:t xml:space="preserve"> </w:t>
      </w:r>
      <w:r>
        <w:rPr>
          <w:sz w:val="24"/>
        </w:rPr>
        <w:t>device</w:t>
      </w:r>
      <w:r>
        <w:rPr>
          <w:spacing w:val="1"/>
          <w:sz w:val="24"/>
        </w:rPr>
        <w:t xml:space="preserve"> </w:t>
      </w:r>
      <w:r>
        <w:rPr>
          <w:sz w:val="24"/>
        </w:rPr>
        <w:t>or</w:t>
      </w:r>
      <w:r>
        <w:rPr>
          <w:spacing w:val="-2"/>
          <w:sz w:val="24"/>
        </w:rPr>
        <w:t xml:space="preserve"> </w:t>
      </w:r>
      <w:proofErr w:type="spellStart"/>
      <w:r>
        <w:rPr>
          <w:sz w:val="24"/>
        </w:rPr>
        <w:t>utilise</w:t>
      </w:r>
      <w:proofErr w:type="spellEnd"/>
      <w:r>
        <w:rPr>
          <w:spacing w:val="-2"/>
          <w:sz w:val="24"/>
        </w:rPr>
        <w:t xml:space="preserve"> </w:t>
      </w:r>
      <w:r>
        <w:rPr>
          <w:sz w:val="24"/>
        </w:rPr>
        <w:t>a</w:t>
      </w:r>
      <w:r>
        <w:rPr>
          <w:spacing w:val="-2"/>
          <w:sz w:val="24"/>
        </w:rPr>
        <w:t xml:space="preserve"> </w:t>
      </w:r>
      <w:r>
        <w:rPr>
          <w:sz w:val="24"/>
        </w:rPr>
        <w:t>defeat</w:t>
      </w:r>
      <w:r>
        <w:rPr>
          <w:spacing w:val="-1"/>
          <w:sz w:val="24"/>
        </w:rPr>
        <w:t xml:space="preserve"> </w:t>
      </w:r>
      <w:r>
        <w:rPr>
          <w:spacing w:val="-2"/>
          <w:sz w:val="24"/>
        </w:rPr>
        <w:t>strategy.</w:t>
      </w:r>
    </w:p>
    <w:p w:rsidR="00CE3B4F" w:rsidRDefault="006A22CC">
      <w:pPr>
        <w:pStyle w:val="ListParagraph"/>
        <w:numPr>
          <w:ilvl w:val="2"/>
          <w:numId w:val="1"/>
        </w:numPr>
        <w:tabs>
          <w:tab w:val="left" w:pos="954"/>
        </w:tabs>
        <w:ind w:left="954" w:right="255" w:hanging="852"/>
        <w:jc w:val="both"/>
        <w:rPr>
          <w:sz w:val="24"/>
        </w:rPr>
      </w:pPr>
      <w:r>
        <w:rPr>
          <w:sz w:val="24"/>
        </w:rPr>
        <w:t xml:space="preserve">Except as provided in 6.2.5.1, engines which operate on diesel, liquefied petroleum gas or natural gas, and which require the use of a consumable reagent in order to achieve the emission limits specified under the standards adopted in clause 6.2, shall be </w:t>
      </w:r>
      <w:r>
        <w:rPr>
          <w:sz w:val="24"/>
        </w:rPr>
        <w:t xml:space="preserve">equipped with an </w:t>
      </w:r>
      <w:proofErr w:type="spellStart"/>
      <w:r>
        <w:rPr>
          <w:sz w:val="24"/>
        </w:rPr>
        <w:t>OBD</w:t>
      </w:r>
      <w:proofErr w:type="spellEnd"/>
      <w:r>
        <w:rPr>
          <w:sz w:val="24"/>
        </w:rPr>
        <w:t xml:space="preserve"> system meeting the requirements specified in clause 6.1.3.</w:t>
      </w:r>
    </w:p>
    <w:p w:rsidR="00CE3B4F" w:rsidRDefault="006A22CC">
      <w:pPr>
        <w:pStyle w:val="ListParagraph"/>
        <w:numPr>
          <w:ilvl w:val="3"/>
          <w:numId w:val="1"/>
        </w:numPr>
        <w:tabs>
          <w:tab w:val="left" w:pos="954"/>
        </w:tabs>
        <w:ind w:left="954" w:right="256" w:hanging="852"/>
        <w:jc w:val="both"/>
        <w:rPr>
          <w:sz w:val="24"/>
        </w:rPr>
      </w:pPr>
      <w:r>
        <w:rPr>
          <w:sz w:val="24"/>
        </w:rPr>
        <w:t xml:space="preserve">Engines need not comply with the </w:t>
      </w:r>
      <w:proofErr w:type="spellStart"/>
      <w:r>
        <w:rPr>
          <w:sz w:val="24"/>
        </w:rPr>
        <w:t>OBD</w:t>
      </w:r>
      <w:proofErr w:type="spellEnd"/>
      <w:r>
        <w:rPr>
          <w:sz w:val="24"/>
        </w:rPr>
        <w:t xml:space="preserve"> requirements specified in clause 6.1.3 if the engine is equipped with an </w:t>
      </w:r>
      <w:proofErr w:type="spellStart"/>
      <w:r>
        <w:rPr>
          <w:sz w:val="24"/>
        </w:rPr>
        <w:t>OBD</w:t>
      </w:r>
      <w:proofErr w:type="spellEnd"/>
      <w:r>
        <w:rPr>
          <w:sz w:val="24"/>
        </w:rPr>
        <w:t xml:space="preserve"> system with an inducement strategy approved by the US EPA for </w:t>
      </w:r>
      <w:r>
        <w:rPr>
          <w:sz w:val="24"/>
        </w:rPr>
        <w:t>the 2012 Model Year or later.</w:t>
      </w:r>
    </w:p>
    <w:p w:rsidR="00CE3B4F" w:rsidRDefault="006A22CC">
      <w:pPr>
        <w:spacing w:before="195"/>
        <w:ind w:left="821"/>
        <w:jc w:val="both"/>
        <w:rPr>
          <w:rFonts w:ascii="Arial"/>
          <w:b/>
        </w:rPr>
      </w:pPr>
      <w:r>
        <w:rPr>
          <w:rFonts w:ascii="Arial"/>
          <w:b/>
        </w:rPr>
        <w:t>Japanese</w:t>
      </w:r>
      <w:r>
        <w:rPr>
          <w:rFonts w:ascii="Arial"/>
          <w:b/>
          <w:spacing w:val="-6"/>
        </w:rPr>
        <w:t xml:space="preserve"> </w:t>
      </w:r>
      <w:proofErr w:type="spellStart"/>
      <w:r>
        <w:rPr>
          <w:rFonts w:ascii="Arial"/>
          <w:b/>
        </w:rPr>
        <w:t>MLIT</w:t>
      </w:r>
      <w:proofErr w:type="spellEnd"/>
      <w:r>
        <w:rPr>
          <w:rFonts w:ascii="Arial"/>
          <w:b/>
          <w:spacing w:val="-7"/>
        </w:rPr>
        <w:t xml:space="preserve"> </w:t>
      </w:r>
      <w:r>
        <w:rPr>
          <w:rFonts w:ascii="Arial"/>
          <w:b/>
        </w:rPr>
        <w:t>Regulations</w:t>
      </w:r>
      <w:r>
        <w:rPr>
          <w:rFonts w:ascii="Arial"/>
          <w:b/>
          <w:spacing w:val="-6"/>
        </w:rPr>
        <w:t xml:space="preserve"> </w:t>
      </w:r>
      <w:r>
        <w:rPr>
          <w:rFonts w:ascii="Arial"/>
          <w:b/>
        </w:rPr>
        <w:t>(Diesel</w:t>
      </w:r>
      <w:r>
        <w:rPr>
          <w:rFonts w:ascii="Arial"/>
          <w:b/>
          <w:spacing w:val="-6"/>
        </w:rPr>
        <w:t xml:space="preserve"> </w:t>
      </w:r>
      <w:r>
        <w:rPr>
          <w:rFonts w:ascii="Arial"/>
          <w:b/>
          <w:spacing w:val="-2"/>
        </w:rPr>
        <w:t>Engines)</w:t>
      </w:r>
    </w:p>
    <w:p w:rsidR="00CE3B4F" w:rsidRDefault="006A22CC">
      <w:pPr>
        <w:pStyle w:val="ListParagraph"/>
        <w:numPr>
          <w:ilvl w:val="1"/>
          <w:numId w:val="1"/>
        </w:numPr>
        <w:tabs>
          <w:tab w:val="left" w:pos="822"/>
        </w:tabs>
        <w:spacing w:before="188"/>
        <w:ind w:left="821" w:right="256"/>
        <w:jc w:val="both"/>
        <w:rPr>
          <w:sz w:val="24"/>
        </w:rPr>
      </w:pPr>
      <w:r>
        <w:rPr>
          <w:sz w:val="24"/>
        </w:rPr>
        <w:t>Subject to clauses 6.3.1 to 6.3.4 inclusive, for engines which operate on diesel, the technical requirements of Japanese Ministry of Land, Infrastructure and Transport Announcement</w:t>
      </w:r>
      <w:r>
        <w:rPr>
          <w:sz w:val="24"/>
        </w:rPr>
        <w:t xml:space="preserve"> No. 619 of 15 July 2002 (as last amended by Announcement No 872 of 16 August 2005), Chapter 2, Section 1, Article 41 (Emission Control Device), paragraph</w:t>
      </w:r>
      <w:r>
        <w:rPr>
          <w:spacing w:val="-1"/>
          <w:sz w:val="24"/>
        </w:rPr>
        <w:t xml:space="preserve"> </w:t>
      </w:r>
      <w:r>
        <w:rPr>
          <w:sz w:val="24"/>
        </w:rPr>
        <w:t>(5) [JE05-Mode Mean Value Regulations at Time of Completion Inspection, etc. for Diesel Motor Vehicle</w:t>
      </w:r>
      <w:r>
        <w:rPr>
          <w:sz w:val="24"/>
        </w:rPr>
        <w:t xml:space="preserve">s (with </w:t>
      </w:r>
      <w:proofErr w:type="spellStart"/>
      <w:r>
        <w:rPr>
          <w:sz w:val="24"/>
        </w:rPr>
        <w:t>GVM</w:t>
      </w:r>
      <w:proofErr w:type="spellEnd"/>
      <w:r>
        <w:rPr>
          <w:sz w:val="24"/>
        </w:rPr>
        <w:t xml:space="preserve"> exceeding 3.5 tons)], are deemed to be equivalent to the technical requirements of this vehicle standard.</w:t>
      </w:r>
    </w:p>
    <w:p w:rsidR="00CE3B4F" w:rsidRDefault="006A22CC">
      <w:pPr>
        <w:pStyle w:val="ListParagraph"/>
        <w:numPr>
          <w:ilvl w:val="2"/>
          <w:numId w:val="1"/>
        </w:numPr>
        <w:tabs>
          <w:tab w:val="left" w:pos="822"/>
        </w:tabs>
        <w:spacing w:before="193"/>
        <w:ind w:left="821" w:right="255" w:hanging="720"/>
        <w:jc w:val="both"/>
        <w:rPr>
          <w:sz w:val="24"/>
        </w:rPr>
      </w:pPr>
      <w:r>
        <w:rPr>
          <w:sz w:val="24"/>
        </w:rPr>
        <w:t>Engines</w:t>
      </w:r>
      <w:r>
        <w:rPr>
          <w:spacing w:val="40"/>
          <w:sz w:val="24"/>
        </w:rPr>
        <w:t xml:space="preserve"> </w:t>
      </w:r>
      <w:r>
        <w:rPr>
          <w:sz w:val="24"/>
        </w:rPr>
        <w:t>shall</w:t>
      </w:r>
      <w:r>
        <w:rPr>
          <w:spacing w:val="40"/>
          <w:sz w:val="24"/>
        </w:rPr>
        <w:t xml:space="preserve"> </w:t>
      </w:r>
      <w:r>
        <w:rPr>
          <w:sz w:val="24"/>
        </w:rPr>
        <w:t>also</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emission</w:t>
      </w:r>
      <w:r>
        <w:rPr>
          <w:spacing w:val="40"/>
          <w:sz w:val="24"/>
        </w:rPr>
        <w:t xml:space="preserve"> </w:t>
      </w:r>
      <w:r>
        <w:rPr>
          <w:sz w:val="24"/>
        </w:rPr>
        <w:t>values</w:t>
      </w:r>
      <w:r>
        <w:rPr>
          <w:spacing w:val="40"/>
          <w:sz w:val="24"/>
        </w:rPr>
        <w:t xml:space="preserve"> </w:t>
      </w:r>
      <w:r>
        <w:rPr>
          <w:sz w:val="24"/>
        </w:rPr>
        <w:t>specified</w:t>
      </w:r>
      <w:r>
        <w:rPr>
          <w:spacing w:val="40"/>
          <w:sz w:val="24"/>
        </w:rPr>
        <w:t xml:space="preserve"> </w:t>
      </w:r>
      <w:r>
        <w:rPr>
          <w:sz w:val="24"/>
        </w:rPr>
        <w:t>under paragraph</w:t>
      </w:r>
      <w:r>
        <w:rPr>
          <w:spacing w:val="-2"/>
          <w:sz w:val="24"/>
        </w:rPr>
        <w:t xml:space="preserve"> </w:t>
      </w:r>
      <w:r>
        <w:rPr>
          <w:sz w:val="24"/>
        </w:rPr>
        <w:t>(6) [JE05-Mode Upper Limit Value Regulations at Time of Initi</w:t>
      </w:r>
      <w:r>
        <w:rPr>
          <w:sz w:val="24"/>
        </w:rPr>
        <w:t xml:space="preserve">al Inspection, etc. for Diesel Motor Vehicles (with </w:t>
      </w:r>
      <w:proofErr w:type="spellStart"/>
      <w:r>
        <w:rPr>
          <w:sz w:val="24"/>
        </w:rPr>
        <w:t>GVM</w:t>
      </w:r>
      <w:proofErr w:type="spellEnd"/>
      <w:r>
        <w:rPr>
          <w:sz w:val="24"/>
        </w:rPr>
        <w:t xml:space="preserve"> exceeding 3.5 tons)]</w:t>
      </w:r>
      <w:r>
        <w:rPr>
          <w:spacing w:val="40"/>
          <w:sz w:val="24"/>
        </w:rPr>
        <w:t xml:space="preserve"> </w:t>
      </w:r>
      <w:r>
        <w:rPr>
          <w:sz w:val="24"/>
        </w:rPr>
        <w:t>when tested in accordance with the Technical Standards Relating to the Safety Regulations for Road Vehicles, Attachment 36, Japanese Technical Standard for 13-Mode Exhaust Emissio</w:t>
      </w:r>
      <w:r>
        <w:rPr>
          <w:sz w:val="24"/>
        </w:rPr>
        <w:t>n Measurement for Diesel-Powered Motor Vehicles.</w:t>
      </w:r>
    </w:p>
    <w:p w:rsidR="00CE3B4F" w:rsidRDefault="006A22CC">
      <w:pPr>
        <w:pStyle w:val="ListParagraph"/>
        <w:numPr>
          <w:ilvl w:val="2"/>
          <w:numId w:val="1"/>
        </w:numPr>
        <w:tabs>
          <w:tab w:val="left" w:pos="822"/>
        </w:tabs>
        <w:ind w:left="821" w:right="260" w:hanging="720"/>
        <w:jc w:val="both"/>
        <w:rPr>
          <w:sz w:val="24"/>
        </w:rPr>
      </w:pPr>
      <w:r>
        <w:rPr>
          <w:sz w:val="24"/>
        </w:rPr>
        <w:t>Engines shall satisfy relevant useful life provisions, not to exceed test requirements, and rules regarding use of emission control devices applicable to engines meeting the requirements of clause 6.3.</w:t>
      </w:r>
    </w:p>
    <w:p w:rsidR="00CE3B4F" w:rsidRDefault="006A22CC">
      <w:pPr>
        <w:pStyle w:val="ListParagraph"/>
        <w:numPr>
          <w:ilvl w:val="2"/>
          <w:numId w:val="1"/>
        </w:numPr>
        <w:tabs>
          <w:tab w:val="left" w:pos="821"/>
          <w:tab w:val="left" w:pos="822"/>
        </w:tabs>
        <w:ind w:left="822" w:hanging="720"/>
        <w:rPr>
          <w:sz w:val="24"/>
        </w:rPr>
      </w:pPr>
      <w:r>
        <w:rPr>
          <w:sz w:val="24"/>
        </w:rPr>
        <w:t>Engin</w:t>
      </w:r>
      <w:r>
        <w:rPr>
          <w:sz w:val="24"/>
        </w:rPr>
        <w:t>es</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equipped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defeat</w:t>
      </w:r>
      <w:r>
        <w:rPr>
          <w:spacing w:val="-1"/>
          <w:sz w:val="24"/>
        </w:rPr>
        <w:t xml:space="preserve"> </w:t>
      </w:r>
      <w:r>
        <w:rPr>
          <w:sz w:val="24"/>
        </w:rPr>
        <w:t>device or</w:t>
      </w:r>
      <w:r>
        <w:rPr>
          <w:spacing w:val="-1"/>
          <w:sz w:val="24"/>
        </w:rPr>
        <w:t xml:space="preserve"> </w:t>
      </w:r>
      <w:proofErr w:type="spellStart"/>
      <w:r>
        <w:rPr>
          <w:sz w:val="24"/>
        </w:rPr>
        <w:t>utilise</w:t>
      </w:r>
      <w:proofErr w:type="spellEnd"/>
      <w:r>
        <w:rPr>
          <w:spacing w:val="-1"/>
          <w:sz w:val="24"/>
        </w:rPr>
        <w:t xml:space="preserve"> </w:t>
      </w:r>
      <w:r>
        <w:rPr>
          <w:sz w:val="24"/>
        </w:rPr>
        <w:t>a</w:t>
      </w:r>
      <w:r>
        <w:rPr>
          <w:spacing w:val="-3"/>
          <w:sz w:val="24"/>
        </w:rPr>
        <w:t xml:space="preserve"> </w:t>
      </w:r>
      <w:r>
        <w:rPr>
          <w:sz w:val="24"/>
        </w:rPr>
        <w:t>defeat</w:t>
      </w:r>
      <w:r>
        <w:rPr>
          <w:spacing w:val="-1"/>
          <w:sz w:val="24"/>
        </w:rPr>
        <w:t xml:space="preserve"> </w:t>
      </w:r>
      <w:r>
        <w:rPr>
          <w:spacing w:val="-2"/>
          <w:sz w:val="24"/>
        </w:rPr>
        <w:t>strategy.</w:t>
      </w:r>
    </w:p>
    <w:p w:rsidR="00CE3B4F" w:rsidRDefault="006A22CC">
      <w:pPr>
        <w:pStyle w:val="ListParagraph"/>
        <w:numPr>
          <w:ilvl w:val="2"/>
          <w:numId w:val="1"/>
        </w:numPr>
        <w:tabs>
          <w:tab w:val="left" w:pos="954"/>
        </w:tabs>
        <w:ind w:left="954" w:right="260" w:hanging="852"/>
        <w:jc w:val="both"/>
        <w:rPr>
          <w:sz w:val="24"/>
        </w:rPr>
      </w:pPr>
      <w:r>
        <w:rPr>
          <w:sz w:val="24"/>
        </w:rPr>
        <w:t>Engines which require the use of a consumable reagent in order to achieve the emission limits specified under the standards adopted in clause 6.3, shall be equipped</w:t>
      </w:r>
      <w:r>
        <w:rPr>
          <w:spacing w:val="33"/>
          <w:sz w:val="24"/>
        </w:rPr>
        <w:t xml:space="preserve"> </w:t>
      </w:r>
      <w:r>
        <w:rPr>
          <w:sz w:val="24"/>
        </w:rPr>
        <w:t>with</w:t>
      </w:r>
      <w:r>
        <w:rPr>
          <w:spacing w:val="34"/>
          <w:sz w:val="24"/>
        </w:rPr>
        <w:t xml:space="preserve"> </w:t>
      </w:r>
      <w:r>
        <w:rPr>
          <w:sz w:val="24"/>
        </w:rPr>
        <w:t>an</w:t>
      </w:r>
      <w:r>
        <w:rPr>
          <w:spacing w:val="34"/>
          <w:sz w:val="24"/>
        </w:rPr>
        <w:t xml:space="preserve"> </w:t>
      </w:r>
      <w:proofErr w:type="spellStart"/>
      <w:r>
        <w:rPr>
          <w:sz w:val="24"/>
        </w:rPr>
        <w:t>OBD</w:t>
      </w:r>
      <w:proofErr w:type="spellEnd"/>
      <w:r>
        <w:rPr>
          <w:spacing w:val="33"/>
          <w:sz w:val="24"/>
        </w:rPr>
        <w:t xml:space="preserve"> </w:t>
      </w:r>
      <w:r>
        <w:rPr>
          <w:sz w:val="24"/>
        </w:rPr>
        <w:t>system</w:t>
      </w:r>
      <w:r>
        <w:rPr>
          <w:spacing w:val="34"/>
          <w:sz w:val="24"/>
        </w:rPr>
        <w:t xml:space="preserve"> </w:t>
      </w:r>
      <w:r>
        <w:rPr>
          <w:sz w:val="24"/>
        </w:rPr>
        <w:t>meeting</w:t>
      </w:r>
      <w:r>
        <w:rPr>
          <w:spacing w:val="31"/>
          <w:sz w:val="24"/>
        </w:rPr>
        <w:t xml:space="preserve"> </w:t>
      </w:r>
      <w:r>
        <w:rPr>
          <w:sz w:val="24"/>
        </w:rPr>
        <w:t>the</w:t>
      </w:r>
      <w:r>
        <w:rPr>
          <w:spacing w:val="33"/>
          <w:sz w:val="24"/>
        </w:rPr>
        <w:t xml:space="preserve"> </w:t>
      </w:r>
      <w:r>
        <w:rPr>
          <w:sz w:val="24"/>
        </w:rPr>
        <w:t>requirements</w:t>
      </w:r>
      <w:r>
        <w:rPr>
          <w:spacing w:val="34"/>
          <w:sz w:val="24"/>
        </w:rPr>
        <w:t xml:space="preserve"> </w:t>
      </w:r>
      <w:r>
        <w:rPr>
          <w:sz w:val="24"/>
        </w:rPr>
        <w:t>specified</w:t>
      </w:r>
      <w:r>
        <w:rPr>
          <w:spacing w:val="33"/>
          <w:sz w:val="24"/>
        </w:rPr>
        <w:t xml:space="preserve"> </w:t>
      </w:r>
      <w:r>
        <w:rPr>
          <w:sz w:val="24"/>
        </w:rPr>
        <w:t>in</w:t>
      </w:r>
      <w:r>
        <w:rPr>
          <w:spacing w:val="34"/>
          <w:sz w:val="24"/>
        </w:rPr>
        <w:t xml:space="preserve"> </w:t>
      </w:r>
      <w:r>
        <w:rPr>
          <w:sz w:val="24"/>
        </w:rPr>
        <w:t>clause</w:t>
      </w:r>
    </w:p>
    <w:p w:rsidR="00CE3B4F" w:rsidRDefault="006A22CC">
      <w:pPr>
        <w:pStyle w:val="BodyText"/>
        <w:ind w:left="954" w:right="259"/>
        <w:jc w:val="both"/>
      </w:pPr>
      <w:r>
        <w:t>6.1.3 or the requirements specified in Appendix D or the requirements</w:t>
      </w:r>
      <w:r>
        <w:rPr>
          <w:spacing w:val="40"/>
        </w:rPr>
        <w:t xml:space="preserve"> </w:t>
      </w:r>
      <w:r>
        <w:t xml:space="preserve">specified in the Technical Guideline for Urea Selective Catalytic Reduction System, </w:t>
      </w:r>
      <w:proofErr w:type="spellStart"/>
      <w:r>
        <w:t>Kokujikan</w:t>
      </w:r>
      <w:proofErr w:type="spellEnd"/>
      <w:r>
        <w:t xml:space="preserve"> No 105 of September 14, 2004, as last am</w:t>
      </w:r>
      <w:r>
        <w:t xml:space="preserve">ended by </w:t>
      </w:r>
      <w:proofErr w:type="spellStart"/>
      <w:r>
        <w:t>Kokujikan</w:t>
      </w:r>
      <w:proofErr w:type="spellEnd"/>
      <w:r>
        <w:t xml:space="preserve"> No 91 of August 26, 2008.</w:t>
      </w:r>
    </w:p>
    <w:p w:rsidR="00CE3B4F" w:rsidRDefault="006A22CC">
      <w:pPr>
        <w:spacing w:before="196"/>
        <w:ind w:left="821"/>
        <w:jc w:val="both"/>
        <w:rPr>
          <w:rFonts w:ascii="Arial"/>
          <w:b/>
        </w:rPr>
      </w:pPr>
      <w:r>
        <w:rPr>
          <w:rFonts w:ascii="Arial"/>
          <w:b/>
        </w:rPr>
        <w:t>Japanese</w:t>
      </w:r>
      <w:r>
        <w:rPr>
          <w:rFonts w:ascii="Arial"/>
          <w:b/>
          <w:spacing w:val="-5"/>
        </w:rPr>
        <w:t xml:space="preserve"> </w:t>
      </w:r>
      <w:proofErr w:type="spellStart"/>
      <w:r>
        <w:rPr>
          <w:rFonts w:ascii="Arial"/>
          <w:b/>
        </w:rPr>
        <w:t>MLIT</w:t>
      </w:r>
      <w:proofErr w:type="spellEnd"/>
      <w:r>
        <w:rPr>
          <w:rFonts w:ascii="Arial"/>
          <w:b/>
          <w:spacing w:val="-6"/>
        </w:rPr>
        <w:t xml:space="preserve"> </w:t>
      </w:r>
      <w:r>
        <w:rPr>
          <w:rFonts w:ascii="Arial"/>
          <w:b/>
        </w:rPr>
        <w:t>Regulations</w:t>
      </w:r>
      <w:r>
        <w:rPr>
          <w:rFonts w:ascii="Arial"/>
          <w:b/>
          <w:spacing w:val="-7"/>
        </w:rPr>
        <w:t xml:space="preserve"> </w:t>
      </w:r>
      <w:r>
        <w:rPr>
          <w:rFonts w:ascii="Arial"/>
          <w:b/>
        </w:rPr>
        <w:t>(Natural</w:t>
      </w:r>
      <w:r>
        <w:rPr>
          <w:rFonts w:ascii="Arial"/>
          <w:b/>
          <w:spacing w:val="-5"/>
        </w:rPr>
        <w:t xml:space="preserve"> </w:t>
      </w:r>
      <w:r>
        <w:rPr>
          <w:rFonts w:ascii="Arial"/>
          <w:b/>
        </w:rPr>
        <w:t>Gas</w:t>
      </w:r>
      <w:r>
        <w:rPr>
          <w:rFonts w:ascii="Arial"/>
          <w:b/>
          <w:spacing w:val="-4"/>
        </w:rPr>
        <w:t xml:space="preserve"> </w:t>
      </w:r>
      <w:r>
        <w:rPr>
          <w:rFonts w:ascii="Arial"/>
          <w:b/>
          <w:spacing w:val="-2"/>
        </w:rPr>
        <w:t>Engines)</w:t>
      </w:r>
    </w:p>
    <w:p w:rsidR="00CE3B4F" w:rsidRDefault="006A22CC">
      <w:pPr>
        <w:pStyle w:val="ListParagraph"/>
        <w:numPr>
          <w:ilvl w:val="1"/>
          <w:numId w:val="1"/>
        </w:numPr>
        <w:tabs>
          <w:tab w:val="left" w:pos="822"/>
        </w:tabs>
        <w:spacing w:before="188"/>
        <w:ind w:left="821" w:right="259"/>
        <w:jc w:val="both"/>
        <w:rPr>
          <w:sz w:val="24"/>
        </w:rPr>
      </w:pPr>
      <w:r>
        <w:rPr>
          <w:sz w:val="24"/>
        </w:rPr>
        <w:t>Subject to clauses 6.4.1, 6.4.2 and 6.4.3, for engines which operate on natural gas, the technical requirements of Japanese Ministry of Land, Infrastructure and Tr</w:t>
      </w:r>
      <w:r>
        <w:rPr>
          <w:sz w:val="24"/>
        </w:rPr>
        <w:t>ansport</w:t>
      </w:r>
      <w:r>
        <w:rPr>
          <w:spacing w:val="80"/>
          <w:sz w:val="24"/>
        </w:rPr>
        <w:t xml:space="preserve"> </w:t>
      </w:r>
      <w:r>
        <w:rPr>
          <w:sz w:val="24"/>
        </w:rPr>
        <w:t>Announcement</w:t>
      </w:r>
      <w:r>
        <w:rPr>
          <w:spacing w:val="80"/>
          <w:sz w:val="24"/>
        </w:rPr>
        <w:t xml:space="preserve"> </w:t>
      </w:r>
      <w:r>
        <w:rPr>
          <w:sz w:val="24"/>
        </w:rPr>
        <w:t>No.</w:t>
      </w:r>
      <w:r>
        <w:rPr>
          <w:spacing w:val="80"/>
          <w:sz w:val="24"/>
        </w:rPr>
        <w:t xml:space="preserve"> </w:t>
      </w:r>
      <w:r>
        <w:rPr>
          <w:sz w:val="24"/>
        </w:rPr>
        <w:t>619</w:t>
      </w:r>
      <w:r>
        <w:rPr>
          <w:spacing w:val="80"/>
          <w:sz w:val="24"/>
        </w:rPr>
        <w:t xml:space="preserve"> </w:t>
      </w:r>
      <w:r>
        <w:rPr>
          <w:sz w:val="24"/>
        </w:rPr>
        <w:t>of</w:t>
      </w:r>
      <w:r>
        <w:rPr>
          <w:spacing w:val="80"/>
          <w:sz w:val="24"/>
        </w:rPr>
        <w:t xml:space="preserve"> </w:t>
      </w:r>
      <w:r>
        <w:rPr>
          <w:sz w:val="24"/>
        </w:rPr>
        <w:t>15</w:t>
      </w:r>
      <w:r>
        <w:rPr>
          <w:spacing w:val="80"/>
          <w:sz w:val="24"/>
        </w:rPr>
        <w:t xml:space="preserve"> </w:t>
      </w:r>
      <w:r>
        <w:rPr>
          <w:sz w:val="24"/>
        </w:rPr>
        <w:t>July</w:t>
      </w:r>
      <w:r>
        <w:rPr>
          <w:spacing w:val="80"/>
          <w:sz w:val="24"/>
        </w:rPr>
        <w:t xml:space="preserve"> </w:t>
      </w:r>
      <w:r>
        <w:rPr>
          <w:sz w:val="24"/>
        </w:rPr>
        <w:t>2002</w:t>
      </w:r>
      <w:r>
        <w:rPr>
          <w:spacing w:val="80"/>
          <w:sz w:val="24"/>
        </w:rPr>
        <w:t xml:space="preserve"> </w:t>
      </w:r>
      <w:r>
        <w:rPr>
          <w:sz w:val="24"/>
        </w:rPr>
        <w:t>(as</w:t>
      </w:r>
      <w:r>
        <w:rPr>
          <w:spacing w:val="80"/>
          <w:sz w:val="24"/>
        </w:rPr>
        <w:t xml:space="preserve"> </w:t>
      </w:r>
      <w:r>
        <w:rPr>
          <w:sz w:val="24"/>
        </w:rPr>
        <w:t>last</w:t>
      </w:r>
      <w:r>
        <w:rPr>
          <w:spacing w:val="80"/>
          <w:sz w:val="24"/>
        </w:rPr>
        <w:t xml:space="preserve"> </w:t>
      </w:r>
      <w:r>
        <w:rPr>
          <w:sz w:val="24"/>
        </w:rPr>
        <w:t>amended</w:t>
      </w:r>
      <w:r>
        <w:rPr>
          <w:spacing w:val="80"/>
          <w:sz w:val="24"/>
        </w:rPr>
        <w:t xml:space="preserve"> </w:t>
      </w:r>
      <w:r>
        <w:rPr>
          <w:sz w:val="24"/>
        </w:rPr>
        <w:t>by</w:t>
      </w:r>
    </w:p>
    <w:p w:rsidR="00CE3B4F" w:rsidRDefault="00CE3B4F">
      <w:pPr>
        <w:jc w:val="both"/>
        <w:rPr>
          <w:sz w:val="24"/>
        </w:rPr>
        <w:sectPr w:rsidR="00CE3B4F">
          <w:footerReference w:type="default" r:id="rId12"/>
          <w:pgSz w:w="11910" w:h="16840"/>
          <w:pgMar w:top="1180" w:right="1440" w:bottom="1320" w:left="1600" w:header="0" w:footer="1135" w:gutter="0"/>
          <w:cols w:space="720"/>
        </w:sectPr>
      </w:pPr>
    </w:p>
    <w:p w:rsidR="00CE3B4F" w:rsidRDefault="006A22CC">
      <w:pPr>
        <w:pStyle w:val="BodyText"/>
        <w:spacing w:before="70"/>
        <w:ind w:right="258"/>
        <w:jc w:val="both"/>
      </w:pPr>
      <w:r>
        <w:lastRenderedPageBreak/>
        <w:t>Announcement</w:t>
      </w:r>
      <w:r>
        <w:t xml:space="preserve"> No 872 of 16 August 2005), Chapter 2, Section 1, Article 41 (Emission Control Device), paragraph</w:t>
      </w:r>
      <w:r>
        <w:rPr>
          <w:spacing w:val="-3"/>
        </w:rPr>
        <w:t xml:space="preserve"> </w:t>
      </w:r>
      <w:r>
        <w:t>(9) [JE05-Mode Mean Value Regulations at Time of Completion Inspection, etc. for Motor Vehicles Fueled by</w:t>
      </w:r>
      <w:r>
        <w:rPr>
          <w:spacing w:val="-3"/>
        </w:rPr>
        <w:t xml:space="preserve"> </w:t>
      </w:r>
      <w:r>
        <w:t xml:space="preserve">Other Fuel (with </w:t>
      </w:r>
      <w:proofErr w:type="spellStart"/>
      <w:r>
        <w:t>GVM</w:t>
      </w:r>
      <w:proofErr w:type="spellEnd"/>
      <w:r>
        <w:t xml:space="preserve"> exceeding 3.5 tons)], are deeme</w:t>
      </w:r>
      <w:r>
        <w:t>d to be equivalent to the technical requirements of this vehicle standard.</w:t>
      </w:r>
    </w:p>
    <w:p w:rsidR="00CE3B4F" w:rsidRDefault="006A22CC">
      <w:pPr>
        <w:pStyle w:val="ListParagraph"/>
        <w:numPr>
          <w:ilvl w:val="2"/>
          <w:numId w:val="1"/>
        </w:numPr>
        <w:tabs>
          <w:tab w:val="left" w:pos="822"/>
        </w:tabs>
        <w:spacing w:before="193"/>
        <w:ind w:left="821" w:right="260" w:hanging="720"/>
        <w:jc w:val="both"/>
        <w:rPr>
          <w:sz w:val="24"/>
        </w:rPr>
      </w:pPr>
      <w:r>
        <w:rPr>
          <w:sz w:val="24"/>
        </w:rPr>
        <w:t>Engines</w:t>
      </w:r>
      <w:r>
        <w:rPr>
          <w:spacing w:val="-2"/>
          <w:sz w:val="24"/>
        </w:rPr>
        <w:t xml:space="preserve"> </w:t>
      </w:r>
      <w:r>
        <w:rPr>
          <w:sz w:val="24"/>
        </w:rPr>
        <w:t>which</w:t>
      </w:r>
      <w:r>
        <w:rPr>
          <w:spacing w:val="-1"/>
          <w:sz w:val="24"/>
        </w:rPr>
        <w:t xml:space="preserve"> </w:t>
      </w:r>
      <w:r>
        <w:rPr>
          <w:sz w:val="24"/>
        </w:rPr>
        <w:t>operate</w:t>
      </w:r>
      <w:r>
        <w:rPr>
          <w:spacing w:val="-3"/>
          <w:sz w:val="24"/>
        </w:rPr>
        <w:t xml:space="preserve"> </w:t>
      </w:r>
      <w:r>
        <w:rPr>
          <w:sz w:val="24"/>
        </w:rPr>
        <w:t>on</w:t>
      </w:r>
      <w:r>
        <w:rPr>
          <w:spacing w:val="-3"/>
          <w:sz w:val="24"/>
        </w:rPr>
        <w:t xml:space="preserve"> </w:t>
      </w:r>
      <w:r>
        <w:rPr>
          <w:sz w:val="24"/>
        </w:rPr>
        <w:t>natural gas</w:t>
      </w:r>
      <w:r>
        <w:rPr>
          <w:spacing w:val="-3"/>
          <w:sz w:val="24"/>
        </w:rPr>
        <w:t xml:space="preserve"> </w:t>
      </w:r>
      <w:r>
        <w:rPr>
          <w:sz w:val="24"/>
        </w:rPr>
        <w:t>shall</w:t>
      </w:r>
      <w:r>
        <w:rPr>
          <w:spacing w:val="-3"/>
          <w:sz w:val="24"/>
        </w:rPr>
        <w:t xml:space="preserve"> </w:t>
      </w:r>
      <w:r>
        <w:rPr>
          <w:sz w:val="24"/>
        </w:rPr>
        <w:t>satisfy</w:t>
      </w:r>
      <w:r>
        <w:rPr>
          <w:spacing w:val="-6"/>
          <w:sz w:val="24"/>
        </w:rPr>
        <w:t xml:space="preserve"> </w:t>
      </w:r>
      <w:r>
        <w:rPr>
          <w:sz w:val="24"/>
        </w:rPr>
        <w:t>relevant</w:t>
      </w:r>
      <w:r>
        <w:rPr>
          <w:spacing w:val="-3"/>
          <w:sz w:val="24"/>
        </w:rPr>
        <w:t xml:space="preserve"> </w:t>
      </w:r>
      <w:r>
        <w:rPr>
          <w:sz w:val="24"/>
        </w:rPr>
        <w:t>useful</w:t>
      </w:r>
      <w:r>
        <w:rPr>
          <w:spacing w:val="-3"/>
          <w:sz w:val="24"/>
        </w:rPr>
        <w:t xml:space="preserve"> </w:t>
      </w:r>
      <w:r>
        <w:rPr>
          <w:sz w:val="24"/>
        </w:rPr>
        <w:t>life</w:t>
      </w:r>
      <w:r>
        <w:rPr>
          <w:spacing w:val="-2"/>
          <w:sz w:val="24"/>
        </w:rPr>
        <w:t xml:space="preserve"> </w:t>
      </w:r>
      <w:r>
        <w:rPr>
          <w:sz w:val="24"/>
        </w:rPr>
        <w:t>provisions, not to exceed test requirements, and rules regarding use of emission control devices applicable to engines meeting the requirements of clause 6.4.</w:t>
      </w:r>
    </w:p>
    <w:p w:rsidR="00CE3B4F" w:rsidRDefault="006A22CC">
      <w:pPr>
        <w:pStyle w:val="ListParagraph"/>
        <w:numPr>
          <w:ilvl w:val="2"/>
          <w:numId w:val="1"/>
        </w:numPr>
        <w:tabs>
          <w:tab w:val="left" w:pos="821"/>
          <w:tab w:val="left" w:pos="822"/>
        </w:tabs>
        <w:ind w:left="822" w:hanging="720"/>
        <w:rPr>
          <w:sz w:val="24"/>
        </w:rPr>
      </w:pPr>
      <w:r>
        <w:rPr>
          <w:sz w:val="24"/>
        </w:rPr>
        <w:t>Engines</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equipped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defeat</w:t>
      </w:r>
      <w:r>
        <w:rPr>
          <w:spacing w:val="-1"/>
          <w:sz w:val="24"/>
        </w:rPr>
        <w:t xml:space="preserve"> </w:t>
      </w:r>
      <w:r>
        <w:rPr>
          <w:sz w:val="24"/>
        </w:rPr>
        <w:t>device</w:t>
      </w:r>
      <w:r>
        <w:rPr>
          <w:spacing w:val="2"/>
          <w:sz w:val="24"/>
        </w:rPr>
        <w:t xml:space="preserve"> </w:t>
      </w:r>
      <w:r>
        <w:rPr>
          <w:sz w:val="24"/>
        </w:rPr>
        <w:t>or</w:t>
      </w:r>
      <w:r>
        <w:rPr>
          <w:spacing w:val="-2"/>
          <w:sz w:val="24"/>
        </w:rPr>
        <w:t xml:space="preserve"> </w:t>
      </w:r>
      <w:proofErr w:type="spellStart"/>
      <w:r>
        <w:rPr>
          <w:sz w:val="24"/>
        </w:rPr>
        <w:t>utilise</w:t>
      </w:r>
      <w:proofErr w:type="spellEnd"/>
      <w:r>
        <w:rPr>
          <w:spacing w:val="-2"/>
          <w:sz w:val="24"/>
        </w:rPr>
        <w:t xml:space="preserve"> </w:t>
      </w:r>
      <w:r>
        <w:rPr>
          <w:sz w:val="24"/>
        </w:rPr>
        <w:t>a</w:t>
      </w:r>
      <w:r>
        <w:rPr>
          <w:spacing w:val="-2"/>
          <w:sz w:val="24"/>
        </w:rPr>
        <w:t xml:space="preserve"> </w:t>
      </w:r>
      <w:r>
        <w:rPr>
          <w:sz w:val="24"/>
        </w:rPr>
        <w:t>defeat</w:t>
      </w:r>
      <w:r>
        <w:rPr>
          <w:spacing w:val="-1"/>
          <w:sz w:val="24"/>
        </w:rPr>
        <w:t xml:space="preserve"> </w:t>
      </w:r>
      <w:r>
        <w:rPr>
          <w:spacing w:val="-2"/>
          <w:sz w:val="24"/>
        </w:rPr>
        <w:t>strategy.</w:t>
      </w:r>
    </w:p>
    <w:p w:rsidR="00CE3B4F" w:rsidRDefault="006A22CC">
      <w:pPr>
        <w:pStyle w:val="ListParagraph"/>
        <w:numPr>
          <w:ilvl w:val="2"/>
          <w:numId w:val="1"/>
        </w:numPr>
        <w:tabs>
          <w:tab w:val="left" w:pos="954"/>
        </w:tabs>
        <w:ind w:left="954" w:right="257" w:hanging="852"/>
        <w:jc w:val="both"/>
        <w:rPr>
          <w:sz w:val="24"/>
        </w:rPr>
      </w:pPr>
      <w:r>
        <w:rPr>
          <w:sz w:val="24"/>
        </w:rPr>
        <w:t>Engines which re</w:t>
      </w:r>
      <w:r>
        <w:rPr>
          <w:sz w:val="24"/>
        </w:rPr>
        <w:t>quire the use of a consumable reagent in order to achieve the emission limits specified under the standards adopted in clause 6.4, shall be equipped</w:t>
      </w:r>
      <w:r>
        <w:rPr>
          <w:spacing w:val="33"/>
          <w:sz w:val="24"/>
        </w:rPr>
        <w:t xml:space="preserve"> </w:t>
      </w:r>
      <w:r>
        <w:rPr>
          <w:sz w:val="24"/>
        </w:rPr>
        <w:t>with</w:t>
      </w:r>
      <w:r>
        <w:rPr>
          <w:spacing w:val="34"/>
          <w:sz w:val="24"/>
        </w:rPr>
        <w:t xml:space="preserve"> </w:t>
      </w:r>
      <w:r>
        <w:rPr>
          <w:sz w:val="24"/>
        </w:rPr>
        <w:t>an</w:t>
      </w:r>
      <w:r>
        <w:rPr>
          <w:spacing w:val="34"/>
          <w:sz w:val="24"/>
        </w:rPr>
        <w:t xml:space="preserve"> </w:t>
      </w:r>
      <w:proofErr w:type="spellStart"/>
      <w:r>
        <w:rPr>
          <w:sz w:val="24"/>
        </w:rPr>
        <w:t>OBD</w:t>
      </w:r>
      <w:proofErr w:type="spellEnd"/>
      <w:r>
        <w:rPr>
          <w:spacing w:val="33"/>
          <w:sz w:val="24"/>
        </w:rPr>
        <w:t xml:space="preserve"> </w:t>
      </w:r>
      <w:r>
        <w:rPr>
          <w:sz w:val="24"/>
        </w:rPr>
        <w:t>system</w:t>
      </w:r>
      <w:r>
        <w:rPr>
          <w:spacing w:val="36"/>
          <w:sz w:val="24"/>
        </w:rPr>
        <w:t xml:space="preserve"> </w:t>
      </w:r>
      <w:r>
        <w:rPr>
          <w:sz w:val="24"/>
        </w:rPr>
        <w:t>meeting</w:t>
      </w:r>
      <w:r>
        <w:rPr>
          <w:spacing w:val="31"/>
          <w:sz w:val="24"/>
        </w:rPr>
        <w:t xml:space="preserve"> </w:t>
      </w:r>
      <w:r>
        <w:rPr>
          <w:sz w:val="24"/>
        </w:rPr>
        <w:t>the</w:t>
      </w:r>
      <w:r>
        <w:rPr>
          <w:spacing w:val="33"/>
          <w:sz w:val="24"/>
        </w:rPr>
        <w:t xml:space="preserve"> </w:t>
      </w:r>
      <w:r>
        <w:rPr>
          <w:sz w:val="24"/>
        </w:rPr>
        <w:t>requirements</w:t>
      </w:r>
      <w:r>
        <w:rPr>
          <w:spacing w:val="34"/>
          <w:sz w:val="24"/>
        </w:rPr>
        <w:t xml:space="preserve"> </w:t>
      </w:r>
      <w:r>
        <w:rPr>
          <w:sz w:val="24"/>
        </w:rPr>
        <w:t>specified</w:t>
      </w:r>
      <w:r>
        <w:rPr>
          <w:spacing w:val="33"/>
          <w:sz w:val="24"/>
        </w:rPr>
        <w:t xml:space="preserve"> </w:t>
      </w:r>
      <w:r>
        <w:rPr>
          <w:sz w:val="24"/>
        </w:rPr>
        <w:t>in</w:t>
      </w:r>
      <w:r>
        <w:rPr>
          <w:spacing w:val="34"/>
          <w:sz w:val="24"/>
        </w:rPr>
        <w:t xml:space="preserve"> </w:t>
      </w:r>
      <w:r>
        <w:rPr>
          <w:sz w:val="24"/>
        </w:rPr>
        <w:t>clause</w:t>
      </w:r>
    </w:p>
    <w:p w:rsidR="00CE3B4F" w:rsidRDefault="006A22CC">
      <w:pPr>
        <w:pStyle w:val="BodyText"/>
        <w:ind w:left="954" w:right="252"/>
        <w:jc w:val="both"/>
      </w:pPr>
      <w:r>
        <w:t>6.1.3 or the requirements specified in Appendix D or the requirements</w:t>
      </w:r>
      <w:r>
        <w:rPr>
          <w:spacing w:val="40"/>
        </w:rPr>
        <w:t xml:space="preserve"> </w:t>
      </w:r>
      <w:r>
        <w:t xml:space="preserve">specified in the Technical Guideline for Urea Selective Catalytic Reduction System, </w:t>
      </w:r>
      <w:proofErr w:type="spellStart"/>
      <w:r>
        <w:t>Kokujikan</w:t>
      </w:r>
      <w:proofErr w:type="spellEnd"/>
      <w:r>
        <w:t xml:space="preserve"> No 105 of September 14, 2004, as last amended by </w:t>
      </w:r>
      <w:proofErr w:type="spellStart"/>
      <w:r>
        <w:t>Kokujikan</w:t>
      </w:r>
      <w:proofErr w:type="spellEnd"/>
      <w:r>
        <w:t xml:space="preserve"> No 91 of August 26, 2008.</w:t>
      </w:r>
    </w:p>
    <w:p w:rsidR="00CE3B4F" w:rsidRDefault="006A22CC">
      <w:pPr>
        <w:spacing w:before="196"/>
        <w:ind w:left="821"/>
        <w:jc w:val="both"/>
        <w:rPr>
          <w:rFonts w:ascii="Arial"/>
          <w:b/>
        </w:rPr>
      </w:pPr>
      <w:r>
        <w:rPr>
          <w:rFonts w:ascii="Arial"/>
          <w:b/>
        </w:rPr>
        <w:t>US</w:t>
      </w:r>
      <w:r>
        <w:rPr>
          <w:rFonts w:ascii="Arial"/>
          <w:b/>
          <w:spacing w:val="-5"/>
        </w:rPr>
        <w:t xml:space="preserve"> </w:t>
      </w:r>
      <w:r>
        <w:rPr>
          <w:rFonts w:ascii="Arial"/>
          <w:b/>
        </w:rPr>
        <w:t>EPA</w:t>
      </w:r>
      <w:r>
        <w:rPr>
          <w:rFonts w:ascii="Arial"/>
          <w:b/>
          <w:spacing w:val="-7"/>
        </w:rPr>
        <w:t xml:space="preserve"> </w:t>
      </w:r>
      <w:r>
        <w:rPr>
          <w:rFonts w:ascii="Arial"/>
          <w:b/>
        </w:rPr>
        <w:t>CFR</w:t>
      </w:r>
      <w:r>
        <w:rPr>
          <w:rFonts w:ascii="Arial"/>
          <w:b/>
          <w:spacing w:val="-3"/>
        </w:rPr>
        <w:t xml:space="preserve"> </w:t>
      </w:r>
      <w:r>
        <w:rPr>
          <w:rFonts w:ascii="Arial"/>
          <w:b/>
        </w:rPr>
        <w:t>(Petrol,</w:t>
      </w:r>
      <w:r>
        <w:rPr>
          <w:rFonts w:ascii="Arial"/>
          <w:b/>
          <w:spacing w:val="-1"/>
        </w:rPr>
        <w:t xml:space="preserve"> </w:t>
      </w:r>
      <w:r>
        <w:rPr>
          <w:rFonts w:ascii="Arial"/>
          <w:b/>
        </w:rPr>
        <w:t>Liquefied</w:t>
      </w:r>
      <w:r>
        <w:rPr>
          <w:rFonts w:ascii="Arial"/>
          <w:b/>
          <w:spacing w:val="-5"/>
        </w:rPr>
        <w:t xml:space="preserve"> </w:t>
      </w:r>
      <w:r>
        <w:rPr>
          <w:rFonts w:ascii="Arial"/>
          <w:b/>
        </w:rPr>
        <w:t>Petroleum</w:t>
      </w:r>
      <w:r>
        <w:rPr>
          <w:rFonts w:ascii="Arial"/>
          <w:b/>
          <w:spacing w:val="-3"/>
        </w:rPr>
        <w:t xml:space="preserve"> </w:t>
      </w:r>
      <w:r>
        <w:rPr>
          <w:rFonts w:ascii="Arial"/>
          <w:b/>
        </w:rPr>
        <w:t>Gas</w:t>
      </w:r>
      <w:r>
        <w:rPr>
          <w:rFonts w:ascii="Arial"/>
          <w:b/>
          <w:spacing w:val="-5"/>
        </w:rPr>
        <w:t xml:space="preserve"> </w:t>
      </w:r>
      <w:r>
        <w:rPr>
          <w:rFonts w:ascii="Arial"/>
          <w:b/>
        </w:rPr>
        <w:t>and</w:t>
      </w:r>
      <w:r>
        <w:rPr>
          <w:rFonts w:ascii="Arial"/>
          <w:b/>
          <w:spacing w:val="-3"/>
        </w:rPr>
        <w:t xml:space="preserve"> </w:t>
      </w:r>
      <w:r>
        <w:rPr>
          <w:rFonts w:ascii="Arial"/>
          <w:b/>
        </w:rPr>
        <w:t>Natural</w:t>
      </w:r>
      <w:r>
        <w:rPr>
          <w:rFonts w:ascii="Arial"/>
          <w:b/>
          <w:spacing w:val="-3"/>
        </w:rPr>
        <w:t xml:space="preserve"> </w:t>
      </w:r>
      <w:r>
        <w:rPr>
          <w:rFonts w:ascii="Arial"/>
          <w:b/>
        </w:rPr>
        <w:t>Gas</w:t>
      </w:r>
      <w:r>
        <w:rPr>
          <w:rFonts w:ascii="Arial"/>
          <w:b/>
          <w:spacing w:val="-4"/>
        </w:rPr>
        <w:t xml:space="preserve"> </w:t>
      </w:r>
      <w:r>
        <w:rPr>
          <w:rFonts w:ascii="Arial"/>
          <w:b/>
          <w:spacing w:val="-2"/>
        </w:rPr>
        <w:t>Engines)</w:t>
      </w:r>
    </w:p>
    <w:p w:rsidR="00CE3B4F" w:rsidRDefault="006A22CC">
      <w:pPr>
        <w:pStyle w:val="ListParagraph"/>
        <w:numPr>
          <w:ilvl w:val="1"/>
          <w:numId w:val="1"/>
        </w:numPr>
        <w:tabs>
          <w:tab w:val="left" w:pos="822"/>
        </w:tabs>
        <w:spacing w:before="187"/>
        <w:ind w:left="821" w:right="256"/>
        <w:jc w:val="both"/>
        <w:rPr>
          <w:sz w:val="24"/>
        </w:rPr>
      </w:pPr>
      <w:r>
        <w:rPr>
          <w:sz w:val="24"/>
        </w:rPr>
        <w:t>Subject to clauses 6.5.1 and 6.5.2, for engines which operate on petrol, liquefied petroleum gas or natural gas, the technical requirements of the United States Code of Federal Regulations (CFR)</w:t>
      </w:r>
      <w:r>
        <w:rPr>
          <w:sz w:val="24"/>
        </w:rPr>
        <w:t>, Part 86 - Control of air pollution from new and in-use motor vehicles and new and in-use motor vehicle engines</w:t>
      </w:r>
      <w:r>
        <w:rPr>
          <w:spacing w:val="80"/>
          <w:sz w:val="24"/>
        </w:rPr>
        <w:t xml:space="preserve"> </w:t>
      </w:r>
      <w:r>
        <w:rPr>
          <w:sz w:val="24"/>
        </w:rPr>
        <w:t>certification and test procedures - Subpart A 40 CFR 86.008-10 Emission standards for 2008 and later model year Otto-cycle heavy-duty engines a</w:t>
      </w:r>
      <w:r>
        <w:rPr>
          <w:sz w:val="24"/>
        </w:rPr>
        <w:t>nd vehicles, are deemed to be equivalent to the technical requirements of this vehicle standard.</w:t>
      </w:r>
    </w:p>
    <w:p w:rsidR="00CE3B4F" w:rsidRDefault="006A22CC">
      <w:pPr>
        <w:pStyle w:val="ListParagraph"/>
        <w:numPr>
          <w:ilvl w:val="2"/>
          <w:numId w:val="1"/>
        </w:numPr>
        <w:tabs>
          <w:tab w:val="left" w:pos="822"/>
        </w:tabs>
        <w:spacing w:before="193"/>
        <w:ind w:left="821" w:right="256" w:hanging="720"/>
        <w:jc w:val="both"/>
        <w:rPr>
          <w:sz w:val="24"/>
        </w:rPr>
      </w:pPr>
      <w:r>
        <w:rPr>
          <w:sz w:val="24"/>
        </w:rPr>
        <w:t>Engines shall meet the exhaust emission limits specified in 86.008-10 (a)(1) paragraphs (</w:t>
      </w:r>
      <w:proofErr w:type="spellStart"/>
      <w:r>
        <w:rPr>
          <w:sz w:val="24"/>
        </w:rPr>
        <w:t>i</w:t>
      </w:r>
      <w:proofErr w:type="spellEnd"/>
      <w:r>
        <w:rPr>
          <w:sz w:val="24"/>
        </w:rPr>
        <w:t>)(A), (ii)(A), (iii) and (iv), and the applicable evaporative emissio</w:t>
      </w:r>
      <w:r>
        <w:rPr>
          <w:sz w:val="24"/>
        </w:rPr>
        <w:t>n limits specified in 86.008-10 (b).</w:t>
      </w:r>
    </w:p>
    <w:p w:rsidR="00CE3B4F" w:rsidRDefault="006A22CC">
      <w:pPr>
        <w:pStyle w:val="ListParagraph"/>
        <w:numPr>
          <w:ilvl w:val="2"/>
          <w:numId w:val="1"/>
        </w:numPr>
        <w:tabs>
          <w:tab w:val="left" w:pos="822"/>
        </w:tabs>
        <w:ind w:left="821" w:right="256" w:hanging="720"/>
        <w:jc w:val="both"/>
        <w:rPr>
          <w:sz w:val="24"/>
        </w:rPr>
      </w:pPr>
      <w:r>
        <w:rPr>
          <w:sz w:val="24"/>
        </w:rPr>
        <w:t>Engines shall be tested in accordance with the applicable test procedures as specified in Subpart N 40</w:t>
      </w:r>
      <w:r>
        <w:rPr>
          <w:spacing w:val="-2"/>
          <w:sz w:val="24"/>
        </w:rPr>
        <w:t xml:space="preserve"> </w:t>
      </w:r>
      <w:r>
        <w:rPr>
          <w:sz w:val="24"/>
        </w:rPr>
        <w:t xml:space="preserve">CFR 86.1300 series – Emission Regulations for new Otto-cycle and diesel heavy duty engines; gaseous and particulate </w:t>
      </w:r>
      <w:r>
        <w:rPr>
          <w:sz w:val="24"/>
        </w:rPr>
        <w:t xml:space="preserve">exhaust test </w:t>
      </w:r>
      <w:r>
        <w:rPr>
          <w:spacing w:val="-2"/>
          <w:sz w:val="24"/>
        </w:rPr>
        <w:t>procedures.</w:t>
      </w:r>
    </w:p>
    <w:p w:rsidR="00CE3B4F" w:rsidRDefault="006A22CC">
      <w:pPr>
        <w:spacing w:before="195"/>
        <w:ind w:left="954"/>
        <w:rPr>
          <w:rFonts w:ascii="Arial"/>
          <w:b/>
        </w:rPr>
      </w:pPr>
      <w:r>
        <w:rPr>
          <w:rFonts w:ascii="Arial"/>
          <w:b/>
        </w:rPr>
        <w:t>EC</w:t>
      </w:r>
      <w:r>
        <w:rPr>
          <w:rFonts w:ascii="Arial"/>
          <w:b/>
          <w:spacing w:val="-4"/>
        </w:rPr>
        <w:t xml:space="preserve"> </w:t>
      </w:r>
      <w:r>
        <w:rPr>
          <w:rFonts w:ascii="Arial"/>
          <w:b/>
        </w:rPr>
        <w:t>Regulations</w:t>
      </w:r>
      <w:r>
        <w:rPr>
          <w:rFonts w:ascii="Arial"/>
          <w:b/>
          <w:spacing w:val="-4"/>
        </w:rPr>
        <w:t xml:space="preserve"> </w:t>
      </w:r>
      <w:r>
        <w:rPr>
          <w:rFonts w:ascii="Arial"/>
          <w:b/>
        </w:rPr>
        <w:t>595/2009</w:t>
      </w:r>
      <w:r>
        <w:rPr>
          <w:rFonts w:ascii="Arial"/>
          <w:b/>
          <w:spacing w:val="-4"/>
        </w:rPr>
        <w:t xml:space="preserve"> </w:t>
      </w:r>
      <w:r>
        <w:rPr>
          <w:rFonts w:ascii="Arial"/>
          <w:b/>
        </w:rPr>
        <w:t>and</w:t>
      </w:r>
      <w:r>
        <w:rPr>
          <w:rFonts w:ascii="Arial"/>
          <w:b/>
          <w:spacing w:val="-4"/>
        </w:rPr>
        <w:t xml:space="preserve"> </w:t>
      </w:r>
      <w:r>
        <w:rPr>
          <w:rFonts w:ascii="Arial"/>
          <w:b/>
          <w:spacing w:val="-2"/>
        </w:rPr>
        <w:t>582/2011</w:t>
      </w:r>
    </w:p>
    <w:p w:rsidR="00CE3B4F" w:rsidRDefault="006A22CC">
      <w:pPr>
        <w:pStyle w:val="ListParagraph"/>
        <w:numPr>
          <w:ilvl w:val="1"/>
          <w:numId w:val="1"/>
        </w:numPr>
        <w:tabs>
          <w:tab w:val="left" w:pos="954"/>
        </w:tabs>
        <w:spacing w:before="188"/>
        <w:ind w:left="954" w:right="258" w:hanging="852"/>
        <w:jc w:val="both"/>
        <w:rPr>
          <w:sz w:val="24"/>
        </w:rPr>
      </w:pPr>
      <w:r>
        <w:rPr>
          <w:sz w:val="24"/>
        </w:rPr>
        <w:t>Subject to clauses 6.6.1, 6.6.2 and 6.6.3, the technical requirements of Regulation (EC) No 595/2009 of the European Parliament and of the Council</w:t>
      </w:r>
      <w:r>
        <w:rPr>
          <w:spacing w:val="40"/>
          <w:sz w:val="24"/>
        </w:rPr>
        <w:t xml:space="preserve"> </w:t>
      </w:r>
      <w:r>
        <w:rPr>
          <w:sz w:val="24"/>
        </w:rPr>
        <w:t>of 18 June 2009 together with the technical req</w:t>
      </w:r>
      <w:r>
        <w:rPr>
          <w:sz w:val="24"/>
        </w:rPr>
        <w:t>uirements of Commission Regulation (EU) No 582/2011 of 25 May 2011 are deemed to be equivalent to the technical requirements of this standard.</w:t>
      </w:r>
    </w:p>
    <w:p w:rsidR="00CE3B4F" w:rsidRDefault="006A22CC">
      <w:pPr>
        <w:pStyle w:val="ListParagraph"/>
        <w:numPr>
          <w:ilvl w:val="2"/>
          <w:numId w:val="1"/>
        </w:numPr>
        <w:tabs>
          <w:tab w:val="left" w:pos="954"/>
        </w:tabs>
        <w:spacing w:before="193"/>
        <w:ind w:left="954" w:right="259" w:hanging="852"/>
        <w:jc w:val="both"/>
        <w:rPr>
          <w:sz w:val="24"/>
        </w:rPr>
      </w:pPr>
      <w:r>
        <w:rPr>
          <w:sz w:val="24"/>
        </w:rPr>
        <w:t>Engines shall comply with the relevant limit values in Annex I of Regulation 595/2009, as amended by Regulation 5</w:t>
      </w:r>
      <w:r>
        <w:rPr>
          <w:sz w:val="24"/>
        </w:rPr>
        <w:t>82/2011.</w:t>
      </w:r>
    </w:p>
    <w:p w:rsidR="00CE3B4F" w:rsidRDefault="00CE3B4F">
      <w:pPr>
        <w:jc w:val="both"/>
        <w:rPr>
          <w:sz w:val="24"/>
        </w:rPr>
        <w:sectPr w:rsidR="00CE3B4F">
          <w:footerReference w:type="default" r:id="rId13"/>
          <w:pgSz w:w="11910" w:h="16840"/>
          <w:pgMar w:top="1180" w:right="1440" w:bottom="1400" w:left="1600" w:header="0" w:footer="1204" w:gutter="0"/>
          <w:cols w:space="720"/>
        </w:sectPr>
      </w:pPr>
    </w:p>
    <w:p w:rsidR="00CE3B4F" w:rsidRDefault="006A22CC">
      <w:pPr>
        <w:pStyle w:val="ListParagraph"/>
        <w:numPr>
          <w:ilvl w:val="2"/>
          <w:numId w:val="1"/>
        </w:numPr>
        <w:tabs>
          <w:tab w:val="left" w:pos="954"/>
        </w:tabs>
        <w:spacing w:before="70"/>
        <w:ind w:left="954" w:right="261" w:hanging="852"/>
        <w:jc w:val="both"/>
        <w:rPr>
          <w:sz w:val="24"/>
        </w:rPr>
      </w:pPr>
      <w:r>
        <w:rPr>
          <w:sz w:val="24"/>
        </w:rPr>
        <w:lastRenderedPageBreak/>
        <w:t>Engines shall satisfy relevant useful life provisions and rules regarding the use of emission control devices applicable to engines meeting the requirements of clause 6.6.</w:t>
      </w:r>
    </w:p>
    <w:p w:rsidR="00CE3B4F" w:rsidRDefault="006A22CC">
      <w:pPr>
        <w:pStyle w:val="ListParagraph"/>
        <w:numPr>
          <w:ilvl w:val="2"/>
          <w:numId w:val="1"/>
        </w:numPr>
        <w:tabs>
          <w:tab w:val="left" w:pos="954"/>
        </w:tabs>
        <w:spacing w:before="193"/>
        <w:ind w:left="954" w:right="259" w:hanging="852"/>
        <w:jc w:val="both"/>
        <w:rPr>
          <w:sz w:val="24"/>
        </w:rPr>
      </w:pPr>
      <w:r>
        <w:rPr>
          <w:sz w:val="24"/>
        </w:rPr>
        <w:t xml:space="preserve">Engines shall be equipped with an </w:t>
      </w:r>
      <w:proofErr w:type="spellStart"/>
      <w:r>
        <w:rPr>
          <w:sz w:val="24"/>
        </w:rPr>
        <w:t>OBD</w:t>
      </w:r>
      <w:proofErr w:type="spellEnd"/>
      <w:r>
        <w:rPr>
          <w:sz w:val="24"/>
        </w:rPr>
        <w:t xml:space="preserve"> system that complies with the requirements app</w:t>
      </w:r>
      <w:r>
        <w:rPr>
          <w:sz w:val="24"/>
        </w:rPr>
        <w:t>licable to engines meeting the requirements of clause 6.6.</w:t>
      </w:r>
    </w:p>
    <w:p w:rsidR="00CE3B4F" w:rsidRDefault="006A22CC">
      <w:pPr>
        <w:spacing w:before="195"/>
        <w:ind w:left="821"/>
        <w:rPr>
          <w:rFonts w:ascii="Arial"/>
          <w:b/>
        </w:rPr>
      </w:pPr>
      <w:r>
        <w:rPr>
          <w:rFonts w:ascii="Arial"/>
          <w:b/>
        </w:rPr>
        <w:t>UN</w:t>
      </w:r>
      <w:r>
        <w:rPr>
          <w:rFonts w:ascii="Arial"/>
          <w:b/>
          <w:spacing w:val="-3"/>
        </w:rPr>
        <w:t xml:space="preserve"> </w:t>
      </w:r>
      <w:r>
        <w:rPr>
          <w:rFonts w:ascii="Arial"/>
          <w:b/>
        </w:rPr>
        <w:t>Regulation</w:t>
      </w:r>
      <w:r>
        <w:rPr>
          <w:rFonts w:ascii="Arial"/>
          <w:b/>
          <w:spacing w:val="-3"/>
        </w:rPr>
        <w:t xml:space="preserve"> </w:t>
      </w:r>
      <w:r>
        <w:rPr>
          <w:rFonts w:ascii="Arial"/>
          <w:b/>
        </w:rPr>
        <w:t>No</w:t>
      </w:r>
      <w:r>
        <w:rPr>
          <w:rFonts w:ascii="Arial"/>
          <w:b/>
          <w:spacing w:val="-2"/>
        </w:rPr>
        <w:t xml:space="preserve"> </w:t>
      </w:r>
      <w:r>
        <w:rPr>
          <w:rFonts w:ascii="Arial"/>
          <w:b/>
          <w:spacing w:val="-5"/>
        </w:rPr>
        <w:t>49</w:t>
      </w:r>
    </w:p>
    <w:p w:rsidR="00CE3B4F" w:rsidRDefault="006A22CC">
      <w:pPr>
        <w:pStyle w:val="ListParagraph"/>
        <w:numPr>
          <w:ilvl w:val="1"/>
          <w:numId w:val="1"/>
        </w:numPr>
        <w:tabs>
          <w:tab w:val="left" w:pos="952"/>
        </w:tabs>
        <w:spacing w:before="188"/>
        <w:ind w:left="951" w:right="257" w:hanging="850"/>
        <w:jc w:val="both"/>
        <w:rPr>
          <w:sz w:val="24"/>
        </w:rPr>
      </w:pPr>
      <w:r>
        <w:rPr>
          <w:sz w:val="24"/>
        </w:rPr>
        <w:t>Subject to clauses 6.7.1, 6.7.2 and 6.7.3 for engines which operate on diesel, liquefied petroleum gas or natural gas, the technical requirements of United Nations Regulation No</w:t>
      </w:r>
      <w:r>
        <w:rPr>
          <w:sz w:val="24"/>
        </w:rPr>
        <w:t xml:space="preserve"> 49, </w:t>
      </w:r>
      <w:r>
        <w:rPr>
          <w:i/>
          <w:sz w:val="24"/>
        </w:rPr>
        <w:t xml:space="preserve">Uniform provisions concerning the measures to be taken against the emission of gaseous and particulate pollutants from compression-ignition engines for use in vehicles, and the emission of gaseous pollutants from positive-ignition engines </w:t>
      </w:r>
      <w:proofErr w:type="spellStart"/>
      <w:r>
        <w:rPr>
          <w:i/>
          <w:sz w:val="24"/>
        </w:rPr>
        <w:t>fuelled</w:t>
      </w:r>
      <w:proofErr w:type="spellEnd"/>
      <w:r>
        <w:rPr>
          <w:i/>
          <w:sz w:val="24"/>
        </w:rPr>
        <w:t xml:space="preserve"> with</w:t>
      </w:r>
      <w:r>
        <w:rPr>
          <w:i/>
          <w:sz w:val="24"/>
        </w:rPr>
        <w:t xml:space="preserve"> natural gas or liquefied petroleum gas for use in vehicles</w:t>
      </w:r>
      <w:r>
        <w:rPr>
          <w:sz w:val="24"/>
        </w:rPr>
        <w:t>, incorporating the 05 Series of Amendments onwards are deemed to be equivalent to the technical requirements of this vehicle standard.</w:t>
      </w:r>
    </w:p>
    <w:p w:rsidR="00CE3B4F" w:rsidRDefault="006A22CC">
      <w:pPr>
        <w:pStyle w:val="ListParagraph"/>
        <w:numPr>
          <w:ilvl w:val="2"/>
          <w:numId w:val="1"/>
        </w:numPr>
        <w:tabs>
          <w:tab w:val="left" w:pos="954"/>
        </w:tabs>
        <w:ind w:left="954" w:right="256" w:hanging="852"/>
        <w:jc w:val="both"/>
        <w:rPr>
          <w:sz w:val="24"/>
        </w:rPr>
      </w:pPr>
      <w:r>
        <w:rPr>
          <w:sz w:val="24"/>
        </w:rPr>
        <w:t>Engines operating on diesel shall comply with the relevant limit values in row B2</w:t>
      </w:r>
      <w:r>
        <w:rPr>
          <w:spacing w:val="40"/>
          <w:sz w:val="24"/>
        </w:rPr>
        <w:t xml:space="preserve"> </w:t>
      </w:r>
      <w:r>
        <w:rPr>
          <w:sz w:val="24"/>
        </w:rPr>
        <w:t>of</w:t>
      </w:r>
      <w:r>
        <w:rPr>
          <w:spacing w:val="40"/>
          <w:sz w:val="24"/>
        </w:rPr>
        <w:t xml:space="preserve"> </w:t>
      </w:r>
      <w:r>
        <w:rPr>
          <w:sz w:val="24"/>
        </w:rPr>
        <w:t>Table</w:t>
      </w:r>
      <w:r>
        <w:rPr>
          <w:spacing w:val="40"/>
          <w:sz w:val="24"/>
        </w:rPr>
        <w:t xml:space="preserve"> </w:t>
      </w:r>
      <w:r>
        <w:rPr>
          <w:sz w:val="24"/>
        </w:rPr>
        <w:t>1</w:t>
      </w:r>
      <w:r>
        <w:rPr>
          <w:spacing w:val="40"/>
          <w:sz w:val="24"/>
        </w:rPr>
        <w:t xml:space="preserve"> </w:t>
      </w:r>
      <w:r>
        <w:rPr>
          <w:sz w:val="24"/>
        </w:rPr>
        <w:t>and</w:t>
      </w:r>
      <w:r>
        <w:rPr>
          <w:spacing w:val="40"/>
          <w:sz w:val="24"/>
        </w:rPr>
        <w:t xml:space="preserve"> </w:t>
      </w:r>
      <w:r>
        <w:rPr>
          <w:sz w:val="24"/>
        </w:rPr>
        <w:t>row</w:t>
      </w:r>
      <w:r>
        <w:rPr>
          <w:spacing w:val="40"/>
          <w:sz w:val="24"/>
        </w:rPr>
        <w:t xml:space="preserve"> </w:t>
      </w:r>
      <w:r>
        <w:rPr>
          <w:sz w:val="24"/>
        </w:rPr>
        <w:t>B2</w:t>
      </w:r>
      <w:r>
        <w:rPr>
          <w:spacing w:val="40"/>
          <w:sz w:val="24"/>
        </w:rPr>
        <w:t xml:space="preserve"> </w:t>
      </w:r>
      <w:r>
        <w:rPr>
          <w:sz w:val="24"/>
        </w:rPr>
        <w:t>of</w:t>
      </w:r>
      <w:r>
        <w:rPr>
          <w:spacing w:val="40"/>
          <w:sz w:val="24"/>
        </w:rPr>
        <w:t xml:space="preserve"> </w:t>
      </w:r>
      <w:r>
        <w:rPr>
          <w:sz w:val="24"/>
        </w:rPr>
        <w:t>Table</w:t>
      </w:r>
      <w:r>
        <w:rPr>
          <w:spacing w:val="40"/>
          <w:sz w:val="24"/>
        </w:rPr>
        <w:t xml:space="preserve"> </w:t>
      </w:r>
      <w:r>
        <w:rPr>
          <w:sz w:val="24"/>
        </w:rPr>
        <w:t>2</w:t>
      </w:r>
      <w:r>
        <w:rPr>
          <w:spacing w:val="40"/>
          <w:sz w:val="24"/>
        </w:rPr>
        <w:t xml:space="preserve"> </w:t>
      </w:r>
      <w:r>
        <w:rPr>
          <w:sz w:val="24"/>
        </w:rPr>
        <w:t>to</w:t>
      </w:r>
      <w:r>
        <w:rPr>
          <w:spacing w:val="40"/>
          <w:sz w:val="24"/>
        </w:rPr>
        <w:t xml:space="preserve"> </w:t>
      </w:r>
      <w:r>
        <w:rPr>
          <w:sz w:val="24"/>
        </w:rPr>
        <w:t>paragraph</w:t>
      </w:r>
      <w:r>
        <w:rPr>
          <w:spacing w:val="40"/>
          <w:sz w:val="24"/>
        </w:rPr>
        <w:t xml:space="preserve"> </w:t>
      </w:r>
      <w:r>
        <w:rPr>
          <w:sz w:val="24"/>
        </w:rPr>
        <w:t>5.2.1</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said Regulation No 49.</w:t>
      </w:r>
    </w:p>
    <w:p w:rsidR="00CE3B4F" w:rsidRDefault="006A22CC">
      <w:pPr>
        <w:pStyle w:val="ListParagraph"/>
        <w:numPr>
          <w:ilvl w:val="2"/>
          <w:numId w:val="1"/>
        </w:numPr>
        <w:tabs>
          <w:tab w:val="left" w:pos="954"/>
        </w:tabs>
        <w:spacing w:before="233"/>
        <w:ind w:left="954" w:right="256" w:hanging="852"/>
        <w:jc w:val="both"/>
        <w:rPr>
          <w:sz w:val="24"/>
        </w:rPr>
      </w:pPr>
      <w:r>
        <w:rPr>
          <w:sz w:val="24"/>
        </w:rPr>
        <w:t>Engines operating on liquefied petroleum gas or natural gas shall comply with the relevant limit values in row B2 of Table 2 to paragraph 5.2.1 of the said Regulation No 49.</w:t>
      </w:r>
    </w:p>
    <w:p w:rsidR="00CE3B4F" w:rsidRDefault="006A22CC">
      <w:pPr>
        <w:pStyle w:val="ListParagraph"/>
        <w:numPr>
          <w:ilvl w:val="2"/>
          <w:numId w:val="1"/>
        </w:numPr>
        <w:tabs>
          <w:tab w:val="left" w:pos="954"/>
        </w:tabs>
        <w:spacing w:before="231"/>
        <w:ind w:left="954" w:right="257" w:hanging="852"/>
        <w:jc w:val="both"/>
        <w:rPr>
          <w:sz w:val="24"/>
        </w:rPr>
      </w:pPr>
      <w:r>
        <w:rPr>
          <w:sz w:val="24"/>
        </w:rPr>
        <w:t>Engines which operate on diesel, liquefied petroleum gas or natural gas shall</w:t>
      </w:r>
      <w:r>
        <w:rPr>
          <w:spacing w:val="80"/>
          <w:sz w:val="24"/>
        </w:rPr>
        <w:t xml:space="preserve"> </w:t>
      </w:r>
      <w:r>
        <w:rPr>
          <w:sz w:val="24"/>
        </w:rPr>
        <w:t>be e</w:t>
      </w:r>
      <w:r>
        <w:rPr>
          <w:sz w:val="24"/>
        </w:rPr>
        <w:t xml:space="preserve">quipped with an </w:t>
      </w:r>
      <w:proofErr w:type="spellStart"/>
      <w:r>
        <w:rPr>
          <w:sz w:val="24"/>
        </w:rPr>
        <w:t>OBD</w:t>
      </w:r>
      <w:proofErr w:type="spellEnd"/>
      <w:r>
        <w:rPr>
          <w:sz w:val="24"/>
        </w:rPr>
        <w:t xml:space="preserve"> system which complies with the requirements of paragraph 5.4.2 of the said Regulation No 49.</w:t>
      </w:r>
    </w:p>
    <w:sectPr w:rsidR="00CE3B4F">
      <w:footerReference w:type="default" r:id="rId14"/>
      <w:pgSz w:w="11910" w:h="16840"/>
      <w:pgMar w:top="1180" w:right="1440" w:bottom="1320" w:left="160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A22CC">
      <w:r>
        <w:separator/>
      </w:r>
    </w:p>
  </w:endnote>
  <w:endnote w:type="continuationSeparator" w:id="0">
    <w:p w:rsidR="00000000" w:rsidRDefault="006A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type id="_x0000_t202" coordsize="21600,21600" o:spt="202" path="m,l,21600r21600,l21600,xe">
          <v:stroke joinstyle="miter"/>
          <v:path gradientshapeok="t" o:connecttype="rect"/>
        </v:shapetype>
        <v:shape id="docshape1" o:spid="_x0000_s2070" type="#_x0000_t202" style="position:absolute;margin-left:203pt;margin-top:813.8pt;width:188.45pt;height:10.9pt;z-index:-15907328;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type id="_x0000_t202" coordsize="21600,21600" o:spt="202" path="m,l,21600r21600,l21600,xe">
          <v:stroke joinstyle="miter"/>
          <v:path gradientshapeok="t" o:connecttype="rect"/>
        </v:shapetype>
        <v:shape id="docshape4" o:spid="_x0000_s2069" type="#_x0000_t202" style="position:absolute;margin-left:203pt;margin-top:813.8pt;width:188.45pt;height:10.9pt;z-index:-15906816;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 id="docshape6" o:spid="_x0000_s2068" style="position:absolute;margin-left:85.1pt;margin-top:775.2pt;width:414.1pt;height:.5pt;z-index:-15906304;mso-position-horizontal-relative:page;mso-position-vertical-relative:page" coordorigin="1702,15504" coordsize="8282,10" o:spt="100" adj="0,,0" path="m8723,15504r-5876,l2837,15504r,l1702,15504r,9l2837,15513r,l2847,15513r5876,l8723,15504xm9984,15504r-1251,l8724,15504r,9l8733,15513r1251,l9984,15504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7" o:spid="_x0000_s2067" type="#_x0000_t202" style="position:absolute;margin-left:89.5pt;margin-top:774.9pt;width:7.55pt;height:13.15pt;z-index:-15905792;mso-position-horizontal-relative:page;mso-position-vertical-relative:page" filled="f" stroked="f">
          <v:textbox inset="0,0,0,0">
            <w:txbxContent>
              <w:p w:rsidR="00CE3B4F" w:rsidRDefault="006A22CC">
                <w:pPr>
                  <w:spacing w:before="12"/>
                  <w:ind w:left="20"/>
                  <w:rPr>
                    <w:rFonts w:ascii="Arial"/>
                    <w:sz w:val="20"/>
                  </w:rPr>
                </w:pPr>
                <w:r>
                  <w:rPr>
                    <w:rFonts w:ascii="Arial"/>
                    <w:w w:val="99"/>
                    <w:sz w:val="20"/>
                  </w:rPr>
                  <w:t>4</w:t>
                </w:r>
              </w:p>
            </w:txbxContent>
          </v:textbox>
          <w10:wrap anchorx="page" anchory="page"/>
        </v:shape>
      </w:pict>
    </w:r>
    <w:r>
      <w:pict>
        <v:shape id="docshape8" o:spid="_x0000_s2066" type="#_x0000_t202" style="position:absolute;margin-left:156.2pt;margin-top:775.85pt;width:265.45pt;height:24.55pt;z-index:-15905280;mso-position-horizontal-relative:page;mso-position-vertical-relative:page" filled="f" stroked="f">
          <v:textbox inset="0,0,0,0">
            <w:txbxContent>
              <w:p w:rsidR="00CE3B4F" w:rsidRDefault="006A22CC">
                <w:pPr>
                  <w:spacing w:before="12"/>
                  <w:ind w:left="1186" w:hanging="1167"/>
                  <w:rPr>
                    <w:rFonts w:ascii="Arial" w:hAnsi="Arial"/>
                    <w:i/>
                    <w:sz w:val="20"/>
                  </w:rPr>
                </w:pP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7"/>
                    <w:sz w:val="20"/>
                  </w:rPr>
                  <w:t xml:space="preserve"> </w:t>
                </w:r>
                <w:r>
                  <w:rPr>
                    <w:rFonts w:ascii="Arial" w:hAnsi="Arial"/>
                    <w:i/>
                    <w:sz w:val="20"/>
                  </w:rPr>
                  <w:t>(Australian</w:t>
                </w:r>
                <w:r>
                  <w:rPr>
                    <w:rFonts w:ascii="Arial" w:hAnsi="Arial"/>
                    <w:i/>
                    <w:spacing w:val="-7"/>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w:t>
                </w:r>
                <w:r>
                  <w:rPr>
                    <w:rFonts w:ascii="Arial" w:hAnsi="Arial"/>
                    <w:i/>
                    <w:spacing w:val="-1"/>
                    <w:sz w:val="20"/>
                  </w:rPr>
                  <w:t xml:space="preserve"> </w:t>
                </w:r>
                <w:r>
                  <w:rPr>
                    <w:rFonts w:ascii="Arial" w:hAnsi="Arial"/>
                    <w:i/>
                    <w:sz w:val="20"/>
                  </w:rPr>
                  <w:t>80/03</w:t>
                </w:r>
                <w:r>
                  <w:rPr>
                    <w:rFonts w:ascii="Arial" w:hAnsi="Arial"/>
                    <w:i/>
                    <w:spacing w:val="-5"/>
                    <w:sz w:val="20"/>
                  </w:rPr>
                  <w:t xml:space="preserve"> </w:t>
                </w:r>
                <w:r>
                  <w:rPr>
                    <w:rFonts w:ascii="Arial" w:hAnsi="Arial"/>
                    <w:i/>
                    <w:sz w:val="20"/>
                  </w:rPr>
                  <w:t>–</w:t>
                </w:r>
                <w:r>
                  <w:rPr>
                    <w:rFonts w:ascii="Arial" w:hAnsi="Arial"/>
                    <w:i/>
                    <w:spacing w:val="-7"/>
                    <w:sz w:val="20"/>
                  </w:rPr>
                  <w:t xml:space="preserve"> </w:t>
                </w:r>
                <w:r>
                  <w:rPr>
                    <w:rFonts w:ascii="Arial" w:hAnsi="Arial"/>
                    <w:i/>
                    <w:sz w:val="20"/>
                  </w:rPr>
                  <w:t>Emission Control for Heavy Vehicles) 2006</w:t>
                </w:r>
              </w:p>
            </w:txbxContent>
          </v:textbox>
          <w10:wrap anchorx="page" anchory="page"/>
        </v:shape>
      </w:pict>
    </w:r>
    <w:r>
      <w:pict>
        <v:shape id="docshape9" o:spid="_x0000_s2065" type="#_x0000_t202" style="position:absolute;margin-left:203pt;margin-top:813.8pt;width:188.45pt;height:10.9pt;z-index:-15904768;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 id="docshape10" o:spid="_x0000_s2064" style="position:absolute;margin-left:85.1pt;margin-top:771.7pt;width:414.1pt;height:.5pt;z-index:-15904256;mso-position-horizontal-relative:page;mso-position-vertical-relative:page" coordorigin="1702,15434" coordsize="8282,10" o:spt="100" adj="0,,0" path="m8723,15434r-5876,l2837,15434r,l1702,15434r,10l2837,15444r,l2847,15444r5876,l8723,15434xm9984,15434r-1251,l8724,15434r,10l8733,15444r1251,l9984,15434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1" o:spid="_x0000_s2063" type="#_x0000_t202" style="position:absolute;margin-left:487.25pt;margin-top:771.4pt;width:7.55pt;height:13.15pt;z-index:-15903744;mso-position-horizontal-relative:page;mso-position-vertical-relative:page" filled="f" stroked="f">
          <v:textbox inset="0,0,0,0">
            <w:txbxContent>
              <w:p w:rsidR="00CE3B4F" w:rsidRDefault="006A22CC">
                <w:pPr>
                  <w:spacing w:before="12"/>
                  <w:ind w:left="20"/>
                  <w:rPr>
                    <w:rFonts w:ascii="Arial"/>
                    <w:sz w:val="20"/>
                  </w:rPr>
                </w:pPr>
                <w:r>
                  <w:rPr>
                    <w:rFonts w:ascii="Arial"/>
                    <w:w w:val="99"/>
                    <w:sz w:val="20"/>
                  </w:rPr>
                  <w:t>5</w:t>
                </w:r>
              </w:p>
            </w:txbxContent>
          </v:textbox>
          <w10:wrap anchorx="page" anchory="page"/>
        </v:shape>
      </w:pict>
    </w:r>
    <w:r>
      <w:pict>
        <v:shape id="docshape12" o:spid="_x0000_s2062" type="#_x0000_t202" style="position:absolute;margin-left:156.2pt;margin-top:772.35pt;width:265.45pt;height:24.55pt;z-index:-15903232;mso-position-horizontal-relative:page;mso-position-vertical-relative:page" filled="f" stroked="f">
          <v:textbox inset="0,0,0,0">
            <w:txbxContent>
              <w:p w:rsidR="00CE3B4F" w:rsidRDefault="006A22CC">
                <w:pPr>
                  <w:spacing w:before="12"/>
                  <w:ind w:left="1186" w:hanging="1167"/>
                  <w:rPr>
                    <w:rFonts w:ascii="Arial" w:hAnsi="Arial"/>
                    <w:i/>
                    <w:sz w:val="20"/>
                  </w:rPr>
                </w:pP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7"/>
                    <w:sz w:val="20"/>
                  </w:rPr>
                  <w:t xml:space="preserve"> </w:t>
                </w:r>
                <w:r>
                  <w:rPr>
                    <w:rFonts w:ascii="Arial" w:hAnsi="Arial"/>
                    <w:i/>
                    <w:sz w:val="20"/>
                  </w:rPr>
                  <w:t>(Australian</w:t>
                </w:r>
                <w:r>
                  <w:rPr>
                    <w:rFonts w:ascii="Arial" w:hAnsi="Arial"/>
                    <w:i/>
                    <w:spacing w:val="-7"/>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w:t>
                </w:r>
                <w:r>
                  <w:rPr>
                    <w:rFonts w:ascii="Arial" w:hAnsi="Arial"/>
                    <w:i/>
                    <w:spacing w:val="-1"/>
                    <w:sz w:val="20"/>
                  </w:rPr>
                  <w:t xml:space="preserve"> </w:t>
                </w:r>
                <w:r>
                  <w:rPr>
                    <w:rFonts w:ascii="Arial" w:hAnsi="Arial"/>
                    <w:i/>
                    <w:sz w:val="20"/>
                  </w:rPr>
                  <w:t>80/03</w:t>
                </w:r>
                <w:r>
                  <w:rPr>
                    <w:rFonts w:ascii="Arial" w:hAnsi="Arial"/>
                    <w:i/>
                    <w:spacing w:val="-5"/>
                    <w:sz w:val="20"/>
                  </w:rPr>
                  <w:t xml:space="preserve"> </w:t>
                </w:r>
                <w:r>
                  <w:rPr>
                    <w:rFonts w:ascii="Arial" w:hAnsi="Arial"/>
                    <w:i/>
                    <w:sz w:val="20"/>
                  </w:rPr>
                  <w:t>–</w:t>
                </w:r>
                <w:r>
                  <w:rPr>
                    <w:rFonts w:ascii="Arial" w:hAnsi="Arial"/>
                    <w:i/>
                    <w:spacing w:val="-7"/>
                    <w:sz w:val="20"/>
                  </w:rPr>
                  <w:t xml:space="preserve"> </w:t>
                </w:r>
                <w:r>
                  <w:rPr>
                    <w:rFonts w:ascii="Arial" w:hAnsi="Arial"/>
                    <w:i/>
                    <w:sz w:val="20"/>
                  </w:rPr>
                  <w:t>Emission Control for Heavy Vehicles) 2006</w:t>
                </w:r>
              </w:p>
            </w:txbxContent>
          </v:textbox>
          <w10:wrap anchorx="page" anchory="page"/>
        </v:shape>
      </w:pict>
    </w:r>
    <w:r>
      <w:pict>
        <v:shape id="docshape13" o:spid="_x0000_s2061" type="#_x0000_t202" style="position:absolute;margin-left:203pt;margin-top:813.8pt;width:188.45pt;height:10.9pt;z-index:-15902720;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 id="docshape14" o:spid="_x0000_s2060" style="position:absolute;margin-left:85.1pt;margin-top:775.2pt;width:414.1pt;height:.5pt;z-index:-15902208;mso-position-horizontal-relative:page;mso-position-vertical-relative:page" coordorigin="1702,15504" coordsize="8282,10" o:spt="100" adj="0,,0" path="m8723,15504r-5876,l2837,15504r,l1702,15504r,9l2837,15513r,l2847,15513r5876,l8723,15504xm9984,15504r-1251,l8724,15504r,9l8733,15513r1251,l9984,15504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5" o:spid="_x0000_s2059" type="#_x0000_t202" style="position:absolute;margin-left:89.5pt;margin-top:774.9pt;width:7.55pt;height:13.15pt;z-index:-15901696;mso-position-horizontal-relative:page;mso-position-vertical-relative:page" filled="f" stroked="f">
          <v:textbox inset="0,0,0,0">
            <w:txbxContent>
              <w:p w:rsidR="00CE3B4F" w:rsidRDefault="006A22CC">
                <w:pPr>
                  <w:spacing w:before="12"/>
                  <w:ind w:left="20"/>
                  <w:rPr>
                    <w:rFonts w:ascii="Arial"/>
                    <w:sz w:val="20"/>
                  </w:rPr>
                </w:pPr>
                <w:r>
                  <w:rPr>
                    <w:rFonts w:ascii="Arial"/>
                    <w:w w:val="99"/>
                    <w:sz w:val="20"/>
                  </w:rPr>
                  <w:t>6</w:t>
                </w:r>
              </w:p>
            </w:txbxContent>
          </v:textbox>
          <w10:wrap anchorx="page" anchory="page"/>
        </v:shape>
      </w:pict>
    </w:r>
    <w:r>
      <w:pict>
        <v:shape id="docshape16" o:spid="_x0000_s2058" type="#_x0000_t202" style="position:absolute;margin-left:156.2pt;margin-top:775.85pt;width:265.45pt;height:24.55pt;z-index:-15901184;mso-position-horizontal-relative:page;mso-position-vertical-relative:page" filled="f" stroked="f">
          <v:textbox inset="0,0,0,0">
            <w:txbxContent>
              <w:p w:rsidR="00CE3B4F" w:rsidRDefault="006A22CC">
                <w:pPr>
                  <w:spacing w:before="12"/>
                  <w:ind w:left="1186" w:hanging="1167"/>
                  <w:rPr>
                    <w:rFonts w:ascii="Arial" w:hAnsi="Arial"/>
                    <w:i/>
                    <w:sz w:val="20"/>
                  </w:rPr>
                </w:pP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7"/>
                    <w:sz w:val="20"/>
                  </w:rPr>
                  <w:t xml:space="preserve"> </w:t>
                </w:r>
                <w:r>
                  <w:rPr>
                    <w:rFonts w:ascii="Arial" w:hAnsi="Arial"/>
                    <w:i/>
                    <w:sz w:val="20"/>
                  </w:rPr>
                  <w:t>(Australian</w:t>
                </w:r>
                <w:r>
                  <w:rPr>
                    <w:rFonts w:ascii="Arial" w:hAnsi="Arial"/>
                    <w:i/>
                    <w:spacing w:val="-7"/>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w:t>
                </w:r>
                <w:r>
                  <w:rPr>
                    <w:rFonts w:ascii="Arial" w:hAnsi="Arial"/>
                    <w:i/>
                    <w:spacing w:val="-1"/>
                    <w:sz w:val="20"/>
                  </w:rPr>
                  <w:t xml:space="preserve"> </w:t>
                </w:r>
                <w:r>
                  <w:rPr>
                    <w:rFonts w:ascii="Arial" w:hAnsi="Arial"/>
                    <w:i/>
                    <w:sz w:val="20"/>
                  </w:rPr>
                  <w:t>80/03</w:t>
                </w:r>
                <w:r>
                  <w:rPr>
                    <w:rFonts w:ascii="Arial" w:hAnsi="Arial"/>
                    <w:i/>
                    <w:spacing w:val="-5"/>
                    <w:sz w:val="20"/>
                  </w:rPr>
                  <w:t xml:space="preserve"> </w:t>
                </w:r>
                <w:r>
                  <w:rPr>
                    <w:rFonts w:ascii="Arial" w:hAnsi="Arial"/>
                    <w:i/>
                    <w:sz w:val="20"/>
                  </w:rPr>
                  <w:t>–</w:t>
                </w:r>
                <w:r>
                  <w:rPr>
                    <w:rFonts w:ascii="Arial" w:hAnsi="Arial"/>
                    <w:i/>
                    <w:spacing w:val="-7"/>
                    <w:sz w:val="20"/>
                  </w:rPr>
                  <w:t xml:space="preserve"> </w:t>
                </w:r>
                <w:r>
                  <w:rPr>
                    <w:rFonts w:ascii="Arial" w:hAnsi="Arial"/>
                    <w:i/>
                    <w:sz w:val="20"/>
                  </w:rPr>
                  <w:t>Emission Control for Heavy Vehicles) 2006</w:t>
                </w:r>
              </w:p>
            </w:txbxContent>
          </v:textbox>
          <w10:wrap anchorx="page" anchory="page"/>
        </v:shape>
      </w:pict>
    </w:r>
    <w:r>
      <w:pict>
        <v:shape id="docshape17" o:spid="_x0000_s2057" type="#_x0000_t202" style="position:absolute;margin-left:203pt;margin-top:813.8pt;width:188.45pt;height:10.9pt;z-index:-15900672;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 id="docshape18" o:spid="_x0000_s2056" style="position:absolute;margin-left:85.1pt;margin-top:771.7pt;width:414.1pt;height:.5pt;z-index:-15900160;mso-position-horizontal-relative:page;mso-position-vertical-relative:page" coordorigin="1702,15434" coordsize="8282,10" o:spt="100" adj="0,,0" path="m8723,15434r-5876,l2837,15434r,l1702,15434r,10l2837,15444r,l2847,15444r5876,l8723,15434xm9984,15434r-1251,l8724,15434r,10l8733,15444r1251,l9984,15434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9" o:spid="_x0000_s2055" type="#_x0000_t202" style="position:absolute;margin-left:487.25pt;margin-top:771.4pt;width:7.55pt;height:13.15pt;z-index:-15899648;mso-position-horizontal-relative:page;mso-position-vertical-relative:page" filled="f" stroked="f">
          <v:textbox inset="0,0,0,0">
            <w:txbxContent>
              <w:p w:rsidR="00CE3B4F" w:rsidRDefault="006A22CC">
                <w:pPr>
                  <w:spacing w:before="12"/>
                  <w:ind w:left="20"/>
                  <w:rPr>
                    <w:rFonts w:ascii="Arial"/>
                    <w:sz w:val="20"/>
                  </w:rPr>
                </w:pPr>
                <w:r>
                  <w:rPr>
                    <w:rFonts w:ascii="Arial"/>
                    <w:w w:val="99"/>
                    <w:sz w:val="20"/>
                  </w:rPr>
                  <w:t>7</w:t>
                </w:r>
              </w:p>
            </w:txbxContent>
          </v:textbox>
          <w10:wrap anchorx="page" anchory="page"/>
        </v:shape>
      </w:pict>
    </w:r>
    <w:r>
      <w:pict>
        <v:shape id="docshape20" o:spid="_x0000_s2054" type="#_x0000_t202" style="position:absolute;margin-left:156.2pt;margin-top:772.35pt;width:265.45pt;height:24.55pt;z-index:-15899136;mso-position-horizontal-relative:page;mso-position-vertical-relative:page" filled="f" stroked="f">
          <v:textbox inset="0,0,0,0">
            <w:txbxContent>
              <w:p w:rsidR="00CE3B4F" w:rsidRDefault="006A22CC">
                <w:pPr>
                  <w:spacing w:before="12"/>
                  <w:ind w:left="1186" w:hanging="1167"/>
                  <w:rPr>
                    <w:rFonts w:ascii="Arial" w:hAnsi="Arial"/>
                    <w:i/>
                    <w:sz w:val="20"/>
                  </w:rPr>
                </w:pP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7"/>
                    <w:sz w:val="20"/>
                  </w:rPr>
                  <w:t xml:space="preserve"> </w:t>
                </w:r>
                <w:r>
                  <w:rPr>
                    <w:rFonts w:ascii="Arial" w:hAnsi="Arial"/>
                    <w:i/>
                    <w:sz w:val="20"/>
                  </w:rPr>
                  <w:t>(Australian</w:t>
                </w:r>
                <w:r>
                  <w:rPr>
                    <w:rFonts w:ascii="Arial" w:hAnsi="Arial"/>
                    <w:i/>
                    <w:spacing w:val="-7"/>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w:t>
                </w:r>
                <w:r>
                  <w:rPr>
                    <w:rFonts w:ascii="Arial" w:hAnsi="Arial"/>
                    <w:i/>
                    <w:spacing w:val="-1"/>
                    <w:sz w:val="20"/>
                  </w:rPr>
                  <w:t xml:space="preserve"> </w:t>
                </w:r>
                <w:r>
                  <w:rPr>
                    <w:rFonts w:ascii="Arial" w:hAnsi="Arial"/>
                    <w:i/>
                    <w:sz w:val="20"/>
                  </w:rPr>
                  <w:t>80/03</w:t>
                </w:r>
                <w:r>
                  <w:rPr>
                    <w:rFonts w:ascii="Arial" w:hAnsi="Arial"/>
                    <w:i/>
                    <w:spacing w:val="-5"/>
                    <w:sz w:val="20"/>
                  </w:rPr>
                  <w:t xml:space="preserve"> </w:t>
                </w:r>
                <w:r>
                  <w:rPr>
                    <w:rFonts w:ascii="Arial" w:hAnsi="Arial"/>
                    <w:i/>
                    <w:sz w:val="20"/>
                  </w:rPr>
                  <w:t>–</w:t>
                </w:r>
                <w:r>
                  <w:rPr>
                    <w:rFonts w:ascii="Arial" w:hAnsi="Arial"/>
                    <w:i/>
                    <w:spacing w:val="-7"/>
                    <w:sz w:val="20"/>
                  </w:rPr>
                  <w:t xml:space="preserve"> </w:t>
                </w:r>
                <w:r>
                  <w:rPr>
                    <w:rFonts w:ascii="Arial" w:hAnsi="Arial"/>
                    <w:i/>
                    <w:sz w:val="20"/>
                  </w:rPr>
                  <w:t>Emission Control for Heavy Vehicles) 2006</w:t>
                </w:r>
              </w:p>
            </w:txbxContent>
          </v:textbox>
          <w10:wrap anchorx="page" anchory="page"/>
        </v:shape>
      </w:pict>
    </w:r>
    <w:r>
      <w:pict>
        <v:shape id="docshape21" o:spid="_x0000_s2053" type="#_x0000_t202" style="position:absolute;margin-left:203pt;margin-top:813.8pt;width:188.45pt;height:10.9pt;z-index:-15898624;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4F" w:rsidRDefault="006A22CC">
    <w:pPr>
      <w:pStyle w:val="BodyText"/>
      <w:spacing w:line="14" w:lineRule="auto"/>
      <w:ind w:left="0"/>
      <w:rPr>
        <w:sz w:val="20"/>
      </w:rPr>
    </w:pPr>
    <w:r>
      <w:pict>
        <v:shape id="docshape22" o:spid="_x0000_s2052" style="position:absolute;margin-left:85.1pt;margin-top:775.2pt;width:414.1pt;height:.5pt;z-index:-15898112;mso-position-horizontal-relative:page;mso-position-vertical-relative:page" coordorigin="1702,15504" coordsize="8282,10" o:spt="100" adj="0,,0" path="m8723,15504r-5876,l2837,15504r,l1702,15504r,9l2837,15513r,l2847,15513r5876,l8723,15504xm9984,15504r-1251,l8724,15504r,9l8733,15513r1251,l9984,15504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23" o:spid="_x0000_s2051" type="#_x0000_t202" style="position:absolute;margin-left:89.5pt;margin-top:774.9pt;width:7.55pt;height:13.15pt;z-index:-15897600;mso-position-horizontal-relative:page;mso-position-vertical-relative:page" filled="f" stroked="f">
          <v:textbox inset="0,0,0,0">
            <w:txbxContent>
              <w:p w:rsidR="00CE3B4F" w:rsidRDefault="006A22CC">
                <w:pPr>
                  <w:spacing w:before="12"/>
                  <w:ind w:left="20"/>
                  <w:rPr>
                    <w:rFonts w:ascii="Arial"/>
                    <w:sz w:val="20"/>
                  </w:rPr>
                </w:pPr>
                <w:r>
                  <w:rPr>
                    <w:rFonts w:ascii="Arial"/>
                    <w:w w:val="99"/>
                    <w:sz w:val="20"/>
                  </w:rPr>
                  <w:t>8</w:t>
                </w:r>
              </w:p>
            </w:txbxContent>
          </v:textbox>
          <w10:wrap anchorx="page" anchory="page"/>
        </v:shape>
      </w:pict>
    </w:r>
    <w:r>
      <w:pict>
        <v:shape id="docshape24" o:spid="_x0000_s2050" type="#_x0000_t202" style="position:absolute;margin-left:156.2pt;margin-top:775.85pt;width:265.45pt;height:24.55pt;z-index:-15897088;mso-position-horizontal-relative:page;mso-position-vertical-relative:page" filled="f" stroked="f">
          <v:textbox inset="0,0,0,0">
            <w:txbxContent>
              <w:p w:rsidR="00CE3B4F" w:rsidRDefault="006A22CC">
                <w:pPr>
                  <w:spacing w:before="12"/>
                  <w:ind w:left="1186" w:hanging="1167"/>
                  <w:rPr>
                    <w:rFonts w:ascii="Arial" w:hAnsi="Arial"/>
                    <w:i/>
                    <w:sz w:val="20"/>
                  </w:rPr>
                </w:pPr>
                <w:r>
                  <w:rPr>
                    <w:rFonts w:ascii="Arial" w:hAnsi="Arial"/>
                    <w:i/>
                    <w:sz w:val="20"/>
                  </w:rPr>
                  <w:t>Vehicle</w:t>
                </w:r>
                <w:r>
                  <w:rPr>
                    <w:rFonts w:ascii="Arial" w:hAnsi="Arial"/>
                    <w:i/>
                    <w:spacing w:val="-5"/>
                    <w:sz w:val="20"/>
                  </w:rPr>
                  <w:t xml:space="preserve"> </w:t>
                </w:r>
                <w:r>
                  <w:rPr>
                    <w:rFonts w:ascii="Arial" w:hAnsi="Arial"/>
                    <w:i/>
                    <w:sz w:val="20"/>
                  </w:rPr>
                  <w:t>Standard</w:t>
                </w:r>
                <w:r>
                  <w:rPr>
                    <w:rFonts w:ascii="Arial" w:hAnsi="Arial"/>
                    <w:i/>
                    <w:spacing w:val="-7"/>
                    <w:sz w:val="20"/>
                  </w:rPr>
                  <w:t xml:space="preserve"> </w:t>
                </w:r>
                <w:r>
                  <w:rPr>
                    <w:rFonts w:ascii="Arial" w:hAnsi="Arial"/>
                    <w:i/>
                    <w:sz w:val="20"/>
                  </w:rPr>
                  <w:t>(Australian</w:t>
                </w:r>
                <w:r>
                  <w:rPr>
                    <w:rFonts w:ascii="Arial" w:hAnsi="Arial"/>
                    <w:i/>
                    <w:spacing w:val="-7"/>
                    <w:sz w:val="20"/>
                  </w:rPr>
                  <w:t xml:space="preserve"> </w:t>
                </w:r>
                <w:r>
                  <w:rPr>
                    <w:rFonts w:ascii="Arial" w:hAnsi="Arial"/>
                    <w:i/>
                    <w:sz w:val="20"/>
                  </w:rPr>
                  <w:t>Design</w:t>
                </w:r>
                <w:r>
                  <w:rPr>
                    <w:rFonts w:ascii="Arial" w:hAnsi="Arial"/>
                    <w:i/>
                    <w:spacing w:val="-7"/>
                    <w:sz w:val="20"/>
                  </w:rPr>
                  <w:t xml:space="preserve"> </w:t>
                </w:r>
                <w:r>
                  <w:rPr>
                    <w:rFonts w:ascii="Arial" w:hAnsi="Arial"/>
                    <w:i/>
                    <w:sz w:val="20"/>
                  </w:rPr>
                  <w:t>Rule</w:t>
                </w:r>
                <w:r>
                  <w:rPr>
                    <w:rFonts w:ascii="Arial" w:hAnsi="Arial"/>
                    <w:i/>
                    <w:spacing w:val="-1"/>
                    <w:sz w:val="20"/>
                  </w:rPr>
                  <w:t xml:space="preserve"> </w:t>
                </w:r>
                <w:r>
                  <w:rPr>
                    <w:rFonts w:ascii="Arial" w:hAnsi="Arial"/>
                    <w:i/>
                    <w:sz w:val="20"/>
                  </w:rPr>
                  <w:t>80/03</w:t>
                </w:r>
                <w:r>
                  <w:rPr>
                    <w:rFonts w:ascii="Arial" w:hAnsi="Arial"/>
                    <w:i/>
                    <w:spacing w:val="-5"/>
                    <w:sz w:val="20"/>
                  </w:rPr>
                  <w:t xml:space="preserve"> </w:t>
                </w:r>
                <w:r>
                  <w:rPr>
                    <w:rFonts w:ascii="Arial" w:hAnsi="Arial"/>
                    <w:i/>
                    <w:sz w:val="20"/>
                  </w:rPr>
                  <w:t>–</w:t>
                </w:r>
                <w:r>
                  <w:rPr>
                    <w:rFonts w:ascii="Arial" w:hAnsi="Arial"/>
                    <w:i/>
                    <w:spacing w:val="-7"/>
                    <w:sz w:val="20"/>
                  </w:rPr>
                  <w:t xml:space="preserve"> </w:t>
                </w:r>
                <w:r>
                  <w:rPr>
                    <w:rFonts w:ascii="Arial" w:hAnsi="Arial"/>
                    <w:i/>
                    <w:sz w:val="20"/>
                  </w:rPr>
                  <w:t>Emission Control for Heavy Vehicles) 2006</w:t>
                </w:r>
              </w:p>
            </w:txbxContent>
          </v:textbox>
          <w10:wrap anchorx="page" anchory="page"/>
        </v:shape>
      </w:pict>
    </w:r>
    <w:r>
      <w:pict>
        <v:shape id="docshape25" o:spid="_x0000_s2049" type="#_x0000_t202" style="position:absolute;margin-left:203pt;margin-top:813.8pt;width:188.45pt;height:10.9pt;z-index:-15896576;mso-position-horizontal-relative:page;mso-position-vertical-relative:page" filled="f" stroked="f">
          <v:textbox inset="0,0,0,0">
            <w:txbxContent>
              <w:p w:rsidR="00CE3B4F" w:rsidRDefault="00CE3B4F">
                <w:pPr>
                  <w:spacing w:before="13"/>
                  <w:ind w:left="20"/>
                  <w:rPr>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A22CC">
      <w:r>
        <w:separator/>
      </w:r>
    </w:p>
  </w:footnote>
  <w:footnote w:type="continuationSeparator" w:id="0">
    <w:p w:rsidR="00000000" w:rsidRDefault="006A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1FE4"/>
    <w:multiLevelType w:val="multilevel"/>
    <w:tmpl w:val="FA868C2A"/>
    <w:lvl w:ilvl="0">
      <w:start w:val="1"/>
      <w:numFmt w:val="decimal"/>
      <w:lvlText w:val="%1"/>
      <w:lvlJc w:val="left"/>
      <w:pPr>
        <w:ind w:left="810" w:hanging="708"/>
        <w:jc w:val="left"/>
      </w:pPr>
      <w:rPr>
        <w:rFonts w:ascii="Arial" w:eastAsia="Arial" w:hAnsi="Arial" w:cs="Arial" w:hint="default"/>
        <w:b/>
        <w:bCs/>
        <w:i w:val="0"/>
        <w:iCs w:val="0"/>
        <w:w w:val="99"/>
        <w:sz w:val="24"/>
        <w:szCs w:val="24"/>
      </w:rPr>
    </w:lvl>
    <w:lvl w:ilvl="1">
      <w:start w:val="1"/>
      <w:numFmt w:val="decimal"/>
      <w:lvlText w:val="%1.%2"/>
      <w:lvlJc w:val="left"/>
      <w:pPr>
        <w:ind w:left="822" w:hanging="720"/>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810" w:hanging="708"/>
        <w:jc w:val="left"/>
      </w:pPr>
      <w:rPr>
        <w:rFonts w:ascii="Times New Roman" w:eastAsia="Times New Roman" w:hAnsi="Times New Roman" w:cs="Times New Roman" w:hint="default"/>
        <w:b w:val="0"/>
        <w:bCs w:val="0"/>
        <w:i w:val="0"/>
        <w:iCs w:val="0"/>
        <w:w w:val="100"/>
        <w:sz w:val="24"/>
        <w:szCs w:val="24"/>
      </w:rPr>
    </w:lvl>
    <w:lvl w:ilvl="3">
      <w:start w:val="1"/>
      <w:numFmt w:val="decimal"/>
      <w:lvlText w:val="%1.%2.%3.%4"/>
      <w:lvlJc w:val="left"/>
      <w:pPr>
        <w:ind w:left="822" w:hanging="720"/>
        <w:jc w:val="left"/>
      </w:pPr>
      <w:rPr>
        <w:rFonts w:ascii="Times New Roman" w:eastAsia="Times New Roman" w:hAnsi="Times New Roman" w:cs="Times New Roman" w:hint="default"/>
        <w:b w:val="0"/>
        <w:bCs w:val="0"/>
        <w:i w:val="0"/>
        <w:iCs w:val="0"/>
        <w:w w:val="100"/>
        <w:sz w:val="24"/>
        <w:szCs w:val="24"/>
      </w:rPr>
    </w:lvl>
    <w:lvl w:ilvl="4">
      <w:numFmt w:val="bullet"/>
      <w:lvlText w:val="•"/>
      <w:lvlJc w:val="left"/>
      <w:pPr>
        <w:ind w:left="3595" w:hanging="720"/>
      </w:pPr>
      <w:rPr>
        <w:rFonts w:hint="default"/>
      </w:rPr>
    </w:lvl>
    <w:lvl w:ilvl="5">
      <w:numFmt w:val="bullet"/>
      <w:lvlText w:val="•"/>
      <w:lvlJc w:val="left"/>
      <w:pPr>
        <w:ind w:left="4473" w:hanging="720"/>
      </w:pPr>
      <w:rPr>
        <w:rFonts w:hint="default"/>
      </w:rPr>
    </w:lvl>
    <w:lvl w:ilvl="6">
      <w:numFmt w:val="bullet"/>
      <w:lvlText w:val="•"/>
      <w:lvlJc w:val="left"/>
      <w:pPr>
        <w:ind w:left="5352" w:hanging="720"/>
      </w:pPr>
      <w:rPr>
        <w:rFonts w:hint="default"/>
      </w:rPr>
    </w:lvl>
    <w:lvl w:ilvl="7">
      <w:numFmt w:val="bullet"/>
      <w:lvlText w:val="•"/>
      <w:lvlJc w:val="left"/>
      <w:pPr>
        <w:ind w:left="6230" w:hanging="720"/>
      </w:pPr>
      <w:rPr>
        <w:rFonts w:hint="default"/>
      </w:rPr>
    </w:lvl>
    <w:lvl w:ilvl="8">
      <w:numFmt w:val="bullet"/>
      <w:lvlText w:val="•"/>
      <w:lvlJc w:val="left"/>
      <w:pPr>
        <w:ind w:left="7109" w:hanging="720"/>
      </w:pPr>
      <w:rPr>
        <w:rFonts w:hint="default"/>
      </w:rPr>
    </w:lvl>
  </w:abstractNum>
  <w:abstractNum w:abstractNumId="1" w15:restartNumberingAfterBreak="0">
    <w:nsid w:val="2D8751C9"/>
    <w:multiLevelType w:val="multilevel"/>
    <w:tmpl w:val="D1707104"/>
    <w:lvl w:ilvl="0">
      <w:numFmt w:val="decimal"/>
      <w:lvlText w:val="%1"/>
      <w:lvlJc w:val="left"/>
      <w:pPr>
        <w:ind w:left="642" w:hanging="540"/>
        <w:jc w:val="left"/>
      </w:pPr>
      <w:rPr>
        <w:rFonts w:hint="default"/>
      </w:rPr>
    </w:lvl>
    <w:lvl w:ilvl="1">
      <w:start w:val="1"/>
      <w:numFmt w:val="decimal"/>
      <w:lvlText w:val="%1.%2"/>
      <w:lvlJc w:val="left"/>
      <w:pPr>
        <w:ind w:left="642" w:hanging="540"/>
        <w:jc w:val="left"/>
      </w:pPr>
      <w:rPr>
        <w:rFonts w:ascii="Arial" w:eastAsia="Arial" w:hAnsi="Arial" w:cs="Arial" w:hint="default"/>
        <w:b/>
        <w:bCs/>
        <w:i w:val="0"/>
        <w:iCs w:val="0"/>
        <w:w w:val="99"/>
        <w:sz w:val="24"/>
        <w:szCs w:val="24"/>
      </w:rPr>
    </w:lvl>
    <w:lvl w:ilvl="2">
      <w:numFmt w:val="bullet"/>
      <w:lvlText w:val="•"/>
      <w:lvlJc w:val="left"/>
      <w:pPr>
        <w:ind w:left="2285" w:hanging="540"/>
      </w:pPr>
      <w:rPr>
        <w:rFonts w:hint="default"/>
      </w:rPr>
    </w:lvl>
    <w:lvl w:ilvl="3">
      <w:numFmt w:val="bullet"/>
      <w:lvlText w:val="•"/>
      <w:lvlJc w:val="left"/>
      <w:pPr>
        <w:ind w:left="3107" w:hanging="540"/>
      </w:pPr>
      <w:rPr>
        <w:rFonts w:hint="default"/>
      </w:rPr>
    </w:lvl>
    <w:lvl w:ilvl="4">
      <w:numFmt w:val="bullet"/>
      <w:lvlText w:val="•"/>
      <w:lvlJc w:val="left"/>
      <w:pPr>
        <w:ind w:left="3930" w:hanging="540"/>
      </w:pPr>
      <w:rPr>
        <w:rFonts w:hint="default"/>
      </w:rPr>
    </w:lvl>
    <w:lvl w:ilvl="5">
      <w:numFmt w:val="bullet"/>
      <w:lvlText w:val="•"/>
      <w:lvlJc w:val="left"/>
      <w:pPr>
        <w:ind w:left="4753" w:hanging="540"/>
      </w:pPr>
      <w:rPr>
        <w:rFonts w:hint="default"/>
      </w:rPr>
    </w:lvl>
    <w:lvl w:ilvl="6">
      <w:numFmt w:val="bullet"/>
      <w:lvlText w:val="•"/>
      <w:lvlJc w:val="left"/>
      <w:pPr>
        <w:ind w:left="5575" w:hanging="540"/>
      </w:pPr>
      <w:rPr>
        <w:rFonts w:hint="default"/>
      </w:rPr>
    </w:lvl>
    <w:lvl w:ilvl="7">
      <w:numFmt w:val="bullet"/>
      <w:lvlText w:val="•"/>
      <w:lvlJc w:val="left"/>
      <w:pPr>
        <w:ind w:left="6398" w:hanging="540"/>
      </w:pPr>
      <w:rPr>
        <w:rFonts w:hint="default"/>
      </w:rPr>
    </w:lvl>
    <w:lvl w:ilvl="8">
      <w:numFmt w:val="bullet"/>
      <w:lvlText w:val="•"/>
      <w:lvlJc w:val="left"/>
      <w:pPr>
        <w:ind w:left="7221" w:hanging="540"/>
      </w:pPr>
      <w:rPr>
        <w:rFonts w:hint="default"/>
      </w:rPr>
    </w:lvl>
  </w:abstractNum>
  <w:abstractNum w:abstractNumId="2" w15:restartNumberingAfterBreak="0">
    <w:nsid w:val="31B368CC"/>
    <w:multiLevelType w:val="multilevel"/>
    <w:tmpl w:val="0504D4AE"/>
    <w:lvl w:ilvl="0">
      <w:numFmt w:val="decimal"/>
      <w:lvlText w:val="%1"/>
      <w:lvlJc w:val="left"/>
      <w:pPr>
        <w:ind w:left="810" w:hanging="708"/>
        <w:jc w:val="left"/>
      </w:pPr>
      <w:rPr>
        <w:rFonts w:hint="default"/>
      </w:rPr>
    </w:lvl>
    <w:lvl w:ilvl="1">
      <w:start w:val="1"/>
      <w:numFmt w:val="decimal"/>
      <w:lvlText w:val="%1.%2"/>
      <w:lvlJc w:val="left"/>
      <w:pPr>
        <w:ind w:left="810" w:hanging="708"/>
        <w:jc w:val="left"/>
      </w:pPr>
      <w:rPr>
        <w:rFonts w:ascii="Arial" w:eastAsia="Arial" w:hAnsi="Arial" w:cs="Arial" w:hint="default"/>
        <w:b/>
        <w:bCs/>
        <w:i w:val="0"/>
        <w:iCs w:val="0"/>
        <w:w w:val="99"/>
        <w:sz w:val="24"/>
        <w:szCs w:val="24"/>
      </w:rPr>
    </w:lvl>
    <w:lvl w:ilvl="2">
      <w:start w:val="1"/>
      <w:numFmt w:val="decimal"/>
      <w:lvlText w:val="%1.%2.%3"/>
      <w:lvlJc w:val="left"/>
      <w:pPr>
        <w:ind w:left="822" w:hanging="720"/>
        <w:jc w:val="left"/>
      </w:pPr>
      <w:rPr>
        <w:rFonts w:ascii="Times New Roman" w:eastAsia="Times New Roman" w:hAnsi="Times New Roman" w:cs="Times New Roman" w:hint="default"/>
        <w:b w:val="0"/>
        <w:bCs w:val="0"/>
        <w:i w:val="0"/>
        <w:iCs w:val="0"/>
        <w:spacing w:val="-1"/>
        <w:w w:val="100"/>
        <w:sz w:val="24"/>
        <w:szCs w:val="24"/>
      </w:rPr>
    </w:lvl>
    <w:lvl w:ilvl="3">
      <w:numFmt w:val="bullet"/>
      <w:lvlText w:val="•"/>
      <w:lvlJc w:val="left"/>
      <w:pPr>
        <w:ind w:left="3233" w:hanging="720"/>
      </w:pPr>
      <w:rPr>
        <w:rFonts w:hint="default"/>
      </w:rPr>
    </w:lvl>
    <w:lvl w:ilvl="4">
      <w:numFmt w:val="bullet"/>
      <w:lvlText w:val="•"/>
      <w:lvlJc w:val="left"/>
      <w:pPr>
        <w:ind w:left="4038" w:hanging="720"/>
      </w:pPr>
      <w:rPr>
        <w:rFonts w:hint="default"/>
      </w:rPr>
    </w:lvl>
    <w:lvl w:ilvl="5">
      <w:numFmt w:val="bullet"/>
      <w:lvlText w:val="•"/>
      <w:lvlJc w:val="left"/>
      <w:pPr>
        <w:ind w:left="4843" w:hanging="720"/>
      </w:pPr>
      <w:rPr>
        <w:rFonts w:hint="default"/>
      </w:rPr>
    </w:lvl>
    <w:lvl w:ilvl="6">
      <w:numFmt w:val="bullet"/>
      <w:lvlText w:val="•"/>
      <w:lvlJc w:val="left"/>
      <w:pPr>
        <w:ind w:left="5647" w:hanging="720"/>
      </w:pPr>
      <w:rPr>
        <w:rFonts w:hint="default"/>
      </w:rPr>
    </w:lvl>
    <w:lvl w:ilvl="7">
      <w:numFmt w:val="bullet"/>
      <w:lvlText w:val="•"/>
      <w:lvlJc w:val="left"/>
      <w:pPr>
        <w:ind w:left="6452" w:hanging="720"/>
      </w:pPr>
      <w:rPr>
        <w:rFonts w:hint="default"/>
      </w:rPr>
    </w:lvl>
    <w:lvl w:ilvl="8">
      <w:numFmt w:val="bullet"/>
      <w:lvlText w:val="•"/>
      <w:lvlJc w:val="left"/>
      <w:pPr>
        <w:ind w:left="7257" w:hanging="720"/>
      </w:pPr>
      <w:rPr>
        <w:rFonts w:hint="default"/>
      </w:rPr>
    </w:lvl>
  </w:abstractNum>
  <w:abstractNum w:abstractNumId="3" w15:restartNumberingAfterBreak="0">
    <w:nsid w:val="61276BE8"/>
    <w:multiLevelType w:val="hybridMultilevel"/>
    <w:tmpl w:val="EEE0C0AA"/>
    <w:lvl w:ilvl="0" w:tplc="D662E83C">
      <w:start w:val="1"/>
      <w:numFmt w:val="decimal"/>
      <w:lvlText w:val="%1"/>
      <w:lvlJc w:val="left"/>
      <w:pPr>
        <w:ind w:left="642" w:hanging="540"/>
        <w:jc w:val="left"/>
      </w:pPr>
      <w:rPr>
        <w:rFonts w:ascii="Arial" w:eastAsia="Arial" w:hAnsi="Arial" w:cs="Arial" w:hint="default"/>
        <w:b/>
        <w:bCs/>
        <w:i w:val="0"/>
        <w:iCs w:val="0"/>
        <w:w w:val="99"/>
        <w:sz w:val="24"/>
        <w:szCs w:val="24"/>
      </w:rPr>
    </w:lvl>
    <w:lvl w:ilvl="1" w:tplc="08A4E2E2">
      <w:numFmt w:val="bullet"/>
      <w:lvlText w:val="•"/>
      <w:lvlJc w:val="left"/>
      <w:pPr>
        <w:ind w:left="1462" w:hanging="540"/>
      </w:pPr>
      <w:rPr>
        <w:rFonts w:hint="default"/>
      </w:rPr>
    </w:lvl>
    <w:lvl w:ilvl="2" w:tplc="8A4E6636">
      <w:numFmt w:val="bullet"/>
      <w:lvlText w:val="•"/>
      <w:lvlJc w:val="left"/>
      <w:pPr>
        <w:ind w:left="2285" w:hanging="540"/>
      </w:pPr>
      <w:rPr>
        <w:rFonts w:hint="default"/>
      </w:rPr>
    </w:lvl>
    <w:lvl w:ilvl="3" w:tplc="C4D25F2E">
      <w:numFmt w:val="bullet"/>
      <w:lvlText w:val="•"/>
      <w:lvlJc w:val="left"/>
      <w:pPr>
        <w:ind w:left="3107" w:hanging="540"/>
      </w:pPr>
      <w:rPr>
        <w:rFonts w:hint="default"/>
      </w:rPr>
    </w:lvl>
    <w:lvl w:ilvl="4" w:tplc="F364F548">
      <w:numFmt w:val="bullet"/>
      <w:lvlText w:val="•"/>
      <w:lvlJc w:val="left"/>
      <w:pPr>
        <w:ind w:left="3930" w:hanging="540"/>
      </w:pPr>
      <w:rPr>
        <w:rFonts w:hint="default"/>
      </w:rPr>
    </w:lvl>
    <w:lvl w:ilvl="5" w:tplc="59684198">
      <w:numFmt w:val="bullet"/>
      <w:lvlText w:val="•"/>
      <w:lvlJc w:val="left"/>
      <w:pPr>
        <w:ind w:left="4753" w:hanging="540"/>
      </w:pPr>
      <w:rPr>
        <w:rFonts w:hint="default"/>
      </w:rPr>
    </w:lvl>
    <w:lvl w:ilvl="6" w:tplc="E4E49070">
      <w:numFmt w:val="bullet"/>
      <w:lvlText w:val="•"/>
      <w:lvlJc w:val="left"/>
      <w:pPr>
        <w:ind w:left="5575" w:hanging="540"/>
      </w:pPr>
      <w:rPr>
        <w:rFonts w:hint="default"/>
      </w:rPr>
    </w:lvl>
    <w:lvl w:ilvl="7" w:tplc="C600785A">
      <w:numFmt w:val="bullet"/>
      <w:lvlText w:val="•"/>
      <w:lvlJc w:val="left"/>
      <w:pPr>
        <w:ind w:left="6398" w:hanging="540"/>
      </w:pPr>
      <w:rPr>
        <w:rFonts w:hint="default"/>
      </w:rPr>
    </w:lvl>
    <w:lvl w:ilvl="8" w:tplc="97E6B834">
      <w:numFmt w:val="bullet"/>
      <w:lvlText w:val="•"/>
      <w:lvlJc w:val="left"/>
      <w:pPr>
        <w:ind w:left="7221" w:hanging="5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3B4F"/>
    <w:rsid w:val="006A22CC"/>
    <w:rsid w:val="00CE3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E44683AE-29E7-4C73-A7CF-5004FC19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6"/>
      <w:ind w:left="810" w:hanging="708"/>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642" w:hanging="540"/>
    </w:pPr>
    <w:rPr>
      <w:rFonts w:ascii="Arial" w:eastAsia="Arial" w:hAnsi="Arial" w:cs="Arial"/>
      <w:b/>
      <w:bCs/>
      <w:sz w:val="24"/>
      <w:szCs w:val="24"/>
    </w:rPr>
  </w:style>
  <w:style w:type="paragraph" w:styleId="BodyText">
    <w:name w:val="Body Text"/>
    <w:basedOn w:val="Normal"/>
    <w:uiPriority w:val="1"/>
    <w:qFormat/>
    <w:pPr>
      <w:ind w:left="821"/>
    </w:pPr>
    <w:rPr>
      <w:sz w:val="24"/>
      <w:szCs w:val="24"/>
    </w:rPr>
  </w:style>
  <w:style w:type="paragraph" w:styleId="Title">
    <w:name w:val="Title"/>
    <w:basedOn w:val="Normal"/>
    <w:uiPriority w:val="10"/>
    <w:qFormat/>
    <w:pPr>
      <w:spacing w:before="264"/>
      <w:ind w:left="198" w:right="818"/>
    </w:pPr>
    <w:rPr>
      <w:rFonts w:ascii="Arial" w:eastAsia="Arial" w:hAnsi="Arial" w:cs="Arial"/>
      <w:b/>
      <w:bCs/>
      <w:sz w:val="40"/>
      <w:szCs w:val="40"/>
    </w:rPr>
  </w:style>
  <w:style w:type="paragraph" w:styleId="ListParagraph">
    <w:name w:val="List Paragraph"/>
    <w:basedOn w:val="Normal"/>
    <w:uiPriority w:val="1"/>
    <w:qFormat/>
    <w:pPr>
      <w:spacing w:before="192"/>
      <w:ind w:left="821" w:hanging="720"/>
      <w:jc w:val="both"/>
    </w:pPr>
  </w:style>
  <w:style w:type="paragraph" w:customStyle="1" w:styleId="TableParagraph">
    <w:name w:val="Table Paragraph"/>
    <w:basedOn w:val="Normal"/>
    <w:uiPriority w:val="1"/>
    <w:qFormat/>
    <w:pPr>
      <w:ind w:left="219"/>
      <w:jc w:val="center"/>
    </w:pPr>
    <w:rPr>
      <w:rFonts w:ascii="Arial" w:eastAsia="Arial" w:hAnsi="Arial" w:cs="Arial"/>
    </w:rPr>
  </w:style>
  <w:style w:type="paragraph" w:styleId="Header">
    <w:name w:val="header"/>
    <w:basedOn w:val="Normal"/>
    <w:link w:val="HeaderChar"/>
    <w:uiPriority w:val="99"/>
    <w:unhideWhenUsed/>
    <w:rsid w:val="006A22CC"/>
    <w:pPr>
      <w:tabs>
        <w:tab w:val="center" w:pos="4513"/>
        <w:tab w:val="right" w:pos="9026"/>
      </w:tabs>
    </w:pPr>
  </w:style>
  <w:style w:type="character" w:customStyle="1" w:styleId="HeaderChar">
    <w:name w:val="Header Char"/>
    <w:basedOn w:val="DefaultParagraphFont"/>
    <w:link w:val="Header"/>
    <w:uiPriority w:val="99"/>
    <w:rsid w:val="006A22CC"/>
    <w:rPr>
      <w:rFonts w:ascii="Times New Roman" w:eastAsia="Times New Roman" w:hAnsi="Times New Roman" w:cs="Times New Roman"/>
    </w:rPr>
  </w:style>
  <w:style w:type="paragraph" w:styleId="Footer">
    <w:name w:val="footer"/>
    <w:basedOn w:val="Normal"/>
    <w:link w:val="FooterChar"/>
    <w:uiPriority w:val="99"/>
    <w:unhideWhenUsed/>
    <w:rsid w:val="006A22CC"/>
    <w:pPr>
      <w:tabs>
        <w:tab w:val="center" w:pos="4513"/>
        <w:tab w:val="right" w:pos="9026"/>
      </w:tabs>
    </w:pPr>
  </w:style>
  <w:style w:type="character" w:customStyle="1" w:styleId="FooterChar">
    <w:name w:val="Footer Char"/>
    <w:basedOn w:val="DefaultParagraphFont"/>
    <w:link w:val="Footer"/>
    <w:uiPriority w:val="99"/>
    <w:rsid w:val="006A22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14033</Characters>
  <Application>Microsoft Office Word</Application>
  <DocSecurity>0</DocSecurity>
  <Lines>116</Lines>
  <Paragraphs>32</Paragraphs>
  <ScaleCrop>false</ScaleCrop>
  <Company>Office of Parliamentary Counsel</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Swift, Aasha</cp:lastModifiedBy>
  <cp:revision>2</cp:revision>
  <dcterms:created xsi:type="dcterms:W3CDTF">2022-09-30T00:14:00Z</dcterms:created>
  <dcterms:modified xsi:type="dcterms:W3CDTF">2022-10-07T04:59:00Z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2013-01-11T00:00:00Z</vt:filetime>
  </property>
  <property fmtid="{D5CDD505-2E9C-101B-9397-08002B2CF9AE}" pid="3" name="Creator">
    <vt:lpwstr>Toolkit http://www.activepdf.com</vt:lpwstr>
  </property>
  <property fmtid="{D5CDD505-2E9C-101B-9397-08002B2CF9AE}" pid="4" name="LastSaved">
    <vt:filetime>2022-09-30T00:00:00Z</vt:filetime>
  </property>
</Properties>
</file>