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CF" w:rsidRPr="00791061" w:rsidRDefault="001A0C6D" w:rsidP="00CE3819">
      <w:pPr>
        <w:jc w:val="center"/>
        <w:rPr>
          <w:szCs w:val="24"/>
        </w:rPr>
      </w:pPr>
      <w:r w:rsidRPr="00791061">
        <w:rPr>
          <w:noProof/>
          <w:szCs w:val="24"/>
        </w:rPr>
        <w:drawing>
          <wp:inline distT="0" distB="0" distL="0" distR="0">
            <wp:extent cx="6492240" cy="93188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2240" cy="9318850"/>
                    </a:xfrm>
                    <a:prstGeom prst="rect">
                      <a:avLst/>
                    </a:prstGeom>
                    <a:noFill/>
                    <a:ln>
                      <a:noFill/>
                    </a:ln>
                  </pic:spPr>
                </pic:pic>
              </a:graphicData>
            </a:graphic>
          </wp:inline>
        </w:drawing>
      </w:r>
    </w:p>
    <w:p w:rsidR="00CE3819" w:rsidRPr="00791061" w:rsidRDefault="00CE3819" w:rsidP="00CE3819">
      <w:pPr>
        <w:rPr>
          <w:szCs w:val="24"/>
        </w:rPr>
        <w:sectPr w:rsidR="00CE3819" w:rsidRPr="00791061" w:rsidSect="00CE3819">
          <w:pgSz w:w="11909" w:h="16834"/>
          <w:pgMar w:top="720" w:right="720" w:bottom="720" w:left="720" w:header="720" w:footer="720" w:gutter="0"/>
          <w:cols w:space="720"/>
          <w:noEndnote/>
          <w:docGrid w:linePitch="272"/>
        </w:sectPr>
      </w:pPr>
    </w:p>
    <w:p w:rsidR="00CE3819" w:rsidRPr="00791061" w:rsidRDefault="00CE3819" w:rsidP="00C20FB9">
      <w:pPr>
        <w:shd w:val="clear" w:color="auto" w:fill="FFFFFF"/>
        <w:spacing w:before="4080" w:line="298" w:lineRule="exact"/>
        <w:ind w:right="5"/>
        <w:jc w:val="both"/>
        <w:rPr>
          <w:szCs w:val="24"/>
        </w:rPr>
      </w:pPr>
      <w:bookmarkStart w:id="0" w:name="_GoBack"/>
      <w:bookmarkEnd w:id="0"/>
    </w:p>
    <w:tbl>
      <w:tblPr>
        <w:tblStyle w:val="TableGrid"/>
        <w:tblW w:w="0" w:type="auto"/>
        <w:tblInd w:w="154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110"/>
      </w:tblGrid>
      <w:tr w:rsidR="00CE3819" w:rsidRPr="00791061" w:rsidTr="00C20FB9">
        <w:tc>
          <w:tcPr>
            <w:tcW w:w="7110" w:type="dxa"/>
          </w:tcPr>
          <w:p w:rsidR="00CE3819" w:rsidRPr="00791061" w:rsidRDefault="00CE3819" w:rsidP="00C20FB9">
            <w:pPr>
              <w:shd w:val="clear" w:color="auto" w:fill="FFFFFF"/>
              <w:spacing w:before="120" w:line="298" w:lineRule="exact"/>
              <w:ind w:right="5"/>
              <w:jc w:val="both"/>
              <w:rPr>
                <w:szCs w:val="24"/>
              </w:rPr>
            </w:pPr>
            <w:r w:rsidRPr="00791061">
              <w:rPr>
                <w:szCs w:val="24"/>
              </w:rPr>
              <w:t>The following Guideline provides general guidance in relation to Investigation Levels for Soil and Groundwater in the assessment of site contamination.</w:t>
            </w:r>
          </w:p>
          <w:p w:rsidR="00CE3819" w:rsidRPr="00791061" w:rsidRDefault="00CE3819" w:rsidP="00C20FB9">
            <w:pPr>
              <w:shd w:val="clear" w:color="auto" w:fill="FFFFFF"/>
              <w:spacing w:before="120" w:line="298" w:lineRule="exact"/>
              <w:ind w:right="5"/>
              <w:jc w:val="both"/>
              <w:rPr>
                <w:szCs w:val="24"/>
              </w:rPr>
            </w:pPr>
            <w:r w:rsidRPr="00791061">
              <w:rPr>
                <w:szCs w:val="24"/>
              </w:rPr>
              <w:t>This Guideline forms part of the National Environment Protection (Assessment of Site Contamination) Measure 1999 and should be read in conjunction with that document, which includes a Policy Framework and Assessment of Site Contamination flowchart.</w:t>
            </w:r>
          </w:p>
          <w:p w:rsidR="00CE3819" w:rsidRPr="00791061" w:rsidRDefault="00CE3819" w:rsidP="00C20FB9">
            <w:pPr>
              <w:shd w:val="clear" w:color="auto" w:fill="FFFFFF"/>
              <w:spacing w:before="120" w:line="298" w:lineRule="exact"/>
              <w:jc w:val="both"/>
              <w:rPr>
                <w:szCs w:val="24"/>
              </w:rPr>
            </w:pPr>
            <w:r w:rsidRPr="00791061">
              <w:rPr>
                <w:szCs w:val="24"/>
              </w:rPr>
              <w:t>The National Environment Protection Council acknowledges the contribution of the National Health and Medical Research Council to the development of this Measure.</w:t>
            </w:r>
          </w:p>
          <w:p w:rsidR="00CE3819" w:rsidRPr="00791061" w:rsidRDefault="00CE3819">
            <w:pPr>
              <w:spacing w:line="298" w:lineRule="exact"/>
              <w:ind w:right="5"/>
              <w:jc w:val="both"/>
              <w:rPr>
                <w:szCs w:val="24"/>
              </w:rPr>
            </w:pPr>
          </w:p>
        </w:tc>
      </w:tr>
    </w:tbl>
    <w:p w:rsidR="00CE3819" w:rsidRPr="00791061" w:rsidRDefault="00CE3819">
      <w:pPr>
        <w:shd w:val="clear" w:color="auto" w:fill="FFFFFF"/>
        <w:spacing w:line="298" w:lineRule="exact"/>
        <w:ind w:right="5"/>
        <w:jc w:val="both"/>
        <w:rPr>
          <w:szCs w:val="24"/>
        </w:rPr>
      </w:pPr>
    </w:p>
    <w:p w:rsidR="00591FCF" w:rsidRPr="00791061" w:rsidRDefault="00591FCF" w:rsidP="001470BE">
      <w:pPr>
        <w:shd w:val="clear" w:color="auto" w:fill="FFFFFF"/>
        <w:spacing w:before="6355"/>
        <w:ind w:right="24"/>
        <w:rPr>
          <w:szCs w:val="24"/>
        </w:rPr>
      </w:pPr>
    </w:p>
    <w:p w:rsidR="00591FCF" w:rsidRPr="00791061" w:rsidRDefault="00591FCF">
      <w:pPr>
        <w:shd w:val="clear" w:color="auto" w:fill="FFFFFF"/>
        <w:spacing w:before="6355"/>
        <w:ind w:right="24"/>
        <w:jc w:val="center"/>
        <w:rPr>
          <w:szCs w:val="24"/>
        </w:rPr>
        <w:sectPr w:rsidR="00591FCF" w:rsidRPr="00791061" w:rsidSect="00CE3819">
          <w:pgSz w:w="11909" w:h="16834"/>
          <w:pgMar w:top="720" w:right="720" w:bottom="720" w:left="720" w:header="720" w:footer="720" w:gutter="0"/>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815"/>
        <w:gridCol w:w="8995"/>
        <w:gridCol w:w="739"/>
      </w:tblGrid>
      <w:tr w:rsidR="00C20FB9" w:rsidRPr="00791061" w:rsidTr="00C20FB9">
        <w:trPr>
          <w:trHeight w:val="20"/>
        </w:trPr>
        <w:tc>
          <w:tcPr>
            <w:tcW w:w="10549" w:type="dxa"/>
            <w:gridSpan w:val="3"/>
            <w:tcBorders>
              <w:top w:val="single" w:sz="2" w:space="0" w:color="auto"/>
              <w:left w:val="single" w:sz="2" w:space="0" w:color="auto"/>
              <w:bottom w:val="single" w:sz="2" w:space="0" w:color="auto"/>
              <w:right w:val="single" w:sz="2" w:space="0" w:color="auto"/>
            </w:tcBorders>
            <w:shd w:val="clear" w:color="auto" w:fill="FFFFFF"/>
          </w:tcPr>
          <w:p w:rsidR="00C20FB9" w:rsidRPr="00C727C6" w:rsidRDefault="00C20FB9" w:rsidP="00C20FB9">
            <w:pPr>
              <w:shd w:val="clear" w:color="auto" w:fill="FFFFFF"/>
              <w:spacing w:before="60" w:after="60"/>
              <w:jc w:val="center"/>
              <w:rPr>
                <w:rFonts w:ascii="Times New Roman Bold" w:hAnsi="Times New Roman Bold"/>
                <w:sz w:val="28"/>
                <w:szCs w:val="24"/>
              </w:rPr>
            </w:pPr>
            <w:r w:rsidRPr="00C727C6">
              <w:rPr>
                <w:rFonts w:ascii="Times New Roman Bold" w:hAnsi="Times New Roman Bold"/>
                <w:b/>
                <w:bCs/>
                <w:smallCaps/>
                <w:sz w:val="28"/>
                <w:szCs w:val="24"/>
              </w:rPr>
              <w:lastRenderedPageBreak/>
              <w:t>Contents</w:t>
            </w:r>
          </w:p>
          <w:p w:rsidR="00C20FB9" w:rsidRPr="00C727C6" w:rsidRDefault="00C20FB9" w:rsidP="00C20FB9">
            <w:pPr>
              <w:shd w:val="clear" w:color="auto" w:fill="FFFFFF"/>
              <w:spacing w:before="60" w:after="60"/>
              <w:jc w:val="center"/>
              <w:rPr>
                <w:rFonts w:ascii="Times New Roman Bold" w:hAnsi="Times New Roman Bold"/>
                <w:sz w:val="28"/>
                <w:szCs w:val="24"/>
              </w:rPr>
            </w:pPr>
            <w:r w:rsidRPr="00C727C6">
              <w:rPr>
                <w:rFonts w:ascii="Times New Roman Bold" w:hAnsi="Times New Roman Bold"/>
                <w:b/>
                <w:bCs/>
                <w:smallCaps/>
                <w:sz w:val="28"/>
                <w:szCs w:val="24"/>
              </w:rPr>
              <w:t>Investigation Levels for Soil and Groundwater</w:t>
            </w:r>
          </w:p>
          <w:p w:rsidR="00C20FB9" w:rsidRPr="00791061" w:rsidRDefault="00C20FB9">
            <w:pPr>
              <w:shd w:val="clear" w:color="auto" w:fill="FFFFFF"/>
              <w:ind w:right="235"/>
              <w:jc w:val="right"/>
              <w:rPr>
                <w:b/>
                <w:bCs/>
                <w:i/>
                <w:iCs/>
                <w:szCs w:val="24"/>
              </w:rPr>
            </w:pPr>
          </w:p>
        </w:tc>
      </w:tr>
      <w:tr w:rsidR="00C20FB9" w:rsidRPr="00791061" w:rsidTr="00C925A7">
        <w:trPr>
          <w:trHeight w:val="20"/>
        </w:trPr>
        <w:tc>
          <w:tcPr>
            <w:tcW w:w="815" w:type="dxa"/>
            <w:tcBorders>
              <w:top w:val="single" w:sz="2" w:space="0" w:color="auto"/>
              <w:left w:val="nil"/>
              <w:bottom w:val="nil"/>
              <w:right w:val="nil"/>
            </w:tcBorders>
            <w:shd w:val="clear" w:color="auto" w:fill="FFFFFF"/>
          </w:tcPr>
          <w:p w:rsidR="00C20FB9" w:rsidRPr="00791061" w:rsidRDefault="00C20FB9">
            <w:pPr>
              <w:shd w:val="clear" w:color="auto" w:fill="FFFFFF"/>
              <w:rPr>
                <w:szCs w:val="24"/>
              </w:rPr>
            </w:pPr>
          </w:p>
        </w:tc>
        <w:tc>
          <w:tcPr>
            <w:tcW w:w="8995" w:type="dxa"/>
            <w:tcBorders>
              <w:top w:val="single" w:sz="2" w:space="0" w:color="auto"/>
              <w:left w:val="nil"/>
              <w:bottom w:val="nil"/>
              <w:right w:val="nil"/>
            </w:tcBorders>
            <w:shd w:val="clear" w:color="auto" w:fill="FFFFFF"/>
          </w:tcPr>
          <w:p w:rsidR="00C20FB9" w:rsidRPr="00791061" w:rsidRDefault="00C20FB9">
            <w:pPr>
              <w:shd w:val="clear" w:color="auto" w:fill="FFFFFF"/>
              <w:rPr>
                <w:szCs w:val="24"/>
              </w:rPr>
            </w:pPr>
          </w:p>
        </w:tc>
        <w:tc>
          <w:tcPr>
            <w:tcW w:w="739" w:type="dxa"/>
            <w:tcBorders>
              <w:top w:val="single" w:sz="2" w:space="0" w:color="auto"/>
              <w:left w:val="nil"/>
              <w:bottom w:val="nil"/>
              <w:right w:val="nil"/>
            </w:tcBorders>
            <w:shd w:val="clear" w:color="auto" w:fill="FFFFFF"/>
          </w:tcPr>
          <w:p w:rsidR="00C20FB9" w:rsidRPr="00791061" w:rsidRDefault="00C20FB9">
            <w:pPr>
              <w:shd w:val="clear" w:color="auto" w:fill="FFFFFF"/>
              <w:ind w:right="235"/>
              <w:jc w:val="right"/>
              <w:rPr>
                <w:b/>
                <w:bCs/>
                <w:i/>
                <w:iCs/>
                <w:szCs w:val="24"/>
              </w:rPr>
            </w:pPr>
          </w:p>
        </w:tc>
      </w:tr>
      <w:tr w:rsidR="00591FCF" w:rsidRPr="00791061" w:rsidTr="00C925A7">
        <w:trPr>
          <w:trHeight w:val="20"/>
        </w:trPr>
        <w:tc>
          <w:tcPr>
            <w:tcW w:w="815" w:type="dxa"/>
            <w:tcBorders>
              <w:top w:val="nil"/>
              <w:left w:val="nil"/>
              <w:right w:val="nil"/>
            </w:tcBorders>
            <w:shd w:val="clear" w:color="auto" w:fill="FFFFFF"/>
          </w:tcPr>
          <w:p w:rsidR="00591FCF" w:rsidRPr="00791061" w:rsidRDefault="00591FCF">
            <w:pPr>
              <w:shd w:val="clear" w:color="auto" w:fill="FFFFFF"/>
              <w:rPr>
                <w:szCs w:val="24"/>
              </w:rPr>
            </w:pPr>
          </w:p>
        </w:tc>
        <w:tc>
          <w:tcPr>
            <w:tcW w:w="8995" w:type="dxa"/>
            <w:tcBorders>
              <w:top w:val="nil"/>
              <w:left w:val="nil"/>
              <w:right w:val="nil"/>
            </w:tcBorders>
            <w:shd w:val="clear" w:color="auto" w:fill="FFFFFF"/>
          </w:tcPr>
          <w:p w:rsidR="00591FCF" w:rsidRPr="00791061" w:rsidRDefault="00591FCF">
            <w:pPr>
              <w:shd w:val="clear" w:color="auto" w:fill="FFFFFF"/>
              <w:rPr>
                <w:szCs w:val="24"/>
              </w:rPr>
            </w:pPr>
          </w:p>
        </w:tc>
        <w:tc>
          <w:tcPr>
            <w:tcW w:w="739" w:type="dxa"/>
            <w:tcBorders>
              <w:top w:val="nil"/>
              <w:left w:val="nil"/>
              <w:right w:val="nil"/>
            </w:tcBorders>
            <w:shd w:val="clear" w:color="auto" w:fill="FFFFFF"/>
          </w:tcPr>
          <w:p w:rsidR="00591FCF" w:rsidRPr="00791061" w:rsidRDefault="00591FCF">
            <w:pPr>
              <w:shd w:val="clear" w:color="auto" w:fill="FFFFFF"/>
              <w:ind w:right="235"/>
              <w:jc w:val="right"/>
              <w:rPr>
                <w:szCs w:val="24"/>
              </w:rPr>
            </w:pPr>
            <w:r w:rsidRPr="00791061">
              <w:rPr>
                <w:b/>
                <w:bCs/>
                <w:i/>
                <w:iCs/>
                <w:szCs w:val="24"/>
              </w:rPr>
              <w:t>Page</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BD1C56" w:rsidP="00C20FB9">
            <w:pPr>
              <w:shd w:val="clear" w:color="auto" w:fill="FFFFFF"/>
              <w:spacing w:before="240"/>
              <w:ind w:left="235"/>
              <w:rPr>
                <w:szCs w:val="24"/>
              </w:rPr>
            </w:pPr>
            <w:hyperlink w:anchor="bookmark0" w:history="1">
              <w:r w:rsidR="00591FCF" w:rsidRPr="00791061">
                <w:rPr>
                  <w:b/>
                  <w:bCs/>
                  <w:szCs w:val="24"/>
                </w:rPr>
                <w:t>1.</w:t>
              </w:r>
            </w:hyperlink>
          </w:p>
        </w:tc>
        <w:tc>
          <w:tcPr>
            <w:tcW w:w="8995" w:type="dxa"/>
            <w:tcBorders>
              <w:top w:val="nil"/>
              <w:left w:val="nil"/>
              <w:bottom w:val="nil"/>
              <w:right w:val="nil"/>
            </w:tcBorders>
            <w:shd w:val="clear" w:color="auto" w:fill="FFFFFF"/>
          </w:tcPr>
          <w:p w:rsidR="00591FCF" w:rsidRPr="00791061" w:rsidRDefault="00591FCF" w:rsidP="00C925A7">
            <w:pPr>
              <w:shd w:val="clear" w:color="auto" w:fill="FFFFFF"/>
              <w:tabs>
                <w:tab w:val="left" w:leader="dot" w:pos="8865"/>
              </w:tabs>
              <w:spacing w:before="240"/>
              <w:rPr>
                <w:szCs w:val="24"/>
              </w:rPr>
            </w:pPr>
            <w:r w:rsidRPr="00791061">
              <w:rPr>
                <w:b/>
                <w:bCs/>
                <w:smallCaps/>
                <w:szCs w:val="24"/>
              </w:rPr>
              <w:t>Introduction</w:t>
            </w:r>
            <w:r w:rsidR="00C925A7" w:rsidRPr="00791061">
              <w:rPr>
                <w:b/>
                <w:bCs/>
                <w:smallCaps/>
                <w:szCs w:val="24"/>
              </w:rPr>
              <w:tab/>
            </w:r>
          </w:p>
        </w:tc>
        <w:tc>
          <w:tcPr>
            <w:tcW w:w="739" w:type="dxa"/>
            <w:tcBorders>
              <w:top w:val="nil"/>
              <w:left w:val="nil"/>
              <w:bottom w:val="nil"/>
              <w:right w:val="nil"/>
            </w:tcBorders>
            <w:shd w:val="clear" w:color="auto" w:fill="FFFFFF"/>
          </w:tcPr>
          <w:p w:rsidR="00591FCF" w:rsidRPr="00791061" w:rsidRDefault="00591FCF" w:rsidP="00C20FB9">
            <w:pPr>
              <w:shd w:val="clear" w:color="auto" w:fill="FFFFFF"/>
              <w:tabs>
                <w:tab w:val="left" w:leader="dot" w:pos="470"/>
              </w:tabs>
              <w:spacing w:before="240"/>
              <w:ind w:right="230"/>
              <w:jc w:val="right"/>
              <w:rPr>
                <w:szCs w:val="24"/>
              </w:rPr>
            </w:pPr>
            <w:r w:rsidRPr="00791061">
              <w:rPr>
                <w:b/>
                <w:bCs/>
                <w:szCs w:val="24"/>
              </w:rPr>
              <w:t>1</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BD1C56" w:rsidP="00C20FB9">
            <w:pPr>
              <w:shd w:val="clear" w:color="auto" w:fill="FFFFFF"/>
              <w:spacing w:before="240"/>
              <w:ind w:left="235"/>
              <w:rPr>
                <w:szCs w:val="24"/>
              </w:rPr>
            </w:pPr>
            <w:hyperlink w:anchor="bookmark0" w:history="1">
              <w:r w:rsidR="00591FCF" w:rsidRPr="00791061">
                <w:rPr>
                  <w:b/>
                  <w:bCs/>
                  <w:szCs w:val="24"/>
                </w:rPr>
                <w:t>2.</w:t>
              </w:r>
            </w:hyperlink>
          </w:p>
        </w:tc>
        <w:tc>
          <w:tcPr>
            <w:tcW w:w="8995" w:type="dxa"/>
            <w:tcBorders>
              <w:top w:val="nil"/>
              <w:left w:val="nil"/>
              <w:bottom w:val="nil"/>
              <w:right w:val="nil"/>
            </w:tcBorders>
            <w:shd w:val="clear" w:color="auto" w:fill="FFFFFF"/>
          </w:tcPr>
          <w:p w:rsidR="00591FCF" w:rsidRPr="00791061" w:rsidRDefault="00591FCF" w:rsidP="00C925A7">
            <w:pPr>
              <w:shd w:val="clear" w:color="auto" w:fill="FFFFFF"/>
              <w:tabs>
                <w:tab w:val="left" w:leader="dot" w:pos="8865"/>
              </w:tabs>
              <w:spacing w:before="240"/>
              <w:rPr>
                <w:szCs w:val="24"/>
              </w:rPr>
            </w:pPr>
            <w:r w:rsidRPr="00791061">
              <w:rPr>
                <w:b/>
                <w:bCs/>
                <w:smallCaps/>
                <w:szCs w:val="24"/>
              </w:rPr>
              <w:t>Definitions</w:t>
            </w:r>
            <w:r w:rsidR="00C925A7" w:rsidRPr="00791061">
              <w:rPr>
                <w:b/>
                <w:bCs/>
                <w:smallCaps/>
                <w:szCs w:val="24"/>
              </w:rPr>
              <w:tab/>
            </w:r>
          </w:p>
        </w:tc>
        <w:tc>
          <w:tcPr>
            <w:tcW w:w="739" w:type="dxa"/>
            <w:tcBorders>
              <w:top w:val="nil"/>
              <w:left w:val="nil"/>
              <w:bottom w:val="nil"/>
              <w:right w:val="nil"/>
            </w:tcBorders>
            <w:shd w:val="clear" w:color="auto" w:fill="FFFFFF"/>
          </w:tcPr>
          <w:p w:rsidR="00591FCF" w:rsidRPr="00791061" w:rsidRDefault="00591FCF" w:rsidP="00C20FB9">
            <w:pPr>
              <w:shd w:val="clear" w:color="auto" w:fill="FFFFFF"/>
              <w:tabs>
                <w:tab w:val="left" w:leader="dot" w:pos="470"/>
              </w:tabs>
              <w:spacing w:before="240"/>
              <w:ind w:right="230"/>
              <w:jc w:val="right"/>
              <w:rPr>
                <w:szCs w:val="24"/>
              </w:rPr>
            </w:pPr>
            <w:r w:rsidRPr="00791061">
              <w:rPr>
                <w:b/>
                <w:bCs/>
                <w:szCs w:val="24"/>
              </w:rPr>
              <w:t>1</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BD1C56" w:rsidP="00C20FB9">
            <w:pPr>
              <w:shd w:val="clear" w:color="auto" w:fill="FFFFFF"/>
              <w:spacing w:before="240"/>
              <w:ind w:left="235"/>
              <w:rPr>
                <w:szCs w:val="24"/>
              </w:rPr>
            </w:pPr>
            <w:hyperlink w:anchor="bookmark1" w:history="1">
              <w:r w:rsidR="00591FCF" w:rsidRPr="00791061">
                <w:rPr>
                  <w:b/>
                  <w:bCs/>
                  <w:szCs w:val="24"/>
                </w:rPr>
                <w:t>3.</w:t>
              </w:r>
            </w:hyperlink>
          </w:p>
        </w:tc>
        <w:tc>
          <w:tcPr>
            <w:tcW w:w="8995" w:type="dxa"/>
            <w:tcBorders>
              <w:top w:val="nil"/>
              <w:left w:val="nil"/>
              <w:bottom w:val="nil"/>
              <w:right w:val="nil"/>
            </w:tcBorders>
            <w:shd w:val="clear" w:color="auto" w:fill="FFFFFF"/>
          </w:tcPr>
          <w:p w:rsidR="00591FCF" w:rsidRPr="00791061" w:rsidRDefault="00591FCF" w:rsidP="00C925A7">
            <w:pPr>
              <w:shd w:val="clear" w:color="auto" w:fill="FFFFFF"/>
              <w:tabs>
                <w:tab w:val="left" w:leader="dot" w:pos="8865"/>
              </w:tabs>
              <w:spacing w:before="240"/>
              <w:rPr>
                <w:szCs w:val="24"/>
              </w:rPr>
            </w:pPr>
            <w:r w:rsidRPr="00791061">
              <w:rPr>
                <w:b/>
                <w:bCs/>
                <w:smallCaps/>
                <w:szCs w:val="24"/>
              </w:rPr>
              <w:t>Derivation of Investigation Levels</w:t>
            </w:r>
            <w:r w:rsidR="00C925A7" w:rsidRPr="00791061">
              <w:rPr>
                <w:b/>
                <w:bCs/>
                <w:smallCaps/>
                <w:szCs w:val="24"/>
              </w:rPr>
              <w:tab/>
            </w:r>
          </w:p>
        </w:tc>
        <w:tc>
          <w:tcPr>
            <w:tcW w:w="739" w:type="dxa"/>
            <w:tcBorders>
              <w:top w:val="nil"/>
              <w:left w:val="nil"/>
              <w:bottom w:val="nil"/>
              <w:right w:val="nil"/>
            </w:tcBorders>
            <w:shd w:val="clear" w:color="auto" w:fill="FFFFFF"/>
          </w:tcPr>
          <w:p w:rsidR="00591FCF" w:rsidRPr="00791061" w:rsidRDefault="00591FCF" w:rsidP="00C20FB9">
            <w:pPr>
              <w:shd w:val="clear" w:color="auto" w:fill="FFFFFF"/>
              <w:tabs>
                <w:tab w:val="left" w:leader="dot" w:pos="470"/>
              </w:tabs>
              <w:spacing w:before="240"/>
              <w:ind w:right="235"/>
              <w:jc w:val="right"/>
              <w:rPr>
                <w:szCs w:val="24"/>
              </w:rPr>
            </w:pPr>
            <w:r w:rsidRPr="00791061">
              <w:rPr>
                <w:b/>
                <w:bCs/>
                <w:szCs w:val="24"/>
              </w:rPr>
              <w:t>2</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24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240"/>
              <w:rPr>
                <w:szCs w:val="24"/>
              </w:rPr>
            </w:pPr>
            <w:hyperlink w:anchor="bookmark1" w:history="1">
              <w:r w:rsidR="00591FCF" w:rsidRPr="00791061">
                <w:rPr>
                  <w:szCs w:val="24"/>
                </w:rPr>
                <w:t>3.1</w:t>
              </w:r>
              <w:r w:rsidR="00C179A4" w:rsidRPr="00791061">
                <w:rPr>
                  <w:szCs w:val="24"/>
                </w:rPr>
                <w:t xml:space="preserve"> </w:t>
              </w:r>
              <w:r w:rsidR="00591FCF" w:rsidRPr="00791061">
                <w:rPr>
                  <w:szCs w:val="24"/>
                </w:rPr>
                <w:t>Health Based Investigation Levels (</w:t>
              </w:r>
              <w:proofErr w:type="spellStart"/>
              <w:r w:rsidR="00591FCF" w:rsidRPr="00791061">
                <w:rPr>
                  <w:szCs w:val="24"/>
                </w:rPr>
                <w:t>HILs</w:t>
              </w:r>
              <w:proofErr w:type="spellEnd"/>
              <w:r w:rsidR="00591FCF" w:rsidRPr="00791061">
                <w:rPr>
                  <w:szCs w:val="24"/>
                </w:rPr>
                <w:t>)</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240"/>
              <w:ind w:right="235"/>
              <w:jc w:val="right"/>
              <w:rPr>
                <w:szCs w:val="24"/>
              </w:rPr>
            </w:pPr>
            <w:r w:rsidRPr="00791061">
              <w:rPr>
                <w:szCs w:val="24"/>
              </w:rPr>
              <w:t>2</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1" w:history="1">
              <w:r w:rsidR="00591FCF" w:rsidRPr="00791061">
                <w:rPr>
                  <w:szCs w:val="24"/>
                </w:rPr>
                <w:t>3.2</w:t>
              </w:r>
              <w:r w:rsidR="00C179A4" w:rsidRPr="00791061">
                <w:rPr>
                  <w:szCs w:val="24"/>
                </w:rPr>
                <w:t xml:space="preserve"> </w:t>
              </w:r>
              <w:r w:rsidR="00591FCF" w:rsidRPr="00791061">
                <w:rPr>
                  <w:szCs w:val="24"/>
                </w:rPr>
                <w:t>Ecologically-based Investigation Levels (</w:t>
              </w:r>
              <w:proofErr w:type="spellStart"/>
              <w:r w:rsidR="00591FCF" w:rsidRPr="00791061">
                <w:rPr>
                  <w:szCs w:val="24"/>
                </w:rPr>
                <w:t>EILs</w:t>
              </w:r>
              <w:proofErr w:type="spellEnd"/>
              <w:r w:rsidR="00591FCF" w:rsidRPr="00791061">
                <w:rPr>
                  <w:szCs w:val="24"/>
                </w:rPr>
                <w:t>)</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40"/>
              <w:jc w:val="right"/>
              <w:rPr>
                <w:szCs w:val="24"/>
              </w:rPr>
            </w:pPr>
            <w:r w:rsidRPr="00791061">
              <w:rPr>
                <w:szCs w:val="24"/>
              </w:rPr>
              <w:t>2</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2" w:history="1">
              <w:r w:rsidR="00591FCF" w:rsidRPr="00791061">
                <w:rPr>
                  <w:szCs w:val="24"/>
                </w:rPr>
                <w:t>3.3</w:t>
              </w:r>
              <w:r w:rsidR="00C179A4" w:rsidRPr="00791061">
                <w:rPr>
                  <w:szCs w:val="24"/>
                </w:rPr>
                <w:t xml:space="preserve"> </w:t>
              </w:r>
              <w:r w:rsidR="00591FCF" w:rsidRPr="00791061">
                <w:rPr>
                  <w:szCs w:val="24"/>
                </w:rPr>
                <w:t>Groundwater Investigation Levels (</w:t>
              </w:r>
              <w:proofErr w:type="spellStart"/>
              <w:r w:rsidR="00591FCF" w:rsidRPr="00791061">
                <w:rPr>
                  <w:szCs w:val="24"/>
                </w:rPr>
                <w:t>GILs</w:t>
              </w:r>
              <w:proofErr w:type="spellEnd"/>
              <w:r w:rsidR="00591FCF" w:rsidRPr="00791061">
                <w:rPr>
                  <w:szCs w:val="24"/>
                </w:rPr>
                <w:t>)</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3</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2" w:history="1">
              <w:r w:rsidR="00591FCF" w:rsidRPr="00791061">
                <w:rPr>
                  <w:szCs w:val="24"/>
                </w:rPr>
                <w:t>3.4</w:t>
              </w:r>
              <w:r w:rsidR="00C179A4" w:rsidRPr="00791061">
                <w:rPr>
                  <w:szCs w:val="24"/>
                </w:rPr>
                <w:t xml:space="preserve"> </w:t>
              </w:r>
              <w:r w:rsidR="00591FCF" w:rsidRPr="00791061">
                <w:rPr>
                  <w:szCs w:val="24"/>
                </w:rPr>
                <w:t>Investigation Levels for Sediments</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3</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2" w:history="1">
              <w:r w:rsidR="00591FCF" w:rsidRPr="00791061">
                <w:rPr>
                  <w:szCs w:val="24"/>
                </w:rPr>
                <w:t>3.5</w:t>
              </w:r>
              <w:r w:rsidR="00C179A4" w:rsidRPr="00791061">
                <w:rPr>
                  <w:szCs w:val="24"/>
                </w:rPr>
                <w:t xml:space="preserve"> </w:t>
              </w:r>
              <w:r w:rsidR="00591FCF" w:rsidRPr="00791061">
                <w:rPr>
                  <w:szCs w:val="24"/>
                </w:rPr>
                <w:t>Aesthetic Guidelines</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3</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3" w:history="1">
              <w:r w:rsidR="00591FCF" w:rsidRPr="00791061">
                <w:rPr>
                  <w:szCs w:val="24"/>
                </w:rPr>
                <w:t>3.6</w:t>
              </w:r>
              <w:r w:rsidR="00C179A4" w:rsidRPr="00791061">
                <w:rPr>
                  <w:szCs w:val="24"/>
                </w:rPr>
                <w:t xml:space="preserve"> </w:t>
              </w:r>
              <w:r w:rsidR="00591FCF" w:rsidRPr="00791061">
                <w:rPr>
                  <w:szCs w:val="24"/>
                </w:rPr>
                <w:t>Structural Guidelines</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4</w:t>
            </w:r>
          </w:p>
        </w:tc>
      </w:tr>
      <w:tr w:rsidR="00591FCF" w:rsidRPr="00791061" w:rsidTr="00C925A7">
        <w:trPr>
          <w:trHeight w:val="20"/>
        </w:trPr>
        <w:tc>
          <w:tcPr>
            <w:tcW w:w="815" w:type="dxa"/>
            <w:tcBorders>
              <w:top w:val="nil"/>
              <w:left w:val="nil"/>
              <w:right w:val="nil"/>
            </w:tcBorders>
            <w:shd w:val="clear" w:color="auto" w:fill="FFFFFF"/>
          </w:tcPr>
          <w:p w:rsidR="00591FCF" w:rsidRPr="00791061" w:rsidRDefault="00BD1C56" w:rsidP="00C20FB9">
            <w:pPr>
              <w:shd w:val="clear" w:color="auto" w:fill="FFFFFF"/>
              <w:spacing w:before="240"/>
              <w:ind w:left="235"/>
              <w:rPr>
                <w:szCs w:val="24"/>
              </w:rPr>
            </w:pPr>
            <w:hyperlink w:anchor="bookmark3" w:history="1">
              <w:r w:rsidR="00591FCF" w:rsidRPr="00791061">
                <w:rPr>
                  <w:b/>
                  <w:bCs/>
                  <w:szCs w:val="24"/>
                </w:rPr>
                <w:t>4.</w:t>
              </w:r>
            </w:hyperlink>
          </w:p>
        </w:tc>
        <w:tc>
          <w:tcPr>
            <w:tcW w:w="8995" w:type="dxa"/>
            <w:tcBorders>
              <w:top w:val="nil"/>
              <w:left w:val="nil"/>
              <w:right w:val="nil"/>
            </w:tcBorders>
            <w:shd w:val="clear" w:color="auto" w:fill="FFFFFF"/>
          </w:tcPr>
          <w:p w:rsidR="00591FCF" w:rsidRPr="00791061" w:rsidRDefault="00591FCF" w:rsidP="00C925A7">
            <w:pPr>
              <w:shd w:val="clear" w:color="auto" w:fill="FFFFFF"/>
              <w:tabs>
                <w:tab w:val="left" w:leader="dot" w:pos="8865"/>
              </w:tabs>
              <w:spacing w:before="240"/>
              <w:rPr>
                <w:szCs w:val="24"/>
              </w:rPr>
            </w:pPr>
            <w:r w:rsidRPr="00791061">
              <w:rPr>
                <w:b/>
                <w:bCs/>
                <w:smallCaps/>
                <w:szCs w:val="24"/>
              </w:rPr>
              <w:t>Application of Investigation Levels</w:t>
            </w:r>
            <w:r w:rsidR="00C925A7" w:rsidRPr="00791061">
              <w:rPr>
                <w:b/>
                <w:bCs/>
                <w:smallCaps/>
                <w:szCs w:val="24"/>
              </w:rPr>
              <w:tab/>
            </w:r>
          </w:p>
        </w:tc>
        <w:tc>
          <w:tcPr>
            <w:tcW w:w="739" w:type="dxa"/>
            <w:tcBorders>
              <w:top w:val="nil"/>
              <w:left w:val="nil"/>
              <w:right w:val="nil"/>
            </w:tcBorders>
            <w:shd w:val="clear" w:color="auto" w:fill="FFFFFF"/>
          </w:tcPr>
          <w:p w:rsidR="00591FCF" w:rsidRPr="00791061" w:rsidRDefault="00591FCF" w:rsidP="00C20FB9">
            <w:pPr>
              <w:shd w:val="clear" w:color="auto" w:fill="FFFFFF"/>
              <w:tabs>
                <w:tab w:val="left" w:leader="dot" w:pos="470"/>
              </w:tabs>
              <w:spacing w:before="240"/>
              <w:ind w:right="235"/>
              <w:jc w:val="right"/>
              <w:rPr>
                <w:szCs w:val="24"/>
              </w:rPr>
            </w:pPr>
            <w:r w:rsidRPr="00791061">
              <w:rPr>
                <w:b/>
                <w:bCs/>
                <w:szCs w:val="24"/>
              </w:rPr>
              <w:t>4</w:t>
            </w:r>
          </w:p>
        </w:tc>
      </w:tr>
      <w:tr w:rsidR="00591FCF" w:rsidRPr="00791061" w:rsidTr="00C925A7">
        <w:trPr>
          <w:trHeight w:val="20"/>
        </w:trPr>
        <w:tc>
          <w:tcPr>
            <w:tcW w:w="815" w:type="dxa"/>
            <w:tcBorders>
              <w:left w:val="nil"/>
              <w:bottom w:val="nil"/>
              <w:right w:val="nil"/>
            </w:tcBorders>
            <w:shd w:val="clear" w:color="auto" w:fill="FFFFFF"/>
          </w:tcPr>
          <w:p w:rsidR="00591FCF" w:rsidRPr="00791061" w:rsidRDefault="00591FCF" w:rsidP="00C20FB9">
            <w:pPr>
              <w:shd w:val="clear" w:color="auto" w:fill="FFFFFF"/>
              <w:spacing w:before="240"/>
              <w:rPr>
                <w:szCs w:val="24"/>
              </w:rPr>
            </w:pPr>
          </w:p>
        </w:tc>
        <w:tc>
          <w:tcPr>
            <w:tcW w:w="8995" w:type="dxa"/>
            <w:tcBorders>
              <w:left w:val="nil"/>
              <w:bottom w:val="nil"/>
              <w:right w:val="nil"/>
            </w:tcBorders>
            <w:shd w:val="clear" w:color="auto" w:fill="FFFFFF"/>
          </w:tcPr>
          <w:p w:rsidR="00591FCF" w:rsidRPr="00791061" w:rsidRDefault="00BD1C56" w:rsidP="00C925A7">
            <w:pPr>
              <w:shd w:val="clear" w:color="auto" w:fill="FFFFFF"/>
              <w:tabs>
                <w:tab w:val="left" w:leader="dot" w:pos="8865"/>
              </w:tabs>
              <w:spacing w:before="240"/>
              <w:rPr>
                <w:szCs w:val="24"/>
              </w:rPr>
            </w:pPr>
            <w:hyperlink w:anchor="bookmark3" w:history="1">
              <w:r w:rsidR="00591FCF" w:rsidRPr="00791061">
                <w:rPr>
                  <w:szCs w:val="24"/>
                </w:rPr>
                <w:t>4.1</w:t>
              </w:r>
              <w:r w:rsidR="00C179A4" w:rsidRPr="00791061">
                <w:rPr>
                  <w:szCs w:val="24"/>
                </w:rPr>
                <w:t xml:space="preserve"> </w:t>
              </w:r>
              <w:r w:rsidR="00591FCF" w:rsidRPr="00791061">
                <w:rPr>
                  <w:szCs w:val="24"/>
                </w:rPr>
                <w:t>General</w:t>
              </w:r>
            </w:hyperlink>
          </w:p>
        </w:tc>
        <w:tc>
          <w:tcPr>
            <w:tcW w:w="739" w:type="dxa"/>
            <w:tcBorders>
              <w:left w:val="nil"/>
              <w:bottom w:val="nil"/>
              <w:right w:val="nil"/>
            </w:tcBorders>
            <w:shd w:val="clear" w:color="auto" w:fill="FFFFFF"/>
          </w:tcPr>
          <w:p w:rsidR="00591FCF" w:rsidRPr="00791061" w:rsidRDefault="00591FCF" w:rsidP="00C20FB9">
            <w:pPr>
              <w:shd w:val="clear" w:color="auto" w:fill="FFFFFF"/>
              <w:spacing w:before="240"/>
              <w:ind w:right="235"/>
              <w:jc w:val="right"/>
              <w:rPr>
                <w:szCs w:val="24"/>
              </w:rPr>
            </w:pPr>
            <w:r w:rsidRPr="00791061">
              <w:rPr>
                <w:szCs w:val="24"/>
              </w:rPr>
              <w:t>4</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3" w:history="1">
              <w:r w:rsidR="00591FCF" w:rsidRPr="00791061">
                <w:rPr>
                  <w:szCs w:val="24"/>
                </w:rPr>
                <w:t>4.2</w:t>
              </w:r>
              <w:r w:rsidR="00C179A4" w:rsidRPr="00791061">
                <w:rPr>
                  <w:szCs w:val="24"/>
                </w:rPr>
                <w:t xml:space="preserve"> </w:t>
              </w:r>
              <w:r w:rsidR="00591FCF" w:rsidRPr="00791061">
                <w:rPr>
                  <w:szCs w:val="24"/>
                </w:rPr>
                <w:t>Soil Assessment</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40"/>
              <w:jc w:val="right"/>
              <w:rPr>
                <w:szCs w:val="24"/>
              </w:rPr>
            </w:pPr>
            <w:r w:rsidRPr="00791061">
              <w:rPr>
                <w:szCs w:val="24"/>
              </w:rPr>
              <w:t>4</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4" w:history="1">
              <w:r w:rsidR="00591FCF" w:rsidRPr="00791061">
                <w:rPr>
                  <w:szCs w:val="24"/>
                </w:rPr>
                <w:t>4.3</w:t>
              </w:r>
              <w:r w:rsidR="00C179A4" w:rsidRPr="00791061">
                <w:rPr>
                  <w:szCs w:val="24"/>
                </w:rPr>
                <w:t xml:space="preserve"> </w:t>
              </w:r>
              <w:r w:rsidR="00591FCF" w:rsidRPr="00791061">
                <w:rPr>
                  <w:szCs w:val="24"/>
                </w:rPr>
                <w:t>Groundwater Assessment</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6</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BD1C56" w:rsidP="00C20FB9">
            <w:pPr>
              <w:shd w:val="clear" w:color="auto" w:fill="FFFFFF"/>
              <w:spacing w:before="240"/>
              <w:ind w:left="235"/>
              <w:rPr>
                <w:szCs w:val="24"/>
              </w:rPr>
            </w:pPr>
            <w:hyperlink w:anchor="bookmark4" w:history="1">
              <w:r w:rsidR="00591FCF" w:rsidRPr="00791061">
                <w:rPr>
                  <w:b/>
                  <w:bCs/>
                  <w:szCs w:val="24"/>
                </w:rPr>
                <w:t>5.</w:t>
              </w:r>
            </w:hyperlink>
          </w:p>
        </w:tc>
        <w:tc>
          <w:tcPr>
            <w:tcW w:w="8995" w:type="dxa"/>
            <w:tcBorders>
              <w:top w:val="nil"/>
              <w:left w:val="nil"/>
              <w:bottom w:val="nil"/>
              <w:right w:val="nil"/>
            </w:tcBorders>
            <w:shd w:val="clear" w:color="auto" w:fill="FFFFFF"/>
          </w:tcPr>
          <w:p w:rsidR="00591FCF" w:rsidRPr="00791061" w:rsidRDefault="00591FCF" w:rsidP="00C925A7">
            <w:pPr>
              <w:shd w:val="clear" w:color="auto" w:fill="FFFFFF"/>
              <w:tabs>
                <w:tab w:val="left" w:leader="dot" w:pos="8865"/>
              </w:tabs>
              <w:spacing w:before="240"/>
              <w:rPr>
                <w:szCs w:val="24"/>
              </w:rPr>
            </w:pPr>
            <w:r w:rsidRPr="00791061">
              <w:rPr>
                <w:b/>
                <w:bCs/>
                <w:smallCaps/>
                <w:szCs w:val="24"/>
              </w:rPr>
              <w:t>Limitations in the use of Investigation Levels</w:t>
            </w:r>
            <w:r w:rsidR="00C925A7" w:rsidRPr="00791061">
              <w:rPr>
                <w:b/>
                <w:bCs/>
                <w:smallCaps/>
                <w:szCs w:val="24"/>
              </w:rPr>
              <w:tab/>
            </w:r>
          </w:p>
        </w:tc>
        <w:tc>
          <w:tcPr>
            <w:tcW w:w="739" w:type="dxa"/>
            <w:tcBorders>
              <w:top w:val="nil"/>
              <w:left w:val="nil"/>
              <w:bottom w:val="nil"/>
              <w:right w:val="nil"/>
            </w:tcBorders>
            <w:shd w:val="clear" w:color="auto" w:fill="FFFFFF"/>
          </w:tcPr>
          <w:p w:rsidR="00591FCF" w:rsidRPr="00791061" w:rsidRDefault="00591FCF" w:rsidP="00C20FB9">
            <w:pPr>
              <w:shd w:val="clear" w:color="auto" w:fill="FFFFFF"/>
              <w:tabs>
                <w:tab w:val="left" w:leader="dot" w:pos="470"/>
              </w:tabs>
              <w:spacing w:before="240"/>
              <w:ind w:right="235"/>
              <w:jc w:val="right"/>
              <w:rPr>
                <w:szCs w:val="24"/>
              </w:rPr>
            </w:pPr>
            <w:r w:rsidRPr="00791061">
              <w:rPr>
                <w:b/>
                <w:bCs/>
                <w:szCs w:val="24"/>
              </w:rPr>
              <w:t>6</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24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240"/>
              <w:rPr>
                <w:szCs w:val="24"/>
              </w:rPr>
            </w:pPr>
            <w:hyperlink w:anchor="bookmark4" w:history="1">
              <w:r w:rsidR="00591FCF" w:rsidRPr="00791061">
                <w:rPr>
                  <w:szCs w:val="24"/>
                </w:rPr>
                <w:t>5.1</w:t>
              </w:r>
              <w:r w:rsidR="00C179A4" w:rsidRPr="00791061">
                <w:rPr>
                  <w:szCs w:val="24"/>
                </w:rPr>
                <w:t xml:space="preserve"> </w:t>
              </w:r>
              <w:r w:rsidR="00591FCF" w:rsidRPr="00791061">
                <w:rPr>
                  <w:szCs w:val="24"/>
                </w:rPr>
                <w:t>Groundwater Concerns</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240"/>
              <w:ind w:right="235"/>
              <w:jc w:val="right"/>
              <w:rPr>
                <w:szCs w:val="24"/>
              </w:rPr>
            </w:pPr>
            <w:r w:rsidRPr="00791061">
              <w:rPr>
                <w:szCs w:val="24"/>
              </w:rPr>
              <w:t>6</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5" w:history="1">
              <w:r w:rsidR="00591FCF" w:rsidRPr="00791061">
                <w:rPr>
                  <w:szCs w:val="24"/>
                </w:rPr>
                <w:t>5.2</w:t>
              </w:r>
              <w:r w:rsidR="00C179A4" w:rsidRPr="00791061">
                <w:rPr>
                  <w:szCs w:val="24"/>
                </w:rPr>
                <w:t xml:space="preserve"> </w:t>
              </w:r>
              <w:r w:rsidR="00591FCF" w:rsidRPr="00791061">
                <w:rPr>
                  <w:szCs w:val="24"/>
                </w:rPr>
                <w:t>Background Variation</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7</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5" w:history="1">
              <w:r w:rsidR="00591FCF" w:rsidRPr="00791061">
                <w:rPr>
                  <w:szCs w:val="24"/>
                </w:rPr>
                <w:t>5.3</w:t>
              </w:r>
              <w:r w:rsidR="00C179A4" w:rsidRPr="00791061">
                <w:rPr>
                  <w:szCs w:val="24"/>
                </w:rPr>
                <w:t xml:space="preserve"> </w:t>
              </w:r>
              <w:proofErr w:type="spellStart"/>
              <w:r w:rsidR="00591FCF" w:rsidRPr="00791061">
                <w:rPr>
                  <w:szCs w:val="24"/>
                </w:rPr>
                <w:t>Mineralised</w:t>
              </w:r>
              <w:proofErr w:type="spellEnd"/>
              <w:r w:rsidR="00591FCF" w:rsidRPr="00791061">
                <w:rPr>
                  <w:szCs w:val="24"/>
                </w:rPr>
                <w:t xml:space="preserve"> Areas</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7</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5" w:history="1">
              <w:r w:rsidR="00591FCF" w:rsidRPr="00791061">
                <w:rPr>
                  <w:szCs w:val="24"/>
                </w:rPr>
                <w:t>5.4</w:t>
              </w:r>
              <w:r w:rsidR="00C179A4" w:rsidRPr="00791061">
                <w:rPr>
                  <w:szCs w:val="24"/>
                </w:rPr>
                <w:t xml:space="preserve"> </w:t>
              </w:r>
              <w:r w:rsidR="00591FCF" w:rsidRPr="00791061">
                <w:rPr>
                  <w:szCs w:val="24"/>
                </w:rPr>
                <w:t>Phytotoxicity</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7</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5" w:history="1">
              <w:r w:rsidR="00591FCF" w:rsidRPr="00791061">
                <w:rPr>
                  <w:szCs w:val="24"/>
                </w:rPr>
                <w:t>5.5</w:t>
              </w:r>
              <w:r w:rsidR="00C179A4" w:rsidRPr="00791061">
                <w:rPr>
                  <w:szCs w:val="24"/>
                </w:rPr>
                <w:t xml:space="preserve"> </w:t>
              </w:r>
              <w:r w:rsidR="00591FCF" w:rsidRPr="00791061">
                <w:rPr>
                  <w:szCs w:val="24"/>
                </w:rPr>
                <w:t>Ecological Values</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40"/>
              <w:jc w:val="right"/>
              <w:rPr>
                <w:szCs w:val="24"/>
              </w:rPr>
            </w:pPr>
            <w:r w:rsidRPr="00791061">
              <w:rPr>
                <w:szCs w:val="24"/>
              </w:rPr>
              <w:t>7</w:t>
            </w:r>
          </w:p>
        </w:tc>
      </w:tr>
      <w:tr w:rsidR="00591FCF" w:rsidRPr="00791061" w:rsidTr="00C925A7">
        <w:trPr>
          <w:trHeight w:val="20"/>
        </w:trPr>
        <w:tc>
          <w:tcPr>
            <w:tcW w:w="815" w:type="dxa"/>
            <w:tcBorders>
              <w:top w:val="nil"/>
              <w:left w:val="nil"/>
              <w:bottom w:val="nil"/>
              <w:right w:val="nil"/>
            </w:tcBorders>
            <w:shd w:val="clear" w:color="auto" w:fill="FFFFFF"/>
          </w:tcPr>
          <w:p w:rsidR="00591FCF" w:rsidRPr="00791061" w:rsidRDefault="00591FCF" w:rsidP="00C20FB9">
            <w:pPr>
              <w:shd w:val="clear" w:color="auto" w:fill="FFFFFF"/>
              <w:spacing w:before="60"/>
              <w:rPr>
                <w:szCs w:val="24"/>
              </w:rPr>
            </w:pPr>
          </w:p>
        </w:tc>
        <w:tc>
          <w:tcPr>
            <w:tcW w:w="8995" w:type="dxa"/>
            <w:tcBorders>
              <w:top w:val="nil"/>
              <w:left w:val="nil"/>
              <w:bottom w:val="nil"/>
              <w:right w:val="nil"/>
            </w:tcBorders>
            <w:shd w:val="clear" w:color="auto" w:fill="FFFFFF"/>
          </w:tcPr>
          <w:p w:rsidR="00591FCF" w:rsidRPr="00791061" w:rsidRDefault="00BD1C56" w:rsidP="00C925A7">
            <w:pPr>
              <w:shd w:val="clear" w:color="auto" w:fill="FFFFFF"/>
              <w:tabs>
                <w:tab w:val="left" w:leader="dot" w:pos="8865"/>
              </w:tabs>
              <w:spacing w:before="60"/>
              <w:rPr>
                <w:szCs w:val="24"/>
              </w:rPr>
            </w:pPr>
            <w:hyperlink w:anchor="bookmark5" w:history="1">
              <w:r w:rsidR="00591FCF" w:rsidRPr="00791061">
                <w:rPr>
                  <w:szCs w:val="24"/>
                </w:rPr>
                <w:t>5.6</w:t>
              </w:r>
              <w:r w:rsidR="00C179A4" w:rsidRPr="00791061">
                <w:rPr>
                  <w:szCs w:val="24"/>
                </w:rPr>
                <w:t xml:space="preserve"> </w:t>
              </w:r>
              <w:r w:rsidR="00591FCF" w:rsidRPr="00791061">
                <w:rPr>
                  <w:szCs w:val="24"/>
                </w:rPr>
                <w:t>Volatile Contaminants</w:t>
              </w:r>
            </w:hyperlink>
          </w:p>
        </w:tc>
        <w:tc>
          <w:tcPr>
            <w:tcW w:w="739" w:type="dxa"/>
            <w:tcBorders>
              <w:top w:val="nil"/>
              <w:left w:val="nil"/>
              <w:bottom w:val="nil"/>
              <w:right w:val="nil"/>
            </w:tcBorders>
            <w:shd w:val="clear" w:color="auto" w:fill="FFFFFF"/>
          </w:tcPr>
          <w:p w:rsidR="00591FCF" w:rsidRPr="00791061" w:rsidRDefault="00591FCF" w:rsidP="00C20FB9">
            <w:pPr>
              <w:shd w:val="clear" w:color="auto" w:fill="FFFFFF"/>
              <w:spacing w:before="60"/>
              <w:ind w:right="235"/>
              <w:jc w:val="right"/>
              <w:rPr>
                <w:szCs w:val="24"/>
              </w:rPr>
            </w:pPr>
            <w:r w:rsidRPr="00791061">
              <w:rPr>
                <w:szCs w:val="24"/>
              </w:rPr>
              <w:t>7</w:t>
            </w:r>
          </w:p>
        </w:tc>
      </w:tr>
    </w:tbl>
    <w:p w:rsidR="00591FCF" w:rsidRPr="00791061" w:rsidRDefault="00591FCF">
      <w:pPr>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C925A7">
      <w:pPr>
        <w:shd w:val="clear" w:color="auto" w:fill="FFFFFF"/>
        <w:tabs>
          <w:tab w:val="left" w:pos="432"/>
        </w:tabs>
        <w:spacing w:before="240"/>
        <w:rPr>
          <w:szCs w:val="24"/>
        </w:rPr>
      </w:pPr>
      <w:bookmarkStart w:id="1" w:name="bookmark0"/>
      <w:r w:rsidRPr="00791061">
        <w:rPr>
          <w:b/>
          <w:bCs/>
          <w:szCs w:val="24"/>
        </w:rPr>
        <w:lastRenderedPageBreak/>
        <w:t>1</w:t>
      </w:r>
      <w:bookmarkEnd w:id="1"/>
      <w:r w:rsidRPr="00791061">
        <w:rPr>
          <w:b/>
          <w:bCs/>
          <w:szCs w:val="24"/>
        </w:rPr>
        <w:t>.</w:t>
      </w:r>
      <w:r w:rsidRPr="00791061">
        <w:rPr>
          <w:b/>
          <w:bCs/>
          <w:szCs w:val="24"/>
        </w:rPr>
        <w:tab/>
        <w:t>INTRODUCTION</w:t>
      </w:r>
    </w:p>
    <w:p w:rsidR="00591FCF" w:rsidRPr="00791061" w:rsidRDefault="00591FCF" w:rsidP="00C925A7">
      <w:pPr>
        <w:shd w:val="clear" w:color="auto" w:fill="FFFFFF"/>
        <w:spacing w:before="240"/>
        <w:ind w:right="5"/>
        <w:jc w:val="both"/>
        <w:rPr>
          <w:szCs w:val="24"/>
        </w:rPr>
      </w:pPr>
      <w:r w:rsidRPr="00791061">
        <w:rPr>
          <w:szCs w:val="24"/>
        </w:rPr>
        <w:t>The appropriate use of investigation levels is an important component in the assessment of existing contaminated sites. In particular, it is important to be able to select the most appropriate investigation levels for use from a range of environmental settings and land-use scenarios that are based on considerations including the protection of health, ecology, groundwater, structures, and aesthetics.</w:t>
      </w:r>
    </w:p>
    <w:p w:rsidR="00591FCF" w:rsidRPr="00791061" w:rsidRDefault="00591FCF" w:rsidP="00C925A7">
      <w:pPr>
        <w:shd w:val="clear" w:color="auto" w:fill="FFFFFF"/>
        <w:spacing w:before="240"/>
        <w:ind w:right="5"/>
        <w:jc w:val="both"/>
        <w:rPr>
          <w:szCs w:val="24"/>
        </w:rPr>
      </w:pPr>
      <w:r w:rsidRPr="00791061">
        <w:rPr>
          <w:szCs w:val="24"/>
        </w:rPr>
        <w:t xml:space="preserve">Owners and occupiers of sites on which potentially contaminating activities are occurring are subject to the environmental protection legislation applying in each jurisdiction, </w:t>
      </w:r>
      <w:proofErr w:type="spellStart"/>
      <w:r w:rsidRPr="00791061">
        <w:rPr>
          <w:szCs w:val="24"/>
        </w:rPr>
        <w:t>eg</w:t>
      </w:r>
      <w:proofErr w:type="spellEnd"/>
      <w:r w:rsidRPr="00791061">
        <w:rPr>
          <w:szCs w:val="24"/>
        </w:rPr>
        <w:t xml:space="preserve"> licensing of industrial activities either prohibits the discharge of wastes onto land or applies relevant controls.</w:t>
      </w:r>
    </w:p>
    <w:p w:rsidR="00591FCF" w:rsidRPr="00791061" w:rsidRDefault="00591FCF" w:rsidP="00C925A7">
      <w:pPr>
        <w:shd w:val="clear" w:color="auto" w:fill="FFFFFF"/>
        <w:spacing w:before="240"/>
        <w:jc w:val="both"/>
        <w:rPr>
          <w:szCs w:val="24"/>
        </w:rPr>
      </w:pPr>
      <w:r w:rsidRPr="00791061">
        <w:rPr>
          <w:szCs w:val="24"/>
        </w:rPr>
        <w:t>In the Australian and New Zealand Guidelines for the Assessment and Management of Contaminated Sites (</w:t>
      </w:r>
      <w:proofErr w:type="spellStart"/>
      <w:r w:rsidRPr="00791061">
        <w:rPr>
          <w:szCs w:val="24"/>
        </w:rPr>
        <w:t>ANZECC</w:t>
      </w:r>
      <w:proofErr w:type="spellEnd"/>
      <w:r w:rsidRPr="00791061">
        <w:rPr>
          <w:szCs w:val="24"/>
        </w:rPr>
        <w:t>/</w:t>
      </w:r>
      <w:proofErr w:type="spellStart"/>
      <w:r w:rsidRPr="00791061">
        <w:rPr>
          <w:szCs w:val="24"/>
        </w:rPr>
        <w:t>NHMRC</w:t>
      </w:r>
      <w:proofErr w:type="spellEnd"/>
      <w:r w:rsidRPr="00791061">
        <w:rPr>
          <w:szCs w:val="24"/>
        </w:rPr>
        <w:t xml:space="preserve"> Guidelines (1992)) a balance between the use of soil criteria and site-specific assessment was </w:t>
      </w:r>
      <w:proofErr w:type="spellStart"/>
      <w:r w:rsidRPr="00791061">
        <w:rPr>
          <w:szCs w:val="24"/>
        </w:rPr>
        <w:t>recognised</w:t>
      </w:r>
      <w:proofErr w:type="spellEnd"/>
      <w:r w:rsidRPr="00791061">
        <w:rPr>
          <w:szCs w:val="24"/>
        </w:rPr>
        <w:t xml:space="preserve">. This document builds on that approach and extends it to the assessment of groundwater. A site may be assessed wholly by site-specific means or, alternatively, the initial assessment can be based around the use of investigation levels. This section details a framework for the use of investigation levels. The framework is based upon a matrix of health, and environment-based soil and groundwater investigation levels. This approach will benefit from the further development of Investigation Levels at national and regional levels. The derivation of health-based investigation levels is outlined in </w:t>
      </w:r>
      <w:r w:rsidRPr="00791061">
        <w:rPr>
          <w:szCs w:val="24"/>
          <w:u w:val="single"/>
        </w:rPr>
        <w:t>Schedule B(7A)</w:t>
      </w:r>
      <w:r w:rsidRPr="00791061">
        <w:rPr>
          <w:szCs w:val="24"/>
        </w:rPr>
        <w:t xml:space="preserve">, and the risk assessment methodologies are detailed in </w:t>
      </w:r>
      <w:r w:rsidRPr="00791061">
        <w:rPr>
          <w:szCs w:val="24"/>
          <w:u w:val="single"/>
        </w:rPr>
        <w:t>Schedule B(4)</w:t>
      </w:r>
      <w:r w:rsidRPr="00791061">
        <w:rPr>
          <w:szCs w:val="24"/>
        </w:rPr>
        <w:t xml:space="preserve">. </w:t>
      </w:r>
      <w:r w:rsidRPr="00791061">
        <w:rPr>
          <w:szCs w:val="24"/>
          <w:u w:val="single"/>
        </w:rPr>
        <w:t>Schedule B(5)</w:t>
      </w:r>
      <w:r w:rsidRPr="00791061">
        <w:rPr>
          <w:szCs w:val="24"/>
        </w:rPr>
        <w:t>, outlines a risk assessment framework whereby regional and land use specific ecological investigation levels may be established. Until such values have been established, interim values are proposed for sites in urban areas.</w:t>
      </w:r>
    </w:p>
    <w:p w:rsidR="00591FCF" w:rsidRPr="00791061" w:rsidRDefault="00591FCF" w:rsidP="00C925A7">
      <w:pPr>
        <w:shd w:val="clear" w:color="auto" w:fill="FFFFFF"/>
        <w:tabs>
          <w:tab w:val="left" w:pos="432"/>
        </w:tabs>
        <w:spacing w:before="240"/>
        <w:rPr>
          <w:szCs w:val="24"/>
        </w:rPr>
      </w:pPr>
      <w:r w:rsidRPr="00791061">
        <w:rPr>
          <w:b/>
          <w:bCs/>
          <w:szCs w:val="24"/>
        </w:rPr>
        <w:t>2.</w:t>
      </w:r>
      <w:r w:rsidRPr="00791061">
        <w:rPr>
          <w:b/>
          <w:bCs/>
          <w:szCs w:val="24"/>
        </w:rPr>
        <w:tab/>
        <w:t>DEFINITIONS</w:t>
      </w:r>
    </w:p>
    <w:p w:rsidR="00591FCF" w:rsidRPr="00791061" w:rsidRDefault="00591FCF" w:rsidP="00C925A7">
      <w:pPr>
        <w:shd w:val="clear" w:color="auto" w:fill="FFFFFF"/>
        <w:spacing w:before="240"/>
        <w:ind w:right="5"/>
        <w:jc w:val="both"/>
        <w:rPr>
          <w:szCs w:val="24"/>
        </w:rPr>
      </w:pPr>
      <w:r w:rsidRPr="00791061">
        <w:rPr>
          <w:szCs w:val="24"/>
        </w:rPr>
        <w:t xml:space="preserve">A variety of terms have been used to describe soil criteria. In the National Environment Protection (Assessment of Site Contamination) Measure, the principal terms used are </w:t>
      </w:r>
      <w:r w:rsidRPr="00791061">
        <w:rPr>
          <w:b/>
          <w:bCs/>
          <w:szCs w:val="24"/>
        </w:rPr>
        <w:t xml:space="preserve">Investigation Levels </w:t>
      </w:r>
      <w:r w:rsidRPr="00791061">
        <w:rPr>
          <w:szCs w:val="24"/>
        </w:rPr>
        <w:t xml:space="preserve">and </w:t>
      </w:r>
      <w:r w:rsidRPr="00791061">
        <w:rPr>
          <w:b/>
          <w:bCs/>
          <w:szCs w:val="24"/>
        </w:rPr>
        <w:t>Response Levels</w:t>
      </w:r>
      <w:r w:rsidRPr="00791061">
        <w:rPr>
          <w:szCs w:val="24"/>
        </w:rPr>
        <w:t xml:space="preserve">. Where appropriate, other terms have been used such as </w:t>
      </w:r>
      <w:r w:rsidRPr="00791061">
        <w:rPr>
          <w:b/>
          <w:bCs/>
          <w:szCs w:val="24"/>
        </w:rPr>
        <w:t xml:space="preserve">Aesthetic Guidelines </w:t>
      </w:r>
      <w:r w:rsidRPr="00791061">
        <w:rPr>
          <w:szCs w:val="24"/>
        </w:rPr>
        <w:t xml:space="preserve">and </w:t>
      </w:r>
      <w:r w:rsidRPr="00791061">
        <w:rPr>
          <w:b/>
          <w:bCs/>
          <w:szCs w:val="24"/>
        </w:rPr>
        <w:t>Structural Guidelines</w:t>
      </w:r>
      <w:r w:rsidRPr="00791061">
        <w:rPr>
          <w:szCs w:val="24"/>
        </w:rPr>
        <w:t>.</w:t>
      </w:r>
    </w:p>
    <w:p w:rsidR="00591FCF" w:rsidRPr="00791061" w:rsidRDefault="00591FCF" w:rsidP="00C925A7">
      <w:pPr>
        <w:shd w:val="clear" w:color="auto" w:fill="FFFFFF"/>
        <w:spacing w:before="240"/>
        <w:jc w:val="both"/>
        <w:rPr>
          <w:szCs w:val="24"/>
        </w:rPr>
      </w:pPr>
      <w:r w:rsidRPr="00791061">
        <w:rPr>
          <w:szCs w:val="24"/>
        </w:rPr>
        <w:t xml:space="preserve">The definitions of </w:t>
      </w:r>
      <w:r w:rsidRPr="00791061">
        <w:rPr>
          <w:rFonts w:eastAsia="Times New Roman"/>
          <w:szCs w:val="24"/>
        </w:rPr>
        <w:t xml:space="preserve">‘Investigation Levels’ and ‘Response Levels’ were first detailed in the </w:t>
      </w:r>
      <w:proofErr w:type="spellStart"/>
      <w:r w:rsidRPr="00791061">
        <w:rPr>
          <w:rFonts w:eastAsia="Times New Roman"/>
          <w:szCs w:val="24"/>
        </w:rPr>
        <w:t>ANZECC</w:t>
      </w:r>
      <w:proofErr w:type="spellEnd"/>
      <w:r w:rsidRPr="00791061">
        <w:rPr>
          <w:rFonts w:eastAsia="Times New Roman"/>
          <w:szCs w:val="24"/>
        </w:rPr>
        <w:t>/</w:t>
      </w:r>
      <w:proofErr w:type="spellStart"/>
      <w:r w:rsidRPr="00791061">
        <w:rPr>
          <w:rFonts w:eastAsia="Times New Roman"/>
          <w:szCs w:val="24"/>
        </w:rPr>
        <w:t>NHMRC</w:t>
      </w:r>
      <w:proofErr w:type="spellEnd"/>
      <w:r w:rsidRPr="00791061">
        <w:rPr>
          <w:rFonts w:eastAsia="Times New Roman"/>
          <w:szCs w:val="24"/>
        </w:rPr>
        <w:t xml:space="preserve"> Guidelines (1992). Further explanations (and qualifications to their use) are provided in that text and Schedules </w:t>
      </w:r>
      <w:r w:rsidRPr="00791061">
        <w:rPr>
          <w:rFonts w:eastAsia="Times New Roman"/>
          <w:szCs w:val="24"/>
          <w:u w:val="single"/>
        </w:rPr>
        <w:t>B(4)</w:t>
      </w:r>
      <w:r w:rsidRPr="00791061">
        <w:rPr>
          <w:rFonts w:eastAsia="Times New Roman"/>
          <w:szCs w:val="24"/>
        </w:rPr>
        <w:t xml:space="preserve">, </w:t>
      </w:r>
      <w:r w:rsidRPr="00791061">
        <w:rPr>
          <w:rFonts w:eastAsia="Times New Roman"/>
          <w:szCs w:val="24"/>
          <w:u w:val="single"/>
        </w:rPr>
        <w:t>B(5)</w:t>
      </w:r>
      <w:r w:rsidRPr="00791061">
        <w:rPr>
          <w:rFonts w:eastAsia="Times New Roman"/>
          <w:szCs w:val="24"/>
        </w:rPr>
        <w:t xml:space="preserve">, </w:t>
      </w:r>
      <w:r w:rsidRPr="00791061">
        <w:rPr>
          <w:rFonts w:eastAsia="Times New Roman"/>
          <w:szCs w:val="24"/>
          <w:u w:val="single"/>
        </w:rPr>
        <w:t>B(6)</w:t>
      </w:r>
      <w:r w:rsidRPr="00791061">
        <w:rPr>
          <w:rFonts w:eastAsia="Times New Roman"/>
          <w:szCs w:val="24"/>
        </w:rPr>
        <w:t xml:space="preserve"> and </w:t>
      </w:r>
      <w:r w:rsidRPr="00791061">
        <w:rPr>
          <w:rFonts w:eastAsia="Times New Roman"/>
          <w:szCs w:val="24"/>
          <w:u w:val="single"/>
        </w:rPr>
        <w:t>B(7A)</w:t>
      </w:r>
      <w:r w:rsidRPr="00791061">
        <w:rPr>
          <w:rFonts w:eastAsia="Times New Roman"/>
          <w:szCs w:val="24"/>
        </w:rPr>
        <w:t>.</w:t>
      </w:r>
    </w:p>
    <w:p w:rsidR="00591FCF" w:rsidRPr="00791061" w:rsidRDefault="00591FCF" w:rsidP="00C925A7">
      <w:pPr>
        <w:shd w:val="clear" w:color="auto" w:fill="FFFFFF"/>
        <w:spacing w:before="240"/>
        <w:ind w:right="5"/>
        <w:jc w:val="both"/>
        <w:rPr>
          <w:szCs w:val="24"/>
        </w:rPr>
      </w:pPr>
      <w:r w:rsidRPr="00791061">
        <w:rPr>
          <w:szCs w:val="24"/>
        </w:rPr>
        <w:t>Investigation Levels are commonly Health-based or Ecologically-based (</w:t>
      </w:r>
      <w:proofErr w:type="spellStart"/>
      <w:r w:rsidRPr="00791061">
        <w:rPr>
          <w:szCs w:val="24"/>
        </w:rPr>
        <w:t>HILs</w:t>
      </w:r>
      <w:proofErr w:type="spellEnd"/>
      <w:r w:rsidRPr="00791061">
        <w:rPr>
          <w:szCs w:val="24"/>
        </w:rPr>
        <w:t xml:space="preserve"> and </w:t>
      </w:r>
      <w:proofErr w:type="spellStart"/>
      <w:r w:rsidRPr="00791061">
        <w:rPr>
          <w:szCs w:val="24"/>
        </w:rPr>
        <w:t>EILs</w:t>
      </w:r>
      <w:proofErr w:type="spellEnd"/>
      <w:r w:rsidRPr="00791061">
        <w:rPr>
          <w:szCs w:val="24"/>
        </w:rPr>
        <w:t>). Because of Australia</w:t>
      </w:r>
      <w:r w:rsidRPr="00791061">
        <w:rPr>
          <w:rFonts w:eastAsia="Times New Roman"/>
          <w:szCs w:val="24"/>
        </w:rPr>
        <w:t xml:space="preserve">’s ecological diversity it is proposed that </w:t>
      </w:r>
      <w:proofErr w:type="spellStart"/>
      <w:r w:rsidRPr="00791061">
        <w:rPr>
          <w:rFonts w:eastAsia="Times New Roman"/>
          <w:szCs w:val="24"/>
        </w:rPr>
        <w:t>EILs</w:t>
      </w:r>
      <w:proofErr w:type="spellEnd"/>
      <w:r w:rsidRPr="00791061">
        <w:rPr>
          <w:rFonts w:eastAsia="Times New Roman"/>
          <w:szCs w:val="24"/>
        </w:rPr>
        <w:t xml:space="preserve"> will be developed for regional land use (Regional Ecologically Investigation Levels (</w:t>
      </w:r>
      <w:proofErr w:type="spellStart"/>
      <w:r w:rsidRPr="00791061">
        <w:rPr>
          <w:rFonts w:eastAsia="Times New Roman"/>
          <w:szCs w:val="24"/>
        </w:rPr>
        <w:t>REILs</w:t>
      </w:r>
      <w:proofErr w:type="spellEnd"/>
      <w:r w:rsidRPr="00791061">
        <w:rPr>
          <w:rFonts w:eastAsia="Times New Roman"/>
          <w:szCs w:val="24"/>
        </w:rPr>
        <w:t>)) as required by the relevant jurisdiction.</w:t>
      </w:r>
    </w:p>
    <w:p w:rsidR="00591FCF" w:rsidRPr="00791061" w:rsidRDefault="00591FCF" w:rsidP="00C925A7">
      <w:pPr>
        <w:shd w:val="clear" w:color="auto" w:fill="FFFFFF"/>
        <w:spacing w:before="240"/>
        <w:ind w:right="5"/>
        <w:jc w:val="both"/>
        <w:rPr>
          <w:szCs w:val="24"/>
        </w:rPr>
        <w:sectPr w:rsidR="00591FCF" w:rsidRPr="00791061" w:rsidSect="00C84479">
          <w:footerReference w:type="default" r:id="rId8"/>
          <w:pgSz w:w="11909" w:h="16834"/>
          <w:pgMar w:top="720" w:right="720" w:bottom="720" w:left="720" w:header="720" w:footer="720" w:gutter="0"/>
          <w:pgNumType w:start="1"/>
          <w:cols w:space="60"/>
          <w:noEndnote/>
          <w:docGrid w:linePitch="272"/>
        </w:sectPr>
      </w:pPr>
    </w:p>
    <w:p w:rsidR="00591FCF" w:rsidRPr="00791061" w:rsidRDefault="00591FCF" w:rsidP="00C925A7">
      <w:pPr>
        <w:shd w:val="clear" w:color="auto" w:fill="FFFFFF"/>
        <w:spacing w:before="240"/>
        <w:jc w:val="both"/>
        <w:rPr>
          <w:szCs w:val="24"/>
        </w:rPr>
      </w:pPr>
      <w:bookmarkStart w:id="2" w:name="bookmark1"/>
      <w:r w:rsidRPr="00791061">
        <w:rPr>
          <w:b/>
          <w:bCs/>
          <w:i/>
          <w:iCs/>
          <w:szCs w:val="24"/>
        </w:rPr>
        <w:lastRenderedPageBreak/>
        <w:t>A</w:t>
      </w:r>
      <w:bookmarkEnd w:id="2"/>
      <w:r w:rsidRPr="00791061">
        <w:rPr>
          <w:b/>
          <w:bCs/>
          <w:i/>
          <w:iCs/>
          <w:szCs w:val="24"/>
        </w:rPr>
        <w:t xml:space="preserve">n Investigation Level is the concentration of a contaminant above which further appropriate investigation and evaluation will be required. </w:t>
      </w:r>
      <w:r w:rsidRPr="00791061">
        <w:rPr>
          <w:szCs w:val="24"/>
        </w:rPr>
        <w:t>(</w:t>
      </w:r>
      <w:proofErr w:type="spellStart"/>
      <w:r w:rsidRPr="00791061">
        <w:rPr>
          <w:szCs w:val="24"/>
        </w:rPr>
        <w:t>ANZECC</w:t>
      </w:r>
      <w:proofErr w:type="spellEnd"/>
      <w:r w:rsidRPr="00791061">
        <w:rPr>
          <w:szCs w:val="24"/>
        </w:rPr>
        <w:t>/</w:t>
      </w:r>
      <w:proofErr w:type="spellStart"/>
      <w:r w:rsidRPr="00791061">
        <w:rPr>
          <w:szCs w:val="24"/>
        </w:rPr>
        <w:t>NHMRC</w:t>
      </w:r>
      <w:proofErr w:type="spellEnd"/>
      <w:r w:rsidRPr="00791061">
        <w:rPr>
          <w:szCs w:val="24"/>
        </w:rPr>
        <w:t xml:space="preserve"> Guidelines (1992))</w:t>
      </w:r>
    </w:p>
    <w:p w:rsidR="00591FCF" w:rsidRPr="00791061" w:rsidRDefault="00591FCF" w:rsidP="00C925A7">
      <w:pPr>
        <w:shd w:val="clear" w:color="auto" w:fill="FFFFFF"/>
        <w:spacing w:before="240"/>
        <w:jc w:val="both"/>
        <w:rPr>
          <w:szCs w:val="24"/>
        </w:rPr>
      </w:pPr>
      <w:r w:rsidRPr="00791061">
        <w:rPr>
          <w:b/>
          <w:bCs/>
          <w:i/>
          <w:iCs/>
          <w:szCs w:val="24"/>
        </w:rPr>
        <w:t>Response Level is the concentration of a contaminant at a specific site based on a site assessment for which some form of response is required to provide an adequate margin of safety to protect public health and/or the environment.</w:t>
      </w:r>
    </w:p>
    <w:p w:rsidR="00591FCF" w:rsidRPr="00791061" w:rsidRDefault="00591FCF" w:rsidP="00C925A7">
      <w:pPr>
        <w:shd w:val="clear" w:color="auto" w:fill="FFFFFF"/>
        <w:spacing w:before="240"/>
        <w:rPr>
          <w:szCs w:val="24"/>
        </w:rPr>
      </w:pPr>
      <w:r w:rsidRPr="00791061">
        <w:rPr>
          <w:b/>
          <w:bCs/>
          <w:szCs w:val="24"/>
        </w:rPr>
        <w:t>3.</w:t>
      </w:r>
      <w:r w:rsidR="00C179A4" w:rsidRPr="00791061">
        <w:rPr>
          <w:b/>
          <w:bCs/>
          <w:szCs w:val="24"/>
        </w:rPr>
        <w:t xml:space="preserve"> </w:t>
      </w:r>
      <w:r w:rsidRPr="00791061">
        <w:rPr>
          <w:b/>
          <w:bCs/>
          <w:szCs w:val="24"/>
        </w:rPr>
        <w:t>DERIVATION OF INVESTIGATION LEVELS</w:t>
      </w:r>
    </w:p>
    <w:p w:rsidR="00591FCF" w:rsidRPr="00791061" w:rsidRDefault="00591FCF" w:rsidP="00C925A7">
      <w:pPr>
        <w:shd w:val="clear" w:color="auto" w:fill="FFFFFF"/>
        <w:tabs>
          <w:tab w:val="left" w:pos="576"/>
        </w:tabs>
        <w:spacing w:before="240"/>
        <w:rPr>
          <w:szCs w:val="24"/>
        </w:rPr>
      </w:pPr>
      <w:r w:rsidRPr="00791061">
        <w:rPr>
          <w:b/>
          <w:bCs/>
          <w:szCs w:val="24"/>
        </w:rPr>
        <w:t>3.1</w:t>
      </w:r>
      <w:r w:rsidRPr="00791061">
        <w:rPr>
          <w:b/>
          <w:bCs/>
          <w:szCs w:val="24"/>
        </w:rPr>
        <w:tab/>
      </w:r>
      <w:r w:rsidRPr="00791061">
        <w:rPr>
          <w:b/>
          <w:bCs/>
          <w:smallCaps/>
          <w:szCs w:val="24"/>
        </w:rPr>
        <w:t xml:space="preserve">Health Based Investigation Levels </w:t>
      </w:r>
      <w:r w:rsidRPr="00791061">
        <w:rPr>
          <w:b/>
          <w:bCs/>
          <w:szCs w:val="24"/>
        </w:rPr>
        <w:t>(</w:t>
      </w:r>
      <w:proofErr w:type="spellStart"/>
      <w:r w:rsidRPr="00791061">
        <w:rPr>
          <w:b/>
          <w:bCs/>
          <w:smallCaps/>
          <w:szCs w:val="24"/>
        </w:rPr>
        <w:t>HILs</w:t>
      </w:r>
      <w:proofErr w:type="spellEnd"/>
      <w:r w:rsidRPr="00791061">
        <w:rPr>
          <w:b/>
          <w:bCs/>
          <w:szCs w:val="24"/>
        </w:rPr>
        <w:t>)</w:t>
      </w:r>
    </w:p>
    <w:p w:rsidR="00591FCF" w:rsidRPr="00791061" w:rsidRDefault="00591FCF" w:rsidP="00C925A7">
      <w:pPr>
        <w:shd w:val="clear" w:color="auto" w:fill="FFFFFF"/>
        <w:spacing w:before="240"/>
        <w:jc w:val="both"/>
        <w:rPr>
          <w:szCs w:val="24"/>
        </w:rPr>
      </w:pPr>
      <w:r w:rsidRPr="00791061">
        <w:rPr>
          <w:szCs w:val="24"/>
        </w:rPr>
        <w:t xml:space="preserve">The derivation of </w:t>
      </w:r>
      <w:proofErr w:type="spellStart"/>
      <w:r w:rsidRPr="00791061">
        <w:rPr>
          <w:szCs w:val="24"/>
        </w:rPr>
        <w:t>HILs</w:t>
      </w:r>
      <w:proofErr w:type="spellEnd"/>
      <w:r w:rsidRPr="00791061">
        <w:rPr>
          <w:szCs w:val="24"/>
        </w:rPr>
        <w:t xml:space="preserve"> is outlined in </w:t>
      </w:r>
      <w:r w:rsidRPr="00791061">
        <w:rPr>
          <w:szCs w:val="24"/>
          <w:u w:val="single"/>
        </w:rPr>
        <w:t>Schedule B(7A)</w:t>
      </w:r>
      <w:r w:rsidRPr="00791061">
        <w:rPr>
          <w:szCs w:val="24"/>
        </w:rPr>
        <w:t xml:space="preserve">. The health risk assessment methodology (see </w:t>
      </w:r>
      <w:r w:rsidRPr="00791061">
        <w:rPr>
          <w:szCs w:val="24"/>
          <w:u w:val="single"/>
        </w:rPr>
        <w:t>Schedule B(4)</w:t>
      </w:r>
      <w:r w:rsidRPr="00791061">
        <w:rPr>
          <w:szCs w:val="24"/>
        </w:rPr>
        <w:t xml:space="preserve">) provides the basis for estimation of </w:t>
      </w:r>
      <w:proofErr w:type="spellStart"/>
      <w:r w:rsidRPr="00791061">
        <w:rPr>
          <w:szCs w:val="24"/>
        </w:rPr>
        <w:t>HILs</w:t>
      </w:r>
      <w:proofErr w:type="spellEnd"/>
      <w:r w:rsidRPr="00791061">
        <w:rPr>
          <w:szCs w:val="24"/>
        </w:rPr>
        <w:t xml:space="preserve">. Contaminant levels for a standard residential site with garden/accessible soil (setting A in </w:t>
      </w:r>
      <w:hyperlink w:anchor="bookmark6" w:history="1">
        <w:r w:rsidRPr="00791061">
          <w:rPr>
            <w:szCs w:val="24"/>
          </w:rPr>
          <w:t>Table 5-A)</w:t>
        </w:r>
      </w:hyperlink>
      <w:r w:rsidRPr="00791061">
        <w:rPr>
          <w:szCs w:val="24"/>
        </w:rPr>
        <w:t xml:space="preserve"> are based on conservative assumptions to protect a young child living on the site (and assuming that home-grown produce contributes less than 10% of fruit and vegetable intake and that no poultry are kept). This exposure setting is also applied to daycare </w:t>
      </w:r>
      <w:proofErr w:type="spellStart"/>
      <w:r w:rsidRPr="00791061">
        <w:rPr>
          <w:szCs w:val="24"/>
        </w:rPr>
        <w:t>centres</w:t>
      </w:r>
      <w:proofErr w:type="spellEnd"/>
      <w:r w:rsidRPr="00791061">
        <w:rPr>
          <w:szCs w:val="24"/>
        </w:rPr>
        <w:t xml:space="preserve">, kindergartens, preschools and primary schools to provide protection to young children from soil contaminants. </w:t>
      </w:r>
      <w:proofErr w:type="spellStart"/>
      <w:r w:rsidRPr="00791061">
        <w:rPr>
          <w:szCs w:val="24"/>
        </w:rPr>
        <w:t>HILs</w:t>
      </w:r>
      <w:proofErr w:type="spellEnd"/>
      <w:r w:rsidRPr="00791061">
        <w:rPr>
          <w:szCs w:val="24"/>
        </w:rPr>
        <w:t xml:space="preserve"> have been set for alternative exposure settings (D, E, F, see </w:t>
      </w:r>
      <w:hyperlink w:anchor="bookmark6" w:history="1">
        <w:r w:rsidRPr="00791061">
          <w:rPr>
            <w:szCs w:val="24"/>
          </w:rPr>
          <w:t>Table 5-A</w:t>
        </w:r>
      </w:hyperlink>
      <w:r w:rsidRPr="00791061">
        <w:rPr>
          <w:szCs w:val="24"/>
        </w:rPr>
        <w:t xml:space="preserve">) where there is reduced access to soil, or reduced time in the setting for young children. Residential settings with substantial vegetable gardens, contributing more than 10% of fruit and vegetable intake, and with poultry providing eggs or meat require site specific assessments and no generic </w:t>
      </w:r>
      <w:proofErr w:type="spellStart"/>
      <w:r w:rsidRPr="00791061">
        <w:rPr>
          <w:szCs w:val="24"/>
        </w:rPr>
        <w:t>HILs</w:t>
      </w:r>
      <w:proofErr w:type="spellEnd"/>
      <w:r w:rsidRPr="00791061">
        <w:rPr>
          <w:szCs w:val="24"/>
        </w:rPr>
        <w:t xml:space="preserve"> have been derived for this setting. The basis on which </w:t>
      </w:r>
      <w:proofErr w:type="spellStart"/>
      <w:r w:rsidRPr="00791061">
        <w:rPr>
          <w:szCs w:val="24"/>
        </w:rPr>
        <w:t>HILs</w:t>
      </w:r>
      <w:proofErr w:type="spellEnd"/>
      <w:r w:rsidRPr="00791061">
        <w:rPr>
          <w:szCs w:val="24"/>
        </w:rPr>
        <w:t xml:space="preserve"> have been set should be assessed for relevance to the situation under consideration.</w:t>
      </w:r>
    </w:p>
    <w:p w:rsidR="00591FCF" w:rsidRPr="00791061" w:rsidRDefault="00591FCF" w:rsidP="00C925A7">
      <w:pPr>
        <w:shd w:val="clear" w:color="auto" w:fill="FFFFFF"/>
        <w:spacing w:before="240"/>
        <w:ind w:right="5"/>
        <w:jc w:val="both"/>
        <w:rPr>
          <w:szCs w:val="24"/>
        </w:rPr>
      </w:pPr>
      <w:r w:rsidRPr="00791061">
        <w:rPr>
          <w:szCs w:val="24"/>
        </w:rPr>
        <w:t xml:space="preserve">The list of </w:t>
      </w:r>
      <w:proofErr w:type="spellStart"/>
      <w:r w:rsidRPr="00791061">
        <w:rPr>
          <w:szCs w:val="24"/>
        </w:rPr>
        <w:t>HILs</w:t>
      </w:r>
      <w:proofErr w:type="spellEnd"/>
      <w:r w:rsidRPr="00791061">
        <w:rPr>
          <w:szCs w:val="24"/>
        </w:rPr>
        <w:t xml:space="preserve"> will be reviewed from time to time by national health advisory bodies.</w:t>
      </w:r>
    </w:p>
    <w:p w:rsidR="00591FCF" w:rsidRPr="00791061" w:rsidRDefault="00591FCF" w:rsidP="00C925A7">
      <w:pPr>
        <w:shd w:val="clear" w:color="auto" w:fill="FFFFFF"/>
        <w:tabs>
          <w:tab w:val="left" w:pos="576"/>
        </w:tabs>
        <w:spacing w:before="240"/>
        <w:rPr>
          <w:szCs w:val="24"/>
        </w:rPr>
      </w:pPr>
      <w:r w:rsidRPr="00791061">
        <w:rPr>
          <w:b/>
          <w:bCs/>
          <w:szCs w:val="24"/>
        </w:rPr>
        <w:t>3.2</w:t>
      </w:r>
      <w:r w:rsidRPr="00791061">
        <w:rPr>
          <w:b/>
          <w:bCs/>
          <w:szCs w:val="24"/>
        </w:rPr>
        <w:tab/>
      </w:r>
      <w:r w:rsidRPr="00791061">
        <w:rPr>
          <w:b/>
          <w:bCs/>
          <w:smallCaps/>
          <w:szCs w:val="24"/>
        </w:rPr>
        <w:t>Ecologically</w:t>
      </w:r>
      <w:r w:rsidRPr="00791061">
        <w:rPr>
          <w:b/>
          <w:bCs/>
          <w:szCs w:val="24"/>
        </w:rPr>
        <w:t>-</w:t>
      </w:r>
      <w:r w:rsidRPr="00791061">
        <w:rPr>
          <w:b/>
          <w:bCs/>
          <w:smallCaps/>
          <w:szCs w:val="24"/>
        </w:rPr>
        <w:t xml:space="preserve">based Investigation Levels </w:t>
      </w:r>
      <w:r w:rsidRPr="00791061">
        <w:rPr>
          <w:b/>
          <w:bCs/>
          <w:szCs w:val="24"/>
        </w:rPr>
        <w:t>(</w:t>
      </w:r>
      <w:proofErr w:type="spellStart"/>
      <w:r w:rsidRPr="00791061">
        <w:rPr>
          <w:b/>
          <w:bCs/>
          <w:smallCaps/>
          <w:szCs w:val="24"/>
        </w:rPr>
        <w:t>EILs</w:t>
      </w:r>
      <w:proofErr w:type="spellEnd"/>
      <w:r w:rsidRPr="00791061">
        <w:rPr>
          <w:b/>
          <w:bCs/>
          <w:szCs w:val="24"/>
        </w:rPr>
        <w:t>)</w:t>
      </w:r>
    </w:p>
    <w:p w:rsidR="00591FCF" w:rsidRPr="00791061" w:rsidRDefault="00591FCF" w:rsidP="00C925A7">
      <w:pPr>
        <w:shd w:val="clear" w:color="auto" w:fill="FFFFFF"/>
        <w:spacing w:before="240"/>
        <w:ind w:right="5"/>
        <w:jc w:val="both"/>
        <w:rPr>
          <w:szCs w:val="24"/>
        </w:rPr>
      </w:pPr>
      <w:r w:rsidRPr="00791061">
        <w:rPr>
          <w:szCs w:val="24"/>
        </w:rPr>
        <w:t xml:space="preserve">Ideally, ecologically-based guidelines will be developed at a regional level and related to land use. This will require the acquisition of data relevant to the regional flora, fauna, soils, climate, etc. Data or guidelines related to protection of ecological values should be critically reviewed for scientific validity and relevance to the region under consideration. Limitations in this regard should be noted. The development of regional guidelines should be done in a coordinated fashion and will require the identification of an adequate resource base. It is </w:t>
      </w:r>
      <w:proofErr w:type="spellStart"/>
      <w:r w:rsidRPr="00791061">
        <w:rPr>
          <w:szCs w:val="24"/>
        </w:rPr>
        <w:t>recognised</w:t>
      </w:r>
      <w:proofErr w:type="spellEnd"/>
      <w:r w:rsidRPr="00791061">
        <w:rPr>
          <w:szCs w:val="24"/>
        </w:rPr>
        <w:t xml:space="preserve"> that this will be a resource intensive process and that regional </w:t>
      </w:r>
      <w:proofErr w:type="spellStart"/>
      <w:r w:rsidRPr="00791061">
        <w:rPr>
          <w:szCs w:val="24"/>
        </w:rPr>
        <w:t>EILs</w:t>
      </w:r>
      <w:proofErr w:type="spellEnd"/>
      <w:r w:rsidRPr="00791061">
        <w:rPr>
          <w:szCs w:val="24"/>
        </w:rPr>
        <w:t xml:space="preserve"> (</w:t>
      </w:r>
      <w:proofErr w:type="spellStart"/>
      <w:r w:rsidRPr="00791061">
        <w:rPr>
          <w:szCs w:val="24"/>
        </w:rPr>
        <w:t>REILs</w:t>
      </w:r>
      <w:proofErr w:type="spellEnd"/>
      <w:r w:rsidRPr="00791061">
        <w:rPr>
          <w:szCs w:val="24"/>
        </w:rPr>
        <w:t xml:space="preserve">) may not be developed for some time. In the interim, it is proposed that generic </w:t>
      </w:r>
      <w:proofErr w:type="spellStart"/>
      <w:r w:rsidRPr="00791061">
        <w:rPr>
          <w:szCs w:val="24"/>
        </w:rPr>
        <w:t>EILs</w:t>
      </w:r>
      <w:proofErr w:type="spellEnd"/>
      <w:r w:rsidRPr="00791061">
        <w:rPr>
          <w:szCs w:val="24"/>
        </w:rPr>
        <w:t xml:space="preserve"> are set for urban (comprising city, suburban and industrial areas) land use. Where </w:t>
      </w:r>
      <w:proofErr w:type="spellStart"/>
      <w:r w:rsidRPr="00791061">
        <w:rPr>
          <w:szCs w:val="24"/>
        </w:rPr>
        <w:t>REILs</w:t>
      </w:r>
      <w:proofErr w:type="spellEnd"/>
      <w:r w:rsidRPr="00791061">
        <w:rPr>
          <w:szCs w:val="24"/>
        </w:rPr>
        <w:t xml:space="preserve"> are established by individual jurisdictions, these take precedence over the generic </w:t>
      </w:r>
      <w:proofErr w:type="spellStart"/>
      <w:r w:rsidRPr="00791061">
        <w:rPr>
          <w:szCs w:val="24"/>
        </w:rPr>
        <w:t>EILs</w:t>
      </w:r>
      <w:proofErr w:type="spellEnd"/>
      <w:r w:rsidRPr="00791061">
        <w:rPr>
          <w:szCs w:val="24"/>
        </w:rPr>
        <w:t xml:space="preserve"> established for urban land use.</w:t>
      </w:r>
    </w:p>
    <w:p w:rsidR="00591FCF" w:rsidRPr="00791061" w:rsidRDefault="00591FCF" w:rsidP="00C925A7">
      <w:pPr>
        <w:shd w:val="clear" w:color="auto" w:fill="FFFFFF"/>
        <w:spacing w:before="240"/>
        <w:jc w:val="both"/>
        <w:rPr>
          <w:szCs w:val="24"/>
        </w:rPr>
      </w:pPr>
      <w:r w:rsidRPr="00791061">
        <w:rPr>
          <w:szCs w:val="24"/>
        </w:rPr>
        <w:t xml:space="preserve">In the interim, </w:t>
      </w:r>
      <w:proofErr w:type="spellStart"/>
      <w:r w:rsidRPr="00791061">
        <w:rPr>
          <w:szCs w:val="24"/>
        </w:rPr>
        <w:t>EILs</w:t>
      </w:r>
      <w:proofErr w:type="spellEnd"/>
      <w:r w:rsidRPr="00791061">
        <w:rPr>
          <w:szCs w:val="24"/>
        </w:rPr>
        <w:t xml:space="preserve"> for an urban setting are provided based on considerations of phytotoxicity (copper, chromium, lead) and soil survey data (barium, phosphorus,</w:t>
      </w:r>
    </w:p>
    <w:p w:rsidR="00591FCF" w:rsidRPr="00791061" w:rsidRDefault="00591FCF" w:rsidP="00C925A7">
      <w:pPr>
        <w:shd w:val="clear" w:color="auto" w:fill="FFFFFF"/>
        <w:spacing w:before="240"/>
        <w:jc w:val="both"/>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C925A7">
      <w:pPr>
        <w:shd w:val="clear" w:color="auto" w:fill="FFFFFF"/>
        <w:spacing w:before="240"/>
        <w:ind w:right="5"/>
        <w:jc w:val="both"/>
        <w:rPr>
          <w:szCs w:val="24"/>
        </w:rPr>
      </w:pPr>
      <w:bookmarkStart w:id="3" w:name="bookmark2"/>
      <w:r w:rsidRPr="00791061">
        <w:rPr>
          <w:szCs w:val="24"/>
        </w:rPr>
        <w:lastRenderedPageBreak/>
        <w:t>s</w:t>
      </w:r>
      <w:bookmarkEnd w:id="3"/>
      <w:r w:rsidRPr="00791061">
        <w:rPr>
          <w:szCs w:val="24"/>
        </w:rPr>
        <w:t xml:space="preserve">ulfur) from four Australian capital cities. The </w:t>
      </w:r>
      <w:proofErr w:type="spellStart"/>
      <w:r w:rsidRPr="00791061">
        <w:rPr>
          <w:szCs w:val="24"/>
        </w:rPr>
        <w:t>ANZECC</w:t>
      </w:r>
      <w:proofErr w:type="spellEnd"/>
      <w:r w:rsidRPr="00791061">
        <w:rPr>
          <w:szCs w:val="24"/>
        </w:rPr>
        <w:t xml:space="preserve"> B values were retained for the other contaminants, and for many of the metals, soil survey data supported these values. It is acknowledged that the </w:t>
      </w:r>
      <w:proofErr w:type="spellStart"/>
      <w:r w:rsidRPr="00791061">
        <w:rPr>
          <w:szCs w:val="24"/>
        </w:rPr>
        <w:t>EILs</w:t>
      </w:r>
      <w:proofErr w:type="spellEnd"/>
      <w:r w:rsidRPr="00791061">
        <w:rPr>
          <w:szCs w:val="24"/>
        </w:rPr>
        <w:t xml:space="preserve"> for an urban setting have not been derived to protect nominated ecological values and are somewhat arbitrary. In some circumstances, including the presence of a valued and sensitive species or </w:t>
      </w:r>
      <w:proofErr w:type="spellStart"/>
      <w:r w:rsidRPr="00791061">
        <w:rPr>
          <w:szCs w:val="24"/>
        </w:rPr>
        <w:t>coarsegrained</w:t>
      </w:r>
      <w:proofErr w:type="spellEnd"/>
      <w:r w:rsidRPr="00791061">
        <w:rPr>
          <w:szCs w:val="24"/>
        </w:rPr>
        <w:t>, acidic soils, the establishment of more pertinent regional values should assume greater priority.</w:t>
      </w:r>
    </w:p>
    <w:p w:rsidR="00591FCF" w:rsidRPr="00791061" w:rsidRDefault="00591FCF" w:rsidP="00C925A7">
      <w:pPr>
        <w:shd w:val="clear" w:color="auto" w:fill="FFFFFF"/>
        <w:tabs>
          <w:tab w:val="left" w:pos="576"/>
        </w:tabs>
        <w:spacing w:before="240"/>
        <w:rPr>
          <w:szCs w:val="24"/>
        </w:rPr>
      </w:pPr>
      <w:r w:rsidRPr="00791061">
        <w:rPr>
          <w:b/>
          <w:bCs/>
          <w:szCs w:val="24"/>
        </w:rPr>
        <w:t>3.3</w:t>
      </w:r>
      <w:r w:rsidRPr="00791061">
        <w:rPr>
          <w:b/>
          <w:bCs/>
          <w:szCs w:val="24"/>
        </w:rPr>
        <w:tab/>
      </w:r>
      <w:r w:rsidRPr="00791061">
        <w:rPr>
          <w:b/>
          <w:bCs/>
          <w:smallCaps/>
          <w:szCs w:val="24"/>
        </w:rPr>
        <w:t xml:space="preserve">Groundwater Investigation Levels </w:t>
      </w:r>
      <w:r w:rsidRPr="00791061">
        <w:rPr>
          <w:b/>
          <w:bCs/>
          <w:szCs w:val="24"/>
        </w:rPr>
        <w:t>(</w:t>
      </w:r>
      <w:proofErr w:type="spellStart"/>
      <w:r w:rsidRPr="00791061">
        <w:rPr>
          <w:b/>
          <w:bCs/>
          <w:smallCaps/>
          <w:szCs w:val="24"/>
        </w:rPr>
        <w:t>GILs</w:t>
      </w:r>
      <w:proofErr w:type="spellEnd"/>
      <w:r w:rsidRPr="00791061">
        <w:rPr>
          <w:b/>
          <w:bCs/>
          <w:szCs w:val="24"/>
        </w:rPr>
        <w:t>)</w:t>
      </w:r>
    </w:p>
    <w:p w:rsidR="00591FCF" w:rsidRPr="00791061" w:rsidRDefault="00591FCF" w:rsidP="00C925A7">
      <w:pPr>
        <w:shd w:val="clear" w:color="auto" w:fill="FFFFFF"/>
        <w:spacing w:before="240"/>
        <w:ind w:right="5"/>
        <w:jc w:val="both"/>
        <w:rPr>
          <w:szCs w:val="24"/>
        </w:rPr>
      </w:pPr>
      <w:r w:rsidRPr="00791061">
        <w:rPr>
          <w:szCs w:val="24"/>
          <w:u w:val="single"/>
        </w:rPr>
        <w:t>Schedule B(6)</w:t>
      </w:r>
      <w:r w:rsidRPr="00791061">
        <w:rPr>
          <w:szCs w:val="24"/>
        </w:rPr>
        <w:t xml:space="preserve">, provides a framework for the assessment of groundwater contamination based on the </w:t>
      </w:r>
      <w:proofErr w:type="spellStart"/>
      <w:r w:rsidRPr="00791061">
        <w:rPr>
          <w:szCs w:val="24"/>
        </w:rPr>
        <w:t>ANZECC</w:t>
      </w:r>
      <w:proofErr w:type="spellEnd"/>
      <w:r w:rsidRPr="00791061">
        <w:rPr>
          <w:szCs w:val="24"/>
        </w:rPr>
        <w:t xml:space="preserve"> Australian Water Quality Guidelines (1992) (</w:t>
      </w:r>
      <w:proofErr w:type="spellStart"/>
      <w:r w:rsidRPr="00791061">
        <w:rPr>
          <w:szCs w:val="24"/>
        </w:rPr>
        <w:t>AWQG</w:t>
      </w:r>
      <w:proofErr w:type="spellEnd"/>
      <w:r w:rsidRPr="00791061">
        <w:rPr>
          <w:szCs w:val="24"/>
        </w:rPr>
        <w:t xml:space="preserve">) and the </w:t>
      </w:r>
      <w:proofErr w:type="spellStart"/>
      <w:r w:rsidRPr="00791061">
        <w:rPr>
          <w:szCs w:val="24"/>
        </w:rPr>
        <w:t>NHMRC</w:t>
      </w:r>
      <w:proofErr w:type="spellEnd"/>
      <w:r w:rsidRPr="00791061">
        <w:rPr>
          <w:szCs w:val="24"/>
        </w:rPr>
        <w:t>/</w:t>
      </w:r>
      <w:proofErr w:type="spellStart"/>
      <w:r w:rsidRPr="00791061">
        <w:rPr>
          <w:szCs w:val="24"/>
        </w:rPr>
        <w:t>ARMCANZ</w:t>
      </w:r>
      <w:proofErr w:type="spellEnd"/>
      <w:r w:rsidRPr="00791061">
        <w:rPr>
          <w:szCs w:val="24"/>
        </w:rPr>
        <w:t xml:space="preserve"> Australian Drinking Water Guidelines (1996) (</w:t>
      </w:r>
      <w:proofErr w:type="spellStart"/>
      <w:r w:rsidRPr="00791061">
        <w:rPr>
          <w:szCs w:val="24"/>
        </w:rPr>
        <w:t>ADWG</w:t>
      </w:r>
      <w:proofErr w:type="spellEnd"/>
      <w:r w:rsidRPr="00791061">
        <w:rPr>
          <w:szCs w:val="24"/>
        </w:rPr>
        <w:t>). The guideline values provided in these documents define acceptable water quality for various contaminants at the point of use and apply to the following settings identified in the framework for groundwater assessment: aquatic ecosystems (fresh and marine), drinking water and agricultural use (stock watering and irrigation).</w:t>
      </w:r>
    </w:p>
    <w:p w:rsidR="00591FCF" w:rsidRPr="00791061" w:rsidRDefault="00591FCF" w:rsidP="00C925A7">
      <w:pPr>
        <w:shd w:val="clear" w:color="auto" w:fill="FFFFFF"/>
        <w:spacing w:before="240"/>
        <w:jc w:val="both"/>
        <w:rPr>
          <w:szCs w:val="24"/>
        </w:rPr>
      </w:pPr>
      <w:r w:rsidRPr="00791061">
        <w:rPr>
          <w:szCs w:val="24"/>
        </w:rPr>
        <w:t xml:space="preserve">When assessing groundwater contamination, the values in </w:t>
      </w:r>
      <w:hyperlink w:anchor="bookmark7" w:history="1">
        <w:r w:rsidRPr="00791061">
          <w:rPr>
            <w:szCs w:val="24"/>
          </w:rPr>
          <w:t xml:space="preserve">Table 5-B </w:t>
        </w:r>
      </w:hyperlink>
      <w:r w:rsidRPr="00791061">
        <w:rPr>
          <w:szCs w:val="24"/>
        </w:rPr>
        <w:t xml:space="preserve">are applied as investigation levels at the point of extraction and as response levels at the point of use, or where there is the likelihood of an adverse environmental effect at the point of discharge (see </w:t>
      </w:r>
      <w:r w:rsidRPr="00791061">
        <w:rPr>
          <w:szCs w:val="24"/>
          <w:u w:val="single"/>
        </w:rPr>
        <w:t>Schedule B(6)</w:t>
      </w:r>
      <w:r w:rsidRPr="00791061">
        <w:rPr>
          <w:szCs w:val="24"/>
        </w:rPr>
        <w:t xml:space="preserve">). The </w:t>
      </w:r>
      <w:proofErr w:type="spellStart"/>
      <w:r w:rsidRPr="00791061">
        <w:rPr>
          <w:szCs w:val="24"/>
        </w:rPr>
        <w:t>ANZECC</w:t>
      </w:r>
      <w:proofErr w:type="spellEnd"/>
      <w:r w:rsidRPr="00791061">
        <w:rPr>
          <w:szCs w:val="24"/>
        </w:rPr>
        <w:t xml:space="preserve"> and </w:t>
      </w:r>
      <w:proofErr w:type="spellStart"/>
      <w:r w:rsidRPr="00791061">
        <w:rPr>
          <w:szCs w:val="24"/>
        </w:rPr>
        <w:t>NHMRC</w:t>
      </w:r>
      <w:proofErr w:type="spellEnd"/>
      <w:r w:rsidRPr="00791061">
        <w:rPr>
          <w:szCs w:val="24"/>
        </w:rPr>
        <w:t>/</w:t>
      </w:r>
      <w:proofErr w:type="spellStart"/>
      <w:r w:rsidRPr="00791061">
        <w:rPr>
          <w:szCs w:val="24"/>
        </w:rPr>
        <w:t>ARMCANZ</w:t>
      </w:r>
      <w:proofErr w:type="spellEnd"/>
      <w:r w:rsidRPr="00791061">
        <w:rPr>
          <w:szCs w:val="24"/>
        </w:rPr>
        <w:t xml:space="preserve"> documents should also be consulted as these provide valuable narrative on these values.</w:t>
      </w:r>
    </w:p>
    <w:p w:rsidR="00591FCF" w:rsidRPr="00791061" w:rsidRDefault="00591FCF" w:rsidP="00C925A7">
      <w:pPr>
        <w:shd w:val="clear" w:color="auto" w:fill="FFFFFF"/>
        <w:spacing w:before="240"/>
        <w:ind w:right="5"/>
        <w:jc w:val="both"/>
        <w:rPr>
          <w:szCs w:val="24"/>
        </w:rPr>
      </w:pPr>
      <w:r w:rsidRPr="00791061">
        <w:rPr>
          <w:szCs w:val="24"/>
        </w:rPr>
        <w:t xml:space="preserve">It should be noted that some jurisdictions might have groundwater protection policies that require action even where levels do not exceed the </w:t>
      </w:r>
      <w:proofErr w:type="spellStart"/>
      <w:r w:rsidRPr="00791061">
        <w:rPr>
          <w:szCs w:val="24"/>
        </w:rPr>
        <w:t>AWQG</w:t>
      </w:r>
      <w:proofErr w:type="spellEnd"/>
      <w:r w:rsidRPr="00791061">
        <w:rPr>
          <w:szCs w:val="24"/>
        </w:rPr>
        <w:t xml:space="preserve"> values at the point of use.</w:t>
      </w:r>
    </w:p>
    <w:p w:rsidR="00591FCF" w:rsidRPr="00791061" w:rsidRDefault="00591FCF" w:rsidP="00C925A7">
      <w:pPr>
        <w:shd w:val="clear" w:color="auto" w:fill="FFFFFF"/>
        <w:tabs>
          <w:tab w:val="left" w:pos="576"/>
        </w:tabs>
        <w:spacing w:before="240"/>
        <w:rPr>
          <w:szCs w:val="24"/>
        </w:rPr>
      </w:pPr>
      <w:r w:rsidRPr="00791061">
        <w:rPr>
          <w:b/>
          <w:bCs/>
          <w:szCs w:val="24"/>
        </w:rPr>
        <w:t>3.4</w:t>
      </w:r>
      <w:r w:rsidRPr="00791061">
        <w:rPr>
          <w:b/>
          <w:bCs/>
          <w:szCs w:val="24"/>
        </w:rPr>
        <w:tab/>
      </w:r>
      <w:r w:rsidRPr="00791061">
        <w:rPr>
          <w:b/>
          <w:bCs/>
          <w:smallCaps/>
          <w:szCs w:val="24"/>
        </w:rPr>
        <w:t>Investigation Levels for Sediments</w:t>
      </w:r>
    </w:p>
    <w:p w:rsidR="00591FCF" w:rsidRPr="00791061" w:rsidRDefault="00591FCF" w:rsidP="00C925A7">
      <w:pPr>
        <w:shd w:val="clear" w:color="auto" w:fill="FFFFFF"/>
        <w:spacing w:before="240"/>
        <w:ind w:right="5"/>
        <w:jc w:val="both"/>
        <w:rPr>
          <w:szCs w:val="24"/>
        </w:rPr>
      </w:pPr>
      <w:r w:rsidRPr="00791061">
        <w:rPr>
          <w:szCs w:val="24"/>
        </w:rPr>
        <w:t>Investigation levels for the assessment of contaminated sediments have not yet been established on a national basis. Investigation levels for soils should not be applied directly to the assessment of contamination of sediments. Sediment assessment is a process separate from soil assessment.</w:t>
      </w:r>
    </w:p>
    <w:p w:rsidR="00591FCF" w:rsidRPr="00791061" w:rsidRDefault="00591FCF" w:rsidP="00C925A7">
      <w:pPr>
        <w:shd w:val="clear" w:color="auto" w:fill="FFFFFF"/>
        <w:spacing w:before="240"/>
        <w:jc w:val="both"/>
        <w:rPr>
          <w:szCs w:val="24"/>
        </w:rPr>
      </w:pPr>
      <w:r w:rsidRPr="00791061">
        <w:rPr>
          <w:szCs w:val="24"/>
        </w:rPr>
        <w:t xml:space="preserve">Sediment guideline values are currently being developed for inclusion in the revised </w:t>
      </w:r>
      <w:proofErr w:type="spellStart"/>
      <w:r w:rsidRPr="00791061">
        <w:rPr>
          <w:szCs w:val="24"/>
        </w:rPr>
        <w:t>ANZECC</w:t>
      </w:r>
      <w:proofErr w:type="spellEnd"/>
      <w:r w:rsidRPr="00791061">
        <w:rPr>
          <w:szCs w:val="24"/>
        </w:rPr>
        <w:t>/</w:t>
      </w:r>
      <w:proofErr w:type="spellStart"/>
      <w:r w:rsidRPr="00791061">
        <w:rPr>
          <w:szCs w:val="24"/>
        </w:rPr>
        <w:t>ARMCANZ</w:t>
      </w:r>
      <w:proofErr w:type="spellEnd"/>
      <w:r w:rsidRPr="00791061">
        <w:rPr>
          <w:szCs w:val="24"/>
        </w:rPr>
        <w:t xml:space="preserve"> </w:t>
      </w:r>
      <w:r w:rsidRPr="00791061">
        <w:rPr>
          <w:rFonts w:eastAsia="Times New Roman"/>
          <w:szCs w:val="24"/>
        </w:rPr>
        <w:t>“Australian and New Zealand Guidelines for Fresh and Marine Water Quality”.</w:t>
      </w:r>
    </w:p>
    <w:p w:rsidR="00591FCF" w:rsidRPr="00791061" w:rsidRDefault="00591FCF" w:rsidP="00C925A7">
      <w:pPr>
        <w:shd w:val="clear" w:color="auto" w:fill="FFFFFF"/>
        <w:tabs>
          <w:tab w:val="left" w:pos="576"/>
        </w:tabs>
        <w:spacing w:before="240"/>
        <w:rPr>
          <w:szCs w:val="24"/>
        </w:rPr>
      </w:pPr>
      <w:r w:rsidRPr="00791061">
        <w:rPr>
          <w:b/>
          <w:bCs/>
          <w:szCs w:val="24"/>
        </w:rPr>
        <w:t>3.5</w:t>
      </w:r>
      <w:r w:rsidRPr="00791061">
        <w:rPr>
          <w:b/>
          <w:bCs/>
          <w:szCs w:val="24"/>
        </w:rPr>
        <w:tab/>
      </w:r>
      <w:r w:rsidRPr="00791061">
        <w:rPr>
          <w:b/>
          <w:bCs/>
          <w:smallCaps/>
          <w:szCs w:val="24"/>
        </w:rPr>
        <w:t>Aesthetic Guidelines</w:t>
      </w:r>
    </w:p>
    <w:p w:rsidR="00591FCF" w:rsidRPr="00791061" w:rsidRDefault="00591FCF" w:rsidP="00C925A7">
      <w:pPr>
        <w:shd w:val="clear" w:color="auto" w:fill="FFFFFF"/>
        <w:spacing w:before="240"/>
        <w:ind w:right="5"/>
        <w:jc w:val="both"/>
        <w:rPr>
          <w:szCs w:val="24"/>
        </w:rPr>
      </w:pPr>
      <w:r w:rsidRPr="00791061">
        <w:rPr>
          <w:szCs w:val="24"/>
        </w:rPr>
        <w:t xml:space="preserve">There are no numeric Aesthetic Guidelines but the fundamental principle is that the soils should not be </w:t>
      </w:r>
      <w:proofErr w:type="spellStart"/>
      <w:r w:rsidRPr="00791061">
        <w:rPr>
          <w:szCs w:val="24"/>
        </w:rPr>
        <w:t>discoloured</w:t>
      </w:r>
      <w:proofErr w:type="spellEnd"/>
      <w:r w:rsidRPr="00791061">
        <w:rPr>
          <w:szCs w:val="24"/>
        </w:rPr>
        <w:t>, malodorous (including when dug over or wet) nor of abnormal consistency. The natural state of the soil should be considered.</w:t>
      </w:r>
    </w:p>
    <w:p w:rsidR="00591FCF" w:rsidRPr="00791061" w:rsidRDefault="00591FCF" w:rsidP="00C925A7">
      <w:pPr>
        <w:shd w:val="clear" w:color="auto" w:fill="FFFFFF"/>
        <w:spacing w:before="240"/>
        <w:ind w:right="5"/>
        <w:jc w:val="both"/>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C925A7">
      <w:pPr>
        <w:shd w:val="clear" w:color="auto" w:fill="FFFFFF"/>
        <w:spacing w:before="240"/>
        <w:rPr>
          <w:szCs w:val="24"/>
        </w:rPr>
      </w:pPr>
      <w:bookmarkStart w:id="4" w:name="bookmark3"/>
      <w:r w:rsidRPr="00791061">
        <w:rPr>
          <w:b/>
          <w:bCs/>
          <w:szCs w:val="24"/>
        </w:rPr>
        <w:lastRenderedPageBreak/>
        <w:t>3</w:t>
      </w:r>
      <w:bookmarkEnd w:id="4"/>
      <w:r w:rsidRPr="00791061">
        <w:rPr>
          <w:b/>
          <w:bCs/>
          <w:szCs w:val="24"/>
        </w:rPr>
        <w:t>.6</w:t>
      </w:r>
      <w:r w:rsidR="00C179A4" w:rsidRPr="00791061">
        <w:rPr>
          <w:b/>
          <w:bCs/>
          <w:szCs w:val="24"/>
        </w:rPr>
        <w:t xml:space="preserve"> </w:t>
      </w:r>
      <w:r w:rsidRPr="00791061">
        <w:rPr>
          <w:b/>
          <w:bCs/>
          <w:smallCaps/>
          <w:szCs w:val="24"/>
        </w:rPr>
        <w:t>Structural Guidelines</w:t>
      </w:r>
    </w:p>
    <w:p w:rsidR="00591FCF" w:rsidRPr="00791061" w:rsidRDefault="00591FCF" w:rsidP="00C925A7">
      <w:pPr>
        <w:shd w:val="clear" w:color="auto" w:fill="FFFFFF"/>
        <w:spacing w:before="240"/>
        <w:ind w:right="5"/>
        <w:jc w:val="both"/>
        <w:rPr>
          <w:szCs w:val="24"/>
        </w:rPr>
      </w:pPr>
      <w:r w:rsidRPr="00791061">
        <w:rPr>
          <w:szCs w:val="24"/>
        </w:rPr>
        <w:t>For some substances such as phenols and sulfates, their impact on structures (effects on PVC piping and cement</w:t>
      </w:r>
      <w:r w:rsidRPr="00791061">
        <w:rPr>
          <w:b/>
          <w:bCs/>
          <w:szCs w:val="24"/>
        </w:rPr>
        <w:t xml:space="preserve">, </w:t>
      </w:r>
      <w:r w:rsidRPr="00791061">
        <w:rPr>
          <w:szCs w:val="24"/>
        </w:rPr>
        <w:t>respectively) may override the health and environmental considerations</w:t>
      </w:r>
      <w:r w:rsidRPr="00791061">
        <w:rPr>
          <w:i/>
          <w:iCs/>
          <w:szCs w:val="24"/>
        </w:rPr>
        <w:t xml:space="preserve">. </w:t>
      </w:r>
      <w:r w:rsidRPr="00791061">
        <w:rPr>
          <w:szCs w:val="24"/>
        </w:rPr>
        <w:t>Guidelines for protection of structures in the built environment should be set for a small number of contaminants where this is a concern. A structural guideline of 2000 mg/kg is set for sulfate in soil.</w:t>
      </w:r>
    </w:p>
    <w:p w:rsidR="00591FCF" w:rsidRPr="00791061" w:rsidRDefault="00591FCF" w:rsidP="00C925A7">
      <w:pPr>
        <w:shd w:val="clear" w:color="auto" w:fill="FFFFFF"/>
        <w:spacing w:before="240"/>
        <w:rPr>
          <w:szCs w:val="24"/>
        </w:rPr>
      </w:pPr>
      <w:r w:rsidRPr="00791061">
        <w:rPr>
          <w:b/>
          <w:bCs/>
          <w:szCs w:val="24"/>
        </w:rPr>
        <w:t>4.</w:t>
      </w:r>
      <w:r w:rsidR="00C179A4" w:rsidRPr="00791061">
        <w:rPr>
          <w:b/>
          <w:bCs/>
          <w:szCs w:val="24"/>
        </w:rPr>
        <w:t xml:space="preserve"> </w:t>
      </w:r>
      <w:r w:rsidRPr="00791061">
        <w:rPr>
          <w:b/>
          <w:bCs/>
          <w:szCs w:val="24"/>
        </w:rPr>
        <w:t>APPLICATION OF INVESTIGATION LEVELS</w:t>
      </w:r>
    </w:p>
    <w:p w:rsidR="00591FCF" w:rsidRPr="00791061" w:rsidRDefault="00591FCF" w:rsidP="00C925A7">
      <w:pPr>
        <w:shd w:val="clear" w:color="auto" w:fill="FFFFFF"/>
        <w:tabs>
          <w:tab w:val="left" w:pos="576"/>
        </w:tabs>
        <w:spacing w:before="240"/>
        <w:rPr>
          <w:szCs w:val="24"/>
        </w:rPr>
      </w:pPr>
      <w:r w:rsidRPr="00791061">
        <w:rPr>
          <w:b/>
          <w:bCs/>
          <w:szCs w:val="24"/>
        </w:rPr>
        <w:t>4.1</w:t>
      </w:r>
      <w:r w:rsidRPr="00791061">
        <w:rPr>
          <w:b/>
          <w:bCs/>
          <w:szCs w:val="24"/>
        </w:rPr>
        <w:tab/>
      </w:r>
      <w:r w:rsidRPr="00791061">
        <w:rPr>
          <w:b/>
          <w:bCs/>
          <w:smallCaps/>
          <w:szCs w:val="24"/>
        </w:rPr>
        <w:t>General</w:t>
      </w:r>
    </w:p>
    <w:p w:rsidR="00591FCF" w:rsidRPr="00791061" w:rsidRDefault="00591FCF" w:rsidP="00C925A7">
      <w:pPr>
        <w:shd w:val="clear" w:color="auto" w:fill="FFFFFF"/>
        <w:spacing w:before="240"/>
        <w:jc w:val="both"/>
        <w:rPr>
          <w:szCs w:val="24"/>
        </w:rPr>
      </w:pPr>
      <w:r w:rsidRPr="00791061">
        <w:rPr>
          <w:szCs w:val="24"/>
        </w:rPr>
        <w:t>For a particular site and proposed land use, the key investigation levels or guidelines that will prevail will need to be determined on a site-specific basis. Consequently, professional judgement should always be exercised.</w:t>
      </w:r>
    </w:p>
    <w:p w:rsidR="00591FCF" w:rsidRPr="00791061" w:rsidRDefault="00591FCF" w:rsidP="00C925A7">
      <w:pPr>
        <w:shd w:val="clear" w:color="auto" w:fill="FFFFFF"/>
        <w:spacing w:before="240"/>
        <w:jc w:val="both"/>
        <w:rPr>
          <w:szCs w:val="24"/>
        </w:rPr>
      </w:pPr>
      <w:r w:rsidRPr="00791061">
        <w:rPr>
          <w:szCs w:val="24"/>
        </w:rPr>
        <w:t xml:space="preserve">As an example, when land is being assessed for its suitability for 'residential uses with minimal opportunities for soil access' and where there are no particular sensitive ecological values to be protected, </w:t>
      </w:r>
      <w:proofErr w:type="spellStart"/>
      <w:r w:rsidRPr="00791061">
        <w:rPr>
          <w:szCs w:val="24"/>
        </w:rPr>
        <w:t>HIL</w:t>
      </w:r>
      <w:proofErr w:type="spellEnd"/>
      <w:r w:rsidRPr="00791061">
        <w:rPr>
          <w:szCs w:val="24"/>
        </w:rPr>
        <w:t xml:space="preserve">(D) would be applied, but with consideration given to aesthetics, the generic urban </w:t>
      </w:r>
      <w:proofErr w:type="spellStart"/>
      <w:r w:rsidRPr="00791061">
        <w:rPr>
          <w:szCs w:val="24"/>
        </w:rPr>
        <w:t>EIL</w:t>
      </w:r>
      <w:proofErr w:type="spellEnd"/>
      <w:r w:rsidRPr="00791061">
        <w:rPr>
          <w:szCs w:val="24"/>
        </w:rPr>
        <w:t xml:space="preserve">, and guidelines for protection of the built environment. </w:t>
      </w:r>
      <w:proofErr w:type="spellStart"/>
      <w:r w:rsidRPr="00791061">
        <w:rPr>
          <w:szCs w:val="24"/>
        </w:rPr>
        <w:t>GILs</w:t>
      </w:r>
      <w:proofErr w:type="spellEnd"/>
      <w:r w:rsidRPr="00791061">
        <w:rPr>
          <w:szCs w:val="24"/>
        </w:rPr>
        <w:t xml:space="preserve"> would be applied in assessment of impacts of the site on groundwater.</w:t>
      </w:r>
    </w:p>
    <w:p w:rsidR="00591FCF" w:rsidRPr="00791061" w:rsidRDefault="00591FCF" w:rsidP="00C925A7">
      <w:pPr>
        <w:shd w:val="clear" w:color="auto" w:fill="FFFFFF"/>
        <w:tabs>
          <w:tab w:val="left" w:pos="576"/>
        </w:tabs>
        <w:spacing w:before="240"/>
        <w:rPr>
          <w:szCs w:val="24"/>
        </w:rPr>
      </w:pPr>
      <w:r w:rsidRPr="00791061">
        <w:rPr>
          <w:b/>
          <w:bCs/>
          <w:szCs w:val="24"/>
        </w:rPr>
        <w:t>4.2</w:t>
      </w:r>
      <w:r w:rsidRPr="00791061">
        <w:rPr>
          <w:b/>
          <w:bCs/>
          <w:szCs w:val="24"/>
        </w:rPr>
        <w:tab/>
      </w:r>
      <w:r w:rsidRPr="00791061">
        <w:rPr>
          <w:b/>
          <w:bCs/>
          <w:smallCaps/>
          <w:szCs w:val="24"/>
        </w:rPr>
        <w:t>Soil Assessment</w:t>
      </w:r>
    </w:p>
    <w:p w:rsidR="00591FCF" w:rsidRPr="00791061" w:rsidRDefault="00591FCF" w:rsidP="00C925A7">
      <w:pPr>
        <w:shd w:val="clear" w:color="auto" w:fill="FFFFFF"/>
        <w:spacing w:before="240"/>
        <w:jc w:val="both"/>
        <w:rPr>
          <w:szCs w:val="24"/>
        </w:rPr>
      </w:pPr>
      <w:r w:rsidRPr="00791061">
        <w:rPr>
          <w:szCs w:val="24"/>
        </w:rPr>
        <w:t xml:space="preserve">To accommodate the range of human and ecological exposure settings, a number of generic settings are used on which </w:t>
      </w:r>
      <w:proofErr w:type="spellStart"/>
      <w:r w:rsidRPr="00791061">
        <w:rPr>
          <w:szCs w:val="24"/>
        </w:rPr>
        <w:t>HILs</w:t>
      </w:r>
      <w:proofErr w:type="spellEnd"/>
      <w:r w:rsidRPr="00791061">
        <w:rPr>
          <w:szCs w:val="24"/>
        </w:rPr>
        <w:t xml:space="preserve"> and </w:t>
      </w:r>
      <w:proofErr w:type="spellStart"/>
      <w:r w:rsidRPr="00791061">
        <w:rPr>
          <w:szCs w:val="24"/>
        </w:rPr>
        <w:t>EILs</w:t>
      </w:r>
      <w:proofErr w:type="spellEnd"/>
      <w:r w:rsidRPr="00791061">
        <w:rPr>
          <w:szCs w:val="24"/>
        </w:rPr>
        <w:t xml:space="preserve"> can be based. Four categories of Health-based Investigation Levels (</w:t>
      </w:r>
      <w:proofErr w:type="spellStart"/>
      <w:r w:rsidRPr="00791061">
        <w:rPr>
          <w:szCs w:val="24"/>
        </w:rPr>
        <w:t>HILs</w:t>
      </w:r>
      <w:proofErr w:type="spellEnd"/>
      <w:r w:rsidRPr="00791061">
        <w:rPr>
          <w:szCs w:val="24"/>
        </w:rPr>
        <w:t xml:space="preserve">) and an interim urban </w:t>
      </w:r>
      <w:proofErr w:type="spellStart"/>
      <w:r w:rsidRPr="00791061">
        <w:rPr>
          <w:szCs w:val="24"/>
        </w:rPr>
        <w:t>landuse</w:t>
      </w:r>
      <w:proofErr w:type="spellEnd"/>
      <w:r w:rsidRPr="00791061">
        <w:rPr>
          <w:szCs w:val="24"/>
        </w:rPr>
        <w:t xml:space="preserve"> setting for Ecologically-based Investigation Levels (</w:t>
      </w:r>
      <w:proofErr w:type="spellStart"/>
      <w:r w:rsidRPr="00791061">
        <w:rPr>
          <w:szCs w:val="24"/>
        </w:rPr>
        <w:t>EILs</w:t>
      </w:r>
      <w:proofErr w:type="spellEnd"/>
      <w:r w:rsidRPr="00791061">
        <w:rPr>
          <w:szCs w:val="24"/>
        </w:rPr>
        <w:t>) are provided.</w:t>
      </w:r>
    </w:p>
    <w:p w:rsidR="00591FCF" w:rsidRPr="00791061" w:rsidRDefault="00591FCF" w:rsidP="00C925A7">
      <w:pPr>
        <w:shd w:val="clear" w:color="auto" w:fill="FFFFFF"/>
        <w:spacing w:before="240"/>
        <w:jc w:val="both"/>
        <w:rPr>
          <w:szCs w:val="24"/>
        </w:rPr>
      </w:pPr>
      <w:proofErr w:type="spellStart"/>
      <w:r w:rsidRPr="00791061">
        <w:rPr>
          <w:szCs w:val="24"/>
        </w:rPr>
        <w:t>HILs</w:t>
      </w:r>
      <w:proofErr w:type="spellEnd"/>
      <w:r w:rsidRPr="00791061">
        <w:rPr>
          <w:szCs w:val="24"/>
        </w:rPr>
        <w:t xml:space="preserve"> and </w:t>
      </w:r>
      <w:proofErr w:type="spellStart"/>
      <w:r w:rsidRPr="00791061">
        <w:rPr>
          <w:szCs w:val="24"/>
        </w:rPr>
        <w:t>EILs</w:t>
      </w:r>
      <w:proofErr w:type="spellEnd"/>
      <w:r w:rsidRPr="00791061">
        <w:rPr>
          <w:szCs w:val="24"/>
        </w:rPr>
        <w:t xml:space="preserve"> are not cleanup or response levels nor are they desirable soil quality criteria. They are to be used for assessment of existing contamination only and are intended to prompt an appropriate site-specific assessment when they are exceeded. Inappropriate use of investigation levels as default remediation criteria may result in unnecessary remediation adding to development costs, causing unnecessary disturbance to the site and local environment, and potential waste of valuable land fill space. Similarly, it is an abuse of investigation levels if they are interpreted as condoning contamination to these levels. Land is usually remediated to an extent which </w:t>
      </w:r>
      <w:proofErr w:type="spellStart"/>
      <w:r w:rsidRPr="00791061">
        <w:rPr>
          <w:szCs w:val="24"/>
        </w:rPr>
        <w:t>optimises</w:t>
      </w:r>
      <w:proofErr w:type="spellEnd"/>
      <w:r w:rsidRPr="00791061">
        <w:rPr>
          <w:szCs w:val="24"/>
        </w:rPr>
        <w:t xml:space="preserve"> current and future land use.</w:t>
      </w:r>
    </w:p>
    <w:p w:rsidR="00591FCF" w:rsidRPr="00791061" w:rsidRDefault="00591FCF" w:rsidP="00C925A7">
      <w:pPr>
        <w:shd w:val="clear" w:color="auto" w:fill="FFFFFF"/>
        <w:spacing w:before="240"/>
        <w:jc w:val="both"/>
        <w:rPr>
          <w:szCs w:val="24"/>
        </w:rPr>
      </w:pPr>
      <w:r w:rsidRPr="00791061">
        <w:rPr>
          <w:szCs w:val="24"/>
        </w:rPr>
        <w:t xml:space="preserve">Site-specific health and ecological risk assessment should be conducted where exceedance of investigation levels indicates there is the likelihood of adverse effects on human health or ecological values for that site. Before comparison with soil criteria, there should be sufficient </w:t>
      </w:r>
      <w:proofErr w:type="spellStart"/>
      <w:r w:rsidRPr="00791061">
        <w:rPr>
          <w:szCs w:val="24"/>
        </w:rPr>
        <w:t>characterisation</w:t>
      </w:r>
      <w:proofErr w:type="spellEnd"/>
      <w:r w:rsidRPr="00791061">
        <w:rPr>
          <w:szCs w:val="24"/>
        </w:rPr>
        <w:t xml:space="preserve"> of the site to ensure that the comparison is meaningful and appropriate. </w:t>
      </w:r>
      <w:r w:rsidRPr="00791061">
        <w:rPr>
          <w:szCs w:val="24"/>
          <w:u w:val="single"/>
        </w:rPr>
        <w:t>Schedule B(7A)</w:t>
      </w:r>
      <w:r w:rsidRPr="00791061">
        <w:rPr>
          <w:szCs w:val="24"/>
        </w:rPr>
        <w:t xml:space="preserve"> provides guidance about what types of exceedances trigger a detailed site-specific risk assessment.</w:t>
      </w:r>
    </w:p>
    <w:p w:rsidR="00591FCF" w:rsidRPr="00791061" w:rsidRDefault="00591FCF" w:rsidP="00C925A7">
      <w:pPr>
        <w:shd w:val="clear" w:color="auto" w:fill="FFFFFF"/>
        <w:spacing w:before="240"/>
        <w:jc w:val="both"/>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C925A7">
      <w:pPr>
        <w:shd w:val="clear" w:color="auto" w:fill="FFFFFF"/>
        <w:spacing w:before="240"/>
        <w:ind w:right="5"/>
        <w:jc w:val="both"/>
        <w:rPr>
          <w:szCs w:val="24"/>
        </w:rPr>
      </w:pPr>
      <w:r w:rsidRPr="00791061">
        <w:rPr>
          <w:szCs w:val="24"/>
        </w:rPr>
        <w:lastRenderedPageBreak/>
        <w:t xml:space="preserve">When a site assessment indicates soil contaminants are present at concentrations above </w:t>
      </w:r>
      <w:proofErr w:type="spellStart"/>
      <w:r w:rsidRPr="00791061">
        <w:rPr>
          <w:szCs w:val="24"/>
        </w:rPr>
        <w:t>HILs</w:t>
      </w:r>
      <w:proofErr w:type="spellEnd"/>
      <w:r w:rsidRPr="00791061">
        <w:rPr>
          <w:szCs w:val="24"/>
        </w:rPr>
        <w:t xml:space="preserve"> or </w:t>
      </w:r>
      <w:proofErr w:type="spellStart"/>
      <w:r w:rsidRPr="00791061">
        <w:rPr>
          <w:szCs w:val="24"/>
        </w:rPr>
        <w:t>EILs</w:t>
      </w:r>
      <w:proofErr w:type="spellEnd"/>
      <w:r w:rsidRPr="00791061">
        <w:rPr>
          <w:szCs w:val="24"/>
        </w:rPr>
        <w:t>, for a proposed or current use, then a site-specific risk assessment may be conducted to address relevant human health and ecological concerns. The level to which such assessments are conducted will depend on site-specific conditions. In cases of minor exceedance of investigation levels or exceedances related to contaminants which have low human toxicity and limited mobility, a qualitative risk assessment may be sufficient. The risk assessment process may lead to the development of site-specific response levels generated by risk assessment and agreed in consultation between the professionals assessing the site and the regulatory authorities.</w:t>
      </w:r>
    </w:p>
    <w:p w:rsidR="00591FCF" w:rsidRPr="00791061" w:rsidRDefault="00591FCF" w:rsidP="00C925A7">
      <w:pPr>
        <w:shd w:val="clear" w:color="auto" w:fill="FFFFFF"/>
        <w:spacing w:before="240"/>
        <w:ind w:right="5"/>
        <w:jc w:val="both"/>
        <w:rPr>
          <w:szCs w:val="24"/>
        </w:rPr>
      </w:pPr>
      <w:r w:rsidRPr="00791061">
        <w:rPr>
          <w:szCs w:val="24"/>
        </w:rPr>
        <w:t>In addition, appropriate investigation and/or response levels need to be developed when:</w:t>
      </w:r>
    </w:p>
    <w:p w:rsidR="00591FCF" w:rsidRPr="00791061" w:rsidRDefault="00591FCF" w:rsidP="00E31F70">
      <w:pPr>
        <w:numPr>
          <w:ilvl w:val="0"/>
          <w:numId w:val="1"/>
        </w:numPr>
        <w:shd w:val="clear" w:color="auto" w:fill="FFFFFF"/>
        <w:tabs>
          <w:tab w:val="left" w:pos="355"/>
        </w:tabs>
        <w:spacing w:before="240"/>
        <w:ind w:left="355" w:hanging="355"/>
        <w:jc w:val="both"/>
        <w:rPr>
          <w:rFonts w:eastAsia="Times New Roman"/>
          <w:szCs w:val="24"/>
        </w:rPr>
      </w:pPr>
      <w:r w:rsidRPr="00791061">
        <w:rPr>
          <w:rFonts w:eastAsia="Times New Roman"/>
          <w:szCs w:val="24"/>
        </w:rPr>
        <w:t>investigation values are not available for contaminants of concern and/or data are not available to enable the derivation of guideline values;</w:t>
      </w:r>
    </w:p>
    <w:p w:rsidR="00591FCF" w:rsidRPr="00791061" w:rsidRDefault="00591FCF" w:rsidP="00C925A7">
      <w:pPr>
        <w:numPr>
          <w:ilvl w:val="0"/>
          <w:numId w:val="1"/>
        </w:numPr>
        <w:shd w:val="clear" w:color="auto" w:fill="FFFFFF"/>
        <w:tabs>
          <w:tab w:val="left" w:pos="355"/>
        </w:tabs>
        <w:spacing w:before="40"/>
        <w:ind w:left="355" w:hanging="355"/>
        <w:rPr>
          <w:rFonts w:eastAsia="Times New Roman"/>
          <w:szCs w:val="24"/>
        </w:rPr>
      </w:pPr>
      <w:r w:rsidRPr="00791061">
        <w:rPr>
          <w:rFonts w:eastAsia="Times New Roman"/>
          <w:szCs w:val="24"/>
        </w:rPr>
        <w:t xml:space="preserve">site conditions, receptors and/or exposure pathways differ significantly from those assumed in the derivations of </w:t>
      </w:r>
      <w:proofErr w:type="spellStart"/>
      <w:r w:rsidRPr="00791061">
        <w:rPr>
          <w:rFonts w:eastAsia="Times New Roman"/>
          <w:szCs w:val="24"/>
        </w:rPr>
        <w:t>HILs</w:t>
      </w:r>
      <w:proofErr w:type="spellEnd"/>
      <w:r w:rsidRPr="00791061">
        <w:rPr>
          <w:rFonts w:eastAsia="Times New Roman"/>
          <w:szCs w:val="24"/>
        </w:rPr>
        <w:t xml:space="preserve"> or </w:t>
      </w:r>
      <w:proofErr w:type="spellStart"/>
      <w:r w:rsidRPr="00791061">
        <w:rPr>
          <w:rFonts w:eastAsia="Times New Roman"/>
          <w:szCs w:val="24"/>
        </w:rPr>
        <w:t>EILs</w:t>
      </w:r>
      <w:proofErr w:type="spellEnd"/>
      <w:r w:rsidRPr="00791061">
        <w:rPr>
          <w:rFonts w:eastAsia="Times New Roman"/>
          <w:szCs w:val="24"/>
        </w:rPr>
        <w:t>; and</w:t>
      </w:r>
    </w:p>
    <w:p w:rsidR="00591FCF" w:rsidRPr="00791061" w:rsidRDefault="00591FCF" w:rsidP="00C925A7">
      <w:pPr>
        <w:numPr>
          <w:ilvl w:val="0"/>
          <w:numId w:val="1"/>
        </w:numPr>
        <w:shd w:val="clear" w:color="auto" w:fill="FFFFFF"/>
        <w:tabs>
          <w:tab w:val="left" w:pos="355"/>
        </w:tabs>
        <w:spacing w:before="40"/>
        <w:ind w:left="355" w:hanging="355"/>
        <w:rPr>
          <w:rFonts w:eastAsia="Times New Roman"/>
          <w:szCs w:val="24"/>
        </w:rPr>
      </w:pPr>
      <w:r w:rsidRPr="00791061">
        <w:rPr>
          <w:rFonts w:eastAsia="Times New Roman"/>
          <w:szCs w:val="24"/>
        </w:rPr>
        <w:t>there</w:t>
      </w:r>
      <w:r w:rsidR="00C179A4" w:rsidRPr="00791061">
        <w:rPr>
          <w:rFonts w:eastAsia="Times New Roman"/>
          <w:szCs w:val="24"/>
        </w:rPr>
        <w:t xml:space="preserve"> </w:t>
      </w:r>
      <w:r w:rsidRPr="00791061">
        <w:rPr>
          <w:rFonts w:eastAsia="Times New Roman"/>
          <w:szCs w:val="24"/>
        </w:rPr>
        <w:t>are</w:t>
      </w:r>
      <w:r w:rsidR="00C179A4" w:rsidRPr="00791061">
        <w:rPr>
          <w:rFonts w:eastAsia="Times New Roman"/>
          <w:szCs w:val="24"/>
        </w:rPr>
        <w:t xml:space="preserve"> </w:t>
      </w:r>
      <w:r w:rsidRPr="00791061">
        <w:rPr>
          <w:rFonts w:eastAsia="Times New Roman"/>
          <w:szCs w:val="24"/>
        </w:rPr>
        <w:t>significant</w:t>
      </w:r>
      <w:r w:rsidR="00C179A4" w:rsidRPr="00791061">
        <w:rPr>
          <w:rFonts w:eastAsia="Times New Roman"/>
          <w:szCs w:val="24"/>
        </w:rPr>
        <w:t xml:space="preserve"> </w:t>
      </w:r>
      <w:r w:rsidRPr="00791061">
        <w:rPr>
          <w:rFonts w:eastAsia="Times New Roman"/>
          <w:szCs w:val="24"/>
        </w:rPr>
        <w:t>ecological</w:t>
      </w:r>
      <w:r w:rsidR="00C179A4" w:rsidRPr="00791061">
        <w:rPr>
          <w:rFonts w:eastAsia="Times New Roman"/>
          <w:szCs w:val="24"/>
        </w:rPr>
        <w:t xml:space="preserve"> </w:t>
      </w:r>
      <w:r w:rsidRPr="00791061">
        <w:rPr>
          <w:rFonts w:eastAsia="Times New Roman"/>
          <w:szCs w:val="24"/>
        </w:rPr>
        <w:t>concerns</w:t>
      </w:r>
      <w:r w:rsidR="00C179A4" w:rsidRPr="00791061">
        <w:rPr>
          <w:rFonts w:eastAsia="Times New Roman"/>
          <w:szCs w:val="24"/>
        </w:rPr>
        <w:t xml:space="preserve"> </w:t>
      </w:r>
      <w:r w:rsidRPr="00791061">
        <w:rPr>
          <w:rFonts w:eastAsia="Times New Roman"/>
          <w:szCs w:val="24"/>
        </w:rPr>
        <w:t>(</w:t>
      </w:r>
      <w:proofErr w:type="spellStart"/>
      <w:r w:rsidRPr="00791061">
        <w:rPr>
          <w:rFonts w:eastAsia="Times New Roman"/>
          <w:szCs w:val="24"/>
        </w:rPr>
        <w:t>eg.</w:t>
      </w:r>
      <w:proofErr w:type="spellEnd"/>
      <w:r w:rsidR="00C179A4" w:rsidRPr="00791061">
        <w:rPr>
          <w:rFonts w:eastAsia="Times New Roman"/>
          <w:szCs w:val="24"/>
        </w:rPr>
        <w:t xml:space="preserve"> </w:t>
      </w:r>
      <w:r w:rsidRPr="00791061">
        <w:rPr>
          <w:rFonts w:eastAsia="Times New Roman"/>
          <w:szCs w:val="24"/>
        </w:rPr>
        <w:t>critical</w:t>
      </w:r>
      <w:r w:rsidR="00C179A4" w:rsidRPr="00791061">
        <w:rPr>
          <w:rFonts w:eastAsia="Times New Roman"/>
          <w:szCs w:val="24"/>
        </w:rPr>
        <w:t xml:space="preserve"> </w:t>
      </w:r>
      <w:r w:rsidRPr="00791061">
        <w:rPr>
          <w:rFonts w:eastAsia="Times New Roman"/>
          <w:szCs w:val="24"/>
        </w:rPr>
        <w:t>or</w:t>
      </w:r>
      <w:r w:rsidR="00C179A4" w:rsidRPr="00791061">
        <w:rPr>
          <w:rFonts w:eastAsia="Times New Roman"/>
          <w:szCs w:val="24"/>
        </w:rPr>
        <w:t xml:space="preserve"> </w:t>
      </w:r>
      <w:r w:rsidRPr="00791061">
        <w:rPr>
          <w:rFonts w:eastAsia="Times New Roman"/>
          <w:szCs w:val="24"/>
        </w:rPr>
        <w:t>sensitive</w:t>
      </w:r>
      <w:r w:rsidR="00C179A4" w:rsidRPr="00791061">
        <w:rPr>
          <w:rFonts w:eastAsia="Times New Roman"/>
          <w:szCs w:val="24"/>
        </w:rPr>
        <w:t xml:space="preserve"> </w:t>
      </w:r>
      <w:r w:rsidRPr="00791061">
        <w:rPr>
          <w:rFonts w:eastAsia="Times New Roman"/>
          <w:szCs w:val="24"/>
        </w:rPr>
        <w:t>habitat, threatened or endangered species, parklands and nature reserves).</w:t>
      </w:r>
    </w:p>
    <w:p w:rsidR="00591FCF" w:rsidRPr="00791061" w:rsidRDefault="00591FCF" w:rsidP="00C925A7">
      <w:pPr>
        <w:shd w:val="clear" w:color="auto" w:fill="FFFFFF"/>
        <w:spacing w:before="240"/>
        <w:ind w:right="5"/>
        <w:jc w:val="both"/>
        <w:rPr>
          <w:szCs w:val="24"/>
        </w:rPr>
      </w:pPr>
      <w:r w:rsidRPr="00791061">
        <w:rPr>
          <w:szCs w:val="24"/>
        </w:rPr>
        <w:t>Where soil concentrations exceed the site-specific response levels, responses may range from informing landowners and users about the nature of contamination and applying appropriate site management plans, to large scale remediation. The nature of the response must be determined on a site-specific basis.</w:t>
      </w:r>
    </w:p>
    <w:p w:rsidR="00591FCF" w:rsidRPr="00791061" w:rsidRDefault="00591FCF" w:rsidP="00C925A7">
      <w:pPr>
        <w:shd w:val="clear" w:color="auto" w:fill="FFFFFF"/>
        <w:spacing w:before="240"/>
        <w:jc w:val="both"/>
        <w:rPr>
          <w:szCs w:val="24"/>
        </w:rPr>
      </w:pPr>
      <w:proofErr w:type="spellStart"/>
      <w:r w:rsidRPr="00791061">
        <w:rPr>
          <w:szCs w:val="24"/>
        </w:rPr>
        <w:t>HILs</w:t>
      </w:r>
      <w:proofErr w:type="spellEnd"/>
      <w:r w:rsidRPr="00791061">
        <w:rPr>
          <w:szCs w:val="24"/>
        </w:rPr>
        <w:t xml:space="preserve"> will apply across Australia. A site-specific health risk assessment should be conducted according to the framework on Health Risk Assessment, </w:t>
      </w:r>
      <w:r w:rsidRPr="00791061">
        <w:rPr>
          <w:szCs w:val="24"/>
          <w:u w:val="single"/>
        </w:rPr>
        <w:t>Schedule B(4)</w:t>
      </w:r>
      <w:r w:rsidRPr="00791061">
        <w:rPr>
          <w:szCs w:val="24"/>
        </w:rPr>
        <w:t>, when Health-based Investigation Levels are exceeded for the current or intended land use.</w:t>
      </w:r>
    </w:p>
    <w:p w:rsidR="00591FCF" w:rsidRPr="00791061" w:rsidRDefault="00591FCF" w:rsidP="00C925A7">
      <w:pPr>
        <w:shd w:val="clear" w:color="auto" w:fill="FFFFFF"/>
        <w:spacing w:before="240"/>
        <w:ind w:right="5"/>
        <w:jc w:val="both"/>
        <w:rPr>
          <w:szCs w:val="24"/>
        </w:rPr>
      </w:pPr>
      <w:r w:rsidRPr="00791061">
        <w:rPr>
          <w:szCs w:val="24"/>
        </w:rPr>
        <w:t xml:space="preserve">When developed, </w:t>
      </w:r>
      <w:proofErr w:type="spellStart"/>
      <w:r w:rsidRPr="00791061">
        <w:rPr>
          <w:szCs w:val="24"/>
        </w:rPr>
        <w:t>REILs</w:t>
      </w:r>
      <w:proofErr w:type="spellEnd"/>
      <w:r w:rsidRPr="00791061">
        <w:rPr>
          <w:szCs w:val="24"/>
        </w:rPr>
        <w:t xml:space="preserve"> will take into account region-specific factors. The </w:t>
      </w:r>
      <w:proofErr w:type="spellStart"/>
      <w:r w:rsidRPr="00791061">
        <w:rPr>
          <w:szCs w:val="24"/>
        </w:rPr>
        <w:t>EILs</w:t>
      </w:r>
      <w:proofErr w:type="spellEnd"/>
      <w:r w:rsidRPr="00791061">
        <w:rPr>
          <w:szCs w:val="24"/>
        </w:rPr>
        <w:t xml:space="preserve"> presented in </w:t>
      </w:r>
      <w:hyperlink w:anchor="bookmark6" w:history="1">
        <w:r w:rsidRPr="00791061">
          <w:rPr>
            <w:szCs w:val="24"/>
          </w:rPr>
          <w:t xml:space="preserve">Table 5-A </w:t>
        </w:r>
      </w:hyperlink>
      <w:r w:rsidRPr="00791061">
        <w:rPr>
          <w:szCs w:val="24"/>
        </w:rPr>
        <w:t xml:space="preserve">may be used as generic values at a national level. However, when applying the generic </w:t>
      </w:r>
      <w:proofErr w:type="spellStart"/>
      <w:r w:rsidRPr="00791061">
        <w:rPr>
          <w:szCs w:val="24"/>
        </w:rPr>
        <w:t>EIL</w:t>
      </w:r>
      <w:proofErr w:type="spellEnd"/>
      <w:r w:rsidRPr="00791061">
        <w:rPr>
          <w:szCs w:val="24"/>
        </w:rPr>
        <w:t xml:space="preserve"> or any </w:t>
      </w:r>
      <w:proofErr w:type="spellStart"/>
      <w:r w:rsidRPr="00791061">
        <w:rPr>
          <w:szCs w:val="24"/>
        </w:rPr>
        <w:t>REIL</w:t>
      </w:r>
      <w:proofErr w:type="spellEnd"/>
      <w:r w:rsidRPr="00791061">
        <w:rPr>
          <w:szCs w:val="24"/>
        </w:rPr>
        <w:t xml:space="preserve"> to a specific site, it should be critically reviewed to ensure relevant ecological values are protected. Where jurisdictions have established </w:t>
      </w:r>
      <w:proofErr w:type="spellStart"/>
      <w:r w:rsidRPr="00791061">
        <w:rPr>
          <w:szCs w:val="24"/>
        </w:rPr>
        <w:t>REILs</w:t>
      </w:r>
      <w:proofErr w:type="spellEnd"/>
      <w:r w:rsidRPr="00791061">
        <w:rPr>
          <w:szCs w:val="24"/>
        </w:rPr>
        <w:t xml:space="preserve">, those levels would take precedence. Where </w:t>
      </w:r>
      <w:proofErr w:type="spellStart"/>
      <w:r w:rsidRPr="00791061">
        <w:rPr>
          <w:szCs w:val="24"/>
        </w:rPr>
        <w:t>REILs</w:t>
      </w:r>
      <w:proofErr w:type="spellEnd"/>
      <w:r w:rsidRPr="00791061">
        <w:rPr>
          <w:szCs w:val="24"/>
        </w:rPr>
        <w:t>/</w:t>
      </w:r>
      <w:proofErr w:type="spellStart"/>
      <w:r w:rsidRPr="00791061">
        <w:rPr>
          <w:szCs w:val="24"/>
        </w:rPr>
        <w:t>EILs</w:t>
      </w:r>
      <w:proofErr w:type="spellEnd"/>
      <w:r w:rsidRPr="00791061">
        <w:rPr>
          <w:szCs w:val="24"/>
        </w:rPr>
        <w:t xml:space="preserve"> are exceeded, a site-specific investigation should be undertaken based on the ecological values and biota relevant to that site and to take account of the </w:t>
      </w:r>
      <w:proofErr w:type="spellStart"/>
      <w:r w:rsidRPr="00791061">
        <w:rPr>
          <w:szCs w:val="24"/>
        </w:rPr>
        <w:t>physico</w:t>
      </w:r>
      <w:proofErr w:type="spellEnd"/>
      <w:r w:rsidRPr="00791061">
        <w:rPr>
          <w:szCs w:val="24"/>
        </w:rPr>
        <w:t>-chemical form and mobility potential of the contaminant on the site.</w:t>
      </w:r>
    </w:p>
    <w:p w:rsidR="00591FCF" w:rsidRPr="00791061" w:rsidRDefault="00591FCF" w:rsidP="00C925A7">
      <w:pPr>
        <w:shd w:val="clear" w:color="auto" w:fill="FFFFFF"/>
        <w:spacing w:before="240"/>
        <w:ind w:right="5"/>
        <w:jc w:val="both"/>
        <w:rPr>
          <w:szCs w:val="24"/>
        </w:rPr>
      </w:pPr>
      <w:r w:rsidRPr="00791061">
        <w:rPr>
          <w:szCs w:val="24"/>
        </w:rPr>
        <w:t xml:space="preserve">Any site assessment must include consideration of both </w:t>
      </w:r>
      <w:proofErr w:type="spellStart"/>
      <w:r w:rsidRPr="00791061">
        <w:rPr>
          <w:szCs w:val="24"/>
        </w:rPr>
        <w:t>HILs</w:t>
      </w:r>
      <w:proofErr w:type="spellEnd"/>
      <w:r w:rsidRPr="00791061">
        <w:rPr>
          <w:szCs w:val="24"/>
        </w:rPr>
        <w:t xml:space="preserve"> and </w:t>
      </w:r>
      <w:proofErr w:type="spellStart"/>
      <w:r w:rsidRPr="00791061">
        <w:rPr>
          <w:szCs w:val="24"/>
        </w:rPr>
        <w:t>EILs</w:t>
      </w:r>
      <w:proofErr w:type="spellEnd"/>
      <w:r w:rsidRPr="00791061">
        <w:rPr>
          <w:szCs w:val="24"/>
        </w:rPr>
        <w:t xml:space="preserve"> relevant to the site.</w:t>
      </w:r>
    </w:p>
    <w:p w:rsidR="00591FCF" w:rsidRPr="00791061" w:rsidRDefault="00591FCF" w:rsidP="00C925A7">
      <w:pPr>
        <w:shd w:val="clear" w:color="auto" w:fill="FFFFFF"/>
        <w:spacing w:before="240"/>
        <w:ind w:right="5"/>
        <w:jc w:val="both"/>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C925A7">
      <w:pPr>
        <w:shd w:val="clear" w:color="auto" w:fill="FFFFFF"/>
        <w:spacing w:before="240"/>
        <w:rPr>
          <w:szCs w:val="24"/>
        </w:rPr>
      </w:pPr>
      <w:bookmarkStart w:id="5" w:name="bookmark4"/>
      <w:r w:rsidRPr="00791061">
        <w:rPr>
          <w:b/>
          <w:bCs/>
          <w:szCs w:val="24"/>
        </w:rPr>
        <w:lastRenderedPageBreak/>
        <w:t>4</w:t>
      </w:r>
      <w:bookmarkEnd w:id="5"/>
      <w:r w:rsidRPr="00791061">
        <w:rPr>
          <w:b/>
          <w:bCs/>
          <w:szCs w:val="24"/>
        </w:rPr>
        <w:t>.3</w:t>
      </w:r>
      <w:r w:rsidR="00C179A4" w:rsidRPr="00791061">
        <w:rPr>
          <w:b/>
          <w:bCs/>
          <w:szCs w:val="24"/>
        </w:rPr>
        <w:t xml:space="preserve"> </w:t>
      </w:r>
      <w:r w:rsidRPr="00791061">
        <w:rPr>
          <w:b/>
          <w:bCs/>
          <w:smallCaps/>
          <w:szCs w:val="24"/>
        </w:rPr>
        <w:t>Groundwater Assessment</w:t>
      </w:r>
    </w:p>
    <w:p w:rsidR="00591FCF" w:rsidRPr="00791061" w:rsidRDefault="00591FCF" w:rsidP="00C925A7">
      <w:pPr>
        <w:shd w:val="clear" w:color="auto" w:fill="FFFFFF"/>
        <w:spacing w:before="240"/>
        <w:ind w:right="10"/>
        <w:jc w:val="both"/>
        <w:rPr>
          <w:szCs w:val="24"/>
        </w:rPr>
      </w:pPr>
      <w:r w:rsidRPr="00791061">
        <w:rPr>
          <w:szCs w:val="24"/>
          <w:u w:val="single"/>
        </w:rPr>
        <w:t>Schedule B(6)</w:t>
      </w:r>
      <w:r w:rsidRPr="00791061">
        <w:rPr>
          <w:szCs w:val="24"/>
        </w:rPr>
        <w:t xml:space="preserve">, provides a detailed account of the need and basis for assessment of risk from groundwater contamination. </w:t>
      </w:r>
      <w:hyperlink w:anchor="bookmark7" w:history="1">
        <w:r w:rsidRPr="00791061">
          <w:rPr>
            <w:szCs w:val="24"/>
          </w:rPr>
          <w:t>Table 5-B</w:t>
        </w:r>
      </w:hyperlink>
      <w:r w:rsidRPr="00791061">
        <w:rPr>
          <w:szCs w:val="24"/>
        </w:rPr>
        <w:t xml:space="preserve"> lists investigation levels for various use settings for the assessment of groundwater.</w:t>
      </w:r>
    </w:p>
    <w:p w:rsidR="00591FCF" w:rsidRPr="00791061" w:rsidRDefault="00591FCF" w:rsidP="00C925A7">
      <w:pPr>
        <w:shd w:val="clear" w:color="auto" w:fill="FFFFFF"/>
        <w:spacing w:before="240"/>
        <w:jc w:val="both"/>
        <w:rPr>
          <w:szCs w:val="24"/>
        </w:rPr>
      </w:pPr>
      <w:r w:rsidRPr="00791061">
        <w:rPr>
          <w:szCs w:val="24"/>
        </w:rPr>
        <w:t xml:space="preserve">This Table contains a subset of the values in the </w:t>
      </w:r>
      <w:proofErr w:type="spellStart"/>
      <w:r w:rsidRPr="00791061">
        <w:rPr>
          <w:szCs w:val="24"/>
        </w:rPr>
        <w:t>AWQG</w:t>
      </w:r>
      <w:proofErr w:type="spellEnd"/>
      <w:r w:rsidRPr="00791061">
        <w:rPr>
          <w:szCs w:val="24"/>
        </w:rPr>
        <w:t xml:space="preserve"> relevant to the assessment of contaminated sites. The appropriate settings for current and potential uses of groundwater need to be identified for the aquifer undergoing assessment.</w:t>
      </w:r>
    </w:p>
    <w:p w:rsidR="00591FCF" w:rsidRPr="00791061" w:rsidRDefault="00591FCF" w:rsidP="00C925A7">
      <w:pPr>
        <w:shd w:val="clear" w:color="auto" w:fill="FFFFFF"/>
        <w:spacing w:before="240"/>
        <w:rPr>
          <w:szCs w:val="24"/>
        </w:rPr>
      </w:pPr>
      <w:r w:rsidRPr="00791061">
        <w:rPr>
          <w:szCs w:val="24"/>
        </w:rPr>
        <w:t>These settings for use are:</w:t>
      </w:r>
    </w:p>
    <w:p w:rsidR="00591FCF" w:rsidRPr="00791061" w:rsidRDefault="00591FCF" w:rsidP="00C925A7">
      <w:pPr>
        <w:numPr>
          <w:ilvl w:val="0"/>
          <w:numId w:val="2"/>
        </w:numPr>
        <w:shd w:val="clear" w:color="auto" w:fill="FFFFFF"/>
        <w:tabs>
          <w:tab w:val="left" w:pos="360"/>
        </w:tabs>
        <w:spacing w:before="240"/>
        <w:rPr>
          <w:rFonts w:eastAsia="Times New Roman"/>
          <w:szCs w:val="24"/>
        </w:rPr>
      </w:pPr>
      <w:r w:rsidRPr="00791061">
        <w:rPr>
          <w:rFonts w:eastAsia="Times New Roman"/>
          <w:szCs w:val="24"/>
        </w:rPr>
        <w:t>raw drinking water source (where Australian Drinking Water Guidelines apply)</w:t>
      </w:r>
    </w:p>
    <w:p w:rsidR="00591FCF" w:rsidRPr="00791061" w:rsidRDefault="00591FCF" w:rsidP="00E31F70">
      <w:pPr>
        <w:numPr>
          <w:ilvl w:val="0"/>
          <w:numId w:val="2"/>
        </w:numPr>
        <w:shd w:val="clear" w:color="auto" w:fill="FFFFFF"/>
        <w:tabs>
          <w:tab w:val="left" w:pos="360"/>
        </w:tabs>
        <w:spacing w:before="60"/>
        <w:rPr>
          <w:rFonts w:eastAsia="Times New Roman"/>
          <w:szCs w:val="24"/>
        </w:rPr>
      </w:pPr>
      <w:r w:rsidRPr="00791061">
        <w:rPr>
          <w:rFonts w:eastAsia="Times New Roman"/>
          <w:szCs w:val="24"/>
        </w:rPr>
        <w:t>agricultural use – stock watering</w:t>
      </w:r>
    </w:p>
    <w:p w:rsidR="00591FCF" w:rsidRPr="00791061" w:rsidRDefault="00591FCF" w:rsidP="00E31F70">
      <w:pPr>
        <w:numPr>
          <w:ilvl w:val="0"/>
          <w:numId w:val="2"/>
        </w:numPr>
        <w:shd w:val="clear" w:color="auto" w:fill="FFFFFF"/>
        <w:tabs>
          <w:tab w:val="left" w:pos="360"/>
        </w:tabs>
        <w:spacing w:before="60"/>
        <w:rPr>
          <w:rFonts w:eastAsia="Times New Roman"/>
          <w:szCs w:val="24"/>
        </w:rPr>
      </w:pPr>
      <w:r w:rsidRPr="00791061">
        <w:rPr>
          <w:rFonts w:eastAsia="Times New Roman"/>
          <w:szCs w:val="24"/>
        </w:rPr>
        <w:t>agricultural use – irrigation</w:t>
      </w:r>
    </w:p>
    <w:p w:rsidR="00591FCF" w:rsidRPr="00791061" w:rsidRDefault="00591FCF" w:rsidP="00E31F70">
      <w:pPr>
        <w:numPr>
          <w:ilvl w:val="0"/>
          <w:numId w:val="2"/>
        </w:numPr>
        <w:shd w:val="clear" w:color="auto" w:fill="FFFFFF"/>
        <w:tabs>
          <w:tab w:val="left" w:pos="360"/>
        </w:tabs>
        <w:spacing w:before="60"/>
        <w:rPr>
          <w:rFonts w:eastAsia="Times New Roman"/>
          <w:szCs w:val="24"/>
        </w:rPr>
      </w:pPr>
      <w:r w:rsidRPr="00791061">
        <w:rPr>
          <w:rFonts w:eastAsia="Times New Roman"/>
          <w:szCs w:val="24"/>
        </w:rPr>
        <w:t>protection of aquatic ecosystems – freshwater</w:t>
      </w:r>
    </w:p>
    <w:p w:rsidR="00591FCF" w:rsidRPr="00791061" w:rsidRDefault="00591FCF" w:rsidP="00E31F70">
      <w:pPr>
        <w:numPr>
          <w:ilvl w:val="0"/>
          <w:numId w:val="2"/>
        </w:numPr>
        <w:shd w:val="clear" w:color="auto" w:fill="FFFFFF"/>
        <w:tabs>
          <w:tab w:val="left" w:pos="360"/>
        </w:tabs>
        <w:spacing w:before="60"/>
        <w:rPr>
          <w:rFonts w:eastAsia="Times New Roman"/>
          <w:szCs w:val="24"/>
        </w:rPr>
      </w:pPr>
      <w:r w:rsidRPr="00791061">
        <w:rPr>
          <w:rFonts w:eastAsia="Times New Roman"/>
          <w:szCs w:val="24"/>
        </w:rPr>
        <w:t>protection of aquatic ecosystems – marine</w:t>
      </w:r>
    </w:p>
    <w:p w:rsidR="00591FCF" w:rsidRPr="00791061" w:rsidRDefault="00591FCF" w:rsidP="00C925A7">
      <w:pPr>
        <w:shd w:val="clear" w:color="auto" w:fill="FFFFFF"/>
        <w:spacing w:before="240"/>
        <w:ind w:right="5"/>
        <w:jc w:val="both"/>
        <w:rPr>
          <w:szCs w:val="24"/>
        </w:rPr>
      </w:pPr>
      <w:r w:rsidRPr="00791061">
        <w:rPr>
          <w:szCs w:val="24"/>
        </w:rPr>
        <w:t xml:space="preserve">When groundwater from a monitoring well contains levels of contaminants above the appropriate investigation levels, then further investigation should be carried out to determine sources of contamination and to determine the lateral and vertical extent of contaminated groundwater. Modelling, or measurements at point of use, may be needed to predict impact on receptors. If this indicates that </w:t>
      </w:r>
      <w:proofErr w:type="spellStart"/>
      <w:r w:rsidRPr="00791061">
        <w:rPr>
          <w:szCs w:val="24"/>
        </w:rPr>
        <w:t>AWQG</w:t>
      </w:r>
      <w:proofErr w:type="spellEnd"/>
      <w:r w:rsidRPr="00791061">
        <w:rPr>
          <w:szCs w:val="24"/>
        </w:rPr>
        <w:t xml:space="preserve"> values are exceeded at the point of use, or discharge, of the groundwater, then an appropriate response is required.</w:t>
      </w:r>
    </w:p>
    <w:p w:rsidR="00591FCF" w:rsidRPr="00791061" w:rsidRDefault="00591FCF" w:rsidP="00C925A7">
      <w:pPr>
        <w:shd w:val="clear" w:color="auto" w:fill="FFFFFF"/>
        <w:spacing w:before="240"/>
        <w:rPr>
          <w:szCs w:val="24"/>
        </w:rPr>
      </w:pPr>
      <w:r w:rsidRPr="00791061">
        <w:rPr>
          <w:b/>
          <w:bCs/>
          <w:szCs w:val="24"/>
        </w:rPr>
        <w:t>5.</w:t>
      </w:r>
      <w:r w:rsidR="00C179A4" w:rsidRPr="00791061">
        <w:rPr>
          <w:b/>
          <w:bCs/>
          <w:szCs w:val="24"/>
        </w:rPr>
        <w:t xml:space="preserve"> </w:t>
      </w:r>
      <w:r w:rsidRPr="00791061">
        <w:rPr>
          <w:b/>
          <w:bCs/>
          <w:szCs w:val="24"/>
        </w:rPr>
        <w:t>LIMITATIONS IN THE USE OF INVESTIGATION LEVELS</w:t>
      </w:r>
    </w:p>
    <w:p w:rsidR="00591FCF" w:rsidRPr="00791061" w:rsidRDefault="00591FCF" w:rsidP="00C925A7">
      <w:pPr>
        <w:shd w:val="clear" w:color="auto" w:fill="FFFFFF"/>
        <w:spacing w:before="240"/>
        <w:rPr>
          <w:szCs w:val="24"/>
        </w:rPr>
      </w:pPr>
      <w:r w:rsidRPr="00791061">
        <w:rPr>
          <w:b/>
          <w:bCs/>
          <w:szCs w:val="24"/>
        </w:rPr>
        <w:t>5.1</w:t>
      </w:r>
      <w:r w:rsidR="00C179A4" w:rsidRPr="00791061">
        <w:rPr>
          <w:b/>
          <w:bCs/>
          <w:szCs w:val="24"/>
        </w:rPr>
        <w:t xml:space="preserve"> </w:t>
      </w:r>
      <w:r w:rsidRPr="00791061">
        <w:rPr>
          <w:b/>
          <w:bCs/>
          <w:smallCaps/>
          <w:szCs w:val="24"/>
        </w:rPr>
        <w:t>Groundwater Concerns</w:t>
      </w:r>
    </w:p>
    <w:p w:rsidR="00591FCF" w:rsidRPr="00791061" w:rsidRDefault="00591FCF" w:rsidP="00C925A7">
      <w:pPr>
        <w:shd w:val="clear" w:color="auto" w:fill="FFFFFF"/>
        <w:spacing w:before="240"/>
        <w:ind w:right="5"/>
        <w:jc w:val="both"/>
        <w:rPr>
          <w:szCs w:val="24"/>
        </w:rPr>
      </w:pPr>
      <w:r w:rsidRPr="00791061">
        <w:rPr>
          <w:szCs w:val="24"/>
        </w:rPr>
        <w:t xml:space="preserve">Groundwater protection may be a particular concern where associated with soils containing naturally low levels of trace elements. In most situations, soil contaminants at levels below appropriate </w:t>
      </w:r>
      <w:proofErr w:type="spellStart"/>
      <w:r w:rsidRPr="00791061">
        <w:rPr>
          <w:szCs w:val="24"/>
        </w:rPr>
        <w:t>EILs</w:t>
      </w:r>
      <w:proofErr w:type="spellEnd"/>
      <w:r w:rsidRPr="00791061">
        <w:rPr>
          <w:szCs w:val="24"/>
        </w:rPr>
        <w:t xml:space="preserve"> or </w:t>
      </w:r>
      <w:proofErr w:type="spellStart"/>
      <w:r w:rsidRPr="00791061">
        <w:rPr>
          <w:szCs w:val="24"/>
        </w:rPr>
        <w:t>HILs</w:t>
      </w:r>
      <w:proofErr w:type="spellEnd"/>
      <w:r w:rsidRPr="00791061">
        <w:rPr>
          <w:szCs w:val="24"/>
        </w:rPr>
        <w:t xml:space="preserve"> do not pose a threat to local groundwater sources. However, possible impacts on groundwater should always be considered. For example, some locations possess soils of high permeability containing very low levels of trace elements and direct connection to a groundwater source. In other cases the contaminant may be present in a highly leachable form or may be </w:t>
      </w:r>
      <w:proofErr w:type="spellStart"/>
      <w:r w:rsidRPr="00791061">
        <w:rPr>
          <w:szCs w:val="24"/>
        </w:rPr>
        <w:t>mobilised</w:t>
      </w:r>
      <w:proofErr w:type="spellEnd"/>
      <w:r w:rsidRPr="00791061">
        <w:rPr>
          <w:szCs w:val="24"/>
        </w:rPr>
        <w:t xml:space="preserve"> by site disturbance which results in geochemical changes to the contaminant. In these situations groundwater contamination may occur even when soil contaminant levels are below the appropriate </w:t>
      </w:r>
      <w:proofErr w:type="spellStart"/>
      <w:r w:rsidRPr="00791061">
        <w:rPr>
          <w:szCs w:val="24"/>
        </w:rPr>
        <w:t>EILs</w:t>
      </w:r>
      <w:proofErr w:type="spellEnd"/>
      <w:r w:rsidRPr="00791061">
        <w:rPr>
          <w:szCs w:val="24"/>
        </w:rPr>
        <w:t xml:space="preserve"> and </w:t>
      </w:r>
      <w:proofErr w:type="spellStart"/>
      <w:r w:rsidRPr="00791061">
        <w:rPr>
          <w:szCs w:val="24"/>
        </w:rPr>
        <w:t>HILs</w:t>
      </w:r>
      <w:proofErr w:type="spellEnd"/>
      <w:r w:rsidRPr="00791061">
        <w:rPr>
          <w:szCs w:val="24"/>
        </w:rPr>
        <w:t xml:space="preserve">. The potential for groundwater contamination (with appropriate consideration of ambient groundwater quality) should be considered and caution exercised in the application of soil investigation levels. The form of the contaminant and its mobility should be defined in these investigations and the processes described in </w:t>
      </w:r>
      <w:r w:rsidRPr="00791061">
        <w:rPr>
          <w:szCs w:val="24"/>
          <w:u w:val="single"/>
        </w:rPr>
        <w:t>Schedule B(6)</w:t>
      </w:r>
      <w:r w:rsidRPr="00791061">
        <w:rPr>
          <w:szCs w:val="24"/>
        </w:rPr>
        <w:t xml:space="preserve"> may need to be applied.</w:t>
      </w:r>
    </w:p>
    <w:p w:rsidR="00591FCF" w:rsidRPr="00791061" w:rsidRDefault="00591FCF" w:rsidP="00C925A7">
      <w:pPr>
        <w:shd w:val="clear" w:color="auto" w:fill="FFFFFF"/>
        <w:spacing w:before="240"/>
        <w:ind w:right="5"/>
        <w:jc w:val="both"/>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C925A7">
      <w:pPr>
        <w:shd w:val="clear" w:color="auto" w:fill="FFFFFF"/>
        <w:tabs>
          <w:tab w:val="left" w:pos="576"/>
        </w:tabs>
        <w:spacing w:before="240"/>
        <w:rPr>
          <w:szCs w:val="24"/>
        </w:rPr>
      </w:pPr>
      <w:bookmarkStart w:id="6" w:name="bookmark5"/>
      <w:r w:rsidRPr="00791061">
        <w:rPr>
          <w:b/>
          <w:bCs/>
          <w:szCs w:val="24"/>
        </w:rPr>
        <w:lastRenderedPageBreak/>
        <w:t>5</w:t>
      </w:r>
      <w:bookmarkEnd w:id="6"/>
      <w:r w:rsidRPr="00791061">
        <w:rPr>
          <w:b/>
          <w:bCs/>
          <w:szCs w:val="24"/>
        </w:rPr>
        <w:t>.2</w:t>
      </w:r>
      <w:r w:rsidRPr="00791061">
        <w:rPr>
          <w:b/>
          <w:bCs/>
          <w:szCs w:val="24"/>
        </w:rPr>
        <w:tab/>
      </w:r>
      <w:r w:rsidRPr="00791061">
        <w:rPr>
          <w:b/>
          <w:bCs/>
          <w:smallCaps/>
          <w:szCs w:val="24"/>
        </w:rPr>
        <w:t>Background Variation</w:t>
      </w:r>
    </w:p>
    <w:p w:rsidR="00591FCF" w:rsidRPr="00791061" w:rsidRDefault="00591FCF" w:rsidP="00C925A7">
      <w:pPr>
        <w:shd w:val="clear" w:color="auto" w:fill="FFFFFF"/>
        <w:spacing w:before="240"/>
        <w:jc w:val="both"/>
        <w:rPr>
          <w:szCs w:val="24"/>
        </w:rPr>
      </w:pPr>
      <w:r w:rsidRPr="00791061">
        <w:rPr>
          <w:szCs w:val="24"/>
        </w:rPr>
        <w:t xml:space="preserve">In natural soils there are wide ranges of concentrations for certain elements, such as chromium, manganese, nickel and vanadium. These concentrations depend on the origins of the soil. The </w:t>
      </w:r>
      <w:proofErr w:type="spellStart"/>
      <w:r w:rsidRPr="00791061">
        <w:rPr>
          <w:szCs w:val="24"/>
        </w:rPr>
        <w:t>EILs</w:t>
      </w:r>
      <w:proofErr w:type="spellEnd"/>
      <w:r w:rsidRPr="00791061">
        <w:rPr>
          <w:szCs w:val="24"/>
        </w:rPr>
        <w:t xml:space="preserve"> set for these elements may be exceeded in certain regions and it would be more appropriate to apply regional background levels for comparison in assessment of site contamination. If such data are not already available, samples from adjacent property (not suspected of being contaminated by the activity which led to the site investigation being instigated) should be </w:t>
      </w:r>
      <w:proofErr w:type="spellStart"/>
      <w:r w:rsidRPr="00791061">
        <w:rPr>
          <w:szCs w:val="24"/>
        </w:rPr>
        <w:t>analysed</w:t>
      </w:r>
      <w:proofErr w:type="spellEnd"/>
      <w:r w:rsidRPr="00791061">
        <w:rPr>
          <w:szCs w:val="24"/>
        </w:rPr>
        <w:t xml:space="preserve"> to establish regional background levels.</w:t>
      </w:r>
    </w:p>
    <w:p w:rsidR="00591FCF" w:rsidRPr="00791061" w:rsidRDefault="00591FCF" w:rsidP="00C925A7">
      <w:pPr>
        <w:shd w:val="clear" w:color="auto" w:fill="FFFFFF"/>
        <w:tabs>
          <w:tab w:val="left" w:pos="576"/>
        </w:tabs>
        <w:spacing w:before="240"/>
        <w:rPr>
          <w:szCs w:val="24"/>
        </w:rPr>
      </w:pPr>
      <w:r w:rsidRPr="00791061">
        <w:rPr>
          <w:b/>
          <w:bCs/>
          <w:szCs w:val="24"/>
        </w:rPr>
        <w:t>5.3</w:t>
      </w:r>
      <w:r w:rsidRPr="00791061">
        <w:rPr>
          <w:b/>
          <w:bCs/>
          <w:szCs w:val="24"/>
        </w:rPr>
        <w:tab/>
      </w:r>
      <w:proofErr w:type="spellStart"/>
      <w:r w:rsidRPr="00791061">
        <w:rPr>
          <w:b/>
          <w:bCs/>
          <w:smallCaps/>
          <w:szCs w:val="24"/>
        </w:rPr>
        <w:t>Mineralised</w:t>
      </w:r>
      <w:proofErr w:type="spellEnd"/>
      <w:r w:rsidRPr="00791061">
        <w:rPr>
          <w:b/>
          <w:bCs/>
          <w:smallCaps/>
          <w:szCs w:val="24"/>
        </w:rPr>
        <w:t xml:space="preserve"> Areas</w:t>
      </w:r>
    </w:p>
    <w:p w:rsidR="00591FCF" w:rsidRPr="00791061" w:rsidRDefault="00591FCF" w:rsidP="00C925A7">
      <w:pPr>
        <w:shd w:val="clear" w:color="auto" w:fill="FFFFFF"/>
        <w:spacing w:before="240"/>
        <w:ind w:right="5"/>
        <w:jc w:val="both"/>
        <w:rPr>
          <w:szCs w:val="24"/>
        </w:rPr>
      </w:pPr>
      <w:r w:rsidRPr="00791061">
        <w:rPr>
          <w:szCs w:val="24"/>
        </w:rPr>
        <w:t xml:space="preserve">High levels of metals can be associated with ore bodies. Soils in mining areas may contain elevated levels of metals due to natural </w:t>
      </w:r>
      <w:proofErr w:type="spellStart"/>
      <w:r w:rsidRPr="00791061">
        <w:rPr>
          <w:szCs w:val="24"/>
        </w:rPr>
        <w:t>mineralisation</w:t>
      </w:r>
      <w:proofErr w:type="spellEnd"/>
      <w:r w:rsidRPr="00791061">
        <w:rPr>
          <w:szCs w:val="24"/>
        </w:rPr>
        <w:t xml:space="preserve"> in the area. This naturally occurring elevation requires community awareness programs where human settlement has occurred in the area to enable appropriate precautions to be taken (</w:t>
      </w:r>
      <w:proofErr w:type="spellStart"/>
      <w:r w:rsidRPr="00791061">
        <w:rPr>
          <w:szCs w:val="24"/>
        </w:rPr>
        <w:t>eg.</w:t>
      </w:r>
      <w:proofErr w:type="spellEnd"/>
      <w:r w:rsidRPr="00791061">
        <w:rPr>
          <w:szCs w:val="24"/>
        </w:rPr>
        <w:t xml:space="preserve"> importing soil for growing vegetables in the home garden). A significant amount of urban development is affected by arsenic associated with gold bearing ores, lead and other metals associated with the mining and smelting industry.</w:t>
      </w:r>
    </w:p>
    <w:p w:rsidR="00591FCF" w:rsidRPr="00791061" w:rsidRDefault="00591FCF" w:rsidP="00C925A7">
      <w:pPr>
        <w:shd w:val="clear" w:color="auto" w:fill="FFFFFF"/>
        <w:tabs>
          <w:tab w:val="left" w:pos="576"/>
        </w:tabs>
        <w:spacing w:before="240"/>
        <w:rPr>
          <w:szCs w:val="24"/>
        </w:rPr>
      </w:pPr>
      <w:r w:rsidRPr="00791061">
        <w:rPr>
          <w:b/>
          <w:bCs/>
          <w:szCs w:val="24"/>
        </w:rPr>
        <w:t>5.4</w:t>
      </w:r>
      <w:r w:rsidRPr="00791061">
        <w:rPr>
          <w:b/>
          <w:bCs/>
          <w:szCs w:val="24"/>
        </w:rPr>
        <w:tab/>
      </w:r>
      <w:r w:rsidRPr="00791061">
        <w:rPr>
          <w:b/>
          <w:bCs/>
          <w:smallCaps/>
          <w:szCs w:val="24"/>
        </w:rPr>
        <w:t>Phytotoxicity</w:t>
      </w:r>
    </w:p>
    <w:p w:rsidR="00591FCF" w:rsidRPr="00791061" w:rsidRDefault="00591FCF" w:rsidP="00C925A7">
      <w:pPr>
        <w:shd w:val="clear" w:color="auto" w:fill="FFFFFF"/>
        <w:spacing w:before="240"/>
        <w:jc w:val="both"/>
        <w:rPr>
          <w:szCs w:val="24"/>
        </w:rPr>
      </w:pPr>
      <w:r w:rsidRPr="00791061">
        <w:rPr>
          <w:szCs w:val="24"/>
        </w:rPr>
        <w:t xml:space="preserve">There are no generally accepted guidelines for phytotoxicity under Australian conditions at present. The derivation of any </w:t>
      </w:r>
      <w:proofErr w:type="spellStart"/>
      <w:r w:rsidRPr="00791061">
        <w:rPr>
          <w:szCs w:val="24"/>
        </w:rPr>
        <w:t>EIL</w:t>
      </w:r>
      <w:proofErr w:type="spellEnd"/>
      <w:r w:rsidRPr="00791061">
        <w:rPr>
          <w:szCs w:val="24"/>
        </w:rPr>
        <w:t xml:space="preserve">, </w:t>
      </w:r>
      <w:proofErr w:type="spellStart"/>
      <w:r w:rsidRPr="00791061">
        <w:rPr>
          <w:szCs w:val="24"/>
        </w:rPr>
        <w:t>REIL</w:t>
      </w:r>
      <w:proofErr w:type="spellEnd"/>
      <w:r w:rsidRPr="00791061">
        <w:rPr>
          <w:szCs w:val="24"/>
        </w:rPr>
        <w:t xml:space="preserve"> or environmental response level should consider impacts on plant life. Soils should generally not be phytotoxic where the </w:t>
      </w:r>
      <w:proofErr w:type="spellStart"/>
      <w:r w:rsidRPr="00791061">
        <w:rPr>
          <w:szCs w:val="24"/>
        </w:rPr>
        <w:t>EILs</w:t>
      </w:r>
      <w:proofErr w:type="spellEnd"/>
      <w:r w:rsidRPr="00791061">
        <w:rPr>
          <w:szCs w:val="24"/>
        </w:rPr>
        <w:t xml:space="preserve"> in </w:t>
      </w:r>
      <w:hyperlink w:anchor="bookmark6" w:history="1">
        <w:r w:rsidRPr="00791061">
          <w:rPr>
            <w:szCs w:val="24"/>
          </w:rPr>
          <w:t>Table 5-A</w:t>
        </w:r>
      </w:hyperlink>
      <w:r w:rsidRPr="00791061">
        <w:rPr>
          <w:szCs w:val="24"/>
        </w:rPr>
        <w:t xml:space="preserve"> are applied (although certain plant species may have specific requirements for soil type or nutrients and cannot be expected to grow under all conditions). Plants adapted to nutrient poor soils may not tolerate levels of trace metals at the Investigation Levels (</w:t>
      </w:r>
      <w:proofErr w:type="spellStart"/>
      <w:r w:rsidRPr="00791061">
        <w:rPr>
          <w:szCs w:val="24"/>
        </w:rPr>
        <w:t>eg.</w:t>
      </w:r>
      <w:proofErr w:type="spellEnd"/>
      <w:r w:rsidRPr="00791061">
        <w:rPr>
          <w:szCs w:val="24"/>
        </w:rPr>
        <w:t xml:space="preserve"> flora of the Swan coastal plain).</w:t>
      </w:r>
    </w:p>
    <w:p w:rsidR="00591FCF" w:rsidRPr="00791061" w:rsidRDefault="00591FCF" w:rsidP="00C925A7">
      <w:pPr>
        <w:shd w:val="clear" w:color="auto" w:fill="FFFFFF"/>
        <w:tabs>
          <w:tab w:val="left" w:pos="576"/>
        </w:tabs>
        <w:spacing w:before="240"/>
        <w:rPr>
          <w:szCs w:val="24"/>
        </w:rPr>
      </w:pPr>
      <w:r w:rsidRPr="00791061">
        <w:rPr>
          <w:b/>
          <w:bCs/>
          <w:szCs w:val="24"/>
        </w:rPr>
        <w:t>5.5</w:t>
      </w:r>
      <w:r w:rsidRPr="00791061">
        <w:rPr>
          <w:b/>
          <w:bCs/>
          <w:szCs w:val="24"/>
        </w:rPr>
        <w:tab/>
      </w:r>
      <w:r w:rsidRPr="00791061">
        <w:rPr>
          <w:b/>
          <w:bCs/>
          <w:smallCaps/>
          <w:szCs w:val="24"/>
        </w:rPr>
        <w:t>Ecological Values</w:t>
      </w:r>
    </w:p>
    <w:p w:rsidR="00591FCF" w:rsidRPr="00791061" w:rsidRDefault="00591FCF" w:rsidP="00C925A7">
      <w:pPr>
        <w:shd w:val="clear" w:color="auto" w:fill="FFFFFF"/>
        <w:spacing w:before="240"/>
        <w:ind w:right="5"/>
        <w:jc w:val="both"/>
        <w:rPr>
          <w:szCs w:val="24"/>
        </w:rPr>
      </w:pPr>
      <w:r w:rsidRPr="00791061">
        <w:rPr>
          <w:szCs w:val="24"/>
        </w:rPr>
        <w:t xml:space="preserve">A site-specific ecological risk assessment according to the framework in </w:t>
      </w:r>
      <w:r w:rsidRPr="00791061">
        <w:rPr>
          <w:szCs w:val="24"/>
          <w:u w:val="single"/>
        </w:rPr>
        <w:t>Schedule B(5)</w:t>
      </w:r>
      <w:r w:rsidRPr="00791061">
        <w:rPr>
          <w:szCs w:val="24"/>
        </w:rPr>
        <w:t xml:space="preserve">, may be required where a particular ecological value is to be protected, or when the </w:t>
      </w:r>
      <w:proofErr w:type="spellStart"/>
      <w:r w:rsidRPr="00791061">
        <w:rPr>
          <w:szCs w:val="24"/>
        </w:rPr>
        <w:t>EIL</w:t>
      </w:r>
      <w:proofErr w:type="spellEnd"/>
      <w:r w:rsidRPr="00791061">
        <w:rPr>
          <w:szCs w:val="24"/>
        </w:rPr>
        <w:t xml:space="preserve"> is exceeded for the current or intended land use. Where areas of high conservation value have been identified, this information on flora and fauna to be protected should be used to identify the ecological values and hence key receptor(s) to be protected. This may be undertaken on a site-specific basis.</w:t>
      </w:r>
    </w:p>
    <w:p w:rsidR="00591FCF" w:rsidRPr="00791061" w:rsidRDefault="00591FCF" w:rsidP="00C925A7">
      <w:pPr>
        <w:shd w:val="clear" w:color="auto" w:fill="FFFFFF"/>
        <w:tabs>
          <w:tab w:val="left" w:pos="576"/>
        </w:tabs>
        <w:spacing w:before="240"/>
        <w:rPr>
          <w:szCs w:val="24"/>
        </w:rPr>
      </w:pPr>
      <w:r w:rsidRPr="00791061">
        <w:rPr>
          <w:b/>
          <w:bCs/>
          <w:szCs w:val="24"/>
        </w:rPr>
        <w:t>5.6</w:t>
      </w:r>
      <w:r w:rsidRPr="00791061">
        <w:rPr>
          <w:b/>
          <w:bCs/>
          <w:szCs w:val="24"/>
        </w:rPr>
        <w:tab/>
      </w:r>
      <w:r w:rsidRPr="00791061">
        <w:rPr>
          <w:b/>
          <w:bCs/>
          <w:smallCaps/>
          <w:szCs w:val="24"/>
        </w:rPr>
        <w:t>Volatile Contaminants</w:t>
      </w:r>
    </w:p>
    <w:p w:rsidR="00591FCF" w:rsidRPr="00791061" w:rsidRDefault="00591FCF" w:rsidP="00C925A7">
      <w:pPr>
        <w:shd w:val="clear" w:color="auto" w:fill="FFFFFF"/>
        <w:spacing w:before="240"/>
        <w:ind w:right="5"/>
        <w:jc w:val="both"/>
        <w:rPr>
          <w:szCs w:val="24"/>
        </w:rPr>
      </w:pPr>
      <w:r w:rsidRPr="00791061">
        <w:rPr>
          <w:szCs w:val="24"/>
        </w:rPr>
        <w:t xml:space="preserve">The derivation of soil criteria for volatile contaminants has been complicated by their complex environmental </w:t>
      </w:r>
      <w:proofErr w:type="spellStart"/>
      <w:r w:rsidRPr="00791061">
        <w:rPr>
          <w:szCs w:val="24"/>
        </w:rPr>
        <w:t>behaviours</w:t>
      </w:r>
      <w:proofErr w:type="spellEnd"/>
      <w:r w:rsidRPr="00791061">
        <w:rPr>
          <w:szCs w:val="24"/>
        </w:rPr>
        <w:t xml:space="preserve"> and the absence of a generally accepted model that could be used to determine exposures.</w:t>
      </w:r>
    </w:p>
    <w:p w:rsidR="00591FCF" w:rsidRPr="00791061" w:rsidRDefault="00591FCF" w:rsidP="00C925A7">
      <w:pPr>
        <w:shd w:val="clear" w:color="auto" w:fill="FFFFFF"/>
        <w:spacing w:before="240"/>
        <w:ind w:right="5"/>
        <w:jc w:val="both"/>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C925A7">
      <w:pPr>
        <w:shd w:val="clear" w:color="auto" w:fill="FFFFFF"/>
        <w:spacing w:before="240"/>
        <w:jc w:val="both"/>
        <w:rPr>
          <w:szCs w:val="24"/>
        </w:rPr>
      </w:pPr>
      <w:r w:rsidRPr="00791061">
        <w:rPr>
          <w:szCs w:val="24"/>
        </w:rPr>
        <w:lastRenderedPageBreak/>
        <w:t>A model to determine exposure and soil criteria relevant to Australia is being developed by CSIRO in conjunction with the Environment Protection Authority (NSW) and the Public &amp; Environmental Health Service in Adelaide. Another model is being developed by the Australian Institute of Petroleum. A process for the appraisal of the methodologies and determination of soil criteria is warranted as part of the future work plan that may arise from the MEASURE.</w:t>
      </w:r>
    </w:p>
    <w:p w:rsidR="00591FCF" w:rsidRPr="00791061" w:rsidRDefault="00591FCF" w:rsidP="00C925A7">
      <w:pPr>
        <w:shd w:val="clear" w:color="auto" w:fill="FFFFFF"/>
        <w:spacing w:before="240"/>
        <w:ind w:right="5"/>
        <w:jc w:val="both"/>
        <w:rPr>
          <w:szCs w:val="24"/>
        </w:rPr>
      </w:pPr>
      <w:r w:rsidRPr="00791061">
        <w:rPr>
          <w:szCs w:val="24"/>
        </w:rPr>
        <w:t xml:space="preserve">Information on appropriate analyte selection for total petroleum hydrocarbons/benzene/toluene/ethyl benzene/xylene and polycyclic aromatic hydrocarbons is provided in </w:t>
      </w:r>
      <w:r w:rsidRPr="00791061">
        <w:rPr>
          <w:szCs w:val="24"/>
          <w:u w:val="single"/>
        </w:rPr>
        <w:t>Schedule B (2)</w:t>
      </w:r>
      <w:r w:rsidRPr="00791061">
        <w:rPr>
          <w:szCs w:val="24"/>
        </w:rPr>
        <w:t>, Section 4.6.2.</w:t>
      </w:r>
    </w:p>
    <w:p w:rsidR="00591FCF" w:rsidRPr="00791061" w:rsidRDefault="00591FCF" w:rsidP="00C925A7">
      <w:pPr>
        <w:shd w:val="clear" w:color="auto" w:fill="FFFFFF"/>
        <w:spacing w:before="240"/>
        <w:ind w:right="5"/>
        <w:jc w:val="both"/>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791061">
      <w:pPr>
        <w:shd w:val="clear" w:color="auto" w:fill="FFFFFF"/>
        <w:spacing w:after="60"/>
        <w:ind w:right="144"/>
        <w:jc w:val="center"/>
        <w:rPr>
          <w:szCs w:val="24"/>
        </w:rPr>
      </w:pPr>
      <w:r w:rsidRPr="00791061">
        <w:rPr>
          <w:b/>
          <w:bCs/>
          <w:szCs w:val="24"/>
        </w:rPr>
        <w:lastRenderedPageBreak/>
        <w:t>Table 5-A - Soil Investigation Levels (mg/kg)</w:t>
      </w:r>
    </w:p>
    <w:tbl>
      <w:tblPr>
        <w:tblW w:w="5000" w:type="pct"/>
        <w:tblInd w:w="40" w:type="dxa"/>
        <w:tblLayout w:type="fixed"/>
        <w:tblCellMar>
          <w:left w:w="40" w:type="dxa"/>
          <w:right w:w="40" w:type="dxa"/>
        </w:tblCellMar>
        <w:tblLook w:val="0000" w:firstRow="0" w:lastRow="0" w:firstColumn="0" w:lastColumn="0" w:noHBand="0" w:noVBand="0"/>
      </w:tblPr>
      <w:tblGrid>
        <w:gridCol w:w="2610"/>
        <w:gridCol w:w="633"/>
        <w:gridCol w:w="447"/>
        <w:gridCol w:w="540"/>
        <w:gridCol w:w="630"/>
        <w:gridCol w:w="630"/>
        <w:gridCol w:w="720"/>
        <w:gridCol w:w="1440"/>
        <w:gridCol w:w="1800"/>
        <w:gridCol w:w="1099"/>
      </w:tblGrid>
      <w:tr w:rsidR="00591FCF" w:rsidRPr="00791061" w:rsidTr="004B66AD">
        <w:trPr>
          <w:cantSplit/>
          <w:trHeight w:val="20"/>
        </w:trPr>
        <w:tc>
          <w:tcPr>
            <w:tcW w:w="2610"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791061">
            <w:pPr>
              <w:shd w:val="clear" w:color="auto" w:fill="FFFFFF"/>
              <w:ind w:left="514"/>
              <w:rPr>
                <w:sz w:val="18"/>
                <w:szCs w:val="24"/>
              </w:rPr>
            </w:pPr>
            <w:bookmarkStart w:id="7" w:name="bookmark6"/>
            <w:r w:rsidRPr="00791061">
              <w:rPr>
                <w:b/>
                <w:bCs/>
                <w:sz w:val="18"/>
                <w:szCs w:val="24"/>
              </w:rPr>
              <w:t>S</w:t>
            </w:r>
            <w:bookmarkEnd w:id="7"/>
            <w:r w:rsidRPr="00791061">
              <w:rPr>
                <w:b/>
                <w:bCs/>
                <w:sz w:val="18"/>
                <w:szCs w:val="24"/>
              </w:rPr>
              <w:t>ubstances</w:t>
            </w:r>
          </w:p>
        </w:tc>
        <w:tc>
          <w:tcPr>
            <w:tcW w:w="3600" w:type="dxa"/>
            <w:gridSpan w:val="6"/>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791061">
            <w:pPr>
              <w:shd w:val="clear" w:color="auto" w:fill="FFFFFF"/>
              <w:jc w:val="center"/>
              <w:rPr>
                <w:sz w:val="18"/>
                <w:szCs w:val="24"/>
              </w:rPr>
            </w:pPr>
            <w:r w:rsidRPr="00791061">
              <w:rPr>
                <w:b/>
                <w:bCs/>
                <w:sz w:val="18"/>
                <w:szCs w:val="24"/>
              </w:rPr>
              <w:t>Health Investigation Levels (</w:t>
            </w:r>
            <w:proofErr w:type="spellStart"/>
            <w:r w:rsidRPr="00791061">
              <w:rPr>
                <w:b/>
                <w:bCs/>
                <w:sz w:val="18"/>
                <w:szCs w:val="24"/>
              </w:rPr>
              <w:t>HILs</w:t>
            </w:r>
            <w:proofErr w:type="spellEnd"/>
            <w:r w:rsidRPr="00791061">
              <w:rPr>
                <w:b/>
                <w:bCs/>
                <w:sz w:val="18"/>
                <w:szCs w:val="24"/>
              </w:rPr>
              <w:t>)</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791061">
            <w:pPr>
              <w:shd w:val="clear" w:color="auto" w:fill="FFFFFF"/>
              <w:ind w:right="144"/>
              <w:jc w:val="center"/>
              <w:rPr>
                <w:sz w:val="18"/>
                <w:szCs w:val="24"/>
              </w:rPr>
            </w:pPr>
            <w:r w:rsidRPr="00791061">
              <w:rPr>
                <w:b/>
                <w:bCs/>
                <w:sz w:val="18"/>
                <w:szCs w:val="24"/>
              </w:rPr>
              <w:t>Ecological Investigation Levels (</w:t>
            </w:r>
            <w:proofErr w:type="spellStart"/>
            <w:r w:rsidRPr="00791061">
              <w:rPr>
                <w:b/>
                <w:bCs/>
                <w:sz w:val="18"/>
                <w:szCs w:val="24"/>
              </w:rPr>
              <w:t>EILs</w:t>
            </w:r>
            <w:proofErr w:type="spellEnd"/>
            <w:r w:rsidRPr="00791061">
              <w:rPr>
                <w:b/>
                <w:bCs/>
                <w:sz w:val="18"/>
                <w:szCs w:val="24"/>
              </w:rPr>
              <w:t>)</w:t>
            </w:r>
          </w:p>
        </w:tc>
        <w:tc>
          <w:tcPr>
            <w:tcW w:w="1099"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791061">
            <w:pPr>
              <w:shd w:val="clear" w:color="auto" w:fill="FFFFFF"/>
              <w:jc w:val="center"/>
              <w:rPr>
                <w:sz w:val="18"/>
                <w:szCs w:val="24"/>
              </w:rPr>
            </w:pPr>
            <w:r w:rsidRPr="00791061">
              <w:rPr>
                <w:b/>
                <w:bCs/>
                <w:sz w:val="18"/>
                <w:szCs w:val="24"/>
              </w:rPr>
              <w:t>Background</w:t>
            </w:r>
          </w:p>
        </w:tc>
      </w:tr>
      <w:tr w:rsidR="004B66AD" w:rsidRPr="00791061" w:rsidTr="004B66AD">
        <w:trPr>
          <w:cantSplit/>
          <w:trHeight w:val="20"/>
        </w:trPr>
        <w:tc>
          <w:tcPr>
            <w:tcW w:w="2610" w:type="dxa"/>
            <w:tcBorders>
              <w:top w:val="nil"/>
              <w:left w:val="single" w:sz="6" w:space="0" w:color="auto"/>
              <w:bottom w:val="single" w:sz="6" w:space="0" w:color="auto"/>
              <w:right w:val="single" w:sz="6" w:space="0" w:color="auto"/>
            </w:tcBorders>
            <w:shd w:val="clear" w:color="auto" w:fill="FFFFFF"/>
            <w:vAlign w:val="bottom"/>
          </w:tcPr>
          <w:p w:rsidR="00591FCF" w:rsidRPr="00791061" w:rsidRDefault="00591FCF" w:rsidP="00791061">
            <w:pPr>
              <w:rPr>
                <w:sz w:val="18"/>
                <w:szCs w:val="24"/>
              </w:rPr>
            </w:pPr>
          </w:p>
        </w:tc>
        <w:tc>
          <w:tcPr>
            <w:tcW w:w="633" w:type="dxa"/>
            <w:tcBorders>
              <w:top w:val="single" w:sz="6" w:space="0" w:color="auto"/>
              <w:left w:val="single" w:sz="6" w:space="0" w:color="auto"/>
              <w:bottom w:val="single" w:sz="6" w:space="0" w:color="auto"/>
              <w:right w:val="single" w:sz="6" w:space="0" w:color="auto"/>
            </w:tcBorders>
            <w:shd w:val="clear" w:color="auto" w:fill="FFFFFF"/>
            <w:vAlign w:val="bottom"/>
          </w:tcPr>
          <w:p w:rsidR="00591FCF" w:rsidRPr="00791061" w:rsidRDefault="00591FCF" w:rsidP="00791061">
            <w:pPr>
              <w:shd w:val="clear" w:color="auto" w:fill="FFFFFF"/>
              <w:ind w:left="149"/>
              <w:rPr>
                <w:sz w:val="18"/>
                <w:szCs w:val="24"/>
              </w:rPr>
            </w:pPr>
            <w:r w:rsidRPr="00791061">
              <w:rPr>
                <w:b/>
                <w:bCs/>
                <w:sz w:val="18"/>
                <w:szCs w:val="24"/>
              </w:rPr>
              <w:t>A</w:t>
            </w:r>
            <w:r w:rsidRPr="00791061">
              <w:rPr>
                <w:b/>
                <w:bCs/>
                <w:sz w:val="18"/>
                <w:szCs w:val="24"/>
                <w:vertAlign w:val="superscript"/>
              </w:rPr>
              <w:t>1</w:t>
            </w: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591FCF" w:rsidRPr="00791061" w:rsidRDefault="00591FCF" w:rsidP="00791061">
            <w:pPr>
              <w:shd w:val="clear" w:color="auto" w:fill="FFFFFF"/>
              <w:ind w:left="86"/>
              <w:rPr>
                <w:sz w:val="18"/>
                <w:szCs w:val="24"/>
              </w:rPr>
            </w:pPr>
            <w:r w:rsidRPr="00791061">
              <w:rPr>
                <w:b/>
                <w:bCs/>
                <w:sz w:val="18"/>
                <w:szCs w:val="24"/>
              </w:rPr>
              <w:t>B</w:t>
            </w:r>
            <w:r w:rsidRPr="00791061">
              <w:rPr>
                <w:b/>
                <w:bCs/>
                <w:sz w:val="18"/>
                <w:szCs w:val="24"/>
                <w:vertAlign w:val="superscript"/>
              </w:rPr>
              <w:t>2</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bottom"/>
          </w:tcPr>
          <w:p w:rsidR="00591FCF" w:rsidRPr="00791061" w:rsidRDefault="00591FCF" w:rsidP="00791061">
            <w:pPr>
              <w:shd w:val="clear" w:color="auto" w:fill="FFFFFF"/>
              <w:ind w:left="82"/>
              <w:rPr>
                <w:sz w:val="18"/>
                <w:szCs w:val="24"/>
              </w:rPr>
            </w:pPr>
            <w:r w:rsidRPr="00791061">
              <w:rPr>
                <w:b/>
                <w:bCs/>
                <w:sz w:val="18"/>
                <w:szCs w:val="24"/>
              </w:rPr>
              <w:t>C</w:t>
            </w:r>
            <w:r w:rsidRPr="00791061">
              <w:rPr>
                <w:b/>
                <w:bCs/>
                <w:sz w:val="18"/>
                <w:szCs w:val="24"/>
                <w:vertAlign w:val="superscript"/>
              </w:rPr>
              <w:t>3</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591FCF" w:rsidRPr="00791061" w:rsidRDefault="00591FCF" w:rsidP="00791061">
            <w:pPr>
              <w:shd w:val="clear" w:color="auto" w:fill="FFFFFF"/>
              <w:ind w:left="245"/>
              <w:rPr>
                <w:sz w:val="18"/>
                <w:szCs w:val="24"/>
              </w:rPr>
            </w:pPr>
            <w:r w:rsidRPr="00791061">
              <w:rPr>
                <w:b/>
                <w:bCs/>
                <w:sz w:val="18"/>
                <w:szCs w:val="24"/>
              </w:rPr>
              <w:t>D</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591FCF" w:rsidRPr="00791061" w:rsidRDefault="00591FCF" w:rsidP="00791061">
            <w:pPr>
              <w:shd w:val="clear" w:color="auto" w:fill="FFFFFF"/>
              <w:ind w:left="259"/>
              <w:rPr>
                <w:sz w:val="18"/>
                <w:szCs w:val="24"/>
              </w:rPr>
            </w:pPr>
            <w:r w:rsidRPr="00791061">
              <w:rPr>
                <w:b/>
                <w:bCs/>
                <w:sz w:val="18"/>
                <w:szCs w:val="24"/>
              </w:rPr>
              <w:t>E</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591FCF" w:rsidRPr="00791061" w:rsidRDefault="00591FCF" w:rsidP="00791061">
            <w:pPr>
              <w:shd w:val="clear" w:color="auto" w:fill="FFFFFF"/>
              <w:ind w:left="264"/>
              <w:rPr>
                <w:sz w:val="18"/>
                <w:szCs w:val="24"/>
              </w:rPr>
            </w:pPr>
            <w:r w:rsidRPr="00791061">
              <w:rPr>
                <w:b/>
                <w:bCs/>
                <w:sz w:val="18"/>
                <w:szCs w:val="24"/>
              </w:rPr>
              <w:t>F</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591FCF" w:rsidRPr="00791061" w:rsidRDefault="00591FCF" w:rsidP="00791061">
            <w:pPr>
              <w:shd w:val="clear" w:color="auto" w:fill="FFFFFF"/>
              <w:ind w:left="14"/>
              <w:rPr>
                <w:sz w:val="18"/>
                <w:szCs w:val="24"/>
              </w:rPr>
            </w:pPr>
            <w:r w:rsidRPr="00791061">
              <w:rPr>
                <w:b/>
                <w:bCs/>
                <w:sz w:val="18"/>
                <w:szCs w:val="24"/>
              </w:rPr>
              <w:t>REIL</w:t>
            </w:r>
            <w:r w:rsidRPr="00791061">
              <w:rPr>
                <w:b/>
                <w:bCs/>
                <w:sz w:val="18"/>
                <w:szCs w:val="24"/>
                <w:vertAlign w:val="superscript"/>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591FCF" w:rsidRPr="00791061" w:rsidRDefault="00591FCF" w:rsidP="00791061">
            <w:pPr>
              <w:shd w:val="clear" w:color="auto" w:fill="FFFFFF"/>
              <w:jc w:val="center"/>
              <w:rPr>
                <w:sz w:val="18"/>
                <w:szCs w:val="24"/>
              </w:rPr>
            </w:pPr>
            <w:r w:rsidRPr="00791061">
              <w:rPr>
                <w:b/>
                <w:bCs/>
                <w:sz w:val="18"/>
                <w:szCs w:val="24"/>
              </w:rPr>
              <w:t>Interim Urban</w:t>
            </w:r>
            <w:r w:rsidRPr="00791061">
              <w:rPr>
                <w:sz w:val="18"/>
                <w:szCs w:val="24"/>
                <w:vertAlign w:val="superscript"/>
              </w:rPr>
              <w:t>5</w:t>
            </w:r>
          </w:p>
        </w:tc>
        <w:tc>
          <w:tcPr>
            <w:tcW w:w="1099" w:type="dxa"/>
            <w:tcBorders>
              <w:top w:val="nil"/>
              <w:left w:val="single" w:sz="6" w:space="0" w:color="auto"/>
              <w:bottom w:val="single" w:sz="6" w:space="0" w:color="auto"/>
              <w:right w:val="single" w:sz="6" w:space="0" w:color="auto"/>
            </w:tcBorders>
            <w:shd w:val="clear" w:color="auto" w:fill="FFFFFF"/>
            <w:vAlign w:val="bottom"/>
          </w:tcPr>
          <w:p w:rsidR="00591FCF" w:rsidRPr="00791061" w:rsidRDefault="00591FCF" w:rsidP="004B66AD">
            <w:pPr>
              <w:shd w:val="clear" w:color="auto" w:fill="FFFFFF"/>
              <w:ind w:left="139"/>
              <w:jc w:val="center"/>
              <w:rPr>
                <w:sz w:val="18"/>
                <w:szCs w:val="24"/>
              </w:rPr>
            </w:pPr>
            <w:r w:rsidRPr="00791061">
              <w:rPr>
                <w:b/>
                <w:bCs/>
                <w:sz w:val="18"/>
                <w:szCs w:val="24"/>
              </w:rPr>
              <w:t>Ranges</w:t>
            </w:r>
            <w:r w:rsidRPr="00791061">
              <w:rPr>
                <w:b/>
                <w:bCs/>
                <w:sz w:val="18"/>
                <w:szCs w:val="24"/>
                <w:vertAlign w:val="superscript"/>
              </w:rPr>
              <w:t>6</w:t>
            </w:r>
          </w:p>
        </w:tc>
      </w:tr>
      <w:tr w:rsidR="00591FCF" w:rsidRPr="00791061" w:rsidTr="00791061">
        <w:trPr>
          <w:cantSplit/>
          <w:trHeight w:val="20"/>
        </w:trPr>
        <w:tc>
          <w:tcPr>
            <w:tcW w:w="10549" w:type="dxa"/>
            <w:gridSpan w:val="10"/>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791061">
            <w:pPr>
              <w:shd w:val="clear" w:color="auto" w:fill="FFFFFF"/>
              <w:ind w:left="10"/>
              <w:rPr>
                <w:sz w:val="18"/>
                <w:szCs w:val="24"/>
              </w:rPr>
            </w:pPr>
            <w:r w:rsidRPr="00791061">
              <w:rPr>
                <w:b/>
                <w:bCs/>
                <w:sz w:val="18"/>
                <w:szCs w:val="24"/>
              </w:rPr>
              <w:t>METALS/METALLOIDS</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Arsenic (total)</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ind w:left="216"/>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1 - 50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Barium</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100 - 3000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Beryllium</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80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Cadmium</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80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Chromium (III)</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12%</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48%</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Chromium (VI)</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Chromium (Total)*</w:t>
            </w:r>
            <w:r w:rsidRPr="00791061">
              <w:rPr>
                <w:sz w:val="18"/>
                <w:szCs w:val="24"/>
                <w:vertAlign w:val="superscript"/>
              </w:rPr>
              <w:t>7</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5 - 1000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Cobalt</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1 - 40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Copper</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2 - 100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Lead</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1200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2 - 200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Manganese</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1500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7500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850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Methyl mercury</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Mercury (inorganic)</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15</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75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0.03</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Nickel</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2400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5 - 500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Vanadium</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ind w:left="216"/>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20 - 500</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Zinc</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7000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28000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14000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35000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ind w:left="216"/>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10 - 300</w:t>
            </w:r>
          </w:p>
        </w:tc>
      </w:tr>
      <w:tr w:rsidR="00591FCF" w:rsidRPr="00791061" w:rsidTr="00791061">
        <w:trPr>
          <w:cantSplit/>
          <w:trHeight w:val="20"/>
        </w:trPr>
        <w:tc>
          <w:tcPr>
            <w:tcW w:w="10549" w:type="dxa"/>
            <w:gridSpan w:val="10"/>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b/>
                <w:bCs/>
                <w:sz w:val="18"/>
                <w:szCs w:val="24"/>
              </w:rPr>
              <w:t>ORGANICS</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Aldrin + Dieldrin</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Chlordane</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 xml:space="preserve">DDT + </w:t>
            </w:r>
            <w:proofErr w:type="spellStart"/>
            <w:r w:rsidRPr="00791061">
              <w:rPr>
                <w:sz w:val="18"/>
                <w:szCs w:val="24"/>
              </w:rPr>
              <w:t>DDD</w:t>
            </w:r>
            <w:proofErr w:type="spellEnd"/>
            <w:r w:rsidRPr="00791061">
              <w:rPr>
                <w:sz w:val="18"/>
                <w:szCs w:val="24"/>
              </w:rPr>
              <w:t xml:space="preserve"> + DDE</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800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Heptachlor</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ind w:right="355"/>
              <w:rPr>
                <w:sz w:val="18"/>
                <w:szCs w:val="24"/>
              </w:rPr>
            </w:pPr>
            <w:r w:rsidRPr="00791061">
              <w:rPr>
                <w:sz w:val="18"/>
                <w:szCs w:val="24"/>
              </w:rPr>
              <w:t>Polycyclic aromatic hydrocarbons (PAHs)</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80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Benzo(a)pyrene</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Phenol</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8500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34000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17000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42500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PCBs (Total)</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ind w:right="173"/>
              <w:rPr>
                <w:sz w:val="18"/>
                <w:szCs w:val="24"/>
              </w:rPr>
            </w:pPr>
            <w:r w:rsidRPr="00791061">
              <w:rPr>
                <w:sz w:val="18"/>
                <w:szCs w:val="24"/>
              </w:rPr>
              <w:t>Petroleum Hydrocarbon Components</w:t>
            </w:r>
          </w:p>
          <w:p w:rsidR="00591FCF" w:rsidRPr="00791061" w:rsidRDefault="00591FCF" w:rsidP="00E31F70">
            <w:pPr>
              <w:shd w:val="clear" w:color="auto" w:fill="FFFFFF"/>
              <w:rPr>
                <w:sz w:val="18"/>
                <w:szCs w:val="24"/>
              </w:rPr>
            </w:pPr>
            <w:r w:rsidRPr="00791061">
              <w:rPr>
                <w:sz w:val="18"/>
                <w:szCs w:val="24"/>
              </w:rPr>
              <w:t>(constituents):</w:t>
            </w:r>
          </w:p>
        </w:tc>
        <w:tc>
          <w:tcPr>
            <w:tcW w:w="633"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rPr>
                <w:sz w:val="18"/>
                <w:szCs w:val="24"/>
              </w:rPr>
            </w:pPr>
          </w:p>
        </w:tc>
        <w:tc>
          <w:tcPr>
            <w:tcW w:w="44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rPr>
                <w:sz w:val="18"/>
                <w:szCs w:val="24"/>
              </w:rPr>
            </w:pPr>
          </w:p>
        </w:tc>
        <w:tc>
          <w:tcPr>
            <w:tcW w:w="720"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rPr>
                <w:sz w:val="18"/>
                <w:szCs w:val="24"/>
              </w:rPr>
            </w:pPr>
          </w:p>
        </w:tc>
        <w:tc>
          <w:tcPr>
            <w:tcW w:w="1440" w:type="dxa"/>
            <w:tcBorders>
              <w:top w:val="single" w:sz="6" w:space="0" w:color="auto"/>
              <w:left w:val="single" w:sz="6" w:space="0" w:color="auto"/>
              <w:bottom w:val="nil"/>
              <w:right w:val="single" w:sz="6" w:space="0" w:color="auto"/>
            </w:tcBorders>
            <w:shd w:val="clear" w:color="auto" w:fill="FFFFFF"/>
            <w:textDirection w:val="btLr"/>
          </w:tcPr>
          <w:p w:rsidR="00591FCF" w:rsidRPr="00791061" w:rsidRDefault="00591FCF" w:rsidP="00E31F70">
            <w:pPr>
              <w:shd w:val="clear" w:color="auto" w:fill="FFFFFF"/>
              <w:ind w:right="86"/>
              <w:jc w:val="right"/>
              <w:rPr>
                <w:sz w:val="18"/>
                <w:szCs w:val="24"/>
              </w:rPr>
            </w:pPr>
          </w:p>
        </w:tc>
        <w:tc>
          <w:tcPr>
            <w:tcW w:w="1800"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96836">
            <w:pPr>
              <w:shd w:val="clear" w:color="auto" w:fill="FFFFFF"/>
              <w:tabs>
                <w:tab w:val="left" w:pos="320"/>
              </w:tabs>
              <w:rPr>
                <w:sz w:val="18"/>
                <w:szCs w:val="24"/>
              </w:rPr>
            </w:pPr>
            <w:r w:rsidRPr="00791061">
              <w:rPr>
                <w:rFonts w:eastAsia="Times New Roman"/>
                <w:sz w:val="18"/>
                <w:szCs w:val="24"/>
              </w:rPr>
              <w:t>•</w:t>
            </w:r>
            <w:r w:rsidR="00E31F70" w:rsidRPr="00791061">
              <w:rPr>
                <w:rFonts w:eastAsia="Times New Roman"/>
                <w:sz w:val="18"/>
                <w:szCs w:val="24"/>
              </w:rPr>
              <w:tab/>
            </w:r>
            <w:r w:rsidRPr="00791061">
              <w:rPr>
                <w:rFonts w:eastAsia="Times New Roman"/>
                <w:sz w:val="18"/>
                <w:szCs w:val="24"/>
              </w:rPr>
              <w:t>&gt;C16 – C35</w:t>
            </w:r>
            <w:r w:rsidR="00496836">
              <w:rPr>
                <w:sz w:val="18"/>
                <w:szCs w:val="24"/>
              </w:rPr>
              <w:t xml:space="preserve"> </w:t>
            </w:r>
            <w:r w:rsidRPr="00791061">
              <w:rPr>
                <w:sz w:val="18"/>
                <w:szCs w:val="24"/>
              </w:rPr>
              <w:t>Aromatics</w:t>
            </w:r>
            <w:r w:rsidRPr="00791061">
              <w:rPr>
                <w:sz w:val="18"/>
                <w:szCs w:val="24"/>
                <w:vertAlign w:val="superscript"/>
              </w:rPr>
              <w:t>8</w:t>
            </w:r>
          </w:p>
        </w:tc>
        <w:tc>
          <w:tcPr>
            <w:tcW w:w="633"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90</w:t>
            </w:r>
          </w:p>
        </w:tc>
        <w:tc>
          <w:tcPr>
            <w:tcW w:w="44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360</w:t>
            </w:r>
          </w:p>
        </w:tc>
        <w:tc>
          <w:tcPr>
            <w:tcW w:w="630"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180</w:t>
            </w:r>
          </w:p>
        </w:tc>
        <w:tc>
          <w:tcPr>
            <w:tcW w:w="720"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450</w:t>
            </w:r>
          </w:p>
        </w:tc>
        <w:tc>
          <w:tcPr>
            <w:tcW w:w="1440" w:type="dxa"/>
            <w:tcBorders>
              <w:top w:val="nil"/>
              <w:left w:val="single" w:sz="6" w:space="0" w:color="auto"/>
              <w:bottom w:val="single" w:sz="6" w:space="0" w:color="auto"/>
              <w:right w:val="single" w:sz="6" w:space="0" w:color="auto"/>
            </w:tcBorders>
            <w:shd w:val="clear" w:color="auto" w:fill="FFFFFF"/>
            <w:textDirection w:val="btLr"/>
          </w:tcPr>
          <w:p w:rsidR="00591FCF" w:rsidRPr="00791061" w:rsidRDefault="00591FCF" w:rsidP="00E31F70">
            <w:pPr>
              <w:shd w:val="clear" w:color="auto" w:fill="FFFFFF"/>
              <w:ind w:left="163"/>
              <w:rPr>
                <w:sz w:val="18"/>
                <w:szCs w:val="24"/>
              </w:rPr>
            </w:pPr>
          </w:p>
        </w:tc>
        <w:tc>
          <w:tcPr>
            <w:tcW w:w="1800"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96836">
            <w:pPr>
              <w:shd w:val="clear" w:color="auto" w:fill="FFFFFF"/>
              <w:tabs>
                <w:tab w:val="left" w:pos="320"/>
              </w:tabs>
              <w:rPr>
                <w:sz w:val="18"/>
                <w:szCs w:val="24"/>
              </w:rPr>
            </w:pPr>
            <w:r w:rsidRPr="00791061">
              <w:rPr>
                <w:rFonts w:eastAsia="Times New Roman"/>
                <w:sz w:val="18"/>
                <w:szCs w:val="24"/>
              </w:rPr>
              <w:t>•</w:t>
            </w:r>
            <w:r w:rsidR="00E31F70" w:rsidRPr="00791061">
              <w:rPr>
                <w:rFonts w:eastAsia="Times New Roman"/>
                <w:sz w:val="18"/>
                <w:szCs w:val="24"/>
              </w:rPr>
              <w:tab/>
            </w:r>
            <w:r w:rsidRPr="00791061">
              <w:rPr>
                <w:rFonts w:eastAsia="Times New Roman"/>
                <w:sz w:val="18"/>
                <w:szCs w:val="24"/>
              </w:rPr>
              <w:t>&gt;C16 – C35</w:t>
            </w:r>
            <w:r w:rsidR="00496836">
              <w:rPr>
                <w:sz w:val="18"/>
                <w:szCs w:val="24"/>
              </w:rPr>
              <w:t xml:space="preserve"> </w:t>
            </w:r>
            <w:proofErr w:type="spellStart"/>
            <w:r w:rsidRPr="00791061">
              <w:rPr>
                <w:sz w:val="18"/>
                <w:szCs w:val="24"/>
              </w:rPr>
              <w:t>Aliphatics</w:t>
            </w:r>
            <w:proofErr w:type="spellEnd"/>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5600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22400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11200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28000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96836">
            <w:pPr>
              <w:shd w:val="clear" w:color="auto" w:fill="FFFFFF"/>
              <w:tabs>
                <w:tab w:val="left" w:pos="230"/>
              </w:tabs>
              <w:rPr>
                <w:sz w:val="18"/>
                <w:szCs w:val="24"/>
              </w:rPr>
            </w:pPr>
            <w:r w:rsidRPr="00791061">
              <w:rPr>
                <w:rFonts w:eastAsia="Times New Roman"/>
                <w:sz w:val="18"/>
                <w:szCs w:val="24"/>
              </w:rPr>
              <w:t>•</w:t>
            </w:r>
            <w:r w:rsidR="00791061" w:rsidRPr="00791061">
              <w:rPr>
                <w:rFonts w:eastAsia="Times New Roman"/>
                <w:sz w:val="18"/>
                <w:szCs w:val="24"/>
              </w:rPr>
              <w:tab/>
            </w:r>
            <w:r w:rsidRPr="00791061">
              <w:rPr>
                <w:rFonts w:eastAsia="Times New Roman"/>
                <w:sz w:val="18"/>
                <w:szCs w:val="24"/>
              </w:rPr>
              <w:t xml:space="preserve">&gt;C35 </w:t>
            </w:r>
            <w:proofErr w:type="spellStart"/>
            <w:r w:rsidRPr="00791061">
              <w:rPr>
                <w:rFonts w:eastAsia="Times New Roman"/>
                <w:sz w:val="18"/>
                <w:szCs w:val="24"/>
              </w:rPr>
              <w:t>Aliphatics</w:t>
            </w:r>
            <w:proofErr w:type="spellEnd"/>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56000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224000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112000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280000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591FCF" w:rsidRPr="00791061" w:rsidTr="00791061">
        <w:trPr>
          <w:cantSplit/>
          <w:trHeight w:val="20"/>
        </w:trPr>
        <w:tc>
          <w:tcPr>
            <w:tcW w:w="10549" w:type="dxa"/>
            <w:gridSpan w:val="10"/>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b/>
                <w:bCs/>
                <w:sz w:val="18"/>
                <w:szCs w:val="24"/>
              </w:rPr>
              <w:t>OTHER</w:t>
            </w: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Boron</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3000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12000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15000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ind w:left="216"/>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Cyanides (Complexed)</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Cyanides (free)</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250</w:t>
            </w: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1000</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500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1250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Phosphorus</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Sulfur</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600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r w:rsidR="004B66AD" w:rsidRPr="00791061" w:rsidTr="004B66AD">
        <w:trPr>
          <w:cantSplit/>
          <w:trHeight w:val="20"/>
        </w:trPr>
        <w:tc>
          <w:tcPr>
            <w:tcW w:w="261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Sulfate</w:t>
            </w:r>
            <w:r w:rsidRPr="00791061">
              <w:rPr>
                <w:sz w:val="18"/>
                <w:szCs w:val="24"/>
                <w:vertAlign w:val="superscript"/>
              </w:rPr>
              <w:t>9</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44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r w:rsidRPr="00791061">
              <w:rPr>
                <w:sz w:val="18"/>
                <w:szCs w:val="24"/>
              </w:rPr>
              <w:t>2000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E31F70">
            <w:pPr>
              <w:shd w:val="clear" w:color="auto" w:fill="FFFFFF"/>
              <w:rPr>
                <w:sz w:val="18"/>
                <w:szCs w:val="24"/>
              </w:rPr>
            </w:pPr>
          </w:p>
        </w:tc>
      </w:tr>
    </w:tbl>
    <w:p w:rsidR="00591FCF" w:rsidRPr="00791061" w:rsidRDefault="00496836" w:rsidP="00C925A7">
      <w:pPr>
        <w:shd w:val="clear" w:color="auto" w:fill="FFFFFF"/>
        <w:tabs>
          <w:tab w:val="left" w:pos="288"/>
        </w:tabs>
        <w:spacing w:before="240"/>
        <w:ind w:left="5"/>
        <w:rPr>
          <w:sz w:val="18"/>
          <w:szCs w:val="24"/>
        </w:rPr>
      </w:pPr>
      <w:r>
        <w:rPr>
          <w:noProof/>
          <w:sz w:val="18"/>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-3659</wp:posOffset>
                </wp:positionH>
                <wp:positionV relativeFrom="paragraph">
                  <wp:posOffset>89281</wp:posOffset>
                </wp:positionV>
                <wp:extent cx="1002183"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0021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42AE42"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05pt" to="78.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" strokecolor="black [3040]"/>
            </w:pict>
          </mc:Fallback>
        </mc:AlternateContent>
      </w:r>
      <w:r w:rsidR="00591FCF" w:rsidRPr="00791061">
        <w:rPr>
          <w:sz w:val="18"/>
          <w:szCs w:val="24"/>
          <w:vertAlign w:val="superscript"/>
        </w:rPr>
        <w:t>1</w:t>
      </w:r>
      <w:r w:rsidR="00591FCF" w:rsidRPr="00791061">
        <w:rPr>
          <w:sz w:val="18"/>
          <w:szCs w:val="24"/>
        </w:rPr>
        <w:tab/>
        <w:t xml:space="preserve">Human exposure settings based on land use have been established for </w:t>
      </w:r>
      <w:proofErr w:type="spellStart"/>
      <w:r w:rsidR="00591FCF" w:rsidRPr="00791061">
        <w:rPr>
          <w:sz w:val="18"/>
          <w:szCs w:val="24"/>
        </w:rPr>
        <w:t>HILs</w:t>
      </w:r>
      <w:proofErr w:type="spellEnd"/>
      <w:r w:rsidR="00591FCF" w:rsidRPr="00791061">
        <w:rPr>
          <w:sz w:val="18"/>
          <w:szCs w:val="24"/>
        </w:rPr>
        <w:t xml:space="preserve"> (see Taylor and Langley 1998). These are:</w:t>
      </w:r>
    </w:p>
    <w:p w:rsidR="00591FCF" w:rsidRPr="00791061" w:rsidRDefault="00591FCF" w:rsidP="00791061">
      <w:pPr>
        <w:shd w:val="clear" w:color="auto" w:fill="FFFFFF"/>
        <w:tabs>
          <w:tab w:val="left" w:pos="571"/>
        </w:tabs>
        <w:ind w:left="571" w:hanging="283"/>
        <w:rPr>
          <w:sz w:val="18"/>
          <w:szCs w:val="24"/>
        </w:rPr>
      </w:pPr>
      <w:r w:rsidRPr="00791061">
        <w:rPr>
          <w:b/>
          <w:bCs/>
          <w:sz w:val="18"/>
          <w:szCs w:val="24"/>
        </w:rPr>
        <w:t>A.</w:t>
      </w:r>
      <w:r w:rsidRPr="00791061">
        <w:rPr>
          <w:b/>
          <w:bCs/>
          <w:sz w:val="18"/>
          <w:szCs w:val="24"/>
        </w:rPr>
        <w:tab/>
      </w:r>
      <w:r w:rsidRPr="00791061">
        <w:rPr>
          <w:sz w:val="18"/>
          <w:szCs w:val="24"/>
        </w:rPr>
        <w:t>'Standard' residential with garden/accessible soil (home-grown produce contributing less than 10% of vegetable and fruit intake; no</w:t>
      </w:r>
      <w:r w:rsidR="00791061" w:rsidRPr="00791061">
        <w:rPr>
          <w:sz w:val="18"/>
          <w:szCs w:val="24"/>
        </w:rPr>
        <w:t xml:space="preserve"> </w:t>
      </w:r>
      <w:r w:rsidRPr="00791061">
        <w:rPr>
          <w:sz w:val="18"/>
          <w:szCs w:val="24"/>
        </w:rPr>
        <w:t>poultry): this category includes children</w:t>
      </w:r>
      <w:r w:rsidRPr="00791061">
        <w:rPr>
          <w:rFonts w:eastAsia="Times New Roman"/>
          <w:sz w:val="18"/>
          <w:szCs w:val="24"/>
        </w:rPr>
        <w:t xml:space="preserve">’s day-care </w:t>
      </w:r>
      <w:proofErr w:type="spellStart"/>
      <w:r w:rsidRPr="00791061">
        <w:rPr>
          <w:rFonts w:eastAsia="Times New Roman"/>
          <w:sz w:val="18"/>
          <w:szCs w:val="24"/>
        </w:rPr>
        <w:t>centres</w:t>
      </w:r>
      <w:proofErr w:type="spellEnd"/>
      <w:r w:rsidRPr="00791061">
        <w:rPr>
          <w:rFonts w:eastAsia="Times New Roman"/>
          <w:sz w:val="18"/>
          <w:szCs w:val="24"/>
        </w:rPr>
        <w:t>, kindergartens, preschools and primary schools.</w:t>
      </w:r>
    </w:p>
    <w:p w:rsidR="00591FCF" w:rsidRPr="00791061" w:rsidRDefault="00591FCF" w:rsidP="00791061">
      <w:pPr>
        <w:shd w:val="clear" w:color="auto" w:fill="FFFFFF"/>
        <w:tabs>
          <w:tab w:val="left" w:pos="571"/>
        </w:tabs>
        <w:ind w:left="571" w:hanging="283"/>
        <w:rPr>
          <w:sz w:val="18"/>
          <w:szCs w:val="24"/>
        </w:rPr>
      </w:pPr>
      <w:r w:rsidRPr="00791061">
        <w:rPr>
          <w:b/>
          <w:bCs/>
          <w:sz w:val="18"/>
          <w:szCs w:val="24"/>
        </w:rPr>
        <w:t>B.</w:t>
      </w:r>
      <w:r w:rsidRPr="00791061">
        <w:rPr>
          <w:b/>
          <w:bCs/>
          <w:sz w:val="18"/>
          <w:szCs w:val="24"/>
        </w:rPr>
        <w:tab/>
      </w:r>
      <w:r w:rsidRPr="00791061">
        <w:rPr>
          <w:sz w:val="18"/>
          <w:szCs w:val="24"/>
        </w:rPr>
        <w:t>Residential with substantial vegetable garden (contributing 10% or more of vegetable and fruit intake) and/or poultry providing any egg</w:t>
      </w:r>
      <w:r w:rsidR="00791061" w:rsidRPr="00791061">
        <w:rPr>
          <w:sz w:val="18"/>
          <w:szCs w:val="24"/>
        </w:rPr>
        <w:t xml:space="preserve"> </w:t>
      </w:r>
      <w:r w:rsidRPr="00791061">
        <w:rPr>
          <w:sz w:val="18"/>
          <w:szCs w:val="24"/>
        </w:rPr>
        <w:t>or poultry meat dietary intake.</w:t>
      </w:r>
    </w:p>
    <w:p w:rsidR="00591FCF" w:rsidRPr="00791061" w:rsidRDefault="00591FCF" w:rsidP="00791061">
      <w:pPr>
        <w:shd w:val="clear" w:color="auto" w:fill="FFFFFF"/>
        <w:tabs>
          <w:tab w:val="left" w:pos="571"/>
        </w:tabs>
        <w:ind w:left="288"/>
        <w:rPr>
          <w:sz w:val="18"/>
          <w:szCs w:val="24"/>
        </w:rPr>
      </w:pPr>
      <w:r w:rsidRPr="00791061">
        <w:rPr>
          <w:b/>
          <w:bCs/>
          <w:sz w:val="18"/>
          <w:szCs w:val="24"/>
        </w:rPr>
        <w:t>C.</w:t>
      </w:r>
      <w:r w:rsidRPr="00791061">
        <w:rPr>
          <w:b/>
          <w:bCs/>
          <w:sz w:val="18"/>
          <w:szCs w:val="24"/>
        </w:rPr>
        <w:tab/>
      </w:r>
      <w:r w:rsidRPr="00791061">
        <w:rPr>
          <w:sz w:val="18"/>
          <w:szCs w:val="24"/>
        </w:rPr>
        <w:t>Residential with substantial vegetable garden (contributing 10% or more of vegetable and fruit intake); poultry excluded.</w:t>
      </w:r>
    </w:p>
    <w:p w:rsidR="00591FCF" w:rsidRPr="00791061" w:rsidRDefault="00591FCF" w:rsidP="00791061">
      <w:pPr>
        <w:shd w:val="clear" w:color="auto" w:fill="FFFFFF"/>
        <w:tabs>
          <w:tab w:val="left" w:pos="571"/>
        </w:tabs>
        <w:ind w:left="571" w:hanging="283"/>
        <w:rPr>
          <w:sz w:val="18"/>
          <w:szCs w:val="24"/>
        </w:rPr>
      </w:pPr>
      <w:r w:rsidRPr="00791061">
        <w:rPr>
          <w:b/>
          <w:bCs/>
          <w:sz w:val="18"/>
          <w:szCs w:val="24"/>
        </w:rPr>
        <w:t>D.</w:t>
      </w:r>
      <w:r w:rsidRPr="00791061">
        <w:rPr>
          <w:b/>
          <w:bCs/>
          <w:sz w:val="18"/>
          <w:szCs w:val="24"/>
        </w:rPr>
        <w:tab/>
      </w:r>
      <w:r w:rsidRPr="00791061">
        <w:rPr>
          <w:sz w:val="18"/>
          <w:szCs w:val="24"/>
        </w:rPr>
        <w:t>Residential with minimal opportunities for soil access: includes dwellings with fully and permanently paved yard space such as high-rise</w:t>
      </w:r>
      <w:r w:rsidR="00791061" w:rsidRPr="00791061">
        <w:rPr>
          <w:sz w:val="18"/>
          <w:szCs w:val="24"/>
        </w:rPr>
        <w:t xml:space="preserve"> </w:t>
      </w:r>
      <w:r w:rsidRPr="00791061">
        <w:rPr>
          <w:sz w:val="18"/>
          <w:szCs w:val="24"/>
        </w:rPr>
        <w:t>apartments and flats.</w:t>
      </w:r>
    </w:p>
    <w:p w:rsidR="00591FCF" w:rsidRPr="00791061" w:rsidRDefault="00591FCF" w:rsidP="00791061">
      <w:pPr>
        <w:shd w:val="clear" w:color="auto" w:fill="FFFFFF"/>
        <w:tabs>
          <w:tab w:val="left" w:pos="571"/>
        </w:tabs>
        <w:ind w:left="288"/>
        <w:rPr>
          <w:sz w:val="18"/>
          <w:szCs w:val="24"/>
        </w:rPr>
      </w:pPr>
      <w:r w:rsidRPr="00791061">
        <w:rPr>
          <w:b/>
          <w:bCs/>
          <w:sz w:val="18"/>
          <w:szCs w:val="24"/>
        </w:rPr>
        <w:t>E.</w:t>
      </w:r>
      <w:r w:rsidRPr="00791061">
        <w:rPr>
          <w:b/>
          <w:bCs/>
          <w:sz w:val="18"/>
          <w:szCs w:val="24"/>
        </w:rPr>
        <w:tab/>
      </w:r>
      <w:r w:rsidRPr="00791061">
        <w:rPr>
          <w:sz w:val="18"/>
          <w:szCs w:val="24"/>
        </w:rPr>
        <w:t>Parks, recreational open space and playing fields: includes secondary schools.</w:t>
      </w:r>
    </w:p>
    <w:p w:rsidR="00591FCF" w:rsidRPr="00791061" w:rsidRDefault="00591FCF" w:rsidP="00791061">
      <w:pPr>
        <w:shd w:val="clear" w:color="auto" w:fill="FFFFFF"/>
        <w:tabs>
          <w:tab w:val="left" w:pos="571"/>
        </w:tabs>
        <w:ind w:left="288"/>
        <w:rPr>
          <w:sz w:val="18"/>
          <w:szCs w:val="24"/>
        </w:rPr>
      </w:pPr>
      <w:r w:rsidRPr="00791061">
        <w:rPr>
          <w:b/>
          <w:bCs/>
          <w:sz w:val="18"/>
          <w:szCs w:val="24"/>
        </w:rPr>
        <w:t>F.</w:t>
      </w:r>
      <w:r w:rsidRPr="00791061">
        <w:rPr>
          <w:b/>
          <w:bCs/>
          <w:sz w:val="18"/>
          <w:szCs w:val="24"/>
        </w:rPr>
        <w:tab/>
      </w:r>
      <w:r w:rsidRPr="00791061">
        <w:rPr>
          <w:sz w:val="18"/>
          <w:szCs w:val="24"/>
        </w:rPr>
        <w:t>Commercial/Industrial: includes premises such as shops and offices as well as factories and industrial sites.</w:t>
      </w:r>
    </w:p>
    <w:p w:rsidR="00591FCF" w:rsidRPr="00791061" w:rsidRDefault="00591FCF" w:rsidP="00791061">
      <w:pPr>
        <w:shd w:val="clear" w:color="auto" w:fill="FFFFFF"/>
        <w:tabs>
          <w:tab w:val="left" w:pos="571"/>
        </w:tabs>
        <w:ind w:left="571"/>
        <w:rPr>
          <w:sz w:val="18"/>
          <w:szCs w:val="24"/>
        </w:rPr>
      </w:pPr>
      <w:r w:rsidRPr="00791061">
        <w:rPr>
          <w:sz w:val="18"/>
          <w:szCs w:val="24"/>
        </w:rPr>
        <w:t xml:space="preserve">(For details on derivation of </w:t>
      </w:r>
      <w:proofErr w:type="spellStart"/>
      <w:r w:rsidRPr="00791061">
        <w:rPr>
          <w:sz w:val="18"/>
          <w:szCs w:val="24"/>
        </w:rPr>
        <w:t>HILs</w:t>
      </w:r>
      <w:proofErr w:type="spellEnd"/>
      <w:r w:rsidRPr="00791061">
        <w:rPr>
          <w:sz w:val="18"/>
          <w:szCs w:val="24"/>
        </w:rPr>
        <w:t xml:space="preserve"> for human exposure settings based on land use see </w:t>
      </w:r>
      <w:r w:rsidRPr="00791061">
        <w:rPr>
          <w:sz w:val="18"/>
          <w:szCs w:val="24"/>
          <w:u w:val="single"/>
        </w:rPr>
        <w:t>Schedule B(7A)</w:t>
      </w:r>
      <w:r w:rsidRPr="00791061">
        <w:rPr>
          <w:sz w:val="18"/>
          <w:szCs w:val="24"/>
        </w:rPr>
        <w:t>.</w:t>
      </w:r>
    </w:p>
    <w:p w:rsidR="00591FCF" w:rsidRPr="00791061" w:rsidRDefault="00591FCF" w:rsidP="00791061">
      <w:pPr>
        <w:shd w:val="clear" w:color="auto" w:fill="FFFFFF"/>
        <w:tabs>
          <w:tab w:val="left" w:pos="288"/>
        </w:tabs>
        <w:ind w:left="288" w:right="149" w:hanging="283"/>
        <w:jc w:val="both"/>
        <w:rPr>
          <w:sz w:val="18"/>
          <w:szCs w:val="24"/>
        </w:rPr>
      </w:pPr>
      <w:r w:rsidRPr="00791061">
        <w:rPr>
          <w:sz w:val="18"/>
          <w:szCs w:val="24"/>
          <w:vertAlign w:val="superscript"/>
        </w:rPr>
        <w:t>2</w:t>
      </w:r>
      <w:r w:rsidRPr="00791061">
        <w:rPr>
          <w:sz w:val="18"/>
          <w:szCs w:val="24"/>
        </w:rPr>
        <w:tab/>
        <w:t>Site and contaminant specific: on site sampling is the preferred approach for estimating poultry and plant uptake. Exposure estimates may</w:t>
      </w:r>
      <w:r w:rsidR="00791061" w:rsidRPr="00791061">
        <w:rPr>
          <w:sz w:val="18"/>
          <w:szCs w:val="24"/>
        </w:rPr>
        <w:t xml:space="preserve"> </w:t>
      </w:r>
      <w:r w:rsidRPr="00791061">
        <w:rPr>
          <w:sz w:val="18"/>
          <w:szCs w:val="24"/>
        </w:rPr>
        <w:t xml:space="preserve">then be compared to the relevant </w:t>
      </w:r>
      <w:proofErr w:type="spellStart"/>
      <w:r w:rsidRPr="00791061">
        <w:rPr>
          <w:sz w:val="18"/>
          <w:szCs w:val="24"/>
        </w:rPr>
        <w:t>ADIs</w:t>
      </w:r>
      <w:proofErr w:type="spellEnd"/>
      <w:r w:rsidRPr="00791061">
        <w:rPr>
          <w:sz w:val="18"/>
          <w:szCs w:val="24"/>
        </w:rPr>
        <w:t xml:space="preserve">, </w:t>
      </w:r>
      <w:proofErr w:type="spellStart"/>
      <w:r w:rsidRPr="00791061">
        <w:rPr>
          <w:sz w:val="18"/>
          <w:szCs w:val="24"/>
        </w:rPr>
        <w:t>PTWIs</w:t>
      </w:r>
      <w:proofErr w:type="spellEnd"/>
      <w:r w:rsidRPr="00791061">
        <w:rPr>
          <w:sz w:val="18"/>
          <w:szCs w:val="24"/>
        </w:rPr>
        <w:t xml:space="preserve"> and </w:t>
      </w:r>
      <w:proofErr w:type="spellStart"/>
      <w:r w:rsidRPr="00791061">
        <w:rPr>
          <w:sz w:val="18"/>
          <w:szCs w:val="24"/>
        </w:rPr>
        <w:t>GDs.</w:t>
      </w:r>
      <w:proofErr w:type="spellEnd"/>
    </w:p>
    <w:p w:rsidR="00591FCF" w:rsidRPr="00791061" w:rsidRDefault="00591FCF" w:rsidP="00791061">
      <w:pPr>
        <w:shd w:val="clear" w:color="auto" w:fill="FFFFFF"/>
        <w:tabs>
          <w:tab w:val="left" w:pos="288"/>
        </w:tabs>
        <w:ind w:left="288" w:right="149" w:hanging="283"/>
        <w:jc w:val="both"/>
        <w:rPr>
          <w:sz w:val="18"/>
          <w:szCs w:val="24"/>
        </w:rPr>
      </w:pPr>
      <w:r w:rsidRPr="00791061">
        <w:rPr>
          <w:sz w:val="18"/>
          <w:szCs w:val="24"/>
          <w:vertAlign w:val="superscript"/>
        </w:rPr>
        <w:t>3</w:t>
      </w:r>
      <w:r w:rsidRPr="00791061">
        <w:rPr>
          <w:sz w:val="18"/>
          <w:szCs w:val="24"/>
        </w:rPr>
        <w:tab/>
        <w:t>Site and contaminant specific: on site sampling is the preferred approach for estimating plant uptake. . Exposure estimates may then be</w:t>
      </w:r>
      <w:r w:rsidR="00791061" w:rsidRPr="00791061">
        <w:rPr>
          <w:sz w:val="18"/>
          <w:szCs w:val="24"/>
        </w:rPr>
        <w:t xml:space="preserve"> </w:t>
      </w:r>
      <w:r w:rsidRPr="00791061">
        <w:rPr>
          <w:sz w:val="18"/>
          <w:szCs w:val="24"/>
        </w:rPr>
        <w:t xml:space="preserve">compared to the relevant </w:t>
      </w:r>
      <w:proofErr w:type="spellStart"/>
      <w:r w:rsidRPr="00791061">
        <w:rPr>
          <w:sz w:val="18"/>
          <w:szCs w:val="24"/>
        </w:rPr>
        <w:t>ADIs</w:t>
      </w:r>
      <w:proofErr w:type="spellEnd"/>
      <w:r w:rsidRPr="00791061">
        <w:rPr>
          <w:sz w:val="18"/>
          <w:szCs w:val="24"/>
        </w:rPr>
        <w:t xml:space="preserve">, </w:t>
      </w:r>
      <w:proofErr w:type="spellStart"/>
      <w:r w:rsidRPr="00791061">
        <w:rPr>
          <w:sz w:val="18"/>
          <w:szCs w:val="24"/>
        </w:rPr>
        <w:t>PTWIs</w:t>
      </w:r>
      <w:proofErr w:type="spellEnd"/>
      <w:r w:rsidRPr="00791061">
        <w:rPr>
          <w:sz w:val="18"/>
          <w:szCs w:val="24"/>
        </w:rPr>
        <w:t xml:space="preserve"> and </w:t>
      </w:r>
      <w:proofErr w:type="spellStart"/>
      <w:r w:rsidRPr="00791061">
        <w:rPr>
          <w:sz w:val="18"/>
          <w:szCs w:val="24"/>
        </w:rPr>
        <w:t>GDs.</w:t>
      </w:r>
      <w:proofErr w:type="spellEnd"/>
    </w:p>
    <w:p w:rsidR="00591FCF" w:rsidRPr="00791061" w:rsidRDefault="00591FCF" w:rsidP="00791061">
      <w:pPr>
        <w:shd w:val="clear" w:color="auto" w:fill="FFFFFF"/>
        <w:tabs>
          <w:tab w:val="left" w:pos="288"/>
        </w:tabs>
        <w:ind w:left="5"/>
        <w:rPr>
          <w:sz w:val="18"/>
          <w:szCs w:val="24"/>
        </w:rPr>
      </w:pPr>
      <w:r w:rsidRPr="00791061">
        <w:rPr>
          <w:sz w:val="18"/>
          <w:szCs w:val="24"/>
          <w:vertAlign w:val="superscript"/>
        </w:rPr>
        <w:t>4</w:t>
      </w:r>
      <w:r w:rsidRPr="00791061">
        <w:rPr>
          <w:sz w:val="18"/>
          <w:szCs w:val="24"/>
        </w:rPr>
        <w:tab/>
        <w:t>These will be developed for regional areas by jurisdictions as required.</w:t>
      </w:r>
    </w:p>
    <w:p w:rsidR="00591FCF" w:rsidRPr="00791061" w:rsidRDefault="00591FCF" w:rsidP="00791061">
      <w:pPr>
        <w:shd w:val="clear" w:color="auto" w:fill="FFFFFF"/>
        <w:tabs>
          <w:tab w:val="left" w:pos="288"/>
        </w:tabs>
        <w:ind w:left="288" w:right="149" w:hanging="283"/>
        <w:jc w:val="both"/>
        <w:rPr>
          <w:sz w:val="18"/>
          <w:szCs w:val="24"/>
        </w:rPr>
      </w:pPr>
      <w:r w:rsidRPr="00791061">
        <w:rPr>
          <w:sz w:val="18"/>
          <w:szCs w:val="24"/>
          <w:vertAlign w:val="superscript"/>
        </w:rPr>
        <w:t>5</w:t>
      </w:r>
      <w:r w:rsidRPr="00791061">
        <w:rPr>
          <w:sz w:val="18"/>
          <w:szCs w:val="24"/>
        </w:rPr>
        <w:tab/>
        <w:t xml:space="preserve">Interim </w:t>
      </w:r>
      <w:proofErr w:type="spellStart"/>
      <w:r w:rsidRPr="00791061">
        <w:rPr>
          <w:sz w:val="18"/>
          <w:szCs w:val="24"/>
        </w:rPr>
        <w:t>EILs</w:t>
      </w:r>
      <w:proofErr w:type="spellEnd"/>
      <w:r w:rsidRPr="00791061">
        <w:rPr>
          <w:sz w:val="18"/>
          <w:szCs w:val="24"/>
        </w:rPr>
        <w:t xml:space="preserve"> for the urban setting are based on considerations of phytotoxicity, </w:t>
      </w:r>
      <w:proofErr w:type="spellStart"/>
      <w:r w:rsidRPr="00791061">
        <w:rPr>
          <w:sz w:val="18"/>
          <w:szCs w:val="24"/>
        </w:rPr>
        <w:t>ANZECC</w:t>
      </w:r>
      <w:proofErr w:type="spellEnd"/>
      <w:r w:rsidRPr="00791061">
        <w:rPr>
          <w:sz w:val="18"/>
          <w:szCs w:val="24"/>
        </w:rPr>
        <w:t xml:space="preserve"> B levels, and soil survey data from urban residential</w:t>
      </w:r>
      <w:r w:rsidR="00791061" w:rsidRPr="00791061">
        <w:rPr>
          <w:sz w:val="18"/>
          <w:szCs w:val="24"/>
        </w:rPr>
        <w:t xml:space="preserve"> </w:t>
      </w:r>
      <w:r w:rsidRPr="00791061">
        <w:rPr>
          <w:sz w:val="18"/>
          <w:szCs w:val="24"/>
        </w:rPr>
        <w:t>properties in four Australian capital cities.</w:t>
      </w:r>
    </w:p>
    <w:p w:rsidR="00591FCF" w:rsidRPr="00791061" w:rsidRDefault="00591FCF" w:rsidP="00791061">
      <w:pPr>
        <w:shd w:val="clear" w:color="auto" w:fill="FFFFFF"/>
        <w:tabs>
          <w:tab w:val="left" w:pos="288"/>
        </w:tabs>
        <w:ind w:left="288" w:right="149" w:hanging="283"/>
        <w:jc w:val="both"/>
        <w:rPr>
          <w:sz w:val="18"/>
          <w:szCs w:val="24"/>
        </w:rPr>
      </w:pPr>
      <w:r w:rsidRPr="00791061">
        <w:rPr>
          <w:sz w:val="18"/>
          <w:szCs w:val="24"/>
          <w:vertAlign w:val="superscript"/>
        </w:rPr>
        <w:t>6</w:t>
      </w:r>
      <w:r w:rsidRPr="00791061">
        <w:rPr>
          <w:sz w:val="18"/>
          <w:szCs w:val="24"/>
        </w:rPr>
        <w:tab/>
        <w:t xml:space="preserve">Background ranges, where </w:t>
      </w:r>
      <w:proofErr w:type="spellStart"/>
      <w:r w:rsidRPr="00791061">
        <w:rPr>
          <w:sz w:val="18"/>
          <w:szCs w:val="24"/>
        </w:rPr>
        <w:t>HILs</w:t>
      </w:r>
      <w:proofErr w:type="spellEnd"/>
      <w:r w:rsidRPr="00791061">
        <w:rPr>
          <w:sz w:val="18"/>
          <w:szCs w:val="24"/>
        </w:rPr>
        <w:t xml:space="preserve"> or </w:t>
      </w:r>
      <w:proofErr w:type="spellStart"/>
      <w:r w:rsidRPr="00791061">
        <w:rPr>
          <w:sz w:val="18"/>
          <w:szCs w:val="24"/>
        </w:rPr>
        <w:t>EILs</w:t>
      </w:r>
      <w:proofErr w:type="spellEnd"/>
      <w:r w:rsidRPr="00791061">
        <w:rPr>
          <w:sz w:val="18"/>
          <w:szCs w:val="24"/>
        </w:rPr>
        <w:t xml:space="preserve"> are set, are taken from the Field Geologist</w:t>
      </w:r>
      <w:r w:rsidRPr="00791061">
        <w:rPr>
          <w:rFonts w:eastAsia="Times New Roman"/>
          <w:sz w:val="18"/>
          <w:szCs w:val="24"/>
        </w:rPr>
        <w:t>’s Manual, compiled by D A Berkman, Third Edition 1989.</w:t>
      </w:r>
      <w:r w:rsidR="00791061" w:rsidRPr="00791061">
        <w:rPr>
          <w:rFonts w:eastAsia="Times New Roman"/>
          <w:sz w:val="18"/>
          <w:szCs w:val="24"/>
        </w:rPr>
        <w:t xml:space="preserve"> </w:t>
      </w:r>
      <w:r w:rsidRPr="00791061">
        <w:rPr>
          <w:rFonts w:eastAsia="Times New Roman"/>
          <w:sz w:val="18"/>
          <w:szCs w:val="24"/>
        </w:rPr>
        <w:t>Publisher – The Australasian Institute of Mining &amp; Metallurgy. This publication contains information on a more extensive list of soil elements</w:t>
      </w:r>
      <w:r w:rsidR="00791061" w:rsidRPr="00791061">
        <w:rPr>
          <w:rFonts w:eastAsia="Times New Roman"/>
          <w:sz w:val="18"/>
          <w:szCs w:val="24"/>
        </w:rPr>
        <w:t xml:space="preserve"> </w:t>
      </w:r>
      <w:r w:rsidRPr="00791061">
        <w:rPr>
          <w:rFonts w:eastAsia="Times New Roman"/>
          <w:sz w:val="18"/>
          <w:szCs w:val="24"/>
        </w:rPr>
        <w:t>than is included in this Table. Another source of information is Contaminated Sites Monograph No. 4: Trace Element Concentrations in Soils</w:t>
      </w:r>
      <w:r w:rsidR="00791061" w:rsidRPr="00791061">
        <w:rPr>
          <w:rFonts w:eastAsia="Times New Roman"/>
          <w:sz w:val="18"/>
          <w:szCs w:val="24"/>
        </w:rPr>
        <w:t xml:space="preserve"> </w:t>
      </w:r>
      <w:r w:rsidRPr="00791061">
        <w:rPr>
          <w:rFonts w:eastAsia="Times New Roman"/>
          <w:sz w:val="18"/>
          <w:szCs w:val="24"/>
        </w:rPr>
        <w:t>from Rural &amp; Urban Areas of Australia, 1995. South Australian Health Commission.</w:t>
      </w:r>
    </w:p>
    <w:p w:rsidR="00591FCF" w:rsidRPr="00791061" w:rsidRDefault="00591FCF" w:rsidP="00791061">
      <w:pPr>
        <w:shd w:val="clear" w:color="auto" w:fill="FFFFFF"/>
        <w:tabs>
          <w:tab w:val="left" w:pos="288"/>
        </w:tabs>
        <w:ind w:left="5"/>
        <w:rPr>
          <w:sz w:val="18"/>
          <w:szCs w:val="24"/>
        </w:rPr>
      </w:pPr>
      <w:r w:rsidRPr="00791061">
        <w:rPr>
          <w:sz w:val="18"/>
          <w:szCs w:val="24"/>
          <w:vertAlign w:val="superscript"/>
        </w:rPr>
        <w:t>7</w:t>
      </w:r>
      <w:r w:rsidRPr="00791061">
        <w:rPr>
          <w:sz w:val="18"/>
          <w:szCs w:val="24"/>
        </w:rPr>
        <w:tab/>
        <w:t xml:space="preserve">Valence state not distinguished </w:t>
      </w:r>
      <w:r w:rsidRPr="00791061">
        <w:rPr>
          <w:rFonts w:eastAsia="Times New Roman"/>
          <w:sz w:val="18"/>
          <w:szCs w:val="24"/>
        </w:rPr>
        <w:t>– expected as Cr (III).</w:t>
      </w:r>
    </w:p>
    <w:p w:rsidR="00591FCF" w:rsidRPr="00791061" w:rsidRDefault="00591FCF" w:rsidP="00791061">
      <w:pPr>
        <w:shd w:val="clear" w:color="auto" w:fill="FFFFFF"/>
        <w:tabs>
          <w:tab w:val="left" w:pos="288"/>
        </w:tabs>
        <w:ind w:left="288" w:right="149" w:hanging="283"/>
        <w:jc w:val="both"/>
        <w:rPr>
          <w:sz w:val="18"/>
          <w:szCs w:val="24"/>
        </w:rPr>
      </w:pPr>
      <w:r w:rsidRPr="00791061">
        <w:rPr>
          <w:sz w:val="18"/>
          <w:szCs w:val="24"/>
          <w:vertAlign w:val="superscript"/>
        </w:rPr>
        <w:t>8</w:t>
      </w:r>
      <w:r w:rsidRPr="00791061">
        <w:rPr>
          <w:sz w:val="18"/>
          <w:szCs w:val="24"/>
        </w:rPr>
        <w:tab/>
        <w:t xml:space="preserve">The carbon number is an </w:t>
      </w:r>
      <w:r w:rsidRPr="00791061">
        <w:rPr>
          <w:rFonts w:eastAsia="Times New Roman"/>
          <w:sz w:val="18"/>
          <w:szCs w:val="24"/>
        </w:rPr>
        <w:t xml:space="preserve">‘equivalent carbon number’ based on a method that </w:t>
      </w:r>
      <w:proofErr w:type="spellStart"/>
      <w:r w:rsidRPr="00791061">
        <w:rPr>
          <w:rFonts w:eastAsia="Times New Roman"/>
          <w:sz w:val="18"/>
          <w:szCs w:val="24"/>
        </w:rPr>
        <w:t>standardises</w:t>
      </w:r>
      <w:proofErr w:type="spellEnd"/>
      <w:r w:rsidRPr="00791061">
        <w:rPr>
          <w:rFonts w:eastAsia="Times New Roman"/>
          <w:sz w:val="18"/>
          <w:szCs w:val="24"/>
        </w:rPr>
        <w:t xml:space="preserve"> according to boiling point. It is a method used by</w:t>
      </w:r>
      <w:r w:rsidR="00791061" w:rsidRPr="00791061">
        <w:rPr>
          <w:rFonts w:eastAsia="Times New Roman"/>
          <w:sz w:val="18"/>
          <w:szCs w:val="24"/>
        </w:rPr>
        <w:t xml:space="preserve"> </w:t>
      </w:r>
      <w:r w:rsidRPr="00791061">
        <w:rPr>
          <w:rFonts w:eastAsia="Times New Roman"/>
          <w:sz w:val="18"/>
          <w:szCs w:val="24"/>
        </w:rPr>
        <w:t>some analytical laboratories to report carbon numbers for chemicals evaluated on a boiling point GC column.</w:t>
      </w:r>
    </w:p>
    <w:p w:rsidR="00591FCF" w:rsidRPr="00791061" w:rsidRDefault="00591FCF" w:rsidP="00791061">
      <w:pPr>
        <w:shd w:val="clear" w:color="auto" w:fill="FFFFFF"/>
        <w:tabs>
          <w:tab w:val="left" w:pos="288"/>
        </w:tabs>
        <w:ind w:left="5"/>
        <w:rPr>
          <w:szCs w:val="24"/>
        </w:rPr>
      </w:pPr>
      <w:r w:rsidRPr="00791061">
        <w:rPr>
          <w:sz w:val="18"/>
          <w:szCs w:val="24"/>
          <w:vertAlign w:val="superscript"/>
        </w:rPr>
        <w:t>9</w:t>
      </w:r>
      <w:r w:rsidRPr="00791061">
        <w:rPr>
          <w:sz w:val="18"/>
          <w:szCs w:val="24"/>
        </w:rPr>
        <w:tab/>
        <w:t>For protection of built structures</w:t>
      </w:r>
      <w:r w:rsidRPr="00791061">
        <w:rPr>
          <w:szCs w:val="24"/>
        </w:rPr>
        <w:t>.</w:t>
      </w:r>
    </w:p>
    <w:p w:rsidR="00591FCF" w:rsidRPr="00791061" w:rsidRDefault="00591FCF" w:rsidP="00C925A7">
      <w:pPr>
        <w:shd w:val="clear" w:color="auto" w:fill="FFFFFF"/>
        <w:tabs>
          <w:tab w:val="left" w:pos="288"/>
        </w:tabs>
        <w:spacing w:before="240"/>
        <w:ind w:left="5"/>
        <w:rPr>
          <w:szCs w:val="24"/>
        </w:rPr>
        <w:sectPr w:rsidR="00591FCF" w:rsidRPr="00791061" w:rsidSect="00DF2268">
          <w:pgSz w:w="11909" w:h="17568" w:code="9"/>
          <w:pgMar w:top="720" w:right="720" w:bottom="720" w:left="720" w:header="720" w:footer="720" w:gutter="0"/>
          <w:cols w:space="60"/>
          <w:noEndnote/>
          <w:docGrid w:linePitch="272"/>
        </w:sectPr>
      </w:pPr>
    </w:p>
    <w:p w:rsidR="00591FCF" w:rsidRPr="00791061" w:rsidRDefault="00591FCF" w:rsidP="004B66AD">
      <w:pPr>
        <w:shd w:val="clear" w:color="auto" w:fill="FFFFFF"/>
        <w:spacing w:before="240"/>
        <w:jc w:val="center"/>
        <w:rPr>
          <w:szCs w:val="24"/>
        </w:rPr>
      </w:pPr>
      <w:r w:rsidRPr="00791061">
        <w:rPr>
          <w:b/>
          <w:bCs/>
          <w:szCs w:val="24"/>
        </w:rPr>
        <w:lastRenderedPageBreak/>
        <w:t>Table 5-B</w:t>
      </w:r>
    </w:p>
    <w:p w:rsidR="00591FCF" w:rsidRPr="00791061" w:rsidRDefault="00591FCF" w:rsidP="004B66AD">
      <w:pPr>
        <w:shd w:val="clear" w:color="auto" w:fill="FFFFFF"/>
        <w:spacing w:after="120"/>
        <w:jc w:val="center"/>
        <w:rPr>
          <w:szCs w:val="24"/>
        </w:rPr>
      </w:pPr>
      <w:r w:rsidRPr="00791061">
        <w:rPr>
          <w:b/>
          <w:bCs/>
          <w:szCs w:val="24"/>
        </w:rPr>
        <w:t>Groundwater Investigation Levels</w:t>
      </w:r>
    </w:p>
    <w:tbl>
      <w:tblPr>
        <w:tblW w:w="5000" w:type="pct"/>
        <w:tblInd w:w="40" w:type="dxa"/>
        <w:tblLayout w:type="fixed"/>
        <w:tblCellMar>
          <w:left w:w="40" w:type="dxa"/>
          <w:right w:w="40" w:type="dxa"/>
        </w:tblCellMar>
        <w:tblLook w:val="0000" w:firstRow="0" w:lastRow="0" w:firstColumn="0" w:lastColumn="0" w:noHBand="0" w:noVBand="0"/>
      </w:tblPr>
      <w:tblGrid>
        <w:gridCol w:w="3834"/>
        <w:gridCol w:w="1027"/>
        <w:gridCol w:w="1656"/>
        <w:gridCol w:w="1640"/>
        <w:gridCol w:w="1113"/>
        <w:gridCol w:w="1279"/>
      </w:tblGrid>
      <w:tr w:rsidR="00591FCF" w:rsidRPr="00791061" w:rsidTr="00DF2268">
        <w:trPr>
          <w:trHeight w:val="20"/>
        </w:trPr>
        <w:tc>
          <w:tcPr>
            <w:tcW w:w="3834" w:type="dxa"/>
            <w:tcBorders>
              <w:top w:val="single" w:sz="6" w:space="0" w:color="auto"/>
              <w:left w:val="single" w:sz="6" w:space="0" w:color="auto"/>
              <w:bottom w:val="single" w:sz="4" w:space="0" w:color="auto"/>
              <w:right w:val="single" w:sz="6" w:space="0" w:color="auto"/>
            </w:tcBorders>
            <w:shd w:val="clear" w:color="auto" w:fill="FFFFFF"/>
          </w:tcPr>
          <w:p w:rsidR="00591FCF" w:rsidRPr="00791061" w:rsidRDefault="00591FCF" w:rsidP="00DF2268">
            <w:pPr>
              <w:shd w:val="clear" w:color="auto" w:fill="FFFFFF"/>
              <w:jc w:val="center"/>
              <w:rPr>
                <w:szCs w:val="24"/>
              </w:rPr>
            </w:pPr>
            <w:bookmarkStart w:id="8" w:name="bookmark7"/>
            <w:r w:rsidRPr="00791061">
              <w:rPr>
                <w:b/>
                <w:bCs/>
                <w:szCs w:val="24"/>
              </w:rPr>
              <w:t>S</w:t>
            </w:r>
            <w:bookmarkEnd w:id="8"/>
            <w:r w:rsidRPr="00791061">
              <w:rPr>
                <w:b/>
                <w:bCs/>
                <w:szCs w:val="24"/>
              </w:rPr>
              <w:t>ETTING</w:t>
            </w:r>
            <w:r w:rsidRPr="00791061">
              <w:rPr>
                <w:b/>
                <w:bCs/>
                <w:szCs w:val="24"/>
                <w:vertAlign w:val="superscript"/>
              </w:rPr>
              <w:t>10</w:t>
            </w:r>
          </w:p>
        </w:tc>
        <w:tc>
          <w:tcPr>
            <w:tcW w:w="2683" w:type="dxa"/>
            <w:gridSpan w:val="2"/>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DF2268">
            <w:pPr>
              <w:shd w:val="clear" w:color="auto" w:fill="FFFFFF"/>
              <w:ind w:left="206"/>
              <w:jc w:val="center"/>
              <w:rPr>
                <w:szCs w:val="24"/>
              </w:rPr>
            </w:pPr>
            <w:r w:rsidRPr="00791061">
              <w:rPr>
                <w:b/>
                <w:bCs/>
                <w:szCs w:val="24"/>
              </w:rPr>
              <w:t>Aquatic Ecosystems</w:t>
            </w:r>
            <w:r w:rsidRPr="00791061">
              <w:rPr>
                <w:b/>
                <w:bCs/>
                <w:szCs w:val="24"/>
                <w:vertAlign w:val="superscript"/>
              </w:rPr>
              <w:t>11</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DF2268">
            <w:pPr>
              <w:shd w:val="clear" w:color="auto" w:fill="FFFFFF"/>
              <w:ind w:left="235" w:right="235"/>
              <w:jc w:val="center"/>
              <w:rPr>
                <w:szCs w:val="24"/>
              </w:rPr>
            </w:pPr>
            <w:r w:rsidRPr="00791061">
              <w:rPr>
                <w:b/>
                <w:bCs/>
                <w:szCs w:val="24"/>
              </w:rPr>
              <w:t>Drinking Water</w:t>
            </w:r>
          </w:p>
        </w:tc>
        <w:tc>
          <w:tcPr>
            <w:tcW w:w="2392" w:type="dxa"/>
            <w:gridSpan w:val="2"/>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DF2268">
            <w:pPr>
              <w:shd w:val="clear" w:color="auto" w:fill="FFFFFF"/>
              <w:ind w:left="418"/>
              <w:jc w:val="center"/>
              <w:rPr>
                <w:szCs w:val="24"/>
              </w:rPr>
            </w:pPr>
            <w:r w:rsidRPr="00791061">
              <w:rPr>
                <w:b/>
                <w:bCs/>
                <w:szCs w:val="24"/>
              </w:rPr>
              <w:t>Agricultural</w:t>
            </w:r>
            <w:r w:rsidRPr="00791061">
              <w:rPr>
                <w:b/>
                <w:bCs/>
                <w:szCs w:val="24"/>
                <w:vertAlign w:val="superscript"/>
              </w:rPr>
              <w:t>9</w:t>
            </w:r>
          </w:p>
        </w:tc>
      </w:tr>
      <w:tr w:rsidR="00591FCF" w:rsidRPr="00791061" w:rsidTr="00DF2268">
        <w:trPr>
          <w:trHeight w:val="20"/>
        </w:trPr>
        <w:tc>
          <w:tcPr>
            <w:tcW w:w="3834" w:type="dxa"/>
            <w:tcBorders>
              <w:top w:val="single" w:sz="4" w:space="0" w:color="auto"/>
              <w:left w:val="single" w:sz="6" w:space="0" w:color="auto"/>
              <w:bottom w:val="single" w:sz="6" w:space="0" w:color="auto"/>
              <w:right w:val="single" w:sz="6" w:space="0" w:color="auto"/>
            </w:tcBorders>
            <w:shd w:val="clear" w:color="auto" w:fill="FFFFFF"/>
          </w:tcPr>
          <w:p w:rsidR="00591FCF" w:rsidRPr="00791061" w:rsidRDefault="00591FCF" w:rsidP="004B66AD">
            <w:pPr>
              <w:rPr>
                <w:szCs w:val="24"/>
              </w:rPr>
            </w:pPr>
          </w:p>
        </w:tc>
        <w:tc>
          <w:tcPr>
            <w:tcW w:w="1027" w:type="dxa"/>
            <w:tcBorders>
              <w:top w:val="single" w:sz="6" w:space="0" w:color="auto"/>
              <w:left w:val="single" w:sz="6" w:space="0" w:color="auto"/>
              <w:bottom w:val="single" w:sz="6" w:space="0" w:color="auto"/>
              <w:right w:val="single" w:sz="4" w:space="0" w:color="auto"/>
            </w:tcBorders>
            <w:shd w:val="clear" w:color="auto" w:fill="FFFFFF"/>
          </w:tcPr>
          <w:p w:rsidR="00591FCF" w:rsidRPr="00791061" w:rsidRDefault="00591FCF" w:rsidP="00DF2268">
            <w:pPr>
              <w:shd w:val="clear" w:color="auto" w:fill="FFFFFF"/>
              <w:ind w:left="144"/>
              <w:jc w:val="center"/>
              <w:rPr>
                <w:szCs w:val="24"/>
              </w:rPr>
            </w:pPr>
            <w:r w:rsidRPr="00791061">
              <w:rPr>
                <w:b/>
                <w:bCs/>
                <w:szCs w:val="24"/>
              </w:rPr>
              <w:t>Marine Waters</w:t>
            </w:r>
          </w:p>
          <w:p w:rsidR="00591FCF" w:rsidRPr="00791061" w:rsidRDefault="00591FCF" w:rsidP="00DF2268">
            <w:pPr>
              <w:shd w:val="clear" w:color="auto" w:fill="FFFFFF"/>
              <w:ind w:left="144"/>
              <w:jc w:val="center"/>
              <w:rPr>
                <w:szCs w:val="24"/>
              </w:rPr>
            </w:pPr>
            <w:r w:rsidRPr="00791061">
              <w:rPr>
                <w:rFonts w:eastAsia="Times New Roman"/>
                <w:b/>
                <w:bCs/>
                <w:szCs w:val="24"/>
              </w:rPr>
              <w:t>µg/L</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591FCF" w:rsidRPr="00791061" w:rsidRDefault="00591FCF" w:rsidP="00DF2268">
            <w:pPr>
              <w:shd w:val="clear" w:color="auto" w:fill="FFFFFF"/>
              <w:ind w:left="442" w:right="240" w:firstLine="58"/>
              <w:jc w:val="center"/>
              <w:rPr>
                <w:szCs w:val="24"/>
              </w:rPr>
            </w:pPr>
            <w:r w:rsidRPr="00791061">
              <w:rPr>
                <w:b/>
                <w:bCs/>
                <w:szCs w:val="24"/>
              </w:rPr>
              <w:t>Fresh Waters</w:t>
            </w:r>
          </w:p>
          <w:p w:rsidR="00591FCF" w:rsidRPr="00791061" w:rsidRDefault="00591FCF" w:rsidP="00DF2268">
            <w:pPr>
              <w:shd w:val="clear" w:color="auto" w:fill="FFFFFF"/>
              <w:ind w:left="442"/>
              <w:jc w:val="center"/>
              <w:rPr>
                <w:szCs w:val="24"/>
              </w:rPr>
            </w:pPr>
            <w:r w:rsidRPr="00791061">
              <w:rPr>
                <w:rFonts w:eastAsia="Times New Roman"/>
                <w:b/>
                <w:bCs/>
                <w:szCs w:val="24"/>
              </w:rPr>
              <w:t>µg/L</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DF2268">
            <w:pPr>
              <w:shd w:val="clear" w:color="auto" w:fill="FFFFFF"/>
              <w:ind w:left="173" w:right="168"/>
              <w:jc w:val="center"/>
              <w:rPr>
                <w:szCs w:val="24"/>
              </w:rPr>
            </w:pPr>
            <w:r w:rsidRPr="00791061">
              <w:rPr>
                <w:b/>
                <w:bCs/>
                <w:szCs w:val="24"/>
              </w:rPr>
              <w:t>Health</w:t>
            </w:r>
            <w:r w:rsidRPr="00791061">
              <w:rPr>
                <w:b/>
                <w:bCs/>
                <w:szCs w:val="24"/>
                <w:vertAlign w:val="superscript"/>
              </w:rPr>
              <w:t>10</w:t>
            </w:r>
            <w:r w:rsidRPr="00791061">
              <w:rPr>
                <w:b/>
                <w:bCs/>
                <w:szCs w:val="24"/>
              </w:rPr>
              <w:t>/ Aesthetic</w:t>
            </w:r>
            <w:r w:rsidRPr="00791061">
              <w:rPr>
                <w:b/>
                <w:bCs/>
                <w:szCs w:val="24"/>
                <w:vertAlign w:val="superscript"/>
              </w:rPr>
              <w:t>11</w:t>
            </w:r>
          </w:p>
          <w:p w:rsidR="00591FCF" w:rsidRPr="00791061" w:rsidRDefault="00591FCF" w:rsidP="00DF2268">
            <w:pPr>
              <w:shd w:val="clear" w:color="auto" w:fill="FFFFFF"/>
              <w:ind w:left="173"/>
              <w:jc w:val="center"/>
              <w:rPr>
                <w:szCs w:val="24"/>
              </w:rPr>
            </w:pPr>
            <w:r w:rsidRPr="00791061">
              <w:rPr>
                <w:b/>
                <w:bCs/>
                <w:szCs w:val="24"/>
              </w:rPr>
              <w:t>mg/L</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DF2268">
            <w:pPr>
              <w:shd w:val="clear" w:color="auto" w:fill="FFFFFF"/>
              <w:ind w:left="34"/>
              <w:jc w:val="center"/>
              <w:rPr>
                <w:szCs w:val="24"/>
              </w:rPr>
            </w:pPr>
            <w:r w:rsidRPr="00791061">
              <w:rPr>
                <w:b/>
                <w:bCs/>
                <w:szCs w:val="24"/>
              </w:rPr>
              <w:t>Irrigation</w:t>
            </w:r>
          </w:p>
          <w:p w:rsidR="00591FCF" w:rsidRPr="00791061" w:rsidRDefault="00591FCF" w:rsidP="00DF2268">
            <w:pPr>
              <w:shd w:val="clear" w:color="auto" w:fill="FFFFFF"/>
              <w:ind w:left="34"/>
              <w:jc w:val="center"/>
              <w:rPr>
                <w:szCs w:val="24"/>
              </w:rPr>
            </w:pPr>
            <w:r w:rsidRPr="00791061">
              <w:rPr>
                <w:b/>
                <w:bCs/>
                <w:szCs w:val="24"/>
              </w:rPr>
              <w:t>(mg/L)</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DF2268">
            <w:pPr>
              <w:shd w:val="clear" w:color="auto" w:fill="FFFFFF"/>
              <w:jc w:val="center"/>
              <w:rPr>
                <w:szCs w:val="24"/>
              </w:rPr>
            </w:pPr>
            <w:r w:rsidRPr="00791061">
              <w:rPr>
                <w:b/>
                <w:bCs/>
                <w:szCs w:val="24"/>
              </w:rPr>
              <w:t>Livestock</w:t>
            </w:r>
          </w:p>
          <w:p w:rsidR="00591FCF" w:rsidRPr="00791061" w:rsidRDefault="00591FCF" w:rsidP="00DF2268">
            <w:pPr>
              <w:shd w:val="clear" w:color="auto" w:fill="FFFFFF"/>
              <w:jc w:val="center"/>
              <w:rPr>
                <w:szCs w:val="24"/>
              </w:rPr>
            </w:pPr>
            <w:r w:rsidRPr="00791061">
              <w:rPr>
                <w:b/>
                <w:bCs/>
                <w:szCs w:val="24"/>
              </w:rPr>
              <w:t>(mg/L)</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566"/>
              <w:rPr>
                <w:szCs w:val="24"/>
              </w:rPr>
            </w:pPr>
            <w:r w:rsidRPr="00791061">
              <w:rPr>
                <w:b/>
                <w:bCs/>
                <w:szCs w:val="24"/>
              </w:rPr>
              <w:t>METALS/METALLOIDS</w:t>
            </w:r>
          </w:p>
        </w:tc>
        <w:tc>
          <w:tcPr>
            <w:tcW w:w="2683" w:type="dxa"/>
            <w:gridSpan w:val="2"/>
            <w:tcBorders>
              <w:top w:val="single" w:sz="6" w:space="0" w:color="auto"/>
              <w:left w:val="single" w:sz="6" w:space="0" w:color="auto"/>
              <w:bottom w:val="single" w:sz="6" w:space="0" w:color="auto"/>
              <w:right w:val="nil"/>
            </w:tcBorders>
            <w:shd w:val="clear" w:color="auto" w:fill="FFFFFF"/>
          </w:tcPr>
          <w:p w:rsidR="00591FCF" w:rsidRPr="00791061" w:rsidRDefault="00591FCF" w:rsidP="004B66AD">
            <w:pPr>
              <w:shd w:val="clear" w:color="auto" w:fill="FFFFFF"/>
              <w:rPr>
                <w:szCs w:val="24"/>
              </w:rPr>
            </w:pPr>
          </w:p>
        </w:tc>
        <w:tc>
          <w:tcPr>
            <w:tcW w:w="1640" w:type="dxa"/>
            <w:tcBorders>
              <w:top w:val="single" w:sz="6" w:space="0" w:color="auto"/>
              <w:left w:val="nil"/>
              <w:bottom w:val="single" w:sz="6" w:space="0" w:color="auto"/>
              <w:right w:val="nil"/>
            </w:tcBorders>
            <w:shd w:val="clear" w:color="auto" w:fill="FFFFFF"/>
          </w:tcPr>
          <w:p w:rsidR="00591FCF" w:rsidRPr="00791061" w:rsidRDefault="00591FCF" w:rsidP="004B66AD">
            <w:pPr>
              <w:shd w:val="clear" w:color="auto" w:fill="FFFFFF"/>
              <w:rPr>
                <w:szCs w:val="24"/>
              </w:rPr>
            </w:pPr>
          </w:p>
        </w:tc>
        <w:tc>
          <w:tcPr>
            <w:tcW w:w="1113" w:type="dxa"/>
            <w:tcBorders>
              <w:top w:val="single" w:sz="6" w:space="0" w:color="auto"/>
              <w:left w:val="nil"/>
              <w:bottom w:val="single" w:sz="6" w:space="0" w:color="auto"/>
              <w:right w:val="nil"/>
            </w:tcBorders>
            <w:shd w:val="clear" w:color="auto" w:fill="FFFFFF"/>
          </w:tcPr>
          <w:p w:rsidR="00591FCF" w:rsidRPr="00791061" w:rsidRDefault="00591FCF" w:rsidP="004B66AD">
            <w:pPr>
              <w:shd w:val="clear" w:color="auto" w:fill="FFFFFF"/>
              <w:rPr>
                <w:szCs w:val="24"/>
              </w:rPr>
            </w:pPr>
          </w:p>
        </w:tc>
        <w:tc>
          <w:tcPr>
            <w:tcW w:w="1279" w:type="dxa"/>
            <w:tcBorders>
              <w:top w:val="single" w:sz="6" w:space="0" w:color="auto"/>
              <w:left w:val="nil"/>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proofErr w:type="spellStart"/>
            <w:r w:rsidRPr="00791061">
              <w:rPr>
                <w:szCs w:val="24"/>
              </w:rPr>
              <w:t>Aluminium</w:t>
            </w:r>
            <w:proofErr w:type="spellEnd"/>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&lt;5 (if pH &lt;6.5)</w:t>
            </w:r>
          </w:p>
          <w:p w:rsidR="00591FCF" w:rsidRPr="00791061" w:rsidRDefault="00591FCF" w:rsidP="004B66AD">
            <w:pPr>
              <w:shd w:val="clear" w:color="auto" w:fill="FFFFFF"/>
              <w:jc w:val="center"/>
              <w:rPr>
                <w:szCs w:val="24"/>
              </w:rPr>
            </w:pPr>
            <w:r w:rsidRPr="00791061">
              <w:rPr>
                <w:szCs w:val="24"/>
              </w:rPr>
              <w:t>&lt;100(if pH &gt;6.5)</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46"/>
              <w:jc w:val="center"/>
              <w:rPr>
                <w:szCs w:val="24"/>
              </w:rPr>
            </w:pPr>
            <w:r w:rsidRPr="00791061">
              <w:rPr>
                <w:szCs w:val="24"/>
              </w:rPr>
              <w:t>(0.2)</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5.0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5.0</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Antimony</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94"/>
              <w:jc w:val="center"/>
              <w:rPr>
                <w:szCs w:val="24"/>
              </w:rPr>
            </w:pPr>
            <w:r w:rsidRPr="00791061">
              <w:rPr>
                <w:szCs w:val="24"/>
              </w:rPr>
              <w:t>30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13"/>
              <w:jc w:val="center"/>
              <w:rPr>
                <w:szCs w:val="24"/>
              </w:rPr>
            </w:pPr>
            <w:r w:rsidRPr="00791061">
              <w:rPr>
                <w:szCs w:val="24"/>
              </w:rPr>
              <w:t>0.003</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Arsenic (total)</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44"/>
              <w:jc w:val="center"/>
              <w:rPr>
                <w:szCs w:val="24"/>
              </w:rPr>
            </w:pPr>
            <w:r w:rsidRPr="00791061">
              <w:rPr>
                <w:szCs w:val="24"/>
              </w:rPr>
              <w:t>50.0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94"/>
              <w:jc w:val="center"/>
              <w:rPr>
                <w:szCs w:val="24"/>
              </w:rPr>
            </w:pPr>
            <w:r w:rsidRPr="00791061">
              <w:rPr>
                <w:szCs w:val="24"/>
              </w:rPr>
              <w:t>50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13"/>
              <w:jc w:val="center"/>
              <w:rPr>
                <w:szCs w:val="24"/>
              </w:rPr>
            </w:pPr>
            <w:r w:rsidRPr="00791061">
              <w:rPr>
                <w:szCs w:val="24"/>
              </w:rPr>
              <w:t>0.007</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0.1</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0.5</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Barium</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504"/>
              <w:jc w:val="center"/>
              <w:rPr>
                <w:szCs w:val="24"/>
              </w:rPr>
            </w:pPr>
            <w:r w:rsidRPr="00791061">
              <w:rPr>
                <w:szCs w:val="24"/>
              </w:rPr>
              <w:t>0.7</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Beryllium</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538"/>
              <w:jc w:val="center"/>
              <w:rPr>
                <w:szCs w:val="24"/>
              </w:rPr>
            </w:pPr>
            <w:r w:rsidRPr="00791061">
              <w:rPr>
                <w:szCs w:val="24"/>
              </w:rPr>
              <w:t>4</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0.1</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0.1</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Boron</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504"/>
              <w:jc w:val="center"/>
              <w:rPr>
                <w:szCs w:val="24"/>
              </w:rPr>
            </w:pPr>
            <w:r w:rsidRPr="00791061">
              <w:rPr>
                <w:szCs w:val="24"/>
              </w:rPr>
              <w:t>0.3</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30"/>
              <w:jc w:val="center"/>
              <w:rPr>
                <w:szCs w:val="24"/>
              </w:rPr>
            </w:pPr>
            <w:r w:rsidRPr="00791061">
              <w:rPr>
                <w:szCs w:val="24"/>
              </w:rPr>
              <w:t>0.5-6.0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5.0</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Cadmium</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92"/>
              <w:jc w:val="center"/>
              <w:rPr>
                <w:szCs w:val="24"/>
              </w:rPr>
            </w:pPr>
            <w:r w:rsidRPr="00791061">
              <w:rPr>
                <w:szCs w:val="24"/>
              </w:rPr>
              <w:t>2.0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326"/>
              <w:jc w:val="center"/>
              <w:rPr>
                <w:szCs w:val="24"/>
              </w:rPr>
            </w:pPr>
            <w:r w:rsidRPr="00791061">
              <w:rPr>
                <w:szCs w:val="24"/>
              </w:rPr>
              <w:t>0.2-2.0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13"/>
              <w:jc w:val="center"/>
              <w:rPr>
                <w:szCs w:val="24"/>
              </w:rPr>
            </w:pPr>
            <w:r w:rsidRPr="00791061">
              <w:rPr>
                <w:szCs w:val="24"/>
              </w:rPr>
              <w:t>0.002</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26"/>
              <w:jc w:val="center"/>
              <w:rPr>
                <w:szCs w:val="24"/>
              </w:rPr>
            </w:pPr>
            <w:r w:rsidRPr="00791061">
              <w:rPr>
                <w:szCs w:val="24"/>
              </w:rPr>
              <w:t>0.01</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0.01</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Chromium (Total)</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44"/>
              <w:jc w:val="center"/>
              <w:rPr>
                <w:szCs w:val="24"/>
              </w:rPr>
            </w:pPr>
            <w:r w:rsidRPr="00791061">
              <w:rPr>
                <w:szCs w:val="24"/>
              </w:rPr>
              <w:t>50.0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94"/>
              <w:jc w:val="center"/>
              <w:rPr>
                <w:szCs w:val="24"/>
              </w:rPr>
            </w:pPr>
            <w:r w:rsidRPr="00791061">
              <w:rPr>
                <w:szCs w:val="24"/>
              </w:rPr>
              <w:t>10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1.0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Chromium (VI)</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61"/>
              <w:jc w:val="center"/>
              <w:rPr>
                <w:szCs w:val="24"/>
              </w:rPr>
            </w:pPr>
            <w:r w:rsidRPr="00791061">
              <w:rPr>
                <w:szCs w:val="24"/>
              </w:rPr>
              <w:t>0.05</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0.1</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1.0</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Cobalt</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26"/>
              <w:jc w:val="center"/>
              <w:rPr>
                <w:szCs w:val="24"/>
              </w:rPr>
            </w:pPr>
            <w:r w:rsidRPr="00791061">
              <w:rPr>
                <w:szCs w:val="24"/>
              </w:rPr>
              <w:t>0.05</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1.0</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Copper</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92"/>
              <w:jc w:val="center"/>
              <w:rPr>
                <w:szCs w:val="24"/>
              </w:rPr>
            </w:pPr>
            <w:r w:rsidRPr="00791061">
              <w:rPr>
                <w:szCs w:val="24"/>
              </w:rPr>
              <w:t>5.0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326"/>
              <w:jc w:val="center"/>
              <w:rPr>
                <w:szCs w:val="24"/>
              </w:rPr>
            </w:pPr>
            <w:r w:rsidRPr="00791061">
              <w:rPr>
                <w:szCs w:val="24"/>
              </w:rPr>
              <w:t>2.0-5.0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312"/>
              <w:jc w:val="center"/>
              <w:rPr>
                <w:szCs w:val="24"/>
              </w:rPr>
            </w:pPr>
            <w:r w:rsidRPr="00791061">
              <w:rPr>
                <w:szCs w:val="24"/>
              </w:rPr>
              <w:t>2.0 (1.0)</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0.2</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0.5</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Iron</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03"/>
              <w:jc w:val="center"/>
              <w:rPr>
                <w:szCs w:val="24"/>
              </w:rPr>
            </w:pPr>
            <w:r w:rsidRPr="00791061">
              <w:rPr>
                <w:szCs w:val="24"/>
              </w:rPr>
              <w:t>1000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46"/>
              <w:jc w:val="center"/>
              <w:rPr>
                <w:szCs w:val="24"/>
              </w:rPr>
            </w:pPr>
            <w:r w:rsidRPr="00791061">
              <w:rPr>
                <w:szCs w:val="24"/>
              </w:rPr>
              <w:t>(0.3)</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1.0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Lead</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92"/>
              <w:jc w:val="center"/>
              <w:rPr>
                <w:szCs w:val="24"/>
              </w:rPr>
            </w:pPr>
            <w:r w:rsidRPr="00791061">
              <w:rPr>
                <w:szCs w:val="24"/>
              </w:rPr>
              <w:t>5.0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326"/>
              <w:jc w:val="center"/>
              <w:rPr>
                <w:szCs w:val="24"/>
              </w:rPr>
            </w:pPr>
            <w:r w:rsidRPr="00791061">
              <w:rPr>
                <w:szCs w:val="24"/>
              </w:rPr>
              <w:t>1.0-5.0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61"/>
              <w:jc w:val="center"/>
              <w:rPr>
                <w:szCs w:val="24"/>
              </w:rPr>
            </w:pPr>
            <w:r w:rsidRPr="00791061">
              <w:rPr>
                <w:szCs w:val="24"/>
              </w:rPr>
              <w:t>0.01</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0.2</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0.1</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Lithium</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2.5</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Manganese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312"/>
              <w:jc w:val="center"/>
              <w:rPr>
                <w:szCs w:val="24"/>
              </w:rPr>
            </w:pPr>
            <w:r w:rsidRPr="00791061">
              <w:rPr>
                <w:szCs w:val="24"/>
              </w:rPr>
              <w:t>0.5 (0.1)</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2.0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Mercury (total)</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92"/>
              <w:jc w:val="center"/>
              <w:rPr>
                <w:szCs w:val="24"/>
              </w:rPr>
            </w:pPr>
            <w:r w:rsidRPr="00791061">
              <w:rPr>
                <w:szCs w:val="24"/>
              </w:rPr>
              <w:t>0.1</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70"/>
              <w:jc w:val="center"/>
              <w:rPr>
                <w:szCs w:val="24"/>
              </w:rPr>
            </w:pPr>
            <w:r w:rsidRPr="00791061">
              <w:rPr>
                <w:szCs w:val="24"/>
              </w:rPr>
              <w:t>0.1</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13"/>
              <w:jc w:val="center"/>
              <w:rPr>
                <w:szCs w:val="24"/>
              </w:rPr>
            </w:pPr>
            <w:r w:rsidRPr="00791061">
              <w:rPr>
                <w:szCs w:val="24"/>
              </w:rPr>
              <w:t>0.001</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82"/>
              <w:jc w:val="center"/>
              <w:rPr>
                <w:szCs w:val="24"/>
              </w:rPr>
            </w:pPr>
            <w:r w:rsidRPr="00791061">
              <w:rPr>
                <w:szCs w:val="24"/>
              </w:rPr>
              <w:t>0.002</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0.002</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Molybdenum</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61"/>
              <w:jc w:val="center"/>
              <w:rPr>
                <w:szCs w:val="24"/>
              </w:rPr>
            </w:pPr>
            <w:r w:rsidRPr="00791061">
              <w:rPr>
                <w:szCs w:val="24"/>
              </w:rPr>
              <w:t>0.05</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26"/>
              <w:jc w:val="center"/>
              <w:rPr>
                <w:szCs w:val="24"/>
              </w:rPr>
            </w:pPr>
            <w:r w:rsidRPr="00791061">
              <w:rPr>
                <w:szCs w:val="24"/>
              </w:rPr>
              <w:t>0.01</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0.01</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Nickel</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44"/>
              <w:jc w:val="center"/>
              <w:rPr>
                <w:szCs w:val="24"/>
              </w:rPr>
            </w:pPr>
            <w:r w:rsidRPr="00791061">
              <w:rPr>
                <w:szCs w:val="24"/>
              </w:rPr>
              <w:t>15.0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92"/>
              <w:jc w:val="center"/>
              <w:rPr>
                <w:szCs w:val="24"/>
              </w:rPr>
            </w:pPr>
            <w:r w:rsidRPr="00791061">
              <w:rPr>
                <w:szCs w:val="24"/>
              </w:rPr>
              <w:t>15.0-150.0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56"/>
              <w:jc w:val="center"/>
              <w:rPr>
                <w:szCs w:val="24"/>
              </w:rPr>
            </w:pPr>
            <w:r w:rsidRPr="00791061">
              <w:rPr>
                <w:szCs w:val="24"/>
              </w:rPr>
              <w:t>0.02</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26"/>
              <w:jc w:val="center"/>
              <w:rPr>
                <w:szCs w:val="24"/>
              </w:rPr>
            </w:pPr>
            <w:r w:rsidRPr="00791061">
              <w:rPr>
                <w:szCs w:val="24"/>
              </w:rPr>
              <w:t>0.02</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1.0</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Selenium</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44"/>
              <w:jc w:val="center"/>
              <w:rPr>
                <w:szCs w:val="24"/>
              </w:rPr>
            </w:pPr>
            <w:r w:rsidRPr="00791061">
              <w:rPr>
                <w:szCs w:val="24"/>
              </w:rPr>
              <w:t>70.0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70"/>
              <w:jc w:val="center"/>
              <w:rPr>
                <w:szCs w:val="24"/>
              </w:rPr>
            </w:pPr>
            <w:r w:rsidRPr="00791061">
              <w:rPr>
                <w:szCs w:val="24"/>
              </w:rPr>
              <w:t>5.0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61"/>
              <w:jc w:val="center"/>
              <w:rPr>
                <w:szCs w:val="24"/>
              </w:rPr>
            </w:pPr>
            <w:r w:rsidRPr="00791061">
              <w:rPr>
                <w:szCs w:val="24"/>
              </w:rPr>
              <w:t>0.01</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26"/>
              <w:jc w:val="center"/>
              <w:rPr>
                <w:szCs w:val="24"/>
              </w:rPr>
            </w:pPr>
            <w:r w:rsidRPr="00791061">
              <w:rPr>
                <w:szCs w:val="24"/>
              </w:rPr>
              <w:t>0.02</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0.02</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Silver</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92"/>
              <w:jc w:val="center"/>
              <w:rPr>
                <w:szCs w:val="24"/>
              </w:rPr>
            </w:pPr>
            <w:r w:rsidRPr="00791061">
              <w:rPr>
                <w:szCs w:val="24"/>
              </w:rPr>
              <w:t>1.0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70"/>
              <w:jc w:val="center"/>
              <w:rPr>
                <w:szCs w:val="24"/>
              </w:rPr>
            </w:pPr>
            <w:r w:rsidRPr="00791061">
              <w:rPr>
                <w:szCs w:val="24"/>
              </w:rPr>
              <w:t>0.1</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504"/>
              <w:jc w:val="center"/>
              <w:rPr>
                <w:szCs w:val="24"/>
              </w:rPr>
            </w:pPr>
            <w:r w:rsidRPr="00791061">
              <w:rPr>
                <w:szCs w:val="24"/>
              </w:rPr>
              <w:t>0.1</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Thallium</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44"/>
              <w:jc w:val="center"/>
              <w:rPr>
                <w:szCs w:val="24"/>
              </w:rPr>
            </w:pPr>
            <w:r w:rsidRPr="00791061">
              <w:rPr>
                <w:szCs w:val="24"/>
              </w:rPr>
              <w:t>20.0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70"/>
              <w:jc w:val="center"/>
              <w:rPr>
                <w:szCs w:val="24"/>
              </w:rPr>
            </w:pPr>
            <w:r w:rsidRPr="00791061">
              <w:rPr>
                <w:szCs w:val="24"/>
              </w:rPr>
              <w:t>4.0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Tin (tributyltin)</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01"/>
              <w:jc w:val="center"/>
              <w:rPr>
                <w:szCs w:val="24"/>
              </w:rPr>
            </w:pPr>
            <w:r w:rsidRPr="00791061">
              <w:rPr>
                <w:szCs w:val="24"/>
              </w:rPr>
              <w:t>0.002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379"/>
              <w:jc w:val="center"/>
              <w:rPr>
                <w:szCs w:val="24"/>
              </w:rPr>
            </w:pPr>
            <w:r w:rsidRPr="00791061">
              <w:rPr>
                <w:szCs w:val="24"/>
              </w:rPr>
              <w:t>0.008</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Vanadium</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0.1</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0.1</w:t>
            </w: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Zinc</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44"/>
              <w:jc w:val="center"/>
              <w:rPr>
                <w:szCs w:val="24"/>
              </w:rPr>
            </w:pPr>
            <w:r w:rsidRPr="00791061">
              <w:rPr>
                <w:szCs w:val="24"/>
              </w:rPr>
              <w:t>50.0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83"/>
              <w:jc w:val="center"/>
              <w:rPr>
                <w:szCs w:val="24"/>
              </w:rPr>
            </w:pPr>
            <w:r w:rsidRPr="00791061">
              <w:rPr>
                <w:szCs w:val="24"/>
              </w:rPr>
              <w:t>5.0-50.0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46"/>
              <w:jc w:val="center"/>
              <w:rPr>
                <w:szCs w:val="24"/>
              </w:rPr>
            </w:pPr>
            <w:r w:rsidRPr="00791061">
              <w:rPr>
                <w:szCs w:val="24"/>
              </w:rPr>
              <w:t>(3.0)</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9"/>
              <w:jc w:val="center"/>
              <w:rPr>
                <w:szCs w:val="24"/>
              </w:rPr>
            </w:pPr>
            <w:r w:rsidRPr="00791061">
              <w:rPr>
                <w:szCs w:val="24"/>
              </w:rPr>
              <w:t>2.0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20.0</w:t>
            </w:r>
          </w:p>
        </w:tc>
      </w:tr>
      <w:tr w:rsidR="004B66AD"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rPr>
                <w:szCs w:val="24"/>
              </w:rPr>
            </w:pPr>
            <w:r w:rsidRPr="00791061">
              <w:rPr>
                <w:b/>
                <w:bCs/>
                <w:szCs w:val="24"/>
              </w:rPr>
              <w:t>ORGANICS</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ind w:left="144"/>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ind w:left="283"/>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ind w:left="446"/>
              <w:jc w:val="center"/>
              <w:rPr>
                <w:szCs w:val="24"/>
              </w:rPr>
            </w:pP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ind w:left="269"/>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1,2-dichloroethane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13"/>
              <w:jc w:val="center"/>
              <w:rPr>
                <w:szCs w:val="24"/>
              </w:rPr>
            </w:pPr>
            <w:r w:rsidRPr="00791061">
              <w:rPr>
                <w:szCs w:val="24"/>
              </w:rPr>
              <w:t>0.003</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Benzo(a)pyrene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360"/>
              <w:jc w:val="center"/>
              <w:rPr>
                <w:szCs w:val="24"/>
              </w:rPr>
            </w:pPr>
            <w:r w:rsidRPr="00791061">
              <w:rPr>
                <w:szCs w:val="24"/>
              </w:rPr>
              <w:t>0.00001</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Carbon tetrachloride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13"/>
              <w:jc w:val="center"/>
              <w:rPr>
                <w:szCs w:val="24"/>
              </w:rPr>
            </w:pPr>
            <w:r w:rsidRPr="00791061">
              <w:rPr>
                <w:szCs w:val="24"/>
              </w:rPr>
              <w:t>0.003</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Chlorobenzene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64"/>
              <w:jc w:val="center"/>
              <w:rPr>
                <w:szCs w:val="24"/>
              </w:rPr>
            </w:pPr>
            <w:r w:rsidRPr="00791061">
              <w:rPr>
                <w:szCs w:val="24"/>
              </w:rPr>
              <w:t>0.3 (0.01)</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Dichloromethane (methylene chloride)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13"/>
              <w:jc w:val="center"/>
              <w:rPr>
                <w:szCs w:val="24"/>
              </w:rPr>
            </w:pPr>
            <w:r w:rsidRPr="00791061">
              <w:rPr>
                <w:szCs w:val="24"/>
              </w:rPr>
              <w:t>0.004</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Ethylbenzene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221"/>
              <w:jc w:val="center"/>
              <w:rPr>
                <w:szCs w:val="24"/>
              </w:rPr>
            </w:pPr>
            <w:r w:rsidRPr="00791061">
              <w:rPr>
                <w:szCs w:val="24"/>
              </w:rPr>
              <w:t>0.3 (0.003)</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 xml:space="preserve">Ethylenediamine </w:t>
            </w:r>
            <w:proofErr w:type="spellStart"/>
            <w:r w:rsidRPr="00791061">
              <w:rPr>
                <w:szCs w:val="24"/>
              </w:rPr>
              <w:t>tetracetic</w:t>
            </w:r>
            <w:proofErr w:type="spellEnd"/>
            <w:r w:rsidRPr="00791061">
              <w:rPr>
                <w:szCs w:val="24"/>
              </w:rPr>
              <w:t xml:space="preserve"> acid (</w:t>
            </w:r>
            <w:proofErr w:type="spellStart"/>
            <w:r w:rsidRPr="00791061">
              <w:rPr>
                <w:szCs w:val="24"/>
              </w:rPr>
              <w:t>EDTA</w:t>
            </w:r>
            <w:proofErr w:type="spellEnd"/>
            <w:r w:rsidRPr="00791061">
              <w:rPr>
                <w:szCs w:val="24"/>
              </w:rPr>
              <w:t>)</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61"/>
              <w:jc w:val="center"/>
              <w:rPr>
                <w:szCs w:val="24"/>
              </w:rPr>
            </w:pPr>
            <w:r w:rsidRPr="00791061">
              <w:rPr>
                <w:szCs w:val="24"/>
              </w:rPr>
              <w:t>0.25</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Hexachlorobutadiene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92"/>
              <w:jc w:val="center"/>
              <w:rPr>
                <w:szCs w:val="24"/>
              </w:rPr>
            </w:pPr>
            <w:r w:rsidRPr="00791061">
              <w:rPr>
                <w:szCs w:val="24"/>
              </w:rPr>
              <w:t>0.3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470"/>
              <w:jc w:val="center"/>
              <w:rPr>
                <w:szCs w:val="24"/>
              </w:rPr>
            </w:pPr>
            <w:r w:rsidRPr="00791061">
              <w:rPr>
                <w:szCs w:val="24"/>
              </w:rPr>
              <w:t>0.1</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370"/>
              <w:jc w:val="center"/>
              <w:rPr>
                <w:szCs w:val="24"/>
              </w:rPr>
            </w:pPr>
            <w:r w:rsidRPr="00791061">
              <w:rPr>
                <w:szCs w:val="24"/>
              </w:rPr>
              <w:t>0.0007</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bl>
    <w:p w:rsidR="00591FCF" w:rsidRPr="004B66AD" w:rsidRDefault="004B66AD" w:rsidP="004B66AD">
      <w:pPr>
        <w:shd w:val="clear" w:color="auto" w:fill="FFFFFF"/>
        <w:tabs>
          <w:tab w:val="left" w:pos="360"/>
        </w:tabs>
        <w:spacing w:before="240"/>
        <w:ind w:left="288" w:hanging="288"/>
        <w:jc w:val="both"/>
        <w:rPr>
          <w:sz w:val="18"/>
          <w:szCs w:val="24"/>
        </w:rPr>
      </w:pPr>
      <w:r>
        <w:rPr>
          <w:noProof/>
          <w:sz w:val="18"/>
          <w:szCs w:val="24"/>
          <w:vertAlign w:val="superscript"/>
        </w:rPr>
        <mc:AlternateContent>
          <mc:Choice Requires="wps">
            <w:drawing>
              <wp:anchor distT="0" distB="0" distL="114300" distR="114300" simplePos="0" relativeHeight="251660288" behindDoc="0" locked="0" layoutInCell="1" allowOverlap="1">
                <wp:simplePos x="0" y="0"/>
                <wp:positionH relativeFrom="column">
                  <wp:posOffset>-3659</wp:posOffset>
                </wp:positionH>
                <wp:positionV relativeFrom="paragraph">
                  <wp:posOffset>92304</wp:posOffset>
                </wp:positionV>
                <wp:extent cx="1733703"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7337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39A71"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7.25pt" to="13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" strokecolor="black [3040]"/>
            </w:pict>
          </mc:Fallback>
        </mc:AlternateContent>
      </w:r>
      <w:r w:rsidR="00591FCF" w:rsidRPr="004B66AD">
        <w:rPr>
          <w:sz w:val="18"/>
          <w:szCs w:val="24"/>
          <w:vertAlign w:val="superscript"/>
        </w:rPr>
        <w:t>10</w:t>
      </w:r>
      <w:r w:rsidR="00591FCF" w:rsidRPr="004B66AD">
        <w:rPr>
          <w:sz w:val="18"/>
          <w:szCs w:val="24"/>
        </w:rPr>
        <w:tab/>
        <w:t xml:space="preserve">Levels for recreational and industrial uses have not been set. For guidance on Recreational levels, see </w:t>
      </w:r>
      <w:proofErr w:type="spellStart"/>
      <w:r w:rsidR="00591FCF" w:rsidRPr="004B66AD">
        <w:rPr>
          <w:sz w:val="18"/>
          <w:szCs w:val="24"/>
        </w:rPr>
        <w:t>NHMRC</w:t>
      </w:r>
      <w:proofErr w:type="spellEnd"/>
      <w:r w:rsidR="00591FCF" w:rsidRPr="004B66AD">
        <w:rPr>
          <w:sz w:val="18"/>
          <w:szCs w:val="24"/>
        </w:rPr>
        <w:t>/</w:t>
      </w:r>
      <w:proofErr w:type="spellStart"/>
      <w:r w:rsidR="00591FCF" w:rsidRPr="004B66AD">
        <w:rPr>
          <w:sz w:val="18"/>
          <w:szCs w:val="24"/>
        </w:rPr>
        <w:t>ARMCANZ</w:t>
      </w:r>
      <w:proofErr w:type="spellEnd"/>
      <w:r w:rsidR="00591FCF" w:rsidRPr="004B66AD">
        <w:rPr>
          <w:sz w:val="18"/>
          <w:szCs w:val="24"/>
        </w:rPr>
        <w:t>, 1996. For</w:t>
      </w:r>
      <w:r w:rsidR="00791061" w:rsidRPr="004B66AD">
        <w:rPr>
          <w:sz w:val="18"/>
          <w:szCs w:val="24"/>
        </w:rPr>
        <w:t xml:space="preserve"> </w:t>
      </w:r>
      <w:r w:rsidR="00591FCF" w:rsidRPr="004B66AD">
        <w:rPr>
          <w:sz w:val="18"/>
          <w:szCs w:val="24"/>
        </w:rPr>
        <w:t>recreational uses, toxic substances should, in general, not exceed the concentrations given for drinking water.</w:t>
      </w:r>
      <w:r w:rsidR="00791061" w:rsidRPr="004B66AD">
        <w:rPr>
          <w:sz w:val="18"/>
          <w:szCs w:val="24"/>
        </w:rPr>
        <w:t xml:space="preserve"> </w:t>
      </w:r>
      <w:r w:rsidR="00591FCF" w:rsidRPr="004B66AD">
        <w:rPr>
          <w:sz w:val="18"/>
          <w:szCs w:val="24"/>
        </w:rPr>
        <w:t xml:space="preserve">For guidance on Industrial levels, see </w:t>
      </w:r>
      <w:proofErr w:type="spellStart"/>
      <w:r w:rsidR="00591FCF" w:rsidRPr="004B66AD">
        <w:rPr>
          <w:sz w:val="18"/>
          <w:szCs w:val="24"/>
        </w:rPr>
        <w:t>ANZECC</w:t>
      </w:r>
      <w:proofErr w:type="spellEnd"/>
      <w:r w:rsidR="00591FCF" w:rsidRPr="004B66AD">
        <w:rPr>
          <w:sz w:val="18"/>
          <w:szCs w:val="24"/>
        </w:rPr>
        <w:t>, 1992. Industrial settings include: generic processes, hydro-electric power generation, textiles,</w:t>
      </w:r>
      <w:r w:rsidR="00791061" w:rsidRPr="004B66AD">
        <w:rPr>
          <w:sz w:val="18"/>
          <w:szCs w:val="24"/>
        </w:rPr>
        <w:t xml:space="preserve"> </w:t>
      </w:r>
      <w:r w:rsidR="00591FCF" w:rsidRPr="004B66AD">
        <w:rPr>
          <w:sz w:val="18"/>
          <w:szCs w:val="24"/>
        </w:rPr>
        <w:t>chemical and allied industries, food and beverage, iron and steel, tanning and leather, pulp and paper, petroleum.</w:t>
      </w:r>
    </w:p>
    <w:p w:rsidR="00591FCF" w:rsidRPr="004B66AD" w:rsidRDefault="00591FCF" w:rsidP="004B66AD">
      <w:pPr>
        <w:shd w:val="clear" w:color="auto" w:fill="FFFFFF"/>
        <w:tabs>
          <w:tab w:val="left" w:pos="270"/>
          <w:tab w:val="left" w:pos="360"/>
        </w:tabs>
        <w:ind w:left="288" w:hanging="288"/>
        <w:rPr>
          <w:sz w:val="18"/>
          <w:szCs w:val="24"/>
        </w:rPr>
      </w:pPr>
      <w:r w:rsidRPr="004B66AD">
        <w:rPr>
          <w:sz w:val="18"/>
          <w:szCs w:val="24"/>
          <w:vertAlign w:val="superscript"/>
        </w:rPr>
        <w:t>11</w:t>
      </w:r>
      <w:r w:rsidRPr="004B66AD">
        <w:rPr>
          <w:sz w:val="18"/>
          <w:szCs w:val="24"/>
        </w:rPr>
        <w:tab/>
        <w:t>Taken from Australian Water Quality Guidelines for Fresh and Marine Waters (</w:t>
      </w:r>
      <w:proofErr w:type="spellStart"/>
      <w:r w:rsidRPr="004B66AD">
        <w:rPr>
          <w:sz w:val="18"/>
          <w:szCs w:val="24"/>
        </w:rPr>
        <w:t>AWQG</w:t>
      </w:r>
      <w:proofErr w:type="spellEnd"/>
      <w:r w:rsidRPr="004B66AD">
        <w:rPr>
          <w:sz w:val="18"/>
          <w:szCs w:val="24"/>
        </w:rPr>
        <w:t>) (</w:t>
      </w:r>
      <w:proofErr w:type="spellStart"/>
      <w:r w:rsidRPr="004B66AD">
        <w:rPr>
          <w:sz w:val="18"/>
          <w:szCs w:val="24"/>
        </w:rPr>
        <w:t>ANZECC</w:t>
      </w:r>
      <w:proofErr w:type="spellEnd"/>
      <w:r w:rsidRPr="004B66AD">
        <w:rPr>
          <w:sz w:val="18"/>
          <w:szCs w:val="24"/>
        </w:rPr>
        <w:t xml:space="preserve"> 1992)</w:t>
      </w:r>
    </w:p>
    <w:p w:rsidR="00591FCF" w:rsidRPr="00791061" w:rsidRDefault="00591FCF" w:rsidP="00C925A7">
      <w:pPr>
        <w:shd w:val="clear" w:color="auto" w:fill="FFFFFF"/>
        <w:tabs>
          <w:tab w:val="left" w:pos="134"/>
        </w:tabs>
        <w:spacing w:before="240"/>
        <w:ind w:left="5"/>
        <w:rPr>
          <w:szCs w:val="24"/>
        </w:rPr>
        <w:sectPr w:rsidR="00591FCF" w:rsidRPr="00791061" w:rsidSect="00CE3819">
          <w:pgSz w:w="11909" w:h="16834"/>
          <w:pgMar w:top="720" w:right="720" w:bottom="720" w:left="720" w:header="720" w:footer="720" w:gutter="0"/>
          <w:cols w:space="6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3837"/>
        <w:gridCol w:w="1257"/>
        <w:gridCol w:w="1419"/>
        <w:gridCol w:w="1645"/>
        <w:gridCol w:w="1107"/>
        <w:gridCol w:w="1284"/>
      </w:tblGrid>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128"/>
              <w:rPr>
                <w:szCs w:val="24"/>
              </w:rPr>
            </w:pPr>
            <w:r w:rsidRPr="00791061">
              <w:rPr>
                <w:b/>
                <w:bCs/>
                <w:szCs w:val="24"/>
              </w:rPr>
              <w:lastRenderedPageBreak/>
              <w:t>SETTING</w:t>
            </w:r>
            <w:r w:rsidRPr="00791061">
              <w:rPr>
                <w:b/>
                <w:bCs/>
                <w:szCs w:val="24"/>
                <w:vertAlign w:val="superscript"/>
              </w:rPr>
              <w:t>10</w:t>
            </w:r>
          </w:p>
        </w:tc>
        <w:tc>
          <w:tcPr>
            <w:tcW w:w="2676" w:type="dxa"/>
            <w:gridSpan w:val="2"/>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b/>
                <w:bCs/>
                <w:szCs w:val="24"/>
              </w:rPr>
              <w:t>Aquatic Ecosystems</w:t>
            </w:r>
            <w:r w:rsidRPr="00791061">
              <w:rPr>
                <w:b/>
                <w:bCs/>
                <w:szCs w:val="24"/>
                <w:vertAlign w:val="superscript"/>
              </w:rPr>
              <w:t>11</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b/>
                <w:bCs/>
                <w:szCs w:val="24"/>
              </w:rPr>
              <w:t>Drinking Water</w:t>
            </w:r>
          </w:p>
        </w:tc>
        <w:tc>
          <w:tcPr>
            <w:tcW w:w="2391" w:type="dxa"/>
            <w:gridSpan w:val="2"/>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b/>
                <w:bCs/>
                <w:szCs w:val="24"/>
              </w:rPr>
              <w:t>Agricultural</w:t>
            </w:r>
            <w:r w:rsidRPr="00791061">
              <w:rPr>
                <w:b/>
                <w:bCs/>
                <w:szCs w:val="24"/>
                <w:vertAlign w:val="superscript"/>
              </w:rPr>
              <w:t>9</w:t>
            </w: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b/>
                <w:bCs/>
                <w:szCs w:val="24"/>
              </w:rPr>
              <w:t>Marine Waters</w:t>
            </w:r>
          </w:p>
          <w:p w:rsidR="00591FCF" w:rsidRPr="00791061" w:rsidRDefault="00591FCF" w:rsidP="004B66AD">
            <w:pPr>
              <w:shd w:val="clear" w:color="auto" w:fill="FFFFFF"/>
              <w:jc w:val="center"/>
              <w:rPr>
                <w:szCs w:val="24"/>
              </w:rPr>
            </w:pPr>
            <w:r w:rsidRPr="00791061">
              <w:rPr>
                <w:rFonts w:eastAsia="Times New Roman"/>
                <w:b/>
                <w:bCs/>
                <w:szCs w:val="24"/>
              </w:rPr>
              <w:t>µg/L</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b/>
                <w:bCs/>
                <w:szCs w:val="24"/>
              </w:rPr>
              <w:t>Fresh Waters</w:t>
            </w:r>
          </w:p>
          <w:p w:rsidR="00591FCF" w:rsidRPr="00791061" w:rsidRDefault="00591FCF" w:rsidP="004B66AD">
            <w:pPr>
              <w:shd w:val="clear" w:color="auto" w:fill="FFFFFF"/>
              <w:jc w:val="center"/>
              <w:rPr>
                <w:szCs w:val="24"/>
              </w:rPr>
            </w:pPr>
            <w:r w:rsidRPr="00791061">
              <w:rPr>
                <w:rFonts w:eastAsia="Times New Roman"/>
                <w:b/>
                <w:bCs/>
                <w:szCs w:val="24"/>
              </w:rPr>
              <w:t>µg/L</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b/>
                <w:bCs/>
                <w:szCs w:val="24"/>
              </w:rPr>
              <w:t>Health</w:t>
            </w:r>
            <w:r w:rsidRPr="00791061">
              <w:rPr>
                <w:b/>
                <w:bCs/>
                <w:szCs w:val="24"/>
                <w:vertAlign w:val="superscript"/>
              </w:rPr>
              <w:t>10</w:t>
            </w:r>
            <w:r w:rsidRPr="00791061">
              <w:rPr>
                <w:b/>
                <w:bCs/>
                <w:szCs w:val="24"/>
              </w:rPr>
              <w:t>/ Aesthetic</w:t>
            </w:r>
            <w:r w:rsidRPr="00791061">
              <w:rPr>
                <w:b/>
                <w:bCs/>
                <w:szCs w:val="24"/>
                <w:vertAlign w:val="superscript"/>
              </w:rPr>
              <w:t>11</w:t>
            </w:r>
          </w:p>
          <w:p w:rsidR="00591FCF" w:rsidRPr="00791061" w:rsidRDefault="00591FCF" w:rsidP="004B66AD">
            <w:pPr>
              <w:shd w:val="clear" w:color="auto" w:fill="FFFFFF"/>
              <w:jc w:val="center"/>
              <w:rPr>
                <w:szCs w:val="24"/>
              </w:rPr>
            </w:pPr>
            <w:r w:rsidRPr="00791061">
              <w:rPr>
                <w:b/>
                <w:bCs/>
                <w:szCs w:val="24"/>
              </w:rPr>
              <w:t>mg/L</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b/>
                <w:bCs/>
                <w:szCs w:val="24"/>
              </w:rPr>
              <w:t>Irrigation</w:t>
            </w:r>
          </w:p>
          <w:p w:rsidR="00591FCF" w:rsidRPr="00791061" w:rsidRDefault="00591FCF" w:rsidP="004B66AD">
            <w:pPr>
              <w:shd w:val="clear" w:color="auto" w:fill="FFFFFF"/>
              <w:jc w:val="center"/>
              <w:rPr>
                <w:szCs w:val="24"/>
              </w:rPr>
            </w:pPr>
            <w:r w:rsidRPr="00791061">
              <w:rPr>
                <w:b/>
                <w:bCs/>
                <w:szCs w:val="24"/>
              </w:rPr>
              <w:t>(mg/L)</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b/>
                <w:bCs/>
                <w:szCs w:val="24"/>
              </w:rPr>
              <w:t>Livestock</w:t>
            </w:r>
          </w:p>
          <w:p w:rsidR="00591FCF" w:rsidRPr="00791061" w:rsidRDefault="00591FCF" w:rsidP="004B66AD">
            <w:pPr>
              <w:shd w:val="clear" w:color="auto" w:fill="FFFFFF"/>
              <w:jc w:val="center"/>
              <w:rPr>
                <w:szCs w:val="24"/>
              </w:rPr>
            </w:pPr>
            <w:r w:rsidRPr="00791061">
              <w:rPr>
                <w:b/>
                <w:bCs/>
                <w:szCs w:val="24"/>
              </w:rPr>
              <w:t>(mg/L)</w:t>
            </w: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b/>
                <w:bCs/>
                <w:szCs w:val="24"/>
              </w:rPr>
              <w:t>ORGANICS (cont..)</w:t>
            </w:r>
          </w:p>
        </w:tc>
        <w:tc>
          <w:tcPr>
            <w:tcW w:w="6712" w:type="dxa"/>
            <w:gridSpan w:val="5"/>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Monocyclic aromatic compounds</w:t>
            </w:r>
          </w:p>
        </w:tc>
        <w:tc>
          <w:tcPr>
            <w:tcW w:w="125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Benzene</w:t>
            </w:r>
          </w:p>
        </w:tc>
        <w:tc>
          <w:tcPr>
            <w:tcW w:w="125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300.0</w:t>
            </w:r>
          </w:p>
        </w:tc>
        <w:tc>
          <w:tcPr>
            <w:tcW w:w="1419"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300.0</w:t>
            </w:r>
          </w:p>
        </w:tc>
        <w:tc>
          <w:tcPr>
            <w:tcW w:w="1645"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0.001</w:t>
            </w:r>
          </w:p>
        </w:tc>
        <w:tc>
          <w:tcPr>
            <w:tcW w:w="110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Chlorinated benzenes</w:t>
            </w:r>
          </w:p>
        </w:tc>
        <w:tc>
          <w:tcPr>
            <w:tcW w:w="125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0.007-15.0</w:t>
            </w:r>
            <w:r w:rsidRPr="00791061">
              <w:rPr>
                <w:szCs w:val="24"/>
                <w:vertAlign w:val="superscript"/>
              </w:rPr>
              <w:t>12</w:t>
            </w:r>
          </w:p>
        </w:tc>
        <w:tc>
          <w:tcPr>
            <w:tcW w:w="1645"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Chlorinated phenols</w:t>
            </w:r>
          </w:p>
        </w:tc>
        <w:tc>
          <w:tcPr>
            <w:tcW w:w="125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0.2-8.0</w:t>
            </w:r>
          </w:p>
        </w:tc>
        <w:tc>
          <w:tcPr>
            <w:tcW w:w="1419"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0.05-18.0</w:t>
            </w:r>
            <w:r w:rsidRPr="00791061">
              <w:rPr>
                <w:szCs w:val="24"/>
                <w:vertAlign w:val="superscript"/>
              </w:rPr>
              <w:t>13</w:t>
            </w:r>
          </w:p>
        </w:tc>
        <w:tc>
          <w:tcPr>
            <w:tcW w:w="1645"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0.04-1.5</w:t>
            </w:r>
          </w:p>
        </w:tc>
        <w:tc>
          <w:tcPr>
            <w:tcW w:w="110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Phenol</w:t>
            </w:r>
          </w:p>
        </w:tc>
        <w:tc>
          <w:tcPr>
            <w:tcW w:w="125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50.0</w:t>
            </w:r>
          </w:p>
        </w:tc>
        <w:tc>
          <w:tcPr>
            <w:tcW w:w="1419"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50.0</w:t>
            </w:r>
          </w:p>
        </w:tc>
        <w:tc>
          <w:tcPr>
            <w:tcW w:w="1645"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Toluene</w:t>
            </w:r>
          </w:p>
        </w:tc>
        <w:tc>
          <w:tcPr>
            <w:tcW w:w="125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300.0</w:t>
            </w:r>
          </w:p>
        </w:tc>
        <w:tc>
          <w:tcPr>
            <w:tcW w:w="1645"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0.8 (0.025)</w:t>
            </w:r>
          </w:p>
        </w:tc>
        <w:tc>
          <w:tcPr>
            <w:tcW w:w="110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Xylene</w:t>
            </w:r>
          </w:p>
        </w:tc>
        <w:tc>
          <w:tcPr>
            <w:tcW w:w="125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0.6 (0.02)</w:t>
            </w:r>
          </w:p>
        </w:tc>
        <w:tc>
          <w:tcPr>
            <w:tcW w:w="110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4B66AD" w:rsidRPr="00791061" w:rsidTr="004B66AD">
        <w:trPr>
          <w:trHeight w:val="20"/>
        </w:trPr>
        <w:tc>
          <w:tcPr>
            <w:tcW w:w="3837" w:type="dxa"/>
            <w:tcBorders>
              <w:top w:val="single" w:sz="6" w:space="0" w:color="auto"/>
              <w:left w:val="single" w:sz="6" w:space="0" w:color="auto"/>
              <w:bottom w:val="nil"/>
              <w:right w:val="single" w:sz="6" w:space="0" w:color="auto"/>
            </w:tcBorders>
            <w:shd w:val="clear" w:color="auto" w:fill="FFFFFF"/>
          </w:tcPr>
          <w:p w:rsidR="004B66AD" w:rsidRPr="00791061" w:rsidRDefault="004B66AD" w:rsidP="004B66AD">
            <w:pPr>
              <w:shd w:val="clear" w:color="auto" w:fill="FFFFFF"/>
              <w:rPr>
                <w:szCs w:val="24"/>
              </w:rPr>
            </w:pPr>
            <w:r w:rsidRPr="00791061">
              <w:rPr>
                <w:szCs w:val="24"/>
              </w:rPr>
              <w:t>Pesticides</w:t>
            </w:r>
          </w:p>
        </w:tc>
        <w:tc>
          <w:tcPr>
            <w:tcW w:w="1257" w:type="dxa"/>
            <w:tcBorders>
              <w:top w:val="single" w:sz="6" w:space="0" w:color="auto"/>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Footnote</w:t>
            </w:r>
            <w:r w:rsidRPr="00791061">
              <w:rPr>
                <w:szCs w:val="24"/>
                <w:vertAlign w:val="superscript"/>
              </w:rPr>
              <w:t>14</w:t>
            </w:r>
          </w:p>
        </w:tc>
        <w:tc>
          <w:tcPr>
            <w:tcW w:w="1419" w:type="dxa"/>
            <w:tcBorders>
              <w:top w:val="single" w:sz="6" w:space="0" w:color="auto"/>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Footnote</w:t>
            </w:r>
            <w:r w:rsidRPr="00791061">
              <w:rPr>
                <w:szCs w:val="24"/>
                <w:vertAlign w:val="superscript"/>
              </w:rPr>
              <w:t>15</w:t>
            </w:r>
          </w:p>
        </w:tc>
        <w:tc>
          <w:tcPr>
            <w:tcW w:w="1645" w:type="dxa"/>
            <w:tcBorders>
              <w:top w:val="single" w:sz="6" w:space="0" w:color="auto"/>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Footnote</w:t>
            </w:r>
            <w:r w:rsidRPr="00791061">
              <w:rPr>
                <w:szCs w:val="24"/>
                <w:vertAlign w:val="superscript"/>
              </w:rPr>
              <w:t>16</w:t>
            </w:r>
          </w:p>
        </w:tc>
        <w:tc>
          <w:tcPr>
            <w:tcW w:w="1107" w:type="dxa"/>
            <w:tcBorders>
              <w:top w:val="single" w:sz="6" w:space="0" w:color="auto"/>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284" w:type="dxa"/>
            <w:vMerge w:val="restart"/>
            <w:tcBorders>
              <w:top w:val="single" w:sz="6" w:space="0" w:color="auto"/>
              <w:left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See guidelines for raw water for drinking water supply (</w:t>
            </w:r>
            <w:proofErr w:type="spellStart"/>
            <w:r w:rsidRPr="00791061">
              <w:rPr>
                <w:szCs w:val="24"/>
              </w:rPr>
              <w:t>AWQG</w:t>
            </w:r>
            <w:proofErr w:type="spellEnd"/>
            <w:r w:rsidRPr="00791061">
              <w:rPr>
                <w:szCs w:val="24"/>
              </w:rPr>
              <w:t xml:space="preserve">, </w:t>
            </w:r>
            <w:proofErr w:type="spellStart"/>
            <w:r w:rsidRPr="00791061">
              <w:rPr>
                <w:szCs w:val="24"/>
              </w:rPr>
              <w:t>ANZECC</w:t>
            </w:r>
            <w:proofErr w:type="spellEnd"/>
            <w:r w:rsidRPr="00791061">
              <w:rPr>
                <w:szCs w:val="24"/>
              </w:rPr>
              <w:t xml:space="preserve"> 1992)</w:t>
            </w:r>
          </w:p>
        </w:tc>
      </w:tr>
      <w:tr w:rsidR="004B66AD"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ind w:left="178"/>
              <w:rPr>
                <w:szCs w:val="24"/>
              </w:rPr>
            </w:pPr>
            <w:r w:rsidRPr="00791061">
              <w:rPr>
                <w:szCs w:val="24"/>
              </w:rPr>
              <w:t>Aldrin</w:t>
            </w:r>
          </w:p>
        </w:tc>
        <w:tc>
          <w:tcPr>
            <w:tcW w:w="125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10.0 ng/L</w:t>
            </w:r>
          </w:p>
        </w:tc>
        <w:tc>
          <w:tcPr>
            <w:tcW w:w="1419"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10.0 ng/L</w:t>
            </w:r>
          </w:p>
        </w:tc>
        <w:tc>
          <w:tcPr>
            <w:tcW w:w="1645"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0.0003</w:t>
            </w:r>
          </w:p>
        </w:tc>
        <w:tc>
          <w:tcPr>
            <w:tcW w:w="110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284" w:type="dxa"/>
            <w:vMerge/>
            <w:tcBorders>
              <w:left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r>
      <w:tr w:rsidR="004B66AD"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ind w:left="178"/>
              <w:rPr>
                <w:szCs w:val="24"/>
              </w:rPr>
            </w:pPr>
            <w:r w:rsidRPr="00791061">
              <w:rPr>
                <w:szCs w:val="24"/>
              </w:rPr>
              <w:t>Chlordane</w:t>
            </w:r>
          </w:p>
        </w:tc>
        <w:tc>
          <w:tcPr>
            <w:tcW w:w="125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4.0 ng/L</w:t>
            </w:r>
          </w:p>
        </w:tc>
        <w:tc>
          <w:tcPr>
            <w:tcW w:w="1419"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4.0 ng/L</w:t>
            </w:r>
          </w:p>
        </w:tc>
        <w:tc>
          <w:tcPr>
            <w:tcW w:w="1645"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0.001</w:t>
            </w:r>
          </w:p>
        </w:tc>
        <w:tc>
          <w:tcPr>
            <w:tcW w:w="110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284" w:type="dxa"/>
            <w:vMerge/>
            <w:tcBorders>
              <w:left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r>
      <w:tr w:rsidR="004B66AD"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ind w:left="178"/>
              <w:rPr>
                <w:szCs w:val="24"/>
              </w:rPr>
            </w:pPr>
            <w:r w:rsidRPr="00791061">
              <w:rPr>
                <w:szCs w:val="24"/>
              </w:rPr>
              <w:t>DDT</w:t>
            </w:r>
          </w:p>
        </w:tc>
        <w:tc>
          <w:tcPr>
            <w:tcW w:w="125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1.0 ng/L</w:t>
            </w:r>
          </w:p>
        </w:tc>
        <w:tc>
          <w:tcPr>
            <w:tcW w:w="1419"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1.0 ng/L</w:t>
            </w:r>
          </w:p>
        </w:tc>
        <w:tc>
          <w:tcPr>
            <w:tcW w:w="1645"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0.02</w:t>
            </w:r>
          </w:p>
        </w:tc>
        <w:tc>
          <w:tcPr>
            <w:tcW w:w="110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284" w:type="dxa"/>
            <w:vMerge/>
            <w:tcBorders>
              <w:left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r>
      <w:tr w:rsidR="004B66AD"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ind w:left="178"/>
              <w:rPr>
                <w:szCs w:val="24"/>
              </w:rPr>
            </w:pPr>
            <w:r w:rsidRPr="00791061">
              <w:rPr>
                <w:szCs w:val="24"/>
              </w:rPr>
              <w:t>Dieldrin</w:t>
            </w:r>
          </w:p>
        </w:tc>
        <w:tc>
          <w:tcPr>
            <w:tcW w:w="125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2.0 ng/L</w:t>
            </w:r>
          </w:p>
        </w:tc>
        <w:tc>
          <w:tcPr>
            <w:tcW w:w="1419"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2.0 ng/L</w:t>
            </w:r>
          </w:p>
        </w:tc>
        <w:tc>
          <w:tcPr>
            <w:tcW w:w="1645"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0.0003</w:t>
            </w:r>
          </w:p>
        </w:tc>
        <w:tc>
          <w:tcPr>
            <w:tcW w:w="1107" w:type="dxa"/>
            <w:tcBorders>
              <w:top w:val="nil"/>
              <w:left w:val="single" w:sz="6" w:space="0" w:color="auto"/>
              <w:bottom w:val="nil"/>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284" w:type="dxa"/>
            <w:vMerge/>
            <w:tcBorders>
              <w:left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r>
      <w:tr w:rsidR="004B66AD" w:rsidRPr="00791061" w:rsidTr="004B66AD">
        <w:trPr>
          <w:trHeight w:val="20"/>
        </w:trPr>
        <w:tc>
          <w:tcPr>
            <w:tcW w:w="3837" w:type="dxa"/>
            <w:tcBorders>
              <w:top w:val="nil"/>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ind w:left="178"/>
              <w:rPr>
                <w:szCs w:val="24"/>
              </w:rPr>
            </w:pPr>
            <w:r w:rsidRPr="00791061">
              <w:rPr>
                <w:szCs w:val="24"/>
              </w:rPr>
              <w:t>Heptachlor</w:t>
            </w:r>
          </w:p>
        </w:tc>
        <w:tc>
          <w:tcPr>
            <w:tcW w:w="1257" w:type="dxa"/>
            <w:tcBorders>
              <w:top w:val="nil"/>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10.0 ng/L</w:t>
            </w:r>
          </w:p>
        </w:tc>
        <w:tc>
          <w:tcPr>
            <w:tcW w:w="1419" w:type="dxa"/>
            <w:tcBorders>
              <w:top w:val="nil"/>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10.0 ng/L</w:t>
            </w:r>
          </w:p>
        </w:tc>
        <w:tc>
          <w:tcPr>
            <w:tcW w:w="1645" w:type="dxa"/>
            <w:tcBorders>
              <w:top w:val="nil"/>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r w:rsidRPr="00791061">
              <w:rPr>
                <w:szCs w:val="24"/>
              </w:rPr>
              <w:t>0.0003</w:t>
            </w:r>
          </w:p>
        </w:tc>
        <w:tc>
          <w:tcPr>
            <w:tcW w:w="1107" w:type="dxa"/>
            <w:tcBorders>
              <w:top w:val="nil"/>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284" w:type="dxa"/>
            <w:vMerge/>
            <w:tcBorders>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Phthalate esters</w:t>
            </w:r>
          </w:p>
        </w:tc>
        <w:tc>
          <w:tcPr>
            <w:tcW w:w="125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di-n-</w:t>
            </w:r>
            <w:proofErr w:type="spellStart"/>
            <w:r w:rsidRPr="00791061">
              <w:rPr>
                <w:szCs w:val="24"/>
              </w:rPr>
              <w:t>butylphthalate</w:t>
            </w:r>
            <w:proofErr w:type="spellEnd"/>
          </w:p>
        </w:tc>
        <w:tc>
          <w:tcPr>
            <w:tcW w:w="125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4.0</w:t>
            </w:r>
          </w:p>
        </w:tc>
        <w:tc>
          <w:tcPr>
            <w:tcW w:w="1645"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di(2-ethylhexyl)phthalate</w:t>
            </w:r>
          </w:p>
        </w:tc>
        <w:tc>
          <w:tcPr>
            <w:tcW w:w="125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0.6</w:t>
            </w:r>
          </w:p>
        </w:tc>
        <w:tc>
          <w:tcPr>
            <w:tcW w:w="1645"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other phthalate esters</w:t>
            </w:r>
          </w:p>
        </w:tc>
        <w:tc>
          <w:tcPr>
            <w:tcW w:w="125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0.2</w:t>
            </w:r>
          </w:p>
        </w:tc>
        <w:tc>
          <w:tcPr>
            <w:tcW w:w="1645"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Polyaromatic hydrocarbons</w:t>
            </w:r>
          </w:p>
        </w:tc>
        <w:tc>
          <w:tcPr>
            <w:tcW w:w="125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Polychlorinated biphenyls</w:t>
            </w:r>
          </w:p>
        </w:tc>
        <w:tc>
          <w:tcPr>
            <w:tcW w:w="125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0.004</w:t>
            </w:r>
          </w:p>
        </w:tc>
        <w:tc>
          <w:tcPr>
            <w:tcW w:w="1419"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0.001</w:t>
            </w:r>
          </w:p>
        </w:tc>
        <w:tc>
          <w:tcPr>
            <w:tcW w:w="1645"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nil"/>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ind w:left="178"/>
              <w:rPr>
                <w:szCs w:val="24"/>
              </w:rPr>
            </w:pPr>
            <w:r w:rsidRPr="00791061">
              <w:rPr>
                <w:szCs w:val="24"/>
              </w:rPr>
              <w:t>Polycyclic aromatic hydrocarbons</w:t>
            </w:r>
          </w:p>
        </w:tc>
        <w:tc>
          <w:tcPr>
            <w:tcW w:w="125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3.0</w:t>
            </w:r>
          </w:p>
        </w:tc>
        <w:tc>
          <w:tcPr>
            <w:tcW w:w="1419"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3.0</w:t>
            </w:r>
          </w:p>
        </w:tc>
        <w:tc>
          <w:tcPr>
            <w:tcW w:w="1645"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nil"/>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Styrene (vinylbenzene)</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0.03 (0.004)</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Tetrachloroethene</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0.05</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Trichlorobenzenes (total)</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0.03 (0.005)</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Vinyl chloride</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0.0003</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4B66AD"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024A93" w:rsidP="004B66AD">
            <w:pPr>
              <w:shd w:val="clear" w:color="auto" w:fill="FFFFFF"/>
              <w:rPr>
                <w:szCs w:val="24"/>
              </w:rPr>
            </w:pPr>
            <w:r w:rsidRPr="00791061">
              <w:rPr>
                <w:b/>
                <w:bCs/>
                <w:szCs w:val="24"/>
              </w:rPr>
              <w:t>OTHER</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4B66AD" w:rsidRPr="00791061" w:rsidRDefault="004B66AD"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Calcium</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1,000.0</w:t>
            </w: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Chloride</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(250.0)</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30.0</w:t>
            </w:r>
          </w:p>
          <w:p w:rsidR="00591FCF" w:rsidRPr="00791061" w:rsidRDefault="00591FCF" w:rsidP="004B66AD">
            <w:pPr>
              <w:shd w:val="clear" w:color="auto" w:fill="FFFFFF"/>
              <w:jc w:val="center"/>
              <w:rPr>
                <w:szCs w:val="24"/>
              </w:rPr>
            </w:pPr>
            <w:r w:rsidRPr="00791061">
              <w:rPr>
                <w:szCs w:val="24"/>
              </w:rPr>
              <w:t>700.0</w:t>
            </w:r>
            <w:r w:rsidRPr="00791061">
              <w:rPr>
                <w:szCs w:val="24"/>
                <w:vertAlign w:val="superscript"/>
              </w:rPr>
              <w:t>17</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Cyanide</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5</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0.005</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0.08</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Fluoride</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1.5</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1.0</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2.0</w:t>
            </w: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Nitrate-N</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50.0</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30.0</w:t>
            </w: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r w:rsidRPr="00791061">
              <w:rPr>
                <w:szCs w:val="24"/>
              </w:rPr>
              <w:t>Nitrite-N</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3.0</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10.0</w:t>
            </w:r>
          </w:p>
        </w:tc>
      </w:tr>
      <w:tr w:rsidR="00024A93"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024A93" w:rsidRPr="00791061" w:rsidRDefault="00024A93" w:rsidP="004B66AD">
            <w:pPr>
              <w:shd w:val="clear" w:color="auto" w:fill="FFFFFF"/>
              <w:rPr>
                <w:szCs w:val="24"/>
              </w:rPr>
            </w:pPr>
            <w:r w:rsidRPr="00791061">
              <w:rPr>
                <w:b/>
                <w:bCs/>
                <w:szCs w:val="24"/>
              </w:rPr>
              <w:t>AESTHETIC PARAMETERS</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24A93" w:rsidRPr="00791061" w:rsidRDefault="00024A93" w:rsidP="004B66AD">
            <w:pPr>
              <w:shd w:val="clear" w:color="auto" w:fill="FFFFFF"/>
              <w:jc w:val="center"/>
              <w:rPr>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024A93" w:rsidRPr="00791061" w:rsidRDefault="00024A93" w:rsidP="004B66AD">
            <w:pPr>
              <w:shd w:val="clear" w:color="auto" w:fill="FFFFFF"/>
              <w:jc w:val="center"/>
              <w:rPr>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024A93" w:rsidRPr="00791061" w:rsidRDefault="00024A93" w:rsidP="004B66AD">
            <w:pPr>
              <w:shd w:val="clear" w:color="auto" w:fill="FFFFFF"/>
              <w:jc w:val="center"/>
              <w:rPr>
                <w:szCs w:val="24"/>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24A93" w:rsidRPr="00791061" w:rsidRDefault="00024A93"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024A93" w:rsidRPr="00791061" w:rsidRDefault="00024A93" w:rsidP="004B66AD">
            <w:pPr>
              <w:shd w:val="clear" w:color="auto" w:fill="FFFFFF"/>
              <w:jc w:val="center"/>
              <w:rPr>
                <w:szCs w:val="24"/>
              </w:rPr>
            </w:pPr>
          </w:p>
        </w:tc>
      </w:tr>
      <w:tr w:rsidR="00591FCF" w:rsidRPr="00791061" w:rsidTr="004B66AD">
        <w:trPr>
          <w:trHeight w:val="20"/>
        </w:trPr>
        <w:tc>
          <w:tcPr>
            <w:tcW w:w="383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rPr>
                <w:szCs w:val="24"/>
              </w:rPr>
            </w:pPr>
            <w:proofErr w:type="spellStart"/>
            <w:r w:rsidRPr="00791061">
              <w:rPr>
                <w:szCs w:val="24"/>
              </w:rPr>
              <w:t>Colour</w:t>
            </w:r>
            <w:proofErr w:type="spellEnd"/>
            <w:r w:rsidRPr="00791061">
              <w:rPr>
                <w:szCs w:val="24"/>
              </w:rPr>
              <w:t xml:space="preserve"> and clarity</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&lt; 10% change in euphotic depth</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r w:rsidRPr="00791061">
              <w:rPr>
                <w:szCs w:val="24"/>
              </w:rPr>
              <w:t>&lt; 10% change in euphotic depth</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591FCF" w:rsidRPr="00791061" w:rsidRDefault="00591FCF" w:rsidP="004B66AD">
            <w:pPr>
              <w:shd w:val="clear" w:color="auto" w:fill="FFFFFF"/>
              <w:jc w:val="center"/>
              <w:rPr>
                <w:szCs w:val="24"/>
              </w:rPr>
            </w:pPr>
          </w:p>
        </w:tc>
      </w:tr>
    </w:tbl>
    <w:p w:rsidR="00591FCF" w:rsidRPr="00024A93" w:rsidRDefault="00024A93" w:rsidP="00024A93">
      <w:pPr>
        <w:shd w:val="clear" w:color="auto" w:fill="FFFFFF"/>
        <w:tabs>
          <w:tab w:val="left" w:pos="450"/>
        </w:tabs>
        <w:spacing w:before="480"/>
        <w:ind w:left="10"/>
        <w:rPr>
          <w:sz w:val="18"/>
          <w:szCs w:val="24"/>
        </w:rPr>
      </w:pPr>
      <w:r>
        <w:rPr>
          <w:noProof/>
          <w:sz w:val="18"/>
          <w:szCs w:val="24"/>
          <w:vertAlign w:val="superscript"/>
        </w:rPr>
        <mc:AlternateContent>
          <mc:Choice Requires="wps">
            <w:drawing>
              <wp:anchor distT="0" distB="0" distL="114300" distR="114300" simplePos="0" relativeHeight="251661312" behindDoc="0" locked="0" layoutInCell="1" allowOverlap="1">
                <wp:simplePos x="0" y="0"/>
                <wp:positionH relativeFrom="column">
                  <wp:posOffset>-10973</wp:posOffset>
                </wp:positionH>
                <wp:positionV relativeFrom="paragraph">
                  <wp:posOffset>246532</wp:posOffset>
                </wp:positionV>
                <wp:extent cx="1484986"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14849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AB2B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19.4pt" to="116.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" strokecolor="black [3040]"/>
            </w:pict>
          </mc:Fallback>
        </mc:AlternateContent>
      </w:r>
      <w:r w:rsidR="00591FCF" w:rsidRPr="00024A93">
        <w:rPr>
          <w:sz w:val="18"/>
          <w:szCs w:val="24"/>
          <w:vertAlign w:val="superscript"/>
        </w:rPr>
        <w:t>12</w:t>
      </w:r>
      <w:r w:rsidR="00591FCF" w:rsidRPr="00024A93">
        <w:rPr>
          <w:sz w:val="18"/>
          <w:szCs w:val="24"/>
        </w:rPr>
        <w:tab/>
        <w:t xml:space="preserve">See table 2.8, p.2-49 </w:t>
      </w:r>
      <w:proofErr w:type="spellStart"/>
      <w:r w:rsidR="00591FCF" w:rsidRPr="00024A93">
        <w:rPr>
          <w:sz w:val="18"/>
          <w:szCs w:val="24"/>
        </w:rPr>
        <w:t>AWQG</w:t>
      </w:r>
      <w:proofErr w:type="spellEnd"/>
      <w:r w:rsidR="00591FCF" w:rsidRPr="00024A93">
        <w:rPr>
          <w:sz w:val="18"/>
          <w:szCs w:val="24"/>
        </w:rPr>
        <w:t xml:space="preserve"> (</w:t>
      </w:r>
      <w:proofErr w:type="spellStart"/>
      <w:r w:rsidR="00591FCF" w:rsidRPr="00024A93">
        <w:rPr>
          <w:sz w:val="18"/>
          <w:szCs w:val="24"/>
        </w:rPr>
        <w:t>ANZECC</w:t>
      </w:r>
      <w:proofErr w:type="spellEnd"/>
      <w:r w:rsidR="00591FCF" w:rsidRPr="00024A93">
        <w:rPr>
          <w:sz w:val="18"/>
          <w:szCs w:val="24"/>
        </w:rPr>
        <w:t xml:space="preserve"> 1992) for further information</w:t>
      </w:r>
    </w:p>
    <w:p w:rsidR="00591FCF" w:rsidRPr="00024A93" w:rsidRDefault="00591FCF" w:rsidP="00024A93">
      <w:pPr>
        <w:shd w:val="clear" w:color="auto" w:fill="FFFFFF"/>
        <w:tabs>
          <w:tab w:val="left" w:pos="450"/>
        </w:tabs>
        <w:ind w:left="10"/>
        <w:rPr>
          <w:sz w:val="18"/>
          <w:szCs w:val="24"/>
        </w:rPr>
      </w:pPr>
      <w:r w:rsidRPr="00024A93">
        <w:rPr>
          <w:sz w:val="18"/>
          <w:szCs w:val="24"/>
          <w:vertAlign w:val="superscript"/>
        </w:rPr>
        <w:t>13</w:t>
      </w:r>
      <w:r w:rsidRPr="00024A93">
        <w:rPr>
          <w:sz w:val="18"/>
          <w:szCs w:val="24"/>
        </w:rPr>
        <w:tab/>
        <w:t xml:space="preserve">see table 2.9, p2-50 </w:t>
      </w:r>
      <w:proofErr w:type="spellStart"/>
      <w:r w:rsidRPr="00024A93">
        <w:rPr>
          <w:sz w:val="18"/>
          <w:szCs w:val="24"/>
        </w:rPr>
        <w:t>AWQG</w:t>
      </w:r>
      <w:proofErr w:type="spellEnd"/>
      <w:r w:rsidRPr="00024A93">
        <w:rPr>
          <w:sz w:val="18"/>
          <w:szCs w:val="24"/>
        </w:rPr>
        <w:t xml:space="preserve"> (</w:t>
      </w:r>
      <w:proofErr w:type="spellStart"/>
      <w:r w:rsidRPr="00024A93">
        <w:rPr>
          <w:sz w:val="18"/>
          <w:szCs w:val="24"/>
        </w:rPr>
        <w:t>ANZECC</w:t>
      </w:r>
      <w:proofErr w:type="spellEnd"/>
      <w:r w:rsidRPr="00024A93">
        <w:rPr>
          <w:sz w:val="18"/>
          <w:szCs w:val="24"/>
        </w:rPr>
        <w:t xml:space="preserve"> 1992) for further information</w:t>
      </w:r>
    </w:p>
    <w:p w:rsidR="00591FCF" w:rsidRPr="00024A93" w:rsidRDefault="00591FCF" w:rsidP="00024A93">
      <w:pPr>
        <w:shd w:val="clear" w:color="auto" w:fill="FFFFFF"/>
        <w:tabs>
          <w:tab w:val="left" w:pos="450"/>
        </w:tabs>
        <w:ind w:left="10"/>
        <w:rPr>
          <w:sz w:val="18"/>
          <w:szCs w:val="24"/>
        </w:rPr>
      </w:pPr>
      <w:r w:rsidRPr="00024A93">
        <w:rPr>
          <w:sz w:val="18"/>
          <w:szCs w:val="24"/>
          <w:vertAlign w:val="superscript"/>
        </w:rPr>
        <w:t>14</w:t>
      </w:r>
      <w:r w:rsidRPr="00024A93">
        <w:rPr>
          <w:sz w:val="18"/>
          <w:szCs w:val="24"/>
        </w:rPr>
        <w:tab/>
        <w:t>see table 2.10 also, p.2-55 (</w:t>
      </w:r>
      <w:proofErr w:type="spellStart"/>
      <w:r w:rsidRPr="00024A93">
        <w:rPr>
          <w:sz w:val="18"/>
          <w:szCs w:val="24"/>
        </w:rPr>
        <w:t>ANZECC</w:t>
      </w:r>
      <w:proofErr w:type="spellEnd"/>
      <w:r w:rsidRPr="00024A93">
        <w:rPr>
          <w:sz w:val="18"/>
          <w:szCs w:val="24"/>
        </w:rPr>
        <w:t xml:space="preserve"> 1992) for further information</w:t>
      </w:r>
    </w:p>
    <w:p w:rsidR="00591FCF" w:rsidRPr="00024A93" w:rsidRDefault="00591FCF" w:rsidP="00024A93">
      <w:pPr>
        <w:shd w:val="clear" w:color="auto" w:fill="FFFFFF"/>
        <w:tabs>
          <w:tab w:val="left" w:pos="450"/>
        </w:tabs>
        <w:ind w:left="10"/>
        <w:rPr>
          <w:sz w:val="18"/>
          <w:szCs w:val="24"/>
        </w:rPr>
      </w:pPr>
      <w:r w:rsidRPr="00024A93">
        <w:rPr>
          <w:sz w:val="18"/>
          <w:szCs w:val="24"/>
          <w:vertAlign w:val="superscript"/>
        </w:rPr>
        <w:t>15</w:t>
      </w:r>
      <w:r w:rsidRPr="00024A93">
        <w:rPr>
          <w:sz w:val="18"/>
          <w:szCs w:val="24"/>
        </w:rPr>
        <w:tab/>
        <w:t>see table 2.10 also, p.2-55 (</w:t>
      </w:r>
      <w:proofErr w:type="spellStart"/>
      <w:r w:rsidRPr="00024A93">
        <w:rPr>
          <w:sz w:val="18"/>
          <w:szCs w:val="24"/>
        </w:rPr>
        <w:t>ANZECC</w:t>
      </w:r>
      <w:proofErr w:type="spellEnd"/>
      <w:r w:rsidRPr="00024A93">
        <w:rPr>
          <w:sz w:val="18"/>
          <w:szCs w:val="24"/>
        </w:rPr>
        <w:t xml:space="preserve"> 1992) for further information</w:t>
      </w:r>
    </w:p>
    <w:p w:rsidR="00591FCF" w:rsidRPr="00024A93" w:rsidRDefault="00591FCF" w:rsidP="00024A93">
      <w:pPr>
        <w:shd w:val="clear" w:color="auto" w:fill="FFFFFF"/>
        <w:tabs>
          <w:tab w:val="left" w:pos="450"/>
        </w:tabs>
        <w:ind w:left="10"/>
        <w:rPr>
          <w:sz w:val="18"/>
          <w:szCs w:val="24"/>
        </w:rPr>
      </w:pPr>
      <w:r w:rsidRPr="00024A93">
        <w:rPr>
          <w:sz w:val="18"/>
          <w:szCs w:val="24"/>
          <w:vertAlign w:val="superscript"/>
        </w:rPr>
        <w:t>16</w:t>
      </w:r>
      <w:r w:rsidRPr="00024A93">
        <w:rPr>
          <w:sz w:val="18"/>
          <w:szCs w:val="24"/>
        </w:rPr>
        <w:tab/>
        <w:t>see table on p32 (Guidelines for Pesticides), p32 (</w:t>
      </w:r>
      <w:proofErr w:type="spellStart"/>
      <w:r w:rsidRPr="00024A93">
        <w:rPr>
          <w:sz w:val="18"/>
          <w:szCs w:val="24"/>
        </w:rPr>
        <w:t>NHMRC</w:t>
      </w:r>
      <w:proofErr w:type="spellEnd"/>
      <w:r w:rsidRPr="00024A93">
        <w:rPr>
          <w:sz w:val="18"/>
          <w:szCs w:val="24"/>
        </w:rPr>
        <w:t>/</w:t>
      </w:r>
      <w:proofErr w:type="spellStart"/>
      <w:r w:rsidRPr="00024A93">
        <w:rPr>
          <w:sz w:val="18"/>
          <w:szCs w:val="24"/>
        </w:rPr>
        <w:t>ARMCANZ</w:t>
      </w:r>
      <w:proofErr w:type="spellEnd"/>
      <w:r w:rsidRPr="00024A93">
        <w:rPr>
          <w:sz w:val="18"/>
          <w:szCs w:val="24"/>
        </w:rPr>
        <w:t xml:space="preserve"> 1996)</w:t>
      </w:r>
    </w:p>
    <w:p w:rsidR="00591FCF" w:rsidRDefault="00591FCF" w:rsidP="00024A93">
      <w:pPr>
        <w:shd w:val="clear" w:color="auto" w:fill="FFFFFF"/>
        <w:tabs>
          <w:tab w:val="left" w:pos="450"/>
        </w:tabs>
        <w:ind w:left="460" w:hanging="446"/>
        <w:rPr>
          <w:sz w:val="18"/>
          <w:szCs w:val="24"/>
        </w:rPr>
      </w:pPr>
      <w:r w:rsidRPr="00024A93">
        <w:rPr>
          <w:sz w:val="18"/>
          <w:szCs w:val="24"/>
          <w:vertAlign w:val="superscript"/>
        </w:rPr>
        <w:t>17</w:t>
      </w:r>
      <w:r w:rsidRPr="00024A93">
        <w:rPr>
          <w:sz w:val="18"/>
          <w:szCs w:val="24"/>
        </w:rPr>
        <w:tab/>
        <w:t>Maximum chloride concentration should be set according to the sensitivity of the crop.</w:t>
      </w:r>
      <w:r w:rsidR="00C179A4" w:rsidRPr="00024A93">
        <w:rPr>
          <w:sz w:val="18"/>
          <w:szCs w:val="24"/>
        </w:rPr>
        <w:t xml:space="preserve"> </w:t>
      </w:r>
      <w:r w:rsidRPr="00024A93">
        <w:rPr>
          <w:sz w:val="18"/>
          <w:szCs w:val="24"/>
        </w:rPr>
        <w:t>For further information. (See Tables 5.1, 5.2, 5.3, 5.4,</w:t>
      </w:r>
      <w:r w:rsidR="00791061" w:rsidRPr="00024A93">
        <w:rPr>
          <w:sz w:val="18"/>
          <w:szCs w:val="24"/>
        </w:rPr>
        <w:t xml:space="preserve"> </w:t>
      </w:r>
      <w:proofErr w:type="spellStart"/>
      <w:r w:rsidRPr="00024A93">
        <w:rPr>
          <w:sz w:val="18"/>
          <w:szCs w:val="24"/>
        </w:rPr>
        <w:t>ANZECC</w:t>
      </w:r>
      <w:proofErr w:type="spellEnd"/>
      <w:r w:rsidRPr="00024A93">
        <w:rPr>
          <w:sz w:val="18"/>
          <w:szCs w:val="24"/>
        </w:rPr>
        <w:t xml:space="preserve"> 1992)</w:t>
      </w:r>
    </w:p>
    <w:p w:rsidR="00024A93" w:rsidRPr="00024A93" w:rsidRDefault="00024A93" w:rsidP="00024A93">
      <w:pPr>
        <w:shd w:val="clear" w:color="auto" w:fill="FFFFFF"/>
        <w:tabs>
          <w:tab w:val="left" w:pos="125"/>
        </w:tabs>
        <w:ind w:left="125" w:right="269" w:hanging="115"/>
        <w:rPr>
          <w:sz w:val="18"/>
          <w:szCs w:val="24"/>
        </w:rPr>
      </w:pPr>
    </w:p>
    <w:p w:rsidR="00591FCF" w:rsidRPr="00791061" w:rsidRDefault="00591FCF" w:rsidP="00C925A7">
      <w:pPr>
        <w:shd w:val="clear" w:color="auto" w:fill="FFFFFF"/>
        <w:tabs>
          <w:tab w:val="left" w:pos="125"/>
        </w:tabs>
        <w:spacing w:before="240"/>
        <w:ind w:left="125" w:right="269" w:hanging="115"/>
        <w:rPr>
          <w:szCs w:val="24"/>
        </w:rPr>
        <w:sectPr w:rsidR="00591FCF" w:rsidRPr="00791061" w:rsidSect="00CE3819">
          <w:pgSz w:w="11909" w:h="16834"/>
          <w:pgMar w:top="720" w:right="720" w:bottom="720" w:left="720" w:header="720" w:footer="720" w:gutter="0"/>
          <w:cols w:space="60"/>
          <w:noEndnote/>
          <w:docGrid w:linePitch="272"/>
        </w:sectPr>
      </w:pPr>
    </w:p>
    <w:p w:rsidR="00591FCF" w:rsidRPr="00791061" w:rsidRDefault="00591FCF" w:rsidP="00C925A7">
      <w:pPr>
        <w:shd w:val="clear" w:color="auto" w:fill="FFFFFF"/>
        <w:spacing w:before="240"/>
        <w:rPr>
          <w:szCs w:val="24"/>
        </w:rPr>
      </w:pPr>
      <w:r w:rsidRPr="00791061">
        <w:rPr>
          <w:b/>
          <w:bCs/>
          <w:szCs w:val="24"/>
        </w:rPr>
        <w:lastRenderedPageBreak/>
        <w:t>REFERENCES</w:t>
      </w:r>
    </w:p>
    <w:p w:rsidR="00591FCF" w:rsidRPr="00791061" w:rsidRDefault="00591FCF" w:rsidP="00C925A7">
      <w:pPr>
        <w:shd w:val="clear" w:color="auto" w:fill="FFFFFF"/>
        <w:spacing w:before="240"/>
        <w:ind w:right="5"/>
        <w:jc w:val="both"/>
        <w:rPr>
          <w:szCs w:val="24"/>
        </w:rPr>
      </w:pPr>
      <w:proofErr w:type="spellStart"/>
      <w:r w:rsidRPr="00791061">
        <w:rPr>
          <w:szCs w:val="24"/>
        </w:rPr>
        <w:t>ANZECC</w:t>
      </w:r>
      <w:proofErr w:type="spellEnd"/>
      <w:r w:rsidRPr="00791061">
        <w:rPr>
          <w:szCs w:val="24"/>
        </w:rPr>
        <w:t xml:space="preserve"> (1992). </w:t>
      </w:r>
      <w:proofErr w:type="spellStart"/>
      <w:r w:rsidRPr="00791061">
        <w:rPr>
          <w:szCs w:val="24"/>
        </w:rPr>
        <w:t>ANZECC</w:t>
      </w:r>
      <w:proofErr w:type="spellEnd"/>
      <w:r w:rsidRPr="00791061">
        <w:rPr>
          <w:szCs w:val="24"/>
        </w:rPr>
        <w:t xml:space="preserve"> Water Quality Guidelines for Fresh and Marine Waters, Australian and New Zealand Environment Conservation Council, November 1992.</w:t>
      </w:r>
    </w:p>
    <w:p w:rsidR="00591FCF" w:rsidRPr="00791061" w:rsidRDefault="00591FCF" w:rsidP="00C925A7">
      <w:pPr>
        <w:shd w:val="clear" w:color="auto" w:fill="FFFFFF"/>
        <w:spacing w:before="240"/>
        <w:ind w:right="5"/>
        <w:jc w:val="both"/>
        <w:rPr>
          <w:szCs w:val="24"/>
        </w:rPr>
      </w:pPr>
      <w:proofErr w:type="spellStart"/>
      <w:r w:rsidRPr="00791061">
        <w:rPr>
          <w:szCs w:val="24"/>
        </w:rPr>
        <w:t>ARMCANZ</w:t>
      </w:r>
      <w:proofErr w:type="spellEnd"/>
      <w:r w:rsidRPr="00791061">
        <w:rPr>
          <w:szCs w:val="24"/>
        </w:rPr>
        <w:t>/</w:t>
      </w:r>
      <w:proofErr w:type="spellStart"/>
      <w:r w:rsidRPr="00791061">
        <w:rPr>
          <w:szCs w:val="24"/>
        </w:rPr>
        <w:t>ANZECC</w:t>
      </w:r>
      <w:proofErr w:type="spellEnd"/>
      <w:r w:rsidRPr="00791061">
        <w:rPr>
          <w:szCs w:val="24"/>
        </w:rPr>
        <w:t xml:space="preserve"> (draft 1999). Australian and New Zealand Guidelines for Fresh and Marine Water Quality, Australian and New Zealand Conservation Council and Agriculture, and Resource Management Council of Australia and New Zealand 1999.</w:t>
      </w:r>
    </w:p>
    <w:p w:rsidR="00591FCF" w:rsidRPr="00791061" w:rsidRDefault="00591FCF" w:rsidP="00C925A7">
      <w:pPr>
        <w:shd w:val="clear" w:color="auto" w:fill="FFFFFF"/>
        <w:spacing w:before="240"/>
        <w:jc w:val="both"/>
        <w:rPr>
          <w:szCs w:val="24"/>
        </w:rPr>
      </w:pPr>
      <w:proofErr w:type="spellStart"/>
      <w:r w:rsidRPr="00791061">
        <w:rPr>
          <w:szCs w:val="24"/>
        </w:rPr>
        <w:t>ANZECC</w:t>
      </w:r>
      <w:proofErr w:type="spellEnd"/>
      <w:r w:rsidRPr="00791061">
        <w:rPr>
          <w:szCs w:val="24"/>
        </w:rPr>
        <w:t>/</w:t>
      </w:r>
      <w:proofErr w:type="spellStart"/>
      <w:r w:rsidRPr="00791061">
        <w:rPr>
          <w:szCs w:val="24"/>
        </w:rPr>
        <w:t>NHMRC</w:t>
      </w:r>
      <w:proofErr w:type="spellEnd"/>
      <w:r w:rsidRPr="00791061">
        <w:rPr>
          <w:szCs w:val="24"/>
        </w:rPr>
        <w:t xml:space="preserve"> (1992). Australian and New Zealand Guidelines for the Assessment and Management of Contaminated Sites. Australian and New Zealand Environment and Conservation Council, and National Health and Medical research council 1992.</w:t>
      </w:r>
    </w:p>
    <w:p w:rsidR="00591FCF" w:rsidRPr="00791061" w:rsidRDefault="00591FCF" w:rsidP="00C925A7">
      <w:pPr>
        <w:shd w:val="clear" w:color="auto" w:fill="FFFFFF"/>
        <w:spacing w:before="240"/>
        <w:jc w:val="both"/>
        <w:rPr>
          <w:szCs w:val="24"/>
        </w:rPr>
      </w:pPr>
      <w:proofErr w:type="spellStart"/>
      <w:r w:rsidRPr="00791061">
        <w:rPr>
          <w:szCs w:val="24"/>
        </w:rPr>
        <w:t>Olszowy</w:t>
      </w:r>
      <w:proofErr w:type="spellEnd"/>
      <w:r w:rsidRPr="00791061">
        <w:rPr>
          <w:szCs w:val="24"/>
        </w:rPr>
        <w:t xml:space="preserve"> H, Torr P, Imray P, et al (1995). Contaminated Sites Monograph No. 4: Trace Element Concentrations in Soils from Rural and Urban Areas of Australia. South Australian Health Commission 1995.</w:t>
      </w:r>
    </w:p>
    <w:sectPr w:rsidR="00591FCF" w:rsidRPr="00791061" w:rsidSect="00CE3819">
      <w:pgSz w:w="11909" w:h="16834"/>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CF1" w:rsidRDefault="00072CF1" w:rsidP="001470BE">
      <w:r>
        <w:separator/>
      </w:r>
    </w:p>
  </w:endnote>
  <w:endnote w:type="continuationSeparator" w:id="0">
    <w:p w:rsidR="00072CF1" w:rsidRDefault="00072CF1" w:rsidP="0014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479" w:rsidRPr="00C84479" w:rsidRDefault="00C84479" w:rsidP="00C84479">
    <w:pPr>
      <w:pStyle w:val="Footer"/>
      <w:pBdr>
        <w:top w:val="single" w:sz="2" w:space="1" w:color="auto"/>
      </w:pBdr>
      <w:tabs>
        <w:tab w:val="clear" w:pos="9360"/>
        <w:tab w:val="right" w:pos="10440"/>
      </w:tabs>
    </w:pPr>
    <w:r w:rsidRPr="00C84479">
      <w:rPr>
        <w:rFonts w:cs="BookAntiqua"/>
        <w:szCs w:val="16"/>
      </w:rPr>
      <w:t>Schedule B (1) - Guideline on Investigation Levels for Soil and Groundwater</w:t>
    </w:r>
    <w:r w:rsidRPr="00C84479">
      <w:tab/>
    </w:r>
    <w:sdt>
      <w:sdtPr>
        <w:id w:val="616025115"/>
        <w:docPartObj>
          <w:docPartGallery w:val="Page Numbers (Bottom of Page)"/>
          <w:docPartUnique/>
        </w:docPartObj>
      </w:sdtPr>
      <w:sdtEndPr>
        <w:rPr>
          <w:noProof/>
        </w:rPr>
      </w:sdtEndPr>
      <w:sdtContent>
        <w:r w:rsidRPr="00C84479">
          <w:fldChar w:fldCharType="begin"/>
        </w:r>
        <w:r w:rsidRPr="00C84479">
          <w:instrText xml:space="preserve"> PAGE   \* MERGEFORMAT </w:instrText>
        </w:r>
        <w:r w:rsidRPr="00C84479">
          <w:fldChar w:fldCharType="separate"/>
        </w:r>
        <w:r w:rsidR="00DF2268">
          <w:rPr>
            <w:noProof/>
          </w:rPr>
          <w:t>11</w:t>
        </w:r>
        <w:r w:rsidRPr="00C8447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CF1" w:rsidRDefault="00072CF1" w:rsidP="001470BE">
      <w:r>
        <w:separator/>
      </w:r>
    </w:p>
  </w:footnote>
  <w:footnote w:type="continuationSeparator" w:id="0">
    <w:p w:rsidR="00072CF1" w:rsidRDefault="00072CF1" w:rsidP="00147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11EBFEE"/>
    <w:lvl w:ilvl="0">
      <w:numFmt w:val="bullet"/>
      <w:lvlText w:val="*"/>
      <w:lvlJc w:val="left"/>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0"/>
    <w:lvlOverride w:ilvl="0">
      <w:lvl w:ilvl="0">
        <w:numFmt w:val="bullet"/>
        <w:lvlText w:val="•"/>
        <w:legacy w:legacy="1" w:legacySpace="0" w:legacyIndent="3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4"/>
    <w:rsid w:val="00024A93"/>
    <w:rsid w:val="00072CF1"/>
    <w:rsid w:val="00106448"/>
    <w:rsid w:val="001470BE"/>
    <w:rsid w:val="001A0C6D"/>
    <w:rsid w:val="00496836"/>
    <w:rsid w:val="004B66AD"/>
    <w:rsid w:val="00591FCF"/>
    <w:rsid w:val="006C285A"/>
    <w:rsid w:val="007411BA"/>
    <w:rsid w:val="00791061"/>
    <w:rsid w:val="00A938B7"/>
    <w:rsid w:val="00BD1C56"/>
    <w:rsid w:val="00C179A4"/>
    <w:rsid w:val="00C20FB9"/>
    <w:rsid w:val="00C727C6"/>
    <w:rsid w:val="00C84479"/>
    <w:rsid w:val="00C925A7"/>
    <w:rsid w:val="00CE3819"/>
    <w:rsid w:val="00DF2268"/>
    <w:rsid w:val="00E17F92"/>
    <w:rsid w:val="00E3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F70"/>
    <w:pPr>
      <w:ind w:left="720"/>
      <w:contextualSpacing/>
    </w:pPr>
  </w:style>
  <w:style w:type="paragraph" w:styleId="Header">
    <w:name w:val="header"/>
    <w:basedOn w:val="Normal"/>
    <w:link w:val="HeaderChar"/>
    <w:uiPriority w:val="99"/>
    <w:unhideWhenUsed/>
    <w:rsid w:val="001470BE"/>
    <w:pPr>
      <w:tabs>
        <w:tab w:val="center" w:pos="4680"/>
        <w:tab w:val="right" w:pos="9360"/>
      </w:tabs>
    </w:pPr>
  </w:style>
  <w:style w:type="character" w:customStyle="1" w:styleId="HeaderChar">
    <w:name w:val="Header Char"/>
    <w:basedOn w:val="DefaultParagraphFont"/>
    <w:link w:val="Header"/>
    <w:uiPriority w:val="99"/>
    <w:rsid w:val="001470BE"/>
    <w:rPr>
      <w:rFonts w:ascii="Times New Roman" w:hAnsi="Times New Roman"/>
      <w:sz w:val="20"/>
      <w:szCs w:val="20"/>
    </w:rPr>
  </w:style>
  <w:style w:type="paragraph" w:styleId="Footer">
    <w:name w:val="footer"/>
    <w:basedOn w:val="Normal"/>
    <w:link w:val="FooterChar"/>
    <w:uiPriority w:val="99"/>
    <w:unhideWhenUsed/>
    <w:rsid w:val="001470BE"/>
    <w:pPr>
      <w:tabs>
        <w:tab w:val="center" w:pos="4680"/>
        <w:tab w:val="right" w:pos="9360"/>
      </w:tabs>
    </w:pPr>
  </w:style>
  <w:style w:type="character" w:customStyle="1" w:styleId="FooterChar">
    <w:name w:val="Footer Char"/>
    <w:basedOn w:val="DefaultParagraphFont"/>
    <w:link w:val="Footer"/>
    <w:uiPriority w:val="99"/>
    <w:rsid w:val="001470BE"/>
    <w:rPr>
      <w:rFonts w:ascii="Times New Roman" w:hAnsi="Times New Roman"/>
      <w:sz w:val="20"/>
      <w:szCs w:val="20"/>
    </w:rPr>
  </w:style>
  <w:style w:type="paragraph" w:styleId="BalloonText">
    <w:name w:val="Balloon Text"/>
    <w:basedOn w:val="Normal"/>
    <w:link w:val="BalloonTextChar"/>
    <w:uiPriority w:val="99"/>
    <w:semiHidden/>
    <w:unhideWhenUsed/>
    <w:rsid w:val="00C727C6"/>
    <w:rPr>
      <w:rFonts w:ascii="Tahoma" w:hAnsi="Tahoma" w:cs="Tahoma"/>
      <w:sz w:val="16"/>
      <w:szCs w:val="16"/>
    </w:rPr>
  </w:style>
  <w:style w:type="character" w:customStyle="1" w:styleId="BalloonTextChar">
    <w:name w:val="Balloon Text Char"/>
    <w:basedOn w:val="DefaultParagraphFont"/>
    <w:link w:val="BalloonText"/>
    <w:uiPriority w:val="99"/>
    <w:semiHidden/>
    <w:rsid w:val="00C72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4432</Words>
  <Characters>25265</Characters>
  <Application>Microsoft Office Word</Application>
  <DocSecurity>0</DocSecurity>
  <Lines>210</Lines>
  <Paragraphs>59</Paragraphs>
  <ScaleCrop>false</ScaleCrop>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2023-01-10T22:31:00Z</dcterms:created>
  <dcterms:modified xsi:type="dcterms:W3CDTF">2023-01-10T22:31:00Z</dcterms:modified>
</cp:coreProperties>
</file>