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78" w:rsidRPr="0051180E" w:rsidRDefault="00AA4178" w:rsidP="00AA4178">
      <w:r w:rsidRPr="0051180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6547618" r:id="rId10"/>
        </w:object>
      </w:r>
    </w:p>
    <w:p w:rsidR="00AA4178" w:rsidRPr="0051180E" w:rsidRDefault="00AA4178" w:rsidP="00AA4178">
      <w:pPr>
        <w:pStyle w:val="ShortT"/>
        <w:spacing w:before="240"/>
      </w:pPr>
      <w:r w:rsidRPr="0051180E">
        <w:t>National Consumer Credit Protection (Fees) Regulations</w:t>
      </w:r>
      <w:r w:rsidR="0051180E">
        <w:t> </w:t>
      </w:r>
      <w:r w:rsidRPr="0051180E">
        <w:t>2010</w:t>
      </w:r>
    </w:p>
    <w:p w:rsidR="00057EF4" w:rsidRPr="0051180E" w:rsidRDefault="00057EF4" w:rsidP="00057EF4">
      <w:pPr>
        <w:pStyle w:val="CompiledActNo"/>
        <w:spacing w:before="240"/>
      </w:pPr>
      <w:r w:rsidRPr="0051180E">
        <w:t>Select Legislative Instrument No.</w:t>
      </w:r>
      <w:r w:rsidR="0051180E">
        <w:t> </w:t>
      </w:r>
      <w:r w:rsidRPr="0051180E">
        <w:t>43, 2010</w:t>
      </w:r>
    </w:p>
    <w:p w:rsidR="00057EF4" w:rsidRPr="0051180E" w:rsidRDefault="00057EF4" w:rsidP="00057EF4">
      <w:pPr>
        <w:pStyle w:val="MadeunderText"/>
      </w:pPr>
      <w:r w:rsidRPr="0051180E">
        <w:t>made under the</w:t>
      </w:r>
    </w:p>
    <w:p w:rsidR="00057EF4" w:rsidRPr="0051180E" w:rsidRDefault="00057EF4" w:rsidP="00057EF4">
      <w:pPr>
        <w:pStyle w:val="CompiledMadeUnder"/>
        <w:spacing w:before="240"/>
      </w:pPr>
      <w:r w:rsidRPr="0051180E">
        <w:t xml:space="preserve">National Consumer Credit Protection </w:t>
      </w:r>
      <w:r w:rsidR="00525E3D">
        <w:t xml:space="preserve">(Fees) </w:t>
      </w:r>
      <w:r w:rsidRPr="0051180E">
        <w:t>Act 2009</w:t>
      </w:r>
    </w:p>
    <w:p w:rsidR="00AA4178" w:rsidRPr="0051180E" w:rsidRDefault="00AA4178" w:rsidP="00AA4178">
      <w:pPr>
        <w:spacing w:before="1000"/>
        <w:rPr>
          <w:rFonts w:cs="Arial"/>
          <w:b/>
          <w:sz w:val="32"/>
          <w:szCs w:val="32"/>
        </w:rPr>
      </w:pPr>
      <w:r w:rsidRPr="0051180E">
        <w:rPr>
          <w:rFonts w:cs="Arial"/>
          <w:b/>
          <w:sz w:val="32"/>
          <w:szCs w:val="32"/>
        </w:rPr>
        <w:t>Compilation No.</w:t>
      </w:r>
      <w:r w:rsidR="0051180E">
        <w:rPr>
          <w:rFonts w:cs="Arial"/>
          <w:b/>
          <w:sz w:val="32"/>
          <w:szCs w:val="32"/>
        </w:rPr>
        <w:t> </w:t>
      </w:r>
      <w:r w:rsidRPr="0051180E">
        <w:rPr>
          <w:rFonts w:cs="Arial"/>
          <w:b/>
          <w:sz w:val="32"/>
          <w:szCs w:val="32"/>
        </w:rPr>
        <w:fldChar w:fldCharType="begin"/>
      </w:r>
      <w:r w:rsidRPr="0051180E">
        <w:rPr>
          <w:rFonts w:cs="Arial"/>
          <w:b/>
          <w:sz w:val="32"/>
          <w:szCs w:val="32"/>
        </w:rPr>
        <w:instrText xml:space="preserve"> DOCPROPERTY  CompilationNumber </w:instrText>
      </w:r>
      <w:r w:rsidRPr="0051180E">
        <w:rPr>
          <w:rFonts w:cs="Arial"/>
          <w:b/>
          <w:sz w:val="32"/>
          <w:szCs w:val="32"/>
        </w:rPr>
        <w:fldChar w:fldCharType="separate"/>
      </w:r>
      <w:r w:rsidR="000033F5">
        <w:rPr>
          <w:rFonts w:cs="Arial"/>
          <w:b/>
          <w:sz w:val="32"/>
          <w:szCs w:val="32"/>
        </w:rPr>
        <w:t>4</w:t>
      </w:r>
      <w:r w:rsidRPr="0051180E">
        <w:rPr>
          <w:rFonts w:cs="Arial"/>
          <w:b/>
          <w:sz w:val="32"/>
          <w:szCs w:val="32"/>
        </w:rPr>
        <w:fldChar w:fldCharType="end"/>
      </w:r>
    </w:p>
    <w:p w:rsidR="00AA4178" w:rsidRPr="0051180E" w:rsidRDefault="00AA4178" w:rsidP="00AA4178">
      <w:pPr>
        <w:spacing w:before="480"/>
        <w:rPr>
          <w:rFonts w:cs="Arial"/>
          <w:sz w:val="24"/>
        </w:rPr>
      </w:pPr>
      <w:r w:rsidRPr="0051180E">
        <w:rPr>
          <w:rFonts w:cs="Arial"/>
          <w:b/>
          <w:sz w:val="24"/>
        </w:rPr>
        <w:t>Compilation date:</w:t>
      </w:r>
      <w:r w:rsidRPr="0051180E">
        <w:rPr>
          <w:rFonts w:cs="Arial"/>
          <w:b/>
          <w:sz w:val="24"/>
        </w:rPr>
        <w:tab/>
      </w:r>
      <w:r w:rsidRPr="0051180E">
        <w:rPr>
          <w:rFonts w:cs="Arial"/>
          <w:b/>
          <w:sz w:val="24"/>
        </w:rPr>
        <w:tab/>
      </w:r>
      <w:r w:rsidRPr="0051180E">
        <w:rPr>
          <w:rFonts w:cs="Arial"/>
          <w:b/>
          <w:sz w:val="24"/>
        </w:rPr>
        <w:tab/>
      </w:r>
      <w:r w:rsidRPr="0051180E">
        <w:rPr>
          <w:rFonts w:cs="Arial"/>
          <w:sz w:val="24"/>
        </w:rPr>
        <w:fldChar w:fldCharType="begin"/>
      </w:r>
      <w:r w:rsidRPr="0051180E">
        <w:rPr>
          <w:rFonts w:cs="Arial"/>
          <w:sz w:val="24"/>
        </w:rPr>
        <w:instrText xml:space="preserve"> DOCPROPERTY StartDate \@ "d MMMM yyyy" \*MERGEFORMAT </w:instrText>
      </w:r>
      <w:r w:rsidRPr="0051180E">
        <w:rPr>
          <w:rFonts w:cs="Arial"/>
          <w:sz w:val="24"/>
        </w:rPr>
        <w:fldChar w:fldCharType="separate"/>
      </w:r>
      <w:r w:rsidR="000033F5" w:rsidRPr="000033F5">
        <w:rPr>
          <w:rFonts w:cs="Arial"/>
          <w:bCs/>
          <w:sz w:val="24"/>
        </w:rPr>
        <w:t>4 July</w:t>
      </w:r>
      <w:r w:rsidR="000033F5">
        <w:rPr>
          <w:rFonts w:cs="Arial"/>
          <w:sz w:val="24"/>
        </w:rPr>
        <w:t xml:space="preserve"> 2018</w:t>
      </w:r>
      <w:r w:rsidRPr="0051180E">
        <w:rPr>
          <w:rFonts w:cs="Arial"/>
          <w:sz w:val="24"/>
        </w:rPr>
        <w:fldChar w:fldCharType="end"/>
      </w:r>
    </w:p>
    <w:p w:rsidR="00AA4178" w:rsidRPr="0051180E" w:rsidRDefault="00AA4178" w:rsidP="00AA4178">
      <w:pPr>
        <w:spacing w:before="240"/>
        <w:rPr>
          <w:rFonts w:cs="Arial"/>
          <w:sz w:val="24"/>
        </w:rPr>
      </w:pPr>
      <w:r w:rsidRPr="0051180E">
        <w:rPr>
          <w:rFonts w:cs="Arial"/>
          <w:b/>
          <w:sz w:val="24"/>
        </w:rPr>
        <w:t>Includes amendments up to:</w:t>
      </w:r>
      <w:r w:rsidRPr="0051180E">
        <w:rPr>
          <w:rFonts w:cs="Arial"/>
          <w:b/>
          <w:sz w:val="24"/>
        </w:rPr>
        <w:tab/>
      </w:r>
      <w:r w:rsidRPr="0051180E">
        <w:rPr>
          <w:rFonts w:cs="Arial"/>
          <w:sz w:val="24"/>
        </w:rPr>
        <w:fldChar w:fldCharType="begin"/>
      </w:r>
      <w:r w:rsidRPr="0051180E">
        <w:rPr>
          <w:rFonts w:cs="Arial"/>
          <w:sz w:val="24"/>
        </w:rPr>
        <w:instrText xml:space="preserve"> DOCPROPERTY IncludesUpTo </w:instrText>
      </w:r>
      <w:r w:rsidRPr="0051180E">
        <w:rPr>
          <w:rFonts w:cs="Arial"/>
          <w:sz w:val="24"/>
        </w:rPr>
        <w:fldChar w:fldCharType="separate"/>
      </w:r>
      <w:r w:rsidR="000033F5">
        <w:rPr>
          <w:rFonts w:cs="Arial"/>
          <w:sz w:val="24"/>
        </w:rPr>
        <w:t>F2018L00965</w:t>
      </w:r>
      <w:r w:rsidRPr="0051180E">
        <w:rPr>
          <w:rFonts w:cs="Arial"/>
          <w:sz w:val="24"/>
        </w:rPr>
        <w:fldChar w:fldCharType="end"/>
      </w:r>
    </w:p>
    <w:p w:rsidR="00AA4178" w:rsidRPr="0051180E" w:rsidRDefault="00AA4178" w:rsidP="00AA4178">
      <w:pPr>
        <w:spacing w:before="240"/>
        <w:rPr>
          <w:rFonts w:cs="Arial"/>
          <w:sz w:val="28"/>
          <w:szCs w:val="28"/>
        </w:rPr>
      </w:pPr>
      <w:r w:rsidRPr="0051180E">
        <w:rPr>
          <w:rFonts w:cs="Arial"/>
          <w:b/>
          <w:sz w:val="24"/>
        </w:rPr>
        <w:t>Registered:</w:t>
      </w:r>
      <w:r w:rsidRPr="0051180E">
        <w:rPr>
          <w:rFonts w:cs="Arial"/>
          <w:b/>
          <w:sz w:val="24"/>
        </w:rPr>
        <w:tab/>
      </w:r>
      <w:r w:rsidRPr="0051180E">
        <w:rPr>
          <w:rFonts w:cs="Arial"/>
          <w:b/>
          <w:sz w:val="24"/>
        </w:rPr>
        <w:tab/>
      </w:r>
      <w:r w:rsidRPr="0051180E">
        <w:rPr>
          <w:rFonts w:cs="Arial"/>
          <w:b/>
          <w:sz w:val="24"/>
        </w:rPr>
        <w:tab/>
      </w:r>
      <w:r w:rsidRPr="0051180E">
        <w:rPr>
          <w:rFonts w:cs="Arial"/>
          <w:b/>
          <w:sz w:val="24"/>
        </w:rPr>
        <w:tab/>
      </w:r>
      <w:r w:rsidRPr="0051180E">
        <w:rPr>
          <w:rFonts w:cs="Arial"/>
          <w:sz w:val="24"/>
        </w:rPr>
        <w:fldChar w:fldCharType="begin"/>
      </w:r>
      <w:r w:rsidRPr="0051180E">
        <w:rPr>
          <w:rFonts w:cs="Arial"/>
          <w:sz w:val="24"/>
        </w:rPr>
        <w:instrText xml:space="preserve"> IF </w:instrText>
      </w:r>
      <w:r w:rsidRPr="0051180E">
        <w:rPr>
          <w:rFonts w:cs="Arial"/>
          <w:sz w:val="24"/>
        </w:rPr>
        <w:fldChar w:fldCharType="begin"/>
      </w:r>
      <w:r w:rsidRPr="0051180E">
        <w:rPr>
          <w:rFonts w:cs="Arial"/>
          <w:sz w:val="24"/>
        </w:rPr>
        <w:instrText xml:space="preserve"> DOCPROPERTY RegisteredDate </w:instrText>
      </w:r>
      <w:r w:rsidRPr="0051180E">
        <w:rPr>
          <w:rFonts w:cs="Arial"/>
          <w:sz w:val="24"/>
        </w:rPr>
        <w:fldChar w:fldCharType="separate"/>
      </w:r>
      <w:r w:rsidR="000033F5">
        <w:rPr>
          <w:rFonts w:cs="Arial"/>
          <w:sz w:val="24"/>
        </w:rPr>
        <w:instrText>6 August 2018</w:instrText>
      </w:r>
      <w:r w:rsidRPr="0051180E">
        <w:rPr>
          <w:rFonts w:cs="Arial"/>
          <w:sz w:val="24"/>
        </w:rPr>
        <w:fldChar w:fldCharType="end"/>
      </w:r>
      <w:r w:rsidRPr="0051180E">
        <w:rPr>
          <w:rFonts w:cs="Arial"/>
          <w:sz w:val="24"/>
        </w:rPr>
        <w:instrText xml:space="preserve"> = #1/1/1901# "Unknown" </w:instrText>
      </w:r>
      <w:r w:rsidRPr="0051180E">
        <w:rPr>
          <w:rFonts w:cs="Arial"/>
          <w:sz w:val="24"/>
        </w:rPr>
        <w:fldChar w:fldCharType="begin"/>
      </w:r>
      <w:r w:rsidRPr="0051180E">
        <w:rPr>
          <w:rFonts w:cs="Arial"/>
          <w:sz w:val="24"/>
        </w:rPr>
        <w:instrText xml:space="preserve"> DOCPROPERTY RegisteredDate \@ "d MMMM yyyy" </w:instrText>
      </w:r>
      <w:r w:rsidRPr="0051180E">
        <w:rPr>
          <w:rFonts w:cs="Arial"/>
          <w:sz w:val="24"/>
        </w:rPr>
        <w:fldChar w:fldCharType="separate"/>
      </w:r>
      <w:r w:rsidR="000033F5">
        <w:rPr>
          <w:rFonts w:cs="Arial"/>
          <w:sz w:val="24"/>
        </w:rPr>
        <w:instrText>6 August 2018</w:instrText>
      </w:r>
      <w:r w:rsidRPr="0051180E">
        <w:rPr>
          <w:rFonts w:cs="Arial"/>
          <w:sz w:val="24"/>
        </w:rPr>
        <w:fldChar w:fldCharType="end"/>
      </w:r>
      <w:r w:rsidRPr="0051180E">
        <w:rPr>
          <w:rFonts w:cs="Arial"/>
          <w:sz w:val="24"/>
        </w:rPr>
        <w:instrText xml:space="preserve"> \*MERGEFORMAT </w:instrText>
      </w:r>
      <w:r w:rsidRPr="0051180E">
        <w:rPr>
          <w:rFonts w:cs="Arial"/>
          <w:sz w:val="24"/>
        </w:rPr>
        <w:fldChar w:fldCharType="separate"/>
      </w:r>
      <w:r w:rsidR="000033F5">
        <w:rPr>
          <w:rFonts w:cs="Arial"/>
          <w:noProof/>
          <w:sz w:val="24"/>
        </w:rPr>
        <w:t>6 August 2018</w:t>
      </w:r>
      <w:r w:rsidRPr="0051180E">
        <w:rPr>
          <w:rFonts w:cs="Arial"/>
          <w:sz w:val="24"/>
        </w:rPr>
        <w:fldChar w:fldCharType="end"/>
      </w:r>
    </w:p>
    <w:p w:rsidR="00AA4178" w:rsidRPr="0051180E" w:rsidRDefault="00AA4178" w:rsidP="00AA4178">
      <w:pPr>
        <w:rPr>
          <w:b/>
          <w:szCs w:val="22"/>
        </w:rPr>
      </w:pPr>
    </w:p>
    <w:p w:rsidR="00AA4178" w:rsidRPr="0051180E" w:rsidRDefault="00AA4178" w:rsidP="00AA4178">
      <w:pPr>
        <w:pageBreakBefore/>
        <w:rPr>
          <w:rFonts w:cs="Arial"/>
          <w:b/>
          <w:sz w:val="32"/>
          <w:szCs w:val="32"/>
        </w:rPr>
      </w:pPr>
      <w:r w:rsidRPr="0051180E">
        <w:rPr>
          <w:rFonts w:cs="Arial"/>
          <w:b/>
          <w:sz w:val="32"/>
          <w:szCs w:val="32"/>
        </w:rPr>
        <w:lastRenderedPageBreak/>
        <w:t>About this compilation</w:t>
      </w:r>
    </w:p>
    <w:p w:rsidR="00AA4178" w:rsidRPr="0051180E" w:rsidRDefault="00AA4178" w:rsidP="00AA4178">
      <w:pPr>
        <w:spacing w:before="240"/>
        <w:rPr>
          <w:rFonts w:cs="Arial"/>
        </w:rPr>
      </w:pPr>
      <w:r w:rsidRPr="0051180E">
        <w:rPr>
          <w:rFonts w:cs="Arial"/>
          <w:b/>
          <w:szCs w:val="22"/>
        </w:rPr>
        <w:t>This compilation</w:t>
      </w:r>
    </w:p>
    <w:p w:rsidR="00AA4178" w:rsidRPr="0051180E" w:rsidRDefault="00AA4178" w:rsidP="00AA4178">
      <w:pPr>
        <w:spacing w:before="120" w:after="120"/>
        <w:rPr>
          <w:rFonts w:cs="Arial"/>
          <w:szCs w:val="22"/>
        </w:rPr>
      </w:pPr>
      <w:r w:rsidRPr="0051180E">
        <w:rPr>
          <w:rFonts w:cs="Arial"/>
          <w:szCs w:val="22"/>
        </w:rPr>
        <w:t xml:space="preserve">This is a compilation of the </w:t>
      </w:r>
      <w:r w:rsidRPr="0051180E">
        <w:rPr>
          <w:rFonts w:cs="Arial"/>
          <w:i/>
          <w:szCs w:val="22"/>
        </w:rPr>
        <w:fldChar w:fldCharType="begin"/>
      </w:r>
      <w:r w:rsidRPr="0051180E">
        <w:rPr>
          <w:rFonts w:cs="Arial"/>
          <w:i/>
          <w:szCs w:val="22"/>
        </w:rPr>
        <w:instrText xml:space="preserve"> STYLEREF  ShortT </w:instrText>
      </w:r>
      <w:r w:rsidRPr="0051180E">
        <w:rPr>
          <w:rFonts w:cs="Arial"/>
          <w:i/>
          <w:szCs w:val="22"/>
        </w:rPr>
        <w:fldChar w:fldCharType="separate"/>
      </w:r>
      <w:r w:rsidR="000033F5">
        <w:rPr>
          <w:rFonts w:cs="Arial"/>
          <w:i/>
          <w:noProof/>
          <w:szCs w:val="22"/>
        </w:rPr>
        <w:t>National Consumer Credit Protection (Fees) Regulations 2010</w:t>
      </w:r>
      <w:r w:rsidRPr="0051180E">
        <w:rPr>
          <w:rFonts w:cs="Arial"/>
          <w:i/>
          <w:szCs w:val="22"/>
        </w:rPr>
        <w:fldChar w:fldCharType="end"/>
      </w:r>
      <w:r w:rsidRPr="0051180E">
        <w:rPr>
          <w:rFonts w:cs="Arial"/>
          <w:szCs w:val="22"/>
        </w:rPr>
        <w:t xml:space="preserve"> that shows the text of the law as amended and in force on </w:t>
      </w:r>
      <w:r w:rsidRPr="0051180E">
        <w:rPr>
          <w:rFonts w:cs="Arial"/>
          <w:szCs w:val="22"/>
        </w:rPr>
        <w:fldChar w:fldCharType="begin"/>
      </w:r>
      <w:r w:rsidRPr="0051180E">
        <w:rPr>
          <w:rFonts w:cs="Arial"/>
          <w:szCs w:val="22"/>
        </w:rPr>
        <w:instrText xml:space="preserve"> DOCPROPERTY StartDate \@ "d MMMM yyyy" </w:instrText>
      </w:r>
      <w:r w:rsidRPr="0051180E">
        <w:rPr>
          <w:rFonts w:cs="Arial"/>
          <w:szCs w:val="22"/>
        </w:rPr>
        <w:fldChar w:fldCharType="separate"/>
      </w:r>
      <w:r w:rsidR="000033F5">
        <w:rPr>
          <w:rFonts w:cs="Arial"/>
          <w:szCs w:val="22"/>
        </w:rPr>
        <w:t>4 July 2018</w:t>
      </w:r>
      <w:r w:rsidRPr="0051180E">
        <w:rPr>
          <w:rFonts w:cs="Arial"/>
          <w:szCs w:val="22"/>
        </w:rPr>
        <w:fldChar w:fldCharType="end"/>
      </w:r>
      <w:r w:rsidRPr="0051180E">
        <w:rPr>
          <w:rFonts w:cs="Arial"/>
          <w:szCs w:val="22"/>
        </w:rPr>
        <w:t xml:space="preserve"> (the </w:t>
      </w:r>
      <w:r w:rsidRPr="0051180E">
        <w:rPr>
          <w:rFonts w:cs="Arial"/>
          <w:b/>
          <w:i/>
          <w:szCs w:val="22"/>
        </w:rPr>
        <w:t>compilation date</w:t>
      </w:r>
      <w:r w:rsidRPr="0051180E">
        <w:rPr>
          <w:rFonts w:cs="Arial"/>
          <w:szCs w:val="22"/>
        </w:rPr>
        <w:t>).</w:t>
      </w:r>
    </w:p>
    <w:p w:rsidR="00AA4178" w:rsidRPr="0051180E" w:rsidRDefault="00AA4178" w:rsidP="00AA4178">
      <w:pPr>
        <w:spacing w:after="120"/>
        <w:rPr>
          <w:rFonts w:cs="Arial"/>
          <w:szCs w:val="22"/>
        </w:rPr>
      </w:pPr>
      <w:r w:rsidRPr="0051180E">
        <w:rPr>
          <w:rFonts w:cs="Arial"/>
          <w:szCs w:val="22"/>
        </w:rPr>
        <w:t xml:space="preserve">The notes at the end of this compilation (the </w:t>
      </w:r>
      <w:r w:rsidRPr="0051180E">
        <w:rPr>
          <w:rFonts w:cs="Arial"/>
          <w:b/>
          <w:i/>
          <w:szCs w:val="22"/>
        </w:rPr>
        <w:t>endnotes</w:t>
      </w:r>
      <w:r w:rsidRPr="0051180E">
        <w:rPr>
          <w:rFonts w:cs="Arial"/>
          <w:szCs w:val="22"/>
        </w:rPr>
        <w:t>) include information about amending laws and the amendment history of provisions of the compiled law.</w:t>
      </w:r>
    </w:p>
    <w:p w:rsidR="00AA4178" w:rsidRPr="0051180E" w:rsidRDefault="00AA4178" w:rsidP="00AA4178">
      <w:pPr>
        <w:tabs>
          <w:tab w:val="left" w:pos="5640"/>
        </w:tabs>
        <w:spacing w:before="120" w:after="120"/>
        <w:rPr>
          <w:rFonts w:cs="Arial"/>
          <w:b/>
          <w:szCs w:val="22"/>
        </w:rPr>
      </w:pPr>
      <w:r w:rsidRPr="0051180E">
        <w:rPr>
          <w:rFonts w:cs="Arial"/>
          <w:b/>
          <w:szCs w:val="22"/>
        </w:rPr>
        <w:t>Uncommenced amendments</w:t>
      </w:r>
    </w:p>
    <w:p w:rsidR="00AA4178" w:rsidRPr="0051180E" w:rsidRDefault="00AA4178" w:rsidP="00AA4178">
      <w:pPr>
        <w:spacing w:after="120"/>
        <w:rPr>
          <w:rFonts w:cs="Arial"/>
          <w:szCs w:val="22"/>
        </w:rPr>
      </w:pPr>
      <w:r w:rsidRPr="0051180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4178" w:rsidRPr="0051180E" w:rsidRDefault="00AA4178" w:rsidP="00AA4178">
      <w:pPr>
        <w:spacing w:before="120" w:after="120"/>
        <w:rPr>
          <w:rFonts w:cs="Arial"/>
          <w:b/>
          <w:szCs w:val="22"/>
        </w:rPr>
      </w:pPr>
      <w:r w:rsidRPr="0051180E">
        <w:rPr>
          <w:rFonts w:cs="Arial"/>
          <w:b/>
          <w:szCs w:val="22"/>
        </w:rPr>
        <w:t>Application, saving and transitional provisions for provisions and amendments</w:t>
      </w:r>
    </w:p>
    <w:p w:rsidR="00AA4178" w:rsidRPr="0051180E" w:rsidRDefault="00AA4178" w:rsidP="00AA4178">
      <w:pPr>
        <w:spacing w:after="120"/>
        <w:rPr>
          <w:rFonts w:cs="Arial"/>
          <w:szCs w:val="22"/>
        </w:rPr>
      </w:pPr>
      <w:r w:rsidRPr="0051180E">
        <w:rPr>
          <w:rFonts w:cs="Arial"/>
          <w:szCs w:val="22"/>
        </w:rPr>
        <w:t>If the operation of a provision or amendment of the compiled law is affected by an application, saving or transitional provision that is not included in this compilation, details are included in the endnotes.</w:t>
      </w:r>
    </w:p>
    <w:p w:rsidR="00AA4178" w:rsidRPr="0051180E" w:rsidRDefault="00AA4178" w:rsidP="00AA4178">
      <w:pPr>
        <w:spacing w:after="120"/>
        <w:rPr>
          <w:rFonts w:cs="Arial"/>
          <w:b/>
          <w:szCs w:val="22"/>
        </w:rPr>
      </w:pPr>
      <w:r w:rsidRPr="0051180E">
        <w:rPr>
          <w:rFonts w:cs="Arial"/>
          <w:b/>
          <w:szCs w:val="22"/>
        </w:rPr>
        <w:t>Editorial changes</w:t>
      </w:r>
    </w:p>
    <w:p w:rsidR="00AA4178" w:rsidRPr="0051180E" w:rsidRDefault="00AA4178" w:rsidP="00AA4178">
      <w:pPr>
        <w:spacing w:after="120"/>
        <w:rPr>
          <w:rFonts w:cs="Arial"/>
          <w:szCs w:val="22"/>
        </w:rPr>
      </w:pPr>
      <w:r w:rsidRPr="0051180E">
        <w:rPr>
          <w:rFonts w:cs="Arial"/>
          <w:szCs w:val="22"/>
        </w:rPr>
        <w:t>For more information about any editorial changes made in this compilation, see the endnotes.</w:t>
      </w:r>
    </w:p>
    <w:p w:rsidR="00AA4178" w:rsidRPr="0051180E" w:rsidRDefault="00AA4178" w:rsidP="00AA4178">
      <w:pPr>
        <w:spacing w:before="120" w:after="120"/>
        <w:rPr>
          <w:rFonts w:cs="Arial"/>
          <w:b/>
          <w:szCs w:val="22"/>
        </w:rPr>
      </w:pPr>
      <w:r w:rsidRPr="0051180E">
        <w:rPr>
          <w:rFonts w:cs="Arial"/>
          <w:b/>
          <w:szCs w:val="22"/>
        </w:rPr>
        <w:t>Modifications</w:t>
      </w:r>
    </w:p>
    <w:p w:rsidR="00AA4178" w:rsidRPr="0051180E" w:rsidRDefault="00AA4178" w:rsidP="00AA4178">
      <w:pPr>
        <w:spacing w:after="120"/>
        <w:rPr>
          <w:rFonts w:cs="Arial"/>
          <w:szCs w:val="22"/>
        </w:rPr>
      </w:pPr>
      <w:r w:rsidRPr="0051180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4178" w:rsidRPr="0051180E" w:rsidRDefault="00AA4178" w:rsidP="00AA4178">
      <w:pPr>
        <w:spacing w:before="80" w:after="120"/>
        <w:rPr>
          <w:rFonts w:cs="Arial"/>
          <w:b/>
          <w:szCs w:val="22"/>
        </w:rPr>
      </w:pPr>
      <w:r w:rsidRPr="0051180E">
        <w:rPr>
          <w:rFonts w:cs="Arial"/>
          <w:b/>
          <w:szCs w:val="22"/>
        </w:rPr>
        <w:t>Self</w:t>
      </w:r>
      <w:r w:rsidR="0051180E">
        <w:rPr>
          <w:rFonts w:cs="Arial"/>
          <w:b/>
          <w:szCs w:val="22"/>
        </w:rPr>
        <w:noBreakHyphen/>
      </w:r>
      <w:r w:rsidRPr="0051180E">
        <w:rPr>
          <w:rFonts w:cs="Arial"/>
          <w:b/>
          <w:szCs w:val="22"/>
        </w:rPr>
        <w:t>repealing provisions</w:t>
      </w:r>
    </w:p>
    <w:p w:rsidR="00AA4178" w:rsidRPr="0051180E" w:rsidRDefault="00AA4178" w:rsidP="00AA4178">
      <w:pPr>
        <w:spacing w:after="120"/>
        <w:rPr>
          <w:rFonts w:cs="Arial"/>
          <w:szCs w:val="22"/>
        </w:rPr>
      </w:pPr>
      <w:r w:rsidRPr="0051180E">
        <w:rPr>
          <w:rFonts w:cs="Arial"/>
          <w:szCs w:val="22"/>
        </w:rPr>
        <w:t>If a provision of the compiled law has been repealed in accordance with a provision of the law, details are included in the endnotes.</w:t>
      </w:r>
    </w:p>
    <w:p w:rsidR="00AA4178" w:rsidRPr="0051180E" w:rsidRDefault="00AA4178" w:rsidP="00AA4178">
      <w:pPr>
        <w:pStyle w:val="Header"/>
        <w:tabs>
          <w:tab w:val="clear" w:pos="4150"/>
          <w:tab w:val="clear" w:pos="8307"/>
        </w:tabs>
      </w:pPr>
      <w:r w:rsidRPr="0051180E">
        <w:rPr>
          <w:rStyle w:val="CharChapNo"/>
        </w:rPr>
        <w:t xml:space="preserve"> </w:t>
      </w:r>
      <w:r w:rsidRPr="0051180E">
        <w:rPr>
          <w:rStyle w:val="CharChapText"/>
        </w:rPr>
        <w:t xml:space="preserve"> </w:t>
      </w:r>
    </w:p>
    <w:p w:rsidR="00AA4178" w:rsidRPr="0051180E" w:rsidRDefault="00AA4178" w:rsidP="00AA4178">
      <w:pPr>
        <w:pStyle w:val="Header"/>
        <w:tabs>
          <w:tab w:val="clear" w:pos="4150"/>
          <w:tab w:val="clear" w:pos="8307"/>
        </w:tabs>
      </w:pPr>
      <w:r w:rsidRPr="0051180E">
        <w:rPr>
          <w:rStyle w:val="CharPartNo"/>
        </w:rPr>
        <w:t xml:space="preserve"> </w:t>
      </w:r>
      <w:r w:rsidRPr="0051180E">
        <w:rPr>
          <w:rStyle w:val="CharPartText"/>
        </w:rPr>
        <w:t xml:space="preserve"> </w:t>
      </w:r>
    </w:p>
    <w:p w:rsidR="00AA4178" w:rsidRPr="0051180E" w:rsidRDefault="00AA4178" w:rsidP="00AA4178">
      <w:pPr>
        <w:pStyle w:val="Header"/>
        <w:tabs>
          <w:tab w:val="clear" w:pos="4150"/>
          <w:tab w:val="clear" w:pos="8307"/>
        </w:tabs>
      </w:pPr>
      <w:r w:rsidRPr="0051180E">
        <w:rPr>
          <w:rStyle w:val="CharDivNo"/>
        </w:rPr>
        <w:t xml:space="preserve"> </w:t>
      </w:r>
      <w:r w:rsidRPr="0051180E">
        <w:rPr>
          <w:rStyle w:val="CharDivText"/>
        </w:rPr>
        <w:t xml:space="preserve"> </w:t>
      </w:r>
    </w:p>
    <w:p w:rsidR="00AA4178" w:rsidRPr="0051180E" w:rsidRDefault="00AA4178" w:rsidP="00AA4178">
      <w:pPr>
        <w:sectPr w:rsidR="00AA4178" w:rsidRPr="0051180E" w:rsidSect="000F043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66616" w:rsidRPr="0051180E" w:rsidRDefault="00B66616" w:rsidP="000E0C28">
      <w:pPr>
        <w:rPr>
          <w:sz w:val="36"/>
        </w:rPr>
      </w:pPr>
      <w:r w:rsidRPr="0051180E">
        <w:rPr>
          <w:sz w:val="36"/>
        </w:rPr>
        <w:lastRenderedPageBreak/>
        <w:t>Contents</w:t>
      </w:r>
    </w:p>
    <w:p w:rsidR="00425C42" w:rsidRDefault="00146363">
      <w:pPr>
        <w:pStyle w:val="TOC5"/>
        <w:rPr>
          <w:rFonts w:asciiTheme="minorHAnsi" w:eastAsiaTheme="minorEastAsia" w:hAnsiTheme="minorHAnsi" w:cstheme="minorBidi"/>
          <w:noProof/>
          <w:kern w:val="0"/>
          <w:sz w:val="22"/>
          <w:szCs w:val="22"/>
        </w:rPr>
      </w:pPr>
      <w:r w:rsidRPr="00425C42">
        <w:fldChar w:fldCharType="begin"/>
      </w:r>
      <w:r w:rsidRPr="0051180E">
        <w:instrText xml:space="preserve"> TOC \o "1-9" </w:instrText>
      </w:r>
      <w:r w:rsidRPr="00425C42">
        <w:fldChar w:fldCharType="separate"/>
      </w:r>
      <w:r w:rsidR="00425C42">
        <w:rPr>
          <w:noProof/>
        </w:rPr>
        <w:t>1</w:t>
      </w:r>
      <w:r w:rsidR="00425C42">
        <w:rPr>
          <w:noProof/>
        </w:rPr>
        <w:tab/>
        <w:t>Name of Regulations</w:t>
      </w:r>
      <w:r w:rsidR="00425C42" w:rsidRPr="00425C42">
        <w:rPr>
          <w:noProof/>
        </w:rPr>
        <w:tab/>
      </w:r>
      <w:r w:rsidR="00425C42" w:rsidRPr="00425C42">
        <w:rPr>
          <w:noProof/>
        </w:rPr>
        <w:fldChar w:fldCharType="begin"/>
      </w:r>
      <w:r w:rsidR="00425C42" w:rsidRPr="00425C42">
        <w:rPr>
          <w:noProof/>
        </w:rPr>
        <w:instrText xml:space="preserve"> PAGEREF _Toc521330297 \h </w:instrText>
      </w:r>
      <w:r w:rsidR="00425C42" w:rsidRPr="00425C42">
        <w:rPr>
          <w:noProof/>
        </w:rPr>
      </w:r>
      <w:r w:rsidR="00425C42" w:rsidRPr="00425C42">
        <w:rPr>
          <w:noProof/>
        </w:rPr>
        <w:fldChar w:fldCharType="separate"/>
      </w:r>
      <w:r w:rsidR="000033F5">
        <w:rPr>
          <w:noProof/>
        </w:rPr>
        <w:t>1</w:t>
      </w:r>
      <w:r w:rsidR="00425C42" w:rsidRPr="00425C42">
        <w:rPr>
          <w:noProof/>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3</w:t>
      </w:r>
      <w:r>
        <w:rPr>
          <w:noProof/>
        </w:rPr>
        <w:tab/>
        <w:t>Definitions</w:t>
      </w:r>
      <w:r w:rsidRPr="00425C42">
        <w:rPr>
          <w:noProof/>
        </w:rPr>
        <w:tab/>
      </w:r>
      <w:r w:rsidRPr="00425C42">
        <w:rPr>
          <w:noProof/>
        </w:rPr>
        <w:fldChar w:fldCharType="begin"/>
      </w:r>
      <w:r w:rsidRPr="00425C42">
        <w:rPr>
          <w:noProof/>
        </w:rPr>
        <w:instrText xml:space="preserve"> PAGEREF _Toc521330298 \h </w:instrText>
      </w:r>
      <w:r w:rsidRPr="00425C42">
        <w:rPr>
          <w:noProof/>
        </w:rPr>
      </w:r>
      <w:r w:rsidRPr="00425C42">
        <w:rPr>
          <w:noProof/>
        </w:rPr>
        <w:fldChar w:fldCharType="separate"/>
      </w:r>
      <w:r w:rsidR="000033F5">
        <w:rPr>
          <w:noProof/>
        </w:rPr>
        <w:t>1</w:t>
      </w:r>
      <w:r w:rsidRPr="00425C42">
        <w:rPr>
          <w:noProof/>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4</w:t>
      </w:r>
      <w:r>
        <w:rPr>
          <w:noProof/>
        </w:rPr>
        <w:tab/>
        <w:t>Prescribed fees—chargeable matters in Schedule 1</w:t>
      </w:r>
      <w:r w:rsidRPr="00425C42">
        <w:rPr>
          <w:noProof/>
        </w:rPr>
        <w:tab/>
      </w:r>
      <w:r w:rsidRPr="00425C42">
        <w:rPr>
          <w:noProof/>
        </w:rPr>
        <w:fldChar w:fldCharType="begin"/>
      </w:r>
      <w:r w:rsidRPr="00425C42">
        <w:rPr>
          <w:noProof/>
        </w:rPr>
        <w:instrText xml:space="preserve"> PAGEREF _Toc521330299 \h </w:instrText>
      </w:r>
      <w:r w:rsidRPr="00425C42">
        <w:rPr>
          <w:noProof/>
        </w:rPr>
      </w:r>
      <w:r w:rsidRPr="00425C42">
        <w:rPr>
          <w:noProof/>
        </w:rPr>
        <w:fldChar w:fldCharType="separate"/>
      </w:r>
      <w:r w:rsidR="000033F5">
        <w:rPr>
          <w:noProof/>
        </w:rPr>
        <w:t>1</w:t>
      </w:r>
      <w:r w:rsidRPr="00425C42">
        <w:rPr>
          <w:noProof/>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5</w:t>
      </w:r>
      <w:r>
        <w:rPr>
          <w:noProof/>
        </w:rPr>
        <w:tab/>
        <w:t>Prescribed fees—chargeable matters in Schedule 2</w:t>
      </w:r>
      <w:r w:rsidRPr="00425C42">
        <w:rPr>
          <w:noProof/>
        </w:rPr>
        <w:tab/>
      </w:r>
      <w:r w:rsidRPr="00425C42">
        <w:rPr>
          <w:noProof/>
        </w:rPr>
        <w:fldChar w:fldCharType="begin"/>
      </w:r>
      <w:r w:rsidRPr="00425C42">
        <w:rPr>
          <w:noProof/>
        </w:rPr>
        <w:instrText xml:space="preserve"> PAGEREF _Toc521330300 \h </w:instrText>
      </w:r>
      <w:r w:rsidRPr="00425C42">
        <w:rPr>
          <w:noProof/>
        </w:rPr>
      </w:r>
      <w:r w:rsidRPr="00425C42">
        <w:rPr>
          <w:noProof/>
        </w:rPr>
        <w:fldChar w:fldCharType="separate"/>
      </w:r>
      <w:r w:rsidR="000033F5">
        <w:rPr>
          <w:noProof/>
        </w:rPr>
        <w:t>2</w:t>
      </w:r>
      <w:r w:rsidRPr="00425C42">
        <w:rPr>
          <w:noProof/>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6</w:t>
      </w:r>
      <w:r>
        <w:rPr>
          <w:noProof/>
        </w:rPr>
        <w:tab/>
        <w:t>Indexation of fees</w:t>
      </w:r>
      <w:r w:rsidRPr="00425C42">
        <w:rPr>
          <w:noProof/>
        </w:rPr>
        <w:tab/>
      </w:r>
      <w:r w:rsidRPr="00425C42">
        <w:rPr>
          <w:noProof/>
        </w:rPr>
        <w:fldChar w:fldCharType="begin"/>
      </w:r>
      <w:r w:rsidRPr="00425C42">
        <w:rPr>
          <w:noProof/>
        </w:rPr>
        <w:instrText xml:space="preserve"> PAGEREF _Toc521330301 \h </w:instrText>
      </w:r>
      <w:r w:rsidRPr="00425C42">
        <w:rPr>
          <w:noProof/>
        </w:rPr>
      </w:r>
      <w:r w:rsidRPr="00425C42">
        <w:rPr>
          <w:noProof/>
        </w:rPr>
        <w:fldChar w:fldCharType="separate"/>
      </w:r>
      <w:r w:rsidR="000033F5">
        <w:rPr>
          <w:noProof/>
        </w:rPr>
        <w:t>3</w:t>
      </w:r>
      <w:r w:rsidRPr="00425C42">
        <w:rPr>
          <w:noProof/>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7</w:t>
      </w:r>
      <w:r>
        <w:rPr>
          <w:noProof/>
        </w:rPr>
        <w:tab/>
        <w:t>Rounding of fees</w:t>
      </w:r>
      <w:r w:rsidRPr="00425C42">
        <w:rPr>
          <w:noProof/>
        </w:rPr>
        <w:tab/>
      </w:r>
      <w:r w:rsidRPr="00425C42">
        <w:rPr>
          <w:noProof/>
        </w:rPr>
        <w:fldChar w:fldCharType="begin"/>
      </w:r>
      <w:r w:rsidRPr="00425C42">
        <w:rPr>
          <w:noProof/>
        </w:rPr>
        <w:instrText xml:space="preserve"> PAGEREF _Toc521330302 \h </w:instrText>
      </w:r>
      <w:r w:rsidRPr="00425C42">
        <w:rPr>
          <w:noProof/>
        </w:rPr>
      </w:r>
      <w:r w:rsidRPr="00425C42">
        <w:rPr>
          <w:noProof/>
        </w:rPr>
        <w:fldChar w:fldCharType="separate"/>
      </w:r>
      <w:r w:rsidR="000033F5">
        <w:rPr>
          <w:noProof/>
        </w:rPr>
        <w:t>3</w:t>
      </w:r>
      <w:r w:rsidRPr="00425C42">
        <w:rPr>
          <w:noProof/>
        </w:rPr>
        <w:fldChar w:fldCharType="end"/>
      </w:r>
    </w:p>
    <w:p w:rsidR="00425C42" w:rsidRDefault="00425C42">
      <w:pPr>
        <w:pStyle w:val="TOC1"/>
        <w:rPr>
          <w:rFonts w:asciiTheme="minorHAnsi" w:eastAsiaTheme="minorEastAsia" w:hAnsiTheme="minorHAnsi" w:cstheme="minorBidi"/>
          <w:b w:val="0"/>
          <w:noProof/>
          <w:kern w:val="0"/>
          <w:sz w:val="22"/>
          <w:szCs w:val="22"/>
        </w:rPr>
      </w:pPr>
      <w:r>
        <w:rPr>
          <w:noProof/>
        </w:rPr>
        <w:t>Schedule 1—Fees for chargeable matters</w:t>
      </w:r>
      <w:r w:rsidRPr="00425C42">
        <w:rPr>
          <w:b w:val="0"/>
          <w:noProof/>
          <w:sz w:val="18"/>
        </w:rPr>
        <w:tab/>
      </w:r>
      <w:r w:rsidRPr="00425C42">
        <w:rPr>
          <w:b w:val="0"/>
          <w:noProof/>
          <w:sz w:val="18"/>
        </w:rPr>
        <w:fldChar w:fldCharType="begin"/>
      </w:r>
      <w:r w:rsidRPr="00425C42">
        <w:rPr>
          <w:b w:val="0"/>
          <w:noProof/>
          <w:sz w:val="18"/>
        </w:rPr>
        <w:instrText xml:space="preserve"> PAGEREF _Toc521330303 \h </w:instrText>
      </w:r>
      <w:r w:rsidRPr="00425C42">
        <w:rPr>
          <w:b w:val="0"/>
          <w:noProof/>
          <w:sz w:val="18"/>
        </w:rPr>
      </w:r>
      <w:r w:rsidRPr="00425C42">
        <w:rPr>
          <w:b w:val="0"/>
          <w:noProof/>
          <w:sz w:val="18"/>
        </w:rPr>
        <w:fldChar w:fldCharType="separate"/>
      </w:r>
      <w:r w:rsidR="000033F5">
        <w:rPr>
          <w:b w:val="0"/>
          <w:noProof/>
          <w:sz w:val="18"/>
        </w:rPr>
        <w:t>5</w:t>
      </w:r>
      <w:r w:rsidRPr="00425C42">
        <w:rPr>
          <w:b w:val="0"/>
          <w:noProof/>
          <w:sz w:val="18"/>
        </w:rPr>
        <w:fldChar w:fldCharType="end"/>
      </w:r>
    </w:p>
    <w:p w:rsidR="00425C42" w:rsidRDefault="00425C42">
      <w:pPr>
        <w:pStyle w:val="TOC2"/>
        <w:rPr>
          <w:rFonts w:asciiTheme="minorHAnsi" w:eastAsiaTheme="minorEastAsia" w:hAnsiTheme="minorHAnsi" w:cstheme="minorBidi"/>
          <w:b w:val="0"/>
          <w:noProof/>
          <w:kern w:val="0"/>
          <w:sz w:val="22"/>
          <w:szCs w:val="22"/>
        </w:rPr>
      </w:pPr>
      <w:r>
        <w:rPr>
          <w:noProof/>
        </w:rPr>
        <w:t>Part 1—Specified fees</w:t>
      </w:r>
      <w:r w:rsidRPr="00425C42">
        <w:rPr>
          <w:b w:val="0"/>
          <w:noProof/>
          <w:sz w:val="18"/>
        </w:rPr>
        <w:tab/>
      </w:r>
      <w:r w:rsidRPr="00425C42">
        <w:rPr>
          <w:b w:val="0"/>
          <w:noProof/>
          <w:sz w:val="18"/>
        </w:rPr>
        <w:fldChar w:fldCharType="begin"/>
      </w:r>
      <w:r w:rsidRPr="00425C42">
        <w:rPr>
          <w:b w:val="0"/>
          <w:noProof/>
          <w:sz w:val="18"/>
        </w:rPr>
        <w:instrText xml:space="preserve"> PAGEREF _Toc521330304 \h </w:instrText>
      </w:r>
      <w:r w:rsidRPr="00425C42">
        <w:rPr>
          <w:b w:val="0"/>
          <w:noProof/>
          <w:sz w:val="18"/>
        </w:rPr>
      </w:r>
      <w:r w:rsidRPr="00425C42">
        <w:rPr>
          <w:b w:val="0"/>
          <w:noProof/>
          <w:sz w:val="18"/>
        </w:rPr>
        <w:fldChar w:fldCharType="separate"/>
      </w:r>
      <w:r w:rsidR="000033F5">
        <w:rPr>
          <w:b w:val="0"/>
          <w:noProof/>
          <w:sz w:val="18"/>
        </w:rPr>
        <w:t>5</w:t>
      </w:r>
      <w:r w:rsidRPr="00425C42">
        <w:rPr>
          <w:b w:val="0"/>
          <w:noProof/>
          <w:sz w:val="18"/>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1</w:t>
      </w:r>
      <w:r>
        <w:rPr>
          <w:noProof/>
        </w:rPr>
        <w:tab/>
        <w:t>Specified fees</w:t>
      </w:r>
      <w:r w:rsidRPr="00425C42">
        <w:rPr>
          <w:noProof/>
        </w:rPr>
        <w:tab/>
      </w:r>
      <w:r w:rsidRPr="00425C42">
        <w:rPr>
          <w:noProof/>
        </w:rPr>
        <w:fldChar w:fldCharType="begin"/>
      </w:r>
      <w:r w:rsidRPr="00425C42">
        <w:rPr>
          <w:noProof/>
        </w:rPr>
        <w:instrText xml:space="preserve"> PAGEREF _Toc521330305 \h </w:instrText>
      </w:r>
      <w:r w:rsidRPr="00425C42">
        <w:rPr>
          <w:noProof/>
        </w:rPr>
      </w:r>
      <w:r w:rsidRPr="00425C42">
        <w:rPr>
          <w:noProof/>
        </w:rPr>
        <w:fldChar w:fldCharType="separate"/>
      </w:r>
      <w:r w:rsidR="000033F5">
        <w:rPr>
          <w:noProof/>
        </w:rPr>
        <w:t>5</w:t>
      </w:r>
      <w:r w:rsidRPr="00425C42">
        <w:rPr>
          <w:noProof/>
        </w:rPr>
        <w:fldChar w:fldCharType="end"/>
      </w:r>
    </w:p>
    <w:p w:rsidR="00425C42" w:rsidRDefault="00425C42">
      <w:pPr>
        <w:pStyle w:val="TOC2"/>
        <w:rPr>
          <w:rFonts w:asciiTheme="minorHAnsi" w:eastAsiaTheme="minorEastAsia" w:hAnsiTheme="minorHAnsi" w:cstheme="minorBidi"/>
          <w:b w:val="0"/>
          <w:noProof/>
          <w:kern w:val="0"/>
          <w:sz w:val="22"/>
          <w:szCs w:val="22"/>
        </w:rPr>
      </w:pPr>
      <w:r>
        <w:rPr>
          <w:noProof/>
        </w:rPr>
        <w:t>Part 2—Registry fees</w:t>
      </w:r>
      <w:r w:rsidRPr="00425C42">
        <w:rPr>
          <w:b w:val="0"/>
          <w:noProof/>
          <w:sz w:val="18"/>
        </w:rPr>
        <w:tab/>
      </w:r>
      <w:r w:rsidRPr="00425C42">
        <w:rPr>
          <w:b w:val="0"/>
          <w:noProof/>
          <w:sz w:val="18"/>
        </w:rPr>
        <w:fldChar w:fldCharType="begin"/>
      </w:r>
      <w:r w:rsidRPr="00425C42">
        <w:rPr>
          <w:b w:val="0"/>
          <w:noProof/>
          <w:sz w:val="18"/>
        </w:rPr>
        <w:instrText xml:space="preserve"> PAGEREF _Toc521330306 \h </w:instrText>
      </w:r>
      <w:r w:rsidRPr="00425C42">
        <w:rPr>
          <w:b w:val="0"/>
          <w:noProof/>
          <w:sz w:val="18"/>
        </w:rPr>
      </w:r>
      <w:r w:rsidRPr="00425C42">
        <w:rPr>
          <w:b w:val="0"/>
          <w:noProof/>
          <w:sz w:val="18"/>
        </w:rPr>
        <w:fldChar w:fldCharType="separate"/>
      </w:r>
      <w:r w:rsidR="000033F5">
        <w:rPr>
          <w:b w:val="0"/>
          <w:noProof/>
          <w:sz w:val="18"/>
        </w:rPr>
        <w:t>8</w:t>
      </w:r>
      <w:r w:rsidRPr="00425C42">
        <w:rPr>
          <w:b w:val="0"/>
          <w:noProof/>
          <w:sz w:val="18"/>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2</w:t>
      </w:r>
      <w:r>
        <w:rPr>
          <w:noProof/>
        </w:rPr>
        <w:tab/>
        <w:t>Registry fees</w:t>
      </w:r>
      <w:r w:rsidRPr="00425C42">
        <w:rPr>
          <w:noProof/>
        </w:rPr>
        <w:tab/>
      </w:r>
      <w:r w:rsidRPr="00425C42">
        <w:rPr>
          <w:noProof/>
        </w:rPr>
        <w:fldChar w:fldCharType="begin"/>
      </w:r>
      <w:r w:rsidRPr="00425C42">
        <w:rPr>
          <w:noProof/>
        </w:rPr>
        <w:instrText xml:space="preserve"> PAGEREF _Toc521330307 \h </w:instrText>
      </w:r>
      <w:r w:rsidRPr="00425C42">
        <w:rPr>
          <w:noProof/>
        </w:rPr>
      </w:r>
      <w:r w:rsidRPr="00425C42">
        <w:rPr>
          <w:noProof/>
        </w:rPr>
        <w:fldChar w:fldCharType="separate"/>
      </w:r>
      <w:r w:rsidR="000033F5">
        <w:rPr>
          <w:noProof/>
        </w:rPr>
        <w:t>8</w:t>
      </w:r>
      <w:r w:rsidRPr="00425C42">
        <w:rPr>
          <w:noProof/>
        </w:rPr>
        <w:fldChar w:fldCharType="end"/>
      </w:r>
    </w:p>
    <w:p w:rsidR="00425C42" w:rsidRDefault="00425C42">
      <w:pPr>
        <w:pStyle w:val="TOC2"/>
        <w:rPr>
          <w:rFonts w:asciiTheme="minorHAnsi" w:eastAsiaTheme="minorEastAsia" w:hAnsiTheme="minorHAnsi" w:cstheme="minorBidi"/>
          <w:b w:val="0"/>
          <w:noProof/>
          <w:kern w:val="0"/>
          <w:sz w:val="22"/>
          <w:szCs w:val="22"/>
        </w:rPr>
      </w:pPr>
      <w:r>
        <w:rPr>
          <w:noProof/>
        </w:rPr>
        <w:t>Part 3—Alteration of fees in Part 1 or 2</w:t>
      </w:r>
      <w:r w:rsidRPr="00425C42">
        <w:rPr>
          <w:b w:val="0"/>
          <w:noProof/>
          <w:sz w:val="18"/>
        </w:rPr>
        <w:tab/>
      </w:r>
      <w:r w:rsidRPr="00425C42">
        <w:rPr>
          <w:b w:val="0"/>
          <w:noProof/>
          <w:sz w:val="18"/>
        </w:rPr>
        <w:fldChar w:fldCharType="begin"/>
      </w:r>
      <w:r w:rsidRPr="00425C42">
        <w:rPr>
          <w:b w:val="0"/>
          <w:noProof/>
          <w:sz w:val="18"/>
        </w:rPr>
        <w:instrText xml:space="preserve"> PAGEREF _Toc521330308 \h </w:instrText>
      </w:r>
      <w:r w:rsidRPr="00425C42">
        <w:rPr>
          <w:b w:val="0"/>
          <w:noProof/>
          <w:sz w:val="18"/>
        </w:rPr>
      </w:r>
      <w:r w:rsidRPr="00425C42">
        <w:rPr>
          <w:b w:val="0"/>
          <w:noProof/>
          <w:sz w:val="18"/>
        </w:rPr>
        <w:fldChar w:fldCharType="separate"/>
      </w:r>
      <w:r w:rsidR="000033F5">
        <w:rPr>
          <w:b w:val="0"/>
          <w:noProof/>
          <w:sz w:val="18"/>
        </w:rPr>
        <w:t>9</w:t>
      </w:r>
      <w:r w:rsidRPr="00425C42">
        <w:rPr>
          <w:b w:val="0"/>
          <w:noProof/>
          <w:sz w:val="18"/>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3</w:t>
      </w:r>
      <w:r>
        <w:rPr>
          <w:noProof/>
        </w:rPr>
        <w:tab/>
        <w:t>Alteration of fees in Part 1 or 2</w:t>
      </w:r>
      <w:r w:rsidRPr="00425C42">
        <w:rPr>
          <w:noProof/>
        </w:rPr>
        <w:tab/>
      </w:r>
      <w:r w:rsidRPr="00425C42">
        <w:rPr>
          <w:noProof/>
        </w:rPr>
        <w:fldChar w:fldCharType="begin"/>
      </w:r>
      <w:r w:rsidRPr="00425C42">
        <w:rPr>
          <w:noProof/>
        </w:rPr>
        <w:instrText xml:space="preserve"> PAGEREF _Toc521330309 \h </w:instrText>
      </w:r>
      <w:r w:rsidRPr="00425C42">
        <w:rPr>
          <w:noProof/>
        </w:rPr>
      </w:r>
      <w:r w:rsidRPr="00425C42">
        <w:rPr>
          <w:noProof/>
        </w:rPr>
        <w:fldChar w:fldCharType="separate"/>
      </w:r>
      <w:r w:rsidR="000033F5">
        <w:rPr>
          <w:noProof/>
        </w:rPr>
        <w:t>9</w:t>
      </w:r>
      <w:r w:rsidRPr="00425C42">
        <w:rPr>
          <w:noProof/>
        </w:rPr>
        <w:fldChar w:fldCharType="end"/>
      </w:r>
    </w:p>
    <w:p w:rsidR="00425C42" w:rsidRDefault="00425C42">
      <w:pPr>
        <w:pStyle w:val="TOC1"/>
        <w:rPr>
          <w:rFonts w:asciiTheme="minorHAnsi" w:eastAsiaTheme="minorEastAsia" w:hAnsiTheme="minorHAnsi" w:cstheme="minorBidi"/>
          <w:b w:val="0"/>
          <w:noProof/>
          <w:kern w:val="0"/>
          <w:sz w:val="22"/>
          <w:szCs w:val="22"/>
        </w:rPr>
      </w:pPr>
      <w:r>
        <w:rPr>
          <w:noProof/>
        </w:rPr>
        <w:t>Schedule 2—Fees for other chargeable matters</w:t>
      </w:r>
      <w:r w:rsidRPr="00425C42">
        <w:rPr>
          <w:b w:val="0"/>
          <w:noProof/>
          <w:sz w:val="18"/>
        </w:rPr>
        <w:tab/>
      </w:r>
      <w:r w:rsidRPr="00425C42">
        <w:rPr>
          <w:b w:val="0"/>
          <w:noProof/>
          <w:sz w:val="18"/>
        </w:rPr>
        <w:fldChar w:fldCharType="begin"/>
      </w:r>
      <w:r w:rsidRPr="00425C42">
        <w:rPr>
          <w:b w:val="0"/>
          <w:noProof/>
          <w:sz w:val="18"/>
        </w:rPr>
        <w:instrText xml:space="preserve"> PAGEREF _Toc521330310 \h </w:instrText>
      </w:r>
      <w:r w:rsidRPr="00425C42">
        <w:rPr>
          <w:b w:val="0"/>
          <w:noProof/>
          <w:sz w:val="18"/>
        </w:rPr>
      </w:r>
      <w:r w:rsidRPr="00425C42">
        <w:rPr>
          <w:b w:val="0"/>
          <w:noProof/>
          <w:sz w:val="18"/>
        </w:rPr>
        <w:fldChar w:fldCharType="separate"/>
      </w:r>
      <w:r w:rsidR="000033F5">
        <w:rPr>
          <w:b w:val="0"/>
          <w:noProof/>
          <w:sz w:val="18"/>
        </w:rPr>
        <w:t>10</w:t>
      </w:r>
      <w:r w:rsidRPr="00425C42">
        <w:rPr>
          <w:b w:val="0"/>
          <w:noProof/>
          <w:sz w:val="18"/>
        </w:rPr>
        <w:fldChar w:fldCharType="end"/>
      </w:r>
    </w:p>
    <w:p w:rsidR="00425C42" w:rsidRDefault="00425C42">
      <w:pPr>
        <w:pStyle w:val="TOC5"/>
        <w:rPr>
          <w:rFonts w:asciiTheme="minorHAnsi" w:eastAsiaTheme="minorEastAsia" w:hAnsiTheme="minorHAnsi" w:cstheme="minorBidi"/>
          <w:noProof/>
          <w:kern w:val="0"/>
          <w:sz w:val="22"/>
          <w:szCs w:val="22"/>
        </w:rPr>
      </w:pPr>
      <w:r>
        <w:rPr>
          <w:noProof/>
        </w:rPr>
        <w:t>1</w:t>
      </w:r>
      <w:r>
        <w:rPr>
          <w:noProof/>
        </w:rPr>
        <w:tab/>
        <w:t>Registry fees</w:t>
      </w:r>
      <w:r w:rsidRPr="00425C42">
        <w:rPr>
          <w:noProof/>
        </w:rPr>
        <w:tab/>
      </w:r>
      <w:r w:rsidRPr="00425C42">
        <w:rPr>
          <w:noProof/>
        </w:rPr>
        <w:fldChar w:fldCharType="begin"/>
      </w:r>
      <w:r w:rsidRPr="00425C42">
        <w:rPr>
          <w:noProof/>
        </w:rPr>
        <w:instrText xml:space="preserve"> PAGEREF _Toc521330311 \h </w:instrText>
      </w:r>
      <w:r w:rsidRPr="00425C42">
        <w:rPr>
          <w:noProof/>
        </w:rPr>
      </w:r>
      <w:r w:rsidRPr="00425C42">
        <w:rPr>
          <w:noProof/>
        </w:rPr>
        <w:fldChar w:fldCharType="separate"/>
      </w:r>
      <w:r w:rsidR="000033F5">
        <w:rPr>
          <w:noProof/>
        </w:rPr>
        <w:t>10</w:t>
      </w:r>
      <w:r w:rsidRPr="00425C42">
        <w:rPr>
          <w:noProof/>
        </w:rPr>
        <w:fldChar w:fldCharType="end"/>
      </w:r>
    </w:p>
    <w:p w:rsidR="00425C42" w:rsidRDefault="00425C42" w:rsidP="00425C42">
      <w:pPr>
        <w:pStyle w:val="TOC2"/>
        <w:rPr>
          <w:rFonts w:asciiTheme="minorHAnsi" w:eastAsiaTheme="minorEastAsia" w:hAnsiTheme="minorHAnsi" w:cstheme="minorBidi"/>
          <w:b w:val="0"/>
          <w:noProof/>
          <w:kern w:val="0"/>
          <w:sz w:val="22"/>
          <w:szCs w:val="22"/>
        </w:rPr>
      </w:pPr>
      <w:r>
        <w:rPr>
          <w:noProof/>
        </w:rPr>
        <w:t>Endnotes</w:t>
      </w:r>
      <w:r w:rsidRPr="00425C42">
        <w:rPr>
          <w:b w:val="0"/>
          <w:noProof/>
          <w:sz w:val="18"/>
        </w:rPr>
        <w:tab/>
      </w:r>
      <w:r w:rsidRPr="00425C42">
        <w:rPr>
          <w:b w:val="0"/>
          <w:noProof/>
          <w:sz w:val="18"/>
        </w:rPr>
        <w:fldChar w:fldCharType="begin"/>
      </w:r>
      <w:r w:rsidRPr="00425C42">
        <w:rPr>
          <w:b w:val="0"/>
          <w:noProof/>
          <w:sz w:val="18"/>
        </w:rPr>
        <w:instrText xml:space="preserve"> PAGEREF _Toc521330312 \h </w:instrText>
      </w:r>
      <w:r w:rsidRPr="00425C42">
        <w:rPr>
          <w:b w:val="0"/>
          <w:noProof/>
          <w:sz w:val="18"/>
        </w:rPr>
      </w:r>
      <w:r w:rsidRPr="00425C42">
        <w:rPr>
          <w:b w:val="0"/>
          <w:noProof/>
          <w:sz w:val="18"/>
        </w:rPr>
        <w:fldChar w:fldCharType="separate"/>
      </w:r>
      <w:r w:rsidR="000033F5">
        <w:rPr>
          <w:b w:val="0"/>
          <w:noProof/>
          <w:sz w:val="18"/>
        </w:rPr>
        <w:t>11</w:t>
      </w:r>
      <w:r w:rsidRPr="00425C42">
        <w:rPr>
          <w:b w:val="0"/>
          <w:noProof/>
          <w:sz w:val="18"/>
        </w:rPr>
        <w:fldChar w:fldCharType="end"/>
      </w:r>
    </w:p>
    <w:p w:rsidR="00425C42" w:rsidRDefault="00425C42">
      <w:pPr>
        <w:pStyle w:val="TOC3"/>
        <w:rPr>
          <w:rFonts w:asciiTheme="minorHAnsi" w:eastAsiaTheme="minorEastAsia" w:hAnsiTheme="minorHAnsi" w:cstheme="minorBidi"/>
          <w:b w:val="0"/>
          <w:noProof/>
          <w:kern w:val="0"/>
          <w:szCs w:val="22"/>
        </w:rPr>
      </w:pPr>
      <w:r>
        <w:rPr>
          <w:noProof/>
        </w:rPr>
        <w:t>Endnote 1—About the endnotes</w:t>
      </w:r>
      <w:r w:rsidRPr="00425C42">
        <w:rPr>
          <w:b w:val="0"/>
          <w:noProof/>
          <w:sz w:val="18"/>
        </w:rPr>
        <w:tab/>
      </w:r>
      <w:r w:rsidRPr="00425C42">
        <w:rPr>
          <w:b w:val="0"/>
          <w:noProof/>
          <w:sz w:val="18"/>
        </w:rPr>
        <w:fldChar w:fldCharType="begin"/>
      </w:r>
      <w:r w:rsidRPr="00425C42">
        <w:rPr>
          <w:b w:val="0"/>
          <w:noProof/>
          <w:sz w:val="18"/>
        </w:rPr>
        <w:instrText xml:space="preserve"> PAGEREF _Toc521330313 \h </w:instrText>
      </w:r>
      <w:r w:rsidRPr="00425C42">
        <w:rPr>
          <w:b w:val="0"/>
          <w:noProof/>
          <w:sz w:val="18"/>
        </w:rPr>
      </w:r>
      <w:r w:rsidRPr="00425C42">
        <w:rPr>
          <w:b w:val="0"/>
          <w:noProof/>
          <w:sz w:val="18"/>
        </w:rPr>
        <w:fldChar w:fldCharType="separate"/>
      </w:r>
      <w:r w:rsidR="000033F5">
        <w:rPr>
          <w:b w:val="0"/>
          <w:noProof/>
          <w:sz w:val="18"/>
        </w:rPr>
        <w:t>11</w:t>
      </w:r>
      <w:r w:rsidRPr="00425C42">
        <w:rPr>
          <w:b w:val="0"/>
          <w:noProof/>
          <w:sz w:val="18"/>
        </w:rPr>
        <w:fldChar w:fldCharType="end"/>
      </w:r>
    </w:p>
    <w:p w:rsidR="00425C42" w:rsidRDefault="00425C42">
      <w:pPr>
        <w:pStyle w:val="TOC3"/>
        <w:rPr>
          <w:rFonts w:asciiTheme="minorHAnsi" w:eastAsiaTheme="minorEastAsia" w:hAnsiTheme="minorHAnsi" w:cstheme="minorBidi"/>
          <w:b w:val="0"/>
          <w:noProof/>
          <w:kern w:val="0"/>
          <w:szCs w:val="22"/>
        </w:rPr>
      </w:pPr>
      <w:r>
        <w:rPr>
          <w:noProof/>
        </w:rPr>
        <w:t>Endnote 2—Abbreviation key</w:t>
      </w:r>
      <w:r w:rsidRPr="00425C42">
        <w:rPr>
          <w:b w:val="0"/>
          <w:noProof/>
          <w:sz w:val="18"/>
        </w:rPr>
        <w:tab/>
      </w:r>
      <w:r w:rsidRPr="00425C42">
        <w:rPr>
          <w:b w:val="0"/>
          <w:noProof/>
          <w:sz w:val="18"/>
        </w:rPr>
        <w:fldChar w:fldCharType="begin"/>
      </w:r>
      <w:r w:rsidRPr="00425C42">
        <w:rPr>
          <w:b w:val="0"/>
          <w:noProof/>
          <w:sz w:val="18"/>
        </w:rPr>
        <w:instrText xml:space="preserve"> PAGEREF _Toc521330314 \h </w:instrText>
      </w:r>
      <w:r w:rsidRPr="00425C42">
        <w:rPr>
          <w:b w:val="0"/>
          <w:noProof/>
          <w:sz w:val="18"/>
        </w:rPr>
      </w:r>
      <w:r w:rsidRPr="00425C42">
        <w:rPr>
          <w:b w:val="0"/>
          <w:noProof/>
          <w:sz w:val="18"/>
        </w:rPr>
        <w:fldChar w:fldCharType="separate"/>
      </w:r>
      <w:r w:rsidR="000033F5">
        <w:rPr>
          <w:b w:val="0"/>
          <w:noProof/>
          <w:sz w:val="18"/>
        </w:rPr>
        <w:t>12</w:t>
      </w:r>
      <w:r w:rsidRPr="00425C42">
        <w:rPr>
          <w:b w:val="0"/>
          <w:noProof/>
          <w:sz w:val="18"/>
        </w:rPr>
        <w:fldChar w:fldCharType="end"/>
      </w:r>
    </w:p>
    <w:p w:rsidR="00425C42" w:rsidRDefault="00425C42">
      <w:pPr>
        <w:pStyle w:val="TOC3"/>
        <w:rPr>
          <w:rFonts w:asciiTheme="minorHAnsi" w:eastAsiaTheme="minorEastAsia" w:hAnsiTheme="minorHAnsi" w:cstheme="minorBidi"/>
          <w:b w:val="0"/>
          <w:noProof/>
          <w:kern w:val="0"/>
          <w:szCs w:val="22"/>
        </w:rPr>
      </w:pPr>
      <w:r>
        <w:rPr>
          <w:noProof/>
        </w:rPr>
        <w:t>Endnote 3—Legislation history</w:t>
      </w:r>
      <w:r w:rsidRPr="00425C42">
        <w:rPr>
          <w:b w:val="0"/>
          <w:noProof/>
          <w:sz w:val="18"/>
        </w:rPr>
        <w:tab/>
      </w:r>
      <w:r w:rsidRPr="00425C42">
        <w:rPr>
          <w:b w:val="0"/>
          <w:noProof/>
          <w:sz w:val="18"/>
        </w:rPr>
        <w:fldChar w:fldCharType="begin"/>
      </w:r>
      <w:r w:rsidRPr="00425C42">
        <w:rPr>
          <w:b w:val="0"/>
          <w:noProof/>
          <w:sz w:val="18"/>
        </w:rPr>
        <w:instrText xml:space="preserve"> PAGEREF _Toc521330315 \h </w:instrText>
      </w:r>
      <w:r w:rsidRPr="00425C42">
        <w:rPr>
          <w:b w:val="0"/>
          <w:noProof/>
          <w:sz w:val="18"/>
        </w:rPr>
      </w:r>
      <w:r w:rsidRPr="00425C42">
        <w:rPr>
          <w:b w:val="0"/>
          <w:noProof/>
          <w:sz w:val="18"/>
        </w:rPr>
        <w:fldChar w:fldCharType="separate"/>
      </w:r>
      <w:r w:rsidR="000033F5">
        <w:rPr>
          <w:b w:val="0"/>
          <w:noProof/>
          <w:sz w:val="18"/>
        </w:rPr>
        <w:t>13</w:t>
      </w:r>
      <w:r w:rsidRPr="00425C42">
        <w:rPr>
          <w:b w:val="0"/>
          <w:noProof/>
          <w:sz w:val="18"/>
        </w:rPr>
        <w:fldChar w:fldCharType="end"/>
      </w:r>
    </w:p>
    <w:p w:rsidR="00425C42" w:rsidRPr="00425C42" w:rsidRDefault="00425C42">
      <w:pPr>
        <w:pStyle w:val="TOC3"/>
        <w:rPr>
          <w:rFonts w:eastAsiaTheme="minorEastAsia"/>
          <w:b w:val="0"/>
          <w:noProof/>
          <w:kern w:val="0"/>
          <w:sz w:val="18"/>
          <w:szCs w:val="22"/>
        </w:rPr>
      </w:pPr>
      <w:r>
        <w:rPr>
          <w:noProof/>
        </w:rPr>
        <w:t>Endnote 4—Amendment history</w:t>
      </w:r>
      <w:r w:rsidRPr="00425C42">
        <w:rPr>
          <w:b w:val="0"/>
          <w:noProof/>
          <w:sz w:val="18"/>
        </w:rPr>
        <w:tab/>
      </w:r>
      <w:r w:rsidRPr="00425C42">
        <w:rPr>
          <w:b w:val="0"/>
          <w:noProof/>
          <w:sz w:val="18"/>
        </w:rPr>
        <w:fldChar w:fldCharType="begin"/>
      </w:r>
      <w:r w:rsidRPr="00425C42">
        <w:rPr>
          <w:b w:val="0"/>
          <w:noProof/>
          <w:sz w:val="18"/>
        </w:rPr>
        <w:instrText xml:space="preserve"> PAGEREF _Toc521330316 \h </w:instrText>
      </w:r>
      <w:r w:rsidRPr="00425C42">
        <w:rPr>
          <w:b w:val="0"/>
          <w:noProof/>
          <w:sz w:val="18"/>
        </w:rPr>
      </w:r>
      <w:r w:rsidRPr="00425C42">
        <w:rPr>
          <w:b w:val="0"/>
          <w:noProof/>
          <w:sz w:val="18"/>
        </w:rPr>
        <w:fldChar w:fldCharType="separate"/>
      </w:r>
      <w:r w:rsidR="000033F5">
        <w:rPr>
          <w:b w:val="0"/>
          <w:noProof/>
          <w:sz w:val="18"/>
        </w:rPr>
        <w:t>14</w:t>
      </w:r>
      <w:r w:rsidRPr="00425C42">
        <w:rPr>
          <w:b w:val="0"/>
          <w:noProof/>
          <w:sz w:val="18"/>
        </w:rPr>
        <w:fldChar w:fldCharType="end"/>
      </w:r>
    </w:p>
    <w:p w:rsidR="00B66616" w:rsidRPr="0051180E" w:rsidRDefault="00146363" w:rsidP="00B66616">
      <w:r w:rsidRPr="00425C42">
        <w:rPr>
          <w:rFonts w:cs="Times New Roman"/>
          <w:sz w:val="18"/>
        </w:rPr>
        <w:fldChar w:fldCharType="end"/>
      </w:r>
    </w:p>
    <w:p w:rsidR="00E3334B" w:rsidRPr="0051180E" w:rsidRDefault="00E3334B" w:rsidP="00B329DB">
      <w:pPr>
        <w:sectPr w:rsidR="00E3334B" w:rsidRPr="0051180E" w:rsidSect="000F043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sB5"/>
    </w:p>
    <w:bookmarkEnd w:id="0"/>
    <w:p w:rsidR="00192718" w:rsidRPr="0051180E" w:rsidRDefault="00B66616" w:rsidP="00192718">
      <w:pPr>
        <w:pStyle w:val="Header"/>
        <w:pageBreakBefore/>
      </w:pPr>
      <w:r w:rsidRPr="0051180E">
        <w:lastRenderedPageBreak/>
        <w:t xml:space="preserve">  </w:t>
      </w:r>
    </w:p>
    <w:p w:rsidR="00192718" w:rsidRPr="0051180E" w:rsidRDefault="00B66616" w:rsidP="00B03754">
      <w:pPr>
        <w:pStyle w:val="Header"/>
      </w:pPr>
      <w:r w:rsidRPr="0051180E">
        <w:t xml:space="preserve">  </w:t>
      </w:r>
    </w:p>
    <w:p w:rsidR="008C27C0" w:rsidRPr="0051180E" w:rsidRDefault="008C27C0" w:rsidP="00B66616">
      <w:pPr>
        <w:pStyle w:val="ActHead5"/>
      </w:pPr>
      <w:bookmarkStart w:id="1" w:name="_Toc521330297"/>
      <w:r w:rsidRPr="0051180E">
        <w:rPr>
          <w:rStyle w:val="CharSectno"/>
        </w:rPr>
        <w:t>1</w:t>
      </w:r>
      <w:r w:rsidR="00B66616" w:rsidRPr="0051180E">
        <w:t xml:space="preserve">  </w:t>
      </w:r>
      <w:r w:rsidRPr="0051180E">
        <w:t>Name of Regulations</w:t>
      </w:r>
      <w:bookmarkEnd w:id="1"/>
    </w:p>
    <w:p w:rsidR="008C27C0" w:rsidRPr="0051180E" w:rsidRDefault="008C27C0" w:rsidP="00B66616">
      <w:pPr>
        <w:pStyle w:val="subsection"/>
      </w:pPr>
      <w:r w:rsidRPr="0051180E">
        <w:tab/>
      </w:r>
      <w:r w:rsidRPr="0051180E">
        <w:tab/>
        <w:t xml:space="preserve">These Regulations are the </w:t>
      </w:r>
      <w:r w:rsidR="004A67F9" w:rsidRPr="0051180E">
        <w:rPr>
          <w:i/>
        </w:rPr>
        <w:t>National Consumer Credit Protection (Fees) Regulations</w:t>
      </w:r>
      <w:r w:rsidR="0051180E">
        <w:rPr>
          <w:i/>
        </w:rPr>
        <w:t> </w:t>
      </w:r>
      <w:r w:rsidR="004A67F9" w:rsidRPr="0051180E">
        <w:rPr>
          <w:i/>
        </w:rPr>
        <w:t>2010</w:t>
      </w:r>
      <w:r w:rsidRPr="0051180E">
        <w:t>.</w:t>
      </w:r>
    </w:p>
    <w:p w:rsidR="008C27C0" w:rsidRPr="0051180E" w:rsidRDefault="008C27C0" w:rsidP="00B66616">
      <w:pPr>
        <w:pStyle w:val="ActHead5"/>
      </w:pPr>
      <w:bookmarkStart w:id="2" w:name="_Toc521330298"/>
      <w:r w:rsidRPr="0051180E">
        <w:rPr>
          <w:rStyle w:val="CharSectno"/>
        </w:rPr>
        <w:t>3</w:t>
      </w:r>
      <w:r w:rsidR="00B66616" w:rsidRPr="0051180E">
        <w:t xml:space="preserve">  </w:t>
      </w:r>
      <w:r w:rsidRPr="0051180E">
        <w:t>Definitions</w:t>
      </w:r>
      <w:bookmarkEnd w:id="2"/>
    </w:p>
    <w:p w:rsidR="008C27C0" w:rsidRPr="0051180E" w:rsidRDefault="008C27C0" w:rsidP="00B66616">
      <w:pPr>
        <w:pStyle w:val="subsection"/>
      </w:pPr>
      <w:r w:rsidRPr="0051180E">
        <w:tab/>
      </w:r>
      <w:r w:rsidRPr="0051180E">
        <w:tab/>
        <w:t>In these Regulations:</w:t>
      </w:r>
    </w:p>
    <w:p w:rsidR="008C27C0" w:rsidRPr="0051180E" w:rsidRDefault="008C27C0" w:rsidP="00B66616">
      <w:pPr>
        <w:pStyle w:val="Definition"/>
      </w:pPr>
      <w:r w:rsidRPr="0051180E">
        <w:rPr>
          <w:b/>
          <w:i/>
        </w:rPr>
        <w:t xml:space="preserve">Act </w:t>
      </w:r>
      <w:r w:rsidRPr="0051180E">
        <w:t xml:space="preserve">means the </w:t>
      </w:r>
      <w:r w:rsidRPr="0051180E">
        <w:rPr>
          <w:i/>
        </w:rPr>
        <w:t>National Consumer Credit Protection (Fees) Act 2009</w:t>
      </w:r>
      <w:r w:rsidRPr="0051180E">
        <w:t>.</w:t>
      </w:r>
    </w:p>
    <w:p w:rsidR="00FF1E9B" w:rsidRPr="0051180E" w:rsidRDefault="00FF1E9B" w:rsidP="00FF1E9B">
      <w:pPr>
        <w:pStyle w:val="Definition"/>
      </w:pPr>
      <w:r w:rsidRPr="0051180E">
        <w:rPr>
          <w:b/>
          <w:i/>
        </w:rPr>
        <w:t>Australian credit licence</w:t>
      </w:r>
      <w:r w:rsidRPr="0051180E">
        <w:t xml:space="preserve"> has the same meaning as in the National Credit Act.</w:t>
      </w:r>
    </w:p>
    <w:p w:rsidR="00FF1E9B" w:rsidRPr="0051180E" w:rsidRDefault="00FF1E9B" w:rsidP="00FF1E9B">
      <w:pPr>
        <w:pStyle w:val="Definition"/>
      </w:pPr>
      <w:r w:rsidRPr="0051180E">
        <w:rPr>
          <w:b/>
          <w:i/>
        </w:rPr>
        <w:t>credit provider licence</w:t>
      </w:r>
      <w:r w:rsidRPr="0051180E">
        <w:t xml:space="preserve"> means an Australian credit licence that authorises the licensee to engage in a credit activity mentioned in item</w:t>
      </w:r>
      <w:r w:rsidR="0051180E">
        <w:t> </w:t>
      </w:r>
      <w:r w:rsidRPr="0051180E">
        <w:t>1 of the table in subsection</w:t>
      </w:r>
      <w:r w:rsidR="0051180E">
        <w:t> </w:t>
      </w:r>
      <w:r w:rsidRPr="0051180E">
        <w:t>6(1) of the National Credit Act.</w:t>
      </w:r>
    </w:p>
    <w:p w:rsidR="00FF1E9B" w:rsidRPr="0051180E" w:rsidRDefault="00FF1E9B" w:rsidP="00FF1E9B">
      <w:pPr>
        <w:pStyle w:val="Definition"/>
      </w:pPr>
      <w:r w:rsidRPr="0051180E">
        <w:rPr>
          <w:b/>
          <w:i/>
        </w:rPr>
        <w:t>indexable matter</w:t>
      </w:r>
      <w:r w:rsidRPr="0051180E">
        <w:t>: see subregulations 4(4) and 5(3).</w:t>
      </w:r>
    </w:p>
    <w:p w:rsidR="00FF1E9B" w:rsidRPr="0051180E" w:rsidRDefault="00FF1E9B" w:rsidP="00FF1E9B">
      <w:pPr>
        <w:pStyle w:val="Definition"/>
      </w:pPr>
      <w:r w:rsidRPr="0051180E">
        <w:rPr>
          <w:b/>
          <w:i/>
        </w:rPr>
        <w:t>lessor licence</w:t>
      </w:r>
      <w:r w:rsidRPr="0051180E">
        <w:t xml:space="preserve"> means an Australian credit licence that authorises the licensee to engage in a credit activity mentioned in item</w:t>
      </w:r>
      <w:r w:rsidR="0051180E">
        <w:t> </w:t>
      </w:r>
      <w:r w:rsidRPr="0051180E">
        <w:t>3 of the table in subsection</w:t>
      </w:r>
      <w:r w:rsidR="0051180E">
        <w:t> </w:t>
      </w:r>
      <w:r w:rsidRPr="0051180E">
        <w:t>6(1) of the National Credit Act.</w:t>
      </w:r>
    </w:p>
    <w:p w:rsidR="008C27C0" w:rsidRPr="0051180E" w:rsidRDefault="008C27C0" w:rsidP="00B66616">
      <w:pPr>
        <w:pStyle w:val="Definition"/>
      </w:pPr>
      <w:r w:rsidRPr="0051180E">
        <w:rPr>
          <w:b/>
          <w:i/>
        </w:rPr>
        <w:t xml:space="preserve">National Credit Act </w:t>
      </w:r>
      <w:r w:rsidRPr="0051180E">
        <w:t xml:space="preserve">means the </w:t>
      </w:r>
      <w:r w:rsidRPr="0051180E">
        <w:rPr>
          <w:i/>
        </w:rPr>
        <w:t>National Consumer Credit Protection Act 2009</w:t>
      </w:r>
      <w:r w:rsidRPr="0051180E">
        <w:t>.</w:t>
      </w:r>
    </w:p>
    <w:p w:rsidR="008C27C0" w:rsidRPr="0051180E" w:rsidRDefault="008C27C0" w:rsidP="00B66616">
      <w:pPr>
        <w:pStyle w:val="Definition"/>
      </w:pPr>
      <w:r w:rsidRPr="0051180E">
        <w:rPr>
          <w:b/>
          <w:i/>
        </w:rPr>
        <w:t xml:space="preserve">National Credit Regulations </w:t>
      </w:r>
      <w:r w:rsidRPr="0051180E">
        <w:t xml:space="preserve">means the </w:t>
      </w:r>
      <w:r w:rsidRPr="0051180E">
        <w:rPr>
          <w:i/>
        </w:rPr>
        <w:t>National Consumer Credit Protection Regulations</w:t>
      </w:r>
      <w:r w:rsidR="0051180E">
        <w:rPr>
          <w:i/>
        </w:rPr>
        <w:t> </w:t>
      </w:r>
      <w:r w:rsidRPr="0051180E">
        <w:rPr>
          <w:i/>
        </w:rPr>
        <w:t>2010</w:t>
      </w:r>
      <w:r w:rsidRPr="0051180E">
        <w:t>.</w:t>
      </w:r>
    </w:p>
    <w:p w:rsidR="008C27C0" w:rsidRPr="0051180E" w:rsidRDefault="008C27C0" w:rsidP="00B66616">
      <w:pPr>
        <w:pStyle w:val="Definition"/>
        <w:rPr>
          <w:b/>
          <w:i/>
        </w:rPr>
      </w:pPr>
      <w:r w:rsidRPr="0051180E">
        <w:rPr>
          <w:b/>
          <w:i/>
        </w:rPr>
        <w:t xml:space="preserve">registered person </w:t>
      </w:r>
      <w:r w:rsidRPr="0051180E">
        <w:t>has the meaning given by subsection</w:t>
      </w:r>
      <w:r w:rsidR="0051180E">
        <w:t> </w:t>
      </w:r>
      <w:r w:rsidRPr="0051180E">
        <w:t>4 (1) of the Transitional Act.</w:t>
      </w:r>
    </w:p>
    <w:p w:rsidR="008C27C0" w:rsidRPr="0051180E" w:rsidRDefault="008C27C0" w:rsidP="00B66616">
      <w:pPr>
        <w:pStyle w:val="Definition"/>
      </w:pPr>
      <w:r w:rsidRPr="0051180E">
        <w:rPr>
          <w:b/>
          <w:i/>
        </w:rPr>
        <w:t xml:space="preserve">Transitional Act </w:t>
      </w:r>
      <w:r w:rsidRPr="0051180E">
        <w:t xml:space="preserve">means the </w:t>
      </w:r>
      <w:r w:rsidRPr="0051180E">
        <w:rPr>
          <w:i/>
        </w:rPr>
        <w:t>National Consumer Credit Protection (Transitional and Consequential Provisions) Act 2009</w:t>
      </w:r>
      <w:r w:rsidRPr="0051180E">
        <w:t>.</w:t>
      </w:r>
    </w:p>
    <w:p w:rsidR="008C27C0" w:rsidRPr="0051180E" w:rsidRDefault="008C27C0" w:rsidP="00B66616">
      <w:pPr>
        <w:pStyle w:val="Definition"/>
      </w:pPr>
      <w:r w:rsidRPr="0051180E">
        <w:rPr>
          <w:b/>
          <w:i/>
        </w:rPr>
        <w:t xml:space="preserve">Transitional Regulations </w:t>
      </w:r>
      <w:r w:rsidRPr="0051180E">
        <w:t xml:space="preserve">means the </w:t>
      </w:r>
      <w:r w:rsidRPr="0051180E">
        <w:rPr>
          <w:i/>
        </w:rPr>
        <w:t>National Consumer Credit Protection (Transitional and Consequential Provisions) Regulations</w:t>
      </w:r>
      <w:r w:rsidR="0051180E">
        <w:rPr>
          <w:i/>
        </w:rPr>
        <w:t> </w:t>
      </w:r>
      <w:r w:rsidRPr="0051180E">
        <w:rPr>
          <w:i/>
        </w:rPr>
        <w:t>2010</w:t>
      </w:r>
      <w:r w:rsidRPr="0051180E">
        <w:t>.</w:t>
      </w:r>
    </w:p>
    <w:p w:rsidR="00FF1E9B" w:rsidRPr="0051180E" w:rsidRDefault="00FF1E9B" w:rsidP="00FF1E9B">
      <w:pPr>
        <w:pStyle w:val="ActHead5"/>
      </w:pPr>
      <w:bookmarkStart w:id="3" w:name="_Toc521330299"/>
      <w:r w:rsidRPr="0051180E">
        <w:rPr>
          <w:rStyle w:val="CharSectno"/>
        </w:rPr>
        <w:t>4</w:t>
      </w:r>
      <w:r w:rsidRPr="0051180E">
        <w:t xml:space="preserve">  Prescribed fees—chargeable matters in Schedule</w:t>
      </w:r>
      <w:r w:rsidR="0051180E">
        <w:t> </w:t>
      </w:r>
      <w:r w:rsidRPr="0051180E">
        <w:t>1</w:t>
      </w:r>
      <w:bookmarkEnd w:id="3"/>
    </w:p>
    <w:p w:rsidR="00FF1E9B" w:rsidRPr="0051180E" w:rsidRDefault="00FF1E9B" w:rsidP="00FF1E9B">
      <w:pPr>
        <w:pStyle w:val="SubsectionHead"/>
      </w:pPr>
      <w:r w:rsidRPr="0051180E">
        <w:t>Fees</w:t>
      </w:r>
    </w:p>
    <w:p w:rsidR="00FF1E9B" w:rsidRPr="0051180E" w:rsidRDefault="00FF1E9B" w:rsidP="00FF1E9B">
      <w:pPr>
        <w:pStyle w:val="subsection"/>
      </w:pPr>
      <w:r w:rsidRPr="0051180E">
        <w:tab/>
        <w:t>(1)</w:t>
      </w:r>
      <w:r w:rsidRPr="0051180E">
        <w:tab/>
        <w:t>For the purposes of sections</w:t>
      </w:r>
      <w:r w:rsidR="0051180E">
        <w:t> </w:t>
      </w:r>
      <w:r w:rsidRPr="0051180E">
        <w:t>5 and 6 of the Act, a fee is prescribed for a chargeable matter mentioned in an item in a table in clause</w:t>
      </w:r>
      <w:r w:rsidR="0051180E">
        <w:t> </w:t>
      </w:r>
      <w:r w:rsidRPr="0051180E">
        <w:t>1 or 2 of Schedule</w:t>
      </w:r>
      <w:r w:rsidR="0051180E">
        <w:t> </w:t>
      </w:r>
      <w:r w:rsidRPr="0051180E">
        <w:t>1.</w:t>
      </w:r>
    </w:p>
    <w:p w:rsidR="00FF1E9B" w:rsidRPr="0051180E" w:rsidRDefault="00FF1E9B" w:rsidP="00FF1E9B">
      <w:pPr>
        <w:pStyle w:val="subsection"/>
      </w:pPr>
      <w:r w:rsidRPr="0051180E">
        <w:tab/>
        <w:t>(2)</w:t>
      </w:r>
      <w:r w:rsidRPr="0051180E">
        <w:tab/>
        <w:t>The amount of the fee on or after 4</w:t>
      </w:r>
      <w:r w:rsidR="0051180E">
        <w:t> </w:t>
      </w:r>
      <w:r w:rsidRPr="0051180E">
        <w:t>July 2018 is, subject to subregulations (3) to (5), the amount mentioned in the item.</w:t>
      </w:r>
    </w:p>
    <w:p w:rsidR="00FF1E9B" w:rsidRPr="0051180E" w:rsidRDefault="00FF1E9B" w:rsidP="00FF1E9B">
      <w:pPr>
        <w:pStyle w:val="SubsectionHead"/>
      </w:pPr>
      <w:r w:rsidRPr="0051180E">
        <w:lastRenderedPageBreak/>
        <w:t>Alteration of fees</w:t>
      </w:r>
    </w:p>
    <w:p w:rsidR="00FF1E9B" w:rsidRPr="0051180E" w:rsidRDefault="00FF1E9B" w:rsidP="00FF1E9B">
      <w:pPr>
        <w:pStyle w:val="subsection"/>
      </w:pPr>
      <w:r w:rsidRPr="0051180E">
        <w:tab/>
        <w:t>(3)</w:t>
      </w:r>
      <w:r w:rsidRPr="0051180E">
        <w:tab/>
        <w:t>In a circumstance mentioned in an item in the table in clause</w:t>
      </w:r>
      <w:r w:rsidR="0051180E">
        <w:t> </w:t>
      </w:r>
      <w:r w:rsidRPr="0051180E">
        <w:t>3 of Schedule</w:t>
      </w:r>
      <w:r w:rsidR="0051180E">
        <w:t> </w:t>
      </w:r>
      <w:r w:rsidRPr="0051180E">
        <w:t>1, the fee specified in an item in a table in clause</w:t>
      </w:r>
      <w:r w:rsidR="0051180E">
        <w:t> </w:t>
      </w:r>
      <w:r w:rsidRPr="0051180E">
        <w:t>1 or 2 of that Schedule for a chargeable matter is altered as required by the item.</w:t>
      </w:r>
    </w:p>
    <w:p w:rsidR="00FF1E9B" w:rsidRPr="0051180E" w:rsidRDefault="00FF1E9B" w:rsidP="00FF1E9B">
      <w:pPr>
        <w:pStyle w:val="SubsectionHead"/>
      </w:pPr>
      <w:r w:rsidRPr="0051180E">
        <w:t>Indexable matters</w:t>
      </w:r>
    </w:p>
    <w:p w:rsidR="00FF1E9B" w:rsidRPr="0051180E" w:rsidRDefault="00FF1E9B" w:rsidP="00FF1E9B">
      <w:pPr>
        <w:pStyle w:val="subsection"/>
      </w:pPr>
      <w:r w:rsidRPr="0051180E">
        <w:tab/>
        <w:t>(4)</w:t>
      </w:r>
      <w:r w:rsidRPr="0051180E">
        <w:tab/>
        <w:t xml:space="preserve">A chargeable matter is an </w:t>
      </w:r>
      <w:r w:rsidRPr="0051180E">
        <w:rPr>
          <w:b/>
          <w:i/>
        </w:rPr>
        <w:t>indexable matter</w:t>
      </w:r>
      <w:r w:rsidRPr="0051180E">
        <w:t xml:space="preserve"> if it is a matter mentioned in an item in the table in clause</w:t>
      </w:r>
      <w:r w:rsidR="0051180E">
        <w:t> </w:t>
      </w:r>
      <w:r w:rsidRPr="0051180E">
        <w:t>2 of Schedule</w:t>
      </w:r>
      <w:r w:rsidR="0051180E">
        <w:t> </w:t>
      </w:r>
      <w:r w:rsidRPr="0051180E">
        <w:t>1, unless “no fee” appears in column 2 of the item.</w:t>
      </w:r>
    </w:p>
    <w:p w:rsidR="00FF1E9B" w:rsidRPr="0051180E" w:rsidRDefault="00FF1E9B" w:rsidP="00FF1E9B">
      <w:pPr>
        <w:pStyle w:val="subsection"/>
      </w:pPr>
      <w:r w:rsidRPr="0051180E">
        <w:tab/>
        <w:t>(5)</w:t>
      </w:r>
      <w:r w:rsidRPr="0051180E">
        <w:tab/>
        <w:t>In the financial year starting on 1</w:t>
      </w:r>
      <w:r w:rsidR="0051180E">
        <w:t> </w:t>
      </w:r>
      <w:r w:rsidRPr="0051180E">
        <w:t>July 2019, or a subsequent 1</w:t>
      </w:r>
      <w:r w:rsidR="0051180E">
        <w:t> </w:t>
      </w:r>
      <w:r w:rsidRPr="0051180E">
        <w:t>July, the fee for an indexable matter is to be indexed in accordance with regulation</w:t>
      </w:r>
      <w:r w:rsidR="0051180E">
        <w:t> </w:t>
      </w:r>
      <w:r w:rsidRPr="0051180E">
        <w:t>6 and rounded (if necessary) in accordance with regulation</w:t>
      </w:r>
      <w:r w:rsidR="0051180E">
        <w:t> </w:t>
      </w:r>
      <w:r w:rsidRPr="0051180E">
        <w:t>7.</w:t>
      </w:r>
    </w:p>
    <w:p w:rsidR="008C27C0" w:rsidRPr="0051180E" w:rsidRDefault="008C27C0" w:rsidP="00B66616">
      <w:pPr>
        <w:pStyle w:val="ActHead5"/>
      </w:pPr>
      <w:bookmarkStart w:id="4" w:name="_Toc521330300"/>
      <w:r w:rsidRPr="0051180E">
        <w:rPr>
          <w:rStyle w:val="CharSectno"/>
        </w:rPr>
        <w:t>5</w:t>
      </w:r>
      <w:r w:rsidR="00B66616" w:rsidRPr="0051180E">
        <w:t xml:space="preserve">  </w:t>
      </w:r>
      <w:r w:rsidRPr="0051180E">
        <w:t>Prescribed fees</w:t>
      </w:r>
      <w:r w:rsidR="00B66616" w:rsidRPr="0051180E">
        <w:t>—</w:t>
      </w:r>
      <w:r w:rsidRPr="0051180E">
        <w:t>chargeable matters in Schedule</w:t>
      </w:r>
      <w:r w:rsidR="0051180E">
        <w:t> </w:t>
      </w:r>
      <w:r w:rsidRPr="0051180E">
        <w:t>2</w:t>
      </w:r>
      <w:bookmarkEnd w:id="4"/>
    </w:p>
    <w:p w:rsidR="00FF1E9B" w:rsidRPr="0051180E" w:rsidRDefault="00FF1E9B" w:rsidP="00FF1E9B">
      <w:pPr>
        <w:pStyle w:val="SubsectionHead"/>
      </w:pPr>
      <w:r w:rsidRPr="0051180E">
        <w:t>Fees</w:t>
      </w:r>
    </w:p>
    <w:p w:rsidR="00FF1E9B" w:rsidRPr="0051180E" w:rsidRDefault="00FF1E9B" w:rsidP="00FF1E9B">
      <w:pPr>
        <w:pStyle w:val="subsection"/>
      </w:pPr>
      <w:r w:rsidRPr="0051180E">
        <w:tab/>
        <w:t>(1)</w:t>
      </w:r>
      <w:r w:rsidRPr="0051180E">
        <w:tab/>
        <w:t>For the purposes of sections</w:t>
      </w:r>
      <w:r w:rsidR="0051180E">
        <w:t> </w:t>
      </w:r>
      <w:r w:rsidRPr="0051180E">
        <w:t>5 and 6 of the Act, and subject to subregulation (2), a fee is prescribed for a chargeable matter mentioned in an item in the table in clause</w:t>
      </w:r>
      <w:r w:rsidR="0051180E">
        <w:t> </w:t>
      </w:r>
      <w:r w:rsidRPr="0051180E">
        <w:t>1 of Schedule</w:t>
      </w:r>
      <w:r w:rsidR="0051180E">
        <w:t> </w:t>
      </w:r>
      <w:r w:rsidRPr="0051180E">
        <w:t>2.</w:t>
      </w:r>
    </w:p>
    <w:p w:rsidR="00FF1E9B" w:rsidRPr="0051180E" w:rsidRDefault="00FF1E9B" w:rsidP="00FF1E9B">
      <w:pPr>
        <w:pStyle w:val="subsection"/>
      </w:pPr>
      <w:r w:rsidRPr="0051180E">
        <w:tab/>
        <w:t>(1A)</w:t>
      </w:r>
      <w:r w:rsidRPr="0051180E">
        <w:tab/>
        <w:t>The amount of the fee on or after 4</w:t>
      </w:r>
      <w:r w:rsidR="0051180E">
        <w:t> </w:t>
      </w:r>
      <w:r w:rsidRPr="0051180E">
        <w:t>July 2018 is, subject to subregulations (3) and (4), the amount mentioned in the item.</w:t>
      </w:r>
    </w:p>
    <w:p w:rsidR="008C27C0" w:rsidRPr="0051180E" w:rsidRDefault="008C27C0" w:rsidP="00B66616">
      <w:pPr>
        <w:pStyle w:val="subsection"/>
      </w:pPr>
      <w:r w:rsidRPr="0051180E">
        <w:tab/>
        <w:t>(2)</w:t>
      </w:r>
      <w:r w:rsidRPr="0051180E">
        <w:tab/>
        <w:t>Subregulation (1) does not apply if:</w:t>
      </w:r>
    </w:p>
    <w:p w:rsidR="00FF1E9B" w:rsidRPr="0051180E" w:rsidRDefault="00FF1E9B" w:rsidP="00FF1E9B">
      <w:pPr>
        <w:pStyle w:val="paragraph"/>
      </w:pPr>
      <w:r w:rsidRPr="0051180E">
        <w:tab/>
        <w:t>(a)</w:t>
      </w:r>
      <w:r w:rsidRPr="0051180E">
        <w:tab/>
        <w:t>the inspection or inquiry is made by or on behalf of a Commonwealth entity (within the meaning of section</w:t>
      </w:r>
      <w:r w:rsidR="0051180E">
        <w:t> </w:t>
      </w:r>
      <w:r w:rsidRPr="0051180E">
        <w:t xml:space="preserve">10 of the </w:t>
      </w:r>
      <w:r w:rsidRPr="0051180E">
        <w:rPr>
          <w:i/>
        </w:rPr>
        <w:t>Public Governance, Performance and Accountability Act 2013</w:t>
      </w:r>
      <w:r w:rsidRPr="0051180E">
        <w:t>); or</w:t>
      </w:r>
    </w:p>
    <w:p w:rsidR="00FF1E9B" w:rsidRPr="0051180E" w:rsidRDefault="00FF1E9B" w:rsidP="00FF1E9B">
      <w:pPr>
        <w:pStyle w:val="paragraph"/>
      </w:pPr>
      <w:r w:rsidRPr="0051180E">
        <w:tab/>
        <w:t>(b)</w:t>
      </w:r>
      <w:r w:rsidRPr="0051180E">
        <w:tab/>
        <w:t>the inspection or inquiry is made by or on behalf of a Commonwealth company (within the meaning of section</w:t>
      </w:r>
      <w:r w:rsidR="0051180E">
        <w:t> </w:t>
      </w:r>
      <w:r w:rsidRPr="0051180E">
        <w:t xml:space="preserve">89 of the </w:t>
      </w:r>
      <w:r w:rsidRPr="0051180E">
        <w:rPr>
          <w:i/>
        </w:rPr>
        <w:t>Public Governance, Performance and Accountability Act 2013</w:t>
      </w:r>
      <w:r w:rsidRPr="0051180E">
        <w:t>); or</w:t>
      </w:r>
    </w:p>
    <w:p w:rsidR="008C27C0" w:rsidRPr="0051180E" w:rsidRDefault="008C27C0" w:rsidP="00B66616">
      <w:pPr>
        <w:pStyle w:val="paragraph"/>
      </w:pPr>
      <w:r w:rsidRPr="0051180E">
        <w:tab/>
        <w:t>(d)</w:t>
      </w:r>
      <w:r w:rsidRPr="0051180E">
        <w:tab/>
        <w:t>the inspection or inquiry is made by a holder of a licence for a commercial broadcasting or television station; or</w:t>
      </w:r>
    </w:p>
    <w:p w:rsidR="008C27C0" w:rsidRPr="0051180E" w:rsidRDefault="008C27C0" w:rsidP="00B66616">
      <w:pPr>
        <w:pStyle w:val="paragraph"/>
      </w:pPr>
      <w:r w:rsidRPr="0051180E">
        <w:tab/>
        <w:t>(e)</w:t>
      </w:r>
      <w:r w:rsidRPr="0051180E">
        <w:tab/>
        <w:t>the inspection or inquiry is made by the proprietor or publisher of a newspaper that is generally available to the public otherwise than by subscription; or</w:t>
      </w:r>
    </w:p>
    <w:p w:rsidR="008C27C0" w:rsidRPr="0051180E" w:rsidRDefault="008C27C0" w:rsidP="00B66616">
      <w:pPr>
        <w:pStyle w:val="paragraph"/>
      </w:pPr>
      <w:r w:rsidRPr="0051180E">
        <w:tab/>
        <w:t>(f)</w:t>
      </w:r>
      <w:r w:rsidRPr="0051180E">
        <w:tab/>
        <w:t>the inspection or inquiry is of a credit register that ASIC has made available under subsection</w:t>
      </w:r>
      <w:r w:rsidR="0051180E">
        <w:t> </w:t>
      </w:r>
      <w:r w:rsidRPr="0051180E">
        <w:t>214 (2) of the National Credit Act.</w:t>
      </w:r>
    </w:p>
    <w:p w:rsidR="00FF1E9B" w:rsidRPr="0051180E" w:rsidRDefault="00FF1E9B" w:rsidP="00FF1E9B">
      <w:pPr>
        <w:pStyle w:val="SubsectionHead"/>
      </w:pPr>
      <w:r w:rsidRPr="0051180E">
        <w:t>Indexable matters</w:t>
      </w:r>
    </w:p>
    <w:p w:rsidR="00FF1E9B" w:rsidRPr="0051180E" w:rsidRDefault="00FF1E9B" w:rsidP="00FF1E9B">
      <w:pPr>
        <w:pStyle w:val="subsection"/>
      </w:pPr>
      <w:r w:rsidRPr="0051180E">
        <w:tab/>
        <w:t>(3)</w:t>
      </w:r>
      <w:r w:rsidRPr="0051180E">
        <w:tab/>
        <w:t xml:space="preserve">A chargeable matter is an </w:t>
      </w:r>
      <w:r w:rsidRPr="0051180E">
        <w:rPr>
          <w:b/>
          <w:i/>
        </w:rPr>
        <w:t>indexable matter</w:t>
      </w:r>
      <w:r w:rsidRPr="0051180E">
        <w:t xml:space="preserve"> if it is a matter mentioned in an item in the table in clause</w:t>
      </w:r>
      <w:r w:rsidR="0051180E">
        <w:t> </w:t>
      </w:r>
      <w:r w:rsidRPr="0051180E">
        <w:t>1 of Schedule</w:t>
      </w:r>
      <w:r w:rsidR="0051180E">
        <w:t> </w:t>
      </w:r>
      <w:r w:rsidRPr="0051180E">
        <w:t>2, unless “no fee” appears in column 2 of the item.</w:t>
      </w:r>
    </w:p>
    <w:p w:rsidR="00FF1E9B" w:rsidRPr="0051180E" w:rsidRDefault="00FF1E9B" w:rsidP="00FF1E9B">
      <w:pPr>
        <w:pStyle w:val="subsection"/>
      </w:pPr>
      <w:r w:rsidRPr="0051180E">
        <w:lastRenderedPageBreak/>
        <w:tab/>
        <w:t>(4)</w:t>
      </w:r>
      <w:r w:rsidRPr="0051180E">
        <w:tab/>
        <w:t>In the financial year starting on 1</w:t>
      </w:r>
      <w:r w:rsidR="0051180E">
        <w:t> </w:t>
      </w:r>
      <w:r w:rsidRPr="0051180E">
        <w:t>July 2019, or a subsequent 1</w:t>
      </w:r>
      <w:r w:rsidR="0051180E">
        <w:t> </w:t>
      </w:r>
      <w:r w:rsidRPr="0051180E">
        <w:t>July, the fee for an indexable matter is to be indexed in accordance with regulation</w:t>
      </w:r>
      <w:r w:rsidR="0051180E">
        <w:t> </w:t>
      </w:r>
      <w:r w:rsidRPr="0051180E">
        <w:t>6 and rounded (if necessary) in accordance with regulation</w:t>
      </w:r>
      <w:r w:rsidR="0051180E">
        <w:t> </w:t>
      </w:r>
      <w:r w:rsidRPr="0051180E">
        <w:t>7.</w:t>
      </w:r>
    </w:p>
    <w:p w:rsidR="004F6F2C" w:rsidRPr="0051180E" w:rsidRDefault="004F6F2C" w:rsidP="00B66616">
      <w:pPr>
        <w:pStyle w:val="ActHead5"/>
      </w:pPr>
      <w:bookmarkStart w:id="5" w:name="_Toc521330301"/>
      <w:r w:rsidRPr="0051180E">
        <w:rPr>
          <w:rStyle w:val="CharSectno"/>
        </w:rPr>
        <w:t>6</w:t>
      </w:r>
      <w:r w:rsidR="00B66616" w:rsidRPr="0051180E">
        <w:t xml:space="preserve">  </w:t>
      </w:r>
      <w:r w:rsidRPr="0051180E">
        <w:t>Indexation of fees</w:t>
      </w:r>
      <w:bookmarkEnd w:id="5"/>
    </w:p>
    <w:p w:rsidR="004F6F2C" w:rsidRPr="0051180E" w:rsidRDefault="004F6F2C" w:rsidP="00B66616">
      <w:pPr>
        <w:pStyle w:val="subsection"/>
      </w:pPr>
      <w:r w:rsidRPr="0051180E">
        <w:tab/>
        <w:t>(1)</w:t>
      </w:r>
      <w:r w:rsidRPr="0051180E">
        <w:tab/>
        <w:t xml:space="preserve">In the financial year starting on </w:t>
      </w:r>
      <w:r w:rsidR="00FF1E9B" w:rsidRPr="0051180E">
        <w:t>1</w:t>
      </w:r>
      <w:r w:rsidR="0051180E">
        <w:t> </w:t>
      </w:r>
      <w:r w:rsidR="00FF1E9B" w:rsidRPr="0051180E">
        <w:t>July 2019</w:t>
      </w:r>
      <w:r w:rsidRPr="0051180E">
        <w:t>, or a subsequent 1</w:t>
      </w:r>
      <w:r w:rsidR="0051180E">
        <w:t> </w:t>
      </w:r>
      <w:r w:rsidRPr="0051180E">
        <w:t xml:space="preserve">July, if the latest CPI number is greater than the earlier CPI number, the fee for </w:t>
      </w:r>
      <w:r w:rsidR="00FF1E9B" w:rsidRPr="0051180E">
        <w:t>an indexable matter</w:t>
      </w:r>
      <w:r w:rsidRPr="0051180E">
        <w:t xml:space="preserve"> is the amount worked out using the formula:</w:t>
      </w:r>
    </w:p>
    <w:p w:rsidR="004F6F2C" w:rsidRPr="0051180E" w:rsidRDefault="00B66616" w:rsidP="00B66616">
      <w:pPr>
        <w:pStyle w:val="subsection"/>
        <w:spacing w:before="120" w:after="120"/>
      </w:pPr>
      <w:r w:rsidRPr="0051180E">
        <w:tab/>
      </w:r>
      <w:r w:rsidRPr="0051180E">
        <w:tab/>
      </w:r>
      <w:r w:rsidR="000F043D">
        <w:pict>
          <v:shape id="_x0000_i1026" type="#_x0000_t75" style="width:237.75pt;height:30.75pt">
            <v:imagedata r:id="rId22" o:title=""/>
          </v:shape>
        </w:pict>
      </w:r>
    </w:p>
    <w:p w:rsidR="004F6F2C" w:rsidRPr="0051180E" w:rsidRDefault="00B66616" w:rsidP="00B66616">
      <w:pPr>
        <w:pStyle w:val="notetext"/>
      </w:pPr>
      <w:r w:rsidRPr="0051180E">
        <w:t>Note:</w:t>
      </w:r>
      <w:r w:rsidRPr="0051180E">
        <w:tab/>
      </w:r>
      <w:r w:rsidR="004F6F2C" w:rsidRPr="0051180E">
        <w:t>The amount may then need to be rounded in accordance with regulation</w:t>
      </w:r>
      <w:r w:rsidR="0051180E">
        <w:t> </w:t>
      </w:r>
      <w:r w:rsidR="004F6F2C" w:rsidRPr="0051180E">
        <w:t>7.</w:t>
      </w:r>
    </w:p>
    <w:p w:rsidR="004F6F2C" w:rsidRPr="0051180E" w:rsidRDefault="004F6F2C" w:rsidP="00B66616">
      <w:pPr>
        <w:pStyle w:val="subsection"/>
      </w:pPr>
      <w:r w:rsidRPr="0051180E">
        <w:tab/>
        <w:t>(2)</w:t>
      </w:r>
      <w:r w:rsidRPr="0051180E">
        <w:tab/>
        <w:t xml:space="preserve">In the financial year starting on </w:t>
      </w:r>
      <w:r w:rsidR="00FF1E9B" w:rsidRPr="0051180E">
        <w:t>1</w:t>
      </w:r>
      <w:r w:rsidR="0051180E">
        <w:t> </w:t>
      </w:r>
      <w:r w:rsidR="00FF1E9B" w:rsidRPr="0051180E">
        <w:t>July 2019</w:t>
      </w:r>
      <w:r w:rsidRPr="0051180E">
        <w:t>, or a subsequent 1</w:t>
      </w:r>
      <w:r w:rsidR="0051180E">
        <w:t> </w:t>
      </w:r>
      <w:r w:rsidRPr="0051180E">
        <w:t xml:space="preserve">July, if the latest CPI number is not greater than the earlier CPI number, the fee for </w:t>
      </w:r>
      <w:r w:rsidR="00FF1E9B" w:rsidRPr="0051180E">
        <w:t>an indexable matter</w:t>
      </w:r>
      <w:r w:rsidRPr="0051180E">
        <w:t xml:space="preserve"> is the amount of the fee for </w:t>
      </w:r>
      <w:r w:rsidR="00FF1E9B" w:rsidRPr="0051180E">
        <w:t>the indexable matter</w:t>
      </w:r>
      <w:r w:rsidRPr="0051180E">
        <w:t xml:space="preserve"> that would have been applicable immediately before that 1</w:t>
      </w:r>
      <w:r w:rsidR="0051180E">
        <w:t> </w:t>
      </w:r>
      <w:r w:rsidRPr="0051180E">
        <w:t>July.</w:t>
      </w:r>
    </w:p>
    <w:p w:rsidR="004F6F2C" w:rsidRPr="0051180E" w:rsidRDefault="004F6F2C" w:rsidP="00B66616">
      <w:pPr>
        <w:pStyle w:val="subsection"/>
      </w:pPr>
      <w:r w:rsidRPr="0051180E">
        <w:tab/>
        <w:t>(3)</w:t>
      </w:r>
      <w:r w:rsidRPr="0051180E">
        <w:tab/>
        <w:t>For this regulation:</w:t>
      </w:r>
    </w:p>
    <w:p w:rsidR="004F6F2C" w:rsidRPr="0051180E" w:rsidRDefault="004F6F2C" w:rsidP="00B66616">
      <w:pPr>
        <w:pStyle w:val="paragraph"/>
      </w:pPr>
      <w:r w:rsidRPr="0051180E">
        <w:tab/>
        <w:t>(a)</w:t>
      </w:r>
      <w:r w:rsidRPr="0051180E">
        <w:tab/>
        <w:t>if the Australian Statistician publishes a CPI number for a March quarter in substitution for a CPI number previously published by the Australian Statistician for that quarter, the publication of the later CPI number must be disregarded; and</w:t>
      </w:r>
    </w:p>
    <w:p w:rsidR="004F6F2C" w:rsidRPr="0051180E" w:rsidRDefault="004F6F2C" w:rsidP="00B66616">
      <w:pPr>
        <w:pStyle w:val="paragraph"/>
      </w:pPr>
      <w:r w:rsidRPr="0051180E">
        <w:tab/>
        <w:t>(b)</w:t>
      </w:r>
      <w:r w:rsidRPr="0051180E">
        <w:tab/>
        <w:t>if the Australian Statistician changes the reference base for the Consumer Price Index, then, after the change is made, regard must be had only to the CPI numbers published using the new reference base.</w:t>
      </w:r>
    </w:p>
    <w:p w:rsidR="004F6F2C" w:rsidRPr="0051180E" w:rsidRDefault="004F6F2C" w:rsidP="00B66616">
      <w:pPr>
        <w:pStyle w:val="subsection"/>
      </w:pPr>
      <w:r w:rsidRPr="0051180E">
        <w:tab/>
        <w:t>(4)</w:t>
      </w:r>
      <w:r w:rsidRPr="0051180E">
        <w:tab/>
        <w:t>In this regulation:</w:t>
      </w:r>
    </w:p>
    <w:p w:rsidR="004F6F2C" w:rsidRPr="0051180E" w:rsidRDefault="004F6F2C" w:rsidP="00B66616">
      <w:pPr>
        <w:pStyle w:val="Definition"/>
      </w:pPr>
      <w:r w:rsidRPr="0051180E">
        <w:rPr>
          <w:b/>
          <w:i/>
        </w:rPr>
        <w:t xml:space="preserve">CPI number </w:t>
      </w:r>
      <w:r w:rsidRPr="0051180E">
        <w:t>means the All Groups Consumer Price Index number (being the weighted average of the 8 Australian capital cities) published by the Australian Statistician.</w:t>
      </w:r>
    </w:p>
    <w:p w:rsidR="004F6F2C" w:rsidRPr="0051180E" w:rsidRDefault="004F6F2C" w:rsidP="00B66616">
      <w:pPr>
        <w:pStyle w:val="Definition"/>
      </w:pPr>
      <w:r w:rsidRPr="0051180E">
        <w:rPr>
          <w:b/>
          <w:i/>
        </w:rPr>
        <w:t xml:space="preserve">earlier CPI number </w:t>
      </w:r>
      <w:r w:rsidRPr="0051180E">
        <w:t>is the CPI number for the March quarter 2 financial years before the relevant financial year begins.</w:t>
      </w:r>
    </w:p>
    <w:p w:rsidR="004F6F2C" w:rsidRPr="0051180E" w:rsidRDefault="004F6F2C" w:rsidP="00B66616">
      <w:pPr>
        <w:pStyle w:val="Definition"/>
      </w:pPr>
      <w:r w:rsidRPr="0051180E">
        <w:rPr>
          <w:b/>
          <w:i/>
        </w:rPr>
        <w:t xml:space="preserve">latest CPI number </w:t>
      </w:r>
      <w:r w:rsidRPr="0051180E">
        <w:t>is the CPI number for the last March quarter before the relevant financial year begins.</w:t>
      </w:r>
    </w:p>
    <w:p w:rsidR="00FF1E9B" w:rsidRPr="0051180E" w:rsidRDefault="00FF1E9B" w:rsidP="00FF1E9B">
      <w:pPr>
        <w:pStyle w:val="Definition"/>
      </w:pPr>
      <w:r w:rsidRPr="0051180E">
        <w:rPr>
          <w:b/>
          <w:i/>
        </w:rPr>
        <w:t xml:space="preserve">previous indexable amount </w:t>
      </w:r>
      <w:r w:rsidRPr="0051180E">
        <w:t>is the amount of the fee for an indexable matter (including any alteration in accordance with this regulation or regulation</w:t>
      </w:r>
      <w:r w:rsidR="0051180E">
        <w:t> </w:t>
      </w:r>
      <w:r w:rsidRPr="0051180E">
        <w:t>7) that was applicable immediately before the relevant 1</w:t>
      </w:r>
      <w:r w:rsidR="0051180E">
        <w:t> </w:t>
      </w:r>
      <w:r w:rsidRPr="0051180E">
        <w:t>July.</w:t>
      </w:r>
    </w:p>
    <w:p w:rsidR="00FF1E9B" w:rsidRPr="0051180E" w:rsidRDefault="00FF1E9B" w:rsidP="00FF1E9B">
      <w:pPr>
        <w:pStyle w:val="ActHead5"/>
      </w:pPr>
      <w:bookmarkStart w:id="6" w:name="_Toc521330302"/>
      <w:r w:rsidRPr="0051180E">
        <w:rPr>
          <w:rStyle w:val="CharSectno"/>
        </w:rPr>
        <w:lastRenderedPageBreak/>
        <w:t>7</w:t>
      </w:r>
      <w:r w:rsidRPr="0051180E">
        <w:t xml:space="preserve">  Rounding of fees</w:t>
      </w:r>
      <w:bookmarkEnd w:id="6"/>
    </w:p>
    <w:p w:rsidR="00FF1E9B" w:rsidRPr="0051180E" w:rsidRDefault="00FF1E9B" w:rsidP="00FF1E9B">
      <w:pPr>
        <w:pStyle w:val="subsection"/>
      </w:pPr>
      <w:r w:rsidRPr="0051180E">
        <w:tab/>
      </w:r>
      <w:r w:rsidRPr="0051180E">
        <w:tab/>
        <w:t>If an amount worked out using Part</w:t>
      </w:r>
      <w:r w:rsidR="0051180E">
        <w:t> </w:t>
      </w:r>
      <w:r w:rsidRPr="0051180E">
        <w:t>1 or 2 of Schedule</w:t>
      </w:r>
      <w:r w:rsidR="0051180E">
        <w:t> </w:t>
      </w:r>
      <w:r w:rsidRPr="0051180E">
        <w:t>1 or Schedule</w:t>
      </w:r>
      <w:r w:rsidR="0051180E">
        <w:t> </w:t>
      </w:r>
      <w:r w:rsidRPr="0051180E">
        <w:t>2 (including any alteration in accordance with Part</w:t>
      </w:r>
      <w:r w:rsidR="0051180E">
        <w:t> </w:t>
      </w:r>
      <w:r w:rsidRPr="0051180E">
        <w:t>3 of Schedule</w:t>
      </w:r>
      <w:r w:rsidR="0051180E">
        <w:t> </w:t>
      </w:r>
      <w:r w:rsidRPr="0051180E">
        <w:t>1 or regulation</w:t>
      </w:r>
      <w:r w:rsidR="0051180E">
        <w:t> </w:t>
      </w:r>
      <w:r w:rsidRPr="0051180E">
        <w:t>6) is an amount of dollars and cents:</w:t>
      </w:r>
    </w:p>
    <w:p w:rsidR="00FF1E9B" w:rsidRPr="0051180E" w:rsidRDefault="00FF1E9B" w:rsidP="00FF1E9B">
      <w:pPr>
        <w:pStyle w:val="paragraph"/>
      </w:pPr>
      <w:r w:rsidRPr="0051180E">
        <w:tab/>
        <w:t>(a)</w:t>
      </w:r>
      <w:r w:rsidRPr="0051180E">
        <w:tab/>
        <w:t>if the amount of cents is at least 50 cents—the amount is to be rounded up to the nearest dollar; or</w:t>
      </w:r>
    </w:p>
    <w:p w:rsidR="00FF1E9B" w:rsidRPr="0051180E" w:rsidRDefault="00FF1E9B" w:rsidP="00FF1E9B">
      <w:pPr>
        <w:pStyle w:val="paragraph"/>
      </w:pPr>
      <w:r w:rsidRPr="0051180E">
        <w:tab/>
        <w:t>(b)</w:t>
      </w:r>
      <w:r w:rsidRPr="0051180E">
        <w:tab/>
        <w:t>otherwise—the amount is to be rounded down to the nearest dollar.</w:t>
      </w:r>
    </w:p>
    <w:p w:rsidR="00D9120C" w:rsidRPr="0051180E" w:rsidRDefault="00D9120C" w:rsidP="00D9120C">
      <w:pPr>
        <w:sectPr w:rsidR="00D9120C" w:rsidRPr="0051180E" w:rsidSect="000F043D">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bookmarkStart w:id="7" w:name="OPCSB_BodyPrincipleB5"/>
    </w:p>
    <w:p w:rsidR="00EB2CC8" w:rsidRPr="0051180E" w:rsidRDefault="00EB2CC8" w:rsidP="00D9120C">
      <w:pPr>
        <w:pStyle w:val="ActHead1"/>
        <w:pageBreakBefore/>
      </w:pPr>
      <w:bookmarkStart w:id="8" w:name="_Toc521330303"/>
      <w:bookmarkEnd w:id="7"/>
      <w:r w:rsidRPr="0051180E">
        <w:rPr>
          <w:rStyle w:val="CharChapNo"/>
        </w:rPr>
        <w:lastRenderedPageBreak/>
        <w:t>Schedule</w:t>
      </w:r>
      <w:r w:rsidR="0051180E" w:rsidRPr="0051180E">
        <w:rPr>
          <w:rStyle w:val="CharChapNo"/>
        </w:rPr>
        <w:t> </w:t>
      </w:r>
      <w:r w:rsidRPr="0051180E">
        <w:rPr>
          <w:rStyle w:val="CharChapNo"/>
        </w:rPr>
        <w:t>1</w:t>
      </w:r>
      <w:r w:rsidRPr="0051180E">
        <w:t>—</w:t>
      </w:r>
      <w:r w:rsidRPr="0051180E">
        <w:rPr>
          <w:rStyle w:val="CharChapText"/>
        </w:rPr>
        <w:t>Fees for chargeable matters</w:t>
      </w:r>
      <w:bookmarkEnd w:id="8"/>
    </w:p>
    <w:p w:rsidR="00EB2CC8" w:rsidRPr="0051180E" w:rsidRDefault="00EB2CC8" w:rsidP="00EB2CC8">
      <w:pPr>
        <w:pStyle w:val="notemargin"/>
      </w:pPr>
      <w:r w:rsidRPr="0051180E">
        <w:t>Note:</w:t>
      </w:r>
      <w:r w:rsidRPr="0051180E">
        <w:tab/>
        <w:t>See regulation</w:t>
      </w:r>
      <w:r w:rsidR="0051180E">
        <w:t> </w:t>
      </w:r>
      <w:r w:rsidRPr="0051180E">
        <w:t>4.</w:t>
      </w:r>
    </w:p>
    <w:p w:rsidR="00EB2CC8" w:rsidRPr="0051180E" w:rsidRDefault="00EB2CC8" w:rsidP="00EB2CC8">
      <w:pPr>
        <w:pStyle w:val="ActHead2"/>
      </w:pPr>
      <w:bookmarkStart w:id="9" w:name="_Toc521330304"/>
      <w:r w:rsidRPr="0051180E">
        <w:rPr>
          <w:rStyle w:val="CharPartNo"/>
        </w:rPr>
        <w:t>Part</w:t>
      </w:r>
      <w:r w:rsidR="0051180E" w:rsidRPr="0051180E">
        <w:rPr>
          <w:rStyle w:val="CharPartNo"/>
        </w:rPr>
        <w:t> </w:t>
      </w:r>
      <w:r w:rsidRPr="0051180E">
        <w:rPr>
          <w:rStyle w:val="CharPartNo"/>
        </w:rPr>
        <w:t>1</w:t>
      </w:r>
      <w:r w:rsidRPr="0051180E">
        <w:t>—</w:t>
      </w:r>
      <w:r w:rsidRPr="0051180E">
        <w:rPr>
          <w:rStyle w:val="CharPartText"/>
        </w:rPr>
        <w:t>Specified fees</w:t>
      </w:r>
      <w:bookmarkEnd w:id="9"/>
    </w:p>
    <w:p w:rsidR="00EB2CC8" w:rsidRPr="0051180E" w:rsidRDefault="00EB2CC8" w:rsidP="00EB2CC8">
      <w:pPr>
        <w:pStyle w:val="Header"/>
      </w:pPr>
      <w:r w:rsidRPr="0051180E">
        <w:rPr>
          <w:rStyle w:val="CharDivNo"/>
        </w:rPr>
        <w:t xml:space="preserve"> </w:t>
      </w:r>
      <w:r w:rsidRPr="0051180E">
        <w:rPr>
          <w:rStyle w:val="CharDivText"/>
        </w:rPr>
        <w:t xml:space="preserve"> </w:t>
      </w:r>
    </w:p>
    <w:p w:rsidR="00EB2CC8" w:rsidRPr="0051180E" w:rsidRDefault="00EB2CC8" w:rsidP="00EB2CC8">
      <w:pPr>
        <w:pStyle w:val="ActHead5"/>
      </w:pPr>
      <w:bookmarkStart w:id="10" w:name="_Toc521330305"/>
      <w:r w:rsidRPr="0051180E">
        <w:rPr>
          <w:rStyle w:val="CharSectno"/>
        </w:rPr>
        <w:t>1</w:t>
      </w:r>
      <w:r w:rsidRPr="0051180E">
        <w:t xml:space="preserve">  Specified fees</w:t>
      </w:r>
      <w:bookmarkEnd w:id="10"/>
    </w:p>
    <w:p w:rsidR="00EB2CC8" w:rsidRPr="0051180E" w:rsidRDefault="00EB2CC8" w:rsidP="00EB2CC8">
      <w:pPr>
        <w:pStyle w:val="subsection"/>
      </w:pPr>
      <w:r w:rsidRPr="0051180E">
        <w:tab/>
      </w:r>
      <w:r w:rsidRPr="0051180E">
        <w:tab/>
        <w:t>For the purposes of subregulations 4(1) and (2), the following table prescribes fees for chargeable matters.</w:t>
      </w:r>
    </w:p>
    <w:p w:rsidR="00EB2CC8" w:rsidRPr="0051180E" w:rsidRDefault="00EB2CC8" w:rsidP="00EB2CC8">
      <w:pPr>
        <w:pStyle w:val="notetext"/>
      </w:pPr>
      <w:r w:rsidRPr="0051180E">
        <w:t>Note:</w:t>
      </w:r>
      <w:r w:rsidRPr="0051180E">
        <w:tab/>
        <w:t>See also regulation</w:t>
      </w:r>
      <w:r w:rsidR="0051180E">
        <w:t> </w:t>
      </w:r>
      <w:r w:rsidRPr="0051180E">
        <w:t>3 (definitions).</w:t>
      </w:r>
    </w:p>
    <w:p w:rsidR="00EB2CC8" w:rsidRPr="0051180E" w:rsidRDefault="00EB2CC8" w:rsidP="00EB2C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7"/>
        <w:gridCol w:w="6690"/>
        <w:gridCol w:w="1122"/>
      </w:tblGrid>
      <w:tr w:rsidR="00EB2CC8" w:rsidRPr="0051180E" w:rsidTr="00585528">
        <w:trPr>
          <w:trHeight w:val="57"/>
          <w:tblHeader/>
        </w:trPr>
        <w:tc>
          <w:tcPr>
            <w:tcW w:w="5000" w:type="pct"/>
            <w:gridSpan w:val="3"/>
            <w:tcBorders>
              <w:top w:val="single" w:sz="12" w:space="0" w:color="auto"/>
              <w:bottom w:val="single" w:sz="6" w:space="0" w:color="auto"/>
            </w:tcBorders>
            <w:shd w:val="clear" w:color="auto" w:fill="auto"/>
          </w:tcPr>
          <w:p w:rsidR="00EB2CC8" w:rsidRPr="0051180E" w:rsidRDefault="00EB2CC8" w:rsidP="00576493">
            <w:pPr>
              <w:pStyle w:val="TableHeading"/>
            </w:pPr>
            <w:r w:rsidRPr="0051180E">
              <w:t>Specified fees</w:t>
            </w:r>
          </w:p>
        </w:tc>
      </w:tr>
      <w:tr w:rsidR="00EB2CC8" w:rsidRPr="0051180E" w:rsidTr="00585528">
        <w:trPr>
          <w:trHeight w:val="57"/>
          <w:tblHeader/>
        </w:trPr>
        <w:tc>
          <w:tcPr>
            <w:tcW w:w="420"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Item</w:t>
            </w:r>
          </w:p>
        </w:tc>
        <w:tc>
          <w:tcPr>
            <w:tcW w:w="3922"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Column 1</w:t>
            </w:r>
            <w:r w:rsidRPr="0051180E">
              <w:br/>
              <w:t>Chargeable matter</w:t>
            </w:r>
          </w:p>
        </w:tc>
        <w:tc>
          <w:tcPr>
            <w:tcW w:w="658"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Column 2</w:t>
            </w:r>
            <w:r w:rsidRPr="0051180E">
              <w:br/>
              <w:t>Fee</w:t>
            </w:r>
          </w:p>
        </w:tc>
      </w:tr>
      <w:tr w:rsidR="00525E3D" w:rsidRPr="0051180E" w:rsidTr="00585528">
        <w:tc>
          <w:tcPr>
            <w:tcW w:w="5000" w:type="pct"/>
            <w:gridSpan w:val="3"/>
            <w:tcBorders>
              <w:top w:val="single" w:sz="12" w:space="0" w:color="auto"/>
              <w:bottom w:val="nil"/>
            </w:tcBorders>
            <w:shd w:val="clear" w:color="auto" w:fill="auto"/>
          </w:tcPr>
          <w:p w:rsidR="00525E3D" w:rsidRPr="0051180E" w:rsidRDefault="00525E3D" w:rsidP="00525E3D">
            <w:pPr>
              <w:pStyle w:val="TableHeading"/>
            </w:pPr>
            <w:r w:rsidRPr="00525E3D">
              <w:t>Chargeable matters under the National Credit Act</w:t>
            </w:r>
          </w:p>
        </w:tc>
      </w:tr>
      <w:tr w:rsidR="00525E3D" w:rsidRPr="0051180E" w:rsidTr="0051180E">
        <w:tc>
          <w:tcPr>
            <w:tcW w:w="420" w:type="pct"/>
            <w:tcBorders>
              <w:bottom w:val="nil"/>
            </w:tcBorders>
            <w:shd w:val="clear" w:color="auto" w:fill="auto"/>
          </w:tcPr>
          <w:p w:rsidR="00525E3D" w:rsidRPr="0051180E" w:rsidRDefault="00525E3D" w:rsidP="00D305F2">
            <w:pPr>
              <w:pStyle w:val="Tabletext"/>
            </w:pPr>
            <w:r w:rsidRPr="0051180E">
              <w:t>1</w:t>
            </w:r>
          </w:p>
        </w:tc>
        <w:tc>
          <w:tcPr>
            <w:tcW w:w="3922" w:type="pct"/>
            <w:tcBorders>
              <w:bottom w:val="nil"/>
            </w:tcBorders>
            <w:shd w:val="clear" w:color="auto" w:fill="auto"/>
          </w:tcPr>
          <w:p w:rsidR="00525E3D" w:rsidRPr="0051180E" w:rsidRDefault="00525E3D" w:rsidP="00D305F2">
            <w:pPr>
              <w:pStyle w:val="Tabletext"/>
            </w:pPr>
            <w:r w:rsidRPr="0051180E">
              <w:t>Lodgment of an application to be licensed under subsection</w:t>
            </w:r>
            <w:r>
              <w:t> </w:t>
            </w:r>
            <w:r w:rsidRPr="0051180E">
              <w:t>36(1) of the National Credit Act:</w:t>
            </w:r>
          </w:p>
        </w:tc>
        <w:tc>
          <w:tcPr>
            <w:tcW w:w="658" w:type="pct"/>
            <w:tcBorders>
              <w:bottom w:val="nil"/>
            </w:tcBorders>
            <w:shd w:val="clear" w:color="auto" w:fill="auto"/>
          </w:tcPr>
          <w:p w:rsidR="00525E3D" w:rsidRPr="0051180E" w:rsidRDefault="00525E3D" w:rsidP="00D305F2">
            <w:pPr>
              <w:pStyle w:val="Tabletext"/>
            </w:pP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(a) if the applicant is an individual and the licence is not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$1,798</w:t>
            </w: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(b) if the applicant is an individual and the licence is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$3,468</w:t>
            </w: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(c) if the applicant is not an individual and the licence is not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$2,055</w:t>
            </w:r>
          </w:p>
        </w:tc>
      </w:tr>
      <w:tr w:rsidR="00525E3D" w:rsidRPr="0051180E" w:rsidTr="0051180E">
        <w:tc>
          <w:tcPr>
            <w:tcW w:w="420" w:type="pct"/>
            <w:tcBorders>
              <w:top w:val="nil"/>
            </w:tcBorders>
            <w:shd w:val="clear" w:color="auto" w:fill="auto"/>
          </w:tcPr>
          <w:p w:rsidR="00525E3D" w:rsidRPr="0051180E" w:rsidRDefault="00525E3D" w:rsidP="00576493">
            <w:pPr>
              <w:pStyle w:val="Tabletext"/>
            </w:pPr>
          </w:p>
        </w:tc>
        <w:tc>
          <w:tcPr>
            <w:tcW w:w="3922" w:type="pct"/>
            <w:tcBorders>
              <w:top w:val="nil"/>
            </w:tcBorders>
            <w:shd w:val="clear" w:color="auto" w:fill="auto"/>
          </w:tcPr>
          <w:p w:rsidR="00525E3D" w:rsidRPr="0051180E" w:rsidRDefault="00525E3D" w:rsidP="00576493">
            <w:pPr>
              <w:pStyle w:val="Tablea"/>
            </w:pPr>
            <w:r w:rsidRPr="0051180E">
              <w:t>(d) if the applicant is not an individual and the licence is a credit provider licence or lessor licence</w:t>
            </w:r>
          </w:p>
        </w:tc>
        <w:tc>
          <w:tcPr>
            <w:tcW w:w="658" w:type="pct"/>
            <w:tcBorders>
              <w:top w:val="nil"/>
            </w:tcBorders>
            <w:shd w:val="clear" w:color="auto" w:fill="auto"/>
          </w:tcPr>
          <w:p w:rsidR="00525E3D" w:rsidRPr="0051180E" w:rsidRDefault="00525E3D" w:rsidP="00576493">
            <w:pPr>
              <w:pStyle w:val="Tabletext"/>
            </w:pPr>
            <w:r w:rsidRPr="0051180E">
              <w:t>$4,624</w:t>
            </w:r>
          </w:p>
        </w:tc>
      </w:tr>
      <w:tr w:rsidR="00525E3D" w:rsidRPr="0051180E" w:rsidTr="0051180E">
        <w:tc>
          <w:tcPr>
            <w:tcW w:w="420" w:type="pct"/>
            <w:shd w:val="clear" w:color="auto" w:fill="auto"/>
          </w:tcPr>
          <w:p w:rsidR="00525E3D" w:rsidRPr="0051180E" w:rsidRDefault="00525E3D" w:rsidP="00576493">
            <w:pPr>
              <w:pStyle w:val="Tabletext"/>
            </w:pPr>
            <w:r w:rsidRPr="0051180E">
              <w:t>2</w:t>
            </w:r>
          </w:p>
        </w:tc>
        <w:tc>
          <w:tcPr>
            <w:tcW w:w="3922" w:type="pct"/>
            <w:shd w:val="clear" w:color="auto" w:fill="auto"/>
          </w:tcPr>
          <w:p w:rsidR="00525E3D" w:rsidRPr="0051180E" w:rsidRDefault="00525E3D" w:rsidP="00576493">
            <w:pPr>
              <w:pStyle w:val="Tabletext"/>
            </w:pPr>
            <w:r w:rsidRPr="0051180E">
              <w:t>Lodgment of information or an audit report under subsection</w:t>
            </w:r>
            <w:r>
              <w:t> </w:t>
            </w:r>
            <w:r w:rsidRPr="0051180E">
              <w:t>37(4)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3</w:t>
            </w:r>
          </w:p>
        </w:tc>
        <w:tc>
          <w:tcPr>
            <w:tcW w:w="3922" w:type="pct"/>
            <w:shd w:val="clear" w:color="auto" w:fill="auto"/>
          </w:tcPr>
          <w:p w:rsidR="00525E3D" w:rsidRPr="0051180E" w:rsidRDefault="00525E3D" w:rsidP="00576493">
            <w:pPr>
              <w:pStyle w:val="Tabletext"/>
            </w:pPr>
            <w:r w:rsidRPr="0051180E">
              <w:t>Lodgement of an application for an extension of time under subsection</w:t>
            </w:r>
            <w:r>
              <w:t> </w:t>
            </w:r>
            <w:r w:rsidRPr="0051180E">
              <w:t>37(5), 49(5), 220(2) or 265(5)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tcBorders>
              <w:bottom w:val="nil"/>
            </w:tcBorders>
            <w:shd w:val="clear" w:color="auto" w:fill="auto"/>
          </w:tcPr>
          <w:p w:rsidR="00525E3D" w:rsidRPr="0051180E" w:rsidRDefault="00525E3D" w:rsidP="00576493">
            <w:pPr>
              <w:pStyle w:val="Tabletext"/>
            </w:pPr>
            <w:r w:rsidRPr="0051180E">
              <w:t>4</w:t>
            </w:r>
          </w:p>
        </w:tc>
        <w:tc>
          <w:tcPr>
            <w:tcW w:w="3922" w:type="pct"/>
            <w:tcBorders>
              <w:bottom w:val="nil"/>
            </w:tcBorders>
            <w:shd w:val="clear" w:color="auto" w:fill="auto"/>
          </w:tcPr>
          <w:p w:rsidR="00525E3D" w:rsidRPr="0051180E" w:rsidRDefault="00525E3D" w:rsidP="00576493">
            <w:pPr>
              <w:pStyle w:val="Tabletext"/>
            </w:pPr>
            <w:r w:rsidRPr="0051180E">
              <w:t>Lodgment of an application to have conditions imposed, varied or revoked under paragraph</w:t>
            </w:r>
            <w:r>
              <w:t> </w:t>
            </w:r>
            <w:r w:rsidRPr="0051180E">
              <w:t>45(2)(b) of the National Credit Act:</w:t>
            </w:r>
          </w:p>
        </w:tc>
        <w:tc>
          <w:tcPr>
            <w:tcW w:w="658" w:type="pct"/>
            <w:tcBorders>
              <w:bottom w:val="nil"/>
            </w:tcBorders>
            <w:shd w:val="clear" w:color="auto" w:fill="auto"/>
          </w:tcPr>
          <w:p w:rsidR="00525E3D" w:rsidRPr="0051180E" w:rsidRDefault="00525E3D" w:rsidP="00576493">
            <w:pPr>
              <w:pStyle w:val="Tabletext"/>
            </w:pP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(a) if the licensee is an individual and the licence is not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$2,183</w:t>
            </w: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(b) if the licensee is an individual and the licence is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$1,156</w:t>
            </w:r>
          </w:p>
        </w:tc>
      </w:tr>
      <w:tr w:rsidR="00525E3D" w:rsidRPr="0051180E" w:rsidTr="0051180E">
        <w:tc>
          <w:tcPr>
            <w:tcW w:w="420" w:type="pct"/>
            <w:tcBorders>
              <w:top w:val="nil"/>
              <w:bottom w:val="nil"/>
            </w:tcBorders>
            <w:shd w:val="clear" w:color="auto" w:fill="auto"/>
          </w:tcPr>
          <w:p w:rsidR="00525E3D" w:rsidRPr="0051180E" w:rsidRDefault="00525E3D" w:rsidP="00576493">
            <w:pPr>
              <w:pStyle w:val="Tabletext"/>
            </w:pPr>
          </w:p>
        </w:tc>
        <w:tc>
          <w:tcPr>
            <w:tcW w:w="3922" w:type="pct"/>
            <w:tcBorders>
              <w:top w:val="nil"/>
              <w:bottom w:val="nil"/>
            </w:tcBorders>
            <w:shd w:val="clear" w:color="auto" w:fill="auto"/>
          </w:tcPr>
          <w:p w:rsidR="00525E3D" w:rsidRPr="0051180E" w:rsidRDefault="00525E3D" w:rsidP="00576493">
            <w:pPr>
              <w:pStyle w:val="Tablea"/>
            </w:pPr>
            <w:r w:rsidRPr="0051180E">
              <w:t>(c) if the licensee is not an individual and the licence is not a credit provider licence or lessor licence; or</w:t>
            </w:r>
          </w:p>
        </w:tc>
        <w:tc>
          <w:tcPr>
            <w:tcW w:w="658" w:type="pct"/>
            <w:tcBorders>
              <w:top w:val="nil"/>
              <w:bottom w:val="nil"/>
            </w:tcBorders>
            <w:shd w:val="clear" w:color="auto" w:fill="auto"/>
          </w:tcPr>
          <w:p w:rsidR="00525E3D" w:rsidRPr="0051180E" w:rsidRDefault="00525E3D" w:rsidP="00576493">
            <w:pPr>
              <w:pStyle w:val="Tabletext"/>
            </w:pPr>
            <w:r w:rsidRPr="0051180E">
              <w:t>$2,826</w:t>
            </w:r>
          </w:p>
        </w:tc>
      </w:tr>
      <w:tr w:rsidR="00525E3D" w:rsidRPr="0051180E" w:rsidTr="0051180E">
        <w:tc>
          <w:tcPr>
            <w:tcW w:w="420" w:type="pct"/>
            <w:tcBorders>
              <w:top w:val="nil"/>
            </w:tcBorders>
            <w:shd w:val="clear" w:color="auto" w:fill="auto"/>
          </w:tcPr>
          <w:p w:rsidR="00525E3D" w:rsidRPr="0051180E" w:rsidRDefault="00525E3D" w:rsidP="00576493">
            <w:pPr>
              <w:pStyle w:val="Tabletext"/>
            </w:pPr>
          </w:p>
        </w:tc>
        <w:tc>
          <w:tcPr>
            <w:tcW w:w="3922" w:type="pct"/>
            <w:tcBorders>
              <w:top w:val="nil"/>
            </w:tcBorders>
            <w:shd w:val="clear" w:color="auto" w:fill="auto"/>
          </w:tcPr>
          <w:p w:rsidR="00525E3D" w:rsidRPr="0051180E" w:rsidRDefault="00525E3D" w:rsidP="00576493">
            <w:pPr>
              <w:pStyle w:val="Tablea"/>
            </w:pPr>
            <w:r w:rsidRPr="0051180E">
              <w:t>(d) if the licensee is not an individual and the licence is a credit provider licence or lessor licence</w:t>
            </w:r>
          </w:p>
        </w:tc>
        <w:tc>
          <w:tcPr>
            <w:tcW w:w="658" w:type="pct"/>
            <w:tcBorders>
              <w:top w:val="nil"/>
            </w:tcBorders>
            <w:shd w:val="clear" w:color="auto" w:fill="auto"/>
          </w:tcPr>
          <w:p w:rsidR="00525E3D" w:rsidRPr="0051180E" w:rsidRDefault="00525E3D" w:rsidP="00576493">
            <w:pPr>
              <w:pStyle w:val="Tabletext"/>
            </w:pPr>
            <w:r w:rsidRPr="0051180E">
              <w:t>$1,284</w:t>
            </w:r>
          </w:p>
        </w:tc>
      </w:tr>
      <w:tr w:rsidR="00525E3D" w:rsidRPr="0051180E" w:rsidTr="0051180E">
        <w:tc>
          <w:tcPr>
            <w:tcW w:w="420" w:type="pct"/>
            <w:shd w:val="clear" w:color="auto" w:fill="auto"/>
          </w:tcPr>
          <w:p w:rsidR="00525E3D" w:rsidRPr="0051180E" w:rsidRDefault="00525E3D" w:rsidP="00576493">
            <w:pPr>
              <w:pStyle w:val="Tabletext"/>
            </w:pPr>
            <w:r w:rsidRPr="0051180E">
              <w:t>5</w:t>
            </w:r>
          </w:p>
        </w:tc>
        <w:tc>
          <w:tcPr>
            <w:tcW w:w="3922" w:type="pct"/>
            <w:shd w:val="clear" w:color="auto" w:fill="auto"/>
          </w:tcPr>
          <w:p w:rsidR="00525E3D" w:rsidRPr="0051180E" w:rsidRDefault="00525E3D" w:rsidP="00576493">
            <w:pPr>
              <w:pStyle w:val="Tabletext"/>
            </w:pPr>
            <w:r w:rsidRPr="0051180E">
              <w:t xml:space="preserve">Lodgment of an application for ASIC to approve arrangements under </w:t>
            </w:r>
            <w:r w:rsidRPr="0051180E">
              <w:lastRenderedPageBreak/>
              <w:t>paragraph</w:t>
            </w:r>
            <w:r>
              <w:t> </w:t>
            </w:r>
            <w:r w:rsidRPr="0051180E">
              <w:t>48(2)(b) of the National Credit Act</w:t>
            </w:r>
          </w:p>
        </w:tc>
        <w:tc>
          <w:tcPr>
            <w:tcW w:w="658" w:type="pct"/>
            <w:shd w:val="clear" w:color="auto" w:fill="auto"/>
          </w:tcPr>
          <w:p w:rsidR="00525E3D" w:rsidRPr="0051180E" w:rsidRDefault="00525E3D" w:rsidP="00576493">
            <w:pPr>
              <w:pStyle w:val="Tabletext"/>
            </w:pPr>
            <w:r w:rsidRPr="0051180E">
              <w:lastRenderedPageBreak/>
              <w:t>$1,540</w:t>
            </w:r>
          </w:p>
        </w:tc>
      </w:tr>
      <w:tr w:rsidR="00525E3D" w:rsidRPr="0051180E" w:rsidTr="0051180E">
        <w:tc>
          <w:tcPr>
            <w:tcW w:w="420" w:type="pct"/>
            <w:shd w:val="clear" w:color="auto" w:fill="auto"/>
          </w:tcPr>
          <w:p w:rsidR="00525E3D" w:rsidRPr="0051180E" w:rsidRDefault="00525E3D" w:rsidP="00576493">
            <w:pPr>
              <w:pStyle w:val="Tabletext"/>
            </w:pPr>
            <w:r w:rsidRPr="0051180E">
              <w:lastRenderedPageBreak/>
              <w:t>6</w:t>
            </w:r>
          </w:p>
        </w:tc>
        <w:tc>
          <w:tcPr>
            <w:tcW w:w="3922" w:type="pct"/>
            <w:shd w:val="clear" w:color="auto" w:fill="auto"/>
          </w:tcPr>
          <w:p w:rsidR="00525E3D" w:rsidRPr="0051180E" w:rsidRDefault="00525E3D" w:rsidP="00576493">
            <w:pPr>
              <w:pStyle w:val="Tabletext"/>
            </w:pPr>
            <w:r w:rsidRPr="0051180E">
              <w:t>Lodgment of a statement under subsection</w:t>
            </w:r>
            <w:r>
              <w:t> </w:t>
            </w:r>
            <w:r w:rsidRPr="0051180E">
              <w:t>49(1)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7</w:t>
            </w:r>
          </w:p>
        </w:tc>
        <w:tc>
          <w:tcPr>
            <w:tcW w:w="3922" w:type="pct"/>
            <w:shd w:val="clear" w:color="auto" w:fill="auto"/>
          </w:tcPr>
          <w:p w:rsidR="00525E3D" w:rsidRPr="0051180E" w:rsidRDefault="00525E3D" w:rsidP="00576493">
            <w:pPr>
              <w:pStyle w:val="Tabletext"/>
            </w:pPr>
            <w:r w:rsidRPr="0051180E">
              <w:t>Lodgement of an application for an extension of time under subsection</w:t>
            </w:r>
            <w:r>
              <w:t> </w:t>
            </w:r>
            <w:r w:rsidRPr="0051180E">
              <w:t>53(1) or 101(3) of the National Credit Act</w:t>
            </w:r>
          </w:p>
        </w:tc>
        <w:tc>
          <w:tcPr>
            <w:tcW w:w="658" w:type="pct"/>
            <w:shd w:val="clear" w:color="auto" w:fill="auto"/>
          </w:tcPr>
          <w:p w:rsidR="00525E3D" w:rsidRPr="0051180E" w:rsidRDefault="00525E3D" w:rsidP="00576493">
            <w:pPr>
              <w:pStyle w:val="Tabletext"/>
            </w:pPr>
            <w:r w:rsidRPr="0051180E">
              <w:t>$1,155</w:t>
            </w:r>
          </w:p>
        </w:tc>
      </w:tr>
      <w:tr w:rsidR="00525E3D" w:rsidRPr="0051180E" w:rsidTr="0051180E">
        <w:tc>
          <w:tcPr>
            <w:tcW w:w="420" w:type="pct"/>
            <w:shd w:val="clear" w:color="auto" w:fill="auto"/>
          </w:tcPr>
          <w:p w:rsidR="00525E3D" w:rsidRPr="0051180E" w:rsidRDefault="00525E3D" w:rsidP="00576493">
            <w:pPr>
              <w:pStyle w:val="Tabletext"/>
            </w:pPr>
            <w:r w:rsidRPr="0051180E">
              <w:t>8</w:t>
            </w:r>
          </w:p>
        </w:tc>
        <w:tc>
          <w:tcPr>
            <w:tcW w:w="3922" w:type="pct"/>
            <w:shd w:val="clear" w:color="auto" w:fill="auto"/>
          </w:tcPr>
          <w:p w:rsidR="00525E3D" w:rsidRPr="0051180E" w:rsidRDefault="00525E3D" w:rsidP="00576493">
            <w:pPr>
              <w:pStyle w:val="Tabletext"/>
            </w:pPr>
            <w:r w:rsidRPr="0051180E">
              <w:t>Lodgment of an annual compliance certificate under subsection</w:t>
            </w:r>
            <w:r>
              <w:t> </w:t>
            </w:r>
            <w:r w:rsidRPr="0051180E">
              <w:t>53(1)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9</w:t>
            </w:r>
          </w:p>
        </w:tc>
        <w:tc>
          <w:tcPr>
            <w:tcW w:w="3922" w:type="pct"/>
            <w:shd w:val="clear" w:color="auto" w:fill="auto"/>
          </w:tcPr>
          <w:p w:rsidR="00525E3D" w:rsidRPr="0051180E" w:rsidRDefault="00525E3D" w:rsidP="00576493">
            <w:pPr>
              <w:pStyle w:val="Tabletext"/>
            </w:pPr>
            <w:r w:rsidRPr="0051180E">
              <w:t>Lodgment under paragraph</w:t>
            </w:r>
            <w:r>
              <w:t> </w:t>
            </w:r>
            <w:r w:rsidRPr="0051180E">
              <w:t>54(1)(a)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10</w:t>
            </w:r>
          </w:p>
        </w:tc>
        <w:tc>
          <w:tcPr>
            <w:tcW w:w="3922" w:type="pct"/>
            <w:shd w:val="clear" w:color="auto" w:fill="auto"/>
          </w:tcPr>
          <w:p w:rsidR="00525E3D" w:rsidRPr="0051180E" w:rsidRDefault="00525E3D" w:rsidP="00576493">
            <w:pPr>
              <w:pStyle w:val="Tabletext"/>
            </w:pPr>
            <w:r w:rsidRPr="0051180E">
              <w:t>Lodgment of an application for the variation or cancellation of a banning order under paragraph</w:t>
            </w:r>
            <w:r>
              <w:t> </w:t>
            </w:r>
            <w:r w:rsidRPr="0051180E">
              <w:t>83(2)(b) of the National Credit Act</w:t>
            </w:r>
          </w:p>
        </w:tc>
        <w:tc>
          <w:tcPr>
            <w:tcW w:w="658" w:type="pct"/>
            <w:shd w:val="clear" w:color="auto" w:fill="auto"/>
          </w:tcPr>
          <w:p w:rsidR="00525E3D" w:rsidRPr="0051180E" w:rsidRDefault="00525E3D" w:rsidP="00576493">
            <w:pPr>
              <w:pStyle w:val="Tabletext"/>
            </w:pPr>
            <w:r w:rsidRPr="0051180E">
              <w:t>$115</w:t>
            </w:r>
          </w:p>
        </w:tc>
      </w:tr>
      <w:tr w:rsidR="00525E3D" w:rsidRPr="0051180E" w:rsidTr="0051180E">
        <w:tc>
          <w:tcPr>
            <w:tcW w:w="420" w:type="pct"/>
            <w:shd w:val="clear" w:color="auto" w:fill="auto"/>
          </w:tcPr>
          <w:p w:rsidR="00525E3D" w:rsidRPr="0051180E" w:rsidRDefault="00525E3D" w:rsidP="00576493">
            <w:pPr>
              <w:pStyle w:val="Tabletext"/>
            </w:pPr>
            <w:r w:rsidRPr="0051180E">
              <w:t>11</w:t>
            </w:r>
          </w:p>
        </w:tc>
        <w:tc>
          <w:tcPr>
            <w:tcW w:w="3922" w:type="pct"/>
            <w:shd w:val="clear" w:color="auto" w:fill="auto"/>
          </w:tcPr>
          <w:p w:rsidR="00525E3D" w:rsidRPr="0051180E" w:rsidRDefault="00525E3D" w:rsidP="00576493">
            <w:pPr>
              <w:pStyle w:val="Tabletext"/>
            </w:pPr>
            <w:r w:rsidRPr="0051180E">
              <w:t>Lodgment of a trust account statement and trust account audit report under subsections</w:t>
            </w:r>
            <w:r>
              <w:t> </w:t>
            </w:r>
            <w:r w:rsidRPr="0051180E">
              <w:t>100(1) and (2)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12</w:t>
            </w:r>
          </w:p>
        </w:tc>
        <w:tc>
          <w:tcPr>
            <w:tcW w:w="3922" w:type="pct"/>
            <w:shd w:val="clear" w:color="auto" w:fill="auto"/>
          </w:tcPr>
          <w:p w:rsidR="00525E3D" w:rsidRPr="0051180E" w:rsidRDefault="00525E3D" w:rsidP="00576493">
            <w:pPr>
              <w:pStyle w:val="Tabletext"/>
            </w:pPr>
            <w:r w:rsidRPr="0051180E">
              <w:t>Lodgment of a report under section</w:t>
            </w:r>
            <w:r>
              <w:t> </w:t>
            </w:r>
            <w:r w:rsidRPr="0051180E">
              <w:t>104 of the National Credit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13</w:t>
            </w:r>
          </w:p>
        </w:tc>
        <w:tc>
          <w:tcPr>
            <w:tcW w:w="3922" w:type="pct"/>
            <w:shd w:val="clear" w:color="auto" w:fill="auto"/>
          </w:tcPr>
          <w:p w:rsidR="00525E3D" w:rsidRPr="0051180E" w:rsidRDefault="00525E3D" w:rsidP="00576493">
            <w:pPr>
              <w:pStyle w:val="Tabletext"/>
            </w:pPr>
            <w:r w:rsidRPr="0051180E">
              <w:t>Lodgment of an application for relief under section</w:t>
            </w:r>
            <w:r>
              <w:t> </w:t>
            </w:r>
            <w:r w:rsidRPr="0051180E">
              <w:t>109 of the National Credit Act</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14</w:t>
            </w:r>
          </w:p>
        </w:tc>
        <w:tc>
          <w:tcPr>
            <w:tcW w:w="3922" w:type="pct"/>
            <w:shd w:val="clear" w:color="auto" w:fill="auto"/>
          </w:tcPr>
          <w:p w:rsidR="00525E3D" w:rsidRPr="0051180E" w:rsidRDefault="00525E3D" w:rsidP="00576493">
            <w:pPr>
              <w:pStyle w:val="Tabletext"/>
            </w:pPr>
            <w:r w:rsidRPr="0051180E">
              <w:t>Lodgment of an application for relief under section</w:t>
            </w:r>
            <w:r>
              <w:t> </w:t>
            </w:r>
            <w:r w:rsidRPr="0051180E">
              <w:t>163 of the National Credit Act</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5000" w:type="pct"/>
            <w:gridSpan w:val="3"/>
            <w:shd w:val="clear" w:color="auto" w:fill="auto"/>
          </w:tcPr>
          <w:p w:rsidR="00525E3D" w:rsidRPr="0051180E" w:rsidRDefault="00525E3D" w:rsidP="00576493">
            <w:pPr>
              <w:pStyle w:val="TableHeading"/>
            </w:pPr>
            <w:r w:rsidRPr="0051180E">
              <w:t>Chargeable matters under Schedule</w:t>
            </w:r>
            <w:r>
              <w:t> </w:t>
            </w:r>
            <w:r w:rsidRPr="0051180E">
              <w:t>1 to the National Credit Act (the National Credit Code)</w:t>
            </w:r>
          </w:p>
        </w:tc>
      </w:tr>
      <w:tr w:rsidR="00525E3D" w:rsidRPr="0051180E" w:rsidTr="0051180E">
        <w:tc>
          <w:tcPr>
            <w:tcW w:w="420" w:type="pct"/>
            <w:shd w:val="clear" w:color="auto" w:fill="auto"/>
          </w:tcPr>
          <w:p w:rsidR="00525E3D" w:rsidRPr="0051180E" w:rsidRDefault="00525E3D" w:rsidP="00576493">
            <w:pPr>
              <w:pStyle w:val="Tabletext"/>
            </w:pPr>
            <w:r w:rsidRPr="0051180E">
              <w:t>15</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6(14)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16</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6(17)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17</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171(4)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18</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171(6)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19</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203A(1)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420" w:type="pct"/>
            <w:shd w:val="clear" w:color="auto" w:fill="auto"/>
          </w:tcPr>
          <w:p w:rsidR="00525E3D" w:rsidRPr="0051180E" w:rsidRDefault="00525E3D" w:rsidP="00576493">
            <w:pPr>
              <w:pStyle w:val="Tabletext"/>
            </w:pPr>
            <w:r w:rsidRPr="0051180E">
              <w:t>20</w:t>
            </w:r>
          </w:p>
        </w:tc>
        <w:tc>
          <w:tcPr>
            <w:tcW w:w="3922" w:type="pct"/>
            <w:shd w:val="clear" w:color="auto" w:fill="auto"/>
          </w:tcPr>
          <w:p w:rsidR="00525E3D" w:rsidRPr="0051180E" w:rsidRDefault="00525E3D" w:rsidP="00576493">
            <w:pPr>
              <w:pStyle w:val="Tabletext"/>
            </w:pPr>
            <w:r w:rsidRPr="0051180E">
              <w:t>Lodgment of an application for relief under subsection</w:t>
            </w:r>
            <w:r>
              <w:t> </w:t>
            </w:r>
            <w:r w:rsidRPr="0051180E">
              <w:t>203A(3) of the National Credit Code</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5000" w:type="pct"/>
            <w:gridSpan w:val="3"/>
            <w:shd w:val="clear" w:color="auto" w:fill="auto"/>
          </w:tcPr>
          <w:p w:rsidR="00525E3D" w:rsidRPr="0051180E" w:rsidRDefault="00525E3D" w:rsidP="00576493">
            <w:pPr>
              <w:pStyle w:val="TableHeading"/>
            </w:pPr>
            <w:r w:rsidRPr="0051180E">
              <w:t>Chargeable matters under the National Consumer Credit Protection (Transitional and Consequential Provisions) Act 2009</w:t>
            </w:r>
          </w:p>
        </w:tc>
      </w:tr>
      <w:tr w:rsidR="00525E3D" w:rsidRPr="0051180E" w:rsidTr="0051180E">
        <w:tc>
          <w:tcPr>
            <w:tcW w:w="420" w:type="pct"/>
            <w:shd w:val="clear" w:color="auto" w:fill="auto"/>
          </w:tcPr>
          <w:p w:rsidR="00525E3D" w:rsidRPr="0051180E" w:rsidRDefault="00525E3D" w:rsidP="00576493">
            <w:pPr>
              <w:pStyle w:val="Tabletext"/>
            </w:pPr>
            <w:r w:rsidRPr="0051180E">
              <w:t>21</w:t>
            </w:r>
          </w:p>
        </w:tc>
        <w:tc>
          <w:tcPr>
            <w:tcW w:w="3922" w:type="pct"/>
            <w:shd w:val="clear" w:color="auto" w:fill="auto"/>
          </w:tcPr>
          <w:p w:rsidR="00525E3D" w:rsidRPr="0051180E" w:rsidRDefault="00525E3D" w:rsidP="00576493">
            <w:pPr>
              <w:pStyle w:val="Tabletext"/>
            </w:pPr>
            <w:r w:rsidRPr="0051180E">
              <w:t>Lodgment of an application to be registered under subitem</w:t>
            </w:r>
            <w:r>
              <w:t> </w:t>
            </w:r>
            <w:r w:rsidRPr="0051180E">
              <w:t>11(1)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22</w:t>
            </w:r>
          </w:p>
        </w:tc>
        <w:tc>
          <w:tcPr>
            <w:tcW w:w="3922" w:type="pct"/>
            <w:shd w:val="clear" w:color="auto" w:fill="auto"/>
          </w:tcPr>
          <w:p w:rsidR="00525E3D" w:rsidRPr="0051180E" w:rsidRDefault="00525E3D" w:rsidP="00576493">
            <w:pPr>
              <w:pStyle w:val="Tabletext"/>
            </w:pPr>
            <w:r w:rsidRPr="0051180E">
              <w:t>Lodgment of an application to have conditions imposed, varied or revoked under paragraph</w:t>
            </w:r>
            <w:r>
              <w:t> </w:t>
            </w:r>
            <w:r w:rsidRPr="0051180E">
              <w:t>14(2)(b)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$115</w:t>
            </w:r>
          </w:p>
        </w:tc>
      </w:tr>
      <w:tr w:rsidR="00525E3D" w:rsidRPr="0051180E" w:rsidTr="0051180E">
        <w:tc>
          <w:tcPr>
            <w:tcW w:w="420" w:type="pct"/>
            <w:shd w:val="clear" w:color="auto" w:fill="auto"/>
          </w:tcPr>
          <w:p w:rsidR="00525E3D" w:rsidRPr="0051180E" w:rsidRDefault="00525E3D" w:rsidP="00576493">
            <w:pPr>
              <w:pStyle w:val="Tabletext"/>
            </w:pPr>
            <w:r w:rsidRPr="0051180E">
              <w:t>23</w:t>
            </w:r>
          </w:p>
        </w:tc>
        <w:tc>
          <w:tcPr>
            <w:tcW w:w="3922" w:type="pct"/>
            <w:shd w:val="clear" w:color="auto" w:fill="auto"/>
          </w:tcPr>
          <w:p w:rsidR="00525E3D" w:rsidRPr="0051180E" w:rsidRDefault="00525E3D" w:rsidP="00576493">
            <w:pPr>
              <w:pStyle w:val="Tabletext"/>
            </w:pPr>
            <w:r w:rsidRPr="0051180E">
              <w:t>Lodgment of a statement under subitem</w:t>
            </w:r>
            <w:r>
              <w:t> </w:t>
            </w:r>
            <w:r w:rsidRPr="0051180E">
              <w:t>17(1)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24</w:t>
            </w:r>
          </w:p>
        </w:tc>
        <w:tc>
          <w:tcPr>
            <w:tcW w:w="3922" w:type="pct"/>
            <w:shd w:val="clear" w:color="auto" w:fill="auto"/>
          </w:tcPr>
          <w:p w:rsidR="00525E3D" w:rsidRPr="0051180E" w:rsidRDefault="00525E3D" w:rsidP="00576493">
            <w:pPr>
              <w:pStyle w:val="Tabletext"/>
            </w:pPr>
            <w:r w:rsidRPr="0051180E">
              <w:t>Lodgment of information under subitem</w:t>
            </w:r>
            <w:r>
              <w:t> </w:t>
            </w:r>
            <w:r w:rsidRPr="0051180E">
              <w:t>18(1)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lastRenderedPageBreak/>
              <w:t>25</w:t>
            </w:r>
          </w:p>
        </w:tc>
        <w:tc>
          <w:tcPr>
            <w:tcW w:w="3922" w:type="pct"/>
            <w:shd w:val="clear" w:color="auto" w:fill="auto"/>
          </w:tcPr>
          <w:p w:rsidR="00525E3D" w:rsidRPr="0051180E" w:rsidRDefault="00525E3D" w:rsidP="00576493">
            <w:pPr>
              <w:pStyle w:val="Tabletext"/>
            </w:pPr>
            <w:r w:rsidRPr="0051180E">
              <w:t>Lodgment of an application to suspend or cancel registration under paragraph</w:t>
            </w:r>
            <w:r>
              <w:t> </w:t>
            </w:r>
            <w:r w:rsidRPr="0051180E">
              <w:t>23(1)(a)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26</w:t>
            </w:r>
          </w:p>
        </w:tc>
        <w:tc>
          <w:tcPr>
            <w:tcW w:w="3922" w:type="pct"/>
            <w:shd w:val="clear" w:color="auto" w:fill="auto"/>
          </w:tcPr>
          <w:p w:rsidR="00525E3D" w:rsidRPr="0051180E" w:rsidRDefault="00525E3D" w:rsidP="00576493">
            <w:pPr>
              <w:pStyle w:val="Tabletext"/>
            </w:pPr>
            <w:r w:rsidRPr="0051180E">
              <w:t>Lodgment of an application for relief under item</w:t>
            </w:r>
            <w:r>
              <w:t> </w:t>
            </w:r>
            <w:r w:rsidRPr="0051180E">
              <w:t>41 of Schedule</w:t>
            </w:r>
            <w:r>
              <w:t> </w:t>
            </w:r>
            <w:r w:rsidRPr="0051180E">
              <w:t>2 to the Transitional Act</w:t>
            </w:r>
          </w:p>
        </w:tc>
        <w:tc>
          <w:tcPr>
            <w:tcW w:w="658" w:type="pct"/>
            <w:shd w:val="clear" w:color="auto" w:fill="auto"/>
          </w:tcPr>
          <w:p w:rsidR="00525E3D" w:rsidRPr="0051180E" w:rsidRDefault="00525E3D" w:rsidP="00576493">
            <w:pPr>
              <w:pStyle w:val="Tabletext"/>
            </w:pPr>
            <w:r w:rsidRPr="0051180E">
              <w:t>$3,487</w:t>
            </w:r>
          </w:p>
        </w:tc>
      </w:tr>
      <w:tr w:rsidR="00525E3D" w:rsidRPr="0051180E" w:rsidTr="0051180E">
        <w:tc>
          <w:tcPr>
            <w:tcW w:w="5000" w:type="pct"/>
            <w:gridSpan w:val="3"/>
            <w:shd w:val="clear" w:color="auto" w:fill="auto"/>
          </w:tcPr>
          <w:p w:rsidR="00525E3D" w:rsidRPr="0051180E" w:rsidRDefault="00525E3D" w:rsidP="00576493">
            <w:pPr>
              <w:pStyle w:val="TableHeading"/>
            </w:pPr>
            <w:r w:rsidRPr="0051180E">
              <w:t>Chargeable matters under the National Consumer Credit Protection Regulations</w:t>
            </w:r>
            <w:r>
              <w:t> </w:t>
            </w:r>
            <w:r w:rsidRPr="0051180E">
              <w:t>2010</w:t>
            </w:r>
          </w:p>
        </w:tc>
      </w:tr>
      <w:tr w:rsidR="00525E3D" w:rsidRPr="0051180E" w:rsidTr="0051180E">
        <w:tc>
          <w:tcPr>
            <w:tcW w:w="420" w:type="pct"/>
            <w:shd w:val="clear" w:color="auto" w:fill="auto"/>
          </w:tcPr>
          <w:p w:rsidR="00525E3D" w:rsidRPr="0051180E" w:rsidRDefault="00525E3D" w:rsidP="00576493">
            <w:pPr>
              <w:pStyle w:val="Tabletext"/>
            </w:pPr>
            <w:r w:rsidRPr="0051180E">
              <w:t>27</w:t>
            </w:r>
          </w:p>
        </w:tc>
        <w:tc>
          <w:tcPr>
            <w:tcW w:w="3922" w:type="pct"/>
            <w:shd w:val="clear" w:color="auto" w:fill="auto"/>
          </w:tcPr>
          <w:p w:rsidR="00525E3D" w:rsidRPr="0051180E" w:rsidRDefault="00525E3D" w:rsidP="00576493">
            <w:pPr>
              <w:pStyle w:val="Tabletext"/>
            </w:pPr>
            <w:r w:rsidRPr="0051180E">
              <w:t>Lodgment of particulars of a change under subregulation</w:t>
            </w:r>
            <w:r>
              <w:t> </w:t>
            </w:r>
            <w:r w:rsidRPr="0051180E">
              <w:t>9(2) of the National Credit Regulations</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28</w:t>
            </w:r>
          </w:p>
        </w:tc>
        <w:tc>
          <w:tcPr>
            <w:tcW w:w="3922" w:type="pct"/>
            <w:shd w:val="clear" w:color="auto" w:fill="auto"/>
          </w:tcPr>
          <w:p w:rsidR="00525E3D" w:rsidRPr="0051180E" w:rsidRDefault="00525E3D" w:rsidP="00576493">
            <w:pPr>
              <w:pStyle w:val="Tabletext"/>
            </w:pPr>
            <w:r w:rsidRPr="0051180E">
              <w:t>Lodgment of particulars of a change under subregulation</w:t>
            </w:r>
            <w:r>
              <w:t> </w:t>
            </w:r>
            <w:r w:rsidRPr="0051180E">
              <w:t>9(3) of the National Credit Regulations</w:t>
            </w:r>
          </w:p>
        </w:tc>
        <w:tc>
          <w:tcPr>
            <w:tcW w:w="658" w:type="pct"/>
            <w:shd w:val="clear" w:color="auto" w:fill="auto"/>
          </w:tcPr>
          <w:p w:rsidR="00525E3D" w:rsidRPr="0051180E" w:rsidRDefault="00525E3D" w:rsidP="00576493">
            <w:pPr>
              <w:pStyle w:val="Tabletext"/>
            </w:pPr>
            <w:r w:rsidRPr="0051180E">
              <w:t>no fee</w:t>
            </w:r>
          </w:p>
        </w:tc>
      </w:tr>
      <w:tr w:rsidR="00525E3D" w:rsidRPr="0051180E" w:rsidTr="0051180E">
        <w:tc>
          <w:tcPr>
            <w:tcW w:w="420" w:type="pct"/>
            <w:shd w:val="clear" w:color="auto" w:fill="auto"/>
          </w:tcPr>
          <w:p w:rsidR="00525E3D" w:rsidRPr="0051180E" w:rsidRDefault="00525E3D" w:rsidP="00576493">
            <w:pPr>
              <w:pStyle w:val="Tabletext"/>
            </w:pPr>
            <w:r w:rsidRPr="0051180E">
              <w:t>29</w:t>
            </w:r>
          </w:p>
        </w:tc>
        <w:tc>
          <w:tcPr>
            <w:tcW w:w="3922" w:type="pct"/>
            <w:shd w:val="clear" w:color="auto" w:fill="auto"/>
          </w:tcPr>
          <w:p w:rsidR="00525E3D" w:rsidRPr="0051180E" w:rsidRDefault="00525E3D" w:rsidP="00576493">
            <w:pPr>
              <w:pStyle w:val="Tabletext"/>
            </w:pPr>
            <w:r w:rsidRPr="0051180E">
              <w:t>Lodgment of particulars of a change in control of a licensee under subregulation</w:t>
            </w:r>
            <w:r>
              <w:t> </w:t>
            </w:r>
            <w:r w:rsidRPr="0051180E">
              <w:t>9(10) of the National Credit Regulations</w:t>
            </w:r>
          </w:p>
        </w:tc>
        <w:tc>
          <w:tcPr>
            <w:tcW w:w="658" w:type="pct"/>
            <w:shd w:val="clear" w:color="auto" w:fill="auto"/>
          </w:tcPr>
          <w:p w:rsidR="00525E3D" w:rsidRPr="0051180E" w:rsidRDefault="00525E3D" w:rsidP="00576493">
            <w:pPr>
              <w:pStyle w:val="Tabletext"/>
            </w:pPr>
            <w:r w:rsidRPr="0051180E">
              <w:t>no fee</w:t>
            </w:r>
          </w:p>
        </w:tc>
      </w:tr>
      <w:tr w:rsidR="00525E3D" w:rsidRPr="0051180E" w:rsidDel="0068326D" w:rsidTr="0051180E">
        <w:tc>
          <w:tcPr>
            <w:tcW w:w="420" w:type="pct"/>
            <w:shd w:val="clear" w:color="auto" w:fill="auto"/>
          </w:tcPr>
          <w:p w:rsidR="00525E3D" w:rsidRPr="0051180E" w:rsidDel="0068326D" w:rsidRDefault="00525E3D" w:rsidP="00576493">
            <w:pPr>
              <w:pStyle w:val="Tabletext"/>
            </w:pPr>
            <w:r w:rsidRPr="0051180E">
              <w:t>30</w:t>
            </w:r>
          </w:p>
        </w:tc>
        <w:tc>
          <w:tcPr>
            <w:tcW w:w="3922" w:type="pct"/>
            <w:shd w:val="clear" w:color="auto" w:fill="auto"/>
          </w:tcPr>
          <w:p w:rsidR="00525E3D" w:rsidRPr="0051180E" w:rsidDel="0068326D" w:rsidRDefault="00525E3D" w:rsidP="00576493">
            <w:pPr>
              <w:pStyle w:val="Tabletext"/>
            </w:pPr>
            <w:r w:rsidRPr="0051180E">
              <w:t>Lodgment of notification of appointment under subregulation</w:t>
            </w:r>
            <w:r>
              <w:t> </w:t>
            </w:r>
            <w:r w:rsidRPr="0051180E">
              <w:t>19(3) of the National Credit Regulations</w:t>
            </w:r>
          </w:p>
        </w:tc>
        <w:tc>
          <w:tcPr>
            <w:tcW w:w="658" w:type="pct"/>
            <w:shd w:val="clear" w:color="auto" w:fill="auto"/>
          </w:tcPr>
          <w:p w:rsidR="00525E3D" w:rsidRPr="0051180E" w:rsidDel="0068326D" w:rsidRDefault="00525E3D" w:rsidP="00576493">
            <w:pPr>
              <w:pStyle w:val="Tabletext"/>
            </w:pPr>
            <w:r w:rsidRPr="0051180E">
              <w:t>no fee</w:t>
            </w:r>
          </w:p>
        </w:tc>
      </w:tr>
      <w:tr w:rsidR="00525E3D" w:rsidRPr="0051180E" w:rsidDel="0068326D" w:rsidTr="0051180E">
        <w:tc>
          <w:tcPr>
            <w:tcW w:w="420" w:type="pct"/>
            <w:tcBorders>
              <w:bottom w:val="single" w:sz="2" w:space="0" w:color="auto"/>
            </w:tcBorders>
            <w:shd w:val="clear" w:color="auto" w:fill="auto"/>
          </w:tcPr>
          <w:p w:rsidR="00525E3D" w:rsidRPr="0051180E" w:rsidDel="0068326D" w:rsidRDefault="00525E3D" w:rsidP="00576493">
            <w:pPr>
              <w:pStyle w:val="Tabletext"/>
            </w:pPr>
            <w:r w:rsidRPr="0051180E">
              <w:t>31</w:t>
            </w:r>
          </w:p>
        </w:tc>
        <w:tc>
          <w:tcPr>
            <w:tcW w:w="3922" w:type="pct"/>
            <w:tcBorders>
              <w:bottom w:val="single" w:sz="2" w:space="0" w:color="auto"/>
            </w:tcBorders>
            <w:shd w:val="clear" w:color="auto" w:fill="auto"/>
          </w:tcPr>
          <w:p w:rsidR="00525E3D" w:rsidRPr="0051180E" w:rsidDel="0068326D" w:rsidRDefault="00525E3D" w:rsidP="00576493">
            <w:pPr>
              <w:pStyle w:val="Tabletext"/>
            </w:pPr>
            <w:r w:rsidRPr="0051180E">
              <w:t>Lodgment of notification of appointment under subregulation</w:t>
            </w:r>
            <w:r>
              <w:t> </w:t>
            </w:r>
            <w:r w:rsidRPr="0051180E">
              <w:t>19(5) of the National Credit Regulations</w:t>
            </w:r>
          </w:p>
        </w:tc>
        <w:tc>
          <w:tcPr>
            <w:tcW w:w="658" w:type="pct"/>
            <w:tcBorders>
              <w:bottom w:val="single" w:sz="2" w:space="0" w:color="auto"/>
            </w:tcBorders>
            <w:shd w:val="clear" w:color="auto" w:fill="auto"/>
          </w:tcPr>
          <w:p w:rsidR="00525E3D" w:rsidRPr="0051180E" w:rsidDel="0068326D" w:rsidRDefault="00525E3D" w:rsidP="00576493">
            <w:pPr>
              <w:pStyle w:val="Tabletext"/>
            </w:pPr>
            <w:r w:rsidRPr="0051180E">
              <w:t>no fee</w:t>
            </w:r>
          </w:p>
        </w:tc>
      </w:tr>
      <w:tr w:rsidR="00525E3D" w:rsidRPr="0051180E" w:rsidDel="0068326D" w:rsidTr="0051180E">
        <w:tc>
          <w:tcPr>
            <w:tcW w:w="420" w:type="pct"/>
            <w:tcBorders>
              <w:bottom w:val="single" w:sz="2" w:space="0" w:color="auto"/>
            </w:tcBorders>
            <w:shd w:val="clear" w:color="auto" w:fill="auto"/>
          </w:tcPr>
          <w:p w:rsidR="00525E3D" w:rsidRPr="0051180E" w:rsidDel="0068326D" w:rsidRDefault="00525E3D" w:rsidP="00576493">
            <w:pPr>
              <w:pStyle w:val="Tabletext"/>
            </w:pPr>
            <w:r w:rsidRPr="0051180E">
              <w:t>32</w:t>
            </w:r>
          </w:p>
        </w:tc>
        <w:tc>
          <w:tcPr>
            <w:tcW w:w="3922" w:type="pct"/>
            <w:tcBorders>
              <w:bottom w:val="single" w:sz="2" w:space="0" w:color="auto"/>
            </w:tcBorders>
            <w:shd w:val="clear" w:color="auto" w:fill="auto"/>
          </w:tcPr>
          <w:p w:rsidR="00525E3D" w:rsidRPr="0051180E" w:rsidRDefault="00525E3D" w:rsidP="00576493">
            <w:pPr>
              <w:pStyle w:val="Tabletext"/>
            </w:pPr>
            <w:r w:rsidRPr="0051180E">
              <w:t>Lodgment of information under a provision of:</w:t>
            </w:r>
          </w:p>
          <w:p w:rsidR="00525E3D" w:rsidRPr="0051180E" w:rsidRDefault="00525E3D" w:rsidP="00576493">
            <w:pPr>
              <w:pStyle w:val="Tablea"/>
            </w:pPr>
            <w:r w:rsidRPr="0051180E">
              <w:t>(a) the National Credit Regulations; or</w:t>
            </w:r>
          </w:p>
          <w:p w:rsidR="00525E3D" w:rsidRPr="0051180E" w:rsidRDefault="00525E3D" w:rsidP="00576493">
            <w:pPr>
              <w:pStyle w:val="Tablea"/>
            </w:pPr>
            <w:r w:rsidRPr="0051180E">
              <w:t>(b) the National Credit Act as modified by a provision of the National Credit Regulations;</w:t>
            </w:r>
          </w:p>
          <w:p w:rsidR="00525E3D" w:rsidRPr="0051180E" w:rsidDel="0068326D" w:rsidRDefault="00525E3D" w:rsidP="00576493">
            <w:pPr>
              <w:pStyle w:val="Tabletext"/>
            </w:pPr>
            <w:r w:rsidRPr="0051180E">
              <w:t>that relates to an unlicensed carried over lender</w:t>
            </w:r>
          </w:p>
        </w:tc>
        <w:tc>
          <w:tcPr>
            <w:tcW w:w="658" w:type="pct"/>
            <w:tcBorders>
              <w:bottom w:val="single" w:sz="2" w:space="0" w:color="auto"/>
            </w:tcBorders>
            <w:shd w:val="clear" w:color="auto" w:fill="auto"/>
          </w:tcPr>
          <w:p w:rsidR="00525E3D" w:rsidRPr="0051180E" w:rsidDel="0068326D" w:rsidRDefault="00525E3D" w:rsidP="00576493">
            <w:pPr>
              <w:pStyle w:val="Tabletext"/>
            </w:pPr>
            <w:r w:rsidRPr="0051180E">
              <w:t>no fee</w:t>
            </w:r>
          </w:p>
        </w:tc>
      </w:tr>
      <w:tr w:rsidR="00525E3D" w:rsidRPr="0051180E" w:rsidDel="0068326D" w:rsidTr="0051180E">
        <w:tc>
          <w:tcPr>
            <w:tcW w:w="420" w:type="pct"/>
            <w:tcBorders>
              <w:top w:val="single" w:sz="2" w:space="0" w:color="auto"/>
              <w:bottom w:val="single" w:sz="12" w:space="0" w:color="auto"/>
            </w:tcBorders>
            <w:shd w:val="clear" w:color="auto" w:fill="auto"/>
          </w:tcPr>
          <w:p w:rsidR="00525E3D" w:rsidRPr="0051180E" w:rsidDel="0068326D" w:rsidRDefault="00525E3D" w:rsidP="00576493">
            <w:pPr>
              <w:pStyle w:val="Tabletext"/>
            </w:pPr>
            <w:r w:rsidRPr="0051180E">
              <w:t>33</w:t>
            </w:r>
          </w:p>
        </w:tc>
        <w:tc>
          <w:tcPr>
            <w:tcW w:w="3922" w:type="pct"/>
            <w:tcBorders>
              <w:top w:val="single" w:sz="2" w:space="0" w:color="auto"/>
              <w:bottom w:val="single" w:sz="12" w:space="0" w:color="auto"/>
            </w:tcBorders>
            <w:shd w:val="clear" w:color="auto" w:fill="auto"/>
          </w:tcPr>
          <w:p w:rsidR="00525E3D" w:rsidRPr="0051180E" w:rsidRDefault="00525E3D" w:rsidP="00576493">
            <w:pPr>
              <w:pStyle w:val="Tabletext"/>
            </w:pPr>
            <w:r w:rsidRPr="0051180E">
              <w:t>Lodgment of information under a provision of:</w:t>
            </w:r>
          </w:p>
          <w:p w:rsidR="00525E3D" w:rsidRPr="0051180E" w:rsidRDefault="00525E3D" w:rsidP="00576493">
            <w:pPr>
              <w:pStyle w:val="Tablea"/>
            </w:pPr>
            <w:r w:rsidRPr="0051180E">
              <w:t>(a) the National Credit Regulations; or</w:t>
            </w:r>
          </w:p>
          <w:p w:rsidR="00525E3D" w:rsidRPr="0051180E" w:rsidRDefault="00525E3D" w:rsidP="00576493">
            <w:pPr>
              <w:pStyle w:val="Tablea"/>
            </w:pPr>
            <w:r w:rsidRPr="0051180E">
              <w:t>(b) the National Credit Act as modified by a provision of the National Credit Regulations;</w:t>
            </w:r>
          </w:p>
          <w:p w:rsidR="00525E3D" w:rsidRPr="0051180E" w:rsidDel="0068326D" w:rsidRDefault="00525E3D" w:rsidP="00576493">
            <w:pPr>
              <w:pStyle w:val="Tabletext"/>
            </w:pPr>
            <w:r w:rsidRPr="0051180E">
              <w:t>that relates to a special purpose funding entity</w:t>
            </w:r>
          </w:p>
        </w:tc>
        <w:tc>
          <w:tcPr>
            <w:tcW w:w="658" w:type="pct"/>
            <w:tcBorders>
              <w:top w:val="single" w:sz="2" w:space="0" w:color="auto"/>
              <w:bottom w:val="single" w:sz="12" w:space="0" w:color="auto"/>
            </w:tcBorders>
            <w:shd w:val="clear" w:color="auto" w:fill="auto"/>
          </w:tcPr>
          <w:p w:rsidR="00525E3D" w:rsidRPr="0051180E" w:rsidDel="0068326D" w:rsidRDefault="00525E3D" w:rsidP="00576493">
            <w:pPr>
              <w:pStyle w:val="Tabletext"/>
            </w:pPr>
            <w:r w:rsidRPr="0051180E">
              <w:t>no fee</w:t>
            </w:r>
          </w:p>
        </w:tc>
      </w:tr>
    </w:tbl>
    <w:p w:rsidR="00EB2CC8" w:rsidRPr="0051180E" w:rsidRDefault="00EB2CC8" w:rsidP="00D9120C">
      <w:pPr>
        <w:pStyle w:val="ActHead2"/>
        <w:pageBreakBefore/>
      </w:pPr>
      <w:bookmarkStart w:id="11" w:name="_Toc521330306"/>
      <w:r w:rsidRPr="0051180E">
        <w:rPr>
          <w:rStyle w:val="CharPartNo"/>
        </w:rPr>
        <w:lastRenderedPageBreak/>
        <w:t>Part</w:t>
      </w:r>
      <w:r w:rsidR="0051180E" w:rsidRPr="0051180E">
        <w:rPr>
          <w:rStyle w:val="CharPartNo"/>
        </w:rPr>
        <w:t> </w:t>
      </w:r>
      <w:r w:rsidRPr="0051180E">
        <w:rPr>
          <w:rStyle w:val="CharPartNo"/>
        </w:rPr>
        <w:t>2</w:t>
      </w:r>
      <w:r w:rsidRPr="0051180E">
        <w:t>—</w:t>
      </w:r>
      <w:r w:rsidRPr="0051180E">
        <w:rPr>
          <w:rStyle w:val="CharPartText"/>
        </w:rPr>
        <w:t>Registry fees</w:t>
      </w:r>
      <w:bookmarkEnd w:id="11"/>
    </w:p>
    <w:p w:rsidR="00EB2CC8" w:rsidRPr="0051180E" w:rsidRDefault="00EB2CC8" w:rsidP="00EB2CC8">
      <w:pPr>
        <w:pStyle w:val="Header"/>
      </w:pPr>
      <w:r w:rsidRPr="0051180E">
        <w:rPr>
          <w:rStyle w:val="CharDivNo"/>
        </w:rPr>
        <w:t xml:space="preserve"> </w:t>
      </w:r>
      <w:r w:rsidRPr="0051180E">
        <w:rPr>
          <w:rStyle w:val="CharDivText"/>
        </w:rPr>
        <w:t xml:space="preserve"> </w:t>
      </w:r>
    </w:p>
    <w:p w:rsidR="00EB2CC8" w:rsidRPr="0051180E" w:rsidRDefault="00EB2CC8" w:rsidP="00EB2CC8">
      <w:pPr>
        <w:pStyle w:val="ActHead5"/>
      </w:pPr>
      <w:bookmarkStart w:id="12" w:name="_Toc521330307"/>
      <w:r w:rsidRPr="0051180E">
        <w:rPr>
          <w:rStyle w:val="CharSectno"/>
        </w:rPr>
        <w:t>2</w:t>
      </w:r>
      <w:r w:rsidRPr="0051180E">
        <w:t xml:space="preserve">  Registry fees</w:t>
      </w:r>
      <w:bookmarkEnd w:id="12"/>
    </w:p>
    <w:p w:rsidR="00EB2CC8" w:rsidRPr="0051180E" w:rsidRDefault="00EB2CC8" w:rsidP="00EB2CC8">
      <w:pPr>
        <w:pStyle w:val="subsection"/>
      </w:pPr>
      <w:r w:rsidRPr="0051180E">
        <w:tab/>
      </w:r>
      <w:r w:rsidRPr="0051180E">
        <w:tab/>
        <w:t>For the purposes of subregulations 4(1) and (2), the following table prescribes fees for chargeable matters.</w:t>
      </w:r>
    </w:p>
    <w:p w:rsidR="00EB2CC8" w:rsidRPr="0051180E" w:rsidRDefault="00EB2CC8" w:rsidP="00EB2CC8">
      <w:pPr>
        <w:pStyle w:val="notetext"/>
      </w:pPr>
      <w:r w:rsidRPr="0051180E">
        <w:t>Note:</w:t>
      </w:r>
      <w:r w:rsidRPr="0051180E">
        <w:tab/>
        <w:t>See also regulation</w:t>
      </w:r>
      <w:r w:rsidR="0051180E">
        <w:t> </w:t>
      </w:r>
      <w:r w:rsidRPr="0051180E">
        <w:t>3 (definitions).</w:t>
      </w:r>
    </w:p>
    <w:p w:rsidR="00EB2CC8" w:rsidRPr="0051180E" w:rsidRDefault="00EB2CC8" w:rsidP="00EB2C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6677"/>
        <w:gridCol w:w="1138"/>
      </w:tblGrid>
      <w:tr w:rsidR="00EB2CC8" w:rsidRPr="0051180E" w:rsidTr="0051180E">
        <w:trPr>
          <w:trHeight w:val="57"/>
          <w:tblHeader/>
        </w:trPr>
        <w:tc>
          <w:tcPr>
            <w:tcW w:w="5000" w:type="pct"/>
            <w:gridSpan w:val="3"/>
            <w:tcBorders>
              <w:top w:val="single" w:sz="12" w:space="0" w:color="auto"/>
              <w:bottom w:val="single" w:sz="6" w:space="0" w:color="auto"/>
            </w:tcBorders>
            <w:shd w:val="clear" w:color="auto" w:fill="auto"/>
          </w:tcPr>
          <w:p w:rsidR="00EB2CC8" w:rsidRPr="0051180E" w:rsidRDefault="00EB2CC8" w:rsidP="00576493">
            <w:pPr>
              <w:pStyle w:val="TableHeading"/>
            </w:pPr>
            <w:r w:rsidRPr="0051180E">
              <w:t>Registry fees</w:t>
            </w:r>
          </w:p>
        </w:tc>
      </w:tr>
      <w:tr w:rsidR="00EB2CC8" w:rsidRPr="0051180E" w:rsidTr="0051180E">
        <w:trPr>
          <w:trHeight w:val="57"/>
          <w:tblHeader/>
        </w:trPr>
        <w:tc>
          <w:tcPr>
            <w:tcW w:w="419"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Item</w:t>
            </w:r>
          </w:p>
        </w:tc>
        <w:tc>
          <w:tcPr>
            <w:tcW w:w="3914"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Column 1</w:t>
            </w:r>
            <w:r w:rsidRPr="0051180E">
              <w:br/>
              <w:t>Chargeable matter</w:t>
            </w:r>
          </w:p>
        </w:tc>
        <w:tc>
          <w:tcPr>
            <w:tcW w:w="667"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Column 2</w:t>
            </w:r>
            <w:r w:rsidRPr="0051180E">
              <w:br/>
              <w:t>Fee</w:t>
            </w:r>
          </w:p>
        </w:tc>
      </w:tr>
      <w:tr w:rsidR="00EB2CC8" w:rsidRPr="0051180E" w:rsidTr="0051180E">
        <w:tc>
          <w:tcPr>
            <w:tcW w:w="5000" w:type="pct"/>
            <w:gridSpan w:val="3"/>
            <w:tcBorders>
              <w:top w:val="single" w:sz="12" w:space="0" w:color="auto"/>
            </w:tcBorders>
            <w:shd w:val="clear" w:color="auto" w:fill="auto"/>
          </w:tcPr>
          <w:p w:rsidR="00EB2CC8" w:rsidRPr="0051180E" w:rsidRDefault="00EB2CC8" w:rsidP="00576493">
            <w:pPr>
              <w:pStyle w:val="TableHeading"/>
            </w:pPr>
            <w:r w:rsidRPr="0051180E">
              <w:t>Chargeable matters under the National Credit Act</w:t>
            </w:r>
          </w:p>
        </w:tc>
      </w:tr>
      <w:tr w:rsidR="00EB2CC8" w:rsidRPr="0051180E" w:rsidTr="0051180E">
        <w:tc>
          <w:tcPr>
            <w:tcW w:w="419" w:type="pct"/>
            <w:shd w:val="clear" w:color="auto" w:fill="auto"/>
          </w:tcPr>
          <w:p w:rsidR="00EB2CC8" w:rsidRPr="0051180E" w:rsidRDefault="00EB2CC8" w:rsidP="00576493">
            <w:pPr>
              <w:pStyle w:val="Tabletext"/>
            </w:pPr>
            <w:r w:rsidRPr="0051180E">
              <w:t>1</w:t>
            </w:r>
          </w:p>
        </w:tc>
        <w:tc>
          <w:tcPr>
            <w:tcW w:w="3914" w:type="pct"/>
            <w:shd w:val="clear" w:color="auto" w:fill="auto"/>
          </w:tcPr>
          <w:p w:rsidR="00EB2CC8" w:rsidRPr="0051180E" w:rsidRDefault="00EB2CC8" w:rsidP="00576493">
            <w:pPr>
              <w:pStyle w:val="Tabletext"/>
            </w:pPr>
            <w:r w:rsidRPr="0051180E">
              <w:t>Lodgment of a notice of an authorisation, or a notice of a change to, or revocation of, an authorisation, under section</w:t>
            </w:r>
            <w:r w:rsidR="0051180E">
              <w:t> </w:t>
            </w:r>
            <w:r w:rsidRPr="0051180E">
              <w:t>71 of the National Credit Act</w:t>
            </w:r>
          </w:p>
        </w:tc>
        <w:tc>
          <w:tcPr>
            <w:tcW w:w="667" w:type="pct"/>
            <w:shd w:val="clear" w:color="auto" w:fill="auto"/>
          </w:tcPr>
          <w:p w:rsidR="00EB2CC8" w:rsidRPr="0051180E" w:rsidRDefault="00EB2CC8" w:rsidP="00576493">
            <w:pPr>
              <w:pStyle w:val="Tabletext"/>
            </w:pPr>
            <w:r w:rsidRPr="0051180E">
              <w:t>no fee</w:t>
            </w:r>
          </w:p>
        </w:tc>
      </w:tr>
      <w:tr w:rsidR="00EB2CC8" w:rsidRPr="0051180E" w:rsidTr="0051180E">
        <w:tc>
          <w:tcPr>
            <w:tcW w:w="5000" w:type="pct"/>
            <w:gridSpan w:val="3"/>
            <w:shd w:val="clear" w:color="auto" w:fill="auto"/>
          </w:tcPr>
          <w:p w:rsidR="00EB2CC8" w:rsidRPr="0051180E" w:rsidRDefault="00EB2CC8" w:rsidP="00576493">
            <w:pPr>
              <w:pStyle w:val="TableHeading"/>
            </w:pPr>
            <w:r w:rsidRPr="0051180E">
              <w:t>Chargeable matters under the National Consumer Credit Protection Regulations</w:t>
            </w:r>
            <w:r w:rsidR="0051180E">
              <w:t> </w:t>
            </w:r>
            <w:r w:rsidRPr="0051180E">
              <w:t>2010</w:t>
            </w:r>
          </w:p>
        </w:tc>
      </w:tr>
      <w:tr w:rsidR="00EB2CC8" w:rsidRPr="0051180E" w:rsidTr="0051180E">
        <w:tc>
          <w:tcPr>
            <w:tcW w:w="419" w:type="pct"/>
            <w:shd w:val="clear" w:color="auto" w:fill="auto"/>
          </w:tcPr>
          <w:p w:rsidR="00EB2CC8" w:rsidRPr="0051180E" w:rsidRDefault="00EB2CC8" w:rsidP="00576493">
            <w:pPr>
              <w:pStyle w:val="Tabletext"/>
            </w:pPr>
            <w:r w:rsidRPr="0051180E">
              <w:t>2</w:t>
            </w:r>
          </w:p>
        </w:tc>
        <w:tc>
          <w:tcPr>
            <w:tcW w:w="3914" w:type="pct"/>
            <w:shd w:val="clear" w:color="auto" w:fill="auto"/>
          </w:tcPr>
          <w:p w:rsidR="00EB2CC8" w:rsidRPr="0051180E" w:rsidRDefault="00EB2CC8" w:rsidP="00576493">
            <w:pPr>
              <w:pStyle w:val="Tabletext"/>
            </w:pPr>
            <w:r w:rsidRPr="0051180E">
              <w:t>Notification of an address under paragraph</w:t>
            </w:r>
            <w:r w:rsidR="0051180E">
              <w:t> </w:t>
            </w:r>
            <w:r w:rsidRPr="0051180E">
              <w:t>29(6)(a) of the National Credit Regulations</w:t>
            </w:r>
          </w:p>
        </w:tc>
        <w:tc>
          <w:tcPr>
            <w:tcW w:w="667" w:type="pct"/>
            <w:shd w:val="clear" w:color="auto" w:fill="auto"/>
          </w:tcPr>
          <w:p w:rsidR="00EB2CC8" w:rsidRPr="0051180E" w:rsidRDefault="00EB2CC8" w:rsidP="00576493">
            <w:pPr>
              <w:pStyle w:val="Tabletext"/>
            </w:pPr>
            <w:r w:rsidRPr="0051180E">
              <w:t>no fee</w:t>
            </w:r>
          </w:p>
        </w:tc>
      </w:tr>
      <w:tr w:rsidR="00EB2CC8" w:rsidRPr="0051180E" w:rsidTr="0051180E">
        <w:tc>
          <w:tcPr>
            <w:tcW w:w="419" w:type="pct"/>
            <w:shd w:val="clear" w:color="auto" w:fill="auto"/>
          </w:tcPr>
          <w:p w:rsidR="00EB2CC8" w:rsidRPr="0051180E" w:rsidRDefault="00EB2CC8" w:rsidP="00576493">
            <w:pPr>
              <w:pStyle w:val="Tabletext"/>
            </w:pPr>
            <w:r w:rsidRPr="0051180E">
              <w:t>3</w:t>
            </w:r>
          </w:p>
        </w:tc>
        <w:tc>
          <w:tcPr>
            <w:tcW w:w="3914" w:type="pct"/>
            <w:shd w:val="clear" w:color="auto" w:fill="auto"/>
          </w:tcPr>
          <w:p w:rsidR="00EB2CC8" w:rsidRPr="0051180E" w:rsidRDefault="00EB2CC8" w:rsidP="00576493">
            <w:pPr>
              <w:pStyle w:val="Tabletext"/>
            </w:pPr>
            <w:r w:rsidRPr="0051180E">
              <w:t>Notification of a change of address under paragraph</w:t>
            </w:r>
            <w:r w:rsidR="0051180E">
              <w:t> </w:t>
            </w:r>
            <w:r w:rsidRPr="0051180E">
              <w:t>29(6)(b) of the National Credit Regulations</w:t>
            </w:r>
          </w:p>
        </w:tc>
        <w:tc>
          <w:tcPr>
            <w:tcW w:w="667" w:type="pct"/>
            <w:shd w:val="clear" w:color="auto" w:fill="auto"/>
          </w:tcPr>
          <w:p w:rsidR="00EB2CC8" w:rsidRPr="0051180E" w:rsidRDefault="00EB2CC8" w:rsidP="00576493">
            <w:pPr>
              <w:pStyle w:val="Tabletext"/>
            </w:pPr>
            <w:r w:rsidRPr="0051180E">
              <w:t>no fee</w:t>
            </w:r>
          </w:p>
        </w:tc>
      </w:tr>
      <w:tr w:rsidR="00EB2CC8" w:rsidRPr="0051180E" w:rsidTr="0051180E">
        <w:tc>
          <w:tcPr>
            <w:tcW w:w="419" w:type="pct"/>
            <w:tcBorders>
              <w:bottom w:val="single" w:sz="2" w:space="0" w:color="auto"/>
            </w:tcBorders>
            <w:shd w:val="clear" w:color="auto" w:fill="auto"/>
          </w:tcPr>
          <w:p w:rsidR="00EB2CC8" w:rsidRPr="0051180E" w:rsidRDefault="00EB2CC8" w:rsidP="00576493">
            <w:pPr>
              <w:pStyle w:val="Tabletext"/>
            </w:pPr>
            <w:r w:rsidRPr="0051180E">
              <w:t>4</w:t>
            </w:r>
          </w:p>
        </w:tc>
        <w:tc>
          <w:tcPr>
            <w:tcW w:w="3914" w:type="pct"/>
            <w:tcBorders>
              <w:bottom w:val="single" w:sz="2" w:space="0" w:color="auto"/>
            </w:tcBorders>
            <w:shd w:val="clear" w:color="auto" w:fill="auto"/>
          </w:tcPr>
          <w:p w:rsidR="00EB2CC8" w:rsidRPr="0051180E" w:rsidRDefault="00EB2CC8" w:rsidP="00576493">
            <w:pPr>
              <w:pStyle w:val="Tabletext"/>
            </w:pPr>
            <w:r w:rsidRPr="0051180E">
              <w:t>Notification of an address under paragraph</w:t>
            </w:r>
            <w:r w:rsidR="0051180E">
              <w:t> </w:t>
            </w:r>
            <w:r w:rsidRPr="0051180E">
              <w:t>30A(3)(a) of the National Credit Regulations</w:t>
            </w:r>
          </w:p>
        </w:tc>
        <w:tc>
          <w:tcPr>
            <w:tcW w:w="667" w:type="pct"/>
            <w:tcBorders>
              <w:bottom w:val="single" w:sz="2" w:space="0" w:color="auto"/>
            </w:tcBorders>
            <w:shd w:val="clear" w:color="auto" w:fill="auto"/>
          </w:tcPr>
          <w:p w:rsidR="00EB2CC8" w:rsidRPr="0051180E" w:rsidRDefault="00EB2CC8" w:rsidP="00576493">
            <w:pPr>
              <w:pStyle w:val="Tabletext"/>
            </w:pPr>
            <w:r w:rsidRPr="0051180E">
              <w:t>no fee</w:t>
            </w:r>
          </w:p>
        </w:tc>
      </w:tr>
      <w:tr w:rsidR="00EB2CC8" w:rsidRPr="0051180E" w:rsidTr="0051180E">
        <w:tc>
          <w:tcPr>
            <w:tcW w:w="419" w:type="pct"/>
            <w:tcBorders>
              <w:top w:val="single" w:sz="2" w:space="0" w:color="auto"/>
              <w:bottom w:val="single" w:sz="2" w:space="0" w:color="auto"/>
            </w:tcBorders>
            <w:shd w:val="clear" w:color="auto" w:fill="auto"/>
          </w:tcPr>
          <w:p w:rsidR="00EB2CC8" w:rsidRPr="0051180E" w:rsidRDefault="00EB2CC8" w:rsidP="00576493">
            <w:pPr>
              <w:pStyle w:val="Tabletext"/>
            </w:pPr>
            <w:r w:rsidRPr="0051180E">
              <w:t>5</w:t>
            </w:r>
          </w:p>
        </w:tc>
        <w:tc>
          <w:tcPr>
            <w:tcW w:w="3914" w:type="pct"/>
            <w:tcBorders>
              <w:top w:val="single" w:sz="2" w:space="0" w:color="auto"/>
              <w:bottom w:val="single" w:sz="2" w:space="0" w:color="auto"/>
            </w:tcBorders>
            <w:shd w:val="clear" w:color="auto" w:fill="auto"/>
          </w:tcPr>
          <w:p w:rsidR="00EB2CC8" w:rsidRPr="0051180E" w:rsidRDefault="00EB2CC8" w:rsidP="00576493">
            <w:pPr>
              <w:pStyle w:val="Tabletext"/>
            </w:pPr>
            <w:r w:rsidRPr="0051180E">
              <w:t>Notification of a change of address under paragraph</w:t>
            </w:r>
            <w:r w:rsidR="0051180E">
              <w:t> </w:t>
            </w:r>
            <w:r w:rsidRPr="0051180E">
              <w:t>30A(3)(b) of the National Credit Regulations</w:t>
            </w:r>
          </w:p>
        </w:tc>
        <w:tc>
          <w:tcPr>
            <w:tcW w:w="667" w:type="pct"/>
            <w:tcBorders>
              <w:top w:val="single" w:sz="2" w:space="0" w:color="auto"/>
              <w:bottom w:val="single" w:sz="2" w:space="0" w:color="auto"/>
            </w:tcBorders>
            <w:shd w:val="clear" w:color="auto" w:fill="auto"/>
          </w:tcPr>
          <w:p w:rsidR="00EB2CC8" w:rsidRPr="0051180E" w:rsidRDefault="00EB2CC8" w:rsidP="00576493">
            <w:pPr>
              <w:pStyle w:val="Tabletext"/>
            </w:pPr>
            <w:r w:rsidRPr="0051180E">
              <w:t>no fee</w:t>
            </w:r>
          </w:p>
        </w:tc>
      </w:tr>
      <w:tr w:rsidR="00EB2CC8" w:rsidRPr="0051180E" w:rsidTr="0051180E">
        <w:tc>
          <w:tcPr>
            <w:tcW w:w="5000" w:type="pct"/>
            <w:gridSpan w:val="3"/>
            <w:tcBorders>
              <w:top w:val="single" w:sz="2" w:space="0" w:color="auto"/>
              <w:bottom w:val="single" w:sz="2" w:space="0" w:color="auto"/>
            </w:tcBorders>
            <w:shd w:val="clear" w:color="auto" w:fill="auto"/>
          </w:tcPr>
          <w:p w:rsidR="00EB2CC8" w:rsidRPr="0051180E" w:rsidRDefault="00EB2CC8" w:rsidP="00576493">
            <w:pPr>
              <w:pStyle w:val="TableHeading"/>
            </w:pPr>
            <w:r w:rsidRPr="0051180E">
              <w:t>Other chargeable matters</w:t>
            </w:r>
          </w:p>
        </w:tc>
      </w:tr>
      <w:tr w:rsidR="00EB2CC8" w:rsidRPr="0051180E" w:rsidTr="0051180E">
        <w:tc>
          <w:tcPr>
            <w:tcW w:w="419" w:type="pct"/>
            <w:tcBorders>
              <w:top w:val="single" w:sz="2" w:space="0" w:color="auto"/>
              <w:bottom w:val="single" w:sz="2" w:space="0" w:color="auto"/>
            </w:tcBorders>
            <w:shd w:val="clear" w:color="auto" w:fill="auto"/>
          </w:tcPr>
          <w:p w:rsidR="00EB2CC8" w:rsidRPr="0051180E" w:rsidRDefault="00EB2CC8" w:rsidP="00576493">
            <w:pPr>
              <w:pStyle w:val="Tabletext"/>
              <w:rPr>
                <w:rStyle w:val="CharSchPTNo"/>
              </w:rPr>
            </w:pPr>
            <w:r w:rsidRPr="0051180E">
              <w:t>6</w:t>
            </w:r>
          </w:p>
        </w:tc>
        <w:tc>
          <w:tcPr>
            <w:tcW w:w="3914" w:type="pct"/>
            <w:tcBorders>
              <w:top w:val="single" w:sz="2" w:space="0" w:color="auto"/>
              <w:bottom w:val="single" w:sz="2" w:space="0" w:color="auto"/>
            </w:tcBorders>
            <w:shd w:val="clear" w:color="auto" w:fill="auto"/>
          </w:tcPr>
          <w:p w:rsidR="00EB2CC8" w:rsidRPr="0051180E" w:rsidRDefault="00EB2CC8" w:rsidP="00576493">
            <w:pPr>
              <w:pStyle w:val="Tabletext"/>
            </w:pPr>
            <w:r w:rsidRPr="0051180E">
              <w:t>Production by ASIC, under a subpoena, of:</w:t>
            </w:r>
          </w:p>
          <w:p w:rsidR="00EB2CC8" w:rsidRPr="0051180E" w:rsidRDefault="00EB2CC8" w:rsidP="00576493">
            <w:pPr>
              <w:pStyle w:val="Tablea"/>
            </w:pPr>
            <w:r w:rsidRPr="0051180E">
              <w:t xml:space="preserve">(a) a register mentioned in the definition of </w:t>
            </w:r>
            <w:r w:rsidRPr="0051180E">
              <w:rPr>
                <w:b/>
                <w:i/>
              </w:rPr>
              <w:t>chargeable matter</w:t>
            </w:r>
            <w:r w:rsidRPr="0051180E">
              <w:t xml:space="preserve"> in subsection</w:t>
            </w:r>
            <w:r w:rsidR="0051180E">
              <w:t> </w:t>
            </w:r>
            <w:r w:rsidRPr="0051180E">
              <w:t>4(1) of the Act; or</w:t>
            </w:r>
          </w:p>
          <w:p w:rsidR="00EB2CC8" w:rsidRPr="0051180E" w:rsidRDefault="00EB2CC8" w:rsidP="00576493">
            <w:pPr>
              <w:pStyle w:val="Tablea"/>
            </w:pPr>
            <w:r w:rsidRPr="0051180E">
              <w:t>(b) a document mentioned in that definition</w:t>
            </w:r>
          </w:p>
        </w:tc>
        <w:tc>
          <w:tcPr>
            <w:tcW w:w="667" w:type="pct"/>
            <w:tcBorders>
              <w:top w:val="single" w:sz="2" w:space="0" w:color="auto"/>
              <w:bottom w:val="single" w:sz="2" w:space="0" w:color="auto"/>
            </w:tcBorders>
            <w:shd w:val="clear" w:color="auto" w:fill="auto"/>
          </w:tcPr>
          <w:p w:rsidR="00EB2CC8" w:rsidRPr="0051180E" w:rsidRDefault="00EB2CC8" w:rsidP="00576493">
            <w:pPr>
              <w:pStyle w:val="Tabletext"/>
            </w:pPr>
            <w:r w:rsidRPr="0051180E">
              <w:t>$117</w:t>
            </w:r>
          </w:p>
        </w:tc>
      </w:tr>
      <w:tr w:rsidR="00EB2CC8" w:rsidRPr="0051180E" w:rsidTr="0051180E">
        <w:tc>
          <w:tcPr>
            <w:tcW w:w="419" w:type="pct"/>
            <w:tcBorders>
              <w:top w:val="single" w:sz="2" w:space="0" w:color="auto"/>
              <w:bottom w:val="single" w:sz="12" w:space="0" w:color="auto"/>
            </w:tcBorders>
            <w:shd w:val="clear" w:color="auto" w:fill="auto"/>
          </w:tcPr>
          <w:p w:rsidR="00EB2CC8" w:rsidRPr="0051180E" w:rsidRDefault="00EB2CC8" w:rsidP="00576493">
            <w:pPr>
              <w:pStyle w:val="Tabletext"/>
              <w:rPr>
                <w:rStyle w:val="CharSchPTNo"/>
              </w:rPr>
            </w:pPr>
            <w:r w:rsidRPr="0051180E">
              <w:t>7</w:t>
            </w:r>
          </w:p>
        </w:tc>
        <w:tc>
          <w:tcPr>
            <w:tcW w:w="3914"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Lodgment of a document, notice or application under the National Credit Act or Transitional Act that is not mentioned in the other items in this Part, in Part</w:t>
            </w:r>
            <w:r w:rsidR="0051180E">
              <w:t> </w:t>
            </w:r>
            <w:r w:rsidRPr="0051180E">
              <w:t>1 of this Schedule or in Schedule</w:t>
            </w:r>
            <w:r w:rsidR="0051180E">
              <w:t> </w:t>
            </w:r>
            <w:r w:rsidRPr="0051180E">
              <w:t>2</w:t>
            </w:r>
          </w:p>
        </w:tc>
        <w:tc>
          <w:tcPr>
            <w:tcW w:w="667"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$117</w:t>
            </w:r>
          </w:p>
        </w:tc>
      </w:tr>
    </w:tbl>
    <w:p w:rsidR="00EB2CC8" w:rsidRPr="0051180E" w:rsidRDefault="00EB2CC8" w:rsidP="00D9120C">
      <w:pPr>
        <w:pStyle w:val="ActHead2"/>
        <w:pageBreakBefore/>
      </w:pPr>
      <w:bookmarkStart w:id="13" w:name="_Toc521330308"/>
      <w:r w:rsidRPr="0051180E">
        <w:rPr>
          <w:rStyle w:val="CharPartNo"/>
        </w:rPr>
        <w:lastRenderedPageBreak/>
        <w:t>Part</w:t>
      </w:r>
      <w:r w:rsidR="0051180E" w:rsidRPr="0051180E">
        <w:rPr>
          <w:rStyle w:val="CharPartNo"/>
        </w:rPr>
        <w:t> </w:t>
      </w:r>
      <w:r w:rsidRPr="0051180E">
        <w:rPr>
          <w:rStyle w:val="CharPartNo"/>
        </w:rPr>
        <w:t>3</w:t>
      </w:r>
      <w:r w:rsidRPr="0051180E">
        <w:t>—</w:t>
      </w:r>
      <w:r w:rsidRPr="0051180E">
        <w:rPr>
          <w:rStyle w:val="CharPartText"/>
        </w:rPr>
        <w:t>Alteration of fees in Part</w:t>
      </w:r>
      <w:r w:rsidR="0051180E" w:rsidRPr="0051180E">
        <w:rPr>
          <w:rStyle w:val="CharPartText"/>
        </w:rPr>
        <w:t> </w:t>
      </w:r>
      <w:r w:rsidRPr="0051180E">
        <w:rPr>
          <w:rStyle w:val="CharPartText"/>
        </w:rPr>
        <w:t>1 or 2</w:t>
      </w:r>
      <w:bookmarkEnd w:id="13"/>
    </w:p>
    <w:p w:rsidR="00EB2CC8" w:rsidRPr="0051180E" w:rsidRDefault="00EB2CC8" w:rsidP="00EB2CC8">
      <w:pPr>
        <w:pStyle w:val="Header"/>
      </w:pPr>
      <w:r w:rsidRPr="0051180E">
        <w:rPr>
          <w:rStyle w:val="CharDivNo"/>
        </w:rPr>
        <w:t xml:space="preserve"> </w:t>
      </w:r>
      <w:r w:rsidRPr="0051180E">
        <w:rPr>
          <w:rStyle w:val="CharDivText"/>
        </w:rPr>
        <w:t xml:space="preserve"> </w:t>
      </w:r>
    </w:p>
    <w:p w:rsidR="00EB2CC8" w:rsidRPr="0051180E" w:rsidRDefault="00EB2CC8" w:rsidP="00EB2CC8">
      <w:pPr>
        <w:pStyle w:val="ActHead5"/>
      </w:pPr>
      <w:bookmarkStart w:id="14" w:name="_Toc521330309"/>
      <w:r w:rsidRPr="0051180E">
        <w:rPr>
          <w:rStyle w:val="CharSectno"/>
        </w:rPr>
        <w:t>3</w:t>
      </w:r>
      <w:r w:rsidRPr="0051180E">
        <w:t xml:space="preserve">  Alteration of fees in Part</w:t>
      </w:r>
      <w:r w:rsidR="0051180E">
        <w:t> </w:t>
      </w:r>
      <w:r w:rsidRPr="0051180E">
        <w:t>1 or 2</w:t>
      </w:r>
      <w:bookmarkEnd w:id="14"/>
    </w:p>
    <w:p w:rsidR="00EB2CC8" w:rsidRPr="0051180E" w:rsidRDefault="00EB2CC8" w:rsidP="00EB2CC8">
      <w:pPr>
        <w:pStyle w:val="subsection"/>
      </w:pPr>
      <w:r w:rsidRPr="0051180E">
        <w:tab/>
      </w:r>
      <w:r w:rsidRPr="0051180E">
        <w:tab/>
        <w:t>For the purposes of subregulation</w:t>
      </w:r>
      <w:r w:rsidR="0051180E">
        <w:t> </w:t>
      </w:r>
      <w:r w:rsidRPr="0051180E">
        <w:t>4(3), column 2 of an item of the following table specifies alterations, of the fees prescribed by Parts</w:t>
      </w:r>
      <w:r w:rsidR="0051180E">
        <w:t> </w:t>
      </w:r>
      <w:r w:rsidRPr="0051180E">
        <w:t>1 and 2 of this Schedule, that apply in the circumstances specified by column 1 of the item.</w:t>
      </w:r>
    </w:p>
    <w:p w:rsidR="00EB2CC8" w:rsidRPr="0051180E" w:rsidRDefault="00EB2CC8" w:rsidP="00EB2CC8">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4"/>
        <w:gridCol w:w="4983"/>
        <w:gridCol w:w="2832"/>
      </w:tblGrid>
      <w:tr w:rsidR="00EB2CC8" w:rsidRPr="0051180E" w:rsidTr="0051180E">
        <w:trPr>
          <w:trHeight w:val="57"/>
          <w:tblHeader/>
        </w:trPr>
        <w:tc>
          <w:tcPr>
            <w:tcW w:w="5000" w:type="pct"/>
            <w:gridSpan w:val="3"/>
            <w:tcBorders>
              <w:top w:val="single" w:sz="12" w:space="0" w:color="auto"/>
              <w:bottom w:val="single" w:sz="6" w:space="0" w:color="auto"/>
            </w:tcBorders>
            <w:shd w:val="clear" w:color="auto" w:fill="auto"/>
            <w:hideMark/>
          </w:tcPr>
          <w:p w:rsidR="00EB2CC8" w:rsidRPr="0051180E" w:rsidRDefault="00EB2CC8" w:rsidP="00576493">
            <w:pPr>
              <w:pStyle w:val="TableHeading"/>
              <w:rPr>
                <w:lang w:eastAsia="en-US"/>
              </w:rPr>
            </w:pPr>
            <w:r w:rsidRPr="0051180E">
              <w:rPr>
                <w:lang w:eastAsia="en-US"/>
              </w:rPr>
              <w:t>Alteration of fees</w:t>
            </w:r>
          </w:p>
        </w:tc>
      </w:tr>
      <w:tr w:rsidR="00EB2CC8" w:rsidRPr="0051180E" w:rsidTr="0051180E">
        <w:trPr>
          <w:trHeight w:val="57"/>
          <w:tblHeader/>
        </w:trPr>
        <w:tc>
          <w:tcPr>
            <w:tcW w:w="419" w:type="pct"/>
            <w:tcBorders>
              <w:top w:val="single" w:sz="6" w:space="0" w:color="auto"/>
              <w:bottom w:val="single" w:sz="12" w:space="0" w:color="auto"/>
            </w:tcBorders>
            <w:shd w:val="clear" w:color="auto" w:fill="auto"/>
            <w:hideMark/>
          </w:tcPr>
          <w:p w:rsidR="00EB2CC8" w:rsidRPr="0051180E" w:rsidRDefault="00EB2CC8" w:rsidP="00576493">
            <w:pPr>
              <w:pStyle w:val="TableHeading"/>
              <w:rPr>
                <w:lang w:eastAsia="en-US"/>
              </w:rPr>
            </w:pPr>
            <w:r w:rsidRPr="0051180E">
              <w:rPr>
                <w:lang w:eastAsia="en-US"/>
              </w:rPr>
              <w:t>Item</w:t>
            </w:r>
          </w:p>
        </w:tc>
        <w:tc>
          <w:tcPr>
            <w:tcW w:w="2921" w:type="pct"/>
            <w:tcBorders>
              <w:top w:val="single" w:sz="6" w:space="0" w:color="auto"/>
              <w:bottom w:val="single" w:sz="12" w:space="0" w:color="auto"/>
            </w:tcBorders>
            <w:shd w:val="clear" w:color="auto" w:fill="auto"/>
            <w:hideMark/>
          </w:tcPr>
          <w:p w:rsidR="00EB2CC8" w:rsidRPr="0051180E" w:rsidRDefault="00EB2CC8" w:rsidP="00576493">
            <w:pPr>
              <w:pStyle w:val="TableHeading"/>
              <w:rPr>
                <w:lang w:eastAsia="en-US"/>
              </w:rPr>
            </w:pPr>
            <w:r w:rsidRPr="0051180E">
              <w:rPr>
                <w:lang w:eastAsia="en-US"/>
              </w:rPr>
              <w:t>Column 1</w:t>
            </w:r>
            <w:r w:rsidRPr="0051180E">
              <w:rPr>
                <w:lang w:eastAsia="en-US"/>
              </w:rPr>
              <w:br/>
              <w:t>Circumstances</w:t>
            </w:r>
          </w:p>
        </w:tc>
        <w:tc>
          <w:tcPr>
            <w:tcW w:w="1660" w:type="pct"/>
            <w:tcBorders>
              <w:top w:val="single" w:sz="6" w:space="0" w:color="auto"/>
              <w:bottom w:val="single" w:sz="12" w:space="0" w:color="auto"/>
            </w:tcBorders>
            <w:shd w:val="clear" w:color="auto" w:fill="auto"/>
            <w:hideMark/>
          </w:tcPr>
          <w:p w:rsidR="00EB2CC8" w:rsidRPr="0051180E" w:rsidRDefault="00EB2CC8" w:rsidP="00576493">
            <w:pPr>
              <w:pStyle w:val="TableHeading"/>
              <w:rPr>
                <w:lang w:eastAsia="en-US"/>
              </w:rPr>
            </w:pPr>
            <w:r w:rsidRPr="0051180E">
              <w:rPr>
                <w:lang w:eastAsia="en-US"/>
              </w:rPr>
              <w:t>Column 2</w:t>
            </w:r>
            <w:r w:rsidRPr="0051180E">
              <w:rPr>
                <w:lang w:eastAsia="en-US"/>
              </w:rPr>
              <w:br/>
              <w:t>Altered fee</w:t>
            </w:r>
          </w:p>
        </w:tc>
      </w:tr>
      <w:tr w:rsidR="00EB2CC8" w:rsidRPr="0051180E" w:rsidTr="0051180E">
        <w:tc>
          <w:tcPr>
            <w:tcW w:w="419" w:type="pct"/>
            <w:tcBorders>
              <w:top w:val="single" w:sz="12" w:space="0" w:color="auto"/>
            </w:tcBorders>
            <w:shd w:val="clear" w:color="auto" w:fill="auto"/>
          </w:tcPr>
          <w:p w:rsidR="00EB2CC8" w:rsidRPr="0051180E" w:rsidRDefault="00EB2CC8" w:rsidP="00576493">
            <w:pPr>
              <w:pStyle w:val="Tabletext"/>
            </w:pPr>
            <w:r w:rsidRPr="0051180E">
              <w:t>1</w:t>
            </w:r>
          </w:p>
        </w:tc>
        <w:tc>
          <w:tcPr>
            <w:tcW w:w="2921" w:type="pct"/>
            <w:tcBorders>
              <w:top w:val="single" w:sz="12" w:space="0" w:color="auto"/>
            </w:tcBorders>
            <w:shd w:val="clear" w:color="auto" w:fill="auto"/>
          </w:tcPr>
          <w:p w:rsidR="00EB2CC8" w:rsidRPr="0051180E" w:rsidRDefault="00EB2CC8" w:rsidP="00576493">
            <w:pPr>
              <w:pStyle w:val="Tabletext"/>
            </w:pPr>
            <w:r w:rsidRPr="0051180E">
              <w:t>The chargeable matter is the lodgment of a document otherwise than electronically</w:t>
            </w:r>
          </w:p>
        </w:tc>
        <w:tc>
          <w:tcPr>
            <w:tcW w:w="1660" w:type="pct"/>
            <w:tcBorders>
              <w:top w:val="single" w:sz="12" w:space="0" w:color="auto"/>
            </w:tcBorders>
            <w:shd w:val="clear" w:color="auto" w:fill="auto"/>
          </w:tcPr>
          <w:p w:rsidR="00EB2CC8" w:rsidRPr="0051180E" w:rsidRDefault="00EB2CC8" w:rsidP="00576493">
            <w:pPr>
              <w:pStyle w:val="Tabletext"/>
            </w:pPr>
            <w:r w:rsidRPr="0051180E">
              <w:t>The fee specified in Part</w:t>
            </w:r>
            <w:r w:rsidR="0051180E">
              <w:t> </w:t>
            </w:r>
            <w:r w:rsidRPr="0051180E">
              <w:t>1 or 2 and altered under this Part (if necessary) is increased by $25</w:t>
            </w:r>
          </w:p>
        </w:tc>
      </w:tr>
      <w:tr w:rsidR="00EB2CC8" w:rsidRPr="0051180E" w:rsidTr="0051180E">
        <w:tc>
          <w:tcPr>
            <w:tcW w:w="419" w:type="pct"/>
            <w:shd w:val="clear" w:color="auto" w:fill="auto"/>
          </w:tcPr>
          <w:p w:rsidR="00EB2CC8" w:rsidRPr="0051180E" w:rsidRDefault="00EB2CC8" w:rsidP="00576493">
            <w:pPr>
              <w:pStyle w:val="Tabletext"/>
            </w:pPr>
            <w:r w:rsidRPr="0051180E">
              <w:t>2</w:t>
            </w:r>
          </w:p>
        </w:tc>
        <w:tc>
          <w:tcPr>
            <w:tcW w:w="2921" w:type="pct"/>
            <w:shd w:val="clear" w:color="auto" w:fill="auto"/>
          </w:tcPr>
          <w:p w:rsidR="00EB2CC8" w:rsidRPr="0051180E" w:rsidRDefault="00EB2CC8" w:rsidP="00576493">
            <w:pPr>
              <w:pStyle w:val="Tabletext"/>
            </w:pPr>
            <w:r w:rsidRPr="0051180E">
              <w:t>The chargeable matter is the lodgment of a document, and:</w:t>
            </w:r>
          </w:p>
          <w:p w:rsidR="00EB2CC8" w:rsidRPr="0051180E" w:rsidRDefault="00EB2CC8" w:rsidP="00576493">
            <w:pPr>
              <w:pStyle w:val="Tablea"/>
            </w:pPr>
            <w:r w:rsidRPr="0051180E">
              <w:t>(a) the document must be lodged within a particular period; and</w:t>
            </w:r>
          </w:p>
          <w:p w:rsidR="00EB2CC8" w:rsidRPr="0051180E" w:rsidRDefault="00EB2CC8" w:rsidP="00576493">
            <w:pPr>
              <w:pStyle w:val="Tablea"/>
            </w:pPr>
            <w:r w:rsidRPr="0051180E">
              <w:t>(b) the document is not lodged within the period; and</w:t>
            </w:r>
          </w:p>
          <w:p w:rsidR="00EB2CC8" w:rsidRPr="0051180E" w:rsidRDefault="00EB2CC8" w:rsidP="00576493">
            <w:pPr>
              <w:pStyle w:val="Tablea"/>
            </w:pPr>
            <w:r w:rsidRPr="0051180E">
              <w:t>(c) the document is lodged within 1 calendar month after the specified period</w:t>
            </w:r>
          </w:p>
        </w:tc>
        <w:tc>
          <w:tcPr>
            <w:tcW w:w="1660" w:type="pct"/>
            <w:shd w:val="clear" w:color="auto" w:fill="auto"/>
          </w:tcPr>
          <w:p w:rsidR="00EB2CC8" w:rsidRPr="0051180E" w:rsidRDefault="00EB2CC8" w:rsidP="00576493">
            <w:pPr>
              <w:pStyle w:val="Tabletext"/>
            </w:pPr>
            <w:r w:rsidRPr="0051180E">
              <w:t>The fee specified in Part</w:t>
            </w:r>
            <w:r w:rsidR="0051180E">
              <w:t> </w:t>
            </w:r>
            <w:r w:rsidRPr="0051180E">
              <w:t>1 or 2 and altered under this Part (if necessary) is increased by $67</w:t>
            </w:r>
          </w:p>
        </w:tc>
      </w:tr>
      <w:tr w:rsidR="00EB2CC8" w:rsidRPr="0051180E" w:rsidTr="0051180E">
        <w:tc>
          <w:tcPr>
            <w:tcW w:w="419" w:type="pct"/>
            <w:tcBorders>
              <w:bottom w:val="single" w:sz="2" w:space="0" w:color="auto"/>
            </w:tcBorders>
            <w:shd w:val="clear" w:color="auto" w:fill="auto"/>
          </w:tcPr>
          <w:p w:rsidR="00EB2CC8" w:rsidRPr="0051180E" w:rsidRDefault="00EB2CC8" w:rsidP="00576493">
            <w:pPr>
              <w:pStyle w:val="Tabletext"/>
            </w:pPr>
            <w:r w:rsidRPr="0051180E">
              <w:t>3</w:t>
            </w:r>
          </w:p>
        </w:tc>
        <w:tc>
          <w:tcPr>
            <w:tcW w:w="2921" w:type="pct"/>
            <w:tcBorders>
              <w:bottom w:val="single" w:sz="2" w:space="0" w:color="auto"/>
            </w:tcBorders>
            <w:shd w:val="clear" w:color="auto" w:fill="auto"/>
          </w:tcPr>
          <w:p w:rsidR="00EB2CC8" w:rsidRPr="0051180E" w:rsidRDefault="00EB2CC8" w:rsidP="00576493">
            <w:pPr>
              <w:pStyle w:val="Tabletext"/>
            </w:pPr>
            <w:r w:rsidRPr="0051180E">
              <w:t>The chargeable matter is the lodgment of a document, and:</w:t>
            </w:r>
          </w:p>
          <w:p w:rsidR="00EB2CC8" w:rsidRPr="0051180E" w:rsidRDefault="00EB2CC8" w:rsidP="00576493">
            <w:pPr>
              <w:pStyle w:val="Tablea"/>
            </w:pPr>
            <w:r w:rsidRPr="0051180E">
              <w:t>(a) the document must be lodged within a particular period; and</w:t>
            </w:r>
          </w:p>
          <w:p w:rsidR="00EB2CC8" w:rsidRPr="0051180E" w:rsidRDefault="00EB2CC8" w:rsidP="00576493">
            <w:pPr>
              <w:pStyle w:val="Tablea"/>
            </w:pPr>
            <w:r w:rsidRPr="0051180E">
              <w:t>(b) the document is not lodged within the period; and</w:t>
            </w:r>
          </w:p>
          <w:p w:rsidR="00EB2CC8" w:rsidRPr="0051180E" w:rsidRDefault="00EB2CC8" w:rsidP="00576493">
            <w:pPr>
              <w:pStyle w:val="Tablea"/>
            </w:pPr>
            <w:r w:rsidRPr="0051180E">
              <w:t>(c) the document is lodged 1 calendar month or more after the specified period</w:t>
            </w:r>
          </w:p>
        </w:tc>
        <w:tc>
          <w:tcPr>
            <w:tcW w:w="1660" w:type="pct"/>
            <w:tcBorders>
              <w:bottom w:val="single" w:sz="2" w:space="0" w:color="auto"/>
            </w:tcBorders>
            <w:shd w:val="clear" w:color="auto" w:fill="auto"/>
          </w:tcPr>
          <w:p w:rsidR="00EB2CC8" w:rsidRPr="0051180E" w:rsidRDefault="00EB2CC8" w:rsidP="00576493">
            <w:pPr>
              <w:pStyle w:val="Tabletext"/>
            </w:pPr>
            <w:r w:rsidRPr="0051180E">
              <w:t>The fee specified in Part</w:t>
            </w:r>
            <w:r w:rsidR="0051180E">
              <w:t> </w:t>
            </w:r>
            <w:r w:rsidRPr="0051180E">
              <w:t>1 or 2 and altered under this Part (if necessary) is increased by $278</w:t>
            </w:r>
          </w:p>
        </w:tc>
      </w:tr>
      <w:tr w:rsidR="00EB2CC8" w:rsidRPr="0051180E" w:rsidTr="0051180E">
        <w:tc>
          <w:tcPr>
            <w:tcW w:w="419"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4</w:t>
            </w:r>
          </w:p>
        </w:tc>
        <w:tc>
          <w:tcPr>
            <w:tcW w:w="2921"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If more than one item in this table applies to the person, the items are to be applied in the order of items</w:t>
            </w:r>
            <w:r w:rsidR="0051180E">
              <w:t> </w:t>
            </w:r>
            <w:r w:rsidRPr="0051180E">
              <w:t>1, 2 and 3</w:t>
            </w:r>
          </w:p>
        </w:tc>
        <w:tc>
          <w:tcPr>
            <w:tcW w:w="1660" w:type="pct"/>
            <w:tcBorders>
              <w:top w:val="single" w:sz="2" w:space="0" w:color="auto"/>
              <w:bottom w:val="single" w:sz="12" w:space="0" w:color="auto"/>
            </w:tcBorders>
            <w:shd w:val="clear" w:color="auto" w:fill="auto"/>
          </w:tcPr>
          <w:p w:rsidR="00EB2CC8" w:rsidRPr="0051180E" w:rsidRDefault="00EB2CC8" w:rsidP="00576493">
            <w:pPr>
              <w:pStyle w:val="Tabletext"/>
            </w:pPr>
          </w:p>
        </w:tc>
      </w:tr>
    </w:tbl>
    <w:p w:rsidR="00EB2CC8" w:rsidRPr="0051180E" w:rsidRDefault="00EB2CC8" w:rsidP="00D9120C">
      <w:pPr>
        <w:pStyle w:val="ActHead1"/>
        <w:pageBreakBefore/>
      </w:pPr>
      <w:bookmarkStart w:id="15" w:name="CU_2313832"/>
      <w:bookmarkStart w:id="16" w:name="CU_4316345"/>
      <w:bookmarkStart w:id="17" w:name="CU_4816987"/>
      <w:bookmarkStart w:id="18" w:name="_Toc521330310"/>
      <w:bookmarkEnd w:id="15"/>
      <w:bookmarkEnd w:id="16"/>
      <w:bookmarkEnd w:id="17"/>
      <w:r w:rsidRPr="0051180E">
        <w:rPr>
          <w:rStyle w:val="CharChapNo"/>
        </w:rPr>
        <w:lastRenderedPageBreak/>
        <w:t>Schedule</w:t>
      </w:r>
      <w:r w:rsidR="0051180E" w:rsidRPr="0051180E">
        <w:rPr>
          <w:rStyle w:val="CharChapNo"/>
        </w:rPr>
        <w:t> </w:t>
      </w:r>
      <w:r w:rsidRPr="0051180E">
        <w:rPr>
          <w:rStyle w:val="CharChapNo"/>
        </w:rPr>
        <w:t>2</w:t>
      </w:r>
      <w:r w:rsidRPr="0051180E">
        <w:t>—</w:t>
      </w:r>
      <w:r w:rsidRPr="0051180E">
        <w:rPr>
          <w:rStyle w:val="CharChapText"/>
        </w:rPr>
        <w:t>Fees for other chargeable matters</w:t>
      </w:r>
      <w:bookmarkEnd w:id="18"/>
    </w:p>
    <w:p w:rsidR="00EB2CC8" w:rsidRPr="0051180E" w:rsidRDefault="00EB2CC8" w:rsidP="00EB2CC8">
      <w:pPr>
        <w:pStyle w:val="notemargin"/>
      </w:pPr>
      <w:r w:rsidRPr="0051180E">
        <w:t>Note:</w:t>
      </w:r>
      <w:r w:rsidRPr="0051180E">
        <w:tab/>
        <w:t>See regulation</w:t>
      </w:r>
      <w:r w:rsidR="0051180E">
        <w:t> </w:t>
      </w:r>
      <w:r w:rsidRPr="0051180E">
        <w:t>5.</w:t>
      </w:r>
    </w:p>
    <w:p w:rsidR="00EB2CC8" w:rsidRPr="0051180E" w:rsidRDefault="00EB2CC8" w:rsidP="00EB2CC8">
      <w:pPr>
        <w:pStyle w:val="Header"/>
      </w:pPr>
      <w:bookmarkStart w:id="19" w:name="f_Check_Lines_below"/>
      <w:bookmarkEnd w:id="19"/>
      <w:r w:rsidRPr="0051180E">
        <w:rPr>
          <w:rStyle w:val="CharPartNo"/>
        </w:rPr>
        <w:t xml:space="preserve"> </w:t>
      </w:r>
      <w:r w:rsidRPr="0051180E">
        <w:rPr>
          <w:rStyle w:val="CharPartText"/>
        </w:rPr>
        <w:t xml:space="preserve"> </w:t>
      </w:r>
    </w:p>
    <w:p w:rsidR="00EB2CC8" w:rsidRPr="0051180E" w:rsidRDefault="00EB2CC8" w:rsidP="00EB2CC8">
      <w:pPr>
        <w:pStyle w:val="Header"/>
      </w:pPr>
      <w:r w:rsidRPr="0051180E">
        <w:rPr>
          <w:rStyle w:val="CharDivNo"/>
        </w:rPr>
        <w:t xml:space="preserve"> </w:t>
      </w:r>
      <w:r w:rsidRPr="0051180E">
        <w:rPr>
          <w:rStyle w:val="CharDivText"/>
        </w:rPr>
        <w:t xml:space="preserve"> </w:t>
      </w:r>
    </w:p>
    <w:p w:rsidR="00EB2CC8" w:rsidRPr="0051180E" w:rsidRDefault="00EB2CC8" w:rsidP="00EB2CC8">
      <w:pPr>
        <w:pStyle w:val="ActHead5"/>
      </w:pPr>
      <w:bookmarkStart w:id="20" w:name="_Toc521330311"/>
      <w:r w:rsidRPr="0051180E">
        <w:rPr>
          <w:rStyle w:val="CharSectno"/>
        </w:rPr>
        <w:t>1</w:t>
      </w:r>
      <w:r w:rsidRPr="0051180E">
        <w:t xml:space="preserve">  Registry fees</w:t>
      </w:r>
      <w:bookmarkEnd w:id="20"/>
    </w:p>
    <w:p w:rsidR="00EB2CC8" w:rsidRPr="0051180E" w:rsidRDefault="00EB2CC8" w:rsidP="00EB2CC8">
      <w:pPr>
        <w:pStyle w:val="subsection"/>
      </w:pPr>
      <w:r w:rsidRPr="0051180E">
        <w:tab/>
      </w:r>
      <w:r w:rsidRPr="0051180E">
        <w:tab/>
        <w:t>For the purposes of subregulations 5(1) and (1A), the following table prescribes fees for chargeable matters.</w:t>
      </w:r>
    </w:p>
    <w:p w:rsidR="00EB2CC8" w:rsidRPr="0051180E" w:rsidRDefault="00EB2CC8" w:rsidP="00EB2CC8">
      <w:pPr>
        <w:pStyle w:val="notetext"/>
      </w:pPr>
      <w:r w:rsidRPr="0051180E">
        <w:t>Note:</w:t>
      </w:r>
      <w:r w:rsidRPr="0051180E">
        <w:tab/>
        <w:t>See also regulation</w:t>
      </w:r>
      <w:r w:rsidR="0051180E">
        <w:t> </w:t>
      </w:r>
      <w:r w:rsidRPr="0051180E">
        <w:t>3 (definitions).</w:t>
      </w:r>
    </w:p>
    <w:p w:rsidR="00EB2CC8" w:rsidRPr="0051180E" w:rsidRDefault="00EB2CC8" w:rsidP="00EB2C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6682"/>
        <w:gridCol w:w="1116"/>
      </w:tblGrid>
      <w:tr w:rsidR="00EB2CC8" w:rsidRPr="0051180E" w:rsidTr="0051180E">
        <w:trPr>
          <w:tblHeader/>
        </w:trPr>
        <w:tc>
          <w:tcPr>
            <w:tcW w:w="5000" w:type="pct"/>
            <w:gridSpan w:val="3"/>
            <w:tcBorders>
              <w:top w:val="single" w:sz="12" w:space="0" w:color="auto"/>
              <w:bottom w:val="single" w:sz="6" w:space="0" w:color="auto"/>
            </w:tcBorders>
            <w:shd w:val="clear" w:color="auto" w:fill="auto"/>
          </w:tcPr>
          <w:p w:rsidR="00EB2CC8" w:rsidRPr="0051180E" w:rsidRDefault="00EB2CC8" w:rsidP="00576493">
            <w:pPr>
              <w:pStyle w:val="TableHeading"/>
            </w:pPr>
            <w:r w:rsidRPr="0051180E">
              <w:t>Registry fees</w:t>
            </w:r>
          </w:p>
        </w:tc>
      </w:tr>
      <w:tr w:rsidR="00EB2CC8" w:rsidRPr="0051180E" w:rsidTr="0051180E">
        <w:trPr>
          <w:tblHeader/>
        </w:trPr>
        <w:tc>
          <w:tcPr>
            <w:tcW w:w="429"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Item</w:t>
            </w:r>
          </w:p>
        </w:tc>
        <w:tc>
          <w:tcPr>
            <w:tcW w:w="3917"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rPr>
                <w:lang w:eastAsia="en-US"/>
              </w:rPr>
              <w:t>Column 1</w:t>
            </w:r>
            <w:r w:rsidRPr="0051180E">
              <w:rPr>
                <w:lang w:eastAsia="en-US"/>
              </w:rPr>
              <w:br/>
            </w:r>
            <w:r w:rsidRPr="0051180E">
              <w:t>Chargeable matter</w:t>
            </w:r>
          </w:p>
        </w:tc>
        <w:tc>
          <w:tcPr>
            <w:tcW w:w="654" w:type="pct"/>
            <w:tcBorders>
              <w:top w:val="single" w:sz="6" w:space="0" w:color="auto"/>
              <w:bottom w:val="single" w:sz="12" w:space="0" w:color="auto"/>
            </w:tcBorders>
            <w:shd w:val="clear" w:color="auto" w:fill="auto"/>
          </w:tcPr>
          <w:p w:rsidR="00EB2CC8" w:rsidRPr="0051180E" w:rsidRDefault="00EB2CC8" w:rsidP="00576493">
            <w:pPr>
              <w:pStyle w:val="TableHeading"/>
            </w:pPr>
            <w:r w:rsidRPr="0051180E">
              <w:t>Column 2</w:t>
            </w:r>
            <w:r w:rsidRPr="0051180E">
              <w:rPr>
                <w:lang w:eastAsia="en-US"/>
              </w:rPr>
              <w:br/>
            </w:r>
            <w:r w:rsidRPr="0051180E">
              <w:t>Fee</w:t>
            </w:r>
          </w:p>
        </w:tc>
      </w:tr>
      <w:tr w:rsidR="00EB2CC8" w:rsidRPr="0051180E" w:rsidTr="0051180E">
        <w:tc>
          <w:tcPr>
            <w:tcW w:w="429" w:type="pct"/>
            <w:tcBorders>
              <w:top w:val="single" w:sz="12" w:space="0" w:color="auto"/>
              <w:bottom w:val="nil"/>
            </w:tcBorders>
            <w:shd w:val="clear" w:color="auto" w:fill="auto"/>
          </w:tcPr>
          <w:p w:rsidR="00EB2CC8" w:rsidRPr="0051180E" w:rsidRDefault="00EB2CC8" w:rsidP="00576493">
            <w:pPr>
              <w:pStyle w:val="Tabletext"/>
            </w:pPr>
            <w:r w:rsidRPr="0051180E">
              <w:t>1</w:t>
            </w:r>
          </w:p>
        </w:tc>
        <w:tc>
          <w:tcPr>
            <w:tcW w:w="3917" w:type="pct"/>
            <w:tcBorders>
              <w:top w:val="single" w:sz="12" w:space="0" w:color="auto"/>
              <w:bottom w:val="nil"/>
            </w:tcBorders>
            <w:shd w:val="clear" w:color="auto" w:fill="auto"/>
          </w:tcPr>
          <w:p w:rsidR="00EB2CC8" w:rsidRPr="0051180E" w:rsidRDefault="00EB2CC8" w:rsidP="00576493">
            <w:pPr>
              <w:pStyle w:val="Tabletext"/>
            </w:pPr>
            <w:r w:rsidRPr="0051180E">
              <w:t>The making available by ASIC, under subsection</w:t>
            </w:r>
            <w:r w:rsidR="0051180E">
              <w:t> </w:t>
            </w:r>
            <w:r w:rsidRPr="0051180E">
              <w:t>214(1) of the National Credit Act, of an extract of particulars in relation to:</w:t>
            </w:r>
          </w:p>
          <w:p w:rsidR="00EB2CC8" w:rsidRPr="0051180E" w:rsidRDefault="00EB2CC8" w:rsidP="00576493">
            <w:pPr>
              <w:pStyle w:val="Tablea"/>
            </w:pPr>
            <w:r w:rsidRPr="0051180E">
              <w:t>(a) a licensee; or</w:t>
            </w:r>
          </w:p>
          <w:p w:rsidR="00EB2CC8" w:rsidRPr="0051180E" w:rsidRDefault="00EB2CC8" w:rsidP="00576493">
            <w:pPr>
              <w:pStyle w:val="Tablea"/>
            </w:pPr>
            <w:r w:rsidRPr="0051180E">
              <w:t>(b) a credit representative; or</w:t>
            </w:r>
          </w:p>
          <w:p w:rsidR="00EB2CC8" w:rsidRPr="0051180E" w:rsidRDefault="00EB2CC8" w:rsidP="00576493">
            <w:pPr>
              <w:pStyle w:val="Tablea"/>
            </w:pPr>
            <w:r w:rsidRPr="0051180E">
              <w:t>(c) a registered person; or</w:t>
            </w:r>
          </w:p>
          <w:p w:rsidR="00EB2CC8" w:rsidRPr="0051180E" w:rsidRDefault="00EB2CC8" w:rsidP="00576493">
            <w:pPr>
              <w:pStyle w:val="Tablea"/>
            </w:pPr>
            <w:r w:rsidRPr="0051180E">
              <w:t>(d) a person or entity whose details are included in any other register that ASIC is required to keep under the National Credit Act or the Transitional Act.</w:t>
            </w:r>
          </w:p>
        </w:tc>
        <w:tc>
          <w:tcPr>
            <w:tcW w:w="654" w:type="pct"/>
            <w:tcBorders>
              <w:top w:val="single" w:sz="12" w:space="0" w:color="auto"/>
              <w:bottom w:val="nil"/>
            </w:tcBorders>
            <w:shd w:val="clear" w:color="auto" w:fill="auto"/>
          </w:tcPr>
          <w:p w:rsidR="00EB2CC8" w:rsidRPr="0051180E" w:rsidRDefault="00EB2CC8" w:rsidP="00576493">
            <w:pPr>
              <w:pStyle w:val="Tabletext"/>
            </w:pPr>
            <w:r w:rsidRPr="0051180E">
              <w:t>$10</w:t>
            </w:r>
          </w:p>
        </w:tc>
      </w:tr>
      <w:tr w:rsidR="00EB2CC8" w:rsidRPr="0051180E" w:rsidTr="0051180E">
        <w:tc>
          <w:tcPr>
            <w:tcW w:w="429" w:type="pct"/>
            <w:tcBorders>
              <w:top w:val="nil"/>
              <w:bottom w:val="single" w:sz="4" w:space="0" w:color="auto"/>
            </w:tcBorders>
            <w:shd w:val="clear" w:color="auto" w:fill="auto"/>
          </w:tcPr>
          <w:p w:rsidR="00EB2CC8" w:rsidRPr="0051180E" w:rsidRDefault="00EB2CC8" w:rsidP="00576493">
            <w:pPr>
              <w:pStyle w:val="Tabletext"/>
            </w:pPr>
          </w:p>
        </w:tc>
        <w:tc>
          <w:tcPr>
            <w:tcW w:w="3917" w:type="pct"/>
            <w:tcBorders>
              <w:top w:val="nil"/>
              <w:bottom w:val="single" w:sz="4" w:space="0" w:color="auto"/>
            </w:tcBorders>
            <w:shd w:val="clear" w:color="auto" w:fill="auto"/>
          </w:tcPr>
          <w:p w:rsidR="00EB2CC8" w:rsidRPr="0051180E" w:rsidRDefault="00EB2CC8" w:rsidP="00576493">
            <w:pPr>
              <w:pStyle w:val="Tabletext"/>
            </w:pPr>
            <w:r w:rsidRPr="0051180E">
              <w:t>If the extract includes particulars in relation to more than one person or entity, a separate fee is applicable for each person or entity</w:t>
            </w:r>
          </w:p>
        </w:tc>
        <w:tc>
          <w:tcPr>
            <w:tcW w:w="654" w:type="pct"/>
            <w:tcBorders>
              <w:top w:val="nil"/>
              <w:bottom w:val="single" w:sz="4" w:space="0" w:color="auto"/>
            </w:tcBorders>
            <w:shd w:val="clear" w:color="auto" w:fill="auto"/>
          </w:tcPr>
          <w:p w:rsidR="00EB2CC8" w:rsidRPr="0051180E" w:rsidRDefault="00EB2CC8" w:rsidP="00576493">
            <w:pPr>
              <w:pStyle w:val="Tabletext"/>
            </w:pPr>
          </w:p>
        </w:tc>
      </w:tr>
      <w:tr w:rsidR="00EB2CC8" w:rsidRPr="0051180E" w:rsidTr="0051180E">
        <w:tc>
          <w:tcPr>
            <w:tcW w:w="429" w:type="pct"/>
            <w:tcBorders>
              <w:top w:val="single" w:sz="4" w:space="0" w:color="auto"/>
              <w:bottom w:val="single" w:sz="2" w:space="0" w:color="auto"/>
            </w:tcBorders>
            <w:shd w:val="clear" w:color="auto" w:fill="auto"/>
          </w:tcPr>
          <w:p w:rsidR="00EB2CC8" w:rsidRPr="0051180E" w:rsidRDefault="00EB2CC8" w:rsidP="00576493">
            <w:pPr>
              <w:pStyle w:val="Tabletext"/>
            </w:pPr>
            <w:r w:rsidRPr="0051180E">
              <w:t>2</w:t>
            </w:r>
          </w:p>
        </w:tc>
        <w:tc>
          <w:tcPr>
            <w:tcW w:w="3917" w:type="pct"/>
            <w:tcBorders>
              <w:top w:val="single" w:sz="4" w:space="0" w:color="auto"/>
              <w:bottom w:val="single" w:sz="2" w:space="0" w:color="auto"/>
            </w:tcBorders>
            <w:shd w:val="clear" w:color="auto" w:fill="auto"/>
          </w:tcPr>
          <w:p w:rsidR="00EB2CC8" w:rsidRPr="0051180E" w:rsidRDefault="00EB2CC8" w:rsidP="00576493">
            <w:pPr>
              <w:pStyle w:val="Tabletext"/>
            </w:pPr>
            <w:r w:rsidRPr="0051180E">
              <w:t>Inspection of a document register, or a document, under section</w:t>
            </w:r>
            <w:r w:rsidR="0051180E">
              <w:t> </w:t>
            </w:r>
            <w:r w:rsidRPr="0051180E">
              <w:t>219 of the National Credit Act</w:t>
            </w:r>
          </w:p>
        </w:tc>
        <w:tc>
          <w:tcPr>
            <w:tcW w:w="654" w:type="pct"/>
            <w:tcBorders>
              <w:top w:val="single" w:sz="4" w:space="0" w:color="auto"/>
              <w:bottom w:val="single" w:sz="2" w:space="0" w:color="auto"/>
            </w:tcBorders>
            <w:shd w:val="clear" w:color="auto" w:fill="auto"/>
          </w:tcPr>
          <w:p w:rsidR="00EB2CC8" w:rsidRPr="0051180E" w:rsidRDefault="00EB2CC8" w:rsidP="00576493">
            <w:pPr>
              <w:pStyle w:val="Tabletext"/>
            </w:pPr>
            <w:r w:rsidRPr="0051180E">
              <w:t>$30</w:t>
            </w:r>
          </w:p>
        </w:tc>
      </w:tr>
      <w:tr w:rsidR="00EB2CC8" w:rsidRPr="0051180E" w:rsidTr="0051180E">
        <w:tc>
          <w:tcPr>
            <w:tcW w:w="429"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3</w:t>
            </w:r>
          </w:p>
        </w:tc>
        <w:tc>
          <w:tcPr>
            <w:tcW w:w="3917"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Inspection of a document:</w:t>
            </w:r>
          </w:p>
          <w:p w:rsidR="00EB2CC8" w:rsidRPr="0051180E" w:rsidRDefault="00EB2CC8" w:rsidP="00576493">
            <w:pPr>
              <w:pStyle w:val="Tablea"/>
            </w:pPr>
            <w:r w:rsidRPr="0051180E">
              <w:t>(a) which has been lodged with ASIC; and</w:t>
            </w:r>
          </w:p>
          <w:p w:rsidR="00EB2CC8" w:rsidRPr="0051180E" w:rsidRDefault="00EB2CC8" w:rsidP="00576493">
            <w:pPr>
              <w:pStyle w:val="Tablea"/>
            </w:pPr>
            <w:r w:rsidRPr="0051180E">
              <w:t>(b) which will be included in a document register under section</w:t>
            </w:r>
            <w:r w:rsidR="0051180E">
              <w:t> </w:t>
            </w:r>
            <w:r w:rsidRPr="0051180E">
              <w:t>219 of the National Credit Act; and</w:t>
            </w:r>
          </w:p>
          <w:p w:rsidR="00EB2CC8" w:rsidRPr="0051180E" w:rsidRDefault="00EB2CC8" w:rsidP="00576493">
            <w:pPr>
              <w:pStyle w:val="Tablea"/>
            </w:pPr>
            <w:r w:rsidRPr="0051180E">
              <w:t>(c) in relation to which ASIC has permitted the document register to be inspected</w:t>
            </w:r>
          </w:p>
        </w:tc>
        <w:tc>
          <w:tcPr>
            <w:tcW w:w="654" w:type="pct"/>
            <w:tcBorders>
              <w:top w:val="single" w:sz="2" w:space="0" w:color="auto"/>
              <w:bottom w:val="single" w:sz="12" w:space="0" w:color="auto"/>
            </w:tcBorders>
            <w:shd w:val="clear" w:color="auto" w:fill="auto"/>
          </w:tcPr>
          <w:p w:rsidR="00EB2CC8" w:rsidRPr="0051180E" w:rsidRDefault="00EB2CC8" w:rsidP="00576493">
            <w:pPr>
              <w:pStyle w:val="Tabletext"/>
            </w:pPr>
            <w:r w:rsidRPr="0051180E">
              <w:t>$30</w:t>
            </w:r>
          </w:p>
        </w:tc>
      </w:tr>
    </w:tbl>
    <w:p w:rsidR="00EB2CC8" w:rsidRPr="0051180E" w:rsidRDefault="00EB2CC8" w:rsidP="00EB2CC8">
      <w:pPr>
        <w:pStyle w:val="notemargin"/>
      </w:pPr>
      <w:r w:rsidRPr="0051180E">
        <w:t>Note:</w:t>
      </w:r>
      <w:r w:rsidRPr="0051180E">
        <w:tab/>
        <w:t>Under subsection</w:t>
      </w:r>
      <w:r w:rsidR="0051180E">
        <w:t> </w:t>
      </w:r>
      <w:r w:rsidRPr="0051180E">
        <w:t>219(4) of the National Credit Act, ASIC is not required to permit a person to inspect a document register, or to make any part of a document register available to the public.</w:t>
      </w:r>
    </w:p>
    <w:p w:rsidR="00B66616" w:rsidRPr="0051180E" w:rsidRDefault="00B66616" w:rsidP="00B329DB">
      <w:pPr>
        <w:sectPr w:rsidR="00B66616" w:rsidRPr="0051180E" w:rsidSect="000F043D">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299"/>
        </w:sectPr>
      </w:pPr>
      <w:bookmarkStart w:id="21" w:name="OPCSB_NonAmendNoClausesB5"/>
    </w:p>
    <w:p w:rsidR="00B66616" w:rsidRPr="0051180E" w:rsidRDefault="00B66616" w:rsidP="000E0C28">
      <w:pPr>
        <w:pStyle w:val="ENotesHeading1"/>
        <w:pageBreakBefore/>
        <w:outlineLvl w:val="9"/>
      </w:pPr>
      <w:bookmarkStart w:id="22" w:name="_Toc521330312"/>
      <w:bookmarkEnd w:id="21"/>
      <w:r w:rsidRPr="0051180E">
        <w:lastRenderedPageBreak/>
        <w:t>Endnotes</w:t>
      </w:r>
      <w:bookmarkEnd w:id="22"/>
    </w:p>
    <w:p w:rsidR="00057EF4" w:rsidRPr="0051180E" w:rsidRDefault="00057EF4" w:rsidP="00146363">
      <w:pPr>
        <w:pStyle w:val="ENotesHeading2"/>
        <w:spacing w:line="240" w:lineRule="auto"/>
        <w:outlineLvl w:val="9"/>
      </w:pPr>
      <w:bookmarkStart w:id="23" w:name="_Toc521330313"/>
      <w:r w:rsidRPr="0051180E">
        <w:t>Endnote 1—About the endnotes</w:t>
      </w:r>
      <w:bookmarkEnd w:id="23"/>
    </w:p>
    <w:p w:rsidR="00057EF4" w:rsidRPr="0051180E" w:rsidRDefault="00057EF4" w:rsidP="00146363">
      <w:pPr>
        <w:spacing w:after="120"/>
      </w:pPr>
      <w:r w:rsidRPr="0051180E">
        <w:t>The endnotes provide information about this compilation and the compiled law.</w:t>
      </w:r>
    </w:p>
    <w:p w:rsidR="00057EF4" w:rsidRPr="0051180E" w:rsidRDefault="00057EF4" w:rsidP="00146363">
      <w:pPr>
        <w:spacing w:after="120"/>
      </w:pPr>
      <w:r w:rsidRPr="0051180E">
        <w:t>The following endnotes are included in every compilation:</w:t>
      </w:r>
    </w:p>
    <w:p w:rsidR="00057EF4" w:rsidRPr="0051180E" w:rsidRDefault="00057EF4" w:rsidP="00146363">
      <w:r w:rsidRPr="0051180E">
        <w:t>Endnote 1—About the endnotes</w:t>
      </w:r>
    </w:p>
    <w:p w:rsidR="00057EF4" w:rsidRPr="0051180E" w:rsidRDefault="00057EF4" w:rsidP="00146363">
      <w:r w:rsidRPr="0051180E">
        <w:t>Endnote 2—Abbreviation key</w:t>
      </w:r>
    </w:p>
    <w:p w:rsidR="00057EF4" w:rsidRPr="0051180E" w:rsidRDefault="00057EF4" w:rsidP="00146363">
      <w:r w:rsidRPr="0051180E">
        <w:t>Endnote 3—Legislation history</w:t>
      </w:r>
    </w:p>
    <w:p w:rsidR="00057EF4" w:rsidRPr="0051180E" w:rsidRDefault="00057EF4" w:rsidP="00146363">
      <w:pPr>
        <w:spacing w:after="120"/>
      </w:pPr>
      <w:r w:rsidRPr="0051180E">
        <w:t>Endnote 4—Amendment history</w:t>
      </w:r>
    </w:p>
    <w:p w:rsidR="00057EF4" w:rsidRPr="0051180E" w:rsidRDefault="00057EF4" w:rsidP="00146363">
      <w:r w:rsidRPr="0051180E">
        <w:rPr>
          <w:b/>
        </w:rPr>
        <w:t>Abbreviation key—Endnote 2</w:t>
      </w:r>
    </w:p>
    <w:p w:rsidR="00057EF4" w:rsidRPr="0051180E" w:rsidRDefault="00057EF4" w:rsidP="00146363">
      <w:pPr>
        <w:spacing w:after="120"/>
      </w:pPr>
      <w:r w:rsidRPr="0051180E">
        <w:t>The abbreviation key sets out abbreviations that may be used in the endnotes.</w:t>
      </w:r>
    </w:p>
    <w:p w:rsidR="00057EF4" w:rsidRPr="0051180E" w:rsidRDefault="00057EF4" w:rsidP="00146363">
      <w:pPr>
        <w:rPr>
          <w:b/>
        </w:rPr>
      </w:pPr>
      <w:r w:rsidRPr="0051180E">
        <w:rPr>
          <w:b/>
        </w:rPr>
        <w:t>Legislation history and amendment history—Endnotes 3 and 4</w:t>
      </w:r>
    </w:p>
    <w:p w:rsidR="00057EF4" w:rsidRPr="0051180E" w:rsidRDefault="00057EF4" w:rsidP="00146363">
      <w:pPr>
        <w:spacing w:after="120"/>
      </w:pPr>
      <w:r w:rsidRPr="0051180E">
        <w:t>Amending laws are annotated in the legislation history and amendment history.</w:t>
      </w:r>
    </w:p>
    <w:p w:rsidR="00057EF4" w:rsidRPr="0051180E" w:rsidRDefault="00057EF4" w:rsidP="00146363">
      <w:pPr>
        <w:spacing w:after="120"/>
      </w:pPr>
      <w:r w:rsidRPr="0051180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57EF4" w:rsidRPr="0051180E" w:rsidRDefault="00057EF4" w:rsidP="00146363">
      <w:pPr>
        <w:spacing w:after="120"/>
      </w:pPr>
      <w:r w:rsidRPr="0051180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57EF4" w:rsidRPr="0051180E" w:rsidRDefault="00057EF4" w:rsidP="00146363">
      <w:pPr>
        <w:rPr>
          <w:b/>
        </w:rPr>
      </w:pPr>
      <w:r w:rsidRPr="0051180E">
        <w:rPr>
          <w:b/>
        </w:rPr>
        <w:t>Editorial changes</w:t>
      </w:r>
    </w:p>
    <w:p w:rsidR="00057EF4" w:rsidRPr="0051180E" w:rsidRDefault="00057EF4" w:rsidP="00146363">
      <w:pPr>
        <w:spacing w:after="120"/>
      </w:pPr>
      <w:r w:rsidRPr="0051180E">
        <w:t xml:space="preserve">The </w:t>
      </w:r>
      <w:r w:rsidRPr="0051180E">
        <w:rPr>
          <w:i/>
        </w:rPr>
        <w:t>Legislation Act 2003</w:t>
      </w:r>
      <w:r w:rsidRPr="0051180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57EF4" w:rsidRPr="0051180E" w:rsidRDefault="00057EF4" w:rsidP="00146363">
      <w:pPr>
        <w:spacing w:after="120"/>
      </w:pPr>
      <w:r w:rsidRPr="0051180E">
        <w:t xml:space="preserve">If the compilation includes editorial changes, the endnotes include a brief outline of the changes in general terms. Full details of any changes can be obtained from the Office of Parliamentary Counsel. </w:t>
      </w:r>
    </w:p>
    <w:p w:rsidR="00057EF4" w:rsidRPr="0051180E" w:rsidRDefault="00057EF4" w:rsidP="00146363">
      <w:pPr>
        <w:keepNext/>
      </w:pPr>
      <w:r w:rsidRPr="0051180E">
        <w:rPr>
          <w:b/>
        </w:rPr>
        <w:t>Misdescribed amendments</w:t>
      </w:r>
    </w:p>
    <w:p w:rsidR="00057EF4" w:rsidRPr="0051180E" w:rsidRDefault="00057EF4" w:rsidP="00146363">
      <w:pPr>
        <w:spacing w:after="120"/>
      </w:pPr>
      <w:r w:rsidRPr="0051180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57EF4" w:rsidRPr="0051180E" w:rsidRDefault="00057EF4" w:rsidP="00146363">
      <w:pPr>
        <w:spacing w:before="120"/>
      </w:pPr>
      <w:r w:rsidRPr="0051180E">
        <w:t>If a misdescribed amendment cannot be given effect as intended, the abbreviation “(md not incorp)” is added to the details of the amendment included in the amendment history.</w:t>
      </w:r>
    </w:p>
    <w:p w:rsidR="00057EF4" w:rsidRPr="0051180E" w:rsidRDefault="00057EF4" w:rsidP="00146363">
      <w:pPr>
        <w:pStyle w:val="ENotesHeading2"/>
        <w:pageBreakBefore/>
        <w:outlineLvl w:val="9"/>
      </w:pPr>
      <w:bookmarkStart w:id="24" w:name="_Toc521330314"/>
      <w:r w:rsidRPr="0051180E">
        <w:lastRenderedPageBreak/>
        <w:t>Endnote 2—Abbreviation key</w:t>
      </w:r>
      <w:bookmarkEnd w:id="24"/>
    </w:p>
    <w:p w:rsidR="00057EF4" w:rsidRPr="0051180E" w:rsidRDefault="00057EF4" w:rsidP="00146363">
      <w:pPr>
        <w:pStyle w:val="Tabletext"/>
      </w:pPr>
    </w:p>
    <w:tbl>
      <w:tblPr>
        <w:tblW w:w="5000" w:type="pct"/>
        <w:tblLook w:val="0000" w:firstRow="0" w:lastRow="0" w:firstColumn="0" w:lastColumn="0" w:noHBand="0" w:noVBand="0"/>
      </w:tblPr>
      <w:tblGrid>
        <w:gridCol w:w="4570"/>
        <w:gridCol w:w="3959"/>
      </w:tblGrid>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ad = added or inserted</w:t>
            </w:r>
          </w:p>
        </w:tc>
        <w:tc>
          <w:tcPr>
            <w:tcW w:w="2321" w:type="pct"/>
            <w:shd w:val="clear" w:color="auto" w:fill="auto"/>
          </w:tcPr>
          <w:p w:rsidR="00057EF4" w:rsidRPr="0051180E" w:rsidRDefault="00057EF4" w:rsidP="00146363">
            <w:pPr>
              <w:spacing w:before="60"/>
              <w:ind w:left="34"/>
              <w:rPr>
                <w:sz w:val="20"/>
              </w:rPr>
            </w:pPr>
            <w:r w:rsidRPr="0051180E">
              <w:rPr>
                <w:sz w:val="20"/>
              </w:rPr>
              <w:t>o = order(s)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am = amended</w:t>
            </w:r>
          </w:p>
        </w:tc>
        <w:tc>
          <w:tcPr>
            <w:tcW w:w="2321" w:type="pct"/>
            <w:shd w:val="clear" w:color="auto" w:fill="auto"/>
          </w:tcPr>
          <w:p w:rsidR="00057EF4" w:rsidRPr="0051180E" w:rsidRDefault="00057EF4" w:rsidP="00146363">
            <w:pPr>
              <w:spacing w:before="60"/>
              <w:ind w:left="34"/>
              <w:rPr>
                <w:sz w:val="20"/>
              </w:rPr>
            </w:pPr>
            <w:r w:rsidRPr="0051180E">
              <w:rPr>
                <w:sz w:val="20"/>
              </w:rPr>
              <w:t>Ord = Ordinance</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amdt = amendment</w:t>
            </w:r>
          </w:p>
        </w:tc>
        <w:tc>
          <w:tcPr>
            <w:tcW w:w="2321" w:type="pct"/>
            <w:shd w:val="clear" w:color="auto" w:fill="auto"/>
          </w:tcPr>
          <w:p w:rsidR="00057EF4" w:rsidRPr="0051180E" w:rsidRDefault="00057EF4" w:rsidP="00146363">
            <w:pPr>
              <w:spacing w:before="60"/>
              <w:ind w:left="34"/>
              <w:rPr>
                <w:sz w:val="20"/>
              </w:rPr>
            </w:pPr>
            <w:r w:rsidRPr="0051180E">
              <w:rPr>
                <w:sz w:val="20"/>
              </w:rPr>
              <w:t>orig = original</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c = clause(s)</w:t>
            </w:r>
          </w:p>
        </w:tc>
        <w:tc>
          <w:tcPr>
            <w:tcW w:w="2321" w:type="pct"/>
            <w:shd w:val="clear" w:color="auto" w:fill="auto"/>
          </w:tcPr>
          <w:p w:rsidR="00057EF4" w:rsidRPr="0051180E" w:rsidRDefault="00057EF4" w:rsidP="00146363">
            <w:pPr>
              <w:spacing w:before="60"/>
              <w:ind w:left="34"/>
              <w:rPr>
                <w:sz w:val="20"/>
              </w:rPr>
            </w:pPr>
            <w:r w:rsidRPr="0051180E">
              <w:rPr>
                <w:sz w:val="20"/>
              </w:rPr>
              <w:t>par = paragraph(s)/subparagraph(s)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C[x] = Compilation No. x</w:t>
            </w:r>
          </w:p>
        </w:tc>
        <w:tc>
          <w:tcPr>
            <w:tcW w:w="2321" w:type="pct"/>
            <w:shd w:val="clear" w:color="auto" w:fill="auto"/>
          </w:tcPr>
          <w:p w:rsidR="00057EF4" w:rsidRPr="0051180E" w:rsidRDefault="00057EF4" w:rsidP="00146363">
            <w:pPr>
              <w:ind w:left="34"/>
              <w:rPr>
                <w:sz w:val="20"/>
              </w:rPr>
            </w:pPr>
            <w:r w:rsidRPr="0051180E">
              <w:rPr>
                <w:sz w:val="20"/>
              </w:rPr>
              <w:t xml:space="preserve">    /sub</w:t>
            </w:r>
            <w:r w:rsidR="0051180E">
              <w:rPr>
                <w:sz w:val="20"/>
              </w:rPr>
              <w:noBreakHyphen/>
            </w:r>
            <w:r w:rsidRPr="0051180E">
              <w:rPr>
                <w:sz w:val="20"/>
              </w:rPr>
              <w:t>subparagraph(s)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Ch = Chapter(s)</w:t>
            </w:r>
          </w:p>
        </w:tc>
        <w:tc>
          <w:tcPr>
            <w:tcW w:w="2321" w:type="pct"/>
            <w:shd w:val="clear" w:color="auto" w:fill="auto"/>
          </w:tcPr>
          <w:p w:rsidR="00057EF4" w:rsidRPr="0051180E" w:rsidRDefault="00057EF4" w:rsidP="00146363">
            <w:pPr>
              <w:spacing w:before="60"/>
              <w:ind w:left="34"/>
              <w:rPr>
                <w:sz w:val="20"/>
              </w:rPr>
            </w:pPr>
            <w:r w:rsidRPr="0051180E">
              <w:rPr>
                <w:sz w:val="20"/>
              </w:rPr>
              <w:t>pres = present</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def = definition(s)</w:t>
            </w:r>
          </w:p>
        </w:tc>
        <w:tc>
          <w:tcPr>
            <w:tcW w:w="2321" w:type="pct"/>
            <w:shd w:val="clear" w:color="auto" w:fill="auto"/>
          </w:tcPr>
          <w:p w:rsidR="00057EF4" w:rsidRPr="0051180E" w:rsidRDefault="00057EF4" w:rsidP="00146363">
            <w:pPr>
              <w:spacing w:before="60"/>
              <w:ind w:left="34"/>
              <w:rPr>
                <w:sz w:val="20"/>
              </w:rPr>
            </w:pPr>
            <w:r w:rsidRPr="0051180E">
              <w:rPr>
                <w:sz w:val="20"/>
              </w:rPr>
              <w:t>prev = previous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Dict = Dictionary</w:t>
            </w:r>
          </w:p>
        </w:tc>
        <w:tc>
          <w:tcPr>
            <w:tcW w:w="2321" w:type="pct"/>
            <w:shd w:val="clear" w:color="auto" w:fill="auto"/>
          </w:tcPr>
          <w:p w:rsidR="00057EF4" w:rsidRPr="0051180E" w:rsidRDefault="00057EF4" w:rsidP="00146363">
            <w:pPr>
              <w:spacing w:before="60"/>
              <w:ind w:left="34"/>
              <w:rPr>
                <w:sz w:val="20"/>
              </w:rPr>
            </w:pPr>
            <w:r w:rsidRPr="0051180E">
              <w:rPr>
                <w:sz w:val="20"/>
              </w:rPr>
              <w:t>(prev…) = previously</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disallowed = disallowed by Parliament</w:t>
            </w:r>
          </w:p>
        </w:tc>
        <w:tc>
          <w:tcPr>
            <w:tcW w:w="2321" w:type="pct"/>
            <w:shd w:val="clear" w:color="auto" w:fill="auto"/>
          </w:tcPr>
          <w:p w:rsidR="00057EF4" w:rsidRPr="0051180E" w:rsidRDefault="00057EF4" w:rsidP="00146363">
            <w:pPr>
              <w:spacing w:before="60"/>
              <w:ind w:left="34"/>
              <w:rPr>
                <w:sz w:val="20"/>
              </w:rPr>
            </w:pPr>
            <w:r w:rsidRPr="0051180E">
              <w:rPr>
                <w:sz w:val="20"/>
              </w:rPr>
              <w:t>Pt = Part(s)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Div = Division(s)</w:t>
            </w:r>
          </w:p>
        </w:tc>
        <w:tc>
          <w:tcPr>
            <w:tcW w:w="2321" w:type="pct"/>
            <w:shd w:val="clear" w:color="auto" w:fill="auto"/>
          </w:tcPr>
          <w:p w:rsidR="00057EF4" w:rsidRPr="0051180E" w:rsidRDefault="00057EF4" w:rsidP="00146363">
            <w:pPr>
              <w:spacing w:before="60"/>
              <w:ind w:left="34"/>
              <w:rPr>
                <w:sz w:val="20"/>
              </w:rPr>
            </w:pPr>
            <w:r w:rsidRPr="0051180E">
              <w:rPr>
                <w:sz w:val="20"/>
              </w:rPr>
              <w:t>r = regulation(s)/rule(s)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ed = editorial change</w:t>
            </w:r>
          </w:p>
        </w:tc>
        <w:tc>
          <w:tcPr>
            <w:tcW w:w="2321" w:type="pct"/>
            <w:shd w:val="clear" w:color="auto" w:fill="auto"/>
          </w:tcPr>
          <w:p w:rsidR="00057EF4" w:rsidRPr="0051180E" w:rsidRDefault="00057EF4" w:rsidP="00146363">
            <w:pPr>
              <w:spacing w:before="60"/>
              <w:ind w:left="34"/>
              <w:rPr>
                <w:sz w:val="20"/>
              </w:rPr>
            </w:pPr>
            <w:r w:rsidRPr="0051180E">
              <w:rPr>
                <w:sz w:val="20"/>
              </w:rPr>
              <w:t>reloc = relocated</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exp = expires/expired or ceases/ceased to have</w:t>
            </w:r>
          </w:p>
        </w:tc>
        <w:tc>
          <w:tcPr>
            <w:tcW w:w="2321" w:type="pct"/>
            <w:shd w:val="clear" w:color="auto" w:fill="auto"/>
          </w:tcPr>
          <w:p w:rsidR="00057EF4" w:rsidRPr="0051180E" w:rsidRDefault="00057EF4" w:rsidP="00146363">
            <w:pPr>
              <w:spacing w:before="60"/>
              <w:ind w:left="34"/>
              <w:rPr>
                <w:sz w:val="20"/>
              </w:rPr>
            </w:pPr>
            <w:r w:rsidRPr="0051180E">
              <w:rPr>
                <w:sz w:val="20"/>
              </w:rPr>
              <w:t>renum = renumbered</w:t>
            </w:r>
          </w:p>
        </w:tc>
      </w:tr>
      <w:tr w:rsidR="00057EF4" w:rsidRPr="0051180E" w:rsidTr="0051180E">
        <w:tc>
          <w:tcPr>
            <w:tcW w:w="2679" w:type="pct"/>
            <w:shd w:val="clear" w:color="auto" w:fill="auto"/>
          </w:tcPr>
          <w:p w:rsidR="00057EF4" w:rsidRPr="0051180E" w:rsidRDefault="00057EF4" w:rsidP="00146363">
            <w:pPr>
              <w:ind w:left="34"/>
              <w:rPr>
                <w:sz w:val="20"/>
              </w:rPr>
            </w:pPr>
            <w:r w:rsidRPr="0051180E">
              <w:rPr>
                <w:sz w:val="20"/>
              </w:rPr>
              <w:t xml:space="preserve">    effect</w:t>
            </w:r>
          </w:p>
        </w:tc>
        <w:tc>
          <w:tcPr>
            <w:tcW w:w="2321" w:type="pct"/>
            <w:shd w:val="clear" w:color="auto" w:fill="auto"/>
          </w:tcPr>
          <w:p w:rsidR="00057EF4" w:rsidRPr="0051180E" w:rsidRDefault="00057EF4" w:rsidP="00146363">
            <w:pPr>
              <w:spacing w:before="60"/>
              <w:ind w:left="34"/>
              <w:rPr>
                <w:sz w:val="20"/>
              </w:rPr>
            </w:pPr>
            <w:r w:rsidRPr="0051180E">
              <w:rPr>
                <w:sz w:val="20"/>
              </w:rPr>
              <w:t>rep = repealed</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F = Federal Register of Legislation</w:t>
            </w:r>
          </w:p>
        </w:tc>
        <w:tc>
          <w:tcPr>
            <w:tcW w:w="2321" w:type="pct"/>
            <w:shd w:val="clear" w:color="auto" w:fill="auto"/>
          </w:tcPr>
          <w:p w:rsidR="00057EF4" w:rsidRPr="0051180E" w:rsidRDefault="00057EF4" w:rsidP="00146363">
            <w:pPr>
              <w:spacing w:before="60"/>
              <w:ind w:left="34"/>
              <w:rPr>
                <w:sz w:val="20"/>
              </w:rPr>
            </w:pPr>
            <w:r w:rsidRPr="0051180E">
              <w:rPr>
                <w:sz w:val="20"/>
              </w:rPr>
              <w:t>rs = repealed and substituted</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gaz = gazette</w:t>
            </w:r>
          </w:p>
        </w:tc>
        <w:tc>
          <w:tcPr>
            <w:tcW w:w="2321" w:type="pct"/>
            <w:shd w:val="clear" w:color="auto" w:fill="auto"/>
          </w:tcPr>
          <w:p w:rsidR="00057EF4" w:rsidRPr="0051180E" w:rsidRDefault="00057EF4" w:rsidP="00146363">
            <w:pPr>
              <w:spacing w:before="60"/>
              <w:ind w:left="34"/>
              <w:rPr>
                <w:sz w:val="20"/>
              </w:rPr>
            </w:pPr>
            <w:r w:rsidRPr="0051180E">
              <w:rPr>
                <w:sz w:val="20"/>
              </w:rPr>
              <w:t>s = section(s)/subsection(s)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 xml:space="preserve">LA = </w:t>
            </w:r>
            <w:r w:rsidRPr="0051180E">
              <w:rPr>
                <w:i/>
                <w:sz w:val="20"/>
              </w:rPr>
              <w:t>Legislation Act 2003</w:t>
            </w:r>
          </w:p>
        </w:tc>
        <w:tc>
          <w:tcPr>
            <w:tcW w:w="2321" w:type="pct"/>
            <w:shd w:val="clear" w:color="auto" w:fill="auto"/>
          </w:tcPr>
          <w:p w:rsidR="00057EF4" w:rsidRPr="0051180E" w:rsidRDefault="00057EF4" w:rsidP="00146363">
            <w:pPr>
              <w:spacing w:before="60"/>
              <w:ind w:left="34"/>
              <w:rPr>
                <w:sz w:val="20"/>
              </w:rPr>
            </w:pPr>
            <w:r w:rsidRPr="0051180E">
              <w:rPr>
                <w:sz w:val="20"/>
              </w:rPr>
              <w:t>Sch = Schedule(s)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 xml:space="preserve">LIA = </w:t>
            </w:r>
            <w:r w:rsidRPr="0051180E">
              <w:rPr>
                <w:i/>
                <w:sz w:val="20"/>
              </w:rPr>
              <w:t>Legislative Instruments Act 2003</w:t>
            </w:r>
          </w:p>
        </w:tc>
        <w:tc>
          <w:tcPr>
            <w:tcW w:w="2321" w:type="pct"/>
            <w:shd w:val="clear" w:color="auto" w:fill="auto"/>
          </w:tcPr>
          <w:p w:rsidR="00057EF4" w:rsidRPr="0051180E" w:rsidRDefault="00057EF4" w:rsidP="00146363">
            <w:pPr>
              <w:spacing w:before="60"/>
              <w:ind w:left="34"/>
              <w:rPr>
                <w:sz w:val="20"/>
              </w:rPr>
            </w:pPr>
            <w:r w:rsidRPr="0051180E">
              <w:rPr>
                <w:sz w:val="20"/>
              </w:rPr>
              <w:t>Sdiv = Subdivision(s)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(md) = misdescribed amendment can be given</w:t>
            </w:r>
          </w:p>
        </w:tc>
        <w:tc>
          <w:tcPr>
            <w:tcW w:w="2321" w:type="pct"/>
            <w:shd w:val="clear" w:color="auto" w:fill="auto"/>
          </w:tcPr>
          <w:p w:rsidR="00057EF4" w:rsidRPr="0051180E" w:rsidRDefault="00057EF4" w:rsidP="00146363">
            <w:pPr>
              <w:spacing w:before="60"/>
              <w:ind w:left="34"/>
              <w:rPr>
                <w:sz w:val="20"/>
              </w:rPr>
            </w:pPr>
            <w:r w:rsidRPr="0051180E">
              <w:rPr>
                <w:sz w:val="20"/>
              </w:rPr>
              <w:t>SLI = Select Legislative Instrument</w:t>
            </w:r>
          </w:p>
        </w:tc>
      </w:tr>
      <w:tr w:rsidR="00057EF4" w:rsidRPr="0051180E" w:rsidTr="0051180E">
        <w:tc>
          <w:tcPr>
            <w:tcW w:w="2679" w:type="pct"/>
            <w:shd w:val="clear" w:color="auto" w:fill="auto"/>
          </w:tcPr>
          <w:p w:rsidR="00057EF4" w:rsidRPr="0051180E" w:rsidRDefault="00057EF4" w:rsidP="00146363">
            <w:pPr>
              <w:ind w:left="34"/>
              <w:rPr>
                <w:sz w:val="20"/>
              </w:rPr>
            </w:pPr>
            <w:r w:rsidRPr="0051180E">
              <w:rPr>
                <w:sz w:val="20"/>
              </w:rPr>
              <w:t xml:space="preserve">    effect</w:t>
            </w:r>
          </w:p>
        </w:tc>
        <w:tc>
          <w:tcPr>
            <w:tcW w:w="2321" w:type="pct"/>
            <w:shd w:val="clear" w:color="auto" w:fill="auto"/>
          </w:tcPr>
          <w:p w:rsidR="00057EF4" w:rsidRPr="0051180E" w:rsidRDefault="00057EF4" w:rsidP="00146363">
            <w:pPr>
              <w:spacing w:before="60"/>
              <w:ind w:left="34"/>
              <w:rPr>
                <w:sz w:val="20"/>
              </w:rPr>
            </w:pPr>
            <w:r w:rsidRPr="0051180E">
              <w:rPr>
                <w:sz w:val="20"/>
              </w:rPr>
              <w:t>SR = Statutory Rules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(md not incorp) = misdescribed amendment</w:t>
            </w:r>
          </w:p>
        </w:tc>
        <w:tc>
          <w:tcPr>
            <w:tcW w:w="2321" w:type="pct"/>
            <w:shd w:val="clear" w:color="auto" w:fill="auto"/>
          </w:tcPr>
          <w:p w:rsidR="00057EF4" w:rsidRPr="0051180E" w:rsidRDefault="00057EF4" w:rsidP="00146363">
            <w:pPr>
              <w:spacing w:before="60"/>
              <w:ind w:left="34"/>
              <w:rPr>
                <w:sz w:val="20"/>
              </w:rPr>
            </w:pPr>
            <w:r w:rsidRPr="0051180E">
              <w:rPr>
                <w:sz w:val="20"/>
              </w:rPr>
              <w:t>Sub</w:t>
            </w:r>
            <w:r w:rsidR="0051180E">
              <w:rPr>
                <w:sz w:val="20"/>
              </w:rPr>
              <w:noBreakHyphen/>
            </w:r>
            <w:r w:rsidRPr="0051180E">
              <w:rPr>
                <w:sz w:val="20"/>
              </w:rPr>
              <w:t>Ch = Sub</w:t>
            </w:r>
            <w:r w:rsidR="0051180E">
              <w:rPr>
                <w:sz w:val="20"/>
              </w:rPr>
              <w:noBreakHyphen/>
            </w:r>
            <w:r w:rsidRPr="0051180E">
              <w:rPr>
                <w:sz w:val="20"/>
              </w:rPr>
              <w:t>Chapter(s)</w:t>
            </w:r>
          </w:p>
        </w:tc>
      </w:tr>
      <w:tr w:rsidR="00057EF4" w:rsidRPr="0051180E" w:rsidTr="0051180E">
        <w:tc>
          <w:tcPr>
            <w:tcW w:w="2679" w:type="pct"/>
            <w:shd w:val="clear" w:color="auto" w:fill="auto"/>
          </w:tcPr>
          <w:p w:rsidR="00057EF4" w:rsidRPr="0051180E" w:rsidRDefault="00057EF4" w:rsidP="00146363">
            <w:pPr>
              <w:ind w:left="34"/>
              <w:rPr>
                <w:sz w:val="20"/>
              </w:rPr>
            </w:pPr>
            <w:r w:rsidRPr="0051180E">
              <w:rPr>
                <w:sz w:val="20"/>
              </w:rPr>
              <w:t xml:space="preserve">    cannot be given effect</w:t>
            </w:r>
          </w:p>
        </w:tc>
        <w:tc>
          <w:tcPr>
            <w:tcW w:w="2321" w:type="pct"/>
            <w:shd w:val="clear" w:color="auto" w:fill="auto"/>
          </w:tcPr>
          <w:p w:rsidR="00057EF4" w:rsidRPr="0051180E" w:rsidRDefault="00057EF4" w:rsidP="00146363">
            <w:pPr>
              <w:spacing w:before="60"/>
              <w:ind w:left="34"/>
              <w:rPr>
                <w:sz w:val="20"/>
              </w:rPr>
            </w:pPr>
            <w:r w:rsidRPr="0051180E">
              <w:rPr>
                <w:sz w:val="20"/>
              </w:rPr>
              <w:t>SubPt = Subpart(s)</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mod = modified/modification</w:t>
            </w:r>
          </w:p>
        </w:tc>
        <w:tc>
          <w:tcPr>
            <w:tcW w:w="2321" w:type="pct"/>
            <w:shd w:val="clear" w:color="auto" w:fill="auto"/>
          </w:tcPr>
          <w:p w:rsidR="00057EF4" w:rsidRPr="0051180E" w:rsidRDefault="00057EF4" w:rsidP="00146363">
            <w:pPr>
              <w:spacing w:before="60"/>
              <w:ind w:left="34"/>
              <w:rPr>
                <w:sz w:val="20"/>
              </w:rPr>
            </w:pPr>
            <w:r w:rsidRPr="0051180E">
              <w:rPr>
                <w:sz w:val="20"/>
                <w:u w:val="single"/>
              </w:rPr>
              <w:t>underlining</w:t>
            </w:r>
            <w:r w:rsidRPr="0051180E">
              <w:rPr>
                <w:sz w:val="20"/>
              </w:rPr>
              <w:t xml:space="preserve"> = whole or part not</w:t>
            </w:r>
          </w:p>
        </w:tc>
      </w:tr>
      <w:tr w:rsidR="00057EF4" w:rsidRPr="0051180E" w:rsidTr="0051180E">
        <w:tc>
          <w:tcPr>
            <w:tcW w:w="2679" w:type="pct"/>
            <w:shd w:val="clear" w:color="auto" w:fill="auto"/>
          </w:tcPr>
          <w:p w:rsidR="00057EF4" w:rsidRPr="0051180E" w:rsidRDefault="00057EF4" w:rsidP="00146363">
            <w:pPr>
              <w:spacing w:before="60"/>
              <w:ind w:left="34"/>
              <w:rPr>
                <w:sz w:val="20"/>
              </w:rPr>
            </w:pPr>
            <w:r w:rsidRPr="0051180E">
              <w:rPr>
                <w:sz w:val="20"/>
              </w:rPr>
              <w:t>No. = Number(s)</w:t>
            </w:r>
          </w:p>
        </w:tc>
        <w:tc>
          <w:tcPr>
            <w:tcW w:w="2321" w:type="pct"/>
            <w:shd w:val="clear" w:color="auto" w:fill="auto"/>
          </w:tcPr>
          <w:p w:rsidR="00057EF4" w:rsidRPr="0051180E" w:rsidRDefault="00057EF4" w:rsidP="00146363">
            <w:pPr>
              <w:ind w:left="34"/>
              <w:rPr>
                <w:sz w:val="20"/>
              </w:rPr>
            </w:pPr>
            <w:r w:rsidRPr="0051180E">
              <w:rPr>
                <w:sz w:val="20"/>
              </w:rPr>
              <w:t xml:space="preserve">    commenced or to be commenced</w:t>
            </w:r>
          </w:p>
        </w:tc>
      </w:tr>
    </w:tbl>
    <w:p w:rsidR="00057EF4" w:rsidRPr="0051180E" w:rsidRDefault="00057EF4" w:rsidP="00146363">
      <w:pPr>
        <w:pStyle w:val="Tabletext"/>
      </w:pPr>
    </w:p>
    <w:p w:rsidR="00057EF4" w:rsidRPr="0051180E" w:rsidRDefault="00057EF4" w:rsidP="0051180E">
      <w:pPr>
        <w:pStyle w:val="ENotesHeading2"/>
        <w:pageBreakBefore/>
        <w:outlineLvl w:val="9"/>
      </w:pPr>
      <w:bookmarkStart w:id="25" w:name="_Toc521330315"/>
      <w:r w:rsidRPr="0051180E">
        <w:lastRenderedPageBreak/>
        <w:t>Endnote 3—Legislation history</w:t>
      </w:r>
      <w:bookmarkEnd w:id="25"/>
    </w:p>
    <w:p w:rsidR="00B66616" w:rsidRPr="0051180E" w:rsidRDefault="00B66616" w:rsidP="00B329D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4"/>
        <w:gridCol w:w="2015"/>
        <w:gridCol w:w="2165"/>
        <w:gridCol w:w="2165"/>
      </w:tblGrid>
      <w:tr w:rsidR="00B66616" w:rsidRPr="0051180E" w:rsidTr="0051180E">
        <w:trPr>
          <w:cantSplit/>
          <w:tblHeader/>
        </w:trPr>
        <w:tc>
          <w:tcPr>
            <w:tcW w:w="1281" w:type="pct"/>
            <w:tcBorders>
              <w:top w:val="single" w:sz="12" w:space="0" w:color="auto"/>
              <w:bottom w:val="single" w:sz="12" w:space="0" w:color="auto"/>
            </w:tcBorders>
            <w:shd w:val="clear" w:color="auto" w:fill="auto"/>
          </w:tcPr>
          <w:p w:rsidR="00B66616" w:rsidRPr="0051180E" w:rsidRDefault="00B66616" w:rsidP="00B329DB">
            <w:pPr>
              <w:pStyle w:val="ENoteTableHeading"/>
            </w:pPr>
            <w:r w:rsidRPr="0051180E">
              <w:t>Number and year</w:t>
            </w:r>
          </w:p>
        </w:tc>
        <w:tc>
          <w:tcPr>
            <w:tcW w:w="1181" w:type="pct"/>
            <w:tcBorders>
              <w:top w:val="single" w:sz="12" w:space="0" w:color="auto"/>
              <w:bottom w:val="single" w:sz="12" w:space="0" w:color="auto"/>
            </w:tcBorders>
            <w:shd w:val="clear" w:color="auto" w:fill="auto"/>
          </w:tcPr>
          <w:p w:rsidR="00B66616" w:rsidRPr="0051180E" w:rsidRDefault="00B66616" w:rsidP="00B329DB">
            <w:pPr>
              <w:pStyle w:val="ENoteTableHeading"/>
            </w:pPr>
            <w:r w:rsidRPr="0051180E">
              <w:t>FRLI registration or gazettal</w:t>
            </w:r>
          </w:p>
        </w:tc>
        <w:tc>
          <w:tcPr>
            <w:tcW w:w="1269" w:type="pct"/>
            <w:tcBorders>
              <w:top w:val="single" w:sz="12" w:space="0" w:color="auto"/>
              <w:bottom w:val="single" w:sz="12" w:space="0" w:color="auto"/>
            </w:tcBorders>
            <w:shd w:val="clear" w:color="auto" w:fill="auto"/>
          </w:tcPr>
          <w:p w:rsidR="00B66616" w:rsidRPr="0051180E" w:rsidRDefault="00B66616" w:rsidP="003725F4">
            <w:pPr>
              <w:pStyle w:val="ENoteTableHeading"/>
            </w:pPr>
            <w:r w:rsidRPr="0051180E">
              <w:t>Commencement</w:t>
            </w:r>
          </w:p>
        </w:tc>
        <w:tc>
          <w:tcPr>
            <w:tcW w:w="1269" w:type="pct"/>
            <w:tcBorders>
              <w:top w:val="single" w:sz="12" w:space="0" w:color="auto"/>
              <w:bottom w:val="single" w:sz="12" w:space="0" w:color="auto"/>
            </w:tcBorders>
            <w:shd w:val="clear" w:color="auto" w:fill="auto"/>
          </w:tcPr>
          <w:p w:rsidR="00B66616" w:rsidRPr="0051180E" w:rsidRDefault="00B66616" w:rsidP="00B329DB">
            <w:pPr>
              <w:pStyle w:val="ENoteTableHeading"/>
            </w:pPr>
            <w:r w:rsidRPr="0051180E">
              <w:t>Application, saving and transitional provisions</w:t>
            </w:r>
          </w:p>
        </w:tc>
      </w:tr>
      <w:tr w:rsidR="00B66616" w:rsidRPr="0051180E" w:rsidTr="0051180E">
        <w:trPr>
          <w:cantSplit/>
        </w:trPr>
        <w:tc>
          <w:tcPr>
            <w:tcW w:w="1281" w:type="pct"/>
            <w:tcBorders>
              <w:top w:val="single" w:sz="12" w:space="0" w:color="auto"/>
              <w:bottom w:val="single" w:sz="4" w:space="0" w:color="auto"/>
            </w:tcBorders>
            <w:shd w:val="clear" w:color="auto" w:fill="auto"/>
          </w:tcPr>
          <w:p w:rsidR="00B66616" w:rsidRPr="0051180E" w:rsidRDefault="009A623C" w:rsidP="008C0EE0">
            <w:pPr>
              <w:pStyle w:val="ENoteTableText"/>
            </w:pPr>
            <w:r w:rsidRPr="0051180E">
              <w:t>No.</w:t>
            </w:r>
            <w:r w:rsidR="0051180E">
              <w:t> </w:t>
            </w:r>
            <w:r w:rsidRPr="0051180E">
              <w:t xml:space="preserve">43, </w:t>
            </w:r>
            <w:r w:rsidR="00B66616" w:rsidRPr="0051180E">
              <w:t>2010</w:t>
            </w:r>
          </w:p>
        </w:tc>
        <w:tc>
          <w:tcPr>
            <w:tcW w:w="1181" w:type="pct"/>
            <w:tcBorders>
              <w:top w:val="single" w:sz="12" w:space="0" w:color="auto"/>
              <w:bottom w:val="single" w:sz="4" w:space="0" w:color="auto"/>
            </w:tcBorders>
            <w:shd w:val="clear" w:color="auto" w:fill="auto"/>
          </w:tcPr>
          <w:p w:rsidR="00B66616" w:rsidRPr="0051180E" w:rsidRDefault="00B66616" w:rsidP="008C0EE0">
            <w:pPr>
              <w:pStyle w:val="ENoteTableText"/>
            </w:pPr>
            <w:r w:rsidRPr="0051180E">
              <w:t>12 Mar 20</w:t>
            </w:r>
            <w:r w:rsidRPr="00CD3760">
              <w:t>10 (F2010L00</w:t>
            </w:r>
            <w:r w:rsidRPr="0051180E">
              <w:t>634)</w:t>
            </w:r>
          </w:p>
        </w:tc>
        <w:tc>
          <w:tcPr>
            <w:tcW w:w="1269" w:type="pct"/>
            <w:tcBorders>
              <w:top w:val="single" w:sz="12" w:space="0" w:color="auto"/>
              <w:bottom w:val="single" w:sz="4" w:space="0" w:color="auto"/>
            </w:tcBorders>
            <w:shd w:val="clear" w:color="auto" w:fill="auto"/>
          </w:tcPr>
          <w:p w:rsidR="00B66616" w:rsidRPr="0051180E" w:rsidRDefault="00B66616" w:rsidP="008C0EE0">
            <w:pPr>
              <w:pStyle w:val="ENoteTableText"/>
            </w:pPr>
            <w:r w:rsidRPr="0051180E">
              <w:t>1 Apr 2010 (r 2)</w:t>
            </w:r>
          </w:p>
        </w:tc>
        <w:tc>
          <w:tcPr>
            <w:tcW w:w="1269" w:type="pct"/>
            <w:tcBorders>
              <w:top w:val="single" w:sz="12" w:space="0" w:color="auto"/>
              <w:bottom w:val="single" w:sz="4" w:space="0" w:color="auto"/>
            </w:tcBorders>
            <w:shd w:val="clear" w:color="auto" w:fill="auto"/>
          </w:tcPr>
          <w:p w:rsidR="00B66616" w:rsidRPr="0051180E" w:rsidRDefault="00B66616" w:rsidP="00B66616">
            <w:pPr>
              <w:pStyle w:val="ENoteTableText"/>
            </w:pPr>
          </w:p>
        </w:tc>
      </w:tr>
      <w:tr w:rsidR="00B66616" w:rsidRPr="0051180E" w:rsidTr="0051180E">
        <w:trPr>
          <w:cantSplit/>
        </w:trPr>
        <w:tc>
          <w:tcPr>
            <w:tcW w:w="1281" w:type="pct"/>
            <w:shd w:val="clear" w:color="auto" w:fill="auto"/>
          </w:tcPr>
          <w:p w:rsidR="00B66616" w:rsidRPr="0051180E" w:rsidRDefault="009A623C" w:rsidP="008C0EE0">
            <w:pPr>
              <w:pStyle w:val="ENoteTableText"/>
            </w:pPr>
            <w:r w:rsidRPr="0051180E">
              <w:t>No.</w:t>
            </w:r>
            <w:r w:rsidR="0051180E">
              <w:t> </w:t>
            </w:r>
            <w:r w:rsidRPr="0051180E">
              <w:t xml:space="preserve">106, </w:t>
            </w:r>
            <w:r w:rsidR="00B66616" w:rsidRPr="0051180E">
              <w:t>2010</w:t>
            </w:r>
          </w:p>
        </w:tc>
        <w:tc>
          <w:tcPr>
            <w:tcW w:w="1181" w:type="pct"/>
            <w:shd w:val="clear" w:color="auto" w:fill="auto"/>
          </w:tcPr>
          <w:p w:rsidR="00B66616" w:rsidRPr="0051180E" w:rsidRDefault="00B66616" w:rsidP="008C0EE0">
            <w:pPr>
              <w:pStyle w:val="ENoteTableText"/>
            </w:pPr>
            <w:r w:rsidRPr="0051180E">
              <w:t>25</w:t>
            </w:r>
            <w:r w:rsidR="0051180E">
              <w:t> </w:t>
            </w:r>
            <w:r w:rsidRPr="0051180E">
              <w:t>May 2010 (F2010L01370)</w:t>
            </w:r>
          </w:p>
        </w:tc>
        <w:tc>
          <w:tcPr>
            <w:tcW w:w="1269" w:type="pct"/>
            <w:shd w:val="clear" w:color="auto" w:fill="auto"/>
          </w:tcPr>
          <w:p w:rsidR="00B66616" w:rsidRPr="0051180E" w:rsidRDefault="000E0C28" w:rsidP="00472F53">
            <w:pPr>
              <w:pStyle w:val="ENoteTableText"/>
            </w:pPr>
            <w:r w:rsidRPr="0051180E">
              <w:t>r</w:t>
            </w:r>
            <w:r w:rsidR="00B66616" w:rsidRPr="0051180E">
              <w:t xml:space="preserve"> 1–3 and Sch</w:t>
            </w:r>
            <w:r w:rsidRPr="0051180E">
              <w:t> </w:t>
            </w:r>
            <w:r w:rsidR="00B66616" w:rsidRPr="0051180E">
              <w:t>1:</w:t>
            </w:r>
            <w:r w:rsidR="00472F53" w:rsidRPr="0051180E">
              <w:t xml:space="preserve"> </w:t>
            </w:r>
            <w:r w:rsidR="00B66616" w:rsidRPr="0051180E">
              <w:t>1 Apr 2010</w:t>
            </w:r>
            <w:r w:rsidR="00B66616" w:rsidRPr="0051180E">
              <w:br/>
            </w:r>
            <w:r w:rsidRPr="0051180E">
              <w:t xml:space="preserve">r </w:t>
            </w:r>
            <w:r w:rsidR="00B66616" w:rsidRPr="0051180E">
              <w:t>4 and Sch</w:t>
            </w:r>
            <w:r w:rsidRPr="0051180E">
              <w:t> </w:t>
            </w:r>
            <w:r w:rsidR="00B66616" w:rsidRPr="0051180E">
              <w:t>2: 1</w:t>
            </w:r>
            <w:r w:rsidR="0051180E">
              <w:t> </w:t>
            </w:r>
            <w:r w:rsidR="00B66616" w:rsidRPr="0051180E">
              <w:t>July 2010</w:t>
            </w:r>
          </w:p>
        </w:tc>
        <w:tc>
          <w:tcPr>
            <w:tcW w:w="1269" w:type="pct"/>
            <w:shd w:val="clear" w:color="auto" w:fill="auto"/>
          </w:tcPr>
          <w:p w:rsidR="00B66616" w:rsidRPr="0051180E" w:rsidRDefault="00B66616" w:rsidP="00B66616">
            <w:pPr>
              <w:pStyle w:val="ENoteTableText"/>
            </w:pPr>
            <w:r w:rsidRPr="0051180E">
              <w:t>—</w:t>
            </w:r>
          </w:p>
        </w:tc>
      </w:tr>
      <w:tr w:rsidR="00B66616" w:rsidRPr="0051180E" w:rsidTr="0051180E">
        <w:trPr>
          <w:cantSplit/>
        </w:trPr>
        <w:tc>
          <w:tcPr>
            <w:tcW w:w="1281" w:type="pct"/>
            <w:shd w:val="clear" w:color="auto" w:fill="auto"/>
          </w:tcPr>
          <w:p w:rsidR="00B66616" w:rsidRPr="0051180E" w:rsidRDefault="009A623C" w:rsidP="008C0EE0">
            <w:pPr>
              <w:pStyle w:val="ENoteTableText"/>
            </w:pPr>
            <w:r w:rsidRPr="0051180E">
              <w:t xml:space="preserve">No 138, </w:t>
            </w:r>
            <w:r w:rsidR="00B66616" w:rsidRPr="0051180E">
              <w:t>2010</w:t>
            </w:r>
          </w:p>
        </w:tc>
        <w:tc>
          <w:tcPr>
            <w:tcW w:w="1181" w:type="pct"/>
            <w:shd w:val="clear" w:color="auto" w:fill="auto"/>
          </w:tcPr>
          <w:p w:rsidR="00B66616" w:rsidRPr="0051180E" w:rsidRDefault="00B66616" w:rsidP="008C0EE0">
            <w:pPr>
              <w:pStyle w:val="ENoteTableText"/>
            </w:pPr>
            <w:r w:rsidRPr="0051180E">
              <w:t>17</w:t>
            </w:r>
            <w:r w:rsidR="0051180E">
              <w:t> </w:t>
            </w:r>
            <w:r w:rsidRPr="0051180E">
              <w:t>June 2010 (F2010L01581)</w:t>
            </w:r>
          </w:p>
        </w:tc>
        <w:tc>
          <w:tcPr>
            <w:tcW w:w="1269" w:type="pct"/>
            <w:shd w:val="clear" w:color="auto" w:fill="auto"/>
          </w:tcPr>
          <w:p w:rsidR="00B66616" w:rsidRPr="0051180E" w:rsidRDefault="00B66616" w:rsidP="00B66616">
            <w:pPr>
              <w:pStyle w:val="ENoteTableText"/>
            </w:pPr>
            <w:r w:rsidRPr="0051180E">
              <w:t>1</w:t>
            </w:r>
            <w:r w:rsidR="0051180E">
              <w:t> </w:t>
            </w:r>
            <w:r w:rsidRPr="0051180E">
              <w:t>July 2010</w:t>
            </w:r>
          </w:p>
        </w:tc>
        <w:tc>
          <w:tcPr>
            <w:tcW w:w="1269" w:type="pct"/>
            <w:shd w:val="clear" w:color="auto" w:fill="auto"/>
          </w:tcPr>
          <w:p w:rsidR="00B66616" w:rsidRPr="0051180E" w:rsidRDefault="00B66616" w:rsidP="00B66616">
            <w:pPr>
              <w:pStyle w:val="ENoteTableText"/>
            </w:pPr>
            <w:r w:rsidRPr="0051180E">
              <w:t>—</w:t>
            </w:r>
          </w:p>
        </w:tc>
      </w:tr>
      <w:tr w:rsidR="00B66616" w:rsidRPr="0051180E" w:rsidTr="0051180E">
        <w:trPr>
          <w:cantSplit/>
        </w:trPr>
        <w:tc>
          <w:tcPr>
            <w:tcW w:w="1281" w:type="pct"/>
            <w:tcBorders>
              <w:bottom w:val="single" w:sz="12" w:space="0" w:color="auto"/>
            </w:tcBorders>
            <w:shd w:val="clear" w:color="auto" w:fill="auto"/>
          </w:tcPr>
          <w:p w:rsidR="00B66616" w:rsidRPr="0051180E" w:rsidRDefault="009A623C" w:rsidP="008C0EE0">
            <w:pPr>
              <w:pStyle w:val="ENoteTableText"/>
            </w:pPr>
            <w:r w:rsidRPr="0051180E">
              <w:t>No.</w:t>
            </w:r>
            <w:r w:rsidR="0051180E">
              <w:t> </w:t>
            </w:r>
            <w:r w:rsidRPr="0051180E">
              <w:t xml:space="preserve">303, </w:t>
            </w:r>
            <w:r w:rsidR="00B66616" w:rsidRPr="0051180E">
              <w:t>2010</w:t>
            </w:r>
          </w:p>
        </w:tc>
        <w:tc>
          <w:tcPr>
            <w:tcW w:w="1181" w:type="pct"/>
            <w:tcBorders>
              <w:bottom w:val="single" w:sz="12" w:space="0" w:color="auto"/>
            </w:tcBorders>
            <w:shd w:val="clear" w:color="auto" w:fill="auto"/>
          </w:tcPr>
          <w:p w:rsidR="00B66616" w:rsidRPr="0051180E" w:rsidRDefault="00B66616" w:rsidP="008C0EE0">
            <w:pPr>
              <w:pStyle w:val="ENoteTableText"/>
            </w:pPr>
            <w:r w:rsidRPr="0051180E">
              <w:t>25 Nov 2010 (F2010L03104)</w:t>
            </w:r>
          </w:p>
        </w:tc>
        <w:tc>
          <w:tcPr>
            <w:tcW w:w="1269" w:type="pct"/>
            <w:tcBorders>
              <w:bottom w:val="single" w:sz="12" w:space="0" w:color="auto"/>
            </w:tcBorders>
            <w:shd w:val="clear" w:color="auto" w:fill="auto"/>
          </w:tcPr>
          <w:p w:rsidR="00B66616" w:rsidRPr="0051180E" w:rsidRDefault="00B66616" w:rsidP="00B66616">
            <w:pPr>
              <w:pStyle w:val="ENoteTableText"/>
            </w:pPr>
            <w:r w:rsidRPr="0051180E">
              <w:t>26 Nov 2010</w:t>
            </w:r>
          </w:p>
        </w:tc>
        <w:tc>
          <w:tcPr>
            <w:tcW w:w="1269" w:type="pct"/>
            <w:tcBorders>
              <w:bottom w:val="single" w:sz="12" w:space="0" w:color="auto"/>
            </w:tcBorders>
            <w:shd w:val="clear" w:color="auto" w:fill="auto"/>
          </w:tcPr>
          <w:p w:rsidR="00B66616" w:rsidRPr="0051180E" w:rsidRDefault="00B66616" w:rsidP="00B66616">
            <w:pPr>
              <w:pStyle w:val="ENoteTableText"/>
            </w:pPr>
            <w:r w:rsidRPr="0051180E">
              <w:t>—</w:t>
            </w:r>
          </w:p>
        </w:tc>
      </w:tr>
    </w:tbl>
    <w:p w:rsidR="009A623C" w:rsidRPr="0051180E" w:rsidRDefault="009A623C" w:rsidP="009A623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6"/>
        <w:gridCol w:w="2131"/>
        <w:gridCol w:w="2131"/>
        <w:gridCol w:w="2131"/>
      </w:tblGrid>
      <w:tr w:rsidR="009A623C" w:rsidRPr="0051180E" w:rsidTr="0051180E">
        <w:trPr>
          <w:cantSplit/>
          <w:tblHeader/>
        </w:trPr>
        <w:tc>
          <w:tcPr>
            <w:tcW w:w="1253" w:type="pct"/>
            <w:tcBorders>
              <w:top w:val="single" w:sz="12" w:space="0" w:color="auto"/>
              <w:bottom w:val="single" w:sz="12" w:space="0" w:color="auto"/>
            </w:tcBorders>
            <w:shd w:val="clear" w:color="auto" w:fill="auto"/>
          </w:tcPr>
          <w:p w:rsidR="009A623C" w:rsidRPr="0051180E" w:rsidRDefault="009A623C" w:rsidP="00146363">
            <w:pPr>
              <w:pStyle w:val="ENoteTableHeading"/>
            </w:pPr>
            <w:r w:rsidRPr="0051180E">
              <w:t>Name</w:t>
            </w:r>
          </w:p>
        </w:tc>
        <w:tc>
          <w:tcPr>
            <w:tcW w:w="1249" w:type="pct"/>
            <w:tcBorders>
              <w:top w:val="single" w:sz="12" w:space="0" w:color="auto"/>
              <w:bottom w:val="single" w:sz="12" w:space="0" w:color="auto"/>
            </w:tcBorders>
            <w:shd w:val="clear" w:color="auto" w:fill="auto"/>
          </w:tcPr>
          <w:p w:rsidR="009A623C" w:rsidRPr="0051180E" w:rsidRDefault="009A623C" w:rsidP="00146363">
            <w:pPr>
              <w:pStyle w:val="ENoteTableHeading"/>
            </w:pPr>
            <w:r w:rsidRPr="0051180E">
              <w:t>Registration</w:t>
            </w:r>
          </w:p>
        </w:tc>
        <w:tc>
          <w:tcPr>
            <w:tcW w:w="1249" w:type="pct"/>
            <w:tcBorders>
              <w:top w:val="single" w:sz="12" w:space="0" w:color="auto"/>
              <w:bottom w:val="single" w:sz="12" w:space="0" w:color="auto"/>
            </w:tcBorders>
            <w:shd w:val="clear" w:color="auto" w:fill="auto"/>
          </w:tcPr>
          <w:p w:rsidR="009A623C" w:rsidRPr="0051180E" w:rsidRDefault="009A623C" w:rsidP="00146363">
            <w:pPr>
              <w:pStyle w:val="ENoteTableHeading"/>
            </w:pPr>
            <w:r w:rsidRPr="0051180E">
              <w:t>Commencement</w:t>
            </w:r>
          </w:p>
        </w:tc>
        <w:tc>
          <w:tcPr>
            <w:tcW w:w="1249" w:type="pct"/>
            <w:tcBorders>
              <w:top w:val="single" w:sz="12" w:space="0" w:color="auto"/>
              <w:bottom w:val="single" w:sz="12" w:space="0" w:color="auto"/>
            </w:tcBorders>
            <w:shd w:val="clear" w:color="auto" w:fill="auto"/>
          </w:tcPr>
          <w:p w:rsidR="009A623C" w:rsidRPr="0051180E" w:rsidRDefault="009A623C" w:rsidP="00146363">
            <w:pPr>
              <w:pStyle w:val="ENoteTableHeading"/>
            </w:pPr>
            <w:r w:rsidRPr="0051180E">
              <w:t>Application, saving and transitional provisions</w:t>
            </w:r>
          </w:p>
        </w:tc>
      </w:tr>
      <w:tr w:rsidR="009A623C" w:rsidRPr="0051180E" w:rsidTr="0051180E">
        <w:trPr>
          <w:cantSplit/>
        </w:trPr>
        <w:tc>
          <w:tcPr>
            <w:tcW w:w="1253" w:type="pct"/>
            <w:tcBorders>
              <w:top w:val="single" w:sz="12" w:space="0" w:color="auto"/>
              <w:bottom w:val="single" w:sz="12" w:space="0" w:color="auto"/>
            </w:tcBorders>
            <w:shd w:val="clear" w:color="auto" w:fill="auto"/>
          </w:tcPr>
          <w:p w:rsidR="009A623C" w:rsidRPr="0051180E" w:rsidRDefault="00327897" w:rsidP="00146363">
            <w:pPr>
              <w:pStyle w:val="ENoteTableText"/>
            </w:pPr>
            <w:r w:rsidRPr="0051180E">
              <w:t>Treasury Laws Amendment (ASIC Fees) Regulations</w:t>
            </w:r>
            <w:r w:rsidR="0051180E">
              <w:t> </w:t>
            </w:r>
            <w:r w:rsidRPr="0051180E">
              <w:t>2018</w:t>
            </w:r>
          </w:p>
        </w:tc>
        <w:tc>
          <w:tcPr>
            <w:tcW w:w="1249" w:type="pct"/>
            <w:tcBorders>
              <w:top w:val="single" w:sz="12" w:space="0" w:color="auto"/>
              <w:bottom w:val="single" w:sz="12" w:space="0" w:color="auto"/>
            </w:tcBorders>
            <w:shd w:val="clear" w:color="auto" w:fill="auto"/>
          </w:tcPr>
          <w:p w:rsidR="009A623C" w:rsidRPr="0051180E" w:rsidRDefault="00327897" w:rsidP="00146363">
            <w:pPr>
              <w:pStyle w:val="ENoteTableText"/>
            </w:pPr>
            <w:r w:rsidRPr="0051180E">
              <w:t>29</w:t>
            </w:r>
            <w:r w:rsidR="0051180E">
              <w:t> </w:t>
            </w:r>
            <w:r w:rsidRPr="0051180E">
              <w:t>June 2018 (F2018L00965)</w:t>
            </w:r>
          </w:p>
        </w:tc>
        <w:tc>
          <w:tcPr>
            <w:tcW w:w="1249" w:type="pct"/>
            <w:tcBorders>
              <w:top w:val="single" w:sz="12" w:space="0" w:color="auto"/>
              <w:bottom w:val="single" w:sz="12" w:space="0" w:color="auto"/>
            </w:tcBorders>
            <w:shd w:val="clear" w:color="auto" w:fill="auto"/>
          </w:tcPr>
          <w:p w:rsidR="009A623C" w:rsidRPr="0051180E" w:rsidRDefault="00FF1E9B" w:rsidP="005603B8">
            <w:pPr>
              <w:pStyle w:val="ENoteTableText"/>
            </w:pPr>
            <w:r w:rsidRPr="0051180E">
              <w:t>Sch 1 (items</w:t>
            </w:r>
            <w:r w:rsidR="0051180E">
              <w:t> </w:t>
            </w:r>
            <w:r w:rsidRPr="0051180E">
              <w:t>23</w:t>
            </w:r>
            <w:r w:rsidR="005603B8" w:rsidRPr="0051180E">
              <w:t>–</w:t>
            </w:r>
            <w:r w:rsidRPr="0051180E">
              <w:t>37): 4</w:t>
            </w:r>
            <w:r w:rsidR="0051180E">
              <w:t> </w:t>
            </w:r>
            <w:r w:rsidRPr="0051180E">
              <w:t>July 2018 (s 2(1) item</w:t>
            </w:r>
            <w:r w:rsidR="0051180E">
              <w:t> </w:t>
            </w:r>
            <w:r w:rsidRPr="0051180E">
              <w:t>2)</w:t>
            </w:r>
          </w:p>
        </w:tc>
        <w:tc>
          <w:tcPr>
            <w:tcW w:w="1249" w:type="pct"/>
            <w:tcBorders>
              <w:top w:val="single" w:sz="12" w:space="0" w:color="auto"/>
              <w:bottom w:val="single" w:sz="12" w:space="0" w:color="auto"/>
            </w:tcBorders>
            <w:shd w:val="clear" w:color="auto" w:fill="auto"/>
          </w:tcPr>
          <w:p w:rsidR="009A623C" w:rsidRPr="0051180E" w:rsidRDefault="00FF1E9B" w:rsidP="00146363">
            <w:pPr>
              <w:pStyle w:val="ENoteTableText"/>
            </w:pPr>
            <w:r w:rsidRPr="0051180E">
              <w:t>—</w:t>
            </w:r>
          </w:p>
        </w:tc>
      </w:tr>
    </w:tbl>
    <w:p w:rsidR="00B66616" w:rsidRPr="0051180E" w:rsidRDefault="00B66616" w:rsidP="00B329DB">
      <w:pPr>
        <w:pStyle w:val="Tabletext"/>
      </w:pPr>
    </w:p>
    <w:p w:rsidR="00057EF4" w:rsidRPr="0051180E" w:rsidRDefault="00057EF4" w:rsidP="0051180E">
      <w:pPr>
        <w:pStyle w:val="ENotesHeading2"/>
        <w:pageBreakBefore/>
        <w:outlineLvl w:val="9"/>
      </w:pPr>
      <w:bookmarkStart w:id="26" w:name="_Toc521330316"/>
      <w:r w:rsidRPr="0051180E">
        <w:lastRenderedPageBreak/>
        <w:t>Endnote 4—Amendment history</w:t>
      </w:r>
      <w:bookmarkEnd w:id="26"/>
    </w:p>
    <w:p w:rsidR="00B66616" w:rsidRPr="0051180E" w:rsidRDefault="00B66616" w:rsidP="00B329DB">
      <w:pPr>
        <w:pStyle w:val="Tabletext"/>
      </w:pPr>
    </w:p>
    <w:tbl>
      <w:tblPr>
        <w:tblW w:w="5000" w:type="pct"/>
        <w:tblLook w:val="0000" w:firstRow="0" w:lastRow="0" w:firstColumn="0" w:lastColumn="0" w:noHBand="0" w:noVBand="0"/>
      </w:tblPr>
      <w:tblGrid>
        <w:gridCol w:w="2740"/>
        <w:gridCol w:w="5789"/>
      </w:tblGrid>
      <w:tr w:rsidR="00B66616" w:rsidRPr="0051180E" w:rsidTr="0051180E">
        <w:trPr>
          <w:cantSplit/>
          <w:tblHeader/>
        </w:trPr>
        <w:tc>
          <w:tcPr>
            <w:tcW w:w="1606" w:type="pct"/>
            <w:tcBorders>
              <w:top w:val="single" w:sz="12" w:space="0" w:color="auto"/>
              <w:bottom w:val="single" w:sz="12" w:space="0" w:color="auto"/>
            </w:tcBorders>
            <w:shd w:val="clear" w:color="auto" w:fill="auto"/>
          </w:tcPr>
          <w:p w:rsidR="00B66616" w:rsidRPr="0051180E" w:rsidRDefault="00B66616" w:rsidP="00B329DB">
            <w:pPr>
              <w:pStyle w:val="ENoteTableHeading"/>
              <w:tabs>
                <w:tab w:val="center" w:leader="dot" w:pos="2268"/>
              </w:tabs>
            </w:pPr>
            <w:r w:rsidRPr="0051180E">
              <w:t>Provision affected</w:t>
            </w:r>
          </w:p>
        </w:tc>
        <w:tc>
          <w:tcPr>
            <w:tcW w:w="3394" w:type="pct"/>
            <w:tcBorders>
              <w:top w:val="single" w:sz="12" w:space="0" w:color="auto"/>
              <w:bottom w:val="single" w:sz="12" w:space="0" w:color="auto"/>
            </w:tcBorders>
            <w:shd w:val="clear" w:color="auto" w:fill="auto"/>
          </w:tcPr>
          <w:p w:rsidR="00B66616" w:rsidRPr="0051180E" w:rsidRDefault="00B66616" w:rsidP="00B329DB">
            <w:pPr>
              <w:pStyle w:val="ENoteTableHeading"/>
            </w:pPr>
            <w:r w:rsidRPr="0051180E">
              <w:t>How affected</w:t>
            </w:r>
          </w:p>
        </w:tc>
      </w:tr>
      <w:tr w:rsidR="001A506B" w:rsidRPr="0051180E" w:rsidTr="0051180E">
        <w:trPr>
          <w:cantSplit/>
        </w:trPr>
        <w:tc>
          <w:tcPr>
            <w:tcW w:w="1606" w:type="pct"/>
            <w:tcBorders>
              <w:top w:val="single" w:sz="12" w:space="0" w:color="auto"/>
            </w:tcBorders>
            <w:shd w:val="clear" w:color="auto" w:fill="auto"/>
          </w:tcPr>
          <w:p w:rsidR="001A506B" w:rsidRPr="0051180E" w:rsidRDefault="001A506B" w:rsidP="008C0EE0">
            <w:pPr>
              <w:pStyle w:val="ENoteTableText"/>
              <w:tabs>
                <w:tab w:val="center" w:leader="dot" w:pos="2268"/>
              </w:tabs>
            </w:pPr>
            <w:r w:rsidRPr="0051180E">
              <w:t>r 2</w:t>
            </w:r>
            <w:r w:rsidRPr="0051180E">
              <w:tab/>
            </w:r>
          </w:p>
        </w:tc>
        <w:tc>
          <w:tcPr>
            <w:tcW w:w="3394" w:type="pct"/>
            <w:tcBorders>
              <w:top w:val="single" w:sz="12" w:space="0" w:color="auto"/>
            </w:tcBorders>
            <w:shd w:val="clear" w:color="auto" w:fill="auto"/>
          </w:tcPr>
          <w:p w:rsidR="001A506B" w:rsidRPr="0051180E" w:rsidRDefault="001A506B" w:rsidP="008C0EE0">
            <w:pPr>
              <w:pStyle w:val="ENoteTableText"/>
            </w:pPr>
            <w:r w:rsidRPr="0051180E">
              <w:t>rep LA s 48D</w:t>
            </w:r>
          </w:p>
        </w:tc>
      </w:tr>
      <w:tr w:rsidR="00B66616" w:rsidRPr="0051180E" w:rsidTr="0051180E">
        <w:trPr>
          <w:cantSplit/>
        </w:trPr>
        <w:tc>
          <w:tcPr>
            <w:tcW w:w="1606" w:type="pct"/>
            <w:shd w:val="clear" w:color="auto" w:fill="auto"/>
          </w:tcPr>
          <w:p w:rsidR="00B66616" w:rsidRPr="0051180E" w:rsidRDefault="000E0C28" w:rsidP="008C0EE0">
            <w:pPr>
              <w:pStyle w:val="ENoteTableText"/>
              <w:tabs>
                <w:tab w:val="center" w:leader="dot" w:pos="2268"/>
              </w:tabs>
            </w:pPr>
            <w:r w:rsidRPr="0051180E">
              <w:t xml:space="preserve">r </w:t>
            </w:r>
            <w:r w:rsidR="00B66616" w:rsidRPr="0051180E">
              <w:t>3</w:t>
            </w:r>
            <w:r w:rsidR="00B66616" w:rsidRPr="0051180E">
              <w:tab/>
            </w:r>
          </w:p>
        </w:tc>
        <w:tc>
          <w:tcPr>
            <w:tcW w:w="3394" w:type="pct"/>
            <w:shd w:val="clear" w:color="auto" w:fill="auto"/>
          </w:tcPr>
          <w:p w:rsidR="00B66616" w:rsidRPr="0051180E" w:rsidRDefault="00B66616" w:rsidP="008C0EE0">
            <w:pPr>
              <w:pStyle w:val="ENoteTableText"/>
            </w:pPr>
            <w:r w:rsidRPr="0051180E">
              <w:t xml:space="preserve">am </w:t>
            </w:r>
            <w:r w:rsidR="009A623C" w:rsidRPr="0051180E">
              <w:t xml:space="preserve">No 106, </w:t>
            </w:r>
            <w:r w:rsidRPr="0051180E">
              <w:t>2010</w:t>
            </w:r>
            <w:r w:rsidR="00EB2CC8" w:rsidRPr="0051180E">
              <w:t>; F2018L00965</w:t>
            </w:r>
          </w:p>
        </w:tc>
      </w:tr>
      <w:tr w:rsidR="00B66616" w:rsidRPr="0051180E" w:rsidTr="0051180E">
        <w:trPr>
          <w:cantSplit/>
        </w:trPr>
        <w:tc>
          <w:tcPr>
            <w:tcW w:w="1606" w:type="pct"/>
            <w:shd w:val="clear" w:color="auto" w:fill="auto"/>
          </w:tcPr>
          <w:p w:rsidR="00B66616" w:rsidRPr="0051180E" w:rsidRDefault="000E0C28" w:rsidP="008C0EE0">
            <w:pPr>
              <w:pStyle w:val="ENoteTableText"/>
              <w:tabs>
                <w:tab w:val="center" w:leader="dot" w:pos="2268"/>
              </w:tabs>
            </w:pPr>
            <w:r w:rsidRPr="0051180E">
              <w:t xml:space="preserve">r </w:t>
            </w:r>
            <w:r w:rsidR="00B66616" w:rsidRPr="0051180E">
              <w:t>4</w:t>
            </w:r>
            <w:r w:rsidR="00B66616" w:rsidRPr="0051180E">
              <w:tab/>
            </w:r>
          </w:p>
        </w:tc>
        <w:tc>
          <w:tcPr>
            <w:tcW w:w="3394" w:type="pct"/>
            <w:shd w:val="clear" w:color="auto" w:fill="auto"/>
          </w:tcPr>
          <w:p w:rsidR="00B66616" w:rsidRPr="0051180E" w:rsidRDefault="00B66616" w:rsidP="008C0EE0">
            <w:pPr>
              <w:pStyle w:val="ENoteTableText"/>
            </w:pPr>
            <w:r w:rsidRPr="0051180E">
              <w:t>am</w:t>
            </w:r>
            <w:r w:rsidR="009A623C" w:rsidRPr="0051180E">
              <w:t xml:space="preserve"> No 106,</w:t>
            </w:r>
            <w:r w:rsidRPr="0051180E">
              <w:t xml:space="preserve"> 2010</w:t>
            </w:r>
            <w:r w:rsidR="009A623C" w:rsidRPr="0051180E">
              <w:t>; No 138, 2010</w:t>
            </w:r>
          </w:p>
        </w:tc>
      </w:tr>
      <w:tr w:rsidR="00EB2CC8" w:rsidRPr="0051180E" w:rsidTr="0051180E">
        <w:trPr>
          <w:cantSplit/>
        </w:trPr>
        <w:tc>
          <w:tcPr>
            <w:tcW w:w="1606" w:type="pct"/>
            <w:shd w:val="clear" w:color="auto" w:fill="auto"/>
          </w:tcPr>
          <w:p w:rsidR="00EB2CC8" w:rsidRPr="0051180E" w:rsidRDefault="00EB2CC8" w:rsidP="008C0EE0">
            <w:pPr>
              <w:pStyle w:val="ENoteTableText"/>
              <w:tabs>
                <w:tab w:val="center" w:leader="dot" w:pos="2268"/>
              </w:tabs>
            </w:pPr>
          </w:p>
        </w:tc>
        <w:tc>
          <w:tcPr>
            <w:tcW w:w="3394" w:type="pct"/>
            <w:shd w:val="clear" w:color="auto" w:fill="auto"/>
          </w:tcPr>
          <w:p w:rsidR="00EB2CC8" w:rsidRPr="0051180E" w:rsidRDefault="00EB2CC8" w:rsidP="008C0EE0">
            <w:pPr>
              <w:pStyle w:val="ENoteTableText"/>
            </w:pPr>
            <w:r w:rsidRPr="0051180E">
              <w:t>rs F2018L00965</w:t>
            </w:r>
          </w:p>
        </w:tc>
      </w:tr>
      <w:tr w:rsidR="00B66616" w:rsidRPr="0051180E" w:rsidTr="0051180E">
        <w:trPr>
          <w:cantSplit/>
        </w:trPr>
        <w:tc>
          <w:tcPr>
            <w:tcW w:w="1606" w:type="pct"/>
            <w:shd w:val="clear" w:color="auto" w:fill="auto"/>
          </w:tcPr>
          <w:p w:rsidR="00B66616" w:rsidRPr="0051180E" w:rsidRDefault="000E0C28" w:rsidP="000E0C28">
            <w:pPr>
              <w:pStyle w:val="ENoteTableText"/>
              <w:tabs>
                <w:tab w:val="center" w:leader="dot" w:pos="2268"/>
              </w:tabs>
            </w:pPr>
            <w:r w:rsidRPr="0051180E">
              <w:t xml:space="preserve">r </w:t>
            </w:r>
            <w:r w:rsidR="00B66616" w:rsidRPr="0051180E">
              <w:t>5</w:t>
            </w:r>
            <w:r w:rsidR="00B66616" w:rsidRPr="0051180E">
              <w:tab/>
            </w:r>
          </w:p>
        </w:tc>
        <w:tc>
          <w:tcPr>
            <w:tcW w:w="3394" w:type="pct"/>
            <w:shd w:val="clear" w:color="auto" w:fill="auto"/>
          </w:tcPr>
          <w:p w:rsidR="00B66616" w:rsidRPr="0051180E" w:rsidRDefault="00B66616" w:rsidP="008C0EE0">
            <w:pPr>
              <w:pStyle w:val="ENoteTableText"/>
            </w:pPr>
            <w:r w:rsidRPr="0051180E">
              <w:t>am</w:t>
            </w:r>
            <w:r w:rsidR="00327897" w:rsidRPr="0051180E">
              <w:t xml:space="preserve"> No 106, </w:t>
            </w:r>
            <w:r w:rsidRPr="0051180E">
              <w:t>2010</w:t>
            </w:r>
            <w:r w:rsidR="00327897" w:rsidRPr="0051180E">
              <w:t>; No 138, 2010</w:t>
            </w:r>
            <w:r w:rsidR="008C0EE0" w:rsidRPr="0051180E">
              <w:t>; F2018L00965</w:t>
            </w:r>
          </w:p>
        </w:tc>
      </w:tr>
      <w:tr w:rsidR="00B66616" w:rsidRPr="0051180E" w:rsidTr="0051180E">
        <w:trPr>
          <w:cantSplit/>
        </w:trPr>
        <w:tc>
          <w:tcPr>
            <w:tcW w:w="1606" w:type="pct"/>
            <w:shd w:val="clear" w:color="auto" w:fill="auto"/>
          </w:tcPr>
          <w:p w:rsidR="00B66616" w:rsidRPr="0051180E" w:rsidRDefault="000E0C28" w:rsidP="008C0EE0">
            <w:pPr>
              <w:pStyle w:val="ENoteTableText"/>
              <w:tabs>
                <w:tab w:val="center" w:leader="dot" w:pos="2268"/>
              </w:tabs>
            </w:pPr>
            <w:r w:rsidRPr="0051180E">
              <w:t xml:space="preserve">r </w:t>
            </w:r>
            <w:r w:rsidR="00B66616" w:rsidRPr="0051180E">
              <w:t>6</w:t>
            </w:r>
            <w:r w:rsidR="00B66616" w:rsidRPr="0051180E">
              <w:tab/>
            </w:r>
          </w:p>
        </w:tc>
        <w:tc>
          <w:tcPr>
            <w:tcW w:w="3394" w:type="pct"/>
            <w:shd w:val="clear" w:color="auto" w:fill="auto"/>
          </w:tcPr>
          <w:p w:rsidR="00B66616" w:rsidRPr="0051180E" w:rsidRDefault="00B66616" w:rsidP="00CD3760">
            <w:pPr>
              <w:pStyle w:val="ENoteTableText"/>
            </w:pPr>
            <w:r w:rsidRPr="0051180E">
              <w:t xml:space="preserve">ad </w:t>
            </w:r>
            <w:r w:rsidR="00327897" w:rsidRPr="0051180E">
              <w:t xml:space="preserve">No 138, </w:t>
            </w:r>
            <w:r w:rsidRPr="0051180E">
              <w:t>2010</w:t>
            </w:r>
          </w:p>
        </w:tc>
      </w:tr>
      <w:tr w:rsidR="00CD3760" w:rsidRPr="0051180E" w:rsidTr="0051180E">
        <w:trPr>
          <w:cantSplit/>
        </w:trPr>
        <w:tc>
          <w:tcPr>
            <w:tcW w:w="1606" w:type="pct"/>
            <w:shd w:val="clear" w:color="auto" w:fill="auto"/>
          </w:tcPr>
          <w:p w:rsidR="00CD3760" w:rsidRPr="0051180E" w:rsidRDefault="00CD3760" w:rsidP="008C0EE0">
            <w:pPr>
              <w:pStyle w:val="ENoteTableText"/>
              <w:tabs>
                <w:tab w:val="center" w:leader="dot" w:pos="2268"/>
              </w:tabs>
            </w:pPr>
          </w:p>
        </w:tc>
        <w:tc>
          <w:tcPr>
            <w:tcW w:w="3394" w:type="pct"/>
            <w:shd w:val="clear" w:color="auto" w:fill="auto"/>
          </w:tcPr>
          <w:p w:rsidR="00CD3760" w:rsidRPr="0051180E" w:rsidRDefault="00CD3760" w:rsidP="008C0EE0">
            <w:pPr>
              <w:pStyle w:val="ENoteTableText"/>
            </w:pPr>
            <w:r>
              <w:t xml:space="preserve">am </w:t>
            </w:r>
            <w:r w:rsidRPr="0051180E">
              <w:t>F2018L00965</w:t>
            </w:r>
          </w:p>
        </w:tc>
      </w:tr>
      <w:tr w:rsidR="00B66616" w:rsidRPr="0051180E" w:rsidTr="0051180E">
        <w:trPr>
          <w:cantSplit/>
        </w:trPr>
        <w:tc>
          <w:tcPr>
            <w:tcW w:w="1606" w:type="pct"/>
            <w:shd w:val="clear" w:color="auto" w:fill="auto"/>
          </w:tcPr>
          <w:p w:rsidR="00B66616" w:rsidRPr="0051180E" w:rsidRDefault="000E0C28" w:rsidP="000E0C28">
            <w:pPr>
              <w:pStyle w:val="ENoteTableText"/>
              <w:tabs>
                <w:tab w:val="center" w:leader="dot" w:pos="2268"/>
              </w:tabs>
            </w:pPr>
            <w:r w:rsidRPr="0051180E">
              <w:t xml:space="preserve">r </w:t>
            </w:r>
            <w:r w:rsidR="00B66616" w:rsidRPr="0051180E">
              <w:t>7</w:t>
            </w:r>
            <w:r w:rsidR="00B66616" w:rsidRPr="0051180E">
              <w:tab/>
            </w:r>
          </w:p>
        </w:tc>
        <w:tc>
          <w:tcPr>
            <w:tcW w:w="3394" w:type="pct"/>
            <w:shd w:val="clear" w:color="auto" w:fill="auto"/>
          </w:tcPr>
          <w:p w:rsidR="00B66616" w:rsidRPr="0051180E" w:rsidRDefault="00B66616" w:rsidP="008C0EE0">
            <w:pPr>
              <w:pStyle w:val="ENoteTableText"/>
            </w:pPr>
            <w:r w:rsidRPr="0051180E">
              <w:t>ad</w:t>
            </w:r>
            <w:r w:rsidR="00327897" w:rsidRPr="0051180E">
              <w:t xml:space="preserve"> No 138,</w:t>
            </w:r>
            <w:r w:rsidRPr="0051180E">
              <w:t xml:space="preserve"> 2010</w:t>
            </w:r>
            <w:bookmarkStart w:id="27" w:name="_GoBack"/>
            <w:bookmarkEnd w:id="27"/>
          </w:p>
        </w:tc>
      </w:tr>
      <w:tr w:rsidR="008C0EE0" w:rsidRPr="0051180E" w:rsidTr="0051180E">
        <w:trPr>
          <w:cantSplit/>
        </w:trPr>
        <w:tc>
          <w:tcPr>
            <w:tcW w:w="1606" w:type="pct"/>
            <w:shd w:val="clear" w:color="auto" w:fill="auto"/>
          </w:tcPr>
          <w:p w:rsidR="008C0EE0" w:rsidRPr="0051180E" w:rsidRDefault="008C0EE0" w:rsidP="000E0C28">
            <w:pPr>
              <w:pStyle w:val="ENoteTableText"/>
              <w:tabs>
                <w:tab w:val="center" w:leader="dot" w:pos="2268"/>
              </w:tabs>
            </w:pPr>
          </w:p>
        </w:tc>
        <w:tc>
          <w:tcPr>
            <w:tcW w:w="3394" w:type="pct"/>
            <w:shd w:val="clear" w:color="auto" w:fill="auto"/>
          </w:tcPr>
          <w:p w:rsidR="008C0EE0" w:rsidRPr="0051180E" w:rsidRDefault="008C0EE0" w:rsidP="008C0EE0">
            <w:pPr>
              <w:pStyle w:val="ENoteTableText"/>
            </w:pPr>
            <w:r w:rsidRPr="0051180E">
              <w:t>rs F2018L00965</w:t>
            </w:r>
          </w:p>
        </w:tc>
      </w:tr>
      <w:tr w:rsidR="00B66616" w:rsidRPr="0051180E" w:rsidTr="0051180E">
        <w:trPr>
          <w:cantSplit/>
        </w:trPr>
        <w:tc>
          <w:tcPr>
            <w:tcW w:w="1606" w:type="pct"/>
            <w:shd w:val="clear" w:color="auto" w:fill="auto"/>
          </w:tcPr>
          <w:p w:rsidR="00B66616" w:rsidRPr="0051180E" w:rsidRDefault="00B66616" w:rsidP="00B66616">
            <w:pPr>
              <w:pStyle w:val="ENoteTableText"/>
            </w:pPr>
            <w:r w:rsidRPr="0051180E">
              <w:rPr>
                <w:b/>
              </w:rPr>
              <w:t>Schedule</w:t>
            </w:r>
            <w:r w:rsidR="0051180E">
              <w:rPr>
                <w:b/>
              </w:rPr>
              <w:t> </w:t>
            </w:r>
            <w:r w:rsidRPr="0051180E">
              <w:rPr>
                <w:b/>
              </w:rPr>
              <w:t>1</w:t>
            </w:r>
          </w:p>
        </w:tc>
        <w:tc>
          <w:tcPr>
            <w:tcW w:w="3394" w:type="pct"/>
            <w:shd w:val="clear" w:color="auto" w:fill="auto"/>
          </w:tcPr>
          <w:p w:rsidR="00B66616" w:rsidRPr="0051180E" w:rsidRDefault="00B66616" w:rsidP="00B66616">
            <w:pPr>
              <w:pStyle w:val="ENoteTableText"/>
            </w:pPr>
          </w:p>
        </w:tc>
      </w:tr>
      <w:tr w:rsidR="00B66616" w:rsidRPr="0051180E" w:rsidTr="0051180E">
        <w:trPr>
          <w:cantSplit/>
        </w:trPr>
        <w:tc>
          <w:tcPr>
            <w:tcW w:w="1606" w:type="pct"/>
            <w:shd w:val="clear" w:color="auto" w:fill="auto"/>
          </w:tcPr>
          <w:p w:rsidR="00B66616" w:rsidRPr="0051180E" w:rsidRDefault="00B66616" w:rsidP="000E0C28">
            <w:pPr>
              <w:pStyle w:val="ENoteTableText"/>
              <w:tabs>
                <w:tab w:val="center" w:leader="dot" w:pos="2268"/>
              </w:tabs>
            </w:pPr>
            <w:r w:rsidRPr="0051180E">
              <w:t>Schedule</w:t>
            </w:r>
            <w:r w:rsidR="0051180E">
              <w:t> </w:t>
            </w:r>
            <w:r w:rsidRPr="0051180E">
              <w:t>1</w:t>
            </w:r>
            <w:r w:rsidRPr="0051180E">
              <w:tab/>
            </w:r>
          </w:p>
        </w:tc>
        <w:tc>
          <w:tcPr>
            <w:tcW w:w="3394" w:type="pct"/>
            <w:shd w:val="clear" w:color="auto" w:fill="auto"/>
          </w:tcPr>
          <w:p w:rsidR="00B66616" w:rsidRPr="0051180E" w:rsidRDefault="00B66616" w:rsidP="008C0EE0">
            <w:pPr>
              <w:pStyle w:val="ENoteTableText"/>
            </w:pPr>
            <w:r w:rsidRPr="0051180E">
              <w:t>am</w:t>
            </w:r>
            <w:r w:rsidR="00327897" w:rsidRPr="0051180E">
              <w:t xml:space="preserve"> No 106,</w:t>
            </w:r>
            <w:r w:rsidRPr="0051180E">
              <w:t xml:space="preserve"> 2010</w:t>
            </w:r>
            <w:r w:rsidR="00327897" w:rsidRPr="0051180E">
              <w:t>; No 138, 2010; No 303, 2010</w:t>
            </w:r>
          </w:p>
        </w:tc>
      </w:tr>
      <w:tr w:rsidR="008C0EE0" w:rsidRPr="0051180E" w:rsidTr="0051180E">
        <w:trPr>
          <w:cantSplit/>
        </w:trPr>
        <w:tc>
          <w:tcPr>
            <w:tcW w:w="1606" w:type="pct"/>
            <w:shd w:val="clear" w:color="auto" w:fill="auto"/>
          </w:tcPr>
          <w:p w:rsidR="008C0EE0" w:rsidRPr="0051180E" w:rsidRDefault="008C0EE0" w:rsidP="000E0C28">
            <w:pPr>
              <w:pStyle w:val="ENoteTableText"/>
              <w:tabs>
                <w:tab w:val="center" w:leader="dot" w:pos="2268"/>
              </w:tabs>
            </w:pPr>
          </w:p>
        </w:tc>
        <w:tc>
          <w:tcPr>
            <w:tcW w:w="3394" w:type="pct"/>
            <w:shd w:val="clear" w:color="auto" w:fill="auto"/>
          </w:tcPr>
          <w:p w:rsidR="008C0EE0" w:rsidRPr="0051180E" w:rsidRDefault="008C0EE0" w:rsidP="008C0EE0">
            <w:pPr>
              <w:pStyle w:val="ENoteTableText"/>
            </w:pPr>
            <w:r w:rsidRPr="0051180E">
              <w:t>rs F2018L00965</w:t>
            </w:r>
          </w:p>
        </w:tc>
      </w:tr>
      <w:tr w:rsidR="00B66616" w:rsidRPr="0051180E" w:rsidTr="0051180E">
        <w:trPr>
          <w:cantSplit/>
        </w:trPr>
        <w:tc>
          <w:tcPr>
            <w:tcW w:w="1606" w:type="pct"/>
            <w:shd w:val="clear" w:color="auto" w:fill="auto"/>
          </w:tcPr>
          <w:p w:rsidR="00B66616" w:rsidRPr="0051180E" w:rsidRDefault="00B66616" w:rsidP="00B66616">
            <w:pPr>
              <w:pStyle w:val="ENoteTableText"/>
            </w:pPr>
            <w:r w:rsidRPr="0051180E">
              <w:rPr>
                <w:b/>
              </w:rPr>
              <w:t>Schedule</w:t>
            </w:r>
            <w:r w:rsidR="0051180E">
              <w:rPr>
                <w:b/>
              </w:rPr>
              <w:t> </w:t>
            </w:r>
            <w:r w:rsidRPr="0051180E">
              <w:rPr>
                <w:b/>
              </w:rPr>
              <w:t>2</w:t>
            </w:r>
          </w:p>
        </w:tc>
        <w:tc>
          <w:tcPr>
            <w:tcW w:w="3394" w:type="pct"/>
            <w:shd w:val="clear" w:color="auto" w:fill="auto"/>
          </w:tcPr>
          <w:p w:rsidR="00B66616" w:rsidRPr="0051180E" w:rsidRDefault="00B66616" w:rsidP="00B66616">
            <w:pPr>
              <w:pStyle w:val="ENoteTableText"/>
            </w:pPr>
          </w:p>
        </w:tc>
      </w:tr>
      <w:tr w:rsidR="00B66616" w:rsidRPr="0051180E" w:rsidTr="0051180E">
        <w:trPr>
          <w:cantSplit/>
        </w:trPr>
        <w:tc>
          <w:tcPr>
            <w:tcW w:w="1606" w:type="pct"/>
            <w:shd w:val="clear" w:color="auto" w:fill="auto"/>
          </w:tcPr>
          <w:p w:rsidR="00B66616" w:rsidRPr="0051180E" w:rsidRDefault="00B66616" w:rsidP="000E0C28">
            <w:pPr>
              <w:pStyle w:val="ENoteTableText"/>
              <w:tabs>
                <w:tab w:val="center" w:leader="dot" w:pos="2268"/>
              </w:tabs>
            </w:pPr>
            <w:r w:rsidRPr="0051180E">
              <w:t>Schedule</w:t>
            </w:r>
            <w:r w:rsidR="0051180E">
              <w:t> </w:t>
            </w:r>
            <w:r w:rsidRPr="0051180E">
              <w:t>2</w:t>
            </w:r>
            <w:r w:rsidRPr="0051180E">
              <w:tab/>
            </w:r>
          </w:p>
        </w:tc>
        <w:tc>
          <w:tcPr>
            <w:tcW w:w="3394" w:type="pct"/>
            <w:shd w:val="clear" w:color="auto" w:fill="auto"/>
          </w:tcPr>
          <w:p w:rsidR="00B66616" w:rsidRPr="0051180E" w:rsidRDefault="00B66616" w:rsidP="008C0EE0">
            <w:pPr>
              <w:pStyle w:val="ENoteTableText"/>
            </w:pPr>
            <w:r w:rsidRPr="0051180E">
              <w:t>am</w:t>
            </w:r>
            <w:r w:rsidR="00327897" w:rsidRPr="0051180E">
              <w:t xml:space="preserve"> No 303,</w:t>
            </w:r>
            <w:r w:rsidRPr="0051180E">
              <w:t xml:space="preserve"> 2010</w:t>
            </w:r>
          </w:p>
        </w:tc>
      </w:tr>
      <w:tr w:rsidR="008C0EE0" w:rsidRPr="0051180E" w:rsidTr="0051180E">
        <w:trPr>
          <w:cantSplit/>
        </w:trPr>
        <w:tc>
          <w:tcPr>
            <w:tcW w:w="1606" w:type="pct"/>
            <w:tcBorders>
              <w:bottom w:val="single" w:sz="12" w:space="0" w:color="auto"/>
            </w:tcBorders>
            <w:shd w:val="clear" w:color="auto" w:fill="auto"/>
          </w:tcPr>
          <w:p w:rsidR="008C0EE0" w:rsidRPr="0051180E" w:rsidRDefault="008C0EE0" w:rsidP="000E0C28">
            <w:pPr>
              <w:pStyle w:val="ENoteTableText"/>
              <w:tabs>
                <w:tab w:val="center" w:leader="dot" w:pos="2268"/>
              </w:tabs>
            </w:pPr>
          </w:p>
        </w:tc>
        <w:tc>
          <w:tcPr>
            <w:tcW w:w="3394" w:type="pct"/>
            <w:tcBorders>
              <w:bottom w:val="single" w:sz="12" w:space="0" w:color="auto"/>
            </w:tcBorders>
            <w:shd w:val="clear" w:color="auto" w:fill="auto"/>
          </w:tcPr>
          <w:p w:rsidR="008C0EE0" w:rsidRPr="0051180E" w:rsidRDefault="008C0EE0" w:rsidP="008C0EE0">
            <w:pPr>
              <w:pStyle w:val="ENoteTableText"/>
            </w:pPr>
            <w:r w:rsidRPr="0051180E">
              <w:t>rs F2018L00965</w:t>
            </w:r>
          </w:p>
        </w:tc>
      </w:tr>
    </w:tbl>
    <w:p w:rsidR="00057EF4" w:rsidRPr="0051180E" w:rsidRDefault="00057EF4" w:rsidP="00146363">
      <w:pPr>
        <w:sectPr w:rsidR="00057EF4" w:rsidRPr="0051180E" w:rsidSect="000F043D">
          <w:headerReference w:type="even" r:id="rId35"/>
          <w:headerReference w:type="default" r:id="rId36"/>
          <w:footerReference w:type="even" r:id="rId37"/>
          <w:footerReference w:type="default" r:id="rId38"/>
          <w:pgSz w:w="11907" w:h="16839"/>
          <w:pgMar w:top="2325" w:right="1797" w:bottom="1440" w:left="1797" w:header="720" w:footer="709" w:gutter="0"/>
          <w:cols w:space="708"/>
          <w:docGrid w:linePitch="360"/>
        </w:sectPr>
      </w:pPr>
    </w:p>
    <w:p w:rsidR="008C27C0" w:rsidRPr="0051180E" w:rsidRDefault="008C27C0" w:rsidP="00057EF4"/>
    <w:sectPr w:rsidR="008C27C0" w:rsidRPr="0051180E" w:rsidSect="000F043D">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0C" w:rsidRDefault="00D9120C">
      <w:r>
        <w:separator/>
      </w:r>
    </w:p>
  </w:endnote>
  <w:endnote w:type="continuationSeparator" w:id="0">
    <w:p w:rsidR="00D9120C" w:rsidRDefault="00D9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9</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80E">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D9120C" w:rsidRPr="00130F37" w:rsidTr="0051180E">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B45D11" w:rsidRDefault="00D9120C" w:rsidP="00D9120C">
    <w:pPr>
      <w:pStyle w:val="Footer"/>
    </w:pPr>
  </w:p>
  <w:p w:rsidR="00D9120C" w:rsidRPr="00D9120C" w:rsidRDefault="00D9120C" w:rsidP="00D912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14</w:t>
          </w:r>
          <w:r w:rsidRPr="007B3B51">
            <w:rPr>
              <w:i/>
              <w:sz w:val="16"/>
              <w:szCs w:val="16"/>
            </w:rPr>
            <w:fldChar w:fldCharType="end"/>
          </w: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p>
      </w:tc>
    </w:tr>
    <w:tr w:rsidR="00D9120C" w:rsidRPr="0055472E" w:rsidTr="0057603D">
      <w:tc>
        <w:tcPr>
          <w:tcW w:w="1499" w:type="pct"/>
          <w:gridSpan w:val="2"/>
        </w:tcPr>
        <w:p w:rsidR="00D9120C" w:rsidRPr="0055472E" w:rsidRDefault="00D9120C" w:rsidP="00D912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80E">
            <w:rPr>
              <w:sz w:val="16"/>
              <w:szCs w:val="16"/>
            </w:rPr>
            <w:t>4</w:t>
          </w:r>
          <w:r w:rsidRPr="0055472E">
            <w:rPr>
              <w:sz w:val="16"/>
              <w:szCs w:val="16"/>
            </w:rPr>
            <w:fldChar w:fldCharType="end"/>
          </w:r>
        </w:p>
      </w:tc>
      <w:tc>
        <w:tcPr>
          <w:tcW w:w="1999" w:type="pct"/>
        </w:tcPr>
        <w:p w:rsidR="00D9120C" w:rsidRPr="0055472E" w:rsidRDefault="00D9120C" w:rsidP="00D912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80E">
            <w:rPr>
              <w:sz w:val="16"/>
              <w:szCs w:val="16"/>
            </w:rPr>
            <w:t>4/7/18</w:t>
          </w:r>
          <w:r w:rsidRPr="0055472E">
            <w:rPr>
              <w:sz w:val="16"/>
              <w:szCs w:val="16"/>
            </w:rPr>
            <w:fldChar w:fldCharType="end"/>
          </w:r>
        </w:p>
      </w:tc>
      <w:tc>
        <w:tcPr>
          <w:tcW w:w="1502" w:type="pct"/>
          <w:gridSpan w:val="2"/>
        </w:tcPr>
        <w:p w:rsidR="00D9120C" w:rsidRPr="0055472E" w:rsidRDefault="00D9120C" w:rsidP="00D912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80E">
            <w:rPr>
              <w:sz w:val="16"/>
              <w:szCs w:val="16"/>
            </w:rPr>
            <w:instrText>6 August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80E">
            <w:rPr>
              <w:sz w:val="16"/>
              <w:szCs w:val="16"/>
            </w:rPr>
            <w:instrText>6/8/18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80E">
            <w:rPr>
              <w:noProof/>
              <w:sz w:val="16"/>
              <w:szCs w:val="16"/>
            </w:rPr>
            <w:t>6/8/18</w:t>
          </w:r>
          <w:r w:rsidRPr="0055472E">
            <w:rPr>
              <w:sz w:val="16"/>
              <w:szCs w:val="16"/>
            </w:rPr>
            <w:fldChar w:fldCharType="end"/>
          </w:r>
        </w:p>
      </w:tc>
    </w:tr>
  </w:tbl>
  <w:p w:rsidR="00D9120C" w:rsidRPr="00D9120C" w:rsidRDefault="00D9120C" w:rsidP="00D9120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13</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80E">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p>
      </w:tc>
    </w:tr>
    <w:tr w:rsidR="00D9120C" w:rsidRPr="0055472E" w:rsidTr="0057603D">
      <w:tc>
        <w:tcPr>
          <w:tcW w:w="1499" w:type="pct"/>
          <w:gridSpan w:val="2"/>
        </w:tcPr>
        <w:p w:rsidR="00D9120C" w:rsidRPr="0055472E" w:rsidRDefault="00D9120C" w:rsidP="00D912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80E">
            <w:rPr>
              <w:sz w:val="16"/>
              <w:szCs w:val="16"/>
            </w:rPr>
            <w:t>4</w:t>
          </w:r>
          <w:r w:rsidRPr="0055472E">
            <w:rPr>
              <w:sz w:val="16"/>
              <w:szCs w:val="16"/>
            </w:rPr>
            <w:fldChar w:fldCharType="end"/>
          </w:r>
        </w:p>
      </w:tc>
      <w:tc>
        <w:tcPr>
          <w:tcW w:w="1999" w:type="pct"/>
        </w:tcPr>
        <w:p w:rsidR="00D9120C" w:rsidRPr="0055472E" w:rsidRDefault="00D9120C" w:rsidP="00D912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80E">
            <w:rPr>
              <w:sz w:val="16"/>
              <w:szCs w:val="16"/>
            </w:rPr>
            <w:t>4/7/18</w:t>
          </w:r>
          <w:r w:rsidRPr="0055472E">
            <w:rPr>
              <w:sz w:val="16"/>
              <w:szCs w:val="16"/>
            </w:rPr>
            <w:fldChar w:fldCharType="end"/>
          </w:r>
        </w:p>
      </w:tc>
      <w:tc>
        <w:tcPr>
          <w:tcW w:w="1502" w:type="pct"/>
          <w:gridSpan w:val="2"/>
        </w:tcPr>
        <w:p w:rsidR="00D9120C" w:rsidRPr="0055472E" w:rsidRDefault="00D9120C" w:rsidP="00D912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80E">
            <w:rPr>
              <w:sz w:val="16"/>
              <w:szCs w:val="16"/>
            </w:rPr>
            <w:instrText>6 August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80E">
            <w:rPr>
              <w:sz w:val="16"/>
              <w:szCs w:val="16"/>
            </w:rPr>
            <w:instrText>6/8/18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80E">
            <w:rPr>
              <w:noProof/>
              <w:sz w:val="16"/>
              <w:szCs w:val="16"/>
            </w:rPr>
            <w:t>6/8/18</w:t>
          </w:r>
          <w:r w:rsidRPr="0055472E">
            <w:rPr>
              <w:sz w:val="16"/>
              <w:szCs w:val="16"/>
            </w:rPr>
            <w:fldChar w:fldCharType="end"/>
          </w:r>
        </w:p>
      </w:tc>
    </w:tr>
  </w:tbl>
  <w:p w:rsidR="00D9120C" w:rsidRPr="00D9120C" w:rsidRDefault="00D9120C" w:rsidP="00D9120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80E">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2B0EA5" w:rsidRDefault="00D9120C" w:rsidP="00E3334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20C" w:rsidTr="0051180E">
      <w:tc>
        <w:tcPr>
          <w:tcW w:w="947" w:type="pct"/>
        </w:tcPr>
        <w:p w:rsidR="00D9120C" w:rsidRDefault="00D9120C" w:rsidP="00B329DB">
          <w:pPr>
            <w:spacing w:line="0" w:lineRule="atLeast"/>
            <w:rPr>
              <w:sz w:val="18"/>
            </w:rPr>
          </w:pPr>
        </w:p>
      </w:tc>
      <w:tc>
        <w:tcPr>
          <w:tcW w:w="3688" w:type="pct"/>
        </w:tcPr>
        <w:p w:rsidR="00D9120C" w:rsidRDefault="00D9120C" w:rsidP="00B329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180E">
            <w:rPr>
              <w:i/>
              <w:sz w:val="18"/>
            </w:rPr>
            <w:t>National Consumer Credit Protection (Fees) Regulations 2010</w:t>
          </w:r>
          <w:r w:rsidRPr="007A1328">
            <w:rPr>
              <w:i/>
              <w:sz w:val="18"/>
            </w:rPr>
            <w:fldChar w:fldCharType="end"/>
          </w:r>
        </w:p>
      </w:tc>
      <w:tc>
        <w:tcPr>
          <w:tcW w:w="365" w:type="pct"/>
        </w:tcPr>
        <w:p w:rsidR="00D9120C" w:rsidRDefault="00D9120C" w:rsidP="00B329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D9120C" w:rsidRPr="00ED79B6" w:rsidRDefault="00D9120C" w:rsidP="00E3334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rsidP="00AA417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ED79B6" w:rsidRDefault="00D9120C" w:rsidP="00AA41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80E">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p>
      </w:tc>
    </w:tr>
    <w:tr w:rsidR="00D9120C" w:rsidRPr="0055472E" w:rsidTr="0057603D">
      <w:tc>
        <w:tcPr>
          <w:tcW w:w="1499" w:type="pct"/>
          <w:gridSpan w:val="2"/>
        </w:tcPr>
        <w:p w:rsidR="00D9120C" w:rsidRPr="0055472E" w:rsidRDefault="00D9120C" w:rsidP="00D912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80E">
            <w:rPr>
              <w:sz w:val="16"/>
              <w:szCs w:val="16"/>
            </w:rPr>
            <w:t>4</w:t>
          </w:r>
          <w:r w:rsidRPr="0055472E">
            <w:rPr>
              <w:sz w:val="16"/>
              <w:szCs w:val="16"/>
            </w:rPr>
            <w:fldChar w:fldCharType="end"/>
          </w:r>
        </w:p>
      </w:tc>
      <w:tc>
        <w:tcPr>
          <w:tcW w:w="1999" w:type="pct"/>
        </w:tcPr>
        <w:p w:rsidR="00D9120C" w:rsidRPr="0055472E" w:rsidRDefault="00D9120C" w:rsidP="00D912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80E">
            <w:rPr>
              <w:sz w:val="16"/>
              <w:szCs w:val="16"/>
            </w:rPr>
            <w:t>4/7/18</w:t>
          </w:r>
          <w:r w:rsidRPr="0055472E">
            <w:rPr>
              <w:sz w:val="16"/>
              <w:szCs w:val="16"/>
            </w:rPr>
            <w:fldChar w:fldCharType="end"/>
          </w:r>
        </w:p>
      </w:tc>
      <w:tc>
        <w:tcPr>
          <w:tcW w:w="1502" w:type="pct"/>
          <w:gridSpan w:val="2"/>
        </w:tcPr>
        <w:p w:rsidR="00D9120C" w:rsidRPr="0055472E" w:rsidRDefault="00D9120C" w:rsidP="00D912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80E">
            <w:rPr>
              <w:sz w:val="16"/>
              <w:szCs w:val="16"/>
            </w:rPr>
            <w:instrText>6 August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80E">
            <w:rPr>
              <w:sz w:val="16"/>
              <w:szCs w:val="16"/>
            </w:rPr>
            <w:instrText>6/8/18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80E">
            <w:rPr>
              <w:noProof/>
              <w:sz w:val="16"/>
              <w:szCs w:val="16"/>
            </w:rPr>
            <w:t>6/8/18</w:t>
          </w:r>
          <w:r w:rsidRPr="0055472E">
            <w:rPr>
              <w:sz w:val="16"/>
              <w:szCs w:val="16"/>
            </w:rPr>
            <w:fldChar w:fldCharType="end"/>
          </w:r>
        </w:p>
      </w:tc>
    </w:tr>
  </w:tbl>
  <w:p w:rsidR="00D9120C" w:rsidRPr="00D9120C" w:rsidRDefault="00D9120C" w:rsidP="00D912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i</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4</w:t>
          </w:r>
          <w:r w:rsidRPr="007B3B51">
            <w:rPr>
              <w:i/>
              <w:sz w:val="16"/>
              <w:szCs w:val="16"/>
            </w:rPr>
            <w:fldChar w:fldCharType="end"/>
          </w: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p>
      </w:tc>
    </w:tr>
    <w:tr w:rsidR="00D9120C" w:rsidRPr="0055472E" w:rsidTr="0057603D">
      <w:tc>
        <w:tcPr>
          <w:tcW w:w="1499" w:type="pct"/>
          <w:gridSpan w:val="2"/>
        </w:tcPr>
        <w:p w:rsidR="00D9120C" w:rsidRPr="0055472E" w:rsidRDefault="00D9120C" w:rsidP="00D912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80E">
            <w:rPr>
              <w:sz w:val="16"/>
              <w:szCs w:val="16"/>
            </w:rPr>
            <w:t>4</w:t>
          </w:r>
          <w:r w:rsidRPr="0055472E">
            <w:rPr>
              <w:sz w:val="16"/>
              <w:szCs w:val="16"/>
            </w:rPr>
            <w:fldChar w:fldCharType="end"/>
          </w:r>
        </w:p>
      </w:tc>
      <w:tc>
        <w:tcPr>
          <w:tcW w:w="1999" w:type="pct"/>
        </w:tcPr>
        <w:p w:rsidR="00D9120C" w:rsidRPr="0055472E" w:rsidRDefault="00D9120C" w:rsidP="00D912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80E">
            <w:rPr>
              <w:sz w:val="16"/>
              <w:szCs w:val="16"/>
            </w:rPr>
            <w:t>4/7/18</w:t>
          </w:r>
          <w:r w:rsidRPr="0055472E">
            <w:rPr>
              <w:sz w:val="16"/>
              <w:szCs w:val="16"/>
            </w:rPr>
            <w:fldChar w:fldCharType="end"/>
          </w:r>
        </w:p>
      </w:tc>
      <w:tc>
        <w:tcPr>
          <w:tcW w:w="1502" w:type="pct"/>
          <w:gridSpan w:val="2"/>
        </w:tcPr>
        <w:p w:rsidR="00D9120C" w:rsidRPr="0055472E" w:rsidRDefault="00D9120C" w:rsidP="00D912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80E">
            <w:rPr>
              <w:sz w:val="16"/>
              <w:szCs w:val="16"/>
            </w:rPr>
            <w:instrText>6 August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80E">
            <w:rPr>
              <w:sz w:val="16"/>
              <w:szCs w:val="16"/>
            </w:rPr>
            <w:instrText>6/8/18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80E">
            <w:rPr>
              <w:noProof/>
              <w:sz w:val="16"/>
              <w:szCs w:val="16"/>
            </w:rPr>
            <w:t>6/8/18</w:t>
          </w:r>
          <w:r w:rsidRPr="0055472E">
            <w:rPr>
              <w:sz w:val="16"/>
              <w:szCs w:val="16"/>
            </w:rPr>
            <w:fldChar w:fldCharType="end"/>
          </w:r>
        </w:p>
      </w:tc>
    </w:tr>
  </w:tbl>
  <w:p w:rsidR="00D9120C" w:rsidRPr="00D9120C" w:rsidRDefault="00D9120C" w:rsidP="00D912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3</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i/>
              <w:sz w:val="16"/>
              <w:szCs w:val="16"/>
            </w:rPr>
          </w:pP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180E">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9120C" w:rsidRPr="00130F37" w:rsidTr="0057603D">
      <w:tc>
        <w:tcPr>
          <w:tcW w:w="1499" w:type="pct"/>
          <w:gridSpan w:val="2"/>
        </w:tcPr>
        <w:p w:rsidR="00D9120C" w:rsidRPr="00130F37" w:rsidRDefault="00D9120C" w:rsidP="00D912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80E">
            <w:rPr>
              <w:sz w:val="16"/>
              <w:szCs w:val="16"/>
            </w:rPr>
            <w:t>4</w:t>
          </w:r>
          <w:r w:rsidRPr="00130F37">
            <w:rPr>
              <w:sz w:val="16"/>
              <w:szCs w:val="16"/>
            </w:rPr>
            <w:fldChar w:fldCharType="end"/>
          </w:r>
        </w:p>
      </w:tc>
      <w:tc>
        <w:tcPr>
          <w:tcW w:w="1999" w:type="pct"/>
        </w:tcPr>
        <w:p w:rsidR="00D9120C" w:rsidRPr="00130F37" w:rsidRDefault="00D9120C" w:rsidP="00D912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80E">
            <w:rPr>
              <w:sz w:val="16"/>
              <w:szCs w:val="16"/>
            </w:rPr>
            <w:t>4/7/18</w:t>
          </w:r>
          <w:r w:rsidRPr="00130F37">
            <w:rPr>
              <w:sz w:val="16"/>
              <w:szCs w:val="16"/>
            </w:rPr>
            <w:fldChar w:fldCharType="end"/>
          </w:r>
        </w:p>
      </w:tc>
      <w:tc>
        <w:tcPr>
          <w:tcW w:w="1502" w:type="pct"/>
          <w:gridSpan w:val="2"/>
        </w:tcPr>
        <w:p w:rsidR="00D9120C" w:rsidRPr="00130F37" w:rsidRDefault="00D9120C" w:rsidP="00D912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80E">
            <w:rPr>
              <w:sz w:val="16"/>
              <w:szCs w:val="16"/>
            </w:rPr>
            <w:instrText>6 August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80E">
            <w:rPr>
              <w:sz w:val="16"/>
              <w:szCs w:val="16"/>
            </w:rPr>
            <w:instrText>6/8/18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80E">
            <w:rPr>
              <w:noProof/>
              <w:sz w:val="16"/>
              <w:szCs w:val="16"/>
            </w:rPr>
            <w:t>6/8/18</w:t>
          </w:r>
          <w:r w:rsidRPr="00130F37">
            <w:rPr>
              <w:sz w:val="16"/>
              <w:szCs w:val="16"/>
            </w:rPr>
            <w:fldChar w:fldCharType="end"/>
          </w:r>
        </w:p>
      </w:tc>
    </w:tr>
  </w:tbl>
  <w:p w:rsidR="00D9120C" w:rsidRPr="00D9120C" w:rsidRDefault="00D9120C" w:rsidP="00D9120C">
    <w:pPr>
      <w:pStyle w:val="Footer"/>
    </w:pPr>
  </w:p>
  <w:p w:rsidR="00D9120C" w:rsidRPr="00D9120C" w:rsidRDefault="00D9120C" w:rsidP="00D9120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B3B51" w:rsidRDefault="00D9120C" w:rsidP="00D912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9120C" w:rsidRPr="007B3B51" w:rsidTr="0051180E">
      <w:tc>
        <w:tcPr>
          <w:tcW w:w="854" w:type="pct"/>
        </w:tcPr>
        <w:p w:rsidR="00D9120C" w:rsidRPr="007B3B51" w:rsidRDefault="00D9120C" w:rsidP="00D912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43D">
            <w:rPr>
              <w:i/>
              <w:noProof/>
              <w:sz w:val="16"/>
              <w:szCs w:val="16"/>
            </w:rPr>
            <w:t>10</w:t>
          </w:r>
          <w:r w:rsidRPr="007B3B51">
            <w:rPr>
              <w:i/>
              <w:sz w:val="16"/>
              <w:szCs w:val="16"/>
            </w:rPr>
            <w:fldChar w:fldCharType="end"/>
          </w:r>
        </w:p>
      </w:tc>
      <w:tc>
        <w:tcPr>
          <w:tcW w:w="3688" w:type="pct"/>
          <w:gridSpan w:val="3"/>
        </w:tcPr>
        <w:p w:rsidR="00D9120C" w:rsidRPr="007B3B51" w:rsidRDefault="00D9120C" w:rsidP="00D912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43D">
            <w:rPr>
              <w:i/>
              <w:noProof/>
              <w:sz w:val="16"/>
              <w:szCs w:val="16"/>
            </w:rPr>
            <w:t>National Consumer Credit Protection (Fees) Regulations 2010</w:t>
          </w:r>
          <w:r w:rsidRPr="007B3B51">
            <w:rPr>
              <w:i/>
              <w:sz w:val="16"/>
              <w:szCs w:val="16"/>
            </w:rPr>
            <w:fldChar w:fldCharType="end"/>
          </w:r>
        </w:p>
      </w:tc>
      <w:tc>
        <w:tcPr>
          <w:tcW w:w="458" w:type="pct"/>
        </w:tcPr>
        <w:p w:rsidR="00D9120C" w:rsidRPr="007B3B51" w:rsidRDefault="00D9120C" w:rsidP="00D9120C">
          <w:pPr>
            <w:jc w:val="right"/>
            <w:rPr>
              <w:sz w:val="16"/>
              <w:szCs w:val="16"/>
            </w:rPr>
          </w:pPr>
        </w:p>
      </w:tc>
    </w:tr>
    <w:tr w:rsidR="00D9120C" w:rsidRPr="0055472E" w:rsidTr="0057603D">
      <w:tc>
        <w:tcPr>
          <w:tcW w:w="1499" w:type="pct"/>
          <w:gridSpan w:val="2"/>
        </w:tcPr>
        <w:p w:rsidR="00D9120C" w:rsidRPr="0055472E" w:rsidRDefault="00D9120C" w:rsidP="00D912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80E">
            <w:rPr>
              <w:sz w:val="16"/>
              <w:szCs w:val="16"/>
            </w:rPr>
            <w:t>4</w:t>
          </w:r>
          <w:r w:rsidRPr="0055472E">
            <w:rPr>
              <w:sz w:val="16"/>
              <w:szCs w:val="16"/>
            </w:rPr>
            <w:fldChar w:fldCharType="end"/>
          </w:r>
        </w:p>
      </w:tc>
      <w:tc>
        <w:tcPr>
          <w:tcW w:w="1999" w:type="pct"/>
        </w:tcPr>
        <w:p w:rsidR="00D9120C" w:rsidRPr="0055472E" w:rsidRDefault="00D9120C" w:rsidP="00D912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80E">
            <w:rPr>
              <w:sz w:val="16"/>
              <w:szCs w:val="16"/>
            </w:rPr>
            <w:t>4/7/18</w:t>
          </w:r>
          <w:r w:rsidRPr="0055472E">
            <w:rPr>
              <w:sz w:val="16"/>
              <w:szCs w:val="16"/>
            </w:rPr>
            <w:fldChar w:fldCharType="end"/>
          </w:r>
        </w:p>
      </w:tc>
      <w:tc>
        <w:tcPr>
          <w:tcW w:w="1502" w:type="pct"/>
          <w:gridSpan w:val="2"/>
        </w:tcPr>
        <w:p w:rsidR="00D9120C" w:rsidRPr="0055472E" w:rsidRDefault="00D9120C" w:rsidP="00D912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80E">
            <w:rPr>
              <w:sz w:val="16"/>
              <w:szCs w:val="16"/>
            </w:rPr>
            <w:instrText>6 August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80E">
            <w:rPr>
              <w:sz w:val="16"/>
              <w:szCs w:val="16"/>
            </w:rPr>
            <w:instrText>6/8/18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80E">
            <w:rPr>
              <w:noProof/>
              <w:sz w:val="16"/>
              <w:szCs w:val="16"/>
            </w:rPr>
            <w:t>6/8/18</w:t>
          </w:r>
          <w:r w:rsidRPr="0055472E">
            <w:rPr>
              <w:sz w:val="16"/>
              <w:szCs w:val="16"/>
            </w:rPr>
            <w:fldChar w:fldCharType="end"/>
          </w:r>
        </w:p>
      </w:tc>
    </w:tr>
  </w:tbl>
  <w:p w:rsidR="00D9120C" w:rsidRPr="00D9120C" w:rsidRDefault="00D9120C" w:rsidP="00D91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0C" w:rsidRDefault="00D9120C">
      <w:r>
        <w:separator/>
      </w:r>
    </w:p>
  </w:footnote>
  <w:footnote w:type="continuationSeparator" w:id="0">
    <w:p w:rsidR="00D9120C" w:rsidRDefault="00D91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rsidP="00AA4178">
    <w:pPr>
      <w:pStyle w:val="Header"/>
      <w:pBdr>
        <w:bottom w:val="single" w:sz="6" w:space="1" w:color="auto"/>
      </w:pBdr>
    </w:pPr>
  </w:p>
  <w:p w:rsidR="00D9120C" w:rsidRDefault="00D9120C" w:rsidP="00AA4178">
    <w:pPr>
      <w:pStyle w:val="Header"/>
      <w:pBdr>
        <w:bottom w:val="single" w:sz="6" w:space="1" w:color="auto"/>
      </w:pBdr>
    </w:pPr>
  </w:p>
  <w:p w:rsidR="00D9120C" w:rsidRPr="001E77D2" w:rsidRDefault="00D9120C" w:rsidP="00AA417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pPr>
      <w:rPr>
        <w:sz w:val="20"/>
      </w:rPr>
    </w:pPr>
    <w:r>
      <w:rPr>
        <w:b/>
        <w:sz w:val="20"/>
      </w:rPr>
      <w:fldChar w:fldCharType="begin"/>
    </w:r>
    <w:r>
      <w:rPr>
        <w:b/>
        <w:sz w:val="20"/>
      </w:rPr>
      <w:instrText xml:space="preserve"> STYLEREF CharChapNo </w:instrText>
    </w:r>
    <w:r>
      <w:rPr>
        <w:b/>
        <w:sz w:val="20"/>
      </w:rPr>
      <w:fldChar w:fldCharType="separate"/>
    </w:r>
    <w:r w:rsidR="000F043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F043D">
      <w:rPr>
        <w:noProof/>
        <w:sz w:val="20"/>
      </w:rPr>
      <w:t>Fees for other chargeable matters</w:t>
    </w:r>
    <w:r>
      <w:rPr>
        <w:sz w:val="20"/>
      </w:rPr>
      <w:fldChar w:fldCharType="end"/>
    </w:r>
  </w:p>
  <w:p w:rsidR="00D9120C" w:rsidRDefault="00D9120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9120C" w:rsidRDefault="00D9120C" w:rsidP="00D9120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8A2C51" w:rsidRDefault="00D9120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F043D">
      <w:rPr>
        <w:noProof/>
        <w:sz w:val="20"/>
      </w:rPr>
      <w:t>Fees for chargeable matters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F043D">
      <w:rPr>
        <w:b/>
        <w:noProof/>
        <w:sz w:val="20"/>
      </w:rPr>
      <w:t>Schedule 1</w:t>
    </w:r>
    <w:r w:rsidRPr="008A2C51">
      <w:rPr>
        <w:b/>
        <w:sz w:val="20"/>
      </w:rPr>
      <w:fldChar w:fldCharType="end"/>
    </w:r>
  </w:p>
  <w:p w:rsidR="00D9120C" w:rsidRPr="008A2C51" w:rsidRDefault="00D9120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F043D">
      <w:rPr>
        <w:noProof/>
        <w:sz w:val="20"/>
      </w:rPr>
      <w:t>Alteration of fees in Part 1 or 2</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F043D">
      <w:rPr>
        <w:b/>
        <w:noProof/>
        <w:sz w:val="20"/>
      </w:rPr>
      <w:t>Part 3</w:t>
    </w:r>
    <w:r w:rsidRPr="008A2C51">
      <w:rPr>
        <w:b/>
        <w:sz w:val="20"/>
      </w:rPr>
      <w:fldChar w:fldCharType="end"/>
    </w:r>
  </w:p>
  <w:p w:rsidR="00D9120C" w:rsidRPr="008A2C51" w:rsidRDefault="00D9120C" w:rsidP="00D9120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BE5CD2" w:rsidRDefault="00D9120C" w:rsidP="00146363">
    <w:pPr>
      <w:rPr>
        <w:sz w:val="26"/>
        <w:szCs w:val="26"/>
      </w:rPr>
    </w:pPr>
  </w:p>
  <w:p w:rsidR="00D9120C" w:rsidRPr="0020230A" w:rsidRDefault="00D9120C" w:rsidP="00146363">
    <w:pPr>
      <w:rPr>
        <w:b/>
        <w:sz w:val="20"/>
      </w:rPr>
    </w:pPr>
    <w:r w:rsidRPr="0020230A">
      <w:rPr>
        <w:b/>
        <w:sz w:val="20"/>
      </w:rPr>
      <w:t>Endnotes</w:t>
    </w:r>
  </w:p>
  <w:p w:rsidR="00D9120C" w:rsidRPr="007A1328" w:rsidRDefault="00D9120C" w:rsidP="00146363">
    <w:pPr>
      <w:rPr>
        <w:sz w:val="20"/>
      </w:rPr>
    </w:pPr>
  </w:p>
  <w:p w:rsidR="00D9120C" w:rsidRPr="007A1328" w:rsidRDefault="00D9120C" w:rsidP="00146363">
    <w:pPr>
      <w:rPr>
        <w:b/>
        <w:sz w:val="24"/>
      </w:rPr>
    </w:pPr>
  </w:p>
  <w:p w:rsidR="00D9120C" w:rsidRPr="00BE5CD2" w:rsidRDefault="00D9120C" w:rsidP="0014636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043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BE5CD2" w:rsidRDefault="00D9120C" w:rsidP="00146363">
    <w:pPr>
      <w:jc w:val="right"/>
      <w:rPr>
        <w:sz w:val="26"/>
        <w:szCs w:val="26"/>
      </w:rPr>
    </w:pPr>
  </w:p>
  <w:p w:rsidR="00D9120C" w:rsidRPr="0020230A" w:rsidRDefault="00D9120C" w:rsidP="00146363">
    <w:pPr>
      <w:jc w:val="right"/>
      <w:rPr>
        <w:b/>
        <w:sz w:val="20"/>
      </w:rPr>
    </w:pPr>
    <w:r w:rsidRPr="0020230A">
      <w:rPr>
        <w:b/>
        <w:sz w:val="20"/>
      </w:rPr>
      <w:t>Endnotes</w:t>
    </w:r>
  </w:p>
  <w:p w:rsidR="00D9120C" w:rsidRPr="007A1328" w:rsidRDefault="00D9120C" w:rsidP="00146363">
    <w:pPr>
      <w:jc w:val="right"/>
      <w:rPr>
        <w:sz w:val="20"/>
      </w:rPr>
    </w:pPr>
  </w:p>
  <w:p w:rsidR="00D9120C" w:rsidRPr="007A1328" w:rsidRDefault="00D9120C" w:rsidP="00146363">
    <w:pPr>
      <w:jc w:val="right"/>
      <w:rPr>
        <w:b/>
        <w:sz w:val="24"/>
      </w:rPr>
    </w:pPr>
  </w:p>
  <w:p w:rsidR="00D9120C" w:rsidRPr="00BE5CD2" w:rsidRDefault="00D9120C" w:rsidP="0014636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043D">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BE5CD2" w:rsidRDefault="00D9120C" w:rsidP="00B329DB">
    <w:pPr>
      <w:rPr>
        <w:sz w:val="26"/>
        <w:szCs w:val="26"/>
      </w:rPr>
    </w:pPr>
  </w:p>
  <w:p w:rsidR="00D9120C" w:rsidRPr="0020230A" w:rsidRDefault="00D9120C" w:rsidP="00B329DB">
    <w:pPr>
      <w:rPr>
        <w:b/>
        <w:sz w:val="20"/>
      </w:rPr>
    </w:pPr>
    <w:r w:rsidRPr="0020230A">
      <w:rPr>
        <w:b/>
        <w:sz w:val="20"/>
      </w:rPr>
      <w:t>Endnotes</w:t>
    </w:r>
  </w:p>
  <w:p w:rsidR="00D9120C" w:rsidRPr="007A1328" w:rsidRDefault="00D9120C" w:rsidP="00B329DB">
    <w:pPr>
      <w:rPr>
        <w:sz w:val="20"/>
      </w:rPr>
    </w:pPr>
  </w:p>
  <w:p w:rsidR="00D9120C" w:rsidRPr="007A1328" w:rsidRDefault="00D9120C" w:rsidP="00B329DB">
    <w:pPr>
      <w:rPr>
        <w:b/>
        <w:sz w:val="24"/>
      </w:rPr>
    </w:pPr>
  </w:p>
  <w:p w:rsidR="00D9120C" w:rsidRPr="00BE5CD2" w:rsidRDefault="00D9120C" w:rsidP="00B329D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180E">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BE5CD2" w:rsidRDefault="00D9120C" w:rsidP="00B329DB">
    <w:pPr>
      <w:jc w:val="right"/>
      <w:rPr>
        <w:sz w:val="26"/>
        <w:szCs w:val="26"/>
      </w:rPr>
    </w:pPr>
  </w:p>
  <w:p w:rsidR="00D9120C" w:rsidRPr="0020230A" w:rsidRDefault="00D9120C" w:rsidP="00B329DB">
    <w:pPr>
      <w:jc w:val="right"/>
      <w:rPr>
        <w:b/>
        <w:sz w:val="20"/>
      </w:rPr>
    </w:pPr>
    <w:r w:rsidRPr="0020230A">
      <w:rPr>
        <w:b/>
        <w:sz w:val="20"/>
      </w:rPr>
      <w:t>Endnotes</w:t>
    </w:r>
  </w:p>
  <w:p w:rsidR="00D9120C" w:rsidRPr="007A1328" w:rsidRDefault="00D9120C" w:rsidP="00B329DB">
    <w:pPr>
      <w:jc w:val="right"/>
      <w:rPr>
        <w:sz w:val="20"/>
      </w:rPr>
    </w:pPr>
  </w:p>
  <w:p w:rsidR="00D9120C" w:rsidRPr="007A1328" w:rsidRDefault="00D9120C" w:rsidP="00B329DB">
    <w:pPr>
      <w:jc w:val="right"/>
      <w:rPr>
        <w:b/>
        <w:sz w:val="24"/>
      </w:rPr>
    </w:pPr>
  </w:p>
  <w:p w:rsidR="00D9120C" w:rsidRPr="00BE5CD2" w:rsidRDefault="00D9120C" w:rsidP="00B329D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180E">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rsidP="00987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rsidP="00AA4178">
    <w:pPr>
      <w:pStyle w:val="Header"/>
      <w:pBdr>
        <w:bottom w:val="single" w:sz="4" w:space="1" w:color="auto"/>
      </w:pBdr>
    </w:pPr>
  </w:p>
  <w:p w:rsidR="00D9120C" w:rsidRDefault="00D9120C" w:rsidP="00AA4178">
    <w:pPr>
      <w:pStyle w:val="Header"/>
      <w:pBdr>
        <w:bottom w:val="single" w:sz="4" w:space="1" w:color="auto"/>
      </w:pBdr>
    </w:pPr>
  </w:p>
  <w:p w:rsidR="00D9120C" w:rsidRPr="001E77D2" w:rsidRDefault="00D9120C" w:rsidP="00AA417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5F1388" w:rsidRDefault="00D9120C" w:rsidP="00AA41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ED79B6" w:rsidRDefault="00D9120C" w:rsidP="00B45D11">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ED79B6" w:rsidRDefault="00D9120C" w:rsidP="00B45D11">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ED79B6" w:rsidRDefault="00D9120C" w:rsidP="00B329D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Default="00D9120C" w:rsidP="00D912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120C" w:rsidRDefault="00D9120C" w:rsidP="00D9120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9120C" w:rsidRPr="007A1328" w:rsidRDefault="00D9120C" w:rsidP="00D912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9120C" w:rsidRPr="007A1328" w:rsidRDefault="00D9120C" w:rsidP="00D9120C">
    <w:pPr>
      <w:rPr>
        <w:b/>
        <w:sz w:val="24"/>
      </w:rPr>
    </w:pPr>
  </w:p>
  <w:p w:rsidR="00D9120C" w:rsidRPr="007A1328" w:rsidRDefault="00D9120C" w:rsidP="00D9120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1180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043D">
      <w:rPr>
        <w:noProof/>
        <w:sz w:val="24"/>
      </w:rPr>
      <w:t>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A1328" w:rsidRDefault="00D9120C" w:rsidP="00D912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120C" w:rsidRPr="007A1328" w:rsidRDefault="00D9120C" w:rsidP="00D9120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9120C" w:rsidRPr="007A1328" w:rsidRDefault="00D9120C" w:rsidP="00D912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9120C" w:rsidRPr="007A1328" w:rsidRDefault="00D9120C" w:rsidP="00D9120C">
    <w:pPr>
      <w:jc w:val="right"/>
      <w:rPr>
        <w:b/>
        <w:sz w:val="24"/>
      </w:rPr>
    </w:pPr>
  </w:p>
  <w:p w:rsidR="00D9120C" w:rsidRPr="007A1328" w:rsidRDefault="00D9120C" w:rsidP="00D9120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1180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043D">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0C" w:rsidRPr="007A1328" w:rsidRDefault="00D9120C" w:rsidP="00D912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180632"/>
    <w:multiLevelType w:val="multilevel"/>
    <w:tmpl w:val="C83AD6D4"/>
    <w:lvl w:ilvl="0">
      <w:start w:val="1"/>
      <w:numFmt w:val="bullet"/>
      <w:lvlText w:val=""/>
      <w:lvlJc w:val="left"/>
      <w:pPr>
        <w:ind w:left="1928" w:hanging="737"/>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7"/>
  </w:num>
  <w:num w:numId="18">
    <w:abstractNumId w:val="1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DF"/>
    <w:rsid w:val="00002328"/>
    <w:rsid w:val="000033F5"/>
    <w:rsid w:val="0000439F"/>
    <w:rsid w:val="000047FD"/>
    <w:rsid w:val="000056EE"/>
    <w:rsid w:val="00006F3C"/>
    <w:rsid w:val="00010203"/>
    <w:rsid w:val="00012A4E"/>
    <w:rsid w:val="00016392"/>
    <w:rsid w:val="0001739E"/>
    <w:rsid w:val="00023FD2"/>
    <w:rsid w:val="0003434D"/>
    <w:rsid w:val="0003498B"/>
    <w:rsid w:val="000553AB"/>
    <w:rsid w:val="00055E25"/>
    <w:rsid w:val="00057EF4"/>
    <w:rsid w:val="00065A0E"/>
    <w:rsid w:val="000753EE"/>
    <w:rsid w:val="00075B3D"/>
    <w:rsid w:val="00092802"/>
    <w:rsid w:val="000A1552"/>
    <w:rsid w:val="000B0A20"/>
    <w:rsid w:val="000B26C3"/>
    <w:rsid w:val="000B52F3"/>
    <w:rsid w:val="000C56FE"/>
    <w:rsid w:val="000D112D"/>
    <w:rsid w:val="000D363E"/>
    <w:rsid w:val="000D5599"/>
    <w:rsid w:val="000E081D"/>
    <w:rsid w:val="000E0C28"/>
    <w:rsid w:val="000E2323"/>
    <w:rsid w:val="000F043D"/>
    <w:rsid w:val="000F140F"/>
    <w:rsid w:val="000F2417"/>
    <w:rsid w:val="00105148"/>
    <w:rsid w:val="001110AF"/>
    <w:rsid w:val="00111E48"/>
    <w:rsid w:val="00114286"/>
    <w:rsid w:val="00122CA1"/>
    <w:rsid w:val="00126C33"/>
    <w:rsid w:val="00126D00"/>
    <w:rsid w:val="0013316B"/>
    <w:rsid w:val="00133419"/>
    <w:rsid w:val="001363F5"/>
    <w:rsid w:val="00136A19"/>
    <w:rsid w:val="00145C33"/>
    <w:rsid w:val="00146363"/>
    <w:rsid w:val="0014660D"/>
    <w:rsid w:val="00152824"/>
    <w:rsid w:val="00153593"/>
    <w:rsid w:val="001544DD"/>
    <w:rsid w:val="001679F7"/>
    <w:rsid w:val="00170289"/>
    <w:rsid w:val="00177FD4"/>
    <w:rsid w:val="00180CD3"/>
    <w:rsid w:val="00191B57"/>
    <w:rsid w:val="001920A6"/>
    <w:rsid w:val="00192718"/>
    <w:rsid w:val="00192E3B"/>
    <w:rsid w:val="00195306"/>
    <w:rsid w:val="00195953"/>
    <w:rsid w:val="001A25BD"/>
    <w:rsid w:val="001A506B"/>
    <w:rsid w:val="001B21C4"/>
    <w:rsid w:val="001B680B"/>
    <w:rsid w:val="001B7079"/>
    <w:rsid w:val="001C2D2D"/>
    <w:rsid w:val="001C3CFF"/>
    <w:rsid w:val="001C6C78"/>
    <w:rsid w:val="001D1730"/>
    <w:rsid w:val="001D49E7"/>
    <w:rsid w:val="001D53F8"/>
    <w:rsid w:val="001E0659"/>
    <w:rsid w:val="001E551F"/>
    <w:rsid w:val="001F204C"/>
    <w:rsid w:val="0020488A"/>
    <w:rsid w:val="002125DA"/>
    <w:rsid w:val="00212D37"/>
    <w:rsid w:val="00220EDA"/>
    <w:rsid w:val="00222DA1"/>
    <w:rsid w:val="00223A7F"/>
    <w:rsid w:val="002250FB"/>
    <w:rsid w:val="002303A1"/>
    <w:rsid w:val="00245FDB"/>
    <w:rsid w:val="002517FC"/>
    <w:rsid w:val="00254647"/>
    <w:rsid w:val="00254B2F"/>
    <w:rsid w:val="00254C12"/>
    <w:rsid w:val="00261155"/>
    <w:rsid w:val="00262431"/>
    <w:rsid w:val="002646CA"/>
    <w:rsid w:val="002705A1"/>
    <w:rsid w:val="00270826"/>
    <w:rsid w:val="0027363B"/>
    <w:rsid w:val="0027777D"/>
    <w:rsid w:val="00280D6D"/>
    <w:rsid w:val="00282433"/>
    <w:rsid w:val="002853B6"/>
    <w:rsid w:val="00296435"/>
    <w:rsid w:val="0029646C"/>
    <w:rsid w:val="00296E69"/>
    <w:rsid w:val="00297B7E"/>
    <w:rsid w:val="002A57A4"/>
    <w:rsid w:val="002C0E89"/>
    <w:rsid w:val="002C42F1"/>
    <w:rsid w:val="002C79E4"/>
    <w:rsid w:val="002C7F8D"/>
    <w:rsid w:val="002D0AD5"/>
    <w:rsid w:val="002D35D3"/>
    <w:rsid w:val="002F149C"/>
    <w:rsid w:val="002F6C5C"/>
    <w:rsid w:val="003058D0"/>
    <w:rsid w:val="0030627F"/>
    <w:rsid w:val="0031187D"/>
    <w:rsid w:val="00320BA5"/>
    <w:rsid w:val="003242D2"/>
    <w:rsid w:val="003269CD"/>
    <w:rsid w:val="00327897"/>
    <w:rsid w:val="00327AAB"/>
    <w:rsid w:val="003328BD"/>
    <w:rsid w:val="00336768"/>
    <w:rsid w:val="00347380"/>
    <w:rsid w:val="00347ABE"/>
    <w:rsid w:val="00351600"/>
    <w:rsid w:val="003567D5"/>
    <w:rsid w:val="003570F6"/>
    <w:rsid w:val="00365485"/>
    <w:rsid w:val="00366209"/>
    <w:rsid w:val="003725F4"/>
    <w:rsid w:val="00393A96"/>
    <w:rsid w:val="00396732"/>
    <w:rsid w:val="003A3291"/>
    <w:rsid w:val="003C1D3B"/>
    <w:rsid w:val="003C700C"/>
    <w:rsid w:val="003D20DD"/>
    <w:rsid w:val="003E671F"/>
    <w:rsid w:val="003F1A97"/>
    <w:rsid w:val="003F1AF9"/>
    <w:rsid w:val="003F3826"/>
    <w:rsid w:val="003F62E6"/>
    <w:rsid w:val="0040492F"/>
    <w:rsid w:val="004207D7"/>
    <w:rsid w:val="00424431"/>
    <w:rsid w:val="00425C42"/>
    <w:rsid w:val="00427249"/>
    <w:rsid w:val="00441257"/>
    <w:rsid w:val="00442444"/>
    <w:rsid w:val="00442C94"/>
    <w:rsid w:val="00443DD7"/>
    <w:rsid w:val="00454D0B"/>
    <w:rsid w:val="00457AC5"/>
    <w:rsid w:val="0047221D"/>
    <w:rsid w:val="00472F53"/>
    <w:rsid w:val="00476909"/>
    <w:rsid w:val="00482B0A"/>
    <w:rsid w:val="004837B3"/>
    <w:rsid w:val="00490956"/>
    <w:rsid w:val="00492AF6"/>
    <w:rsid w:val="0049476B"/>
    <w:rsid w:val="004A67F9"/>
    <w:rsid w:val="004B004C"/>
    <w:rsid w:val="004B1E60"/>
    <w:rsid w:val="004B717C"/>
    <w:rsid w:val="004C4116"/>
    <w:rsid w:val="004C5332"/>
    <w:rsid w:val="004D25B2"/>
    <w:rsid w:val="004D2CCB"/>
    <w:rsid w:val="004E01BE"/>
    <w:rsid w:val="004E3375"/>
    <w:rsid w:val="004E6672"/>
    <w:rsid w:val="004F0A32"/>
    <w:rsid w:val="004F586F"/>
    <w:rsid w:val="004F6F2C"/>
    <w:rsid w:val="004F6F63"/>
    <w:rsid w:val="00503EF2"/>
    <w:rsid w:val="0051180E"/>
    <w:rsid w:val="0051543A"/>
    <w:rsid w:val="00524BE1"/>
    <w:rsid w:val="00525E3D"/>
    <w:rsid w:val="005327BA"/>
    <w:rsid w:val="00535BFA"/>
    <w:rsid w:val="00553BBD"/>
    <w:rsid w:val="00553CCE"/>
    <w:rsid w:val="005548F9"/>
    <w:rsid w:val="005603B8"/>
    <w:rsid w:val="00561460"/>
    <w:rsid w:val="00564001"/>
    <w:rsid w:val="00571A88"/>
    <w:rsid w:val="00575298"/>
    <w:rsid w:val="0057603D"/>
    <w:rsid w:val="00576493"/>
    <w:rsid w:val="00577475"/>
    <w:rsid w:val="00584A71"/>
    <w:rsid w:val="00585528"/>
    <w:rsid w:val="005867F2"/>
    <w:rsid w:val="00590B66"/>
    <w:rsid w:val="00594F6A"/>
    <w:rsid w:val="005A04A5"/>
    <w:rsid w:val="005A0F53"/>
    <w:rsid w:val="005A2A56"/>
    <w:rsid w:val="005B2BDF"/>
    <w:rsid w:val="005C20BB"/>
    <w:rsid w:val="005C5AA7"/>
    <w:rsid w:val="005C7760"/>
    <w:rsid w:val="005C7BB8"/>
    <w:rsid w:val="005D40F1"/>
    <w:rsid w:val="005D491C"/>
    <w:rsid w:val="005D5651"/>
    <w:rsid w:val="005D6F22"/>
    <w:rsid w:val="005E3B3D"/>
    <w:rsid w:val="005E4271"/>
    <w:rsid w:val="005E42DE"/>
    <w:rsid w:val="005E5309"/>
    <w:rsid w:val="005E6D7C"/>
    <w:rsid w:val="005F2238"/>
    <w:rsid w:val="005F38C6"/>
    <w:rsid w:val="005F5365"/>
    <w:rsid w:val="005F7C2F"/>
    <w:rsid w:val="0060499E"/>
    <w:rsid w:val="00610CB1"/>
    <w:rsid w:val="006133D2"/>
    <w:rsid w:val="00626654"/>
    <w:rsid w:val="00630C62"/>
    <w:rsid w:val="006334F8"/>
    <w:rsid w:val="00645165"/>
    <w:rsid w:val="00645A49"/>
    <w:rsid w:val="00647421"/>
    <w:rsid w:val="006503AC"/>
    <w:rsid w:val="006548E6"/>
    <w:rsid w:val="00657047"/>
    <w:rsid w:val="0065794A"/>
    <w:rsid w:val="00666AA8"/>
    <w:rsid w:val="00672003"/>
    <w:rsid w:val="00672979"/>
    <w:rsid w:val="00675602"/>
    <w:rsid w:val="0068326D"/>
    <w:rsid w:val="00686152"/>
    <w:rsid w:val="00691BD2"/>
    <w:rsid w:val="00694A02"/>
    <w:rsid w:val="006A4BA5"/>
    <w:rsid w:val="006B28EE"/>
    <w:rsid w:val="006B2FC3"/>
    <w:rsid w:val="006C31CA"/>
    <w:rsid w:val="006C4BED"/>
    <w:rsid w:val="006C53D2"/>
    <w:rsid w:val="006C795D"/>
    <w:rsid w:val="006D0603"/>
    <w:rsid w:val="006D18DE"/>
    <w:rsid w:val="006D32A4"/>
    <w:rsid w:val="006D4B99"/>
    <w:rsid w:val="006E6AF8"/>
    <w:rsid w:val="006F2504"/>
    <w:rsid w:val="006F4850"/>
    <w:rsid w:val="006F7350"/>
    <w:rsid w:val="007037DD"/>
    <w:rsid w:val="007067C6"/>
    <w:rsid w:val="00717563"/>
    <w:rsid w:val="00730AB3"/>
    <w:rsid w:val="00732425"/>
    <w:rsid w:val="00733857"/>
    <w:rsid w:val="00733D1E"/>
    <w:rsid w:val="00733ED9"/>
    <w:rsid w:val="00735B24"/>
    <w:rsid w:val="0073761F"/>
    <w:rsid w:val="00742BE4"/>
    <w:rsid w:val="00743D44"/>
    <w:rsid w:val="00744A1D"/>
    <w:rsid w:val="0074530F"/>
    <w:rsid w:val="00750F54"/>
    <w:rsid w:val="007576E3"/>
    <w:rsid w:val="00757D9D"/>
    <w:rsid w:val="007640FB"/>
    <w:rsid w:val="0076680B"/>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1D97"/>
    <w:rsid w:val="007C23A0"/>
    <w:rsid w:val="007C378E"/>
    <w:rsid w:val="007C49D9"/>
    <w:rsid w:val="007D2042"/>
    <w:rsid w:val="007E21C3"/>
    <w:rsid w:val="007F6B43"/>
    <w:rsid w:val="00800EE9"/>
    <w:rsid w:val="00802693"/>
    <w:rsid w:val="008200F1"/>
    <w:rsid w:val="00820E6A"/>
    <w:rsid w:val="00834026"/>
    <w:rsid w:val="008421EA"/>
    <w:rsid w:val="00845CDF"/>
    <w:rsid w:val="00851147"/>
    <w:rsid w:val="008529D0"/>
    <w:rsid w:val="00855B7C"/>
    <w:rsid w:val="008621D6"/>
    <w:rsid w:val="00884A91"/>
    <w:rsid w:val="00890A16"/>
    <w:rsid w:val="008A0D3A"/>
    <w:rsid w:val="008A263C"/>
    <w:rsid w:val="008A3D32"/>
    <w:rsid w:val="008A5870"/>
    <w:rsid w:val="008A5DD5"/>
    <w:rsid w:val="008A6ABF"/>
    <w:rsid w:val="008A6D65"/>
    <w:rsid w:val="008A6EAC"/>
    <w:rsid w:val="008B7DD7"/>
    <w:rsid w:val="008C0EE0"/>
    <w:rsid w:val="008C1D70"/>
    <w:rsid w:val="008C27C0"/>
    <w:rsid w:val="008C38FE"/>
    <w:rsid w:val="008D152D"/>
    <w:rsid w:val="008D48AC"/>
    <w:rsid w:val="008D64ED"/>
    <w:rsid w:val="008D6D31"/>
    <w:rsid w:val="008E02E5"/>
    <w:rsid w:val="008E74ED"/>
    <w:rsid w:val="008E7D39"/>
    <w:rsid w:val="008F5EC2"/>
    <w:rsid w:val="00901D54"/>
    <w:rsid w:val="00901DA5"/>
    <w:rsid w:val="00902FB5"/>
    <w:rsid w:val="009070F5"/>
    <w:rsid w:val="00914CC9"/>
    <w:rsid w:val="0093033C"/>
    <w:rsid w:val="009356C5"/>
    <w:rsid w:val="009422D8"/>
    <w:rsid w:val="00944599"/>
    <w:rsid w:val="0095322A"/>
    <w:rsid w:val="009553F5"/>
    <w:rsid w:val="009676B9"/>
    <w:rsid w:val="00982FFF"/>
    <w:rsid w:val="00987A9A"/>
    <w:rsid w:val="00987DF2"/>
    <w:rsid w:val="00992087"/>
    <w:rsid w:val="00992710"/>
    <w:rsid w:val="009A595E"/>
    <w:rsid w:val="009A623C"/>
    <w:rsid w:val="009B33CC"/>
    <w:rsid w:val="009B69AB"/>
    <w:rsid w:val="009E3171"/>
    <w:rsid w:val="009F3211"/>
    <w:rsid w:val="00A00656"/>
    <w:rsid w:val="00A01333"/>
    <w:rsid w:val="00A01FB2"/>
    <w:rsid w:val="00A02279"/>
    <w:rsid w:val="00A03F84"/>
    <w:rsid w:val="00A03FB3"/>
    <w:rsid w:val="00A04FCC"/>
    <w:rsid w:val="00A1281A"/>
    <w:rsid w:val="00A151C5"/>
    <w:rsid w:val="00A17D1D"/>
    <w:rsid w:val="00A20966"/>
    <w:rsid w:val="00A26EC4"/>
    <w:rsid w:val="00A31BE9"/>
    <w:rsid w:val="00A40923"/>
    <w:rsid w:val="00A5794C"/>
    <w:rsid w:val="00A7238F"/>
    <w:rsid w:val="00A91F48"/>
    <w:rsid w:val="00A939BC"/>
    <w:rsid w:val="00AA4178"/>
    <w:rsid w:val="00AA64FB"/>
    <w:rsid w:val="00AB239C"/>
    <w:rsid w:val="00AB3AB7"/>
    <w:rsid w:val="00AB5274"/>
    <w:rsid w:val="00AC2749"/>
    <w:rsid w:val="00AD4C82"/>
    <w:rsid w:val="00AE3BDB"/>
    <w:rsid w:val="00AE5649"/>
    <w:rsid w:val="00B02301"/>
    <w:rsid w:val="00B03754"/>
    <w:rsid w:val="00B11FF4"/>
    <w:rsid w:val="00B13060"/>
    <w:rsid w:val="00B267A3"/>
    <w:rsid w:val="00B2730F"/>
    <w:rsid w:val="00B329DB"/>
    <w:rsid w:val="00B341F1"/>
    <w:rsid w:val="00B41A08"/>
    <w:rsid w:val="00B4372D"/>
    <w:rsid w:val="00B440EB"/>
    <w:rsid w:val="00B45D11"/>
    <w:rsid w:val="00B50B2D"/>
    <w:rsid w:val="00B564FE"/>
    <w:rsid w:val="00B56B8D"/>
    <w:rsid w:val="00B64636"/>
    <w:rsid w:val="00B64D46"/>
    <w:rsid w:val="00B65B18"/>
    <w:rsid w:val="00B6604D"/>
    <w:rsid w:val="00B66616"/>
    <w:rsid w:val="00B66B48"/>
    <w:rsid w:val="00B74EBD"/>
    <w:rsid w:val="00B750D0"/>
    <w:rsid w:val="00B75420"/>
    <w:rsid w:val="00B75CD4"/>
    <w:rsid w:val="00B76F60"/>
    <w:rsid w:val="00B779A9"/>
    <w:rsid w:val="00B82EAA"/>
    <w:rsid w:val="00B85D8C"/>
    <w:rsid w:val="00B95F1E"/>
    <w:rsid w:val="00BA3AA3"/>
    <w:rsid w:val="00BA4CD6"/>
    <w:rsid w:val="00BA56DA"/>
    <w:rsid w:val="00BA5A9A"/>
    <w:rsid w:val="00BA61EE"/>
    <w:rsid w:val="00BA761C"/>
    <w:rsid w:val="00BC63F3"/>
    <w:rsid w:val="00BD0348"/>
    <w:rsid w:val="00BD12AB"/>
    <w:rsid w:val="00BE7291"/>
    <w:rsid w:val="00C02DBF"/>
    <w:rsid w:val="00C03332"/>
    <w:rsid w:val="00C04A0B"/>
    <w:rsid w:val="00C13341"/>
    <w:rsid w:val="00C143E8"/>
    <w:rsid w:val="00C1688A"/>
    <w:rsid w:val="00C17668"/>
    <w:rsid w:val="00C24D82"/>
    <w:rsid w:val="00C321EA"/>
    <w:rsid w:val="00C335DF"/>
    <w:rsid w:val="00C33891"/>
    <w:rsid w:val="00C34B2A"/>
    <w:rsid w:val="00C452AC"/>
    <w:rsid w:val="00C50FB8"/>
    <w:rsid w:val="00C5685E"/>
    <w:rsid w:val="00C56C15"/>
    <w:rsid w:val="00C60A57"/>
    <w:rsid w:val="00C65016"/>
    <w:rsid w:val="00C70FAF"/>
    <w:rsid w:val="00C73929"/>
    <w:rsid w:val="00C76988"/>
    <w:rsid w:val="00C82160"/>
    <w:rsid w:val="00C82911"/>
    <w:rsid w:val="00C82D38"/>
    <w:rsid w:val="00C85260"/>
    <w:rsid w:val="00C861D2"/>
    <w:rsid w:val="00C92281"/>
    <w:rsid w:val="00C92CDA"/>
    <w:rsid w:val="00C9472B"/>
    <w:rsid w:val="00C95A4E"/>
    <w:rsid w:val="00C96597"/>
    <w:rsid w:val="00C969F3"/>
    <w:rsid w:val="00CA1EB2"/>
    <w:rsid w:val="00CC1FC2"/>
    <w:rsid w:val="00CC27FE"/>
    <w:rsid w:val="00CC4EF4"/>
    <w:rsid w:val="00CC5A7E"/>
    <w:rsid w:val="00CC60E7"/>
    <w:rsid w:val="00CC7753"/>
    <w:rsid w:val="00CC7CA2"/>
    <w:rsid w:val="00CD11C3"/>
    <w:rsid w:val="00CD3760"/>
    <w:rsid w:val="00CE233A"/>
    <w:rsid w:val="00D10555"/>
    <w:rsid w:val="00D12622"/>
    <w:rsid w:val="00D222D8"/>
    <w:rsid w:val="00D23277"/>
    <w:rsid w:val="00D23CE5"/>
    <w:rsid w:val="00D301B2"/>
    <w:rsid w:val="00D304D1"/>
    <w:rsid w:val="00D36966"/>
    <w:rsid w:val="00D43C47"/>
    <w:rsid w:val="00D4502B"/>
    <w:rsid w:val="00D47851"/>
    <w:rsid w:val="00D50A88"/>
    <w:rsid w:val="00D50D04"/>
    <w:rsid w:val="00D510D6"/>
    <w:rsid w:val="00D80D44"/>
    <w:rsid w:val="00D9120C"/>
    <w:rsid w:val="00D9415C"/>
    <w:rsid w:val="00D94839"/>
    <w:rsid w:val="00D9574F"/>
    <w:rsid w:val="00D96515"/>
    <w:rsid w:val="00D96FAA"/>
    <w:rsid w:val="00D97C6A"/>
    <w:rsid w:val="00D97F3C"/>
    <w:rsid w:val="00DA22E1"/>
    <w:rsid w:val="00DA51EB"/>
    <w:rsid w:val="00DB2833"/>
    <w:rsid w:val="00DB78AA"/>
    <w:rsid w:val="00DD3616"/>
    <w:rsid w:val="00DD722D"/>
    <w:rsid w:val="00DE0A50"/>
    <w:rsid w:val="00DF7A67"/>
    <w:rsid w:val="00E0170F"/>
    <w:rsid w:val="00E115EE"/>
    <w:rsid w:val="00E212D0"/>
    <w:rsid w:val="00E25EA0"/>
    <w:rsid w:val="00E27255"/>
    <w:rsid w:val="00E3334B"/>
    <w:rsid w:val="00E371BB"/>
    <w:rsid w:val="00E476B6"/>
    <w:rsid w:val="00E62BED"/>
    <w:rsid w:val="00E658B2"/>
    <w:rsid w:val="00E73A1B"/>
    <w:rsid w:val="00E76310"/>
    <w:rsid w:val="00E83CB5"/>
    <w:rsid w:val="00E95A6B"/>
    <w:rsid w:val="00EA0056"/>
    <w:rsid w:val="00EA14B9"/>
    <w:rsid w:val="00EB00FD"/>
    <w:rsid w:val="00EB2CC8"/>
    <w:rsid w:val="00EB31CA"/>
    <w:rsid w:val="00EB7C69"/>
    <w:rsid w:val="00EC6938"/>
    <w:rsid w:val="00ED310D"/>
    <w:rsid w:val="00EE7651"/>
    <w:rsid w:val="00EF4F03"/>
    <w:rsid w:val="00F00C4C"/>
    <w:rsid w:val="00F03CB8"/>
    <w:rsid w:val="00F04553"/>
    <w:rsid w:val="00F05821"/>
    <w:rsid w:val="00F10548"/>
    <w:rsid w:val="00F1343A"/>
    <w:rsid w:val="00F21027"/>
    <w:rsid w:val="00F33606"/>
    <w:rsid w:val="00F34371"/>
    <w:rsid w:val="00F35903"/>
    <w:rsid w:val="00F3623A"/>
    <w:rsid w:val="00F4594E"/>
    <w:rsid w:val="00F5332E"/>
    <w:rsid w:val="00F54B0B"/>
    <w:rsid w:val="00F57858"/>
    <w:rsid w:val="00F60524"/>
    <w:rsid w:val="00F641F7"/>
    <w:rsid w:val="00F724AD"/>
    <w:rsid w:val="00F72662"/>
    <w:rsid w:val="00F8464C"/>
    <w:rsid w:val="00F85736"/>
    <w:rsid w:val="00FB2A3E"/>
    <w:rsid w:val="00FB515C"/>
    <w:rsid w:val="00FC1CF1"/>
    <w:rsid w:val="00FC2ADF"/>
    <w:rsid w:val="00FD212A"/>
    <w:rsid w:val="00FD41B2"/>
    <w:rsid w:val="00FD4915"/>
    <w:rsid w:val="00FD4B3A"/>
    <w:rsid w:val="00FE0C5A"/>
    <w:rsid w:val="00FF1E9B"/>
    <w:rsid w:val="00FF20D1"/>
    <w:rsid w:val="00FF54AE"/>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C42"/>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Statement">
    <w:name w:val="EnStatement"/>
    <w:basedOn w:val="Normal"/>
    <w:rsid w:val="00425C42"/>
    <w:pPr>
      <w:numPr>
        <w:numId w:val="17"/>
      </w:numPr>
    </w:pPr>
    <w:rPr>
      <w:rFonts w:eastAsia="Times New Roman" w:cs="Times New Roman"/>
      <w:lang w:eastAsia="en-AU"/>
    </w:rPr>
  </w:style>
  <w:style w:type="paragraph" w:customStyle="1" w:styleId="EnStatementHeading">
    <w:name w:val="EnStatementHeading"/>
    <w:basedOn w:val="Normal"/>
    <w:rsid w:val="00425C42"/>
    <w:rPr>
      <w:rFonts w:eastAsia="Times New Roman" w:cs="Times New Roman"/>
      <w:b/>
      <w:lang w:eastAsia="en-AU"/>
    </w:rPr>
  </w:style>
  <w:style w:type="paragraph" w:styleId="Footer">
    <w:name w:val="footer"/>
    <w:link w:val="FooterChar"/>
    <w:rsid w:val="00425C42"/>
    <w:pPr>
      <w:tabs>
        <w:tab w:val="center" w:pos="4153"/>
        <w:tab w:val="right" w:pos="8306"/>
      </w:tabs>
    </w:pPr>
    <w:rPr>
      <w:sz w:val="22"/>
      <w:szCs w:val="24"/>
    </w:rPr>
  </w:style>
  <w:style w:type="paragraph" w:customStyle="1" w:styleId="Transitional">
    <w:name w:val="Transitional"/>
    <w:aliases w:val="tr"/>
    <w:basedOn w:val="Normal"/>
    <w:next w:val="Normal"/>
    <w:rsid w:val="00425C42"/>
    <w:pPr>
      <w:keepNext/>
      <w:keepLines/>
      <w:spacing w:before="220" w:line="240" w:lineRule="auto"/>
      <w:ind w:left="709" w:hanging="709"/>
    </w:pPr>
    <w:rPr>
      <w:rFonts w:ascii="Arial" w:eastAsia="Times New Roman" w:hAnsi="Arial" w:cs="Times New Roman"/>
      <w:b/>
      <w:kern w:val="28"/>
      <w:sz w:val="24"/>
      <w:lang w:eastAsia="en-AU"/>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25C4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25C4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5C4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25C42"/>
  </w:style>
  <w:style w:type="character" w:customStyle="1" w:styleId="CharAmSchText">
    <w:name w:val="CharAmSchText"/>
    <w:basedOn w:val="OPCCharBase"/>
    <w:uiPriority w:val="1"/>
    <w:qFormat/>
    <w:rsid w:val="00425C42"/>
  </w:style>
  <w:style w:type="character" w:customStyle="1" w:styleId="CharChapNo">
    <w:name w:val="CharChapNo"/>
    <w:basedOn w:val="OPCCharBase"/>
    <w:qFormat/>
    <w:rsid w:val="00425C42"/>
  </w:style>
  <w:style w:type="character" w:customStyle="1" w:styleId="CharChapText">
    <w:name w:val="CharChapText"/>
    <w:basedOn w:val="OPCCharBase"/>
    <w:qFormat/>
    <w:rsid w:val="00425C42"/>
  </w:style>
  <w:style w:type="character" w:customStyle="1" w:styleId="CharDivNo">
    <w:name w:val="CharDivNo"/>
    <w:basedOn w:val="OPCCharBase"/>
    <w:qFormat/>
    <w:rsid w:val="00425C42"/>
  </w:style>
  <w:style w:type="character" w:customStyle="1" w:styleId="CharDivText">
    <w:name w:val="CharDivText"/>
    <w:basedOn w:val="OPCCharBase"/>
    <w:qFormat/>
    <w:rsid w:val="00425C42"/>
  </w:style>
  <w:style w:type="character" w:customStyle="1" w:styleId="CharPartNo">
    <w:name w:val="CharPartNo"/>
    <w:basedOn w:val="OPCCharBase"/>
    <w:qFormat/>
    <w:rsid w:val="00425C42"/>
  </w:style>
  <w:style w:type="character" w:customStyle="1" w:styleId="CharPartText">
    <w:name w:val="CharPartText"/>
    <w:basedOn w:val="OPCCharBase"/>
    <w:qFormat/>
    <w:rsid w:val="00425C42"/>
  </w:style>
  <w:style w:type="character" w:customStyle="1" w:styleId="OPCCharBase">
    <w:name w:val="OPCCharBase"/>
    <w:uiPriority w:val="1"/>
    <w:qFormat/>
    <w:rsid w:val="00425C42"/>
  </w:style>
  <w:style w:type="paragraph" w:customStyle="1" w:styleId="OPCParaBase">
    <w:name w:val="OPCParaBase"/>
    <w:qFormat/>
    <w:rsid w:val="00425C42"/>
    <w:pPr>
      <w:spacing w:line="260" w:lineRule="atLeast"/>
    </w:pPr>
    <w:rPr>
      <w:sz w:val="22"/>
    </w:rPr>
  </w:style>
  <w:style w:type="character" w:customStyle="1" w:styleId="CharSectno">
    <w:name w:val="CharSectno"/>
    <w:basedOn w:val="OPCCharBase"/>
    <w:qFormat/>
    <w:rsid w:val="00425C4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25C42"/>
    <w:pPr>
      <w:spacing w:line="240" w:lineRule="auto"/>
      <w:ind w:left="1134"/>
    </w:pPr>
    <w:rPr>
      <w:sz w:val="20"/>
    </w:rPr>
  </w:style>
  <w:style w:type="paragraph" w:customStyle="1" w:styleId="ShortT">
    <w:name w:val="ShortT"/>
    <w:basedOn w:val="OPCParaBase"/>
    <w:next w:val="Normal"/>
    <w:qFormat/>
    <w:rsid w:val="00425C42"/>
    <w:pPr>
      <w:spacing w:line="240" w:lineRule="auto"/>
    </w:pPr>
    <w:rPr>
      <w:b/>
      <w:sz w:val="40"/>
    </w:rPr>
  </w:style>
  <w:style w:type="paragraph" w:customStyle="1" w:styleId="Penalty">
    <w:name w:val="Penalty"/>
    <w:basedOn w:val="OPCParaBase"/>
    <w:rsid w:val="00425C42"/>
    <w:pPr>
      <w:tabs>
        <w:tab w:val="left" w:pos="2977"/>
      </w:tabs>
      <w:spacing w:before="180" w:line="240" w:lineRule="auto"/>
      <w:ind w:left="1985" w:hanging="851"/>
    </w:pPr>
  </w:style>
  <w:style w:type="paragraph" w:styleId="TOC1">
    <w:name w:val="toc 1"/>
    <w:basedOn w:val="OPCParaBase"/>
    <w:next w:val="Normal"/>
    <w:uiPriority w:val="39"/>
    <w:unhideWhenUsed/>
    <w:rsid w:val="00425C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5C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5C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5C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25C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5C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5C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5C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5C4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25C42"/>
    <w:pPr>
      <w:spacing w:line="240" w:lineRule="auto"/>
    </w:pPr>
    <w:rPr>
      <w:sz w:val="20"/>
    </w:rPr>
  </w:style>
  <w:style w:type="paragraph" w:customStyle="1" w:styleId="ActHead1">
    <w:name w:val="ActHead 1"/>
    <w:aliases w:val="c"/>
    <w:basedOn w:val="OPCParaBase"/>
    <w:next w:val="Normal"/>
    <w:qFormat/>
    <w:rsid w:val="00425C42"/>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25C4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425C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5C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5C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5C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5C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5C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5C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5C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5C42"/>
  </w:style>
  <w:style w:type="paragraph" w:customStyle="1" w:styleId="Blocks">
    <w:name w:val="Blocks"/>
    <w:aliases w:val="bb"/>
    <w:basedOn w:val="OPCParaBase"/>
    <w:qFormat/>
    <w:rsid w:val="00425C42"/>
    <w:pPr>
      <w:spacing w:line="240" w:lineRule="auto"/>
    </w:pPr>
    <w:rPr>
      <w:sz w:val="24"/>
    </w:rPr>
  </w:style>
  <w:style w:type="paragraph" w:customStyle="1" w:styleId="BoxText">
    <w:name w:val="BoxText"/>
    <w:aliases w:val="bt"/>
    <w:basedOn w:val="OPCParaBase"/>
    <w:qFormat/>
    <w:rsid w:val="00425C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5C42"/>
    <w:rPr>
      <w:b/>
    </w:rPr>
  </w:style>
  <w:style w:type="paragraph" w:customStyle="1" w:styleId="BoxHeadItalic">
    <w:name w:val="BoxHeadItalic"/>
    <w:aliases w:val="bhi"/>
    <w:basedOn w:val="BoxText"/>
    <w:next w:val="BoxStep"/>
    <w:qFormat/>
    <w:rsid w:val="00425C42"/>
    <w:rPr>
      <w:i/>
    </w:rPr>
  </w:style>
  <w:style w:type="paragraph" w:customStyle="1" w:styleId="BoxList">
    <w:name w:val="BoxList"/>
    <w:aliases w:val="bl"/>
    <w:basedOn w:val="BoxText"/>
    <w:qFormat/>
    <w:rsid w:val="00425C42"/>
    <w:pPr>
      <w:ind w:left="1559" w:hanging="425"/>
    </w:pPr>
  </w:style>
  <w:style w:type="paragraph" w:customStyle="1" w:styleId="BoxNote">
    <w:name w:val="BoxNote"/>
    <w:aliases w:val="bn"/>
    <w:basedOn w:val="BoxText"/>
    <w:qFormat/>
    <w:rsid w:val="00425C42"/>
    <w:pPr>
      <w:tabs>
        <w:tab w:val="left" w:pos="1985"/>
      </w:tabs>
      <w:spacing w:before="122" w:line="198" w:lineRule="exact"/>
      <w:ind w:left="2948" w:hanging="1814"/>
    </w:pPr>
    <w:rPr>
      <w:sz w:val="18"/>
    </w:rPr>
  </w:style>
  <w:style w:type="paragraph" w:customStyle="1" w:styleId="BoxPara">
    <w:name w:val="BoxPara"/>
    <w:aliases w:val="bp"/>
    <w:basedOn w:val="BoxText"/>
    <w:qFormat/>
    <w:rsid w:val="00425C42"/>
    <w:pPr>
      <w:tabs>
        <w:tab w:val="right" w:pos="2268"/>
      </w:tabs>
      <w:ind w:left="2552" w:hanging="1418"/>
    </w:pPr>
  </w:style>
  <w:style w:type="paragraph" w:customStyle="1" w:styleId="BoxStep">
    <w:name w:val="BoxStep"/>
    <w:aliases w:val="bs"/>
    <w:basedOn w:val="BoxText"/>
    <w:qFormat/>
    <w:rsid w:val="00425C42"/>
    <w:pPr>
      <w:ind w:left="1985" w:hanging="851"/>
    </w:pPr>
  </w:style>
  <w:style w:type="character" w:customStyle="1" w:styleId="CharAmPartNo">
    <w:name w:val="CharAmPartNo"/>
    <w:basedOn w:val="OPCCharBase"/>
    <w:uiPriority w:val="1"/>
    <w:qFormat/>
    <w:rsid w:val="00425C42"/>
  </w:style>
  <w:style w:type="character" w:customStyle="1" w:styleId="CharAmPartText">
    <w:name w:val="CharAmPartText"/>
    <w:basedOn w:val="OPCCharBase"/>
    <w:uiPriority w:val="1"/>
    <w:qFormat/>
    <w:rsid w:val="00425C42"/>
  </w:style>
  <w:style w:type="character" w:customStyle="1" w:styleId="CharBoldItalic">
    <w:name w:val="CharBoldItalic"/>
    <w:basedOn w:val="OPCCharBase"/>
    <w:uiPriority w:val="1"/>
    <w:qFormat/>
    <w:rsid w:val="00425C42"/>
    <w:rPr>
      <w:b/>
      <w:i/>
    </w:rPr>
  </w:style>
  <w:style w:type="character" w:customStyle="1" w:styleId="CharItalic">
    <w:name w:val="CharItalic"/>
    <w:basedOn w:val="OPCCharBase"/>
    <w:uiPriority w:val="1"/>
    <w:qFormat/>
    <w:rsid w:val="00425C42"/>
    <w:rPr>
      <w:i/>
    </w:rPr>
  </w:style>
  <w:style w:type="character" w:customStyle="1" w:styleId="CharSubdNo">
    <w:name w:val="CharSubdNo"/>
    <w:basedOn w:val="OPCCharBase"/>
    <w:uiPriority w:val="1"/>
    <w:qFormat/>
    <w:rsid w:val="00425C42"/>
  </w:style>
  <w:style w:type="character" w:customStyle="1" w:styleId="CharSubdText">
    <w:name w:val="CharSubdText"/>
    <w:basedOn w:val="OPCCharBase"/>
    <w:uiPriority w:val="1"/>
    <w:qFormat/>
    <w:rsid w:val="00425C42"/>
  </w:style>
  <w:style w:type="paragraph" w:customStyle="1" w:styleId="CTA--">
    <w:name w:val="CTA --"/>
    <w:basedOn w:val="OPCParaBase"/>
    <w:next w:val="Normal"/>
    <w:rsid w:val="00425C42"/>
    <w:pPr>
      <w:spacing w:before="60" w:line="240" w:lineRule="atLeast"/>
      <w:ind w:left="142" w:hanging="142"/>
    </w:pPr>
    <w:rPr>
      <w:sz w:val="20"/>
    </w:rPr>
  </w:style>
  <w:style w:type="paragraph" w:customStyle="1" w:styleId="CTA-">
    <w:name w:val="CTA -"/>
    <w:basedOn w:val="OPCParaBase"/>
    <w:rsid w:val="00425C42"/>
    <w:pPr>
      <w:spacing w:before="60" w:line="240" w:lineRule="atLeast"/>
      <w:ind w:left="85" w:hanging="85"/>
    </w:pPr>
    <w:rPr>
      <w:sz w:val="20"/>
    </w:rPr>
  </w:style>
  <w:style w:type="paragraph" w:customStyle="1" w:styleId="CTA---">
    <w:name w:val="CTA ---"/>
    <w:basedOn w:val="OPCParaBase"/>
    <w:next w:val="Normal"/>
    <w:rsid w:val="00425C42"/>
    <w:pPr>
      <w:spacing w:before="60" w:line="240" w:lineRule="atLeast"/>
      <w:ind w:left="198" w:hanging="198"/>
    </w:pPr>
    <w:rPr>
      <w:sz w:val="20"/>
    </w:rPr>
  </w:style>
  <w:style w:type="paragraph" w:customStyle="1" w:styleId="CTA----">
    <w:name w:val="CTA ----"/>
    <w:basedOn w:val="OPCParaBase"/>
    <w:next w:val="Normal"/>
    <w:rsid w:val="00425C42"/>
    <w:pPr>
      <w:spacing w:before="60" w:line="240" w:lineRule="atLeast"/>
      <w:ind w:left="255" w:hanging="255"/>
    </w:pPr>
    <w:rPr>
      <w:sz w:val="20"/>
    </w:rPr>
  </w:style>
  <w:style w:type="paragraph" w:customStyle="1" w:styleId="CTA1a">
    <w:name w:val="CTA 1(a)"/>
    <w:basedOn w:val="OPCParaBase"/>
    <w:rsid w:val="00425C42"/>
    <w:pPr>
      <w:tabs>
        <w:tab w:val="right" w:pos="414"/>
      </w:tabs>
      <w:spacing w:before="40" w:line="240" w:lineRule="atLeast"/>
      <w:ind w:left="675" w:hanging="675"/>
    </w:pPr>
    <w:rPr>
      <w:sz w:val="20"/>
    </w:rPr>
  </w:style>
  <w:style w:type="paragraph" w:customStyle="1" w:styleId="CTA1ai">
    <w:name w:val="CTA 1(a)(i)"/>
    <w:basedOn w:val="OPCParaBase"/>
    <w:rsid w:val="00425C42"/>
    <w:pPr>
      <w:tabs>
        <w:tab w:val="right" w:pos="1004"/>
      </w:tabs>
      <w:spacing w:before="40" w:line="240" w:lineRule="atLeast"/>
      <w:ind w:left="1253" w:hanging="1253"/>
    </w:pPr>
    <w:rPr>
      <w:sz w:val="20"/>
    </w:rPr>
  </w:style>
  <w:style w:type="paragraph" w:customStyle="1" w:styleId="CTA2a">
    <w:name w:val="CTA 2(a)"/>
    <w:basedOn w:val="OPCParaBase"/>
    <w:rsid w:val="00425C42"/>
    <w:pPr>
      <w:tabs>
        <w:tab w:val="right" w:pos="482"/>
      </w:tabs>
      <w:spacing w:before="40" w:line="240" w:lineRule="atLeast"/>
      <w:ind w:left="748" w:hanging="748"/>
    </w:pPr>
    <w:rPr>
      <w:sz w:val="20"/>
    </w:rPr>
  </w:style>
  <w:style w:type="paragraph" w:customStyle="1" w:styleId="CTA2ai">
    <w:name w:val="CTA 2(a)(i)"/>
    <w:basedOn w:val="OPCParaBase"/>
    <w:rsid w:val="00425C42"/>
    <w:pPr>
      <w:tabs>
        <w:tab w:val="right" w:pos="1089"/>
      </w:tabs>
      <w:spacing w:before="40" w:line="240" w:lineRule="atLeast"/>
      <w:ind w:left="1327" w:hanging="1327"/>
    </w:pPr>
    <w:rPr>
      <w:sz w:val="20"/>
    </w:rPr>
  </w:style>
  <w:style w:type="paragraph" w:customStyle="1" w:styleId="CTA3a">
    <w:name w:val="CTA 3(a)"/>
    <w:basedOn w:val="OPCParaBase"/>
    <w:rsid w:val="00425C42"/>
    <w:pPr>
      <w:tabs>
        <w:tab w:val="right" w:pos="556"/>
      </w:tabs>
      <w:spacing w:before="40" w:line="240" w:lineRule="atLeast"/>
      <w:ind w:left="805" w:hanging="805"/>
    </w:pPr>
    <w:rPr>
      <w:sz w:val="20"/>
    </w:rPr>
  </w:style>
  <w:style w:type="paragraph" w:customStyle="1" w:styleId="CTA3ai">
    <w:name w:val="CTA 3(a)(i)"/>
    <w:basedOn w:val="OPCParaBase"/>
    <w:rsid w:val="00425C42"/>
    <w:pPr>
      <w:tabs>
        <w:tab w:val="right" w:pos="1140"/>
      </w:tabs>
      <w:spacing w:before="40" w:line="240" w:lineRule="atLeast"/>
      <w:ind w:left="1361" w:hanging="1361"/>
    </w:pPr>
    <w:rPr>
      <w:sz w:val="20"/>
    </w:rPr>
  </w:style>
  <w:style w:type="paragraph" w:customStyle="1" w:styleId="CTA4a">
    <w:name w:val="CTA 4(a)"/>
    <w:basedOn w:val="OPCParaBase"/>
    <w:rsid w:val="00425C42"/>
    <w:pPr>
      <w:tabs>
        <w:tab w:val="right" w:pos="624"/>
      </w:tabs>
      <w:spacing w:before="40" w:line="240" w:lineRule="atLeast"/>
      <w:ind w:left="873" w:hanging="873"/>
    </w:pPr>
    <w:rPr>
      <w:sz w:val="20"/>
    </w:rPr>
  </w:style>
  <w:style w:type="paragraph" w:customStyle="1" w:styleId="CTA4ai">
    <w:name w:val="CTA 4(a)(i)"/>
    <w:basedOn w:val="OPCParaBase"/>
    <w:rsid w:val="00425C42"/>
    <w:pPr>
      <w:tabs>
        <w:tab w:val="right" w:pos="1213"/>
      </w:tabs>
      <w:spacing w:before="40" w:line="240" w:lineRule="atLeast"/>
      <w:ind w:left="1452" w:hanging="1452"/>
    </w:pPr>
    <w:rPr>
      <w:sz w:val="20"/>
    </w:rPr>
  </w:style>
  <w:style w:type="paragraph" w:customStyle="1" w:styleId="CTACAPS">
    <w:name w:val="CTA CAPS"/>
    <w:basedOn w:val="OPCParaBase"/>
    <w:rsid w:val="00425C42"/>
    <w:pPr>
      <w:spacing w:before="60" w:line="240" w:lineRule="atLeast"/>
    </w:pPr>
    <w:rPr>
      <w:sz w:val="20"/>
    </w:rPr>
  </w:style>
  <w:style w:type="paragraph" w:customStyle="1" w:styleId="CTAright">
    <w:name w:val="CTA right"/>
    <w:basedOn w:val="OPCParaBase"/>
    <w:rsid w:val="00425C42"/>
    <w:pPr>
      <w:spacing w:before="60" w:line="240" w:lineRule="auto"/>
      <w:jc w:val="right"/>
    </w:pPr>
    <w:rPr>
      <w:sz w:val="20"/>
    </w:rPr>
  </w:style>
  <w:style w:type="paragraph" w:customStyle="1" w:styleId="subsection">
    <w:name w:val="subsection"/>
    <w:aliases w:val="ss"/>
    <w:basedOn w:val="OPCParaBase"/>
    <w:link w:val="subsectionChar"/>
    <w:rsid w:val="00425C42"/>
    <w:pPr>
      <w:tabs>
        <w:tab w:val="right" w:pos="1021"/>
      </w:tabs>
      <w:spacing w:before="180" w:line="240" w:lineRule="auto"/>
      <w:ind w:left="1134" w:hanging="1134"/>
    </w:pPr>
  </w:style>
  <w:style w:type="paragraph" w:customStyle="1" w:styleId="Definition">
    <w:name w:val="Definition"/>
    <w:aliases w:val="dd"/>
    <w:basedOn w:val="OPCParaBase"/>
    <w:rsid w:val="00425C42"/>
    <w:pPr>
      <w:spacing w:before="180" w:line="240" w:lineRule="auto"/>
      <w:ind w:left="1134"/>
    </w:pPr>
  </w:style>
  <w:style w:type="paragraph" w:customStyle="1" w:styleId="EndNotespara">
    <w:name w:val="EndNotes(para)"/>
    <w:aliases w:val="eta"/>
    <w:basedOn w:val="OPCParaBase"/>
    <w:next w:val="EndNotessubpara"/>
    <w:rsid w:val="00425C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5C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5C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5C42"/>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25C42"/>
    <w:rPr>
      <w:sz w:val="16"/>
    </w:rPr>
  </w:style>
  <w:style w:type="paragraph" w:customStyle="1" w:styleId="House">
    <w:name w:val="House"/>
    <w:basedOn w:val="OPCParaBase"/>
    <w:rsid w:val="00425C42"/>
    <w:pPr>
      <w:spacing w:line="240" w:lineRule="auto"/>
    </w:pPr>
    <w:rPr>
      <w:sz w:val="28"/>
    </w:rPr>
  </w:style>
  <w:style w:type="paragraph" w:customStyle="1" w:styleId="Item">
    <w:name w:val="Item"/>
    <w:aliases w:val="i"/>
    <w:basedOn w:val="OPCParaBase"/>
    <w:next w:val="ItemHead"/>
    <w:rsid w:val="00425C42"/>
    <w:pPr>
      <w:keepLines/>
      <w:spacing w:before="80" w:line="240" w:lineRule="auto"/>
      <w:ind w:left="709"/>
    </w:pPr>
  </w:style>
  <w:style w:type="paragraph" w:customStyle="1" w:styleId="ItemHead">
    <w:name w:val="ItemHead"/>
    <w:aliases w:val="ih"/>
    <w:basedOn w:val="OPCParaBase"/>
    <w:next w:val="Item"/>
    <w:rsid w:val="00425C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5C42"/>
    <w:pPr>
      <w:spacing w:line="240" w:lineRule="auto"/>
    </w:pPr>
    <w:rPr>
      <w:b/>
      <w:sz w:val="32"/>
    </w:rPr>
  </w:style>
  <w:style w:type="paragraph" w:customStyle="1" w:styleId="notedraft">
    <w:name w:val="note(draft)"/>
    <w:aliases w:val="nd"/>
    <w:basedOn w:val="OPCParaBase"/>
    <w:rsid w:val="00425C42"/>
    <w:pPr>
      <w:spacing w:before="240" w:line="240" w:lineRule="auto"/>
      <w:ind w:left="284" w:hanging="284"/>
    </w:pPr>
    <w:rPr>
      <w:i/>
      <w:sz w:val="24"/>
    </w:rPr>
  </w:style>
  <w:style w:type="paragraph" w:customStyle="1" w:styleId="notemargin">
    <w:name w:val="note(margin)"/>
    <w:aliases w:val="nm"/>
    <w:basedOn w:val="OPCParaBase"/>
    <w:rsid w:val="00425C42"/>
    <w:pPr>
      <w:tabs>
        <w:tab w:val="left" w:pos="709"/>
      </w:tabs>
      <w:spacing w:before="122" w:line="198" w:lineRule="exact"/>
      <w:ind w:left="709" w:hanging="709"/>
    </w:pPr>
    <w:rPr>
      <w:sz w:val="18"/>
    </w:rPr>
  </w:style>
  <w:style w:type="paragraph" w:customStyle="1" w:styleId="noteToPara">
    <w:name w:val="noteToPara"/>
    <w:aliases w:val="ntp"/>
    <w:basedOn w:val="OPCParaBase"/>
    <w:rsid w:val="00425C42"/>
    <w:pPr>
      <w:spacing w:before="122" w:line="198" w:lineRule="exact"/>
      <w:ind w:left="2353" w:hanging="709"/>
    </w:pPr>
    <w:rPr>
      <w:sz w:val="18"/>
    </w:rPr>
  </w:style>
  <w:style w:type="paragraph" w:customStyle="1" w:styleId="noteParlAmend">
    <w:name w:val="note(ParlAmend)"/>
    <w:aliases w:val="npp"/>
    <w:basedOn w:val="OPCParaBase"/>
    <w:next w:val="ParlAmend"/>
    <w:rsid w:val="00425C42"/>
    <w:pPr>
      <w:spacing w:line="240" w:lineRule="auto"/>
      <w:jc w:val="right"/>
    </w:pPr>
    <w:rPr>
      <w:rFonts w:ascii="Arial" w:hAnsi="Arial"/>
      <w:b/>
      <w:i/>
    </w:rPr>
  </w:style>
  <w:style w:type="paragraph" w:customStyle="1" w:styleId="Page1">
    <w:name w:val="Page1"/>
    <w:basedOn w:val="OPCParaBase"/>
    <w:rsid w:val="00425C42"/>
    <w:pPr>
      <w:spacing w:before="5600" w:line="240" w:lineRule="auto"/>
    </w:pPr>
    <w:rPr>
      <w:b/>
      <w:sz w:val="32"/>
    </w:rPr>
  </w:style>
  <w:style w:type="paragraph" w:customStyle="1" w:styleId="paragraphsub">
    <w:name w:val="paragraph(sub)"/>
    <w:aliases w:val="aa"/>
    <w:basedOn w:val="OPCParaBase"/>
    <w:rsid w:val="00425C42"/>
    <w:pPr>
      <w:tabs>
        <w:tab w:val="right" w:pos="1985"/>
      </w:tabs>
      <w:spacing w:before="40" w:line="240" w:lineRule="auto"/>
      <w:ind w:left="2098" w:hanging="2098"/>
    </w:pPr>
  </w:style>
  <w:style w:type="paragraph" w:customStyle="1" w:styleId="paragraphsub-sub">
    <w:name w:val="paragraph(sub-sub)"/>
    <w:aliases w:val="aaa"/>
    <w:basedOn w:val="OPCParaBase"/>
    <w:rsid w:val="00425C42"/>
    <w:pPr>
      <w:tabs>
        <w:tab w:val="right" w:pos="2722"/>
      </w:tabs>
      <w:spacing w:before="40" w:line="240" w:lineRule="auto"/>
      <w:ind w:left="2835" w:hanging="2835"/>
    </w:pPr>
  </w:style>
  <w:style w:type="paragraph" w:customStyle="1" w:styleId="paragraph">
    <w:name w:val="paragraph"/>
    <w:aliases w:val="a"/>
    <w:basedOn w:val="OPCParaBase"/>
    <w:link w:val="paragraphChar"/>
    <w:rsid w:val="00425C42"/>
    <w:pPr>
      <w:tabs>
        <w:tab w:val="right" w:pos="1531"/>
      </w:tabs>
      <w:spacing w:before="40" w:line="240" w:lineRule="auto"/>
      <w:ind w:left="1644" w:hanging="1644"/>
    </w:pPr>
  </w:style>
  <w:style w:type="paragraph" w:customStyle="1" w:styleId="ParlAmend">
    <w:name w:val="ParlAmend"/>
    <w:aliases w:val="pp"/>
    <w:basedOn w:val="OPCParaBase"/>
    <w:rsid w:val="00425C42"/>
    <w:pPr>
      <w:spacing w:before="240" w:line="240" w:lineRule="atLeast"/>
      <w:ind w:hanging="567"/>
    </w:pPr>
    <w:rPr>
      <w:sz w:val="24"/>
    </w:rPr>
  </w:style>
  <w:style w:type="paragraph" w:customStyle="1" w:styleId="Portfolio">
    <w:name w:val="Portfolio"/>
    <w:basedOn w:val="OPCParaBase"/>
    <w:rsid w:val="00425C42"/>
    <w:pPr>
      <w:spacing w:line="240" w:lineRule="auto"/>
    </w:pPr>
    <w:rPr>
      <w:i/>
      <w:sz w:val="20"/>
    </w:rPr>
  </w:style>
  <w:style w:type="paragraph" w:customStyle="1" w:styleId="Preamble">
    <w:name w:val="Preamble"/>
    <w:basedOn w:val="OPCParaBase"/>
    <w:next w:val="Normal"/>
    <w:rsid w:val="00425C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5C42"/>
    <w:pPr>
      <w:spacing w:line="240" w:lineRule="auto"/>
    </w:pPr>
    <w:rPr>
      <w:i/>
      <w:sz w:val="20"/>
    </w:rPr>
  </w:style>
  <w:style w:type="paragraph" w:customStyle="1" w:styleId="Session">
    <w:name w:val="Session"/>
    <w:basedOn w:val="OPCParaBase"/>
    <w:rsid w:val="00425C42"/>
    <w:pPr>
      <w:spacing w:line="240" w:lineRule="auto"/>
    </w:pPr>
    <w:rPr>
      <w:sz w:val="28"/>
    </w:rPr>
  </w:style>
  <w:style w:type="paragraph" w:customStyle="1" w:styleId="Sponsor">
    <w:name w:val="Sponsor"/>
    <w:basedOn w:val="OPCParaBase"/>
    <w:rsid w:val="00425C42"/>
    <w:pPr>
      <w:spacing w:line="240" w:lineRule="auto"/>
    </w:pPr>
    <w:rPr>
      <w:i/>
    </w:rPr>
  </w:style>
  <w:style w:type="paragraph" w:customStyle="1" w:styleId="Subitem">
    <w:name w:val="Subitem"/>
    <w:aliases w:val="iss"/>
    <w:basedOn w:val="OPCParaBase"/>
    <w:rsid w:val="00425C42"/>
    <w:pPr>
      <w:spacing w:before="180" w:line="240" w:lineRule="auto"/>
      <w:ind w:left="709" w:hanging="709"/>
    </w:pPr>
  </w:style>
  <w:style w:type="paragraph" w:customStyle="1" w:styleId="SubitemHead">
    <w:name w:val="SubitemHead"/>
    <w:aliases w:val="issh"/>
    <w:basedOn w:val="OPCParaBase"/>
    <w:rsid w:val="00425C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5C42"/>
    <w:pPr>
      <w:spacing w:before="40" w:line="240" w:lineRule="auto"/>
      <w:ind w:left="1134"/>
    </w:pPr>
  </w:style>
  <w:style w:type="paragraph" w:customStyle="1" w:styleId="SubsectionHead">
    <w:name w:val="SubsectionHead"/>
    <w:aliases w:val="ssh"/>
    <w:basedOn w:val="OPCParaBase"/>
    <w:next w:val="subsection"/>
    <w:rsid w:val="00425C42"/>
    <w:pPr>
      <w:keepNext/>
      <w:keepLines/>
      <w:spacing w:before="240" w:line="240" w:lineRule="auto"/>
      <w:ind w:left="1134"/>
    </w:pPr>
    <w:rPr>
      <w:i/>
    </w:rPr>
  </w:style>
  <w:style w:type="paragraph" w:customStyle="1" w:styleId="Tablea">
    <w:name w:val="Table(a)"/>
    <w:aliases w:val="ta"/>
    <w:basedOn w:val="OPCParaBase"/>
    <w:rsid w:val="00425C42"/>
    <w:pPr>
      <w:spacing w:before="60" w:line="240" w:lineRule="auto"/>
      <w:ind w:left="284" w:hanging="284"/>
    </w:pPr>
    <w:rPr>
      <w:sz w:val="20"/>
    </w:rPr>
  </w:style>
  <w:style w:type="paragraph" w:customStyle="1" w:styleId="TableAA">
    <w:name w:val="Table(AA)"/>
    <w:aliases w:val="taaa"/>
    <w:basedOn w:val="OPCParaBase"/>
    <w:rsid w:val="00425C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5C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5C42"/>
    <w:pPr>
      <w:spacing w:before="60" w:line="240" w:lineRule="atLeast"/>
    </w:pPr>
    <w:rPr>
      <w:sz w:val="20"/>
    </w:rPr>
  </w:style>
  <w:style w:type="paragraph" w:customStyle="1" w:styleId="TLPBoxTextnote">
    <w:name w:val="TLPBoxText(note"/>
    <w:aliases w:val="right)"/>
    <w:basedOn w:val="OPCParaBase"/>
    <w:rsid w:val="00425C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5C4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5C42"/>
    <w:pPr>
      <w:spacing w:before="122" w:line="198" w:lineRule="exact"/>
      <w:ind w:left="1985" w:hanging="851"/>
      <w:jc w:val="right"/>
    </w:pPr>
    <w:rPr>
      <w:sz w:val="18"/>
    </w:rPr>
  </w:style>
  <w:style w:type="paragraph" w:customStyle="1" w:styleId="TLPTableBullet">
    <w:name w:val="TLPTableBullet"/>
    <w:aliases w:val="ttb"/>
    <w:basedOn w:val="OPCParaBase"/>
    <w:rsid w:val="00425C42"/>
    <w:pPr>
      <w:spacing w:line="240" w:lineRule="exact"/>
      <w:ind w:left="284" w:hanging="284"/>
    </w:pPr>
    <w:rPr>
      <w:sz w:val="20"/>
    </w:rPr>
  </w:style>
  <w:style w:type="paragraph" w:customStyle="1" w:styleId="TofSectsGroupHeading">
    <w:name w:val="TofSects(GroupHeading)"/>
    <w:basedOn w:val="OPCParaBase"/>
    <w:next w:val="TofSectsSection"/>
    <w:rsid w:val="00425C42"/>
    <w:pPr>
      <w:keepLines/>
      <w:spacing w:before="240" w:after="120" w:line="240" w:lineRule="auto"/>
      <w:ind w:left="794"/>
    </w:pPr>
    <w:rPr>
      <w:b/>
      <w:kern w:val="28"/>
      <w:sz w:val="20"/>
    </w:rPr>
  </w:style>
  <w:style w:type="paragraph" w:customStyle="1" w:styleId="TofSectsHeading">
    <w:name w:val="TofSects(Heading)"/>
    <w:basedOn w:val="OPCParaBase"/>
    <w:rsid w:val="00425C42"/>
    <w:pPr>
      <w:spacing w:before="240" w:after="120" w:line="240" w:lineRule="auto"/>
    </w:pPr>
    <w:rPr>
      <w:b/>
      <w:sz w:val="24"/>
    </w:rPr>
  </w:style>
  <w:style w:type="paragraph" w:customStyle="1" w:styleId="TofSectsSection">
    <w:name w:val="TofSects(Section)"/>
    <w:basedOn w:val="OPCParaBase"/>
    <w:rsid w:val="00425C42"/>
    <w:pPr>
      <w:keepLines/>
      <w:spacing w:before="40" w:line="240" w:lineRule="auto"/>
      <w:ind w:left="1588" w:hanging="794"/>
    </w:pPr>
    <w:rPr>
      <w:kern w:val="28"/>
      <w:sz w:val="18"/>
    </w:rPr>
  </w:style>
  <w:style w:type="paragraph" w:customStyle="1" w:styleId="TofSectsSubdiv">
    <w:name w:val="TofSects(Subdiv)"/>
    <w:basedOn w:val="OPCParaBase"/>
    <w:rsid w:val="00425C42"/>
    <w:pPr>
      <w:keepLines/>
      <w:spacing w:before="80" w:line="240" w:lineRule="auto"/>
      <w:ind w:left="1588" w:hanging="794"/>
    </w:pPr>
    <w:rPr>
      <w:kern w:val="28"/>
    </w:rPr>
  </w:style>
  <w:style w:type="paragraph" w:customStyle="1" w:styleId="WRStyle">
    <w:name w:val="WR Style"/>
    <w:aliases w:val="WR"/>
    <w:basedOn w:val="OPCParaBase"/>
    <w:rsid w:val="00425C42"/>
    <w:pPr>
      <w:spacing w:before="240" w:line="240" w:lineRule="auto"/>
      <w:ind w:left="284" w:hanging="284"/>
    </w:pPr>
    <w:rPr>
      <w:b/>
      <w:i/>
      <w:kern w:val="28"/>
      <w:sz w:val="24"/>
    </w:rPr>
  </w:style>
  <w:style w:type="paragraph" w:customStyle="1" w:styleId="notepara">
    <w:name w:val="note(para)"/>
    <w:aliases w:val="na"/>
    <w:basedOn w:val="OPCParaBase"/>
    <w:rsid w:val="00425C42"/>
    <w:pPr>
      <w:spacing w:before="40" w:line="198" w:lineRule="exact"/>
      <w:ind w:left="2354" w:hanging="369"/>
    </w:pPr>
    <w:rPr>
      <w:sz w:val="18"/>
    </w:rPr>
  </w:style>
  <w:style w:type="character" w:customStyle="1" w:styleId="FooterChar">
    <w:name w:val="Footer Char"/>
    <w:basedOn w:val="DefaultParagraphFont"/>
    <w:link w:val="Footer"/>
    <w:rsid w:val="00425C42"/>
    <w:rPr>
      <w:sz w:val="22"/>
      <w:szCs w:val="24"/>
    </w:rPr>
  </w:style>
  <w:style w:type="table" w:customStyle="1" w:styleId="CFlag">
    <w:name w:val="CFlag"/>
    <w:basedOn w:val="TableNormal"/>
    <w:uiPriority w:val="99"/>
    <w:rsid w:val="00425C42"/>
    <w:tblPr/>
  </w:style>
  <w:style w:type="character" w:customStyle="1" w:styleId="BalloonTextChar">
    <w:name w:val="Balloon Text Char"/>
    <w:basedOn w:val="DefaultParagraphFont"/>
    <w:link w:val="BalloonText"/>
    <w:uiPriority w:val="99"/>
    <w:rsid w:val="00425C42"/>
    <w:rPr>
      <w:rFonts w:ascii="Tahoma" w:eastAsiaTheme="minorHAnsi" w:hAnsi="Tahoma" w:cs="Tahoma"/>
      <w:sz w:val="16"/>
      <w:szCs w:val="16"/>
      <w:lang w:eastAsia="en-US"/>
    </w:rPr>
  </w:style>
  <w:style w:type="paragraph" w:customStyle="1" w:styleId="InstNo">
    <w:name w:val="InstNo"/>
    <w:basedOn w:val="OPCParaBase"/>
    <w:next w:val="Normal"/>
    <w:rsid w:val="00425C42"/>
    <w:rPr>
      <w:b/>
      <w:sz w:val="28"/>
      <w:szCs w:val="32"/>
    </w:rPr>
  </w:style>
  <w:style w:type="paragraph" w:customStyle="1" w:styleId="TerritoryT">
    <w:name w:val="TerritoryT"/>
    <w:basedOn w:val="OPCParaBase"/>
    <w:next w:val="Normal"/>
    <w:rsid w:val="00425C42"/>
    <w:rPr>
      <w:b/>
      <w:sz w:val="32"/>
    </w:rPr>
  </w:style>
  <w:style w:type="paragraph" w:customStyle="1" w:styleId="LegislationMadeUnder">
    <w:name w:val="LegislationMadeUnder"/>
    <w:basedOn w:val="OPCParaBase"/>
    <w:next w:val="Normal"/>
    <w:rsid w:val="00425C42"/>
    <w:rPr>
      <w:i/>
      <w:sz w:val="32"/>
      <w:szCs w:val="32"/>
    </w:rPr>
  </w:style>
  <w:style w:type="paragraph" w:customStyle="1" w:styleId="ActHead10">
    <w:name w:val="ActHead 10"/>
    <w:aliases w:val="sp"/>
    <w:basedOn w:val="OPCParaBase"/>
    <w:next w:val="ActHead3"/>
    <w:rsid w:val="00425C42"/>
    <w:pPr>
      <w:keepNext/>
      <w:spacing w:before="280" w:line="240" w:lineRule="auto"/>
      <w:outlineLvl w:val="1"/>
    </w:pPr>
    <w:rPr>
      <w:b/>
      <w:sz w:val="32"/>
      <w:szCs w:val="30"/>
    </w:rPr>
  </w:style>
  <w:style w:type="paragraph" w:customStyle="1" w:styleId="SignCoverPageEnd">
    <w:name w:val="SignCoverPageEnd"/>
    <w:basedOn w:val="OPCParaBase"/>
    <w:next w:val="Normal"/>
    <w:rsid w:val="00425C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5C42"/>
    <w:pPr>
      <w:pBdr>
        <w:top w:val="single" w:sz="4" w:space="1" w:color="auto"/>
      </w:pBdr>
      <w:spacing w:before="360"/>
      <w:ind w:right="397"/>
      <w:jc w:val="both"/>
    </w:pPr>
  </w:style>
  <w:style w:type="paragraph" w:customStyle="1" w:styleId="NotesHeading2">
    <w:name w:val="NotesHeading 2"/>
    <w:basedOn w:val="OPCParaBase"/>
    <w:next w:val="Normal"/>
    <w:rsid w:val="00425C42"/>
    <w:rPr>
      <w:b/>
      <w:sz w:val="28"/>
      <w:szCs w:val="28"/>
    </w:rPr>
  </w:style>
  <w:style w:type="paragraph" w:customStyle="1" w:styleId="NotesHeading1">
    <w:name w:val="NotesHeading 1"/>
    <w:basedOn w:val="OPCParaBase"/>
    <w:next w:val="Normal"/>
    <w:rsid w:val="00425C42"/>
    <w:rPr>
      <w:b/>
      <w:sz w:val="28"/>
      <w:szCs w:val="28"/>
    </w:rPr>
  </w:style>
  <w:style w:type="paragraph" w:customStyle="1" w:styleId="CompiledActNo">
    <w:name w:val="CompiledActNo"/>
    <w:basedOn w:val="OPCParaBase"/>
    <w:next w:val="Normal"/>
    <w:rsid w:val="00425C42"/>
    <w:rPr>
      <w:b/>
      <w:sz w:val="24"/>
      <w:szCs w:val="24"/>
    </w:rPr>
  </w:style>
  <w:style w:type="paragraph" w:customStyle="1" w:styleId="ENotesText">
    <w:name w:val="ENotesText"/>
    <w:aliases w:val="Ent"/>
    <w:basedOn w:val="OPCParaBase"/>
    <w:next w:val="Normal"/>
    <w:rsid w:val="00425C42"/>
    <w:pPr>
      <w:spacing w:before="120"/>
    </w:pPr>
  </w:style>
  <w:style w:type="paragraph" w:customStyle="1" w:styleId="CompiledMadeUnder">
    <w:name w:val="CompiledMadeUnder"/>
    <w:basedOn w:val="OPCParaBase"/>
    <w:next w:val="Normal"/>
    <w:rsid w:val="00425C42"/>
    <w:rPr>
      <w:i/>
      <w:sz w:val="24"/>
      <w:szCs w:val="24"/>
    </w:rPr>
  </w:style>
  <w:style w:type="paragraph" w:customStyle="1" w:styleId="Paragraphsub-sub-sub">
    <w:name w:val="Paragraph(sub-sub-sub)"/>
    <w:aliases w:val="aaaa"/>
    <w:basedOn w:val="OPCParaBase"/>
    <w:rsid w:val="00425C42"/>
    <w:pPr>
      <w:tabs>
        <w:tab w:val="right" w:pos="3402"/>
      </w:tabs>
      <w:spacing w:before="40" w:line="240" w:lineRule="auto"/>
      <w:ind w:left="3402" w:hanging="3402"/>
    </w:pPr>
  </w:style>
  <w:style w:type="paragraph" w:customStyle="1" w:styleId="TableTextEndNotes">
    <w:name w:val="TableTextEndNotes"/>
    <w:aliases w:val="Tten"/>
    <w:basedOn w:val="Normal"/>
    <w:rsid w:val="00425C42"/>
    <w:pPr>
      <w:spacing w:before="60" w:line="240" w:lineRule="auto"/>
    </w:pPr>
    <w:rPr>
      <w:rFonts w:cs="Arial"/>
      <w:sz w:val="20"/>
      <w:szCs w:val="22"/>
    </w:rPr>
  </w:style>
  <w:style w:type="paragraph" w:customStyle="1" w:styleId="NoteToSubpara">
    <w:name w:val="NoteToSubpara"/>
    <w:aliases w:val="nts"/>
    <w:basedOn w:val="OPCParaBase"/>
    <w:rsid w:val="00425C42"/>
    <w:pPr>
      <w:spacing w:before="40" w:line="198" w:lineRule="exact"/>
      <w:ind w:left="2835" w:hanging="709"/>
    </w:pPr>
    <w:rPr>
      <w:sz w:val="18"/>
    </w:rPr>
  </w:style>
  <w:style w:type="paragraph" w:customStyle="1" w:styleId="ENoteTableHeading">
    <w:name w:val="ENoteTableHeading"/>
    <w:aliases w:val="enth"/>
    <w:basedOn w:val="OPCParaBase"/>
    <w:rsid w:val="00425C42"/>
    <w:pPr>
      <w:keepNext/>
      <w:spacing w:before="60" w:line="240" w:lineRule="atLeast"/>
    </w:pPr>
    <w:rPr>
      <w:rFonts w:ascii="Arial" w:hAnsi="Arial"/>
      <w:b/>
      <w:sz w:val="16"/>
    </w:rPr>
  </w:style>
  <w:style w:type="paragraph" w:customStyle="1" w:styleId="ENoteTTi">
    <w:name w:val="ENoteTTi"/>
    <w:aliases w:val="entti"/>
    <w:basedOn w:val="OPCParaBase"/>
    <w:rsid w:val="00425C42"/>
    <w:pPr>
      <w:keepNext/>
      <w:spacing w:before="60" w:line="240" w:lineRule="atLeast"/>
      <w:ind w:left="170"/>
    </w:pPr>
    <w:rPr>
      <w:sz w:val="16"/>
    </w:rPr>
  </w:style>
  <w:style w:type="paragraph" w:customStyle="1" w:styleId="ENotesHeading1">
    <w:name w:val="ENotesHeading 1"/>
    <w:aliases w:val="Enh1"/>
    <w:basedOn w:val="OPCParaBase"/>
    <w:next w:val="Normal"/>
    <w:rsid w:val="00425C42"/>
    <w:pPr>
      <w:spacing w:before="120"/>
      <w:outlineLvl w:val="1"/>
    </w:pPr>
    <w:rPr>
      <w:b/>
      <w:sz w:val="28"/>
      <w:szCs w:val="28"/>
    </w:rPr>
  </w:style>
  <w:style w:type="paragraph" w:customStyle="1" w:styleId="ENotesHeading2">
    <w:name w:val="ENotesHeading 2"/>
    <w:aliases w:val="Enh2"/>
    <w:basedOn w:val="OPCParaBase"/>
    <w:next w:val="Normal"/>
    <w:rsid w:val="00425C42"/>
    <w:pPr>
      <w:spacing w:before="120" w:after="120"/>
      <w:outlineLvl w:val="2"/>
    </w:pPr>
    <w:rPr>
      <w:b/>
      <w:sz w:val="24"/>
      <w:szCs w:val="28"/>
    </w:rPr>
  </w:style>
  <w:style w:type="paragraph" w:customStyle="1" w:styleId="ENotesHeading3">
    <w:name w:val="ENotesHeading 3"/>
    <w:aliases w:val="Enh3"/>
    <w:basedOn w:val="OPCParaBase"/>
    <w:next w:val="Normal"/>
    <w:rsid w:val="00425C42"/>
    <w:pPr>
      <w:keepNext/>
      <w:spacing w:before="120" w:line="240" w:lineRule="auto"/>
      <w:outlineLvl w:val="4"/>
    </w:pPr>
    <w:rPr>
      <w:b/>
      <w:szCs w:val="24"/>
    </w:rPr>
  </w:style>
  <w:style w:type="paragraph" w:customStyle="1" w:styleId="ENoteTTIndentHeading">
    <w:name w:val="ENoteTTIndentHeading"/>
    <w:aliases w:val="enTTHi"/>
    <w:basedOn w:val="OPCParaBase"/>
    <w:rsid w:val="00425C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5C42"/>
    <w:pPr>
      <w:spacing w:before="60" w:line="240" w:lineRule="atLeast"/>
    </w:pPr>
    <w:rPr>
      <w:sz w:val="16"/>
    </w:rPr>
  </w:style>
  <w:style w:type="paragraph" w:customStyle="1" w:styleId="MadeunderText">
    <w:name w:val="MadeunderText"/>
    <w:basedOn w:val="OPCParaBase"/>
    <w:next w:val="CompiledMadeUnder"/>
    <w:rsid w:val="00425C42"/>
    <w:pPr>
      <w:spacing w:before="240"/>
    </w:pPr>
    <w:rPr>
      <w:sz w:val="24"/>
      <w:szCs w:val="24"/>
    </w:rPr>
  </w:style>
  <w:style w:type="paragraph" w:customStyle="1" w:styleId="SubPartCASA">
    <w:name w:val="SubPart(CASA)"/>
    <w:aliases w:val="csp"/>
    <w:basedOn w:val="OPCParaBase"/>
    <w:next w:val="ActHead3"/>
    <w:rsid w:val="00425C4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25C42"/>
  </w:style>
  <w:style w:type="character" w:customStyle="1" w:styleId="CharSubPartNoCASA">
    <w:name w:val="CharSubPartNo(CASA)"/>
    <w:basedOn w:val="OPCCharBase"/>
    <w:uiPriority w:val="1"/>
    <w:rsid w:val="00425C42"/>
  </w:style>
  <w:style w:type="paragraph" w:customStyle="1" w:styleId="ENoteTTIndentHeadingSub">
    <w:name w:val="ENoteTTIndentHeadingSub"/>
    <w:aliases w:val="enTTHis"/>
    <w:basedOn w:val="OPCParaBase"/>
    <w:rsid w:val="00425C42"/>
    <w:pPr>
      <w:keepNext/>
      <w:spacing w:before="60" w:line="240" w:lineRule="atLeast"/>
      <w:ind w:left="340"/>
    </w:pPr>
    <w:rPr>
      <w:b/>
      <w:sz w:val="16"/>
    </w:rPr>
  </w:style>
  <w:style w:type="paragraph" w:customStyle="1" w:styleId="ENoteTTiSub">
    <w:name w:val="ENoteTTiSub"/>
    <w:aliases w:val="enttis"/>
    <w:basedOn w:val="OPCParaBase"/>
    <w:rsid w:val="00425C42"/>
    <w:pPr>
      <w:keepNext/>
      <w:spacing w:before="60" w:line="240" w:lineRule="atLeast"/>
      <w:ind w:left="340"/>
    </w:pPr>
    <w:rPr>
      <w:sz w:val="16"/>
    </w:rPr>
  </w:style>
  <w:style w:type="paragraph" w:customStyle="1" w:styleId="SubDivisionMigration">
    <w:name w:val="SubDivisionMigration"/>
    <w:aliases w:val="sdm"/>
    <w:basedOn w:val="OPCParaBase"/>
    <w:rsid w:val="00425C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5C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5C42"/>
    <w:pPr>
      <w:spacing w:before="122" w:line="240" w:lineRule="auto"/>
      <w:ind w:left="1985" w:hanging="851"/>
    </w:pPr>
    <w:rPr>
      <w:sz w:val="18"/>
    </w:rPr>
  </w:style>
  <w:style w:type="paragraph" w:customStyle="1" w:styleId="FreeForm">
    <w:name w:val="FreeForm"/>
    <w:rsid w:val="00425C42"/>
    <w:rPr>
      <w:rFonts w:ascii="Arial" w:eastAsiaTheme="minorHAnsi" w:hAnsi="Arial" w:cstheme="minorBidi"/>
      <w:sz w:val="22"/>
      <w:lang w:eastAsia="en-US"/>
    </w:rPr>
  </w:style>
  <w:style w:type="paragraph" w:customStyle="1" w:styleId="SOText">
    <w:name w:val="SO Text"/>
    <w:aliases w:val="sot"/>
    <w:link w:val="SOTextChar"/>
    <w:rsid w:val="00425C4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5C42"/>
    <w:rPr>
      <w:rFonts w:eastAsiaTheme="minorHAnsi" w:cstheme="minorBidi"/>
      <w:sz w:val="22"/>
      <w:lang w:eastAsia="en-US"/>
    </w:rPr>
  </w:style>
  <w:style w:type="paragraph" w:customStyle="1" w:styleId="SOTextNote">
    <w:name w:val="SO TextNote"/>
    <w:aliases w:val="sont"/>
    <w:basedOn w:val="SOText"/>
    <w:qFormat/>
    <w:rsid w:val="00425C42"/>
    <w:pPr>
      <w:spacing w:before="122" w:line="198" w:lineRule="exact"/>
      <w:ind w:left="1843" w:hanging="709"/>
    </w:pPr>
    <w:rPr>
      <w:sz w:val="18"/>
    </w:rPr>
  </w:style>
  <w:style w:type="paragraph" w:customStyle="1" w:styleId="SOPara">
    <w:name w:val="SO Para"/>
    <w:aliases w:val="soa"/>
    <w:basedOn w:val="SOText"/>
    <w:link w:val="SOParaChar"/>
    <w:qFormat/>
    <w:rsid w:val="00425C42"/>
    <w:pPr>
      <w:tabs>
        <w:tab w:val="right" w:pos="1786"/>
      </w:tabs>
      <w:spacing w:before="40"/>
      <w:ind w:left="2070" w:hanging="936"/>
    </w:pPr>
  </w:style>
  <w:style w:type="character" w:customStyle="1" w:styleId="SOParaChar">
    <w:name w:val="SO Para Char"/>
    <w:aliases w:val="soa Char"/>
    <w:basedOn w:val="DefaultParagraphFont"/>
    <w:link w:val="SOPara"/>
    <w:rsid w:val="00425C42"/>
    <w:rPr>
      <w:rFonts w:eastAsiaTheme="minorHAnsi" w:cstheme="minorBidi"/>
      <w:sz w:val="22"/>
      <w:lang w:eastAsia="en-US"/>
    </w:rPr>
  </w:style>
  <w:style w:type="paragraph" w:customStyle="1" w:styleId="FileName">
    <w:name w:val="FileName"/>
    <w:basedOn w:val="Normal"/>
    <w:rsid w:val="00425C42"/>
  </w:style>
  <w:style w:type="paragraph" w:customStyle="1" w:styleId="TableHeading">
    <w:name w:val="TableHeading"/>
    <w:aliases w:val="th"/>
    <w:basedOn w:val="OPCParaBase"/>
    <w:next w:val="Tabletext"/>
    <w:rsid w:val="00425C42"/>
    <w:pPr>
      <w:keepNext/>
      <w:spacing w:before="60" w:line="240" w:lineRule="atLeast"/>
    </w:pPr>
    <w:rPr>
      <w:b/>
      <w:sz w:val="20"/>
    </w:rPr>
  </w:style>
  <w:style w:type="paragraph" w:customStyle="1" w:styleId="SOHeadBold">
    <w:name w:val="SO HeadBold"/>
    <w:aliases w:val="sohb"/>
    <w:basedOn w:val="SOText"/>
    <w:next w:val="SOText"/>
    <w:link w:val="SOHeadBoldChar"/>
    <w:qFormat/>
    <w:rsid w:val="00425C42"/>
    <w:rPr>
      <w:b/>
    </w:rPr>
  </w:style>
  <w:style w:type="character" w:customStyle="1" w:styleId="SOHeadBoldChar">
    <w:name w:val="SO HeadBold Char"/>
    <w:aliases w:val="sohb Char"/>
    <w:basedOn w:val="DefaultParagraphFont"/>
    <w:link w:val="SOHeadBold"/>
    <w:rsid w:val="00425C4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5C42"/>
    <w:rPr>
      <w:i/>
    </w:rPr>
  </w:style>
  <w:style w:type="character" w:customStyle="1" w:styleId="SOHeadItalicChar">
    <w:name w:val="SO HeadItalic Char"/>
    <w:aliases w:val="sohi Char"/>
    <w:basedOn w:val="DefaultParagraphFont"/>
    <w:link w:val="SOHeadItalic"/>
    <w:rsid w:val="00425C42"/>
    <w:rPr>
      <w:rFonts w:eastAsiaTheme="minorHAnsi" w:cstheme="minorBidi"/>
      <w:i/>
      <w:sz w:val="22"/>
      <w:lang w:eastAsia="en-US"/>
    </w:rPr>
  </w:style>
  <w:style w:type="paragraph" w:customStyle="1" w:styleId="SOBullet">
    <w:name w:val="SO Bullet"/>
    <w:aliases w:val="sotb"/>
    <w:basedOn w:val="SOText"/>
    <w:link w:val="SOBulletChar"/>
    <w:qFormat/>
    <w:rsid w:val="00425C42"/>
    <w:pPr>
      <w:ind w:left="1559" w:hanging="425"/>
    </w:pPr>
  </w:style>
  <w:style w:type="character" w:customStyle="1" w:styleId="SOBulletChar">
    <w:name w:val="SO Bullet Char"/>
    <w:aliases w:val="sotb Char"/>
    <w:basedOn w:val="DefaultParagraphFont"/>
    <w:link w:val="SOBullet"/>
    <w:rsid w:val="00425C42"/>
    <w:rPr>
      <w:rFonts w:eastAsiaTheme="minorHAnsi" w:cstheme="minorBidi"/>
      <w:sz w:val="22"/>
      <w:lang w:eastAsia="en-US"/>
    </w:rPr>
  </w:style>
  <w:style w:type="paragraph" w:customStyle="1" w:styleId="SOBulletNote">
    <w:name w:val="SO BulletNote"/>
    <w:aliases w:val="sonb"/>
    <w:basedOn w:val="SOTextNote"/>
    <w:link w:val="SOBulletNoteChar"/>
    <w:qFormat/>
    <w:rsid w:val="00425C42"/>
    <w:pPr>
      <w:tabs>
        <w:tab w:val="left" w:pos="1560"/>
      </w:tabs>
      <w:ind w:left="2268" w:hanging="1134"/>
    </w:pPr>
  </w:style>
  <w:style w:type="character" w:customStyle="1" w:styleId="SOBulletNoteChar">
    <w:name w:val="SO BulletNote Char"/>
    <w:aliases w:val="sonb Char"/>
    <w:basedOn w:val="DefaultParagraphFont"/>
    <w:link w:val="SOBulletNote"/>
    <w:rsid w:val="00425C42"/>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FF1E9B"/>
    <w:rPr>
      <w:sz w:val="22"/>
    </w:rPr>
  </w:style>
  <w:style w:type="character" w:customStyle="1" w:styleId="ActHead5Char">
    <w:name w:val="ActHead 5 Char"/>
    <w:aliases w:val="s Char"/>
    <w:link w:val="ActHead5"/>
    <w:rsid w:val="00FF1E9B"/>
    <w:rPr>
      <w:b/>
      <w:kern w:val="28"/>
      <w:sz w:val="24"/>
    </w:rPr>
  </w:style>
  <w:style w:type="character" w:customStyle="1" w:styleId="paragraphChar">
    <w:name w:val="paragraph Char"/>
    <w:aliases w:val="a Char"/>
    <w:basedOn w:val="DefaultParagraphFont"/>
    <w:link w:val="paragraph"/>
    <w:locked/>
    <w:rsid w:val="00FF1E9B"/>
    <w:rPr>
      <w:sz w:val="22"/>
    </w:rPr>
  </w:style>
  <w:style w:type="character" w:customStyle="1" w:styleId="notetextChar">
    <w:name w:val="note(text) Char"/>
    <w:aliases w:val="n Char"/>
    <w:basedOn w:val="DefaultParagraphFont"/>
    <w:link w:val="notetext"/>
    <w:rsid w:val="00EB2CC8"/>
    <w:rPr>
      <w:sz w:val="18"/>
    </w:rPr>
  </w:style>
  <w:style w:type="character" w:customStyle="1" w:styleId="CharSchPTNo">
    <w:name w:val="CharSchPTNo"/>
    <w:basedOn w:val="DefaultParagraphFont"/>
    <w:rsid w:val="00EB2CC8"/>
  </w:style>
  <w:style w:type="paragraph" w:styleId="Revision">
    <w:name w:val="Revision"/>
    <w:hidden/>
    <w:uiPriority w:val="99"/>
    <w:semiHidden/>
    <w:rsid w:val="008C0EE0"/>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C42"/>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Statement">
    <w:name w:val="EnStatement"/>
    <w:basedOn w:val="Normal"/>
    <w:rsid w:val="00425C42"/>
    <w:pPr>
      <w:numPr>
        <w:numId w:val="17"/>
      </w:numPr>
    </w:pPr>
    <w:rPr>
      <w:rFonts w:eastAsia="Times New Roman" w:cs="Times New Roman"/>
      <w:lang w:eastAsia="en-AU"/>
    </w:rPr>
  </w:style>
  <w:style w:type="paragraph" w:customStyle="1" w:styleId="EnStatementHeading">
    <w:name w:val="EnStatementHeading"/>
    <w:basedOn w:val="Normal"/>
    <w:rsid w:val="00425C42"/>
    <w:rPr>
      <w:rFonts w:eastAsia="Times New Roman" w:cs="Times New Roman"/>
      <w:b/>
      <w:lang w:eastAsia="en-AU"/>
    </w:rPr>
  </w:style>
  <w:style w:type="paragraph" w:styleId="Footer">
    <w:name w:val="footer"/>
    <w:link w:val="FooterChar"/>
    <w:rsid w:val="00425C42"/>
    <w:pPr>
      <w:tabs>
        <w:tab w:val="center" w:pos="4153"/>
        <w:tab w:val="right" w:pos="8306"/>
      </w:tabs>
    </w:pPr>
    <w:rPr>
      <w:sz w:val="22"/>
      <w:szCs w:val="24"/>
    </w:rPr>
  </w:style>
  <w:style w:type="paragraph" w:customStyle="1" w:styleId="Transitional">
    <w:name w:val="Transitional"/>
    <w:aliases w:val="tr"/>
    <w:basedOn w:val="Normal"/>
    <w:next w:val="Normal"/>
    <w:rsid w:val="00425C42"/>
    <w:pPr>
      <w:keepNext/>
      <w:keepLines/>
      <w:spacing w:before="220" w:line="240" w:lineRule="auto"/>
      <w:ind w:left="709" w:hanging="709"/>
    </w:pPr>
    <w:rPr>
      <w:rFonts w:ascii="Arial" w:eastAsia="Times New Roman" w:hAnsi="Arial" w:cs="Times New Roman"/>
      <w:b/>
      <w:kern w:val="28"/>
      <w:sz w:val="24"/>
      <w:lang w:eastAsia="en-AU"/>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25C4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25C4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5C4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25C42"/>
  </w:style>
  <w:style w:type="character" w:customStyle="1" w:styleId="CharAmSchText">
    <w:name w:val="CharAmSchText"/>
    <w:basedOn w:val="OPCCharBase"/>
    <w:uiPriority w:val="1"/>
    <w:qFormat/>
    <w:rsid w:val="00425C42"/>
  </w:style>
  <w:style w:type="character" w:customStyle="1" w:styleId="CharChapNo">
    <w:name w:val="CharChapNo"/>
    <w:basedOn w:val="OPCCharBase"/>
    <w:qFormat/>
    <w:rsid w:val="00425C42"/>
  </w:style>
  <w:style w:type="character" w:customStyle="1" w:styleId="CharChapText">
    <w:name w:val="CharChapText"/>
    <w:basedOn w:val="OPCCharBase"/>
    <w:qFormat/>
    <w:rsid w:val="00425C42"/>
  </w:style>
  <w:style w:type="character" w:customStyle="1" w:styleId="CharDivNo">
    <w:name w:val="CharDivNo"/>
    <w:basedOn w:val="OPCCharBase"/>
    <w:qFormat/>
    <w:rsid w:val="00425C42"/>
  </w:style>
  <w:style w:type="character" w:customStyle="1" w:styleId="CharDivText">
    <w:name w:val="CharDivText"/>
    <w:basedOn w:val="OPCCharBase"/>
    <w:qFormat/>
    <w:rsid w:val="00425C42"/>
  </w:style>
  <w:style w:type="character" w:customStyle="1" w:styleId="CharPartNo">
    <w:name w:val="CharPartNo"/>
    <w:basedOn w:val="OPCCharBase"/>
    <w:qFormat/>
    <w:rsid w:val="00425C42"/>
  </w:style>
  <w:style w:type="character" w:customStyle="1" w:styleId="CharPartText">
    <w:name w:val="CharPartText"/>
    <w:basedOn w:val="OPCCharBase"/>
    <w:qFormat/>
    <w:rsid w:val="00425C42"/>
  </w:style>
  <w:style w:type="character" w:customStyle="1" w:styleId="OPCCharBase">
    <w:name w:val="OPCCharBase"/>
    <w:uiPriority w:val="1"/>
    <w:qFormat/>
    <w:rsid w:val="00425C42"/>
  </w:style>
  <w:style w:type="paragraph" w:customStyle="1" w:styleId="OPCParaBase">
    <w:name w:val="OPCParaBase"/>
    <w:qFormat/>
    <w:rsid w:val="00425C42"/>
    <w:pPr>
      <w:spacing w:line="260" w:lineRule="atLeast"/>
    </w:pPr>
    <w:rPr>
      <w:sz w:val="22"/>
    </w:rPr>
  </w:style>
  <w:style w:type="character" w:customStyle="1" w:styleId="CharSectno">
    <w:name w:val="CharSectno"/>
    <w:basedOn w:val="OPCCharBase"/>
    <w:qFormat/>
    <w:rsid w:val="00425C4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25C42"/>
    <w:pPr>
      <w:spacing w:line="240" w:lineRule="auto"/>
      <w:ind w:left="1134"/>
    </w:pPr>
    <w:rPr>
      <w:sz w:val="20"/>
    </w:rPr>
  </w:style>
  <w:style w:type="paragraph" w:customStyle="1" w:styleId="ShortT">
    <w:name w:val="ShortT"/>
    <w:basedOn w:val="OPCParaBase"/>
    <w:next w:val="Normal"/>
    <w:qFormat/>
    <w:rsid w:val="00425C42"/>
    <w:pPr>
      <w:spacing w:line="240" w:lineRule="auto"/>
    </w:pPr>
    <w:rPr>
      <w:b/>
      <w:sz w:val="40"/>
    </w:rPr>
  </w:style>
  <w:style w:type="paragraph" w:customStyle="1" w:styleId="Penalty">
    <w:name w:val="Penalty"/>
    <w:basedOn w:val="OPCParaBase"/>
    <w:rsid w:val="00425C42"/>
    <w:pPr>
      <w:tabs>
        <w:tab w:val="left" w:pos="2977"/>
      </w:tabs>
      <w:spacing w:before="180" w:line="240" w:lineRule="auto"/>
      <w:ind w:left="1985" w:hanging="851"/>
    </w:pPr>
  </w:style>
  <w:style w:type="paragraph" w:styleId="TOC1">
    <w:name w:val="toc 1"/>
    <w:basedOn w:val="OPCParaBase"/>
    <w:next w:val="Normal"/>
    <w:uiPriority w:val="39"/>
    <w:unhideWhenUsed/>
    <w:rsid w:val="00425C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5C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5C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5C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25C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5C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5C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5C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5C4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25C42"/>
    <w:pPr>
      <w:spacing w:line="240" w:lineRule="auto"/>
    </w:pPr>
    <w:rPr>
      <w:sz w:val="20"/>
    </w:rPr>
  </w:style>
  <w:style w:type="paragraph" w:customStyle="1" w:styleId="ActHead1">
    <w:name w:val="ActHead 1"/>
    <w:aliases w:val="c"/>
    <w:basedOn w:val="OPCParaBase"/>
    <w:next w:val="Normal"/>
    <w:qFormat/>
    <w:rsid w:val="00425C42"/>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25C4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425C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5C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5C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5C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5C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5C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5C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5C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5C42"/>
  </w:style>
  <w:style w:type="paragraph" w:customStyle="1" w:styleId="Blocks">
    <w:name w:val="Blocks"/>
    <w:aliases w:val="bb"/>
    <w:basedOn w:val="OPCParaBase"/>
    <w:qFormat/>
    <w:rsid w:val="00425C42"/>
    <w:pPr>
      <w:spacing w:line="240" w:lineRule="auto"/>
    </w:pPr>
    <w:rPr>
      <w:sz w:val="24"/>
    </w:rPr>
  </w:style>
  <w:style w:type="paragraph" w:customStyle="1" w:styleId="BoxText">
    <w:name w:val="BoxText"/>
    <w:aliases w:val="bt"/>
    <w:basedOn w:val="OPCParaBase"/>
    <w:qFormat/>
    <w:rsid w:val="00425C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5C42"/>
    <w:rPr>
      <w:b/>
    </w:rPr>
  </w:style>
  <w:style w:type="paragraph" w:customStyle="1" w:styleId="BoxHeadItalic">
    <w:name w:val="BoxHeadItalic"/>
    <w:aliases w:val="bhi"/>
    <w:basedOn w:val="BoxText"/>
    <w:next w:val="BoxStep"/>
    <w:qFormat/>
    <w:rsid w:val="00425C42"/>
    <w:rPr>
      <w:i/>
    </w:rPr>
  </w:style>
  <w:style w:type="paragraph" w:customStyle="1" w:styleId="BoxList">
    <w:name w:val="BoxList"/>
    <w:aliases w:val="bl"/>
    <w:basedOn w:val="BoxText"/>
    <w:qFormat/>
    <w:rsid w:val="00425C42"/>
    <w:pPr>
      <w:ind w:left="1559" w:hanging="425"/>
    </w:pPr>
  </w:style>
  <w:style w:type="paragraph" w:customStyle="1" w:styleId="BoxNote">
    <w:name w:val="BoxNote"/>
    <w:aliases w:val="bn"/>
    <w:basedOn w:val="BoxText"/>
    <w:qFormat/>
    <w:rsid w:val="00425C42"/>
    <w:pPr>
      <w:tabs>
        <w:tab w:val="left" w:pos="1985"/>
      </w:tabs>
      <w:spacing w:before="122" w:line="198" w:lineRule="exact"/>
      <w:ind w:left="2948" w:hanging="1814"/>
    </w:pPr>
    <w:rPr>
      <w:sz w:val="18"/>
    </w:rPr>
  </w:style>
  <w:style w:type="paragraph" w:customStyle="1" w:styleId="BoxPara">
    <w:name w:val="BoxPara"/>
    <w:aliases w:val="bp"/>
    <w:basedOn w:val="BoxText"/>
    <w:qFormat/>
    <w:rsid w:val="00425C42"/>
    <w:pPr>
      <w:tabs>
        <w:tab w:val="right" w:pos="2268"/>
      </w:tabs>
      <w:ind w:left="2552" w:hanging="1418"/>
    </w:pPr>
  </w:style>
  <w:style w:type="paragraph" w:customStyle="1" w:styleId="BoxStep">
    <w:name w:val="BoxStep"/>
    <w:aliases w:val="bs"/>
    <w:basedOn w:val="BoxText"/>
    <w:qFormat/>
    <w:rsid w:val="00425C42"/>
    <w:pPr>
      <w:ind w:left="1985" w:hanging="851"/>
    </w:pPr>
  </w:style>
  <w:style w:type="character" w:customStyle="1" w:styleId="CharAmPartNo">
    <w:name w:val="CharAmPartNo"/>
    <w:basedOn w:val="OPCCharBase"/>
    <w:uiPriority w:val="1"/>
    <w:qFormat/>
    <w:rsid w:val="00425C42"/>
  </w:style>
  <w:style w:type="character" w:customStyle="1" w:styleId="CharAmPartText">
    <w:name w:val="CharAmPartText"/>
    <w:basedOn w:val="OPCCharBase"/>
    <w:uiPriority w:val="1"/>
    <w:qFormat/>
    <w:rsid w:val="00425C42"/>
  </w:style>
  <w:style w:type="character" w:customStyle="1" w:styleId="CharBoldItalic">
    <w:name w:val="CharBoldItalic"/>
    <w:basedOn w:val="OPCCharBase"/>
    <w:uiPriority w:val="1"/>
    <w:qFormat/>
    <w:rsid w:val="00425C42"/>
    <w:rPr>
      <w:b/>
      <w:i/>
    </w:rPr>
  </w:style>
  <w:style w:type="character" w:customStyle="1" w:styleId="CharItalic">
    <w:name w:val="CharItalic"/>
    <w:basedOn w:val="OPCCharBase"/>
    <w:uiPriority w:val="1"/>
    <w:qFormat/>
    <w:rsid w:val="00425C42"/>
    <w:rPr>
      <w:i/>
    </w:rPr>
  </w:style>
  <w:style w:type="character" w:customStyle="1" w:styleId="CharSubdNo">
    <w:name w:val="CharSubdNo"/>
    <w:basedOn w:val="OPCCharBase"/>
    <w:uiPriority w:val="1"/>
    <w:qFormat/>
    <w:rsid w:val="00425C42"/>
  </w:style>
  <w:style w:type="character" w:customStyle="1" w:styleId="CharSubdText">
    <w:name w:val="CharSubdText"/>
    <w:basedOn w:val="OPCCharBase"/>
    <w:uiPriority w:val="1"/>
    <w:qFormat/>
    <w:rsid w:val="00425C42"/>
  </w:style>
  <w:style w:type="paragraph" w:customStyle="1" w:styleId="CTA--">
    <w:name w:val="CTA --"/>
    <w:basedOn w:val="OPCParaBase"/>
    <w:next w:val="Normal"/>
    <w:rsid w:val="00425C42"/>
    <w:pPr>
      <w:spacing w:before="60" w:line="240" w:lineRule="atLeast"/>
      <w:ind w:left="142" w:hanging="142"/>
    </w:pPr>
    <w:rPr>
      <w:sz w:val="20"/>
    </w:rPr>
  </w:style>
  <w:style w:type="paragraph" w:customStyle="1" w:styleId="CTA-">
    <w:name w:val="CTA -"/>
    <w:basedOn w:val="OPCParaBase"/>
    <w:rsid w:val="00425C42"/>
    <w:pPr>
      <w:spacing w:before="60" w:line="240" w:lineRule="atLeast"/>
      <w:ind w:left="85" w:hanging="85"/>
    </w:pPr>
    <w:rPr>
      <w:sz w:val="20"/>
    </w:rPr>
  </w:style>
  <w:style w:type="paragraph" w:customStyle="1" w:styleId="CTA---">
    <w:name w:val="CTA ---"/>
    <w:basedOn w:val="OPCParaBase"/>
    <w:next w:val="Normal"/>
    <w:rsid w:val="00425C42"/>
    <w:pPr>
      <w:spacing w:before="60" w:line="240" w:lineRule="atLeast"/>
      <w:ind w:left="198" w:hanging="198"/>
    </w:pPr>
    <w:rPr>
      <w:sz w:val="20"/>
    </w:rPr>
  </w:style>
  <w:style w:type="paragraph" w:customStyle="1" w:styleId="CTA----">
    <w:name w:val="CTA ----"/>
    <w:basedOn w:val="OPCParaBase"/>
    <w:next w:val="Normal"/>
    <w:rsid w:val="00425C42"/>
    <w:pPr>
      <w:spacing w:before="60" w:line="240" w:lineRule="atLeast"/>
      <w:ind w:left="255" w:hanging="255"/>
    </w:pPr>
    <w:rPr>
      <w:sz w:val="20"/>
    </w:rPr>
  </w:style>
  <w:style w:type="paragraph" w:customStyle="1" w:styleId="CTA1a">
    <w:name w:val="CTA 1(a)"/>
    <w:basedOn w:val="OPCParaBase"/>
    <w:rsid w:val="00425C42"/>
    <w:pPr>
      <w:tabs>
        <w:tab w:val="right" w:pos="414"/>
      </w:tabs>
      <w:spacing w:before="40" w:line="240" w:lineRule="atLeast"/>
      <w:ind w:left="675" w:hanging="675"/>
    </w:pPr>
    <w:rPr>
      <w:sz w:val="20"/>
    </w:rPr>
  </w:style>
  <w:style w:type="paragraph" w:customStyle="1" w:styleId="CTA1ai">
    <w:name w:val="CTA 1(a)(i)"/>
    <w:basedOn w:val="OPCParaBase"/>
    <w:rsid w:val="00425C42"/>
    <w:pPr>
      <w:tabs>
        <w:tab w:val="right" w:pos="1004"/>
      </w:tabs>
      <w:spacing w:before="40" w:line="240" w:lineRule="atLeast"/>
      <w:ind w:left="1253" w:hanging="1253"/>
    </w:pPr>
    <w:rPr>
      <w:sz w:val="20"/>
    </w:rPr>
  </w:style>
  <w:style w:type="paragraph" w:customStyle="1" w:styleId="CTA2a">
    <w:name w:val="CTA 2(a)"/>
    <w:basedOn w:val="OPCParaBase"/>
    <w:rsid w:val="00425C42"/>
    <w:pPr>
      <w:tabs>
        <w:tab w:val="right" w:pos="482"/>
      </w:tabs>
      <w:spacing w:before="40" w:line="240" w:lineRule="atLeast"/>
      <w:ind w:left="748" w:hanging="748"/>
    </w:pPr>
    <w:rPr>
      <w:sz w:val="20"/>
    </w:rPr>
  </w:style>
  <w:style w:type="paragraph" w:customStyle="1" w:styleId="CTA2ai">
    <w:name w:val="CTA 2(a)(i)"/>
    <w:basedOn w:val="OPCParaBase"/>
    <w:rsid w:val="00425C42"/>
    <w:pPr>
      <w:tabs>
        <w:tab w:val="right" w:pos="1089"/>
      </w:tabs>
      <w:spacing w:before="40" w:line="240" w:lineRule="atLeast"/>
      <w:ind w:left="1327" w:hanging="1327"/>
    </w:pPr>
    <w:rPr>
      <w:sz w:val="20"/>
    </w:rPr>
  </w:style>
  <w:style w:type="paragraph" w:customStyle="1" w:styleId="CTA3a">
    <w:name w:val="CTA 3(a)"/>
    <w:basedOn w:val="OPCParaBase"/>
    <w:rsid w:val="00425C42"/>
    <w:pPr>
      <w:tabs>
        <w:tab w:val="right" w:pos="556"/>
      </w:tabs>
      <w:spacing w:before="40" w:line="240" w:lineRule="atLeast"/>
      <w:ind w:left="805" w:hanging="805"/>
    </w:pPr>
    <w:rPr>
      <w:sz w:val="20"/>
    </w:rPr>
  </w:style>
  <w:style w:type="paragraph" w:customStyle="1" w:styleId="CTA3ai">
    <w:name w:val="CTA 3(a)(i)"/>
    <w:basedOn w:val="OPCParaBase"/>
    <w:rsid w:val="00425C42"/>
    <w:pPr>
      <w:tabs>
        <w:tab w:val="right" w:pos="1140"/>
      </w:tabs>
      <w:spacing w:before="40" w:line="240" w:lineRule="atLeast"/>
      <w:ind w:left="1361" w:hanging="1361"/>
    </w:pPr>
    <w:rPr>
      <w:sz w:val="20"/>
    </w:rPr>
  </w:style>
  <w:style w:type="paragraph" w:customStyle="1" w:styleId="CTA4a">
    <w:name w:val="CTA 4(a)"/>
    <w:basedOn w:val="OPCParaBase"/>
    <w:rsid w:val="00425C42"/>
    <w:pPr>
      <w:tabs>
        <w:tab w:val="right" w:pos="624"/>
      </w:tabs>
      <w:spacing w:before="40" w:line="240" w:lineRule="atLeast"/>
      <w:ind w:left="873" w:hanging="873"/>
    </w:pPr>
    <w:rPr>
      <w:sz w:val="20"/>
    </w:rPr>
  </w:style>
  <w:style w:type="paragraph" w:customStyle="1" w:styleId="CTA4ai">
    <w:name w:val="CTA 4(a)(i)"/>
    <w:basedOn w:val="OPCParaBase"/>
    <w:rsid w:val="00425C42"/>
    <w:pPr>
      <w:tabs>
        <w:tab w:val="right" w:pos="1213"/>
      </w:tabs>
      <w:spacing w:before="40" w:line="240" w:lineRule="atLeast"/>
      <w:ind w:left="1452" w:hanging="1452"/>
    </w:pPr>
    <w:rPr>
      <w:sz w:val="20"/>
    </w:rPr>
  </w:style>
  <w:style w:type="paragraph" w:customStyle="1" w:styleId="CTACAPS">
    <w:name w:val="CTA CAPS"/>
    <w:basedOn w:val="OPCParaBase"/>
    <w:rsid w:val="00425C42"/>
    <w:pPr>
      <w:spacing w:before="60" w:line="240" w:lineRule="atLeast"/>
    </w:pPr>
    <w:rPr>
      <w:sz w:val="20"/>
    </w:rPr>
  </w:style>
  <w:style w:type="paragraph" w:customStyle="1" w:styleId="CTAright">
    <w:name w:val="CTA right"/>
    <w:basedOn w:val="OPCParaBase"/>
    <w:rsid w:val="00425C42"/>
    <w:pPr>
      <w:spacing w:before="60" w:line="240" w:lineRule="auto"/>
      <w:jc w:val="right"/>
    </w:pPr>
    <w:rPr>
      <w:sz w:val="20"/>
    </w:rPr>
  </w:style>
  <w:style w:type="paragraph" w:customStyle="1" w:styleId="subsection">
    <w:name w:val="subsection"/>
    <w:aliases w:val="ss"/>
    <w:basedOn w:val="OPCParaBase"/>
    <w:link w:val="subsectionChar"/>
    <w:rsid w:val="00425C42"/>
    <w:pPr>
      <w:tabs>
        <w:tab w:val="right" w:pos="1021"/>
      </w:tabs>
      <w:spacing w:before="180" w:line="240" w:lineRule="auto"/>
      <w:ind w:left="1134" w:hanging="1134"/>
    </w:pPr>
  </w:style>
  <w:style w:type="paragraph" w:customStyle="1" w:styleId="Definition">
    <w:name w:val="Definition"/>
    <w:aliases w:val="dd"/>
    <w:basedOn w:val="OPCParaBase"/>
    <w:rsid w:val="00425C42"/>
    <w:pPr>
      <w:spacing w:before="180" w:line="240" w:lineRule="auto"/>
      <w:ind w:left="1134"/>
    </w:pPr>
  </w:style>
  <w:style w:type="paragraph" w:customStyle="1" w:styleId="EndNotespara">
    <w:name w:val="EndNotes(para)"/>
    <w:aliases w:val="eta"/>
    <w:basedOn w:val="OPCParaBase"/>
    <w:next w:val="EndNotessubpara"/>
    <w:rsid w:val="00425C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5C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5C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5C42"/>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25C42"/>
    <w:rPr>
      <w:sz w:val="16"/>
    </w:rPr>
  </w:style>
  <w:style w:type="paragraph" w:customStyle="1" w:styleId="House">
    <w:name w:val="House"/>
    <w:basedOn w:val="OPCParaBase"/>
    <w:rsid w:val="00425C42"/>
    <w:pPr>
      <w:spacing w:line="240" w:lineRule="auto"/>
    </w:pPr>
    <w:rPr>
      <w:sz w:val="28"/>
    </w:rPr>
  </w:style>
  <w:style w:type="paragraph" w:customStyle="1" w:styleId="Item">
    <w:name w:val="Item"/>
    <w:aliases w:val="i"/>
    <w:basedOn w:val="OPCParaBase"/>
    <w:next w:val="ItemHead"/>
    <w:rsid w:val="00425C42"/>
    <w:pPr>
      <w:keepLines/>
      <w:spacing w:before="80" w:line="240" w:lineRule="auto"/>
      <w:ind w:left="709"/>
    </w:pPr>
  </w:style>
  <w:style w:type="paragraph" w:customStyle="1" w:styleId="ItemHead">
    <w:name w:val="ItemHead"/>
    <w:aliases w:val="ih"/>
    <w:basedOn w:val="OPCParaBase"/>
    <w:next w:val="Item"/>
    <w:rsid w:val="00425C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5C42"/>
    <w:pPr>
      <w:spacing w:line="240" w:lineRule="auto"/>
    </w:pPr>
    <w:rPr>
      <w:b/>
      <w:sz w:val="32"/>
    </w:rPr>
  </w:style>
  <w:style w:type="paragraph" w:customStyle="1" w:styleId="notedraft">
    <w:name w:val="note(draft)"/>
    <w:aliases w:val="nd"/>
    <w:basedOn w:val="OPCParaBase"/>
    <w:rsid w:val="00425C42"/>
    <w:pPr>
      <w:spacing w:before="240" w:line="240" w:lineRule="auto"/>
      <w:ind w:left="284" w:hanging="284"/>
    </w:pPr>
    <w:rPr>
      <w:i/>
      <w:sz w:val="24"/>
    </w:rPr>
  </w:style>
  <w:style w:type="paragraph" w:customStyle="1" w:styleId="notemargin">
    <w:name w:val="note(margin)"/>
    <w:aliases w:val="nm"/>
    <w:basedOn w:val="OPCParaBase"/>
    <w:rsid w:val="00425C42"/>
    <w:pPr>
      <w:tabs>
        <w:tab w:val="left" w:pos="709"/>
      </w:tabs>
      <w:spacing w:before="122" w:line="198" w:lineRule="exact"/>
      <w:ind w:left="709" w:hanging="709"/>
    </w:pPr>
    <w:rPr>
      <w:sz w:val="18"/>
    </w:rPr>
  </w:style>
  <w:style w:type="paragraph" w:customStyle="1" w:styleId="noteToPara">
    <w:name w:val="noteToPara"/>
    <w:aliases w:val="ntp"/>
    <w:basedOn w:val="OPCParaBase"/>
    <w:rsid w:val="00425C42"/>
    <w:pPr>
      <w:spacing w:before="122" w:line="198" w:lineRule="exact"/>
      <w:ind w:left="2353" w:hanging="709"/>
    </w:pPr>
    <w:rPr>
      <w:sz w:val="18"/>
    </w:rPr>
  </w:style>
  <w:style w:type="paragraph" w:customStyle="1" w:styleId="noteParlAmend">
    <w:name w:val="note(ParlAmend)"/>
    <w:aliases w:val="npp"/>
    <w:basedOn w:val="OPCParaBase"/>
    <w:next w:val="ParlAmend"/>
    <w:rsid w:val="00425C42"/>
    <w:pPr>
      <w:spacing w:line="240" w:lineRule="auto"/>
      <w:jc w:val="right"/>
    </w:pPr>
    <w:rPr>
      <w:rFonts w:ascii="Arial" w:hAnsi="Arial"/>
      <w:b/>
      <w:i/>
    </w:rPr>
  </w:style>
  <w:style w:type="paragraph" w:customStyle="1" w:styleId="Page1">
    <w:name w:val="Page1"/>
    <w:basedOn w:val="OPCParaBase"/>
    <w:rsid w:val="00425C42"/>
    <w:pPr>
      <w:spacing w:before="5600" w:line="240" w:lineRule="auto"/>
    </w:pPr>
    <w:rPr>
      <w:b/>
      <w:sz w:val="32"/>
    </w:rPr>
  </w:style>
  <w:style w:type="paragraph" w:customStyle="1" w:styleId="paragraphsub">
    <w:name w:val="paragraph(sub)"/>
    <w:aliases w:val="aa"/>
    <w:basedOn w:val="OPCParaBase"/>
    <w:rsid w:val="00425C42"/>
    <w:pPr>
      <w:tabs>
        <w:tab w:val="right" w:pos="1985"/>
      </w:tabs>
      <w:spacing w:before="40" w:line="240" w:lineRule="auto"/>
      <w:ind w:left="2098" w:hanging="2098"/>
    </w:pPr>
  </w:style>
  <w:style w:type="paragraph" w:customStyle="1" w:styleId="paragraphsub-sub">
    <w:name w:val="paragraph(sub-sub)"/>
    <w:aliases w:val="aaa"/>
    <w:basedOn w:val="OPCParaBase"/>
    <w:rsid w:val="00425C42"/>
    <w:pPr>
      <w:tabs>
        <w:tab w:val="right" w:pos="2722"/>
      </w:tabs>
      <w:spacing w:before="40" w:line="240" w:lineRule="auto"/>
      <w:ind w:left="2835" w:hanging="2835"/>
    </w:pPr>
  </w:style>
  <w:style w:type="paragraph" w:customStyle="1" w:styleId="paragraph">
    <w:name w:val="paragraph"/>
    <w:aliases w:val="a"/>
    <w:basedOn w:val="OPCParaBase"/>
    <w:link w:val="paragraphChar"/>
    <w:rsid w:val="00425C42"/>
    <w:pPr>
      <w:tabs>
        <w:tab w:val="right" w:pos="1531"/>
      </w:tabs>
      <w:spacing w:before="40" w:line="240" w:lineRule="auto"/>
      <w:ind w:left="1644" w:hanging="1644"/>
    </w:pPr>
  </w:style>
  <w:style w:type="paragraph" w:customStyle="1" w:styleId="ParlAmend">
    <w:name w:val="ParlAmend"/>
    <w:aliases w:val="pp"/>
    <w:basedOn w:val="OPCParaBase"/>
    <w:rsid w:val="00425C42"/>
    <w:pPr>
      <w:spacing w:before="240" w:line="240" w:lineRule="atLeast"/>
      <w:ind w:hanging="567"/>
    </w:pPr>
    <w:rPr>
      <w:sz w:val="24"/>
    </w:rPr>
  </w:style>
  <w:style w:type="paragraph" w:customStyle="1" w:styleId="Portfolio">
    <w:name w:val="Portfolio"/>
    <w:basedOn w:val="OPCParaBase"/>
    <w:rsid w:val="00425C42"/>
    <w:pPr>
      <w:spacing w:line="240" w:lineRule="auto"/>
    </w:pPr>
    <w:rPr>
      <w:i/>
      <w:sz w:val="20"/>
    </w:rPr>
  </w:style>
  <w:style w:type="paragraph" w:customStyle="1" w:styleId="Preamble">
    <w:name w:val="Preamble"/>
    <w:basedOn w:val="OPCParaBase"/>
    <w:next w:val="Normal"/>
    <w:rsid w:val="00425C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5C42"/>
    <w:pPr>
      <w:spacing w:line="240" w:lineRule="auto"/>
    </w:pPr>
    <w:rPr>
      <w:i/>
      <w:sz w:val="20"/>
    </w:rPr>
  </w:style>
  <w:style w:type="paragraph" w:customStyle="1" w:styleId="Session">
    <w:name w:val="Session"/>
    <w:basedOn w:val="OPCParaBase"/>
    <w:rsid w:val="00425C42"/>
    <w:pPr>
      <w:spacing w:line="240" w:lineRule="auto"/>
    </w:pPr>
    <w:rPr>
      <w:sz w:val="28"/>
    </w:rPr>
  </w:style>
  <w:style w:type="paragraph" w:customStyle="1" w:styleId="Sponsor">
    <w:name w:val="Sponsor"/>
    <w:basedOn w:val="OPCParaBase"/>
    <w:rsid w:val="00425C42"/>
    <w:pPr>
      <w:spacing w:line="240" w:lineRule="auto"/>
    </w:pPr>
    <w:rPr>
      <w:i/>
    </w:rPr>
  </w:style>
  <w:style w:type="paragraph" w:customStyle="1" w:styleId="Subitem">
    <w:name w:val="Subitem"/>
    <w:aliases w:val="iss"/>
    <w:basedOn w:val="OPCParaBase"/>
    <w:rsid w:val="00425C42"/>
    <w:pPr>
      <w:spacing w:before="180" w:line="240" w:lineRule="auto"/>
      <w:ind w:left="709" w:hanging="709"/>
    </w:pPr>
  </w:style>
  <w:style w:type="paragraph" w:customStyle="1" w:styleId="SubitemHead">
    <w:name w:val="SubitemHead"/>
    <w:aliases w:val="issh"/>
    <w:basedOn w:val="OPCParaBase"/>
    <w:rsid w:val="00425C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5C42"/>
    <w:pPr>
      <w:spacing w:before="40" w:line="240" w:lineRule="auto"/>
      <w:ind w:left="1134"/>
    </w:pPr>
  </w:style>
  <w:style w:type="paragraph" w:customStyle="1" w:styleId="SubsectionHead">
    <w:name w:val="SubsectionHead"/>
    <w:aliases w:val="ssh"/>
    <w:basedOn w:val="OPCParaBase"/>
    <w:next w:val="subsection"/>
    <w:rsid w:val="00425C42"/>
    <w:pPr>
      <w:keepNext/>
      <w:keepLines/>
      <w:spacing w:before="240" w:line="240" w:lineRule="auto"/>
      <w:ind w:left="1134"/>
    </w:pPr>
    <w:rPr>
      <w:i/>
    </w:rPr>
  </w:style>
  <w:style w:type="paragraph" w:customStyle="1" w:styleId="Tablea">
    <w:name w:val="Table(a)"/>
    <w:aliases w:val="ta"/>
    <w:basedOn w:val="OPCParaBase"/>
    <w:rsid w:val="00425C42"/>
    <w:pPr>
      <w:spacing w:before="60" w:line="240" w:lineRule="auto"/>
      <w:ind w:left="284" w:hanging="284"/>
    </w:pPr>
    <w:rPr>
      <w:sz w:val="20"/>
    </w:rPr>
  </w:style>
  <w:style w:type="paragraph" w:customStyle="1" w:styleId="TableAA">
    <w:name w:val="Table(AA)"/>
    <w:aliases w:val="taaa"/>
    <w:basedOn w:val="OPCParaBase"/>
    <w:rsid w:val="00425C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5C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5C42"/>
    <w:pPr>
      <w:spacing w:before="60" w:line="240" w:lineRule="atLeast"/>
    </w:pPr>
    <w:rPr>
      <w:sz w:val="20"/>
    </w:rPr>
  </w:style>
  <w:style w:type="paragraph" w:customStyle="1" w:styleId="TLPBoxTextnote">
    <w:name w:val="TLPBoxText(note"/>
    <w:aliases w:val="right)"/>
    <w:basedOn w:val="OPCParaBase"/>
    <w:rsid w:val="00425C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5C4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5C42"/>
    <w:pPr>
      <w:spacing w:before="122" w:line="198" w:lineRule="exact"/>
      <w:ind w:left="1985" w:hanging="851"/>
      <w:jc w:val="right"/>
    </w:pPr>
    <w:rPr>
      <w:sz w:val="18"/>
    </w:rPr>
  </w:style>
  <w:style w:type="paragraph" w:customStyle="1" w:styleId="TLPTableBullet">
    <w:name w:val="TLPTableBullet"/>
    <w:aliases w:val="ttb"/>
    <w:basedOn w:val="OPCParaBase"/>
    <w:rsid w:val="00425C42"/>
    <w:pPr>
      <w:spacing w:line="240" w:lineRule="exact"/>
      <w:ind w:left="284" w:hanging="284"/>
    </w:pPr>
    <w:rPr>
      <w:sz w:val="20"/>
    </w:rPr>
  </w:style>
  <w:style w:type="paragraph" w:customStyle="1" w:styleId="TofSectsGroupHeading">
    <w:name w:val="TofSects(GroupHeading)"/>
    <w:basedOn w:val="OPCParaBase"/>
    <w:next w:val="TofSectsSection"/>
    <w:rsid w:val="00425C42"/>
    <w:pPr>
      <w:keepLines/>
      <w:spacing w:before="240" w:after="120" w:line="240" w:lineRule="auto"/>
      <w:ind w:left="794"/>
    </w:pPr>
    <w:rPr>
      <w:b/>
      <w:kern w:val="28"/>
      <w:sz w:val="20"/>
    </w:rPr>
  </w:style>
  <w:style w:type="paragraph" w:customStyle="1" w:styleId="TofSectsHeading">
    <w:name w:val="TofSects(Heading)"/>
    <w:basedOn w:val="OPCParaBase"/>
    <w:rsid w:val="00425C42"/>
    <w:pPr>
      <w:spacing w:before="240" w:after="120" w:line="240" w:lineRule="auto"/>
    </w:pPr>
    <w:rPr>
      <w:b/>
      <w:sz w:val="24"/>
    </w:rPr>
  </w:style>
  <w:style w:type="paragraph" w:customStyle="1" w:styleId="TofSectsSection">
    <w:name w:val="TofSects(Section)"/>
    <w:basedOn w:val="OPCParaBase"/>
    <w:rsid w:val="00425C42"/>
    <w:pPr>
      <w:keepLines/>
      <w:spacing w:before="40" w:line="240" w:lineRule="auto"/>
      <w:ind w:left="1588" w:hanging="794"/>
    </w:pPr>
    <w:rPr>
      <w:kern w:val="28"/>
      <w:sz w:val="18"/>
    </w:rPr>
  </w:style>
  <w:style w:type="paragraph" w:customStyle="1" w:styleId="TofSectsSubdiv">
    <w:name w:val="TofSects(Subdiv)"/>
    <w:basedOn w:val="OPCParaBase"/>
    <w:rsid w:val="00425C42"/>
    <w:pPr>
      <w:keepLines/>
      <w:spacing w:before="80" w:line="240" w:lineRule="auto"/>
      <w:ind w:left="1588" w:hanging="794"/>
    </w:pPr>
    <w:rPr>
      <w:kern w:val="28"/>
    </w:rPr>
  </w:style>
  <w:style w:type="paragraph" w:customStyle="1" w:styleId="WRStyle">
    <w:name w:val="WR Style"/>
    <w:aliases w:val="WR"/>
    <w:basedOn w:val="OPCParaBase"/>
    <w:rsid w:val="00425C42"/>
    <w:pPr>
      <w:spacing w:before="240" w:line="240" w:lineRule="auto"/>
      <w:ind w:left="284" w:hanging="284"/>
    </w:pPr>
    <w:rPr>
      <w:b/>
      <w:i/>
      <w:kern w:val="28"/>
      <w:sz w:val="24"/>
    </w:rPr>
  </w:style>
  <w:style w:type="paragraph" w:customStyle="1" w:styleId="notepara">
    <w:name w:val="note(para)"/>
    <w:aliases w:val="na"/>
    <w:basedOn w:val="OPCParaBase"/>
    <w:rsid w:val="00425C42"/>
    <w:pPr>
      <w:spacing w:before="40" w:line="198" w:lineRule="exact"/>
      <w:ind w:left="2354" w:hanging="369"/>
    </w:pPr>
    <w:rPr>
      <w:sz w:val="18"/>
    </w:rPr>
  </w:style>
  <w:style w:type="character" w:customStyle="1" w:styleId="FooterChar">
    <w:name w:val="Footer Char"/>
    <w:basedOn w:val="DefaultParagraphFont"/>
    <w:link w:val="Footer"/>
    <w:rsid w:val="00425C42"/>
    <w:rPr>
      <w:sz w:val="22"/>
      <w:szCs w:val="24"/>
    </w:rPr>
  </w:style>
  <w:style w:type="table" w:customStyle="1" w:styleId="CFlag">
    <w:name w:val="CFlag"/>
    <w:basedOn w:val="TableNormal"/>
    <w:uiPriority w:val="99"/>
    <w:rsid w:val="00425C42"/>
    <w:tblPr/>
  </w:style>
  <w:style w:type="character" w:customStyle="1" w:styleId="BalloonTextChar">
    <w:name w:val="Balloon Text Char"/>
    <w:basedOn w:val="DefaultParagraphFont"/>
    <w:link w:val="BalloonText"/>
    <w:uiPriority w:val="99"/>
    <w:rsid w:val="00425C42"/>
    <w:rPr>
      <w:rFonts w:ascii="Tahoma" w:eastAsiaTheme="minorHAnsi" w:hAnsi="Tahoma" w:cs="Tahoma"/>
      <w:sz w:val="16"/>
      <w:szCs w:val="16"/>
      <w:lang w:eastAsia="en-US"/>
    </w:rPr>
  </w:style>
  <w:style w:type="paragraph" w:customStyle="1" w:styleId="InstNo">
    <w:name w:val="InstNo"/>
    <w:basedOn w:val="OPCParaBase"/>
    <w:next w:val="Normal"/>
    <w:rsid w:val="00425C42"/>
    <w:rPr>
      <w:b/>
      <w:sz w:val="28"/>
      <w:szCs w:val="32"/>
    </w:rPr>
  </w:style>
  <w:style w:type="paragraph" w:customStyle="1" w:styleId="TerritoryT">
    <w:name w:val="TerritoryT"/>
    <w:basedOn w:val="OPCParaBase"/>
    <w:next w:val="Normal"/>
    <w:rsid w:val="00425C42"/>
    <w:rPr>
      <w:b/>
      <w:sz w:val="32"/>
    </w:rPr>
  </w:style>
  <w:style w:type="paragraph" w:customStyle="1" w:styleId="LegislationMadeUnder">
    <w:name w:val="LegislationMadeUnder"/>
    <w:basedOn w:val="OPCParaBase"/>
    <w:next w:val="Normal"/>
    <w:rsid w:val="00425C42"/>
    <w:rPr>
      <w:i/>
      <w:sz w:val="32"/>
      <w:szCs w:val="32"/>
    </w:rPr>
  </w:style>
  <w:style w:type="paragraph" w:customStyle="1" w:styleId="ActHead10">
    <w:name w:val="ActHead 10"/>
    <w:aliases w:val="sp"/>
    <w:basedOn w:val="OPCParaBase"/>
    <w:next w:val="ActHead3"/>
    <w:rsid w:val="00425C42"/>
    <w:pPr>
      <w:keepNext/>
      <w:spacing w:before="280" w:line="240" w:lineRule="auto"/>
      <w:outlineLvl w:val="1"/>
    </w:pPr>
    <w:rPr>
      <w:b/>
      <w:sz w:val="32"/>
      <w:szCs w:val="30"/>
    </w:rPr>
  </w:style>
  <w:style w:type="paragraph" w:customStyle="1" w:styleId="SignCoverPageEnd">
    <w:name w:val="SignCoverPageEnd"/>
    <w:basedOn w:val="OPCParaBase"/>
    <w:next w:val="Normal"/>
    <w:rsid w:val="00425C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5C42"/>
    <w:pPr>
      <w:pBdr>
        <w:top w:val="single" w:sz="4" w:space="1" w:color="auto"/>
      </w:pBdr>
      <w:spacing w:before="360"/>
      <w:ind w:right="397"/>
      <w:jc w:val="both"/>
    </w:pPr>
  </w:style>
  <w:style w:type="paragraph" w:customStyle="1" w:styleId="NotesHeading2">
    <w:name w:val="NotesHeading 2"/>
    <w:basedOn w:val="OPCParaBase"/>
    <w:next w:val="Normal"/>
    <w:rsid w:val="00425C42"/>
    <w:rPr>
      <w:b/>
      <w:sz w:val="28"/>
      <w:szCs w:val="28"/>
    </w:rPr>
  </w:style>
  <w:style w:type="paragraph" w:customStyle="1" w:styleId="NotesHeading1">
    <w:name w:val="NotesHeading 1"/>
    <w:basedOn w:val="OPCParaBase"/>
    <w:next w:val="Normal"/>
    <w:rsid w:val="00425C42"/>
    <w:rPr>
      <w:b/>
      <w:sz w:val="28"/>
      <w:szCs w:val="28"/>
    </w:rPr>
  </w:style>
  <w:style w:type="paragraph" w:customStyle="1" w:styleId="CompiledActNo">
    <w:name w:val="CompiledActNo"/>
    <w:basedOn w:val="OPCParaBase"/>
    <w:next w:val="Normal"/>
    <w:rsid w:val="00425C42"/>
    <w:rPr>
      <w:b/>
      <w:sz w:val="24"/>
      <w:szCs w:val="24"/>
    </w:rPr>
  </w:style>
  <w:style w:type="paragraph" w:customStyle="1" w:styleId="ENotesText">
    <w:name w:val="ENotesText"/>
    <w:aliases w:val="Ent"/>
    <w:basedOn w:val="OPCParaBase"/>
    <w:next w:val="Normal"/>
    <w:rsid w:val="00425C42"/>
    <w:pPr>
      <w:spacing w:before="120"/>
    </w:pPr>
  </w:style>
  <w:style w:type="paragraph" w:customStyle="1" w:styleId="CompiledMadeUnder">
    <w:name w:val="CompiledMadeUnder"/>
    <w:basedOn w:val="OPCParaBase"/>
    <w:next w:val="Normal"/>
    <w:rsid w:val="00425C42"/>
    <w:rPr>
      <w:i/>
      <w:sz w:val="24"/>
      <w:szCs w:val="24"/>
    </w:rPr>
  </w:style>
  <w:style w:type="paragraph" w:customStyle="1" w:styleId="Paragraphsub-sub-sub">
    <w:name w:val="Paragraph(sub-sub-sub)"/>
    <w:aliases w:val="aaaa"/>
    <w:basedOn w:val="OPCParaBase"/>
    <w:rsid w:val="00425C42"/>
    <w:pPr>
      <w:tabs>
        <w:tab w:val="right" w:pos="3402"/>
      </w:tabs>
      <w:spacing w:before="40" w:line="240" w:lineRule="auto"/>
      <w:ind w:left="3402" w:hanging="3402"/>
    </w:pPr>
  </w:style>
  <w:style w:type="paragraph" w:customStyle="1" w:styleId="TableTextEndNotes">
    <w:name w:val="TableTextEndNotes"/>
    <w:aliases w:val="Tten"/>
    <w:basedOn w:val="Normal"/>
    <w:rsid w:val="00425C42"/>
    <w:pPr>
      <w:spacing w:before="60" w:line="240" w:lineRule="auto"/>
    </w:pPr>
    <w:rPr>
      <w:rFonts w:cs="Arial"/>
      <w:sz w:val="20"/>
      <w:szCs w:val="22"/>
    </w:rPr>
  </w:style>
  <w:style w:type="paragraph" w:customStyle="1" w:styleId="NoteToSubpara">
    <w:name w:val="NoteToSubpara"/>
    <w:aliases w:val="nts"/>
    <w:basedOn w:val="OPCParaBase"/>
    <w:rsid w:val="00425C42"/>
    <w:pPr>
      <w:spacing w:before="40" w:line="198" w:lineRule="exact"/>
      <w:ind w:left="2835" w:hanging="709"/>
    </w:pPr>
    <w:rPr>
      <w:sz w:val="18"/>
    </w:rPr>
  </w:style>
  <w:style w:type="paragraph" w:customStyle="1" w:styleId="ENoteTableHeading">
    <w:name w:val="ENoteTableHeading"/>
    <w:aliases w:val="enth"/>
    <w:basedOn w:val="OPCParaBase"/>
    <w:rsid w:val="00425C42"/>
    <w:pPr>
      <w:keepNext/>
      <w:spacing w:before="60" w:line="240" w:lineRule="atLeast"/>
    </w:pPr>
    <w:rPr>
      <w:rFonts w:ascii="Arial" w:hAnsi="Arial"/>
      <w:b/>
      <w:sz w:val="16"/>
    </w:rPr>
  </w:style>
  <w:style w:type="paragraph" w:customStyle="1" w:styleId="ENoteTTi">
    <w:name w:val="ENoteTTi"/>
    <w:aliases w:val="entti"/>
    <w:basedOn w:val="OPCParaBase"/>
    <w:rsid w:val="00425C42"/>
    <w:pPr>
      <w:keepNext/>
      <w:spacing w:before="60" w:line="240" w:lineRule="atLeast"/>
      <w:ind w:left="170"/>
    </w:pPr>
    <w:rPr>
      <w:sz w:val="16"/>
    </w:rPr>
  </w:style>
  <w:style w:type="paragraph" w:customStyle="1" w:styleId="ENotesHeading1">
    <w:name w:val="ENotesHeading 1"/>
    <w:aliases w:val="Enh1"/>
    <w:basedOn w:val="OPCParaBase"/>
    <w:next w:val="Normal"/>
    <w:rsid w:val="00425C42"/>
    <w:pPr>
      <w:spacing w:before="120"/>
      <w:outlineLvl w:val="1"/>
    </w:pPr>
    <w:rPr>
      <w:b/>
      <w:sz w:val="28"/>
      <w:szCs w:val="28"/>
    </w:rPr>
  </w:style>
  <w:style w:type="paragraph" w:customStyle="1" w:styleId="ENotesHeading2">
    <w:name w:val="ENotesHeading 2"/>
    <w:aliases w:val="Enh2"/>
    <w:basedOn w:val="OPCParaBase"/>
    <w:next w:val="Normal"/>
    <w:rsid w:val="00425C42"/>
    <w:pPr>
      <w:spacing w:before="120" w:after="120"/>
      <w:outlineLvl w:val="2"/>
    </w:pPr>
    <w:rPr>
      <w:b/>
      <w:sz w:val="24"/>
      <w:szCs w:val="28"/>
    </w:rPr>
  </w:style>
  <w:style w:type="paragraph" w:customStyle="1" w:styleId="ENotesHeading3">
    <w:name w:val="ENotesHeading 3"/>
    <w:aliases w:val="Enh3"/>
    <w:basedOn w:val="OPCParaBase"/>
    <w:next w:val="Normal"/>
    <w:rsid w:val="00425C42"/>
    <w:pPr>
      <w:keepNext/>
      <w:spacing w:before="120" w:line="240" w:lineRule="auto"/>
      <w:outlineLvl w:val="4"/>
    </w:pPr>
    <w:rPr>
      <w:b/>
      <w:szCs w:val="24"/>
    </w:rPr>
  </w:style>
  <w:style w:type="paragraph" w:customStyle="1" w:styleId="ENoteTTIndentHeading">
    <w:name w:val="ENoteTTIndentHeading"/>
    <w:aliases w:val="enTTHi"/>
    <w:basedOn w:val="OPCParaBase"/>
    <w:rsid w:val="00425C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5C42"/>
    <w:pPr>
      <w:spacing w:before="60" w:line="240" w:lineRule="atLeast"/>
    </w:pPr>
    <w:rPr>
      <w:sz w:val="16"/>
    </w:rPr>
  </w:style>
  <w:style w:type="paragraph" w:customStyle="1" w:styleId="MadeunderText">
    <w:name w:val="MadeunderText"/>
    <w:basedOn w:val="OPCParaBase"/>
    <w:next w:val="CompiledMadeUnder"/>
    <w:rsid w:val="00425C42"/>
    <w:pPr>
      <w:spacing w:before="240"/>
    </w:pPr>
    <w:rPr>
      <w:sz w:val="24"/>
      <w:szCs w:val="24"/>
    </w:rPr>
  </w:style>
  <w:style w:type="paragraph" w:customStyle="1" w:styleId="SubPartCASA">
    <w:name w:val="SubPart(CASA)"/>
    <w:aliases w:val="csp"/>
    <w:basedOn w:val="OPCParaBase"/>
    <w:next w:val="ActHead3"/>
    <w:rsid w:val="00425C4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25C42"/>
  </w:style>
  <w:style w:type="character" w:customStyle="1" w:styleId="CharSubPartNoCASA">
    <w:name w:val="CharSubPartNo(CASA)"/>
    <w:basedOn w:val="OPCCharBase"/>
    <w:uiPriority w:val="1"/>
    <w:rsid w:val="00425C42"/>
  </w:style>
  <w:style w:type="paragraph" w:customStyle="1" w:styleId="ENoteTTIndentHeadingSub">
    <w:name w:val="ENoteTTIndentHeadingSub"/>
    <w:aliases w:val="enTTHis"/>
    <w:basedOn w:val="OPCParaBase"/>
    <w:rsid w:val="00425C42"/>
    <w:pPr>
      <w:keepNext/>
      <w:spacing w:before="60" w:line="240" w:lineRule="atLeast"/>
      <w:ind w:left="340"/>
    </w:pPr>
    <w:rPr>
      <w:b/>
      <w:sz w:val="16"/>
    </w:rPr>
  </w:style>
  <w:style w:type="paragraph" w:customStyle="1" w:styleId="ENoteTTiSub">
    <w:name w:val="ENoteTTiSub"/>
    <w:aliases w:val="enttis"/>
    <w:basedOn w:val="OPCParaBase"/>
    <w:rsid w:val="00425C42"/>
    <w:pPr>
      <w:keepNext/>
      <w:spacing w:before="60" w:line="240" w:lineRule="atLeast"/>
      <w:ind w:left="340"/>
    </w:pPr>
    <w:rPr>
      <w:sz w:val="16"/>
    </w:rPr>
  </w:style>
  <w:style w:type="paragraph" w:customStyle="1" w:styleId="SubDivisionMigration">
    <w:name w:val="SubDivisionMigration"/>
    <w:aliases w:val="sdm"/>
    <w:basedOn w:val="OPCParaBase"/>
    <w:rsid w:val="00425C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5C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5C42"/>
    <w:pPr>
      <w:spacing w:before="122" w:line="240" w:lineRule="auto"/>
      <w:ind w:left="1985" w:hanging="851"/>
    </w:pPr>
    <w:rPr>
      <w:sz w:val="18"/>
    </w:rPr>
  </w:style>
  <w:style w:type="paragraph" w:customStyle="1" w:styleId="FreeForm">
    <w:name w:val="FreeForm"/>
    <w:rsid w:val="00425C42"/>
    <w:rPr>
      <w:rFonts w:ascii="Arial" w:eastAsiaTheme="minorHAnsi" w:hAnsi="Arial" w:cstheme="minorBidi"/>
      <w:sz w:val="22"/>
      <w:lang w:eastAsia="en-US"/>
    </w:rPr>
  </w:style>
  <w:style w:type="paragraph" w:customStyle="1" w:styleId="SOText">
    <w:name w:val="SO Text"/>
    <w:aliases w:val="sot"/>
    <w:link w:val="SOTextChar"/>
    <w:rsid w:val="00425C4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5C42"/>
    <w:rPr>
      <w:rFonts w:eastAsiaTheme="minorHAnsi" w:cstheme="minorBidi"/>
      <w:sz w:val="22"/>
      <w:lang w:eastAsia="en-US"/>
    </w:rPr>
  </w:style>
  <w:style w:type="paragraph" w:customStyle="1" w:styleId="SOTextNote">
    <w:name w:val="SO TextNote"/>
    <w:aliases w:val="sont"/>
    <w:basedOn w:val="SOText"/>
    <w:qFormat/>
    <w:rsid w:val="00425C42"/>
    <w:pPr>
      <w:spacing w:before="122" w:line="198" w:lineRule="exact"/>
      <w:ind w:left="1843" w:hanging="709"/>
    </w:pPr>
    <w:rPr>
      <w:sz w:val="18"/>
    </w:rPr>
  </w:style>
  <w:style w:type="paragraph" w:customStyle="1" w:styleId="SOPara">
    <w:name w:val="SO Para"/>
    <w:aliases w:val="soa"/>
    <w:basedOn w:val="SOText"/>
    <w:link w:val="SOParaChar"/>
    <w:qFormat/>
    <w:rsid w:val="00425C42"/>
    <w:pPr>
      <w:tabs>
        <w:tab w:val="right" w:pos="1786"/>
      </w:tabs>
      <w:spacing w:before="40"/>
      <w:ind w:left="2070" w:hanging="936"/>
    </w:pPr>
  </w:style>
  <w:style w:type="character" w:customStyle="1" w:styleId="SOParaChar">
    <w:name w:val="SO Para Char"/>
    <w:aliases w:val="soa Char"/>
    <w:basedOn w:val="DefaultParagraphFont"/>
    <w:link w:val="SOPara"/>
    <w:rsid w:val="00425C42"/>
    <w:rPr>
      <w:rFonts w:eastAsiaTheme="minorHAnsi" w:cstheme="minorBidi"/>
      <w:sz w:val="22"/>
      <w:lang w:eastAsia="en-US"/>
    </w:rPr>
  </w:style>
  <w:style w:type="paragraph" w:customStyle="1" w:styleId="FileName">
    <w:name w:val="FileName"/>
    <w:basedOn w:val="Normal"/>
    <w:rsid w:val="00425C42"/>
  </w:style>
  <w:style w:type="paragraph" w:customStyle="1" w:styleId="TableHeading">
    <w:name w:val="TableHeading"/>
    <w:aliases w:val="th"/>
    <w:basedOn w:val="OPCParaBase"/>
    <w:next w:val="Tabletext"/>
    <w:rsid w:val="00425C42"/>
    <w:pPr>
      <w:keepNext/>
      <w:spacing w:before="60" w:line="240" w:lineRule="atLeast"/>
    </w:pPr>
    <w:rPr>
      <w:b/>
      <w:sz w:val="20"/>
    </w:rPr>
  </w:style>
  <w:style w:type="paragraph" w:customStyle="1" w:styleId="SOHeadBold">
    <w:name w:val="SO HeadBold"/>
    <w:aliases w:val="sohb"/>
    <w:basedOn w:val="SOText"/>
    <w:next w:val="SOText"/>
    <w:link w:val="SOHeadBoldChar"/>
    <w:qFormat/>
    <w:rsid w:val="00425C42"/>
    <w:rPr>
      <w:b/>
    </w:rPr>
  </w:style>
  <w:style w:type="character" w:customStyle="1" w:styleId="SOHeadBoldChar">
    <w:name w:val="SO HeadBold Char"/>
    <w:aliases w:val="sohb Char"/>
    <w:basedOn w:val="DefaultParagraphFont"/>
    <w:link w:val="SOHeadBold"/>
    <w:rsid w:val="00425C4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5C42"/>
    <w:rPr>
      <w:i/>
    </w:rPr>
  </w:style>
  <w:style w:type="character" w:customStyle="1" w:styleId="SOHeadItalicChar">
    <w:name w:val="SO HeadItalic Char"/>
    <w:aliases w:val="sohi Char"/>
    <w:basedOn w:val="DefaultParagraphFont"/>
    <w:link w:val="SOHeadItalic"/>
    <w:rsid w:val="00425C42"/>
    <w:rPr>
      <w:rFonts w:eastAsiaTheme="minorHAnsi" w:cstheme="minorBidi"/>
      <w:i/>
      <w:sz w:val="22"/>
      <w:lang w:eastAsia="en-US"/>
    </w:rPr>
  </w:style>
  <w:style w:type="paragraph" w:customStyle="1" w:styleId="SOBullet">
    <w:name w:val="SO Bullet"/>
    <w:aliases w:val="sotb"/>
    <w:basedOn w:val="SOText"/>
    <w:link w:val="SOBulletChar"/>
    <w:qFormat/>
    <w:rsid w:val="00425C42"/>
    <w:pPr>
      <w:ind w:left="1559" w:hanging="425"/>
    </w:pPr>
  </w:style>
  <w:style w:type="character" w:customStyle="1" w:styleId="SOBulletChar">
    <w:name w:val="SO Bullet Char"/>
    <w:aliases w:val="sotb Char"/>
    <w:basedOn w:val="DefaultParagraphFont"/>
    <w:link w:val="SOBullet"/>
    <w:rsid w:val="00425C42"/>
    <w:rPr>
      <w:rFonts w:eastAsiaTheme="minorHAnsi" w:cstheme="minorBidi"/>
      <w:sz w:val="22"/>
      <w:lang w:eastAsia="en-US"/>
    </w:rPr>
  </w:style>
  <w:style w:type="paragraph" w:customStyle="1" w:styleId="SOBulletNote">
    <w:name w:val="SO BulletNote"/>
    <w:aliases w:val="sonb"/>
    <w:basedOn w:val="SOTextNote"/>
    <w:link w:val="SOBulletNoteChar"/>
    <w:qFormat/>
    <w:rsid w:val="00425C42"/>
    <w:pPr>
      <w:tabs>
        <w:tab w:val="left" w:pos="1560"/>
      </w:tabs>
      <w:ind w:left="2268" w:hanging="1134"/>
    </w:pPr>
  </w:style>
  <w:style w:type="character" w:customStyle="1" w:styleId="SOBulletNoteChar">
    <w:name w:val="SO BulletNote Char"/>
    <w:aliases w:val="sonb Char"/>
    <w:basedOn w:val="DefaultParagraphFont"/>
    <w:link w:val="SOBulletNote"/>
    <w:rsid w:val="00425C42"/>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FF1E9B"/>
    <w:rPr>
      <w:sz w:val="22"/>
    </w:rPr>
  </w:style>
  <w:style w:type="character" w:customStyle="1" w:styleId="ActHead5Char">
    <w:name w:val="ActHead 5 Char"/>
    <w:aliases w:val="s Char"/>
    <w:link w:val="ActHead5"/>
    <w:rsid w:val="00FF1E9B"/>
    <w:rPr>
      <w:b/>
      <w:kern w:val="28"/>
      <w:sz w:val="24"/>
    </w:rPr>
  </w:style>
  <w:style w:type="character" w:customStyle="1" w:styleId="paragraphChar">
    <w:name w:val="paragraph Char"/>
    <w:aliases w:val="a Char"/>
    <w:basedOn w:val="DefaultParagraphFont"/>
    <w:link w:val="paragraph"/>
    <w:locked/>
    <w:rsid w:val="00FF1E9B"/>
    <w:rPr>
      <w:sz w:val="22"/>
    </w:rPr>
  </w:style>
  <w:style w:type="character" w:customStyle="1" w:styleId="notetextChar">
    <w:name w:val="note(text) Char"/>
    <w:aliases w:val="n Char"/>
    <w:basedOn w:val="DefaultParagraphFont"/>
    <w:link w:val="notetext"/>
    <w:rsid w:val="00EB2CC8"/>
    <w:rPr>
      <w:sz w:val="18"/>
    </w:rPr>
  </w:style>
  <w:style w:type="character" w:customStyle="1" w:styleId="CharSchPTNo">
    <w:name w:val="CharSchPTNo"/>
    <w:basedOn w:val="DefaultParagraphFont"/>
    <w:rsid w:val="00EB2CC8"/>
  </w:style>
  <w:style w:type="paragraph" w:styleId="Revision">
    <w:name w:val="Revision"/>
    <w:hidden/>
    <w:uiPriority w:val="99"/>
    <w:semiHidden/>
    <w:rsid w:val="008C0EE0"/>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99E0-79EA-461E-8462-41FFCF6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18</Pages>
  <Words>3762</Words>
  <Characters>18572</Characters>
  <Application>Microsoft Office Word</Application>
  <DocSecurity>0</DocSecurity>
  <PresentationFormat/>
  <Lines>652</Lines>
  <Paragraphs>430</Paragraphs>
  <ScaleCrop>false</ScaleCrop>
  <HeadingPairs>
    <vt:vector size="2" baseType="variant">
      <vt:variant>
        <vt:lpstr>Title</vt:lpstr>
      </vt:variant>
      <vt:variant>
        <vt:i4>1</vt:i4>
      </vt:variant>
    </vt:vector>
  </HeadingPairs>
  <TitlesOfParts>
    <vt:vector size="1" baseType="lpstr">
      <vt:lpstr>National Consumer Credit Protection (Fees) Regulations 2010</vt:lpstr>
    </vt:vector>
  </TitlesOfParts>
  <Manager/>
  <Company/>
  <LinksUpToDate>false</LinksUpToDate>
  <CharactersWithSpaces>21971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(Fees) Regulations 2010</dc:title>
  <dc:subject/>
  <dc:creator/>
  <cp:keywords/>
  <dc:description/>
  <cp:lastModifiedBy/>
  <cp:revision>1</cp:revision>
  <cp:lastPrinted>2010-11-26T05:21:00Z</cp:lastPrinted>
  <dcterms:created xsi:type="dcterms:W3CDTF">2018-08-23T06:39:00Z</dcterms:created>
  <dcterms:modified xsi:type="dcterms:W3CDTF">2018-08-23T06:39:00Z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National Consumer Credit Protection (Fees) Regulations 2010</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3</vt:i4>
  </property>
  <property fmtid="{D5CDD505-2E9C-101B-9397-08002B2CF9AE}" pid="16" name="CompilationNumber">
    <vt:lpwstr>4</vt:lpwstr>
  </property>
  <property fmtid="{D5CDD505-2E9C-101B-9397-08002B2CF9AE}" pid="17" name="StartDate">
    <vt:lpwstr>4 July 2018</vt:lpwstr>
  </property>
  <property fmtid="{D5CDD505-2E9C-101B-9397-08002B2CF9AE}" pid="18" name="IncludesUpTo">
    <vt:lpwstr>F2018L00965</vt:lpwstr>
  </property>
  <property fmtid="{D5CDD505-2E9C-101B-9397-08002B2CF9AE}" pid="19" name="RegisteredDate">
    <vt:lpwstr>6 August 2018</vt:lpwstr>
  </property>
  <property fmtid="{D5CDD505-2E9C-101B-9397-08002B2CF9AE}" pid="20" name="DoNotAsk">
    <vt:lpwstr>0</vt:lpwstr>
  </property>
  <property fmtid="{D5CDD505-2E9C-101B-9397-08002B2CF9AE}" pid="21" name="ChangedTitle">
    <vt:lpwstr/>
  </property>
</Properties>
</file>