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5"/>
        </w:rPr>
      </w:pPr>
    </w:p>
    <w:p>
      <w:pPr>
        <w:pStyle w:val="BodyText"/>
        <w:ind w:left="3825"/>
        <w:rPr>
          <w:rFonts w:ascii="Times New Roman"/>
          <w:sz w:val="20"/>
        </w:rPr>
      </w:pPr>
      <w:r>
        <w:rPr>
          <w:rFonts w:ascii="Times New Roman"/>
          <w:sz w:val="20"/>
        </w:rPr>
        <w:drawing>
          <wp:inline distT="0" distB="0" distL="0" distR="0">
            <wp:extent cx="934021" cy="124434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34021" cy="124434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6"/>
        <w:rPr>
          <w:rFonts w:ascii="Times New Roman"/>
          <w:sz w:val="19"/>
        </w:rPr>
      </w:pPr>
    </w:p>
    <w:p>
      <w:pPr>
        <w:pStyle w:val="Title"/>
        <w:spacing w:line="309" w:lineRule="auto" w:before="88"/>
      </w:pPr>
      <w:bookmarkStart w:name=" " w:id="1"/>
      <w:bookmarkEnd w:id="1"/>
      <w:r>
        <w:rPr>
          <w:b w:val="0"/>
        </w:rPr>
      </w:r>
      <w:r>
        <w:rPr/>
        <w:t>FINAL</w:t>
      </w:r>
      <w:r>
        <w:rPr>
          <w:spacing w:val="-14"/>
        </w:rPr>
        <w:t> </w:t>
      </w:r>
      <w:r>
        <w:rPr/>
        <w:t>REGULATION</w:t>
      </w:r>
      <w:r>
        <w:rPr>
          <w:spacing w:val="-14"/>
        </w:rPr>
        <w:t> </w:t>
      </w:r>
      <w:r>
        <w:rPr/>
        <w:t>IMPACT</w:t>
      </w:r>
      <w:r>
        <w:rPr>
          <w:spacing w:val="-14"/>
        </w:rPr>
        <w:t> </w:t>
      </w:r>
      <w:r>
        <w:rPr/>
        <w:t>STATEMENT for DECISION</w:t>
      </w:r>
    </w:p>
    <w:p>
      <w:pPr>
        <w:pStyle w:val="Title"/>
        <w:spacing w:line="414" w:lineRule="exact"/>
      </w:pPr>
      <w:r>
        <w:rPr/>
        <w:t>(RIS</w:t>
      </w:r>
      <w:r>
        <w:rPr>
          <w:spacing w:val="-19"/>
        </w:rPr>
        <w:t> </w:t>
      </w:r>
      <w:r>
        <w:rPr/>
        <w:t>2009-</w:t>
      </w:r>
      <w:r>
        <w:rPr>
          <w:spacing w:val="-5"/>
        </w:rPr>
        <w:t>05)</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6"/>
        </w:rPr>
      </w:pPr>
      <w:r>
        <w:rPr/>
        <w:pict>
          <v:shapetype id="_x0000_t202" o:spt="202" coordsize="21600,21600" path="m,l,21600r21600,l21600,xe">
            <v:stroke joinstyle="miter"/>
            <v:path gradientshapeok="t" o:connecttype="rect"/>
          </v:shapetype>
          <v:shape style="position:absolute;margin-left:83.940002pt;margin-top:16.817541pt;width:444.2pt;height:85.8pt;mso-position-horizontal-relative:page;mso-position-vertical-relative:paragraph;z-index:-15728640;mso-wrap-distance-left:0;mso-wrap-distance-right:0" type="#_x0000_t202" id="docshape1" filled="false" stroked="true" strokeweight=".96pt" strokecolor="#000000">
            <v:textbox inset="0,0,0,0">
              <w:txbxContent>
                <w:p>
                  <w:pPr>
                    <w:spacing w:line="240" w:lineRule="auto" w:before="20"/>
                    <w:ind w:left="272" w:right="271" w:firstLine="0"/>
                    <w:jc w:val="center"/>
                    <w:rPr>
                      <w:b/>
                      <w:i/>
                      <w:sz w:val="36"/>
                    </w:rPr>
                  </w:pPr>
                  <w:r>
                    <w:rPr>
                      <w:b/>
                      <w:i/>
                      <w:sz w:val="36"/>
                    </w:rPr>
                    <w:t>Proposal to Formulate Disability (Access to</w:t>
                  </w:r>
                  <w:r>
                    <w:rPr>
                      <w:b/>
                      <w:i/>
                      <w:sz w:val="36"/>
                    </w:rPr>
                    <w:t> Premises</w:t>
                  </w:r>
                  <w:r>
                    <w:rPr>
                      <w:b/>
                      <w:i/>
                      <w:spacing w:val="-7"/>
                      <w:sz w:val="36"/>
                    </w:rPr>
                    <w:t> </w:t>
                  </w:r>
                  <w:r>
                    <w:rPr>
                      <w:b/>
                      <w:i/>
                      <w:sz w:val="36"/>
                    </w:rPr>
                    <w:t>–</w:t>
                  </w:r>
                  <w:r>
                    <w:rPr>
                      <w:b/>
                      <w:i/>
                      <w:spacing w:val="-7"/>
                      <w:sz w:val="36"/>
                    </w:rPr>
                    <w:t> </w:t>
                  </w:r>
                  <w:r>
                    <w:rPr>
                      <w:b/>
                      <w:i/>
                      <w:sz w:val="36"/>
                    </w:rPr>
                    <w:t>Buildings)</w:t>
                  </w:r>
                  <w:r>
                    <w:rPr>
                      <w:b/>
                      <w:i/>
                      <w:spacing w:val="-7"/>
                      <w:sz w:val="36"/>
                    </w:rPr>
                    <w:t> </w:t>
                  </w:r>
                  <w:r>
                    <w:rPr>
                      <w:b/>
                      <w:i/>
                      <w:sz w:val="36"/>
                    </w:rPr>
                    <w:t>Standards</w:t>
                  </w:r>
                  <w:r>
                    <w:rPr>
                      <w:b/>
                      <w:i/>
                      <w:spacing w:val="-7"/>
                      <w:sz w:val="36"/>
                    </w:rPr>
                    <w:t> </w:t>
                  </w:r>
                  <w:r>
                    <w:rPr>
                      <w:b/>
                      <w:i/>
                      <w:sz w:val="36"/>
                    </w:rPr>
                    <w:t>and</w:t>
                  </w:r>
                  <w:r>
                    <w:rPr>
                      <w:b/>
                      <w:i/>
                      <w:spacing w:val="-7"/>
                      <w:sz w:val="36"/>
                    </w:rPr>
                    <w:t> </w:t>
                  </w:r>
                  <w:r>
                    <w:rPr>
                      <w:b/>
                      <w:i/>
                      <w:sz w:val="36"/>
                    </w:rPr>
                    <w:t>Amend</w:t>
                  </w:r>
                  <w:r>
                    <w:rPr>
                      <w:b/>
                      <w:i/>
                      <w:spacing w:val="-7"/>
                      <w:sz w:val="36"/>
                    </w:rPr>
                    <w:t> </w:t>
                  </w:r>
                  <w:r>
                    <w:rPr>
                      <w:b/>
                      <w:i/>
                      <w:sz w:val="36"/>
                    </w:rPr>
                    <w:t>the Access Provisions of the Building Code of Australia (RIS2008-02 – as amended)</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23"/>
        <w:ind w:left="1793" w:right="1852" w:firstLine="0"/>
        <w:jc w:val="center"/>
        <w:rPr>
          <w:b/>
          <w:i/>
          <w:sz w:val="28"/>
        </w:rPr>
      </w:pPr>
      <w:r>
        <w:rPr>
          <w:b/>
          <w:sz w:val="28"/>
        </w:rPr>
        <w:t>October</w:t>
      </w:r>
      <w:r>
        <w:rPr>
          <w:b/>
          <w:spacing w:val="-8"/>
          <w:sz w:val="28"/>
        </w:rPr>
        <w:t> </w:t>
      </w:r>
      <w:r>
        <w:rPr>
          <w:b/>
          <w:sz w:val="28"/>
        </w:rPr>
        <w:t>2008</w:t>
      </w:r>
      <w:r>
        <w:rPr>
          <w:b/>
          <w:spacing w:val="-7"/>
          <w:sz w:val="28"/>
        </w:rPr>
        <w:t> </w:t>
      </w:r>
      <w:r>
        <w:rPr>
          <w:b/>
          <w:sz w:val="28"/>
        </w:rPr>
        <w:t>–</w:t>
      </w:r>
      <w:r>
        <w:rPr>
          <w:b/>
          <w:spacing w:val="-8"/>
          <w:sz w:val="28"/>
        </w:rPr>
        <w:t> </w:t>
      </w:r>
      <w:r>
        <w:rPr>
          <w:b/>
          <w:i/>
          <w:sz w:val="28"/>
        </w:rPr>
        <w:t>as</w:t>
      </w:r>
      <w:r>
        <w:rPr>
          <w:b/>
          <w:i/>
          <w:spacing w:val="-7"/>
          <w:sz w:val="28"/>
        </w:rPr>
        <w:t> </w:t>
      </w:r>
      <w:r>
        <w:rPr>
          <w:b/>
          <w:i/>
          <w:sz w:val="28"/>
        </w:rPr>
        <w:t>amended</w:t>
      </w:r>
      <w:r>
        <w:rPr>
          <w:b/>
          <w:i/>
          <w:spacing w:val="-8"/>
          <w:sz w:val="28"/>
        </w:rPr>
        <w:t> </w:t>
      </w:r>
      <w:r>
        <w:rPr>
          <w:b/>
          <w:i/>
          <w:sz w:val="28"/>
        </w:rPr>
        <w:t>October</w:t>
      </w:r>
      <w:r>
        <w:rPr>
          <w:b/>
          <w:i/>
          <w:spacing w:val="-7"/>
          <w:sz w:val="28"/>
        </w:rPr>
        <w:t> </w:t>
      </w:r>
      <w:r>
        <w:rPr>
          <w:b/>
          <w:i/>
          <w:spacing w:val="-4"/>
          <w:sz w:val="28"/>
        </w:rPr>
        <w:t>2009</w:t>
      </w:r>
    </w:p>
    <w:p>
      <w:pPr>
        <w:pStyle w:val="BodyText"/>
        <w:rPr>
          <w:b/>
          <w:i/>
          <w:sz w:val="30"/>
        </w:rPr>
      </w:pPr>
    </w:p>
    <w:p>
      <w:pPr>
        <w:pStyle w:val="BodyText"/>
        <w:rPr>
          <w:b/>
          <w:i/>
          <w:sz w:val="30"/>
        </w:rPr>
      </w:pPr>
    </w:p>
    <w:p>
      <w:pPr>
        <w:pStyle w:val="BodyText"/>
        <w:rPr>
          <w:b/>
          <w:i/>
          <w:sz w:val="30"/>
        </w:rPr>
      </w:pPr>
    </w:p>
    <w:p>
      <w:pPr>
        <w:pStyle w:val="BodyText"/>
        <w:rPr>
          <w:b/>
          <w:i/>
          <w:sz w:val="30"/>
        </w:rPr>
      </w:pPr>
    </w:p>
    <w:p>
      <w:pPr>
        <w:pStyle w:val="BodyText"/>
        <w:spacing w:before="1"/>
        <w:rPr>
          <w:b/>
          <w:i/>
          <w:sz w:val="28"/>
        </w:rPr>
      </w:pPr>
    </w:p>
    <w:p>
      <w:pPr>
        <w:pStyle w:val="Heading5"/>
        <w:ind w:right="294"/>
      </w:pPr>
      <w:r>
        <w:rPr>
          <w:i/>
        </w:rPr>
        <w:t>This Regulation</w:t>
      </w:r>
      <w:r>
        <w:rPr>
          <w:i/>
        </w:rPr>
        <w:t> Impact Statement has been prepared in accordance with</w:t>
      </w:r>
      <w:r>
        <w:rPr/>
        <w:t> the requirements of Best</w:t>
      </w:r>
      <w:r>
        <w:rPr/>
        <w:t> Practice</w:t>
      </w:r>
      <w:r>
        <w:rPr/>
        <w:t> Regulation:</w:t>
      </w:r>
      <w:r>
        <w:rPr>
          <w:spacing w:val="40"/>
        </w:rPr>
        <w:t> </w:t>
      </w:r>
      <w:r>
        <w:rPr/>
        <w:t>A Guide for Ministerial Councils and National Standard Setting Bodies, endorsed by the Council of Australian Governments (2007).</w:t>
      </w:r>
    </w:p>
    <w:p>
      <w:pPr>
        <w:spacing w:after="0"/>
        <w:sectPr>
          <w:type w:val="continuous"/>
          <w:pgSz w:w="12240" w:h="15840"/>
          <w:pgMar w:top="1500" w:bottom="280" w:left="1560" w:right="1500"/>
        </w:sect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3"/>
        <w:rPr>
          <w:b/>
          <w:i/>
          <w:sz w:val="23"/>
        </w:rPr>
      </w:pPr>
    </w:p>
    <w:p>
      <w:pPr>
        <w:pStyle w:val="BodyText"/>
        <w:ind w:left="237" w:right="295"/>
        <w:jc w:val="both"/>
      </w:pPr>
      <w:r>
        <w:rPr/>
        <w:t>© Copyright 2008-2009 Australian Government, States and Territories of </w:t>
      </w:r>
      <w:r>
        <w:rPr>
          <w:spacing w:val="-2"/>
        </w:rPr>
        <w:t>Australia.</w:t>
      </w:r>
    </w:p>
    <w:p>
      <w:pPr>
        <w:pStyle w:val="BodyText"/>
        <w:spacing w:before="120"/>
        <w:ind w:left="237" w:right="292"/>
        <w:jc w:val="both"/>
      </w:pPr>
      <w:r>
        <w:rPr/>
        <w:t>Regulation</w:t>
      </w:r>
      <w:r>
        <w:rPr/>
        <w:t> Impact</w:t>
      </w:r>
      <w:r>
        <w:rPr/>
        <w:t> Statement</w:t>
      </w:r>
      <w:r>
        <w:rPr/>
        <w:t> for</w:t>
      </w:r>
      <w:r>
        <w:rPr/>
        <w:t> Proposal</w:t>
      </w:r>
      <w:r>
        <w:rPr/>
        <w:t> to</w:t>
      </w:r>
      <w:r>
        <w:rPr/>
        <w:t> Formulate</w:t>
      </w:r>
      <w:r>
        <w:rPr/>
        <w:t> Disability</w:t>
      </w:r>
      <w:r>
        <w:rPr/>
        <w:t> (Access</w:t>
      </w:r>
      <w:r>
        <w:rPr/>
        <w:t> to Premises</w:t>
      </w:r>
      <w:r>
        <w:rPr/>
        <w:t> -</w:t>
      </w:r>
      <w:r>
        <w:rPr/>
        <w:t> Buildings)</w:t>
      </w:r>
      <w:r>
        <w:rPr/>
        <w:t> Standards</w:t>
      </w:r>
      <w:r>
        <w:rPr/>
        <w:t> and</w:t>
      </w:r>
      <w:r>
        <w:rPr/>
        <w:t> Amend</w:t>
      </w:r>
      <w:r>
        <w:rPr/>
        <w:t> the</w:t>
      </w:r>
      <w:r>
        <w:rPr/>
        <w:t> Access</w:t>
      </w:r>
      <w:r>
        <w:rPr/>
        <w:t> Provisions</w:t>
      </w:r>
      <w:r>
        <w:rPr/>
        <w:t> of</w:t>
      </w:r>
      <w:r>
        <w:rPr/>
        <w:t> the Building</w:t>
      </w:r>
      <w:r>
        <w:rPr/>
        <w:t> Code</w:t>
      </w:r>
      <w:r>
        <w:rPr/>
        <w:t> of</w:t>
      </w:r>
      <w:r>
        <w:rPr/>
        <w:t> Australia</w:t>
      </w:r>
      <w:r>
        <w:rPr/>
        <w:t> belongs</w:t>
      </w:r>
      <w:r>
        <w:rPr/>
        <w:t> to</w:t>
      </w:r>
      <w:r>
        <w:rPr/>
        <w:t> the</w:t>
      </w:r>
      <w:r>
        <w:rPr/>
        <w:t> Australian</w:t>
      </w:r>
      <w:r>
        <w:rPr/>
        <w:t> Government,</w:t>
      </w:r>
      <w:r>
        <w:rPr/>
        <w:t> State</w:t>
      </w:r>
      <w:r>
        <w:rPr/>
        <w:t> and Territory Governments.</w:t>
      </w:r>
      <w:r>
        <w:rPr>
          <w:spacing w:val="40"/>
        </w:rPr>
        <w:t> </w:t>
      </w:r>
      <w:r>
        <w:rPr/>
        <w:t>Material contained in the publication may be reproduced for educational purposes and for use as permitted under the Copyright Act 1968. Otherwise, no part may be reproduced without prior permission.</w:t>
      </w:r>
      <w:r>
        <w:rPr>
          <w:spacing w:val="40"/>
        </w:rPr>
        <w:t> </w:t>
      </w:r>
      <w:r>
        <w:rPr/>
        <w:t>Requests and inquiries</w:t>
      </w:r>
      <w:r>
        <w:rPr/>
        <w:t> concerning</w:t>
      </w:r>
      <w:r>
        <w:rPr/>
        <w:t> reproduction</w:t>
      </w:r>
      <w:r>
        <w:rPr/>
        <w:t> and</w:t>
      </w:r>
      <w:r>
        <w:rPr/>
        <w:t> rights</w:t>
      </w:r>
      <w:r>
        <w:rPr/>
        <w:t> should</w:t>
      </w:r>
      <w:r>
        <w:rPr/>
        <w:t> be</w:t>
      </w:r>
      <w:r>
        <w:rPr/>
        <w:t> directed</w:t>
      </w:r>
      <w:r>
        <w:rPr/>
        <w:t> in</w:t>
      </w:r>
      <w:r>
        <w:rPr/>
        <w:t> the</w:t>
      </w:r>
      <w:r>
        <w:rPr/>
        <w:t> first instance to:</w:t>
      </w:r>
    </w:p>
    <w:p>
      <w:pPr>
        <w:pStyle w:val="BodyText"/>
        <w:spacing w:line="343" w:lineRule="auto" w:before="119"/>
        <w:ind w:left="237" w:right="5484"/>
      </w:pPr>
      <w:r>
        <w:rPr/>
        <w:t>The General Manager</w:t>
      </w:r>
      <w:r>
        <w:rPr>
          <w:spacing w:val="40"/>
        </w:rPr>
        <w:t> </w:t>
      </w:r>
      <w:r>
        <w:rPr/>
        <w:t>Australian</w:t>
      </w:r>
      <w:r>
        <w:rPr>
          <w:spacing w:val="-13"/>
        </w:rPr>
        <w:t> </w:t>
      </w:r>
      <w:r>
        <w:rPr/>
        <w:t>Building</w:t>
      </w:r>
      <w:r>
        <w:rPr>
          <w:spacing w:val="-13"/>
        </w:rPr>
        <w:t> </w:t>
      </w:r>
      <w:r>
        <w:rPr/>
        <w:t>Codes</w:t>
      </w:r>
      <w:r>
        <w:rPr>
          <w:spacing w:val="-13"/>
        </w:rPr>
        <w:t> </w:t>
      </w:r>
      <w:r>
        <w:rPr/>
        <w:t>Board</w:t>
      </w:r>
    </w:p>
    <w:p>
      <w:pPr>
        <w:pStyle w:val="BodyText"/>
        <w:spacing w:before="2"/>
        <w:ind w:left="237"/>
      </w:pPr>
      <w:r>
        <w:rPr/>
        <w:t>PO</w:t>
      </w:r>
      <w:r>
        <w:rPr>
          <w:spacing w:val="-7"/>
        </w:rPr>
        <w:t> </w:t>
      </w:r>
      <w:r>
        <w:rPr/>
        <w:t>Box</w:t>
      </w:r>
      <w:r>
        <w:rPr>
          <w:spacing w:val="-4"/>
        </w:rPr>
        <w:t> </w:t>
      </w:r>
      <w:r>
        <w:rPr/>
        <w:t>9839,</w:t>
      </w:r>
      <w:r>
        <w:rPr>
          <w:spacing w:val="-5"/>
        </w:rPr>
        <w:t> </w:t>
      </w:r>
      <w:r>
        <w:rPr/>
        <w:t>Canberra</w:t>
      </w:r>
      <w:r>
        <w:rPr>
          <w:spacing w:val="-4"/>
        </w:rPr>
        <w:t> </w:t>
      </w:r>
      <w:r>
        <w:rPr/>
        <w:t>City,</w:t>
      </w:r>
      <w:r>
        <w:rPr>
          <w:spacing w:val="-4"/>
        </w:rPr>
        <w:t> 2601</w:t>
      </w:r>
    </w:p>
    <w:p>
      <w:pPr>
        <w:pStyle w:val="BodyText"/>
        <w:spacing w:before="5"/>
        <w:rPr>
          <w:sz w:val="34"/>
        </w:rPr>
      </w:pPr>
    </w:p>
    <w:p>
      <w:pPr>
        <w:pStyle w:val="BodyText"/>
        <w:spacing w:before="1"/>
        <w:ind w:left="237"/>
      </w:pPr>
      <w:r>
        <w:rPr/>
        <w:t>Or</w:t>
      </w:r>
      <w:r>
        <w:rPr>
          <w:spacing w:val="-5"/>
        </w:rPr>
        <w:t> </w:t>
      </w:r>
      <w:r>
        <w:rPr/>
        <w:t>by</w:t>
      </w:r>
      <w:r>
        <w:rPr>
          <w:spacing w:val="-2"/>
        </w:rPr>
        <w:t> </w:t>
      </w:r>
      <w:r>
        <w:rPr/>
        <w:t>email:</w:t>
      </w:r>
      <w:r>
        <w:rPr>
          <w:spacing w:val="-2"/>
        </w:rPr>
        <w:t> </w:t>
      </w:r>
      <w:hyperlink r:id="rId7">
        <w:r>
          <w:rPr>
            <w:spacing w:val="-2"/>
          </w:rPr>
          <w:t>abcb.office@abcb.gov.au</w:t>
        </w:r>
      </w:hyperlink>
    </w:p>
    <w:p>
      <w:pPr>
        <w:spacing w:after="0"/>
        <w:sectPr>
          <w:footerReference w:type="default" r:id="rId6"/>
          <w:pgSz w:w="12240" w:h="15840"/>
          <w:pgMar w:footer="1140" w:header="0" w:top="1500" w:bottom="1340" w:left="1560" w:right="1500"/>
          <w:pgNumType w:start="2"/>
        </w:sectPr>
      </w:pPr>
    </w:p>
    <w:p>
      <w:pPr>
        <w:pStyle w:val="Heading1"/>
        <w:spacing w:before="78"/>
        <w:ind w:left="237"/>
      </w:pPr>
      <w:bookmarkStart w:name="_bookmark0" w:id="2"/>
      <w:bookmarkEnd w:id="2"/>
      <w:r>
        <w:rPr>
          <w:b w:val="0"/>
        </w:rPr>
      </w:r>
      <w:r>
        <w:rPr>
          <w:spacing w:val="-2"/>
        </w:rPr>
        <w:t>Summary</w:t>
      </w:r>
    </w:p>
    <w:p>
      <w:pPr>
        <w:pStyle w:val="BodyText"/>
        <w:spacing w:before="239"/>
        <w:ind w:left="237" w:right="292"/>
        <w:jc w:val="both"/>
      </w:pPr>
      <w:r>
        <w:rPr/>
        <w:t>It is proposed to adopt a revised Building Code of Australia (BCA) which will incorporate the technical provisions of the proposed Disability (Access to Premises - Buildings) Standards, herein known as the</w:t>
      </w:r>
      <w:r>
        <w:rPr>
          <w:spacing w:val="-1"/>
        </w:rPr>
        <w:t> </w:t>
      </w:r>
      <w:r>
        <w:rPr>
          <w:i/>
        </w:rPr>
        <w:t>Premises Standards</w:t>
      </w:r>
      <w:r>
        <w:rPr/>
        <w:t>, to be formulated under the Disability Discrimination Act 1992 (DDA).</w:t>
      </w:r>
      <w:r>
        <w:rPr>
          <w:spacing w:val="40"/>
        </w:rPr>
        <w:t> </w:t>
      </w:r>
      <w:r>
        <w:rPr/>
        <w:t>The revised BCA would include changes in respect of publicly accessible buildings that would</w:t>
      </w:r>
      <w:r>
        <w:rPr>
          <w:spacing w:val="40"/>
        </w:rPr>
        <w:t> </w:t>
      </w:r>
      <w:r>
        <w:rPr/>
        <w:t>make those buildings more accessible to people with a disability. Changes to the outcomes of this Regulation Impact Statement as a result of the Government’s consideration of the recommendations contained in the </w:t>
      </w:r>
      <w:r>
        <w:rPr>
          <w:i/>
        </w:rPr>
        <w:t>Access All Areas </w:t>
      </w:r>
      <w:r>
        <w:rPr/>
        <w:t>report</w:t>
      </w:r>
      <w:hyperlink w:history="true" w:anchor="_bookmark0">
        <w:r>
          <w:rPr>
            <w:vertAlign w:val="superscript"/>
          </w:rPr>
          <w:t>1</w:t>
        </w:r>
      </w:hyperlink>
      <w:r>
        <w:rPr>
          <w:vertAlign w:val="baseline"/>
        </w:rPr>
        <w:t> are discussed and analysed in detail in Appendix D. From herein these changes will be referred to as the ‘proposed 2009 amendments’.</w:t>
      </w:r>
    </w:p>
    <w:p>
      <w:pPr>
        <w:pStyle w:val="BodyText"/>
        <w:spacing w:before="10"/>
        <w:rPr>
          <w:sz w:val="23"/>
        </w:rPr>
      </w:pPr>
    </w:p>
    <w:p>
      <w:pPr>
        <w:pStyle w:val="BodyText"/>
        <w:spacing w:before="1"/>
        <w:ind w:left="237" w:right="295"/>
        <w:jc w:val="both"/>
      </w:pPr>
      <w:r>
        <w:rPr/>
        <w:t>While the BCA</w:t>
      </w:r>
      <w:r>
        <w:rPr/>
        <w:t> currently</w:t>
      </w:r>
      <w:r>
        <w:rPr/>
        <w:t> includes</w:t>
      </w:r>
      <w:r>
        <w:rPr/>
        <w:t> a</w:t>
      </w:r>
      <w:r>
        <w:rPr/>
        <w:t> range</w:t>
      </w:r>
      <w:r>
        <w:rPr/>
        <w:t> of</w:t>
      </w:r>
      <w:r>
        <w:rPr/>
        <w:t> access-related</w:t>
      </w:r>
      <w:r>
        <w:rPr/>
        <w:t> requirements, incorporation</w:t>
      </w:r>
      <w:r>
        <w:rPr/>
        <w:t> of</w:t>
      </w:r>
      <w:r>
        <w:rPr/>
        <w:t> the</w:t>
      </w:r>
      <w:r>
        <w:rPr/>
        <w:t> proposed</w:t>
      </w:r>
      <w:r>
        <w:rPr/>
        <w:t> Premises</w:t>
      </w:r>
      <w:r>
        <w:rPr/>
        <w:t> Standards</w:t>
      </w:r>
      <w:r>
        <w:rPr/>
        <w:t> would</w:t>
      </w:r>
      <w:r>
        <w:rPr/>
        <w:t> substantially</w:t>
      </w:r>
      <w:r>
        <w:rPr/>
        <w:t> expand</w:t>
      </w:r>
      <w:r>
        <w:rPr>
          <w:spacing w:val="40"/>
        </w:rPr>
        <w:t> </w:t>
      </w:r>
      <w:r>
        <w:rPr/>
        <w:t>the</w:t>
      </w:r>
      <w:r>
        <w:rPr/>
        <w:t> range</w:t>
      </w:r>
      <w:r>
        <w:rPr/>
        <w:t> of</w:t>
      </w:r>
      <w:r>
        <w:rPr/>
        <w:t> access</w:t>
      </w:r>
      <w:r>
        <w:rPr/>
        <w:t> issues</w:t>
      </w:r>
      <w:r>
        <w:rPr/>
        <w:t> addressed</w:t>
      </w:r>
      <w:r>
        <w:rPr/>
        <w:t> in</w:t>
      </w:r>
      <w:r>
        <w:rPr/>
        <w:t> the</w:t>
      </w:r>
      <w:r>
        <w:rPr/>
        <w:t> BCA,</w:t>
      </w:r>
      <w:r>
        <w:rPr/>
        <w:t> as</w:t>
      </w:r>
      <w:r>
        <w:rPr/>
        <w:t> well</w:t>
      </w:r>
      <w:r>
        <w:rPr/>
        <w:t> as</w:t>
      </w:r>
      <w:r>
        <w:rPr/>
        <w:t> increasing</w:t>
      </w:r>
      <w:r>
        <w:rPr/>
        <w:t> the stringency of a number of existing measures.</w:t>
      </w:r>
    </w:p>
    <w:p>
      <w:pPr>
        <w:pStyle w:val="BodyText"/>
        <w:spacing w:before="11"/>
        <w:rPr>
          <w:sz w:val="23"/>
        </w:rPr>
      </w:pPr>
    </w:p>
    <w:p>
      <w:pPr>
        <w:pStyle w:val="BodyText"/>
        <w:ind w:left="237" w:right="293"/>
        <w:jc w:val="both"/>
      </w:pPr>
      <w:r>
        <w:rPr/>
        <w:t>The technical provisions of the Premises Standards would be adopted under the provisions for Disability Standards under the DDA.</w:t>
      </w:r>
      <w:r>
        <w:rPr>
          <w:spacing w:val="40"/>
        </w:rPr>
        <w:t> </w:t>
      </w:r>
      <w:r>
        <w:rPr/>
        <w:t>The DDA provides that the Attorney-General may formulate Disability Standards in relation to a number of subject areas, including, in relation to ‘access to or use of premises by persons with a disability’. Standards are adopted under the DDA in order to codify the general duty not to discriminate against persons with disabilities, imposed by the DDA, in a range of specific contexts. It is unlawful to contravene a Disability Standard. Compliance with a Standard constitutes a defence to any complaint of discrimination relating to the subject area covered by that Standard that might be brought under the DDA.</w:t>
      </w:r>
      <w:r>
        <w:rPr>
          <w:spacing w:val="40"/>
        </w:rPr>
        <w:t> </w:t>
      </w:r>
      <w:r>
        <w:rPr/>
        <w:t>By aligning the requirements of the DDA in relation to premises and the BCA, building designers and building owners will benefit from substantially</w:t>
      </w:r>
      <w:r>
        <w:rPr>
          <w:spacing w:val="-2"/>
        </w:rPr>
        <w:t> </w:t>
      </w:r>
      <w:r>
        <w:rPr/>
        <w:t>improved</w:t>
      </w:r>
      <w:r>
        <w:rPr>
          <w:spacing w:val="-2"/>
        </w:rPr>
        <w:t> </w:t>
      </w:r>
      <w:r>
        <w:rPr/>
        <w:t>certainty</w:t>
      </w:r>
      <w:r>
        <w:rPr>
          <w:spacing w:val="-2"/>
        </w:rPr>
        <w:t> </w:t>
      </w:r>
      <w:r>
        <w:rPr/>
        <w:t>as</w:t>
      </w:r>
      <w:r>
        <w:rPr>
          <w:spacing w:val="-2"/>
        </w:rPr>
        <w:t> </w:t>
      </w:r>
      <w:r>
        <w:rPr/>
        <w:t>to</w:t>
      </w:r>
      <w:r>
        <w:rPr>
          <w:spacing w:val="-2"/>
        </w:rPr>
        <w:t> </w:t>
      </w:r>
      <w:r>
        <w:rPr/>
        <w:t>their</w:t>
      </w:r>
      <w:r>
        <w:rPr>
          <w:spacing w:val="-2"/>
        </w:rPr>
        <w:t> </w:t>
      </w:r>
      <w:r>
        <w:rPr/>
        <w:t>compliance</w:t>
      </w:r>
      <w:r>
        <w:rPr>
          <w:spacing w:val="-2"/>
        </w:rPr>
        <w:t> </w:t>
      </w:r>
      <w:r>
        <w:rPr/>
        <w:t>with</w:t>
      </w:r>
      <w:r>
        <w:rPr>
          <w:spacing w:val="-3"/>
        </w:rPr>
        <w:t> </w:t>
      </w:r>
      <w:r>
        <w:rPr/>
        <w:t>the</w:t>
      </w:r>
      <w:r>
        <w:rPr>
          <w:spacing w:val="-2"/>
        </w:rPr>
        <w:t> </w:t>
      </w:r>
      <w:r>
        <w:rPr/>
        <w:t>DDA.</w:t>
      </w:r>
      <w:r>
        <w:rPr>
          <w:spacing w:val="40"/>
        </w:rPr>
        <w:t> </w:t>
      </w:r>
      <w:r>
        <w:rPr/>
        <w:t>That</w:t>
      </w:r>
      <w:r>
        <w:rPr>
          <w:spacing w:val="-2"/>
        </w:rPr>
        <w:t> </w:t>
      </w:r>
      <w:r>
        <w:rPr/>
        <w:t>is,</w:t>
      </w:r>
      <w:r>
        <w:rPr>
          <w:spacing w:val="-2"/>
        </w:rPr>
        <w:t> </w:t>
      </w:r>
      <w:r>
        <w:rPr/>
        <w:t>it</w:t>
      </w:r>
      <w:r>
        <w:rPr>
          <w:spacing w:val="-2"/>
        </w:rPr>
        <w:t> </w:t>
      </w:r>
      <w:r>
        <w:rPr/>
        <w:t>is intended that any new or upgraded building that conforms to the requirements of the BCA would also be compliant with the DDA.</w:t>
      </w:r>
    </w:p>
    <w:p>
      <w:pPr>
        <w:pStyle w:val="BodyText"/>
      </w:pPr>
    </w:p>
    <w:p>
      <w:pPr>
        <w:pStyle w:val="BodyText"/>
        <w:spacing w:before="1"/>
        <w:ind w:left="237"/>
      </w:pPr>
      <w:r>
        <w:rPr/>
        <w:t>Major</w:t>
      </w:r>
      <w:r>
        <w:rPr>
          <w:spacing w:val="-6"/>
        </w:rPr>
        <w:t> </w:t>
      </w:r>
      <w:r>
        <w:rPr/>
        <w:t>provisions</w:t>
      </w:r>
      <w:r>
        <w:rPr>
          <w:spacing w:val="-6"/>
        </w:rPr>
        <w:t> </w:t>
      </w:r>
      <w:r>
        <w:rPr/>
        <w:t>of</w:t>
      </w:r>
      <w:r>
        <w:rPr>
          <w:spacing w:val="-6"/>
        </w:rPr>
        <w:t> </w:t>
      </w:r>
      <w:r>
        <w:rPr/>
        <w:t>the</w:t>
      </w:r>
      <w:r>
        <w:rPr>
          <w:spacing w:val="-6"/>
        </w:rPr>
        <w:t> </w:t>
      </w:r>
      <w:r>
        <w:rPr/>
        <w:t>proposed</w:t>
      </w:r>
      <w:r>
        <w:rPr>
          <w:spacing w:val="-5"/>
        </w:rPr>
        <w:t> </w:t>
      </w:r>
      <w:r>
        <w:rPr/>
        <w:t>Premises</w:t>
      </w:r>
      <w:r>
        <w:rPr>
          <w:spacing w:val="-6"/>
        </w:rPr>
        <w:t> </w:t>
      </w:r>
      <w:r>
        <w:rPr/>
        <w:t>Standards</w:t>
      </w:r>
      <w:r>
        <w:rPr>
          <w:spacing w:val="-6"/>
        </w:rPr>
        <w:t> </w:t>
      </w:r>
      <w:r>
        <w:rPr/>
        <w:t>include</w:t>
      </w:r>
      <w:r>
        <w:rPr>
          <w:spacing w:val="-6"/>
        </w:rPr>
        <w:t> </w:t>
      </w:r>
      <w:r>
        <w:rPr/>
        <w:t>requirements</w:t>
      </w:r>
      <w:r>
        <w:rPr>
          <w:spacing w:val="-5"/>
        </w:rPr>
        <w:t> </w:t>
      </w:r>
      <w:r>
        <w:rPr>
          <w:spacing w:val="-4"/>
        </w:rPr>
        <w:t>for:</w:t>
      </w:r>
    </w:p>
    <w:p>
      <w:pPr>
        <w:pStyle w:val="ListParagraph"/>
        <w:numPr>
          <w:ilvl w:val="0"/>
          <w:numId w:val="1"/>
        </w:numPr>
        <w:tabs>
          <w:tab w:pos="957" w:val="left" w:leader="none"/>
          <w:tab w:pos="958" w:val="left" w:leader="none"/>
        </w:tabs>
        <w:spacing w:line="240" w:lineRule="auto" w:before="120" w:after="0"/>
        <w:ind w:left="957" w:right="0" w:hanging="363"/>
        <w:jc w:val="left"/>
        <w:rPr>
          <w:sz w:val="24"/>
        </w:rPr>
      </w:pPr>
      <w:r>
        <w:rPr>
          <w:sz w:val="24"/>
        </w:rPr>
        <w:t>accessible</w:t>
      </w:r>
      <w:r>
        <w:rPr>
          <w:spacing w:val="-9"/>
          <w:sz w:val="24"/>
        </w:rPr>
        <w:t> </w:t>
      </w:r>
      <w:r>
        <w:rPr>
          <w:spacing w:val="-2"/>
          <w:sz w:val="24"/>
        </w:rPr>
        <w:t>entrances;</w:t>
      </w:r>
    </w:p>
    <w:p>
      <w:pPr>
        <w:pStyle w:val="ListParagraph"/>
        <w:numPr>
          <w:ilvl w:val="0"/>
          <w:numId w:val="1"/>
        </w:numPr>
        <w:tabs>
          <w:tab w:pos="957" w:val="left" w:leader="none"/>
          <w:tab w:pos="958" w:val="left" w:leader="none"/>
        </w:tabs>
        <w:spacing w:line="240" w:lineRule="auto" w:before="118" w:after="0"/>
        <w:ind w:left="957" w:right="0" w:hanging="363"/>
        <w:jc w:val="left"/>
        <w:rPr>
          <w:sz w:val="24"/>
        </w:rPr>
      </w:pPr>
      <w:r>
        <w:rPr>
          <w:sz w:val="24"/>
        </w:rPr>
        <w:t>accessible</w:t>
      </w:r>
      <w:r>
        <w:rPr>
          <w:spacing w:val="-8"/>
          <w:sz w:val="24"/>
        </w:rPr>
        <w:t> </w:t>
      </w:r>
      <w:r>
        <w:rPr>
          <w:sz w:val="24"/>
        </w:rPr>
        <w:t>sanitary</w:t>
      </w:r>
      <w:r>
        <w:rPr>
          <w:spacing w:val="-7"/>
          <w:sz w:val="24"/>
        </w:rPr>
        <w:t> </w:t>
      </w:r>
      <w:r>
        <w:rPr>
          <w:spacing w:val="-2"/>
          <w:sz w:val="24"/>
        </w:rPr>
        <w:t>facilities;</w:t>
      </w:r>
    </w:p>
    <w:p>
      <w:pPr>
        <w:pStyle w:val="ListParagraph"/>
        <w:numPr>
          <w:ilvl w:val="0"/>
          <w:numId w:val="1"/>
        </w:numPr>
        <w:tabs>
          <w:tab w:pos="957" w:val="left" w:leader="none"/>
          <w:tab w:pos="958" w:val="left" w:leader="none"/>
        </w:tabs>
        <w:spacing w:line="240" w:lineRule="auto" w:before="119" w:after="0"/>
        <w:ind w:left="957" w:right="0" w:hanging="363"/>
        <w:jc w:val="left"/>
        <w:rPr>
          <w:sz w:val="24"/>
        </w:rPr>
      </w:pPr>
      <w:r>
        <w:rPr>
          <w:sz w:val="24"/>
        </w:rPr>
        <w:t>provision</w:t>
      </w:r>
      <w:r>
        <w:rPr>
          <w:spacing w:val="-4"/>
          <w:sz w:val="24"/>
        </w:rPr>
        <w:t> </w:t>
      </w:r>
      <w:r>
        <w:rPr>
          <w:sz w:val="24"/>
        </w:rPr>
        <w:t>of</w:t>
      </w:r>
      <w:r>
        <w:rPr>
          <w:spacing w:val="-3"/>
          <w:sz w:val="24"/>
        </w:rPr>
        <w:t> </w:t>
      </w:r>
      <w:r>
        <w:rPr>
          <w:sz w:val="24"/>
        </w:rPr>
        <w:t>lift</w:t>
      </w:r>
      <w:r>
        <w:rPr>
          <w:spacing w:val="-3"/>
          <w:sz w:val="24"/>
        </w:rPr>
        <w:t> </w:t>
      </w:r>
      <w:r>
        <w:rPr>
          <w:sz w:val="24"/>
        </w:rPr>
        <w:t>access</w:t>
      </w:r>
      <w:r>
        <w:rPr>
          <w:spacing w:val="-4"/>
          <w:sz w:val="24"/>
        </w:rPr>
        <w:t> </w:t>
      </w:r>
      <w:r>
        <w:rPr>
          <w:sz w:val="24"/>
        </w:rPr>
        <w:t>to</w:t>
      </w:r>
      <w:r>
        <w:rPr>
          <w:spacing w:val="-3"/>
          <w:sz w:val="24"/>
        </w:rPr>
        <w:t> </w:t>
      </w:r>
      <w:r>
        <w:rPr>
          <w:sz w:val="24"/>
        </w:rPr>
        <w:t>upper</w:t>
      </w:r>
      <w:r>
        <w:rPr>
          <w:spacing w:val="-3"/>
          <w:sz w:val="24"/>
        </w:rPr>
        <w:t> </w:t>
      </w:r>
      <w:r>
        <w:rPr>
          <w:spacing w:val="-2"/>
          <w:sz w:val="24"/>
        </w:rPr>
        <w:t>storeys;</w:t>
      </w:r>
    </w:p>
    <w:p>
      <w:pPr>
        <w:pStyle w:val="ListParagraph"/>
        <w:numPr>
          <w:ilvl w:val="0"/>
          <w:numId w:val="1"/>
        </w:numPr>
        <w:tabs>
          <w:tab w:pos="957" w:val="left" w:leader="none"/>
          <w:tab w:pos="958" w:val="left" w:leader="none"/>
        </w:tabs>
        <w:spacing w:line="240" w:lineRule="auto" w:before="117" w:after="0"/>
        <w:ind w:left="957" w:right="0" w:hanging="363"/>
        <w:jc w:val="left"/>
        <w:rPr>
          <w:sz w:val="24"/>
        </w:rPr>
      </w:pPr>
      <w:r>
        <w:rPr>
          <w:sz w:val="24"/>
        </w:rPr>
        <w:t>provision</w:t>
      </w:r>
      <w:r>
        <w:rPr>
          <w:spacing w:val="-6"/>
          <w:sz w:val="24"/>
        </w:rPr>
        <w:t> </w:t>
      </w:r>
      <w:r>
        <w:rPr>
          <w:sz w:val="24"/>
        </w:rPr>
        <w:t>of</w:t>
      </w:r>
      <w:r>
        <w:rPr>
          <w:spacing w:val="-2"/>
          <w:sz w:val="24"/>
        </w:rPr>
        <w:t> </w:t>
      </w:r>
      <w:r>
        <w:rPr>
          <w:sz w:val="24"/>
        </w:rPr>
        <w:t>passing</w:t>
      </w:r>
      <w:r>
        <w:rPr>
          <w:spacing w:val="-4"/>
          <w:sz w:val="24"/>
        </w:rPr>
        <w:t> </w:t>
      </w:r>
      <w:r>
        <w:rPr>
          <w:sz w:val="24"/>
        </w:rPr>
        <w:t>and</w:t>
      </w:r>
      <w:r>
        <w:rPr>
          <w:spacing w:val="-4"/>
          <w:sz w:val="24"/>
        </w:rPr>
        <w:t> </w:t>
      </w:r>
      <w:r>
        <w:rPr>
          <w:sz w:val="24"/>
        </w:rPr>
        <w:t>turning</w:t>
      </w:r>
      <w:r>
        <w:rPr>
          <w:spacing w:val="-3"/>
          <w:sz w:val="24"/>
        </w:rPr>
        <w:t> </w:t>
      </w:r>
      <w:r>
        <w:rPr>
          <w:sz w:val="24"/>
        </w:rPr>
        <w:t>spaces</w:t>
      </w:r>
      <w:r>
        <w:rPr>
          <w:spacing w:val="-4"/>
          <w:sz w:val="24"/>
        </w:rPr>
        <w:t> </w:t>
      </w:r>
      <w:r>
        <w:rPr>
          <w:sz w:val="24"/>
        </w:rPr>
        <w:t>in</w:t>
      </w:r>
      <w:r>
        <w:rPr>
          <w:spacing w:val="-4"/>
          <w:sz w:val="24"/>
        </w:rPr>
        <w:t> </w:t>
      </w:r>
      <w:r>
        <w:rPr>
          <w:sz w:val="24"/>
        </w:rPr>
        <w:t>building</w:t>
      </w:r>
      <w:r>
        <w:rPr>
          <w:spacing w:val="-3"/>
          <w:sz w:val="24"/>
        </w:rPr>
        <w:t> </w:t>
      </w:r>
      <w:r>
        <w:rPr>
          <w:spacing w:val="-2"/>
          <w:sz w:val="24"/>
        </w:rPr>
        <w:t>corridors;</w:t>
      </w:r>
    </w:p>
    <w:p>
      <w:pPr>
        <w:pStyle w:val="BodyText"/>
        <w:rPr>
          <w:sz w:val="20"/>
        </w:rPr>
      </w:pPr>
    </w:p>
    <w:p>
      <w:pPr>
        <w:pStyle w:val="BodyText"/>
        <w:rPr>
          <w:sz w:val="20"/>
        </w:rPr>
      </w:pPr>
    </w:p>
    <w:p>
      <w:pPr>
        <w:pStyle w:val="BodyText"/>
        <w:rPr>
          <w:sz w:val="17"/>
        </w:rPr>
      </w:pPr>
      <w:r>
        <w:rPr/>
        <w:pict>
          <v:rect style="position:absolute;margin-left:89.879997pt;margin-top:10.986231pt;width:144pt;height:.6pt;mso-position-horizontal-relative:page;mso-position-vertical-relative:paragraph;z-index:-15728128;mso-wrap-distance-left:0;mso-wrap-distance-right:0" id="docshape3" filled="true" fillcolor="#000000" stroked="false">
            <v:fill type="solid"/>
            <w10:wrap type="topAndBottom"/>
          </v:rect>
        </w:pict>
      </w:r>
    </w:p>
    <w:p>
      <w:pPr>
        <w:pStyle w:val="BodyText"/>
        <w:spacing w:before="6"/>
        <w:rPr>
          <w:sz w:val="18"/>
        </w:rPr>
      </w:pPr>
    </w:p>
    <w:p>
      <w:pPr>
        <w:spacing w:before="130"/>
        <w:ind w:left="237" w:right="0" w:firstLine="0"/>
        <w:jc w:val="left"/>
        <w:rPr>
          <w:sz w:val="20"/>
        </w:rPr>
      </w:pPr>
      <w:r>
        <w:rPr>
          <w:sz w:val="20"/>
          <w:vertAlign w:val="superscript"/>
        </w:rPr>
        <w:t>1</w:t>
      </w:r>
      <w:r>
        <w:rPr>
          <w:spacing w:val="-3"/>
          <w:sz w:val="20"/>
          <w:vertAlign w:val="baseline"/>
        </w:rPr>
        <w:t> </w:t>
      </w:r>
      <w:r>
        <w:rPr>
          <w:sz w:val="20"/>
          <w:vertAlign w:val="baseline"/>
        </w:rPr>
        <w:t>Access</w:t>
      </w:r>
      <w:r>
        <w:rPr>
          <w:spacing w:val="-3"/>
          <w:sz w:val="20"/>
          <w:vertAlign w:val="baseline"/>
        </w:rPr>
        <w:t> </w:t>
      </w:r>
      <w:r>
        <w:rPr>
          <w:sz w:val="20"/>
          <w:vertAlign w:val="baseline"/>
        </w:rPr>
        <w:t>All</w:t>
      </w:r>
      <w:r>
        <w:rPr>
          <w:spacing w:val="-3"/>
          <w:sz w:val="20"/>
          <w:vertAlign w:val="baseline"/>
        </w:rPr>
        <w:t> </w:t>
      </w:r>
      <w:r>
        <w:rPr>
          <w:sz w:val="20"/>
          <w:vertAlign w:val="baseline"/>
        </w:rPr>
        <w:t>Areas</w:t>
      </w:r>
      <w:r>
        <w:rPr>
          <w:spacing w:val="-3"/>
          <w:sz w:val="20"/>
          <w:vertAlign w:val="baseline"/>
        </w:rPr>
        <w:t> </w:t>
      </w:r>
      <w:r>
        <w:rPr>
          <w:sz w:val="20"/>
          <w:vertAlign w:val="baseline"/>
        </w:rPr>
        <w:t>(June</w:t>
      </w:r>
      <w:r>
        <w:rPr>
          <w:spacing w:val="-3"/>
          <w:sz w:val="20"/>
          <w:vertAlign w:val="baseline"/>
        </w:rPr>
        <w:t> </w:t>
      </w:r>
      <w:r>
        <w:rPr>
          <w:sz w:val="20"/>
          <w:vertAlign w:val="baseline"/>
        </w:rPr>
        <w:t>2009)</w:t>
      </w:r>
      <w:r>
        <w:rPr>
          <w:spacing w:val="-3"/>
          <w:sz w:val="20"/>
          <w:vertAlign w:val="baseline"/>
        </w:rPr>
        <w:t> </w:t>
      </w:r>
      <w:r>
        <w:rPr>
          <w:sz w:val="20"/>
          <w:vertAlign w:val="baseline"/>
        </w:rPr>
        <w:t>–</w:t>
      </w:r>
      <w:r>
        <w:rPr>
          <w:spacing w:val="-3"/>
          <w:sz w:val="20"/>
          <w:vertAlign w:val="baseline"/>
        </w:rPr>
        <w:t> </w:t>
      </w:r>
      <w:r>
        <w:rPr>
          <w:sz w:val="20"/>
          <w:vertAlign w:val="baseline"/>
        </w:rPr>
        <w:t>Report</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Inquiry</w:t>
      </w:r>
      <w:r>
        <w:rPr>
          <w:spacing w:val="-3"/>
          <w:sz w:val="20"/>
          <w:vertAlign w:val="baseline"/>
        </w:rPr>
        <w:t> </w:t>
      </w:r>
      <w:r>
        <w:rPr>
          <w:sz w:val="20"/>
          <w:vertAlign w:val="baseline"/>
        </w:rPr>
        <w:t>into</w:t>
      </w:r>
      <w:r>
        <w:rPr>
          <w:spacing w:val="-3"/>
          <w:sz w:val="20"/>
          <w:vertAlign w:val="baseline"/>
        </w:rPr>
        <w:t> </w:t>
      </w:r>
      <w:r>
        <w:rPr>
          <w:sz w:val="20"/>
          <w:vertAlign w:val="baseline"/>
        </w:rPr>
        <w:t>Draft</w:t>
      </w:r>
      <w:r>
        <w:rPr>
          <w:spacing w:val="-3"/>
          <w:sz w:val="20"/>
          <w:vertAlign w:val="baseline"/>
        </w:rPr>
        <w:t> </w:t>
      </w:r>
      <w:r>
        <w:rPr>
          <w:sz w:val="20"/>
          <w:vertAlign w:val="baseline"/>
        </w:rPr>
        <w:t>Disability</w:t>
      </w:r>
      <w:r>
        <w:rPr>
          <w:spacing w:val="-3"/>
          <w:sz w:val="20"/>
          <w:vertAlign w:val="baseline"/>
        </w:rPr>
        <w:t> </w:t>
      </w:r>
      <w:r>
        <w:rPr>
          <w:sz w:val="20"/>
          <w:vertAlign w:val="baseline"/>
        </w:rPr>
        <w:t>(Access</w:t>
      </w:r>
      <w:r>
        <w:rPr>
          <w:spacing w:val="-3"/>
          <w:sz w:val="20"/>
          <w:vertAlign w:val="baseline"/>
        </w:rPr>
        <w:t> </w:t>
      </w:r>
      <w:r>
        <w:rPr>
          <w:sz w:val="20"/>
          <w:vertAlign w:val="baseline"/>
        </w:rPr>
        <w:t>to</w:t>
      </w:r>
      <w:r>
        <w:rPr>
          <w:spacing w:val="-3"/>
          <w:sz w:val="20"/>
          <w:vertAlign w:val="baseline"/>
        </w:rPr>
        <w:t> </w:t>
      </w:r>
      <w:r>
        <w:rPr>
          <w:sz w:val="20"/>
          <w:vertAlign w:val="baseline"/>
        </w:rPr>
        <w:t>Premises</w:t>
      </w:r>
      <w:r>
        <w:rPr>
          <w:spacing w:val="-3"/>
          <w:sz w:val="20"/>
          <w:vertAlign w:val="baseline"/>
        </w:rPr>
        <w:t> </w:t>
      </w:r>
      <w:r>
        <w:rPr>
          <w:sz w:val="20"/>
          <w:vertAlign w:val="baseline"/>
        </w:rPr>
        <w:t>– Buildings) Standards by the House of Representatives Standing Committee on Legal and Constitutional Affairs. Refer Appendix E for the recommendations of the report.</w:t>
      </w:r>
    </w:p>
    <w:p>
      <w:pPr>
        <w:spacing w:after="0"/>
        <w:jc w:val="left"/>
        <w:rPr>
          <w:sz w:val="20"/>
        </w:rPr>
        <w:sectPr>
          <w:pgSz w:w="12240" w:h="15840"/>
          <w:pgMar w:header="0" w:footer="1140" w:top="1360" w:bottom="1340" w:left="1560" w:right="1500"/>
        </w:sectPr>
      </w:pPr>
    </w:p>
    <w:p>
      <w:pPr>
        <w:pStyle w:val="ListParagraph"/>
        <w:numPr>
          <w:ilvl w:val="0"/>
          <w:numId w:val="1"/>
        </w:numPr>
        <w:tabs>
          <w:tab w:pos="958" w:val="left" w:leader="none"/>
        </w:tabs>
        <w:spacing w:line="237" w:lineRule="auto" w:before="80" w:after="0"/>
        <w:ind w:left="951" w:right="294" w:hanging="357"/>
        <w:jc w:val="both"/>
        <w:rPr>
          <w:sz w:val="24"/>
        </w:rPr>
      </w:pPr>
      <w:r>
        <w:rPr>
          <w:sz w:val="24"/>
        </w:rPr>
        <w:t>improving provision of wheelchair seating spaces and </w:t>
      </w:r>
      <w:r>
        <w:rPr>
          <w:sz w:val="24"/>
        </w:rPr>
        <w:t>hearing augmentation devices in auditoria;</w:t>
      </w:r>
    </w:p>
    <w:p>
      <w:pPr>
        <w:pStyle w:val="ListParagraph"/>
        <w:numPr>
          <w:ilvl w:val="0"/>
          <w:numId w:val="1"/>
        </w:numPr>
        <w:tabs>
          <w:tab w:pos="958" w:val="left" w:leader="none"/>
        </w:tabs>
        <w:spacing w:line="240" w:lineRule="auto" w:before="121" w:after="0"/>
        <w:ind w:left="951" w:right="294" w:hanging="357"/>
        <w:jc w:val="both"/>
        <w:rPr>
          <w:sz w:val="24"/>
        </w:rPr>
      </w:pPr>
      <w:r>
        <w:rPr>
          <w:sz w:val="24"/>
        </w:rPr>
        <w:t>provision of access to swimming pools with a perimeter of over 40 m in length and</w:t>
      </w:r>
    </w:p>
    <w:p>
      <w:pPr>
        <w:pStyle w:val="ListParagraph"/>
        <w:numPr>
          <w:ilvl w:val="0"/>
          <w:numId w:val="1"/>
        </w:numPr>
        <w:tabs>
          <w:tab w:pos="958" w:val="left" w:leader="none"/>
        </w:tabs>
        <w:spacing w:line="237" w:lineRule="auto" w:before="121" w:after="0"/>
        <w:ind w:left="951" w:right="294" w:hanging="357"/>
        <w:jc w:val="both"/>
        <w:rPr>
          <w:sz w:val="24"/>
        </w:rPr>
      </w:pPr>
      <w:r>
        <w:rPr>
          <w:sz w:val="24"/>
        </w:rPr>
        <w:t>the adoption of a new edition of Australian Standard AS 1428.1 (Design</w:t>
      </w:r>
      <w:r>
        <w:rPr>
          <w:spacing w:val="40"/>
          <w:sz w:val="24"/>
        </w:rPr>
        <w:t> </w:t>
      </w:r>
      <w:r>
        <w:rPr>
          <w:sz w:val="24"/>
        </w:rPr>
        <w:t>for access and mobility – General requirements for access – New building </w:t>
      </w:r>
      <w:r>
        <w:rPr>
          <w:spacing w:val="-2"/>
          <w:sz w:val="24"/>
        </w:rPr>
        <w:t>work).</w:t>
      </w:r>
    </w:p>
    <w:p>
      <w:pPr>
        <w:pStyle w:val="BodyText"/>
        <w:rPr>
          <w:sz w:val="26"/>
        </w:rPr>
      </w:pPr>
    </w:p>
    <w:p>
      <w:pPr>
        <w:pStyle w:val="BodyText"/>
        <w:spacing w:before="3"/>
        <w:rPr>
          <w:sz w:val="22"/>
        </w:rPr>
      </w:pPr>
    </w:p>
    <w:p>
      <w:pPr>
        <w:spacing w:before="0"/>
        <w:ind w:left="237" w:right="294" w:firstLine="0"/>
        <w:jc w:val="both"/>
        <w:rPr>
          <w:sz w:val="24"/>
        </w:rPr>
      </w:pPr>
      <w:r>
        <w:rPr>
          <w:sz w:val="24"/>
        </w:rPr>
        <w:t>Australian Standard AS 1428.1 </w:t>
      </w:r>
      <w:r>
        <w:rPr>
          <w:i/>
          <w:sz w:val="24"/>
        </w:rPr>
        <w:t>Design for Access and Mobility </w:t>
      </w:r>
      <w:r>
        <w:rPr>
          <w:sz w:val="24"/>
        </w:rPr>
        <w:t>(</w:t>
      </w:r>
      <w:r>
        <w:rPr>
          <w:i/>
          <w:sz w:val="24"/>
        </w:rPr>
        <w:t>General</w:t>
      </w:r>
      <w:r>
        <w:rPr>
          <w:i/>
          <w:sz w:val="24"/>
        </w:rPr>
        <w:t> requirements</w:t>
      </w:r>
      <w:r>
        <w:rPr>
          <w:i/>
          <w:spacing w:val="-4"/>
          <w:sz w:val="24"/>
        </w:rPr>
        <w:t> </w:t>
      </w:r>
      <w:r>
        <w:rPr>
          <w:i/>
          <w:sz w:val="24"/>
        </w:rPr>
        <w:t>for</w:t>
      </w:r>
      <w:r>
        <w:rPr>
          <w:i/>
          <w:spacing w:val="-4"/>
          <w:sz w:val="24"/>
        </w:rPr>
        <w:t> </w:t>
      </w:r>
      <w:r>
        <w:rPr>
          <w:i/>
          <w:sz w:val="24"/>
        </w:rPr>
        <w:t>access</w:t>
      </w:r>
      <w:r>
        <w:rPr>
          <w:i/>
          <w:spacing w:val="-4"/>
          <w:sz w:val="24"/>
        </w:rPr>
        <w:t> </w:t>
      </w:r>
      <w:r>
        <w:rPr>
          <w:i/>
          <w:sz w:val="24"/>
        </w:rPr>
        <w:t>-</w:t>
      </w:r>
      <w:r>
        <w:rPr>
          <w:i/>
          <w:spacing w:val="-4"/>
          <w:sz w:val="24"/>
        </w:rPr>
        <w:t> </w:t>
      </w:r>
      <w:r>
        <w:rPr>
          <w:i/>
          <w:sz w:val="24"/>
        </w:rPr>
        <w:t>New</w:t>
      </w:r>
      <w:r>
        <w:rPr>
          <w:i/>
          <w:spacing w:val="-4"/>
          <w:sz w:val="24"/>
        </w:rPr>
        <w:t> </w:t>
      </w:r>
      <w:r>
        <w:rPr>
          <w:i/>
          <w:sz w:val="24"/>
        </w:rPr>
        <w:t>building</w:t>
      </w:r>
      <w:r>
        <w:rPr>
          <w:i/>
          <w:spacing w:val="-4"/>
          <w:sz w:val="24"/>
        </w:rPr>
        <w:t> </w:t>
      </w:r>
      <w:r>
        <w:rPr>
          <w:i/>
          <w:sz w:val="24"/>
        </w:rPr>
        <w:t>work</w:t>
      </w:r>
      <w:r>
        <w:rPr>
          <w:sz w:val="24"/>
        </w:rPr>
        <w:t>)</w:t>
      </w:r>
      <w:r>
        <w:rPr>
          <w:spacing w:val="-4"/>
          <w:sz w:val="24"/>
        </w:rPr>
        <w:t> </w:t>
      </w:r>
      <w:r>
        <w:rPr>
          <w:sz w:val="24"/>
        </w:rPr>
        <w:t>includes</w:t>
      </w:r>
      <w:r>
        <w:rPr>
          <w:spacing w:val="-4"/>
          <w:sz w:val="24"/>
        </w:rPr>
        <w:t> </w:t>
      </w:r>
      <w:r>
        <w:rPr>
          <w:sz w:val="24"/>
        </w:rPr>
        <w:t>spatial</w:t>
      </w:r>
      <w:r>
        <w:rPr>
          <w:spacing w:val="-4"/>
          <w:sz w:val="24"/>
        </w:rPr>
        <w:t> </w:t>
      </w:r>
      <w:r>
        <w:rPr>
          <w:sz w:val="24"/>
        </w:rPr>
        <w:t>dimensions</w:t>
      </w:r>
      <w:r>
        <w:rPr>
          <w:spacing w:val="-4"/>
          <w:sz w:val="24"/>
        </w:rPr>
        <w:t> </w:t>
      </w:r>
      <w:r>
        <w:rPr>
          <w:sz w:val="24"/>
        </w:rPr>
        <w:t>relating to</w:t>
      </w:r>
      <w:r>
        <w:rPr>
          <w:spacing w:val="-2"/>
          <w:sz w:val="24"/>
        </w:rPr>
        <w:t> </w:t>
      </w:r>
      <w:r>
        <w:rPr>
          <w:sz w:val="24"/>
        </w:rPr>
        <w:t>the</w:t>
      </w:r>
      <w:r>
        <w:rPr>
          <w:spacing w:val="-2"/>
          <w:sz w:val="24"/>
        </w:rPr>
        <w:t> </w:t>
      </w:r>
      <w:r>
        <w:rPr>
          <w:sz w:val="24"/>
        </w:rPr>
        <w:t>90th</w:t>
      </w:r>
      <w:r>
        <w:rPr>
          <w:spacing w:val="-2"/>
          <w:sz w:val="24"/>
        </w:rPr>
        <w:t> </w:t>
      </w:r>
      <w:r>
        <w:rPr>
          <w:sz w:val="24"/>
        </w:rPr>
        <w:t>percentile wheelchair</w:t>
      </w:r>
      <w:r>
        <w:rPr>
          <w:spacing w:val="-1"/>
          <w:sz w:val="24"/>
        </w:rPr>
        <w:t> </w:t>
      </w:r>
      <w:r>
        <w:rPr>
          <w:sz w:val="24"/>
        </w:rPr>
        <w:t>dimensions in</w:t>
      </w:r>
      <w:r>
        <w:rPr>
          <w:spacing w:val="-1"/>
          <w:sz w:val="24"/>
        </w:rPr>
        <w:t> </w:t>
      </w:r>
      <w:r>
        <w:rPr>
          <w:sz w:val="24"/>
        </w:rPr>
        <w:t>lieu</w:t>
      </w:r>
      <w:r>
        <w:rPr>
          <w:spacing w:val="-1"/>
          <w:sz w:val="24"/>
        </w:rPr>
        <w:t> </w:t>
      </w:r>
      <w:r>
        <w:rPr>
          <w:sz w:val="24"/>
        </w:rPr>
        <w:t>of 80th</w:t>
      </w:r>
      <w:r>
        <w:rPr>
          <w:spacing w:val="-2"/>
          <w:sz w:val="24"/>
        </w:rPr>
        <w:t> </w:t>
      </w:r>
      <w:r>
        <w:rPr>
          <w:sz w:val="24"/>
        </w:rPr>
        <w:t>percentile</w:t>
      </w:r>
      <w:r>
        <w:rPr>
          <w:spacing w:val="-2"/>
          <w:sz w:val="24"/>
        </w:rPr>
        <w:t> </w:t>
      </w:r>
      <w:r>
        <w:rPr>
          <w:sz w:val="24"/>
        </w:rPr>
        <w:t>dimensions in critical areas including accessible sanitary facilities, doorways and associated circulation spaces and on accessways where there is a turn of more than 60°.</w:t>
      </w:r>
    </w:p>
    <w:p>
      <w:pPr>
        <w:pStyle w:val="BodyText"/>
      </w:pPr>
    </w:p>
    <w:p>
      <w:pPr>
        <w:pStyle w:val="BodyText"/>
        <w:ind w:left="237" w:right="294"/>
        <w:jc w:val="both"/>
      </w:pPr>
      <w:r>
        <w:rPr/>
        <w:t>As noted, standards formulated under the DDA can be regarded as simply codifying existing requirements not to discriminate.</w:t>
      </w:r>
      <w:r>
        <w:rPr>
          <w:spacing w:val="40"/>
        </w:rPr>
        <w:t> </w:t>
      </w:r>
      <w:r>
        <w:rPr/>
        <w:t>Thus, in a conceptual sense, neither the standard nor the equivalent amendment to the BCA can be regarded as creating new legal obligations beyond those currently imposed.</w:t>
      </w:r>
      <w:r>
        <w:rPr>
          <w:spacing w:val="77"/>
        </w:rPr>
        <w:t> </w:t>
      </w:r>
      <w:r>
        <w:rPr/>
        <w:t>In this sense, it can be argued that no additional compliance costs can be attributed to the Premises Standards. However, it is widely accepted that current compliance with existing obligations under the DDA is at low levels, both due to uncertainty as to the specific nature of compliance obligations and due to the complaints-based nature of the enforcement arrangements under the DDA.</w:t>
      </w:r>
    </w:p>
    <w:p>
      <w:pPr>
        <w:pStyle w:val="BodyText"/>
      </w:pPr>
    </w:p>
    <w:p>
      <w:pPr>
        <w:pStyle w:val="BodyText"/>
        <w:ind w:left="237" w:right="294"/>
        <w:jc w:val="both"/>
      </w:pPr>
      <w:r>
        <w:rPr/>
        <w:t>Thus, in practical terms, both the anticipated benefits and the expected costs associated with the proposed Premises Standards are expected to be</w:t>
      </w:r>
      <w:r>
        <w:rPr>
          <w:spacing w:val="40"/>
        </w:rPr>
        <w:t> </w:t>
      </w:r>
      <w:r>
        <w:rPr/>
        <w:t>substantial.</w:t>
      </w:r>
      <w:r>
        <w:rPr>
          <w:spacing w:val="40"/>
        </w:rPr>
        <w:t> </w:t>
      </w:r>
      <w:r>
        <w:rPr/>
        <w:t>While substantive estimates of these benefits and costs have been developed, attention must be drawn to the quantified benefits in relation to increased workforce participation and reduced living costs. Though these estimates draw from the best available sources, there are considerable uncertainties associated with them and they appear somewhat compromised by overseas empirical evidence. To ensure transparency of the assumptions made in this area, we have tested these figures for sensitivity at both optimistic and pessimistic scenarios (refer chapter 10).</w:t>
      </w:r>
    </w:p>
    <w:p>
      <w:pPr>
        <w:pStyle w:val="BodyText"/>
      </w:pPr>
    </w:p>
    <w:p>
      <w:pPr>
        <w:pStyle w:val="BodyText"/>
        <w:ind w:left="237" w:right="294"/>
        <w:jc w:val="both"/>
      </w:pPr>
      <w:r>
        <w:rPr/>
        <w:t>It should also be recognised that many of the benefits that will be associated with the proposal are intangible in nature and are, therefore, not included among</w:t>
      </w:r>
      <w:r>
        <w:rPr>
          <w:spacing w:val="40"/>
        </w:rPr>
        <w:t> </w:t>
      </w:r>
      <w:r>
        <w:rPr/>
        <w:t>these quantitative estimates (refer discussion of intangibles in chapter 7). Of particular importance in this regard is the expected substantial reduction in the extent of the social exclusion currently experienced by people with a disability because of barriers they face in accessing premises and, more positively, the substantially increased capacity for participation in society of people with a disability.</w:t>
      </w:r>
      <w:r>
        <w:rPr>
          <w:spacing w:val="80"/>
        </w:rPr>
        <w:t> </w:t>
      </w:r>
      <w:r>
        <w:rPr/>
        <w:t>These benefits will be of significance both to people with a disability and to the general population.</w:t>
      </w:r>
    </w:p>
    <w:p>
      <w:pPr>
        <w:spacing w:after="0"/>
        <w:jc w:val="both"/>
        <w:sectPr>
          <w:pgSz w:w="12240" w:h="15840"/>
          <w:pgMar w:header="0" w:footer="1140" w:top="1360" w:bottom="1340" w:left="1560" w:right="1500"/>
        </w:sectPr>
      </w:pPr>
    </w:p>
    <w:p>
      <w:pPr>
        <w:pStyle w:val="BodyText"/>
        <w:spacing w:before="77"/>
        <w:ind w:left="237" w:right="294"/>
        <w:jc w:val="both"/>
      </w:pPr>
      <w:bookmarkStart w:name="_bookmark3" w:id="3"/>
      <w:bookmarkEnd w:id="3"/>
      <w:r>
        <w:rPr/>
      </w:r>
      <w:bookmarkStart w:name="_bookmark2" w:id="4"/>
      <w:bookmarkEnd w:id="4"/>
      <w:r>
        <w:rPr/>
      </w:r>
      <w:bookmarkStart w:name="_bookmark1" w:id="5"/>
      <w:bookmarkEnd w:id="5"/>
      <w:r>
        <w:rPr/>
      </w:r>
      <w:r>
        <w:rPr/>
        <w:t>Moreover, it is also important to acknowledge the substantial policy linkages that exist</w:t>
      </w:r>
      <w:r>
        <w:rPr>
          <w:spacing w:val="-4"/>
        </w:rPr>
        <w:t> </w:t>
      </w:r>
      <w:r>
        <w:rPr/>
        <w:t>between</w:t>
      </w:r>
      <w:r>
        <w:rPr>
          <w:spacing w:val="-4"/>
        </w:rPr>
        <w:t> </w:t>
      </w:r>
      <w:r>
        <w:rPr/>
        <w:t>the</w:t>
      </w:r>
      <w:r>
        <w:rPr>
          <w:spacing w:val="-4"/>
        </w:rPr>
        <w:t> </w:t>
      </w:r>
      <w:r>
        <w:rPr/>
        <w:t>proposed</w:t>
      </w:r>
      <w:r>
        <w:rPr>
          <w:spacing w:val="-4"/>
        </w:rPr>
        <w:t> </w:t>
      </w:r>
      <w:r>
        <w:rPr/>
        <w:t>Premises</w:t>
      </w:r>
      <w:r>
        <w:rPr>
          <w:spacing w:val="-4"/>
        </w:rPr>
        <w:t> </w:t>
      </w:r>
      <w:r>
        <w:rPr/>
        <w:t>Standards</w:t>
      </w:r>
      <w:r>
        <w:rPr>
          <w:spacing w:val="-4"/>
        </w:rPr>
        <w:t> </w:t>
      </w:r>
      <w:r>
        <w:rPr/>
        <w:t>and</w:t>
      </w:r>
      <w:r>
        <w:rPr>
          <w:spacing w:val="-4"/>
        </w:rPr>
        <w:t> </w:t>
      </w:r>
      <w:r>
        <w:rPr/>
        <w:t>other</w:t>
      </w:r>
      <w:r>
        <w:rPr>
          <w:spacing w:val="-4"/>
        </w:rPr>
        <w:t> </w:t>
      </w:r>
      <w:r>
        <w:rPr/>
        <w:t>actions</w:t>
      </w:r>
      <w:r>
        <w:rPr>
          <w:spacing w:val="-4"/>
        </w:rPr>
        <w:t> </w:t>
      </w:r>
      <w:r>
        <w:rPr/>
        <w:t>being</w:t>
      </w:r>
      <w:r>
        <w:rPr>
          <w:spacing w:val="-4"/>
        </w:rPr>
        <w:t> </w:t>
      </w:r>
      <w:r>
        <w:rPr/>
        <w:t>taken</w:t>
      </w:r>
      <w:r>
        <w:rPr>
          <w:spacing w:val="-4"/>
        </w:rPr>
        <w:t> </w:t>
      </w:r>
      <w:r>
        <w:rPr/>
        <w:t>to create</w:t>
      </w:r>
      <w:r>
        <w:rPr>
          <w:spacing w:val="-3"/>
        </w:rPr>
        <w:t> </w:t>
      </w:r>
      <w:r>
        <w:rPr/>
        <w:t>accessible</w:t>
      </w:r>
      <w:r>
        <w:rPr>
          <w:spacing w:val="-3"/>
        </w:rPr>
        <w:t> </w:t>
      </w:r>
      <w:r>
        <w:rPr/>
        <w:t>environments</w:t>
      </w:r>
      <w:r>
        <w:rPr>
          <w:spacing w:val="-3"/>
        </w:rPr>
        <w:t> </w:t>
      </w:r>
      <w:r>
        <w:rPr/>
        <w:t>more</w:t>
      </w:r>
      <w:r>
        <w:rPr>
          <w:spacing w:val="-3"/>
        </w:rPr>
        <w:t> </w:t>
      </w:r>
      <w:r>
        <w:rPr/>
        <w:t>generally.</w:t>
      </w:r>
      <w:r>
        <w:rPr>
          <w:spacing w:val="40"/>
        </w:rPr>
        <w:t> </w:t>
      </w:r>
      <w:r>
        <w:rPr/>
        <w:t>These</w:t>
      </w:r>
      <w:r>
        <w:rPr>
          <w:spacing w:val="-3"/>
        </w:rPr>
        <w:t> </w:t>
      </w:r>
      <w:r>
        <w:rPr/>
        <w:t>include</w:t>
      </w:r>
      <w:r>
        <w:rPr>
          <w:spacing w:val="-3"/>
        </w:rPr>
        <w:t> </w:t>
      </w:r>
      <w:r>
        <w:rPr/>
        <w:t>the</w:t>
      </w:r>
      <w:r>
        <w:rPr>
          <w:spacing w:val="-3"/>
        </w:rPr>
        <w:t> </w:t>
      </w:r>
      <w:r>
        <w:rPr/>
        <w:t>formulation</w:t>
      </w:r>
      <w:r>
        <w:rPr>
          <w:spacing w:val="-3"/>
        </w:rPr>
        <w:t> </w:t>
      </w:r>
      <w:r>
        <w:rPr/>
        <w:t>of a number of other standards under the DDA, covering areas such as education and public transport.</w:t>
      </w:r>
      <w:r>
        <w:rPr>
          <w:spacing w:val="80"/>
        </w:rPr>
        <w:t> </w:t>
      </w:r>
      <w:r>
        <w:rPr/>
        <w:t>They also include other policy initiatives aimed at enhancing the employment participation of people with a disability and those attempting to reduce the incidence of institutionalisation.</w:t>
      </w:r>
    </w:p>
    <w:p>
      <w:pPr>
        <w:pStyle w:val="BodyText"/>
      </w:pPr>
    </w:p>
    <w:p>
      <w:pPr>
        <w:pStyle w:val="BodyText"/>
        <w:ind w:left="237" w:right="294"/>
        <w:jc w:val="both"/>
      </w:pPr>
      <w:r>
        <w:rPr/>
        <w:t>The</w:t>
      </w:r>
      <w:r>
        <w:rPr>
          <w:spacing w:val="-1"/>
        </w:rPr>
        <w:t> </w:t>
      </w:r>
      <w:r>
        <w:rPr/>
        <w:t>quantifiable</w:t>
      </w:r>
      <w:r>
        <w:rPr>
          <w:spacing w:val="-1"/>
        </w:rPr>
        <w:t> </w:t>
      </w:r>
      <w:r>
        <w:rPr/>
        <w:t>benefits</w:t>
      </w:r>
      <w:r>
        <w:rPr>
          <w:spacing w:val="-1"/>
        </w:rPr>
        <w:t> </w:t>
      </w:r>
      <w:r>
        <w:rPr/>
        <w:t>associated</w:t>
      </w:r>
      <w:r>
        <w:rPr>
          <w:spacing w:val="-1"/>
        </w:rPr>
        <w:t> </w:t>
      </w:r>
      <w:r>
        <w:rPr/>
        <w:t>with the adoption of the proposed Standards are</w:t>
      </w:r>
      <w:r>
        <w:rPr>
          <w:spacing w:val="-2"/>
        </w:rPr>
        <w:t> </w:t>
      </w:r>
      <w:r>
        <w:rPr/>
        <w:t>expected</w:t>
      </w:r>
      <w:r>
        <w:rPr>
          <w:spacing w:val="-2"/>
        </w:rPr>
        <w:t> </w:t>
      </w:r>
      <w:r>
        <w:rPr/>
        <w:t>to</w:t>
      </w:r>
      <w:r>
        <w:rPr>
          <w:spacing w:val="-2"/>
        </w:rPr>
        <w:t> </w:t>
      </w:r>
      <w:r>
        <w:rPr/>
        <w:t>equal</w:t>
      </w:r>
      <w:r>
        <w:rPr>
          <w:spacing w:val="-2"/>
        </w:rPr>
        <w:t> </w:t>
      </w:r>
      <w:r>
        <w:rPr/>
        <w:t>approximately</w:t>
      </w:r>
      <w:r>
        <w:rPr>
          <w:spacing w:val="-2"/>
        </w:rPr>
        <w:t> </w:t>
      </w:r>
      <w:r>
        <w:rPr/>
        <w:t>$1</w:t>
      </w:r>
      <w:r>
        <w:rPr>
          <w:spacing w:val="-2"/>
        </w:rPr>
        <w:t> </w:t>
      </w:r>
      <w:r>
        <w:rPr/>
        <w:t>billion</w:t>
      </w:r>
      <w:r>
        <w:rPr>
          <w:spacing w:val="-2"/>
        </w:rPr>
        <w:t> </w:t>
      </w:r>
      <w:r>
        <w:rPr/>
        <w:t>per</w:t>
      </w:r>
      <w:r>
        <w:rPr>
          <w:spacing w:val="-2"/>
        </w:rPr>
        <w:t> </w:t>
      </w:r>
      <w:r>
        <w:rPr/>
        <w:t>annum</w:t>
      </w:r>
      <w:r>
        <w:rPr>
          <w:spacing w:val="-2"/>
        </w:rPr>
        <w:t> </w:t>
      </w:r>
      <w:r>
        <w:rPr/>
        <w:t>in</w:t>
      </w:r>
      <w:r>
        <w:rPr>
          <w:spacing w:val="-2"/>
        </w:rPr>
        <w:t> </w:t>
      </w:r>
      <w:r>
        <w:rPr/>
        <w:t>a</w:t>
      </w:r>
      <w:r>
        <w:rPr>
          <w:spacing w:val="-2"/>
        </w:rPr>
        <w:t> </w:t>
      </w:r>
      <w:r>
        <w:rPr/>
        <w:t>"steady</w:t>
      </w:r>
      <w:r>
        <w:rPr>
          <w:spacing w:val="-2"/>
        </w:rPr>
        <w:t> </w:t>
      </w:r>
      <w:r>
        <w:rPr/>
        <w:t>state"</w:t>
      </w:r>
      <w:r>
        <w:rPr>
          <w:spacing w:val="-2"/>
        </w:rPr>
        <w:t> </w:t>
      </w:r>
      <w:r>
        <w:rPr/>
        <w:t>(that is, after the full implementation of the Standards).</w:t>
      </w:r>
      <w:r>
        <w:rPr>
          <w:spacing w:val="40"/>
        </w:rPr>
        <w:t> </w:t>
      </w:r>
      <w:r>
        <w:rPr/>
        <w:t>Annual costs are expected to total approximately $620 million</w:t>
      </w:r>
      <w:hyperlink w:history="true" w:anchor="_bookmark3">
        <w:r>
          <w:rPr>
            <w:vertAlign w:val="superscript"/>
          </w:rPr>
          <w:t>2</w:t>
        </w:r>
      </w:hyperlink>
      <w:r>
        <w:rPr>
          <w:vertAlign w:val="baseline"/>
        </w:rPr>
        <w:t>.</w:t>
      </w:r>
    </w:p>
    <w:p>
      <w:pPr>
        <w:pStyle w:val="BodyText"/>
      </w:pPr>
    </w:p>
    <w:p>
      <w:pPr>
        <w:pStyle w:val="BodyText"/>
        <w:ind w:left="237" w:right="294"/>
        <w:jc w:val="both"/>
      </w:pPr>
      <w:r>
        <w:rPr/>
        <w:t>In aggregate terms, the Present Value (PV) of the expected benefits over 30 years is estimated at $11.4 ($7.3</w:t>
      </w:r>
      <w:hyperlink w:history="true" w:anchor="_bookmark2">
        <w:r>
          <w:rPr>
            <w:vertAlign w:val="superscript"/>
          </w:rPr>
          <w:t>3</w:t>
        </w:r>
      </w:hyperlink>
      <w:r>
        <w:rPr>
          <w:vertAlign w:val="baseline"/>
        </w:rPr>
        <w:t>)</w:t>
      </w:r>
      <w:r>
        <w:rPr>
          <w:vertAlign w:val="baseline"/>
        </w:rPr>
        <w:t> billion</w:t>
      </w:r>
      <w:r>
        <w:rPr>
          <w:vertAlign w:val="baseline"/>
        </w:rPr>
        <w:t> under</w:t>
      </w:r>
      <w:r>
        <w:rPr>
          <w:vertAlign w:val="baseline"/>
        </w:rPr>
        <w:t> the</w:t>
      </w:r>
      <w:r>
        <w:rPr>
          <w:vertAlign w:val="baseline"/>
        </w:rPr>
        <w:t> 2008 proposal and $11.9 ($7.6) billion under the proposed 2009 amendments, while the costs are estimated to total $9.3 ($6.9) billion over the same period for the 2008 proposal and</w:t>
      </w:r>
      <w:r>
        <w:rPr>
          <w:spacing w:val="-2"/>
          <w:vertAlign w:val="baseline"/>
        </w:rPr>
        <w:t> </w:t>
      </w:r>
      <w:r>
        <w:rPr>
          <w:vertAlign w:val="baseline"/>
        </w:rPr>
        <w:t>$9.7</w:t>
      </w:r>
      <w:r>
        <w:rPr>
          <w:spacing w:val="-2"/>
          <w:vertAlign w:val="baseline"/>
        </w:rPr>
        <w:t> </w:t>
      </w:r>
      <w:r>
        <w:rPr>
          <w:vertAlign w:val="baseline"/>
        </w:rPr>
        <w:t>($7.2)</w:t>
      </w:r>
      <w:r>
        <w:rPr>
          <w:spacing w:val="-2"/>
          <w:vertAlign w:val="baseline"/>
        </w:rPr>
        <w:t> </w:t>
      </w:r>
      <w:r>
        <w:rPr>
          <w:vertAlign w:val="baseline"/>
        </w:rPr>
        <w:t>billion</w:t>
      </w:r>
      <w:r>
        <w:rPr>
          <w:spacing w:val="-2"/>
          <w:vertAlign w:val="baseline"/>
        </w:rPr>
        <w:t> </w:t>
      </w:r>
      <w:r>
        <w:rPr>
          <w:vertAlign w:val="baseline"/>
        </w:rPr>
        <w:t>for</w:t>
      </w:r>
      <w:r>
        <w:rPr>
          <w:spacing w:val="-2"/>
          <w:vertAlign w:val="baseline"/>
        </w:rPr>
        <w:t> </w:t>
      </w:r>
      <w:r>
        <w:rPr>
          <w:vertAlign w:val="baseline"/>
        </w:rPr>
        <w:t>the</w:t>
      </w:r>
      <w:r>
        <w:rPr>
          <w:spacing w:val="-2"/>
          <w:vertAlign w:val="baseline"/>
        </w:rPr>
        <w:t> </w:t>
      </w:r>
      <w:r>
        <w:rPr>
          <w:vertAlign w:val="baseline"/>
        </w:rPr>
        <w:t>proposed</w:t>
      </w:r>
      <w:r>
        <w:rPr>
          <w:spacing w:val="-1"/>
          <w:vertAlign w:val="baseline"/>
        </w:rPr>
        <w:t> </w:t>
      </w:r>
      <w:r>
        <w:rPr>
          <w:vertAlign w:val="baseline"/>
        </w:rPr>
        <w:t>2009</w:t>
      </w:r>
      <w:r>
        <w:rPr>
          <w:spacing w:val="-2"/>
          <w:vertAlign w:val="baseline"/>
        </w:rPr>
        <w:t> </w:t>
      </w:r>
      <w:r>
        <w:rPr>
          <w:vertAlign w:val="baseline"/>
        </w:rPr>
        <w:t>amendments.</w:t>
      </w:r>
      <w:r>
        <w:rPr>
          <w:spacing w:val="40"/>
          <w:vertAlign w:val="baseline"/>
        </w:rPr>
        <w:t> </w:t>
      </w:r>
      <w:r>
        <w:rPr>
          <w:vertAlign w:val="baseline"/>
        </w:rPr>
        <w:t>Thus,</w:t>
      </w:r>
      <w:r>
        <w:rPr>
          <w:spacing w:val="-2"/>
          <w:vertAlign w:val="baseline"/>
        </w:rPr>
        <w:t> </w:t>
      </w:r>
      <w:r>
        <w:rPr>
          <w:vertAlign w:val="baseline"/>
        </w:rPr>
        <w:t>the</w:t>
      </w:r>
      <w:r>
        <w:rPr>
          <w:spacing w:val="-2"/>
          <w:vertAlign w:val="baseline"/>
        </w:rPr>
        <w:t> </w:t>
      </w:r>
      <w:r>
        <w:rPr>
          <w:vertAlign w:val="baseline"/>
        </w:rPr>
        <w:t>adoption</w:t>
      </w:r>
      <w:r>
        <w:rPr>
          <w:spacing w:val="-2"/>
          <w:vertAlign w:val="baseline"/>
        </w:rPr>
        <w:t> </w:t>
      </w:r>
      <w:r>
        <w:rPr>
          <w:vertAlign w:val="baseline"/>
        </w:rPr>
        <w:t>of the currently proposed Premises Standards is expected to result in a positive Net Present Value (NPV) of almost $2.1 ($0.4) billion under the previous and $2.2 ($0.4) billion under the current proposal over a 30 year time horizon</w:t>
      </w:r>
      <w:hyperlink w:history="true" w:anchor="_bookmark1">
        <w:r>
          <w:rPr>
            <w:vertAlign w:val="superscript"/>
          </w:rPr>
          <w:t>4</w:t>
        </w:r>
      </w:hyperlink>
      <w:r>
        <w:rPr>
          <w:vertAlign w:val="baseline"/>
        </w:rPr>
        <w:t>.</w:t>
      </w:r>
    </w:p>
    <w:p>
      <w:pPr>
        <w:pStyle w:val="BodyText"/>
      </w:pPr>
    </w:p>
    <w:p>
      <w:pPr>
        <w:pStyle w:val="BodyText"/>
        <w:ind w:left="237" w:right="294"/>
        <w:jc w:val="both"/>
      </w:pPr>
      <w:r>
        <w:rPr/>
        <w:t>Although the package of measures demonstrates a net benefit, there are likely to be substantial costs for some types of buildings, such as for upgrades of Class</w:t>
      </w:r>
      <w:r>
        <w:rPr>
          <w:spacing w:val="40"/>
        </w:rPr>
        <w:t> </w:t>
      </w:r>
      <w:r>
        <w:rPr/>
        <w:t>1b buildings. Therefore, alternative options could deliver lower costs. However, the uncertainty over the level of benefits does not permit assessment of which package of measures would deliver the greatest net benefit.</w:t>
      </w:r>
    </w:p>
    <w:p>
      <w:pPr>
        <w:pStyle w:val="BodyText"/>
        <w:spacing w:before="10"/>
        <w:rPr>
          <w:sz w:val="23"/>
        </w:rPr>
      </w:pPr>
    </w:p>
    <w:p>
      <w:pPr>
        <w:pStyle w:val="BodyText"/>
        <w:spacing w:before="1"/>
        <w:ind w:left="237" w:right="293"/>
        <w:jc w:val="both"/>
      </w:pPr>
      <w:r>
        <w:rPr/>
        <w:t>The figures above have been revised in the Summary and reflect the analysis included in Appendix D that discusses the proposed 2009 amendments. General discussion through the main body of this report reflects the 2008 proposal but</w:t>
      </w:r>
      <w:r>
        <w:rPr>
          <w:spacing w:val="40"/>
        </w:rPr>
        <w:t> </w:t>
      </w:r>
      <w:r>
        <w:rPr/>
        <w:t>has</w:t>
      </w:r>
      <w:r>
        <w:rPr>
          <w:spacing w:val="44"/>
        </w:rPr>
        <w:t> </w:t>
      </w:r>
      <w:r>
        <w:rPr/>
        <w:t>been</w:t>
      </w:r>
      <w:r>
        <w:rPr>
          <w:spacing w:val="46"/>
        </w:rPr>
        <w:t> </w:t>
      </w:r>
      <w:r>
        <w:rPr/>
        <w:t>notated</w:t>
      </w:r>
      <w:r>
        <w:rPr>
          <w:spacing w:val="46"/>
        </w:rPr>
        <w:t> </w:t>
      </w:r>
      <w:r>
        <w:rPr/>
        <w:t>where</w:t>
      </w:r>
      <w:r>
        <w:rPr>
          <w:spacing w:val="45"/>
        </w:rPr>
        <w:t> </w:t>
      </w:r>
      <w:r>
        <w:rPr/>
        <w:t>appropriate</w:t>
      </w:r>
      <w:r>
        <w:rPr>
          <w:spacing w:val="45"/>
        </w:rPr>
        <w:t> </w:t>
      </w:r>
      <w:r>
        <w:rPr/>
        <w:t>to</w:t>
      </w:r>
      <w:r>
        <w:rPr>
          <w:spacing w:val="45"/>
        </w:rPr>
        <w:t> </w:t>
      </w:r>
      <w:r>
        <w:rPr/>
        <w:t>direct</w:t>
      </w:r>
      <w:r>
        <w:rPr>
          <w:spacing w:val="45"/>
        </w:rPr>
        <w:t> </w:t>
      </w:r>
      <w:r>
        <w:rPr/>
        <w:t>the</w:t>
      </w:r>
      <w:r>
        <w:rPr>
          <w:spacing w:val="46"/>
        </w:rPr>
        <w:t> </w:t>
      </w:r>
      <w:r>
        <w:rPr/>
        <w:t>reader</w:t>
      </w:r>
      <w:r>
        <w:rPr>
          <w:spacing w:val="46"/>
        </w:rPr>
        <w:t> </w:t>
      </w:r>
      <w:r>
        <w:rPr/>
        <w:t>to</w:t>
      </w:r>
      <w:r>
        <w:rPr>
          <w:spacing w:val="46"/>
        </w:rPr>
        <w:t> </w:t>
      </w:r>
      <w:r>
        <w:rPr/>
        <w:t>Appendix</w:t>
      </w:r>
      <w:r>
        <w:rPr>
          <w:spacing w:val="46"/>
        </w:rPr>
        <w:t> </w:t>
      </w:r>
      <w:r>
        <w:rPr/>
        <w:t>D.</w:t>
      </w:r>
      <w:r>
        <w:rPr>
          <w:spacing w:val="47"/>
        </w:rPr>
        <w:t> </w:t>
      </w:r>
      <w:r>
        <w:rPr>
          <w:spacing w:val="-5"/>
        </w:rPr>
        <w:t>The</w:t>
      </w:r>
    </w:p>
    <w:p>
      <w:pPr>
        <w:pStyle w:val="BodyText"/>
        <w:rPr>
          <w:sz w:val="23"/>
        </w:rPr>
      </w:pPr>
      <w:r>
        <w:rPr/>
        <w:pict>
          <v:rect style="position:absolute;margin-left:89.879997pt;margin-top:14.432451pt;width:144pt;height:.6pt;mso-position-horizontal-relative:page;mso-position-vertical-relative:paragraph;z-index:-15727616;mso-wrap-distance-left:0;mso-wrap-distance-right:0" id="docshape4" filled="true" fillcolor="#000000" stroked="false">
            <v:fill type="solid"/>
            <w10:wrap type="topAndBottom"/>
          </v:rect>
        </w:pict>
      </w:r>
    </w:p>
    <w:p>
      <w:pPr>
        <w:pStyle w:val="BodyText"/>
        <w:spacing w:before="1"/>
        <w:rPr>
          <w:sz w:val="8"/>
        </w:rPr>
      </w:pPr>
    </w:p>
    <w:p>
      <w:pPr>
        <w:spacing w:before="130"/>
        <w:ind w:left="237" w:right="331" w:hanging="1"/>
        <w:jc w:val="both"/>
        <w:rPr>
          <w:sz w:val="20"/>
        </w:rPr>
      </w:pPr>
      <w:r>
        <w:rPr>
          <w:sz w:val="20"/>
          <w:vertAlign w:val="superscript"/>
        </w:rPr>
        <w:t>2</w:t>
      </w:r>
      <w:r>
        <w:rPr>
          <w:spacing w:val="-3"/>
          <w:sz w:val="20"/>
          <w:vertAlign w:val="baseline"/>
        </w:rPr>
        <w:t> </w:t>
      </w:r>
      <w:r>
        <w:rPr>
          <w:sz w:val="20"/>
          <w:vertAlign w:val="baseline"/>
        </w:rPr>
        <w:t>These</w:t>
      </w:r>
      <w:r>
        <w:rPr>
          <w:spacing w:val="-4"/>
          <w:sz w:val="20"/>
          <w:vertAlign w:val="baseline"/>
        </w:rPr>
        <w:t> </w:t>
      </w:r>
      <w:r>
        <w:rPr>
          <w:sz w:val="20"/>
          <w:vertAlign w:val="baseline"/>
        </w:rPr>
        <w:t>quantifiable</w:t>
      </w:r>
      <w:r>
        <w:rPr>
          <w:spacing w:val="-3"/>
          <w:sz w:val="20"/>
          <w:vertAlign w:val="baseline"/>
        </w:rPr>
        <w:t> </w:t>
      </w:r>
      <w:r>
        <w:rPr>
          <w:sz w:val="20"/>
          <w:vertAlign w:val="baseline"/>
        </w:rPr>
        <w:t>benefits</w:t>
      </w:r>
      <w:r>
        <w:rPr>
          <w:spacing w:val="-3"/>
          <w:sz w:val="20"/>
          <w:vertAlign w:val="baseline"/>
        </w:rPr>
        <w:t> </w:t>
      </w:r>
      <w:r>
        <w:rPr>
          <w:sz w:val="20"/>
          <w:vertAlign w:val="baseline"/>
        </w:rPr>
        <w:t>reflect</w:t>
      </w:r>
      <w:r>
        <w:rPr>
          <w:spacing w:val="-3"/>
          <w:sz w:val="20"/>
          <w:vertAlign w:val="baseline"/>
        </w:rPr>
        <w:t> </w:t>
      </w:r>
      <w:r>
        <w:rPr>
          <w:sz w:val="20"/>
          <w:vertAlign w:val="baseline"/>
        </w:rPr>
        <w:t>the</w:t>
      </w:r>
      <w:r>
        <w:rPr>
          <w:spacing w:val="-3"/>
          <w:sz w:val="20"/>
          <w:vertAlign w:val="baseline"/>
        </w:rPr>
        <w:t> </w:t>
      </w:r>
      <w:r>
        <w:rPr>
          <w:sz w:val="20"/>
          <w:vertAlign w:val="baseline"/>
        </w:rPr>
        <w:t>2008</w:t>
      </w:r>
      <w:r>
        <w:rPr>
          <w:spacing w:val="-3"/>
          <w:sz w:val="20"/>
          <w:vertAlign w:val="baseline"/>
        </w:rPr>
        <w:t> </w:t>
      </w:r>
      <w:r>
        <w:rPr>
          <w:sz w:val="20"/>
          <w:vertAlign w:val="baseline"/>
        </w:rPr>
        <w:t>proposal.</w:t>
      </w:r>
      <w:r>
        <w:rPr>
          <w:spacing w:val="-5"/>
          <w:sz w:val="20"/>
          <w:vertAlign w:val="baseline"/>
        </w:rPr>
        <w:t> </w:t>
      </w:r>
      <w:r>
        <w:rPr>
          <w:sz w:val="20"/>
          <w:vertAlign w:val="baseline"/>
        </w:rPr>
        <w:t>Further</w:t>
      </w:r>
      <w:r>
        <w:rPr>
          <w:spacing w:val="-3"/>
          <w:sz w:val="20"/>
          <w:vertAlign w:val="baseline"/>
        </w:rPr>
        <w:t> </w:t>
      </w:r>
      <w:r>
        <w:rPr>
          <w:sz w:val="20"/>
          <w:vertAlign w:val="baseline"/>
        </w:rPr>
        <w:t>details</w:t>
      </w:r>
      <w:r>
        <w:rPr>
          <w:spacing w:val="-3"/>
          <w:sz w:val="20"/>
          <w:vertAlign w:val="baseline"/>
        </w:rPr>
        <w:t> </w:t>
      </w:r>
      <w:r>
        <w:rPr>
          <w:sz w:val="20"/>
          <w:vertAlign w:val="baseline"/>
        </w:rPr>
        <w:t>of</w:t>
      </w:r>
      <w:r>
        <w:rPr>
          <w:spacing w:val="-3"/>
          <w:sz w:val="20"/>
          <w:vertAlign w:val="baseline"/>
        </w:rPr>
        <w:t> </w:t>
      </w:r>
      <w:r>
        <w:rPr>
          <w:sz w:val="20"/>
          <w:vertAlign w:val="baseline"/>
        </w:rPr>
        <w:t>benefits</w:t>
      </w:r>
      <w:r>
        <w:rPr>
          <w:spacing w:val="-4"/>
          <w:sz w:val="20"/>
          <w:vertAlign w:val="baseline"/>
        </w:rPr>
        <w:t> </w:t>
      </w:r>
      <w:r>
        <w:rPr>
          <w:sz w:val="20"/>
          <w:vertAlign w:val="baseline"/>
        </w:rPr>
        <w:t>and</w:t>
      </w:r>
      <w:r>
        <w:rPr>
          <w:spacing w:val="-3"/>
          <w:sz w:val="20"/>
          <w:vertAlign w:val="baseline"/>
        </w:rPr>
        <w:t> </w:t>
      </w:r>
      <w:r>
        <w:rPr>
          <w:sz w:val="20"/>
          <w:vertAlign w:val="baseline"/>
        </w:rPr>
        <w:t>costs</w:t>
      </w:r>
      <w:r>
        <w:rPr>
          <w:spacing w:val="-3"/>
          <w:sz w:val="20"/>
          <w:vertAlign w:val="baseline"/>
        </w:rPr>
        <w:t> </w:t>
      </w:r>
      <w:r>
        <w:rPr>
          <w:sz w:val="20"/>
          <w:vertAlign w:val="baseline"/>
        </w:rPr>
        <w:t>of</w:t>
      </w:r>
      <w:r>
        <w:rPr>
          <w:spacing w:val="-3"/>
          <w:sz w:val="20"/>
          <w:vertAlign w:val="baseline"/>
        </w:rPr>
        <w:t> </w:t>
      </w:r>
      <w:r>
        <w:rPr>
          <w:sz w:val="20"/>
          <w:vertAlign w:val="baseline"/>
        </w:rPr>
        <w:t>the 2009 amendments can be found in Appendix D to this RIS.</w:t>
      </w:r>
    </w:p>
    <w:p>
      <w:pPr>
        <w:spacing w:before="120"/>
        <w:ind w:left="237" w:right="293" w:hanging="1"/>
        <w:jc w:val="both"/>
        <w:rPr>
          <w:sz w:val="20"/>
        </w:rPr>
      </w:pPr>
      <w:r>
        <w:rPr>
          <w:sz w:val="20"/>
          <w:vertAlign w:val="superscript"/>
        </w:rPr>
        <w:t>3</w:t>
      </w:r>
      <w:r>
        <w:rPr>
          <w:sz w:val="20"/>
          <w:vertAlign w:val="baseline"/>
        </w:rPr>
        <w:t> The draft RIS employed a 4% real discount rate to determine the Net Present Value of future costs and benefits. Therefore, to allow for a proper comparison and consistency between the</w:t>
      </w:r>
      <w:r>
        <w:rPr>
          <w:spacing w:val="80"/>
          <w:sz w:val="20"/>
          <w:vertAlign w:val="baseline"/>
        </w:rPr>
        <w:t> </w:t>
      </w:r>
      <w:r>
        <w:rPr>
          <w:sz w:val="20"/>
          <w:vertAlign w:val="baseline"/>
        </w:rPr>
        <w:t>draft and final proposals, we have again used a rate of 4%. We note that the Victorian Competition and Efficiency Commission recommend a rate of 3.5% (</w:t>
      </w:r>
      <w:r>
        <w:rPr>
          <w:i/>
          <w:sz w:val="20"/>
          <w:vertAlign w:val="baseline"/>
        </w:rPr>
        <w:t>Guidance Note on</w:t>
      </w:r>
      <w:r>
        <w:rPr>
          <w:i/>
          <w:sz w:val="20"/>
          <w:vertAlign w:val="baseline"/>
        </w:rPr>
        <w:t> Discounting</w:t>
      </w:r>
      <w:r>
        <w:rPr>
          <w:sz w:val="20"/>
          <w:vertAlign w:val="baseline"/>
        </w:rPr>
        <w:t>, VCEC Melbourne 2007).</w:t>
      </w:r>
      <w:r>
        <w:rPr>
          <w:spacing w:val="40"/>
          <w:sz w:val="20"/>
          <w:vertAlign w:val="baseline"/>
        </w:rPr>
        <w:t> </w:t>
      </w:r>
      <w:r>
        <w:rPr>
          <w:sz w:val="20"/>
          <w:vertAlign w:val="baseline"/>
        </w:rPr>
        <w:t>However, the Commonwealth Office of Best Practice Regulation recommends a 7% real discount rate. For this reason, both figures are shown throughout this RIS with the 7% rate shown in brackets.</w:t>
      </w:r>
    </w:p>
    <w:p>
      <w:pPr>
        <w:spacing w:before="120"/>
        <w:ind w:left="237" w:right="293" w:hanging="1"/>
        <w:jc w:val="both"/>
        <w:rPr>
          <w:sz w:val="20"/>
        </w:rPr>
      </w:pPr>
      <w:r>
        <w:rPr>
          <w:sz w:val="20"/>
          <w:vertAlign w:val="superscript"/>
        </w:rPr>
        <w:t>4</w:t>
      </w:r>
      <w:r>
        <w:rPr>
          <w:sz w:val="20"/>
          <w:vertAlign w:val="baseline"/>
        </w:rPr>
        <w:t> Although a positive NPV is anticipated following the inclusion of the 2009 amendments the NPV expressed here has not been adjusted to reflect the changes. The decision to adopt this</w:t>
      </w:r>
      <w:r>
        <w:rPr>
          <w:spacing w:val="80"/>
          <w:sz w:val="20"/>
          <w:vertAlign w:val="baseline"/>
        </w:rPr>
        <w:t> </w:t>
      </w:r>
      <w:r>
        <w:rPr>
          <w:sz w:val="20"/>
          <w:vertAlign w:val="baseline"/>
        </w:rPr>
        <w:t>approach is based on the assumption that expected additional costs are anticipated to be in proportion to expected additional benefits, resulting in a similar BCR as that calculated in 2008. Further details can be found in Appendix D to this RIS.</w:t>
      </w:r>
    </w:p>
    <w:p>
      <w:pPr>
        <w:spacing w:after="0"/>
        <w:jc w:val="both"/>
        <w:rPr>
          <w:sz w:val="20"/>
        </w:rPr>
        <w:sectPr>
          <w:pgSz w:w="12240" w:h="15840"/>
          <w:pgMar w:header="0" w:footer="1140" w:top="1360" w:bottom="1340" w:left="1560" w:right="1500"/>
        </w:sectPr>
      </w:pPr>
    </w:p>
    <w:p>
      <w:pPr>
        <w:pStyle w:val="BodyText"/>
        <w:spacing w:before="77"/>
        <w:ind w:left="237" w:right="295"/>
        <w:jc w:val="both"/>
      </w:pPr>
      <w:r>
        <w:rPr/>
        <w:t>decision to adopt this approach is based on the overall outcome being virtually unchanged, i.e. expected additional costs are anticipated to be in proportion to expected additional benefits, resulting in a similar BCR as that calculated in</w:t>
      </w:r>
      <w:r>
        <w:rPr>
          <w:spacing w:val="40"/>
        </w:rPr>
        <w:t> </w:t>
      </w:r>
      <w:r>
        <w:rPr>
          <w:spacing w:val="-2"/>
        </w:rPr>
        <w:t>2008.</w:t>
      </w:r>
    </w:p>
    <w:p>
      <w:pPr>
        <w:pStyle w:val="BodyText"/>
        <w:spacing w:before="6"/>
        <w:rPr>
          <w:sz w:val="34"/>
        </w:rPr>
      </w:pPr>
    </w:p>
    <w:p>
      <w:pPr>
        <w:pStyle w:val="Heading4"/>
        <w:ind w:left="237"/>
        <w:jc w:val="left"/>
        <w:rPr>
          <w:u w:val="none"/>
        </w:rPr>
      </w:pPr>
      <w:r>
        <w:rPr>
          <w:u w:val="single"/>
        </w:rPr>
        <w:t>Table</w:t>
      </w:r>
      <w:r>
        <w:rPr>
          <w:spacing w:val="-3"/>
          <w:u w:val="single"/>
        </w:rPr>
        <w:t> </w:t>
      </w:r>
      <w:r>
        <w:rPr>
          <w:u w:val="single"/>
        </w:rPr>
        <w:t>S1:</w:t>
      </w:r>
      <w:r>
        <w:rPr>
          <w:spacing w:val="40"/>
          <w:u w:val="single"/>
        </w:rPr>
        <w:t> </w:t>
      </w:r>
      <w:r>
        <w:rPr>
          <w:u w:val="single"/>
        </w:rPr>
        <w:t>Comparison</w:t>
      </w:r>
      <w:r>
        <w:rPr>
          <w:spacing w:val="-3"/>
          <w:u w:val="single"/>
        </w:rPr>
        <w:t> </w:t>
      </w:r>
      <w:r>
        <w:rPr>
          <w:u w:val="single"/>
        </w:rPr>
        <w:t>of</w:t>
      </w:r>
      <w:r>
        <w:rPr>
          <w:spacing w:val="-3"/>
          <w:u w:val="single"/>
        </w:rPr>
        <w:t> </w:t>
      </w:r>
      <w:r>
        <w:rPr>
          <w:u w:val="single"/>
        </w:rPr>
        <w:t>proposed</w:t>
      </w:r>
      <w:r>
        <w:rPr>
          <w:spacing w:val="-3"/>
          <w:u w:val="single"/>
        </w:rPr>
        <w:t> </w:t>
      </w:r>
      <w:r>
        <w:rPr>
          <w:u w:val="single"/>
        </w:rPr>
        <w:t>Premises</w:t>
      </w:r>
      <w:r>
        <w:rPr>
          <w:spacing w:val="-3"/>
          <w:u w:val="single"/>
        </w:rPr>
        <w:t> </w:t>
      </w:r>
      <w:r>
        <w:rPr>
          <w:u w:val="single"/>
        </w:rPr>
        <w:t>Standards</w:t>
      </w:r>
      <w:r>
        <w:rPr>
          <w:spacing w:val="-3"/>
          <w:u w:val="single"/>
        </w:rPr>
        <w:t> </w:t>
      </w:r>
      <w:r>
        <w:rPr>
          <w:u w:val="single"/>
        </w:rPr>
        <w:t>at</w:t>
      </w:r>
      <w:r>
        <w:rPr>
          <w:spacing w:val="-3"/>
          <w:u w:val="single"/>
        </w:rPr>
        <w:t> </w:t>
      </w:r>
      <w:r>
        <w:rPr>
          <w:u w:val="single"/>
        </w:rPr>
        <w:t>4%</w:t>
      </w:r>
      <w:r>
        <w:rPr>
          <w:spacing w:val="-5"/>
          <w:u w:val="single"/>
        </w:rPr>
        <w:t> </w:t>
      </w:r>
      <w:r>
        <w:rPr>
          <w:u w:val="single"/>
        </w:rPr>
        <w:t>and</w:t>
      </w:r>
      <w:r>
        <w:rPr>
          <w:spacing w:val="-3"/>
          <w:u w:val="single"/>
        </w:rPr>
        <w:t> </w:t>
      </w:r>
      <w:r>
        <w:rPr>
          <w:u w:val="single"/>
        </w:rPr>
        <w:t>7%</w:t>
      </w:r>
      <w:r>
        <w:rPr>
          <w:u w:val="none"/>
        </w:rPr>
        <w:t> </w:t>
      </w:r>
      <w:r>
        <w:rPr>
          <w:u w:val="single"/>
        </w:rPr>
        <w:t>discount rate ($billion)</w:t>
      </w:r>
    </w:p>
    <w:p>
      <w:pPr>
        <w:pStyle w:val="BodyText"/>
        <w:spacing w:before="7"/>
        <w:rPr>
          <w:b/>
          <w:sz w:val="10"/>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8"/>
        <w:gridCol w:w="2700"/>
        <w:gridCol w:w="2700"/>
      </w:tblGrid>
      <w:tr>
        <w:trPr>
          <w:trHeight w:val="331" w:hRule="atLeast"/>
        </w:trPr>
        <w:tc>
          <w:tcPr>
            <w:tcW w:w="3168" w:type="dxa"/>
          </w:tcPr>
          <w:p>
            <w:pPr>
              <w:pStyle w:val="TableParagraph"/>
              <w:rPr>
                <w:rFonts w:ascii="Times New Roman"/>
                <w:sz w:val="22"/>
              </w:rPr>
            </w:pPr>
          </w:p>
        </w:tc>
        <w:tc>
          <w:tcPr>
            <w:tcW w:w="2700" w:type="dxa"/>
          </w:tcPr>
          <w:p>
            <w:pPr>
              <w:pStyle w:val="TableParagraph"/>
              <w:spacing w:before="26"/>
              <w:ind w:left="341"/>
              <w:rPr>
                <w:b/>
                <w:sz w:val="24"/>
              </w:rPr>
            </w:pPr>
            <w:r>
              <w:rPr>
                <w:b/>
                <w:sz w:val="24"/>
              </w:rPr>
              <w:t>4%</w:t>
            </w:r>
            <w:r>
              <w:rPr>
                <w:b/>
                <w:spacing w:val="-4"/>
                <w:sz w:val="24"/>
              </w:rPr>
              <w:t> </w:t>
            </w:r>
            <w:r>
              <w:rPr>
                <w:b/>
                <w:sz w:val="24"/>
              </w:rPr>
              <w:t>discount</w:t>
            </w:r>
            <w:r>
              <w:rPr>
                <w:b/>
                <w:spacing w:val="-1"/>
                <w:sz w:val="24"/>
              </w:rPr>
              <w:t> </w:t>
            </w:r>
            <w:r>
              <w:rPr>
                <w:b/>
                <w:spacing w:val="-2"/>
                <w:sz w:val="24"/>
              </w:rPr>
              <w:t>rate*</w:t>
            </w:r>
          </w:p>
        </w:tc>
        <w:tc>
          <w:tcPr>
            <w:tcW w:w="2700" w:type="dxa"/>
          </w:tcPr>
          <w:p>
            <w:pPr>
              <w:pStyle w:val="TableParagraph"/>
              <w:spacing w:before="26"/>
              <w:ind w:left="340"/>
              <w:rPr>
                <w:b/>
                <w:sz w:val="24"/>
              </w:rPr>
            </w:pPr>
            <w:r>
              <w:rPr>
                <w:b/>
                <w:sz w:val="24"/>
              </w:rPr>
              <w:t>7%</w:t>
            </w:r>
            <w:r>
              <w:rPr>
                <w:b/>
                <w:spacing w:val="-4"/>
                <w:sz w:val="24"/>
              </w:rPr>
              <w:t> </w:t>
            </w:r>
            <w:r>
              <w:rPr>
                <w:b/>
                <w:sz w:val="24"/>
              </w:rPr>
              <w:t>discount</w:t>
            </w:r>
            <w:r>
              <w:rPr>
                <w:b/>
                <w:spacing w:val="-1"/>
                <w:sz w:val="24"/>
              </w:rPr>
              <w:t> </w:t>
            </w:r>
            <w:r>
              <w:rPr>
                <w:b/>
                <w:spacing w:val="-4"/>
                <w:sz w:val="24"/>
              </w:rPr>
              <w:t>rate</w:t>
            </w:r>
            <w:hyperlink w:history="true" w:anchor="_bookmark4">
              <w:r>
                <w:rPr>
                  <w:b/>
                  <w:spacing w:val="-4"/>
                  <w:sz w:val="24"/>
                  <w:vertAlign w:val="superscript"/>
                </w:rPr>
                <w:t>5</w:t>
              </w:r>
            </w:hyperlink>
          </w:p>
        </w:tc>
      </w:tr>
      <w:tr>
        <w:trPr>
          <w:trHeight w:val="736" w:hRule="atLeast"/>
        </w:trPr>
        <w:tc>
          <w:tcPr>
            <w:tcW w:w="3168" w:type="dxa"/>
          </w:tcPr>
          <w:p>
            <w:pPr>
              <w:pStyle w:val="TableParagraph"/>
              <w:spacing w:before="90"/>
              <w:ind w:left="107" w:right="93"/>
              <w:rPr>
                <w:b/>
                <w:sz w:val="24"/>
              </w:rPr>
            </w:pPr>
            <w:r>
              <w:rPr>
                <w:b/>
                <w:sz w:val="24"/>
              </w:rPr>
              <w:t>Benefits</w:t>
            </w:r>
            <w:r>
              <w:rPr>
                <w:b/>
                <w:spacing w:val="-13"/>
                <w:sz w:val="24"/>
              </w:rPr>
              <w:t> </w:t>
            </w:r>
            <w:r>
              <w:rPr>
                <w:b/>
                <w:sz w:val="24"/>
              </w:rPr>
              <w:t>(PV</w:t>
            </w:r>
            <w:r>
              <w:rPr>
                <w:b/>
                <w:spacing w:val="-13"/>
                <w:sz w:val="24"/>
              </w:rPr>
              <w:t> </w:t>
            </w:r>
            <w:r>
              <w:rPr>
                <w:b/>
                <w:sz w:val="24"/>
              </w:rPr>
              <w:t>over</w:t>
            </w:r>
            <w:r>
              <w:rPr>
                <w:b/>
                <w:spacing w:val="-13"/>
                <w:sz w:val="24"/>
              </w:rPr>
              <w:t> </w:t>
            </w:r>
            <w:r>
              <w:rPr>
                <w:b/>
                <w:sz w:val="24"/>
              </w:rPr>
              <w:t>30 </w:t>
            </w:r>
            <w:r>
              <w:rPr>
                <w:b/>
                <w:spacing w:val="-2"/>
                <w:sz w:val="24"/>
              </w:rPr>
              <w:t>years)</w:t>
            </w:r>
          </w:p>
        </w:tc>
        <w:tc>
          <w:tcPr>
            <w:tcW w:w="2700" w:type="dxa"/>
          </w:tcPr>
          <w:p>
            <w:pPr>
              <w:pStyle w:val="TableParagraph"/>
              <w:spacing w:before="227"/>
              <w:ind w:right="95"/>
              <w:jc w:val="right"/>
              <w:rPr>
                <w:sz w:val="24"/>
              </w:rPr>
            </w:pPr>
            <w:r>
              <w:rPr>
                <w:spacing w:val="-4"/>
                <w:sz w:val="24"/>
              </w:rPr>
              <w:t>11.9</w:t>
            </w:r>
          </w:p>
        </w:tc>
        <w:tc>
          <w:tcPr>
            <w:tcW w:w="2700" w:type="dxa"/>
          </w:tcPr>
          <w:p>
            <w:pPr>
              <w:pStyle w:val="TableParagraph"/>
              <w:spacing w:before="227"/>
              <w:ind w:right="95"/>
              <w:jc w:val="right"/>
              <w:rPr>
                <w:sz w:val="24"/>
              </w:rPr>
            </w:pPr>
            <w:r>
              <w:rPr>
                <w:spacing w:val="-5"/>
                <w:sz w:val="24"/>
              </w:rPr>
              <w:t>7.6</w:t>
            </w:r>
          </w:p>
        </w:tc>
      </w:tr>
      <w:tr>
        <w:trPr>
          <w:trHeight w:val="659" w:hRule="atLeast"/>
        </w:trPr>
        <w:tc>
          <w:tcPr>
            <w:tcW w:w="3168" w:type="dxa"/>
          </w:tcPr>
          <w:p>
            <w:pPr>
              <w:pStyle w:val="TableParagraph"/>
              <w:spacing w:before="190"/>
              <w:ind w:left="107"/>
              <w:rPr>
                <w:b/>
                <w:sz w:val="24"/>
              </w:rPr>
            </w:pPr>
            <w:r>
              <w:rPr>
                <w:b/>
                <w:sz w:val="24"/>
              </w:rPr>
              <w:t>Costs</w:t>
            </w:r>
            <w:r>
              <w:rPr>
                <w:b/>
                <w:spacing w:val="-8"/>
                <w:sz w:val="24"/>
              </w:rPr>
              <w:t> </w:t>
            </w:r>
            <w:r>
              <w:rPr>
                <w:b/>
                <w:sz w:val="24"/>
              </w:rPr>
              <w:t>(PV</w:t>
            </w:r>
            <w:r>
              <w:rPr>
                <w:b/>
                <w:spacing w:val="-8"/>
                <w:sz w:val="24"/>
              </w:rPr>
              <w:t> </w:t>
            </w:r>
            <w:r>
              <w:rPr>
                <w:b/>
                <w:sz w:val="24"/>
              </w:rPr>
              <w:t>over</w:t>
            </w:r>
            <w:r>
              <w:rPr>
                <w:b/>
                <w:spacing w:val="-8"/>
                <w:sz w:val="24"/>
              </w:rPr>
              <w:t> </w:t>
            </w:r>
            <w:r>
              <w:rPr>
                <w:b/>
                <w:sz w:val="24"/>
              </w:rPr>
              <w:t>30</w:t>
            </w:r>
            <w:r>
              <w:rPr>
                <w:b/>
                <w:spacing w:val="-7"/>
                <w:sz w:val="24"/>
              </w:rPr>
              <w:t> </w:t>
            </w:r>
            <w:r>
              <w:rPr>
                <w:b/>
                <w:spacing w:val="-2"/>
                <w:sz w:val="24"/>
              </w:rPr>
              <w:t>years)</w:t>
            </w:r>
          </w:p>
        </w:tc>
        <w:tc>
          <w:tcPr>
            <w:tcW w:w="2700" w:type="dxa"/>
          </w:tcPr>
          <w:p>
            <w:pPr>
              <w:pStyle w:val="TableParagraph"/>
              <w:spacing w:before="188"/>
              <w:ind w:right="95"/>
              <w:jc w:val="right"/>
              <w:rPr>
                <w:sz w:val="24"/>
              </w:rPr>
            </w:pPr>
            <w:r>
              <w:rPr>
                <w:spacing w:val="-5"/>
                <w:sz w:val="24"/>
              </w:rPr>
              <w:t>9.7</w:t>
            </w:r>
          </w:p>
        </w:tc>
        <w:tc>
          <w:tcPr>
            <w:tcW w:w="2700" w:type="dxa"/>
          </w:tcPr>
          <w:p>
            <w:pPr>
              <w:pStyle w:val="TableParagraph"/>
              <w:spacing w:before="188"/>
              <w:ind w:right="96"/>
              <w:jc w:val="right"/>
              <w:rPr>
                <w:sz w:val="24"/>
              </w:rPr>
            </w:pPr>
            <w:r>
              <w:rPr>
                <w:spacing w:val="-5"/>
                <w:sz w:val="24"/>
              </w:rPr>
              <w:t>7.2</w:t>
            </w:r>
          </w:p>
        </w:tc>
      </w:tr>
      <w:tr>
        <w:trPr>
          <w:trHeight w:val="568" w:hRule="atLeast"/>
        </w:trPr>
        <w:tc>
          <w:tcPr>
            <w:tcW w:w="3168" w:type="dxa"/>
          </w:tcPr>
          <w:p>
            <w:pPr>
              <w:pStyle w:val="TableParagraph"/>
              <w:spacing w:before="144"/>
              <w:ind w:left="107"/>
              <w:rPr>
                <w:b/>
                <w:sz w:val="24"/>
              </w:rPr>
            </w:pPr>
            <w:r>
              <w:rPr>
                <w:b/>
                <w:sz w:val="24"/>
              </w:rPr>
              <w:t>Net</w:t>
            </w:r>
            <w:r>
              <w:rPr>
                <w:b/>
                <w:spacing w:val="-2"/>
                <w:sz w:val="24"/>
              </w:rPr>
              <w:t> </w:t>
            </w:r>
            <w:r>
              <w:rPr>
                <w:b/>
                <w:sz w:val="24"/>
              </w:rPr>
              <w:t>Present</w:t>
            </w:r>
            <w:r>
              <w:rPr>
                <w:b/>
                <w:spacing w:val="-2"/>
                <w:sz w:val="24"/>
              </w:rPr>
              <w:t> Value</w:t>
            </w:r>
          </w:p>
        </w:tc>
        <w:tc>
          <w:tcPr>
            <w:tcW w:w="2700" w:type="dxa"/>
          </w:tcPr>
          <w:p>
            <w:pPr>
              <w:pStyle w:val="TableParagraph"/>
              <w:spacing w:before="143"/>
              <w:ind w:right="95"/>
              <w:jc w:val="right"/>
              <w:rPr>
                <w:sz w:val="24"/>
              </w:rPr>
            </w:pPr>
            <w:r>
              <w:rPr>
                <w:spacing w:val="-5"/>
                <w:sz w:val="24"/>
              </w:rPr>
              <w:t>2.2</w:t>
            </w:r>
          </w:p>
        </w:tc>
        <w:tc>
          <w:tcPr>
            <w:tcW w:w="2700" w:type="dxa"/>
          </w:tcPr>
          <w:p>
            <w:pPr>
              <w:pStyle w:val="TableParagraph"/>
              <w:spacing w:before="143"/>
              <w:ind w:right="95"/>
              <w:jc w:val="right"/>
              <w:rPr>
                <w:sz w:val="24"/>
              </w:rPr>
            </w:pPr>
            <w:r>
              <w:rPr>
                <w:spacing w:val="-5"/>
                <w:sz w:val="24"/>
              </w:rPr>
              <w:t>0.4</w:t>
            </w:r>
          </w:p>
        </w:tc>
      </w:tr>
      <w:tr>
        <w:trPr>
          <w:trHeight w:val="549" w:hRule="atLeast"/>
        </w:trPr>
        <w:tc>
          <w:tcPr>
            <w:tcW w:w="3168" w:type="dxa"/>
          </w:tcPr>
          <w:p>
            <w:pPr>
              <w:pStyle w:val="TableParagraph"/>
              <w:spacing w:before="134"/>
              <w:ind w:left="107"/>
              <w:rPr>
                <w:b/>
                <w:sz w:val="24"/>
              </w:rPr>
            </w:pPr>
            <w:r>
              <w:rPr>
                <w:b/>
                <w:sz w:val="24"/>
              </w:rPr>
              <w:t>Benefit/cost </w:t>
            </w:r>
            <w:r>
              <w:rPr>
                <w:b/>
                <w:spacing w:val="-2"/>
                <w:sz w:val="24"/>
              </w:rPr>
              <w:t>ratio</w:t>
            </w:r>
          </w:p>
        </w:tc>
        <w:tc>
          <w:tcPr>
            <w:tcW w:w="2700" w:type="dxa"/>
          </w:tcPr>
          <w:p>
            <w:pPr>
              <w:pStyle w:val="TableParagraph"/>
              <w:spacing w:before="133"/>
              <w:ind w:left="1001" w:right="992"/>
              <w:jc w:val="center"/>
              <w:rPr>
                <w:sz w:val="24"/>
              </w:rPr>
            </w:pPr>
            <w:r>
              <w:rPr>
                <w:spacing w:val="-2"/>
                <w:sz w:val="24"/>
              </w:rPr>
              <w:t>1.23:1</w:t>
            </w:r>
          </w:p>
        </w:tc>
        <w:tc>
          <w:tcPr>
            <w:tcW w:w="2700" w:type="dxa"/>
          </w:tcPr>
          <w:p>
            <w:pPr>
              <w:pStyle w:val="TableParagraph"/>
              <w:spacing w:before="133"/>
              <w:ind w:left="1000" w:right="992"/>
              <w:jc w:val="center"/>
              <w:rPr>
                <w:sz w:val="24"/>
              </w:rPr>
            </w:pPr>
            <w:r>
              <w:rPr>
                <w:spacing w:val="-2"/>
                <w:sz w:val="24"/>
              </w:rPr>
              <w:t>1.05:1</w:t>
            </w:r>
          </w:p>
        </w:tc>
      </w:tr>
    </w:tbl>
    <w:p>
      <w:pPr>
        <w:spacing w:before="0"/>
        <w:ind w:left="237" w:right="0" w:firstLine="0"/>
        <w:jc w:val="left"/>
        <w:rPr>
          <w:i/>
          <w:sz w:val="20"/>
        </w:rPr>
      </w:pPr>
      <w:r>
        <w:rPr>
          <w:i/>
          <w:sz w:val="20"/>
        </w:rPr>
        <w:t>*</w:t>
      </w:r>
      <w:r>
        <w:rPr>
          <w:i/>
          <w:spacing w:val="-4"/>
          <w:sz w:val="20"/>
        </w:rPr>
        <w:t> </w:t>
      </w:r>
      <w:r>
        <w:rPr>
          <w:i/>
          <w:sz w:val="20"/>
        </w:rPr>
        <w:t>as</w:t>
      </w:r>
      <w:r>
        <w:rPr>
          <w:i/>
          <w:spacing w:val="-4"/>
          <w:sz w:val="20"/>
        </w:rPr>
        <w:t> </w:t>
      </w:r>
      <w:r>
        <w:rPr>
          <w:i/>
          <w:sz w:val="20"/>
        </w:rPr>
        <w:t>used</w:t>
      </w:r>
      <w:r>
        <w:rPr>
          <w:i/>
          <w:spacing w:val="-4"/>
          <w:sz w:val="20"/>
        </w:rPr>
        <w:t> </w:t>
      </w:r>
      <w:r>
        <w:rPr>
          <w:i/>
          <w:sz w:val="20"/>
        </w:rPr>
        <w:t>in</w:t>
      </w:r>
      <w:r>
        <w:rPr>
          <w:i/>
          <w:spacing w:val="-3"/>
          <w:sz w:val="20"/>
        </w:rPr>
        <w:t> </w:t>
      </w:r>
      <w:r>
        <w:rPr>
          <w:i/>
          <w:sz w:val="20"/>
        </w:rPr>
        <w:t>the</w:t>
      </w:r>
      <w:r>
        <w:rPr>
          <w:i/>
          <w:spacing w:val="-4"/>
          <w:sz w:val="20"/>
        </w:rPr>
        <w:t> </w:t>
      </w:r>
      <w:r>
        <w:rPr>
          <w:i/>
          <w:sz w:val="20"/>
        </w:rPr>
        <w:t>original</w:t>
      </w:r>
      <w:r>
        <w:rPr>
          <w:i/>
          <w:spacing w:val="-4"/>
          <w:sz w:val="20"/>
        </w:rPr>
        <w:t> </w:t>
      </w:r>
      <w:r>
        <w:rPr>
          <w:i/>
          <w:sz w:val="20"/>
        </w:rPr>
        <w:t>draft</w:t>
      </w:r>
      <w:r>
        <w:rPr>
          <w:i/>
          <w:spacing w:val="-3"/>
          <w:sz w:val="20"/>
        </w:rPr>
        <w:t> </w:t>
      </w:r>
      <w:r>
        <w:rPr>
          <w:i/>
          <w:spacing w:val="-5"/>
          <w:sz w:val="20"/>
        </w:rPr>
        <w:t>RIS</w:t>
      </w:r>
    </w:p>
    <w:p>
      <w:pPr>
        <w:pStyle w:val="BodyText"/>
        <w:spacing w:before="11"/>
        <w:rPr>
          <w:i/>
          <w:sz w:val="23"/>
        </w:rPr>
      </w:pPr>
    </w:p>
    <w:p>
      <w:pPr>
        <w:pStyle w:val="BodyText"/>
        <w:ind w:left="237" w:right="294"/>
        <w:jc w:val="both"/>
      </w:pPr>
      <w:r>
        <w:rPr/>
        <w:t>These benefit and cost estimates are substantially different from those presented in the draft Regulation Impact Statement (RIS) prepared in relation to the original Premises Standards proposal.</w:t>
      </w:r>
      <w:r>
        <w:rPr>
          <w:spacing w:val="80"/>
        </w:rPr>
        <w:t> </w:t>
      </w:r>
      <w:r>
        <w:rPr/>
        <w:t>While the estimated annual benefits have declined by a relatively small amount, the estimated annual costs have also reduced notably in respect of the original Premises Standards proposal.</w:t>
      </w:r>
      <w:r>
        <w:rPr>
          <w:spacing w:val="40"/>
        </w:rPr>
        <w:t> </w:t>
      </w:r>
      <w:r>
        <w:rPr/>
        <w:t>This reflects the fact that significant changes have been made to the initial proposal with the objective of substantially improving its cost effectiveness.</w:t>
      </w:r>
    </w:p>
    <w:p>
      <w:pPr>
        <w:pStyle w:val="BodyText"/>
      </w:pPr>
    </w:p>
    <w:p>
      <w:pPr>
        <w:pStyle w:val="BodyText"/>
        <w:ind w:left="237" w:right="294"/>
        <w:jc w:val="both"/>
      </w:pPr>
      <w:r>
        <w:rPr/>
        <w:t>Table S2, below, compares the benefits and costs of the 2004 draft Standards (a public consultation draft of the Premises Standards) with the proposed Premises Standards (Option 1). The previous Option 2, which related to the application of the proposed Premises Standards only to new buildings, is no longer seen as a feasible way forward, a result of further assessment of the proposal and Government’s consideration of the </w:t>
      </w:r>
      <w:r>
        <w:rPr>
          <w:i/>
        </w:rPr>
        <w:t>Access All Areas </w:t>
      </w:r>
      <w:r>
        <w:rPr/>
        <w:t>report. The proposed 2009 amendments therefore have been developed with the understanding that the Premises Standards, if adopted, will apply to all new buildings and specified existing building upgrades in the same fashion as all BCA requirements.</w:t>
      </w:r>
    </w:p>
    <w:p>
      <w:pPr>
        <w:pStyle w:val="BodyText"/>
      </w:pPr>
    </w:p>
    <w:p>
      <w:pPr>
        <w:pStyle w:val="BodyText"/>
        <w:ind w:left="237" w:right="292"/>
        <w:jc w:val="both"/>
      </w:pPr>
      <w:r>
        <w:rPr/>
        <w:t>For</w:t>
      </w:r>
      <w:r>
        <w:rPr>
          <w:spacing w:val="-2"/>
        </w:rPr>
        <w:t> </w:t>
      </w:r>
      <w:r>
        <w:rPr/>
        <w:t>context,</w:t>
      </w:r>
      <w:r>
        <w:rPr>
          <w:spacing w:val="-2"/>
        </w:rPr>
        <w:t> </w:t>
      </w:r>
      <w:r>
        <w:rPr/>
        <w:t>the</w:t>
      </w:r>
      <w:r>
        <w:rPr>
          <w:spacing w:val="-2"/>
        </w:rPr>
        <w:t> </w:t>
      </w:r>
      <w:r>
        <w:rPr/>
        <w:t>analysis</w:t>
      </w:r>
      <w:r>
        <w:rPr>
          <w:spacing w:val="-2"/>
        </w:rPr>
        <w:t> </w:t>
      </w:r>
      <w:r>
        <w:rPr/>
        <w:t>of</w:t>
      </w:r>
      <w:r>
        <w:rPr>
          <w:spacing w:val="-2"/>
        </w:rPr>
        <w:t> </w:t>
      </w:r>
      <w:r>
        <w:rPr/>
        <w:t>Option</w:t>
      </w:r>
      <w:r>
        <w:rPr>
          <w:spacing w:val="-2"/>
        </w:rPr>
        <w:t> </w:t>
      </w:r>
      <w:r>
        <w:rPr/>
        <w:t>2</w:t>
      </w:r>
      <w:r>
        <w:rPr>
          <w:spacing w:val="-2"/>
        </w:rPr>
        <w:t> </w:t>
      </w:r>
      <w:r>
        <w:rPr/>
        <w:t>remains</w:t>
      </w:r>
      <w:r>
        <w:rPr>
          <w:spacing w:val="-2"/>
        </w:rPr>
        <w:t> </w:t>
      </w:r>
      <w:r>
        <w:rPr/>
        <w:t>in</w:t>
      </w:r>
      <w:r>
        <w:rPr>
          <w:spacing w:val="-2"/>
        </w:rPr>
        <w:t> </w:t>
      </w:r>
      <w:r>
        <w:rPr/>
        <w:t>the</w:t>
      </w:r>
      <w:r>
        <w:rPr>
          <w:spacing w:val="-1"/>
        </w:rPr>
        <w:t> </w:t>
      </w:r>
      <w:r>
        <w:rPr/>
        <w:t>body</w:t>
      </w:r>
      <w:r>
        <w:rPr>
          <w:spacing w:val="-2"/>
        </w:rPr>
        <w:t> </w:t>
      </w:r>
      <w:r>
        <w:rPr/>
        <w:t>of</w:t>
      </w:r>
      <w:r>
        <w:rPr>
          <w:spacing w:val="-2"/>
        </w:rPr>
        <w:t> </w:t>
      </w:r>
      <w:r>
        <w:rPr/>
        <w:t>this</w:t>
      </w:r>
      <w:r>
        <w:rPr>
          <w:spacing w:val="-1"/>
        </w:rPr>
        <w:t> </w:t>
      </w:r>
      <w:r>
        <w:rPr/>
        <w:t>RIS</w:t>
      </w:r>
      <w:r>
        <w:rPr>
          <w:spacing w:val="-2"/>
        </w:rPr>
        <w:t> </w:t>
      </w:r>
      <w:r>
        <w:rPr/>
        <w:t>but</w:t>
      </w:r>
      <w:r>
        <w:rPr>
          <w:spacing w:val="-2"/>
        </w:rPr>
        <w:t> </w:t>
      </w:r>
      <w:r>
        <w:rPr/>
        <w:t>has</w:t>
      </w:r>
      <w:r>
        <w:rPr>
          <w:spacing w:val="-2"/>
        </w:rPr>
        <w:t> </w:t>
      </w:r>
      <w:r>
        <w:rPr/>
        <w:t>been removed from the summary and annotated throughout the document to remind readers of its current status.</w:t>
      </w:r>
    </w:p>
    <w:p>
      <w:pPr>
        <w:pStyle w:val="BodyText"/>
        <w:rPr>
          <w:sz w:val="20"/>
        </w:rPr>
      </w:pPr>
    </w:p>
    <w:p>
      <w:pPr>
        <w:pStyle w:val="BodyText"/>
        <w:spacing w:before="3"/>
        <w:rPr>
          <w:sz w:val="22"/>
        </w:rPr>
      </w:pPr>
      <w:r>
        <w:rPr/>
        <w:pict>
          <v:rect style="position:absolute;margin-left:89.879997pt;margin-top:14.002686pt;width:144pt;height:.6pt;mso-position-horizontal-relative:page;mso-position-vertical-relative:paragraph;z-index:-15727104;mso-wrap-distance-left:0;mso-wrap-distance-right:0" id="docshape5" filled="true" fillcolor="#000000" stroked="false">
            <v:fill type="solid"/>
            <w10:wrap type="topAndBottom"/>
          </v:rect>
        </w:pict>
      </w:r>
    </w:p>
    <w:p>
      <w:pPr>
        <w:pStyle w:val="BodyText"/>
        <w:spacing w:before="1"/>
        <w:rPr>
          <w:sz w:val="8"/>
        </w:rPr>
      </w:pPr>
    </w:p>
    <w:p>
      <w:pPr>
        <w:spacing w:before="130"/>
        <w:ind w:left="237" w:right="247" w:hanging="1"/>
        <w:jc w:val="left"/>
        <w:rPr>
          <w:sz w:val="20"/>
        </w:rPr>
      </w:pPr>
      <w:r>
        <w:rPr>
          <w:sz w:val="20"/>
          <w:vertAlign w:val="superscript"/>
        </w:rPr>
        <w:t>5</w:t>
      </w:r>
      <w:r>
        <w:rPr>
          <w:spacing w:val="-3"/>
          <w:sz w:val="20"/>
          <w:vertAlign w:val="baseline"/>
        </w:rPr>
        <w:t> </w:t>
      </w:r>
      <w:bookmarkStart w:name="_bookmark4" w:id="6"/>
      <w:bookmarkEnd w:id="6"/>
      <w:r>
        <w:rPr>
          <w:sz w:val="20"/>
          <w:vertAlign w:val="baseline"/>
        </w:rPr>
        <w:t>Althoug</w:t>
      </w:r>
      <w:r>
        <w:rPr>
          <w:sz w:val="20"/>
          <w:vertAlign w:val="baseline"/>
        </w:rPr>
        <w:t>h</w:t>
      </w:r>
      <w:r>
        <w:rPr>
          <w:spacing w:val="-3"/>
          <w:sz w:val="20"/>
          <w:vertAlign w:val="baseline"/>
        </w:rPr>
        <w:t> </w:t>
      </w:r>
      <w:r>
        <w:rPr>
          <w:sz w:val="20"/>
          <w:vertAlign w:val="baseline"/>
        </w:rPr>
        <w:t>a</w:t>
      </w:r>
      <w:r>
        <w:rPr>
          <w:spacing w:val="-3"/>
          <w:sz w:val="20"/>
          <w:vertAlign w:val="baseline"/>
        </w:rPr>
        <w:t> </w:t>
      </w:r>
      <w:r>
        <w:rPr>
          <w:sz w:val="20"/>
          <w:vertAlign w:val="baseline"/>
        </w:rPr>
        <w:t>positive</w:t>
      </w:r>
      <w:r>
        <w:rPr>
          <w:spacing w:val="-3"/>
          <w:sz w:val="20"/>
          <w:vertAlign w:val="baseline"/>
        </w:rPr>
        <w:t> </w:t>
      </w:r>
      <w:r>
        <w:rPr>
          <w:sz w:val="20"/>
          <w:vertAlign w:val="baseline"/>
        </w:rPr>
        <w:t>net</w:t>
      </w:r>
      <w:r>
        <w:rPr>
          <w:spacing w:val="-3"/>
          <w:sz w:val="20"/>
          <w:vertAlign w:val="baseline"/>
        </w:rPr>
        <w:t> </w:t>
      </w:r>
      <w:r>
        <w:rPr>
          <w:sz w:val="20"/>
          <w:vertAlign w:val="baseline"/>
        </w:rPr>
        <w:t>benefit</w:t>
      </w:r>
      <w:r>
        <w:rPr>
          <w:spacing w:val="-3"/>
          <w:sz w:val="20"/>
          <w:vertAlign w:val="baseline"/>
        </w:rPr>
        <w:t> </w:t>
      </w:r>
      <w:r>
        <w:rPr>
          <w:sz w:val="20"/>
          <w:vertAlign w:val="baseline"/>
        </w:rPr>
        <w:t>is</w:t>
      </w:r>
      <w:r>
        <w:rPr>
          <w:spacing w:val="-3"/>
          <w:sz w:val="20"/>
          <w:vertAlign w:val="baseline"/>
        </w:rPr>
        <w:t> </w:t>
      </w:r>
      <w:r>
        <w:rPr>
          <w:sz w:val="20"/>
          <w:vertAlign w:val="baseline"/>
        </w:rPr>
        <w:t>anticipated</w:t>
      </w:r>
      <w:r>
        <w:rPr>
          <w:spacing w:val="-1"/>
          <w:sz w:val="20"/>
          <w:vertAlign w:val="baseline"/>
        </w:rPr>
        <w:t> </w:t>
      </w:r>
      <w:r>
        <w:rPr>
          <w:sz w:val="20"/>
          <w:vertAlign w:val="baseline"/>
        </w:rPr>
        <w:t>following</w:t>
      </w:r>
      <w:r>
        <w:rPr>
          <w:spacing w:val="-4"/>
          <w:sz w:val="20"/>
          <w:vertAlign w:val="baseline"/>
        </w:rPr>
        <w:t> </w:t>
      </w:r>
      <w:r>
        <w:rPr>
          <w:sz w:val="20"/>
          <w:vertAlign w:val="baseline"/>
        </w:rPr>
        <w:t>the</w:t>
      </w:r>
      <w:r>
        <w:rPr>
          <w:spacing w:val="-3"/>
          <w:sz w:val="20"/>
          <w:vertAlign w:val="baseline"/>
        </w:rPr>
        <w:t> </w:t>
      </w:r>
      <w:r>
        <w:rPr>
          <w:sz w:val="20"/>
          <w:vertAlign w:val="baseline"/>
        </w:rPr>
        <w:t>inclusion</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2009</w:t>
      </w:r>
      <w:r>
        <w:rPr>
          <w:spacing w:val="-3"/>
          <w:sz w:val="20"/>
          <w:vertAlign w:val="baseline"/>
        </w:rPr>
        <w:t> </w:t>
      </w:r>
      <w:r>
        <w:rPr>
          <w:sz w:val="20"/>
          <w:vertAlign w:val="baseline"/>
        </w:rPr>
        <w:t>amendments</w:t>
      </w:r>
      <w:r>
        <w:rPr>
          <w:spacing w:val="-3"/>
          <w:sz w:val="20"/>
          <w:vertAlign w:val="baseline"/>
        </w:rPr>
        <w:t> </w:t>
      </w:r>
      <w:r>
        <w:rPr>
          <w:sz w:val="20"/>
          <w:vertAlign w:val="baseline"/>
        </w:rPr>
        <w:t>the figures contained within this column have not been adjusted to reflect the latest changes. More details can be found in Appendix D.</w:t>
      </w:r>
    </w:p>
    <w:p>
      <w:pPr>
        <w:spacing w:after="0"/>
        <w:jc w:val="left"/>
        <w:rPr>
          <w:sz w:val="20"/>
        </w:rPr>
        <w:sectPr>
          <w:pgSz w:w="12240" w:h="15840"/>
          <w:pgMar w:header="0" w:footer="1140" w:top="1360" w:bottom="1340" w:left="1560" w:right="1500"/>
        </w:sectPr>
      </w:pPr>
    </w:p>
    <w:p>
      <w:pPr>
        <w:pStyle w:val="BodyText"/>
        <w:spacing w:before="77"/>
        <w:ind w:left="237" w:right="294"/>
        <w:jc w:val="both"/>
      </w:pPr>
      <w:r>
        <w:rPr/>
        <w:t>Comparison</w:t>
      </w:r>
      <w:r>
        <w:rPr/>
        <w:t> of</w:t>
      </w:r>
      <w:r>
        <w:rPr/>
        <w:t> the</w:t>
      </w:r>
      <w:r>
        <w:rPr/>
        <w:t> 2008 Premises Standards proposal with the 2004 draft proposal, discussed in the 2004 draft RIS, indicates that the 2008 proposal is substantially more cost effective.</w:t>
      </w:r>
      <w:r>
        <w:rPr>
          <w:spacing w:val="40"/>
        </w:rPr>
        <w:t> </w:t>
      </w:r>
      <w:r>
        <w:rPr/>
        <w:t>This is indicated by the fact that it has a benefit cost ratio of 1.23:1 (1.05:1), compared with 0.49:1 for the original proposal. Moreover, the PV of the benefits of the current proposal ($11.4 billion) ($7.3 billion at 7%) is reduced from the estimated benefits of the original proposal ($13.0 billion). As noted earlier, further to these anticipated outcomes it is expected that there will be an increase in both costs and benefits as a result of the proposed 2009 amendments. These increases are, however, expected to be in proportion to the overall costs and benefits estimated in this RIS.</w:t>
      </w:r>
    </w:p>
    <w:p>
      <w:pPr>
        <w:pStyle w:val="BodyText"/>
        <w:spacing w:before="6"/>
        <w:rPr>
          <w:sz w:val="34"/>
        </w:rPr>
      </w:pPr>
    </w:p>
    <w:p>
      <w:pPr>
        <w:pStyle w:val="Heading4"/>
        <w:ind w:left="237" w:right="247"/>
        <w:jc w:val="left"/>
        <w:rPr>
          <w:u w:val="none"/>
        </w:rPr>
      </w:pPr>
      <w:r>
        <w:rPr>
          <w:u w:val="single"/>
        </w:rPr>
        <w:t>Table</w:t>
      </w:r>
      <w:r>
        <w:rPr>
          <w:spacing w:val="-4"/>
          <w:u w:val="single"/>
        </w:rPr>
        <w:t> </w:t>
      </w:r>
      <w:r>
        <w:rPr>
          <w:u w:val="single"/>
        </w:rPr>
        <w:t>S2:</w:t>
      </w:r>
      <w:r>
        <w:rPr>
          <w:spacing w:val="40"/>
          <w:u w:val="single"/>
        </w:rPr>
        <w:t> </w:t>
      </w:r>
      <w:r>
        <w:rPr>
          <w:u w:val="single"/>
        </w:rPr>
        <w:t>Comparison</w:t>
      </w:r>
      <w:r>
        <w:rPr>
          <w:spacing w:val="-4"/>
          <w:u w:val="single"/>
        </w:rPr>
        <w:t> </w:t>
      </w:r>
      <w:r>
        <w:rPr>
          <w:u w:val="single"/>
        </w:rPr>
        <w:t>of</w:t>
      </w:r>
      <w:r>
        <w:rPr>
          <w:spacing w:val="-4"/>
          <w:u w:val="single"/>
        </w:rPr>
        <w:t> </w:t>
      </w:r>
      <w:r>
        <w:rPr>
          <w:u w:val="single"/>
        </w:rPr>
        <w:t>proposed</w:t>
      </w:r>
      <w:r>
        <w:rPr>
          <w:spacing w:val="-6"/>
          <w:u w:val="single"/>
        </w:rPr>
        <w:t> </w:t>
      </w:r>
      <w:r>
        <w:rPr>
          <w:u w:val="single"/>
        </w:rPr>
        <w:t>Premises</w:t>
      </w:r>
      <w:r>
        <w:rPr>
          <w:spacing w:val="-4"/>
          <w:u w:val="single"/>
        </w:rPr>
        <w:t> </w:t>
      </w:r>
      <w:r>
        <w:rPr>
          <w:u w:val="single"/>
        </w:rPr>
        <w:t>Standards</w:t>
      </w:r>
      <w:r>
        <w:rPr>
          <w:spacing w:val="-4"/>
          <w:u w:val="single"/>
        </w:rPr>
        <w:t> </w:t>
      </w:r>
      <w:r>
        <w:rPr>
          <w:u w:val="single"/>
        </w:rPr>
        <w:t>and</w:t>
      </w:r>
      <w:r>
        <w:rPr>
          <w:spacing w:val="-4"/>
          <w:u w:val="single"/>
        </w:rPr>
        <w:t> </w:t>
      </w:r>
      <w:r>
        <w:rPr>
          <w:u w:val="single"/>
        </w:rPr>
        <w:t>identified</w:t>
      </w:r>
      <w:r>
        <w:rPr>
          <w:u w:val="none"/>
        </w:rPr>
        <w:t> </w:t>
      </w:r>
      <w:r>
        <w:rPr>
          <w:u w:val="single"/>
        </w:rPr>
        <w:t>feasible alternatives ($billion)</w:t>
      </w:r>
    </w:p>
    <w:p>
      <w:pPr>
        <w:pStyle w:val="BodyText"/>
        <w:spacing w:before="7"/>
        <w:rPr>
          <w:b/>
          <w:sz w:val="10"/>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8"/>
        <w:gridCol w:w="2880"/>
        <w:gridCol w:w="2700"/>
      </w:tblGrid>
      <w:tr>
        <w:trPr>
          <w:trHeight w:val="607" w:hRule="atLeast"/>
        </w:trPr>
        <w:tc>
          <w:tcPr>
            <w:tcW w:w="3168" w:type="dxa"/>
          </w:tcPr>
          <w:p>
            <w:pPr>
              <w:pStyle w:val="TableParagraph"/>
              <w:rPr>
                <w:rFonts w:ascii="Times New Roman"/>
                <w:sz w:val="22"/>
              </w:rPr>
            </w:pPr>
          </w:p>
        </w:tc>
        <w:tc>
          <w:tcPr>
            <w:tcW w:w="2880" w:type="dxa"/>
          </w:tcPr>
          <w:p>
            <w:pPr>
              <w:pStyle w:val="TableParagraph"/>
              <w:spacing w:before="26"/>
              <w:ind w:left="826" w:right="139" w:hanging="500"/>
              <w:rPr>
                <w:b/>
                <w:sz w:val="24"/>
              </w:rPr>
            </w:pPr>
            <w:r>
              <w:rPr>
                <w:b/>
                <w:sz w:val="24"/>
              </w:rPr>
              <w:t>Option</w:t>
            </w:r>
            <w:r>
              <w:rPr>
                <w:b/>
                <w:spacing w:val="-17"/>
                <w:sz w:val="24"/>
              </w:rPr>
              <w:t> </w:t>
            </w:r>
            <w:r>
              <w:rPr>
                <w:b/>
                <w:sz w:val="24"/>
              </w:rPr>
              <w:t>1</w:t>
            </w:r>
            <w:r>
              <w:rPr>
                <w:b/>
                <w:spacing w:val="-17"/>
                <w:sz w:val="24"/>
              </w:rPr>
              <w:t> </w:t>
            </w:r>
            <w:r>
              <w:rPr>
                <w:b/>
                <w:sz w:val="24"/>
              </w:rPr>
              <w:t>(Proposed </w:t>
            </w:r>
            <w:r>
              <w:rPr>
                <w:b/>
                <w:spacing w:val="-2"/>
                <w:sz w:val="24"/>
              </w:rPr>
              <w:t>standards)</w:t>
            </w:r>
          </w:p>
        </w:tc>
        <w:tc>
          <w:tcPr>
            <w:tcW w:w="2700" w:type="dxa"/>
          </w:tcPr>
          <w:p>
            <w:pPr>
              <w:pStyle w:val="TableParagraph"/>
              <w:spacing w:before="26"/>
              <w:ind w:left="229"/>
              <w:rPr>
                <w:b/>
                <w:sz w:val="24"/>
              </w:rPr>
            </w:pPr>
            <w:r>
              <w:rPr>
                <w:b/>
                <w:sz w:val="24"/>
              </w:rPr>
              <w:t>2004</w:t>
            </w:r>
            <w:r>
              <w:rPr>
                <w:b/>
                <w:spacing w:val="-7"/>
                <w:sz w:val="24"/>
              </w:rPr>
              <w:t> </w:t>
            </w:r>
            <w:r>
              <w:rPr>
                <w:b/>
                <w:sz w:val="24"/>
              </w:rPr>
              <w:t>Draft</w:t>
            </w:r>
            <w:r>
              <w:rPr>
                <w:b/>
                <w:spacing w:val="-6"/>
                <w:sz w:val="24"/>
              </w:rPr>
              <w:t> </w:t>
            </w:r>
            <w:r>
              <w:rPr>
                <w:b/>
                <w:spacing w:val="-2"/>
                <w:sz w:val="24"/>
              </w:rPr>
              <w:t>proposal</w:t>
            </w:r>
          </w:p>
        </w:tc>
      </w:tr>
      <w:tr>
        <w:trPr>
          <w:trHeight w:val="608" w:hRule="atLeast"/>
        </w:trPr>
        <w:tc>
          <w:tcPr>
            <w:tcW w:w="3168" w:type="dxa"/>
          </w:tcPr>
          <w:p>
            <w:pPr>
              <w:pStyle w:val="TableParagraph"/>
              <w:spacing w:before="26"/>
              <w:ind w:left="107" w:right="93"/>
              <w:rPr>
                <w:b/>
                <w:sz w:val="24"/>
              </w:rPr>
            </w:pPr>
            <w:r>
              <w:rPr>
                <w:b/>
                <w:sz w:val="24"/>
              </w:rPr>
              <w:t>Benefits</w:t>
            </w:r>
            <w:r>
              <w:rPr>
                <w:b/>
                <w:spacing w:val="-13"/>
                <w:sz w:val="24"/>
              </w:rPr>
              <w:t> </w:t>
            </w:r>
            <w:r>
              <w:rPr>
                <w:b/>
                <w:sz w:val="24"/>
              </w:rPr>
              <w:t>(PV</w:t>
            </w:r>
            <w:r>
              <w:rPr>
                <w:b/>
                <w:spacing w:val="-13"/>
                <w:sz w:val="24"/>
              </w:rPr>
              <w:t> </w:t>
            </w:r>
            <w:r>
              <w:rPr>
                <w:b/>
                <w:sz w:val="24"/>
              </w:rPr>
              <w:t>over</w:t>
            </w:r>
            <w:r>
              <w:rPr>
                <w:b/>
                <w:spacing w:val="-13"/>
                <w:sz w:val="24"/>
              </w:rPr>
              <w:t> </w:t>
            </w:r>
            <w:r>
              <w:rPr>
                <w:b/>
                <w:sz w:val="24"/>
              </w:rPr>
              <w:t>30 </w:t>
            </w:r>
            <w:r>
              <w:rPr>
                <w:b/>
                <w:spacing w:val="-2"/>
                <w:sz w:val="24"/>
              </w:rPr>
              <w:t>years)</w:t>
            </w:r>
          </w:p>
        </w:tc>
        <w:tc>
          <w:tcPr>
            <w:tcW w:w="2880" w:type="dxa"/>
          </w:tcPr>
          <w:p>
            <w:pPr>
              <w:pStyle w:val="TableParagraph"/>
              <w:spacing w:before="25"/>
              <w:ind w:right="96"/>
              <w:jc w:val="right"/>
              <w:rPr>
                <w:sz w:val="24"/>
              </w:rPr>
            </w:pPr>
            <w:r>
              <w:rPr>
                <w:spacing w:val="-4"/>
                <w:sz w:val="24"/>
              </w:rPr>
              <w:t>11.9</w:t>
            </w:r>
          </w:p>
          <w:p>
            <w:pPr>
              <w:pStyle w:val="TableParagraph"/>
              <w:spacing w:before="1"/>
              <w:ind w:right="95"/>
              <w:jc w:val="right"/>
              <w:rPr>
                <w:i/>
                <w:sz w:val="24"/>
              </w:rPr>
            </w:pPr>
            <w:r>
              <w:rPr>
                <w:i/>
                <w:spacing w:val="-5"/>
                <w:sz w:val="24"/>
              </w:rPr>
              <w:t>7.6</w:t>
            </w:r>
          </w:p>
        </w:tc>
        <w:tc>
          <w:tcPr>
            <w:tcW w:w="2700" w:type="dxa"/>
          </w:tcPr>
          <w:p>
            <w:pPr>
              <w:pStyle w:val="TableParagraph"/>
              <w:spacing w:before="163"/>
              <w:ind w:right="95"/>
              <w:jc w:val="right"/>
              <w:rPr>
                <w:sz w:val="24"/>
              </w:rPr>
            </w:pPr>
            <w:r>
              <w:rPr>
                <w:spacing w:val="-4"/>
                <w:sz w:val="24"/>
              </w:rPr>
              <w:t>13.0</w:t>
            </w:r>
          </w:p>
        </w:tc>
      </w:tr>
      <w:tr>
        <w:trPr>
          <w:trHeight w:val="607" w:hRule="atLeast"/>
        </w:trPr>
        <w:tc>
          <w:tcPr>
            <w:tcW w:w="3168" w:type="dxa"/>
          </w:tcPr>
          <w:p>
            <w:pPr>
              <w:pStyle w:val="TableParagraph"/>
              <w:spacing w:before="164"/>
              <w:ind w:left="107"/>
              <w:rPr>
                <w:b/>
                <w:sz w:val="24"/>
              </w:rPr>
            </w:pPr>
            <w:r>
              <w:rPr>
                <w:b/>
                <w:sz w:val="24"/>
              </w:rPr>
              <w:t>Costs</w:t>
            </w:r>
            <w:r>
              <w:rPr>
                <w:b/>
                <w:spacing w:val="-8"/>
                <w:sz w:val="24"/>
              </w:rPr>
              <w:t> </w:t>
            </w:r>
            <w:r>
              <w:rPr>
                <w:b/>
                <w:sz w:val="24"/>
              </w:rPr>
              <w:t>(PV</w:t>
            </w:r>
            <w:r>
              <w:rPr>
                <w:b/>
                <w:spacing w:val="-8"/>
                <w:sz w:val="24"/>
              </w:rPr>
              <w:t> </w:t>
            </w:r>
            <w:r>
              <w:rPr>
                <w:b/>
                <w:sz w:val="24"/>
              </w:rPr>
              <w:t>over</w:t>
            </w:r>
            <w:r>
              <w:rPr>
                <w:b/>
                <w:spacing w:val="-8"/>
                <w:sz w:val="24"/>
              </w:rPr>
              <w:t> </w:t>
            </w:r>
            <w:r>
              <w:rPr>
                <w:b/>
                <w:sz w:val="24"/>
              </w:rPr>
              <w:t>30</w:t>
            </w:r>
            <w:r>
              <w:rPr>
                <w:b/>
                <w:spacing w:val="-7"/>
                <w:sz w:val="24"/>
              </w:rPr>
              <w:t> </w:t>
            </w:r>
            <w:r>
              <w:rPr>
                <w:b/>
                <w:spacing w:val="-2"/>
                <w:sz w:val="24"/>
              </w:rPr>
              <w:t>years)</w:t>
            </w:r>
          </w:p>
        </w:tc>
        <w:tc>
          <w:tcPr>
            <w:tcW w:w="2880" w:type="dxa"/>
          </w:tcPr>
          <w:p>
            <w:pPr>
              <w:pStyle w:val="TableParagraph"/>
              <w:spacing w:before="25"/>
              <w:ind w:right="95"/>
              <w:jc w:val="right"/>
              <w:rPr>
                <w:sz w:val="24"/>
              </w:rPr>
            </w:pPr>
            <w:r>
              <w:rPr>
                <w:spacing w:val="-5"/>
                <w:sz w:val="24"/>
              </w:rPr>
              <w:t>9.7</w:t>
            </w:r>
          </w:p>
          <w:p>
            <w:pPr>
              <w:pStyle w:val="TableParagraph"/>
              <w:spacing w:before="1"/>
              <w:ind w:right="95"/>
              <w:jc w:val="right"/>
              <w:rPr>
                <w:i/>
                <w:sz w:val="24"/>
              </w:rPr>
            </w:pPr>
            <w:r>
              <w:rPr>
                <w:i/>
                <w:spacing w:val="-5"/>
                <w:sz w:val="24"/>
              </w:rPr>
              <w:t>7.2</w:t>
            </w:r>
          </w:p>
        </w:tc>
        <w:tc>
          <w:tcPr>
            <w:tcW w:w="2700" w:type="dxa"/>
          </w:tcPr>
          <w:p>
            <w:pPr>
              <w:pStyle w:val="TableParagraph"/>
              <w:spacing w:before="163"/>
              <w:ind w:right="96"/>
              <w:jc w:val="right"/>
              <w:rPr>
                <w:sz w:val="24"/>
              </w:rPr>
            </w:pPr>
            <w:r>
              <w:rPr>
                <w:spacing w:val="-4"/>
                <w:sz w:val="24"/>
              </w:rPr>
              <w:t>26.3</w:t>
            </w:r>
          </w:p>
        </w:tc>
      </w:tr>
      <w:tr>
        <w:trPr>
          <w:trHeight w:val="608" w:hRule="atLeast"/>
        </w:trPr>
        <w:tc>
          <w:tcPr>
            <w:tcW w:w="3168" w:type="dxa"/>
          </w:tcPr>
          <w:p>
            <w:pPr>
              <w:pStyle w:val="TableParagraph"/>
              <w:spacing w:before="164"/>
              <w:ind w:left="107"/>
              <w:rPr>
                <w:b/>
                <w:sz w:val="24"/>
              </w:rPr>
            </w:pPr>
            <w:r>
              <w:rPr>
                <w:b/>
                <w:sz w:val="24"/>
              </w:rPr>
              <w:t>Net</w:t>
            </w:r>
            <w:r>
              <w:rPr>
                <w:b/>
                <w:spacing w:val="-2"/>
                <w:sz w:val="24"/>
              </w:rPr>
              <w:t> </w:t>
            </w:r>
            <w:r>
              <w:rPr>
                <w:b/>
                <w:sz w:val="24"/>
              </w:rPr>
              <w:t>Present</w:t>
            </w:r>
            <w:r>
              <w:rPr>
                <w:b/>
                <w:spacing w:val="-2"/>
                <w:sz w:val="24"/>
              </w:rPr>
              <w:t> Value</w:t>
            </w:r>
          </w:p>
        </w:tc>
        <w:tc>
          <w:tcPr>
            <w:tcW w:w="2880" w:type="dxa"/>
          </w:tcPr>
          <w:p>
            <w:pPr>
              <w:pStyle w:val="TableParagraph"/>
              <w:spacing w:before="25"/>
              <w:ind w:right="95"/>
              <w:jc w:val="right"/>
              <w:rPr>
                <w:sz w:val="24"/>
              </w:rPr>
            </w:pPr>
            <w:r>
              <w:rPr>
                <w:spacing w:val="-5"/>
                <w:sz w:val="24"/>
              </w:rPr>
              <w:t>2.2</w:t>
            </w:r>
          </w:p>
          <w:p>
            <w:pPr>
              <w:pStyle w:val="TableParagraph"/>
              <w:spacing w:before="1"/>
              <w:ind w:right="95"/>
              <w:jc w:val="right"/>
              <w:rPr>
                <w:i/>
                <w:sz w:val="24"/>
              </w:rPr>
            </w:pPr>
            <w:r>
              <w:rPr>
                <w:i/>
                <w:spacing w:val="-5"/>
                <w:sz w:val="24"/>
              </w:rPr>
              <w:t>0.4</w:t>
            </w:r>
          </w:p>
        </w:tc>
        <w:tc>
          <w:tcPr>
            <w:tcW w:w="2700" w:type="dxa"/>
          </w:tcPr>
          <w:p>
            <w:pPr>
              <w:pStyle w:val="TableParagraph"/>
              <w:spacing w:before="163"/>
              <w:ind w:right="95"/>
              <w:jc w:val="right"/>
              <w:rPr>
                <w:sz w:val="24"/>
              </w:rPr>
            </w:pPr>
            <w:r>
              <w:rPr>
                <w:w w:val="95"/>
                <w:sz w:val="24"/>
              </w:rPr>
              <w:t>-</w:t>
            </w:r>
            <w:r>
              <w:rPr>
                <w:spacing w:val="-4"/>
                <w:sz w:val="24"/>
              </w:rPr>
              <w:t>13.3</w:t>
            </w:r>
          </w:p>
        </w:tc>
      </w:tr>
      <w:tr>
        <w:trPr>
          <w:trHeight w:val="607" w:hRule="atLeast"/>
        </w:trPr>
        <w:tc>
          <w:tcPr>
            <w:tcW w:w="3168" w:type="dxa"/>
          </w:tcPr>
          <w:p>
            <w:pPr>
              <w:pStyle w:val="TableParagraph"/>
              <w:spacing w:before="164"/>
              <w:ind w:left="107"/>
              <w:rPr>
                <w:b/>
                <w:sz w:val="24"/>
              </w:rPr>
            </w:pPr>
            <w:r>
              <w:rPr>
                <w:b/>
                <w:sz w:val="24"/>
              </w:rPr>
              <w:t>Benefit/cost </w:t>
            </w:r>
            <w:r>
              <w:rPr>
                <w:b/>
                <w:spacing w:val="-2"/>
                <w:sz w:val="24"/>
              </w:rPr>
              <w:t>ratio</w:t>
            </w:r>
          </w:p>
        </w:tc>
        <w:tc>
          <w:tcPr>
            <w:tcW w:w="2880" w:type="dxa"/>
          </w:tcPr>
          <w:p>
            <w:pPr>
              <w:pStyle w:val="TableParagraph"/>
              <w:spacing w:before="25"/>
              <w:ind w:left="1091" w:right="1082"/>
              <w:jc w:val="center"/>
              <w:rPr>
                <w:sz w:val="24"/>
              </w:rPr>
            </w:pPr>
            <w:r>
              <w:rPr>
                <w:spacing w:val="-2"/>
                <w:sz w:val="24"/>
              </w:rPr>
              <w:t>1.23:1</w:t>
            </w:r>
          </w:p>
          <w:p>
            <w:pPr>
              <w:pStyle w:val="TableParagraph"/>
              <w:spacing w:before="1"/>
              <w:ind w:left="1091" w:right="1082"/>
              <w:jc w:val="center"/>
              <w:rPr>
                <w:i/>
                <w:sz w:val="24"/>
              </w:rPr>
            </w:pPr>
            <w:r>
              <w:rPr>
                <w:i/>
                <w:spacing w:val="-2"/>
                <w:sz w:val="24"/>
              </w:rPr>
              <w:t>1.05:1</w:t>
            </w:r>
          </w:p>
        </w:tc>
        <w:tc>
          <w:tcPr>
            <w:tcW w:w="2700" w:type="dxa"/>
          </w:tcPr>
          <w:p>
            <w:pPr>
              <w:pStyle w:val="TableParagraph"/>
              <w:spacing w:before="163"/>
              <w:ind w:left="1001" w:right="992"/>
              <w:jc w:val="center"/>
              <w:rPr>
                <w:sz w:val="24"/>
              </w:rPr>
            </w:pPr>
            <w:r>
              <w:rPr>
                <w:spacing w:val="-2"/>
                <w:sz w:val="24"/>
              </w:rPr>
              <w:t>0.49:1</w:t>
            </w:r>
          </w:p>
        </w:tc>
      </w:tr>
    </w:tbl>
    <w:p>
      <w:pPr>
        <w:spacing w:before="1"/>
        <w:ind w:left="237" w:right="0" w:firstLine="0"/>
        <w:jc w:val="left"/>
        <w:rPr>
          <w:i/>
          <w:sz w:val="20"/>
        </w:rPr>
      </w:pPr>
      <w:r>
        <w:rPr>
          <w:i/>
          <w:sz w:val="20"/>
        </w:rPr>
        <w:t>Note:</w:t>
      </w:r>
      <w:r>
        <w:rPr>
          <w:i/>
          <w:spacing w:val="-6"/>
          <w:sz w:val="20"/>
        </w:rPr>
        <w:t> </w:t>
      </w:r>
      <w:r>
        <w:rPr>
          <w:i/>
          <w:sz w:val="20"/>
        </w:rPr>
        <w:t>Non</w:t>
      </w:r>
      <w:r>
        <w:rPr>
          <w:i/>
          <w:spacing w:val="-3"/>
          <w:sz w:val="20"/>
        </w:rPr>
        <w:t> </w:t>
      </w:r>
      <w:r>
        <w:rPr>
          <w:i/>
          <w:sz w:val="20"/>
        </w:rPr>
        <w:t>italicised</w:t>
      </w:r>
      <w:r>
        <w:rPr>
          <w:i/>
          <w:spacing w:val="-4"/>
          <w:sz w:val="20"/>
        </w:rPr>
        <w:t> </w:t>
      </w:r>
      <w:r>
        <w:rPr>
          <w:i/>
          <w:sz w:val="20"/>
        </w:rPr>
        <w:t>text</w:t>
      </w:r>
      <w:r>
        <w:rPr>
          <w:i/>
          <w:spacing w:val="-4"/>
          <w:sz w:val="20"/>
        </w:rPr>
        <w:t> </w:t>
      </w:r>
      <w:r>
        <w:rPr>
          <w:i/>
          <w:sz w:val="20"/>
        </w:rPr>
        <w:t>assumes</w:t>
      </w:r>
      <w:r>
        <w:rPr>
          <w:i/>
          <w:spacing w:val="-3"/>
          <w:sz w:val="20"/>
        </w:rPr>
        <w:t> </w:t>
      </w:r>
      <w:r>
        <w:rPr>
          <w:i/>
          <w:sz w:val="20"/>
        </w:rPr>
        <w:t>real</w:t>
      </w:r>
      <w:r>
        <w:rPr>
          <w:i/>
          <w:spacing w:val="-4"/>
          <w:sz w:val="20"/>
        </w:rPr>
        <w:t> </w:t>
      </w:r>
      <w:r>
        <w:rPr>
          <w:i/>
          <w:sz w:val="20"/>
        </w:rPr>
        <w:t>discount</w:t>
      </w:r>
      <w:r>
        <w:rPr>
          <w:i/>
          <w:spacing w:val="-3"/>
          <w:sz w:val="20"/>
        </w:rPr>
        <w:t> </w:t>
      </w:r>
      <w:r>
        <w:rPr>
          <w:i/>
          <w:sz w:val="20"/>
        </w:rPr>
        <w:t>rate</w:t>
      </w:r>
      <w:r>
        <w:rPr>
          <w:i/>
          <w:spacing w:val="-2"/>
          <w:sz w:val="20"/>
        </w:rPr>
        <w:t> </w:t>
      </w:r>
      <w:r>
        <w:rPr>
          <w:i/>
          <w:sz w:val="20"/>
        </w:rPr>
        <w:t>of</w:t>
      </w:r>
      <w:r>
        <w:rPr>
          <w:i/>
          <w:spacing w:val="-5"/>
          <w:sz w:val="20"/>
        </w:rPr>
        <w:t> </w:t>
      </w:r>
      <w:r>
        <w:rPr>
          <w:i/>
          <w:sz w:val="20"/>
        </w:rPr>
        <w:t>4%,</w:t>
      </w:r>
      <w:r>
        <w:rPr>
          <w:i/>
          <w:spacing w:val="-4"/>
          <w:sz w:val="20"/>
        </w:rPr>
        <w:t> </w:t>
      </w:r>
      <w:r>
        <w:rPr>
          <w:i/>
          <w:sz w:val="20"/>
        </w:rPr>
        <w:t>italicised</w:t>
      </w:r>
      <w:r>
        <w:rPr>
          <w:i/>
          <w:spacing w:val="-4"/>
          <w:sz w:val="20"/>
        </w:rPr>
        <w:t> </w:t>
      </w:r>
      <w:r>
        <w:rPr>
          <w:i/>
          <w:sz w:val="20"/>
        </w:rPr>
        <w:t>text</w:t>
      </w:r>
      <w:r>
        <w:rPr>
          <w:i/>
          <w:spacing w:val="-3"/>
          <w:sz w:val="20"/>
        </w:rPr>
        <w:t> </w:t>
      </w:r>
      <w:r>
        <w:rPr>
          <w:i/>
          <w:sz w:val="20"/>
        </w:rPr>
        <w:t>assumes</w:t>
      </w:r>
      <w:r>
        <w:rPr>
          <w:i/>
          <w:spacing w:val="-4"/>
          <w:sz w:val="20"/>
        </w:rPr>
        <w:t> </w:t>
      </w:r>
      <w:r>
        <w:rPr>
          <w:i/>
          <w:sz w:val="20"/>
        </w:rPr>
        <w:t>a</w:t>
      </w:r>
      <w:r>
        <w:rPr>
          <w:i/>
          <w:spacing w:val="-3"/>
          <w:sz w:val="20"/>
        </w:rPr>
        <w:t> </w:t>
      </w:r>
      <w:r>
        <w:rPr>
          <w:i/>
          <w:sz w:val="20"/>
        </w:rPr>
        <w:t>rate</w:t>
      </w:r>
      <w:r>
        <w:rPr>
          <w:i/>
          <w:spacing w:val="-4"/>
          <w:sz w:val="20"/>
        </w:rPr>
        <w:t> </w:t>
      </w:r>
      <w:r>
        <w:rPr>
          <w:i/>
          <w:sz w:val="20"/>
        </w:rPr>
        <w:t>of</w:t>
      </w:r>
      <w:r>
        <w:rPr>
          <w:i/>
          <w:spacing w:val="-3"/>
          <w:sz w:val="20"/>
        </w:rPr>
        <w:t> </w:t>
      </w:r>
      <w:r>
        <w:rPr>
          <w:i/>
          <w:spacing w:val="-5"/>
          <w:sz w:val="20"/>
        </w:rPr>
        <w:t>7%.</w:t>
      </w:r>
    </w:p>
    <w:p>
      <w:pPr>
        <w:pStyle w:val="BodyText"/>
        <w:spacing w:before="9"/>
        <w:rPr>
          <w:i/>
          <w:sz w:val="23"/>
        </w:rPr>
      </w:pPr>
    </w:p>
    <w:p>
      <w:pPr>
        <w:pStyle w:val="BodyText"/>
        <w:ind w:left="237" w:right="290"/>
        <w:jc w:val="both"/>
      </w:pPr>
      <w:r>
        <w:rPr/>
        <w:t>The proposed Premises Standards (Option 1) has also been subjected to sensitivity testing in relation to a range of key parameters.</w:t>
      </w:r>
      <w:r>
        <w:rPr>
          <w:spacing w:val="40"/>
        </w:rPr>
        <w:t> </w:t>
      </w:r>
      <w:r>
        <w:rPr/>
        <w:t>These include the adoption of more optimistic and more pessimistic benefit scenarios, the adoption of more optimistic and more pessimistic assumptions with regard to the amount</w:t>
      </w:r>
      <w:r>
        <w:rPr>
          <w:spacing w:val="40"/>
        </w:rPr>
        <w:t> </w:t>
      </w:r>
      <w:r>
        <w:rPr/>
        <w:t>of lost Net Lettable Area, and the adoption of a higher discount rate.</w:t>
      </w:r>
      <w:r>
        <w:rPr>
          <w:spacing w:val="78"/>
        </w:rPr>
        <w:t> </w:t>
      </w:r>
      <w:r>
        <w:rPr/>
        <w:t>The results of</w:t>
      </w:r>
      <w:r>
        <w:rPr>
          <w:spacing w:val="-2"/>
        </w:rPr>
        <w:t> </w:t>
      </w:r>
      <w:r>
        <w:rPr/>
        <w:t>the</w:t>
      </w:r>
      <w:r>
        <w:rPr>
          <w:spacing w:val="-2"/>
        </w:rPr>
        <w:t> </w:t>
      </w:r>
      <w:r>
        <w:rPr/>
        <w:t>benefit/cost</w:t>
      </w:r>
      <w:r>
        <w:rPr>
          <w:spacing w:val="-2"/>
        </w:rPr>
        <w:t> </w:t>
      </w:r>
      <w:r>
        <w:rPr/>
        <w:t>analysis</w:t>
      </w:r>
      <w:r>
        <w:rPr>
          <w:spacing w:val="-2"/>
        </w:rPr>
        <w:t> </w:t>
      </w:r>
      <w:r>
        <w:rPr/>
        <w:t>showed</w:t>
      </w:r>
      <w:r>
        <w:rPr>
          <w:spacing w:val="-2"/>
        </w:rPr>
        <w:t> </w:t>
      </w:r>
      <w:r>
        <w:rPr/>
        <w:t>themselves</w:t>
      </w:r>
      <w:r>
        <w:rPr>
          <w:spacing w:val="-2"/>
        </w:rPr>
        <w:t> </w:t>
      </w:r>
      <w:r>
        <w:rPr/>
        <w:t>to</w:t>
      </w:r>
      <w:r>
        <w:rPr>
          <w:spacing w:val="-2"/>
        </w:rPr>
        <w:t> </w:t>
      </w:r>
      <w:r>
        <w:rPr/>
        <w:t>be</w:t>
      </w:r>
      <w:r>
        <w:rPr>
          <w:spacing w:val="-2"/>
        </w:rPr>
        <w:t> </w:t>
      </w:r>
      <w:r>
        <w:rPr/>
        <w:t>robust,</w:t>
      </w:r>
      <w:r>
        <w:rPr>
          <w:spacing w:val="-2"/>
        </w:rPr>
        <w:t> </w:t>
      </w:r>
      <w:r>
        <w:rPr/>
        <w:t>in</w:t>
      </w:r>
      <w:r>
        <w:rPr>
          <w:spacing w:val="-2"/>
        </w:rPr>
        <w:t> </w:t>
      </w:r>
      <w:r>
        <w:rPr/>
        <w:t>the</w:t>
      </w:r>
      <w:r>
        <w:rPr>
          <w:spacing w:val="-2"/>
        </w:rPr>
        <w:t> </w:t>
      </w:r>
      <w:r>
        <w:rPr/>
        <w:t>sense</w:t>
      </w:r>
      <w:r>
        <w:rPr>
          <w:spacing w:val="-2"/>
        </w:rPr>
        <w:t> </w:t>
      </w:r>
      <w:r>
        <w:rPr/>
        <w:t>that</w:t>
      </w:r>
      <w:r>
        <w:rPr>
          <w:spacing w:val="-2"/>
        </w:rPr>
        <w:t> </w:t>
      </w:r>
      <w:r>
        <w:rPr/>
        <w:t>the benefit cost ratio remained greater than 1:1 in the majority of the scenarios</w:t>
      </w:r>
      <w:r>
        <w:rPr>
          <w:spacing w:val="40"/>
        </w:rPr>
        <w:t> </w:t>
      </w:r>
      <w:r>
        <w:rPr>
          <w:spacing w:val="-2"/>
        </w:rPr>
        <w:t>tested.</w:t>
      </w:r>
    </w:p>
    <w:p>
      <w:pPr>
        <w:pStyle w:val="BodyText"/>
      </w:pPr>
    </w:p>
    <w:p>
      <w:pPr>
        <w:pStyle w:val="BodyText"/>
        <w:ind w:left="237" w:right="294"/>
        <w:jc w:val="both"/>
      </w:pPr>
      <w:r>
        <w:rPr/>
        <w:t>Considering that Option 1 will provide positive net benefits and a greater rate of improvement in the degree of accessibility of the built environment, and that the 2009 amendment can be expected to increase costs and benefits proportionally (as</w:t>
      </w:r>
      <w:r>
        <w:rPr>
          <w:spacing w:val="-2"/>
        </w:rPr>
        <w:t> </w:t>
      </w:r>
      <w:r>
        <w:rPr/>
        <w:t>discussed</w:t>
      </w:r>
      <w:r>
        <w:rPr>
          <w:spacing w:val="-2"/>
        </w:rPr>
        <w:t> </w:t>
      </w:r>
      <w:r>
        <w:rPr/>
        <w:t>in</w:t>
      </w:r>
      <w:r>
        <w:rPr>
          <w:spacing w:val="-2"/>
        </w:rPr>
        <w:t> </w:t>
      </w:r>
      <w:r>
        <w:rPr/>
        <w:t>Appendix</w:t>
      </w:r>
      <w:r>
        <w:rPr>
          <w:spacing w:val="-2"/>
        </w:rPr>
        <w:t> </w:t>
      </w:r>
      <w:r>
        <w:rPr/>
        <w:t>D),</w:t>
      </w:r>
      <w:r>
        <w:rPr>
          <w:spacing w:val="-2"/>
        </w:rPr>
        <w:t> </w:t>
      </w:r>
      <w:r>
        <w:rPr/>
        <w:t>it</w:t>
      </w:r>
      <w:r>
        <w:rPr>
          <w:spacing w:val="-2"/>
        </w:rPr>
        <w:t> </w:t>
      </w:r>
      <w:r>
        <w:rPr/>
        <w:t>is</w:t>
      </w:r>
      <w:r>
        <w:rPr>
          <w:spacing w:val="-2"/>
        </w:rPr>
        <w:t> </w:t>
      </w:r>
      <w:r>
        <w:rPr/>
        <w:t>recommended</w:t>
      </w:r>
      <w:r>
        <w:rPr>
          <w:spacing w:val="-2"/>
        </w:rPr>
        <w:t> </w:t>
      </w:r>
      <w:r>
        <w:rPr/>
        <w:t>that</w:t>
      </w:r>
      <w:r>
        <w:rPr>
          <w:spacing w:val="-2"/>
        </w:rPr>
        <w:t> </w:t>
      </w:r>
      <w:r>
        <w:rPr/>
        <w:t>the</w:t>
      </w:r>
      <w:r>
        <w:rPr>
          <w:spacing w:val="-2"/>
        </w:rPr>
        <w:t> </w:t>
      </w:r>
      <w:r>
        <w:rPr/>
        <w:t>Premises</w:t>
      </w:r>
      <w:r>
        <w:rPr>
          <w:spacing w:val="-2"/>
        </w:rPr>
        <w:t> </w:t>
      </w:r>
      <w:r>
        <w:rPr/>
        <w:t>Standards</w:t>
      </w:r>
      <w:r>
        <w:rPr>
          <w:spacing w:val="-2"/>
        </w:rPr>
        <w:t> </w:t>
      </w:r>
      <w:r>
        <w:rPr/>
        <w:t>be adopted as proposed.</w:t>
      </w:r>
    </w:p>
    <w:p>
      <w:pPr>
        <w:spacing w:after="0"/>
        <w:jc w:val="both"/>
        <w:sectPr>
          <w:pgSz w:w="12240" w:h="15840"/>
          <w:pgMar w:header="0" w:footer="1140" w:top="1360" w:bottom="1340" w:left="1560" w:right="1500"/>
        </w:sectPr>
      </w:pPr>
    </w:p>
    <w:p>
      <w:pPr>
        <w:pStyle w:val="Heading1"/>
        <w:spacing w:before="178"/>
        <w:ind w:left="326"/>
      </w:pPr>
      <w:bookmarkStart w:name="  Table of Contents" w:id="7"/>
      <w:bookmarkEnd w:id="7"/>
      <w:r>
        <w:rPr>
          <w:b w:val="0"/>
        </w:rPr>
      </w:r>
      <w:bookmarkStart w:name="_bookmark5" w:id="8"/>
      <w:bookmarkEnd w:id="8"/>
      <w:r>
        <w:rPr>
          <w:b w:val="0"/>
        </w:rPr>
      </w:r>
      <w:r>
        <w:rPr/>
        <w:t>Table</w:t>
      </w:r>
      <w:r>
        <w:rPr>
          <w:spacing w:val="-13"/>
        </w:rPr>
        <w:t> </w:t>
      </w:r>
      <w:r>
        <w:rPr/>
        <w:t>of</w:t>
      </w:r>
      <w:r>
        <w:rPr>
          <w:spacing w:val="-13"/>
        </w:rPr>
        <w:t> </w:t>
      </w:r>
      <w:r>
        <w:rPr>
          <w:spacing w:val="-2"/>
        </w:rPr>
        <w:t>Contents</w:t>
      </w:r>
    </w:p>
    <w:p>
      <w:pPr>
        <w:spacing w:after="0"/>
        <w:sectPr>
          <w:pgSz w:w="12240" w:h="15840"/>
          <w:pgMar w:header="0" w:footer="1140" w:top="1500" w:bottom="2015" w:left="1560" w:right="1500"/>
        </w:sectPr>
      </w:pPr>
    </w:p>
    <w:sdt>
      <w:sdtPr>
        <w:docPartObj>
          <w:docPartGallery w:val="Table of Contents"/>
          <w:docPartUnique/>
        </w:docPartObj>
      </w:sdtPr>
      <w:sdtEndPr/>
      <w:sdtContent>
        <w:p>
          <w:pPr>
            <w:pStyle w:val="TOC1"/>
            <w:tabs>
              <w:tab w:pos="8533" w:val="left" w:leader="dot"/>
            </w:tabs>
            <w:ind w:left="237" w:firstLine="0"/>
          </w:pPr>
          <w:hyperlink w:history="true" w:anchor="_bookmark5">
            <w:r>
              <w:rPr/>
              <w:t>Table of </w:t>
            </w:r>
            <w:r>
              <w:rPr>
                <w:spacing w:val="-2"/>
              </w:rPr>
              <w:t>Contents</w:t>
            </w:r>
          </w:hyperlink>
          <w:r>
            <w:rPr/>
            <w:tab/>
          </w:r>
          <w:hyperlink w:history="true" w:anchor="_bookmark5">
            <w:r>
              <w:rPr>
                <w:spacing w:val="-4"/>
              </w:rPr>
              <w:t>viii</w:t>
            </w:r>
          </w:hyperlink>
        </w:p>
        <w:p>
          <w:pPr>
            <w:pStyle w:val="TOC1"/>
            <w:numPr>
              <w:ilvl w:val="0"/>
              <w:numId w:val="2"/>
            </w:numPr>
            <w:tabs>
              <w:tab w:pos="1137" w:val="left" w:leader="none"/>
              <w:tab w:pos="1138" w:val="left" w:leader="none"/>
              <w:tab w:pos="8734" w:val="left" w:leader="dot"/>
            </w:tabs>
            <w:spacing w:line="240" w:lineRule="auto" w:before="120" w:after="0"/>
            <w:ind w:left="1137" w:right="0" w:hanging="901"/>
            <w:jc w:val="left"/>
          </w:pPr>
          <w:hyperlink w:history="true" w:anchor="_bookmark6">
            <w:r>
              <w:rPr>
                <w:spacing w:val="-2"/>
              </w:rPr>
              <w:t>Introduction</w:t>
            </w:r>
          </w:hyperlink>
          <w:r>
            <w:rPr/>
            <w:tab/>
          </w:r>
          <w:hyperlink w:history="true" w:anchor="_bookmark6">
            <w:r>
              <w:rPr>
                <w:spacing w:val="-10"/>
              </w:rPr>
              <w:t>1</w:t>
            </w:r>
          </w:hyperlink>
        </w:p>
        <w:p>
          <w:pPr>
            <w:pStyle w:val="TOC1"/>
            <w:numPr>
              <w:ilvl w:val="0"/>
              <w:numId w:val="2"/>
            </w:numPr>
            <w:tabs>
              <w:tab w:pos="1137" w:val="left" w:leader="none"/>
              <w:tab w:pos="1138" w:val="left" w:leader="none"/>
              <w:tab w:pos="8734" w:val="left" w:leader="dot"/>
            </w:tabs>
            <w:spacing w:line="240" w:lineRule="auto" w:before="120" w:after="0"/>
            <w:ind w:left="1137" w:right="0" w:hanging="901"/>
            <w:jc w:val="left"/>
          </w:pPr>
          <w:hyperlink w:history="true" w:anchor="_bookmark7">
            <w:r>
              <w:rPr>
                <w:spacing w:val="-2"/>
              </w:rPr>
              <w:t>Objectives</w:t>
            </w:r>
          </w:hyperlink>
          <w:r>
            <w:rPr/>
            <w:tab/>
          </w:r>
          <w:hyperlink w:history="true" w:anchor="_bookmark7">
            <w:r>
              <w:rPr>
                <w:spacing w:val="-10"/>
              </w:rPr>
              <w:t>4</w:t>
            </w:r>
          </w:hyperlink>
        </w:p>
        <w:p>
          <w:pPr>
            <w:pStyle w:val="TOC1"/>
            <w:numPr>
              <w:ilvl w:val="0"/>
              <w:numId w:val="2"/>
            </w:numPr>
            <w:tabs>
              <w:tab w:pos="1137" w:val="left" w:leader="none"/>
              <w:tab w:pos="1138" w:val="left" w:leader="none"/>
              <w:tab w:pos="8734" w:val="left" w:leader="dot"/>
            </w:tabs>
            <w:spacing w:line="240" w:lineRule="auto" w:before="120" w:after="0"/>
            <w:ind w:left="1137" w:right="0" w:hanging="901"/>
            <w:jc w:val="left"/>
          </w:pPr>
          <w:hyperlink w:history="true" w:anchor="_bookmark8">
            <w:r>
              <w:rPr>
                <w:spacing w:val="-2"/>
              </w:rPr>
              <w:t>Background</w:t>
            </w:r>
          </w:hyperlink>
          <w:r>
            <w:rPr/>
            <w:tab/>
          </w:r>
          <w:hyperlink w:history="true" w:anchor="_bookmark8">
            <w:r>
              <w:rPr>
                <w:spacing w:val="-10"/>
              </w:rPr>
              <w:t>6</w:t>
            </w:r>
          </w:hyperlink>
        </w:p>
        <w:p>
          <w:pPr>
            <w:pStyle w:val="TOC1"/>
            <w:numPr>
              <w:ilvl w:val="0"/>
              <w:numId w:val="2"/>
            </w:numPr>
            <w:tabs>
              <w:tab w:pos="1137" w:val="left" w:leader="none"/>
              <w:tab w:pos="1138" w:val="left" w:leader="none"/>
              <w:tab w:pos="8734" w:val="left" w:leader="dot"/>
            </w:tabs>
            <w:spacing w:line="240" w:lineRule="auto" w:before="120" w:after="0"/>
            <w:ind w:left="1137" w:right="0" w:hanging="901"/>
            <w:jc w:val="left"/>
          </w:pPr>
          <w:hyperlink w:history="true" w:anchor="_bookmark9">
            <w:r>
              <w:rPr/>
              <w:t>Nature</w:t>
            </w:r>
            <w:r>
              <w:rPr>
                <w:spacing w:val="-3"/>
              </w:rPr>
              <w:t> </w:t>
            </w:r>
            <w:r>
              <w:rPr/>
              <w:t>and</w:t>
            </w:r>
            <w:r>
              <w:rPr>
                <w:spacing w:val="-3"/>
              </w:rPr>
              <w:t> </w:t>
            </w:r>
            <w:r>
              <w:rPr/>
              <w:t>extent</w:t>
            </w:r>
            <w:r>
              <w:rPr>
                <w:spacing w:val="-3"/>
              </w:rPr>
              <w:t> </w:t>
            </w:r>
            <w:r>
              <w:rPr/>
              <w:t>of</w:t>
            </w:r>
            <w:r>
              <w:rPr>
                <w:spacing w:val="-4"/>
              </w:rPr>
              <w:t> </w:t>
            </w:r>
            <w:r>
              <w:rPr/>
              <w:t>the</w:t>
            </w:r>
            <w:r>
              <w:rPr>
                <w:spacing w:val="-2"/>
              </w:rPr>
              <w:t> problem</w:t>
            </w:r>
          </w:hyperlink>
          <w:r>
            <w:rPr/>
            <w:tab/>
          </w:r>
          <w:hyperlink w:history="true" w:anchor="_bookmark9">
            <w:r>
              <w:rPr>
                <w:spacing w:val="-10"/>
              </w:rPr>
              <w:t>9</w:t>
            </w:r>
          </w:hyperlink>
        </w:p>
        <w:p>
          <w:pPr>
            <w:pStyle w:val="TOC1"/>
            <w:numPr>
              <w:ilvl w:val="0"/>
              <w:numId w:val="2"/>
            </w:numPr>
            <w:tabs>
              <w:tab w:pos="1137" w:val="left" w:leader="none"/>
              <w:tab w:pos="1138" w:val="left" w:leader="none"/>
              <w:tab w:pos="8601" w:val="left" w:leader="dot"/>
            </w:tabs>
            <w:spacing w:line="240" w:lineRule="auto" w:before="120" w:after="0"/>
            <w:ind w:left="1137" w:right="0" w:hanging="901"/>
            <w:jc w:val="left"/>
          </w:pPr>
          <w:hyperlink w:history="true" w:anchor="_bookmark10">
            <w:r>
              <w:rPr/>
              <w:t>Description</w:t>
            </w:r>
            <w:r>
              <w:rPr>
                <w:spacing w:val="-4"/>
              </w:rPr>
              <w:t> </w:t>
            </w:r>
            <w:r>
              <w:rPr/>
              <w:t>of</w:t>
            </w:r>
            <w:r>
              <w:rPr>
                <w:spacing w:val="-3"/>
              </w:rPr>
              <w:t> </w:t>
            </w:r>
            <w:r>
              <w:rPr/>
              <w:t>the</w:t>
            </w:r>
            <w:r>
              <w:rPr>
                <w:spacing w:val="-4"/>
              </w:rPr>
              <w:t> </w:t>
            </w:r>
            <w:r>
              <w:rPr/>
              <w:t>proposed</w:t>
            </w:r>
            <w:r>
              <w:rPr>
                <w:spacing w:val="-3"/>
              </w:rPr>
              <w:t> </w:t>
            </w:r>
            <w:r>
              <w:rPr>
                <w:spacing w:val="-2"/>
              </w:rPr>
              <w:t>regulations</w:t>
            </w:r>
          </w:hyperlink>
          <w:r>
            <w:rPr/>
            <w:tab/>
          </w:r>
          <w:hyperlink w:history="true" w:anchor="_bookmark10">
            <w:r>
              <w:rPr>
                <w:spacing w:val="-5"/>
              </w:rPr>
              <w:t>10</w:t>
            </w:r>
          </w:hyperlink>
        </w:p>
        <w:p>
          <w:pPr>
            <w:pStyle w:val="TOC3"/>
            <w:numPr>
              <w:ilvl w:val="1"/>
              <w:numId w:val="2"/>
            </w:numPr>
            <w:tabs>
              <w:tab w:pos="1137" w:val="left" w:leader="none"/>
              <w:tab w:pos="1138" w:val="left" w:leader="none"/>
              <w:tab w:pos="8601" w:val="left" w:leader="dot"/>
            </w:tabs>
            <w:spacing w:line="240" w:lineRule="auto" w:before="119" w:after="0"/>
            <w:ind w:left="1137" w:right="0" w:hanging="661"/>
            <w:jc w:val="left"/>
          </w:pPr>
          <w:hyperlink w:history="true" w:anchor="_bookmark10">
            <w:r>
              <w:rPr>
                <w:spacing w:val="-2"/>
              </w:rPr>
              <w:t>Overview</w:t>
            </w:r>
          </w:hyperlink>
          <w:r>
            <w:rPr/>
            <w:tab/>
          </w:r>
          <w:hyperlink w:history="true" w:anchor="_bookmark10">
            <w:r>
              <w:rPr>
                <w:spacing w:val="-5"/>
              </w:rPr>
              <w:t>10</w:t>
            </w:r>
          </w:hyperlink>
        </w:p>
        <w:p>
          <w:pPr>
            <w:pStyle w:val="TOC3"/>
            <w:numPr>
              <w:ilvl w:val="1"/>
              <w:numId w:val="2"/>
            </w:numPr>
            <w:tabs>
              <w:tab w:pos="1137" w:val="left" w:leader="none"/>
              <w:tab w:pos="1138" w:val="left" w:leader="none"/>
              <w:tab w:pos="8601" w:val="left" w:leader="dot"/>
            </w:tabs>
            <w:spacing w:line="240" w:lineRule="auto" w:before="120" w:after="0"/>
            <w:ind w:left="1137" w:right="0" w:hanging="661"/>
            <w:jc w:val="left"/>
          </w:pPr>
          <w:hyperlink w:history="true" w:anchor="_bookmark11">
            <w:r>
              <w:rPr/>
              <w:t>Description</w:t>
            </w:r>
            <w:r>
              <w:rPr>
                <w:spacing w:val="-3"/>
              </w:rPr>
              <w:t> </w:t>
            </w:r>
            <w:r>
              <w:rPr/>
              <w:t>of</w:t>
            </w:r>
            <w:r>
              <w:rPr>
                <w:spacing w:val="-3"/>
              </w:rPr>
              <w:t> </w:t>
            </w:r>
            <w:r>
              <w:rPr/>
              <w:t>specific</w:t>
            </w:r>
            <w:r>
              <w:rPr>
                <w:spacing w:val="-3"/>
              </w:rPr>
              <w:t> </w:t>
            </w:r>
            <w:r>
              <w:rPr>
                <w:spacing w:val="-2"/>
              </w:rPr>
              <w:t>requirements</w:t>
            </w:r>
          </w:hyperlink>
          <w:r>
            <w:rPr/>
            <w:tab/>
          </w:r>
          <w:hyperlink w:history="true" w:anchor="_bookmark11">
            <w:r>
              <w:rPr>
                <w:spacing w:val="-5"/>
              </w:rPr>
              <w:t>11</w:t>
            </w:r>
          </w:hyperlink>
        </w:p>
        <w:p>
          <w:pPr>
            <w:pStyle w:val="TOC3"/>
            <w:numPr>
              <w:ilvl w:val="1"/>
              <w:numId w:val="2"/>
            </w:numPr>
            <w:tabs>
              <w:tab w:pos="1137" w:val="left" w:leader="none"/>
              <w:tab w:pos="1138" w:val="left" w:leader="none"/>
              <w:tab w:pos="8601" w:val="left" w:leader="dot"/>
            </w:tabs>
            <w:spacing w:line="240" w:lineRule="auto" w:before="119" w:after="0"/>
            <w:ind w:left="1137" w:right="0" w:hanging="661"/>
            <w:jc w:val="left"/>
          </w:pPr>
          <w:hyperlink w:history="true" w:anchor="_bookmark12">
            <w:r>
              <w:rPr/>
              <w:t>Decision</w:t>
            </w:r>
            <w:r>
              <w:rPr>
                <w:spacing w:val="-6"/>
              </w:rPr>
              <w:t> </w:t>
            </w:r>
            <w:r>
              <w:rPr/>
              <w:t>criteria</w:t>
            </w:r>
            <w:r>
              <w:rPr>
                <w:spacing w:val="-4"/>
              </w:rPr>
              <w:t> </w:t>
            </w:r>
            <w:r>
              <w:rPr/>
              <w:t>for</w:t>
            </w:r>
            <w:r>
              <w:rPr>
                <w:spacing w:val="-3"/>
              </w:rPr>
              <w:t> </w:t>
            </w:r>
            <w:r>
              <w:rPr/>
              <w:t>specific</w:t>
            </w:r>
            <w:r>
              <w:rPr>
                <w:spacing w:val="-4"/>
              </w:rPr>
              <w:t> </w:t>
            </w:r>
            <w:r>
              <w:rPr/>
              <w:t>elements</w:t>
            </w:r>
            <w:r>
              <w:rPr>
                <w:spacing w:val="-4"/>
              </w:rPr>
              <w:t> </w:t>
            </w:r>
            <w:r>
              <w:rPr/>
              <w:t>of</w:t>
            </w:r>
            <w:r>
              <w:rPr>
                <w:spacing w:val="-3"/>
              </w:rPr>
              <w:t> </w:t>
            </w:r>
            <w:r>
              <w:rPr/>
              <w:t>the</w:t>
            </w:r>
            <w:r>
              <w:rPr>
                <w:spacing w:val="-4"/>
              </w:rPr>
              <w:t> </w:t>
            </w:r>
            <w:r>
              <w:rPr/>
              <w:t>Premises</w:t>
            </w:r>
            <w:r>
              <w:rPr>
                <w:spacing w:val="-3"/>
              </w:rPr>
              <w:t> </w:t>
            </w:r>
            <w:r>
              <w:rPr>
                <w:spacing w:val="-2"/>
              </w:rPr>
              <w:t>Standards</w:t>
            </w:r>
          </w:hyperlink>
          <w:r>
            <w:rPr/>
            <w:tab/>
          </w:r>
          <w:hyperlink w:history="true" w:anchor="_bookmark12">
            <w:r>
              <w:rPr>
                <w:spacing w:val="-5"/>
              </w:rPr>
              <w:t>18</w:t>
            </w:r>
          </w:hyperlink>
        </w:p>
        <w:p>
          <w:pPr>
            <w:pStyle w:val="TOC1"/>
            <w:numPr>
              <w:ilvl w:val="0"/>
              <w:numId w:val="3"/>
            </w:numPr>
            <w:tabs>
              <w:tab w:pos="1137" w:val="left" w:leader="none"/>
              <w:tab w:pos="1138" w:val="left" w:leader="none"/>
              <w:tab w:pos="8601" w:val="left" w:leader="dot"/>
            </w:tabs>
            <w:spacing w:line="240" w:lineRule="auto" w:before="121" w:after="0"/>
            <w:ind w:left="1137" w:right="0" w:hanging="901"/>
            <w:jc w:val="left"/>
          </w:pPr>
          <w:hyperlink w:history="true" w:anchor="_bookmark13">
            <w:r>
              <w:rPr/>
              <w:t>Expected </w:t>
            </w:r>
            <w:r>
              <w:rPr>
                <w:spacing w:val="-2"/>
              </w:rPr>
              <w:t>benefits</w:t>
            </w:r>
          </w:hyperlink>
          <w:r>
            <w:rPr/>
            <w:tab/>
          </w:r>
          <w:hyperlink w:history="true" w:anchor="_bookmark13">
            <w:r>
              <w:rPr>
                <w:spacing w:val="-5"/>
              </w:rPr>
              <w:t>22</w:t>
            </w:r>
          </w:hyperlink>
        </w:p>
        <w:p>
          <w:pPr>
            <w:pStyle w:val="TOC3"/>
            <w:numPr>
              <w:ilvl w:val="1"/>
              <w:numId w:val="3"/>
            </w:numPr>
            <w:tabs>
              <w:tab w:pos="879" w:val="left" w:leader="none"/>
              <w:tab w:pos="8601" w:val="left" w:leader="dot"/>
            </w:tabs>
            <w:spacing w:line="240" w:lineRule="auto" w:before="119" w:after="0"/>
            <w:ind w:left="878" w:right="0" w:hanging="402"/>
            <w:jc w:val="left"/>
          </w:pPr>
          <w:hyperlink w:history="true" w:anchor="_bookmark13">
            <w:r>
              <w:rPr/>
              <w:t>General</w:t>
            </w:r>
            <w:r>
              <w:rPr>
                <w:spacing w:val="-6"/>
              </w:rPr>
              <w:t> </w:t>
            </w:r>
            <w:r>
              <w:rPr/>
              <w:t>–</w:t>
            </w:r>
            <w:r>
              <w:rPr>
                <w:spacing w:val="-5"/>
              </w:rPr>
              <w:t> </w:t>
            </w:r>
            <w:r>
              <w:rPr/>
              <w:t>conceptual</w:t>
            </w:r>
            <w:r>
              <w:rPr>
                <w:spacing w:val="-6"/>
              </w:rPr>
              <w:t> </w:t>
            </w:r>
            <w:r>
              <w:rPr>
                <w:spacing w:val="-2"/>
              </w:rPr>
              <w:t>issues</w:t>
            </w:r>
          </w:hyperlink>
          <w:r>
            <w:rPr/>
            <w:tab/>
          </w:r>
          <w:hyperlink w:history="true" w:anchor="_bookmark13">
            <w:r>
              <w:rPr>
                <w:spacing w:val="-5"/>
              </w:rPr>
              <w:t>22</w:t>
            </w:r>
          </w:hyperlink>
        </w:p>
        <w:p>
          <w:pPr>
            <w:pStyle w:val="TOC3"/>
            <w:numPr>
              <w:ilvl w:val="1"/>
              <w:numId w:val="3"/>
            </w:numPr>
            <w:tabs>
              <w:tab w:pos="879" w:val="left" w:leader="none"/>
              <w:tab w:pos="8601" w:val="left" w:leader="dot"/>
            </w:tabs>
            <w:spacing w:line="240" w:lineRule="auto" w:before="120" w:after="0"/>
            <w:ind w:left="878" w:right="0" w:hanging="402"/>
            <w:jc w:val="left"/>
          </w:pPr>
          <w:hyperlink w:history="true" w:anchor="_bookmark14">
            <w:r>
              <w:rPr/>
              <w:t>Transaction</w:t>
            </w:r>
            <w:r>
              <w:rPr>
                <w:spacing w:val="-7"/>
              </w:rPr>
              <w:t> </w:t>
            </w:r>
            <w:r>
              <w:rPr/>
              <w:t>cost</w:t>
            </w:r>
            <w:r>
              <w:rPr>
                <w:spacing w:val="-6"/>
              </w:rPr>
              <w:t> </w:t>
            </w:r>
            <w:r>
              <w:rPr>
                <w:spacing w:val="-2"/>
              </w:rPr>
              <w:t>reductions</w:t>
            </w:r>
          </w:hyperlink>
          <w:r>
            <w:rPr/>
            <w:tab/>
          </w:r>
          <w:hyperlink w:history="true" w:anchor="_bookmark14">
            <w:r>
              <w:rPr>
                <w:spacing w:val="-5"/>
              </w:rPr>
              <w:t>23</w:t>
            </w:r>
          </w:hyperlink>
        </w:p>
        <w:p>
          <w:pPr>
            <w:pStyle w:val="TOC3"/>
            <w:numPr>
              <w:ilvl w:val="1"/>
              <w:numId w:val="3"/>
            </w:numPr>
            <w:tabs>
              <w:tab w:pos="879" w:val="left" w:leader="none"/>
              <w:tab w:pos="8601" w:val="left" w:leader="dot"/>
            </w:tabs>
            <w:spacing w:line="240" w:lineRule="auto" w:before="120" w:after="0"/>
            <w:ind w:left="878" w:right="0" w:hanging="402"/>
            <w:jc w:val="left"/>
          </w:pPr>
          <w:hyperlink w:history="true" w:anchor="_bookmark15">
            <w:r>
              <w:rPr/>
              <w:t>Effectiveness</w:t>
            </w:r>
            <w:r>
              <w:rPr>
                <w:spacing w:val="-5"/>
              </w:rPr>
              <w:t> </w:t>
            </w:r>
            <w:r>
              <w:rPr/>
              <w:t>of</w:t>
            </w:r>
            <w:r>
              <w:rPr>
                <w:spacing w:val="-4"/>
              </w:rPr>
              <w:t> </w:t>
            </w:r>
            <w:r>
              <w:rPr/>
              <w:t>the</w:t>
            </w:r>
            <w:r>
              <w:rPr>
                <w:spacing w:val="-4"/>
              </w:rPr>
              <w:t> </w:t>
            </w:r>
            <w:r>
              <w:rPr/>
              <w:t>complaints</w:t>
            </w:r>
            <w:r>
              <w:rPr>
                <w:spacing w:val="-4"/>
              </w:rPr>
              <w:t> </w:t>
            </w:r>
            <w:r>
              <w:rPr>
                <w:spacing w:val="-2"/>
              </w:rPr>
              <w:t>mechanism</w:t>
            </w:r>
          </w:hyperlink>
          <w:r>
            <w:rPr/>
            <w:tab/>
          </w:r>
          <w:hyperlink w:history="true" w:anchor="_bookmark15">
            <w:r>
              <w:rPr>
                <w:spacing w:val="-5"/>
              </w:rPr>
              <w:t>24</w:t>
            </w:r>
          </w:hyperlink>
        </w:p>
        <w:p>
          <w:pPr>
            <w:pStyle w:val="TOC3"/>
            <w:numPr>
              <w:ilvl w:val="1"/>
              <w:numId w:val="3"/>
            </w:numPr>
            <w:tabs>
              <w:tab w:pos="879" w:val="left" w:leader="none"/>
              <w:tab w:pos="8601" w:val="left" w:leader="dot"/>
            </w:tabs>
            <w:spacing w:line="240" w:lineRule="auto" w:before="120" w:after="0"/>
            <w:ind w:left="878" w:right="0" w:hanging="402"/>
            <w:jc w:val="left"/>
          </w:pPr>
          <w:hyperlink w:history="true" w:anchor="_bookmark16">
            <w:r>
              <w:rPr/>
              <w:t>Overview</w:t>
            </w:r>
            <w:r>
              <w:rPr>
                <w:spacing w:val="-3"/>
              </w:rPr>
              <w:t> </w:t>
            </w:r>
            <w:r>
              <w:rPr/>
              <w:t>of</w:t>
            </w:r>
            <w:r>
              <w:rPr>
                <w:spacing w:val="-2"/>
              </w:rPr>
              <w:t> </w:t>
            </w:r>
            <w:r>
              <w:rPr/>
              <w:t>the</w:t>
            </w:r>
            <w:r>
              <w:rPr>
                <w:spacing w:val="-2"/>
              </w:rPr>
              <w:t> benefits</w:t>
            </w:r>
          </w:hyperlink>
          <w:r>
            <w:rPr/>
            <w:tab/>
          </w:r>
          <w:hyperlink w:history="true" w:anchor="_bookmark16">
            <w:r>
              <w:rPr>
                <w:spacing w:val="-7"/>
              </w:rPr>
              <w:t>26</w:t>
            </w:r>
          </w:hyperlink>
        </w:p>
        <w:p>
          <w:pPr>
            <w:pStyle w:val="TOC3"/>
            <w:numPr>
              <w:ilvl w:val="1"/>
              <w:numId w:val="3"/>
            </w:numPr>
            <w:tabs>
              <w:tab w:pos="1136" w:val="left" w:leader="none"/>
              <w:tab w:pos="1138" w:val="left" w:leader="none"/>
              <w:tab w:pos="8601" w:val="left" w:leader="dot"/>
            </w:tabs>
            <w:spacing w:line="240" w:lineRule="auto" w:before="120" w:after="0"/>
            <w:ind w:left="1137" w:right="0" w:hanging="661"/>
            <w:jc w:val="left"/>
          </w:pPr>
          <w:hyperlink w:history="true" w:anchor="_bookmark17">
            <w:r>
              <w:rPr/>
              <w:t>The</w:t>
            </w:r>
            <w:r>
              <w:rPr>
                <w:spacing w:val="-3"/>
              </w:rPr>
              <w:t> </w:t>
            </w:r>
            <w:r>
              <w:rPr/>
              <w:t>benefits</w:t>
            </w:r>
            <w:r>
              <w:rPr>
                <w:spacing w:val="-2"/>
              </w:rPr>
              <w:t> </w:t>
            </w:r>
            <w:r>
              <w:rPr/>
              <w:t>in</w:t>
            </w:r>
            <w:r>
              <w:rPr>
                <w:spacing w:val="-2"/>
              </w:rPr>
              <w:t> context</w:t>
            </w:r>
          </w:hyperlink>
          <w:r>
            <w:rPr/>
            <w:tab/>
          </w:r>
          <w:hyperlink w:history="true" w:anchor="_bookmark17">
            <w:r>
              <w:rPr>
                <w:spacing w:val="-5"/>
              </w:rPr>
              <w:t>36</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18">
            <w:r>
              <w:rPr/>
              <w:t>Economic</w:t>
            </w:r>
            <w:r>
              <w:rPr>
                <w:spacing w:val="-5"/>
              </w:rPr>
              <w:t> </w:t>
            </w:r>
            <w:r>
              <w:rPr/>
              <w:t>benefits</w:t>
            </w:r>
            <w:r>
              <w:rPr>
                <w:spacing w:val="-5"/>
              </w:rPr>
              <w:t> </w:t>
            </w:r>
            <w:r>
              <w:rPr/>
              <w:t>of</w:t>
            </w:r>
            <w:r>
              <w:rPr>
                <w:spacing w:val="-6"/>
              </w:rPr>
              <w:t> </w:t>
            </w:r>
            <w:r>
              <w:rPr/>
              <w:t>more</w:t>
            </w:r>
            <w:r>
              <w:rPr>
                <w:spacing w:val="-5"/>
              </w:rPr>
              <w:t> </w:t>
            </w:r>
            <w:r>
              <w:rPr/>
              <w:t>accessible</w:t>
            </w:r>
            <w:r>
              <w:rPr>
                <w:spacing w:val="-5"/>
              </w:rPr>
              <w:t> </w:t>
            </w:r>
            <w:r>
              <w:rPr>
                <w:spacing w:val="-2"/>
              </w:rPr>
              <w:t>buildings</w:t>
            </w:r>
          </w:hyperlink>
          <w:r>
            <w:rPr/>
            <w:tab/>
          </w:r>
          <w:hyperlink w:history="true" w:anchor="_bookmark18">
            <w:r>
              <w:rPr>
                <w:spacing w:val="-5"/>
              </w:rPr>
              <w:t>40</w:t>
            </w:r>
          </w:hyperlink>
        </w:p>
        <w:p>
          <w:pPr>
            <w:pStyle w:val="TOC1"/>
            <w:numPr>
              <w:ilvl w:val="0"/>
              <w:numId w:val="3"/>
            </w:numPr>
            <w:tabs>
              <w:tab w:pos="1137" w:val="left" w:leader="none"/>
              <w:tab w:pos="1138" w:val="left" w:leader="none"/>
              <w:tab w:pos="8601" w:val="left" w:leader="dot"/>
            </w:tabs>
            <w:spacing w:line="240" w:lineRule="auto" w:before="121" w:after="0"/>
            <w:ind w:left="1137" w:right="0" w:hanging="901"/>
            <w:jc w:val="left"/>
          </w:pPr>
          <w:hyperlink w:history="true" w:anchor="_bookmark19">
            <w:r>
              <w:rPr/>
              <w:t>Expected </w:t>
            </w:r>
            <w:r>
              <w:rPr>
                <w:spacing w:val="-2"/>
              </w:rPr>
              <w:t>Costs</w:t>
            </w:r>
          </w:hyperlink>
          <w:r>
            <w:rPr/>
            <w:tab/>
          </w:r>
          <w:hyperlink w:history="true" w:anchor="_bookmark19">
            <w:r>
              <w:rPr>
                <w:spacing w:val="-5"/>
              </w:rPr>
              <w:t>52</w:t>
            </w:r>
          </w:hyperlink>
        </w:p>
        <w:p>
          <w:pPr>
            <w:pStyle w:val="TOC3"/>
            <w:numPr>
              <w:ilvl w:val="1"/>
              <w:numId w:val="3"/>
            </w:numPr>
            <w:tabs>
              <w:tab w:pos="1137" w:val="left" w:leader="none"/>
              <w:tab w:pos="1138" w:val="left" w:leader="none"/>
              <w:tab w:pos="8601" w:val="left" w:leader="dot"/>
            </w:tabs>
            <w:spacing w:line="240" w:lineRule="auto" w:before="119" w:after="0"/>
            <w:ind w:left="1137" w:right="0" w:hanging="661"/>
            <w:jc w:val="left"/>
          </w:pPr>
          <w:hyperlink w:history="true" w:anchor="_bookmark19">
            <w:r>
              <w:rPr>
                <w:spacing w:val="-2"/>
              </w:rPr>
              <w:t>Methodology</w:t>
            </w:r>
          </w:hyperlink>
          <w:r>
            <w:rPr/>
            <w:tab/>
          </w:r>
          <w:hyperlink w:history="true" w:anchor="_bookmark19">
            <w:r>
              <w:rPr>
                <w:spacing w:val="-5"/>
              </w:rPr>
              <w:t>52</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19">
            <w:r>
              <w:rPr/>
              <w:t>Estimated</w:t>
            </w:r>
            <w:r>
              <w:rPr>
                <w:spacing w:val="-5"/>
              </w:rPr>
              <w:t> </w:t>
            </w:r>
            <w:r>
              <w:rPr/>
              <w:t>costs:</w:t>
            </w:r>
            <w:r>
              <w:rPr>
                <w:spacing w:val="-5"/>
              </w:rPr>
              <w:t> </w:t>
            </w:r>
            <w:r>
              <w:rPr/>
              <w:t>New</w:t>
            </w:r>
            <w:r>
              <w:rPr>
                <w:spacing w:val="-4"/>
              </w:rPr>
              <w:t> </w:t>
            </w:r>
            <w:r>
              <w:rPr>
                <w:spacing w:val="-2"/>
              </w:rPr>
              <w:t>buildings</w:t>
            </w:r>
          </w:hyperlink>
          <w:r>
            <w:rPr/>
            <w:tab/>
          </w:r>
          <w:hyperlink w:history="true" w:anchor="_bookmark19">
            <w:r>
              <w:rPr>
                <w:spacing w:val="-5"/>
              </w:rPr>
              <w:t>52</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0">
            <w:r>
              <w:rPr/>
              <w:t>Estimated</w:t>
            </w:r>
            <w:r>
              <w:rPr>
                <w:spacing w:val="-3"/>
              </w:rPr>
              <w:t> </w:t>
            </w:r>
            <w:r>
              <w:rPr/>
              <w:t>costs:</w:t>
            </w:r>
            <w:r>
              <w:rPr>
                <w:spacing w:val="-3"/>
              </w:rPr>
              <w:t> </w:t>
            </w:r>
            <w:r>
              <w:rPr/>
              <w:t>Existing</w:t>
            </w:r>
            <w:r>
              <w:rPr>
                <w:spacing w:val="-2"/>
              </w:rPr>
              <w:t> Buildings</w:t>
            </w:r>
          </w:hyperlink>
          <w:r>
            <w:rPr/>
            <w:tab/>
          </w:r>
          <w:hyperlink w:history="true" w:anchor="_bookmark20">
            <w:r>
              <w:rPr>
                <w:spacing w:val="-5"/>
              </w:rPr>
              <w:t>56</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1">
            <w:r>
              <w:rPr/>
              <w:t>Estimated</w:t>
            </w:r>
            <w:r>
              <w:rPr>
                <w:spacing w:val="-6"/>
              </w:rPr>
              <w:t> </w:t>
            </w:r>
            <w:r>
              <w:rPr/>
              <w:t>costs:</w:t>
            </w:r>
            <w:r>
              <w:rPr>
                <w:spacing w:val="-5"/>
              </w:rPr>
              <w:t> </w:t>
            </w:r>
            <w:r>
              <w:rPr/>
              <w:t>Aggregate</w:t>
            </w:r>
            <w:r>
              <w:rPr>
                <w:spacing w:val="-6"/>
              </w:rPr>
              <w:t> </w:t>
            </w:r>
            <w:r>
              <w:rPr/>
              <w:t>estimates</w:t>
            </w:r>
            <w:r>
              <w:rPr>
                <w:spacing w:val="-5"/>
              </w:rPr>
              <w:t> </w:t>
            </w:r>
            <w:r>
              <w:rPr/>
              <w:t>of</w:t>
            </w:r>
            <w:r>
              <w:rPr>
                <w:spacing w:val="-6"/>
              </w:rPr>
              <w:t> </w:t>
            </w:r>
            <w:r>
              <w:rPr/>
              <w:t>direct</w:t>
            </w:r>
            <w:r>
              <w:rPr>
                <w:spacing w:val="-4"/>
              </w:rPr>
              <w:t> </w:t>
            </w:r>
            <w:r>
              <w:rPr>
                <w:spacing w:val="-2"/>
              </w:rPr>
              <w:t>costs</w:t>
            </w:r>
          </w:hyperlink>
          <w:r>
            <w:rPr/>
            <w:tab/>
          </w:r>
          <w:hyperlink w:history="true" w:anchor="_bookmark21">
            <w:r>
              <w:rPr>
                <w:spacing w:val="-5"/>
              </w:rPr>
              <w:t>60</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2">
            <w:r>
              <w:rPr/>
              <w:t>Indirect cost</w:t>
            </w:r>
            <w:r>
              <w:rPr>
                <w:spacing w:val="1"/>
              </w:rPr>
              <w:t> </w:t>
            </w:r>
            <w:r>
              <w:rPr>
                <w:spacing w:val="-2"/>
              </w:rPr>
              <w:t>impacts</w:t>
            </w:r>
          </w:hyperlink>
          <w:r>
            <w:rPr/>
            <w:tab/>
          </w:r>
          <w:hyperlink w:history="true" w:anchor="_bookmark22">
            <w:r>
              <w:rPr>
                <w:spacing w:val="-5"/>
              </w:rPr>
              <w:t>70</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3">
            <w:r>
              <w:rPr/>
              <w:t>Cost </w:t>
            </w:r>
            <w:r>
              <w:rPr>
                <w:spacing w:val="-2"/>
              </w:rPr>
              <w:t>offsets.</w:t>
            </w:r>
          </w:hyperlink>
          <w:r>
            <w:rPr/>
            <w:tab/>
          </w:r>
          <w:hyperlink w:history="true" w:anchor="_bookmark23">
            <w:r>
              <w:rPr>
                <w:spacing w:val="-5"/>
              </w:rPr>
              <w:t>73</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3">
            <w:r>
              <w:rPr/>
              <w:t>Summarizing</w:t>
            </w:r>
            <w:r>
              <w:rPr>
                <w:spacing w:val="-7"/>
              </w:rPr>
              <w:t> </w:t>
            </w:r>
            <w:r>
              <w:rPr/>
              <w:t>Economic</w:t>
            </w:r>
            <w:r>
              <w:rPr>
                <w:spacing w:val="-7"/>
              </w:rPr>
              <w:t> </w:t>
            </w:r>
            <w:r>
              <w:rPr>
                <w:spacing w:val="-2"/>
              </w:rPr>
              <w:t>Costs</w:t>
            </w:r>
          </w:hyperlink>
          <w:r>
            <w:rPr/>
            <w:tab/>
          </w:r>
          <w:hyperlink w:history="true" w:anchor="_bookmark23">
            <w:r>
              <w:rPr>
                <w:spacing w:val="-5"/>
              </w:rPr>
              <w:t>73</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4">
            <w:r>
              <w:rPr/>
              <w:t>Costs</w:t>
            </w:r>
            <w:r>
              <w:rPr>
                <w:spacing w:val="-2"/>
              </w:rPr>
              <w:t> </w:t>
            </w:r>
            <w:r>
              <w:rPr/>
              <w:t>to</w:t>
            </w:r>
            <w:r>
              <w:rPr>
                <w:spacing w:val="-2"/>
              </w:rPr>
              <w:t> </w:t>
            </w:r>
            <w:r>
              <w:rPr/>
              <w:t>the</w:t>
            </w:r>
            <w:r>
              <w:rPr>
                <w:spacing w:val="-2"/>
              </w:rPr>
              <w:t> </w:t>
            </w:r>
            <w:r>
              <w:rPr/>
              <w:t>public</w:t>
            </w:r>
            <w:r>
              <w:rPr>
                <w:spacing w:val="-2"/>
              </w:rPr>
              <w:t> sector</w:t>
            </w:r>
          </w:hyperlink>
          <w:r>
            <w:rPr/>
            <w:tab/>
          </w:r>
          <w:hyperlink w:history="true" w:anchor="_bookmark24">
            <w:r>
              <w:rPr>
                <w:spacing w:val="-5"/>
              </w:rPr>
              <w:t>76</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5">
            <w:r>
              <w:rPr/>
              <w:t>Business</w:t>
            </w:r>
            <w:r>
              <w:rPr>
                <w:spacing w:val="-8"/>
              </w:rPr>
              <w:t> </w:t>
            </w:r>
            <w:r>
              <w:rPr/>
              <w:t>Compliance</w:t>
            </w:r>
            <w:r>
              <w:rPr>
                <w:spacing w:val="-8"/>
              </w:rPr>
              <w:t> </w:t>
            </w:r>
            <w:r>
              <w:rPr>
                <w:spacing w:val="-2"/>
              </w:rPr>
              <w:t>Costs</w:t>
            </w:r>
          </w:hyperlink>
          <w:r>
            <w:rPr/>
            <w:tab/>
          </w:r>
          <w:hyperlink w:history="true" w:anchor="_bookmark25">
            <w:r>
              <w:rPr>
                <w:spacing w:val="-5"/>
              </w:rPr>
              <w:t>80</w:t>
            </w:r>
          </w:hyperlink>
        </w:p>
        <w:p>
          <w:pPr>
            <w:pStyle w:val="TOC1"/>
            <w:numPr>
              <w:ilvl w:val="0"/>
              <w:numId w:val="3"/>
            </w:numPr>
            <w:tabs>
              <w:tab w:pos="1137" w:val="left" w:leader="none"/>
              <w:tab w:pos="1138" w:val="left" w:leader="none"/>
              <w:tab w:pos="8601" w:val="left" w:leader="dot"/>
            </w:tabs>
            <w:spacing w:line="240" w:lineRule="auto" w:before="122" w:after="0"/>
            <w:ind w:left="1137" w:right="0" w:hanging="901"/>
            <w:jc w:val="left"/>
          </w:pPr>
          <w:hyperlink w:history="true" w:anchor="_bookmark26">
            <w:r>
              <w:rPr/>
              <w:t>Analysis</w:t>
            </w:r>
            <w:r>
              <w:rPr>
                <w:spacing w:val="-2"/>
              </w:rPr>
              <w:t> </w:t>
            </w:r>
            <w:r>
              <w:rPr/>
              <w:t>of</w:t>
            </w:r>
            <w:r>
              <w:rPr>
                <w:spacing w:val="-2"/>
              </w:rPr>
              <w:t> alternatives</w:t>
            </w:r>
          </w:hyperlink>
          <w:r>
            <w:rPr/>
            <w:tab/>
          </w:r>
          <w:hyperlink w:history="true" w:anchor="_bookmark26">
            <w:r>
              <w:rPr>
                <w:spacing w:val="-5"/>
              </w:rPr>
              <w:t>82</w:t>
            </w:r>
          </w:hyperlink>
        </w:p>
        <w:p>
          <w:pPr>
            <w:pStyle w:val="TOC3"/>
            <w:numPr>
              <w:ilvl w:val="1"/>
              <w:numId w:val="3"/>
            </w:numPr>
            <w:tabs>
              <w:tab w:pos="1137" w:val="left" w:leader="none"/>
              <w:tab w:pos="1138" w:val="left" w:leader="none"/>
              <w:tab w:pos="8601" w:val="left" w:leader="dot"/>
            </w:tabs>
            <w:spacing w:line="240" w:lineRule="auto" w:before="118" w:after="0"/>
            <w:ind w:left="1137" w:right="0" w:hanging="661"/>
            <w:jc w:val="left"/>
          </w:pPr>
          <w:hyperlink w:history="true" w:anchor="_bookmark26">
            <w:r>
              <w:rPr/>
              <w:t>Alternatives</w:t>
            </w:r>
            <w:r>
              <w:rPr>
                <w:spacing w:val="-4"/>
              </w:rPr>
              <w:t> </w:t>
            </w:r>
            <w:r>
              <w:rPr/>
              <w:t>to</w:t>
            </w:r>
            <w:r>
              <w:rPr>
                <w:spacing w:val="-3"/>
              </w:rPr>
              <w:t> </w:t>
            </w:r>
            <w:r>
              <w:rPr/>
              <w:t>specific</w:t>
            </w:r>
            <w:r>
              <w:rPr>
                <w:spacing w:val="-4"/>
              </w:rPr>
              <w:t> </w:t>
            </w:r>
            <w:r>
              <w:rPr/>
              <w:t>Premises</w:t>
            </w:r>
            <w:r>
              <w:rPr>
                <w:spacing w:val="-3"/>
              </w:rPr>
              <w:t> </w:t>
            </w:r>
            <w:r>
              <w:rPr/>
              <w:t>Standards</w:t>
            </w:r>
            <w:r>
              <w:rPr>
                <w:spacing w:val="-3"/>
              </w:rPr>
              <w:t> </w:t>
            </w:r>
            <w:r>
              <w:rPr>
                <w:spacing w:val="-2"/>
              </w:rPr>
              <w:t>provisions</w:t>
            </w:r>
          </w:hyperlink>
          <w:r>
            <w:rPr/>
            <w:tab/>
          </w:r>
          <w:hyperlink w:history="true" w:anchor="_bookmark26">
            <w:r>
              <w:rPr>
                <w:spacing w:val="-5"/>
              </w:rPr>
              <w:t>82</w:t>
            </w:r>
          </w:hyperlink>
        </w:p>
        <w:p>
          <w:pPr>
            <w:pStyle w:val="TOC3"/>
            <w:numPr>
              <w:ilvl w:val="1"/>
              <w:numId w:val="3"/>
            </w:numPr>
            <w:tabs>
              <w:tab w:pos="1137" w:val="left" w:leader="none"/>
              <w:tab w:pos="1138" w:val="left" w:leader="none"/>
              <w:tab w:pos="8601" w:val="left" w:leader="dot"/>
            </w:tabs>
            <w:spacing w:line="240" w:lineRule="auto" w:before="120" w:after="20"/>
            <w:ind w:left="1137" w:right="310" w:hanging="660"/>
            <w:jc w:val="left"/>
          </w:pPr>
          <w:hyperlink w:history="true" w:anchor="_bookmark27">
            <w:r>
              <w:rPr/>
              <w:t>Alternatives to adoption of a Premises Standards harmonised with the</w:t>
            </w:r>
          </w:hyperlink>
          <w:r>
            <w:rPr/>
            <w:t> </w:t>
          </w:r>
          <w:hyperlink w:history="true" w:anchor="_bookmark27">
            <w:r>
              <w:rPr>
                <w:spacing w:val="-4"/>
              </w:rPr>
              <w:t>BCA</w:t>
            </w:r>
          </w:hyperlink>
          <w:r>
            <w:rPr/>
            <w:tab/>
          </w:r>
          <w:hyperlink w:history="true" w:anchor="_bookmark27">
            <w:r>
              <w:rPr>
                <w:spacing w:val="-6"/>
              </w:rPr>
              <w:t>84</w:t>
            </w:r>
          </w:hyperlink>
        </w:p>
        <w:p>
          <w:pPr>
            <w:pStyle w:val="TOC3"/>
            <w:numPr>
              <w:ilvl w:val="1"/>
              <w:numId w:val="3"/>
            </w:numPr>
            <w:tabs>
              <w:tab w:pos="1137" w:val="left" w:leader="none"/>
              <w:tab w:pos="1138" w:val="left" w:leader="none"/>
              <w:tab w:pos="8601" w:val="left" w:leader="dot"/>
            </w:tabs>
            <w:spacing w:line="240" w:lineRule="auto" w:before="77" w:after="0"/>
            <w:ind w:left="1137" w:right="310" w:hanging="660"/>
            <w:jc w:val="left"/>
          </w:pPr>
          <w:hyperlink w:history="true" w:anchor="_bookmark28">
            <w:r>
              <w:rPr/>
              <w:t>Alternatives relating to the scope and implementation of the proposed</w:t>
            </w:r>
          </w:hyperlink>
          <w:r>
            <w:rPr/>
            <w:t> </w:t>
          </w:r>
          <w:hyperlink w:history="true" w:anchor="_bookmark28">
            <w:r>
              <w:rPr/>
              <w:t>Premises</w:t>
            </w:r>
            <w:r>
              <w:rPr>
                <w:spacing w:val="-1"/>
              </w:rPr>
              <w:t> </w:t>
            </w:r>
            <w:r>
              <w:rPr>
                <w:spacing w:val="-2"/>
              </w:rPr>
              <w:t>Standards</w:t>
            </w:r>
          </w:hyperlink>
          <w:r>
            <w:rPr/>
            <w:tab/>
          </w:r>
          <w:hyperlink w:history="true" w:anchor="_bookmark28">
            <w:r>
              <w:rPr>
                <w:spacing w:val="-5"/>
              </w:rPr>
              <w:t>89</w:t>
            </w:r>
          </w:hyperlink>
        </w:p>
        <w:p>
          <w:pPr>
            <w:pStyle w:val="TOC3"/>
            <w:numPr>
              <w:ilvl w:val="1"/>
              <w:numId w:val="3"/>
            </w:numPr>
            <w:tabs>
              <w:tab w:pos="1137" w:val="left" w:leader="none"/>
              <w:tab w:pos="1138" w:val="left" w:leader="none"/>
              <w:tab w:pos="8601" w:val="left" w:leader="dot"/>
            </w:tabs>
            <w:spacing w:line="240" w:lineRule="auto" w:before="120" w:after="0"/>
            <w:ind w:left="1137" w:right="0" w:hanging="661"/>
            <w:jc w:val="left"/>
          </w:pPr>
          <w:hyperlink w:history="true" w:anchor="_bookmark29">
            <w:r>
              <w:rPr/>
              <w:t>Market-based</w:t>
            </w:r>
            <w:r>
              <w:rPr>
                <w:spacing w:val="-11"/>
              </w:rPr>
              <w:t> </w:t>
            </w:r>
            <w:r>
              <w:rPr>
                <w:spacing w:val="-2"/>
              </w:rPr>
              <w:t>alternatives</w:t>
            </w:r>
          </w:hyperlink>
          <w:r>
            <w:rPr/>
            <w:tab/>
          </w:r>
          <w:hyperlink w:history="true" w:anchor="_bookmark29">
            <w:r>
              <w:rPr>
                <w:spacing w:val="-5"/>
              </w:rPr>
              <w:t>91</w:t>
            </w:r>
          </w:hyperlink>
        </w:p>
        <w:p>
          <w:pPr>
            <w:pStyle w:val="TOC1"/>
            <w:numPr>
              <w:ilvl w:val="0"/>
              <w:numId w:val="3"/>
            </w:numPr>
            <w:tabs>
              <w:tab w:pos="1137" w:val="left" w:leader="none"/>
              <w:tab w:pos="1138" w:val="left" w:leader="none"/>
              <w:tab w:pos="8601" w:val="left" w:leader="dot"/>
            </w:tabs>
            <w:spacing w:line="240" w:lineRule="auto" w:before="121" w:after="0"/>
            <w:ind w:left="1137" w:right="0" w:hanging="901"/>
            <w:jc w:val="left"/>
          </w:pPr>
          <w:hyperlink w:history="true" w:anchor="_bookmark30">
            <w:r>
              <w:rPr/>
              <w:t>Conclusion:</w:t>
            </w:r>
            <w:r>
              <w:rPr>
                <w:spacing w:val="-5"/>
              </w:rPr>
              <w:t> </w:t>
            </w:r>
            <w:r>
              <w:rPr/>
              <w:t>Comparing</w:t>
            </w:r>
            <w:r>
              <w:rPr>
                <w:spacing w:val="-5"/>
              </w:rPr>
              <w:t> </w:t>
            </w:r>
            <w:r>
              <w:rPr/>
              <w:t>expected</w:t>
            </w:r>
            <w:r>
              <w:rPr>
                <w:spacing w:val="-5"/>
              </w:rPr>
              <w:t> </w:t>
            </w:r>
            <w:r>
              <w:rPr/>
              <w:t>benefits</w:t>
            </w:r>
            <w:r>
              <w:rPr>
                <w:spacing w:val="-7"/>
              </w:rPr>
              <w:t> </w:t>
            </w:r>
            <w:r>
              <w:rPr/>
              <w:t>and</w:t>
            </w:r>
            <w:r>
              <w:rPr>
                <w:spacing w:val="-4"/>
              </w:rPr>
              <w:t> </w:t>
            </w:r>
            <w:r>
              <w:rPr>
                <w:spacing w:val="-2"/>
              </w:rPr>
              <w:t>costs</w:t>
            </w:r>
          </w:hyperlink>
          <w:r>
            <w:rPr/>
            <w:tab/>
          </w:r>
          <w:hyperlink w:history="true" w:anchor="_bookmark30">
            <w:r>
              <w:rPr>
                <w:spacing w:val="-5"/>
              </w:rPr>
              <w:t>94</w:t>
            </w:r>
          </w:hyperlink>
        </w:p>
        <w:p>
          <w:pPr>
            <w:pStyle w:val="TOC3"/>
            <w:numPr>
              <w:ilvl w:val="1"/>
              <w:numId w:val="3"/>
            </w:numPr>
            <w:tabs>
              <w:tab w:pos="1138" w:val="left" w:leader="none"/>
              <w:tab w:pos="8601" w:val="left" w:leader="dot"/>
            </w:tabs>
            <w:spacing w:line="240" w:lineRule="auto" w:before="119" w:after="0"/>
            <w:ind w:left="1137" w:right="0" w:hanging="661"/>
            <w:jc w:val="left"/>
          </w:pPr>
          <w:hyperlink w:history="true" w:anchor="_bookmark30">
            <w:r>
              <w:rPr/>
              <w:t>Cost</w:t>
            </w:r>
            <w:r>
              <w:rPr>
                <w:spacing w:val="-3"/>
              </w:rPr>
              <w:t> </w:t>
            </w:r>
            <w:r>
              <w:rPr>
                <w:spacing w:val="-2"/>
              </w:rPr>
              <w:t>summary</w:t>
            </w:r>
          </w:hyperlink>
          <w:r>
            <w:rPr/>
            <w:tab/>
          </w:r>
          <w:hyperlink w:history="true" w:anchor="_bookmark30">
            <w:r>
              <w:rPr>
                <w:spacing w:val="-5"/>
              </w:rPr>
              <w:t>94</w:t>
            </w:r>
          </w:hyperlink>
        </w:p>
        <w:p>
          <w:pPr>
            <w:pStyle w:val="TOC3"/>
            <w:numPr>
              <w:ilvl w:val="1"/>
              <w:numId w:val="3"/>
            </w:numPr>
            <w:tabs>
              <w:tab w:pos="1138" w:val="left" w:leader="none"/>
              <w:tab w:pos="8601" w:val="left" w:leader="dot"/>
            </w:tabs>
            <w:spacing w:line="240" w:lineRule="auto" w:before="120" w:after="0"/>
            <w:ind w:left="1137" w:right="0" w:hanging="661"/>
            <w:jc w:val="left"/>
          </w:pPr>
          <w:hyperlink w:history="true" w:anchor="_bookmark31">
            <w:r>
              <w:rPr/>
              <w:t>Benefit</w:t>
            </w:r>
            <w:r>
              <w:rPr>
                <w:spacing w:val="-5"/>
              </w:rPr>
              <w:t> </w:t>
            </w:r>
            <w:r>
              <w:rPr>
                <w:spacing w:val="-2"/>
              </w:rPr>
              <w:t>summary</w:t>
            </w:r>
          </w:hyperlink>
          <w:r>
            <w:rPr/>
            <w:tab/>
          </w:r>
          <w:hyperlink w:history="true" w:anchor="_bookmark31">
            <w:r>
              <w:rPr>
                <w:spacing w:val="-5"/>
              </w:rPr>
              <w:t>96</w:t>
            </w:r>
          </w:hyperlink>
        </w:p>
        <w:p>
          <w:pPr>
            <w:pStyle w:val="TOC3"/>
            <w:numPr>
              <w:ilvl w:val="1"/>
              <w:numId w:val="3"/>
            </w:numPr>
            <w:tabs>
              <w:tab w:pos="1138" w:val="left" w:leader="none"/>
            </w:tabs>
            <w:spacing w:line="240" w:lineRule="auto" w:before="120" w:after="0"/>
            <w:ind w:left="1137" w:right="0" w:hanging="661"/>
            <w:jc w:val="left"/>
          </w:pPr>
          <w:hyperlink w:history="true" w:anchor="_TOC_250013">
            <w:r>
              <w:rPr/>
              <w:t>Comparison</w:t>
            </w:r>
            <w:r>
              <w:rPr>
                <w:spacing w:val="-4"/>
              </w:rPr>
              <w:t> </w:t>
            </w:r>
            <w:r>
              <w:rPr/>
              <w:t>of</w:t>
            </w:r>
            <w:r>
              <w:rPr>
                <w:spacing w:val="-4"/>
              </w:rPr>
              <w:t> </w:t>
            </w:r>
            <w:r>
              <w:rPr/>
              <w:t>benefits</w:t>
            </w:r>
            <w:r>
              <w:rPr>
                <w:spacing w:val="-4"/>
              </w:rPr>
              <w:t> </w:t>
            </w:r>
            <w:r>
              <w:rPr/>
              <w:t>and</w:t>
            </w:r>
            <w:r>
              <w:rPr>
                <w:spacing w:val="-4"/>
              </w:rPr>
              <w:t> </w:t>
            </w:r>
            <w:r>
              <w:rPr/>
              <w:t>costs</w:t>
            </w:r>
            <w:r>
              <w:rPr>
                <w:spacing w:val="-4"/>
              </w:rPr>
              <w:t> </w:t>
            </w:r>
            <w:r>
              <w:rPr/>
              <w:t>of</w:t>
            </w:r>
            <w:r>
              <w:rPr>
                <w:spacing w:val="-5"/>
              </w:rPr>
              <w:t> </w:t>
            </w:r>
            <w:r>
              <w:rPr/>
              <w:t>the</w:t>
            </w:r>
            <w:r>
              <w:rPr>
                <w:spacing w:val="-3"/>
              </w:rPr>
              <w:t> </w:t>
            </w:r>
            <w:r>
              <w:rPr/>
              <w:t>proposed</w:t>
            </w:r>
            <w:r>
              <w:rPr>
                <w:spacing w:val="-5"/>
              </w:rPr>
              <w:t> </w:t>
            </w:r>
            <w:r>
              <w:rPr/>
              <w:t>Premises</w:t>
            </w:r>
            <w:r>
              <w:rPr>
                <w:spacing w:val="-4"/>
              </w:rPr>
              <w:t> </w:t>
            </w:r>
            <w:r>
              <w:rPr/>
              <w:t>Standards</w:t>
            </w:r>
            <w:r>
              <w:rPr>
                <w:spacing w:val="-11"/>
              </w:rPr>
              <w:t> </w:t>
            </w:r>
            <w:r>
              <w:rPr>
                <w:spacing w:val="-5"/>
              </w:rPr>
              <w:t>..</w:t>
            </w:r>
          </w:hyperlink>
        </w:p>
        <w:p>
          <w:pPr>
            <w:pStyle w:val="TOC4"/>
          </w:pPr>
          <w:r>
            <w:rPr>
              <w:spacing w:val="-2"/>
            </w:rPr>
            <w:t>……………………...............................................................................…98</w:t>
          </w:r>
        </w:p>
        <w:p>
          <w:pPr>
            <w:pStyle w:val="TOC3"/>
            <w:numPr>
              <w:ilvl w:val="1"/>
              <w:numId w:val="3"/>
            </w:numPr>
            <w:tabs>
              <w:tab w:pos="1138" w:val="left" w:leader="none"/>
              <w:tab w:pos="8468" w:val="left" w:leader="dot"/>
            </w:tabs>
            <w:spacing w:line="240" w:lineRule="auto" w:before="120" w:after="0"/>
            <w:ind w:left="1137" w:right="0" w:hanging="661"/>
            <w:jc w:val="left"/>
          </w:pPr>
          <w:hyperlink w:history="true" w:anchor="_TOC_250012">
            <w:r>
              <w:rPr/>
              <w:t>Sensitivity</w:t>
            </w:r>
            <w:r>
              <w:rPr>
                <w:spacing w:val="-10"/>
              </w:rPr>
              <w:t> </w:t>
            </w:r>
            <w:r>
              <w:rPr>
                <w:spacing w:val="-2"/>
              </w:rPr>
              <w:t>analyses</w:t>
            </w:r>
            <w:r>
              <w:rPr/>
              <w:tab/>
            </w:r>
            <w:r>
              <w:rPr>
                <w:spacing w:val="-5"/>
              </w:rPr>
              <w:t>101</w:t>
            </w:r>
          </w:hyperlink>
        </w:p>
        <w:p>
          <w:pPr>
            <w:pStyle w:val="TOC3"/>
            <w:numPr>
              <w:ilvl w:val="1"/>
              <w:numId w:val="3"/>
            </w:numPr>
            <w:tabs>
              <w:tab w:pos="1138" w:val="left" w:leader="none"/>
              <w:tab w:pos="8468" w:val="left" w:leader="dot"/>
            </w:tabs>
            <w:spacing w:line="240" w:lineRule="auto" w:before="120" w:after="0"/>
            <w:ind w:left="1137" w:right="310" w:hanging="660"/>
            <w:jc w:val="left"/>
          </w:pPr>
          <w:hyperlink w:history="true" w:anchor="_TOC_250011">
            <w:r>
              <w:rPr/>
              <w:t>Comparison of the proposed Premises Standards and identified </w:t>
            </w:r>
            <w:r>
              <w:rPr>
                <w:spacing w:val="-2"/>
              </w:rPr>
              <w:t>alternatives</w:t>
            </w:r>
            <w:r>
              <w:rPr/>
              <w:tab/>
            </w:r>
            <w:r>
              <w:rPr>
                <w:spacing w:val="-5"/>
              </w:rPr>
              <w:t>105</w:t>
            </w:r>
          </w:hyperlink>
        </w:p>
        <w:p>
          <w:pPr>
            <w:pStyle w:val="TOC1"/>
            <w:numPr>
              <w:ilvl w:val="0"/>
              <w:numId w:val="3"/>
            </w:numPr>
            <w:tabs>
              <w:tab w:pos="1137" w:val="left" w:leader="none"/>
              <w:tab w:pos="1138" w:val="left" w:leader="none"/>
              <w:tab w:pos="8468" w:val="left" w:leader="dot"/>
            </w:tabs>
            <w:spacing w:line="240" w:lineRule="auto" w:before="121" w:after="0"/>
            <w:ind w:left="1137" w:right="0" w:hanging="901"/>
            <w:jc w:val="left"/>
          </w:pPr>
          <w:hyperlink w:history="true" w:anchor="_TOC_250010">
            <w:r>
              <w:rPr>
                <w:spacing w:val="-2"/>
              </w:rPr>
              <w:t>Consultation</w:t>
            </w:r>
            <w:r>
              <w:rPr/>
              <w:tab/>
            </w:r>
            <w:r>
              <w:rPr>
                <w:spacing w:val="-5"/>
              </w:rPr>
              <w:t>108</w:t>
            </w:r>
          </w:hyperlink>
        </w:p>
        <w:p>
          <w:pPr>
            <w:pStyle w:val="TOC3"/>
            <w:numPr>
              <w:ilvl w:val="1"/>
              <w:numId w:val="3"/>
            </w:numPr>
            <w:tabs>
              <w:tab w:pos="1012" w:val="left" w:leader="none"/>
              <w:tab w:pos="8468" w:val="left" w:leader="dot"/>
            </w:tabs>
            <w:spacing w:line="240" w:lineRule="auto" w:before="119" w:after="0"/>
            <w:ind w:left="1011" w:right="0" w:hanging="535"/>
            <w:jc w:val="left"/>
          </w:pPr>
          <w:hyperlink w:history="true" w:anchor="_TOC_250009">
            <w:r>
              <w:rPr/>
              <w:t>Public</w:t>
            </w:r>
            <w:r>
              <w:rPr>
                <w:spacing w:val="-7"/>
              </w:rPr>
              <w:t> </w:t>
            </w:r>
            <w:r>
              <w:rPr>
                <w:spacing w:val="-2"/>
              </w:rPr>
              <w:t>Consultation</w:t>
            </w:r>
            <w:r>
              <w:rPr/>
              <w:tab/>
            </w:r>
            <w:r>
              <w:rPr>
                <w:spacing w:val="-5"/>
              </w:rPr>
              <w:t>108</w:t>
            </w:r>
          </w:hyperlink>
        </w:p>
        <w:p>
          <w:pPr>
            <w:pStyle w:val="TOC3"/>
            <w:numPr>
              <w:ilvl w:val="1"/>
              <w:numId w:val="3"/>
            </w:numPr>
            <w:tabs>
              <w:tab w:pos="1012" w:val="left" w:leader="none"/>
              <w:tab w:pos="8468" w:val="left" w:leader="dot"/>
            </w:tabs>
            <w:spacing w:line="240" w:lineRule="auto" w:before="120" w:after="0"/>
            <w:ind w:left="1011" w:right="0" w:hanging="535"/>
            <w:jc w:val="left"/>
          </w:pPr>
          <w:hyperlink w:history="true" w:anchor="_TOC_250008">
            <w:r>
              <w:rPr/>
              <w:t>Disability</w:t>
            </w:r>
            <w:r>
              <w:rPr>
                <w:spacing w:val="-8"/>
              </w:rPr>
              <w:t> </w:t>
            </w:r>
            <w:r>
              <w:rPr/>
              <w:t>Access</w:t>
            </w:r>
            <w:r>
              <w:rPr>
                <w:spacing w:val="-7"/>
              </w:rPr>
              <w:t> </w:t>
            </w:r>
            <w:r>
              <w:rPr/>
              <w:t>Reference</w:t>
            </w:r>
            <w:r>
              <w:rPr>
                <w:spacing w:val="-7"/>
              </w:rPr>
              <w:t> </w:t>
            </w:r>
            <w:r>
              <w:rPr>
                <w:spacing w:val="-2"/>
              </w:rPr>
              <w:t>Group</w:t>
            </w:r>
            <w:r>
              <w:rPr/>
              <w:tab/>
            </w:r>
            <w:r>
              <w:rPr>
                <w:spacing w:val="-5"/>
              </w:rPr>
              <w:t>117</w:t>
            </w:r>
          </w:hyperlink>
        </w:p>
        <w:p>
          <w:pPr>
            <w:pStyle w:val="TOC3"/>
            <w:numPr>
              <w:ilvl w:val="1"/>
              <w:numId w:val="3"/>
            </w:numPr>
            <w:tabs>
              <w:tab w:pos="1012" w:val="left" w:leader="none"/>
              <w:tab w:pos="8468" w:val="left" w:leader="dot"/>
            </w:tabs>
            <w:spacing w:line="240" w:lineRule="auto" w:before="120" w:after="0"/>
            <w:ind w:left="1137" w:right="310" w:hanging="660"/>
            <w:jc w:val="left"/>
          </w:pPr>
          <w:hyperlink w:history="true" w:anchor="_TOC_250007">
            <w:r>
              <w:rPr/>
              <w:t>House of Representatives Standing Committee on Legal and Constitutional</w:t>
            </w:r>
            <w:r>
              <w:rPr>
                <w:spacing w:val="-13"/>
              </w:rPr>
              <w:t> </w:t>
            </w:r>
            <w:r>
              <w:rPr>
                <w:spacing w:val="-2"/>
              </w:rPr>
              <w:t>Affairs</w:t>
            </w:r>
            <w:r>
              <w:rPr/>
              <w:tab/>
            </w:r>
            <w:r>
              <w:rPr>
                <w:spacing w:val="-5"/>
              </w:rPr>
              <w:t>118</w:t>
            </w:r>
          </w:hyperlink>
        </w:p>
        <w:p>
          <w:pPr>
            <w:pStyle w:val="TOC3"/>
            <w:numPr>
              <w:ilvl w:val="1"/>
              <w:numId w:val="3"/>
            </w:numPr>
            <w:tabs>
              <w:tab w:pos="1012" w:val="left" w:leader="none"/>
              <w:tab w:pos="8468" w:val="left" w:leader="dot"/>
            </w:tabs>
            <w:spacing w:line="240" w:lineRule="auto" w:before="120" w:after="0"/>
            <w:ind w:left="1011" w:right="0" w:hanging="535"/>
            <w:jc w:val="left"/>
          </w:pPr>
          <w:hyperlink w:history="true" w:anchor="_TOC_250006">
            <w:r>
              <w:rPr/>
              <w:t>Post</w:t>
            </w:r>
            <w:r>
              <w:rPr>
                <w:spacing w:val="-6"/>
              </w:rPr>
              <w:t> </w:t>
            </w:r>
            <w:r>
              <w:rPr/>
              <w:t>HRSCLCA</w:t>
            </w:r>
            <w:r>
              <w:rPr>
                <w:spacing w:val="-7"/>
              </w:rPr>
              <w:t> </w:t>
            </w:r>
            <w:r>
              <w:rPr>
                <w:spacing w:val="-2"/>
              </w:rPr>
              <w:t>consultation</w:t>
            </w:r>
            <w:r>
              <w:rPr/>
              <w:tab/>
            </w:r>
            <w:r>
              <w:rPr>
                <w:spacing w:val="-5"/>
              </w:rPr>
              <w:t>118</w:t>
            </w:r>
          </w:hyperlink>
        </w:p>
        <w:p>
          <w:pPr>
            <w:pStyle w:val="TOC1"/>
            <w:numPr>
              <w:ilvl w:val="0"/>
              <w:numId w:val="3"/>
            </w:numPr>
            <w:tabs>
              <w:tab w:pos="1137" w:val="left" w:leader="none"/>
              <w:tab w:pos="1138" w:val="left" w:leader="none"/>
              <w:tab w:pos="8468" w:val="left" w:leader="dot"/>
            </w:tabs>
            <w:spacing w:line="240" w:lineRule="auto" w:before="121" w:after="0"/>
            <w:ind w:left="1137" w:right="0" w:hanging="901"/>
            <w:jc w:val="left"/>
          </w:pPr>
          <w:hyperlink w:history="true" w:anchor="_TOC_250005">
            <w:r>
              <w:rPr/>
              <w:t>Statement</w:t>
            </w:r>
            <w:r>
              <w:rPr>
                <w:spacing w:val="-3"/>
              </w:rPr>
              <w:t> </w:t>
            </w:r>
            <w:r>
              <w:rPr/>
              <w:t>of</w:t>
            </w:r>
            <w:r>
              <w:rPr>
                <w:spacing w:val="-1"/>
              </w:rPr>
              <w:t> </w:t>
            </w:r>
            <w:r>
              <w:rPr/>
              <w:t>compliance</w:t>
            </w:r>
            <w:r>
              <w:rPr>
                <w:spacing w:val="-1"/>
              </w:rPr>
              <w:t> </w:t>
            </w:r>
            <w:r>
              <w:rPr/>
              <w:t>with</w:t>
            </w:r>
            <w:r>
              <w:rPr>
                <w:spacing w:val="-2"/>
              </w:rPr>
              <w:t> </w:t>
            </w:r>
            <w:r>
              <w:rPr/>
              <w:t>National</w:t>
            </w:r>
            <w:r>
              <w:rPr>
                <w:spacing w:val="-1"/>
              </w:rPr>
              <w:t> </w:t>
            </w:r>
            <w:r>
              <w:rPr/>
              <w:t>Competition</w:t>
            </w:r>
            <w:r>
              <w:rPr>
                <w:spacing w:val="-3"/>
              </w:rPr>
              <w:t> </w:t>
            </w:r>
            <w:r>
              <w:rPr>
                <w:spacing w:val="-2"/>
              </w:rPr>
              <w:t>Policy</w:t>
            </w:r>
            <w:r>
              <w:rPr/>
              <w:tab/>
            </w:r>
            <w:r>
              <w:rPr>
                <w:spacing w:val="-5"/>
              </w:rPr>
              <w:t>120</w:t>
            </w:r>
          </w:hyperlink>
        </w:p>
        <w:p>
          <w:pPr>
            <w:pStyle w:val="TOC1"/>
            <w:tabs>
              <w:tab w:pos="8464" w:val="left" w:leader="dot"/>
            </w:tabs>
            <w:ind w:left="237" w:firstLine="0"/>
          </w:pPr>
          <w:hyperlink w:history="true" w:anchor="_TOC_250004">
            <w:r>
              <w:rPr>
                <w:spacing w:val="-2"/>
              </w:rPr>
              <w:t>Glossary</w:t>
            </w:r>
            <w:r>
              <w:rPr/>
              <w:tab/>
            </w:r>
            <w:r>
              <w:rPr>
                <w:spacing w:val="-5"/>
              </w:rPr>
              <w:t>121</w:t>
            </w:r>
          </w:hyperlink>
        </w:p>
        <w:p>
          <w:pPr>
            <w:pStyle w:val="TOC1"/>
            <w:tabs>
              <w:tab w:pos="1917" w:val="left" w:leader="none"/>
              <w:tab w:pos="8468" w:val="left" w:leader="dot"/>
            </w:tabs>
            <w:ind w:left="237" w:firstLine="0"/>
          </w:pPr>
          <w:hyperlink w:history="true" w:anchor="_TOC_250003">
            <w:r>
              <w:rPr>
                <w:spacing w:val="-2"/>
              </w:rPr>
              <w:t>Appendix </w:t>
            </w:r>
            <w:r>
              <w:rPr>
                <w:spacing w:val="-7"/>
              </w:rPr>
              <w:t>A:</w:t>
            </w:r>
            <w:r>
              <w:rPr/>
              <w:tab/>
              <w:t>Description</w:t>
            </w:r>
            <w:r>
              <w:rPr>
                <w:spacing w:val="-6"/>
              </w:rPr>
              <w:t> </w:t>
            </w:r>
            <w:r>
              <w:rPr/>
              <w:t>of</w:t>
            </w:r>
            <w:r>
              <w:rPr>
                <w:spacing w:val="-5"/>
              </w:rPr>
              <w:t> </w:t>
            </w:r>
            <w:r>
              <w:rPr/>
              <w:t>RIS</w:t>
            </w:r>
            <w:r>
              <w:rPr>
                <w:spacing w:val="-5"/>
              </w:rPr>
              <w:t> </w:t>
            </w:r>
            <w:r>
              <w:rPr/>
              <w:t>Costing</w:t>
            </w:r>
            <w:r>
              <w:rPr>
                <w:spacing w:val="-5"/>
              </w:rPr>
              <w:t> </w:t>
            </w:r>
            <w:r>
              <w:rPr>
                <w:spacing w:val="-2"/>
              </w:rPr>
              <w:t>Methodology</w:t>
            </w:r>
            <w:r>
              <w:rPr/>
              <w:tab/>
            </w:r>
            <w:r>
              <w:rPr>
                <w:spacing w:val="-5"/>
              </w:rPr>
              <w:t>122</w:t>
            </w:r>
          </w:hyperlink>
        </w:p>
        <w:p>
          <w:pPr>
            <w:pStyle w:val="TOC1"/>
            <w:tabs>
              <w:tab w:pos="1917" w:val="left" w:leader="none"/>
              <w:tab w:pos="8468" w:val="left" w:leader="dot"/>
            </w:tabs>
            <w:ind w:left="237" w:firstLine="0"/>
          </w:pPr>
          <w:hyperlink w:history="true" w:anchor="_TOC_250002">
            <w:r>
              <w:rPr>
                <w:spacing w:val="-2"/>
              </w:rPr>
              <w:t>Appendix </w:t>
            </w:r>
            <w:r>
              <w:rPr>
                <w:spacing w:val="-7"/>
              </w:rPr>
              <w:t>B:</w:t>
            </w:r>
            <w:r>
              <w:rPr/>
              <w:tab/>
              <w:t>Cost</w:t>
            </w:r>
            <w:r>
              <w:rPr>
                <w:spacing w:val="-2"/>
              </w:rPr>
              <w:t> </w:t>
            </w:r>
            <w:r>
              <w:rPr/>
              <w:t>estimates</w:t>
            </w:r>
            <w:r>
              <w:rPr>
                <w:spacing w:val="-2"/>
              </w:rPr>
              <w:t> </w:t>
            </w:r>
            <w:r>
              <w:rPr/>
              <w:t>–</w:t>
            </w:r>
            <w:r>
              <w:rPr>
                <w:spacing w:val="-1"/>
              </w:rPr>
              <w:t> </w:t>
            </w:r>
            <w:r>
              <w:rPr/>
              <w:t>individual</w:t>
            </w:r>
            <w:r>
              <w:rPr>
                <w:spacing w:val="-2"/>
              </w:rPr>
              <w:t> </w:t>
            </w:r>
            <w:r>
              <w:rPr/>
              <w:t>building</w:t>
            </w:r>
            <w:r>
              <w:rPr>
                <w:spacing w:val="-1"/>
              </w:rPr>
              <w:t> </w:t>
            </w:r>
            <w:r>
              <w:rPr/>
              <w:t>upgrade</w:t>
            </w:r>
            <w:r>
              <w:rPr>
                <w:spacing w:val="-2"/>
              </w:rPr>
              <w:t> items</w:t>
            </w:r>
            <w:r>
              <w:rPr/>
              <w:tab/>
            </w:r>
            <w:r>
              <w:rPr>
                <w:spacing w:val="-5"/>
              </w:rPr>
              <w:t>131</w:t>
            </w:r>
          </w:hyperlink>
        </w:p>
        <w:p>
          <w:pPr>
            <w:pStyle w:val="TOC1"/>
            <w:tabs>
              <w:tab w:pos="1917" w:val="left" w:leader="none"/>
              <w:tab w:pos="8468" w:val="left" w:leader="dot"/>
            </w:tabs>
            <w:ind w:left="237" w:firstLine="0"/>
          </w:pPr>
          <w:hyperlink w:history="true" w:anchor="_TOC_250001">
            <w:r>
              <w:rPr>
                <w:spacing w:val="-2"/>
              </w:rPr>
              <w:t>Appendix </w:t>
            </w:r>
            <w:r>
              <w:rPr>
                <w:spacing w:val="-7"/>
              </w:rPr>
              <w:t>C:</w:t>
            </w:r>
            <w:r>
              <w:rPr/>
              <w:tab/>
              <w:t>Matrix</w:t>
            </w:r>
            <w:r>
              <w:rPr>
                <w:spacing w:val="-4"/>
              </w:rPr>
              <w:t> </w:t>
            </w:r>
            <w:r>
              <w:rPr/>
              <w:t>of</w:t>
            </w:r>
            <w:r>
              <w:rPr>
                <w:spacing w:val="-2"/>
              </w:rPr>
              <w:t> </w:t>
            </w:r>
            <w:r>
              <w:rPr/>
              <w:t>building</w:t>
            </w:r>
            <w:r>
              <w:rPr>
                <w:spacing w:val="-3"/>
              </w:rPr>
              <w:t> </w:t>
            </w:r>
            <w:r>
              <w:rPr/>
              <w:t>case</w:t>
            </w:r>
            <w:r>
              <w:rPr>
                <w:spacing w:val="-3"/>
              </w:rPr>
              <w:t> </w:t>
            </w:r>
            <w:r>
              <w:rPr>
                <w:spacing w:val="-2"/>
              </w:rPr>
              <w:t>studies</w:t>
            </w:r>
            <w:r>
              <w:rPr/>
              <w:tab/>
            </w:r>
            <w:r>
              <w:rPr>
                <w:spacing w:val="-5"/>
              </w:rPr>
              <w:t>139</w:t>
            </w:r>
          </w:hyperlink>
        </w:p>
        <w:p>
          <w:pPr>
            <w:pStyle w:val="TOC1"/>
            <w:tabs>
              <w:tab w:pos="1917" w:val="left" w:leader="none"/>
              <w:tab w:pos="8468" w:val="left" w:leader="dot"/>
            </w:tabs>
            <w:ind w:left="237" w:firstLine="0"/>
          </w:pPr>
          <w:hyperlink w:history="true" w:anchor="_TOC_250000">
            <w:r>
              <w:rPr>
                <w:spacing w:val="-2"/>
              </w:rPr>
              <w:t>Appendix </w:t>
            </w:r>
            <w:r>
              <w:rPr>
                <w:spacing w:val="-7"/>
              </w:rPr>
              <w:t>D:</w:t>
            </w:r>
            <w:r>
              <w:rPr/>
              <w:tab/>
              <w:t>2009</w:t>
            </w:r>
            <w:r>
              <w:rPr>
                <w:spacing w:val="-7"/>
              </w:rPr>
              <w:t> </w:t>
            </w:r>
            <w:r>
              <w:rPr/>
              <w:t>Addendum</w:t>
            </w:r>
            <w:r>
              <w:rPr>
                <w:spacing w:val="-6"/>
              </w:rPr>
              <w:t> </w:t>
            </w:r>
            <w:r>
              <w:rPr/>
              <w:t>to</w:t>
            </w:r>
            <w:r>
              <w:rPr>
                <w:spacing w:val="-7"/>
              </w:rPr>
              <w:t> </w:t>
            </w:r>
            <w:r>
              <w:rPr/>
              <w:t>RIS</w:t>
            </w:r>
            <w:r>
              <w:rPr>
                <w:spacing w:val="-6"/>
              </w:rPr>
              <w:t> </w:t>
            </w:r>
            <w:r>
              <w:rPr/>
              <w:t>2008-</w:t>
            </w:r>
            <w:r>
              <w:rPr>
                <w:spacing w:val="-5"/>
              </w:rPr>
              <w:t>02</w:t>
            </w:r>
            <w:r>
              <w:rPr/>
              <w:tab/>
            </w:r>
            <w:r>
              <w:rPr>
                <w:spacing w:val="-5"/>
              </w:rPr>
              <w:t>140</w:t>
            </w:r>
          </w:hyperlink>
        </w:p>
        <w:p>
          <w:pPr>
            <w:pStyle w:val="TOC2"/>
            <w:tabs>
              <w:tab w:pos="1917" w:val="left" w:leader="none"/>
              <w:tab w:pos="8468" w:val="left" w:leader="dot"/>
            </w:tabs>
            <w:rPr>
              <w:i w:val="0"/>
              <w:sz w:val="24"/>
            </w:rPr>
          </w:pPr>
          <w:r>
            <w:rPr>
              <w:i w:val="0"/>
              <w:spacing w:val="-2"/>
              <w:sz w:val="24"/>
            </w:rPr>
            <w:t>Appendix </w:t>
          </w:r>
          <w:r>
            <w:rPr>
              <w:i w:val="0"/>
              <w:spacing w:val="-7"/>
              <w:sz w:val="24"/>
            </w:rPr>
            <w:t>E:</w:t>
          </w:r>
          <w:r>
            <w:rPr>
              <w:i w:val="0"/>
              <w:sz w:val="24"/>
            </w:rPr>
            <w:tab/>
            <w:t>List</w:t>
          </w:r>
          <w:r>
            <w:rPr>
              <w:i w:val="0"/>
              <w:spacing w:val="-8"/>
              <w:sz w:val="24"/>
            </w:rPr>
            <w:t> </w:t>
          </w:r>
          <w:r>
            <w:rPr>
              <w:i w:val="0"/>
              <w:sz w:val="24"/>
            </w:rPr>
            <w:t>of</w:t>
          </w:r>
          <w:r>
            <w:rPr>
              <w:i w:val="0"/>
              <w:spacing w:val="-8"/>
              <w:sz w:val="24"/>
            </w:rPr>
            <w:t> </w:t>
          </w:r>
          <w:r>
            <w:rPr>
              <w:i w:val="0"/>
              <w:sz w:val="24"/>
            </w:rPr>
            <w:t>Recommendations</w:t>
          </w:r>
          <w:r>
            <w:rPr>
              <w:i w:val="0"/>
              <w:spacing w:val="-8"/>
              <w:sz w:val="24"/>
            </w:rPr>
            <w:t> </w:t>
          </w:r>
          <w:r>
            <w:rPr>
              <w:i w:val="0"/>
              <w:sz w:val="24"/>
            </w:rPr>
            <w:t>from</w:t>
          </w:r>
          <w:r>
            <w:rPr>
              <w:i w:val="0"/>
              <w:spacing w:val="-11"/>
              <w:sz w:val="24"/>
            </w:rPr>
            <w:t> </w:t>
          </w:r>
          <w:r>
            <w:rPr>
              <w:i/>
              <w:sz w:val="24"/>
            </w:rPr>
            <w:t>Access</w:t>
          </w:r>
          <w:r>
            <w:rPr>
              <w:i/>
              <w:spacing w:val="-8"/>
              <w:sz w:val="24"/>
            </w:rPr>
            <w:t> </w:t>
          </w:r>
          <w:r>
            <w:rPr>
              <w:i/>
              <w:sz w:val="24"/>
            </w:rPr>
            <w:t>all</w:t>
          </w:r>
          <w:r>
            <w:rPr>
              <w:i/>
              <w:spacing w:val="-8"/>
              <w:sz w:val="24"/>
            </w:rPr>
            <w:t> </w:t>
          </w:r>
          <w:r>
            <w:rPr>
              <w:i/>
              <w:spacing w:val="-2"/>
              <w:sz w:val="24"/>
            </w:rPr>
            <w:t>Areas</w:t>
          </w:r>
          <w:r>
            <w:rPr>
              <w:i/>
              <w:sz w:val="24"/>
            </w:rPr>
            <w:tab/>
          </w:r>
          <w:r>
            <w:rPr>
              <w:i w:val="0"/>
              <w:spacing w:val="-5"/>
              <w:sz w:val="24"/>
            </w:rPr>
            <w:t>157</w:t>
          </w:r>
        </w:p>
      </w:sdtContent>
    </w:sdt>
    <w:p>
      <w:pPr>
        <w:spacing w:after="0"/>
        <w:rPr>
          <w:sz w:val="24"/>
        </w:rPr>
        <w:sectPr>
          <w:type w:val="continuous"/>
          <w:pgSz w:w="12240" w:h="15840"/>
          <w:pgMar w:header="0" w:footer="1140" w:top="1359" w:bottom="2015" w:left="1560" w:right="1500"/>
        </w:sectPr>
      </w:pPr>
    </w:p>
    <w:p>
      <w:pPr>
        <w:pStyle w:val="Heading1"/>
        <w:numPr>
          <w:ilvl w:val="0"/>
          <w:numId w:val="4"/>
        </w:numPr>
        <w:tabs>
          <w:tab w:pos="957" w:val="left" w:leader="none"/>
          <w:tab w:pos="958" w:val="left" w:leader="none"/>
        </w:tabs>
        <w:spacing w:line="240" w:lineRule="auto" w:before="78" w:after="0"/>
        <w:ind w:left="957" w:right="0" w:hanging="721"/>
        <w:jc w:val="left"/>
      </w:pPr>
      <w:bookmarkStart w:name="1 Introduction" w:id="9"/>
      <w:bookmarkEnd w:id="9"/>
      <w:r>
        <w:rPr>
          <w:b w:val="0"/>
        </w:rPr>
      </w:r>
      <w:bookmarkStart w:name="_bookmark6" w:id="10"/>
      <w:bookmarkEnd w:id="10"/>
      <w:r>
        <w:rPr>
          <w:spacing w:val="-2"/>
        </w:rPr>
        <w:t>Introduction</w:t>
      </w:r>
    </w:p>
    <w:p>
      <w:pPr>
        <w:pStyle w:val="BodyText"/>
        <w:spacing w:before="239"/>
        <w:ind w:left="237" w:right="293"/>
        <w:jc w:val="both"/>
      </w:pPr>
      <w:r>
        <w:rPr/>
        <w:t>The Building Code</w:t>
      </w:r>
      <w:r>
        <w:rPr/>
        <w:t> of</w:t>
      </w:r>
      <w:r>
        <w:rPr/>
        <w:t> Australia</w:t>
      </w:r>
      <w:r>
        <w:rPr/>
        <w:t> (BCA)</w:t>
      </w:r>
      <w:r>
        <w:rPr/>
        <w:t> is</w:t>
      </w:r>
      <w:r>
        <w:rPr/>
        <w:t> a</w:t>
      </w:r>
      <w:r>
        <w:rPr/>
        <w:t> comprehensive</w:t>
      </w:r>
      <w:r>
        <w:rPr/>
        <w:t> statement</w:t>
      </w:r>
      <w:r>
        <w:rPr/>
        <w:t> of</w:t>
      </w:r>
      <w:r>
        <w:rPr/>
        <w:t> the technical</w:t>
      </w:r>
      <w:r>
        <w:rPr/>
        <w:t> requirements</w:t>
      </w:r>
      <w:r>
        <w:rPr/>
        <w:t> for</w:t>
      </w:r>
      <w:r>
        <w:rPr/>
        <w:t> the</w:t>
      </w:r>
      <w:r>
        <w:rPr/>
        <w:t> design</w:t>
      </w:r>
      <w:r>
        <w:rPr/>
        <w:t> and</w:t>
      </w:r>
      <w:r>
        <w:rPr/>
        <w:t> construction</w:t>
      </w:r>
      <w:r>
        <w:rPr/>
        <w:t> of</w:t>
      </w:r>
      <w:r>
        <w:rPr/>
        <w:t> buildings. It sets standards</w:t>
      </w:r>
      <w:r>
        <w:rPr>
          <w:spacing w:val="-1"/>
        </w:rPr>
        <w:t> </w:t>
      </w:r>
      <w:r>
        <w:rPr/>
        <w:t>for</w:t>
      </w:r>
      <w:r>
        <w:rPr>
          <w:spacing w:val="-1"/>
        </w:rPr>
        <w:t> </w:t>
      </w:r>
      <w:r>
        <w:rPr/>
        <w:t>the</w:t>
      </w:r>
      <w:r>
        <w:rPr>
          <w:spacing w:val="-1"/>
        </w:rPr>
        <w:t> </w:t>
      </w:r>
      <w:r>
        <w:rPr/>
        <w:t>performance</w:t>
      </w:r>
      <w:r>
        <w:rPr>
          <w:spacing w:val="-1"/>
        </w:rPr>
        <w:t> </w:t>
      </w:r>
      <w:r>
        <w:rPr/>
        <w:t>of</w:t>
      </w:r>
      <w:r>
        <w:rPr>
          <w:spacing w:val="-1"/>
        </w:rPr>
        <w:t> </w:t>
      </w:r>
      <w:r>
        <w:rPr/>
        <w:t>buildings</w:t>
      </w:r>
      <w:r>
        <w:rPr>
          <w:spacing w:val="-1"/>
        </w:rPr>
        <w:t> </w:t>
      </w:r>
      <w:r>
        <w:rPr/>
        <w:t>in</w:t>
      </w:r>
      <w:r>
        <w:rPr>
          <w:spacing w:val="-1"/>
        </w:rPr>
        <w:t> </w:t>
      </w:r>
      <w:r>
        <w:rPr/>
        <w:t>terms</w:t>
      </w:r>
      <w:r>
        <w:rPr>
          <w:spacing w:val="-1"/>
        </w:rPr>
        <w:t> </w:t>
      </w:r>
      <w:r>
        <w:rPr/>
        <w:t>of</w:t>
      </w:r>
      <w:r>
        <w:rPr>
          <w:spacing w:val="-1"/>
        </w:rPr>
        <w:t> </w:t>
      </w:r>
      <w:r>
        <w:rPr/>
        <w:t>health,</w:t>
      </w:r>
      <w:r>
        <w:rPr>
          <w:spacing w:val="-1"/>
        </w:rPr>
        <w:t> </w:t>
      </w:r>
      <w:r>
        <w:rPr/>
        <w:t>safety, amenity</w:t>
      </w:r>
      <w:r>
        <w:rPr>
          <w:spacing w:val="-1"/>
        </w:rPr>
        <w:t> </w:t>
      </w:r>
      <w:r>
        <w:rPr/>
        <w:t>and sustainability. The BCA is referenced in all State and Territory building legislation and applies to building work on new and existing buildings.</w:t>
      </w:r>
      <w:r>
        <w:rPr>
          <w:spacing w:val="80"/>
        </w:rPr>
        <w:t> </w:t>
      </w:r>
      <w:r>
        <w:rPr/>
        <w:t>The BCA also contains specific provisions in relation to the use of buildings by people with a disability, including requirements for access to and within buildings and provision of appropriate sanitary facilities.</w:t>
      </w:r>
    </w:p>
    <w:p>
      <w:pPr>
        <w:pStyle w:val="BodyText"/>
        <w:spacing w:before="10"/>
        <w:rPr>
          <w:sz w:val="23"/>
        </w:rPr>
      </w:pPr>
    </w:p>
    <w:p>
      <w:pPr>
        <w:pStyle w:val="BodyText"/>
        <w:spacing w:before="1"/>
        <w:ind w:left="237" w:right="293"/>
        <w:jc w:val="both"/>
      </w:pPr>
      <w:r>
        <w:rPr/>
        <w:t>The issue of the accessibility of buildings for people with a disability is also regulated by the Australian Government’s </w:t>
      </w:r>
      <w:r>
        <w:rPr>
          <w:i/>
        </w:rPr>
        <w:t>Disability</w:t>
      </w:r>
      <w:r>
        <w:rPr>
          <w:i/>
        </w:rPr>
        <w:t> Discrimination</w:t>
      </w:r>
      <w:r>
        <w:rPr>
          <w:i/>
        </w:rPr>
        <w:t> Act</w:t>
      </w:r>
      <w:r>
        <w:rPr>
          <w:i/>
        </w:rPr>
        <w:t> 1992</w:t>
      </w:r>
      <w:r>
        <w:rPr>
          <w:i/>
        </w:rPr>
        <w:t> (DDA).</w:t>
      </w:r>
      <w:r>
        <w:rPr>
          <w:i/>
          <w:spacing w:val="40"/>
        </w:rPr>
        <w:t> </w:t>
      </w:r>
      <w:r>
        <w:rPr/>
        <w:t>The</w:t>
      </w:r>
      <w:r>
        <w:rPr>
          <w:spacing w:val="-1"/>
        </w:rPr>
        <w:t> </w:t>
      </w:r>
      <w:r>
        <w:rPr/>
        <w:t>DDA</w:t>
      </w:r>
      <w:r>
        <w:rPr>
          <w:spacing w:val="-1"/>
        </w:rPr>
        <w:t> </w:t>
      </w:r>
      <w:r>
        <w:rPr/>
        <w:t>provides</w:t>
      </w:r>
      <w:r>
        <w:rPr>
          <w:spacing w:val="-1"/>
        </w:rPr>
        <w:t> </w:t>
      </w:r>
      <w:r>
        <w:rPr/>
        <w:t>that it is</w:t>
      </w:r>
      <w:r>
        <w:rPr>
          <w:spacing w:val="-1"/>
        </w:rPr>
        <w:t> </w:t>
      </w:r>
      <w:r>
        <w:rPr/>
        <w:t>unlawful to discriminate against people with a disability in a wide range of contexts, including in the provision of employment, education, access to premises, the provision of transport, goods, services and facilities, and the provision of accommodation. Section 23 of the DDA deals specifically with access to premises.</w:t>
      </w:r>
      <w:r>
        <w:rPr>
          <w:spacing w:val="40"/>
        </w:rPr>
        <w:t> </w:t>
      </w:r>
      <w:r>
        <w:rPr/>
        <w:t>It provides that it is unlawful to discriminate against a person with a disability in relation to provision of access to premises other than where providing the required access would cause “unjustifiable hardship” (UJH).</w:t>
      </w:r>
    </w:p>
    <w:p>
      <w:pPr>
        <w:pStyle w:val="BodyText"/>
      </w:pPr>
    </w:p>
    <w:p>
      <w:pPr>
        <w:pStyle w:val="BodyText"/>
        <w:ind w:left="237" w:right="293"/>
        <w:jc w:val="both"/>
      </w:pPr>
      <w:r>
        <w:rPr/>
        <w:t>Section 23 is general in its scope, rather than detailed, specific and prescriptive</w:t>
      </w:r>
      <w:r>
        <w:rPr>
          <w:spacing w:val="40"/>
        </w:rPr>
        <w:t> </w:t>
      </w:r>
      <w:r>
        <w:rPr/>
        <w:t>in its requirements</w:t>
      </w:r>
      <w:r>
        <w:rPr>
          <w:vertAlign w:val="superscript"/>
        </w:rPr>
        <w:t>6</w:t>
      </w:r>
      <w:r>
        <w:rPr>
          <w:vertAlign w:val="baseline"/>
        </w:rPr>
        <w:t>. There is a concern in industry that this leaves room for considerable uncertainty as to the specific compliance obligations the DDA imposes, which, in turn, may lead to inadequate levels of overall compliance with the requirements of the DDA.</w:t>
      </w:r>
      <w:r>
        <w:rPr>
          <w:spacing w:val="40"/>
          <w:vertAlign w:val="baseline"/>
        </w:rPr>
        <w:t> </w:t>
      </w:r>
      <w:r>
        <w:rPr>
          <w:vertAlign w:val="baseline"/>
        </w:rPr>
        <w:t>Moreover, the existence of two regulatory instruments in relation to access to premises clearly gives rise to the risk of potential non-compliance with all obligations.</w:t>
      </w:r>
      <w:r>
        <w:rPr>
          <w:spacing w:val="40"/>
          <w:vertAlign w:val="baseline"/>
        </w:rPr>
        <w:t> </w:t>
      </w:r>
      <w:r>
        <w:rPr>
          <w:vertAlign w:val="baseline"/>
        </w:rPr>
        <w:t>For example, compliance with the current provisions of the BCA is not necessarily sufficient to ensure compliance with the DDA.</w:t>
      </w:r>
    </w:p>
    <w:p>
      <w:pPr>
        <w:pStyle w:val="BodyText"/>
      </w:pPr>
    </w:p>
    <w:p>
      <w:pPr>
        <w:pStyle w:val="BodyText"/>
        <w:ind w:left="237" w:right="293"/>
        <w:jc w:val="both"/>
      </w:pPr>
      <w:r>
        <w:rPr/>
        <w:t>The proposed regulatory changes attempt to address both of these issues.</w:t>
      </w:r>
      <w:r>
        <w:rPr>
          <w:spacing w:val="40"/>
        </w:rPr>
        <w:t> </w:t>
      </w:r>
      <w:r>
        <w:rPr/>
        <w:t>The main mechanism adopted is to ensure that detailed technical requirements for compliance with the access to premises aspects of the DDA are formulated, which will ensure compliance with the DDA, and that these are reflected in the requirements of the BCA.</w:t>
      </w:r>
      <w:r>
        <w:rPr>
          <w:spacing w:val="80"/>
        </w:rPr>
        <w:t> </w:t>
      </w:r>
      <w:r>
        <w:rPr/>
        <w:t>The purpose of this Regulation Impact Statement</w:t>
      </w:r>
      <w:r>
        <w:rPr>
          <w:spacing w:val="40"/>
        </w:rPr>
        <w:t> </w:t>
      </w:r>
      <w:r>
        <w:rPr/>
        <w:t>(RIS) is to assess the costs and benefits of the proposed Disability (Access to Premises - Buildings) Standards - known hereafter as the 'Premises Standards' - to be formulated under the DDA. The Premises Standards contains both detailed</w:t>
      </w:r>
    </w:p>
    <w:p>
      <w:pPr>
        <w:pStyle w:val="BodyText"/>
        <w:rPr>
          <w:sz w:val="20"/>
        </w:rPr>
      </w:pPr>
    </w:p>
    <w:p>
      <w:pPr>
        <w:pStyle w:val="BodyText"/>
        <w:spacing w:before="7"/>
        <w:rPr>
          <w:sz w:val="16"/>
        </w:rPr>
      </w:pPr>
      <w:r>
        <w:rPr/>
        <w:pict>
          <v:rect style="position:absolute;margin-left:89.879997pt;margin-top:10.762021pt;width:144pt;height:.6pt;mso-position-horizontal-relative:page;mso-position-vertical-relative:paragraph;z-index:-15726592;mso-wrap-distance-left:0;mso-wrap-distance-right:0" id="docshape7" filled="true" fillcolor="#000000" stroked="false">
            <v:fill type="solid"/>
            <w10:wrap type="topAndBottom"/>
          </v:rect>
        </w:pict>
      </w:r>
    </w:p>
    <w:p>
      <w:pPr>
        <w:pStyle w:val="BodyText"/>
        <w:spacing w:before="1"/>
        <w:rPr>
          <w:sz w:val="8"/>
        </w:rPr>
      </w:pPr>
    </w:p>
    <w:p>
      <w:pPr>
        <w:spacing w:before="130"/>
        <w:ind w:left="237" w:right="294" w:hanging="1"/>
        <w:jc w:val="both"/>
        <w:rPr>
          <w:sz w:val="20"/>
        </w:rPr>
      </w:pPr>
      <w:r>
        <w:rPr>
          <w:sz w:val="20"/>
          <w:vertAlign w:val="superscript"/>
        </w:rPr>
        <w:t>6</w:t>
      </w:r>
      <w:r>
        <w:rPr>
          <w:sz w:val="20"/>
          <w:vertAlign w:val="baseline"/>
        </w:rPr>
        <w:t> However, the Australian Human Rights Commission (formerly the Human Rights and Equal Opportunity Commission) has issued Advisory Notes, which are intended to provide guidance in relation to the possible requirements of particular sections of the DDA, rather than forming part of the regulatory structure, </w:t>
      </w:r>
      <w:r>
        <w:rPr>
          <w:i/>
          <w:sz w:val="20"/>
          <w:vertAlign w:val="baseline"/>
        </w:rPr>
        <w:t>per se</w:t>
      </w:r>
      <w:r>
        <w:rPr>
          <w:sz w:val="20"/>
          <w:vertAlign w:val="baseline"/>
        </w:rPr>
        <w:t>.</w:t>
      </w:r>
    </w:p>
    <w:p>
      <w:pPr>
        <w:spacing w:after="0"/>
        <w:jc w:val="both"/>
        <w:rPr>
          <w:sz w:val="20"/>
        </w:rPr>
        <w:sectPr>
          <w:footerReference w:type="default" r:id="rId8"/>
          <w:pgSz w:w="12240" w:h="15840"/>
          <w:pgMar w:footer="1140" w:header="0" w:top="1480" w:bottom="1340" w:left="1560" w:right="1500"/>
          <w:pgNumType w:start="1"/>
        </w:sectPr>
      </w:pPr>
    </w:p>
    <w:p>
      <w:pPr>
        <w:pStyle w:val="BodyText"/>
        <w:spacing w:before="77"/>
        <w:ind w:left="237" w:right="295"/>
        <w:jc w:val="both"/>
      </w:pPr>
      <w:r>
        <w:rPr/>
        <w:t>technical requirements and the necessary framework provisions setting out their status under the DDA and specifying their application in practice.</w:t>
      </w:r>
      <w:r>
        <w:rPr>
          <w:spacing w:val="80"/>
        </w:rPr>
        <w:t> </w:t>
      </w:r>
      <w:r>
        <w:rPr/>
        <w:t>The BCA will be amended to adopt identical technical requirements.</w:t>
      </w:r>
    </w:p>
    <w:p>
      <w:pPr>
        <w:pStyle w:val="BodyText"/>
        <w:spacing w:before="11"/>
        <w:rPr>
          <w:sz w:val="23"/>
        </w:rPr>
      </w:pPr>
    </w:p>
    <w:p>
      <w:pPr>
        <w:pStyle w:val="BodyText"/>
        <w:ind w:left="237" w:right="294"/>
        <w:jc w:val="both"/>
      </w:pPr>
      <w:r>
        <w:rPr/>
        <w:t>This co-operative approach to reforming the existing legislative requirements therefore aims to achieve improved transparency and predictability in relation to legislative requirements for providing access to premises.</w:t>
      </w:r>
      <w:r>
        <w:rPr>
          <w:spacing w:val="40"/>
        </w:rPr>
        <w:t> </w:t>
      </w:r>
      <w:r>
        <w:rPr/>
        <w:t>It also aims to substantially improve the current level of compliance with the general duty to provide access to premises currently imposed under the DDA and to ensure that compliance with building legislation will provide a high level of confidence that DDA requirements are being met.</w:t>
      </w:r>
    </w:p>
    <w:p>
      <w:pPr>
        <w:pStyle w:val="BodyText"/>
      </w:pPr>
    </w:p>
    <w:p>
      <w:pPr>
        <w:pStyle w:val="BodyText"/>
        <w:ind w:left="237" w:right="293"/>
        <w:jc w:val="both"/>
      </w:pPr>
      <w:r>
        <w:rPr/>
        <w:t>Given this context, it is arguable that the proposed changes, while substantially amending the relevant parts of the BCA, do not create any new compliance obligations that do not already exist under the DDA’s general duties provisions. Indeed, it has been suggested by some stakeholders that, by codifying a particular set of requirements and establishing that compliance with them will be taken as compliance with both DDA and BCA obligations, the current exercise could even reduce the “reach” of the currently provided general duties under the DDA, rather than imposing new obligations. This would be so to the extent that the technical provisions to be contained in the Premises Standards (and the amended BCA) were less extensive than might be held by a court to be required under Section 23 for provision of access to premises in proceedings brought under the DDA.</w:t>
      </w:r>
    </w:p>
    <w:p>
      <w:pPr>
        <w:pStyle w:val="BodyText"/>
      </w:pPr>
    </w:p>
    <w:p>
      <w:pPr>
        <w:pStyle w:val="BodyText"/>
        <w:spacing w:before="1"/>
        <w:ind w:left="237" w:right="293"/>
        <w:jc w:val="both"/>
      </w:pPr>
      <w:r>
        <w:rPr/>
        <w:t>In terms of this conceptual viewpoint, it follows that no additional compliance costs beyond existing legal obligations under the DDA can reasonably be attributed to the proposed Premises Standards. It is widely considered that compliance with the DDA is at low levels, both due to uncertainty as to the specific nature</w:t>
      </w:r>
      <w:r>
        <w:rPr>
          <w:spacing w:val="-1"/>
        </w:rPr>
        <w:t> </w:t>
      </w:r>
      <w:r>
        <w:rPr/>
        <w:t>of</w:t>
      </w:r>
      <w:r>
        <w:rPr>
          <w:spacing w:val="-1"/>
        </w:rPr>
        <w:t> </w:t>
      </w:r>
      <w:r>
        <w:rPr/>
        <w:t>compliance obligations and due to the complaints-based nature of the enforcement arrangements under the DDA.</w:t>
      </w:r>
      <w:r>
        <w:rPr>
          <w:spacing w:val="40"/>
        </w:rPr>
        <w:t> </w:t>
      </w:r>
      <w:r>
        <w:rPr/>
        <w:t>Thus, in practical terms, both the expected benefits and the expected costs associated with the proposed Premises Standards are expected to be substantial.</w:t>
      </w:r>
    </w:p>
    <w:p>
      <w:pPr>
        <w:pStyle w:val="BodyText"/>
        <w:spacing w:before="10"/>
        <w:rPr>
          <w:sz w:val="23"/>
        </w:rPr>
      </w:pPr>
    </w:p>
    <w:p>
      <w:pPr>
        <w:pStyle w:val="BodyText"/>
        <w:ind w:left="237" w:right="294"/>
        <w:jc w:val="both"/>
      </w:pPr>
      <w:r>
        <w:rPr/>
        <w:t>A draft RIS in respect of the original Premises Standards proposal was released for public consultation in February 2004.</w:t>
      </w:r>
      <w:r>
        <w:rPr>
          <w:spacing w:val="40"/>
        </w:rPr>
        <w:t> </w:t>
      </w:r>
      <w:r>
        <w:rPr/>
        <w:t>Substantial stakeholder comment was received,</w:t>
      </w:r>
      <w:r>
        <w:rPr>
          <w:spacing w:val="-4"/>
        </w:rPr>
        <w:t> </w:t>
      </w:r>
      <w:r>
        <w:rPr/>
        <w:t>and</w:t>
      </w:r>
      <w:r>
        <w:rPr>
          <w:spacing w:val="-4"/>
        </w:rPr>
        <w:t> </w:t>
      </w:r>
      <w:r>
        <w:rPr/>
        <w:t>significant</w:t>
      </w:r>
      <w:r>
        <w:rPr>
          <w:spacing w:val="-4"/>
        </w:rPr>
        <w:t> </w:t>
      </w:r>
      <w:r>
        <w:rPr/>
        <w:t>work</w:t>
      </w:r>
      <w:r>
        <w:rPr>
          <w:spacing w:val="-4"/>
        </w:rPr>
        <w:t> </w:t>
      </w:r>
      <w:r>
        <w:rPr/>
        <w:t>has</w:t>
      </w:r>
      <w:r>
        <w:rPr>
          <w:spacing w:val="-4"/>
        </w:rPr>
        <w:t> </w:t>
      </w:r>
      <w:r>
        <w:rPr/>
        <w:t>subsequently</w:t>
      </w:r>
      <w:r>
        <w:rPr>
          <w:spacing w:val="-4"/>
        </w:rPr>
        <w:t> </w:t>
      </w:r>
      <w:r>
        <w:rPr/>
        <w:t>been</w:t>
      </w:r>
      <w:r>
        <w:rPr>
          <w:spacing w:val="-4"/>
        </w:rPr>
        <w:t> </w:t>
      </w:r>
      <w:r>
        <w:rPr/>
        <w:t>undertaken</w:t>
      </w:r>
      <w:r>
        <w:rPr>
          <w:spacing w:val="-4"/>
        </w:rPr>
        <w:t> </w:t>
      </w:r>
      <w:r>
        <w:rPr/>
        <w:t>to</w:t>
      </w:r>
      <w:r>
        <w:rPr>
          <w:spacing w:val="-4"/>
        </w:rPr>
        <w:t> </w:t>
      </w:r>
      <w:r>
        <w:rPr/>
        <w:t>further</w:t>
      </w:r>
      <w:r>
        <w:rPr>
          <w:spacing w:val="-4"/>
        </w:rPr>
        <w:t> </w:t>
      </w:r>
      <w:r>
        <w:rPr/>
        <w:t>refine and develop the draft proposal.</w:t>
      </w:r>
      <w:r>
        <w:rPr>
          <w:spacing w:val="40"/>
        </w:rPr>
        <w:t> </w:t>
      </w:r>
      <w:r>
        <w:rPr/>
        <w:t>This is in addition to another major review and consultation process undertaken by the House of Representatives Standing Committee on Legal and Constitutional Affairs in late 2008 and, early 2009. The latter process resulted in the release of the report </w:t>
      </w:r>
      <w:r>
        <w:rPr>
          <w:i/>
        </w:rPr>
        <w:t>Access all Areas</w:t>
      </w:r>
      <w:r>
        <w:rPr>
          <w:i/>
          <w:vertAlign w:val="superscript"/>
        </w:rPr>
        <w:t>7</w:t>
      </w:r>
      <w:r>
        <w:rPr>
          <w:vertAlign w:val="baseline"/>
        </w:rPr>
        <w:t>, in June 2009, and containing recommendations, the responses to which are analysed in</w:t>
      </w:r>
    </w:p>
    <w:p>
      <w:pPr>
        <w:pStyle w:val="BodyText"/>
        <w:spacing w:before="10"/>
        <w:rPr>
          <w:sz w:val="23"/>
        </w:rPr>
      </w:pPr>
      <w:r>
        <w:rPr/>
        <w:pict>
          <v:rect style="position:absolute;margin-left:89.879997pt;margin-top:14.949121pt;width:144pt;height:.6pt;mso-position-horizontal-relative:page;mso-position-vertical-relative:paragraph;z-index:-15726080;mso-wrap-distance-left:0;mso-wrap-distance-right:0" id="docshape8"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7</w:t>
      </w:r>
      <w:r>
        <w:rPr>
          <w:spacing w:val="-3"/>
          <w:sz w:val="20"/>
          <w:vertAlign w:val="baseline"/>
        </w:rPr>
        <w:t> </w:t>
      </w:r>
      <w:r>
        <w:rPr>
          <w:sz w:val="20"/>
          <w:vertAlign w:val="baseline"/>
        </w:rPr>
        <w:t>Access</w:t>
      </w:r>
      <w:r>
        <w:rPr>
          <w:spacing w:val="-3"/>
          <w:sz w:val="20"/>
          <w:vertAlign w:val="baseline"/>
        </w:rPr>
        <w:t> </w:t>
      </w:r>
      <w:r>
        <w:rPr>
          <w:sz w:val="20"/>
          <w:vertAlign w:val="baseline"/>
        </w:rPr>
        <w:t>All</w:t>
      </w:r>
      <w:r>
        <w:rPr>
          <w:spacing w:val="-3"/>
          <w:sz w:val="20"/>
          <w:vertAlign w:val="baseline"/>
        </w:rPr>
        <w:t> </w:t>
      </w:r>
      <w:r>
        <w:rPr>
          <w:sz w:val="20"/>
          <w:vertAlign w:val="baseline"/>
        </w:rPr>
        <w:t>Areas</w:t>
      </w:r>
      <w:r>
        <w:rPr>
          <w:spacing w:val="-3"/>
          <w:sz w:val="20"/>
          <w:vertAlign w:val="baseline"/>
        </w:rPr>
        <w:t> </w:t>
      </w:r>
      <w:r>
        <w:rPr>
          <w:sz w:val="20"/>
          <w:vertAlign w:val="baseline"/>
        </w:rPr>
        <w:t>(June</w:t>
      </w:r>
      <w:r>
        <w:rPr>
          <w:spacing w:val="-3"/>
          <w:sz w:val="20"/>
          <w:vertAlign w:val="baseline"/>
        </w:rPr>
        <w:t> </w:t>
      </w:r>
      <w:r>
        <w:rPr>
          <w:sz w:val="20"/>
          <w:vertAlign w:val="baseline"/>
        </w:rPr>
        <w:t>2009)</w:t>
      </w:r>
      <w:r>
        <w:rPr>
          <w:spacing w:val="-3"/>
          <w:sz w:val="20"/>
          <w:vertAlign w:val="baseline"/>
        </w:rPr>
        <w:t> </w:t>
      </w:r>
      <w:r>
        <w:rPr>
          <w:sz w:val="20"/>
          <w:vertAlign w:val="baseline"/>
        </w:rPr>
        <w:t>–</w:t>
      </w:r>
      <w:r>
        <w:rPr>
          <w:spacing w:val="-3"/>
          <w:sz w:val="20"/>
          <w:vertAlign w:val="baseline"/>
        </w:rPr>
        <w:t> </w:t>
      </w:r>
      <w:r>
        <w:rPr>
          <w:sz w:val="20"/>
          <w:vertAlign w:val="baseline"/>
        </w:rPr>
        <w:t>Report</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Inquiry</w:t>
      </w:r>
      <w:r>
        <w:rPr>
          <w:spacing w:val="-3"/>
          <w:sz w:val="20"/>
          <w:vertAlign w:val="baseline"/>
        </w:rPr>
        <w:t> </w:t>
      </w:r>
      <w:r>
        <w:rPr>
          <w:sz w:val="20"/>
          <w:vertAlign w:val="baseline"/>
        </w:rPr>
        <w:t>into</w:t>
      </w:r>
      <w:r>
        <w:rPr>
          <w:spacing w:val="-3"/>
          <w:sz w:val="20"/>
          <w:vertAlign w:val="baseline"/>
        </w:rPr>
        <w:t> </w:t>
      </w:r>
      <w:r>
        <w:rPr>
          <w:sz w:val="20"/>
          <w:vertAlign w:val="baseline"/>
        </w:rPr>
        <w:t>Draft</w:t>
      </w:r>
      <w:r>
        <w:rPr>
          <w:spacing w:val="-3"/>
          <w:sz w:val="20"/>
          <w:vertAlign w:val="baseline"/>
        </w:rPr>
        <w:t> </w:t>
      </w:r>
      <w:r>
        <w:rPr>
          <w:sz w:val="20"/>
          <w:vertAlign w:val="baseline"/>
        </w:rPr>
        <w:t>Disability</w:t>
      </w:r>
      <w:r>
        <w:rPr>
          <w:spacing w:val="-3"/>
          <w:sz w:val="20"/>
          <w:vertAlign w:val="baseline"/>
        </w:rPr>
        <w:t> </w:t>
      </w:r>
      <w:r>
        <w:rPr>
          <w:sz w:val="20"/>
          <w:vertAlign w:val="baseline"/>
        </w:rPr>
        <w:t>(Access</w:t>
      </w:r>
      <w:r>
        <w:rPr>
          <w:spacing w:val="-3"/>
          <w:sz w:val="20"/>
          <w:vertAlign w:val="baseline"/>
        </w:rPr>
        <w:t> </w:t>
      </w:r>
      <w:r>
        <w:rPr>
          <w:sz w:val="20"/>
          <w:vertAlign w:val="baseline"/>
        </w:rPr>
        <w:t>to</w:t>
      </w:r>
      <w:r>
        <w:rPr>
          <w:spacing w:val="-3"/>
          <w:sz w:val="20"/>
          <w:vertAlign w:val="baseline"/>
        </w:rPr>
        <w:t> </w:t>
      </w:r>
      <w:r>
        <w:rPr>
          <w:sz w:val="20"/>
          <w:vertAlign w:val="baseline"/>
        </w:rPr>
        <w:t>Premises</w:t>
      </w:r>
      <w:r>
        <w:rPr>
          <w:spacing w:val="-3"/>
          <w:sz w:val="20"/>
          <w:vertAlign w:val="baseline"/>
        </w:rPr>
        <w:t> </w:t>
      </w:r>
      <w:r>
        <w:rPr>
          <w:sz w:val="20"/>
          <w:vertAlign w:val="baseline"/>
        </w:rPr>
        <w:t>– Buildings) Standards by the House of Representatives Standing Committee on Legal and Constitutional Affairs. Refer Appendix E for the recommendations of the report.</w:t>
      </w:r>
    </w:p>
    <w:p>
      <w:pPr>
        <w:spacing w:after="0"/>
        <w:jc w:val="left"/>
        <w:rPr>
          <w:sz w:val="20"/>
        </w:rPr>
        <w:sectPr>
          <w:pgSz w:w="12240" w:h="15840"/>
          <w:pgMar w:header="0" w:footer="1140" w:top="1360" w:bottom="1340" w:left="1560" w:right="1500"/>
        </w:sectPr>
      </w:pPr>
    </w:p>
    <w:p>
      <w:pPr>
        <w:pStyle w:val="BodyText"/>
        <w:spacing w:before="77"/>
        <w:ind w:left="237" w:right="295"/>
        <w:jc w:val="both"/>
      </w:pPr>
      <w:r>
        <w:rPr/>
        <w:t>these latest amendments to this RIS. Further details of this committee review process are located in Chapter 11, Consultation.</w:t>
      </w:r>
    </w:p>
    <w:p>
      <w:pPr>
        <w:pStyle w:val="BodyText"/>
        <w:spacing w:before="11"/>
        <w:rPr>
          <w:sz w:val="23"/>
        </w:rPr>
      </w:pPr>
    </w:p>
    <w:p>
      <w:pPr>
        <w:pStyle w:val="BodyText"/>
        <w:ind w:left="237" w:right="294"/>
        <w:jc w:val="both"/>
      </w:pPr>
      <w:r>
        <w:rPr/>
        <w:t>This final RIS explains in detail the changes that were made to the 2004 draft Premises Standards in 2008 and Appendix D explains the changes and details the impact assessment reflecting responses to the recommendations of the 2009 </w:t>
      </w:r>
      <w:r>
        <w:rPr>
          <w:i/>
        </w:rPr>
        <w:t>Access all Areas </w:t>
      </w:r>
      <w:r>
        <w:rPr/>
        <w:t>report. The recommendations can be found in Appendix E.</w:t>
      </w:r>
    </w:p>
    <w:p>
      <w:pPr>
        <w:pStyle w:val="BodyText"/>
      </w:pPr>
    </w:p>
    <w:p>
      <w:pPr>
        <w:pStyle w:val="BodyText"/>
        <w:ind w:left="237" w:right="294"/>
        <w:jc w:val="both"/>
      </w:pPr>
      <w:r>
        <w:rPr/>
        <w:t>The analytical approach taken in this RIS is consistent with that adopted in the 2004 draft RIS.</w:t>
      </w:r>
      <w:r>
        <w:rPr>
          <w:spacing w:val="40"/>
        </w:rPr>
        <w:t> </w:t>
      </w:r>
      <w:r>
        <w:rPr/>
        <w:t>The RIS also allows for a detailed comparison to be made between the 2004 draft Premises Standards proposal and the modified Premises Standards proposal.</w:t>
      </w:r>
    </w:p>
    <w:p>
      <w:pPr>
        <w:spacing w:after="0"/>
        <w:jc w:val="both"/>
        <w:sectPr>
          <w:pgSz w:w="12240" w:h="15840"/>
          <w:pgMar w:header="0" w:footer="1140" w:top="1360" w:bottom="1340" w:left="1560" w:right="1500"/>
        </w:sectPr>
      </w:pPr>
    </w:p>
    <w:p>
      <w:pPr>
        <w:pStyle w:val="Heading1"/>
        <w:numPr>
          <w:ilvl w:val="0"/>
          <w:numId w:val="4"/>
        </w:numPr>
        <w:tabs>
          <w:tab w:pos="957" w:val="left" w:leader="none"/>
          <w:tab w:pos="958" w:val="left" w:leader="none"/>
        </w:tabs>
        <w:spacing w:line="240" w:lineRule="auto" w:before="178" w:after="0"/>
        <w:ind w:left="957" w:right="0" w:hanging="721"/>
        <w:jc w:val="left"/>
      </w:pPr>
      <w:bookmarkStart w:name=" 2 Objectives" w:id="11"/>
      <w:bookmarkEnd w:id="11"/>
      <w:r>
        <w:rPr>
          <w:b w:val="0"/>
        </w:rPr>
      </w:r>
      <w:bookmarkStart w:name="_bookmark7" w:id="12"/>
      <w:bookmarkEnd w:id="12"/>
      <w:r>
        <w:rPr>
          <w:spacing w:val="-2"/>
        </w:rPr>
        <w:t>Objectives</w:t>
      </w:r>
    </w:p>
    <w:p>
      <w:pPr>
        <w:pStyle w:val="BodyText"/>
        <w:spacing w:before="239"/>
        <w:ind w:left="237" w:right="294"/>
        <w:jc w:val="both"/>
      </w:pPr>
      <w:r>
        <w:rPr/>
        <w:t>The proposed Premises Standards would be formulated by the Attorney-General under the authority of the DDA, as noted above.</w:t>
      </w:r>
      <w:r>
        <w:rPr>
          <w:spacing w:val="80"/>
        </w:rPr>
        <w:t> </w:t>
      </w:r>
      <w:r>
        <w:rPr/>
        <w:t>The objectives of the DDA are </w:t>
      </w:r>
      <w:r>
        <w:rPr>
          <w:spacing w:val="-4"/>
        </w:rPr>
        <w:t>to:</w:t>
      </w:r>
    </w:p>
    <w:p>
      <w:pPr>
        <w:pStyle w:val="ListParagraph"/>
        <w:numPr>
          <w:ilvl w:val="1"/>
          <w:numId w:val="4"/>
        </w:numPr>
        <w:tabs>
          <w:tab w:pos="1678" w:val="left" w:leader="none"/>
        </w:tabs>
        <w:spacing w:line="240" w:lineRule="auto" w:before="120" w:after="0"/>
        <w:ind w:left="1677" w:right="293" w:hanging="721"/>
        <w:jc w:val="both"/>
        <w:rPr>
          <w:sz w:val="24"/>
        </w:rPr>
      </w:pPr>
      <w:r>
        <w:rPr>
          <w:sz w:val="24"/>
        </w:rPr>
        <w:t>eliminate, as far as possible, discrimination against persons on the grounds of disability in the areas of:</w:t>
      </w:r>
    </w:p>
    <w:p>
      <w:pPr>
        <w:pStyle w:val="ListParagraph"/>
        <w:numPr>
          <w:ilvl w:val="2"/>
          <w:numId w:val="4"/>
        </w:numPr>
        <w:tabs>
          <w:tab w:pos="2966" w:val="left" w:leader="none"/>
        </w:tabs>
        <w:spacing w:line="240" w:lineRule="auto" w:before="120" w:after="0"/>
        <w:ind w:left="2965" w:right="294" w:hanging="568"/>
        <w:jc w:val="both"/>
        <w:rPr>
          <w:sz w:val="24"/>
        </w:rPr>
      </w:pPr>
      <w:r>
        <w:rPr>
          <w:sz w:val="24"/>
        </w:rPr>
        <w:t>work, accommodation, education, public transport, access to premises, clubs and sport; and</w:t>
      </w:r>
    </w:p>
    <w:p>
      <w:pPr>
        <w:pStyle w:val="ListParagraph"/>
        <w:numPr>
          <w:ilvl w:val="2"/>
          <w:numId w:val="4"/>
        </w:numPr>
        <w:tabs>
          <w:tab w:pos="2965" w:val="left" w:leader="none"/>
        </w:tabs>
        <w:spacing w:line="343" w:lineRule="auto" w:before="120" w:after="0"/>
        <w:ind w:left="2397" w:right="339" w:firstLine="0"/>
        <w:jc w:val="both"/>
        <w:rPr>
          <w:sz w:val="24"/>
        </w:rPr>
      </w:pPr>
      <w:r>
        <w:rPr>
          <w:sz w:val="24"/>
        </w:rPr>
        <w:t>the</w:t>
      </w:r>
      <w:r>
        <w:rPr>
          <w:spacing w:val="-5"/>
          <w:sz w:val="24"/>
        </w:rPr>
        <w:t> </w:t>
      </w:r>
      <w:r>
        <w:rPr>
          <w:sz w:val="24"/>
        </w:rPr>
        <w:t>provision</w:t>
      </w:r>
      <w:r>
        <w:rPr>
          <w:spacing w:val="-5"/>
          <w:sz w:val="24"/>
        </w:rPr>
        <w:t> </w:t>
      </w:r>
      <w:r>
        <w:rPr>
          <w:sz w:val="24"/>
        </w:rPr>
        <w:t>of</w:t>
      </w:r>
      <w:r>
        <w:rPr>
          <w:spacing w:val="-5"/>
          <w:sz w:val="24"/>
        </w:rPr>
        <w:t> </w:t>
      </w:r>
      <w:r>
        <w:rPr>
          <w:sz w:val="24"/>
        </w:rPr>
        <w:t>goods,</w:t>
      </w:r>
      <w:r>
        <w:rPr>
          <w:spacing w:val="-5"/>
          <w:sz w:val="24"/>
        </w:rPr>
        <w:t> </w:t>
      </w:r>
      <w:r>
        <w:rPr>
          <w:sz w:val="24"/>
        </w:rPr>
        <w:t>facilities,</w:t>
      </w:r>
      <w:r>
        <w:rPr>
          <w:spacing w:val="-5"/>
          <w:sz w:val="24"/>
        </w:rPr>
        <w:t> </w:t>
      </w:r>
      <w:r>
        <w:rPr>
          <w:sz w:val="24"/>
        </w:rPr>
        <w:t>services</w:t>
      </w:r>
      <w:r>
        <w:rPr>
          <w:spacing w:val="-5"/>
          <w:sz w:val="24"/>
        </w:rPr>
        <w:t> </w:t>
      </w:r>
      <w:r>
        <w:rPr>
          <w:sz w:val="24"/>
        </w:rPr>
        <w:t>and</w:t>
      </w:r>
      <w:r>
        <w:rPr>
          <w:spacing w:val="-4"/>
          <w:sz w:val="24"/>
        </w:rPr>
        <w:t> </w:t>
      </w:r>
      <w:r>
        <w:rPr>
          <w:sz w:val="24"/>
        </w:rPr>
        <w:t>land;</w:t>
      </w:r>
      <w:r>
        <w:rPr>
          <w:spacing w:val="-5"/>
          <w:sz w:val="24"/>
        </w:rPr>
        <w:t> </w:t>
      </w:r>
      <w:r>
        <w:rPr>
          <w:sz w:val="24"/>
        </w:rPr>
        <w:t>and (iii).</w:t>
      </w:r>
      <w:r>
        <w:rPr>
          <w:spacing w:val="80"/>
          <w:sz w:val="24"/>
        </w:rPr>
        <w:t> </w:t>
      </w:r>
      <w:r>
        <w:rPr>
          <w:sz w:val="24"/>
        </w:rPr>
        <w:t>existing laws; and</w:t>
      </w:r>
    </w:p>
    <w:p>
      <w:pPr>
        <w:pStyle w:val="BodyText"/>
        <w:spacing w:before="2"/>
        <w:ind w:left="2965" w:right="293" w:hanging="568"/>
        <w:jc w:val="both"/>
      </w:pPr>
      <w:r>
        <w:rPr/>
        <w:t>(iv).</w:t>
      </w:r>
      <w:r>
        <w:rPr>
          <w:spacing w:val="40"/>
        </w:rPr>
        <w:t> </w:t>
      </w:r>
      <w:r>
        <w:rPr/>
        <w:t>the</w:t>
      </w:r>
      <w:r>
        <w:rPr>
          <w:spacing w:val="40"/>
        </w:rPr>
        <w:t> </w:t>
      </w:r>
      <w:r>
        <w:rPr/>
        <w:t>administration</w:t>
      </w:r>
      <w:r>
        <w:rPr>
          <w:spacing w:val="40"/>
        </w:rPr>
        <w:t> </w:t>
      </w:r>
      <w:r>
        <w:rPr/>
        <w:t>of</w:t>
      </w:r>
      <w:r>
        <w:rPr>
          <w:spacing w:val="40"/>
        </w:rPr>
        <w:t> </w:t>
      </w:r>
      <w:r>
        <w:rPr/>
        <w:t>Australian</w:t>
      </w:r>
      <w:r>
        <w:rPr>
          <w:spacing w:val="40"/>
        </w:rPr>
        <w:t> </w:t>
      </w:r>
      <w:r>
        <w:rPr/>
        <w:t>laws</w:t>
      </w:r>
      <w:r>
        <w:rPr>
          <w:spacing w:val="40"/>
        </w:rPr>
        <w:t> </w:t>
      </w:r>
      <w:r>
        <w:rPr/>
        <w:t>and</w:t>
      </w:r>
      <w:r>
        <w:rPr>
          <w:spacing w:val="40"/>
        </w:rPr>
        <w:t> </w:t>
      </w:r>
      <w:r>
        <w:rPr/>
        <w:t>programs; </w:t>
      </w:r>
      <w:r>
        <w:rPr>
          <w:spacing w:val="-4"/>
        </w:rPr>
        <w:t>and</w:t>
      </w:r>
    </w:p>
    <w:p>
      <w:pPr>
        <w:pStyle w:val="ListParagraph"/>
        <w:numPr>
          <w:ilvl w:val="1"/>
          <w:numId w:val="4"/>
        </w:numPr>
        <w:tabs>
          <w:tab w:pos="1678" w:val="left" w:leader="none"/>
        </w:tabs>
        <w:spacing w:line="240" w:lineRule="auto" w:before="120" w:after="0"/>
        <w:ind w:left="1677" w:right="294" w:hanging="721"/>
        <w:jc w:val="both"/>
        <w:rPr>
          <w:sz w:val="24"/>
        </w:rPr>
      </w:pPr>
      <w:r>
        <w:rPr>
          <w:sz w:val="24"/>
        </w:rPr>
        <w:t>ensure, as far as practicable, that persons with a disability have the same rights to equality before the law as the rest of the community; </w:t>
      </w:r>
      <w:r>
        <w:rPr>
          <w:spacing w:val="-4"/>
          <w:sz w:val="24"/>
        </w:rPr>
        <w:t>and</w:t>
      </w:r>
    </w:p>
    <w:p>
      <w:pPr>
        <w:pStyle w:val="ListParagraph"/>
        <w:numPr>
          <w:ilvl w:val="1"/>
          <w:numId w:val="4"/>
        </w:numPr>
        <w:tabs>
          <w:tab w:pos="1677" w:val="left" w:leader="none"/>
        </w:tabs>
        <w:spacing w:line="240" w:lineRule="auto" w:before="120" w:after="0"/>
        <w:ind w:left="1677" w:right="295" w:hanging="721"/>
        <w:jc w:val="both"/>
        <w:rPr>
          <w:sz w:val="24"/>
        </w:rPr>
      </w:pPr>
      <w:r>
        <w:rPr>
          <w:sz w:val="24"/>
        </w:rPr>
        <w:t>promote</w:t>
      </w:r>
      <w:r>
        <w:rPr>
          <w:sz w:val="24"/>
        </w:rPr>
        <w:t> recognition</w:t>
      </w:r>
      <w:r>
        <w:rPr>
          <w:sz w:val="24"/>
        </w:rPr>
        <w:t> and</w:t>
      </w:r>
      <w:r>
        <w:rPr>
          <w:sz w:val="24"/>
        </w:rPr>
        <w:t> acceptance</w:t>
      </w:r>
      <w:r>
        <w:rPr>
          <w:sz w:val="24"/>
        </w:rPr>
        <w:t> within</w:t>
      </w:r>
      <w:r>
        <w:rPr>
          <w:sz w:val="24"/>
        </w:rPr>
        <w:t> the</w:t>
      </w:r>
      <w:r>
        <w:rPr>
          <w:sz w:val="24"/>
        </w:rPr>
        <w:t> community</w:t>
      </w:r>
      <w:r>
        <w:rPr>
          <w:sz w:val="24"/>
        </w:rPr>
        <w:t> of</w:t>
      </w:r>
      <w:r>
        <w:rPr>
          <w:sz w:val="24"/>
        </w:rPr>
        <w:t> the principle that persons with disabilities have the same fundamental rights as the rest of the community</w:t>
      </w:r>
      <w:r>
        <w:rPr>
          <w:sz w:val="24"/>
          <w:vertAlign w:val="superscript"/>
        </w:rPr>
        <w:t>8</w:t>
      </w:r>
      <w:r>
        <w:rPr>
          <w:sz w:val="24"/>
          <w:vertAlign w:val="baseline"/>
        </w:rPr>
        <w:t>.</w:t>
      </w:r>
    </w:p>
    <w:p>
      <w:pPr>
        <w:pStyle w:val="BodyText"/>
        <w:spacing w:before="10"/>
        <w:rPr>
          <w:sz w:val="44"/>
        </w:rPr>
      </w:pPr>
    </w:p>
    <w:p>
      <w:pPr>
        <w:pStyle w:val="BodyText"/>
        <w:ind w:left="237" w:right="296"/>
        <w:jc w:val="both"/>
      </w:pPr>
      <w:r>
        <w:rPr/>
        <w:t>Within this general context, the specific objectives of the proposed Premises Standards are:</w:t>
      </w:r>
    </w:p>
    <w:p>
      <w:pPr>
        <w:pStyle w:val="ListParagraph"/>
        <w:numPr>
          <w:ilvl w:val="0"/>
          <w:numId w:val="5"/>
        </w:numPr>
        <w:tabs>
          <w:tab w:pos="1498" w:val="left" w:leader="none"/>
        </w:tabs>
        <w:spacing w:line="240" w:lineRule="auto" w:before="120" w:after="0"/>
        <w:ind w:left="1497" w:right="295" w:hanging="540"/>
        <w:jc w:val="both"/>
        <w:rPr>
          <w:sz w:val="24"/>
        </w:rPr>
      </w:pPr>
      <w:r>
        <w:rPr>
          <w:sz w:val="24"/>
        </w:rPr>
        <w:t>to</w:t>
      </w:r>
      <w:r>
        <w:rPr>
          <w:sz w:val="24"/>
        </w:rPr>
        <w:t> ensure</w:t>
      </w:r>
      <w:r>
        <w:rPr>
          <w:sz w:val="24"/>
        </w:rPr>
        <w:t> that</w:t>
      </w:r>
      <w:r>
        <w:rPr>
          <w:sz w:val="24"/>
        </w:rPr>
        <w:t> reasonably</w:t>
      </w:r>
      <w:r>
        <w:rPr>
          <w:sz w:val="24"/>
        </w:rPr>
        <w:t> achievable,</w:t>
      </w:r>
      <w:r>
        <w:rPr>
          <w:sz w:val="24"/>
        </w:rPr>
        <w:t> equitable</w:t>
      </w:r>
      <w:r>
        <w:rPr>
          <w:sz w:val="24"/>
        </w:rPr>
        <w:t> and</w:t>
      </w:r>
      <w:r>
        <w:rPr>
          <w:sz w:val="24"/>
        </w:rPr>
        <w:t> cost-effective access</w:t>
      </w:r>
      <w:r>
        <w:rPr>
          <w:sz w:val="24"/>
        </w:rPr>
        <w:t> to</w:t>
      </w:r>
      <w:r>
        <w:rPr>
          <w:sz w:val="24"/>
        </w:rPr>
        <w:t> buildings,</w:t>
      </w:r>
      <w:r>
        <w:rPr>
          <w:sz w:val="24"/>
        </w:rPr>
        <w:t> and</w:t>
      </w:r>
      <w:r>
        <w:rPr>
          <w:sz w:val="24"/>
        </w:rPr>
        <w:t> facilities</w:t>
      </w:r>
      <w:r>
        <w:rPr>
          <w:sz w:val="24"/>
        </w:rPr>
        <w:t> and</w:t>
      </w:r>
      <w:r>
        <w:rPr>
          <w:sz w:val="24"/>
        </w:rPr>
        <w:t> services</w:t>
      </w:r>
      <w:r>
        <w:rPr>
          <w:sz w:val="24"/>
        </w:rPr>
        <w:t> within</w:t>
      </w:r>
      <w:r>
        <w:rPr>
          <w:sz w:val="24"/>
        </w:rPr>
        <w:t> buildings, is provided for people with disabilities; and</w:t>
      </w:r>
    </w:p>
    <w:p>
      <w:pPr>
        <w:pStyle w:val="ListParagraph"/>
        <w:numPr>
          <w:ilvl w:val="0"/>
          <w:numId w:val="5"/>
        </w:numPr>
        <w:tabs>
          <w:tab w:pos="1499" w:val="left" w:leader="none"/>
        </w:tabs>
        <w:spacing w:line="240" w:lineRule="auto" w:before="120" w:after="0"/>
        <w:ind w:left="1497" w:right="293" w:hanging="540"/>
        <w:jc w:val="both"/>
        <w:rPr>
          <w:sz w:val="24"/>
        </w:rPr>
      </w:pPr>
      <w:r>
        <w:rPr>
          <w:sz w:val="24"/>
        </w:rPr>
        <w:t>to</w:t>
      </w:r>
      <w:r>
        <w:rPr>
          <w:spacing w:val="-4"/>
          <w:sz w:val="24"/>
        </w:rPr>
        <w:t> </w:t>
      </w:r>
      <w:r>
        <w:rPr>
          <w:sz w:val="24"/>
        </w:rPr>
        <w:t>give</w:t>
      </w:r>
      <w:r>
        <w:rPr>
          <w:spacing w:val="-4"/>
          <w:sz w:val="24"/>
        </w:rPr>
        <w:t> </w:t>
      </w:r>
      <w:r>
        <w:rPr>
          <w:sz w:val="24"/>
        </w:rPr>
        <w:t>certainty</w:t>
      </w:r>
      <w:r>
        <w:rPr>
          <w:spacing w:val="-4"/>
          <w:sz w:val="24"/>
        </w:rPr>
        <w:t> </w:t>
      </w:r>
      <w:r>
        <w:rPr>
          <w:sz w:val="24"/>
        </w:rPr>
        <w:t>to</w:t>
      </w:r>
      <w:r>
        <w:rPr>
          <w:spacing w:val="-4"/>
          <w:sz w:val="24"/>
        </w:rPr>
        <w:t> </w:t>
      </w:r>
      <w:r>
        <w:rPr>
          <w:sz w:val="24"/>
        </w:rPr>
        <w:t>building</w:t>
      </w:r>
      <w:r>
        <w:rPr>
          <w:spacing w:val="-4"/>
          <w:sz w:val="24"/>
        </w:rPr>
        <w:t> </w:t>
      </w:r>
      <w:r>
        <w:rPr>
          <w:sz w:val="24"/>
        </w:rPr>
        <w:t>certifiers,</w:t>
      </w:r>
      <w:r>
        <w:rPr>
          <w:spacing w:val="-4"/>
          <w:sz w:val="24"/>
        </w:rPr>
        <w:t> </w:t>
      </w:r>
      <w:r>
        <w:rPr>
          <w:sz w:val="24"/>
        </w:rPr>
        <w:t>building</w:t>
      </w:r>
      <w:r>
        <w:rPr>
          <w:spacing w:val="-4"/>
          <w:sz w:val="24"/>
        </w:rPr>
        <w:t> </w:t>
      </w:r>
      <w:r>
        <w:rPr>
          <w:sz w:val="24"/>
        </w:rPr>
        <w:t>developers</w:t>
      </w:r>
      <w:r>
        <w:rPr>
          <w:spacing w:val="-4"/>
          <w:sz w:val="24"/>
        </w:rPr>
        <w:t> </w:t>
      </w:r>
      <w:r>
        <w:rPr>
          <w:sz w:val="24"/>
        </w:rPr>
        <w:t>and</w:t>
      </w:r>
      <w:r>
        <w:rPr>
          <w:spacing w:val="-4"/>
          <w:sz w:val="24"/>
        </w:rPr>
        <w:t> </w:t>
      </w:r>
      <w:r>
        <w:rPr>
          <w:sz w:val="24"/>
        </w:rPr>
        <w:t>building managers that, if access to buildings is provided in accordance with these</w:t>
      </w:r>
      <w:r>
        <w:rPr>
          <w:sz w:val="24"/>
        </w:rPr>
        <w:t> Standards,</w:t>
      </w:r>
      <w:r>
        <w:rPr>
          <w:sz w:val="24"/>
        </w:rPr>
        <w:t> the</w:t>
      </w:r>
      <w:r>
        <w:rPr>
          <w:sz w:val="24"/>
        </w:rPr>
        <w:t> provision</w:t>
      </w:r>
      <w:r>
        <w:rPr>
          <w:sz w:val="24"/>
        </w:rPr>
        <w:t> of</w:t>
      </w:r>
      <w:r>
        <w:rPr>
          <w:sz w:val="24"/>
        </w:rPr>
        <w:t> access,</w:t>
      </w:r>
      <w:r>
        <w:rPr>
          <w:sz w:val="24"/>
        </w:rPr>
        <w:t> to</w:t>
      </w:r>
      <w:r>
        <w:rPr>
          <w:sz w:val="24"/>
        </w:rPr>
        <w:t> the</w:t>
      </w:r>
      <w:r>
        <w:rPr>
          <w:sz w:val="24"/>
        </w:rPr>
        <w:t> extent</w:t>
      </w:r>
      <w:r>
        <w:rPr>
          <w:sz w:val="24"/>
        </w:rPr>
        <w:t> covered</w:t>
      </w:r>
      <w:r>
        <w:rPr>
          <w:sz w:val="24"/>
        </w:rPr>
        <w:t> by these Standards, will not be unlawful under the Act.</w:t>
      </w:r>
    </w:p>
    <w:p>
      <w:pPr>
        <w:pStyle w:val="BodyText"/>
        <w:rPr>
          <w:sz w:val="26"/>
        </w:rPr>
      </w:pPr>
    </w:p>
    <w:p>
      <w:pPr>
        <w:pStyle w:val="BodyText"/>
        <w:spacing w:before="217"/>
        <w:ind w:left="237" w:right="292"/>
        <w:jc w:val="both"/>
      </w:pPr>
      <w:r>
        <w:rPr/>
        <w:t>Recognising</w:t>
      </w:r>
      <w:r>
        <w:rPr/>
        <w:t> the</w:t>
      </w:r>
      <w:r>
        <w:rPr/>
        <w:t> relationship</w:t>
      </w:r>
      <w:r>
        <w:rPr/>
        <w:t> between</w:t>
      </w:r>
      <w:r>
        <w:rPr/>
        <w:t> the</w:t>
      </w:r>
      <w:r>
        <w:rPr/>
        <w:t> DDA and the BCA, the following additional objective can be identified:</w:t>
      </w:r>
    </w:p>
    <w:p>
      <w:pPr>
        <w:pStyle w:val="ListParagraph"/>
        <w:numPr>
          <w:ilvl w:val="0"/>
          <w:numId w:val="6"/>
        </w:numPr>
        <w:tabs>
          <w:tab w:pos="1678" w:val="left" w:leader="none"/>
        </w:tabs>
        <w:spacing w:line="240" w:lineRule="auto" w:before="121" w:after="0"/>
        <w:ind w:left="1677" w:right="295" w:hanging="721"/>
        <w:jc w:val="both"/>
        <w:rPr>
          <w:sz w:val="24"/>
        </w:rPr>
      </w:pPr>
      <w:r>
        <w:rPr>
          <w:sz w:val="24"/>
        </w:rPr>
        <w:t>Enhancing the consistency and transparency of legislation by aligning BCA requirements with the DDA.</w:t>
      </w:r>
    </w:p>
    <w:p>
      <w:pPr>
        <w:pStyle w:val="BodyText"/>
        <w:rPr>
          <w:sz w:val="20"/>
        </w:rPr>
      </w:pPr>
    </w:p>
    <w:p>
      <w:pPr>
        <w:pStyle w:val="BodyText"/>
        <w:rPr>
          <w:sz w:val="20"/>
        </w:rPr>
      </w:pPr>
    </w:p>
    <w:p>
      <w:pPr>
        <w:pStyle w:val="BodyText"/>
        <w:rPr>
          <w:sz w:val="20"/>
        </w:rPr>
      </w:pPr>
    </w:p>
    <w:p>
      <w:pPr>
        <w:pStyle w:val="BodyText"/>
        <w:spacing w:before="5"/>
        <w:rPr>
          <w:sz w:val="22"/>
        </w:rPr>
      </w:pPr>
      <w:r>
        <w:rPr/>
        <w:pict>
          <v:rect style="position:absolute;margin-left:89.879997pt;margin-top:14.11373pt;width:144pt;height:.6pt;mso-position-horizontal-relative:page;mso-position-vertical-relative:paragraph;z-index:-15725568;mso-wrap-distance-left:0;mso-wrap-distance-right:0" id="docshape9"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8</w:t>
      </w:r>
      <w:r>
        <w:rPr>
          <w:spacing w:val="-8"/>
          <w:sz w:val="20"/>
          <w:vertAlign w:val="baseline"/>
        </w:rPr>
        <w:t> </w:t>
      </w:r>
      <w:r>
        <w:rPr>
          <w:sz w:val="20"/>
          <w:vertAlign w:val="baseline"/>
        </w:rPr>
        <w:t>Disability</w:t>
      </w:r>
      <w:r>
        <w:rPr>
          <w:spacing w:val="-7"/>
          <w:sz w:val="20"/>
          <w:vertAlign w:val="baseline"/>
        </w:rPr>
        <w:t> </w:t>
      </w:r>
      <w:r>
        <w:rPr>
          <w:sz w:val="20"/>
          <w:vertAlign w:val="baseline"/>
        </w:rPr>
        <w:t>Discrimination</w:t>
      </w:r>
      <w:r>
        <w:rPr>
          <w:spacing w:val="-7"/>
          <w:sz w:val="20"/>
          <w:vertAlign w:val="baseline"/>
        </w:rPr>
        <w:t> </w:t>
      </w:r>
      <w:r>
        <w:rPr>
          <w:sz w:val="20"/>
          <w:vertAlign w:val="baseline"/>
        </w:rPr>
        <w:t>Act</w:t>
      </w:r>
      <w:r>
        <w:rPr>
          <w:spacing w:val="-8"/>
          <w:sz w:val="20"/>
          <w:vertAlign w:val="baseline"/>
        </w:rPr>
        <w:t> </w:t>
      </w:r>
      <w:r>
        <w:rPr>
          <w:sz w:val="20"/>
          <w:vertAlign w:val="baseline"/>
        </w:rPr>
        <w:t>1992,</w:t>
      </w:r>
      <w:r>
        <w:rPr>
          <w:spacing w:val="-7"/>
          <w:sz w:val="20"/>
          <w:vertAlign w:val="baseline"/>
        </w:rPr>
        <w:t> </w:t>
      </w:r>
      <w:r>
        <w:rPr>
          <w:sz w:val="20"/>
          <w:vertAlign w:val="baseline"/>
        </w:rPr>
        <w:t>Section</w:t>
      </w:r>
      <w:r>
        <w:rPr>
          <w:spacing w:val="-7"/>
          <w:sz w:val="20"/>
          <w:vertAlign w:val="baseline"/>
        </w:rPr>
        <w:t> </w:t>
      </w:r>
      <w:r>
        <w:rPr>
          <w:spacing w:val="-5"/>
          <w:sz w:val="20"/>
          <w:vertAlign w:val="baseline"/>
        </w:rPr>
        <w:t>3.</w:t>
      </w:r>
    </w:p>
    <w:p>
      <w:pPr>
        <w:spacing w:after="0"/>
        <w:jc w:val="left"/>
        <w:rPr>
          <w:sz w:val="20"/>
        </w:rPr>
        <w:sectPr>
          <w:pgSz w:w="12240" w:h="15840"/>
          <w:pgMar w:header="0" w:footer="1140" w:top="1500" w:bottom="1340" w:left="1560" w:right="1500"/>
        </w:sectPr>
      </w:pPr>
    </w:p>
    <w:p>
      <w:pPr>
        <w:pStyle w:val="BodyText"/>
        <w:spacing w:before="77"/>
        <w:ind w:left="237" w:right="293"/>
        <w:jc w:val="both"/>
      </w:pPr>
      <w:r>
        <w:rPr/>
        <w:t>Given that the technical provisions of the Premises Standards and the BCA</w:t>
      </w:r>
      <w:r>
        <w:rPr>
          <w:spacing w:val="40"/>
        </w:rPr>
        <w:t> </w:t>
      </w:r>
      <w:r>
        <w:rPr/>
        <w:t>would</w:t>
      </w:r>
      <w:r>
        <w:rPr>
          <w:spacing w:val="-3"/>
        </w:rPr>
        <w:t> </w:t>
      </w:r>
      <w:r>
        <w:rPr/>
        <w:t>be</w:t>
      </w:r>
      <w:r>
        <w:rPr>
          <w:spacing w:val="-3"/>
        </w:rPr>
        <w:t> </w:t>
      </w:r>
      <w:r>
        <w:rPr/>
        <w:t>identical,</w:t>
      </w:r>
      <w:r>
        <w:rPr>
          <w:spacing w:val="-2"/>
        </w:rPr>
        <w:t> </w:t>
      </w:r>
      <w:r>
        <w:rPr/>
        <w:t>the</w:t>
      </w:r>
      <w:r>
        <w:rPr>
          <w:spacing w:val="-2"/>
        </w:rPr>
        <w:t> </w:t>
      </w:r>
      <w:r>
        <w:rPr/>
        <w:t>identified</w:t>
      </w:r>
      <w:r>
        <w:rPr>
          <w:spacing w:val="-1"/>
        </w:rPr>
        <w:t> </w:t>
      </w:r>
      <w:r>
        <w:rPr/>
        <w:t>objective</w:t>
      </w:r>
      <w:r>
        <w:rPr>
          <w:spacing w:val="-1"/>
        </w:rPr>
        <w:t> </w:t>
      </w:r>
      <w:r>
        <w:rPr/>
        <w:t>of Section</w:t>
      </w:r>
      <w:r>
        <w:rPr>
          <w:spacing w:val="-1"/>
        </w:rPr>
        <w:t> </w:t>
      </w:r>
      <w:r>
        <w:rPr/>
        <w:t>D</w:t>
      </w:r>
      <w:r>
        <w:rPr>
          <w:spacing w:val="-1"/>
        </w:rPr>
        <w:t> </w:t>
      </w:r>
      <w:r>
        <w:rPr/>
        <w:t>of</w:t>
      </w:r>
      <w:r>
        <w:rPr>
          <w:spacing w:val="-3"/>
        </w:rPr>
        <w:t> </w:t>
      </w:r>
      <w:r>
        <w:rPr/>
        <w:t>the</w:t>
      </w:r>
      <w:r>
        <w:rPr>
          <w:spacing w:val="-2"/>
        </w:rPr>
        <w:t> </w:t>
      </w:r>
      <w:r>
        <w:rPr/>
        <w:t>BCA</w:t>
      </w:r>
      <w:r>
        <w:rPr>
          <w:spacing w:val="-2"/>
        </w:rPr>
        <w:t> </w:t>
      </w:r>
      <w:r>
        <w:rPr/>
        <w:t>should</w:t>
      </w:r>
      <w:r>
        <w:rPr>
          <w:spacing w:val="-2"/>
        </w:rPr>
        <w:t> </w:t>
      </w:r>
      <w:r>
        <w:rPr/>
        <w:t>also</w:t>
      </w:r>
      <w:r>
        <w:rPr>
          <w:spacing w:val="-2"/>
        </w:rPr>
        <w:t> </w:t>
      </w:r>
      <w:r>
        <w:rPr/>
        <w:t>be noted.</w:t>
      </w:r>
      <w:r>
        <w:rPr>
          <w:spacing w:val="40"/>
        </w:rPr>
        <w:t> </w:t>
      </w:r>
      <w:r>
        <w:rPr/>
        <w:t>This is to:</w:t>
      </w:r>
    </w:p>
    <w:p>
      <w:pPr>
        <w:pStyle w:val="ListParagraph"/>
        <w:numPr>
          <w:ilvl w:val="0"/>
          <w:numId w:val="7"/>
        </w:numPr>
        <w:tabs>
          <w:tab w:pos="1679" w:val="left" w:leader="none"/>
        </w:tabs>
        <w:spacing w:line="240" w:lineRule="auto" w:before="120" w:after="0"/>
        <w:ind w:left="1678" w:right="0" w:hanging="722"/>
        <w:jc w:val="both"/>
        <w:rPr>
          <w:sz w:val="24"/>
        </w:rPr>
      </w:pPr>
      <w:r>
        <w:rPr>
          <w:sz w:val="24"/>
        </w:rPr>
        <w:t>provide</w:t>
      </w:r>
      <w:r>
        <w:rPr>
          <w:spacing w:val="-12"/>
          <w:sz w:val="24"/>
        </w:rPr>
        <w:t> </w:t>
      </w:r>
      <w:r>
        <w:rPr>
          <w:sz w:val="24"/>
        </w:rPr>
        <w:t>people</w:t>
      </w:r>
      <w:r>
        <w:rPr>
          <w:spacing w:val="-12"/>
          <w:sz w:val="24"/>
        </w:rPr>
        <w:t> </w:t>
      </w:r>
      <w:r>
        <w:rPr>
          <w:sz w:val="24"/>
        </w:rPr>
        <w:t>with</w:t>
      </w:r>
      <w:r>
        <w:rPr>
          <w:spacing w:val="-11"/>
          <w:sz w:val="24"/>
        </w:rPr>
        <w:t> </w:t>
      </w:r>
      <w:r>
        <w:rPr>
          <w:sz w:val="24"/>
        </w:rPr>
        <w:t>safe,</w:t>
      </w:r>
      <w:r>
        <w:rPr>
          <w:spacing w:val="-12"/>
          <w:sz w:val="24"/>
        </w:rPr>
        <w:t> </w:t>
      </w:r>
      <w:r>
        <w:rPr>
          <w:sz w:val="24"/>
        </w:rPr>
        <w:t>equitable</w:t>
      </w:r>
      <w:r>
        <w:rPr>
          <w:spacing w:val="-11"/>
          <w:sz w:val="24"/>
        </w:rPr>
        <w:t> </w:t>
      </w:r>
      <w:r>
        <w:rPr>
          <w:sz w:val="24"/>
        </w:rPr>
        <w:t>and</w:t>
      </w:r>
      <w:r>
        <w:rPr>
          <w:spacing w:val="-12"/>
          <w:sz w:val="24"/>
        </w:rPr>
        <w:t> </w:t>
      </w:r>
      <w:r>
        <w:rPr>
          <w:sz w:val="24"/>
        </w:rPr>
        <w:t>dignified</w:t>
      </w:r>
      <w:r>
        <w:rPr>
          <w:spacing w:val="-11"/>
          <w:sz w:val="24"/>
        </w:rPr>
        <w:t> </w:t>
      </w:r>
      <w:r>
        <w:rPr>
          <w:sz w:val="24"/>
        </w:rPr>
        <w:t>access</w:t>
      </w:r>
      <w:r>
        <w:rPr>
          <w:spacing w:val="-12"/>
          <w:sz w:val="24"/>
        </w:rPr>
        <w:t> </w:t>
      </w:r>
      <w:r>
        <w:rPr>
          <w:sz w:val="24"/>
        </w:rPr>
        <w:t>to</w:t>
      </w:r>
      <w:r>
        <w:rPr>
          <w:spacing w:val="-11"/>
          <w:sz w:val="24"/>
        </w:rPr>
        <w:t> </w:t>
      </w:r>
      <w:r>
        <w:rPr>
          <w:spacing w:val="-10"/>
          <w:sz w:val="24"/>
        </w:rPr>
        <w:t>-</w:t>
      </w:r>
    </w:p>
    <w:p>
      <w:pPr>
        <w:pStyle w:val="ListParagraph"/>
        <w:numPr>
          <w:ilvl w:val="1"/>
          <w:numId w:val="7"/>
        </w:numPr>
        <w:tabs>
          <w:tab w:pos="2505" w:val="left" w:leader="none"/>
        </w:tabs>
        <w:spacing w:line="240" w:lineRule="auto" w:before="120" w:after="0"/>
        <w:ind w:left="2504" w:right="0" w:hanging="566"/>
        <w:jc w:val="both"/>
        <w:rPr>
          <w:sz w:val="24"/>
        </w:rPr>
      </w:pPr>
      <w:r>
        <w:rPr>
          <w:sz w:val="24"/>
        </w:rPr>
        <w:t>a</w:t>
      </w:r>
      <w:r>
        <w:rPr>
          <w:spacing w:val="-10"/>
          <w:sz w:val="24"/>
        </w:rPr>
        <w:t> </w:t>
      </w:r>
      <w:r>
        <w:rPr>
          <w:sz w:val="24"/>
        </w:rPr>
        <w:t>building;</w:t>
      </w:r>
      <w:r>
        <w:rPr>
          <w:spacing w:val="-10"/>
          <w:sz w:val="24"/>
        </w:rPr>
        <w:t> </w:t>
      </w:r>
      <w:r>
        <w:rPr>
          <w:spacing w:val="-5"/>
          <w:sz w:val="24"/>
        </w:rPr>
        <w:t>and</w:t>
      </w:r>
    </w:p>
    <w:p>
      <w:pPr>
        <w:pStyle w:val="ListParagraph"/>
        <w:numPr>
          <w:ilvl w:val="1"/>
          <w:numId w:val="7"/>
        </w:numPr>
        <w:tabs>
          <w:tab w:pos="2505" w:val="left" w:leader="none"/>
        </w:tabs>
        <w:spacing w:line="240" w:lineRule="auto" w:before="120" w:after="0"/>
        <w:ind w:left="2504" w:right="0" w:hanging="566"/>
        <w:jc w:val="both"/>
        <w:rPr>
          <w:sz w:val="24"/>
        </w:rPr>
      </w:pPr>
      <w:r>
        <w:rPr>
          <w:sz w:val="24"/>
        </w:rPr>
        <w:t>the</w:t>
      </w:r>
      <w:r>
        <w:rPr>
          <w:spacing w:val="-11"/>
          <w:sz w:val="24"/>
        </w:rPr>
        <w:t> </w:t>
      </w:r>
      <w:r>
        <w:rPr>
          <w:sz w:val="24"/>
        </w:rPr>
        <w:t>services</w:t>
      </w:r>
      <w:r>
        <w:rPr>
          <w:spacing w:val="-11"/>
          <w:sz w:val="24"/>
        </w:rPr>
        <w:t> </w:t>
      </w:r>
      <w:r>
        <w:rPr>
          <w:sz w:val="24"/>
        </w:rPr>
        <w:t>and</w:t>
      </w:r>
      <w:r>
        <w:rPr>
          <w:spacing w:val="-10"/>
          <w:sz w:val="24"/>
        </w:rPr>
        <w:t> </w:t>
      </w:r>
      <w:r>
        <w:rPr>
          <w:sz w:val="24"/>
        </w:rPr>
        <w:t>facilities</w:t>
      </w:r>
      <w:r>
        <w:rPr>
          <w:spacing w:val="-11"/>
          <w:sz w:val="24"/>
        </w:rPr>
        <w:t> </w:t>
      </w:r>
      <w:r>
        <w:rPr>
          <w:sz w:val="24"/>
        </w:rPr>
        <w:t>within</w:t>
      </w:r>
      <w:r>
        <w:rPr>
          <w:spacing w:val="-10"/>
          <w:sz w:val="24"/>
        </w:rPr>
        <w:t> </w:t>
      </w:r>
      <w:r>
        <w:rPr>
          <w:sz w:val="24"/>
        </w:rPr>
        <w:t>a</w:t>
      </w:r>
      <w:r>
        <w:rPr>
          <w:spacing w:val="-11"/>
          <w:sz w:val="24"/>
        </w:rPr>
        <w:t> </w:t>
      </w:r>
      <w:r>
        <w:rPr>
          <w:sz w:val="24"/>
        </w:rPr>
        <w:t>building;</w:t>
      </w:r>
      <w:r>
        <w:rPr>
          <w:spacing w:val="-10"/>
          <w:sz w:val="24"/>
        </w:rPr>
        <w:t> </w:t>
      </w:r>
      <w:r>
        <w:rPr>
          <w:spacing w:val="-5"/>
          <w:sz w:val="24"/>
        </w:rPr>
        <w:t>and</w:t>
      </w:r>
    </w:p>
    <w:p>
      <w:pPr>
        <w:pStyle w:val="ListParagraph"/>
        <w:numPr>
          <w:ilvl w:val="0"/>
          <w:numId w:val="7"/>
        </w:numPr>
        <w:tabs>
          <w:tab w:pos="1678" w:val="left" w:leader="none"/>
        </w:tabs>
        <w:spacing w:line="240" w:lineRule="auto" w:before="120" w:after="0"/>
        <w:ind w:left="1677" w:right="643" w:hanging="721"/>
        <w:jc w:val="both"/>
        <w:rPr>
          <w:sz w:val="24"/>
        </w:rPr>
      </w:pPr>
      <w:r>
        <w:rPr>
          <w:sz w:val="24"/>
        </w:rPr>
        <w:t>safeguard</w:t>
      </w:r>
      <w:r>
        <w:rPr>
          <w:spacing w:val="-5"/>
          <w:sz w:val="24"/>
        </w:rPr>
        <w:t> </w:t>
      </w:r>
      <w:r>
        <w:rPr>
          <w:sz w:val="24"/>
        </w:rPr>
        <w:t>occupants</w:t>
      </w:r>
      <w:r>
        <w:rPr>
          <w:spacing w:val="-5"/>
          <w:sz w:val="24"/>
        </w:rPr>
        <w:t> </w:t>
      </w:r>
      <w:r>
        <w:rPr>
          <w:sz w:val="24"/>
        </w:rPr>
        <w:t>from</w:t>
      </w:r>
      <w:r>
        <w:rPr>
          <w:spacing w:val="-5"/>
          <w:sz w:val="24"/>
        </w:rPr>
        <w:t> </w:t>
      </w:r>
      <w:r>
        <w:rPr>
          <w:sz w:val="24"/>
        </w:rPr>
        <w:t>illness</w:t>
      </w:r>
      <w:r>
        <w:rPr>
          <w:spacing w:val="-5"/>
          <w:sz w:val="24"/>
        </w:rPr>
        <w:t> </w:t>
      </w:r>
      <w:r>
        <w:rPr>
          <w:sz w:val="24"/>
        </w:rPr>
        <w:t>or</w:t>
      </w:r>
      <w:r>
        <w:rPr>
          <w:spacing w:val="-5"/>
          <w:sz w:val="24"/>
        </w:rPr>
        <w:t> </w:t>
      </w:r>
      <w:r>
        <w:rPr>
          <w:sz w:val="24"/>
        </w:rPr>
        <w:t>injury</w:t>
      </w:r>
      <w:r>
        <w:rPr>
          <w:spacing w:val="-5"/>
          <w:sz w:val="24"/>
        </w:rPr>
        <w:t> </w:t>
      </w:r>
      <w:r>
        <w:rPr>
          <w:sz w:val="24"/>
        </w:rPr>
        <w:t>while</w:t>
      </w:r>
      <w:r>
        <w:rPr>
          <w:spacing w:val="-5"/>
          <w:sz w:val="24"/>
        </w:rPr>
        <w:t> </w:t>
      </w:r>
      <w:r>
        <w:rPr>
          <w:sz w:val="24"/>
        </w:rPr>
        <w:t>evacuating</w:t>
      </w:r>
      <w:r>
        <w:rPr>
          <w:spacing w:val="-5"/>
          <w:sz w:val="24"/>
        </w:rPr>
        <w:t> </w:t>
      </w:r>
      <w:r>
        <w:rPr>
          <w:sz w:val="24"/>
        </w:rPr>
        <w:t>in</w:t>
      </w:r>
      <w:r>
        <w:rPr>
          <w:spacing w:val="-5"/>
          <w:sz w:val="24"/>
        </w:rPr>
        <w:t> </w:t>
      </w:r>
      <w:r>
        <w:rPr>
          <w:sz w:val="24"/>
        </w:rPr>
        <w:t>an </w:t>
      </w:r>
      <w:r>
        <w:rPr>
          <w:spacing w:val="-2"/>
          <w:sz w:val="24"/>
        </w:rPr>
        <w:t>emergency.</w:t>
      </w:r>
    </w:p>
    <w:p>
      <w:pPr>
        <w:spacing w:after="0" w:line="240" w:lineRule="auto"/>
        <w:jc w:val="both"/>
        <w:rPr>
          <w:sz w:val="24"/>
        </w:rPr>
        <w:sectPr>
          <w:pgSz w:w="12240" w:h="15840"/>
          <w:pgMar w:header="0" w:footer="1140" w:top="1360" w:bottom="1340" w:left="1560" w:right="1500"/>
        </w:sectPr>
      </w:pPr>
    </w:p>
    <w:p>
      <w:pPr>
        <w:pStyle w:val="Heading1"/>
        <w:numPr>
          <w:ilvl w:val="0"/>
          <w:numId w:val="4"/>
        </w:numPr>
        <w:tabs>
          <w:tab w:pos="957" w:val="left" w:leader="none"/>
          <w:tab w:pos="958" w:val="left" w:leader="none"/>
        </w:tabs>
        <w:spacing w:line="240" w:lineRule="auto" w:before="178" w:after="0"/>
        <w:ind w:left="957" w:right="0" w:hanging="721"/>
        <w:jc w:val="left"/>
      </w:pPr>
      <w:bookmarkStart w:name=" 3 Background" w:id="13"/>
      <w:bookmarkEnd w:id="13"/>
      <w:r>
        <w:rPr>
          <w:b w:val="0"/>
        </w:rPr>
      </w:r>
      <w:bookmarkStart w:name="_bookmark8" w:id="14"/>
      <w:bookmarkEnd w:id="14"/>
      <w:r>
        <w:rPr>
          <w:spacing w:val="-2"/>
        </w:rPr>
        <w:t>Background</w:t>
      </w:r>
    </w:p>
    <w:p>
      <w:pPr>
        <w:pStyle w:val="BodyText"/>
        <w:spacing w:before="239"/>
        <w:ind w:left="237" w:right="293"/>
        <w:jc w:val="both"/>
      </w:pPr>
      <w:r>
        <w:rPr/>
        <w:t>The DDA was passed in 1992 and came into effect in March 1993.</w:t>
      </w:r>
      <w:r>
        <w:rPr>
          <w:spacing w:val="40"/>
        </w:rPr>
        <w:t> </w:t>
      </w:r>
      <w:r>
        <w:rPr/>
        <w:t>As noted, it proscribes discrimination against persons with disabilities in the provision of access</w:t>
      </w:r>
      <w:r>
        <w:rPr>
          <w:spacing w:val="-2"/>
        </w:rPr>
        <w:t> </w:t>
      </w:r>
      <w:r>
        <w:rPr/>
        <w:t>to</w:t>
      </w:r>
      <w:r>
        <w:rPr>
          <w:spacing w:val="-2"/>
        </w:rPr>
        <w:t> </w:t>
      </w:r>
      <w:r>
        <w:rPr/>
        <w:t>premises,</w:t>
      </w:r>
      <w:r>
        <w:rPr>
          <w:spacing w:val="-2"/>
        </w:rPr>
        <w:t> </w:t>
      </w:r>
      <w:r>
        <w:rPr/>
        <w:t>although</w:t>
      </w:r>
      <w:r>
        <w:rPr>
          <w:spacing w:val="-2"/>
        </w:rPr>
        <w:t> </w:t>
      </w:r>
      <w:r>
        <w:rPr/>
        <w:t>it</w:t>
      </w:r>
      <w:r>
        <w:rPr>
          <w:spacing w:val="-2"/>
        </w:rPr>
        <w:t> </w:t>
      </w:r>
      <w:r>
        <w:rPr/>
        <w:t>is</w:t>
      </w:r>
      <w:r>
        <w:rPr>
          <w:spacing w:val="-1"/>
        </w:rPr>
        <w:t> </w:t>
      </w:r>
      <w:r>
        <w:rPr/>
        <w:t>a</w:t>
      </w:r>
      <w:r>
        <w:rPr>
          <w:spacing w:val="-2"/>
        </w:rPr>
        <w:t> </w:t>
      </w:r>
      <w:r>
        <w:rPr/>
        <w:t>defence</w:t>
      </w:r>
      <w:r>
        <w:rPr>
          <w:spacing w:val="-2"/>
        </w:rPr>
        <w:t> </w:t>
      </w:r>
      <w:r>
        <w:rPr/>
        <w:t>to</w:t>
      </w:r>
      <w:r>
        <w:rPr>
          <w:spacing w:val="-2"/>
        </w:rPr>
        <w:t> </w:t>
      </w:r>
      <w:r>
        <w:rPr/>
        <w:t>a</w:t>
      </w:r>
      <w:r>
        <w:rPr>
          <w:spacing w:val="-2"/>
        </w:rPr>
        <w:t> </w:t>
      </w:r>
      <w:r>
        <w:rPr/>
        <w:t>complaint</w:t>
      </w:r>
      <w:r>
        <w:rPr>
          <w:spacing w:val="-2"/>
        </w:rPr>
        <w:t> </w:t>
      </w:r>
      <w:r>
        <w:rPr/>
        <w:t>of</w:t>
      </w:r>
      <w:r>
        <w:rPr>
          <w:spacing w:val="-2"/>
        </w:rPr>
        <w:t> </w:t>
      </w:r>
      <w:r>
        <w:rPr/>
        <w:t>discrimination</w:t>
      </w:r>
      <w:r>
        <w:rPr>
          <w:spacing w:val="-2"/>
        </w:rPr>
        <w:t> </w:t>
      </w:r>
      <w:r>
        <w:rPr/>
        <w:t>if</w:t>
      </w:r>
      <w:r>
        <w:rPr>
          <w:spacing w:val="-2"/>
        </w:rPr>
        <w:t> </w:t>
      </w:r>
      <w:r>
        <w:rPr/>
        <w:t>it</w:t>
      </w:r>
      <w:r>
        <w:rPr>
          <w:spacing w:val="-2"/>
        </w:rPr>
        <w:t> </w:t>
      </w:r>
      <w:r>
        <w:rPr/>
        <w:t>is established that providing such access would cause unjustifiable hardship in practice.</w:t>
      </w:r>
      <w:r>
        <w:rPr>
          <w:spacing w:val="40"/>
        </w:rPr>
        <w:t> </w:t>
      </w:r>
      <w:r>
        <w:rPr/>
        <w:t>However, no more detailed legislative or regulatory guidance exists as to the specific steps that must be taken to ensure compliance with these general duties in relation to access to premises.</w:t>
      </w:r>
      <w:r>
        <w:rPr>
          <w:spacing w:val="40"/>
        </w:rPr>
        <w:t> </w:t>
      </w:r>
      <w:r>
        <w:rPr/>
        <w:t>Instead, the main source of guidance as to the practical import of the DDA requirements has been a series of “Advisory Notes” issued by the Australian Human Rights Commission (AHRC), formerly known as the Human Rights and Equal Opportunity Commission.</w:t>
      </w:r>
      <w:r>
        <w:rPr>
          <w:spacing w:val="40"/>
        </w:rPr>
        <w:t> </w:t>
      </w:r>
      <w:r>
        <w:rPr/>
        <w:t>In the case of access</w:t>
      </w:r>
      <w:r>
        <w:rPr>
          <w:spacing w:val="-2"/>
        </w:rPr>
        <w:t> </w:t>
      </w:r>
      <w:r>
        <w:rPr/>
        <w:t>to</w:t>
      </w:r>
      <w:r>
        <w:rPr>
          <w:spacing w:val="-2"/>
        </w:rPr>
        <w:t> </w:t>
      </w:r>
      <w:r>
        <w:rPr/>
        <w:t>premises,</w:t>
      </w:r>
      <w:r>
        <w:rPr>
          <w:spacing w:val="-2"/>
        </w:rPr>
        <w:t> </w:t>
      </w:r>
      <w:r>
        <w:rPr/>
        <w:t>the</w:t>
      </w:r>
      <w:r>
        <w:rPr>
          <w:spacing w:val="-2"/>
        </w:rPr>
        <w:t> </w:t>
      </w:r>
      <w:r>
        <w:rPr/>
        <w:t>Advisory</w:t>
      </w:r>
      <w:r>
        <w:rPr>
          <w:spacing w:val="-2"/>
        </w:rPr>
        <w:t> </w:t>
      </w:r>
      <w:r>
        <w:rPr/>
        <w:t>Notes</w:t>
      </w:r>
      <w:r>
        <w:rPr>
          <w:spacing w:val="-2"/>
        </w:rPr>
        <w:t> </w:t>
      </w:r>
      <w:r>
        <w:rPr/>
        <w:t>refer</w:t>
      </w:r>
      <w:r>
        <w:rPr>
          <w:spacing w:val="-2"/>
        </w:rPr>
        <w:t> </w:t>
      </w:r>
      <w:r>
        <w:rPr/>
        <w:t>to</w:t>
      </w:r>
      <w:r>
        <w:rPr>
          <w:spacing w:val="-2"/>
        </w:rPr>
        <w:t> </w:t>
      </w:r>
      <w:r>
        <w:rPr/>
        <w:t>the</w:t>
      </w:r>
      <w:r>
        <w:rPr>
          <w:spacing w:val="-2"/>
        </w:rPr>
        <w:t> </w:t>
      </w:r>
      <w:r>
        <w:rPr/>
        <w:t>BCA,</w:t>
      </w:r>
      <w:r>
        <w:rPr>
          <w:spacing w:val="-2"/>
        </w:rPr>
        <w:t> </w:t>
      </w:r>
      <w:r>
        <w:rPr/>
        <w:t>to</w:t>
      </w:r>
      <w:r>
        <w:rPr>
          <w:spacing w:val="-2"/>
        </w:rPr>
        <w:t> </w:t>
      </w:r>
      <w:r>
        <w:rPr/>
        <w:t>proposed</w:t>
      </w:r>
      <w:r>
        <w:rPr>
          <w:spacing w:val="-2"/>
        </w:rPr>
        <w:t> </w:t>
      </w:r>
      <w:r>
        <w:rPr/>
        <w:t>changes</w:t>
      </w:r>
      <w:r>
        <w:rPr>
          <w:spacing w:val="-2"/>
        </w:rPr>
        <w:t> </w:t>
      </w:r>
      <w:r>
        <w:rPr/>
        <w:t>to the BCA and to various relevant Australian Standards.</w:t>
      </w:r>
      <w:r>
        <w:rPr>
          <w:spacing w:val="40"/>
        </w:rPr>
        <w:t> </w:t>
      </w:r>
      <w:r>
        <w:rPr/>
        <w:t>However, as their name suggests, they are intended to be advisory in nature, and have no formal legal </w:t>
      </w:r>
      <w:r>
        <w:rPr>
          <w:spacing w:val="-2"/>
        </w:rPr>
        <w:t>effect.</w:t>
      </w:r>
    </w:p>
    <w:p>
      <w:pPr>
        <w:pStyle w:val="BodyText"/>
        <w:spacing w:before="10"/>
        <w:rPr>
          <w:sz w:val="23"/>
        </w:rPr>
      </w:pPr>
    </w:p>
    <w:p>
      <w:pPr>
        <w:pStyle w:val="BodyText"/>
        <w:spacing w:before="1"/>
        <w:ind w:left="237" w:right="292"/>
        <w:jc w:val="both"/>
      </w:pPr>
      <w:r>
        <w:rPr/>
        <w:t>Concern</w:t>
      </w:r>
      <w:r>
        <w:rPr/>
        <w:t> as</w:t>
      </w:r>
      <w:r>
        <w:rPr/>
        <w:t> to</w:t>
      </w:r>
      <w:r>
        <w:rPr/>
        <w:t> the</w:t>
      </w:r>
      <w:r>
        <w:rPr/>
        <w:t> lack</w:t>
      </w:r>
      <w:r>
        <w:rPr/>
        <w:t> of</w:t>
      </w:r>
      <w:r>
        <w:rPr/>
        <w:t> certainty</w:t>
      </w:r>
      <w:r>
        <w:rPr/>
        <w:t> regarding</w:t>
      </w:r>
      <w:r>
        <w:rPr/>
        <w:t> practical</w:t>
      </w:r>
      <w:r>
        <w:rPr/>
        <w:t> compliance</w:t>
      </w:r>
      <w:r>
        <w:rPr/>
        <w:t> obligations under the DDA led to amendments to Section 31 of the DDA, which came into effect in April 2000, to allow the Australian Government’s Attorney-General to formulate Disability Standards in relation to Access to Premises</w:t>
      </w:r>
      <w:r>
        <w:rPr>
          <w:vertAlign w:val="superscript"/>
        </w:rPr>
        <w:t>9</w:t>
      </w:r>
      <w:r>
        <w:rPr>
          <w:vertAlign w:val="baseline"/>
        </w:rPr>
        <w:t>.</w:t>
      </w:r>
      <w:r>
        <w:rPr>
          <w:spacing w:val="40"/>
          <w:vertAlign w:val="baseline"/>
        </w:rPr>
        <w:t> </w:t>
      </w:r>
      <w:r>
        <w:rPr>
          <w:vertAlign w:val="baseline"/>
        </w:rPr>
        <w:t>Contravention of any Disability Standards formulated under the DDA is unlawful under Section 32</w:t>
      </w:r>
      <w:r>
        <w:rPr>
          <w:spacing w:val="-1"/>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DDA.</w:t>
      </w:r>
      <w:r>
        <w:rPr>
          <w:spacing w:val="40"/>
          <w:vertAlign w:val="baseline"/>
        </w:rPr>
        <w:t> </w:t>
      </w:r>
      <w:r>
        <w:rPr>
          <w:vertAlign w:val="baseline"/>
        </w:rPr>
        <w:t>Section</w:t>
      </w:r>
      <w:r>
        <w:rPr>
          <w:spacing w:val="-1"/>
          <w:vertAlign w:val="baseline"/>
        </w:rPr>
        <w:t> </w:t>
      </w:r>
      <w:r>
        <w:rPr>
          <w:vertAlign w:val="baseline"/>
        </w:rPr>
        <w:t>34</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DDA</w:t>
      </w:r>
      <w:r>
        <w:rPr>
          <w:spacing w:val="-1"/>
          <w:vertAlign w:val="baseline"/>
        </w:rPr>
        <w:t> </w:t>
      </w:r>
      <w:r>
        <w:rPr>
          <w:vertAlign w:val="baseline"/>
        </w:rPr>
        <w:t>effectively</w:t>
      </w:r>
      <w:r>
        <w:rPr>
          <w:spacing w:val="-2"/>
          <w:vertAlign w:val="baseline"/>
        </w:rPr>
        <w:t> </w:t>
      </w:r>
      <w:r>
        <w:rPr>
          <w:vertAlign w:val="baseline"/>
        </w:rPr>
        <w:t>provides</w:t>
      </w:r>
      <w:r>
        <w:rPr>
          <w:spacing w:val="-2"/>
          <w:vertAlign w:val="baseline"/>
        </w:rPr>
        <w:t> </w:t>
      </w:r>
      <w:r>
        <w:rPr>
          <w:vertAlign w:val="baseline"/>
        </w:rPr>
        <w:t>that</w:t>
      </w:r>
      <w:r>
        <w:rPr>
          <w:spacing w:val="-2"/>
          <w:vertAlign w:val="baseline"/>
        </w:rPr>
        <w:t> </w:t>
      </w:r>
      <w:r>
        <w:rPr>
          <w:vertAlign w:val="baseline"/>
        </w:rPr>
        <w:t>compliance</w:t>
      </w:r>
      <w:r>
        <w:rPr>
          <w:spacing w:val="-2"/>
          <w:vertAlign w:val="baseline"/>
        </w:rPr>
        <w:t> </w:t>
      </w:r>
      <w:r>
        <w:rPr>
          <w:vertAlign w:val="baseline"/>
        </w:rPr>
        <w:t>with</w:t>
      </w:r>
      <w:r>
        <w:rPr>
          <w:spacing w:val="-2"/>
          <w:vertAlign w:val="baseline"/>
        </w:rPr>
        <w:t> </w:t>
      </w:r>
      <w:r>
        <w:rPr>
          <w:vertAlign w:val="baseline"/>
        </w:rPr>
        <w:t>a relevant Disability Standard is sufficient to satisfy the DDA duty not to discriminate in relation to the subject area covered by the Standards.</w:t>
      </w:r>
    </w:p>
    <w:p>
      <w:pPr>
        <w:pStyle w:val="BodyText"/>
      </w:pPr>
    </w:p>
    <w:p>
      <w:pPr>
        <w:pStyle w:val="BodyText"/>
        <w:ind w:left="237" w:right="293"/>
        <w:jc w:val="both"/>
      </w:pPr>
      <w:r>
        <w:rPr/>
        <w:t>This RIS assesses the draft Premises Standards, with further analysis of the proposed 2009 amendments provided in Appendix D. The formulation of such a Disability Standard would have the effect of specifying and codifying the duty to avoid discrimination, imposed under the DDA, to the extent that it relates to access to premises.</w:t>
      </w:r>
      <w:r>
        <w:rPr>
          <w:spacing w:val="40"/>
        </w:rPr>
        <w:t> </w:t>
      </w:r>
      <w:r>
        <w:rPr/>
        <w:t>This would make the regulatory requirements more transparent in practice and thus improve certainty for stakeholders.</w:t>
      </w:r>
      <w:r>
        <w:rPr>
          <w:spacing w:val="40"/>
        </w:rPr>
        <w:t> </w:t>
      </w:r>
      <w:r>
        <w:rPr/>
        <w:t>It is thereby expected to improve effective compliance with the DDA in relation to access to premises.</w:t>
      </w:r>
      <w:r>
        <w:rPr>
          <w:spacing w:val="40"/>
        </w:rPr>
        <w:t> </w:t>
      </w:r>
      <w:r>
        <w:rPr/>
        <w:t>It should be noted that similar Disability Standards have been developed or are under development in relation to other major areas of application of the DDA, with the same underlying purpose.</w:t>
      </w:r>
    </w:p>
    <w:p>
      <w:pPr>
        <w:pStyle w:val="BodyText"/>
      </w:pPr>
    </w:p>
    <w:p>
      <w:pPr>
        <w:pStyle w:val="BodyText"/>
        <w:ind w:left="237" w:right="294"/>
        <w:jc w:val="both"/>
      </w:pPr>
      <w:r>
        <w:rPr/>
        <w:t>As noted previously, it is proposed to amend the BCA to ensure that the BCA technical provisions mirror those contained in the Premises Standards.</w:t>
      </w:r>
      <w:r>
        <w:rPr>
          <w:spacing w:val="40"/>
        </w:rPr>
        <w:t> </w:t>
      </w:r>
      <w:r>
        <w:rPr/>
        <w:t>This is intended to ensure, as far as possible, that compliance with the BCA will also satisfy DDA obligations.</w:t>
      </w:r>
      <w:r>
        <w:rPr>
          <w:spacing w:val="40"/>
        </w:rPr>
        <w:t> </w:t>
      </w:r>
      <w:r>
        <w:rPr/>
        <w:t>Although complaints with respect to access to premises may</w:t>
      </w:r>
      <w:r>
        <w:rPr>
          <w:spacing w:val="25"/>
        </w:rPr>
        <w:t> </w:t>
      </w:r>
      <w:r>
        <w:rPr/>
        <w:t>still</w:t>
      </w:r>
      <w:r>
        <w:rPr>
          <w:spacing w:val="25"/>
        </w:rPr>
        <w:t> </w:t>
      </w:r>
      <w:r>
        <w:rPr/>
        <w:t>be</w:t>
      </w:r>
      <w:r>
        <w:rPr>
          <w:spacing w:val="25"/>
        </w:rPr>
        <w:t> </w:t>
      </w:r>
      <w:r>
        <w:rPr/>
        <w:t>lodged</w:t>
      </w:r>
      <w:r>
        <w:rPr>
          <w:spacing w:val="25"/>
        </w:rPr>
        <w:t> </w:t>
      </w:r>
      <w:r>
        <w:rPr/>
        <w:t>under</w:t>
      </w:r>
      <w:r>
        <w:rPr>
          <w:spacing w:val="25"/>
        </w:rPr>
        <w:t> </w:t>
      </w:r>
      <w:r>
        <w:rPr/>
        <w:t>the</w:t>
      </w:r>
      <w:r>
        <w:rPr>
          <w:spacing w:val="25"/>
        </w:rPr>
        <w:t> </w:t>
      </w:r>
      <w:r>
        <w:rPr/>
        <w:t>DDA,</w:t>
      </w:r>
      <w:r>
        <w:rPr>
          <w:spacing w:val="25"/>
        </w:rPr>
        <w:t> </w:t>
      </w:r>
      <w:r>
        <w:rPr/>
        <w:t>compliance</w:t>
      </w:r>
      <w:r>
        <w:rPr>
          <w:spacing w:val="25"/>
        </w:rPr>
        <w:t> </w:t>
      </w:r>
      <w:r>
        <w:rPr/>
        <w:t>with</w:t>
      </w:r>
      <w:r>
        <w:rPr>
          <w:spacing w:val="25"/>
        </w:rPr>
        <w:t> </w:t>
      </w:r>
      <w:r>
        <w:rPr/>
        <w:t>the</w:t>
      </w:r>
      <w:r>
        <w:rPr>
          <w:spacing w:val="25"/>
        </w:rPr>
        <w:t> </w:t>
      </w:r>
      <w:r>
        <w:rPr/>
        <w:t>Standards</w:t>
      </w:r>
      <w:r>
        <w:rPr>
          <w:spacing w:val="25"/>
        </w:rPr>
        <w:t> </w:t>
      </w:r>
      <w:r>
        <w:rPr/>
        <w:t>would</w:t>
      </w:r>
      <w:r>
        <w:rPr>
          <w:spacing w:val="25"/>
        </w:rPr>
        <w:t> </w:t>
      </w:r>
      <w:r>
        <w:rPr/>
        <w:t>be</w:t>
      </w:r>
      <w:r>
        <w:rPr>
          <w:spacing w:val="25"/>
        </w:rPr>
        <w:t> </w:t>
      </w:r>
      <w:r>
        <w:rPr/>
        <w:t>a</w:t>
      </w:r>
    </w:p>
    <w:p>
      <w:pPr>
        <w:pStyle w:val="BodyText"/>
        <w:rPr>
          <w:sz w:val="20"/>
        </w:rPr>
      </w:pPr>
    </w:p>
    <w:p>
      <w:pPr>
        <w:pStyle w:val="BodyText"/>
        <w:spacing w:before="2"/>
        <w:rPr>
          <w:sz w:val="18"/>
        </w:rPr>
      </w:pPr>
      <w:r>
        <w:rPr/>
        <w:pict>
          <v:rect style="position:absolute;margin-left:89.879997pt;margin-top:11.664365pt;width:144pt;height:.6pt;mso-position-horizontal-relative:page;mso-position-vertical-relative:paragraph;z-index:-15725056;mso-wrap-distance-left:0;mso-wrap-distance-right:0" id="docshape10"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9</w:t>
      </w:r>
      <w:r>
        <w:rPr>
          <w:spacing w:val="-6"/>
          <w:sz w:val="20"/>
          <w:vertAlign w:val="baseline"/>
        </w:rPr>
        <w:t> </w:t>
      </w:r>
      <w:r>
        <w:rPr>
          <w:sz w:val="20"/>
          <w:vertAlign w:val="baseline"/>
        </w:rPr>
        <w:t>See</w:t>
      </w:r>
      <w:r>
        <w:rPr>
          <w:spacing w:val="-6"/>
          <w:sz w:val="20"/>
          <w:vertAlign w:val="baseline"/>
        </w:rPr>
        <w:t> </w:t>
      </w:r>
      <w:r>
        <w:rPr>
          <w:sz w:val="20"/>
          <w:vertAlign w:val="baseline"/>
        </w:rPr>
        <w:t>Disability</w:t>
      </w:r>
      <w:r>
        <w:rPr>
          <w:spacing w:val="-6"/>
          <w:sz w:val="20"/>
          <w:vertAlign w:val="baseline"/>
        </w:rPr>
        <w:t> </w:t>
      </w:r>
      <w:r>
        <w:rPr>
          <w:sz w:val="20"/>
          <w:vertAlign w:val="baseline"/>
        </w:rPr>
        <w:t>Discrimination</w:t>
      </w:r>
      <w:r>
        <w:rPr>
          <w:spacing w:val="-6"/>
          <w:sz w:val="20"/>
          <w:vertAlign w:val="baseline"/>
        </w:rPr>
        <w:t> </w:t>
      </w:r>
      <w:r>
        <w:rPr>
          <w:sz w:val="20"/>
          <w:vertAlign w:val="baseline"/>
        </w:rPr>
        <w:t>Act</w:t>
      </w:r>
      <w:r>
        <w:rPr>
          <w:spacing w:val="-6"/>
          <w:sz w:val="20"/>
          <w:vertAlign w:val="baseline"/>
        </w:rPr>
        <w:t> </w:t>
      </w:r>
      <w:r>
        <w:rPr>
          <w:sz w:val="20"/>
          <w:vertAlign w:val="baseline"/>
        </w:rPr>
        <w:t>1992,</w:t>
      </w:r>
      <w:r>
        <w:rPr>
          <w:spacing w:val="-7"/>
          <w:sz w:val="20"/>
          <w:vertAlign w:val="baseline"/>
        </w:rPr>
        <w:t> </w:t>
      </w:r>
      <w:r>
        <w:rPr>
          <w:sz w:val="20"/>
          <w:vertAlign w:val="baseline"/>
        </w:rPr>
        <w:t>Section</w:t>
      </w:r>
      <w:r>
        <w:rPr>
          <w:spacing w:val="-6"/>
          <w:sz w:val="20"/>
          <w:vertAlign w:val="baseline"/>
        </w:rPr>
        <w:t> </w:t>
      </w:r>
      <w:r>
        <w:rPr>
          <w:spacing w:val="-5"/>
          <w:sz w:val="20"/>
          <w:vertAlign w:val="baseline"/>
        </w:rPr>
        <w:t>31.</w:t>
      </w:r>
    </w:p>
    <w:p>
      <w:pPr>
        <w:spacing w:after="0"/>
        <w:jc w:val="left"/>
        <w:rPr>
          <w:sz w:val="20"/>
        </w:rPr>
        <w:sectPr>
          <w:pgSz w:w="12240" w:h="15840"/>
          <w:pgMar w:header="0" w:footer="1140" w:top="1500" w:bottom="1340" w:left="1560" w:right="1500"/>
        </w:sectPr>
      </w:pPr>
    </w:p>
    <w:p>
      <w:pPr>
        <w:pStyle w:val="BodyText"/>
        <w:spacing w:before="77"/>
        <w:ind w:left="237" w:right="293"/>
        <w:jc w:val="both"/>
      </w:pPr>
      <w:r>
        <w:rPr/>
        <w:t>complete defence to any such complaint.</w:t>
      </w:r>
      <w:r>
        <w:rPr>
          <w:spacing w:val="80"/>
        </w:rPr>
        <w:t> </w:t>
      </w:r>
      <w:r>
        <w:rPr/>
        <w:t>In this respect, the Premises</w:t>
      </w:r>
      <w:r>
        <w:rPr>
          <w:spacing w:val="40"/>
        </w:rPr>
        <w:t> </w:t>
      </w:r>
      <w:r>
        <w:rPr/>
        <w:t>Standards is also intended to provide greater confidence to builders, developers and property owners that they will not face lawsuits that may entail additional expenditure.</w:t>
      </w:r>
      <w:r>
        <w:rPr>
          <w:spacing w:val="80"/>
        </w:rPr>
        <w:t> </w:t>
      </w:r>
      <w:r>
        <w:rPr/>
        <w:t>The current proposals are the result of a request from the</w:t>
      </w:r>
      <w:r>
        <w:rPr>
          <w:spacing w:val="40"/>
        </w:rPr>
        <w:t> </w:t>
      </w:r>
      <w:r>
        <w:rPr/>
        <w:t>Australian Government to the Australian Building Codes Board (ABCB) to develop proposals to change the BCA to enable it to form the basis of the proposed Premises Standards.</w:t>
      </w:r>
    </w:p>
    <w:p>
      <w:pPr>
        <w:pStyle w:val="BodyText"/>
      </w:pPr>
    </w:p>
    <w:p>
      <w:pPr>
        <w:pStyle w:val="BodyText"/>
        <w:ind w:left="237" w:right="296"/>
        <w:jc w:val="both"/>
      </w:pPr>
      <w:r>
        <w:rPr/>
        <w:t>As a result of this request, the ABCB established its Building Access Policy Committee (BAPC) to:</w:t>
      </w:r>
    </w:p>
    <w:p>
      <w:pPr>
        <w:pStyle w:val="ListParagraph"/>
        <w:numPr>
          <w:ilvl w:val="0"/>
          <w:numId w:val="8"/>
        </w:numPr>
        <w:tabs>
          <w:tab w:pos="958" w:val="left" w:leader="none"/>
        </w:tabs>
        <w:spacing w:line="237" w:lineRule="auto" w:before="123" w:after="0"/>
        <w:ind w:left="951" w:right="296" w:hanging="357"/>
        <w:jc w:val="both"/>
        <w:rPr>
          <w:sz w:val="24"/>
        </w:rPr>
      </w:pPr>
      <w:r>
        <w:rPr>
          <w:sz w:val="24"/>
        </w:rPr>
        <w:t>assist industry, regulators and service providers to achieve equitable, cost effective access to buildings, for people with disabilities;</w:t>
      </w:r>
    </w:p>
    <w:p>
      <w:pPr>
        <w:pStyle w:val="ListParagraph"/>
        <w:numPr>
          <w:ilvl w:val="0"/>
          <w:numId w:val="8"/>
        </w:numPr>
        <w:tabs>
          <w:tab w:pos="958" w:val="left" w:leader="none"/>
        </w:tabs>
        <w:spacing w:line="240" w:lineRule="auto" w:before="61" w:after="0"/>
        <w:ind w:left="951" w:right="295" w:hanging="357"/>
        <w:jc w:val="both"/>
        <w:rPr>
          <w:sz w:val="24"/>
        </w:rPr>
      </w:pPr>
      <w:r>
        <w:rPr>
          <w:sz w:val="24"/>
        </w:rPr>
        <w:t>make recommendations to the ABCB of amendments to the BCA which will ensure that it is consistent with the objectives of the DDA and is sufficient to be adopted as part of a Premises Standards; and</w:t>
      </w:r>
    </w:p>
    <w:p>
      <w:pPr>
        <w:pStyle w:val="ListParagraph"/>
        <w:numPr>
          <w:ilvl w:val="0"/>
          <w:numId w:val="8"/>
        </w:numPr>
        <w:tabs>
          <w:tab w:pos="958" w:val="left" w:leader="none"/>
        </w:tabs>
        <w:spacing w:line="237" w:lineRule="auto" w:before="61" w:after="0"/>
        <w:ind w:left="957" w:right="295" w:hanging="360"/>
        <w:jc w:val="both"/>
        <w:rPr>
          <w:sz w:val="24"/>
        </w:rPr>
      </w:pPr>
      <w:r>
        <w:rPr>
          <w:sz w:val="24"/>
        </w:rPr>
        <w:t>pursue this objective in consultation with industry, the community, the Australian, State, Territory and Local governments.</w:t>
      </w:r>
    </w:p>
    <w:p>
      <w:pPr>
        <w:pStyle w:val="BodyText"/>
      </w:pPr>
    </w:p>
    <w:p>
      <w:pPr>
        <w:pStyle w:val="BodyText"/>
        <w:ind w:left="237" w:right="293"/>
        <w:jc w:val="both"/>
      </w:pPr>
      <w:r>
        <w:rPr/>
        <w:t>As with all BCA requirements, enforcement occurs through State and Territory legislation which references the BCA as the relevant technical standard.</w:t>
      </w:r>
      <w:r>
        <w:rPr>
          <w:spacing w:val="40"/>
        </w:rPr>
        <w:t> </w:t>
      </w:r>
      <w:r>
        <w:rPr/>
        <w:t>To ensure a consistent approach to the implementation of the access requirements, particularly in areas where expert interpretation and judgement is required, a </w:t>
      </w:r>
      <w:r>
        <w:rPr>
          <w:i/>
        </w:rPr>
        <w:t>Protocol for Administering Building Access </w:t>
      </w:r>
      <w:r>
        <w:rPr/>
        <w:t>has also been developed.</w:t>
      </w:r>
      <w:r>
        <w:rPr>
          <w:spacing w:val="40"/>
        </w:rPr>
        <w:t> </w:t>
      </w:r>
      <w:r>
        <w:rPr/>
        <w:t>The purpose</w:t>
      </w:r>
      <w:r>
        <w:rPr>
          <w:spacing w:val="-1"/>
        </w:rPr>
        <w:t> </w:t>
      </w:r>
      <w:r>
        <w:rPr/>
        <w:t>of</w:t>
      </w:r>
      <w:r>
        <w:rPr>
          <w:spacing w:val="-1"/>
        </w:rPr>
        <w:t> </w:t>
      </w:r>
      <w:r>
        <w:rPr/>
        <w:t>the Protocol</w:t>
      </w:r>
      <w:r>
        <w:rPr>
          <w:spacing w:val="-1"/>
        </w:rPr>
        <w:t> </w:t>
      </w:r>
      <w:r>
        <w:rPr/>
        <w:t>is to</w:t>
      </w:r>
      <w:r>
        <w:rPr>
          <w:spacing w:val="-1"/>
        </w:rPr>
        <w:t> </w:t>
      </w:r>
      <w:r>
        <w:rPr/>
        <w:t>describe</w:t>
      </w:r>
      <w:r>
        <w:rPr>
          <w:spacing w:val="-1"/>
        </w:rPr>
        <w:t> </w:t>
      </w:r>
      <w:r>
        <w:rPr/>
        <w:t>a</w:t>
      </w:r>
      <w:r>
        <w:rPr>
          <w:spacing w:val="-1"/>
        </w:rPr>
        <w:t> </w:t>
      </w:r>
      <w:r>
        <w:rPr/>
        <w:t>model</w:t>
      </w:r>
      <w:r>
        <w:rPr>
          <w:spacing w:val="-1"/>
        </w:rPr>
        <w:t> </w:t>
      </w:r>
      <w:r>
        <w:rPr/>
        <w:t>that</w:t>
      </w:r>
      <w:r>
        <w:rPr>
          <w:spacing w:val="-1"/>
        </w:rPr>
        <w:t> </w:t>
      </w:r>
      <w:r>
        <w:rPr/>
        <w:t>States</w:t>
      </w:r>
      <w:r>
        <w:rPr>
          <w:spacing w:val="-1"/>
        </w:rPr>
        <w:t> </w:t>
      </w:r>
      <w:r>
        <w:rPr/>
        <w:t>and</w:t>
      </w:r>
      <w:r>
        <w:rPr>
          <w:spacing w:val="-1"/>
        </w:rPr>
        <w:t> </w:t>
      </w:r>
      <w:r>
        <w:rPr/>
        <w:t>Territories</w:t>
      </w:r>
      <w:r>
        <w:rPr>
          <w:spacing w:val="-1"/>
        </w:rPr>
        <w:t> </w:t>
      </w:r>
      <w:r>
        <w:rPr/>
        <w:t>can</w:t>
      </w:r>
      <w:r>
        <w:rPr>
          <w:spacing w:val="-1"/>
        </w:rPr>
        <w:t> </w:t>
      </w:r>
      <w:r>
        <w:rPr/>
        <w:t>use in establishing a process for determining access requirements at the level of specific buildings.</w:t>
      </w:r>
      <w:r>
        <w:rPr>
          <w:spacing w:val="40"/>
        </w:rPr>
        <w:t> </w:t>
      </w:r>
      <w:r>
        <w:rPr/>
        <w:t>That is, it would guide the practical implementation of the access related requirements of the BCA. The Protocol covers any access-related matter where:</w:t>
      </w:r>
    </w:p>
    <w:p>
      <w:pPr>
        <w:pStyle w:val="ListParagraph"/>
        <w:numPr>
          <w:ilvl w:val="0"/>
          <w:numId w:val="8"/>
        </w:numPr>
        <w:tabs>
          <w:tab w:pos="958" w:val="left" w:leader="none"/>
        </w:tabs>
        <w:spacing w:line="237" w:lineRule="auto" w:before="124" w:after="0"/>
        <w:ind w:left="951" w:right="295" w:hanging="357"/>
        <w:jc w:val="both"/>
        <w:rPr>
          <w:sz w:val="24"/>
        </w:rPr>
      </w:pPr>
      <w:r>
        <w:rPr>
          <w:sz w:val="24"/>
        </w:rPr>
        <w:t>An alternative solution</w:t>
      </w:r>
      <w:r>
        <w:rPr>
          <w:sz w:val="24"/>
          <w:vertAlign w:val="superscript"/>
        </w:rPr>
        <w:t>10</w:t>
      </w:r>
      <w:r>
        <w:rPr>
          <w:sz w:val="24"/>
          <w:vertAlign w:val="baseline"/>
        </w:rPr>
        <w:t> is proposed to be adopted to meet the BCA performance requirements;</w:t>
      </w:r>
    </w:p>
    <w:p>
      <w:pPr>
        <w:pStyle w:val="ListParagraph"/>
        <w:numPr>
          <w:ilvl w:val="0"/>
          <w:numId w:val="8"/>
        </w:numPr>
        <w:tabs>
          <w:tab w:pos="958" w:val="left" w:leader="none"/>
        </w:tabs>
        <w:spacing w:line="240" w:lineRule="auto" w:before="60" w:after="0"/>
        <w:ind w:left="951" w:right="296" w:hanging="357"/>
        <w:jc w:val="both"/>
        <w:rPr>
          <w:sz w:val="24"/>
        </w:rPr>
      </w:pPr>
      <w:r>
        <w:rPr>
          <w:sz w:val="24"/>
        </w:rPr>
        <w:t>Modifications or exceptions are sought, with regard to building work on existing buildings; or</w:t>
      </w:r>
    </w:p>
    <w:p>
      <w:pPr>
        <w:pStyle w:val="ListParagraph"/>
        <w:numPr>
          <w:ilvl w:val="0"/>
          <w:numId w:val="8"/>
        </w:numPr>
        <w:tabs>
          <w:tab w:pos="958" w:val="left" w:leader="none"/>
        </w:tabs>
        <w:spacing w:line="240" w:lineRule="auto" w:before="59" w:after="0"/>
        <w:ind w:left="951" w:right="294" w:hanging="357"/>
        <w:jc w:val="both"/>
        <w:rPr>
          <w:sz w:val="24"/>
        </w:rPr>
      </w:pPr>
      <w:r>
        <w:rPr>
          <w:sz w:val="24"/>
        </w:rPr>
        <w:t>The Building Control Authority is vested with discretion to require the upgrading of a building – for example where there is a change of use or classification, upgrade orders, or where significant or extensive building work is being carried out warranting the upgrading of access to areas beyond that proposed for the new work.</w:t>
      </w:r>
    </w:p>
    <w:p>
      <w:pPr>
        <w:pStyle w:val="BodyText"/>
        <w:rPr>
          <w:sz w:val="29"/>
        </w:rPr>
      </w:pPr>
    </w:p>
    <w:p>
      <w:pPr>
        <w:pStyle w:val="BodyText"/>
        <w:ind w:left="237" w:right="295"/>
        <w:jc w:val="both"/>
      </w:pPr>
      <w:r>
        <w:rPr/>
        <w:t>The Protocol is the subject of a separate impact assessment process and will not be</w:t>
      </w:r>
      <w:r>
        <w:rPr>
          <w:spacing w:val="2"/>
        </w:rPr>
        <w:t> </w:t>
      </w:r>
      <w:r>
        <w:rPr/>
        <w:t>discussed</w:t>
      </w:r>
      <w:r>
        <w:rPr>
          <w:spacing w:val="2"/>
        </w:rPr>
        <w:t> </w:t>
      </w:r>
      <w:r>
        <w:rPr/>
        <w:t>further</w:t>
      </w:r>
      <w:r>
        <w:rPr>
          <w:spacing w:val="2"/>
        </w:rPr>
        <w:t> </w:t>
      </w:r>
      <w:r>
        <w:rPr/>
        <w:t>in</w:t>
      </w:r>
      <w:r>
        <w:rPr>
          <w:spacing w:val="1"/>
        </w:rPr>
        <w:t> </w:t>
      </w:r>
      <w:r>
        <w:rPr/>
        <w:t>this</w:t>
      </w:r>
      <w:r>
        <w:rPr>
          <w:spacing w:val="2"/>
        </w:rPr>
        <w:t> </w:t>
      </w:r>
      <w:r>
        <w:rPr/>
        <w:t>RIS.</w:t>
      </w:r>
      <w:r>
        <w:rPr>
          <w:spacing w:val="71"/>
        </w:rPr>
        <w:t> </w:t>
      </w:r>
      <w:r>
        <w:rPr/>
        <w:t>For</w:t>
      </w:r>
      <w:r>
        <w:rPr>
          <w:spacing w:val="2"/>
        </w:rPr>
        <w:t> </w:t>
      </w:r>
      <w:r>
        <w:rPr/>
        <w:t>present</w:t>
      </w:r>
      <w:r>
        <w:rPr>
          <w:spacing w:val="2"/>
        </w:rPr>
        <w:t> </w:t>
      </w:r>
      <w:r>
        <w:rPr/>
        <w:t>purposes,</w:t>
      </w:r>
      <w:r>
        <w:rPr>
          <w:spacing w:val="2"/>
        </w:rPr>
        <w:t> </w:t>
      </w:r>
      <w:r>
        <w:rPr/>
        <w:t>it</w:t>
      </w:r>
      <w:r>
        <w:rPr>
          <w:spacing w:val="2"/>
        </w:rPr>
        <w:t> </w:t>
      </w:r>
      <w:r>
        <w:rPr/>
        <w:t>should</w:t>
      </w:r>
      <w:r>
        <w:rPr>
          <w:spacing w:val="2"/>
        </w:rPr>
        <w:t> </w:t>
      </w:r>
      <w:r>
        <w:rPr/>
        <w:t>simply</w:t>
      </w:r>
      <w:r>
        <w:rPr>
          <w:spacing w:val="2"/>
        </w:rPr>
        <w:t> </w:t>
      </w:r>
      <w:r>
        <w:rPr/>
        <w:t>be</w:t>
      </w:r>
      <w:r>
        <w:rPr>
          <w:spacing w:val="3"/>
        </w:rPr>
        <w:t> </w:t>
      </w:r>
      <w:r>
        <w:rPr>
          <w:spacing w:val="-2"/>
        </w:rPr>
        <w:t>noted</w:t>
      </w:r>
    </w:p>
    <w:p>
      <w:pPr>
        <w:pStyle w:val="BodyText"/>
        <w:rPr>
          <w:sz w:val="20"/>
        </w:rPr>
      </w:pPr>
    </w:p>
    <w:p>
      <w:pPr>
        <w:pStyle w:val="BodyText"/>
        <w:spacing w:before="10"/>
        <w:rPr>
          <w:sz w:val="26"/>
        </w:rPr>
      </w:pPr>
      <w:r>
        <w:rPr/>
        <w:pict>
          <v:rect style="position:absolute;margin-left:89.879997pt;margin-top:16.684032pt;width:144pt;height:.6pt;mso-position-horizontal-relative:page;mso-position-vertical-relative:paragraph;z-index:-15724544;mso-wrap-distance-left:0;mso-wrap-distance-right:0" id="docshape11"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10</w:t>
      </w:r>
      <w:r>
        <w:rPr>
          <w:sz w:val="20"/>
          <w:vertAlign w:val="baseline"/>
        </w:rPr>
        <w:t> This is a means of compliance with the Performance Requirements of the BCA using a method other than the prescriptive Deemed-to-Satisfy provisions contained in the BCA.</w:t>
      </w:r>
    </w:p>
    <w:p>
      <w:pPr>
        <w:spacing w:after="0"/>
        <w:jc w:val="left"/>
        <w:rPr>
          <w:sz w:val="20"/>
        </w:rPr>
        <w:sectPr>
          <w:pgSz w:w="12240" w:h="15840"/>
          <w:pgMar w:header="0" w:footer="1140" w:top="1360" w:bottom="1340" w:left="1560" w:right="1500"/>
        </w:sectPr>
      </w:pPr>
    </w:p>
    <w:p>
      <w:pPr>
        <w:pStyle w:val="BodyText"/>
        <w:spacing w:before="77"/>
        <w:ind w:left="237"/>
      </w:pPr>
      <w:r>
        <w:rPr/>
        <w:t>that</w:t>
      </w:r>
      <w:r>
        <w:rPr>
          <w:spacing w:val="28"/>
        </w:rPr>
        <w:t> </w:t>
      </w:r>
      <w:r>
        <w:rPr/>
        <w:t>the</w:t>
      </w:r>
      <w:r>
        <w:rPr>
          <w:spacing w:val="28"/>
        </w:rPr>
        <w:t> </w:t>
      </w:r>
      <w:r>
        <w:rPr/>
        <w:t>principles</w:t>
      </w:r>
      <w:r>
        <w:rPr>
          <w:spacing w:val="28"/>
        </w:rPr>
        <w:t> </w:t>
      </w:r>
      <w:r>
        <w:rPr/>
        <w:t>of</w:t>
      </w:r>
      <w:r>
        <w:rPr>
          <w:spacing w:val="28"/>
        </w:rPr>
        <w:t> </w:t>
      </w:r>
      <w:r>
        <w:rPr/>
        <w:t>the</w:t>
      </w:r>
      <w:r>
        <w:rPr>
          <w:spacing w:val="29"/>
        </w:rPr>
        <w:t> </w:t>
      </w:r>
      <w:r>
        <w:rPr/>
        <w:t>model</w:t>
      </w:r>
      <w:r>
        <w:rPr>
          <w:spacing w:val="29"/>
        </w:rPr>
        <w:t> </w:t>
      </w:r>
      <w:r>
        <w:rPr/>
        <w:t>described</w:t>
      </w:r>
      <w:r>
        <w:rPr>
          <w:spacing w:val="29"/>
        </w:rPr>
        <w:t> </w:t>
      </w:r>
      <w:r>
        <w:rPr/>
        <w:t>in</w:t>
      </w:r>
      <w:r>
        <w:rPr>
          <w:spacing w:val="29"/>
        </w:rPr>
        <w:t> </w:t>
      </w:r>
      <w:r>
        <w:rPr/>
        <w:t>the</w:t>
      </w:r>
      <w:r>
        <w:rPr>
          <w:spacing w:val="29"/>
        </w:rPr>
        <w:t> </w:t>
      </w:r>
      <w:r>
        <w:rPr/>
        <w:t>Protocol</w:t>
      </w:r>
      <w:r>
        <w:rPr>
          <w:spacing w:val="28"/>
        </w:rPr>
        <w:t> </w:t>
      </w:r>
      <w:r>
        <w:rPr/>
        <w:t>have</w:t>
      </w:r>
      <w:r>
        <w:rPr>
          <w:spacing w:val="28"/>
        </w:rPr>
        <w:t> </w:t>
      </w:r>
      <w:r>
        <w:rPr/>
        <w:t>been</w:t>
      </w:r>
      <w:r>
        <w:rPr>
          <w:spacing w:val="28"/>
        </w:rPr>
        <w:t> </w:t>
      </w:r>
      <w:r>
        <w:rPr/>
        <w:t>agreed</w:t>
      </w:r>
      <w:r>
        <w:rPr>
          <w:spacing w:val="28"/>
        </w:rPr>
        <w:t> </w:t>
      </w:r>
      <w:r>
        <w:rPr/>
        <w:t>in relation</w:t>
      </w:r>
      <w:r>
        <w:rPr>
          <w:spacing w:val="-7"/>
        </w:rPr>
        <w:t> </w:t>
      </w:r>
      <w:r>
        <w:rPr/>
        <w:t>to</w:t>
      </w:r>
      <w:r>
        <w:rPr>
          <w:spacing w:val="-4"/>
        </w:rPr>
        <w:t> </w:t>
      </w:r>
      <w:r>
        <w:rPr/>
        <w:t>these</w:t>
      </w:r>
      <w:r>
        <w:rPr>
          <w:spacing w:val="-5"/>
        </w:rPr>
        <w:t> </w:t>
      </w:r>
      <w:r>
        <w:rPr/>
        <w:t>provisions</w:t>
      </w:r>
      <w:r>
        <w:rPr>
          <w:spacing w:val="-4"/>
        </w:rPr>
        <w:t> </w:t>
      </w:r>
      <w:r>
        <w:rPr/>
        <w:t>to</w:t>
      </w:r>
      <w:r>
        <w:rPr>
          <w:spacing w:val="-5"/>
        </w:rPr>
        <w:t> </w:t>
      </w:r>
      <w:r>
        <w:rPr/>
        <w:t>ensure</w:t>
      </w:r>
      <w:r>
        <w:rPr>
          <w:spacing w:val="-4"/>
        </w:rPr>
        <w:t> </w:t>
      </w:r>
      <w:r>
        <w:rPr/>
        <w:t>their</w:t>
      </w:r>
      <w:r>
        <w:rPr>
          <w:spacing w:val="-5"/>
        </w:rPr>
        <w:t> </w:t>
      </w:r>
      <w:r>
        <w:rPr/>
        <w:t>consistent</w:t>
      </w:r>
      <w:r>
        <w:rPr>
          <w:spacing w:val="-4"/>
        </w:rPr>
        <w:t> </w:t>
      </w:r>
      <w:r>
        <w:rPr/>
        <w:t>and</w:t>
      </w:r>
      <w:r>
        <w:rPr>
          <w:spacing w:val="-5"/>
        </w:rPr>
        <w:t> </w:t>
      </w:r>
      <w:r>
        <w:rPr/>
        <w:t>appropriate</w:t>
      </w:r>
      <w:r>
        <w:rPr>
          <w:spacing w:val="-4"/>
        </w:rPr>
        <w:t> </w:t>
      </w:r>
      <w:r>
        <w:rPr>
          <w:spacing w:val="-2"/>
        </w:rPr>
        <w:t>application.</w:t>
      </w:r>
    </w:p>
    <w:p>
      <w:pPr>
        <w:spacing w:after="0"/>
        <w:sectPr>
          <w:pgSz w:w="12240" w:h="15840"/>
          <w:pgMar w:header="0" w:footer="1140" w:top="1360" w:bottom="1340" w:left="1560" w:right="1500"/>
        </w:sectPr>
      </w:pPr>
    </w:p>
    <w:p>
      <w:pPr>
        <w:pStyle w:val="Heading1"/>
        <w:numPr>
          <w:ilvl w:val="0"/>
          <w:numId w:val="4"/>
        </w:numPr>
        <w:tabs>
          <w:tab w:pos="959" w:val="left" w:leader="none"/>
        </w:tabs>
        <w:spacing w:line="240" w:lineRule="auto" w:before="178" w:after="0"/>
        <w:ind w:left="958" w:right="0" w:hanging="722"/>
        <w:jc w:val="both"/>
      </w:pPr>
      <w:bookmarkStart w:name=" 4 Nature and extent of the problem" w:id="15"/>
      <w:bookmarkEnd w:id="15"/>
      <w:r>
        <w:rPr>
          <w:b w:val="0"/>
        </w:rPr>
      </w:r>
      <w:bookmarkStart w:name="_bookmark9" w:id="16"/>
      <w:bookmarkEnd w:id="16"/>
      <w:r>
        <w:rPr/>
        <w:t>Natur</w:t>
      </w:r>
      <w:r>
        <w:rPr/>
        <w:t>e</w:t>
      </w:r>
      <w:r>
        <w:rPr>
          <w:spacing w:val="-6"/>
        </w:rPr>
        <w:t> </w:t>
      </w:r>
      <w:r>
        <w:rPr/>
        <w:t>and</w:t>
      </w:r>
      <w:r>
        <w:rPr>
          <w:spacing w:val="-4"/>
        </w:rPr>
        <w:t> </w:t>
      </w:r>
      <w:r>
        <w:rPr/>
        <w:t>extent</w:t>
      </w:r>
      <w:r>
        <w:rPr>
          <w:spacing w:val="-3"/>
        </w:rPr>
        <w:t> </w:t>
      </w:r>
      <w:r>
        <w:rPr/>
        <w:t>of</w:t>
      </w:r>
      <w:r>
        <w:rPr>
          <w:spacing w:val="-4"/>
        </w:rPr>
        <w:t> </w:t>
      </w:r>
      <w:r>
        <w:rPr/>
        <w:t>the</w:t>
      </w:r>
      <w:r>
        <w:rPr>
          <w:spacing w:val="-3"/>
        </w:rPr>
        <w:t> </w:t>
      </w:r>
      <w:r>
        <w:rPr>
          <w:spacing w:val="-2"/>
        </w:rPr>
        <w:t>problem</w:t>
      </w:r>
    </w:p>
    <w:p>
      <w:pPr>
        <w:pStyle w:val="BodyText"/>
        <w:spacing w:before="239"/>
        <w:ind w:left="237"/>
      </w:pPr>
      <w:r>
        <w:rPr/>
        <w:t>The</w:t>
      </w:r>
      <w:r>
        <w:rPr>
          <w:spacing w:val="-7"/>
        </w:rPr>
        <w:t> </w:t>
      </w:r>
      <w:r>
        <w:rPr/>
        <w:t>proposed</w:t>
      </w:r>
      <w:r>
        <w:rPr>
          <w:spacing w:val="-4"/>
        </w:rPr>
        <w:t> </w:t>
      </w:r>
      <w:r>
        <w:rPr/>
        <w:t>Premises</w:t>
      </w:r>
      <w:r>
        <w:rPr>
          <w:spacing w:val="-5"/>
        </w:rPr>
        <w:t> </w:t>
      </w:r>
      <w:r>
        <w:rPr/>
        <w:t>Standards</w:t>
      </w:r>
      <w:r>
        <w:rPr>
          <w:spacing w:val="-4"/>
        </w:rPr>
        <w:t> </w:t>
      </w:r>
      <w:r>
        <w:rPr/>
        <w:t>will</w:t>
      </w:r>
      <w:r>
        <w:rPr>
          <w:spacing w:val="-5"/>
        </w:rPr>
        <w:t> </w:t>
      </w:r>
      <w:r>
        <w:rPr/>
        <w:t>address</w:t>
      </w:r>
      <w:r>
        <w:rPr>
          <w:spacing w:val="-4"/>
        </w:rPr>
        <w:t> </w:t>
      </w:r>
      <w:r>
        <w:rPr/>
        <w:t>three</w:t>
      </w:r>
      <w:r>
        <w:rPr>
          <w:spacing w:val="-5"/>
        </w:rPr>
        <w:t> </w:t>
      </w:r>
      <w:r>
        <w:rPr/>
        <w:t>key</w:t>
      </w:r>
      <w:r>
        <w:rPr>
          <w:spacing w:val="-4"/>
        </w:rPr>
        <w:t> </w:t>
      </w:r>
      <w:r>
        <w:rPr>
          <w:spacing w:val="-2"/>
        </w:rPr>
        <w:t>problems:</w:t>
      </w:r>
    </w:p>
    <w:p>
      <w:pPr>
        <w:pStyle w:val="ListParagraph"/>
        <w:numPr>
          <w:ilvl w:val="0"/>
          <w:numId w:val="9"/>
        </w:numPr>
        <w:tabs>
          <w:tab w:pos="957" w:val="left" w:leader="none"/>
          <w:tab w:pos="958" w:val="left" w:leader="none"/>
        </w:tabs>
        <w:spacing w:line="237" w:lineRule="auto" w:before="123" w:after="0"/>
        <w:ind w:left="951" w:right="295" w:hanging="357"/>
        <w:jc w:val="left"/>
        <w:rPr>
          <w:sz w:val="24"/>
        </w:rPr>
      </w:pPr>
      <w:r>
        <w:rPr>
          <w:sz w:val="24"/>
        </w:rPr>
        <w:t>the</w:t>
      </w:r>
      <w:r>
        <w:rPr>
          <w:spacing w:val="37"/>
          <w:sz w:val="24"/>
        </w:rPr>
        <w:t> </w:t>
      </w:r>
      <w:r>
        <w:rPr>
          <w:sz w:val="24"/>
        </w:rPr>
        <w:t>current</w:t>
      </w:r>
      <w:r>
        <w:rPr>
          <w:spacing w:val="37"/>
          <w:sz w:val="24"/>
        </w:rPr>
        <w:t> </w:t>
      </w:r>
      <w:r>
        <w:rPr>
          <w:sz w:val="24"/>
        </w:rPr>
        <w:t>potential</w:t>
      </w:r>
      <w:r>
        <w:rPr>
          <w:spacing w:val="37"/>
          <w:sz w:val="24"/>
        </w:rPr>
        <w:t> </w:t>
      </w:r>
      <w:r>
        <w:rPr>
          <w:sz w:val="24"/>
        </w:rPr>
        <w:t>for</w:t>
      </w:r>
      <w:r>
        <w:rPr>
          <w:spacing w:val="37"/>
          <w:sz w:val="24"/>
        </w:rPr>
        <w:t> </w:t>
      </w:r>
      <w:r>
        <w:rPr>
          <w:sz w:val="24"/>
        </w:rPr>
        <w:t>substantial</w:t>
      </w:r>
      <w:r>
        <w:rPr>
          <w:spacing w:val="37"/>
          <w:sz w:val="24"/>
        </w:rPr>
        <w:t> </w:t>
      </w:r>
      <w:r>
        <w:rPr>
          <w:sz w:val="24"/>
        </w:rPr>
        <w:t>inconsistencies</w:t>
      </w:r>
      <w:r>
        <w:rPr>
          <w:spacing w:val="37"/>
          <w:sz w:val="24"/>
        </w:rPr>
        <w:t> </w:t>
      </w:r>
      <w:r>
        <w:rPr>
          <w:sz w:val="24"/>
        </w:rPr>
        <w:t>between</w:t>
      </w:r>
      <w:r>
        <w:rPr>
          <w:spacing w:val="37"/>
          <w:sz w:val="24"/>
        </w:rPr>
        <w:t> </w:t>
      </w:r>
      <w:r>
        <w:rPr>
          <w:sz w:val="24"/>
        </w:rPr>
        <w:t>compliance obligations under the BCA and the DDA;</w:t>
      </w:r>
    </w:p>
    <w:p>
      <w:pPr>
        <w:pStyle w:val="ListParagraph"/>
        <w:numPr>
          <w:ilvl w:val="0"/>
          <w:numId w:val="9"/>
        </w:numPr>
        <w:tabs>
          <w:tab w:pos="957" w:val="left" w:leader="none"/>
          <w:tab w:pos="958" w:val="left" w:leader="none"/>
        </w:tabs>
        <w:spacing w:line="240" w:lineRule="auto" w:before="61" w:after="0"/>
        <w:ind w:left="951" w:right="294" w:hanging="357"/>
        <w:jc w:val="left"/>
        <w:rPr>
          <w:sz w:val="24"/>
        </w:rPr>
      </w:pPr>
      <w:r>
        <w:rPr>
          <w:sz w:val="24"/>
        </w:rPr>
        <w:t>the</w:t>
      </w:r>
      <w:r>
        <w:rPr>
          <w:spacing w:val="80"/>
          <w:sz w:val="24"/>
        </w:rPr>
        <w:t> </w:t>
      </w:r>
      <w:r>
        <w:rPr>
          <w:sz w:val="24"/>
        </w:rPr>
        <w:t>current</w:t>
      </w:r>
      <w:r>
        <w:rPr>
          <w:spacing w:val="80"/>
          <w:sz w:val="24"/>
        </w:rPr>
        <w:t> </w:t>
      </w:r>
      <w:r>
        <w:rPr>
          <w:sz w:val="24"/>
        </w:rPr>
        <w:t>uncertainty</w:t>
      </w:r>
      <w:r>
        <w:rPr>
          <w:spacing w:val="80"/>
          <w:sz w:val="24"/>
        </w:rPr>
        <w:t> </w:t>
      </w:r>
      <w:r>
        <w:rPr>
          <w:sz w:val="24"/>
        </w:rPr>
        <w:t>and</w:t>
      </w:r>
      <w:r>
        <w:rPr>
          <w:spacing w:val="80"/>
          <w:sz w:val="24"/>
        </w:rPr>
        <w:t> </w:t>
      </w:r>
      <w:r>
        <w:rPr>
          <w:sz w:val="24"/>
        </w:rPr>
        <w:t>lack</w:t>
      </w:r>
      <w:r>
        <w:rPr>
          <w:spacing w:val="80"/>
          <w:sz w:val="24"/>
        </w:rPr>
        <w:t> </w:t>
      </w:r>
      <w:r>
        <w:rPr>
          <w:sz w:val="24"/>
        </w:rPr>
        <w:t>of</w:t>
      </w:r>
      <w:r>
        <w:rPr>
          <w:spacing w:val="80"/>
          <w:sz w:val="24"/>
        </w:rPr>
        <w:t> </w:t>
      </w:r>
      <w:r>
        <w:rPr>
          <w:sz w:val="24"/>
        </w:rPr>
        <w:t>transparency</w:t>
      </w:r>
      <w:r>
        <w:rPr>
          <w:spacing w:val="80"/>
          <w:sz w:val="24"/>
        </w:rPr>
        <w:t> </w:t>
      </w:r>
      <w:r>
        <w:rPr>
          <w:sz w:val="24"/>
        </w:rPr>
        <w:t>as</w:t>
      </w:r>
      <w:r>
        <w:rPr>
          <w:spacing w:val="80"/>
          <w:sz w:val="24"/>
        </w:rPr>
        <w:t> </w:t>
      </w:r>
      <w:r>
        <w:rPr>
          <w:sz w:val="24"/>
        </w:rPr>
        <w:t>to</w:t>
      </w:r>
      <w:r>
        <w:rPr>
          <w:spacing w:val="80"/>
          <w:sz w:val="24"/>
        </w:rPr>
        <w:t> </w:t>
      </w:r>
      <w:r>
        <w:rPr>
          <w:sz w:val="24"/>
        </w:rPr>
        <w:t>the</w:t>
      </w:r>
      <w:r>
        <w:rPr>
          <w:spacing w:val="80"/>
          <w:sz w:val="24"/>
        </w:rPr>
        <w:t> </w:t>
      </w:r>
      <w:r>
        <w:rPr>
          <w:sz w:val="24"/>
        </w:rPr>
        <w:t>specific requirements of the DDA in particular cases; and</w:t>
      </w:r>
    </w:p>
    <w:p>
      <w:pPr>
        <w:pStyle w:val="ListParagraph"/>
        <w:numPr>
          <w:ilvl w:val="0"/>
          <w:numId w:val="9"/>
        </w:numPr>
        <w:tabs>
          <w:tab w:pos="957" w:val="left" w:leader="none"/>
          <w:tab w:pos="958" w:val="left" w:leader="none"/>
        </w:tabs>
        <w:spacing w:line="240" w:lineRule="auto" w:before="58" w:after="0"/>
        <w:ind w:left="951" w:right="295" w:hanging="357"/>
        <w:jc w:val="left"/>
        <w:rPr>
          <w:sz w:val="24"/>
        </w:rPr>
      </w:pPr>
      <w:r>
        <w:rPr>
          <w:sz w:val="24"/>
        </w:rPr>
        <w:t>the likely negative impact of these problems on practical compliance with existing DDA obligations.</w:t>
      </w:r>
    </w:p>
    <w:p>
      <w:pPr>
        <w:pStyle w:val="BodyText"/>
        <w:rPr>
          <w:sz w:val="29"/>
        </w:rPr>
      </w:pPr>
    </w:p>
    <w:p>
      <w:pPr>
        <w:pStyle w:val="BodyText"/>
        <w:ind w:left="237" w:right="294"/>
        <w:jc w:val="both"/>
      </w:pPr>
      <w:r>
        <w:rPr/>
        <w:t>The need to ensure that access provisions are clearly specified, consistent and widely understood is substantial.</w:t>
      </w:r>
      <w:r>
        <w:rPr>
          <w:spacing w:val="40"/>
        </w:rPr>
        <w:t> </w:t>
      </w:r>
      <w:r>
        <w:rPr/>
        <w:t>Access requirements apply in essence to all building types other than private dwellings.</w:t>
      </w:r>
      <w:r>
        <w:rPr>
          <w:spacing w:val="40"/>
        </w:rPr>
        <w:t> </w:t>
      </w:r>
      <w:r>
        <w:rPr/>
        <w:t>Australian Bureau of Statistics (ABS) and Victorian Building Commission (VBC) data show that the value of all new non-residential building approved during 2002 was around $15 billion</w:t>
      </w:r>
      <w:r>
        <w:rPr>
          <w:rFonts w:ascii="Times New Roman"/>
          <w:vertAlign w:val="superscript"/>
        </w:rPr>
        <w:t>11</w:t>
      </w:r>
      <w:r>
        <w:rPr>
          <w:rFonts w:ascii="Times New Roman"/>
          <w:vertAlign w:val="baseline"/>
        </w:rPr>
        <w:t> </w:t>
      </w:r>
      <w:r>
        <w:rPr>
          <w:vertAlign w:val="baseline"/>
        </w:rPr>
        <w:t>with a further $8 billion in alterations and extensions (refer Appendix A for a discussion regarding the use of the 2002 data). This provides a general indication of the value of the economic activity that is potentially affected by the access requirements.</w:t>
      </w:r>
      <w:r>
        <w:rPr>
          <w:spacing w:val="40"/>
          <w:vertAlign w:val="baseline"/>
        </w:rPr>
        <w:t> </w:t>
      </w:r>
      <w:r>
        <w:rPr>
          <w:vertAlign w:val="baseline"/>
        </w:rPr>
        <w:t>More</w:t>
      </w:r>
      <w:r>
        <w:rPr>
          <w:spacing w:val="-1"/>
          <w:vertAlign w:val="baseline"/>
        </w:rPr>
        <w:t> </w:t>
      </w:r>
      <w:r>
        <w:rPr>
          <w:vertAlign w:val="baseline"/>
        </w:rPr>
        <w:t>specifically, the cost estimates contained in this RIS indicate that the specific expenditures required to implement existing access</w:t>
      </w:r>
      <w:r>
        <w:rPr>
          <w:spacing w:val="40"/>
          <w:vertAlign w:val="baseline"/>
        </w:rPr>
        <w:t> </w:t>
      </w:r>
      <w:r>
        <w:rPr>
          <w:vertAlign w:val="baseline"/>
        </w:rPr>
        <w:t>requirements</w:t>
      </w:r>
      <w:r>
        <w:rPr>
          <w:spacing w:val="-1"/>
          <w:vertAlign w:val="baseline"/>
        </w:rPr>
        <w:t> </w:t>
      </w:r>
      <w:r>
        <w:rPr>
          <w:vertAlign w:val="baseline"/>
        </w:rPr>
        <w:t>are</w:t>
      </w:r>
      <w:r>
        <w:rPr>
          <w:spacing w:val="-1"/>
          <w:vertAlign w:val="baseline"/>
        </w:rPr>
        <w:t> </w:t>
      </w:r>
      <w:r>
        <w:rPr>
          <w:vertAlign w:val="baseline"/>
        </w:rPr>
        <w:t>themselves</w:t>
      </w:r>
      <w:r>
        <w:rPr>
          <w:spacing w:val="-1"/>
          <w:vertAlign w:val="baseline"/>
        </w:rPr>
        <w:t> </w:t>
      </w:r>
      <w:r>
        <w:rPr>
          <w:vertAlign w:val="baseline"/>
        </w:rPr>
        <w:t>often</w:t>
      </w:r>
      <w:r>
        <w:rPr>
          <w:spacing w:val="-1"/>
          <w:vertAlign w:val="baseline"/>
        </w:rPr>
        <w:t> </w:t>
      </w:r>
      <w:r>
        <w:rPr>
          <w:vertAlign w:val="baseline"/>
        </w:rPr>
        <w:t>substantial.</w:t>
      </w:r>
      <w:r>
        <w:rPr>
          <w:spacing w:val="-1"/>
          <w:vertAlign w:val="baseline"/>
        </w:rPr>
        <w:t> </w:t>
      </w:r>
      <w:r>
        <w:rPr>
          <w:vertAlign w:val="baseline"/>
        </w:rPr>
        <w:t>Thus,</w:t>
      </w:r>
      <w:r>
        <w:rPr>
          <w:spacing w:val="-1"/>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essential</w:t>
      </w:r>
      <w:r>
        <w:rPr>
          <w:spacing w:val="-1"/>
          <w:vertAlign w:val="baseline"/>
        </w:rPr>
        <w:t> </w:t>
      </w:r>
      <w:r>
        <w:rPr>
          <w:vertAlign w:val="baseline"/>
        </w:rPr>
        <w:t>to ensure</w:t>
      </w:r>
      <w:r>
        <w:rPr>
          <w:spacing w:val="-1"/>
          <w:vertAlign w:val="baseline"/>
        </w:rPr>
        <w:t> </w:t>
      </w:r>
      <w:r>
        <w:rPr>
          <w:vertAlign w:val="baseline"/>
        </w:rPr>
        <w:t>that there</w:t>
      </w:r>
      <w:r>
        <w:rPr>
          <w:spacing w:val="-3"/>
          <w:vertAlign w:val="baseline"/>
        </w:rPr>
        <w:t> </w:t>
      </w:r>
      <w:r>
        <w:rPr>
          <w:vertAlign w:val="baseline"/>
        </w:rPr>
        <w:t>is</w:t>
      </w:r>
      <w:r>
        <w:rPr>
          <w:spacing w:val="-3"/>
          <w:vertAlign w:val="baseline"/>
        </w:rPr>
        <w:t> </w:t>
      </w:r>
      <w:r>
        <w:rPr>
          <w:vertAlign w:val="baseline"/>
        </w:rPr>
        <w:t>a</w:t>
      </w:r>
      <w:r>
        <w:rPr>
          <w:spacing w:val="-3"/>
          <w:vertAlign w:val="baseline"/>
        </w:rPr>
        <w:t> </w:t>
      </w:r>
      <w:r>
        <w:rPr>
          <w:vertAlign w:val="baseline"/>
        </w:rPr>
        <w:t>clear</w:t>
      </w:r>
      <w:r>
        <w:rPr>
          <w:spacing w:val="-3"/>
          <w:vertAlign w:val="baseline"/>
        </w:rPr>
        <w:t> </w:t>
      </w:r>
      <w:r>
        <w:rPr>
          <w:vertAlign w:val="baseline"/>
        </w:rPr>
        <w:t>understanding</w:t>
      </w:r>
      <w:r>
        <w:rPr>
          <w:spacing w:val="-3"/>
          <w:vertAlign w:val="baseline"/>
        </w:rPr>
        <w:t> </w:t>
      </w:r>
      <w:r>
        <w:rPr>
          <w:vertAlign w:val="baseline"/>
        </w:rPr>
        <w:t>of</w:t>
      </w:r>
      <w:r>
        <w:rPr>
          <w:spacing w:val="-3"/>
          <w:vertAlign w:val="baseline"/>
        </w:rPr>
        <w:t> </w:t>
      </w:r>
      <w:r>
        <w:rPr>
          <w:vertAlign w:val="baseline"/>
        </w:rPr>
        <w:t>legislative</w:t>
      </w:r>
      <w:r>
        <w:rPr>
          <w:spacing w:val="-3"/>
          <w:vertAlign w:val="baseline"/>
        </w:rPr>
        <w:t> </w:t>
      </w:r>
      <w:r>
        <w:rPr>
          <w:vertAlign w:val="baseline"/>
        </w:rPr>
        <w:t>obligations</w:t>
      </w:r>
      <w:r>
        <w:rPr>
          <w:spacing w:val="-3"/>
          <w:vertAlign w:val="baseline"/>
        </w:rPr>
        <w:t> </w:t>
      </w:r>
      <w:r>
        <w:rPr>
          <w:vertAlign w:val="baseline"/>
        </w:rPr>
        <w:t>so</w:t>
      </w:r>
      <w:r>
        <w:rPr>
          <w:spacing w:val="-3"/>
          <w:vertAlign w:val="baseline"/>
        </w:rPr>
        <w:t> </w:t>
      </w:r>
      <w:r>
        <w:rPr>
          <w:vertAlign w:val="baseline"/>
        </w:rPr>
        <w:t>that</w:t>
      </w:r>
      <w:r>
        <w:rPr>
          <w:spacing w:val="-3"/>
          <w:vertAlign w:val="baseline"/>
        </w:rPr>
        <w:t> </w:t>
      </w:r>
      <w:r>
        <w:rPr>
          <w:vertAlign w:val="baseline"/>
        </w:rPr>
        <w:t>these</w:t>
      </w:r>
      <w:r>
        <w:rPr>
          <w:spacing w:val="-3"/>
          <w:vertAlign w:val="baseline"/>
        </w:rPr>
        <w:t> </w:t>
      </w:r>
      <w:r>
        <w:rPr>
          <w:vertAlign w:val="baseline"/>
        </w:rPr>
        <w:t>costs</w:t>
      </w:r>
      <w:r>
        <w:rPr>
          <w:spacing w:val="-3"/>
          <w:vertAlign w:val="baseline"/>
        </w:rPr>
        <w:t> </w:t>
      </w:r>
      <w:r>
        <w:rPr>
          <w:vertAlign w:val="baseline"/>
        </w:rPr>
        <w:t>are</w:t>
      </w:r>
      <w:r>
        <w:rPr>
          <w:spacing w:val="-3"/>
          <w:vertAlign w:val="baseline"/>
        </w:rPr>
        <w:t> </w:t>
      </w:r>
      <w:r>
        <w:rPr>
          <w:vertAlign w:val="baseline"/>
        </w:rPr>
        <w:t>not unnecessarily increased.</w:t>
      </w:r>
    </w:p>
    <w:p>
      <w:pPr>
        <w:pStyle w:val="BodyText"/>
        <w:spacing w:before="1"/>
      </w:pPr>
    </w:p>
    <w:p>
      <w:pPr>
        <w:pStyle w:val="BodyText"/>
        <w:ind w:left="237" w:right="294"/>
        <w:jc w:val="both"/>
      </w:pPr>
      <w:r>
        <w:rPr/>
        <w:t>From the viewpoint of disability groups, the potential costs due to a relatively low level of compliance with DDA requirements are clearly at least equally substantial.</w:t>
      </w:r>
      <w:r>
        <w:rPr>
          <w:spacing w:val="40"/>
        </w:rPr>
        <w:t> </w:t>
      </w:r>
      <w:r>
        <w:rPr/>
        <w:t>Large numbers of people are affected by access to premises issues:</w:t>
      </w:r>
    </w:p>
    <w:p>
      <w:pPr>
        <w:pStyle w:val="BodyText"/>
        <w:ind w:left="237" w:right="296"/>
        <w:jc w:val="both"/>
      </w:pPr>
      <w:r>
        <w:rPr/>
        <w:t>e.g.</w:t>
      </w:r>
      <w:r>
        <w:rPr>
          <w:spacing w:val="-3"/>
        </w:rPr>
        <w:t> </w:t>
      </w:r>
      <w:r>
        <w:rPr/>
        <w:t>1997</w:t>
      </w:r>
      <w:r>
        <w:rPr>
          <w:spacing w:val="-3"/>
        </w:rPr>
        <w:t> </w:t>
      </w:r>
      <w:r>
        <w:rPr/>
        <w:t>estimates</w:t>
      </w:r>
      <w:r>
        <w:rPr>
          <w:spacing w:val="-3"/>
        </w:rPr>
        <w:t> </w:t>
      </w:r>
      <w:r>
        <w:rPr/>
        <w:t>indicate</w:t>
      </w:r>
      <w:r>
        <w:rPr>
          <w:spacing w:val="-3"/>
        </w:rPr>
        <w:t> </w:t>
      </w:r>
      <w:r>
        <w:rPr/>
        <w:t>that</w:t>
      </w:r>
      <w:r>
        <w:rPr>
          <w:spacing w:val="-3"/>
        </w:rPr>
        <w:t> </w:t>
      </w:r>
      <w:r>
        <w:rPr/>
        <w:t>10.5%</w:t>
      </w:r>
      <w:r>
        <w:rPr>
          <w:spacing w:val="-3"/>
        </w:rPr>
        <w:t> </w:t>
      </w:r>
      <w:r>
        <w:rPr/>
        <w:t>of</w:t>
      </w:r>
      <w:r>
        <w:rPr>
          <w:spacing w:val="-1"/>
        </w:rPr>
        <w:t> </w:t>
      </w:r>
      <w:r>
        <w:rPr/>
        <w:t>the</w:t>
      </w:r>
      <w:r>
        <w:rPr>
          <w:spacing w:val="-3"/>
        </w:rPr>
        <w:t> </w:t>
      </w:r>
      <w:r>
        <w:rPr/>
        <w:t>population</w:t>
      </w:r>
      <w:r>
        <w:rPr>
          <w:spacing w:val="-3"/>
        </w:rPr>
        <w:t> </w:t>
      </w:r>
      <w:r>
        <w:rPr/>
        <w:t>has</w:t>
      </w:r>
      <w:r>
        <w:rPr>
          <w:spacing w:val="-3"/>
        </w:rPr>
        <w:t> </w:t>
      </w:r>
      <w:r>
        <w:rPr/>
        <w:t>a</w:t>
      </w:r>
      <w:r>
        <w:rPr>
          <w:spacing w:val="-3"/>
        </w:rPr>
        <w:t> </w:t>
      </w:r>
      <w:r>
        <w:rPr/>
        <w:t>mobility</w:t>
      </w:r>
      <w:r>
        <w:rPr>
          <w:spacing w:val="-3"/>
        </w:rPr>
        <w:t> </w:t>
      </w:r>
      <w:r>
        <w:rPr/>
        <w:t>disability, while 2.9% use a mobility aid</w:t>
      </w:r>
      <w:r>
        <w:rPr>
          <w:vertAlign w:val="superscript"/>
        </w:rPr>
        <w:t>12</w:t>
      </w:r>
      <w:r>
        <w:rPr>
          <w:vertAlign w:val="baseline"/>
        </w:rPr>
        <w:t>.</w:t>
      </w:r>
      <w:r>
        <w:rPr>
          <w:spacing w:val="40"/>
          <w:vertAlign w:val="baseline"/>
        </w:rPr>
        <w:t> </w:t>
      </w:r>
      <w:r>
        <w:rPr>
          <w:vertAlign w:val="baseline"/>
        </w:rPr>
        <w:t>The access requirements also relate to other groups of people with a disability such as those with hearing or vision disabilities.</w:t>
      </w:r>
    </w:p>
    <w:p>
      <w:pPr>
        <w:pStyle w:val="BodyText"/>
        <w:spacing w:before="10"/>
        <w:rPr>
          <w:sz w:val="23"/>
        </w:rPr>
      </w:pPr>
    </w:p>
    <w:p>
      <w:pPr>
        <w:pStyle w:val="BodyText"/>
        <w:ind w:left="237" w:right="294"/>
        <w:jc w:val="both"/>
      </w:pPr>
      <w:r>
        <w:rPr/>
        <w:t>Poor compliance is almost inevitably a result of poorly-specified legislative requirements and requirements that rely on a mechanism based on </w:t>
      </w:r>
      <w:r>
        <w:rPr/>
        <w:t>individual complaints in order to identify and address issues of non-compliance.</w:t>
      </w:r>
      <w:r>
        <w:rPr>
          <w:spacing w:val="80"/>
        </w:rPr>
        <w:t> </w:t>
      </w:r>
      <w:r>
        <w:rPr/>
        <w:t>In</w:t>
      </w:r>
      <w:r>
        <w:rPr>
          <w:spacing w:val="40"/>
        </w:rPr>
        <w:t> </w:t>
      </w:r>
      <w:r>
        <w:rPr/>
        <w:t>addition, it can be noted that the intent of the DDA requirements is to address the problems faced by groups that face significant barriers to equality in society. Thus, non-compliance has important distributional consequences. Given the above, the extent of the problem is clearly substantial and sufficient to justify a significant regulatory response.</w:t>
      </w:r>
    </w:p>
    <w:p>
      <w:pPr>
        <w:pStyle w:val="BodyText"/>
        <w:spacing w:before="3"/>
        <w:rPr>
          <w:sz w:val="29"/>
        </w:rPr>
      </w:pPr>
      <w:r>
        <w:rPr/>
        <w:pict>
          <v:rect style="position:absolute;margin-left:89.879997pt;margin-top:18.070351pt;width:144pt;height:.6pt;mso-position-horizontal-relative:page;mso-position-vertical-relative:paragraph;z-index:-15724032;mso-wrap-distance-left:0;mso-wrap-distance-right:0" id="docshape12"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11</w:t>
      </w:r>
      <w:r>
        <w:rPr>
          <w:spacing w:val="-5"/>
          <w:sz w:val="20"/>
          <w:vertAlign w:val="baseline"/>
        </w:rPr>
        <w:t> </w:t>
      </w:r>
      <w:r>
        <w:rPr>
          <w:sz w:val="20"/>
          <w:vertAlign w:val="baseline"/>
        </w:rPr>
        <w:t>ABS</w:t>
      </w:r>
      <w:r>
        <w:rPr>
          <w:spacing w:val="-5"/>
          <w:sz w:val="20"/>
          <w:vertAlign w:val="baseline"/>
        </w:rPr>
        <w:t> </w:t>
      </w:r>
      <w:r>
        <w:rPr>
          <w:sz w:val="20"/>
          <w:vertAlign w:val="baseline"/>
        </w:rPr>
        <w:t>Cat</w:t>
      </w:r>
      <w:r>
        <w:rPr>
          <w:spacing w:val="-5"/>
          <w:sz w:val="20"/>
          <w:vertAlign w:val="baseline"/>
        </w:rPr>
        <w:t> </w:t>
      </w:r>
      <w:r>
        <w:rPr>
          <w:sz w:val="20"/>
          <w:vertAlign w:val="baseline"/>
        </w:rPr>
        <w:t>8731.0</w:t>
      </w:r>
      <w:r>
        <w:rPr>
          <w:spacing w:val="-4"/>
          <w:sz w:val="20"/>
          <w:vertAlign w:val="baseline"/>
        </w:rPr>
        <w:t> </w:t>
      </w:r>
      <w:r>
        <w:rPr>
          <w:sz w:val="20"/>
          <w:vertAlign w:val="baseline"/>
        </w:rPr>
        <w:t>Building</w:t>
      </w:r>
      <w:r>
        <w:rPr>
          <w:spacing w:val="-6"/>
          <w:sz w:val="20"/>
          <w:vertAlign w:val="baseline"/>
        </w:rPr>
        <w:t> </w:t>
      </w:r>
      <w:r>
        <w:rPr>
          <w:spacing w:val="-2"/>
          <w:sz w:val="20"/>
          <w:vertAlign w:val="baseline"/>
        </w:rPr>
        <w:t>Approvals.</w:t>
      </w:r>
    </w:p>
    <w:p>
      <w:pPr>
        <w:spacing w:before="120"/>
        <w:ind w:left="237" w:right="0" w:firstLine="0"/>
        <w:jc w:val="left"/>
        <w:rPr>
          <w:sz w:val="20"/>
        </w:rPr>
      </w:pPr>
      <w:r>
        <w:rPr>
          <w:sz w:val="20"/>
          <w:vertAlign w:val="superscript"/>
        </w:rPr>
        <w:t>12</w:t>
      </w:r>
      <w:r>
        <w:rPr>
          <w:spacing w:val="-3"/>
          <w:sz w:val="20"/>
          <w:vertAlign w:val="baseline"/>
        </w:rPr>
        <w:t> </w:t>
      </w:r>
      <w:r>
        <w:rPr>
          <w:i/>
          <w:sz w:val="20"/>
          <w:vertAlign w:val="baseline"/>
        </w:rPr>
        <w:t>RIS</w:t>
      </w:r>
      <w:r>
        <w:rPr>
          <w:i/>
          <w:spacing w:val="-3"/>
          <w:sz w:val="20"/>
          <w:vertAlign w:val="baseline"/>
        </w:rPr>
        <w:t> </w:t>
      </w:r>
      <w:r>
        <w:rPr>
          <w:i/>
          <w:sz w:val="20"/>
          <w:vertAlign w:val="baseline"/>
        </w:rPr>
        <w:t>for</w:t>
      </w:r>
      <w:r>
        <w:rPr>
          <w:i/>
          <w:spacing w:val="-3"/>
          <w:sz w:val="20"/>
          <w:vertAlign w:val="baseline"/>
        </w:rPr>
        <w:t> </w:t>
      </w:r>
      <w:r>
        <w:rPr>
          <w:i/>
          <w:sz w:val="20"/>
          <w:vertAlign w:val="baseline"/>
        </w:rPr>
        <w:t>the</w:t>
      </w:r>
      <w:r>
        <w:rPr>
          <w:i/>
          <w:spacing w:val="-3"/>
          <w:sz w:val="20"/>
          <w:vertAlign w:val="baseline"/>
        </w:rPr>
        <w:t> </w:t>
      </w:r>
      <w:r>
        <w:rPr>
          <w:i/>
          <w:sz w:val="20"/>
          <w:vertAlign w:val="baseline"/>
        </w:rPr>
        <w:t>amendment</w:t>
      </w:r>
      <w:r>
        <w:rPr>
          <w:i/>
          <w:spacing w:val="-3"/>
          <w:sz w:val="20"/>
          <w:vertAlign w:val="baseline"/>
        </w:rPr>
        <w:t> </w:t>
      </w:r>
      <w:r>
        <w:rPr>
          <w:i/>
          <w:sz w:val="20"/>
          <w:vertAlign w:val="baseline"/>
        </w:rPr>
        <w:t>of</w:t>
      </w:r>
      <w:r>
        <w:rPr>
          <w:i/>
          <w:spacing w:val="-2"/>
          <w:sz w:val="20"/>
          <w:vertAlign w:val="baseline"/>
        </w:rPr>
        <w:t> </w:t>
      </w:r>
      <w:r>
        <w:rPr>
          <w:i/>
          <w:sz w:val="20"/>
          <w:vertAlign w:val="baseline"/>
        </w:rPr>
        <w:t>the</w:t>
      </w:r>
      <w:r>
        <w:rPr>
          <w:i/>
          <w:spacing w:val="-3"/>
          <w:sz w:val="20"/>
          <w:vertAlign w:val="baseline"/>
        </w:rPr>
        <w:t> </w:t>
      </w:r>
      <w:r>
        <w:rPr>
          <w:i/>
          <w:sz w:val="20"/>
          <w:vertAlign w:val="baseline"/>
        </w:rPr>
        <w:t>Building</w:t>
      </w:r>
      <w:r>
        <w:rPr>
          <w:i/>
          <w:spacing w:val="-4"/>
          <w:sz w:val="20"/>
          <w:vertAlign w:val="baseline"/>
        </w:rPr>
        <w:t> </w:t>
      </w:r>
      <w:r>
        <w:rPr>
          <w:i/>
          <w:sz w:val="20"/>
          <w:vertAlign w:val="baseline"/>
        </w:rPr>
        <w:t>Code</w:t>
      </w:r>
      <w:r>
        <w:rPr>
          <w:i/>
          <w:spacing w:val="-3"/>
          <w:sz w:val="20"/>
          <w:vertAlign w:val="baseline"/>
        </w:rPr>
        <w:t> </w:t>
      </w:r>
      <w:r>
        <w:rPr>
          <w:i/>
          <w:sz w:val="20"/>
          <w:vertAlign w:val="baseline"/>
        </w:rPr>
        <w:t>of</w:t>
      </w:r>
      <w:r>
        <w:rPr>
          <w:i/>
          <w:spacing w:val="-3"/>
          <w:sz w:val="20"/>
          <w:vertAlign w:val="baseline"/>
        </w:rPr>
        <w:t> </w:t>
      </w:r>
      <w:r>
        <w:rPr>
          <w:i/>
          <w:sz w:val="20"/>
          <w:vertAlign w:val="baseline"/>
        </w:rPr>
        <w:t>Australia</w:t>
      </w:r>
      <w:r>
        <w:rPr>
          <w:i/>
          <w:spacing w:val="-3"/>
          <w:sz w:val="20"/>
          <w:vertAlign w:val="baseline"/>
        </w:rPr>
        <w:t> </w:t>
      </w:r>
      <w:r>
        <w:rPr>
          <w:i/>
          <w:sz w:val="20"/>
          <w:vertAlign w:val="baseline"/>
        </w:rPr>
        <w:t>(BCA</w:t>
      </w:r>
      <w:r>
        <w:rPr>
          <w:i/>
          <w:spacing w:val="-3"/>
          <w:sz w:val="20"/>
          <w:vertAlign w:val="baseline"/>
        </w:rPr>
        <w:t> </w:t>
      </w:r>
      <w:r>
        <w:rPr>
          <w:i/>
          <w:sz w:val="20"/>
          <w:vertAlign w:val="baseline"/>
        </w:rPr>
        <w:t>96)</w:t>
      </w:r>
      <w:r>
        <w:rPr>
          <w:i/>
          <w:spacing w:val="-3"/>
          <w:sz w:val="20"/>
          <w:vertAlign w:val="baseline"/>
        </w:rPr>
        <w:t> </w:t>
      </w:r>
      <w:r>
        <w:rPr>
          <w:i/>
          <w:sz w:val="20"/>
          <w:vertAlign w:val="baseline"/>
        </w:rPr>
        <w:t>provisions</w:t>
      </w:r>
      <w:r>
        <w:rPr>
          <w:i/>
          <w:spacing w:val="-3"/>
          <w:sz w:val="20"/>
          <w:vertAlign w:val="baseline"/>
        </w:rPr>
        <w:t> </w:t>
      </w:r>
      <w:r>
        <w:rPr>
          <w:i/>
          <w:sz w:val="20"/>
          <w:vertAlign w:val="baseline"/>
        </w:rPr>
        <w:t>for</w:t>
      </w:r>
      <w:r>
        <w:rPr>
          <w:i/>
          <w:spacing w:val="-3"/>
          <w:sz w:val="20"/>
          <w:vertAlign w:val="baseline"/>
        </w:rPr>
        <w:t> </w:t>
      </w:r>
      <w:r>
        <w:rPr>
          <w:i/>
          <w:sz w:val="20"/>
          <w:vertAlign w:val="baseline"/>
        </w:rPr>
        <w:t>access</w:t>
      </w:r>
      <w:r>
        <w:rPr>
          <w:i/>
          <w:spacing w:val="-3"/>
          <w:sz w:val="20"/>
          <w:vertAlign w:val="baseline"/>
        </w:rPr>
        <w:t> </w:t>
      </w:r>
      <w:r>
        <w:rPr>
          <w:i/>
          <w:sz w:val="20"/>
          <w:vertAlign w:val="baseline"/>
        </w:rPr>
        <w:t>and</w:t>
      </w:r>
      <w:r>
        <w:rPr>
          <w:i/>
          <w:sz w:val="20"/>
          <w:vertAlign w:val="baseline"/>
        </w:rPr>
        <w:t> facilities for people with a disability </w:t>
      </w:r>
      <w:r>
        <w:rPr>
          <w:sz w:val="20"/>
          <w:vertAlign w:val="baseline"/>
        </w:rPr>
        <w:t>(ABCB, Canberra, 1998).</w:t>
      </w:r>
    </w:p>
    <w:p>
      <w:pPr>
        <w:spacing w:after="0"/>
        <w:jc w:val="left"/>
        <w:rPr>
          <w:sz w:val="20"/>
        </w:rPr>
        <w:sectPr>
          <w:pgSz w:w="12240" w:h="15840"/>
          <w:pgMar w:header="0" w:footer="1140" w:top="1500" w:bottom="1340" w:left="1560" w:right="1500"/>
        </w:sectPr>
      </w:pPr>
    </w:p>
    <w:p>
      <w:pPr>
        <w:pStyle w:val="Heading1"/>
        <w:numPr>
          <w:ilvl w:val="0"/>
          <w:numId w:val="4"/>
        </w:numPr>
        <w:tabs>
          <w:tab w:pos="957" w:val="left" w:leader="none"/>
          <w:tab w:pos="959" w:val="left" w:leader="none"/>
        </w:tabs>
        <w:spacing w:line="240" w:lineRule="auto" w:before="178" w:after="0"/>
        <w:ind w:left="958" w:right="0" w:hanging="722"/>
        <w:jc w:val="left"/>
      </w:pPr>
      <w:bookmarkStart w:name=" 5 Description of the proposed regulatio" w:id="17"/>
      <w:bookmarkEnd w:id="17"/>
      <w:r>
        <w:rPr>
          <w:b w:val="0"/>
        </w:rPr>
      </w:r>
      <w:bookmarkStart w:name="_bookmark10" w:id="18"/>
      <w:bookmarkEnd w:id="18"/>
      <w:r>
        <w:rPr/>
        <w:t>Descriptio</w:t>
      </w:r>
      <w:r>
        <w:rPr/>
        <w:t>n</w:t>
      </w:r>
      <w:r>
        <w:rPr>
          <w:spacing w:val="-6"/>
        </w:rPr>
        <w:t> </w:t>
      </w:r>
      <w:r>
        <w:rPr/>
        <w:t>of</w:t>
      </w:r>
      <w:r>
        <w:rPr>
          <w:spacing w:val="-6"/>
        </w:rPr>
        <w:t> </w:t>
      </w:r>
      <w:r>
        <w:rPr/>
        <w:t>the</w:t>
      </w:r>
      <w:r>
        <w:rPr>
          <w:spacing w:val="-6"/>
        </w:rPr>
        <w:t> </w:t>
      </w:r>
      <w:r>
        <w:rPr/>
        <w:t>proposed</w:t>
      </w:r>
      <w:r>
        <w:rPr>
          <w:spacing w:val="-6"/>
        </w:rPr>
        <w:t> </w:t>
      </w:r>
      <w:r>
        <w:rPr>
          <w:spacing w:val="-2"/>
        </w:rPr>
        <w:t>regulations</w:t>
      </w:r>
    </w:p>
    <w:p>
      <w:pPr>
        <w:pStyle w:val="Heading2"/>
        <w:numPr>
          <w:ilvl w:val="1"/>
          <w:numId w:val="10"/>
        </w:numPr>
        <w:tabs>
          <w:tab w:pos="957" w:val="left" w:leader="none"/>
          <w:tab w:pos="958" w:val="left" w:leader="none"/>
        </w:tabs>
        <w:spacing w:line="240" w:lineRule="auto" w:before="241" w:after="0"/>
        <w:ind w:left="957" w:right="0" w:hanging="721"/>
        <w:jc w:val="left"/>
        <w:rPr>
          <w:i/>
        </w:rPr>
      </w:pPr>
      <w:bookmarkStart w:name="5.1 Overview" w:id="19"/>
      <w:bookmarkEnd w:id="19"/>
      <w:r>
        <w:rPr>
          <w:i/>
          <w:spacing w:val="-2"/>
        </w:rPr>
        <w:t>Overview</w:t>
      </w:r>
    </w:p>
    <w:p>
      <w:pPr>
        <w:pStyle w:val="BodyText"/>
        <w:spacing w:before="9"/>
        <w:rPr>
          <w:b/>
          <w:i/>
          <w:sz w:val="23"/>
        </w:rPr>
      </w:pPr>
    </w:p>
    <w:p>
      <w:pPr>
        <w:pStyle w:val="BodyText"/>
        <w:ind w:left="237" w:right="294"/>
        <w:jc w:val="both"/>
      </w:pPr>
      <w:r>
        <w:rPr/>
        <w:t>This section provides a general description of the Premises Standards and, in relation to the technical provisions themselves, highlights the main differences between the proposed provisions and the existing BCA</w:t>
      </w:r>
      <w:r>
        <w:rPr/>
        <w:t> access</w:t>
      </w:r>
      <w:r>
        <w:rPr/>
        <w:t> requirements. This is the basis for the analysis of incremental benefits and costs conducted in the following sections. Given that the BCA is currently the only legislative source of detailed technical requirements in relation to building accessibility, comparison with the existing BCA</w:t>
      </w:r>
      <w:r>
        <w:rPr/>
        <w:t> requirements</w:t>
      </w:r>
      <w:r>
        <w:rPr/>
        <w:t> provides</w:t>
      </w:r>
      <w:r>
        <w:rPr/>
        <w:t> the</w:t>
      </w:r>
      <w:r>
        <w:rPr/>
        <w:t> best</w:t>
      </w:r>
      <w:r>
        <w:rPr/>
        <w:t> basis</w:t>
      </w:r>
      <w:r>
        <w:rPr/>
        <w:t> for</w:t>
      </w:r>
      <w:r>
        <w:rPr/>
        <w:t> assessing</w:t>
      </w:r>
      <w:r>
        <w:rPr/>
        <w:t> the likely incremental costs and benefits of the proposed Standards.</w:t>
      </w:r>
    </w:p>
    <w:p>
      <w:pPr>
        <w:pStyle w:val="BodyText"/>
      </w:pPr>
    </w:p>
    <w:p>
      <w:pPr>
        <w:pStyle w:val="BodyText"/>
        <w:ind w:left="237"/>
      </w:pPr>
      <w:r>
        <w:rPr/>
        <w:t>In</w:t>
      </w:r>
      <w:r>
        <w:rPr>
          <w:spacing w:val="-3"/>
        </w:rPr>
        <w:t> </w:t>
      </w:r>
      <w:r>
        <w:rPr/>
        <w:t>this</w:t>
      </w:r>
      <w:r>
        <w:rPr>
          <w:spacing w:val="-3"/>
        </w:rPr>
        <w:t> </w:t>
      </w:r>
      <w:r>
        <w:rPr/>
        <w:t>context,</w:t>
      </w:r>
      <w:r>
        <w:rPr>
          <w:spacing w:val="-3"/>
        </w:rPr>
        <w:t> </w:t>
      </w:r>
      <w:r>
        <w:rPr/>
        <w:t>it</w:t>
      </w:r>
      <w:r>
        <w:rPr>
          <w:spacing w:val="-3"/>
        </w:rPr>
        <w:t> </w:t>
      </w:r>
      <w:r>
        <w:rPr/>
        <w:t>should</w:t>
      </w:r>
      <w:r>
        <w:rPr>
          <w:spacing w:val="-3"/>
        </w:rPr>
        <w:t> </w:t>
      </w:r>
      <w:r>
        <w:rPr/>
        <w:t>be</w:t>
      </w:r>
      <w:r>
        <w:rPr>
          <w:spacing w:val="-3"/>
        </w:rPr>
        <w:t> </w:t>
      </w:r>
      <w:r>
        <w:rPr/>
        <w:t>noted</w:t>
      </w:r>
      <w:r>
        <w:rPr>
          <w:spacing w:val="-3"/>
        </w:rPr>
        <w:t> </w:t>
      </w:r>
      <w:r>
        <w:rPr/>
        <w:t>that</w:t>
      </w:r>
      <w:r>
        <w:rPr>
          <w:spacing w:val="-4"/>
        </w:rPr>
        <w:t> </w:t>
      </w:r>
      <w:r>
        <w:rPr/>
        <w:t>the</w:t>
      </w:r>
      <w:r>
        <w:rPr>
          <w:spacing w:val="-3"/>
        </w:rPr>
        <w:t> </w:t>
      </w:r>
      <w:r>
        <w:rPr/>
        <w:t>BCA</w:t>
      </w:r>
      <w:r>
        <w:rPr>
          <w:spacing w:val="-3"/>
        </w:rPr>
        <w:t> </w:t>
      </w:r>
      <w:r>
        <w:rPr/>
        <w:t>is</w:t>
      </w:r>
      <w:r>
        <w:rPr>
          <w:spacing w:val="-3"/>
        </w:rPr>
        <w:t> </w:t>
      </w:r>
      <w:r>
        <w:rPr/>
        <w:t>a</w:t>
      </w:r>
      <w:r>
        <w:rPr>
          <w:spacing w:val="-3"/>
        </w:rPr>
        <w:t> </w:t>
      </w:r>
      <w:r>
        <w:rPr/>
        <w:t>performance-based</w:t>
      </w:r>
      <w:r>
        <w:rPr>
          <w:spacing w:val="-3"/>
        </w:rPr>
        <w:t> </w:t>
      </w:r>
      <w:r>
        <w:rPr/>
        <w:t>document which specifies regulatory obligations in a four part hierarchy of:</w:t>
      </w:r>
    </w:p>
    <w:p>
      <w:pPr>
        <w:pStyle w:val="ListParagraph"/>
        <w:numPr>
          <w:ilvl w:val="0"/>
          <w:numId w:val="11"/>
        </w:numPr>
        <w:tabs>
          <w:tab w:pos="957" w:val="left" w:leader="none"/>
          <w:tab w:pos="958" w:val="left" w:leader="none"/>
        </w:tabs>
        <w:spacing w:line="240" w:lineRule="auto" w:before="121" w:after="0"/>
        <w:ind w:left="957" w:right="0" w:hanging="363"/>
        <w:jc w:val="left"/>
        <w:rPr>
          <w:sz w:val="24"/>
        </w:rPr>
      </w:pPr>
      <w:r>
        <w:rPr>
          <w:spacing w:val="-2"/>
          <w:sz w:val="24"/>
        </w:rPr>
        <w:t>Objectives;</w:t>
      </w:r>
    </w:p>
    <w:p>
      <w:pPr>
        <w:pStyle w:val="ListParagraph"/>
        <w:numPr>
          <w:ilvl w:val="0"/>
          <w:numId w:val="11"/>
        </w:numPr>
        <w:tabs>
          <w:tab w:pos="957" w:val="left" w:leader="none"/>
          <w:tab w:pos="958" w:val="left" w:leader="none"/>
        </w:tabs>
        <w:spacing w:line="240" w:lineRule="auto" w:before="58" w:after="0"/>
        <w:ind w:left="957" w:right="0" w:hanging="363"/>
        <w:jc w:val="left"/>
        <w:rPr>
          <w:sz w:val="24"/>
        </w:rPr>
      </w:pPr>
      <w:r>
        <w:rPr>
          <w:sz w:val="24"/>
        </w:rPr>
        <w:t>Functional</w:t>
      </w:r>
      <w:r>
        <w:rPr>
          <w:spacing w:val="-9"/>
          <w:sz w:val="24"/>
        </w:rPr>
        <w:t> </w:t>
      </w:r>
      <w:r>
        <w:rPr>
          <w:spacing w:val="-2"/>
          <w:sz w:val="24"/>
        </w:rPr>
        <w:t>Statements;</w:t>
      </w:r>
    </w:p>
    <w:p>
      <w:pPr>
        <w:pStyle w:val="ListParagraph"/>
        <w:numPr>
          <w:ilvl w:val="0"/>
          <w:numId w:val="11"/>
        </w:numPr>
        <w:tabs>
          <w:tab w:pos="957" w:val="left" w:leader="none"/>
          <w:tab w:pos="958" w:val="left" w:leader="none"/>
        </w:tabs>
        <w:spacing w:line="240" w:lineRule="auto" w:before="58" w:after="0"/>
        <w:ind w:left="957" w:right="0" w:hanging="363"/>
        <w:jc w:val="left"/>
        <w:rPr>
          <w:sz w:val="24"/>
        </w:rPr>
      </w:pPr>
      <w:r>
        <w:rPr>
          <w:sz w:val="24"/>
        </w:rPr>
        <w:t>Performance</w:t>
      </w:r>
      <w:r>
        <w:rPr>
          <w:spacing w:val="-11"/>
          <w:sz w:val="24"/>
        </w:rPr>
        <w:t> </w:t>
      </w:r>
      <w:r>
        <w:rPr>
          <w:sz w:val="24"/>
        </w:rPr>
        <w:t>Requirements;</w:t>
      </w:r>
      <w:r>
        <w:rPr>
          <w:spacing w:val="-11"/>
          <w:sz w:val="24"/>
        </w:rPr>
        <w:t> </w:t>
      </w:r>
      <w:r>
        <w:rPr>
          <w:spacing w:val="-5"/>
          <w:sz w:val="24"/>
        </w:rPr>
        <w:t>and</w:t>
      </w:r>
    </w:p>
    <w:p>
      <w:pPr>
        <w:pStyle w:val="ListParagraph"/>
        <w:numPr>
          <w:ilvl w:val="0"/>
          <w:numId w:val="11"/>
        </w:numPr>
        <w:tabs>
          <w:tab w:pos="957" w:val="left" w:leader="none"/>
          <w:tab w:pos="958" w:val="left" w:leader="none"/>
        </w:tabs>
        <w:spacing w:line="240" w:lineRule="auto" w:before="58" w:after="0"/>
        <w:ind w:left="951" w:right="294" w:hanging="357"/>
        <w:jc w:val="left"/>
        <w:rPr>
          <w:sz w:val="24"/>
        </w:rPr>
      </w:pPr>
      <w:r>
        <w:rPr>
          <w:sz w:val="24"/>
        </w:rPr>
        <w:t>Building</w:t>
      </w:r>
      <w:r>
        <w:rPr>
          <w:spacing w:val="40"/>
          <w:sz w:val="24"/>
        </w:rPr>
        <w:t> </w:t>
      </w:r>
      <w:r>
        <w:rPr>
          <w:sz w:val="24"/>
        </w:rPr>
        <w:t>Solutions</w:t>
      </w:r>
      <w:r>
        <w:rPr>
          <w:spacing w:val="40"/>
          <w:sz w:val="24"/>
        </w:rPr>
        <w:t> </w:t>
      </w:r>
      <w:r>
        <w:rPr>
          <w:sz w:val="24"/>
        </w:rPr>
        <w:t>(Deemed-to-Satisfy</w:t>
      </w:r>
      <w:r>
        <w:rPr>
          <w:spacing w:val="40"/>
          <w:sz w:val="24"/>
        </w:rPr>
        <w:t> </w:t>
      </w:r>
      <w:r>
        <w:rPr>
          <w:sz w:val="24"/>
        </w:rPr>
        <w:t>(DTS)</w:t>
      </w:r>
      <w:r>
        <w:rPr>
          <w:spacing w:val="40"/>
          <w:sz w:val="24"/>
        </w:rPr>
        <w:t> </w:t>
      </w:r>
      <w:r>
        <w:rPr>
          <w:sz w:val="24"/>
        </w:rPr>
        <w:t>provisions</w:t>
      </w:r>
      <w:r>
        <w:rPr>
          <w:spacing w:val="40"/>
          <w:sz w:val="24"/>
        </w:rPr>
        <w:t> </w:t>
      </w:r>
      <w:r>
        <w:rPr>
          <w:sz w:val="24"/>
        </w:rPr>
        <w:t>and</w:t>
      </w:r>
      <w:r>
        <w:rPr>
          <w:spacing w:val="40"/>
          <w:sz w:val="24"/>
        </w:rPr>
        <w:t> </w:t>
      </w:r>
      <w:r>
        <w:rPr>
          <w:sz w:val="24"/>
        </w:rPr>
        <w:t>Alternative </w:t>
      </w:r>
      <w:r>
        <w:rPr>
          <w:spacing w:val="-2"/>
          <w:sz w:val="24"/>
        </w:rPr>
        <w:t>Solutions).</w:t>
      </w:r>
    </w:p>
    <w:p>
      <w:pPr>
        <w:pStyle w:val="BodyText"/>
        <w:rPr>
          <w:sz w:val="29"/>
        </w:rPr>
      </w:pPr>
    </w:p>
    <w:p>
      <w:pPr>
        <w:pStyle w:val="BodyText"/>
        <w:spacing w:before="1"/>
        <w:ind w:left="237" w:right="293"/>
        <w:jc w:val="both"/>
      </w:pPr>
      <w:r>
        <w:rPr/>
        <w:t>The following identification of changes is essentially focused on the DTS provisions, for two reasons.</w:t>
      </w:r>
      <w:r>
        <w:rPr>
          <w:spacing w:val="40"/>
        </w:rPr>
        <w:t> </w:t>
      </w:r>
      <w:r>
        <w:rPr/>
        <w:t>First, this enables the clearest understanding of the likely practical impact of the changes.</w:t>
      </w:r>
      <w:r>
        <w:rPr>
          <w:spacing w:val="80"/>
        </w:rPr>
        <w:t> </w:t>
      </w:r>
      <w:r>
        <w:rPr/>
        <w:t>Second, experience suggests that the</w:t>
      </w:r>
      <w:r>
        <w:rPr>
          <w:spacing w:val="40"/>
        </w:rPr>
        <w:t> </w:t>
      </w:r>
      <w:r>
        <w:rPr/>
        <w:t>DTS provisions are widely used in practice.</w:t>
      </w:r>
      <w:r>
        <w:rPr>
          <w:spacing w:val="40"/>
        </w:rPr>
        <w:t> </w:t>
      </w:r>
      <w:r>
        <w:rPr/>
        <w:t>Thus, they constitute the most reliable means of interpreting the Performance Requirements set out in the BCA. The</w:t>
      </w:r>
      <w:r>
        <w:rPr>
          <w:spacing w:val="-2"/>
        </w:rPr>
        <w:t> </w:t>
      </w:r>
      <w:r>
        <w:rPr/>
        <w:t>identification</w:t>
      </w:r>
      <w:r>
        <w:rPr>
          <w:spacing w:val="-2"/>
        </w:rPr>
        <w:t> </w:t>
      </w:r>
      <w:r>
        <w:rPr/>
        <w:t>of</w:t>
      </w:r>
      <w:r>
        <w:rPr>
          <w:spacing w:val="-2"/>
        </w:rPr>
        <w:t> </w:t>
      </w:r>
      <w:r>
        <w:rPr/>
        <w:t>changes effectively</w:t>
      </w:r>
      <w:r>
        <w:rPr>
          <w:spacing w:val="-1"/>
        </w:rPr>
        <w:t> </w:t>
      </w:r>
      <w:r>
        <w:rPr/>
        <w:t>compares</w:t>
      </w:r>
      <w:r>
        <w:rPr>
          <w:spacing w:val="-1"/>
        </w:rPr>
        <w:t> </w:t>
      </w:r>
      <w:r>
        <w:rPr/>
        <w:t>the</w:t>
      </w:r>
      <w:r>
        <w:rPr>
          <w:spacing w:val="-1"/>
        </w:rPr>
        <w:t> </w:t>
      </w:r>
      <w:r>
        <w:rPr/>
        <w:t>existing</w:t>
      </w:r>
      <w:r>
        <w:rPr>
          <w:spacing w:val="-1"/>
        </w:rPr>
        <w:t> </w:t>
      </w:r>
      <w:r>
        <w:rPr/>
        <w:t>BCA</w:t>
      </w:r>
      <w:r>
        <w:rPr>
          <w:spacing w:val="-2"/>
        </w:rPr>
        <w:t> </w:t>
      </w:r>
      <w:r>
        <w:rPr/>
        <w:t>requirements with the proposed Premises Standards/revised BCA requirements.</w:t>
      </w:r>
    </w:p>
    <w:p>
      <w:pPr>
        <w:pStyle w:val="BodyText"/>
        <w:spacing w:before="10"/>
        <w:rPr>
          <w:sz w:val="23"/>
        </w:rPr>
      </w:pPr>
    </w:p>
    <w:p>
      <w:pPr>
        <w:pStyle w:val="BodyText"/>
        <w:ind w:left="237" w:right="294"/>
        <w:jc w:val="both"/>
      </w:pPr>
      <w:r>
        <w:rPr/>
        <w:t>This chapter also highlights the changes that have been made to the 2004 draft Premises Standards proposal in response to stakeholder comments received after the publication of the draft RIS and the further analysis and discussions that have been undertaken since that time. Changes resulting from consideration of the 2009 </w:t>
      </w:r>
      <w:r>
        <w:rPr>
          <w:i/>
        </w:rPr>
        <w:t>Access All Areas</w:t>
      </w:r>
      <w:r>
        <w:rPr>
          <w:i/>
          <w:vertAlign w:val="superscript"/>
        </w:rPr>
        <w:t>13</w:t>
      </w:r>
      <w:r>
        <w:rPr>
          <w:i/>
          <w:vertAlign w:val="baseline"/>
        </w:rPr>
        <w:t> </w:t>
      </w:r>
      <w:r>
        <w:rPr>
          <w:vertAlign w:val="baseline"/>
        </w:rPr>
        <w:t>recommendations, and their potential impacts, are discussed in Appendix D. The recommendations are located in Appendix 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r>
        <w:rPr/>
        <w:pict>
          <v:rect style="position:absolute;margin-left:89.879997pt;margin-top:15.711084pt;width:144pt;height:.6pt;mso-position-horizontal-relative:page;mso-position-vertical-relative:paragraph;z-index:-15723520;mso-wrap-distance-left:0;mso-wrap-distance-right:0" id="docshape13" filled="true" fillcolor="#000000" stroked="false">
            <v:fill type="solid"/>
            <w10:wrap type="topAndBottom"/>
          </v:rect>
        </w:pict>
      </w:r>
    </w:p>
    <w:p>
      <w:pPr>
        <w:pStyle w:val="BodyText"/>
        <w:spacing w:before="1"/>
        <w:rPr>
          <w:sz w:val="8"/>
        </w:rPr>
      </w:pPr>
    </w:p>
    <w:p>
      <w:pPr>
        <w:spacing w:before="130"/>
        <w:ind w:left="237" w:right="0" w:hanging="1"/>
        <w:jc w:val="left"/>
        <w:rPr>
          <w:sz w:val="20"/>
        </w:rPr>
      </w:pPr>
      <w:r>
        <w:rPr>
          <w:sz w:val="20"/>
          <w:vertAlign w:val="superscript"/>
        </w:rPr>
        <w:t>13</w:t>
      </w:r>
      <w:r>
        <w:rPr>
          <w:spacing w:val="-3"/>
          <w:sz w:val="20"/>
          <w:vertAlign w:val="baseline"/>
        </w:rPr>
        <w:t> </w:t>
      </w:r>
      <w:r>
        <w:rPr>
          <w:sz w:val="20"/>
          <w:vertAlign w:val="baseline"/>
        </w:rPr>
        <w:t>Access</w:t>
      </w:r>
      <w:r>
        <w:rPr>
          <w:spacing w:val="-3"/>
          <w:sz w:val="20"/>
          <w:vertAlign w:val="baseline"/>
        </w:rPr>
        <w:t> </w:t>
      </w:r>
      <w:r>
        <w:rPr>
          <w:sz w:val="20"/>
          <w:vertAlign w:val="baseline"/>
        </w:rPr>
        <w:t>All</w:t>
      </w:r>
      <w:r>
        <w:rPr>
          <w:spacing w:val="-3"/>
          <w:sz w:val="20"/>
          <w:vertAlign w:val="baseline"/>
        </w:rPr>
        <w:t> </w:t>
      </w:r>
      <w:r>
        <w:rPr>
          <w:sz w:val="20"/>
          <w:vertAlign w:val="baseline"/>
        </w:rPr>
        <w:t>Areas</w:t>
      </w:r>
      <w:r>
        <w:rPr>
          <w:spacing w:val="-3"/>
          <w:sz w:val="20"/>
          <w:vertAlign w:val="baseline"/>
        </w:rPr>
        <w:t> </w:t>
      </w:r>
      <w:r>
        <w:rPr>
          <w:sz w:val="20"/>
          <w:vertAlign w:val="baseline"/>
        </w:rPr>
        <w:t>–</w:t>
      </w:r>
      <w:r>
        <w:rPr>
          <w:spacing w:val="-3"/>
          <w:sz w:val="20"/>
          <w:vertAlign w:val="baseline"/>
        </w:rPr>
        <w:t> </w:t>
      </w:r>
      <w:r>
        <w:rPr>
          <w:sz w:val="20"/>
          <w:vertAlign w:val="baseline"/>
        </w:rPr>
        <w:t>Report</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Inquiry</w:t>
      </w:r>
      <w:r>
        <w:rPr>
          <w:spacing w:val="-3"/>
          <w:sz w:val="20"/>
          <w:vertAlign w:val="baseline"/>
        </w:rPr>
        <w:t> </w:t>
      </w:r>
      <w:r>
        <w:rPr>
          <w:sz w:val="20"/>
          <w:vertAlign w:val="baseline"/>
        </w:rPr>
        <w:t>into</w:t>
      </w:r>
      <w:r>
        <w:rPr>
          <w:spacing w:val="-3"/>
          <w:sz w:val="20"/>
          <w:vertAlign w:val="baseline"/>
        </w:rPr>
        <w:t> </w:t>
      </w:r>
      <w:r>
        <w:rPr>
          <w:sz w:val="20"/>
          <w:vertAlign w:val="baseline"/>
        </w:rPr>
        <w:t>Draft</w:t>
      </w:r>
      <w:r>
        <w:rPr>
          <w:spacing w:val="-3"/>
          <w:sz w:val="20"/>
          <w:vertAlign w:val="baseline"/>
        </w:rPr>
        <w:t> </w:t>
      </w:r>
      <w:r>
        <w:rPr>
          <w:sz w:val="20"/>
          <w:vertAlign w:val="baseline"/>
        </w:rPr>
        <w:t>Disability</w:t>
      </w:r>
      <w:r>
        <w:rPr>
          <w:spacing w:val="-3"/>
          <w:sz w:val="20"/>
          <w:vertAlign w:val="baseline"/>
        </w:rPr>
        <w:t> </w:t>
      </w:r>
      <w:r>
        <w:rPr>
          <w:sz w:val="20"/>
          <w:vertAlign w:val="baseline"/>
        </w:rPr>
        <w:t>(Access</w:t>
      </w:r>
      <w:r>
        <w:rPr>
          <w:spacing w:val="-3"/>
          <w:sz w:val="20"/>
          <w:vertAlign w:val="baseline"/>
        </w:rPr>
        <w:t> </w:t>
      </w:r>
      <w:r>
        <w:rPr>
          <w:sz w:val="20"/>
          <w:vertAlign w:val="baseline"/>
        </w:rPr>
        <w:t>to</w:t>
      </w:r>
      <w:r>
        <w:rPr>
          <w:spacing w:val="-3"/>
          <w:sz w:val="20"/>
          <w:vertAlign w:val="baseline"/>
        </w:rPr>
        <w:t> </w:t>
      </w:r>
      <w:r>
        <w:rPr>
          <w:sz w:val="20"/>
          <w:vertAlign w:val="baseline"/>
        </w:rPr>
        <w:t>Premises</w:t>
      </w:r>
      <w:r>
        <w:rPr>
          <w:spacing w:val="-3"/>
          <w:sz w:val="20"/>
          <w:vertAlign w:val="baseline"/>
        </w:rPr>
        <w:t> </w:t>
      </w:r>
      <w:r>
        <w:rPr>
          <w:sz w:val="20"/>
          <w:vertAlign w:val="baseline"/>
        </w:rPr>
        <w:t>–</w:t>
      </w:r>
      <w:r>
        <w:rPr>
          <w:spacing w:val="-3"/>
          <w:sz w:val="20"/>
          <w:vertAlign w:val="baseline"/>
        </w:rPr>
        <w:t> </w:t>
      </w:r>
      <w:r>
        <w:rPr>
          <w:sz w:val="20"/>
          <w:vertAlign w:val="baseline"/>
        </w:rPr>
        <w:t>Buildings) Standards, prepared by the House of Representatives Standing Committee on Legal and Constitutional Affairs and released in June 2009.</w:t>
      </w:r>
    </w:p>
    <w:p>
      <w:pPr>
        <w:spacing w:after="0"/>
        <w:jc w:val="left"/>
        <w:rPr>
          <w:sz w:val="20"/>
        </w:rPr>
        <w:sectPr>
          <w:pgSz w:w="12240" w:h="15840"/>
          <w:pgMar w:header="0" w:footer="1140" w:top="1500" w:bottom="1340" w:left="1560" w:right="1500"/>
        </w:sectPr>
      </w:pPr>
    </w:p>
    <w:p>
      <w:pPr>
        <w:pStyle w:val="Heading2"/>
        <w:numPr>
          <w:ilvl w:val="1"/>
          <w:numId w:val="10"/>
        </w:numPr>
        <w:tabs>
          <w:tab w:pos="957" w:val="left" w:leader="none"/>
          <w:tab w:pos="958" w:val="left" w:leader="none"/>
        </w:tabs>
        <w:spacing w:line="240" w:lineRule="auto" w:before="79" w:after="0"/>
        <w:ind w:left="957" w:right="0" w:hanging="721"/>
        <w:jc w:val="left"/>
        <w:rPr>
          <w:i/>
        </w:rPr>
      </w:pPr>
      <w:bookmarkStart w:name="5.2 Description of specific requirements" w:id="20"/>
      <w:bookmarkEnd w:id="20"/>
      <w:r>
        <w:rPr>
          <w:b w:val="0"/>
          <w:i w:val="0"/>
        </w:rPr>
      </w:r>
      <w:bookmarkStart w:name="_bookmark11" w:id="21"/>
      <w:bookmarkEnd w:id="21"/>
      <w:r>
        <w:rPr>
          <w:i/>
        </w:rPr>
        <w:t>Description</w:t>
      </w:r>
      <w:r>
        <w:rPr>
          <w:i/>
          <w:spacing w:val="-10"/>
        </w:rPr>
        <w:t> </w:t>
      </w:r>
      <w:r>
        <w:rPr>
          <w:i/>
        </w:rPr>
        <w:t>of</w:t>
      </w:r>
      <w:r>
        <w:rPr>
          <w:i/>
          <w:spacing w:val="-9"/>
        </w:rPr>
        <w:t> </w:t>
      </w:r>
      <w:r>
        <w:rPr>
          <w:i/>
        </w:rPr>
        <w:t>specific</w:t>
      </w:r>
      <w:r>
        <w:rPr>
          <w:i/>
          <w:spacing w:val="-10"/>
        </w:rPr>
        <w:t> </w:t>
      </w:r>
      <w:r>
        <w:rPr>
          <w:i/>
          <w:spacing w:val="-2"/>
        </w:rPr>
        <w:t>requirements</w:t>
      </w:r>
    </w:p>
    <w:p>
      <w:pPr>
        <w:pStyle w:val="Heading3"/>
        <w:numPr>
          <w:ilvl w:val="2"/>
          <w:numId w:val="10"/>
        </w:numPr>
        <w:tabs>
          <w:tab w:pos="958" w:val="left" w:leader="none"/>
        </w:tabs>
        <w:spacing w:line="240" w:lineRule="auto" w:before="240" w:after="0"/>
        <w:ind w:left="957" w:right="0" w:hanging="721"/>
        <w:jc w:val="left"/>
      </w:pPr>
      <w:bookmarkStart w:name="5.2.0 Upgrading existing buildings" w:id="22"/>
      <w:bookmarkEnd w:id="22"/>
      <w:r>
        <w:rPr/>
        <w:t>Upgradin</w:t>
      </w:r>
      <w:r>
        <w:rPr/>
        <w:t>g</w:t>
      </w:r>
      <w:r>
        <w:rPr>
          <w:spacing w:val="-9"/>
        </w:rPr>
        <w:t> </w:t>
      </w:r>
      <w:r>
        <w:rPr/>
        <w:t>existing</w:t>
      </w:r>
      <w:r>
        <w:rPr>
          <w:spacing w:val="-9"/>
        </w:rPr>
        <w:t> </w:t>
      </w:r>
      <w:r>
        <w:rPr>
          <w:spacing w:val="-2"/>
        </w:rPr>
        <w:t>buildings</w:t>
      </w:r>
    </w:p>
    <w:p>
      <w:pPr>
        <w:pStyle w:val="BodyText"/>
        <w:spacing w:before="10"/>
        <w:rPr>
          <w:b/>
          <w:sz w:val="23"/>
        </w:rPr>
      </w:pPr>
    </w:p>
    <w:p>
      <w:pPr>
        <w:pStyle w:val="Heading4"/>
        <w:ind w:left="237"/>
        <w:rPr>
          <w:u w:val="none"/>
        </w:rPr>
      </w:pPr>
      <w:r>
        <w:rPr>
          <w:u w:val="none"/>
        </w:rPr>
        <w:t>Where</w:t>
      </w:r>
      <w:r>
        <w:rPr>
          <w:spacing w:val="-1"/>
          <w:u w:val="none"/>
        </w:rPr>
        <w:t> </w:t>
      </w:r>
      <w:r>
        <w:rPr>
          <w:u w:val="none"/>
        </w:rPr>
        <w:t>triggered by</w:t>
      </w:r>
      <w:r>
        <w:rPr>
          <w:spacing w:val="-3"/>
          <w:u w:val="none"/>
        </w:rPr>
        <w:t> </w:t>
      </w:r>
      <w:r>
        <w:rPr>
          <w:u w:val="none"/>
        </w:rPr>
        <w:t>a development</w:t>
      </w:r>
      <w:r>
        <w:rPr>
          <w:spacing w:val="-1"/>
          <w:u w:val="none"/>
        </w:rPr>
        <w:t> </w:t>
      </w:r>
      <w:r>
        <w:rPr>
          <w:u w:val="none"/>
        </w:rPr>
        <w:t>application or building </w:t>
      </w:r>
      <w:r>
        <w:rPr>
          <w:spacing w:val="-2"/>
          <w:u w:val="none"/>
        </w:rPr>
        <w:t>approval.</w:t>
      </w:r>
    </w:p>
    <w:p>
      <w:pPr>
        <w:pStyle w:val="BodyText"/>
        <w:spacing w:before="119"/>
        <w:ind w:left="237" w:right="294"/>
        <w:jc w:val="both"/>
      </w:pPr>
      <w:r>
        <w:rPr/>
        <w:t>When a building owner makes a development or building application, this may trigger responsibility for providing access under the Premises Standards for the owner. However, such responsibility may not arise for the owner in respect of applications made by tenants of the building.</w:t>
      </w:r>
    </w:p>
    <w:p>
      <w:pPr>
        <w:pStyle w:val="BodyText"/>
        <w:spacing w:before="11"/>
        <w:rPr>
          <w:sz w:val="23"/>
        </w:rPr>
      </w:pPr>
    </w:p>
    <w:p>
      <w:pPr>
        <w:pStyle w:val="BodyText"/>
        <w:ind w:left="237" w:right="293"/>
        <w:jc w:val="both"/>
      </w:pPr>
      <w:r>
        <w:rPr/>
        <w:t>In the case of a tenant, where the Premises Standards is triggered through a development or building approval, the tenant is limited to providing access to within the affected tenant’s leased portion of the building as per the requirements of the Premises Standards.</w:t>
      </w:r>
      <w:r>
        <w:rPr>
          <w:spacing w:val="80"/>
        </w:rPr>
        <w:t> </w:t>
      </w:r>
      <w:r>
        <w:rPr/>
        <w:t>This would be required with or without a path of travel from the front entrance of the building to the tenant's entrance, depending on whether or not the front entrance of the building was subject to the development, or building, application from the tenant.</w:t>
      </w:r>
      <w:r>
        <w:rPr>
          <w:spacing w:val="40"/>
        </w:rPr>
        <w:t> </w:t>
      </w:r>
      <w:r>
        <w:rPr/>
        <w:t>If the tenant has responsibility for sanitary facilities, these too would be required to be upgraded</w:t>
      </w:r>
      <w:r>
        <w:rPr>
          <w:spacing w:val="40"/>
        </w:rPr>
        <w:t> </w:t>
      </w:r>
      <w:r>
        <w:rPr/>
        <w:t>by the tenant.</w:t>
      </w:r>
    </w:p>
    <w:p>
      <w:pPr>
        <w:pStyle w:val="BodyText"/>
      </w:pPr>
    </w:p>
    <w:p>
      <w:pPr>
        <w:pStyle w:val="BodyText"/>
        <w:ind w:left="237" w:right="293"/>
        <w:jc w:val="both"/>
      </w:pPr>
      <w:r>
        <w:rPr/>
        <w:t>The owner</w:t>
      </w:r>
      <w:r>
        <w:rPr>
          <w:spacing w:val="-1"/>
        </w:rPr>
        <w:t> </w:t>
      </w:r>
      <w:r>
        <w:rPr/>
        <w:t>would</w:t>
      </w:r>
      <w:r>
        <w:rPr>
          <w:spacing w:val="-1"/>
        </w:rPr>
        <w:t> </w:t>
      </w:r>
      <w:r>
        <w:rPr/>
        <w:t>be</w:t>
      </w:r>
      <w:r>
        <w:rPr>
          <w:spacing w:val="-1"/>
        </w:rPr>
        <w:t> </w:t>
      </w:r>
      <w:r>
        <w:rPr/>
        <w:t>responsible for providing</w:t>
      </w:r>
      <w:r>
        <w:rPr>
          <w:spacing w:val="-1"/>
        </w:rPr>
        <w:t> </w:t>
      </w:r>
      <w:r>
        <w:rPr/>
        <w:t>access</w:t>
      </w:r>
      <w:r>
        <w:rPr>
          <w:spacing w:val="-1"/>
        </w:rPr>
        <w:t> </w:t>
      </w:r>
      <w:r>
        <w:rPr/>
        <w:t>if</w:t>
      </w:r>
      <w:r>
        <w:rPr>
          <w:spacing w:val="-1"/>
        </w:rPr>
        <w:t> </w:t>
      </w:r>
      <w:r>
        <w:rPr/>
        <w:t>the</w:t>
      </w:r>
      <w:r>
        <w:rPr>
          <w:spacing w:val="-1"/>
        </w:rPr>
        <w:t> </w:t>
      </w:r>
      <w:r>
        <w:rPr/>
        <w:t>owner</w:t>
      </w:r>
      <w:r>
        <w:rPr>
          <w:spacing w:val="-1"/>
        </w:rPr>
        <w:t> </w:t>
      </w:r>
      <w:r>
        <w:rPr/>
        <w:t>instigates</w:t>
      </w:r>
      <w:r>
        <w:rPr>
          <w:spacing w:val="-1"/>
        </w:rPr>
        <w:t> </w:t>
      </w:r>
      <w:r>
        <w:rPr/>
        <w:t>work on the floor which is being upgraded.</w:t>
      </w:r>
      <w:r>
        <w:rPr>
          <w:spacing w:val="80"/>
        </w:rPr>
        <w:t> </w:t>
      </w:r>
      <w:r>
        <w:rPr/>
        <w:t>This would include providing a path of travel from the site entrance to the new work, as well as upgrades to the building core (i.e. lifts, and toilets on the floors being upgraded).</w:t>
      </w:r>
      <w:r>
        <w:rPr>
          <w:spacing w:val="40"/>
        </w:rPr>
        <w:t> </w:t>
      </w:r>
      <w:r>
        <w:rPr/>
        <w:t>Upgrading sanitary facilities to be accessible would be an owner's responsibility during such </w:t>
      </w:r>
      <w:r>
        <w:rPr>
          <w:spacing w:val="-2"/>
        </w:rPr>
        <w:t>upgrades.</w:t>
      </w:r>
    </w:p>
    <w:p>
      <w:pPr>
        <w:pStyle w:val="BodyText"/>
      </w:pPr>
    </w:p>
    <w:p>
      <w:pPr>
        <w:pStyle w:val="BodyText"/>
        <w:spacing w:before="1"/>
        <w:ind w:left="237" w:right="294"/>
        <w:jc w:val="both"/>
      </w:pPr>
      <w:r>
        <w:rPr/>
        <w:t>Where a floor has an existing accessible toilet compliant with 80</w:t>
      </w:r>
      <w:r>
        <w:rPr>
          <w:vertAlign w:val="superscript"/>
        </w:rPr>
        <w:t>th</w:t>
      </w:r>
      <w:r>
        <w:rPr>
          <w:vertAlign w:val="baseline"/>
        </w:rPr>
        <w:t> percentile dimensions (i.e. AS1428.1 (2001)), further upgrade of that toilet to the 90</w:t>
      </w:r>
      <w:r>
        <w:rPr>
          <w:vertAlign w:val="superscript"/>
        </w:rPr>
        <w:t>th</w:t>
      </w:r>
      <w:r>
        <w:rPr>
          <w:vertAlign w:val="baseline"/>
        </w:rPr>
        <w:t> percentile is not required. However, where otherwise required, an owner (or tenant) would still need to provide one accessible toilet per floor and (where a floor has more than one bank of toilets), an accessible toilet at not less than 50% of those banks.</w:t>
      </w:r>
    </w:p>
    <w:p>
      <w:pPr>
        <w:pStyle w:val="BodyText"/>
      </w:pPr>
    </w:p>
    <w:p>
      <w:pPr>
        <w:pStyle w:val="Heading5"/>
        <w:rPr>
          <w:b w:val="0"/>
          <w:i w:val="0"/>
        </w:rPr>
      </w:pPr>
      <w:r>
        <w:rPr>
          <w:i/>
        </w:rPr>
        <w:t>Change</w:t>
      </w:r>
      <w:r>
        <w:rPr>
          <w:i/>
          <w:spacing w:val="-9"/>
        </w:rPr>
        <w:t> </w:t>
      </w:r>
      <w:r>
        <w:rPr>
          <w:i/>
        </w:rPr>
        <w:t>from</w:t>
      </w:r>
      <w:r>
        <w:rPr>
          <w:i/>
          <w:spacing w:val="-9"/>
        </w:rPr>
        <w:t> </w:t>
      </w:r>
      <w:r>
        <w:rPr>
          <w:i/>
        </w:rPr>
        <w:t>the</w:t>
      </w:r>
      <w:r>
        <w:rPr>
          <w:i/>
          <w:spacing w:val="-8"/>
        </w:rPr>
        <w:t> </w:t>
      </w:r>
      <w:r>
        <w:rPr>
          <w:i/>
        </w:rPr>
        <w:t>2004</w:t>
      </w:r>
      <w:r>
        <w:rPr>
          <w:i/>
          <w:spacing w:val="-9"/>
        </w:rPr>
        <w:t> </w:t>
      </w:r>
      <w:r>
        <w:rPr>
          <w:i/>
        </w:rPr>
        <w:t>draft</w:t>
      </w:r>
      <w:r>
        <w:rPr>
          <w:i/>
          <w:spacing w:val="-8"/>
        </w:rPr>
        <w:t> </w:t>
      </w:r>
      <w:r>
        <w:rPr>
          <w:i/>
          <w:spacing w:val="-2"/>
        </w:rPr>
        <w:t>proposal</w:t>
      </w:r>
      <w:r>
        <w:rPr>
          <w:b w:val="0"/>
          <w:i w:val="0"/>
          <w:spacing w:val="-2"/>
          <w:vertAlign w:val="superscript"/>
        </w:rPr>
        <w:t>14</w:t>
      </w:r>
    </w:p>
    <w:p>
      <w:pPr>
        <w:spacing w:before="121"/>
        <w:ind w:left="237" w:right="294" w:firstLine="0"/>
        <w:jc w:val="both"/>
        <w:rPr>
          <w:i/>
          <w:sz w:val="24"/>
        </w:rPr>
      </w:pPr>
      <w:r>
        <w:rPr>
          <w:i/>
          <w:sz w:val="24"/>
        </w:rPr>
        <w:t>The 2004 draft proposal required that the entire building be made accessible if it</w:t>
      </w:r>
      <w:r>
        <w:rPr>
          <w:i/>
          <w:sz w:val="24"/>
        </w:rPr>
        <w:t> underwent extensive building work.</w:t>
      </w:r>
      <w:r>
        <w:rPr>
          <w:i/>
          <w:spacing w:val="40"/>
          <w:sz w:val="24"/>
        </w:rPr>
        <w:t> </w:t>
      </w:r>
      <w:r>
        <w:rPr>
          <w:i/>
          <w:sz w:val="24"/>
        </w:rPr>
        <w:t>For example, a program where the new building work, plus the work carried out over the previous 3 years, affected more than 50% of the volume of the building is considered as one “extensive” </w:t>
      </w:r>
      <w:r>
        <w:rPr>
          <w:i/>
          <w:spacing w:val="-2"/>
          <w:sz w:val="24"/>
        </w:rPr>
        <w:t>refurbishment.</w:t>
      </w:r>
    </w:p>
    <w:p>
      <w:pPr>
        <w:pStyle w:val="BodyText"/>
        <w:rPr>
          <w:i/>
          <w:sz w:val="20"/>
        </w:rPr>
      </w:pPr>
    </w:p>
    <w:p>
      <w:pPr>
        <w:pStyle w:val="BodyText"/>
        <w:rPr>
          <w:i/>
          <w:sz w:val="20"/>
        </w:rPr>
      </w:pPr>
    </w:p>
    <w:p>
      <w:pPr>
        <w:pStyle w:val="BodyText"/>
        <w:rPr>
          <w:i/>
          <w:sz w:val="28"/>
        </w:rPr>
      </w:pPr>
      <w:r>
        <w:rPr/>
        <w:pict>
          <v:rect style="position:absolute;margin-left:89.879997pt;margin-top:17.317852pt;width:144pt;height:.6pt;mso-position-horizontal-relative:page;mso-position-vertical-relative:paragraph;z-index:-15723008;mso-wrap-distance-left:0;mso-wrap-distance-right:0" id="docshape14" filled="true" fillcolor="#000000" stroked="false">
            <v:fill type="solid"/>
            <w10:wrap type="topAndBottom"/>
          </v:rect>
        </w:pict>
      </w:r>
    </w:p>
    <w:p>
      <w:pPr>
        <w:pStyle w:val="BodyText"/>
        <w:spacing w:before="1"/>
        <w:rPr>
          <w:i/>
          <w:sz w:val="8"/>
        </w:rPr>
      </w:pPr>
    </w:p>
    <w:p>
      <w:pPr>
        <w:spacing w:before="130"/>
        <w:ind w:left="237" w:right="774" w:firstLine="0"/>
        <w:jc w:val="left"/>
        <w:rPr>
          <w:sz w:val="20"/>
        </w:rPr>
      </w:pPr>
      <w:r>
        <w:rPr>
          <w:sz w:val="20"/>
          <w:vertAlign w:val="superscript"/>
        </w:rPr>
        <w:t>14</w:t>
      </w:r>
      <w:r>
        <w:rPr>
          <w:spacing w:val="-3"/>
          <w:sz w:val="20"/>
          <w:vertAlign w:val="baseline"/>
        </w:rPr>
        <w:t> </w:t>
      </w:r>
      <w:r>
        <w:rPr>
          <w:sz w:val="20"/>
          <w:vertAlign w:val="baseline"/>
        </w:rPr>
        <w:t>The</w:t>
      </w:r>
      <w:r>
        <w:rPr>
          <w:spacing w:val="-3"/>
          <w:sz w:val="20"/>
          <w:vertAlign w:val="baseline"/>
        </w:rPr>
        <w:t> </w:t>
      </w:r>
      <w:r>
        <w:rPr>
          <w:sz w:val="20"/>
          <w:vertAlign w:val="baseline"/>
        </w:rPr>
        <w:t>2004</w:t>
      </w:r>
      <w:r>
        <w:rPr>
          <w:spacing w:val="-3"/>
          <w:sz w:val="20"/>
          <w:vertAlign w:val="baseline"/>
        </w:rPr>
        <w:t> </w:t>
      </w:r>
      <w:r>
        <w:rPr>
          <w:sz w:val="20"/>
          <w:vertAlign w:val="baseline"/>
        </w:rPr>
        <w:t>draft</w:t>
      </w:r>
      <w:r>
        <w:rPr>
          <w:spacing w:val="-3"/>
          <w:sz w:val="20"/>
          <w:vertAlign w:val="baseline"/>
        </w:rPr>
        <w:t> </w:t>
      </w:r>
      <w:r>
        <w:rPr>
          <w:sz w:val="20"/>
          <w:vertAlign w:val="baseline"/>
        </w:rPr>
        <w:t>proposal</w:t>
      </w:r>
      <w:r>
        <w:rPr>
          <w:spacing w:val="-3"/>
          <w:sz w:val="20"/>
          <w:vertAlign w:val="baseline"/>
        </w:rPr>
        <w:t> </w:t>
      </w:r>
      <w:r>
        <w:rPr>
          <w:sz w:val="20"/>
          <w:vertAlign w:val="baseline"/>
        </w:rPr>
        <w:t>is</w:t>
      </w:r>
      <w:r>
        <w:rPr>
          <w:spacing w:val="-2"/>
          <w:sz w:val="20"/>
          <w:vertAlign w:val="baseline"/>
        </w:rPr>
        <w:t> </w:t>
      </w:r>
      <w:r>
        <w:rPr>
          <w:sz w:val="20"/>
          <w:vertAlign w:val="baseline"/>
        </w:rPr>
        <w:t>that</w:t>
      </w:r>
      <w:r>
        <w:rPr>
          <w:spacing w:val="-3"/>
          <w:sz w:val="20"/>
          <w:vertAlign w:val="baseline"/>
        </w:rPr>
        <w:t> </w:t>
      </w:r>
      <w:r>
        <w:rPr>
          <w:sz w:val="20"/>
          <w:vertAlign w:val="baseline"/>
        </w:rPr>
        <w:t>which</w:t>
      </w:r>
      <w:r>
        <w:rPr>
          <w:spacing w:val="-4"/>
          <w:sz w:val="20"/>
          <w:vertAlign w:val="baseline"/>
        </w:rPr>
        <w:t> </w:t>
      </w:r>
      <w:r>
        <w:rPr>
          <w:sz w:val="20"/>
          <w:vertAlign w:val="baseline"/>
        </w:rPr>
        <w:t>was</w:t>
      </w:r>
      <w:r>
        <w:rPr>
          <w:spacing w:val="-3"/>
          <w:sz w:val="20"/>
          <w:vertAlign w:val="baseline"/>
        </w:rPr>
        <w:t> </w:t>
      </w:r>
      <w:r>
        <w:rPr>
          <w:sz w:val="20"/>
          <w:vertAlign w:val="baseline"/>
        </w:rPr>
        <w:t>analysed</w:t>
      </w:r>
      <w:r>
        <w:rPr>
          <w:spacing w:val="-4"/>
          <w:sz w:val="20"/>
          <w:vertAlign w:val="baseline"/>
        </w:rPr>
        <w:t> </w:t>
      </w:r>
      <w:r>
        <w:rPr>
          <w:sz w:val="20"/>
          <w:vertAlign w:val="baseline"/>
        </w:rPr>
        <w:t>in</w:t>
      </w:r>
      <w:r>
        <w:rPr>
          <w:spacing w:val="-3"/>
          <w:sz w:val="20"/>
          <w:vertAlign w:val="baseline"/>
        </w:rPr>
        <w:t> </w:t>
      </w:r>
      <w:r>
        <w:rPr>
          <w:sz w:val="20"/>
          <w:vertAlign w:val="baseline"/>
        </w:rPr>
        <w:t>the</w:t>
      </w:r>
      <w:r>
        <w:rPr>
          <w:spacing w:val="-3"/>
          <w:sz w:val="20"/>
          <w:vertAlign w:val="baseline"/>
        </w:rPr>
        <w:t> </w:t>
      </w:r>
      <w:r>
        <w:rPr>
          <w:sz w:val="20"/>
          <w:vertAlign w:val="baseline"/>
        </w:rPr>
        <w:t>draft</w:t>
      </w:r>
      <w:r>
        <w:rPr>
          <w:spacing w:val="-3"/>
          <w:sz w:val="20"/>
          <w:vertAlign w:val="baseline"/>
        </w:rPr>
        <w:t> </w:t>
      </w:r>
      <w:r>
        <w:rPr>
          <w:sz w:val="20"/>
          <w:vertAlign w:val="baseline"/>
        </w:rPr>
        <w:t>RIS</w:t>
      </w:r>
      <w:r>
        <w:rPr>
          <w:spacing w:val="-3"/>
          <w:sz w:val="20"/>
          <w:vertAlign w:val="baseline"/>
        </w:rPr>
        <w:t> </w:t>
      </w:r>
      <w:r>
        <w:rPr>
          <w:sz w:val="20"/>
          <w:vertAlign w:val="baseline"/>
        </w:rPr>
        <w:t>published</w:t>
      </w:r>
      <w:r>
        <w:rPr>
          <w:spacing w:val="-3"/>
          <w:sz w:val="20"/>
          <w:vertAlign w:val="baseline"/>
        </w:rPr>
        <w:t> </w:t>
      </w:r>
      <w:r>
        <w:rPr>
          <w:sz w:val="20"/>
          <w:vertAlign w:val="baseline"/>
        </w:rPr>
        <w:t>in</w:t>
      </w:r>
      <w:r>
        <w:rPr>
          <w:spacing w:val="-3"/>
          <w:sz w:val="20"/>
          <w:vertAlign w:val="baseline"/>
        </w:rPr>
        <w:t> </w:t>
      </w:r>
      <w:r>
        <w:rPr>
          <w:sz w:val="20"/>
          <w:vertAlign w:val="baseline"/>
        </w:rPr>
        <w:t>February </w:t>
      </w:r>
      <w:r>
        <w:rPr>
          <w:spacing w:val="-2"/>
          <w:sz w:val="20"/>
          <w:vertAlign w:val="baseline"/>
        </w:rPr>
        <w:t>2004.</w:t>
      </w:r>
    </w:p>
    <w:p>
      <w:pPr>
        <w:spacing w:after="0"/>
        <w:jc w:val="left"/>
        <w:rPr>
          <w:sz w:val="20"/>
        </w:rPr>
        <w:sectPr>
          <w:pgSz w:w="12240" w:h="15840"/>
          <w:pgMar w:header="0" w:footer="1140" w:top="1360" w:bottom="1340" w:left="1560" w:right="1500"/>
        </w:sectPr>
      </w:pPr>
    </w:p>
    <w:p>
      <w:pPr>
        <w:spacing w:before="78"/>
        <w:ind w:left="237" w:right="294" w:firstLine="0"/>
        <w:jc w:val="both"/>
        <w:rPr>
          <w:i/>
          <w:sz w:val="24"/>
        </w:rPr>
      </w:pPr>
      <w:r>
        <w:rPr>
          <w:i/>
          <w:sz w:val="24"/>
        </w:rPr>
        <w:t>An inaccessible existing building being extended was also required to be made</w:t>
      </w:r>
      <w:r>
        <w:rPr>
          <w:i/>
          <w:sz w:val="24"/>
        </w:rPr>
        <w:t> accessible, for example, where the extension is greater than the existing building (thus exceeding 50% of the total volume of the completed building) and the addition is being integrated into the existing building.</w:t>
      </w:r>
    </w:p>
    <w:p>
      <w:pPr>
        <w:spacing w:before="120"/>
        <w:ind w:left="237" w:right="294" w:firstLine="0"/>
        <w:jc w:val="both"/>
        <w:rPr>
          <w:i/>
          <w:sz w:val="24"/>
        </w:rPr>
      </w:pPr>
      <w:r>
        <w:rPr>
          <w:i/>
          <w:sz w:val="24"/>
        </w:rPr>
        <w:t>Where building work in an existing inaccessible building is considered significant</w:t>
      </w:r>
      <w:r>
        <w:rPr>
          <w:i/>
          <w:sz w:val="24"/>
        </w:rPr>
        <w:t> building work, but not extensive building work, the 2004 draft proposal required that</w:t>
      </w:r>
      <w:r>
        <w:rPr>
          <w:i/>
          <w:spacing w:val="-1"/>
          <w:sz w:val="24"/>
        </w:rPr>
        <w:t> </w:t>
      </w:r>
      <w:r>
        <w:rPr>
          <w:i/>
          <w:sz w:val="24"/>
        </w:rPr>
        <w:t>access</w:t>
      </w:r>
      <w:r>
        <w:rPr>
          <w:i/>
          <w:spacing w:val="-1"/>
          <w:sz w:val="24"/>
        </w:rPr>
        <w:t> </w:t>
      </w:r>
      <w:r>
        <w:rPr>
          <w:i/>
          <w:sz w:val="24"/>
        </w:rPr>
        <w:t>be</w:t>
      </w:r>
      <w:r>
        <w:rPr>
          <w:i/>
          <w:spacing w:val="-1"/>
          <w:sz w:val="24"/>
        </w:rPr>
        <w:t> </w:t>
      </w:r>
      <w:r>
        <w:rPr>
          <w:i/>
          <w:sz w:val="24"/>
        </w:rPr>
        <w:t>provided</w:t>
      </w:r>
      <w:r>
        <w:rPr>
          <w:i/>
          <w:spacing w:val="-1"/>
          <w:sz w:val="24"/>
        </w:rPr>
        <w:t> </w:t>
      </w:r>
      <w:r>
        <w:rPr>
          <w:i/>
          <w:sz w:val="24"/>
        </w:rPr>
        <w:t>to</w:t>
      </w:r>
      <w:r>
        <w:rPr>
          <w:i/>
          <w:spacing w:val="-1"/>
          <w:sz w:val="24"/>
        </w:rPr>
        <w:t> </w:t>
      </w:r>
      <w:r>
        <w:rPr>
          <w:i/>
          <w:sz w:val="24"/>
        </w:rPr>
        <w:t>the</w:t>
      </w:r>
      <w:r>
        <w:rPr>
          <w:i/>
          <w:spacing w:val="-1"/>
          <w:sz w:val="24"/>
        </w:rPr>
        <w:t> </w:t>
      </w:r>
      <w:r>
        <w:rPr>
          <w:i/>
          <w:sz w:val="24"/>
        </w:rPr>
        <w:t>area</w:t>
      </w:r>
      <w:r>
        <w:rPr>
          <w:i/>
          <w:spacing w:val="-1"/>
          <w:sz w:val="24"/>
        </w:rPr>
        <w:t> </w:t>
      </w:r>
      <w:r>
        <w:rPr>
          <w:i/>
          <w:sz w:val="24"/>
        </w:rPr>
        <w:t>of</w:t>
      </w:r>
      <w:r>
        <w:rPr>
          <w:i/>
          <w:spacing w:val="-1"/>
          <w:sz w:val="24"/>
        </w:rPr>
        <w:t> </w:t>
      </w:r>
      <w:r>
        <w:rPr>
          <w:i/>
          <w:sz w:val="24"/>
        </w:rPr>
        <w:t>the new</w:t>
      </w:r>
      <w:r>
        <w:rPr>
          <w:i/>
          <w:spacing w:val="-1"/>
          <w:sz w:val="24"/>
        </w:rPr>
        <w:t> </w:t>
      </w:r>
      <w:r>
        <w:rPr>
          <w:i/>
          <w:sz w:val="24"/>
        </w:rPr>
        <w:t>work</w:t>
      </w:r>
      <w:r>
        <w:rPr>
          <w:i/>
          <w:spacing w:val="-1"/>
          <w:sz w:val="24"/>
        </w:rPr>
        <w:t> </w:t>
      </w:r>
      <w:r>
        <w:rPr>
          <w:i/>
          <w:sz w:val="24"/>
        </w:rPr>
        <w:t>and to</w:t>
      </w:r>
      <w:r>
        <w:rPr>
          <w:i/>
          <w:spacing w:val="-1"/>
          <w:sz w:val="24"/>
        </w:rPr>
        <w:t> </w:t>
      </w:r>
      <w:r>
        <w:rPr>
          <w:i/>
          <w:sz w:val="24"/>
        </w:rPr>
        <w:t>any</w:t>
      </w:r>
      <w:r>
        <w:rPr>
          <w:i/>
          <w:spacing w:val="-1"/>
          <w:sz w:val="24"/>
        </w:rPr>
        <w:t> </w:t>
      </w:r>
      <w:r>
        <w:rPr>
          <w:i/>
          <w:sz w:val="24"/>
        </w:rPr>
        <w:t>essential</w:t>
      </w:r>
      <w:r>
        <w:rPr>
          <w:i/>
          <w:spacing w:val="-1"/>
          <w:sz w:val="24"/>
        </w:rPr>
        <w:t> </w:t>
      </w:r>
      <w:r>
        <w:rPr>
          <w:i/>
          <w:sz w:val="24"/>
        </w:rPr>
        <w:t>facilities associated with the new work.</w:t>
      </w:r>
      <w:r>
        <w:rPr>
          <w:i/>
          <w:spacing w:val="40"/>
          <w:sz w:val="24"/>
        </w:rPr>
        <w:t> </w:t>
      </w:r>
      <w:r>
        <w:rPr>
          <w:i/>
          <w:sz w:val="24"/>
        </w:rPr>
        <w:t>For example, any toilets, communal laundries or cafeteria that serves the area of the new work.</w:t>
      </w:r>
    </w:p>
    <w:p>
      <w:pPr>
        <w:pStyle w:val="BodyText"/>
        <w:rPr>
          <w:i/>
          <w:sz w:val="26"/>
        </w:rPr>
      </w:pPr>
    </w:p>
    <w:p>
      <w:pPr>
        <w:pStyle w:val="BodyText"/>
        <w:spacing w:before="5"/>
        <w:rPr>
          <w:i/>
          <w:sz w:val="29"/>
        </w:rPr>
      </w:pPr>
    </w:p>
    <w:p>
      <w:pPr>
        <w:pStyle w:val="Heading3"/>
        <w:numPr>
          <w:ilvl w:val="2"/>
          <w:numId w:val="10"/>
        </w:numPr>
        <w:tabs>
          <w:tab w:pos="959" w:val="left" w:leader="none"/>
        </w:tabs>
        <w:spacing w:line="297" w:lineRule="exact" w:before="0" w:after="0"/>
        <w:ind w:left="958" w:right="0" w:hanging="722"/>
        <w:jc w:val="both"/>
      </w:pPr>
      <w:bookmarkStart w:name="5.2.1 Inclusion of Class 1b buildings" w:id="23"/>
      <w:bookmarkEnd w:id="23"/>
      <w:r>
        <w:rPr/>
        <w:t>Inclusion</w:t>
      </w:r>
      <w:r>
        <w:rPr>
          <w:spacing w:val="-2"/>
        </w:rPr>
        <w:t> </w:t>
      </w:r>
      <w:r>
        <w:rPr/>
        <w:t>of</w:t>
      </w:r>
      <w:r>
        <w:rPr>
          <w:spacing w:val="-1"/>
        </w:rPr>
        <w:t> </w:t>
      </w:r>
      <w:r>
        <w:rPr/>
        <w:t>Class</w:t>
      </w:r>
      <w:r>
        <w:rPr>
          <w:spacing w:val="-2"/>
        </w:rPr>
        <w:t> </w:t>
      </w:r>
      <w:r>
        <w:rPr/>
        <w:t>1b</w:t>
      </w:r>
      <w:r>
        <w:rPr>
          <w:spacing w:val="-2"/>
        </w:rPr>
        <w:t> buildings</w:t>
      </w:r>
    </w:p>
    <w:p>
      <w:pPr>
        <w:pStyle w:val="BodyText"/>
        <w:ind w:left="237" w:right="293"/>
        <w:jc w:val="both"/>
      </w:pPr>
      <w:r>
        <w:rPr/>
        <w:t>Access requirements are to apply for the first time to Class 1b buildings.</w:t>
      </w:r>
      <w:r>
        <w:rPr>
          <w:spacing w:val="80"/>
        </w:rPr>
        <w:t> </w:t>
      </w:r>
      <w:r>
        <w:rPr/>
        <w:t>Class 1b buildings are smaller boarding houses, cabins, guest houses, hostels and the like.</w:t>
      </w:r>
      <w:r>
        <w:rPr>
          <w:spacing w:val="40"/>
        </w:rPr>
        <w:t> </w:t>
      </w:r>
      <w:r>
        <w:rPr/>
        <w:t>Access will be required where 4 or more dwellings are provided on one allotment for the purposes of short-term holiday accommodation.</w:t>
      </w:r>
      <w:r>
        <w:rPr>
          <w:spacing w:val="80"/>
        </w:rPr>
        <w:t> </w:t>
      </w:r>
      <w:r>
        <w:rPr/>
        <w:t>Access will</w:t>
      </w:r>
      <w:r>
        <w:rPr>
          <w:spacing w:val="40"/>
        </w:rPr>
        <w:t> </w:t>
      </w:r>
      <w:r>
        <w:rPr/>
        <w:t>also be required to Class 1b buildings that provide 4 or more bedrooms for commercial accommodation purposes such as bed and breakfast type accommodation.</w:t>
      </w:r>
      <w:r>
        <w:rPr>
          <w:spacing w:val="40"/>
        </w:rPr>
        <w:t> </w:t>
      </w:r>
      <w:r>
        <w:rPr/>
        <w:t>As a result of the proposed 2009 amendments it is also proposed to extend the access requirements to include all newly constructed and purpose built Class 1b buildings, regardless of the number of bedrooms for commercial accommodation. Further details of the proposed 2009 amendments and the implications of the changes can be found in Appendix D.</w:t>
      </w:r>
    </w:p>
    <w:p>
      <w:pPr>
        <w:pStyle w:val="BodyText"/>
        <w:spacing w:before="10"/>
        <w:rPr>
          <w:sz w:val="23"/>
        </w:rPr>
      </w:pPr>
    </w:p>
    <w:p>
      <w:pPr>
        <w:pStyle w:val="BodyText"/>
        <w:ind w:left="237" w:right="292"/>
        <w:jc w:val="both"/>
      </w:pPr>
      <w:r>
        <w:rPr/>
        <w:t>Existing</w:t>
      </w:r>
      <w:r>
        <w:rPr>
          <w:spacing w:val="-3"/>
        </w:rPr>
        <w:t> </w:t>
      </w:r>
      <w:r>
        <w:rPr/>
        <w:t>Class</w:t>
      </w:r>
      <w:r>
        <w:rPr>
          <w:spacing w:val="-3"/>
        </w:rPr>
        <w:t> </w:t>
      </w:r>
      <w:r>
        <w:rPr/>
        <w:t>1b</w:t>
      </w:r>
      <w:r>
        <w:rPr>
          <w:spacing w:val="-3"/>
        </w:rPr>
        <w:t> </w:t>
      </w:r>
      <w:r>
        <w:rPr/>
        <w:t>buildings</w:t>
      </w:r>
      <w:r>
        <w:rPr>
          <w:spacing w:val="-3"/>
        </w:rPr>
        <w:t> </w:t>
      </w:r>
      <w:r>
        <w:rPr/>
        <w:t>being</w:t>
      </w:r>
      <w:r>
        <w:rPr>
          <w:spacing w:val="-3"/>
        </w:rPr>
        <w:t> </w:t>
      </w:r>
      <w:r>
        <w:rPr/>
        <w:t>upgraded</w:t>
      </w:r>
      <w:r>
        <w:rPr>
          <w:spacing w:val="-3"/>
        </w:rPr>
        <w:t> </w:t>
      </w:r>
      <w:r>
        <w:rPr/>
        <w:t>that</w:t>
      </w:r>
      <w:r>
        <w:rPr>
          <w:spacing w:val="-3"/>
        </w:rPr>
        <w:t> </w:t>
      </w:r>
      <w:r>
        <w:rPr/>
        <w:t>are</w:t>
      </w:r>
      <w:r>
        <w:rPr>
          <w:spacing w:val="-3"/>
        </w:rPr>
        <w:t> </w:t>
      </w:r>
      <w:r>
        <w:rPr/>
        <w:t>below</w:t>
      </w:r>
      <w:r>
        <w:rPr>
          <w:spacing w:val="-3"/>
        </w:rPr>
        <w:t> </w:t>
      </w:r>
      <w:r>
        <w:rPr/>
        <w:t>the</w:t>
      </w:r>
      <w:r>
        <w:rPr>
          <w:spacing w:val="-3"/>
        </w:rPr>
        <w:t> </w:t>
      </w:r>
      <w:r>
        <w:rPr/>
        <w:t>threshold</w:t>
      </w:r>
      <w:r>
        <w:rPr>
          <w:spacing w:val="-3"/>
        </w:rPr>
        <w:t> </w:t>
      </w:r>
      <w:r>
        <w:rPr/>
        <w:t>of</w:t>
      </w:r>
      <w:r>
        <w:rPr>
          <w:spacing w:val="-3"/>
        </w:rPr>
        <w:t> </w:t>
      </w:r>
      <w:r>
        <w:rPr/>
        <w:t>four</w:t>
      </w:r>
      <w:r>
        <w:rPr>
          <w:spacing w:val="-3"/>
        </w:rPr>
        <w:t> </w:t>
      </w:r>
      <w:r>
        <w:rPr/>
        <w:t>or more rooms) are not covered by the Premises Standards and will remain subject to the general complaints provisions of the DDA.</w:t>
      </w:r>
    </w:p>
    <w:p>
      <w:pPr>
        <w:pStyle w:val="BodyText"/>
        <w:spacing w:before="2"/>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293" w:firstLine="0"/>
        <w:jc w:val="both"/>
        <w:rPr>
          <w:i/>
          <w:sz w:val="24"/>
        </w:rPr>
      </w:pPr>
      <w:r>
        <w:rPr>
          <w:i/>
          <w:sz w:val="24"/>
        </w:rPr>
        <w:t>The threshold for the application of the requirements of the Standards was three</w:t>
      </w:r>
      <w:r>
        <w:rPr>
          <w:i/>
          <w:sz w:val="24"/>
        </w:rPr>
        <w:t> or more bedrooms/dwellings, with Class</w:t>
      </w:r>
      <w:r>
        <w:rPr>
          <w:i/>
          <w:sz w:val="24"/>
        </w:rPr>
        <w:t> 1b</w:t>
      </w:r>
      <w:r>
        <w:rPr>
          <w:i/>
          <w:sz w:val="24"/>
        </w:rPr>
        <w:t> buildings</w:t>
      </w:r>
      <w:r>
        <w:rPr>
          <w:i/>
          <w:sz w:val="24"/>
        </w:rPr>
        <w:t> below</w:t>
      </w:r>
      <w:r>
        <w:rPr>
          <w:i/>
          <w:sz w:val="24"/>
        </w:rPr>
        <w:t> this</w:t>
      </w:r>
      <w:r>
        <w:rPr>
          <w:i/>
          <w:sz w:val="24"/>
        </w:rPr>
        <w:t> threshold</w:t>
      </w:r>
      <w:r>
        <w:rPr>
          <w:i/>
          <w:sz w:val="24"/>
        </w:rPr>
        <w:t> not subject to any requirement for accessibility but being protected from a successful complaint under the DDA. See also Appendix D.</w:t>
      </w:r>
    </w:p>
    <w:p>
      <w:pPr>
        <w:pStyle w:val="BodyText"/>
        <w:rPr>
          <w:i/>
          <w:sz w:val="26"/>
        </w:rPr>
      </w:pPr>
    </w:p>
    <w:p>
      <w:pPr>
        <w:pStyle w:val="Heading3"/>
        <w:numPr>
          <w:ilvl w:val="2"/>
          <w:numId w:val="10"/>
        </w:numPr>
        <w:tabs>
          <w:tab w:pos="958" w:val="left" w:leader="none"/>
        </w:tabs>
        <w:spacing w:line="297" w:lineRule="exact" w:before="219" w:after="0"/>
        <w:ind w:left="957" w:right="0" w:hanging="721"/>
        <w:jc w:val="both"/>
      </w:pPr>
      <w:bookmarkStart w:name="5.2.2 Class 2 buildings" w:id="24"/>
      <w:bookmarkEnd w:id="24"/>
      <w:r>
        <w:rPr/>
        <w:t>Clas</w:t>
      </w:r>
      <w:r>
        <w:rPr/>
        <w:t>s</w:t>
      </w:r>
      <w:r>
        <w:rPr>
          <w:spacing w:val="-4"/>
        </w:rPr>
        <w:t> </w:t>
      </w:r>
      <w:r>
        <w:rPr/>
        <w:t>2</w:t>
      </w:r>
      <w:r>
        <w:rPr>
          <w:spacing w:val="-3"/>
        </w:rPr>
        <w:t> </w:t>
      </w:r>
      <w:r>
        <w:rPr>
          <w:spacing w:val="-2"/>
        </w:rPr>
        <w:t>buildings</w:t>
      </w:r>
    </w:p>
    <w:p>
      <w:pPr>
        <w:pStyle w:val="BodyText"/>
        <w:ind w:left="237" w:right="294"/>
        <w:jc w:val="both"/>
      </w:pPr>
      <w:r>
        <w:rPr/>
        <w:t>Under the 2008 proposal access to and within Class 2 buildings and associated facilities was not to be regulated by the Premises Standards. Class 2 buildings were to continue to be covered by the general complaints provisions of the DDA. This has since changed as a result of the proposed 2009 amendments and certain</w:t>
      </w:r>
      <w:r>
        <w:rPr>
          <w:spacing w:val="-1"/>
        </w:rPr>
        <w:t> </w:t>
      </w:r>
      <w:r>
        <w:rPr/>
        <w:t>aspects</w:t>
      </w:r>
      <w:r>
        <w:rPr>
          <w:spacing w:val="-1"/>
        </w:rPr>
        <w:t> </w:t>
      </w:r>
      <w:r>
        <w:rPr/>
        <w:t>of</w:t>
      </w:r>
      <w:r>
        <w:rPr>
          <w:spacing w:val="-1"/>
        </w:rPr>
        <w:t> </w:t>
      </w:r>
      <w:r>
        <w:rPr/>
        <w:t>new</w:t>
      </w:r>
      <w:r>
        <w:rPr>
          <w:spacing w:val="-1"/>
        </w:rPr>
        <w:t> </w:t>
      </w:r>
      <w:r>
        <w:rPr/>
        <w:t>Class 2 buildings are now included. Further details can be found in Appendix D.</w:t>
      </w:r>
    </w:p>
    <w:p>
      <w:pPr>
        <w:pStyle w:val="BodyText"/>
        <w:spacing w:before="11"/>
        <w:rPr>
          <w:sz w:val="23"/>
        </w:rPr>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after="0"/>
        <w:sectPr>
          <w:pgSz w:w="12240" w:h="15840"/>
          <w:pgMar w:header="0" w:footer="1140" w:top="1360" w:bottom="1340" w:left="1560" w:right="1500"/>
        </w:sectPr>
      </w:pPr>
    </w:p>
    <w:p>
      <w:pPr>
        <w:spacing w:before="78"/>
        <w:ind w:left="237" w:right="295" w:firstLine="0"/>
        <w:jc w:val="both"/>
        <w:rPr>
          <w:i/>
          <w:sz w:val="24"/>
        </w:rPr>
      </w:pPr>
      <w:r>
        <w:rPr>
          <w:i/>
          <w:sz w:val="24"/>
        </w:rPr>
        <w:t>Access to certain common areas and features of Class 2 buildings and</w:t>
      </w:r>
      <w:r>
        <w:rPr>
          <w:i/>
          <w:sz w:val="24"/>
        </w:rPr>
        <w:t> associated facilities was included in the original proposal.</w:t>
      </w:r>
      <w:r>
        <w:rPr>
          <w:i/>
          <w:spacing w:val="40"/>
          <w:sz w:val="24"/>
        </w:rPr>
        <w:t> </w:t>
      </w:r>
      <w:r>
        <w:rPr>
          <w:i/>
          <w:sz w:val="24"/>
        </w:rPr>
        <w:t>The new proposal will apply these provisions to only </w:t>
      </w:r>
      <w:r>
        <w:rPr>
          <w:i/>
          <w:sz w:val="24"/>
          <w:u w:val="single"/>
        </w:rPr>
        <w:t>new</w:t>
      </w:r>
      <w:r>
        <w:rPr>
          <w:i/>
          <w:sz w:val="24"/>
        </w:rPr>
        <w:t> Class 2 buildings only.</w:t>
      </w:r>
    </w:p>
    <w:p>
      <w:pPr>
        <w:pStyle w:val="BodyText"/>
        <w:rPr>
          <w:i/>
          <w:sz w:val="26"/>
        </w:rPr>
      </w:pPr>
    </w:p>
    <w:p>
      <w:pPr>
        <w:pStyle w:val="Heading3"/>
        <w:numPr>
          <w:ilvl w:val="2"/>
          <w:numId w:val="10"/>
        </w:numPr>
        <w:tabs>
          <w:tab w:pos="890" w:val="left" w:leader="none"/>
        </w:tabs>
        <w:spacing w:line="297" w:lineRule="exact" w:before="219" w:after="0"/>
        <w:ind w:left="889" w:right="0" w:hanging="653"/>
        <w:jc w:val="both"/>
      </w:pPr>
      <w:bookmarkStart w:name="5.2.3 Class 3 buildings" w:id="25"/>
      <w:bookmarkEnd w:id="25"/>
      <w:r>
        <w:rPr/>
        <w:t>C</w:t>
      </w:r>
      <w:r>
        <w:rPr/>
        <w:t>lass</w:t>
      </w:r>
      <w:r>
        <w:rPr>
          <w:spacing w:val="-2"/>
        </w:rPr>
        <w:t> </w:t>
      </w:r>
      <w:r>
        <w:rPr/>
        <w:t>3</w:t>
      </w:r>
      <w:r>
        <w:rPr>
          <w:spacing w:val="-2"/>
        </w:rPr>
        <w:t> buildings</w:t>
      </w:r>
    </w:p>
    <w:p>
      <w:pPr>
        <w:pStyle w:val="BodyText"/>
        <w:ind w:left="237" w:right="294"/>
        <w:jc w:val="both"/>
      </w:pPr>
      <w:r>
        <w:rPr/>
        <w:t>The ratio of rooms to be made accessible for people with a disability will be increased in Class</w:t>
      </w:r>
      <w:r>
        <w:rPr/>
        <w:t> 3 buildings.</w:t>
      </w:r>
      <w:r>
        <w:rPr>
          <w:spacing w:val="40"/>
        </w:rPr>
        <w:t> </w:t>
      </w:r>
      <w:r>
        <w:rPr/>
        <w:t>Class 3 buildings are residential buildings including backpackers’ accommodation, hotels/motels, accommodation for the aged etc.</w:t>
      </w:r>
    </w:p>
    <w:p>
      <w:pPr>
        <w:pStyle w:val="BodyText"/>
        <w:ind w:left="237" w:right="294"/>
        <w:jc w:val="both"/>
      </w:pPr>
      <w:r>
        <w:rPr/>
        <w:t>The effects of the change would be slight in most cases, but different “breakpoints” in the table which sets out the requirements mean that there will be a moderate impact in some cases.</w:t>
      </w:r>
      <w:r>
        <w:rPr>
          <w:spacing w:val="40"/>
        </w:rPr>
        <w:t> </w:t>
      </w:r>
      <w:r>
        <w:rPr/>
        <w:t>For example, a 15 unit facility would require two accessible units, rather than one at present, but a 40 unit facility would continue to require two accessible units as is currently the case.</w:t>
      </w:r>
    </w:p>
    <w:p>
      <w:pPr>
        <w:pStyle w:val="BodyText"/>
        <w:spacing w:before="11"/>
        <w:rPr>
          <w:sz w:val="23"/>
        </w:rPr>
      </w:pPr>
    </w:p>
    <w:p>
      <w:pPr>
        <w:spacing w:before="0"/>
        <w:ind w:left="237" w:right="0" w:firstLine="0"/>
        <w:jc w:val="both"/>
        <w:rPr>
          <w:b/>
          <w:i/>
          <w:sz w:val="24"/>
        </w:rPr>
      </w:pPr>
      <w:r>
        <w:rPr>
          <w:b/>
          <w:i/>
          <w:sz w:val="24"/>
        </w:rPr>
        <w:t>No</w:t>
      </w:r>
      <w:r>
        <w:rPr>
          <w:b/>
          <w:i/>
          <w:spacing w:val="-4"/>
          <w:sz w:val="24"/>
        </w:rPr>
        <w:t> </w:t>
      </w:r>
      <w:r>
        <w:rPr>
          <w:b/>
          <w:i/>
          <w:sz w:val="24"/>
        </w:rPr>
        <w:t>change</w:t>
      </w:r>
      <w:r>
        <w:rPr>
          <w:b/>
          <w:i/>
          <w:spacing w:val="-4"/>
          <w:sz w:val="24"/>
        </w:rPr>
        <w:t> </w:t>
      </w:r>
      <w:r>
        <w:rPr>
          <w:b/>
          <w:i/>
          <w:sz w:val="24"/>
        </w:rPr>
        <w:t>from</w:t>
      </w:r>
      <w:r>
        <w:rPr>
          <w:b/>
          <w:i/>
          <w:spacing w:val="-4"/>
          <w:sz w:val="24"/>
        </w:rPr>
        <w:t> </w:t>
      </w:r>
      <w:r>
        <w:rPr>
          <w:b/>
          <w:i/>
          <w:sz w:val="24"/>
        </w:rPr>
        <w:t>the</w:t>
      </w:r>
      <w:r>
        <w:rPr>
          <w:b/>
          <w:i/>
          <w:spacing w:val="-4"/>
          <w:sz w:val="24"/>
        </w:rPr>
        <w:t> </w:t>
      </w:r>
      <w:r>
        <w:rPr>
          <w:b/>
          <w:i/>
          <w:sz w:val="24"/>
        </w:rPr>
        <w:t>2004</w:t>
      </w:r>
      <w:r>
        <w:rPr>
          <w:b/>
          <w:i/>
          <w:spacing w:val="-4"/>
          <w:sz w:val="24"/>
        </w:rPr>
        <w:t> </w:t>
      </w:r>
      <w:r>
        <w:rPr>
          <w:b/>
          <w:i/>
          <w:sz w:val="24"/>
        </w:rPr>
        <w:t>draft</w:t>
      </w:r>
      <w:r>
        <w:rPr>
          <w:b/>
          <w:i/>
          <w:spacing w:val="-4"/>
          <w:sz w:val="24"/>
        </w:rPr>
        <w:t> </w:t>
      </w:r>
      <w:r>
        <w:rPr>
          <w:b/>
          <w:i/>
          <w:spacing w:val="-2"/>
          <w:sz w:val="24"/>
        </w:rPr>
        <w:t>proposal</w:t>
      </w:r>
    </w:p>
    <w:p>
      <w:pPr>
        <w:pStyle w:val="BodyText"/>
        <w:rPr>
          <w:b/>
          <w:i/>
          <w:sz w:val="26"/>
        </w:rPr>
      </w:pPr>
    </w:p>
    <w:p>
      <w:pPr>
        <w:pStyle w:val="Heading3"/>
        <w:numPr>
          <w:ilvl w:val="2"/>
          <w:numId w:val="10"/>
        </w:numPr>
        <w:tabs>
          <w:tab w:pos="958" w:val="left" w:leader="none"/>
        </w:tabs>
        <w:spacing w:line="297" w:lineRule="exact" w:before="219" w:after="0"/>
        <w:ind w:left="958" w:right="0" w:hanging="721"/>
        <w:jc w:val="both"/>
      </w:pPr>
      <w:bookmarkStart w:name="5.2.4 Class 5, 6, 7b, and 8 buildings" w:id="26"/>
      <w:bookmarkEnd w:id="26"/>
      <w:r>
        <w:rPr/>
        <w:t>Clas</w:t>
      </w:r>
      <w:r>
        <w:rPr/>
        <w:t>s</w:t>
      </w:r>
      <w:r>
        <w:rPr>
          <w:spacing w:val="-3"/>
        </w:rPr>
        <w:t> </w:t>
      </w:r>
      <w:r>
        <w:rPr/>
        <w:t>5,</w:t>
      </w:r>
      <w:r>
        <w:rPr>
          <w:spacing w:val="-3"/>
        </w:rPr>
        <w:t> </w:t>
      </w:r>
      <w:r>
        <w:rPr/>
        <w:t>6,</w:t>
      </w:r>
      <w:r>
        <w:rPr>
          <w:spacing w:val="-2"/>
        </w:rPr>
        <w:t> </w:t>
      </w:r>
      <w:r>
        <w:rPr/>
        <w:t>7b,</w:t>
      </w:r>
      <w:r>
        <w:rPr>
          <w:spacing w:val="-3"/>
        </w:rPr>
        <w:t> </w:t>
      </w:r>
      <w:r>
        <w:rPr/>
        <w:t>and</w:t>
      </w:r>
      <w:r>
        <w:rPr>
          <w:spacing w:val="-3"/>
        </w:rPr>
        <w:t> </w:t>
      </w:r>
      <w:r>
        <w:rPr/>
        <w:t>8</w:t>
      </w:r>
      <w:r>
        <w:rPr>
          <w:spacing w:val="-2"/>
        </w:rPr>
        <w:t> buildings</w:t>
      </w:r>
    </w:p>
    <w:p>
      <w:pPr>
        <w:pStyle w:val="BodyText"/>
        <w:ind w:left="237" w:right="293"/>
        <w:jc w:val="both"/>
      </w:pPr>
      <w:r>
        <w:rPr/>
        <w:t>These classes include offices, shops, premises in which goods or services are offered for sale (including dining facilities and the like) or in which goods are stored.</w:t>
      </w:r>
      <w:r>
        <w:rPr>
          <w:spacing w:val="40"/>
        </w:rPr>
        <w:t> </w:t>
      </w:r>
      <w:r>
        <w:rPr/>
        <w:t>Access requirements are to be extended to include all levels within each of these classes of buildings.</w:t>
      </w:r>
      <w:r>
        <w:rPr>
          <w:spacing w:val="40"/>
        </w:rPr>
        <w:t> </w:t>
      </w:r>
      <w:r>
        <w:rPr/>
        <w:t>The current accessibility requirements for these classes of buildings are limited to the entrance level and to those levels to which a lift or ramp is provided. As part of the proposed 2009 amendments a concession for these classes of buildings based on a limit of 3 storeys (and 200m2</w:t>
      </w:r>
      <w:r>
        <w:rPr>
          <w:spacing w:val="-2"/>
        </w:rPr>
        <w:t> </w:t>
      </w:r>
      <w:r>
        <w:rPr/>
        <w:t>floor</w:t>
      </w:r>
      <w:r>
        <w:rPr>
          <w:spacing w:val="-2"/>
        </w:rPr>
        <w:t> </w:t>
      </w:r>
      <w:r>
        <w:rPr/>
        <w:t>area</w:t>
      </w:r>
      <w:r>
        <w:rPr>
          <w:spacing w:val="-2"/>
        </w:rPr>
        <w:t> </w:t>
      </w:r>
      <w:r>
        <w:rPr/>
        <w:t>for</w:t>
      </w:r>
      <w:r>
        <w:rPr>
          <w:spacing w:val="-2"/>
        </w:rPr>
        <w:t> </w:t>
      </w:r>
      <w:r>
        <w:rPr/>
        <w:t>each</w:t>
      </w:r>
      <w:r>
        <w:rPr>
          <w:spacing w:val="-2"/>
        </w:rPr>
        <w:t> </w:t>
      </w:r>
      <w:r>
        <w:rPr/>
        <w:t>storey</w:t>
      </w:r>
      <w:r>
        <w:rPr>
          <w:spacing w:val="-2"/>
        </w:rPr>
        <w:t> </w:t>
      </w:r>
      <w:r>
        <w:rPr/>
        <w:t>except</w:t>
      </w:r>
      <w:r>
        <w:rPr>
          <w:spacing w:val="-2"/>
        </w:rPr>
        <w:t> </w:t>
      </w:r>
      <w:r>
        <w:rPr/>
        <w:t>entrance</w:t>
      </w:r>
      <w:r>
        <w:rPr>
          <w:spacing w:val="-2"/>
        </w:rPr>
        <w:t> </w:t>
      </w:r>
      <w:r>
        <w:rPr/>
        <w:t>storey)</w:t>
      </w:r>
      <w:r>
        <w:rPr>
          <w:spacing w:val="-2"/>
        </w:rPr>
        <w:t> </w:t>
      </w:r>
      <w:r>
        <w:rPr/>
        <w:t>has</w:t>
      </w:r>
      <w:r>
        <w:rPr>
          <w:spacing w:val="-2"/>
        </w:rPr>
        <w:t> </w:t>
      </w:r>
      <w:r>
        <w:rPr/>
        <w:t>now</w:t>
      </w:r>
      <w:r>
        <w:rPr>
          <w:spacing w:val="-2"/>
        </w:rPr>
        <w:t> </w:t>
      </w:r>
      <w:r>
        <w:rPr/>
        <w:t>been</w:t>
      </w:r>
      <w:r>
        <w:rPr>
          <w:spacing w:val="-2"/>
        </w:rPr>
        <w:t> </w:t>
      </w:r>
      <w:r>
        <w:rPr/>
        <w:t>limited</w:t>
      </w:r>
      <w:r>
        <w:rPr>
          <w:spacing w:val="-2"/>
        </w:rPr>
        <w:t> </w:t>
      </w:r>
      <w:r>
        <w:rPr/>
        <w:t>to not having to provide an accessible ramp or passenger lift. Further details can be found in Appendix D.</w:t>
      </w:r>
    </w:p>
    <w:p>
      <w:pPr>
        <w:pStyle w:val="BodyText"/>
        <w:spacing w:before="11"/>
        <w:rPr>
          <w:sz w:val="23"/>
        </w:rPr>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294" w:firstLine="0"/>
        <w:jc w:val="both"/>
        <w:rPr>
          <w:i/>
          <w:sz w:val="24"/>
        </w:rPr>
      </w:pPr>
      <w:r>
        <w:rPr>
          <w:i/>
          <w:sz w:val="24"/>
        </w:rPr>
        <w:t>An</w:t>
      </w:r>
      <w:r>
        <w:rPr>
          <w:i/>
          <w:spacing w:val="-1"/>
          <w:sz w:val="24"/>
        </w:rPr>
        <w:t> </w:t>
      </w:r>
      <w:r>
        <w:rPr>
          <w:i/>
          <w:sz w:val="24"/>
        </w:rPr>
        <w:t>exemption</w:t>
      </w:r>
      <w:r>
        <w:rPr>
          <w:i/>
          <w:spacing w:val="-2"/>
          <w:sz w:val="24"/>
        </w:rPr>
        <w:t> </w:t>
      </w:r>
      <w:r>
        <w:rPr>
          <w:i/>
          <w:sz w:val="24"/>
        </w:rPr>
        <w:t>has been</w:t>
      </w:r>
      <w:r>
        <w:rPr>
          <w:i/>
          <w:spacing w:val="-2"/>
          <w:sz w:val="24"/>
        </w:rPr>
        <w:t> </w:t>
      </w:r>
      <w:r>
        <w:rPr>
          <w:i/>
          <w:sz w:val="24"/>
        </w:rPr>
        <w:t>included</w:t>
      </w:r>
      <w:r>
        <w:rPr>
          <w:i/>
          <w:spacing w:val="-2"/>
          <w:sz w:val="24"/>
        </w:rPr>
        <w:t> </w:t>
      </w:r>
      <w:r>
        <w:rPr>
          <w:i/>
          <w:sz w:val="24"/>
        </w:rPr>
        <w:t>for</w:t>
      </w:r>
      <w:r>
        <w:rPr>
          <w:i/>
          <w:spacing w:val="-1"/>
          <w:sz w:val="24"/>
        </w:rPr>
        <w:t> </w:t>
      </w:r>
      <w:r>
        <w:rPr>
          <w:i/>
          <w:sz w:val="24"/>
        </w:rPr>
        <w:t>storeys</w:t>
      </w:r>
      <w:r>
        <w:rPr>
          <w:i/>
          <w:spacing w:val="-2"/>
          <w:sz w:val="24"/>
        </w:rPr>
        <w:t> </w:t>
      </w:r>
      <w:r>
        <w:rPr>
          <w:i/>
          <w:sz w:val="24"/>
        </w:rPr>
        <w:t>(not</w:t>
      </w:r>
      <w:r>
        <w:rPr>
          <w:i/>
          <w:spacing w:val="-2"/>
          <w:sz w:val="24"/>
        </w:rPr>
        <w:t> </w:t>
      </w:r>
      <w:r>
        <w:rPr>
          <w:i/>
          <w:sz w:val="24"/>
        </w:rPr>
        <w:t>including</w:t>
      </w:r>
      <w:r>
        <w:rPr>
          <w:i/>
          <w:spacing w:val="-2"/>
          <w:sz w:val="24"/>
        </w:rPr>
        <w:t> </w:t>
      </w:r>
      <w:r>
        <w:rPr>
          <w:i/>
          <w:sz w:val="24"/>
        </w:rPr>
        <w:t>the entrance</w:t>
      </w:r>
      <w:r>
        <w:rPr>
          <w:i/>
          <w:spacing w:val="-2"/>
          <w:sz w:val="24"/>
        </w:rPr>
        <w:t> </w:t>
      </w:r>
      <w:r>
        <w:rPr>
          <w:i/>
          <w:sz w:val="24"/>
        </w:rPr>
        <w:t>storey)</w:t>
      </w:r>
      <w:r>
        <w:rPr>
          <w:i/>
          <w:spacing w:val="-2"/>
          <w:sz w:val="24"/>
        </w:rPr>
        <w:t> </w:t>
      </w:r>
      <w:r>
        <w:rPr>
          <w:i/>
          <w:sz w:val="24"/>
        </w:rPr>
        <w:t>in</w:t>
      </w:r>
      <w:r>
        <w:rPr>
          <w:i/>
          <w:sz w:val="24"/>
        </w:rPr>
        <w:t> buildings of 3 storeys or less, which have a floor area for each storey excluding the entrance storey of not more than 200m2.</w:t>
      </w:r>
      <w:r>
        <w:rPr>
          <w:i/>
          <w:spacing w:val="40"/>
          <w:sz w:val="24"/>
        </w:rPr>
        <w:t> </w:t>
      </w:r>
      <w:r>
        <w:rPr>
          <w:i/>
          <w:sz w:val="24"/>
        </w:rPr>
        <w:t>This concession exempts parts of 'small buildings' from the Access Code requirements. See also Appendix D.</w:t>
      </w:r>
    </w:p>
    <w:p>
      <w:pPr>
        <w:pStyle w:val="BodyText"/>
        <w:rPr>
          <w:i/>
          <w:sz w:val="26"/>
        </w:rPr>
      </w:pPr>
    </w:p>
    <w:p>
      <w:pPr>
        <w:pStyle w:val="Heading3"/>
        <w:numPr>
          <w:ilvl w:val="2"/>
          <w:numId w:val="10"/>
        </w:numPr>
        <w:tabs>
          <w:tab w:pos="959" w:val="left" w:leader="none"/>
        </w:tabs>
        <w:spacing w:line="297" w:lineRule="exact" w:before="219" w:after="0"/>
        <w:ind w:left="958" w:right="0" w:hanging="722"/>
        <w:jc w:val="both"/>
      </w:pPr>
      <w:bookmarkStart w:name="5.2.5 Threshold ramps" w:id="27"/>
      <w:bookmarkEnd w:id="27"/>
      <w:r>
        <w:rPr/>
        <w:t>Th</w:t>
      </w:r>
      <w:r>
        <w:rPr/>
        <w:t>reshold</w:t>
      </w:r>
      <w:r>
        <w:rPr>
          <w:spacing w:val="-5"/>
        </w:rPr>
        <w:t> </w:t>
      </w:r>
      <w:r>
        <w:rPr>
          <w:spacing w:val="-2"/>
        </w:rPr>
        <w:t>ramps</w:t>
      </w:r>
    </w:p>
    <w:p>
      <w:pPr>
        <w:pStyle w:val="BodyText"/>
        <w:ind w:left="237" w:right="294"/>
        <w:jc w:val="both"/>
      </w:pPr>
      <w:r>
        <w:rPr/>
        <w:t>No restrictions will be placed on the use and location of threshold ramps, beyond those already contained in the current BCA and AS</w:t>
      </w:r>
      <w:r>
        <w:rPr>
          <w:spacing w:val="-2"/>
        </w:rPr>
        <w:t> </w:t>
      </w:r>
      <w:r>
        <w:rPr/>
        <w:t>1428.1 provisions for the construction of threshold ramps.</w:t>
      </w:r>
      <w:r>
        <w:rPr>
          <w:spacing w:val="40"/>
        </w:rPr>
        <w:t> </w:t>
      </w:r>
      <w:r>
        <w:rPr/>
        <w:t>However, maximum height and gradient have been reduced.</w:t>
      </w:r>
    </w:p>
    <w:p>
      <w:pPr>
        <w:pStyle w:val="BodyText"/>
        <w:spacing w:before="11"/>
        <w:rPr>
          <w:sz w:val="23"/>
        </w:rPr>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after="0"/>
        <w:sectPr>
          <w:pgSz w:w="12240" w:h="15840"/>
          <w:pgMar w:header="0" w:footer="1140" w:top="1360" w:bottom="1340" w:left="1560" w:right="1500"/>
        </w:sectPr>
      </w:pPr>
    </w:p>
    <w:p>
      <w:pPr>
        <w:spacing w:before="78"/>
        <w:ind w:left="237" w:right="296" w:firstLine="0"/>
        <w:jc w:val="both"/>
        <w:rPr>
          <w:i/>
          <w:sz w:val="24"/>
        </w:rPr>
      </w:pPr>
      <w:r>
        <w:rPr>
          <w:i/>
          <w:sz w:val="24"/>
        </w:rPr>
        <w:t>The original proposal included two options for consideration during the public</w:t>
      </w:r>
      <w:r>
        <w:rPr>
          <w:i/>
          <w:sz w:val="24"/>
        </w:rPr>
        <w:t> consultation period. These options were:</w:t>
      </w:r>
    </w:p>
    <w:p>
      <w:pPr>
        <w:spacing w:before="0"/>
        <w:ind w:left="1677" w:right="1004" w:hanging="1441"/>
        <w:jc w:val="both"/>
        <w:rPr>
          <w:i/>
          <w:sz w:val="24"/>
        </w:rPr>
      </w:pPr>
      <w:r>
        <w:rPr>
          <w:i/>
          <w:sz w:val="24"/>
        </w:rPr>
        <w:t>Option</w:t>
      </w:r>
      <w:r>
        <w:rPr>
          <w:i/>
          <w:spacing w:val="-2"/>
          <w:sz w:val="24"/>
        </w:rPr>
        <w:t> </w:t>
      </w:r>
      <w:r>
        <w:rPr>
          <w:i/>
          <w:sz w:val="24"/>
        </w:rPr>
        <w:t>1.</w:t>
      </w:r>
      <w:r>
        <w:rPr>
          <w:i/>
          <w:spacing w:val="80"/>
          <w:sz w:val="24"/>
        </w:rPr>
        <w:t>  </w:t>
      </w:r>
      <w:r>
        <w:rPr>
          <w:i/>
          <w:sz w:val="24"/>
        </w:rPr>
        <w:t>That</w:t>
      </w:r>
      <w:r>
        <w:rPr>
          <w:i/>
          <w:spacing w:val="-2"/>
          <w:sz w:val="24"/>
        </w:rPr>
        <w:t> </w:t>
      </w:r>
      <w:r>
        <w:rPr>
          <w:i/>
          <w:sz w:val="24"/>
        </w:rPr>
        <w:t>threshold</w:t>
      </w:r>
      <w:r>
        <w:rPr>
          <w:i/>
          <w:spacing w:val="-2"/>
          <w:sz w:val="24"/>
        </w:rPr>
        <w:t> </w:t>
      </w:r>
      <w:r>
        <w:rPr>
          <w:i/>
          <w:sz w:val="24"/>
        </w:rPr>
        <w:t>ramps</w:t>
      </w:r>
      <w:r>
        <w:rPr>
          <w:i/>
          <w:spacing w:val="-2"/>
          <w:sz w:val="24"/>
        </w:rPr>
        <w:t> </w:t>
      </w:r>
      <w:r>
        <w:rPr>
          <w:i/>
          <w:sz w:val="24"/>
        </w:rPr>
        <w:t>not</w:t>
      </w:r>
      <w:r>
        <w:rPr>
          <w:i/>
          <w:spacing w:val="-3"/>
          <w:sz w:val="24"/>
        </w:rPr>
        <w:t> </w:t>
      </w:r>
      <w:r>
        <w:rPr>
          <w:i/>
          <w:sz w:val="24"/>
        </w:rPr>
        <w:t>be</w:t>
      </w:r>
      <w:r>
        <w:rPr>
          <w:i/>
          <w:spacing w:val="-2"/>
          <w:sz w:val="24"/>
        </w:rPr>
        <w:t> </w:t>
      </w:r>
      <w:r>
        <w:rPr>
          <w:i/>
          <w:sz w:val="24"/>
        </w:rPr>
        <w:t>permitted</w:t>
      </w:r>
      <w:r>
        <w:rPr>
          <w:i/>
          <w:spacing w:val="-2"/>
          <w:sz w:val="24"/>
        </w:rPr>
        <w:t> </w:t>
      </w:r>
      <w:r>
        <w:rPr>
          <w:i/>
          <w:sz w:val="24"/>
        </w:rPr>
        <w:t>as</w:t>
      </w:r>
      <w:r>
        <w:rPr>
          <w:i/>
          <w:spacing w:val="-2"/>
          <w:sz w:val="24"/>
        </w:rPr>
        <w:t> </w:t>
      </w:r>
      <w:r>
        <w:rPr>
          <w:i/>
          <w:sz w:val="24"/>
        </w:rPr>
        <w:t>a</w:t>
      </w:r>
      <w:r>
        <w:rPr>
          <w:i/>
          <w:spacing w:val="-2"/>
          <w:sz w:val="24"/>
        </w:rPr>
        <w:t> </w:t>
      </w:r>
      <w:r>
        <w:rPr>
          <w:i/>
          <w:sz w:val="24"/>
        </w:rPr>
        <w:t>means</w:t>
      </w:r>
      <w:r>
        <w:rPr>
          <w:i/>
          <w:spacing w:val="-2"/>
          <w:sz w:val="24"/>
        </w:rPr>
        <w:t> </w:t>
      </w:r>
      <w:r>
        <w:rPr>
          <w:i/>
          <w:sz w:val="24"/>
        </w:rPr>
        <w:t>to</w:t>
      </w:r>
      <w:r>
        <w:rPr>
          <w:i/>
          <w:spacing w:val="-2"/>
          <w:sz w:val="24"/>
        </w:rPr>
        <w:t> </w:t>
      </w:r>
      <w:r>
        <w:rPr>
          <w:i/>
          <w:sz w:val="24"/>
        </w:rPr>
        <w:t>provide</w:t>
      </w:r>
      <w:r>
        <w:rPr>
          <w:i/>
          <w:sz w:val="24"/>
        </w:rPr>
        <w:t> </w:t>
      </w:r>
      <w:r>
        <w:rPr>
          <w:i/>
          <w:spacing w:val="-2"/>
          <w:sz w:val="24"/>
        </w:rPr>
        <w:t>access.</w:t>
      </w:r>
    </w:p>
    <w:p>
      <w:pPr>
        <w:spacing w:before="120"/>
        <w:ind w:left="1677" w:right="1151" w:hanging="1441"/>
        <w:jc w:val="both"/>
        <w:rPr>
          <w:i/>
          <w:sz w:val="24"/>
        </w:rPr>
      </w:pPr>
      <w:r>
        <w:rPr>
          <w:i/>
          <w:sz w:val="24"/>
        </w:rPr>
        <w:t>Option 2.</w:t>
      </w:r>
      <w:r>
        <w:rPr>
          <w:i/>
          <w:spacing w:val="80"/>
          <w:sz w:val="24"/>
        </w:rPr>
        <w:t>  </w:t>
      </w:r>
      <w:r>
        <w:rPr>
          <w:i/>
          <w:sz w:val="24"/>
        </w:rPr>
        <w:t>That threshold ramps only be allowed at external entrances</w:t>
      </w:r>
      <w:r>
        <w:rPr>
          <w:i/>
          <w:sz w:val="24"/>
        </w:rPr>
        <w:t> with</w:t>
      </w:r>
      <w:r>
        <w:rPr>
          <w:i/>
          <w:spacing w:val="-6"/>
          <w:sz w:val="24"/>
        </w:rPr>
        <w:t> </w:t>
      </w:r>
      <w:r>
        <w:rPr>
          <w:i/>
          <w:sz w:val="24"/>
        </w:rPr>
        <w:t>dimensions</w:t>
      </w:r>
      <w:r>
        <w:rPr>
          <w:i/>
          <w:spacing w:val="-6"/>
          <w:sz w:val="24"/>
        </w:rPr>
        <w:t> </w:t>
      </w:r>
      <w:r>
        <w:rPr>
          <w:i/>
          <w:sz w:val="24"/>
        </w:rPr>
        <w:t>and</w:t>
      </w:r>
      <w:r>
        <w:rPr>
          <w:i/>
          <w:spacing w:val="-6"/>
          <w:sz w:val="24"/>
        </w:rPr>
        <w:t> </w:t>
      </w:r>
      <w:r>
        <w:rPr>
          <w:i/>
          <w:sz w:val="24"/>
        </w:rPr>
        <w:t>gradients</w:t>
      </w:r>
      <w:r>
        <w:rPr>
          <w:i/>
          <w:spacing w:val="-6"/>
          <w:sz w:val="24"/>
        </w:rPr>
        <w:t> </w:t>
      </w:r>
      <w:r>
        <w:rPr>
          <w:i/>
          <w:sz w:val="24"/>
        </w:rPr>
        <w:t>reduced</w:t>
      </w:r>
      <w:r>
        <w:rPr>
          <w:i/>
          <w:spacing w:val="-6"/>
          <w:sz w:val="24"/>
        </w:rPr>
        <w:t> </w:t>
      </w:r>
      <w:r>
        <w:rPr>
          <w:i/>
          <w:sz w:val="24"/>
        </w:rPr>
        <w:t>from</w:t>
      </w:r>
      <w:r>
        <w:rPr>
          <w:i/>
          <w:spacing w:val="-6"/>
          <w:sz w:val="24"/>
        </w:rPr>
        <w:t> </w:t>
      </w:r>
      <w:r>
        <w:rPr>
          <w:i/>
          <w:sz w:val="24"/>
        </w:rPr>
        <w:t>those</w:t>
      </w:r>
      <w:r>
        <w:rPr>
          <w:i/>
          <w:spacing w:val="-6"/>
          <w:sz w:val="24"/>
        </w:rPr>
        <w:t> </w:t>
      </w:r>
      <w:r>
        <w:rPr>
          <w:i/>
          <w:sz w:val="24"/>
        </w:rPr>
        <w:t>currently </w:t>
      </w:r>
      <w:r>
        <w:rPr>
          <w:i/>
          <w:spacing w:val="-2"/>
          <w:sz w:val="24"/>
        </w:rPr>
        <w:t>allowed.</w:t>
      </w:r>
    </w:p>
    <w:p>
      <w:pPr>
        <w:pStyle w:val="BodyText"/>
        <w:rPr>
          <w:i/>
          <w:sz w:val="26"/>
        </w:rPr>
      </w:pPr>
    </w:p>
    <w:p>
      <w:pPr>
        <w:pStyle w:val="BodyText"/>
        <w:spacing w:before="5"/>
        <w:rPr>
          <w:i/>
          <w:sz w:val="29"/>
        </w:rPr>
      </w:pPr>
    </w:p>
    <w:p>
      <w:pPr>
        <w:pStyle w:val="Heading3"/>
        <w:numPr>
          <w:ilvl w:val="2"/>
          <w:numId w:val="10"/>
        </w:numPr>
        <w:tabs>
          <w:tab w:pos="957" w:val="left" w:leader="none"/>
        </w:tabs>
        <w:spacing w:line="297" w:lineRule="exact" w:before="0" w:after="0"/>
        <w:ind w:left="957" w:right="0" w:hanging="720"/>
        <w:jc w:val="both"/>
      </w:pPr>
      <w:bookmarkStart w:name="5.2.6 Number of accessible entrances" w:id="28"/>
      <w:bookmarkEnd w:id="28"/>
      <w:r>
        <w:rPr/>
        <w:t>Numbe</w:t>
      </w:r>
      <w:r>
        <w:rPr/>
        <w:t>r</w:t>
      </w:r>
      <w:r>
        <w:rPr>
          <w:spacing w:val="-6"/>
        </w:rPr>
        <w:t> </w:t>
      </w:r>
      <w:r>
        <w:rPr/>
        <w:t>of</w:t>
      </w:r>
      <w:r>
        <w:rPr>
          <w:spacing w:val="-6"/>
        </w:rPr>
        <w:t> </w:t>
      </w:r>
      <w:r>
        <w:rPr/>
        <w:t>accessible</w:t>
      </w:r>
      <w:r>
        <w:rPr>
          <w:spacing w:val="-5"/>
        </w:rPr>
        <w:t> </w:t>
      </w:r>
      <w:r>
        <w:rPr>
          <w:spacing w:val="-2"/>
        </w:rPr>
        <w:t>entrances</w:t>
      </w:r>
    </w:p>
    <w:p>
      <w:pPr>
        <w:pStyle w:val="BodyText"/>
        <w:ind w:left="237" w:right="294"/>
        <w:jc w:val="both"/>
      </w:pPr>
      <w:r>
        <w:rPr/>
        <w:t>Access is to be provided to 50% of entrances including the principal pedestrian entrance, and where a building has a floor area greater than 500m</w:t>
      </w:r>
      <w:r>
        <w:rPr>
          <w:vertAlign w:val="superscript"/>
        </w:rPr>
        <w:t>2</w:t>
      </w:r>
      <w:r>
        <w:rPr>
          <w:vertAlign w:val="baseline"/>
        </w:rPr>
        <w:t> a pedestrian entrance that is not accessible must not be located more than 50 metres from an accessible entrance.</w:t>
      </w:r>
      <w:r>
        <w:rPr>
          <w:spacing w:val="80"/>
          <w:vertAlign w:val="baseline"/>
        </w:rPr>
        <w:t> </w:t>
      </w:r>
      <w:r>
        <w:rPr>
          <w:vertAlign w:val="baseline"/>
        </w:rPr>
        <w:t>By contrast, existing BCA requirements are limited to providing access through the principal pedestrian entrance.</w:t>
      </w:r>
    </w:p>
    <w:p>
      <w:pPr>
        <w:pStyle w:val="BodyText"/>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295" w:firstLine="0"/>
        <w:jc w:val="both"/>
        <w:rPr>
          <w:i/>
          <w:sz w:val="24"/>
        </w:rPr>
      </w:pPr>
      <w:r>
        <w:rPr>
          <w:i/>
          <w:sz w:val="24"/>
        </w:rPr>
        <w:t>The original proposal required access to be provided to and within all entrances</w:t>
      </w:r>
      <w:r>
        <w:rPr>
          <w:i/>
          <w:sz w:val="24"/>
        </w:rPr>
        <w:t> other than those entrances serving areas not required to be accessible.</w:t>
      </w:r>
      <w:r>
        <w:rPr>
          <w:i/>
          <w:spacing w:val="40"/>
          <w:sz w:val="24"/>
        </w:rPr>
        <w:t> </w:t>
      </w:r>
      <w:r>
        <w:rPr>
          <w:i/>
          <w:sz w:val="24"/>
        </w:rPr>
        <w:t>In buildings with small floor areas (i.e. &lt;500m2)</w:t>
      </w:r>
      <w:r>
        <w:rPr>
          <w:i/>
          <w:sz w:val="24"/>
        </w:rPr>
        <w:t> a</w:t>
      </w:r>
      <w:r>
        <w:rPr>
          <w:i/>
          <w:sz w:val="24"/>
        </w:rPr>
        <w:t> concession</w:t>
      </w:r>
      <w:r>
        <w:rPr>
          <w:i/>
          <w:sz w:val="24"/>
        </w:rPr>
        <w:t> for</w:t>
      </w:r>
      <w:r>
        <w:rPr>
          <w:i/>
          <w:sz w:val="24"/>
        </w:rPr>
        <w:t> only</w:t>
      </w:r>
      <w:r>
        <w:rPr>
          <w:i/>
          <w:sz w:val="24"/>
        </w:rPr>
        <w:t> 50% of entrances to be accessible was included.</w:t>
      </w:r>
    </w:p>
    <w:p>
      <w:pPr>
        <w:pStyle w:val="BodyText"/>
        <w:rPr>
          <w:i/>
          <w:sz w:val="26"/>
        </w:rPr>
      </w:pPr>
    </w:p>
    <w:p>
      <w:pPr>
        <w:pStyle w:val="Heading3"/>
        <w:numPr>
          <w:ilvl w:val="2"/>
          <w:numId w:val="10"/>
        </w:numPr>
        <w:tabs>
          <w:tab w:pos="957" w:val="left" w:leader="none"/>
        </w:tabs>
        <w:spacing w:line="297" w:lineRule="exact" w:before="219" w:after="0"/>
        <w:ind w:left="956" w:right="0" w:hanging="720"/>
        <w:jc w:val="both"/>
      </w:pPr>
      <w:bookmarkStart w:name="5.2.7 Passing and Turning spaces" w:id="29"/>
      <w:bookmarkEnd w:id="29"/>
      <w:r>
        <w:rPr/>
        <w:t>Passin</w:t>
      </w:r>
      <w:r>
        <w:rPr/>
        <w:t>g</w:t>
      </w:r>
      <w:r>
        <w:rPr>
          <w:spacing w:val="-4"/>
        </w:rPr>
        <w:t> </w:t>
      </w:r>
      <w:r>
        <w:rPr/>
        <w:t>and</w:t>
      </w:r>
      <w:r>
        <w:rPr>
          <w:spacing w:val="-4"/>
        </w:rPr>
        <w:t> </w:t>
      </w:r>
      <w:r>
        <w:rPr/>
        <w:t>Turning</w:t>
      </w:r>
      <w:r>
        <w:rPr>
          <w:spacing w:val="-3"/>
        </w:rPr>
        <w:t> </w:t>
      </w:r>
      <w:r>
        <w:rPr>
          <w:spacing w:val="-2"/>
        </w:rPr>
        <w:t>spaces</w:t>
      </w:r>
    </w:p>
    <w:p>
      <w:pPr>
        <w:pStyle w:val="BodyText"/>
        <w:ind w:left="237" w:right="292"/>
        <w:jc w:val="both"/>
      </w:pPr>
      <w:r>
        <w:rPr/>
        <w:t>Passing spaces must be provided at 20 metre intervals on parts of an accessway where there is no direct line of sight. Turning spaces must be provided within 2m of the end of accessways where it is not possible to continue travelling along the accessway, and at maximum 20 metre intervals along the accessway. Passing and turning spaces must comply with AS 1428.1 and a passing space may serve as a turning space.</w:t>
      </w:r>
      <w:r>
        <w:rPr>
          <w:spacing w:val="40"/>
        </w:rPr>
        <w:t> </w:t>
      </w:r>
      <w:r>
        <w:rPr/>
        <w:t>The BCA currently does not include any provisions with respect to passing and turning spaces.</w:t>
      </w:r>
    </w:p>
    <w:p>
      <w:pPr>
        <w:pStyle w:val="BodyText"/>
        <w:spacing w:before="11"/>
        <w:rPr>
          <w:sz w:val="23"/>
        </w:rPr>
      </w:pPr>
    </w:p>
    <w:p>
      <w:pPr>
        <w:pStyle w:val="Heading5"/>
        <w:jc w:val="left"/>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0" w:firstLine="0"/>
        <w:jc w:val="left"/>
        <w:rPr>
          <w:i/>
          <w:sz w:val="24"/>
        </w:rPr>
      </w:pPr>
      <w:r>
        <w:rPr>
          <w:i/>
          <w:sz w:val="24"/>
        </w:rPr>
        <w:t>The</w:t>
      </w:r>
      <w:r>
        <w:rPr>
          <w:i/>
          <w:spacing w:val="40"/>
          <w:sz w:val="24"/>
        </w:rPr>
        <w:t> </w:t>
      </w:r>
      <w:r>
        <w:rPr>
          <w:i/>
          <w:sz w:val="24"/>
        </w:rPr>
        <w:t>original</w:t>
      </w:r>
      <w:r>
        <w:rPr>
          <w:i/>
          <w:spacing w:val="40"/>
          <w:sz w:val="24"/>
        </w:rPr>
        <w:t> </w:t>
      </w:r>
      <w:r>
        <w:rPr>
          <w:i/>
          <w:sz w:val="24"/>
        </w:rPr>
        <w:t>proposal</w:t>
      </w:r>
      <w:r>
        <w:rPr>
          <w:i/>
          <w:spacing w:val="40"/>
          <w:sz w:val="24"/>
        </w:rPr>
        <w:t> </w:t>
      </w:r>
      <w:r>
        <w:rPr>
          <w:i/>
          <w:sz w:val="24"/>
        </w:rPr>
        <w:t>included</w:t>
      </w:r>
      <w:r>
        <w:rPr>
          <w:i/>
          <w:spacing w:val="40"/>
          <w:sz w:val="24"/>
        </w:rPr>
        <w:t> </w:t>
      </w:r>
      <w:r>
        <w:rPr>
          <w:i/>
          <w:sz w:val="24"/>
        </w:rPr>
        <w:t>two</w:t>
      </w:r>
      <w:r>
        <w:rPr>
          <w:i/>
          <w:spacing w:val="40"/>
          <w:sz w:val="24"/>
        </w:rPr>
        <w:t> </w:t>
      </w:r>
      <w:r>
        <w:rPr>
          <w:i/>
          <w:sz w:val="24"/>
        </w:rPr>
        <w:t>options</w:t>
      </w:r>
      <w:r>
        <w:rPr>
          <w:i/>
          <w:spacing w:val="40"/>
          <w:sz w:val="24"/>
        </w:rPr>
        <w:t> </w:t>
      </w:r>
      <w:r>
        <w:rPr>
          <w:i/>
          <w:sz w:val="24"/>
        </w:rPr>
        <w:t>for</w:t>
      </w:r>
      <w:r>
        <w:rPr>
          <w:i/>
          <w:spacing w:val="40"/>
          <w:sz w:val="24"/>
        </w:rPr>
        <w:t> </w:t>
      </w:r>
      <w:r>
        <w:rPr>
          <w:i/>
          <w:sz w:val="24"/>
        </w:rPr>
        <w:t>consideration</w:t>
      </w:r>
      <w:r>
        <w:rPr>
          <w:i/>
          <w:spacing w:val="40"/>
          <w:sz w:val="24"/>
        </w:rPr>
        <w:t> </w:t>
      </w:r>
      <w:r>
        <w:rPr>
          <w:i/>
          <w:sz w:val="24"/>
        </w:rPr>
        <w:t>during</w:t>
      </w:r>
      <w:r>
        <w:rPr>
          <w:i/>
          <w:spacing w:val="40"/>
          <w:sz w:val="24"/>
        </w:rPr>
        <w:t> </w:t>
      </w:r>
      <w:r>
        <w:rPr>
          <w:i/>
          <w:sz w:val="24"/>
        </w:rPr>
        <w:t>the</w:t>
      </w:r>
      <w:r>
        <w:rPr>
          <w:i/>
          <w:spacing w:val="40"/>
          <w:sz w:val="24"/>
        </w:rPr>
        <w:t> </w:t>
      </w:r>
      <w:r>
        <w:rPr>
          <w:i/>
          <w:sz w:val="24"/>
        </w:rPr>
        <w:t>public</w:t>
      </w:r>
      <w:r>
        <w:rPr>
          <w:i/>
          <w:sz w:val="24"/>
        </w:rPr>
        <w:t> consultation period. These options were:</w:t>
      </w:r>
    </w:p>
    <w:p>
      <w:pPr>
        <w:tabs>
          <w:tab w:pos="1676" w:val="left" w:leader="none"/>
        </w:tabs>
        <w:spacing w:line="343" w:lineRule="auto" w:before="120"/>
        <w:ind w:left="297" w:right="774" w:firstLine="0"/>
        <w:jc w:val="left"/>
        <w:rPr>
          <w:i/>
          <w:sz w:val="24"/>
        </w:rPr>
      </w:pPr>
      <w:r>
        <w:rPr>
          <w:i/>
          <w:sz w:val="24"/>
        </w:rPr>
        <w:t>Option 1.</w:t>
        <w:tab/>
        <w:t>That a passing and turning space be provided every 9 metres.</w:t>
      </w:r>
      <w:r>
        <w:rPr>
          <w:i/>
          <w:sz w:val="24"/>
        </w:rPr>
        <w:t> Option 2.</w:t>
        <w:tab/>
      </w:r>
      <w:r>
        <w:rPr>
          <w:i/>
          <w:spacing w:val="-67"/>
          <w:sz w:val="24"/>
        </w:rPr>
        <w:t> </w:t>
      </w:r>
      <w:r>
        <w:rPr>
          <w:i/>
          <w:sz w:val="24"/>
        </w:rPr>
        <w:t>That</w:t>
      </w:r>
      <w:r>
        <w:rPr>
          <w:i/>
          <w:spacing w:val="-3"/>
          <w:sz w:val="24"/>
        </w:rPr>
        <w:t> </w:t>
      </w:r>
      <w:r>
        <w:rPr>
          <w:i/>
          <w:sz w:val="24"/>
        </w:rPr>
        <w:t>a</w:t>
      </w:r>
      <w:r>
        <w:rPr>
          <w:i/>
          <w:spacing w:val="-4"/>
          <w:sz w:val="24"/>
        </w:rPr>
        <w:t> </w:t>
      </w:r>
      <w:r>
        <w:rPr>
          <w:i/>
          <w:sz w:val="24"/>
        </w:rPr>
        <w:t>passing</w:t>
      </w:r>
      <w:r>
        <w:rPr>
          <w:i/>
          <w:spacing w:val="-4"/>
          <w:sz w:val="24"/>
        </w:rPr>
        <w:t> </w:t>
      </w:r>
      <w:r>
        <w:rPr>
          <w:i/>
          <w:sz w:val="24"/>
        </w:rPr>
        <w:t>and</w:t>
      </w:r>
      <w:r>
        <w:rPr>
          <w:i/>
          <w:spacing w:val="-4"/>
          <w:sz w:val="24"/>
        </w:rPr>
        <w:t> </w:t>
      </w:r>
      <w:r>
        <w:rPr>
          <w:i/>
          <w:sz w:val="24"/>
        </w:rPr>
        <w:t>turning</w:t>
      </w:r>
      <w:r>
        <w:rPr>
          <w:i/>
          <w:spacing w:val="-4"/>
          <w:sz w:val="24"/>
        </w:rPr>
        <w:t> </w:t>
      </w:r>
      <w:r>
        <w:rPr>
          <w:i/>
          <w:sz w:val="24"/>
        </w:rPr>
        <w:t>space</w:t>
      </w:r>
      <w:r>
        <w:rPr>
          <w:i/>
          <w:spacing w:val="-4"/>
          <w:sz w:val="24"/>
        </w:rPr>
        <w:t> </w:t>
      </w:r>
      <w:r>
        <w:rPr>
          <w:i/>
          <w:sz w:val="24"/>
        </w:rPr>
        <w:t>be</w:t>
      </w:r>
      <w:r>
        <w:rPr>
          <w:i/>
          <w:spacing w:val="-4"/>
          <w:sz w:val="24"/>
        </w:rPr>
        <w:t> </w:t>
      </w:r>
      <w:r>
        <w:rPr>
          <w:i/>
          <w:sz w:val="24"/>
        </w:rPr>
        <w:t>provided</w:t>
      </w:r>
      <w:r>
        <w:rPr>
          <w:i/>
          <w:spacing w:val="-4"/>
          <w:sz w:val="24"/>
        </w:rPr>
        <w:t> </w:t>
      </w:r>
      <w:r>
        <w:rPr>
          <w:i/>
          <w:sz w:val="24"/>
        </w:rPr>
        <w:t>every</w:t>
      </w:r>
      <w:r>
        <w:rPr>
          <w:i/>
          <w:spacing w:val="-4"/>
          <w:sz w:val="24"/>
        </w:rPr>
        <w:t> </w:t>
      </w:r>
      <w:r>
        <w:rPr>
          <w:i/>
          <w:sz w:val="24"/>
        </w:rPr>
        <w:t>20</w:t>
      </w:r>
      <w:r>
        <w:rPr>
          <w:i/>
          <w:spacing w:val="-4"/>
          <w:sz w:val="24"/>
        </w:rPr>
        <w:t> </w:t>
      </w:r>
      <w:r>
        <w:rPr>
          <w:i/>
          <w:sz w:val="24"/>
        </w:rPr>
        <w:t>metres.</w:t>
      </w:r>
    </w:p>
    <w:p>
      <w:pPr>
        <w:spacing w:before="3"/>
        <w:ind w:left="237" w:right="0" w:firstLine="0"/>
        <w:jc w:val="left"/>
        <w:rPr>
          <w:i/>
          <w:sz w:val="24"/>
        </w:rPr>
      </w:pPr>
      <w:r>
        <w:rPr>
          <w:i/>
          <w:sz w:val="24"/>
        </w:rPr>
        <w:t>The</w:t>
      </w:r>
      <w:r>
        <w:rPr>
          <w:i/>
          <w:spacing w:val="39"/>
          <w:sz w:val="24"/>
        </w:rPr>
        <w:t> </w:t>
      </w:r>
      <w:r>
        <w:rPr>
          <w:i/>
          <w:sz w:val="24"/>
        </w:rPr>
        <w:t>option</w:t>
      </w:r>
      <w:r>
        <w:rPr>
          <w:i/>
          <w:spacing w:val="39"/>
          <w:sz w:val="24"/>
        </w:rPr>
        <w:t> </w:t>
      </w:r>
      <w:r>
        <w:rPr>
          <w:i/>
          <w:sz w:val="24"/>
        </w:rPr>
        <w:t>of</w:t>
      </w:r>
      <w:r>
        <w:rPr>
          <w:i/>
          <w:spacing w:val="39"/>
          <w:sz w:val="24"/>
        </w:rPr>
        <w:t> </w:t>
      </w:r>
      <w:r>
        <w:rPr>
          <w:i/>
          <w:sz w:val="24"/>
        </w:rPr>
        <w:t>20</w:t>
      </w:r>
      <w:r>
        <w:rPr>
          <w:i/>
          <w:spacing w:val="39"/>
          <w:sz w:val="24"/>
        </w:rPr>
        <w:t> </w:t>
      </w:r>
      <w:r>
        <w:rPr>
          <w:i/>
          <w:sz w:val="24"/>
        </w:rPr>
        <w:t>metre</w:t>
      </w:r>
      <w:r>
        <w:rPr>
          <w:i/>
          <w:spacing w:val="39"/>
          <w:sz w:val="24"/>
        </w:rPr>
        <w:t> </w:t>
      </w:r>
      <w:r>
        <w:rPr>
          <w:i/>
          <w:sz w:val="24"/>
        </w:rPr>
        <w:t>intervals</w:t>
      </w:r>
      <w:r>
        <w:rPr>
          <w:i/>
          <w:spacing w:val="39"/>
          <w:sz w:val="24"/>
        </w:rPr>
        <w:t> </w:t>
      </w:r>
      <w:r>
        <w:rPr>
          <w:i/>
          <w:sz w:val="24"/>
        </w:rPr>
        <w:t>has</w:t>
      </w:r>
      <w:r>
        <w:rPr>
          <w:i/>
          <w:spacing w:val="39"/>
          <w:sz w:val="24"/>
        </w:rPr>
        <w:t> </w:t>
      </w:r>
      <w:r>
        <w:rPr>
          <w:i/>
          <w:sz w:val="24"/>
        </w:rPr>
        <w:t>been</w:t>
      </w:r>
      <w:r>
        <w:rPr>
          <w:i/>
          <w:spacing w:val="40"/>
          <w:sz w:val="24"/>
        </w:rPr>
        <w:t> </w:t>
      </w:r>
      <w:r>
        <w:rPr>
          <w:i/>
          <w:sz w:val="24"/>
        </w:rPr>
        <w:t>adopted,</w:t>
      </w:r>
      <w:r>
        <w:rPr>
          <w:i/>
          <w:spacing w:val="39"/>
          <w:sz w:val="24"/>
        </w:rPr>
        <w:t> </w:t>
      </w:r>
      <w:r>
        <w:rPr>
          <w:i/>
          <w:sz w:val="24"/>
        </w:rPr>
        <w:t>but</w:t>
      </w:r>
      <w:r>
        <w:rPr>
          <w:i/>
          <w:spacing w:val="39"/>
          <w:sz w:val="24"/>
        </w:rPr>
        <w:t> </w:t>
      </w:r>
      <w:r>
        <w:rPr>
          <w:i/>
          <w:sz w:val="24"/>
        </w:rPr>
        <w:t>in</w:t>
      </w:r>
      <w:r>
        <w:rPr>
          <w:i/>
          <w:spacing w:val="39"/>
          <w:sz w:val="24"/>
        </w:rPr>
        <w:t> </w:t>
      </w:r>
      <w:r>
        <w:rPr>
          <w:i/>
          <w:sz w:val="24"/>
        </w:rPr>
        <w:t>respect</w:t>
      </w:r>
      <w:r>
        <w:rPr>
          <w:i/>
          <w:spacing w:val="39"/>
          <w:sz w:val="24"/>
        </w:rPr>
        <w:t> </w:t>
      </w:r>
      <w:r>
        <w:rPr>
          <w:i/>
          <w:sz w:val="24"/>
        </w:rPr>
        <w:t>of</w:t>
      </w:r>
      <w:r>
        <w:rPr>
          <w:i/>
          <w:spacing w:val="39"/>
          <w:sz w:val="24"/>
        </w:rPr>
        <w:t> </w:t>
      </w:r>
      <w:r>
        <w:rPr>
          <w:i/>
          <w:sz w:val="24"/>
        </w:rPr>
        <w:t>passing</w:t>
      </w:r>
      <w:r>
        <w:rPr>
          <w:i/>
          <w:sz w:val="24"/>
        </w:rPr>
        <w:t> spaces, only where a direct line of sight is not available.</w:t>
      </w:r>
    </w:p>
    <w:p>
      <w:pPr>
        <w:spacing w:after="0"/>
        <w:jc w:val="left"/>
        <w:rPr>
          <w:sz w:val="24"/>
        </w:rPr>
        <w:sectPr>
          <w:pgSz w:w="12240" w:h="15840"/>
          <w:pgMar w:header="0" w:footer="1140" w:top="1360" w:bottom="1340" w:left="1560" w:right="1500"/>
        </w:sectPr>
      </w:pPr>
    </w:p>
    <w:p>
      <w:pPr>
        <w:pStyle w:val="Heading3"/>
        <w:numPr>
          <w:ilvl w:val="2"/>
          <w:numId w:val="10"/>
        </w:numPr>
        <w:tabs>
          <w:tab w:pos="958" w:val="left" w:leader="none"/>
        </w:tabs>
        <w:spacing w:line="297" w:lineRule="exact" w:before="79" w:after="0"/>
        <w:ind w:left="957" w:right="0" w:hanging="721"/>
        <w:jc w:val="both"/>
      </w:pPr>
      <w:bookmarkStart w:name="5.2.8 Exemptions" w:id="30"/>
      <w:bookmarkEnd w:id="30"/>
      <w:r>
        <w:rPr>
          <w:spacing w:val="-2"/>
        </w:rPr>
        <w:t>Exe</w:t>
      </w:r>
      <w:r>
        <w:rPr>
          <w:spacing w:val="-2"/>
        </w:rPr>
        <w:t>mptions</w:t>
      </w:r>
    </w:p>
    <w:p>
      <w:pPr>
        <w:pStyle w:val="BodyText"/>
        <w:ind w:left="237" w:right="293"/>
        <w:jc w:val="both"/>
      </w:pPr>
      <w:r>
        <w:rPr/>
        <w:t>Clause D3.4, specifying exemptions, has the effect (vis-à-vis the current Clause D3.4. “concessions”) of specifying in detail, those areas to which provision of access would be “inappropriate because of the particular purpose for which the area is used”.</w:t>
      </w:r>
      <w:r>
        <w:rPr>
          <w:spacing w:val="77"/>
        </w:rPr>
        <w:t> </w:t>
      </w:r>
      <w:r>
        <w:rPr/>
        <w:t>It also effectively deletes the existing concession that only 30% of a restaurant, bar etc. is required to be accessible.</w:t>
      </w:r>
    </w:p>
    <w:p>
      <w:pPr>
        <w:pStyle w:val="BodyText"/>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0" w:firstLine="0"/>
        <w:jc w:val="both"/>
        <w:rPr>
          <w:i/>
          <w:sz w:val="24"/>
        </w:rPr>
      </w:pPr>
      <w:r>
        <w:rPr>
          <w:i/>
          <w:sz w:val="24"/>
        </w:rPr>
        <w:t>Refer</w:t>
      </w:r>
      <w:r>
        <w:rPr>
          <w:i/>
          <w:spacing w:val="-12"/>
          <w:sz w:val="24"/>
        </w:rPr>
        <w:t> </w:t>
      </w:r>
      <w:r>
        <w:rPr>
          <w:i/>
          <w:sz w:val="24"/>
        </w:rPr>
        <w:t>earlier</w:t>
      </w:r>
      <w:r>
        <w:rPr>
          <w:i/>
          <w:spacing w:val="-12"/>
          <w:sz w:val="24"/>
        </w:rPr>
        <w:t> </w:t>
      </w:r>
      <w:r>
        <w:rPr>
          <w:i/>
          <w:sz w:val="24"/>
        </w:rPr>
        <w:t>discussion</w:t>
      </w:r>
      <w:r>
        <w:rPr>
          <w:i/>
          <w:spacing w:val="-11"/>
          <w:sz w:val="24"/>
        </w:rPr>
        <w:t> </w:t>
      </w:r>
      <w:r>
        <w:rPr>
          <w:i/>
          <w:sz w:val="24"/>
        </w:rPr>
        <w:t>regarding</w:t>
      </w:r>
      <w:r>
        <w:rPr>
          <w:i/>
          <w:spacing w:val="-12"/>
          <w:sz w:val="24"/>
        </w:rPr>
        <w:t> </w:t>
      </w:r>
      <w:r>
        <w:rPr>
          <w:i/>
          <w:sz w:val="24"/>
        </w:rPr>
        <w:t>exemptions</w:t>
      </w:r>
      <w:r>
        <w:rPr>
          <w:i/>
          <w:spacing w:val="-11"/>
          <w:sz w:val="24"/>
        </w:rPr>
        <w:t> </w:t>
      </w:r>
      <w:r>
        <w:rPr>
          <w:i/>
          <w:sz w:val="24"/>
        </w:rPr>
        <w:t>for</w:t>
      </w:r>
      <w:r>
        <w:rPr>
          <w:i/>
          <w:spacing w:val="-12"/>
          <w:sz w:val="24"/>
        </w:rPr>
        <w:t> </w:t>
      </w:r>
      <w:r>
        <w:rPr>
          <w:i/>
          <w:sz w:val="24"/>
        </w:rPr>
        <w:t>access</w:t>
      </w:r>
      <w:r>
        <w:rPr>
          <w:i/>
          <w:spacing w:val="-11"/>
          <w:sz w:val="24"/>
        </w:rPr>
        <w:t> </w:t>
      </w:r>
      <w:r>
        <w:rPr>
          <w:i/>
          <w:sz w:val="24"/>
        </w:rPr>
        <w:t>to</w:t>
      </w:r>
      <w:r>
        <w:rPr>
          <w:i/>
          <w:spacing w:val="-12"/>
          <w:sz w:val="24"/>
        </w:rPr>
        <w:t> </w:t>
      </w:r>
      <w:r>
        <w:rPr>
          <w:i/>
          <w:sz w:val="24"/>
        </w:rPr>
        <w:t>small</w:t>
      </w:r>
      <w:r>
        <w:rPr>
          <w:i/>
          <w:spacing w:val="-12"/>
          <w:sz w:val="24"/>
        </w:rPr>
        <w:t> </w:t>
      </w:r>
      <w:r>
        <w:rPr>
          <w:i/>
          <w:spacing w:val="-2"/>
          <w:sz w:val="24"/>
        </w:rPr>
        <w:t>buildings.</w:t>
      </w:r>
    </w:p>
    <w:p>
      <w:pPr>
        <w:pStyle w:val="BodyText"/>
        <w:rPr>
          <w:i/>
          <w:sz w:val="26"/>
        </w:rPr>
      </w:pPr>
    </w:p>
    <w:p>
      <w:pPr>
        <w:pStyle w:val="Heading3"/>
        <w:numPr>
          <w:ilvl w:val="2"/>
          <w:numId w:val="10"/>
        </w:numPr>
        <w:tabs>
          <w:tab w:pos="959" w:val="left" w:leader="none"/>
        </w:tabs>
        <w:spacing w:line="240" w:lineRule="auto" w:before="219" w:after="0"/>
        <w:ind w:left="958" w:right="0" w:hanging="722"/>
        <w:jc w:val="both"/>
      </w:pPr>
      <w:bookmarkStart w:name="5.2.9 Car parking" w:id="31"/>
      <w:bookmarkEnd w:id="31"/>
      <w:r>
        <w:rPr/>
        <w:t>Ca</w:t>
      </w:r>
      <w:r>
        <w:rPr/>
        <w:t>r</w:t>
      </w:r>
      <w:r>
        <w:rPr>
          <w:spacing w:val="-5"/>
        </w:rPr>
        <w:t> </w:t>
      </w:r>
      <w:r>
        <w:rPr>
          <w:spacing w:val="-2"/>
        </w:rPr>
        <w:t>parking</w:t>
      </w:r>
    </w:p>
    <w:p>
      <w:pPr>
        <w:pStyle w:val="BodyText"/>
        <w:spacing w:before="57"/>
        <w:ind w:left="237" w:right="296"/>
        <w:jc w:val="both"/>
      </w:pPr>
      <w:r>
        <w:rPr/>
        <w:t>The number of accessible car parking spaces to be provided in clinics and day surgeries will be doubled from current requirements.</w:t>
      </w:r>
    </w:p>
    <w:p>
      <w:pPr>
        <w:pStyle w:val="BodyText"/>
        <w:spacing w:before="1"/>
      </w:pPr>
    </w:p>
    <w:p>
      <w:pPr>
        <w:spacing w:before="0"/>
        <w:ind w:left="237" w:right="0" w:firstLine="0"/>
        <w:jc w:val="both"/>
        <w:rPr>
          <w:b/>
          <w:i/>
          <w:sz w:val="24"/>
        </w:rPr>
      </w:pPr>
      <w:r>
        <w:rPr>
          <w:b/>
          <w:i/>
          <w:sz w:val="24"/>
        </w:rPr>
        <w:t>No</w:t>
      </w:r>
      <w:r>
        <w:rPr>
          <w:b/>
          <w:i/>
          <w:spacing w:val="-5"/>
          <w:sz w:val="24"/>
        </w:rPr>
        <w:t> </w:t>
      </w:r>
      <w:r>
        <w:rPr>
          <w:b/>
          <w:i/>
          <w:sz w:val="24"/>
        </w:rPr>
        <w:t>Change</w:t>
      </w:r>
      <w:r>
        <w:rPr>
          <w:b/>
          <w:i/>
          <w:spacing w:val="-5"/>
          <w:sz w:val="24"/>
        </w:rPr>
        <w:t> </w:t>
      </w:r>
      <w:r>
        <w:rPr>
          <w:b/>
          <w:i/>
          <w:sz w:val="24"/>
        </w:rPr>
        <w:t>from</w:t>
      </w:r>
      <w:r>
        <w:rPr>
          <w:b/>
          <w:i/>
          <w:spacing w:val="-4"/>
          <w:sz w:val="24"/>
        </w:rPr>
        <w:t> </w:t>
      </w:r>
      <w:r>
        <w:rPr>
          <w:b/>
          <w:i/>
          <w:sz w:val="24"/>
        </w:rPr>
        <w:t>the</w:t>
      </w:r>
      <w:r>
        <w:rPr>
          <w:b/>
          <w:i/>
          <w:spacing w:val="-5"/>
          <w:sz w:val="24"/>
        </w:rPr>
        <w:t> </w:t>
      </w:r>
      <w:r>
        <w:rPr>
          <w:b/>
          <w:i/>
          <w:sz w:val="24"/>
        </w:rPr>
        <w:t>2004</w:t>
      </w:r>
      <w:r>
        <w:rPr>
          <w:b/>
          <w:i/>
          <w:spacing w:val="-4"/>
          <w:sz w:val="24"/>
        </w:rPr>
        <w:t> </w:t>
      </w:r>
      <w:r>
        <w:rPr>
          <w:b/>
          <w:i/>
          <w:sz w:val="24"/>
        </w:rPr>
        <w:t>draft</w:t>
      </w:r>
      <w:r>
        <w:rPr>
          <w:b/>
          <w:i/>
          <w:spacing w:val="-4"/>
          <w:sz w:val="24"/>
        </w:rPr>
        <w:t> </w:t>
      </w:r>
      <w:r>
        <w:rPr>
          <w:b/>
          <w:i/>
          <w:spacing w:val="-2"/>
          <w:sz w:val="24"/>
        </w:rPr>
        <w:t>proposal</w:t>
      </w:r>
    </w:p>
    <w:p>
      <w:pPr>
        <w:pStyle w:val="BodyText"/>
        <w:rPr>
          <w:b/>
          <w:i/>
          <w:sz w:val="26"/>
        </w:rPr>
      </w:pPr>
    </w:p>
    <w:p>
      <w:pPr>
        <w:pStyle w:val="Heading3"/>
        <w:numPr>
          <w:ilvl w:val="2"/>
          <w:numId w:val="10"/>
        </w:numPr>
        <w:tabs>
          <w:tab w:pos="1679" w:val="left" w:leader="none"/>
        </w:tabs>
        <w:spacing w:line="240" w:lineRule="auto" w:before="219" w:after="0"/>
        <w:ind w:left="1678" w:right="0" w:hanging="1442"/>
        <w:jc w:val="both"/>
      </w:pPr>
      <w:bookmarkStart w:name="5.2.10 Hearing Augmentation" w:id="32"/>
      <w:bookmarkEnd w:id="32"/>
      <w:r>
        <w:rPr/>
        <w:t>Hearin</w:t>
      </w:r>
      <w:r>
        <w:rPr/>
        <w:t>g</w:t>
      </w:r>
      <w:r>
        <w:rPr>
          <w:spacing w:val="-8"/>
        </w:rPr>
        <w:t> </w:t>
      </w:r>
      <w:r>
        <w:rPr>
          <w:spacing w:val="-2"/>
        </w:rPr>
        <w:t>Augmentation</w:t>
      </w:r>
    </w:p>
    <w:p>
      <w:pPr>
        <w:pStyle w:val="BodyText"/>
        <w:spacing w:before="57"/>
        <w:ind w:left="237" w:right="293"/>
        <w:jc w:val="both"/>
      </w:pPr>
      <w:r>
        <w:rPr/>
        <w:t>The requirements for hearing augmentation have been extended to cover more areas within buildings and the provisions are more prescriptive in terms of which forms of hearing augmentation may be used.</w:t>
      </w:r>
      <w:r>
        <w:rPr>
          <w:spacing w:val="80"/>
        </w:rPr>
        <w:t> </w:t>
      </w:r>
      <w:r>
        <w:rPr/>
        <w:t>Receivers, sufficient to cater for</w:t>
      </w:r>
      <w:r>
        <w:rPr>
          <w:spacing w:val="40"/>
        </w:rPr>
        <w:t> </w:t>
      </w:r>
      <w:r>
        <w:rPr/>
        <w:t>4% of the total number of occupants are required.</w:t>
      </w:r>
    </w:p>
    <w:p>
      <w:pPr>
        <w:pStyle w:val="BodyText"/>
        <w:spacing w:before="1"/>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295" w:firstLine="0"/>
        <w:jc w:val="both"/>
        <w:rPr>
          <w:i/>
          <w:sz w:val="24"/>
        </w:rPr>
      </w:pPr>
      <w:r>
        <w:rPr>
          <w:i/>
          <w:sz w:val="24"/>
        </w:rPr>
        <w:t>Under the original proposal, receivers were required for approximately 2% of the</w:t>
      </w:r>
      <w:r>
        <w:rPr>
          <w:i/>
          <w:sz w:val="24"/>
        </w:rPr>
        <w:t> total number of occupants.</w:t>
      </w:r>
      <w:r>
        <w:rPr>
          <w:i/>
          <w:spacing w:val="40"/>
          <w:sz w:val="24"/>
        </w:rPr>
        <w:t> </w:t>
      </w:r>
      <w:r>
        <w:rPr>
          <w:i/>
          <w:sz w:val="24"/>
        </w:rPr>
        <w:t>The increase to 4% aligns more closely with international Standards.</w:t>
      </w:r>
    </w:p>
    <w:p>
      <w:pPr>
        <w:pStyle w:val="BodyText"/>
        <w:rPr>
          <w:i/>
          <w:sz w:val="26"/>
        </w:rPr>
      </w:pPr>
    </w:p>
    <w:p>
      <w:pPr>
        <w:pStyle w:val="Heading3"/>
        <w:numPr>
          <w:ilvl w:val="2"/>
          <w:numId w:val="10"/>
        </w:numPr>
        <w:tabs>
          <w:tab w:pos="1678" w:val="left" w:leader="none"/>
        </w:tabs>
        <w:spacing w:line="240" w:lineRule="auto" w:before="219" w:after="0"/>
        <w:ind w:left="1677" w:right="0" w:hanging="1441"/>
        <w:jc w:val="both"/>
      </w:pPr>
      <w:bookmarkStart w:name="5.2.11 Wheelchair seating spaces in audi" w:id="33"/>
      <w:bookmarkEnd w:id="33"/>
      <w:r>
        <w:rPr/>
        <w:t>Wheelchai</w:t>
      </w:r>
      <w:r>
        <w:rPr/>
        <w:t>r</w:t>
      </w:r>
      <w:r>
        <w:rPr>
          <w:spacing w:val="-7"/>
        </w:rPr>
        <w:t> </w:t>
      </w:r>
      <w:r>
        <w:rPr/>
        <w:t>seating</w:t>
      </w:r>
      <w:r>
        <w:rPr>
          <w:spacing w:val="-6"/>
        </w:rPr>
        <w:t> </w:t>
      </w:r>
      <w:r>
        <w:rPr/>
        <w:t>spaces</w:t>
      </w:r>
      <w:r>
        <w:rPr>
          <w:spacing w:val="-6"/>
        </w:rPr>
        <w:t> </w:t>
      </w:r>
      <w:r>
        <w:rPr/>
        <w:t>in</w:t>
      </w:r>
      <w:r>
        <w:rPr>
          <w:spacing w:val="-6"/>
        </w:rPr>
        <w:t> </w:t>
      </w:r>
      <w:r>
        <w:rPr>
          <w:spacing w:val="-2"/>
        </w:rPr>
        <w:t>auditoria</w:t>
      </w:r>
    </w:p>
    <w:p>
      <w:pPr>
        <w:pStyle w:val="BodyText"/>
        <w:spacing w:before="57"/>
        <w:ind w:left="237" w:right="295"/>
        <w:jc w:val="both"/>
      </w:pPr>
      <w:r>
        <w:rPr/>
        <w:t>The number of accessible wheelchair spaces to be provided is to be increased. Minimum requirements for the grouping of wheelchairs are also to be provided. Current</w:t>
      </w:r>
      <w:r>
        <w:rPr/>
        <w:t> BCA</w:t>
      </w:r>
      <w:r>
        <w:rPr/>
        <w:t> provisions</w:t>
      </w:r>
      <w:r>
        <w:rPr/>
        <w:t> do</w:t>
      </w:r>
      <w:r>
        <w:rPr/>
        <w:t> not</w:t>
      </w:r>
      <w:r>
        <w:rPr/>
        <w:t> require</w:t>
      </w:r>
      <w:r>
        <w:rPr/>
        <w:t> grouped</w:t>
      </w:r>
      <w:r>
        <w:rPr/>
        <w:t> seating</w:t>
      </w:r>
      <w:r>
        <w:rPr/>
        <w:t> to</w:t>
      </w:r>
      <w:r>
        <w:rPr/>
        <w:t> be</w:t>
      </w:r>
      <w:r>
        <w:rPr/>
        <w:t> provided</w:t>
      </w:r>
      <w:r>
        <w:rPr/>
        <w:t> or wheelchair access to a range of locations within an auditorium.</w:t>
      </w:r>
    </w:p>
    <w:p>
      <w:pPr>
        <w:pStyle w:val="BodyText"/>
        <w:spacing w:before="1"/>
      </w:pPr>
    </w:p>
    <w:p>
      <w:pPr>
        <w:spacing w:before="0"/>
        <w:ind w:left="237" w:right="0" w:firstLine="0"/>
        <w:jc w:val="both"/>
        <w:rPr>
          <w:b/>
          <w:i/>
          <w:sz w:val="24"/>
        </w:rPr>
      </w:pPr>
      <w:r>
        <w:rPr>
          <w:b/>
          <w:i/>
          <w:sz w:val="24"/>
        </w:rPr>
        <w:t>No</w:t>
      </w:r>
      <w:r>
        <w:rPr>
          <w:b/>
          <w:i/>
          <w:spacing w:val="-5"/>
          <w:sz w:val="24"/>
        </w:rPr>
        <w:t> </w:t>
      </w:r>
      <w:r>
        <w:rPr>
          <w:b/>
          <w:i/>
          <w:sz w:val="24"/>
        </w:rPr>
        <w:t>Change</w:t>
      </w:r>
      <w:r>
        <w:rPr>
          <w:b/>
          <w:i/>
          <w:spacing w:val="-5"/>
          <w:sz w:val="24"/>
        </w:rPr>
        <w:t> </w:t>
      </w:r>
      <w:r>
        <w:rPr>
          <w:b/>
          <w:i/>
          <w:sz w:val="24"/>
        </w:rPr>
        <w:t>from</w:t>
      </w:r>
      <w:r>
        <w:rPr>
          <w:b/>
          <w:i/>
          <w:spacing w:val="-4"/>
          <w:sz w:val="24"/>
        </w:rPr>
        <w:t> </w:t>
      </w:r>
      <w:r>
        <w:rPr>
          <w:b/>
          <w:i/>
          <w:sz w:val="24"/>
        </w:rPr>
        <w:t>the</w:t>
      </w:r>
      <w:r>
        <w:rPr>
          <w:b/>
          <w:i/>
          <w:spacing w:val="-5"/>
          <w:sz w:val="24"/>
        </w:rPr>
        <w:t> </w:t>
      </w:r>
      <w:r>
        <w:rPr>
          <w:b/>
          <w:i/>
          <w:sz w:val="24"/>
        </w:rPr>
        <w:t>2004</w:t>
      </w:r>
      <w:r>
        <w:rPr>
          <w:b/>
          <w:i/>
          <w:spacing w:val="-4"/>
          <w:sz w:val="24"/>
        </w:rPr>
        <w:t> </w:t>
      </w:r>
      <w:r>
        <w:rPr>
          <w:b/>
          <w:i/>
          <w:sz w:val="24"/>
        </w:rPr>
        <w:t>draft</w:t>
      </w:r>
      <w:r>
        <w:rPr>
          <w:b/>
          <w:i/>
          <w:spacing w:val="-4"/>
          <w:sz w:val="24"/>
        </w:rPr>
        <w:t> </w:t>
      </w:r>
      <w:r>
        <w:rPr>
          <w:b/>
          <w:i/>
          <w:spacing w:val="-2"/>
          <w:sz w:val="24"/>
        </w:rPr>
        <w:t>proposal</w:t>
      </w:r>
    </w:p>
    <w:p>
      <w:pPr>
        <w:pStyle w:val="BodyText"/>
        <w:rPr>
          <w:b/>
          <w:i/>
          <w:sz w:val="26"/>
        </w:rPr>
      </w:pPr>
    </w:p>
    <w:p>
      <w:pPr>
        <w:pStyle w:val="Heading3"/>
        <w:numPr>
          <w:ilvl w:val="2"/>
          <w:numId w:val="10"/>
        </w:numPr>
        <w:tabs>
          <w:tab w:pos="1679" w:val="left" w:leader="none"/>
        </w:tabs>
        <w:spacing w:line="240" w:lineRule="auto" w:before="219" w:after="0"/>
        <w:ind w:left="1678" w:right="0" w:hanging="1442"/>
        <w:jc w:val="both"/>
      </w:pPr>
      <w:bookmarkStart w:name="5.2.12 Ramps" w:id="34"/>
      <w:bookmarkEnd w:id="34"/>
      <w:r>
        <w:rPr>
          <w:spacing w:val="-2"/>
        </w:rPr>
        <w:t>Ra</w:t>
      </w:r>
      <w:r>
        <w:rPr>
          <w:spacing w:val="-2"/>
        </w:rPr>
        <w:t>mps</w:t>
      </w:r>
    </w:p>
    <w:p>
      <w:pPr>
        <w:pStyle w:val="BodyText"/>
        <w:spacing w:before="57"/>
        <w:ind w:left="237" w:right="294"/>
        <w:jc w:val="both"/>
      </w:pPr>
      <w:r>
        <w:rPr/>
        <w:t>A height limitation (3.5 metres) will be introduced on the use of ramps for access to and into buildings.</w:t>
      </w:r>
      <w:r>
        <w:rPr>
          <w:spacing w:val="40"/>
        </w:rPr>
        <w:t> </w:t>
      </w:r>
      <w:r>
        <w:rPr/>
        <w:t>The minimum landing length of ramps will be 1200mm unless a change in direction is required.</w:t>
      </w:r>
    </w:p>
    <w:p>
      <w:pPr>
        <w:spacing w:after="0"/>
        <w:jc w:val="both"/>
        <w:sectPr>
          <w:footerReference w:type="default" r:id="rId9"/>
          <w:pgSz w:w="12240" w:h="15840"/>
          <w:pgMar w:footer="1600" w:header="0" w:top="1360" w:bottom="1800" w:left="1560" w:right="1500"/>
        </w:sectPr>
      </w:pPr>
    </w:p>
    <w:p>
      <w:pPr>
        <w:spacing w:before="78"/>
        <w:ind w:left="237" w:right="0" w:firstLine="0"/>
        <w:jc w:val="both"/>
        <w:rPr>
          <w:i/>
          <w:sz w:val="24"/>
        </w:rPr>
      </w:pPr>
      <w:r>
        <w:rPr>
          <w:i/>
          <w:sz w:val="24"/>
        </w:rPr>
        <w:t>The</w:t>
      </w:r>
      <w:r>
        <w:rPr>
          <w:i/>
          <w:spacing w:val="-7"/>
          <w:sz w:val="24"/>
        </w:rPr>
        <w:t> </w:t>
      </w:r>
      <w:r>
        <w:rPr>
          <w:i/>
          <w:sz w:val="24"/>
        </w:rPr>
        <w:t>original</w:t>
      </w:r>
      <w:r>
        <w:rPr>
          <w:i/>
          <w:spacing w:val="-4"/>
          <w:sz w:val="24"/>
        </w:rPr>
        <w:t> </w:t>
      </w:r>
      <w:r>
        <w:rPr>
          <w:i/>
          <w:sz w:val="24"/>
        </w:rPr>
        <w:t>proposal</w:t>
      </w:r>
      <w:r>
        <w:rPr>
          <w:i/>
          <w:spacing w:val="-4"/>
          <w:sz w:val="24"/>
        </w:rPr>
        <w:t> </w:t>
      </w:r>
      <w:r>
        <w:rPr>
          <w:i/>
          <w:sz w:val="24"/>
        </w:rPr>
        <w:t>would</w:t>
      </w:r>
      <w:r>
        <w:rPr>
          <w:i/>
          <w:spacing w:val="-5"/>
          <w:sz w:val="24"/>
        </w:rPr>
        <w:t> </w:t>
      </w:r>
      <w:r>
        <w:rPr>
          <w:i/>
          <w:sz w:val="24"/>
        </w:rPr>
        <w:t>have</w:t>
      </w:r>
      <w:r>
        <w:rPr>
          <w:i/>
          <w:spacing w:val="-4"/>
          <w:sz w:val="24"/>
        </w:rPr>
        <w:t> </w:t>
      </w:r>
      <w:r>
        <w:rPr>
          <w:i/>
          <w:sz w:val="24"/>
        </w:rPr>
        <w:t>increased</w:t>
      </w:r>
      <w:r>
        <w:rPr>
          <w:i/>
          <w:spacing w:val="-4"/>
          <w:sz w:val="24"/>
        </w:rPr>
        <w:t> </w:t>
      </w:r>
      <w:r>
        <w:rPr>
          <w:i/>
          <w:sz w:val="24"/>
        </w:rPr>
        <w:t>all</w:t>
      </w:r>
      <w:r>
        <w:rPr>
          <w:i/>
          <w:spacing w:val="-5"/>
          <w:sz w:val="24"/>
        </w:rPr>
        <w:t> </w:t>
      </w:r>
      <w:r>
        <w:rPr>
          <w:i/>
          <w:sz w:val="24"/>
        </w:rPr>
        <w:t>landing</w:t>
      </w:r>
      <w:r>
        <w:rPr>
          <w:i/>
          <w:spacing w:val="-4"/>
          <w:sz w:val="24"/>
        </w:rPr>
        <w:t> </w:t>
      </w:r>
      <w:r>
        <w:rPr>
          <w:i/>
          <w:sz w:val="24"/>
        </w:rPr>
        <w:t>lengths</w:t>
      </w:r>
      <w:r>
        <w:rPr>
          <w:i/>
          <w:spacing w:val="-4"/>
          <w:sz w:val="24"/>
        </w:rPr>
        <w:t> </w:t>
      </w:r>
      <w:r>
        <w:rPr>
          <w:i/>
          <w:sz w:val="24"/>
        </w:rPr>
        <w:t>to</w:t>
      </w:r>
      <w:r>
        <w:rPr>
          <w:i/>
          <w:spacing w:val="-4"/>
          <w:sz w:val="24"/>
        </w:rPr>
        <w:t> </w:t>
      </w:r>
      <w:r>
        <w:rPr>
          <w:i/>
          <w:spacing w:val="-2"/>
          <w:sz w:val="24"/>
        </w:rPr>
        <w:t>1500mm.</w:t>
      </w:r>
    </w:p>
    <w:p>
      <w:pPr>
        <w:pStyle w:val="BodyText"/>
        <w:rPr>
          <w:i/>
          <w:sz w:val="21"/>
        </w:rPr>
      </w:pPr>
    </w:p>
    <w:p>
      <w:pPr>
        <w:pStyle w:val="Heading3"/>
        <w:numPr>
          <w:ilvl w:val="2"/>
          <w:numId w:val="10"/>
        </w:numPr>
        <w:tabs>
          <w:tab w:pos="1679" w:val="left" w:leader="none"/>
        </w:tabs>
        <w:spacing w:line="240" w:lineRule="auto" w:before="0" w:after="0"/>
        <w:ind w:left="1679" w:right="0" w:hanging="1442"/>
        <w:jc w:val="both"/>
      </w:pPr>
      <w:bookmarkStart w:name="5.2.13 Glazing" w:id="35"/>
      <w:bookmarkEnd w:id="35"/>
      <w:r>
        <w:rPr>
          <w:spacing w:val="-2"/>
        </w:rPr>
        <w:t>Glaz</w:t>
      </w:r>
      <w:r>
        <w:rPr>
          <w:spacing w:val="-2"/>
        </w:rPr>
        <w:t>ing</w:t>
      </w:r>
    </w:p>
    <w:p>
      <w:pPr>
        <w:pStyle w:val="BodyText"/>
        <w:spacing w:before="57"/>
        <w:ind w:left="237" w:right="296"/>
        <w:jc w:val="both"/>
      </w:pPr>
      <w:r>
        <w:rPr/>
        <w:t>Specific safety requirements for glazing installed on an access way are to be implemented for the first time.</w:t>
      </w:r>
    </w:p>
    <w:p>
      <w:pPr>
        <w:pStyle w:val="BodyText"/>
        <w:spacing w:before="1"/>
      </w:pPr>
    </w:p>
    <w:p>
      <w:pPr>
        <w:spacing w:before="0"/>
        <w:ind w:left="237" w:right="0" w:firstLine="0"/>
        <w:jc w:val="both"/>
        <w:rPr>
          <w:b/>
          <w:i/>
          <w:sz w:val="24"/>
        </w:rPr>
      </w:pPr>
      <w:r>
        <w:rPr>
          <w:b/>
          <w:i/>
          <w:sz w:val="24"/>
        </w:rPr>
        <w:t>No</w:t>
      </w:r>
      <w:r>
        <w:rPr>
          <w:b/>
          <w:i/>
          <w:spacing w:val="-5"/>
          <w:sz w:val="24"/>
        </w:rPr>
        <w:t> </w:t>
      </w:r>
      <w:r>
        <w:rPr>
          <w:b/>
          <w:i/>
          <w:sz w:val="24"/>
        </w:rPr>
        <w:t>Change</w:t>
      </w:r>
      <w:r>
        <w:rPr>
          <w:b/>
          <w:i/>
          <w:spacing w:val="-5"/>
          <w:sz w:val="24"/>
        </w:rPr>
        <w:t> </w:t>
      </w:r>
      <w:r>
        <w:rPr>
          <w:b/>
          <w:i/>
          <w:sz w:val="24"/>
        </w:rPr>
        <w:t>from</w:t>
      </w:r>
      <w:r>
        <w:rPr>
          <w:b/>
          <w:i/>
          <w:spacing w:val="-4"/>
          <w:sz w:val="24"/>
        </w:rPr>
        <w:t> </w:t>
      </w:r>
      <w:r>
        <w:rPr>
          <w:b/>
          <w:i/>
          <w:sz w:val="24"/>
        </w:rPr>
        <w:t>the</w:t>
      </w:r>
      <w:r>
        <w:rPr>
          <w:b/>
          <w:i/>
          <w:spacing w:val="-5"/>
          <w:sz w:val="24"/>
        </w:rPr>
        <w:t> </w:t>
      </w:r>
      <w:r>
        <w:rPr>
          <w:b/>
          <w:i/>
          <w:sz w:val="24"/>
        </w:rPr>
        <w:t>2004</w:t>
      </w:r>
      <w:r>
        <w:rPr>
          <w:b/>
          <w:i/>
          <w:spacing w:val="-4"/>
          <w:sz w:val="24"/>
        </w:rPr>
        <w:t> </w:t>
      </w:r>
      <w:r>
        <w:rPr>
          <w:b/>
          <w:i/>
          <w:sz w:val="24"/>
        </w:rPr>
        <w:t>draft</w:t>
      </w:r>
      <w:r>
        <w:rPr>
          <w:b/>
          <w:i/>
          <w:spacing w:val="-4"/>
          <w:sz w:val="24"/>
        </w:rPr>
        <w:t> </w:t>
      </w:r>
      <w:r>
        <w:rPr>
          <w:b/>
          <w:i/>
          <w:spacing w:val="-2"/>
          <w:sz w:val="24"/>
        </w:rPr>
        <w:t>proposal</w:t>
      </w:r>
    </w:p>
    <w:p>
      <w:pPr>
        <w:pStyle w:val="BodyText"/>
        <w:rPr>
          <w:b/>
          <w:i/>
          <w:sz w:val="26"/>
        </w:rPr>
      </w:pPr>
    </w:p>
    <w:p>
      <w:pPr>
        <w:pStyle w:val="Heading3"/>
        <w:numPr>
          <w:ilvl w:val="2"/>
          <w:numId w:val="10"/>
        </w:numPr>
        <w:tabs>
          <w:tab w:pos="1678" w:val="left" w:leader="none"/>
        </w:tabs>
        <w:spacing w:line="240" w:lineRule="auto" w:before="219" w:after="0"/>
        <w:ind w:left="1677" w:right="0" w:hanging="1441"/>
        <w:jc w:val="both"/>
      </w:pPr>
      <w:bookmarkStart w:name="5.2.14 Lifts" w:id="36"/>
      <w:bookmarkEnd w:id="36"/>
      <w:r>
        <w:rPr>
          <w:spacing w:val="-2"/>
        </w:rPr>
        <w:t>Lifts</w:t>
      </w:r>
    </w:p>
    <w:p>
      <w:pPr>
        <w:pStyle w:val="BodyText"/>
        <w:spacing w:before="117"/>
        <w:ind w:left="237" w:right="295"/>
        <w:jc w:val="both"/>
      </w:pPr>
      <w:r>
        <w:rPr/>
        <w:t>Substantial additional prescription on the uses (and limits to use of) different</w:t>
      </w:r>
      <w:r>
        <w:rPr>
          <w:spacing w:val="40"/>
        </w:rPr>
        <w:t> </w:t>
      </w:r>
      <w:r>
        <w:rPr/>
        <w:t>lifting devices has been included.</w:t>
      </w:r>
      <w:r>
        <w:rPr>
          <w:spacing w:val="40"/>
        </w:rPr>
        <w:t> </w:t>
      </w:r>
      <w:r>
        <w:rPr/>
        <w:t>In particular, specifications on swimming pool lifts were added, since certain swimming pools are to be required to be</w:t>
      </w:r>
      <w:r>
        <w:rPr>
          <w:spacing w:val="40"/>
        </w:rPr>
        <w:t> </w:t>
      </w:r>
      <w:r>
        <w:rPr/>
        <w:t>accessible for the first time.</w:t>
      </w:r>
    </w:p>
    <w:p>
      <w:pPr>
        <w:pStyle w:val="BodyText"/>
        <w:spacing w:before="120"/>
        <w:ind w:left="237" w:right="294"/>
        <w:jc w:val="both"/>
      </w:pPr>
      <w:r>
        <w:rPr/>
        <w:t>Lift floor plates accommodating the 80</w:t>
      </w:r>
      <w:r>
        <w:rPr>
          <w:vertAlign w:val="superscript"/>
        </w:rPr>
        <w:t>th</w:t>
      </w:r>
      <w:r>
        <w:rPr>
          <w:vertAlign w:val="baseline"/>
        </w:rPr>
        <w:t> percentile (current BCA) wheelchair size will be permitted in buildings with lifts that travel no more than 12m.</w:t>
      </w:r>
      <w:r>
        <w:rPr>
          <w:spacing w:val="80"/>
          <w:vertAlign w:val="baseline"/>
        </w:rPr>
        <w:t> </w:t>
      </w:r>
      <w:r>
        <w:rPr>
          <w:vertAlign w:val="baseline"/>
        </w:rPr>
        <w:t>Lifts travelling more than 12m are required to accommodate the 90</w:t>
      </w:r>
      <w:r>
        <w:rPr>
          <w:vertAlign w:val="superscript"/>
        </w:rPr>
        <w:t>th</w:t>
      </w:r>
      <w:r>
        <w:rPr>
          <w:vertAlign w:val="baseline"/>
        </w:rPr>
        <w:t> percentile wheelchair size.</w:t>
      </w:r>
      <w:r>
        <w:rPr>
          <w:spacing w:val="40"/>
          <w:vertAlign w:val="baseline"/>
        </w:rPr>
        <w:t> </w:t>
      </w:r>
      <w:r>
        <w:rPr>
          <w:vertAlign w:val="baseline"/>
        </w:rPr>
        <w:t>Constant pressure devices and key locks will be permitted.</w:t>
      </w:r>
    </w:p>
    <w:p>
      <w:pPr>
        <w:pStyle w:val="BodyText"/>
        <w:spacing w:before="120"/>
        <w:ind w:left="237" w:right="294"/>
        <w:jc w:val="both"/>
      </w:pPr>
      <w:r>
        <w:rPr/>
        <w:t>Existing lifts in existing buildings which accommodate the 80</w:t>
      </w:r>
      <w:r>
        <w:rPr>
          <w:vertAlign w:val="superscript"/>
        </w:rPr>
        <w:t>th</w:t>
      </w:r>
      <w:r>
        <w:rPr>
          <w:vertAlign w:val="baseline"/>
        </w:rPr>
        <w:t> percentile wheelchair size will not be required to upgrade to lifts which accommodate the 90th percentile wheelchair size.</w:t>
      </w:r>
    </w:p>
    <w:p>
      <w:pPr>
        <w:pStyle w:val="BodyText"/>
        <w:spacing w:before="120"/>
        <w:ind w:left="237" w:right="295"/>
        <w:jc w:val="both"/>
      </w:pPr>
      <w:r>
        <w:rPr/>
        <w:t>Lift access is not required to the upper level of a car park building if there are no accessible car spaces on that level.</w:t>
      </w:r>
    </w:p>
    <w:p>
      <w:pPr>
        <w:pStyle w:val="BodyText"/>
        <w:spacing w:before="1"/>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294" w:firstLine="0"/>
        <w:jc w:val="both"/>
        <w:rPr>
          <w:i/>
          <w:sz w:val="24"/>
        </w:rPr>
      </w:pPr>
      <w:r>
        <w:rPr>
          <w:i/>
          <w:sz w:val="24"/>
        </w:rPr>
        <w:t>Under</w:t>
      </w:r>
      <w:r>
        <w:rPr>
          <w:i/>
          <w:sz w:val="24"/>
        </w:rPr>
        <w:t> the</w:t>
      </w:r>
      <w:r>
        <w:rPr>
          <w:i/>
          <w:sz w:val="24"/>
        </w:rPr>
        <w:t> 2004 draft proposal, all lifts were required to comply with the 90th</w:t>
      </w:r>
      <w:r>
        <w:rPr>
          <w:i/>
          <w:sz w:val="24"/>
        </w:rPr>
        <w:t> percentile dimensions and constant pressure devices to operate lifts were not </w:t>
      </w:r>
      <w:r>
        <w:rPr>
          <w:i/>
          <w:spacing w:val="-2"/>
          <w:sz w:val="24"/>
        </w:rPr>
        <w:t>permitted.</w:t>
      </w:r>
    </w:p>
    <w:p>
      <w:pPr>
        <w:pStyle w:val="BodyText"/>
        <w:rPr>
          <w:i/>
          <w:sz w:val="26"/>
        </w:rPr>
      </w:pPr>
    </w:p>
    <w:p>
      <w:pPr>
        <w:pStyle w:val="Heading3"/>
        <w:numPr>
          <w:ilvl w:val="2"/>
          <w:numId w:val="10"/>
        </w:numPr>
        <w:tabs>
          <w:tab w:pos="1679" w:val="left" w:leader="none"/>
        </w:tabs>
        <w:spacing w:line="240" w:lineRule="auto" w:before="219" w:after="0"/>
        <w:ind w:left="1678" w:right="0" w:hanging="1442"/>
        <w:jc w:val="both"/>
      </w:pPr>
      <w:bookmarkStart w:name="5.2.15 Sanitary facilities" w:id="37"/>
      <w:bookmarkEnd w:id="37"/>
      <w:r>
        <w:rPr/>
        <w:t>Sanitar</w:t>
      </w:r>
      <w:r>
        <w:rPr/>
        <w:t>y</w:t>
      </w:r>
      <w:r>
        <w:rPr>
          <w:spacing w:val="-10"/>
        </w:rPr>
        <w:t> </w:t>
      </w:r>
      <w:r>
        <w:rPr>
          <w:spacing w:val="-2"/>
        </w:rPr>
        <w:t>facilities</w:t>
      </w:r>
    </w:p>
    <w:p>
      <w:pPr>
        <w:pStyle w:val="BodyText"/>
        <w:spacing w:before="117"/>
        <w:ind w:left="237" w:right="293"/>
        <w:jc w:val="both"/>
      </w:pPr>
      <w:r>
        <w:rPr/>
        <w:t>Sanitary facilities for people with ambulant disabilities for each sex are proposed to</w:t>
      </w:r>
      <w:r>
        <w:rPr>
          <w:spacing w:val="-2"/>
        </w:rPr>
        <w:t> </w:t>
      </w:r>
      <w:r>
        <w:rPr/>
        <w:t>be</w:t>
      </w:r>
      <w:r>
        <w:rPr>
          <w:spacing w:val="-2"/>
        </w:rPr>
        <w:t> </w:t>
      </w:r>
      <w:r>
        <w:rPr/>
        <w:t>required</w:t>
      </w:r>
      <w:r>
        <w:rPr>
          <w:spacing w:val="-2"/>
        </w:rPr>
        <w:t> </w:t>
      </w:r>
      <w:r>
        <w:rPr/>
        <w:t>at</w:t>
      </w:r>
      <w:r>
        <w:rPr>
          <w:spacing w:val="-2"/>
        </w:rPr>
        <w:t> </w:t>
      </w:r>
      <w:r>
        <w:rPr/>
        <w:t>each</w:t>
      </w:r>
      <w:r>
        <w:rPr>
          <w:spacing w:val="-2"/>
        </w:rPr>
        <w:t> </w:t>
      </w:r>
      <w:r>
        <w:rPr/>
        <w:t>bank</w:t>
      </w:r>
      <w:r>
        <w:rPr>
          <w:spacing w:val="-2"/>
        </w:rPr>
        <w:t> </w:t>
      </w:r>
      <w:r>
        <w:rPr/>
        <w:t>of</w:t>
      </w:r>
      <w:r>
        <w:rPr>
          <w:spacing w:val="-2"/>
        </w:rPr>
        <w:t> </w:t>
      </w:r>
      <w:r>
        <w:rPr/>
        <w:t>toilets</w:t>
      </w:r>
      <w:r>
        <w:rPr>
          <w:spacing w:val="-2"/>
        </w:rPr>
        <w:t> </w:t>
      </w:r>
      <w:r>
        <w:rPr/>
        <w:t>where</w:t>
      </w:r>
      <w:r>
        <w:rPr>
          <w:spacing w:val="-4"/>
        </w:rPr>
        <w:t> </w:t>
      </w:r>
      <w:r>
        <w:rPr/>
        <w:t>two</w:t>
      </w:r>
      <w:r>
        <w:rPr>
          <w:spacing w:val="-2"/>
        </w:rPr>
        <w:t> </w:t>
      </w:r>
      <w:r>
        <w:rPr/>
        <w:t>or</w:t>
      </w:r>
      <w:r>
        <w:rPr>
          <w:spacing w:val="-2"/>
        </w:rPr>
        <w:t> </w:t>
      </w:r>
      <w:r>
        <w:rPr/>
        <w:t>more</w:t>
      </w:r>
      <w:r>
        <w:rPr>
          <w:spacing w:val="-2"/>
        </w:rPr>
        <w:t> </w:t>
      </w:r>
      <w:r>
        <w:rPr/>
        <w:t>toilets</w:t>
      </w:r>
      <w:r>
        <w:rPr>
          <w:spacing w:val="-4"/>
        </w:rPr>
        <w:t> </w:t>
      </w:r>
      <w:r>
        <w:rPr/>
        <w:t>are</w:t>
      </w:r>
      <w:r>
        <w:rPr>
          <w:spacing w:val="-2"/>
        </w:rPr>
        <w:t> </w:t>
      </w:r>
      <w:r>
        <w:rPr/>
        <w:t>provided.</w:t>
      </w:r>
      <w:r>
        <w:rPr>
          <w:spacing w:val="40"/>
        </w:rPr>
        <w:t> </w:t>
      </w:r>
      <w:r>
        <w:rPr/>
        <w:t>The current requirements for these toilets apply only to Class 10a buildings and the required ratios are less stringent.</w:t>
      </w:r>
    </w:p>
    <w:p>
      <w:pPr>
        <w:pStyle w:val="BodyText"/>
        <w:spacing w:before="120"/>
        <w:ind w:left="237" w:right="294"/>
        <w:jc w:val="both"/>
      </w:pPr>
      <w:r>
        <w:rPr/>
        <w:t>In Class 3, 5, 6, 7, 8 and 9 buildings, it is proposed that all sanitary facilities for people with a disability be required to be unisex and that they be provided on every storey that contains sanitary compartments, and at not less than 50% of</w:t>
      </w:r>
      <w:r>
        <w:rPr>
          <w:spacing w:val="40"/>
        </w:rPr>
        <w:t> </w:t>
      </w:r>
      <w:r>
        <w:rPr/>
        <w:t>the banks of toilets where more than 1 bank is provided on a storey.</w:t>
      </w:r>
      <w:r>
        <w:rPr>
          <w:spacing w:val="40"/>
        </w:rPr>
        <w:t> </w:t>
      </w:r>
      <w:r>
        <w:rPr/>
        <w:t>The proposed requirement will effectively increase the number of accessible sanitary facilities that need to be provided.</w:t>
      </w:r>
    </w:p>
    <w:p>
      <w:pPr>
        <w:spacing w:after="0"/>
        <w:jc w:val="both"/>
        <w:sectPr>
          <w:pgSz w:w="12240" w:h="15840"/>
          <w:pgMar w:header="0" w:footer="1600" w:top="1360" w:bottom="1940" w:left="1560" w:right="1500"/>
        </w:sectPr>
      </w:pPr>
    </w:p>
    <w:p>
      <w:pPr>
        <w:spacing w:before="78"/>
        <w:ind w:left="237" w:right="296" w:firstLine="0"/>
        <w:jc w:val="both"/>
        <w:rPr>
          <w:i/>
          <w:sz w:val="24"/>
        </w:rPr>
      </w:pPr>
      <w:r>
        <w:rPr>
          <w:i/>
          <w:sz w:val="24"/>
        </w:rPr>
        <w:t>Accessible facilities will now not be required in common areas of existing Class 2</w:t>
      </w:r>
      <w:r>
        <w:rPr>
          <w:i/>
          <w:sz w:val="24"/>
        </w:rPr>
        <w:t> buildings being upgraded or renovated as the Premises Standards will not apply to these Class 2 buildings.</w:t>
      </w:r>
    </w:p>
    <w:p>
      <w:pPr>
        <w:pStyle w:val="BodyText"/>
        <w:rPr>
          <w:i/>
        </w:rPr>
      </w:pPr>
    </w:p>
    <w:p>
      <w:pPr>
        <w:spacing w:before="0"/>
        <w:ind w:left="237" w:right="294" w:firstLine="0"/>
        <w:jc w:val="both"/>
        <w:rPr>
          <w:i/>
          <w:sz w:val="24"/>
        </w:rPr>
      </w:pPr>
      <w:r>
        <w:rPr>
          <w:i/>
          <w:sz w:val="24"/>
        </w:rPr>
        <w:t>For Class 5, 6, 7, 8, and 9 buildings, the 2004 draft proposal required unisex</w:t>
      </w:r>
      <w:r>
        <w:rPr>
          <w:i/>
          <w:sz w:val="24"/>
        </w:rPr>
        <w:t> accessible sanitary facilities at every bank of toilets, rather than only at 50% of those banks.</w:t>
      </w:r>
    </w:p>
    <w:p>
      <w:pPr>
        <w:pStyle w:val="BodyText"/>
        <w:rPr>
          <w:i/>
          <w:sz w:val="26"/>
        </w:rPr>
      </w:pPr>
    </w:p>
    <w:p>
      <w:pPr>
        <w:pStyle w:val="Heading3"/>
        <w:numPr>
          <w:ilvl w:val="2"/>
          <w:numId w:val="10"/>
        </w:numPr>
        <w:tabs>
          <w:tab w:pos="1139" w:val="left" w:leader="none"/>
        </w:tabs>
        <w:spacing w:line="240" w:lineRule="auto" w:before="219" w:after="0"/>
        <w:ind w:left="1139" w:right="0" w:hanging="902"/>
        <w:jc w:val="both"/>
      </w:pPr>
      <w:bookmarkStart w:name="5.2.16 Swimming pools" w:id="38"/>
      <w:bookmarkEnd w:id="38"/>
      <w:r>
        <w:rPr/>
        <w:t>Swimm</w:t>
      </w:r>
      <w:r>
        <w:rPr/>
        <w:t>ing</w:t>
      </w:r>
      <w:r>
        <w:rPr>
          <w:spacing w:val="-8"/>
        </w:rPr>
        <w:t> </w:t>
      </w:r>
      <w:r>
        <w:rPr>
          <w:spacing w:val="-4"/>
        </w:rPr>
        <w:t>pools</w:t>
      </w:r>
    </w:p>
    <w:p>
      <w:pPr>
        <w:pStyle w:val="BodyText"/>
        <w:spacing w:before="57"/>
        <w:ind w:left="237" w:right="294"/>
        <w:jc w:val="both"/>
      </w:pPr>
      <w:r>
        <w:rPr/>
        <w:t>Access</w:t>
      </w:r>
      <w:r>
        <w:rPr>
          <w:spacing w:val="-2"/>
        </w:rPr>
        <w:t> </w:t>
      </w:r>
      <w:r>
        <w:rPr/>
        <w:t>requirements</w:t>
      </w:r>
      <w:r>
        <w:rPr>
          <w:spacing w:val="-2"/>
        </w:rPr>
        <w:t> </w:t>
      </w:r>
      <w:r>
        <w:rPr/>
        <w:t>for</w:t>
      </w:r>
      <w:r>
        <w:rPr>
          <w:spacing w:val="-2"/>
        </w:rPr>
        <w:t> </w:t>
      </w:r>
      <w:r>
        <w:rPr/>
        <w:t>entry</w:t>
      </w:r>
      <w:r>
        <w:rPr>
          <w:spacing w:val="-2"/>
        </w:rPr>
        <w:t> </w:t>
      </w:r>
      <w:r>
        <w:rPr/>
        <w:t>into</w:t>
      </w:r>
      <w:r>
        <w:rPr>
          <w:spacing w:val="-2"/>
        </w:rPr>
        <w:t> </w:t>
      </w:r>
      <w:r>
        <w:rPr/>
        <w:t>swimming</w:t>
      </w:r>
      <w:r>
        <w:rPr>
          <w:spacing w:val="-2"/>
        </w:rPr>
        <w:t> </w:t>
      </w:r>
      <w:r>
        <w:rPr/>
        <w:t>pools</w:t>
      </w:r>
      <w:r>
        <w:rPr>
          <w:spacing w:val="-2"/>
        </w:rPr>
        <w:t> </w:t>
      </w:r>
      <w:r>
        <w:rPr/>
        <w:t>for</w:t>
      </w:r>
      <w:r>
        <w:rPr>
          <w:spacing w:val="-2"/>
        </w:rPr>
        <w:t> </w:t>
      </w:r>
      <w:r>
        <w:rPr/>
        <w:t>people</w:t>
      </w:r>
      <w:r>
        <w:rPr>
          <w:spacing w:val="-2"/>
        </w:rPr>
        <w:t> </w:t>
      </w:r>
      <w:r>
        <w:rPr/>
        <w:t>with</w:t>
      </w:r>
      <w:r>
        <w:rPr>
          <w:spacing w:val="-1"/>
        </w:rPr>
        <w:t> </w:t>
      </w:r>
      <w:r>
        <w:rPr/>
        <w:t>a</w:t>
      </w:r>
      <w:r>
        <w:rPr>
          <w:spacing w:val="-2"/>
        </w:rPr>
        <w:t> </w:t>
      </w:r>
      <w:r>
        <w:rPr/>
        <w:t>disability</w:t>
      </w:r>
      <w:r>
        <w:rPr>
          <w:spacing w:val="-1"/>
        </w:rPr>
        <w:t> </w:t>
      </w:r>
      <w:r>
        <w:rPr/>
        <w:t>will be introduced for the first time and will apply to swimming pools with a perimeter greater than 40m and that are associated with a building required to be accessible.</w:t>
      </w:r>
      <w:r>
        <w:rPr>
          <w:spacing w:val="40"/>
        </w:rPr>
        <w:t> </w:t>
      </w:r>
      <w:r>
        <w:rPr/>
        <w:t>Various</w:t>
      </w:r>
      <w:r>
        <w:rPr>
          <w:spacing w:val="-2"/>
        </w:rPr>
        <w:t> </w:t>
      </w:r>
      <w:r>
        <w:rPr/>
        <w:t>options</w:t>
      </w:r>
      <w:r>
        <w:rPr>
          <w:spacing w:val="-2"/>
        </w:rPr>
        <w:t> </w:t>
      </w:r>
      <w:r>
        <w:rPr/>
        <w:t>for</w:t>
      </w:r>
      <w:r>
        <w:rPr>
          <w:spacing w:val="-1"/>
        </w:rPr>
        <w:t> </w:t>
      </w:r>
      <w:r>
        <w:rPr/>
        <w:t>pool</w:t>
      </w:r>
      <w:r>
        <w:rPr>
          <w:spacing w:val="-2"/>
        </w:rPr>
        <w:t> </w:t>
      </w:r>
      <w:r>
        <w:rPr/>
        <w:t>entry</w:t>
      </w:r>
      <w:r>
        <w:rPr>
          <w:spacing w:val="-2"/>
        </w:rPr>
        <w:t> </w:t>
      </w:r>
      <w:r>
        <w:rPr/>
        <w:t>are</w:t>
      </w:r>
      <w:r>
        <w:rPr>
          <w:spacing w:val="-2"/>
        </w:rPr>
        <w:t> </w:t>
      </w:r>
      <w:r>
        <w:rPr/>
        <w:t>described</w:t>
      </w:r>
      <w:r>
        <w:rPr>
          <w:vertAlign w:val="superscript"/>
        </w:rPr>
        <w:t>15</w:t>
      </w:r>
      <w:r>
        <w:rPr>
          <w:vertAlign w:val="baseline"/>
        </w:rPr>
        <w:t>,</w:t>
      </w:r>
      <w:r>
        <w:rPr>
          <w:spacing w:val="-2"/>
          <w:vertAlign w:val="baseline"/>
        </w:rPr>
        <w:t> </w:t>
      </w:r>
      <w:r>
        <w:rPr>
          <w:vertAlign w:val="baseline"/>
        </w:rPr>
        <w:t>depending</w:t>
      </w:r>
      <w:r>
        <w:rPr>
          <w:spacing w:val="-2"/>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size of the swimming pool.</w:t>
      </w:r>
    </w:p>
    <w:p>
      <w:pPr>
        <w:pStyle w:val="BodyText"/>
        <w:spacing w:before="1"/>
      </w:pPr>
    </w:p>
    <w:p>
      <w:pPr>
        <w:pStyle w:val="Heading5"/>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0"/>
        <w:ind w:left="237" w:right="296" w:firstLine="0"/>
        <w:jc w:val="both"/>
        <w:rPr>
          <w:i/>
          <w:sz w:val="24"/>
        </w:rPr>
      </w:pPr>
      <w:r>
        <w:rPr>
          <w:i/>
          <w:sz w:val="24"/>
        </w:rPr>
        <w:t>The 2004 draft proposal would have required access to be provided to all</w:t>
      </w:r>
      <w:r>
        <w:rPr>
          <w:i/>
          <w:sz w:val="24"/>
        </w:rPr>
        <w:t> swimming pools associated with a building required to be accessible regardless of the size of the pool.</w:t>
      </w:r>
    </w:p>
    <w:p>
      <w:pPr>
        <w:pStyle w:val="BodyText"/>
        <w:rPr>
          <w:i/>
          <w:sz w:val="26"/>
        </w:rPr>
      </w:pPr>
    </w:p>
    <w:p>
      <w:pPr>
        <w:pStyle w:val="Heading3"/>
        <w:numPr>
          <w:ilvl w:val="2"/>
          <w:numId w:val="10"/>
        </w:numPr>
        <w:tabs>
          <w:tab w:pos="1139" w:val="left" w:leader="none"/>
        </w:tabs>
        <w:spacing w:line="240" w:lineRule="auto" w:before="219" w:after="0"/>
        <w:ind w:left="1138" w:right="0" w:hanging="902"/>
        <w:jc w:val="both"/>
      </w:pPr>
      <w:bookmarkStart w:name="5.2.17 Accessible links between building" w:id="39"/>
      <w:bookmarkEnd w:id="39"/>
      <w:r>
        <w:rPr/>
        <w:t>Access</w:t>
      </w:r>
      <w:r>
        <w:rPr/>
        <w:t>ible</w:t>
      </w:r>
      <w:r>
        <w:rPr>
          <w:spacing w:val="-6"/>
        </w:rPr>
        <w:t> </w:t>
      </w:r>
      <w:r>
        <w:rPr/>
        <w:t>links</w:t>
      </w:r>
      <w:r>
        <w:rPr>
          <w:spacing w:val="-5"/>
        </w:rPr>
        <w:t> </w:t>
      </w:r>
      <w:r>
        <w:rPr/>
        <w:t>between</w:t>
      </w:r>
      <w:r>
        <w:rPr>
          <w:spacing w:val="-5"/>
        </w:rPr>
        <w:t> </w:t>
      </w:r>
      <w:r>
        <w:rPr>
          <w:spacing w:val="-2"/>
        </w:rPr>
        <w:t>buildings</w:t>
      </w:r>
    </w:p>
    <w:p>
      <w:pPr>
        <w:pStyle w:val="BodyText"/>
        <w:spacing w:before="57"/>
        <w:ind w:left="237" w:right="297"/>
        <w:jc w:val="both"/>
      </w:pPr>
      <w:r>
        <w:rPr/>
        <w:t>The requirement for provision of accessible links between buildings is extended</w:t>
      </w:r>
      <w:r>
        <w:rPr>
          <w:spacing w:val="40"/>
        </w:rPr>
        <w:t> </w:t>
      </w:r>
      <w:r>
        <w:rPr/>
        <w:t>to include buildings on different allotments that are linked for the purposes of associating those buildings.</w:t>
      </w:r>
    </w:p>
    <w:p>
      <w:pPr>
        <w:pStyle w:val="BodyText"/>
        <w:spacing w:before="1"/>
      </w:pPr>
    </w:p>
    <w:p>
      <w:pPr>
        <w:spacing w:before="0"/>
        <w:ind w:left="237" w:right="0" w:firstLine="0"/>
        <w:jc w:val="both"/>
        <w:rPr>
          <w:b/>
          <w:i/>
          <w:sz w:val="24"/>
        </w:rPr>
      </w:pPr>
      <w:r>
        <w:rPr>
          <w:b/>
          <w:i/>
          <w:sz w:val="24"/>
        </w:rPr>
        <w:t>No</w:t>
      </w:r>
      <w:r>
        <w:rPr>
          <w:b/>
          <w:i/>
          <w:spacing w:val="-5"/>
          <w:sz w:val="24"/>
        </w:rPr>
        <w:t> </w:t>
      </w:r>
      <w:r>
        <w:rPr>
          <w:b/>
          <w:i/>
          <w:sz w:val="24"/>
        </w:rPr>
        <w:t>Change</w:t>
      </w:r>
      <w:r>
        <w:rPr>
          <w:b/>
          <w:i/>
          <w:spacing w:val="-5"/>
          <w:sz w:val="24"/>
        </w:rPr>
        <w:t> </w:t>
      </w:r>
      <w:r>
        <w:rPr>
          <w:b/>
          <w:i/>
          <w:sz w:val="24"/>
        </w:rPr>
        <w:t>from</w:t>
      </w:r>
      <w:r>
        <w:rPr>
          <w:b/>
          <w:i/>
          <w:spacing w:val="-4"/>
          <w:sz w:val="24"/>
        </w:rPr>
        <w:t> </w:t>
      </w:r>
      <w:r>
        <w:rPr>
          <w:b/>
          <w:i/>
          <w:sz w:val="24"/>
        </w:rPr>
        <w:t>the</w:t>
      </w:r>
      <w:r>
        <w:rPr>
          <w:b/>
          <w:i/>
          <w:spacing w:val="-5"/>
          <w:sz w:val="24"/>
        </w:rPr>
        <w:t> </w:t>
      </w:r>
      <w:r>
        <w:rPr>
          <w:b/>
          <w:i/>
          <w:sz w:val="24"/>
        </w:rPr>
        <w:t>2004</w:t>
      </w:r>
      <w:r>
        <w:rPr>
          <w:b/>
          <w:i/>
          <w:spacing w:val="-4"/>
          <w:sz w:val="24"/>
        </w:rPr>
        <w:t> </w:t>
      </w:r>
      <w:r>
        <w:rPr>
          <w:b/>
          <w:i/>
          <w:sz w:val="24"/>
        </w:rPr>
        <w:t>draft</w:t>
      </w:r>
      <w:r>
        <w:rPr>
          <w:b/>
          <w:i/>
          <w:spacing w:val="-4"/>
          <w:sz w:val="24"/>
        </w:rPr>
        <w:t> </w:t>
      </w:r>
      <w:r>
        <w:rPr>
          <w:b/>
          <w:i/>
          <w:spacing w:val="-2"/>
          <w:sz w:val="24"/>
        </w:rPr>
        <w:t>proposal</w:t>
      </w:r>
    </w:p>
    <w:p>
      <w:pPr>
        <w:pStyle w:val="BodyText"/>
        <w:rPr>
          <w:b/>
          <w:i/>
          <w:sz w:val="26"/>
        </w:rPr>
      </w:pPr>
    </w:p>
    <w:p>
      <w:pPr>
        <w:pStyle w:val="Heading3"/>
        <w:numPr>
          <w:ilvl w:val="2"/>
          <w:numId w:val="10"/>
        </w:numPr>
        <w:tabs>
          <w:tab w:pos="1139" w:val="left" w:leader="none"/>
        </w:tabs>
        <w:spacing w:line="240" w:lineRule="auto" w:before="219" w:after="0"/>
        <w:ind w:left="1137" w:right="1654" w:hanging="901"/>
        <w:jc w:val="both"/>
      </w:pPr>
      <w:bookmarkStart w:name="5.2.18 AS 1428.1 Design for access and m" w:id="40"/>
      <w:bookmarkEnd w:id="40"/>
      <w:r>
        <w:rPr/>
        <w:t>A</w:t>
      </w:r>
      <w:r>
        <w:rPr/>
        <w:t>S</w:t>
      </w:r>
      <w:r>
        <w:rPr>
          <w:spacing w:val="-5"/>
        </w:rPr>
        <w:t> </w:t>
      </w:r>
      <w:r>
        <w:rPr/>
        <w:t>1428.1</w:t>
      </w:r>
      <w:r>
        <w:rPr>
          <w:spacing w:val="-5"/>
        </w:rPr>
        <w:t> </w:t>
      </w:r>
      <w:r>
        <w:rPr/>
        <w:t>Design</w:t>
      </w:r>
      <w:r>
        <w:rPr>
          <w:spacing w:val="-5"/>
        </w:rPr>
        <w:t> </w:t>
      </w:r>
      <w:r>
        <w:rPr/>
        <w:t>for</w:t>
      </w:r>
      <w:r>
        <w:rPr>
          <w:spacing w:val="-5"/>
        </w:rPr>
        <w:t> </w:t>
      </w:r>
      <w:r>
        <w:rPr/>
        <w:t>access</w:t>
      </w:r>
      <w:r>
        <w:rPr>
          <w:spacing w:val="-5"/>
        </w:rPr>
        <w:t> </w:t>
      </w:r>
      <w:r>
        <w:rPr/>
        <w:t>and</w:t>
      </w:r>
      <w:r>
        <w:rPr>
          <w:spacing w:val="-5"/>
        </w:rPr>
        <w:t> </w:t>
      </w:r>
      <w:r>
        <w:rPr/>
        <w:t>mobility</w:t>
      </w:r>
      <w:r>
        <w:rPr>
          <w:spacing w:val="-7"/>
        </w:rPr>
        <w:t> </w:t>
      </w:r>
      <w:r>
        <w:rPr/>
        <w:t>–</w:t>
      </w:r>
      <w:r>
        <w:rPr>
          <w:spacing w:val="-5"/>
        </w:rPr>
        <w:t> </w:t>
      </w:r>
      <w:r>
        <w:rPr/>
        <w:t>General requirements for access – New building work</w:t>
      </w:r>
    </w:p>
    <w:p>
      <w:pPr>
        <w:pStyle w:val="BodyText"/>
        <w:spacing w:before="116"/>
        <w:ind w:left="237" w:right="294"/>
        <w:jc w:val="both"/>
      </w:pPr>
      <w:r>
        <w:rPr/>
        <w:t>A new edition of this Australian Standard is to be adopted, incorporating the following key changes from current requirements:</w:t>
      </w:r>
    </w:p>
    <w:p>
      <w:pPr>
        <w:pStyle w:val="ListParagraph"/>
        <w:numPr>
          <w:ilvl w:val="3"/>
          <w:numId w:val="10"/>
        </w:numPr>
        <w:tabs>
          <w:tab w:pos="952" w:val="left" w:leader="none"/>
        </w:tabs>
        <w:spacing w:line="240" w:lineRule="auto" w:before="124" w:after="0"/>
        <w:ind w:left="951" w:right="294" w:hanging="357"/>
        <w:jc w:val="both"/>
        <w:rPr>
          <w:sz w:val="24"/>
        </w:rPr>
      </w:pPr>
      <w:r>
        <w:rPr>
          <w:sz w:val="24"/>
        </w:rPr>
        <w:t>the 90</w:t>
      </w:r>
      <w:r>
        <w:rPr>
          <w:sz w:val="24"/>
          <w:vertAlign w:val="superscript"/>
        </w:rPr>
        <w:t>th</w:t>
      </w:r>
      <w:r>
        <w:rPr>
          <w:sz w:val="24"/>
          <w:vertAlign w:val="baseline"/>
        </w:rPr>
        <w:t> percentile spatial dimensions will be adopted in relation to specific locations, including new unisex accessible sanitary facilities, new lifts travelling more than 12 metres, doorways and associated circulation spaces and on accessways at locations where there is a turn of more than 60 degrees. Other dimensions will remain at the current 80</w:t>
      </w:r>
      <w:r>
        <w:rPr>
          <w:sz w:val="24"/>
          <w:vertAlign w:val="superscript"/>
        </w:rPr>
        <w:t>th</w:t>
      </w:r>
      <w:r>
        <w:rPr>
          <w:sz w:val="24"/>
          <w:vertAlign w:val="baseline"/>
        </w:rPr>
        <w:t> percentile;</w:t>
      </w:r>
    </w:p>
    <w:p>
      <w:pPr>
        <w:pStyle w:val="ListParagraph"/>
        <w:numPr>
          <w:ilvl w:val="3"/>
          <w:numId w:val="10"/>
        </w:numPr>
        <w:tabs>
          <w:tab w:pos="952" w:val="left" w:leader="none"/>
        </w:tabs>
        <w:spacing w:line="237" w:lineRule="auto" w:before="122" w:after="0"/>
        <w:ind w:left="951" w:right="294" w:hanging="357"/>
        <w:jc w:val="both"/>
        <w:rPr>
          <w:sz w:val="24"/>
        </w:rPr>
      </w:pPr>
      <w:r>
        <w:rPr>
          <w:sz w:val="24"/>
        </w:rPr>
        <w:t>the configuration of passing and turning spaces will be detailed to complement the requirements of the Premises Standards;</w:t>
      </w:r>
    </w:p>
    <w:p>
      <w:pPr>
        <w:pStyle w:val="BodyText"/>
        <w:rPr>
          <w:sz w:val="20"/>
        </w:rPr>
      </w:pPr>
    </w:p>
    <w:p>
      <w:pPr>
        <w:pStyle w:val="BodyText"/>
        <w:rPr>
          <w:sz w:val="14"/>
        </w:rPr>
      </w:pPr>
      <w:r>
        <w:rPr/>
        <w:pict>
          <v:rect style="position:absolute;margin-left:89.879997pt;margin-top:9.266504pt;width:144pt;height:.6pt;mso-position-horizontal-relative:page;mso-position-vertical-relative:paragraph;z-index:-15722496;mso-wrap-distance-left:0;mso-wrap-distance-right:0" id="docshape18"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15</w:t>
      </w:r>
      <w:r>
        <w:rPr>
          <w:spacing w:val="-5"/>
          <w:sz w:val="20"/>
          <w:vertAlign w:val="baseline"/>
        </w:rPr>
        <w:t> </w:t>
      </w:r>
      <w:r>
        <w:rPr>
          <w:sz w:val="20"/>
          <w:vertAlign w:val="baseline"/>
        </w:rPr>
        <w:t>Note</w:t>
      </w:r>
      <w:r>
        <w:rPr>
          <w:spacing w:val="-5"/>
          <w:sz w:val="20"/>
          <w:vertAlign w:val="baseline"/>
        </w:rPr>
        <w:t> </w:t>
      </w:r>
      <w:r>
        <w:rPr>
          <w:sz w:val="20"/>
          <w:vertAlign w:val="baseline"/>
        </w:rPr>
        <w:t>that</w:t>
      </w:r>
      <w:r>
        <w:rPr>
          <w:spacing w:val="-4"/>
          <w:sz w:val="20"/>
          <w:vertAlign w:val="baseline"/>
        </w:rPr>
        <w:t> </w:t>
      </w:r>
      <w:r>
        <w:rPr>
          <w:sz w:val="20"/>
          <w:vertAlign w:val="baseline"/>
        </w:rPr>
        <w:t>pools</w:t>
      </w:r>
      <w:r>
        <w:rPr>
          <w:spacing w:val="-5"/>
          <w:sz w:val="20"/>
          <w:vertAlign w:val="baseline"/>
        </w:rPr>
        <w:t> </w:t>
      </w:r>
      <w:r>
        <w:rPr>
          <w:sz w:val="20"/>
          <w:vertAlign w:val="baseline"/>
        </w:rPr>
        <w:t>associated</w:t>
      </w:r>
      <w:r>
        <w:rPr>
          <w:spacing w:val="-4"/>
          <w:sz w:val="20"/>
          <w:vertAlign w:val="baseline"/>
        </w:rPr>
        <w:t> </w:t>
      </w:r>
      <w:r>
        <w:rPr>
          <w:sz w:val="20"/>
          <w:vertAlign w:val="baseline"/>
        </w:rPr>
        <w:t>with</w:t>
      </w:r>
      <w:r>
        <w:rPr>
          <w:spacing w:val="-5"/>
          <w:sz w:val="20"/>
          <w:vertAlign w:val="baseline"/>
        </w:rPr>
        <w:t> </w:t>
      </w:r>
      <w:r>
        <w:rPr>
          <w:sz w:val="20"/>
          <w:vertAlign w:val="baseline"/>
        </w:rPr>
        <w:t>a</w:t>
      </w:r>
      <w:r>
        <w:rPr>
          <w:spacing w:val="-4"/>
          <w:sz w:val="20"/>
          <w:vertAlign w:val="baseline"/>
        </w:rPr>
        <w:t> </w:t>
      </w:r>
      <w:r>
        <w:rPr>
          <w:sz w:val="20"/>
          <w:vertAlign w:val="baseline"/>
        </w:rPr>
        <w:t>sole</w:t>
      </w:r>
      <w:r>
        <w:rPr>
          <w:spacing w:val="-5"/>
          <w:sz w:val="20"/>
          <w:vertAlign w:val="baseline"/>
        </w:rPr>
        <w:t> </w:t>
      </w:r>
      <w:r>
        <w:rPr>
          <w:sz w:val="20"/>
          <w:vertAlign w:val="baseline"/>
        </w:rPr>
        <w:t>occupancy</w:t>
      </w:r>
      <w:r>
        <w:rPr>
          <w:spacing w:val="-5"/>
          <w:sz w:val="20"/>
          <w:vertAlign w:val="baseline"/>
        </w:rPr>
        <w:t> </w:t>
      </w:r>
      <w:r>
        <w:rPr>
          <w:sz w:val="20"/>
          <w:vertAlign w:val="baseline"/>
        </w:rPr>
        <w:t>unit</w:t>
      </w:r>
      <w:r>
        <w:rPr>
          <w:spacing w:val="-4"/>
          <w:sz w:val="20"/>
          <w:vertAlign w:val="baseline"/>
        </w:rPr>
        <w:t> </w:t>
      </w:r>
      <w:r>
        <w:rPr>
          <w:sz w:val="20"/>
          <w:vertAlign w:val="baseline"/>
        </w:rPr>
        <w:t>are</w:t>
      </w:r>
      <w:r>
        <w:rPr>
          <w:spacing w:val="-5"/>
          <w:sz w:val="20"/>
          <w:vertAlign w:val="baseline"/>
        </w:rPr>
        <w:t> </w:t>
      </w:r>
      <w:r>
        <w:rPr>
          <w:sz w:val="20"/>
          <w:vertAlign w:val="baseline"/>
        </w:rPr>
        <w:t>not</w:t>
      </w:r>
      <w:r>
        <w:rPr>
          <w:spacing w:val="-4"/>
          <w:sz w:val="20"/>
          <w:vertAlign w:val="baseline"/>
        </w:rPr>
        <w:t> </w:t>
      </w:r>
      <w:r>
        <w:rPr>
          <w:sz w:val="20"/>
          <w:vertAlign w:val="baseline"/>
        </w:rPr>
        <w:t>required</w:t>
      </w:r>
      <w:r>
        <w:rPr>
          <w:spacing w:val="-5"/>
          <w:sz w:val="20"/>
          <w:vertAlign w:val="baseline"/>
        </w:rPr>
        <w:t> </w:t>
      </w:r>
      <w:r>
        <w:rPr>
          <w:sz w:val="20"/>
          <w:vertAlign w:val="baseline"/>
        </w:rPr>
        <w:t>to</w:t>
      </w:r>
      <w:r>
        <w:rPr>
          <w:spacing w:val="-4"/>
          <w:sz w:val="20"/>
          <w:vertAlign w:val="baseline"/>
        </w:rPr>
        <w:t> </w:t>
      </w:r>
      <w:r>
        <w:rPr>
          <w:sz w:val="20"/>
          <w:vertAlign w:val="baseline"/>
        </w:rPr>
        <w:t>be</w:t>
      </w:r>
      <w:r>
        <w:rPr>
          <w:spacing w:val="-5"/>
          <w:sz w:val="20"/>
          <w:vertAlign w:val="baseline"/>
        </w:rPr>
        <w:t> </w:t>
      </w:r>
      <w:r>
        <w:rPr>
          <w:spacing w:val="-2"/>
          <w:sz w:val="20"/>
          <w:vertAlign w:val="baseline"/>
        </w:rPr>
        <w:t>accessible.</w:t>
      </w:r>
    </w:p>
    <w:p>
      <w:pPr>
        <w:spacing w:after="0"/>
        <w:jc w:val="left"/>
        <w:rPr>
          <w:sz w:val="20"/>
        </w:rPr>
        <w:sectPr>
          <w:footerReference w:type="default" r:id="rId10"/>
          <w:pgSz w:w="12240" w:h="15840"/>
          <w:pgMar w:footer="1140" w:header="0" w:top="1360" w:bottom="1340" w:left="1560" w:right="1500"/>
        </w:sectPr>
      </w:pPr>
    </w:p>
    <w:p>
      <w:pPr>
        <w:pStyle w:val="ListParagraph"/>
        <w:numPr>
          <w:ilvl w:val="3"/>
          <w:numId w:val="10"/>
        </w:numPr>
        <w:tabs>
          <w:tab w:pos="951" w:val="left" w:leader="none"/>
          <w:tab w:pos="952" w:val="left" w:leader="none"/>
        </w:tabs>
        <w:spacing w:line="240" w:lineRule="auto" w:before="80" w:after="0"/>
        <w:ind w:left="951" w:right="0" w:hanging="357"/>
        <w:jc w:val="left"/>
        <w:rPr>
          <w:sz w:val="24"/>
        </w:rPr>
      </w:pPr>
      <w:bookmarkStart w:name="_bookmark12" w:id="41"/>
      <w:bookmarkEnd w:id="41"/>
      <w:r>
        <w:rPr>
          <w:sz w:val="24"/>
        </w:rPr>
        <w:t>visua</w:t>
      </w:r>
      <w:r>
        <w:rPr>
          <w:sz w:val="24"/>
        </w:rPr>
        <w:t>l</w:t>
      </w:r>
      <w:r>
        <w:rPr>
          <w:spacing w:val="-7"/>
          <w:sz w:val="24"/>
        </w:rPr>
        <w:t> </w:t>
      </w:r>
      <w:r>
        <w:rPr>
          <w:sz w:val="24"/>
        </w:rPr>
        <w:t>indicators</w:t>
      </w:r>
      <w:r>
        <w:rPr>
          <w:spacing w:val="-4"/>
          <w:sz w:val="24"/>
        </w:rPr>
        <w:t> </w:t>
      </w:r>
      <w:r>
        <w:rPr>
          <w:sz w:val="24"/>
        </w:rPr>
        <w:t>will</w:t>
      </w:r>
      <w:r>
        <w:rPr>
          <w:spacing w:val="-4"/>
          <w:sz w:val="24"/>
        </w:rPr>
        <w:t> </w:t>
      </w:r>
      <w:r>
        <w:rPr>
          <w:sz w:val="24"/>
        </w:rPr>
        <w:t>be</w:t>
      </w:r>
      <w:r>
        <w:rPr>
          <w:spacing w:val="-4"/>
          <w:sz w:val="24"/>
        </w:rPr>
        <w:t> </w:t>
      </w:r>
      <w:r>
        <w:rPr>
          <w:sz w:val="24"/>
        </w:rPr>
        <w:t>required</w:t>
      </w:r>
      <w:r>
        <w:rPr>
          <w:spacing w:val="-4"/>
          <w:sz w:val="24"/>
        </w:rPr>
        <w:t> </w:t>
      </w:r>
      <w:r>
        <w:rPr>
          <w:sz w:val="24"/>
        </w:rPr>
        <w:t>on</w:t>
      </w:r>
      <w:r>
        <w:rPr>
          <w:spacing w:val="-5"/>
          <w:sz w:val="24"/>
        </w:rPr>
        <w:t> </w:t>
      </w:r>
      <w:r>
        <w:rPr>
          <w:sz w:val="24"/>
        </w:rPr>
        <w:t>glazing</w:t>
      </w:r>
      <w:r>
        <w:rPr>
          <w:spacing w:val="-4"/>
          <w:sz w:val="24"/>
        </w:rPr>
        <w:t> </w:t>
      </w:r>
      <w:r>
        <w:rPr>
          <w:sz w:val="24"/>
        </w:rPr>
        <w:t>along</w:t>
      </w:r>
      <w:r>
        <w:rPr>
          <w:spacing w:val="-4"/>
          <w:sz w:val="24"/>
        </w:rPr>
        <w:t> </w:t>
      </w:r>
      <w:r>
        <w:rPr>
          <w:sz w:val="24"/>
        </w:rPr>
        <w:t>an</w:t>
      </w:r>
      <w:r>
        <w:rPr>
          <w:spacing w:val="-4"/>
          <w:sz w:val="24"/>
        </w:rPr>
        <w:t> </w:t>
      </w:r>
      <w:r>
        <w:rPr>
          <w:sz w:val="24"/>
        </w:rPr>
        <w:t>accessway;</w:t>
      </w:r>
      <w:r>
        <w:rPr>
          <w:spacing w:val="-4"/>
          <w:sz w:val="24"/>
        </w:rPr>
        <w:t> </w:t>
      </w:r>
      <w:r>
        <w:rPr>
          <w:spacing w:val="-5"/>
          <w:sz w:val="24"/>
        </w:rPr>
        <w:t>and</w:t>
      </w:r>
    </w:p>
    <w:p>
      <w:pPr>
        <w:pStyle w:val="ListParagraph"/>
        <w:numPr>
          <w:ilvl w:val="3"/>
          <w:numId w:val="10"/>
        </w:numPr>
        <w:tabs>
          <w:tab w:pos="951" w:val="left" w:leader="none"/>
          <w:tab w:pos="952" w:val="left" w:leader="none"/>
        </w:tabs>
        <w:spacing w:line="237" w:lineRule="auto" w:before="122" w:after="0"/>
        <w:ind w:left="951" w:right="293" w:hanging="357"/>
        <w:jc w:val="left"/>
        <w:rPr>
          <w:sz w:val="24"/>
        </w:rPr>
      </w:pPr>
      <w:r>
        <w:rPr>
          <w:sz w:val="24"/>
        </w:rPr>
        <w:t>step and threshold ramp configurations will be revised to make them safer for people who use wheelchairs.</w:t>
      </w:r>
    </w:p>
    <w:p>
      <w:pPr>
        <w:pStyle w:val="BodyText"/>
        <w:spacing w:before="6"/>
        <w:rPr>
          <w:sz w:val="34"/>
        </w:rPr>
      </w:pPr>
    </w:p>
    <w:p>
      <w:pPr>
        <w:pStyle w:val="Heading5"/>
        <w:jc w:val="left"/>
        <w:rPr>
          <w:i/>
        </w:rPr>
      </w:pPr>
      <w:r>
        <w:rPr>
          <w:i/>
        </w:rPr>
        <w:t>Change</w:t>
      </w:r>
      <w:r>
        <w:rPr>
          <w:i/>
          <w:spacing w:val="-8"/>
        </w:rPr>
        <w:t> </w:t>
      </w:r>
      <w:r>
        <w:rPr>
          <w:i/>
        </w:rPr>
        <w:t>from</w:t>
      </w:r>
      <w:r>
        <w:rPr>
          <w:i/>
          <w:spacing w:val="-8"/>
        </w:rPr>
        <w:t> </w:t>
      </w:r>
      <w:r>
        <w:rPr>
          <w:i/>
        </w:rPr>
        <w:t>the</w:t>
      </w:r>
      <w:r>
        <w:rPr>
          <w:i/>
          <w:spacing w:val="-8"/>
        </w:rPr>
        <w:t> </w:t>
      </w:r>
      <w:r>
        <w:rPr>
          <w:i/>
        </w:rPr>
        <w:t>2004</w:t>
      </w:r>
      <w:r>
        <w:rPr>
          <w:i/>
          <w:spacing w:val="-7"/>
        </w:rPr>
        <w:t> </w:t>
      </w:r>
      <w:r>
        <w:rPr>
          <w:i/>
        </w:rPr>
        <w:t>draft</w:t>
      </w:r>
      <w:r>
        <w:rPr>
          <w:i/>
          <w:spacing w:val="-8"/>
        </w:rPr>
        <w:t> </w:t>
      </w:r>
      <w:r>
        <w:rPr>
          <w:i/>
          <w:spacing w:val="-2"/>
        </w:rPr>
        <w:t>proposal</w:t>
      </w:r>
    </w:p>
    <w:p>
      <w:pPr>
        <w:spacing w:before="121"/>
        <w:ind w:left="237" w:right="0" w:firstLine="0"/>
        <w:jc w:val="left"/>
        <w:rPr>
          <w:i/>
          <w:sz w:val="24"/>
        </w:rPr>
      </w:pPr>
      <w:r>
        <w:rPr>
          <w:i/>
          <w:sz w:val="24"/>
        </w:rPr>
        <w:t>The</w:t>
      </w:r>
      <w:r>
        <w:rPr>
          <w:i/>
          <w:spacing w:val="-6"/>
          <w:sz w:val="24"/>
        </w:rPr>
        <w:t> </w:t>
      </w:r>
      <w:r>
        <w:rPr>
          <w:i/>
          <w:sz w:val="24"/>
        </w:rPr>
        <w:t>2004</w:t>
      </w:r>
      <w:r>
        <w:rPr>
          <w:i/>
          <w:spacing w:val="-5"/>
          <w:sz w:val="24"/>
        </w:rPr>
        <w:t> </w:t>
      </w:r>
      <w:r>
        <w:rPr>
          <w:i/>
          <w:sz w:val="24"/>
        </w:rPr>
        <w:t>draft</w:t>
      </w:r>
      <w:r>
        <w:rPr>
          <w:i/>
          <w:spacing w:val="-5"/>
          <w:sz w:val="24"/>
        </w:rPr>
        <w:t> </w:t>
      </w:r>
      <w:r>
        <w:rPr>
          <w:i/>
          <w:sz w:val="24"/>
        </w:rPr>
        <w:t>proposal</w:t>
      </w:r>
      <w:r>
        <w:rPr>
          <w:i/>
          <w:spacing w:val="-5"/>
          <w:sz w:val="24"/>
        </w:rPr>
        <w:t> </w:t>
      </w:r>
      <w:r>
        <w:rPr>
          <w:i/>
          <w:sz w:val="24"/>
        </w:rPr>
        <w:t>applied</w:t>
      </w:r>
      <w:r>
        <w:rPr>
          <w:i/>
          <w:spacing w:val="-5"/>
          <w:sz w:val="24"/>
        </w:rPr>
        <w:t> </w:t>
      </w:r>
      <w:r>
        <w:rPr>
          <w:i/>
          <w:sz w:val="24"/>
        </w:rPr>
        <w:t>the</w:t>
      </w:r>
      <w:r>
        <w:rPr>
          <w:i/>
          <w:spacing w:val="-5"/>
          <w:sz w:val="24"/>
        </w:rPr>
        <w:t> </w:t>
      </w:r>
      <w:r>
        <w:rPr>
          <w:i/>
          <w:sz w:val="24"/>
        </w:rPr>
        <w:t>90th</w:t>
      </w:r>
      <w:r>
        <w:rPr>
          <w:i/>
          <w:spacing w:val="-5"/>
          <w:sz w:val="24"/>
        </w:rPr>
        <w:t> </w:t>
      </w:r>
      <w:r>
        <w:rPr>
          <w:i/>
          <w:sz w:val="24"/>
        </w:rPr>
        <w:t>percentile</w:t>
      </w:r>
      <w:r>
        <w:rPr>
          <w:i/>
          <w:spacing w:val="-5"/>
          <w:sz w:val="24"/>
        </w:rPr>
        <w:t> </w:t>
      </w:r>
      <w:r>
        <w:rPr>
          <w:i/>
          <w:sz w:val="24"/>
        </w:rPr>
        <w:t>dimensions</w:t>
      </w:r>
      <w:r>
        <w:rPr>
          <w:i/>
          <w:spacing w:val="-5"/>
          <w:sz w:val="24"/>
        </w:rPr>
        <w:t> </w:t>
      </w:r>
      <w:r>
        <w:rPr>
          <w:i/>
          <w:sz w:val="24"/>
        </w:rPr>
        <w:t>in</w:t>
      </w:r>
      <w:r>
        <w:rPr>
          <w:i/>
          <w:spacing w:val="-5"/>
          <w:sz w:val="24"/>
        </w:rPr>
        <w:t> </w:t>
      </w:r>
      <w:r>
        <w:rPr>
          <w:i/>
          <w:sz w:val="24"/>
        </w:rPr>
        <w:t>all</w:t>
      </w:r>
      <w:r>
        <w:rPr>
          <w:i/>
          <w:spacing w:val="-6"/>
          <w:sz w:val="24"/>
        </w:rPr>
        <w:t> </w:t>
      </w:r>
      <w:r>
        <w:rPr>
          <w:i/>
          <w:spacing w:val="-2"/>
          <w:sz w:val="24"/>
        </w:rPr>
        <w:t>contexts.</w:t>
      </w:r>
    </w:p>
    <w:p>
      <w:pPr>
        <w:pStyle w:val="BodyText"/>
        <w:rPr>
          <w:i/>
          <w:sz w:val="26"/>
        </w:rPr>
      </w:pPr>
    </w:p>
    <w:p>
      <w:pPr>
        <w:pStyle w:val="Heading3"/>
        <w:numPr>
          <w:ilvl w:val="2"/>
          <w:numId w:val="10"/>
        </w:numPr>
        <w:tabs>
          <w:tab w:pos="1138" w:val="left" w:leader="none"/>
        </w:tabs>
        <w:spacing w:line="240" w:lineRule="auto" w:before="218" w:after="0"/>
        <w:ind w:left="237" w:right="293" w:firstLine="0"/>
        <w:jc w:val="both"/>
      </w:pPr>
      <w:bookmarkStart w:name="5.2.19 AS 1428.4 Design for access and m" w:id="42"/>
      <w:bookmarkEnd w:id="42"/>
      <w:r>
        <w:rPr/>
        <w:t>A</w:t>
      </w:r>
      <w:r>
        <w:rPr/>
        <w:t>S 1428.4 Design for access and mobility – Tactile ground surface</w:t>
      </w:r>
      <w:r>
        <w:rPr>
          <w:spacing w:val="-6"/>
        </w:rPr>
        <w:t> </w:t>
      </w:r>
      <w:r>
        <w:rPr/>
        <w:t>indicators</w:t>
      </w:r>
      <w:r>
        <w:rPr>
          <w:spacing w:val="-4"/>
        </w:rPr>
        <w:t> </w:t>
      </w:r>
      <w:r>
        <w:rPr/>
        <w:t>for</w:t>
      </w:r>
      <w:r>
        <w:rPr>
          <w:spacing w:val="-2"/>
        </w:rPr>
        <w:t> </w:t>
      </w:r>
      <w:r>
        <w:rPr/>
        <w:t>the</w:t>
      </w:r>
      <w:r>
        <w:rPr>
          <w:spacing w:val="-3"/>
        </w:rPr>
        <w:t> </w:t>
      </w:r>
      <w:r>
        <w:rPr/>
        <w:t>orientation</w:t>
      </w:r>
      <w:r>
        <w:rPr>
          <w:spacing w:val="-4"/>
        </w:rPr>
        <w:t> </w:t>
      </w:r>
      <w:r>
        <w:rPr/>
        <w:t>of</w:t>
      </w:r>
      <w:r>
        <w:rPr>
          <w:spacing w:val="-4"/>
        </w:rPr>
        <w:t> </w:t>
      </w:r>
      <w:r>
        <w:rPr/>
        <w:t>people</w:t>
      </w:r>
      <w:r>
        <w:rPr>
          <w:spacing w:val="-3"/>
        </w:rPr>
        <w:t> </w:t>
      </w:r>
      <w:r>
        <w:rPr/>
        <w:t>with</w:t>
      </w:r>
      <w:r>
        <w:rPr>
          <w:spacing w:val="-4"/>
        </w:rPr>
        <w:t> </w:t>
      </w:r>
      <w:r>
        <w:rPr/>
        <w:t>visual</w:t>
      </w:r>
      <w:r>
        <w:rPr>
          <w:spacing w:val="-3"/>
        </w:rPr>
        <w:t> </w:t>
      </w:r>
      <w:r>
        <w:rPr>
          <w:spacing w:val="-2"/>
        </w:rPr>
        <w:t>impairment</w:t>
      </w:r>
    </w:p>
    <w:p>
      <w:pPr>
        <w:pStyle w:val="BodyText"/>
        <w:spacing w:before="117"/>
        <w:ind w:left="237" w:right="295"/>
        <w:jc w:val="both"/>
      </w:pPr>
      <w:r>
        <w:rPr/>
        <w:t>A new edition of this Australian Standard is to be adopted.</w:t>
      </w:r>
      <w:r>
        <w:rPr>
          <w:spacing w:val="40"/>
        </w:rPr>
        <w:t> </w:t>
      </w:r>
      <w:r>
        <w:rPr/>
        <w:t>There are no significant changes proposed to this Standard but the location of information has been rearranged to enable only those sections to be referenced which are applicable to the design and construction of buildings.</w:t>
      </w:r>
    </w:p>
    <w:p>
      <w:pPr>
        <w:pStyle w:val="BodyText"/>
        <w:spacing w:before="6"/>
        <w:rPr>
          <w:sz w:val="34"/>
        </w:rPr>
      </w:pPr>
    </w:p>
    <w:p>
      <w:pPr>
        <w:spacing w:before="0"/>
        <w:ind w:left="237" w:right="0" w:firstLine="0"/>
        <w:jc w:val="both"/>
        <w:rPr>
          <w:b/>
          <w:i/>
          <w:sz w:val="24"/>
        </w:rPr>
      </w:pPr>
      <w:r>
        <w:rPr>
          <w:b/>
          <w:i/>
          <w:sz w:val="24"/>
        </w:rPr>
        <w:t>No</w:t>
      </w:r>
      <w:r>
        <w:rPr>
          <w:b/>
          <w:i/>
          <w:spacing w:val="-5"/>
          <w:sz w:val="24"/>
        </w:rPr>
        <w:t> </w:t>
      </w:r>
      <w:r>
        <w:rPr>
          <w:b/>
          <w:i/>
          <w:sz w:val="24"/>
        </w:rPr>
        <w:t>Change</w:t>
      </w:r>
      <w:r>
        <w:rPr>
          <w:b/>
          <w:i/>
          <w:spacing w:val="-5"/>
          <w:sz w:val="24"/>
        </w:rPr>
        <w:t> </w:t>
      </w:r>
      <w:r>
        <w:rPr>
          <w:b/>
          <w:i/>
          <w:sz w:val="24"/>
        </w:rPr>
        <w:t>from</w:t>
      </w:r>
      <w:r>
        <w:rPr>
          <w:b/>
          <w:i/>
          <w:spacing w:val="-4"/>
          <w:sz w:val="24"/>
        </w:rPr>
        <w:t> </w:t>
      </w:r>
      <w:r>
        <w:rPr>
          <w:b/>
          <w:i/>
          <w:sz w:val="24"/>
        </w:rPr>
        <w:t>the</w:t>
      </w:r>
      <w:r>
        <w:rPr>
          <w:b/>
          <w:i/>
          <w:spacing w:val="-5"/>
          <w:sz w:val="24"/>
        </w:rPr>
        <w:t> </w:t>
      </w:r>
      <w:r>
        <w:rPr>
          <w:b/>
          <w:i/>
          <w:sz w:val="24"/>
        </w:rPr>
        <w:t>2004</w:t>
      </w:r>
      <w:r>
        <w:rPr>
          <w:b/>
          <w:i/>
          <w:spacing w:val="-4"/>
          <w:sz w:val="24"/>
        </w:rPr>
        <w:t> </w:t>
      </w:r>
      <w:r>
        <w:rPr>
          <w:b/>
          <w:i/>
          <w:sz w:val="24"/>
        </w:rPr>
        <w:t>draft</w:t>
      </w:r>
      <w:r>
        <w:rPr>
          <w:b/>
          <w:i/>
          <w:spacing w:val="-4"/>
          <w:sz w:val="24"/>
        </w:rPr>
        <w:t> </w:t>
      </w:r>
      <w:r>
        <w:rPr>
          <w:b/>
          <w:i/>
          <w:spacing w:val="-2"/>
          <w:sz w:val="24"/>
        </w:rPr>
        <w:t>proposal</w:t>
      </w:r>
    </w:p>
    <w:p>
      <w:pPr>
        <w:pStyle w:val="BodyText"/>
        <w:rPr>
          <w:b/>
          <w:i/>
          <w:sz w:val="26"/>
        </w:rPr>
      </w:pPr>
    </w:p>
    <w:p>
      <w:pPr>
        <w:pStyle w:val="Heading3"/>
        <w:numPr>
          <w:ilvl w:val="2"/>
          <w:numId w:val="10"/>
        </w:numPr>
        <w:tabs>
          <w:tab w:pos="1138" w:val="left" w:leader="none"/>
        </w:tabs>
        <w:spacing w:line="240" w:lineRule="auto" w:before="219" w:after="0"/>
        <w:ind w:left="1137" w:right="0" w:hanging="901"/>
        <w:jc w:val="both"/>
      </w:pPr>
      <w:bookmarkStart w:name="5.2.20 AS 2890.1 Parking facilities – Of" w:id="43"/>
      <w:bookmarkEnd w:id="43"/>
      <w:r>
        <w:rPr/>
        <w:t>A</w:t>
      </w:r>
      <w:r>
        <w:rPr/>
        <w:t>S</w:t>
      </w:r>
      <w:r>
        <w:rPr>
          <w:spacing w:val="-7"/>
        </w:rPr>
        <w:t> </w:t>
      </w:r>
      <w:r>
        <w:rPr/>
        <w:t>2890.1</w:t>
      </w:r>
      <w:r>
        <w:rPr>
          <w:spacing w:val="-4"/>
        </w:rPr>
        <w:t> </w:t>
      </w:r>
      <w:r>
        <w:rPr/>
        <w:t>Parking</w:t>
      </w:r>
      <w:r>
        <w:rPr>
          <w:spacing w:val="-5"/>
        </w:rPr>
        <w:t> </w:t>
      </w:r>
      <w:r>
        <w:rPr/>
        <w:t>facilities</w:t>
      </w:r>
      <w:r>
        <w:rPr>
          <w:spacing w:val="-4"/>
        </w:rPr>
        <w:t> </w:t>
      </w:r>
      <w:r>
        <w:rPr/>
        <w:t>–</w:t>
      </w:r>
      <w:r>
        <w:rPr>
          <w:spacing w:val="-5"/>
        </w:rPr>
        <w:t> </w:t>
      </w:r>
      <w:r>
        <w:rPr/>
        <w:t>Off-street</w:t>
      </w:r>
      <w:r>
        <w:rPr>
          <w:spacing w:val="-4"/>
        </w:rPr>
        <w:t> </w:t>
      </w:r>
      <w:r>
        <w:rPr/>
        <w:t>car</w:t>
      </w:r>
      <w:r>
        <w:rPr>
          <w:spacing w:val="-4"/>
        </w:rPr>
        <w:t> </w:t>
      </w:r>
      <w:r>
        <w:rPr>
          <w:spacing w:val="-2"/>
        </w:rPr>
        <w:t>parking</w:t>
      </w:r>
    </w:p>
    <w:p>
      <w:pPr>
        <w:pStyle w:val="BodyText"/>
        <w:spacing w:before="117"/>
        <w:ind w:left="237" w:right="294"/>
        <w:jc w:val="both"/>
      </w:pPr>
      <w:r>
        <w:rPr/>
        <w:t>A new edition of this Australian Standard is to be adopted, incorporating new configurations for car parks.</w:t>
      </w:r>
    </w:p>
    <w:p>
      <w:pPr>
        <w:pStyle w:val="BodyText"/>
        <w:spacing w:before="6"/>
        <w:rPr>
          <w:sz w:val="34"/>
        </w:rPr>
      </w:pPr>
    </w:p>
    <w:p>
      <w:pPr>
        <w:spacing w:before="0"/>
        <w:ind w:left="237" w:right="0" w:firstLine="0"/>
        <w:jc w:val="both"/>
        <w:rPr>
          <w:b/>
          <w:i/>
          <w:sz w:val="24"/>
        </w:rPr>
      </w:pPr>
      <w:r>
        <w:rPr>
          <w:b/>
          <w:i/>
          <w:sz w:val="24"/>
        </w:rPr>
        <w:t>No</w:t>
      </w:r>
      <w:r>
        <w:rPr>
          <w:b/>
          <w:i/>
          <w:spacing w:val="-5"/>
          <w:sz w:val="24"/>
        </w:rPr>
        <w:t> </w:t>
      </w:r>
      <w:r>
        <w:rPr>
          <w:b/>
          <w:i/>
          <w:sz w:val="24"/>
        </w:rPr>
        <w:t>Change</w:t>
      </w:r>
      <w:r>
        <w:rPr>
          <w:b/>
          <w:i/>
          <w:spacing w:val="-5"/>
          <w:sz w:val="24"/>
        </w:rPr>
        <w:t> </w:t>
      </w:r>
      <w:r>
        <w:rPr>
          <w:b/>
          <w:i/>
          <w:sz w:val="24"/>
        </w:rPr>
        <w:t>from</w:t>
      </w:r>
      <w:r>
        <w:rPr>
          <w:b/>
          <w:i/>
          <w:spacing w:val="-4"/>
          <w:sz w:val="24"/>
        </w:rPr>
        <w:t> </w:t>
      </w:r>
      <w:r>
        <w:rPr>
          <w:b/>
          <w:i/>
          <w:sz w:val="24"/>
        </w:rPr>
        <w:t>the</w:t>
      </w:r>
      <w:r>
        <w:rPr>
          <w:b/>
          <w:i/>
          <w:spacing w:val="-5"/>
          <w:sz w:val="24"/>
        </w:rPr>
        <w:t> </w:t>
      </w:r>
      <w:r>
        <w:rPr>
          <w:b/>
          <w:i/>
          <w:sz w:val="24"/>
        </w:rPr>
        <w:t>2004</w:t>
      </w:r>
      <w:r>
        <w:rPr>
          <w:b/>
          <w:i/>
          <w:spacing w:val="-4"/>
          <w:sz w:val="24"/>
        </w:rPr>
        <w:t> </w:t>
      </w:r>
      <w:r>
        <w:rPr>
          <w:b/>
          <w:i/>
          <w:sz w:val="24"/>
        </w:rPr>
        <w:t>draft</w:t>
      </w:r>
      <w:r>
        <w:rPr>
          <w:b/>
          <w:i/>
          <w:spacing w:val="-4"/>
          <w:sz w:val="24"/>
        </w:rPr>
        <w:t> </w:t>
      </w:r>
      <w:r>
        <w:rPr>
          <w:b/>
          <w:i/>
          <w:spacing w:val="-2"/>
          <w:sz w:val="24"/>
        </w:rPr>
        <w:t>proposal</w:t>
      </w:r>
    </w:p>
    <w:p>
      <w:pPr>
        <w:pStyle w:val="BodyText"/>
        <w:spacing w:before="6"/>
        <w:rPr>
          <w:b/>
          <w:i/>
          <w:sz w:val="34"/>
        </w:rPr>
      </w:pPr>
    </w:p>
    <w:p>
      <w:pPr>
        <w:pStyle w:val="Heading2"/>
        <w:numPr>
          <w:ilvl w:val="1"/>
          <w:numId w:val="10"/>
        </w:numPr>
        <w:tabs>
          <w:tab w:pos="958" w:val="left" w:leader="none"/>
          <w:tab w:pos="959" w:val="left" w:leader="none"/>
        </w:tabs>
        <w:spacing w:line="240" w:lineRule="auto" w:before="0" w:after="0"/>
        <w:ind w:left="237" w:right="1016" w:firstLine="0"/>
        <w:jc w:val="left"/>
      </w:pPr>
      <w:bookmarkStart w:name="5.3 Decision criteria for specific eleme" w:id="44"/>
      <w:bookmarkEnd w:id="44"/>
      <w:r>
        <w:rPr>
          <w:i/>
        </w:rPr>
        <w:t>Decision</w:t>
      </w:r>
      <w:r>
        <w:rPr>
          <w:i/>
          <w:spacing w:val="-6"/>
        </w:rPr>
        <w:t> </w:t>
      </w:r>
      <w:r>
        <w:rPr>
          <w:i/>
        </w:rPr>
        <w:t>criteria</w:t>
      </w:r>
      <w:r>
        <w:rPr>
          <w:i/>
          <w:spacing w:val="-6"/>
        </w:rPr>
        <w:t> </w:t>
      </w:r>
      <w:r>
        <w:rPr>
          <w:i/>
        </w:rPr>
        <w:t>for</w:t>
      </w:r>
      <w:r>
        <w:rPr>
          <w:i/>
          <w:spacing w:val="-6"/>
        </w:rPr>
        <w:t> </w:t>
      </w:r>
      <w:r>
        <w:rPr>
          <w:i/>
        </w:rPr>
        <w:t>specific</w:t>
      </w:r>
      <w:r>
        <w:rPr>
          <w:i/>
          <w:spacing w:val="-6"/>
        </w:rPr>
        <w:t> </w:t>
      </w:r>
      <w:r>
        <w:rPr>
          <w:i/>
        </w:rPr>
        <w:t>elements</w:t>
      </w:r>
      <w:r>
        <w:rPr>
          <w:i/>
          <w:spacing w:val="-6"/>
        </w:rPr>
        <w:t> </w:t>
      </w:r>
      <w:r>
        <w:rPr>
          <w:i/>
        </w:rPr>
        <w:t>of</w:t>
      </w:r>
      <w:r>
        <w:rPr>
          <w:i/>
          <w:spacing w:val="-6"/>
        </w:rPr>
        <w:t> </w:t>
      </w:r>
      <w:r>
        <w:rPr>
          <w:i/>
        </w:rPr>
        <w:t>the</w:t>
      </w:r>
      <w:r>
        <w:rPr>
          <w:i/>
          <w:spacing w:val="-6"/>
        </w:rPr>
        <w:t> </w:t>
      </w:r>
      <w:r>
        <w:rPr>
          <w:i/>
        </w:rPr>
        <w:t>Premises</w:t>
      </w:r>
      <w:r>
        <w:rPr/>
        <w:t> </w:t>
      </w:r>
      <w:r>
        <w:rPr>
          <w:spacing w:val="-2"/>
        </w:rPr>
        <w:t>Standards</w:t>
      </w:r>
    </w:p>
    <w:p>
      <w:pPr>
        <w:pStyle w:val="BodyText"/>
        <w:spacing w:before="10"/>
        <w:rPr>
          <w:b/>
          <w:i/>
          <w:sz w:val="23"/>
        </w:rPr>
      </w:pPr>
    </w:p>
    <w:p>
      <w:pPr>
        <w:pStyle w:val="BodyText"/>
        <w:ind w:left="237" w:right="294"/>
        <w:jc w:val="both"/>
      </w:pPr>
      <w:r>
        <w:rPr/>
        <w:t>The above discussion of the specific provisions of the proposed Standards indicates that there are several areas in which partial or total exemptions from general requirements have been adopted. These exemptions have, indeed, become more numerous in the course of moving from the original proposal to the currently</w:t>
      </w:r>
      <w:r>
        <w:rPr>
          <w:spacing w:val="-2"/>
        </w:rPr>
        <w:t> </w:t>
      </w:r>
      <w:r>
        <w:rPr/>
        <w:t>proposed</w:t>
      </w:r>
      <w:r>
        <w:rPr>
          <w:spacing w:val="-2"/>
        </w:rPr>
        <w:t> </w:t>
      </w:r>
      <w:r>
        <w:rPr/>
        <w:t>Standards.</w:t>
      </w:r>
      <w:r>
        <w:rPr>
          <w:spacing w:val="40"/>
        </w:rPr>
        <w:t> </w:t>
      </w:r>
      <w:r>
        <w:rPr/>
        <w:t>In</w:t>
      </w:r>
      <w:r>
        <w:rPr>
          <w:spacing w:val="-2"/>
        </w:rPr>
        <w:t> </w:t>
      </w:r>
      <w:r>
        <w:rPr/>
        <w:t>addition,</w:t>
      </w:r>
      <w:r>
        <w:rPr>
          <w:spacing w:val="-2"/>
        </w:rPr>
        <w:t> </w:t>
      </w:r>
      <w:r>
        <w:rPr/>
        <w:t>a</w:t>
      </w:r>
      <w:r>
        <w:rPr>
          <w:spacing w:val="-2"/>
        </w:rPr>
        <w:t> </w:t>
      </w:r>
      <w:r>
        <w:rPr/>
        <w:t>range</w:t>
      </w:r>
      <w:r>
        <w:rPr>
          <w:spacing w:val="-2"/>
        </w:rPr>
        <w:t> </w:t>
      </w:r>
      <w:r>
        <w:rPr/>
        <w:t>of</w:t>
      </w:r>
      <w:r>
        <w:rPr>
          <w:spacing w:val="-2"/>
        </w:rPr>
        <w:t> </w:t>
      </w:r>
      <w:r>
        <w:rPr/>
        <w:t>judgements</w:t>
      </w:r>
      <w:r>
        <w:rPr>
          <w:spacing w:val="-2"/>
        </w:rPr>
        <w:t> </w:t>
      </w:r>
      <w:r>
        <w:rPr/>
        <w:t>have</w:t>
      </w:r>
      <w:r>
        <w:rPr>
          <w:spacing w:val="-2"/>
        </w:rPr>
        <w:t> </w:t>
      </w:r>
      <w:r>
        <w:rPr/>
        <w:t>had</w:t>
      </w:r>
      <w:r>
        <w:rPr>
          <w:spacing w:val="-2"/>
        </w:rPr>
        <w:t> </w:t>
      </w:r>
      <w:r>
        <w:rPr/>
        <w:t>to</w:t>
      </w:r>
      <w:r>
        <w:rPr>
          <w:spacing w:val="-2"/>
        </w:rPr>
        <w:t> </w:t>
      </w:r>
      <w:r>
        <w:rPr/>
        <w:t>be made as to the appropriate degree of access to be provided. For example, the original proposal that all building entrances be accessible was modified such that it is currently proposed that only 50% of building entrances will be required to be made accessible.</w:t>
      </w:r>
    </w:p>
    <w:p>
      <w:pPr>
        <w:pStyle w:val="BodyText"/>
      </w:pPr>
    </w:p>
    <w:p>
      <w:pPr>
        <w:pStyle w:val="BodyText"/>
        <w:ind w:left="237"/>
        <w:jc w:val="both"/>
      </w:pPr>
      <w:r>
        <w:rPr/>
        <w:t>Decision-making</w:t>
      </w:r>
      <w:r>
        <w:rPr>
          <w:spacing w:val="-12"/>
        </w:rPr>
        <w:t> </w:t>
      </w:r>
      <w:r>
        <w:rPr/>
        <w:t>has</w:t>
      </w:r>
      <w:r>
        <w:rPr>
          <w:spacing w:val="-11"/>
        </w:rPr>
        <w:t> </w:t>
      </w:r>
      <w:r>
        <w:rPr/>
        <w:t>been</w:t>
      </w:r>
      <w:r>
        <w:rPr>
          <w:spacing w:val="-11"/>
        </w:rPr>
        <w:t> </w:t>
      </w:r>
      <w:r>
        <w:rPr/>
        <w:t>informed</w:t>
      </w:r>
      <w:r>
        <w:rPr>
          <w:spacing w:val="-12"/>
        </w:rPr>
        <w:t> </w:t>
      </w:r>
      <w:r>
        <w:rPr/>
        <w:t>by</w:t>
      </w:r>
      <w:r>
        <w:rPr>
          <w:spacing w:val="-11"/>
        </w:rPr>
        <w:t> </w:t>
      </w:r>
      <w:r>
        <w:rPr/>
        <w:t>the</w:t>
      </w:r>
      <w:r>
        <w:rPr>
          <w:spacing w:val="-11"/>
        </w:rPr>
        <w:t> </w:t>
      </w:r>
      <w:r>
        <w:rPr/>
        <w:t>following</w:t>
      </w:r>
      <w:r>
        <w:rPr>
          <w:spacing w:val="-12"/>
        </w:rPr>
        <w:t> </w:t>
      </w:r>
      <w:r>
        <w:rPr>
          <w:spacing w:val="-2"/>
        </w:rPr>
        <w:t>factors:</w:t>
      </w:r>
    </w:p>
    <w:p>
      <w:pPr>
        <w:pStyle w:val="BodyText"/>
        <w:spacing w:before="1"/>
      </w:pPr>
    </w:p>
    <w:p>
      <w:pPr>
        <w:pStyle w:val="ListParagraph"/>
        <w:numPr>
          <w:ilvl w:val="0"/>
          <w:numId w:val="12"/>
        </w:numPr>
        <w:tabs>
          <w:tab w:pos="957" w:val="left" w:leader="none"/>
          <w:tab w:pos="958" w:val="left" w:leader="none"/>
        </w:tabs>
        <w:spacing w:line="240" w:lineRule="auto" w:before="0" w:after="0"/>
        <w:ind w:left="957" w:right="0" w:hanging="361"/>
        <w:jc w:val="left"/>
        <w:rPr>
          <w:sz w:val="24"/>
        </w:rPr>
      </w:pPr>
      <w:r>
        <w:rPr>
          <w:sz w:val="24"/>
        </w:rPr>
        <w:t>feedback</w:t>
      </w:r>
      <w:r>
        <w:rPr>
          <w:spacing w:val="-3"/>
          <w:sz w:val="24"/>
        </w:rPr>
        <w:t> </w:t>
      </w:r>
      <w:r>
        <w:rPr>
          <w:sz w:val="24"/>
        </w:rPr>
        <w:t>received</w:t>
      </w:r>
      <w:r>
        <w:rPr>
          <w:spacing w:val="-3"/>
          <w:sz w:val="24"/>
        </w:rPr>
        <w:t> </w:t>
      </w:r>
      <w:r>
        <w:rPr>
          <w:sz w:val="24"/>
        </w:rPr>
        <w:t>through</w:t>
      </w:r>
      <w:r>
        <w:rPr>
          <w:spacing w:val="-3"/>
          <w:sz w:val="24"/>
        </w:rPr>
        <w:t> </w:t>
      </w:r>
      <w:r>
        <w:rPr>
          <w:sz w:val="24"/>
        </w:rPr>
        <w:t>the</w:t>
      </w:r>
      <w:r>
        <w:rPr>
          <w:spacing w:val="-3"/>
          <w:sz w:val="24"/>
        </w:rPr>
        <w:t> </w:t>
      </w:r>
      <w:r>
        <w:rPr>
          <w:sz w:val="24"/>
        </w:rPr>
        <w:t>public</w:t>
      </w:r>
      <w:r>
        <w:rPr>
          <w:spacing w:val="-3"/>
          <w:sz w:val="24"/>
        </w:rPr>
        <w:t> </w:t>
      </w:r>
      <w:r>
        <w:rPr>
          <w:sz w:val="24"/>
        </w:rPr>
        <w:t>comment</w:t>
      </w:r>
      <w:r>
        <w:rPr>
          <w:spacing w:val="-3"/>
          <w:sz w:val="24"/>
        </w:rPr>
        <w:t> </w:t>
      </w:r>
      <w:r>
        <w:rPr>
          <w:spacing w:val="-2"/>
          <w:sz w:val="24"/>
        </w:rPr>
        <w:t>process;</w:t>
      </w:r>
    </w:p>
    <w:p>
      <w:pPr>
        <w:pStyle w:val="ListParagraph"/>
        <w:numPr>
          <w:ilvl w:val="0"/>
          <w:numId w:val="12"/>
        </w:numPr>
        <w:tabs>
          <w:tab w:pos="957" w:val="left" w:leader="none"/>
          <w:tab w:pos="958" w:val="left" w:leader="none"/>
        </w:tabs>
        <w:spacing w:line="240" w:lineRule="auto" w:before="118" w:after="0"/>
        <w:ind w:left="957" w:right="0" w:hanging="361"/>
        <w:jc w:val="left"/>
        <w:rPr>
          <w:sz w:val="24"/>
        </w:rPr>
      </w:pPr>
      <w:r>
        <w:rPr>
          <w:sz w:val="24"/>
        </w:rPr>
        <w:t>feedback</w:t>
      </w:r>
      <w:r>
        <w:rPr>
          <w:spacing w:val="-6"/>
          <w:sz w:val="24"/>
        </w:rPr>
        <w:t> </w:t>
      </w:r>
      <w:r>
        <w:rPr>
          <w:sz w:val="24"/>
        </w:rPr>
        <w:t>through</w:t>
      </w:r>
      <w:r>
        <w:rPr>
          <w:spacing w:val="-3"/>
          <w:sz w:val="24"/>
        </w:rPr>
        <w:t> </w:t>
      </w:r>
      <w:r>
        <w:rPr>
          <w:sz w:val="24"/>
        </w:rPr>
        <w:t>further</w:t>
      </w:r>
      <w:r>
        <w:rPr>
          <w:spacing w:val="-4"/>
          <w:sz w:val="24"/>
        </w:rPr>
        <w:t> </w:t>
      </w:r>
      <w:r>
        <w:rPr>
          <w:sz w:val="24"/>
        </w:rPr>
        <w:t>consultation,</w:t>
      </w:r>
      <w:r>
        <w:rPr>
          <w:spacing w:val="-3"/>
          <w:sz w:val="24"/>
        </w:rPr>
        <w:t> </w:t>
      </w:r>
      <w:r>
        <w:rPr>
          <w:sz w:val="24"/>
        </w:rPr>
        <w:t>as</w:t>
      </w:r>
      <w:r>
        <w:rPr>
          <w:spacing w:val="-4"/>
          <w:sz w:val="24"/>
        </w:rPr>
        <w:t> </w:t>
      </w:r>
      <w:r>
        <w:rPr>
          <w:sz w:val="24"/>
        </w:rPr>
        <w:t>discussed</w:t>
      </w:r>
      <w:r>
        <w:rPr>
          <w:spacing w:val="-3"/>
          <w:sz w:val="24"/>
        </w:rPr>
        <w:t> </w:t>
      </w:r>
      <w:r>
        <w:rPr>
          <w:sz w:val="24"/>
        </w:rPr>
        <w:t>in</w:t>
      </w:r>
      <w:r>
        <w:rPr>
          <w:spacing w:val="-4"/>
          <w:sz w:val="24"/>
        </w:rPr>
        <w:t> </w:t>
      </w:r>
      <w:r>
        <w:rPr>
          <w:sz w:val="24"/>
        </w:rPr>
        <w:t>Chapter</w:t>
      </w:r>
      <w:r>
        <w:rPr>
          <w:spacing w:val="-3"/>
          <w:sz w:val="24"/>
        </w:rPr>
        <w:t> </w:t>
      </w:r>
      <w:r>
        <w:rPr>
          <w:spacing w:val="-5"/>
          <w:sz w:val="24"/>
        </w:rPr>
        <w:t>11;</w:t>
      </w:r>
    </w:p>
    <w:p>
      <w:pPr>
        <w:spacing w:after="0" w:line="240" w:lineRule="auto"/>
        <w:jc w:val="left"/>
        <w:rPr>
          <w:sz w:val="24"/>
        </w:rPr>
        <w:sectPr>
          <w:pgSz w:w="12240" w:h="15840"/>
          <w:pgMar w:header="0" w:footer="1140" w:top="1360" w:bottom="1340" w:left="1560" w:right="1500"/>
        </w:sectPr>
      </w:pPr>
    </w:p>
    <w:p>
      <w:pPr>
        <w:pStyle w:val="ListParagraph"/>
        <w:numPr>
          <w:ilvl w:val="0"/>
          <w:numId w:val="12"/>
        </w:numPr>
        <w:tabs>
          <w:tab w:pos="957" w:val="left" w:leader="none"/>
          <w:tab w:pos="958" w:val="left" w:leader="none"/>
        </w:tabs>
        <w:spacing w:line="237" w:lineRule="auto" w:before="80" w:after="0"/>
        <w:ind w:left="957" w:right="293" w:hanging="360"/>
        <w:jc w:val="left"/>
        <w:rPr>
          <w:sz w:val="24"/>
        </w:rPr>
      </w:pPr>
      <w:r>
        <w:rPr>
          <w:sz w:val="24"/>
        </w:rPr>
        <w:t>thresholds</w:t>
      </w:r>
      <w:r>
        <w:rPr>
          <w:spacing w:val="40"/>
          <w:sz w:val="24"/>
        </w:rPr>
        <w:t> </w:t>
      </w:r>
      <w:r>
        <w:rPr>
          <w:sz w:val="24"/>
        </w:rPr>
        <w:t>of</w:t>
      </w:r>
      <w:r>
        <w:rPr>
          <w:spacing w:val="40"/>
          <w:sz w:val="24"/>
        </w:rPr>
        <w:t> </w:t>
      </w:r>
      <w:r>
        <w:rPr>
          <w:sz w:val="24"/>
        </w:rPr>
        <w:t>acceptable</w:t>
      </w:r>
      <w:r>
        <w:rPr>
          <w:spacing w:val="40"/>
          <w:sz w:val="24"/>
        </w:rPr>
        <w:t> </w:t>
      </w:r>
      <w:r>
        <w:rPr>
          <w:sz w:val="24"/>
        </w:rPr>
        <w:t>cost</w:t>
      </w:r>
      <w:r>
        <w:rPr>
          <w:spacing w:val="40"/>
          <w:sz w:val="24"/>
        </w:rPr>
        <w:t> </w:t>
      </w:r>
      <w:r>
        <w:rPr>
          <w:sz w:val="24"/>
        </w:rPr>
        <w:t>effectiveness</w:t>
      </w:r>
      <w:r>
        <w:rPr>
          <w:spacing w:val="40"/>
          <w:sz w:val="24"/>
        </w:rPr>
        <w:t> </w:t>
      </w:r>
      <w:r>
        <w:rPr>
          <w:sz w:val="24"/>
        </w:rPr>
        <w:t>(e.g.</w:t>
      </w:r>
      <w:r>
        <w:rPr>
          <w:spacing w:val="40"/>
          <w:sz w:val="24"/>
        </w:rPr>
        <w:t> </w:t>
      </w:r>
      <w:r>
        <w:rPr>
          <w:sz w:val="24"/>
        </w:rPr>
        <w:t>for</w:t>
      </w:r>
      <w:r>
        <w:rPr>
          <w:spacing w:val="40"/>
          <w:sz w:val="24"/>
        </w:rPr>
        <w:t> </w:t>
      </w:r>
      <w:r>
        <w:rPr>
          <w:sz w:val="24"/>
        </w:rPr>
        <w:t>small</w:t>
      </w:r>
      <w:r>
        <w:rPr>
          <w:spacing w:val="40"/>
          <w:sz w:val="24"/>
        </w:rPr>
        <w:t> </w:t>
      </w:r>
      <w:r>
        <w:rPr>
          <w:sz w:val="24"/>
        </w:rPr>
        <w:t>versus</w:t>
      </w:r>
      <w:r>
        <w:rPr>
          <w:spacing w:val="40"/>
          <w:sz w:val="24"/>
        </w:rPr>
        <w:t> </w:t>
      </w:r>
      <w:r>
        <w:rPr>
          <w:sz w:val="24"/>
        </w:rPr>
        <w:t>large buildings); and</w:t>
      </w:r>
    </w:p>
    <w:p>
      <w:pPr>
        <w:pStyle w:val="ListParagraph"/>
        <w:numPr>
          <w:ilvl w:val="0"/>
          <w:numId w:val="12"/>
        </w:numPr>
        <w:tabs>
          <w:tab w:pos="957" w:val="left" w:leader="none"/>
          <w:tab w:pos="958" w:val="left" w:leader="none"/>
        </w:tabs>
        <w:spacing w:line="240" w:lineRule="auto" w:before="121" w:after="0"/>
        <w:ind w:left="957" w:right="293" w:hanging="360"/>
        <w:jc w:val="left"/>
        <w:rPr>
          <w:sz w:val="24"/>
        </w:rPr>
      </w:pPr>
      <w:r>
        <w:rPr>
          <w:sz w:val="24"/>
        </w:rPr>
        <w:t>practical implications for building ownership and use (e.g. for security, lift installation, threshold points).</w:t>
      </w:r>
    </w:p>
    <w:p>
      <w:pPr>
        <w:pStyle w:val="BodyText"/>
        <w:spacing w:before="9"/>
        <w:rPr>
          <w:sz w:val="23"/>
        </w:rPr>
      </w:pPr>
    </w:p>
    <w:p>
      <w:pPr>
        <w:pStyle w:val="BodyText"/>
        <w:ind w:left="237" w:right="294"/>
        <w:jc w:val="both"/>
      </w:pPr>
      <w:r>
        <w:rPr/>
        <w:t>In general, decisions made have sought to identify the most appropriate balance of costs and benefits in relation to individual provisions.</w:t>
      </w:r>
      <w:r>
        <w:rPr>
          <w:spacing w:val="40"/>
        </w:rPr>
        <w:t> </w:t>
      </w:r>
      <w:r>
        <w:rPr/>
        <w:t>Clearly, however, such judgements must be made qualitatively in most cases and there will necessarily always be room for disagreement on particular issues.</w:t>
      </w:r>
    </w:p>
    <w:p>
      <w:pPr>
        <w:pStyle w:val="BodyText"/>
        <w:spacing w:before="1"/>
        <w:rPr>
          <w:sz w:val="21"/>
        </w:rPr>
      </w:pPr>
    </w:p>
    <w:p>
      <w:pPr>
        <w:pStyle w:val="Heading3"/>
        <w:spacing w:before="1"/>
        <w:ind w:left="237"/>
      </w:pPr>
      <w:bookmarkStart w:name="Building upgrade “trigger”" w:id="45"/>
      <w:bookmarkEnd w:id="45"/>
      <w:r>
        <w:rPr>
          <w:b w:val="0"/>
        </w:rPr>
      </w:r>
      <w:r>
        <w:rPr/>
        <w:t>Building</w:t>
      </w:r>
      <w:r>
        <w:rPr>
          <w:spacing w:val="-3"/>
        </w:rPr>
        <w:t> </w:t>
      </w:r>
      <w:r>
        <w:rPr/>
        <w:t>upgrade</w:t>
      </w:r>
      <w:r>
        <w:rPr>
          <w:spacing w:val="-3"/>
        </w:rPr>
        <w:t> </w:t>
      </w:r>
      <w:r>
        <w:rPr>
          <w:spacing w:val="-2"/>
        </w:rPr>
        <w:t>“trigger”</w:t>
      </w:r>
    </w:p>
    <w:p>
      <w:pPr>
        <w:pStyle w:val="BodyText"/>
        <w:spacing w:before="57"/>
        <w:ind w:left="237" w:right="294"/>
        <w:jc w:val="both"/>
      </w:pPr>
      <w:r>
        <w:rPr/>
        <w:t>The 2004 draft proposal included a requirement that, where more than 50% of</w:t>
      </w:r>
      <w:r>
        <w:rPr>
          <w:spacing w:val="40"/>
        </w:rPr>
        <w:t> </w:t>
      </w:r>
      <w:r>
        <w:rPr/>
        <w:t>the floor area or volume of a building was upgraded within a three-year period, the</w:t>
      </w:r>
      <w:r>
        <w:rPr>
          <w:spacing w:val="-2"/>
        </w:rPr>
        <w:t> </w:t>
      </w:r>
      <w:r>
        <w:rPr/>
        <w:t>requirements</w:t>
      </w:r>
      <w:r>
        <w:rPr>
          <w:spacing w:val="-2"/>
        </w:rPr>
        <w:t> </w:t>
      </w:r>
      <w:r>
        <w:rPr/>
        <w:t>of</w:t>
      </w:r>
      <w:r>
        <w:rPr>
          <w:spacing w:val="-2"/>
        </w:rPr>
        <w:t> </w:t>
      </w:r>
      <w:r>
        <w:rPr/>
        <w:t>the</w:t>
      </w:r>
      <w:r>
        <w:rPr>
          <w:spacing w:val="-2"/>
        </w:rPr>
        <w:t> </w:t>
      </w:r>
      <w:r>
        <w:rPr/>
        <w:t>Premises</w:t>
      </w:r>
      <w:r>
        <w:rPr>
          <w:spacing w:val="-2"/>
        </w:rPr>
        <w:t> </w:t>
      </w:r>
      <w:r>
        <w:rPr/>
        <w:t>Standards</w:t>
      </w:r>
      <w:r>
        <w:rPr>
          <w:spacing w:val="-2"/>
        </w:rPr>
        <w:t> </w:t>
      </w:r>
      <w:r>
        <w:rPr/>
        <w:t>would</w:t>
      </w:r>
      <w:r>
        <w:rPr>
          <w:spacing w:val="-2"/>
        </w:rPr>
        <w:t> </w:t>
      </w:r>
      <w:r>
        <w:rPr/>
        <w:t>need</w:t>
      </w:r>
      <w:r>
        <w:rPr>
          <w:spacing w:val="-2"/>
        </w:rPr>
        <w:t> </w:t>
      </w:r>
      <w:r>
        <w:rPr/>
        <w:t>to</w:t>
      </w:r>
      <w:r>
        <w:rPr>
          <w:spacing w:val="-2"/>
        </w:rPr>
        <w:t> </w:t>
      </w:r>
      <w:r>
        <w:rPr/>
        <w:t>be</w:t>
      </w:r>
      <w:r>
        <w:rPr>
          <w:spacing w:val="-2"/>
        </w:rPr>
        <w:t> </w:t>
      </w:r>
      <w:r>
        <w:rPr/>
        <w:t>adopted</w:t>
      </w:r>
      <w:r>
        <w:rPr>
          <w:spacing w:val="-2"/>
        </w:rPr>
        <w:t> </w:t>
      </w:r>
      <w:r>
        <w:rPr/>
        <w:t>in</w:t>
      </w:r>
      <w:r>
        <w:rPr>
          <w:spacing w:val="-2"/>
        </w:rPr>
        <w:t> </w:t>
      </w:r>
      <w:r>
        <w:rPr/>
        <w:t>respect of the whole building. The modified Premises Standards proposal no longer includes this requirement. As a result, the costs applying to the proposed Standards in respect of major building upgrade works has been reduced when compared with the 2004 draft proposal.</w:t>
      </w:r>
    </w:p>
    <w:p>
      <w:pPr>
        <w:spacing w:after="0"/>
        <w:jc w:val="both"/>
        <w:sectPr>
          <w:pgSz w:w="12240" w:h="15840"/>
          <w:pgMar w:header="0" w:footer="1140" w:top="1360" w:bottom="1340" w:left="1560" w:right="1500"/>
        </w:sectPr>
      </w:pPr>
    </w:p>
    <w:p>
      <w:pPr>
        <w:pStyle w:val="Heading1"/>
        <w:numPr>
          <w:ilvl w:val="0"/>
          <w:numId w:val="4"/>
        </w:numPr>
        <w:tabs>
          <w:tab w:pos="957" w:val="left" w:leader="none"/>
          <w:tab w:pos="959" w:val="left" w:leader="none"/>
        </w:tabs>
        <w:spacing w:line="240" w:lineRule="auto" w:before="78" w:after="0"/>
        <w:ind w:left="958" w:right="0" w:hanging="722"/>
        <w:jc w:val="left"/>
      </w:pPr>
      <w:bookmarkStart w:name="6 Identification of feasible alternative" w:id="46"/>
      <w:bookmarkEnd w:id="46"/>
      <w:r>
        <w:rPr/>
        <w:t>Identificatio</w:t>
      </w:r>
      <w:r>
        <w:rPr/>
        <w:t>n</w:t>
      </w:r>
      <w:r>
        <w:rPr>
          <w:spacing w:val="-8"/>
        </w:rPr>
        <w:t> </w:t>
      </w:r>
      <w:r>
        <w:rPr/>
        <w:t>of</w:t>
      </w:r>
      <w:r>
        <w:rPr>
          <w:spacing w:val="-8"/>
        </w:rPr>
        <w:t> </w:t>
      </w:r>
      <w:r>
        <w:rPr/>
        <w:t>feasible</w:t>
      </w:r>
      <w:r>
        <w:rPr>
          <w:spacing w:val="-8"/>
        </w:rPr>
        <w:t> </w:t>
      </w:r>
      <w:r>
        <w:rPr>
          <w:spacing w:val="-2"/>
        </w:rPr>
        <w:t>alternatives</w:t>
      </w:r>
    </w:p>
    <w:p>
      <w:pPr>
        <w:pStyle w:val="BodyText"/>
        <w:spacing w:before="239"/>
        <w:ind w:left="237" w:right="294"/>
        <w:jc w:val="both"/>
      </w:pPr>
      <w:r>
        <w:rPr/>
        <w:t>The objectives of the proposed Premises Standards, as outlined earlier, are to provide access to buildings for people with a disability in a reasonably</w:t>
      </w:r>
      <w:r>
        <w:rPr>
          <w:spacing w:val="40"/>
        </w:rPr>
        <w:t> </w:t>
      </w:r>
      <w:r>
        <w:rPr/>
        <w:t>achievable, equitable and cost-effective way and to provide certainty to building developers and managers that compliance with building regulations will achieve compliance with the DDA.</w:t>
      </w:r>
      <w:r>
        <w:rPr>
          <w:spacing w:val="40"/>
        </w:rPr>
        <w:t> </w:t>
      </w:r>
      <w:r>
        <w:rPr/>
        <w:t>The identification of feasible alternative means of achieving the objectives, other than the proposed Premises Standards, can be conducted at the following levels:</w:t>
      </w:r>
    </w:p>
    <w:p>
      <w:pPr>
        <w:pStyle w:val="ListParagraph"/>
        <w:numPr>
          <w:ilvl w:val="0"/>
          <w:numId w:val="13"/>
        </w:numPr>
        <w:tabs>
          <w:tab w:pos="958" w:val="left" w:leader="none"/>
        </w:tabs>
        <w:spacing w:line="240" w:lineRule="auto" w:before="121" w:after="0"/>
        <w:ind w:left="951" w:right="294" w:hanging="357"/>
        <w:jc w:val="both"/>
        <w:rPr>
          <w:sz w:val="24"/>
        </w:rPr>
      </w:pPr>
      <w:r>
        <w:rPr>
          <w:sz w:val="24"/>
        </w:rPr>
        <w:t>The possible alternatives in terms of specific technical requirements for inclusion in the Premises Standards.</w:t>
      </w:r>
      <w:r>
        <w:rPr>
          <w:spacing w:val="40"/>
          <w:sz w:val="24"/>
        </w:rPr>
        <w:t> </w:t>
      </w:r>
      <w:r>
        <w:rPr>
          <w:sz w:val="24"/>
        </w:rPr>
        <w:t>There are a potentially infinite number of possible combinations of specific provisions.</w:t>
      </w:r>
      <w:r>
        <w:rPr>
          <w:spacing w:val="40"/>
          <w:sz w:val="24"/>
        </w:rPr>
        <w:t> </w:t>
      </w:r>
      <w:r>
        <w:rPr>
          <w:sz w:val="24"/>
        </w:rPr>
        <w:t>It is evidently not feasible to assess and compare the benefits and costs of each such combination individually.</w:t>
      </w:r>
      <w:r>
        <w:rPr>
          <w:spacing w:val="40"/>
          <w:sz w:val="24"/>
        </w:rPr>
        <w:t> </w:t>
      </w:r>
      <w:r>
        <w:rPr>
          <w:sz w:val="24"/>
        </w:rPr>
        <w:t>Thus, consideration of alternatives at this level must be based on review of the policy approach adopted in order to clarify the basis on which the specific proposals contained in the proposed Premises Standards were arrived at, in preference to alternative combinations of provisions.</w:t>
      </w:r>
      <w:r>
        <w:rPr>
          <w:spacing w:val="40"/>
          <w:sz w:val="24"/>
        </w:rPr>
        <w:t> </w:t>
      </w:r>
      <w:r>
        <w:rPr>
          <w:sz w:val="24"/>
        </w:rPr>
        <w:t>The approach taken is to demonstrate the comparative policy approach taken to developing the Standards, and to highlight the areas of most substantial benefits and costs.</w:t>
      </w:r>
    </w:p>
    <w:p>
      <w:pPr>
        <w:pStyle w:val="ListParagraph"/>
        <w:numPr>
          <w:ilvl w:val="0"/>
          <w:numId w:val="13"/>
        </w:numPr>
        <w:tabs>
          <w:tab w:pos="958" w:val="left" w:leader="none"/>
        </w:tabs>
        <w:spacing w:line="240" w:lineRule="auto" w:before="58" w:after="0"/>
        <w:ind w:left="951" w:right="293" w:hanging="357"/>
        <w:jc w:val="both"/>
        <w:rPr>
          <w:sz w:val="24"/>
        </w:rPr>
      </w:pPr>
      <w:r>
        <w:rPr>
          <w:sz w:val="24"/>
        </w:rPr>
        <w:t>Consideration of specific alternative formulations of the Standards.</w:t>
      </w:r>
      <w:r>
        <w:rPr>
          <w:spacing w:val="40"/>
          <w:sz w:val="24"/>
        </w:rPr>
        <w:t> </w:t>
      </w:r>
      <w:r>
        <w:rPr>
          <w:sz w:val="24"/>
        </w:rPr>
        <w:t>Two feasible alternatives identified during the course of policy development in connection with the proposed Premises Standards are to adopt the Standards without moving to the new variant of AS 1428.1 – thus avoiding the costs and benefits of moving to larger spatial dimensions – and adoption of the Premises Standards without harmonisation with the BCA.</w:t>
      </w:r>
    </w:p>
    <w:p>
      <w:pPr>
        <w:pStyle w:val="ListParagraph"/>
        <w:numPr>
          <w:ilvl w:val="0"/>
          <w:numId w:val="13"/>
        </w:numPr>
        <w:tabs>
          <w:tab w:pos="958" w:val="left" w:leader="none"/>
        </w:tabs>
        <w:spacing w:line="240" w:lineRule="auto" w:before="57" w:after="0"/>
        <w:ind w:left="957" w:right="0" w:hanging="363"/>
        <w:jc w:val="both"/>
        <w:rPr>
          <w:sz w:val="24"/>
        </w:rPr>
      </w:pPr>
      <w:r>
        <w:rPr>
          <w:sz w:val="24"/>
        </w:rPr>
        <w:t>Consideration</w:t>
      </w:r>
      <w:r>
        <w:rPr>
          <w:spacing w:val="-6"/>
          <w:sz w:val="24"/>
        </w:rPr>
        <w:t> </w:t>
      </w:r>
      <w:r>
        <w:rPr>
          <w:sz w:val="24"/>
        </w:rPr>
        <w:t>of</w:t>
      </w:r>
      <w:r>
        <w:rPr>
          <w:spacing w:val="-4"/>
          <w:sz w:val="24"/>
        </w:rPr>
        <w:t> </w:t>
      </w:r>
      <w:r>
        <w:rPr>
          <w:sz w:val="24"/>
        </w:rPr>
        <w:t>the</w:t>
      </w:r>
      <w:r>
        <w:rPr>
          <w:spacing w:val="-4"/>
          <w:sz w:val="24"/>
        </w:rPr>
        <w:t> </w:t>
      </w:r>
      <w:r>
        <w:rPr>
          <w:sz w:val="24"/>
        </w:rPr>
        <w:t>application</w:t>
      </w:r>
      <w:r>
        <w:rPr>
          <w:spacing w:val="-4"/>
          <w:sz w:val="24"/>
        </w:rPr>
        <w:t> </w:t>
      </w:r>
      <w:r>
        <w:rPr>
          <w:sz w:val="24"/>
        </w:rPr>
        <w:t>of</w:t>
      </w:r>
      <w:r>
        <w:rPr>
          <w:spacing w:val="-4"/>
          <w:sz w:val="24"/>
        </w:rPr>
        <w:t> </w:t>
      </w:r>
      <w:r>
        <w:rPr>
          <w:sz w:val="24"/>
        </w:rPr>
        <w:t>the</w:t>
      </w:r>
      <w:r>
        <w:rPr>
          <w:spacing w:val="-4"/>
          <w:sz w:val="24"/>
        </w:rPr>
        <w:t> </w:t>
      </w:r>
      <w:r>
        <w:rPr>
          <w:sz w:val="24"/>
        </w:rPr>
        <w:t>Standards</w:t>
      </w:r>
      <w:r>
        <w:rPr>
          <w:spacing w:val="-4"/>
          <w:sz w:val="24"/>
        </w:rPr>
        <w:t> </w:t>
      </w:r>
      <w:r>
        <w:rPr>
          <w:sz w:val="24"/>
        </w:rPr>
        <w:t>solely</w:t>
      </w:r>
      <w:r>
        <w:rPr>
          <w:spacing w:val="-4"/>
          <w:sz w:val="24"/>
        </w:rPr>
        <w:t> </w:t>
      </w:r>
      <w:r>
        <w:rPr>
          <w:sz w:val="24"/>
        </w:rPr>
        <w:t>to</w:t>
      </w:r>
      <w:r>
        <w:rPr>
          <w:spacing w:val="-4"/>
          <w:sz w:val="24"/>
        </w:rPr>
        <w:t> </w:t>
      </w:r>
      <w:r>
        <w:rPr>
          <w:sz w:val="24"/>
        </w:rPr>
        <w:t>new</w:t>
      </w:r>
      <w:r>
        <w:rPr>
          <w:spacing w:val="-4"/>
          <w:sz w:val="24"/>
        </w:rPr>
        <w:t> </w:t>
      </w:r>
      <w:r>
        <w:rPr>
          <w:spacing w:val="-2"/>
          <w:sz w:val="24"/>
        </w:rPr>
        <w:t>buildings</w:t>
      </w:r>
      <w:r>
        <w:rPr>
          <w:spacing w:val="-2"/>
          <w:sz w:val="24"/>
          <w:vertAlign w:val="superscript"/>
        </w:rPr>
        <w:t>16</w:t>
      </w:r>
      <w:r>
        <w:rPr>
          <w:spacing w:val="-2"/>
          <w:sz w:val="24"/>
          <w:vertAlign w:val="baseline"/>
        </w:rPr>
        <w:t>.</w:t>
      </w:r>
    </w:p>
    <w:p>
      <w:pPr>
        <w:pStyle w:val="ListParagraph"/>
        <w:numPr>
          <w:ilvl w:val="0"/>
          <w:numId w:val="13"/>
        </w:numPr>
        <w:tabs>
          <w:tab w:pos="958" w:val="left" w:leader="none"/>
        </w:tabs>
        <w:spacing w:line="237" w:lineRule="auto" w:before="122" w:after="0"/>
        <w:ind w:left="951" w:right="294" w:hanging="357"/>
        <w:jc w:val="both"/>
        <w:rPr>
          <w:sz w:val="24"/>
        </w:rPr>
      </w:pPr>
      <w:r>
        <w:rPr>
          <w:sz w:val="24"/>
        </w:rPr>
        <w:t>Consideration of the broader range of policy measures that might achieve the underlying goal of improving the position in society of people with </w:t>
      </w:r>
      <w:r>
        <w:rPr>
          <w:spacing w:val="-2"/>
          <w:sz w:val="24"/>
        </w:rPr>
        <w:t>disabilities.</w:t>
      </w:r>
    </w:p>
    <w:p>
      <w:pPr>
        <w:pStyle w:val="BodyText"/>
        <w:spacing w:before="123"/>
        <w:ind w:left="237" w:right="293"/>
        <w:jc w:val="both"/>
      </w:pPr>
      <w:r>
        <w:rPr/>
        <w:t>Here, the key alternatives considered are market-based.</w:t>
      </w:r>
      <w:r>
        <w:rPr>
          <w:spacing w:val="40"/>
        </w:rPr>
        <w:t> </w:t>
      </w:r>
      <w:r>
        <w:rPr/>
        <w:t>It should be noted, however, that such an approach is largely rendered infeasible by the current context of the existence of the DDA and its general access to premises provision and the need to harmonise the DDA with the building law as far as possible. However, it is considered necessary to include discussion of market-based approaches in order to allow a broader appreciation of the general policy context within which the DDA and the proposed Premises Standards operate.</w:t>
      </w:r>
    </w:p>
    <w:p>
      <w:pPr>
        <w:pStyle w:val="BodyText"/>
      </w:pPr>
    </w:p>
    <w:p>
      <w:pPr>
        <w:pStyle w:val="BodyText"/>
        <w:ind w:left="237" w:right="294"/>
        <w:jc w:val="both"/>
      </w:pPr>
      <w:r>
        <w:rPr/>
        <w:t>The following sections of the RIS analyse the proposed Premises Standards and the</w:t>
      </w:r>
      <w:r>
        <w:rPr>
          <w:spacing w:val="61"/>
        </w:rPr>
        <w:t> </w:t>
      </w:r>
      <w:r>
        <w:rPr/>
        <w:t>range</w:t>
      </w:r>
      <w:r>
        <w:rPr>
          <w:spacing w:val="61"/>
        </w:rPr>
        <w:t> </w:t>
      </w:r>
      <w:r>
        <w:rPr/>
        <w:t>of</w:t>
      </w:r>
      <w:r>
        <w:rPr>
          <w:spacing w:val="61"/>
        </w:rPr>
        <w:t> </w:t>
      </w:r>
      <w:r>
        <w:rPr/>
        <w:t>alternatives</w:t>
      </w:r>
      <w:r>
        <w:rPr>
          <w:spacing w:val="61"/>
        </w:rPr>
        <w:t> </w:t>
      </w:r>
      <w:r>
        <w:rPr/>
        <w:t>identified</w:t>
      </w:r>
      <w:r>
        <w:rPr>
          <w:spacing w:val="61"/>
        </w:rPr>
        <w:t> </w:t>
      </w:r>
      <w:r>
        <w:rPr/>
        <w:t>at</w:t>
      </w:r>
      <w:r>
        <w:rPr>
          <w:spacing w:val="61"/>
        </w:rPr>
        <w:t> </w:t>
      </w:r>
      <w:r>
        <w:rPr/>
        <w:t>each</w:t>
      </w:r>
      <w:r>
        <w:rPr>
          <w:spacing w:val="61"/>
        </w:rPr>
        <w:t> </w:t>
      </w:r>
      <w:r>
        <w:rPr/>
        <w:t>of</w:t>
      </w:r>
      <w:r>
        <w:rPr>
          <w:spacing w:val="61"/>
        </w:rPr>
        <w:t> </w:t>
      </w:r>
      <w:r>
        <w:rPr/>
        <w:t>the</w:t>
      </w:r>
      <w:r>
        <w:rPr>
          <w:spacing w:val="64"/>
        </w:rPr>
        <w:t> </w:t>
      </w:r>
      <w:r>
        <w:rPr/>
        <w:t>levels</w:t>
      </w:r>
      <w:r>
        <w:rPr>
          <w:spacing w:val="61"/>
        </w:rPr>
        <w:t> </w:t>
      </w:r>
      <w:r>
        <w:rPr/>
        <w:t>noted</w:t>
      </w:r>
      <w:r>
        <w:rPr>
          <w:spacing w:val="61"/>
        </w:rPr>
        <w:t> </w:t>
      </w:r>
      <w:r>
        <w:rPr/>
        <w:t>above.</w:t>
      </w:r>
      <w:r>
        <w:rPr>
          <w:spacing w:val="62"/>
        </w:rPr>
        <w:t>  </w:t>
      </w:r>
      <w:r>
        <w:rPr/>
        <w:t>The</w:t>
      </w:r>
    </w:p>
    <w:p>
      <w:pPr>
        <w:pStyle w:val="BodyText"/>
        <w:rPr>
          <w:sz w:val="20"/>
        </w:rPr>
      </w:pPr>
    </w:p>
    <w:p>
      <w:pPr>
        <w:pStyle w:val="BodyText"/>
        <w:spacing w:before="7"/>
        <w:rPr>
          <w:sz w:val="19"/>
        </w:rPr>
      </w:pPr>
      <w:r>
        <w:rPr/>
        <w:pict>
          <v:rect style="position:absolute;margin-left:89.879997pt;margin-top:12.480683pt;width:144pt;height:.6pt;mso-position-horizontal-relative:page;mso-position-vertical-relative:paragraph;z-index:-15721984;mso-wrap-distance-left:0;mso-wrap-distance-right:0" id="docshape19"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16</w:t>
      </w:r>
      <w:r>
        <w:rPr>
          <w:spacing w:val="-4"/>
          <w:sz w:val="20"/>
          <w:vertAlign w:val="baseline"/>
        </w:rPr>
        <w:t> </w:t>
      </w:r>
      <w:r>
        <w:rPr>
          <w:sz w:val="20"/>
          <w:vertAlign w:val="baseline"/>
        </w:rPr>
        <w:t>This</w:t>
      </w:r>
      <w:r>
        <w:rPr>
          <w:spacing w:val="-4"/>
          <w:sz w:val="20"/>
          <w:vertAlign w:val="baseline"/>
        </w:rPr>
        <w:t> </w:t>
      </w:r>
      <w:r>
        <w:rPr>
          <w:sz w:val="20"/>
          <w:vertAlign w:val="baseline"/>
        </w:rPr>
        <w:t>option</w:t>
      </w:r>
      <w:r>
        <w:rPr>
          <w:spacing w:val="-4"/>
          <w:sz w:val="20"/>
          <w:vertAlign w:val="baseline"/>
        </w:rPr>
        <w:t> </w:t>
      </w:r>
      <w:r>
        <w:rPr>
          <w:sz w:val="20"/>
          <w:vertAlign w:val="baseline"/>
        </w:rPr>
        <w:t>has</w:t>
      </w:r>
      <w:r>
        <w:rPr>
          <w:spacing w:val="-4"/>
          <w:sz w:val="20"/>
          <w:vertAlign w:val="baseline"/>
        </w:rPr>
        <w:t> </w:t>
      </w:r>
      <w:r>
        <w:rPr>
          <w:sz w:val="20"/>
          <w:vertAlign w:val="baseline"/>
        </w:rPr>
        <w:t>since</w:t>
      </w:r>
      <w:r>
        <w:rPr>
          <w:spacing w:val="-4"/>
          <w:sz w:val="20"/>
          <w:vertAlign w:val="baseline"/>
        </w:rPr>
        <w:t> </w:t>
      </w:r>
      <w:r>
        <w:rPr>
          <w:sz w:val="20"/>
          <w:vertAlign w:val="baseline"/>
        </w:rPr>
        <w:t>been</w:t>
      </w:r>
      <w:r>
        <w:rPr>
          <w:spacing w:val="-4"/>
          <w:sz w:val="20"/>
          <w:vertAlign w:val="baseline"/>
        </w:rPr>
        <w:t> </w:t>
      </w:r>
      <w:r>
        <w:rPr>
          <w:sz w:val="20"/>
          <w:vertAlign w:val="baseline"/>
        </w:rPr>
        <w:t>rejected</w:t>
      </w:r>
      <w:r>
        <w:rPr>
          <w:spacing w:val="-4"/>
          <w:sz w:val="20"/>
          <w:vertAlign w:val="baseline"/>
        </w:rPr>
        <w:t> </w:t>
      </w:r>
      <w:r>
        <w:rPr>
          <w:sz w:val="20"/>
          <w:vertAlign w:val="baseline"/>
        </w:rPr>
        <w:t>as</w:t>
      </w:r>
      <w:r>
        <w:rPr>
          <w:spacing w:val="-3"/>
          <w:sz w:val="20"/>
          <w:vertAlign w:val="baseline"/>
        </w:rPr>
        <w:t> </w:t>
      </w:r>
      <w:r>
        <w:rPr>
          <w:sz w:val="20"/>
          <w:vertAlign w:val="baseline"/>
        </w:rPr>
        <w:t>a</w:t>
      </w:r>
      <w:r>
        <w:rPr>
          <w:spacing w:val="-4"/>
          <w:sz w:val="20"/>
          <w:vertAlign w:val="baseline"/>
        </w:rPr>
        <w:t> </w:t>
      </w:r>
      <w:r>
        <w:rPr>
          <w:sz w:val="20"/>
          <w:vertAlign w:val="baseline"/>
        </w:rPr>
        <w:t>result</w:t>
      </w:r>
      <w:r>
        <w:rPr>
          <w:spacing w:val="-2"/>
          <w:sz w:val="20"/>
          <w:vertAlign w:val="baseline"/>
        </w:rPr>
        <w:t> </w:t>
      </w:r>
      <w:r>
        <w:rPr>
          <w:sz w:val="20"/>
          <w:vertAlign w:val="baseline"/>
        </w:rPr>
        <w:t>of</w:t>
      </w:r>
      <w:r>
        <w:rPr>
          <w:spacing w:val="-3"/>
          <w:sz w:val="20"/>
          <w:vertAlign w:val="baseline"/>
        </w:rPr>
        <w:t> </w:t>
      </w:r>
      <w:r>
        <w:rPr>
          <w:sz w:val="20"/>
          <w:vertAlign w:val="baseline"/>
        </w:rPr>
        <w:t>consideration</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4"/>
          <w:sz w:val="20"/>
          <w:vertAlign w:val="baseline"/>
        </w:rPr>
        <w:t> </w:t>
      </w:r>
      <w:r>
        <w:rPr>
          <w:sz w:val="20"/>
          <w:vertAlign w:val="baseline"/>
        </w:rPr>
        <w:t>recommendations</w:t>
      </w:r>
      <w:r>
        <w:rPr>
          <w:spacing w:val="-3"/>
          <w:sz w:val="20"/>
          <w:vertAlign w:val="baseline"/>
        </w:rPr>
        <w:t> </w:t>
      </w:r>
      <w:r>
        <w:rPr>
          <w:sz w:val="20"/>
          <w:vertAlign w:val="baseline"/>
        </w:rPr>
        <w:t>in</w:t>
      </w:r>
      <w:r>
        <w:rPr>
          <w:spacing w:val="-4"/>
          <w:sz w:val="20"/>
          <w:vertAlign w:val="baseline"/>
        </w:rPr>
        <w:t> </w:t>
      </w:r>
      <w:r>
        <w:rPr>
          <w:spacing w:val="-5"/>
          <w:sz w:val="20"/>
          <w:vertAlign w:val="baseline"/>
        </w:rPr>
        <w:t>the</w:t>
      </w:r>
    </w:p>
    <w:p>
      <w:pPr>
        <w:spacing w:before="0"/>
        <w:ind w:left="237" w:right="0" w:firstLine="0"/>
        <w:jc w:val="left"/>
        <w:rPr>
          <w:sz w:val="20"/>
        </w:rPr>
      </w:pPr>
      <w:r>
        <w:rPr>
          <w:i/>
          <w:sz w:val="20"/>
        </w:rPr>
        <w:t>Access</w:t>
      </w:r>
      <w:r>
        <w:rPr>
          <w:i/>
          <w:spacing w:val="-4"/>
          <w:sz w:val="20"/>
        </w:rPr>
        <w:t> </w:t>
      </w:r>
      <w:r>
        <w:rPr>
          <w:i/>
          <w:sz w:val="20"/>
        </w:rPr>
        <w:t>All</w:t>
      </w:r>
      <w:r>
        <w:rPr>
          <w:i/>
          <w:spacing w:val="-4"/>
          <w:sz w:val="20"/>
        </w:rPr>
        <w:t> </w:t>
      </w:r>
      <w:r>
        <w:rPr>
          <w:i/>
          <w:sz w:val="20"/>
        </w:rPr>
        <w:t>Areas</w:t>
      </w:r>
      <w:r>
        <w:rPr>
          <w:i/>
          <w:spacing w:val="-3"/>
          <w:sz w:val="20"/>
        </w:rPr>
        <w:t> </w:t>
      </w:r>
      <w:r>
        <w:rPr>
          <w:spacing w:val="-2"/>
          <w:sz w:val="20"/>
        </w:rPr>
        <w:t>report.</w:t>
      </w:r>
    </w:p>
    <w:p>
      <w:pPr>
        <w:spacing w:after="0"/>
        <w:jc w:val="left"/>
        <w:rPr>
          <w:sz w:val="20"/>
        </w:rPr>
        <w:sectPr>
          <w:pgSz w:w="12240" w:h="15840"/>
          <w:pgMar w:header="0" w:footer="1140" w:top="1360" w:bottom="1340" w:left="1560" w:right="1500"/>
        </w:sectPr>
      </w:pPr>
    </w:p>
    <w:p>
      <w:pPr>
        <w:pStyle w:val="BodyText"/>
        <w:spacing w:before="77"/>
        <w:ind w:left="237" w:right="294"/>
        <w:jc w:val="both"/>
      </w:pPr>
      <w:r>
        <w:rPr/>
        <w:t>analysis considers the ability of each option to achieve the identified objectives. Sections</w:t>
      </w:r>
      <w:r>
        <w:rPr>
          <w:spacing w:val="-1"/>
        </w:rPr>
        <w:t> </w:t>
      </w:r>
      <w:r>
        <w:rPr/>
        <w:t>7</w:t>
      </w:r>
      <w:r>
        <w:rPr>
          <w:spacing w:val="-3"/>
        </w:rPr>
        <w:t> </w:t>
      </w:r>
      <w:r>
        <w:rPr/>
        <w:t>and</w:t>
      </w:r>
      <w:r>
        <w:rPr>
          <w:spacing w:val="-3"/>
        </w:rPr>
        <w:t> </w:t>
      </w:r>
      <w:r>
        <w:rPr/>
        <w:t>8</w:t>
      </w:r>
      <w:r>
        <w:rPr>
          <w:spacing w:val="-3"/>
        </w:rPr>
        <w:t> </w:t>
      </w:r>
      <w:r>
        <w:rPr/>
        <w:t>analyse</w:t>
      </w:r>
      <w:r>
        <w:rPr>
          <w:spacing w:val="-3"/>
        </w:rPr>
        <w:t> </w:t>
      </w:r>
      <w:r>
        <w:rPr/>
        <w:t>the</w:t>
      </w:r>
      <w:r>
        <w:rPr>
          <w:spacing w:val="-3"/>
        </w:rPr>
        <w:t> </w:t>
      </w:r>
      <w:r>
        <w:rPr/>
        <w:t>benefits</w:t>
      </w:r>
      <w:r>
        <w:rPr>
          <w:spacing w:val="-3"/>
        </w:rPr>
        <w:t> </w:t>
      </w:r>
      <w:r>
        <w:rPr/>
        <w:t>and</w:t>
      </w:r>
      <w:r>
        <w:rPr>
          <w:spacing w:val="-3"/>
        </w:rPr>
        <w:t> </w:t>
      </w:r>
      <w:r>
        <w:rPr/>
        <w:t>the</w:t>
      </w:r>
      <w:r>
        <w:rPr>
          <w:spacing w:val="-3"/>
        </w:rPr>
        <w:t> </w:t>
      </w:r>
      <w:r>
        <w:rPr/>
        <w:t>costs</w:t>
      </w:r>
      <w:r>
        <w:rPr>
          <w:spacing w:val="-3"/>
        </w:rPr>
        <w:t> </w:t>
      </w:r>
      <w:r>
        <w:rPr/>
        <w:t>successively</w:t>
      </w:r>
      <w:r>
        <w:rPr>
          <w:spacing w:val="-1"/>
        </w:rPr>
        <w:t> </w:t>
      </w:r>
      <w:r>
        <w:rPr/>
        <w:t>of</w:t>
      </w:r>
      <w:r>
        <w:rPr>
          <w:spacing w:val="-3"/>
        </w:rPr>
        <w:t> </w:t>
      </w:r>
      <w:r>
        <w:rPr/>
        <w:t>the</w:t>
      </w:r>
      <w:r>
        <w:rPr>
          <w:spacing w:val="-2"/>
        </w:rPr>
        <w:t> </w:t>
      </w:r>
      <w:r>
        <w:rPr/>
        <w:t>proposed Premises Standards.</w:t>
      </w:r>
      <w:r>
        <w:rPr>
          <w:spacing w:val="40"/>
        </w:rPr>
        <w:t> </w:t>
      </w:r>
      <w:r>
        <w:rPr/>
        <w:t>Section 9 analyses the benefits and costs of the above range of alternatives.</w:t>
      </w:r>
      <w:r>
        <w:rPr>
          <w:spacing w:val="40"/>
        </w:rPr>
        <w:t> </w:t>
      </w:r>
      <w:r>
        <w:rPr/>
        <w:t>Section 10 compares the benefits and costs of each alternative and discusses the reasons for preferring the proposed Premises Standards to the identified alternatives. Appendix D assesses the proposed 2009 </w:t>
      </w:r>
      <w:r>
        <w:rPr>
          <w:spacing w:val="-2"/>
        </w:rPr>
        <w:t>amendments.</w:t>
      </w:r>
    </w:p>
    <w:p>
      <w:pPr>
        <w:spacing w:after="0"/>
        <w:jc w:val="both"/>
        <w:sectPr>
          <w:pgSz w:w="12240" w:h="15840"/>
          <w:pgMar w:header="0" w:footer="1140" w:top="1360" w:bottom="1340" w:left="1560" w:right="1500"/>
        </w:sectPr>
      </w:pPr>
    </w:p>
    <w:p>
      <w:pPr>
        <w:pStyle w:val="Heading1"/>
        <w:numPr>
          <w:ilvl w:val="0"/>
          <w:numId w:val="4"/>
        </w:numPr>
        <w:tabs>
          <w:tab w:pos="957" w:val="left" w:leader="none"/>
          <w:tab w:pos="959" w:val="left" w:leader="none"/>
        </w:tabs>
        <w:spacing w:line="240" w:lineRule="auto" w:before="178" w:after="0"/>
        <w:ind w:left="958" w:right="0" w:hanging="722"/>
        <w:jc w:val="left"/>
      </w:pPr>
      <w:bookmarkStart w:name=" 7 Expected benefits " w:id="47"/>
      <w:bookmarkEnd w:id="47"/>
      <w:r>
        <w:rPr>
          <w:b w:val="0"/>
        </w:rPr>
      </w:r>
      <w:bookmarkStart w:name="_bookmark13" w:id="48"/>
      <w:bookmarkEnd w:id="48"/>
      <w:r>
        <w:rPr/>
        <w:t>Expecte</w:t>
      </w:r>
      <w:r>
        <w:rPr/>
        <w:t>d</w:t>
      </w:r>
      <w:r>
        <w:rPr>
          <w:spacing w:val="-8"/>
        </w:rPr>
        <w:t> </w:t>
      </w:r>
      <w:r>
        <w:rPr>
          <w:spacing w:val="-2"/>
        </w:rPr>
        <w:t>benefits</w:t>
      </w:r>
    </w:p>
    <w:p>
      <w:pPr>
        <w:pStyle w:val="BodyText"/>
        <w:spacing w:before="239"/>
        <w:ind w:left="237" w:right="295"/>
        <w:jc w:val="both"/>
      </w:pPr>
      <w:r>
        <w:rPr/>
        <w:t>The analysis of the expected benefits of the proposed Premises Standards contained in this RIS is, to a substantial degree, qualitative. This is an inevitable result of the specific nature of the matters included in the Premises Standards and the substantial difficulties involved in estimating the value placed by various people with a disability on the gains they are expected to receive, in a range of different contexts. Review of other available RIS type documents</w:t>
      </w:r>
      <w:r>
        <w:rPr>
          <w:vertAlign w:val="superscript"/>
        </w:rPr>
        <w:t>17</w:t>
      </w:r>
      <w:r>
        <w:rPr>
          <w:spacing w:val="-3"/>
          <w:vertAlign w:val="baseline"/>
        </w:rPr>
        <w:t> </w:t>
      </w:r>
      <w:r>
        <w:rPr>
          <w:vertAlign w:val="baseline"/>
        </w:rPr>
        <w:t>in relation to access to premises confirms that very little substantial progress has been made in developing quantified estimates of the benefits associated with improved access to premises.</w:t>
      </w:r>
    </w:p>
    <w:p>
      <w:pPr>
        <w:pStyle w:val="BodyText"/>
        <w:spacing w:before="8"/>
        <w:rPr>
          <w:sz w:val="23"/>
        </w:rPr>
      </w:pPr>
    </w:p>
    <w:p>
      <w:pPr>
        <w:pStyle w:val="BodyText"/>
        <w:ind w:left="237" w:right="294"/>
        <w:jc w:val="both"/>
      </w:pPr>
      <w:r>
        <w:rPr/>
        <w:t>Further, attention should be drawn to the quantified benefits in relation to increased workforce participation and reduced living costs. Though these estimates draw from the best available sources, there are considerable uncertainties associated with them and they appear somewhat compromised by overseas empirical evidence. To ensure transparency of the assumptions made in this area, we have tested these figures for sensitivity at both optimistic and pessimistic scenarios (refer chapter 10).</w:t>
      </w:r>
    </w:p>
    <w:p>
      <w:pPr>
        <w:pStyle w:val="BodyText"/>
      </w:pPr>
    </w:p>
    <w:p>
      <w:pPr>
        <w:pStyle w:val="BodyText"/>
        <w:ind w:left="237" w:right="293"/>
        <w:jc w:val="both"/>
      </w:pPr>
      <w:r>
        <w:rPr/>
        <w:t>However, problems with the quantification of benefits do not suggest that those benefits are small or unimportant. Quantitative material on the costs of disability</w:t>
      </w:r>
    </w:p>
    <w:p>
      <w:pPr>
        <w:pStyle w:val="BodyText"/>
        <w:ind w:left="237" w:right="294"/>
        <w:jc w:val="both"/>
      </w:pPr>
      <w:r>
        <w:rPr/>
        <w:t>– and, by implication, the benefits available by reducing those costs and disadvantages – is therefore included in the second part of this benefits section. The purpose of this material is to provide an indication of the potential benefits in this area and thereby provide the reader with a basis for “scaling” the benefits likely to be obtained from the Premises Standards.</w:t>
      </w:r>
    </w:p>
    <w:p>
      <w:pPr>
        <w:pStyle w:val="BodyText"/>
        <w:rPr>
          <w:sz w:val="26"/>
        </w:rPr>
      </w:pPr>
    </w:p>
    <w:p>
      <w:pPr>
        <w:pStyle w:val="Heading2"/>
        <w:numPr>
          <w:ilvl w:val="1"/>
          <w:numId w:val="14"/>
        </w:numPr>
        <w:tabs>
          <w:tab w:pos="706" w:val="left" w:leader="none"/>
        </w:tabs>
        <w:spacing w:line="240" w:lineRule="auto" w:before="220" w:after="0"/>
        <w:ind w:left="705" w:right="0" w:hanging="469"/>
        <w:jc w:val="left"/>
        <w:rPr>
          <w:i/>
        </w:rPr>
      </w:pPr>
      <w:bookmarkStart w:name="7.1 General – conceptual issues " w:id="49"/>
      <w:bookmarkEnd w:id="49"/>
      <w:r>
        <w:rPr>
          <w:i/>
        </w:rPr>
        <w:t>General</w:t>
      </w:r>
      <w:r>
        <w:rPr>
          <w:i/>
          <w:spacing w:val="-9"/>
        </w:rPr>
        <w:t> </w:t>
      </w:r>
      <w:r>
        <w:rPr>
          <w:i/>
        </w:rPr>
        <w:t>–</w:t>
      </w:r>
      <w:r>
        <w:rPr>
          <w:i/>
          <w:spacing w:val="-9"/>
        </w:rPr>
        <w:t> </w:t>
      </w:r>
      <w:r>
        <w:rPr>
          <w:i/>
        </w:rPr>
        <w:t>conceptual</w:t>
      </w:r>
      <w:r>
        <w:rPr>
          <w:i/>
          <w:spacing w:val="-9"/>
        </w:rPr>
        <w:t> </w:t>
      </w:r>
      <w:r>
        <w:rPr>
          <w:i/>
          <w:spacing w:val="-2"/>
        </w:rPr>
        <w:t>issues</w:t>
      </w:r>
    </w:p>
    <w:p>
      <w:pPr>
        <w:pStyle w:val="BodyText"/>
        <w:spacing w:before="1"/>
        <w:rPr>
          <w:b/>
          <w:i/>
          <w:sz w:val="29"/>
        </w:rPr>
      </w:pPr>
    </w:p>
    <w:p>
      <w:pPr>
        <w:pStyle w:val="Heading5"/>
        <w:spacing w:line="275" w:lineRule="exact"/>
        <w:rPr>
          <w:i/>
        </w:rPr>
      </w:pPr>
      <w:r>
        <w:rPr>
          <w:i/>
        </w:rPr>
        <w:t>Codification</w:t>
      </w:r>
      <w:r>
        <w:rPr>
          <w:i/>
          <w:spacing w:val="-14"/>
        </w:rPr>
        <w:t> </w:t>
      </w:r>
      <w:r>
        <w:rPr>
          <w:i/>
        </w:rPr>
        <w:t>vs</w:t>
      </w:r>
      <w:r>
        <w:rPr>
          <w:i/>
          <w:spacing w:val="-13"/>
        </w:rPr>
        <w:t> </w:t>
      </w:r>
      <w:r>
        <w:rPr>
          <w:i/>
        </w:rPr>
        <w:t>existing</w:t>
      </w:r>
      <w:r>
        <w:rPr>
          <w:i/>
          <w:spacing w:val="-13"/>
        </w:rPr>
        <w:t> </w:t>
      </w:r>
      <w:r>
        <w:rPr>
          <w:i/>
        </w:rPr>
        <w:t>DDA</w:t>
      </w:r>
      <w:r>
        <w:rPr>
          <w:i/>
          <w:spacing w:val="-13"/>
        </w:rPr>
        <w:t> </w:t>
      </w:r>
      <w:r>
        <w:rPr>
          <w:i/>
          <w:spacing w:val="-2"/>
        </w:rPr>
        <w:t>duties</w:t>
      </w:r>
    </w:p>
    <w:p>
      <w:pPr>
        <w:pStyle w:val="BodyText"/>
        <w:ind w:left="237" w:right="294"/>
        <w:jc w:val="both"/>
      </w:pPr>
      <w:r>
        <w:rPr/>
        <w:t>As with the cost section below, a conceptual issue arises in relation to the benefits given the current legislative context. This is that the proposed changes, while substantially amending the relevant parts of the BCA, arguably do not create any new compliance obligations from those that already exist under the DDA’s</w:t>
      </w:r>
      <w:r>
        <w:rPr>
          <w:spacing w:val="18"/>
        </w:rPr>
        <w:t> </w:t>
      </w:r>
      <w:r>
        <w:rPr/>
        <w:t>general</w:t>
      </w:r>
      <w:r>
        <w:rPr>
          <w:spacing w:val="18"/>
        </w:rPr>
        <w:t> </w:t>
      </w:r>
      <w:r>
        <w:rPr/>
        <w:t>duties</w:t>
      </w:r>
      <w:r>
        <w:rPr>
          <w:spacing w:val="19"/>
        </w:rPr>
        <w:t> </w:t>
      </w:r>
      <w:r>
        <w:rPr/>
        <w:t>provisions.</w:t>
      </w:r>
      <w:r>
        <w:rPr>
          <w:spacing w:val="20"/>
        </w:rPr>
        <w:t> </w:t>
      </w:r>
      <w:r>
        <w:rPr/>
        <w:t>Indeed,</w:t>
      </w:r>
      <w:r>
        <w:rPr>
          <w:spacing w:val="18"/>
        </w:rPr>
        <w:t> </w:t>
      </w:r>
      <w:r>
        <w:rPr/>
        <w:t>it</w:t>
      </w:r>
      <w:r>
        <w:rPr>
          <w:spacing w:val="18"/>
        </w:rPr>
        <w:t> </w:t>
      </w:r>
      <w:r>
        <w:rPr/>
        <w:t>has</w:t>
      </w:r>
      <w:r>
        <w:rPr>
          <w:spacing w:val="18"/>
        </w:rPr>
        <w:t> </w:t>
      </w:r>
      <w:r>
        <w:rPr/>
        <w:t>been</w:t>
      </w:r>
      <w:r>
        <w:rPr>
          <w:spacing w:val="18"/>
        </w:rPr>
        <w:t> </w:t>
      </w:r>
      <w:r>
        <w:rPr/>
        <w:t>argued that</w:t>
      </w:r>
      <w:r>
        <w:rPr>
          <w:spacing w:val="18"/>
        </w:rPr>
        <w:t> </w:t>
      </w:r>
      <w:r>
        <w:rPr/>
        <w:t>by codifying a</w:t>
      </w:r>
    </w:p>
    <w:p>
      <w:pPr>
        <w:pStyle w:val="BodyText"/>
        <w:rPr>
          <w:sz w:val="20"/>
        </w:rPr>
      </w:pPr>
    </w:p>
    <w:p>
      <w:pPr>
        <w:pStyle w:val="BodyText"/>
        <w:spacing w:before="3"/>
        <w:rPr>
          <w:sz w:val="12"/>
        </w:rPr>
      </w:pPr>
      <w:r>
        <w:rPr/>
        <w:pict>
          <v:rect style="position:absolute;margin-left:89.879997pt;margin-top:8.262282pt;width:144pt;height:.6pt;mso-position-horizontal-relative:page;mso-position-vertical-relative:paragraph;z-index:-15721472;mso-wrap-distance-left:0;mso-wrap-distance-right:0" id="docshape20" filled="true" fillcolor="#000000" stroked="false">
            <v:fill type="solid"/>
            <w10:wrap type="topAndBottom"/>
          </v:rect>
        </w:pict>
      </w:r>
    </w:p>
    <w:p>
      <w:pPr>
        <w:pStyle w:val="BodyText"/>
        <w:spacing w:before="1"/>
        <w:rPr>
          <w:sz w:val="8"/>
        </w:rPr>
      </w:pPr>
    </w:p>
    <w:p>
      <w:pPr>
        <w:spacing w:before="130"/>
        <w:ind w:left="237" w:right="293" w:firstLine="0"/>
        <w:jc w:val="both"/>
        <w:rPr>
          <w:sz w:val="20"/>
        </w:rPr>
      </w:pPr>
      <w:r>
        <w:rPr>
          <w:sz w:val="20"/>
          <w:vertAlign w:val="superscript"/>
        </w:rPr>
        <w:t>17</w:t>
      </w:r>
      <w:r>
        <w:rPr>
          <w:spacing w:val="-2"/>
          <w:sz w:val="20"/>
          <w:vertAlign w:val="baseline"/>
        </w:rPr>
        <w:t> </w:t>
      </w:r>
      <w:r>
        <w:rPr>
          <w:sz w:val="20"/>
          <w:vertAlign w:val="baseline"/>
        </w:rPr>
        <w:t>See,</w:t>
      </w:r>
      <w:r>
        <w:rPr>
          <w:spacing w:val="-2"/>
          <w:sz w:val="20"/>
          <w:vertAlign w:val="baseline"/>
        </w:rPr>
        <w:t> </w:t>
      </w:r>
      <w:r>
        <w:rPr>
          <w:sz w:val="20"/>
          <w:vertAlign w:val="baseline"/>
        </w:rPr>
        <w:t>for</w:t>
      </w:r>
      <w:r>
        <w:rPr>
          <w:spacing w:val="-3"/>
          <w:sz w:val="20"/>
          <w:vertAlign w:val="baseline"/>
        </w:rPr>
        <w:t> </w:t>
      </w:r>
      <w:r>
        <w:rPr>
          <w:sz w:val="20"/>
          <w:vertAlign w:val="baseline"/>
        </w:rPr>
        <w:t>example,</w:t>
      </w:r>
      <w:r>
        <w:rPr>
          <w:spacing w:val="-3"/>
          <w:sz w:val="20"/>
          <w:vertAlign w:val="baseline"/>
        </w:rPr>
        <w:t> </w:t>
      </w:r>
      <w:r>
        <w:rPr>
          <w:i/>
          <w:sz w:val="20"/>
          <w:vertAlign w:val="baseline"/>
        </w:rPr>
        <w:t>RIS</w:t>
      </w:r>
      <w:r>
        <w:rPr>
          <w:i/>
          <w:spacing w:val="-2"/>
          <w:sz w:val="20"/>
          <w:vertAlign w:val="baseline"/>
        </w:rPr>
        <w:t> </w:t>
      </w:r>
      <w:r>
        <w:rPr>
          <w:i/>
          <w:sz w:val="20"/>
          <w:vertAlign w:val="baseline"/>
        </w:rPr>
        <w:t>for</w:t>
      </w:r>
      <w:r>
        <w:rPr>
          <w:i/>
          <w:spacing w:val="-3"/>
          <w:sz w:val="20"/>
          <w:vertAlign w:val="baseline"/>
        </w:rPr>
        <w:t> </w:t>
      </w:r>
      <w:r>
        <w:rPr>
          <w:i/>
          <w:sz w:val="20"/>
          <w:vertAlign w:val="baseline"/>
        </w:rPr>
        <w:t>the</w:t>
      </w:r>
      <w:r>
        <w:rPr>
          <w:i/>
          <w:spacing w:val="-2"/>
          <w:sz w:val="20"/>
          <w:vertAlign w:val="baseline"/>
        </w:rPr>
        <w:t> </w:t>
      </w:r>
      <w:r>
        <w:rPr>
          <w:i/>
          <w:sz w:val="20"/>
          <w:vertAlign w:val="baseline"/>
        </w:rPr>
        <w:t>amendment</w:t>
      </w:r>
      <w:r>
        <w:rPr>
          <w:i/>
          <w:spacing w:val="-2"/>
          <w:sz w:val="20"/>
          <w:vertAlign w:val="baseline"/>
        </w:rPr>
        <w:t> </w:t>
      </w:r>
      <w:r>
        <w:rPr>
          <w:i/>
          <w:sz w:val="20"/>
          <w:vertAlign w:val="baseline"/>
        </w:rPr>
        <w:t>of</w:t>
      </w:r>
      <w:r>
        <w:rPr>
          <w:i/>
          <w:spacing w:val="-2"/>
          <w:sz w:val="20"/>
          <w:vertAlign w:val="baseline"/>
        </w:rPr>
        <w:t> </w:t>
      </w:r>
      <w:r>
        <w:rPr>
          <w:i/>
          <w:sz w:val="20"/>
          <w:vertAlign w:val="baseline"/>
        </w:rPr>
        <w:t>the</w:t>
      </w:r>
      <w:r>
        <w:rPr>
          <w:i/>
          <w:spacing w:val="-2"/>
          <w:sz w:val="20"/>
          <w:vertAlign w:val="baseline"/>
        </w:rPr>
        <w:t> </w:t>
      </w:r>
      <w:r>
        <w:rPr>
          <w:i/>
          <w:sz w:val="20"/>
          <w:vertAlign w:val="baseline"/>
        </w:rPr>
        <w:t>Building</w:t>
      </w:r>
      <w:r>
        <w:rPr>
          <w:i/>
          <w:spacing w:val="-3"/>
          <w:sz w:val="20"/>
          <w:vertAlign w:val="baseline"/>
        </w:rPr>
        <w:t> </w:t>
      </w:r>
      <w:r>
        <w:rPr>
          <w:i/>
          <w:sz w:val="20"/>
          <w:vertAlign w:val="baseline"/>
        </w:rPr>
        <w:t>Code</w:t>
      </w:r>
      <w:r>
        <w:rPr>
          <w:i/>
          <w:spacing w:val="-4"/>
          <w:sz w:val="20"/>
          <w:vertAlign w:val="baseline"/>
        </w:rPr>
        <w:t> </w:t>
      </w:r>
      <w:r>
        <w:rPr>
          <w:i/>
          <w:sz w:val="20"/>
          <w:vertAlign w:val="baseline"/>
        </w:rPr>
        <w:t>of</w:t>
      </w:r>
      <w:r>
        <w:rPr>
          <w:i/>
          <w:spacing w:val="-2"/>
          <w:sz w:val="20"/>
          <w:vertAlign w:val="baseline"/>
        </w:rPr>
        <w:t> </w:t>
      </w:r>
      <w:r>
        <w:rPr>
          <w:i/>
          <w:sz w:val="20"/>
          <w:vertAlign w:val="baseline"/>
        </w:rPr>
        <w:t>Australia</w:t>
      </w:r>
      <w:r>
        <w:rPr>
          <w:i/>
          <w:spacing w:val="-3"/>
          <w:sz w:val="20"/>
          <w:vertAlign w:val="baseline"/>
        </w:rPr>
        <w:t> </w:t>
      </w:r>
      <w:r>
        <w:rPr>
          <w:i/>
          <w:sz w:val="20"/>
          <w:vertAlign w:val="baseline"/>
        </w:rPr>
        <w:t>(BCA</w:t>
      </w:r>
      <w:r>
        <w:rPr>
          <w:i/>
          <w:spacing w:val="-3"/>
          <w:sz w:val="20"/>
          <w:vertAlign w:val="baseline"/>
        </w:rPr>
        <w:t> </w:t>
      </w:r>
      <w:r>
        <w:rPr>
          <w:i/>
          <w:sz w:val="20"/>
          <w:vertAlign w:val="baseline"/>
        </w:rPr>
        <w:t>96)</w:t>
      </w:r>
      <w:r>
        <w:rPr>
          <w:i/>
          <w:spacing w:val="-1"/>
          <w:sz w:val="20"/>
          <w:vertAlign w:val="baseline"/>
        </w:rPr>
        <w:t> </w:t>
      </w:r>
      <w:r>
        <w:rPr>
          <w:i/>
          <w:sz w:val="20"/>
          <w:vertAlign w:val="baseline"/>
        </w:rPr>
        <w:t>provisions</w:t>
      </w:r>
      <w:r>
        <w:rPr>
          <w:i/>
          <w:sz w:val="20"/>
          <w:vertAlign w:val="baseline"/>
        </w:rPr>
        <w:t> for access and facilities for people with a disability </w:t>
      </w:r>
      <w:r>
        <w:rPr>
          <w:sz w:val="20"/>
          <w:vertAlign w:val="baseline"/>
        </w:rPr>
        <w:t>(ABCB, Canberra, 1998) and </w:t>
      </w:r>
      <w:r>
        <w:rPr>
          <w:i/>
          <w:sz w:val="20"/>
          <w:vertAlign w:val="baseline"/>
        </w:rPr>
        <w:t>Access to</w:t>
      </w:r>
      <w:r>
        <w:rPr>
          <w:i/>
          <w:spacing w:val="40"/>
          <w:sz w:val="20"/>
          <w:vertAlign w:val="baseline"/>
        </w:rPr>
        <w:t> </w:t>
      </w:r>
      <w:r>
        <w:rPr>
          <w:i/>
          <w:sz w:val="20"/>
          <w:vertAlign w:val="baseline"/>
        </w:rPr>
        <w:t>Goods, Services and Facilities: Regulatory Impact Statement – the Government’s assessment of the costs and benefits of introducing the later rights in Part III of the Disability Discrimination Act 1995 </w:t>
      </w:r>
      <w:r>
        <w:rPr>
          <w:sz w:val="20"/>
          <w:vertAlign w:val="baseline"/>
        </w:rPr>
        <w:t>(Department for Education and Employment, London. Also </w:t>
      </w:r>
      <w:r>
        <w:rPr>
          <w:i/>
          <w:sz w:val="20"/>
          <w:vertAlign w:val="baseline"/>
        </w:rPr>
        <w:t>The Building Regulations 2000:</w:t>
      </w:r>
      <w:r>
        <w:rPr>
          <w:i/>
          <w:sz w:val="20"/>
          <w:vertAlign w:val="baseline"/>
        </w:rPr>
        <w:t> Proposals for Amending Part M Access to and use of buildings – Regulatory Impact Statement. </w:t>
      </w:r>
      <w:r>
        <w:rPr>
          <w:sz w:val="20"/>
          <w:vertAlign w:val="baseline"/>
        </w:rPr>
        <w:t>(Office of the Deputy Prime Minister, London, 2002).</w:t>
      </w:r>
    </w:p>
    <w:p>
      <w:pPr>
        <w:spacing w:after="0"/>
        <w:jc w:val="both"/>
        <w:rPr>
          <w:sz w:val="20"/>
        </w:rPr>
        <w:sectPr>
          <w:pgSz w:w="12240" w:h="15840"/>
          <w:pgMar w:header="0" w:footer="1140" w:top="1500" w:bottom="1340" w:left="1560" w:right="1500"/>
        </w:sectPr>
      </w:pPr>
    </w:p>
    <w:p>
      <w:pPr>
        <w:pStyle w:val="BodyText"/>
        <w:spacing w:before="77"/>
        <w:ind w:left="237" w:right="294"/>
        <w:jc w:val="both"/>
      </w:pPr>
      <w:bookmarkStart w:name="_bookmark14" w:id="50"/>
      <w:bookmarkEnd w:id="50"/>
      <w:r>
        <w:rPr/>
      </w:r>
      <w:r>
        <w:rPr/>
        <w:t>particular set of requirements and establishing that compliance with them will be taken as compliance with both DDA and BCA obligations, the current exercise could even reduce the “reach” of the currently provided general duties under the DDA, rather than imposing new obligations.</w:t>
      </w:r>
    </w:p>
    <w:p>
      <w:pPr>
        <w:pStyle w:val="BodyText"/>
        <w:spacing w:before="11"/>
        <w:rPr>
          <w:sz w:val="23"/>
        </w:rPr>
      </w:pPr>
    </w:p>
    <w:p>
      <w:pPr>
        <w:pStyle w:val="BodyText"/>
        <w:ind w:left="237" w:right="292"/>
        <w:jc w:val="both"/>
      </w:pPr>
      <w:r>
        <w:rPr/>
        <w:t>This would be so to the extent that the technical provisions to be contained in the Premises Standards (and the amended BCA) were less extensive than might be found to exist as a result of the</w:t>
      </w:r>
      <w:r>
        <w:rPr/>
        <w:t> existing general</w:t>
      </w:r>
      <w:r>
        <w:rPr/>
        <w:t> duties by the Australian court system in proceedings under the DDA.</w:t>
      </w:r>
    </w:p>
    <w:p>
      <w:pPr>
        <w:pStyle w:val="BodyText"/>
      </w:pPr>
    </w:p>
    <w:p>
      <w:pPr>
        <w:pStyle w:val="BodyText"/>
        <w:ind w:left="237" w:right="293"/>
        <w:jc w:val="both"/>
      </w:pPr>
      <w:r>
        <w:rPr/>
        <w:t>However, while this is a theoretical possibility, it must be weighed against the practical impact of the proposed codification on effective compliance rates. While it is clearly not possible to collect objective data, anecdotal evidence indicates that, in practice, the degree of compliance with the general duties of the DDA in relation to premises is low. While the AHRC has published Advisory Notes on Access to Premises, they do not have any legal status. Thus, they are not written in terms that establish specific requirements and, for the most part, lack even specific recommendations at the level of different building uses. Moreover, the extent of complaints activity in this area has been low (see below), indicating that there may have been limited direct incentives, to date, for building owners and designers to ensure they are in compliance.</w:t>
      </w:r>
    </w:p>
    <w:p>
      <w:pPr>
        <w:pStyle w:val="BodyText"/>
      </w:pPr>
    </w:p>
    <w:p>
      <w:pPr>
        <w:pStyle w:val="BodyText"/>
        <w:spacing w:before="1"/>
        <w:ind w:left="237" w:right="295"/>
        <w:jc w:val="both"/>
      </w:pPr>
      <w:r>
        <w:rPr/>
        <w:t>Given these factors, it can be predicted that the establishment of a detailed codification of the DDA’s general duty of non-discrimination in the premises context will have an important impact in improving compliance. To the extent that this is so, there are likely to be important effective benefits for people with a disability, vis-à-vis the present situation.</w:t>
      </w:r>
    </w:p>
    <w:p>
      <w:pPr>
        <w:pStyle w:val="BodyText"/>
        <w:rPr>
          <w:sz w:val="26"/>
        </w:rPr>
      </w:pPr>
    </w:p>
    <w:p>
      <w:pPr>
        <w:pStyle w:val="BodyText"/>
        <w:rPr>
          <w:sz w:val="22"/>
        </w:rPr>
      </w:pPr>
    </w:p>
    <w:p>
      <w:pPr>
        <w:pStyle w:val="Heading2"/>
        <w:numPr>
          <w:ilvl w:val="1"/>
          <w:numId w:val="14"/>
        </w:numPr>
        <w:tabs>
          <w:tab w:pos="705" w:val="left" w:leader="none"/>
        </w:tabs>
        <w:spacing w:line="240" w:lineRule="auto" w:before="1" w:after="0"/>
        <w:ind w:left="704" w:right="0" w:hanging="468"/>
        <w:jc w:val="left"/>
        <w:rPr>
          <w:i/>
        </w:rPr>
      </w:pPr>
      <w:bookmarkStart w:name="7.2 Transaction cost reductions " w:id="51"/>
      <w:bookmarkEnd w:id="51"/>
      <w:r>
        <w:rPr>
          <w:i/>
        </w:rPr>
        <w:t>Transaction</w:t>
      </w:r>
      <w:r>
        <w:rPr>
          <w:i/>
          <w:spacing w:val="-11"/>
        </w:rPr>
        <w:t> </w:t>
      </w:r>
      <w:r>
        <w:rPr>
          <w:i/>
        </w:rPr>
        <w:t>cost</w:t>
      </w:r>
      <w:r>
        <w:rPr>
          <w:i/>
          <w:spacing w:val="-11"/>
        </w:rPr>
        <w:t> </w:t>
      </w:r>
      <w:r>
        <w:rPr>
          <w:i/>
          <w:spacing w:val="-2"/>
        </w:rPr>
        <w:t>reductions</w:t>
      </w:r>
    </w:p>
    <w:p>
      <w:pPr>
        <w:pStyle w:val="BodyText"/>
        <w:spacing w:before="10"/>
        <w:rPr>
          <w:b/>
          <w:i/>
          <w:sz w:val="23"/>
        </w:rPr>
      </w:pPr>
    </w:p>
    <w:p>
      <w:pPr>
        <w:pStyle w:val="BodyText"/>
        <w:ind w:left="237" w:right="299"/>
        <w:jc w:val="both"/>
      </w:pPr>
      <w:r>
        <w:rPr/>
        <w:t>Following from the above, a fundamental benefit likely to arise from codification</w:t>
      </w:r>
      <w:r>
        <w:rPr>
          <w:spacing w:val="40"/>
        </w:rPr>
        <w:t> </w:t>
      </w:r>
      <w:r>
        <w:rPr/>
        <w:t>of the DDA duties as they relate to premises is a reduction in the transaction costs associated with ensuring and enforcing compliance. Two major considerations must be weighed in this regard:</w:t>
      </w:r>
    </w:p>
    <w:p>
      <w:pPr>
        <w:pStyle w:val="BodyText"/>
      </w:pPr>
    </w:p>
    <w:p>
      <w:pPr>
        <w:pStyle w:val="BodyText"/>
        <w:ind w:left="237" w:right="300"/>
        <w:jc w:val="both"/>
      </w:pPr>
      <w:r>
        <w:rPr/>
        <w:t>First, the establishment of the practical extent of the DDA duties currently relies largely on the complaints mechanisms that are established under the DDA. That is, an individual must bring a complaint that a case of discrimination has occurred. Alternatively, a “representative” complaint may be made by an organisation or individual on behalf of a “class” of persons with particular disabilities. This is an inherently slow and costly way of determining the nature and extent of the general duties established in the DDA as they apply to</w:t>
      </w:r>
      <w:r>
        <w:rPr>
          <w:spacing w:val="40"/>
        </w:rPr>
        <w:t> </w:t>
      </w:r>
      <w:r>
        <w:rPr/>
        <w:t>premises and, indeed, to particular types of premises.</w:t>
      </w:r>
    </w:p>
    <w:p>
      <w:pPr>
        <w:spacing w:after="0"/>
        <w:jc w:val="both"/>
        <w:sectPr>
          <w:pgSz w:w="12240" w:h="15840"/>
          <w:pgMar w:header="0" w:footer="1140" w:top="1360" w:bottom="1340" w:left="1560" w:right="1500"/>
        </w:sectPr>
      </w:pPr>
    </w:p>
    <w:p>
      <w:pPr>
        <w:pStyle w:val="BodyText"/>
        <w:spacing w:before="77"/>
        <w:ind w:left="237" w:right="293"/>
        <w:jc w:val="both"/>
      </w:pPr>
      <w:bookmarkStart w:name="_bookmark15" w:id="52"/>
      <w:bookmarkEnd w:id="52"/>
      <w:r>
        <w:rPr/>
      </w:r>
      <w:r>
        <w:rPr/>
        <w:t>In fact, there have been relatively few such complaints that have passed through the processes set out under the DDA to date, despite the fact that the DDA has now been in operation for more than a decade. Data from the AHRC indicates that an average of 45 complaints per annum have been received in relation to access to premises issues in each of the last four years, with no obvious trend toward increased use of the complaints mechanism being visible over this time. Thus, this mechanism has apparently had little impact in terms of defining and establishing the effective requirements under the DDA.</w:t>
      </w:r>
    </w:p>
    <w:p>
      <w:pPr>
        <w:pStyle w:val="BodyText"/>
      </w:pPr>
    </w:p>
    <w:p>
      <w:pPr>
        <w:pStyle w:val="BodyText"/>
        <w:ind w:left="237" w:right="294"/>
        <w:jc w:val="both"/>
      </w:pPr>
      <w:r>
        <w:rPr/>
        <w:t>Secondly, advice from a number of sources suggests that the fact that a Premises Standards is under development may itself have had an impact in reducing the incidents of complaints regarding access to premises. That is, some potential complainants may have delayed taking action due to the expectation that detailed requirements on access will be legislated in the near future. This suggests that complaints activity would be somewhat higher if the development</w:t>
      </w:r>
      <w:r>
        <w:rPr>
          <w:spacing w:val="40"/>
        </w:rPr>
        <w:t> </w:t>
      </w:r>
      <w:r>
        <w:rPr/>
        <w:t>of the Premises Standards was not proceeding. The extent to which this would</w:t>
      </w:r>
      <w:r>
        <w:rPr>
          <w:spacing w:val="40"/>
        </w:rPr>
        <w:t> </w:t>
      </w:r>
      <w:r>
        <w:rPr/>
        <w:t>be</w:t>
      </w:r>
      <w:r>
        <w:rPr>
          <w:spacing w:val="-1"/>
        </w:rPr>
        <w:t> </w:t>
      </w:r>
      <w:r>
        <w:rPr/>
        <w:t>the</w:t>
      </w:r>
      <w:r>
        <w:rPr>
          <w:spacing w:val="-1"/>
        </w:rPr>
        <w:t> </w:t>
      </w:r>
      <w:r>
        <w:rPr/>
        <w:t>case</w:t>
      </w:r>
      <w:r>
        <w:rPr>
          <w:spacing w:val="-1"/>
        </w:rPr>
        <w:t> </w:t>
      </w:r>
      <w:r>
        <w:rPr/>
        <w:t>is</w:t>
      </w:r>
      <w:r>
        <w:rPr>
          <w:spacing w:val="-1"/>
        </w:rPr>
        <w:t> </w:t>
      </w:r>
      <w:r>
        <w:rPr/>
        <w:t>necessarily</w:t>
      </w:r>
      <w:r>
        <w:rPr>
          <w:spacing w:val="-1"/>
        </w:rPr>
        <w:t> </w:t>
      </w:r>
      <w:r>
        <w:rPr/>
        <w:t>difficult</w:t>
      </w:r>
      <w:r>
        <w:rPr>
          <w:spacing w:val="-1"/>
        </w:rPr>
        <w:t> </w:t>
      </w:r>
      <w:r>
        <w:rPr/>
        <w:t>to</w:t>
      </w:r>
      <w:r>
        <w:rPr>
          <w:spacing w:val="-1"/>
        </w:rPr>
        <w:t> </w:t>
      </w:r>
      <w:r>
        <w:rPr/>
        <w:t>assess.</w:t>
      </w:r>
      <w:r>
        <w:rPr>
          <w:spacing w:val="-1"/>
        </w:rPr>
        <w:t> </w:t>
      </w:r>
      <w:r>
        <w:rPr/>
        <w:t>However,</w:t>
      </w:r>
      <w:r>
        <w:rPr>
          <w:spacing w:val="-1"/>
        </w:rPr>
        <w:t> </w:t>
      </w:r>
      <w:r>
        <w:rPr/>
        <w:t>it</w:t>
      </w:r>
      <w:r>
        <w:rPr>
          <w:spacing w:val="-1"/>
        </w:rPr>
        <w:t> </w:t>
      </w:r>
      <w:r>
        <w:rPr/>
        <w:t>should be noted that the continuation of the existing complaints-based system would probably involve a higher level of complaints activity than has been observed to date.</w:t>
      </w:r>
    </w:p>
    <w:p>
      <w:pPr>
        <w:pStyle w:val="BodyText"/>
      </w:pPr>
    </w:p>
    <w:p>
      <w:pPr>
        <w:pStyle w:val="BodyText"/>
        <w:ind w:left="237" w:right="294"/>
        <w:jc w:val="both"/>
      </w:pPr>
      <w:r>
        <w:rPr/>
        <w:t>Despite the relatively flexible approaches taken to resolving complaints under the DDA, the costs involved in resolving complaints are necessarily substantial. For example, advice to the AHRC from specialist legal firms operating in this area suggests that costs for one party alone are likely to be of the order of:</w:t>
      </w:r>
    </w:p>
    <w:p>
      <w:pPr>
        <w:pStyle w:val="BodyText"/>
        <w:spacing w:before="9"/>
        <w:rPr>
          <w:sz w:val="23"/>
        </w:rPr>
      </w:pPr>
    </w:p>
    <w:p>
      <w:pPr>
        <w:pStyle w:val="ListParagraph"/>
        <w:numPr>
          <w:ilvl w:val="2"/>
          <w:numId w:val="14"/>
        </w:numPr>
        <w:tabs>
          <w:tab w:pos="957" w:val="left" w:leader="none"/>
          <w:tab w:pos="958" w:val="left" w:leader="none"/>
        </w:tabs>
        <w:spacing w:line="240" w:lineRule="auto" w:before="0" w:after="0"/>
        <w:ind w:left="957" w:right="0" w:hanging="361"/>
        <w:jc w:val="left"/>
        <w:rPr>
          <w:sz w:val="24"/>
        </w:rPr>
      </w:pPr>
      <w:r>
        <w:rPr>
          <w:sz w:val="24"/>
        </w:rPr>
        <w:t>$5,000</w:t>
      </w:r>
      <w:r>
        <w:rPr>
          <w:spacing w:val="-7"/>
          <w:sz w:val="24"/>
        </w:rPr>
        <w:t> </w:t>
      </w:r>
      <w:r>
        <w:rPr>
          <w:sz w:val="24"/>
        </w:rPr>
        <w:t>-</w:t>
      </w:r>
      <w:r>
        <w:rPr>
          <w:spacing w:val="-7"/>
          <w:sz w:val="24"/>
        </w:rPr>
        <w:t> </w:t>
      </w:r>
      <w:r>
        <w:rPr>
          <w:sz w:val="24"/>
        </w:rPr>
        <w:t>$10,000</w:t>
      </w:r>
      <w:r>
        <w:rPr>
          <w:spacing w:val="-7"/>
          <w:sz w:val="24"/>
        </w:rPr>
        <w:t> </w:t>
      </w:r>
      <w:r>
        <w:rPr>
          <w:sz w:val="24"/>
        </w:rPr>
        <w:t>for</w:t>
      </w:r>
      <w:r>
        <w:rPr>
          <w:spacing w:val="-7"/>
          <w:sz w:val="24"/>
        </w:rPr>
        <w:t> </w:t>
      </w:r>
      <w:r>
        <w:rPr>
          <w:sz w:val="24"/>
        </w:rPr>
        <w:t>an</w:t>
      </w:r>
      <w:r>
        <w:rPr>
          <w:spacing w:val="-7"/>
          <w:sz w:val="24"/>
        </w:rPr>
        <w:t> </w:t>
      </w:r>
      <w:r>
        <w:rPr>
          <w:sz w:val="24"/>
        </w:rPr>
        <w:t>AHRC</w:t>
      </w:r>
      <w:r>
        <w:rPr>
          <w:spacing w:val="-7"/>
          <w:sz w:val="24"/>
        </w:rPr>
        <w:t> </w:t>
      </w:r>
      <w:r>
        <w:rPr>
          <w:sz w:val="24"/>
        </w:rPr>
        <w:t>conciliation</w:t>
      </w:r>
      <w:r>
        <w:rPr>
          <w:spacing w:val="-6"/>
          <w:sz w:val="24"/>
        </w:rPr>
        <w:t> </w:t>
      </w:r>
      <w:r>
        <w:rPr>
          <w:sz w:val="24"/>
        </w:rPr>
        <w:t>process;</w:t>
      </w:r>
      <w:r>
        <w:rPr>
          <w:spacing w:val="-7"/>
          <w:sz w:val="24"/>
        </w:rPr>
        <w:t> </w:t>
      </w:r>
      <w:r>
        <w:rPr>
          <w:spacing w:val="-5"/>
          <w:sz w:val="24"/>
        </w:rPr>
        <w:t>and</w:t>
      </w:r>
    </w:p>
    <w:p>
      <w:pPr>
        <w:pStyle w:val="ListParagraph"/>
        <w:numPr>
          <w:ilvl w:val="2"/>
          <w:numId w:val="14"/>
        </w:numPr>
        <w:tabs>
          <w:tab w:pos="957" w:val="left" w:leader="none"/>
          <w:tab w:pos="958" w:val="left" w:leader="none"/>
        </w:tabs>
        <w:spacing w:line="240" w:lineRule="auto" w:before="117" w:after="0"/>
        <w:ind w:left="957" w:right="292" w:hanging="360"/>
        <w:jc w:val="left"/>
        <w:rPr>
          <w:sz w:val="24"/>
        </w:rPr>
      </w:pPr>
      <w:r>
        <w:rPr>
          <w:sz w:val="24"/>
        </w:rPr>
        <w:t>$30,000</w:t>
      </w:r>
      <w:r>
        <w:rPr>
          <w:spacing w:val="77"/>
          <w:sz w:val="24"/>
        </w:rPr>
        <w:t> </w:t>
      </w:r>
      <w:r>
        <w:rPr>
          <w:sz w:val="24"/>
        </w:rPr>
        <w:t>-</w:t>
      </w:r>
      <w:r>
        <w:rPr>
          <w:spacing w:val="77"/>
          <w:sz w:val="24"/>
        </w:rPr>
        <w:t> </w:t>
      </w:r>
      <w:r>
        <w:rPr>
          <w:sz w:val="24"/>
        </w:rPr>
        <w:t>$40,000</w:t>
      </w:r>
      <w:r>
        <w:rPr>
          <w:spacing w:val="77"/>
          <w:sz w:val="24"/>
        </w:rPr>
        <w:t> </w:t>
      </w:r>
      <w:r>
        <w:rPr>
          <w:sz w:val="24"/>
        </w:rPr>
        <w:t>for</w:t>
      </w:r>
      <w:r>
        <w:rPr>
          <w:spacing w:val="77"/>
          <w:sz w:val="24"/>
        </w:rPr>
        <w:t> </w:t>
      </w:r>
      <w:r>
        <w:rPr>
          <w:sz w:val="24"/>
        </w:rPr>
        <w:t>a</w:t>
      </w:r>
      <w:r>
        <w:rPr>
          <w:spacing w:val="77"/>
          <w:sz w:val="24"/>
        </w:rPr>
        <w:t> </w:t>
      </w:r>
      <w:r>
        <w:rPr>
          <w:sz w:val="24"/>
        </w:rPr>
        <w:t>Federal</w:t>
      </w:r>
      <w:r>
        <w:rPr>
          <w:spacing w:val="77"/>
          <w:sz w:val="24"/>
        </w:rPr>
        <w:t> </w:t>
      </w:r>
      <w:r>
        <w:rPr>
          <w:sz w:val="24"/>
        </w:rPr>
        <w:t>Magistrates</w:t>
      </w:r>
      <w:r>
        <w:rPr>
          <w:spacing w:val="77"/>
          <w:sz w:val="24"/>
        </w:rPr>
        <w:t> </w:t>
      </w:r>
      <w:r>
        <w:rPr>
          <w:sz w:val="24"/>
        </w:rPr>
        <w:t>Court</w:t>
      </w:r>
      <w:r>
        <w:rPr>
          <w:spacing w:val="77"/>
          <w:sz w:val="24"/>
        </w:rPr>
        <w:t> </w:t>
      </w:r>
      <w:r>
        <w:rPr>
          <w:sz w:val="24"/>
        </w:rPr>
        <w:t>hearing,</w:t>
      </w:r>
      <w:r>
        <w:rPr>
          <w:spacing w:val="77"/>
          <w:sz w:val="24"/>
        </w:rPr>
        <w:t> </w:t>
      </w:r>
      <w:r>
        <w:rPr>
          <w:sz w:val="24"/>
        </w:rPr>
        <w:t>typically lasting two days</w:t>
      </w:r>
      <w:r>
        <w:rPr>
          <w:sz w:val="24"/>
          <w:vertAlign w:val="superscript"/>
        </w:rPr>
        <w:t>18</w:t>
      </w:r>
      <w:r>
        <w:rPr>
          <w:sz w:val="24"/>
          <w:vertAlign w:val="baseline"/>
        </w:rPr>
        <w:t>.</w:t>
      </w:r>
    </w:p>
    <w:p>
      <w:pPr>
        <w:pStyle w:val="BodyText"/>
        <w:spacing w:before="10"/>
        <w:rPr>
          <w:sz w:val="23"/>
        </w:rPr>
      </w:pPr>
    </w:p>
    <w:p>
      <w:pPr>
        <w:pStyle w:val="BodyText"/>
        <w:ind w:left="237" w:right="299"/>
        <w:jc w:val="both"/>
      </w:pPr>
      <w:r>
        <w:rPr/>
        <w:t>Moreover, if existing processes were to continue, it is likely that a relatively high level of complaints activity would be maintained over time, since experience suggests that relatively few complaints have substantial “precedent setting” or flow-on effects, even where successfully resolved. Thus, the transaction costs involved in maintaining the existing complaints based approach to the DDA requirements would be likely to persist at a high level over the medium to long </w:t>
      </w:r>
      <w:r>
        <w:rPr>
          <w:spacing w:val="-2"/>
        </w:rPr>
        <w:t>term.</w:t>
      </w:r>
    </w:p>
    <w:p>
      <w:pPr>
        <w:pStyle w:val="BodyText"/>
        <w:rPr>
          <w:sz w:val="26"/>
        </w:rPr>
      </w:pPr>
    </w:p>
    <w:p>
      <w:pPr>
        <w:pStyle w:val="Heading2"/>
        <w:numPr>
          <w:ilvl w:val="1"/>
          <w:numId w:val="14"/>
        </w:numPr>
        <w:tabs>
          <w:tab w:pos="705" w:val="left" w:leader="none"/>
        </w:tabs>
        <w:spacing w:line="240" w:lineRule="auto" w:before="223" w:after="0"/>
        <w:ind w:left="704" w:right="0" w:hanging="468"/>
        <w:jc w:val="left"/>
        <w:rPr>
          <w:i/>
        </w:rPr>
      </w:pPr>
      <w:bookmarkStart w:name="7.3 Effectiveness of the complaints mech" w:id="53"/>
      <w:bookmarkEnd w:id="53"/>
      <w:r>
        <w:rPr>
          <w:i/>
        </w:rPr>
        <w:t>Effectiveness</w:t>
      </w:r>
      <w:r>
        <w:rPr>
          <w:i/>
          <w:spacing w:val="-10"/>
        </w:rPr>
        <w:t> </w:t>
      </w:r>
      <w:r>
        <w:rPr>
          <w:i/>
        </w:rPr>
        <w:t>of</w:t>
      </w:r>
      <w:r>
        <w:rPr>
          <w:i/>
          <w:spacing w:val="-10"/>
        </w:rPr>
        <w:t> </w:t>
      </w:r>
      <w:r>
        <w:rPr>
          <w:i/>
        </w:rPr>
        <w:t>the</w:t>
      </w:r>
      <w:r>
        <w:rPr>
          <w:i/>
          <w:spacing w:val="-11"/>
        </w:rPr>
        <w:t> </w:t>
      </w:r>
      <w:r>
        <w:rPr>
          <w:i/>
        </w:rPr>
        <w:t>complaints</w:t>
      </w:r>
      <w:r>
        <w:rPr>
          <w:i/>
          <w:spacing w:val="-10"/>
        </w:rPr>
        <w:t> </w:t>
      </w:r>
      <w:r>
        <w:rPr>
          <w:i/>
          <w:spacing w:val="-2"/>
        </w:rPr>
        <w:t>mechanism</w:t>
      </w:r>
    </w:p>
    <w:p>
      <w:pPr>
        <w:pStyle w:val="BodyText"/>
        <w:spacing w:before="9"/>
        <w:rPr>
          <w:b/>
          <w:i/>
          <w:sz w:val="23"/>
        </w:rPr>
      </w:pPr>
    </w:p>
    <w:p>
      <w:pPr>
        <w:pStyle w:val="BodyText"/>
        <w:ind w:left="237" w:right="299"/>
        <w:jc w:val="both"/>
      </w:pPr>
      <w:r>
        <w:rPr/>
        <w:t>In addition to the considerable transaction costs involved in the current DDA processes for establishing specific access requirements, a number of features of the</w:t>
      </w:r>
      <w:r>
        <w:rPr>
          <w:spacing w:val="80"/>
          <w:w w:val="150"/>
        </w:rPr>
        <w:t> </w:t>
      </w:r>
      <w:r>
        <w:rPr/>
        <w:t>process</w:t>
      </w:r>
      <w:r>
        <w:rPr>
          <w:spacing w:val="80"/>
          <w:w w:val="150"/>
        </w:rPr>
        <w:t> </w:t>
      </w:r>
      <w:r>
        <w:rPr/>
        <w:t>restrict</w:t>
      </w:r>
      <w:r>
        <w:rPr>
          <w:spacing w:val="80"/>
          <w:w w:val="150"/>
        </w:rPr>
        <w:t> </w:t>
      </w:r>
      <w:r>
        <w:rPr/>
        <w:t>its</w:t>
      </w:r>
      <w:r>
        <w:rPr>
          <w:spacing w:val="80"/>
          <w:w w:val="150"/>
        </w:rPr>
        <w:t> </w:t>
      </w:r>
      <w:r>
        <w:rPr/>
        <w:t>effectiveness</w:t>
      </w:r>
      <w:r>
        <w:rPr>
          <w:spacing w:val="80"/>
          <w:w w:val="150"/>
        </w:rPr>
        <w:t> </w:t>
      </w:r>
      <w:r>
        <w:rPr/>
        <w:t>in</w:t>
      </w:r>
      <w:r>
        <w:rPr>
          <w:spacing w:val="80"/>
          <w:w w:val="150"/>
        </w:rPr>
        <w:t> </w:t>
      </w:r>
      <w:r>
        <w:rPr/>
        <w:t>clearly</w:t>
      </w:r>
      <w:r>
        <w:rPr>
          <w:spacing w:val="80"/>
          <w:w w:val="150"/>
        </w:rPr>
        <w:t> </w:t>
      </w:r>
      <w:r>
        <w:rPr/>
        <w:t>establishing</w:t>
      </w:r>
      <w:r>
        <w:rPr>
          <w:spacing w:val="80"/>
          <w:w w:val="150"/>
        </w:rPr>
        <w:t> </w:t>
      </w:r>
      <w:r>
        <w:rPr/>
        <w:t>the</w:t>
      </w:r>
      <w:r>
        <w:rPr>
          <w:spacing w:val="80"/>
          <w:w w:val="150"/>
        </w:rPr>
        <w:t> </w:t>
      </w:r>
      <w:r>
        <w:rPr/>
        <w:t>specific</w:t>
      </w:r>
    </w:p>
    <w:p>
      <w:pPr>
        <w:pStyle w:val="BodyText"/>
        <w:spacing w:before="8"/>
        <w:rPr>
          <w:sz w:val="25"/>
        </w:rPr>
      </w:pPr>
      <w:r>
        <w:rPr/>
        <w:pict>
          <v:rect style="position:absolute;margin-left:89.879997pt;margin-top:16.009678pt;width:144pt;height:.6pt;mso-position-horizontal-relative:page;mso-position-vertical-relative:paragraph;z-index:-15720960;mso-wrap-distance-left:0;mso-wrap-distance-right:0" id="docshape21"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18</w:t>
      </w:r>
      <w:r>
        <w:rPr>
          <w:spacing w:val="-7"/>
          <w:sz w:val="20"/>
          <w:vertAlign w:val="baseline"/>
        </w:rPr>
        <w:t> </w:t>
      </w:r>
      <w:r>
        <w:rPr>
          <w:sz w:val="20"/>
          <w:vertAlign w:val="baseline"/>
        </w:rPr>
        <w:t>Consultations</w:t>
      </w:r>
      <w:r>
        <w:rPr>
          <w:spacing w:val="-6"/>
          <w:sz w:val="20"/>
          <w:vertAlign w:val="baseline"/>
        </w:rPr>
        <w:t> </w:t>
      </w:r>
      <w:r>
        <w:rPr>
          <w:sz w:val="20"/>
          <w:vertAlign w:val="baseline"/>
        </w:rPr>
        <w:t>with</w:t>
      </w:r>
      <w:r>
        <w:rPr>
          <w:spacing w:val="-6"/>
          <w:sz w:val="20"/>
          <w:vertAlign w:val="baseline"/>
        </w:rPr>
        <w:t> </w:t>
      </w:r>
      <w:r>
        <w:rPr>
          <w:sz w:val="20"/>
          <w:vertAlign w:val="baseline"/>
        </w:rPr>
        <w:t>HREOC</w:t>
      </w:r>
      <w:r>
        <w:rPr>
          <w:spacing w:val="-7"/>
          <w:sz w:val="20"/>
          <w:vertAlign w:val="baseline"/>
        </w:rPr>
        <w:t> </w:t>
      </w:r>
      <w:r>
        <w:rPr>
          <w:sz w:val="20"/>
          <w:vertAlign w:val="baseline"/>
        </w:rPr>
        <w:t>(now</w:t>
      </w:r>
      <w:r>
        <w:rPr>
          <w:spacing w:val="-5"/>
          <w:sz w:val="20"/>
          <w:vertAlign w:val="baseline"/>
        </w:rPr>
        <w:t> </w:t>
      </w:r>
      <w:r>
        <w:rPr>
          <w:sz w:val="20"/>
          <w:vertAlign w:val="baseline"/>
        </w:rPr>
        <w:t>AHRC)</w:t>
      </w:r>
      <w:r>
        <w:rPr>
          <w:spacing w:val="-6"/>
          <w:sz w:val="20"/>
          <w:vertAlign w:val="baseline"/>
        </w:rPr>
        <w:t> </w:t>
      </w:r>
      <w:r>
        <w:rPr>
          <w:sz w:val="20"/>
          <w:vertAlign w:val="baseline"/>
        </w:rPr>
        <w:t>officials,</w:t>
      </w:r>
      <w:r>
        <w:rPr>
          <w:spacing w:val="-6"/>
          <w:sz w:val="20"/>
          <w:vertAlign w:val="baseline"/>
        </w:rPr>
        <w:t> </w:t>
      </w:r>
      <w:r>
        <w:rPr>
          <w:sz w:val="20"/>
          <w:vertAlign w:val="baseline"/>
        </w:rPr>
        <w:t>10</w:t>
      </w:r>
      <w:r>
        <w:rPr>
          <w:spacing w:val="-7"/>
          <w:sz w:val="20"/>
          <w:vertAlign w:val="baseline"/>
        </w:rPr>
        <w:t> </w:t>
      </w:r>
      <w:r>
        <w:rPr>
          <w:sz w:val="20"/>
          <w:vertAlign w:val="baseline"/>
        </w:rPr>
        <w:t>July,</w:t>
      </w:r>
      <w:r>
        <w:rPr>
          <w:spacing w:val="-6"/>
          <w:sz w:val="20"/>
          <w:vertAlign w:val="baseline"/>
        </w:rPr>
        <w:t> </w:t>
      </w:r>
      <w:r>
        <w:rPr>
          <w:spacing w:val="-2"/>
          <w:sz w:val="20"/>
          <w:vertAlign w:val="baseline"/>
        </w:rPr>
        <w:t>2003.</w:t>
      </w:r>
    </w:p>
    <w:p>
      <w:pPr>
        <w:spacing w:after="0"/>
        <w:jc w:val="left"/>
        <w:rPr>
          <w:sz w:val="20"/>
        </w:rPr>
        <w:sectPr>
          <w:pgSz w:w="12240" w:h="15840"/>
          <w:pgMar w:header="0" w:footer="1140" w:top="1360" w:bottom="1340" w:left="1560" w:right="1500"/>
        </w:sectPr>
      </w:pPr>
    </w:p>
    <w:p>
      <w:pPr>
        <w:pStyle w:val="BodyText"/>
        <w:spacing w:before="77"/>
        <w:ind w:left="237" w:right="300"/>
        <w:jc w:val="both"/>
      </w:pPr>
      <w:r>
        <w:rPr/>
        <w:t>requirements on building owners in relation to providing access, and in ensuring that such access is provided. In the first place, complaints settled under the AHRC conciliation process, which is the first step in the process specified under the DDA, may often be subject to confidentiality requirements.</w:t>
      </w:r>
    </w:p>
    <w:p>
      <w:pPr>
        <w:pStyle w:val="BodyText"/>
        <w:spacing w:before="10"/>
        <w:rPr>
          <w:sz w:val="20"/>
        </w:rPr>
      </w:pPr>
    </w:p>
    <w:p>
      <w:pPr>
        <w:pStyle w:val="BodyText"/>
        <w:ind w:left="237" w:right="299"/>
        <w:jc w:val="both"/>
      </w:pPr>
      <w:r>
        <w:rPr/>
        <w:t>To the extent that this occurs, there is little possibility of a “precedent setting” effect operating in practice with respect to these cases</w:t>
      </w:r>
      <w:r>
        <w:rPr>
          <w:vertAlign w:val="superscript"/>
        </w:rPr>
        <w:t>19</w:t>
      </w:r>
      <w:r>
        <w:rPr>
          <w:vertAlign w:val="baseline"/>
        </w:rPr>
        <w:t>. Thus, the resolution of what access requirements effectively exist in a particular case may have no</w:t>
      </w:r>
      <w:r>
        <w:rPr>
          <w:spacing w:val="40"/>
          <w:vertAlign w:val="baseline"/>
        </w:rPr>
        <w:t> </w:t>
      </w:r>
      <w:r>
        <w:rPr>
          <w:vertAlign w:val="baseline"/>
        </w:rPr>
        <w:t>larger impact on ensuring that access is provided in other, similar circumstances. A related point is that the generally limited resources of complainants mean that relatively few complaints will be carried through from the AHRC conciliation processes to the court system, due to economic constraints on the complainants.</w:t>
      </w:r>
    </w:p>
    <w:p>
      <w:pPr>
        <w:pStyle w:val="BodyText"/>
        <w:spacing w:before="10"/>
        <w:rPr>
          <w:sz w:val="20"/>
        </w:rPr>
      </w:pPr>
    </w:p>
    <w:p>
      <w:pPr>
        <w:pStyle w:val="BodyText"/>
        <w:ind w:left="237" w:right="301"/>
        <w:jc w:val="both"/>
      </w:pPr>
      <w:r>
        <w:rPr/>
        <w:t>Second, the DDA specifically states that non-compliance with its provisions (whilst unlawful) does not constitute an offence</w:t>
      </w:r>
      <w:r>
        <w:rPr>
          <w:vertAlign w:val="superscript"/>
        </w:rPr>
        <w:t>20</w:t>
      </w:r>
      <w:r>
        <w:rPr>
          <w:vertAlign w:val="baseline"/>
        </w:rPr>
        <w:t>, except in certain limited cases that are set out specifically in the DDA. This means that there are very limited compliance incentives under the DDA.</w:t>
      </w:r>
    </w:p>
    <w:p>
      <w:pPr>
        <w:pStyle w:val="BodyText"/>
        <w:spacing w:before="8"/>
        <w:rPr>
          <w:sz w:val="23"/>
        </w:rPr>
      </w:pPr>
    </w:p>
    <w:p>
      <w:pPr>
        <w:pStyle w:val="BodyText"/>
        <w:ind w:left="237" w:right="301"/>
        <w:jc w:val="both"/>
      </w:pPr>
      <w:r>
        <w:rPr/>
        <w:t>Third, the above features of the DDA processes have the effect of generating substantial uncertainty for people with a disability and building owners and building operators. The limited effectiveness of the complaints based process in establishing consistent access Standards means that people with a disability have little certainty as to the type and standard of access-related facilities they will find in buildings, while building owners and operators face uncertainty in relation to their compliance obligations and the possibility of complaints being lodged against them.</w:t>
      </w:r>
    </w:p>
    <w:p>
      <w:pPr>
        <w:pStyle w:val="BodyText"/>
        <w:spacing w:before="9"/>
        <w:rPr>
          <w:sz w:val="23"/>
        </w:rPr>
      </w:pPr>
    </w:p>
    <w:p>
      <w:pPr>
        <w:pStyle w:val="BodyText"/>
        <w:ind w:left="237" w:right="292"/>
        <w:jc w:val="both"/>
      </w:pPr>
      <w:r>
        <w:rPr/>
        <w:t>Fourth, an individual complaints based mechanism for establishing and enforcing access Standards is systemically likely to be under-used and, consequently, to</w:t>
      </w:r>
      <w:r>
        <w:rPr>
          <w:spacing w:val="40"/>
        </w:rPr>
        <w:t> </w:t>
      </w:r>
      <w:r>
        <w:rPr/>
        <w:t>be inefficient. This is because the expected costs to individual complainants are very</w:t>
      </w:r>
      <w:r>
        <w:rPr>
          <w:spacing w:val="-1"/>
        </w:rPr>
        <w:t> </w:t>
      </w:r>
      <w:r>
        <w:rPr/>
        <w:t>often</w:t>
      </w:r>
      <w:r>
        <w:rPr>
          <w:spacing w:val="-1"/>
        </w:rPr>
        <w:t> </w:t>
      </w:r>
      <w:r>
        <w:rPr/>
        <w:t>likely</w:t>
      </w:r>
      <w:r>
        <w:rPr>
          <w:spacing w:val="-1"/>
        </w:rPr>
        <w:t> </w:t>
      </w:r>
      <w:r>
        <w:rPr/>
        <w:t>to</w:t>
      </w:r>
      <w:r>
        <w:rPr>
          <w:spacing w:val="-1"/>
        </w:rPr>
        <w:t> </w:t>
      </w:r>
      <w:r>
        <w:rPr/>
        <w:t>be,</w:t>
      </w:r>
      <w:r>
        <w:rPr>
          <w:spacing w:val="-1"/>
        </w:rPr>
        <w:t> </w:t>
      </w:r>
      <w:r>
        <w:rPr/>
        <w:t>substantially,</w:t>
      </w:r>
      <w:r>
        <w:rPr>
          <w:spacing w:val="-1"/>
        </w:rPr>
        <w:t> </w:t>
      </w:r>
      <w:r>
        <w:rPr/>
        <w:t>in</w:t>
      </w:r>
      <w:r>
        <w:rPr>
          <w:spacing w:val="-3"/>
        </w:rPr>
        <w:t> </w:t>
      </w:r>
      <w:r>
        <w:rPr/>
        <w:t>excess</w:t>
      </w:r>
      <w:r>
        <w:rPr>
          <w:spacing w:val="-2"/>
        </w:rPr>
        <w:t> </w:t>
      </w:r>
      <w:r>
        <w:rPr/>
        <w:t>of</w:t>
      </w:r>
      <w:r>
        <w:rPr>
          <w:spacing w:val="-2"/>
        </w:rPr>
        <w:t> </w:t>
      </w:r>
      <w:r>
        <w:rPr/>
        <w:t>the</w:t>
      </w:r>
      <w:r>
        <w:rPr>
          <w:spacing w:val="-2"/>
        </w:rPr>
        <w:t> </w:t>
      </w:r>
      <w:r>
        <w:rPr/>
        <w:t>expected</w:t>
      </w:r>
      <w:r>
        <w:rPr>
          <w:spacing w:val="-2"/>
        </w:rPr>
        <w:t> </w:t>
      </w:r>
      <w:r>
        <w:rPr/>
        <w:t>benefits</w:t>
      </w:r>
      <w:r>
        <w:rPr>
          <w:spacing w:val="-2"/>
        </w:rPr>
        <w:t> </w:t>
      </w:r>
      <w:r>
        <w:rPr/>
        <w:t>derived</w:t>
      </w:r>
      <w:r>
        <w:rPr>
          <w:spacing w:val="-2"/>
        </w:rPr>
        <w:t> </w:t>
      </w:r>
      <w:r>
        <w:rPr/>
        <w:t>as a result of a complaint being made. Thus, in many cases, people with a disability will not launch complaints in response to an experience of discrimination in relation to access to premises. This systemic factor is likely to mean that the DDA’s</w:t>
      </w:r>
      <w:r>
        <w:rPr>
          <w:spacing w:val="-2"/>
        </w:rPr>
        <w:t> </w:t>
      </w:r>
      <w:r>
        <w:rPr/>
        <w:t>existing</w:t>
      </w:r>
      <w:r>
        <w:rPr>
          <w:spacing w:val="-2"/>
        </w:rPr>
        <w:t> </w:t>
      </w:r>
      <w:r>
        <w:rPr/>
        <w:t>complaints</w:t>
      </w:r>
      <w:r>
        <w:rPr>
          <w:spacing w:val="-2"/>
        </w:rPr>
        <w:t> </w:t>
      </w:r>
      <w:r>
        <w:rPr/>
        <w:t>mechanism</w:t>
      </w:r>
      <w:r>
        <w:rPr>
          <w:spacing w:val="-2"/>
        </w:rPr>
        <w:t> </w:t>
      </w:r>
      <w:r>
        <w:rPr/>
        <w:t>will always represent</w:t>
      </w:r>
      <w:r>
        <w:rPr>
          <w:spacing w:val="-1"/>
        </w:rPr>
        <w:t> </w:t>
      </w:r>
      <w:r>
        <w:rPr/>
        <w:t>an</w:t>
      </w:r>
      <w:r>
        <w:rPr>
          <w:spacing w:val="-1"/>
        </w:rPr>
        <w:t> </w:t>
      </w:r>
      <w:r>
        <w:rPr/>
        <w:t>ineffective</w:t>
      </w:r>
      <w:r>
        <w:rPr>
          <w:spacing w:val="-1"/>
        </w:rPr>
        <w:t> </w:t>
      </w:r>
      <w:r>
        <w:rPr/>
        <w:t>means of ensuring access to premises</w:t>
      </w:r>
      <w:r>
        <w:rPr>
          <w:vertAlign w:val="superscript"/>
        </w:rPr>
        <w:t>21</w:t>
      </w:r>
      <w:r>
        <w:rPr>
          <w:vertAlign w:val="baseline"/>
        </w:rPr>
        <w:t>.</w:t>
      </w:r>
    </w:p>
    <w:p>
      <w:pPr>
        <w:pStyle w:val="BodyText"/>
        <w:spacing w:before="8"/>
        <w:rPr>
          <w:sz w:val="23"/>
        </w:rPr>
      </w:pPr>
    </w:p>
    <w:p>
      <w:pPr>
        <w:pStyle w:val="BodyText"/>
        <w:ind w:left="237" w:right="295"/>
        <w:jc w:val="both"/>
      </w:pPr>
      <w:r>
        <w:rPr/>
        <w:t>The proposed Premises Standards would address all of these effectiveness issues. The fundamental benefit of the Premises Standards will be that a very high</w:t>
      </w:r>
      <w:r>
        <w:rPr>
          <w:spacing w:val="-1"/>
        </w:rPr>
        <w:t> </w:t>
      </w:r>
      <w:r>
        <w:rPr/>
        <w:t>level</w:t>
      </w:r>
      <w:r>
        <w:rPr>
          <w:spacing w:val="-1"/>
        </w:rPr>
        <w:t> </w:t>
      </w:r>
      <w:r>
        <w:rPr/>
        <w:t>of</w:t>
      </w:r>
      <w:r>
        <w:rPr>
          <w:spacing w:val="-1"/>
        </w:rPr>
        <w:t> </w:t>
      </w:r>
      <w:r>
        <w:rPr/>
        <w:t>compliance</w:t>
      </w:r>
      <w:r>
        <w:rPr>
          <w:spacing w:val="-1"/>
        </w:rPr>
        <w:t> </w:t>
      </w:r>
      <w:r>
        <w:rPr/>
        <w:t>with</w:t>
      </w:r>
      <w:r>
        <w:rPr>
          <w:spacing w:val="-1"/>
        </w:rPr>
        <w:t> </w:t>
      </w:r>
      <w:r>
        <w:rPr/>
        <w:t>the</w:t>
      </w:r>
      <w:r>
        <w:rPr>
          <w:spacing w:val="-1"/>
        </w:rPr>
        <w:t> </w:t>
      </w:r>
      <w:r>
        <w:rPr/>
        <w:t>DDA</w:t>
      </w:r>
      <w:r>
        <w:rPr>
          <w:spacing w:val="-1"/>
        </w:rPr>
        <w:t> </w:t>
      </w:r>
      <w:r>
        <w:rPr/>
        <w:t>will</w:t>
      </w:r>
      <w:r>
        <w:rPr>
          <w:spacing w:val="-1"/>
        </w:rPr>
        <w:t> </w:t>
      </w:r>
      <w:r>
        <w:rPr/>
        <w:t>be</w:t>
      </w:r>
      <w:r>
        <w:rPr>
          <w:spacing w:val="-1"/>
        </w:rPr>
        <w:t> </w:t>
      </w:r>
      <w:r>
        <w:rPr/>
        <w:t>ensured.</w:t>
      </w:r>
      <w:r>
        <w:rPr>
          <w:spacing w:val="-1"/>
        </w:rPr>
        <w:t> </w:t>
      </w:r>
      <w:r>
        <w:rPr/>
        <w:t>Non-compliance</w:t>
      </w:r>
      <w:r>
        <w:rPr>
          <w:spacing w:val="-1"/>
        </w:rPr>
        <w:t> </w:t>
      </w:r>
      <w:r>
        <w:rPr/>
        <w:t>with</w:t>
      </w:r>
      <w:r>
        <w:rPr>
          <w:spacing w:val="-1"/>
        </w:rPr>
        <w:t> </w:t>
      </w:r>
      <w:r>
        <w:rPr/>
        <w:t>BCA access</w:t>
      </w:r>
      <w:r>
        <w:rPr>
          <w:spacing w:val="28"/>
        </w:rPr>
        <w:t> </w:t>
      </w:r>
      <w:r>
        <w:rPr/>
        <w:t>provisions</w:t>
      </w:r>
      <w:r>
        <w:rPr>
          <w:spacing w:val="30"/>
        </w:rPr>
        <w:t> </w:t>
      </w:r>
      <w:r>
        <w:rPr/>
        <w:t>is</w:t>
      </w:r>
      <w:r>
        <w:rPr>
          <w:spacing w:val="30"/>
        </w:rPr>
        <w:t> </w:t>
      </w:r>
      <w:r>
        <w:rPr/>
        <w:t>effectively</w:t>
      </w:r>
      <w:r>
        <w:rPr>
          <w:spacing w:val="28"/>
        </w:rPr>
        <w:t> </w:t>
      </w:r>
      <w:r>
        <w:rPr/>
        <w:t>prevented</w:t>
      </w:r>
      <w:r>
        <w:rPr>
          <w:spacing w:val="29"/>
        </w:rPr>
        <w:t> </w:t>
      </w:r>
      <w:r>
        <w:rPr/>
        <w:t>through</w:t>
      </w:r>
      <w:r>
        <w:rPr>
          <w:spacing w:val="29"/>
        </w:rPr>
        <w:t> </w:t>
      </w:r>
      <w:r>
        <w:rPr/>
        <w:t>the</w:t>
      </w:r>
      <w:r>
        <w:rPr>
          <w:spacing w:val="28"/>
        </w:rPr>
        <w:t> </w:t>
      </w:r>
      <w:r>
        <w:rPr/>
        <w:t>operation</w:t>
      </w:r>
      <w:r>
        <w:rPr>
          <w:spacing w:val="29"/>
        </w:rPr>
        <w:t> </w:t>
      </w:r>
      <w:r>
        <w:rPr/>
        <w:t>of</w:t>
      </w:r>
      <w:r>
        <w:rPr>
          <w:spacing w:val="29"/>
        </w:rPr>
        <w:t> </w:t>
      </w:r>
      <w:r>
        <w:rPr/>
        <w:t>the</w:t>
      </w:r>
      <w:r>
        <w:rPr>
          <w:spacing w:val="29"/>
        </w:rPr>
        <w:t> </w:t>
      </w:r>
      <w:r>
        <w:rPr>
          <w:spacing w:val="-2"/>
        </w:rPr>
        <w:t>building</w:t>
      </w:r>
    </w:p>
    <w:p>
      <w:pPr>
        <w:pStyle w:val="BodyText"/>
        <w:spacing w:before="4"/>
        <w:rPr>
          <w:sz w:val="25"/>
        </w:rPr>
      </w:pPr>
      <w:r>
        <w:rPr/>
        <w:pict>
          <v:rect style="position:absolute;margin-left:89.879997pt;margin-top:15.79251pt;width:144pt;height:.6pt;mso-position-horizontal-relative:page;mso-position-vertical-relative:paragraph;z-index:-15720448;mso-wrap-distance-left:0;mso-wrap-distance-right:0" id="docshape22"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19</w:t>
      </w:r>
      <w:r>
        <w:rPr>
          <w:spacing w:val="21"/>
          <w:sz w:val="20"/>
          <w:vertAlign w:val="baseline"/>
        </w:rPr>
        <w:t> </w:t>
      </w:r>
      <w:r>
        <w:rPr>
          <w:sz w:val="20"/>
          <w:vertAlign w:val="baseline"/>
        </w:rPr>
        <w:t>Precedent</w:t>
      </w:r>
      <w:r>
        <w:rPr>
          <w:spacing w:val="21"/>
          <w:sz w:val="20"/>
          <w:vertAlign w:val="baseline"/>
        </w:rPr>
        <w:t> </w:t>
      </w:r>
      <w:r>
        <w:rPr>
          <w:sz w:val="20"/>
          <w:vertAlign w:val="baseline"/>
        </w:rPr>
        <w:t>setting</w:t>
      </w:r>
      <w:r>
        <w:rPr>
          <w:spacing w:val="21"/>
          <w:sz w:val="20"/>
          <w:vertAlign w:val="baseline"/>
        </w:rPr>
        <w:t> </w:t>
      </w:r>
      <w:r>
        <w:rPr>
          <w:sz w:val="20"/>
          <w:vertAlign w:val="baseline"/>
        </w:rPr>
        <w:t>can</w:t>
      </w:r>
      <w:r>
        <w:rPr>
          <w:spacing w:val="21"/>
          <w:sz w:val="20"/>
          <w:vertAlign w:val="baseline"/>
        </w:rPr>
        <w:t> </w:t>
      </w:r>
      <w:r>
        <w:rPr>
          <w:sz w:val="20"/>
          <w:vertAlign w:val="baseline"/>
        </w:rPr>
        <w:t>occur</w:t>
      </w:r>
      <w:r>
        <w:rPr>
          <w:spacing w:val="21"/>
          <w:sz w:val="20"/>
          <w:vertAlign w:val="baseline"/>
        </w:rPr>
        <w:t> </w:t>
      </w:r>
      <w:r>
        <w:rPr>
          <w:sz w:val="20"/>
          <w:vertAlign w:val="baseline"/>
        </w:rPr>
        <w:t>to</w:t>
      </w:r>
      <w:r>
        <w:rPr>
          <w:spacing w:val="21"/>
          <w:sz w:val="20"/>
          <w:vertAlign w:val="baseline"/>
        </w:rPr>
        <w:t> </w:t>
      </w:r>
      <w:r>
        <w:rPr>
          <w:sz w:val="20"/>
          <w:vertAlign w:val="baseline"/>
        </w:rPr>
        <w:t>a</w:t>
      </w:r>
      <w:r>
        <w:rPr>
          <w:spacing w:val="20"/>
          <w:sz w:val="20"/>
          <w:vertAlign w:val="baseline"/>
        </w:rPr>
        <w:t> </w:t>
      </w:r>
      <w:r>
        <w:rPr>
          <w:sz w:val="20"/>
          <w:vertAlign w:val="baseline"/>
        </w:rPr>
        <w:t>minor</w:t>
      </w:r>
      <w:r>
        <w:rPr>
          <w:spacing w:val="21"/>
          <w:sz w:val="20"/>
          <w:vertAlign w:val="baseline"/>
        </w:rPr>
        <w:t> </w:t>
      </w:r>
      <w:r>
        <w:rPr>
          <w:sz w:val="20"/>
          <w:vertAlign w:val="baseline"/>
        </w:rPr>
        <w:t>extent</w:t>
      </w:r>
      <w:r>
        <w:rPr>
          <w:spacing w:val="21"/>
          <w:sz w:val="20"/>
          <w:vertAlign w:val="baseline"/>
        </w:rPr>
        <w:t> </w:t>
      </w:r>
      <w:r>
        <w:rPr>
          <w:sz w:val="20"/>
          <w:vertAlign w:val="baseline"/>
        </w:rPr>
        <w:t>due</w:t>
      </w:r>
      <w:r>
        <w:rPr>
          <w:spacing w:val="20"/>
          <w:sz w:val="20"/>
          <w:vertAlign w:val="baseline"/>
        </w:rPr>
        <w:t> </w:t>
      </w:r>
      <w:r>
        <w:rPr>
          <w:sz w:val="20"/>
          <w:vertAlign w:val="baseline"/>
        </w:rPr>
        <w:t>to</w:t>
      </w:r>
      <w:r>
        <w:rPr>
          <w:spacing w:val="21"/>
          <w:sz w:val="20"/>
          <w:vertAlign w:val="baseline"/>
        </w:rPr>
        <w:t> </w:t>
      </w:r>
      <w:r>
        <w:rPr>
          <w:sz w:val="20"/>
          <w:vertAlign w:val="baseline"/>
        </w:rPr>
        <w:t>the</w:t>
      </w:r>
      <w:r>
        <w:rPr>
          <w:spacing w:val="21"/>
          <w:sz w:val="20"/>
          <w:vertAlign w:val="baseline"/>
        </w:rPr>
        <w:t> </w:t>
      </w:r>
      <w:r>
        <w:rPr>
          <w:sz w:val="20"/>
          <w:vertAlign w:val="baseline"/>
        </w:rPr>
        <w:t>fact</w:t>
      </w:r>
      <w:r>
        <w:rPr>
          <w:spacing w:val="21"/>
          <w:sz w:val="20"/>
          <w:vertAlign w:val="baseline"/>
        </w:rPr>
        <w:t> </w:t>
      </w:r>
      <w:r>
        <w:rPr>
          <w:sz w:val="20"/>
          <w:vertAlign w:val="baseline"/>
        </w:rPr>
        <w:t>that</w:t>
      </w:r>
      <w:r>
        <w:rPr>
          <w:spacing w:val="21"/>
          <w:sz w:val="20"/>
          <w:vertAlign w:val="baseline"/>
        </w:rPr>
        <w:t> </w:t>
      </w:r>
      <w:r>
        <w:rPr>
          <w:sz w:val="20"/>
          <w:vertAlign w:val="baseline"/>
        </w:rPr>
        <w:t>AHRC</w:t>
      </w:r>
      <w:r>
        <w:rPr>
          <w:spacing w:val="20"/>
          <w:sz w:val="20"/>
          <w:vertAlign w:val="baseline"/>
        </w:rPr>
        <w:t> </w:t>
      </w:r>
      <w:r>
        <w:rPr>
          <w:sz w:val="20"/>
          <w:vertAlign w:val="baseline"/>
        </w:rPr>
        <w:t>routinely</w:t>
      </w:r>
      <w:r>
        <w:rPr>
          <w:spacing w:val="21"/>
          <w:sz w:val="20"/>
          <w:vertAlign w:val="baseline"/>
        </w:rPr>
        <w:t> </w:t>
      </w:r>
      <w:r>
        <w:rPr>
          <w:sz w:val="20"/>
          <w:vertAlign w:val="baseline"/>
        </w:rPr>
        <w:t>publishes summaries of the facts of conciliated outcomes for public awareness purposes.</w:t>
      </w:r>
    </w:p>
    <w:p>
      <w:pPr>
        <w:spacing w:line="230" w:lineRule="exact" w:before="0"/>
        <w:ind w:left="237" w:right="0" w:firstLine="0"/>
        <w:jc w:val="left"/>
        <w:rPr>
          <w:sz w:val="20"/>
        </w:rPr>
      </w:pPr>
      <w:r>
        <w:rPr>
          <w:sz w:val="20"/>
          <w:vertAlign w:val="superscript"/>
        </w:rPr>
        <w:t>20</w:t>
      </w:r>
      <w:r>
        <w:rPr>
          <w:spacing w:val="-6"/>
          <w:sz w:val="20"/>
          <w:vertAlign w:val="baseline"/>
        </w:rPr>
        <w:t> </w:t>
      </w:r>
      <w:r>
        <w:rPr>
          <w:sz w:val="20"/>
          <w:vertAlign w:val="baseline"/>
        </w:rPr>
        <w:t>Division</w:t>
      </w:r>
      <w:r>
        <w:rPr>
          <w:spacing w:val="-6"/>
          <w:sz w:val="20"/>
          <w:vertAlign w:val="baseline"/>
        </w:rPr>
        <w:t> </w:t>
      </w:r>
      <w:r>
        <w:rPr>
          <w:sz w:val="20"/>
          <w:vertAlign w:val="baseline"/>
        </w:rPr>
        <w:t>4</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Disability</w:t>
      </w:r>
      <w:r>
        <w:rPr>
          <w:spacing w:val="-5"/>
          <w:sz w:val="20"/>
          <w:vertAlign w:val="baseline"/>
        </w:rPr>
        <w:t> </w:t>
      </w:r>
      <w:r>
        <w:rPr>
          <w:sz w:val="20"/>
          <w:vertAlign w:val="baseline"/>
        </w:rPr>
        <w:t>Discrimination</w:t>
      </w:r>
      <w:r>
        <w:rPr>
          <w:spacing w:val="-7"/>
          <w:sz w:val="20"/>
          <w:vertAlign w:val="baseline"/>
        </w:rPr>
        <w:t> </w:t>
      </w:r>
      <w:r>
        <w:rPr>
          <w:sz w:val="20"/>
          <w:vertAlign w:val="baseline"/>
        </w:rPr>
        <w:t>Act</w:t>
      </w:r>
      <w:r>
        <w:rPr>
          <w:spacing w:val="-5"/>
          <w:sz w:val="20"/>
          <w:vertAlign w:val="baseline"/>
        </w:rPr>
        <w:t> </w:t>
      </w:r>
      <w:r>
        <w:rPr>
          <w:sz w:val="20"/>
          <w:vertAlign w:val="baseline"/>
        </w:rPr>
        <w:t>(Sections</w:t>
      </w:r>
      <w:r>
        <w:rPr>
          <w:spacing w:val="-6"/>
          <w:sz w:val="20"/>
          <w:vertAlign w:val="baseline"/>
        </w:rPr>
        <w:t> </w:t>
      </w:r>
      <w:r>
        <w:rPr>
          <w:sz w:val="20"/>
          <w:vertAlign w:val="baseline"/>
        </w:rPr>
        <w:t>41-44)</w:t>
      </w:r>
      <w:r>
        <w:rPr>
          <w:spacing w:val="-6"/>
          <w:sz w:val="20"/>
          <w:vertAlign w:val="baseline"/>
        </w:rPr>
        <w:t> </w:t>
      </w:r>
      <w:r>
        <w:rPr>
          <w:sz w:val="20"/>
          <w:vertAlign w:val="baseline"/>
        </w:rPr>
        <w:t>deals</w:t>
      </w:r>
      <w:r>
        <w:rPr>
          <w:spacing w:val="-5"/>
          <w:sz w:val="20"/>
          <w:vertAlign w:val="baseline"/>
        </w:rPr>
        <w:t> </w:t>
      </w:r>
      <w:r>
        <w:rPr>
          <w:sz w:val="20"/>
          <w:vertAlign w:val="baseline"/>
        </w:rPr>
        <w:t>with</w:t>
      </w:r>
      <w:r>
        <w:rPr>
          <w:spacing w:val="-6"/>
          <w:sz w:val="20"/>
          <w:vertAlign w:val="baseline"/>
        </w:rPr>
        <w:t> </w:t>
      </w:r>
      <w:r>
        <w:rPr>
          <w:spacing w:val="-2"/>
          <w:sz w:val="20"/>
          <w:vertAlign w:val="baseline"/>
        </w:rPr>
        <w:t>offences.</w:t>
      </w:r>
    </w:p>
    <w:p>
      <w:pPr>
        <w:spacing w:before="0"/>
        <w:ind w:left="237" w:right="0" w:firstLine="0"/>
        <w:jc w:val="left"/>
        <w:rPr>
          <w:sz w:val="20"/>
        </w:rPr>
      </w:pPr>
      <w:r>
        <w:rPr>
          <w:sz w:val="20"/>
          <w:vertAlign w:val="superscript"/>
        </w:rPr>
        <w:t>21</w:t>
      </w:r>
      <w:r>
        <w:rPr>
          <w:spacing w:val="27"/>
          <w:sz w:val="20"/>
          <w:vertAlign w:val="baseline"/>
        </w:rPr>
        <w:t> </w:t>
      </w:r>
      <w:r>
        <w:rPr>
          <w:sz w:val="20"/>
          <w:vertAlign w:val="baseline"/>
        </w:rPr>
        <w:t>For</w:t>
      </w:r>
      <w:r>
        <w:rPr>
          <w:spacing w:val="27"/>
          <w:sz w:val="20"/>
          <w:vertAlign w:val="baseline"/>
        </w:rPr>
        <w:t> </w:t>
      </w:r>
      <w:r>
        <w:rPr>
          <w:sz w:val="20"/>
          <w:vertAlign w:val="baseline"/>
        </w:rPr>
        <w:t>more</w:t>
      </w:r>
      <w:r>
        <w:rPr>
          <w:spacing w:val="27"/>
          <w:sz w:val="20"/>
          <w:vertAlign w:val="baseline"/>
        </w:rPr>
        <w:t> </w:t>
      </w:r>
      <w:r>
        <w:rPr>
          <w:sz w:val="20"/>
          <w:vertAlign w:val="baseline"/>
        </w:rPr>
        <w:t>on</w:t>
      </w:r>
      <w:r>
        <w:rPr>
          <w:spacing w:val="27"/>
          <w:sz w:val="20"/>
          <w:vertAlign w:val="baseline"/>
        </w:rPr>
        <w:t> </w:t>
      </w:r>
      <w:r>
        <w:rPr>
          <w:sz w:val="20"/>
          <w:vertAlign w:val="baseline"/>
        </w:rPr>
        <w:t>this</w:t>
      </w:r>
      <w:r>
        <w:rPr>
          <w:spacing w:val="27"/>
          <w:sz w:val="20"/>
          <w:vertAlign w:val="baseline"/>
        </w:rPr>
        <w:t> </w:t>
      </w:r>
      <w:r>
        <w:rPr>
          <w:sz w:val="20"/>
          <w:vertAlign w:val="baseline"/>
        </w:rPr>
        <w:t>issue,</w:t>
      </w:r>
      <w:r>
        <w:rPr>
          <w:spacing w:val="27"/>
          <w:sz w:val="20"/>
          <w:vertAlign w:val="baseline"/>
        </w:rPr>
        <w:t> </w:t>
      </w:r>
      <w:r>
        <w:rPr>
          <w:sz w:val="20"/>
          <w:vertAlign w:val="baseline"/>
        </w:rPr>
        <w:t>see</w:t>
      </w:r>
      <w:r>
        <w:rPr>
          <w:spacing w:val="27"/>
          <w:sz w:val="20"/>
          <w:vertAlign w:val="baseline"/>
        </w:rPr>
        <w:t> </w:t>
      </w:r>
      <w:r>
        <w:rPr>
          <w:sz w:val="20"/>
          <w:vertAlign w:val="baseline"/>
        </w:rPr>
        <w:t>Interim</w:t>
      </w:r>
      <w:r>
        <w:rPr>
          <w:spacing w:val="27"/>
          <w:sz w:val="20"/>
          <w:vertAlign w:val="baseline"/>
        </w:rPr>
        <w:t> </w:t>
      </w:r>
      <w:r>
        <w:rPr>
          <w:sz w:val="20"/>
          <w:vertAlign w:val="baseline"/>
        </w:rPr>
        <w:t>Submission</w:t>
      </w:r>
      <w:r>
        <w:rPr>
          <w:spacing w:val="26"/>
          <w:sz w:val="20"/>
          <w:vertAlign w:val="baseline"/>
        </w:rPr>
        <w:t> </w:t>
      </w:r>
      <w:r>
        <w:rPr>
          <w:sz w:val="20"/>
          <w:vertAlign w:val="baseline"/>
        </w:rPr>
        <w:t>of</w:t>
      </w:r>
      <w:r>
        <w:rPr>
          <w:spacing w:val="27"/>
          <w:sz w:val="20"/>
          <w:vertAlign w:val="baseline"/>
        </w:rPr>
        <w:t> </w:t>
      </w:r>
      <w:r>
        <w:rPr>
          <w:sz w:val="20"/>
          <w:vertAlign w:val="baseline"/>
        </w:rPr>
        <w:t>Dr</w:t>
      </w:r>
      <w:r>
        <w:rPr>
          <w:spacing w:val="27"/>
          <w:sz w:val="20"/>
          <w:vertAlign w:val="baseline"/>
        </w:rPr>
        <w:t> </w:t>
      </w:r>
      <w:r>
        <w:rPr>
          <w:sz w:val="20"/>
          <w:vertAlign w:val="baseline"/>
        </w:rPr>
        <w:t>Jack</w:t>
      </w:r>
      <w:r>
        <w:rPr>
          <w:spacing w:val="27"/>
          <w:sz w:val="20"/>
          <w:vertAlign w:val="baseline"/>
        </w:rPr>
        <w:t> </w:t>
      </w:r>
      <w:r>
        <w:rPr>
          <w:sz w:val="20"/>
          <w:vertAlign w:val="baseline"/>
        </w:rPr>
        <w:t>Frisch:</w:t>
      </w:r>
      <w:r>
        <w:rPr>
          <w:spacing w:val="27"/>
          <w:sz w:val="20"/>
          <w:vertAlign w:val="baseline"/>
        </w:rPr>
        <w:t> </w:t>
      </w:r>
      <w:r>
        <w:rPr>
          <w:sz w:val="20"/>
          <w:vertAlign w:val="baseline"/>
        </w:rPr>
        <w:t>Productivity</w:t>
      </w:r>
      <w:r>
        <w:rPr>
          <w:spacing w:val="27"/>
          <w:sz w:val="20"/>
          <w:vertAlign w:val="baseline"/>
        </w:rPr>
        <w:t> </w:t>
      </w:r>
      <w:r>
        <w:rPr>
          <w:sz w:val="20"/>
          <w:vertAlign w:val="baseline"/>
        </w:rPr>
        <w:t>Commission inquiry into the Disability Discrimination Act. </w:t>
      </w:r>
      <w:hyperlink r:id="rId11">
        <w:r>
          <w:rPr>
            <w:sz w:val="20"/>
            <w:vertAlign w:val="baseline"/>
          </w:rPr>
          <w:t>www.pc.gov.au.</w:t>
        </w:r>
      </w:hyperlink>
    </w:p>
    <w:p>
      <w:pPr>
        <w:spacing w:after="0"/>
        <w:jc w:val="left"/>
        <w:rPr>
          <w:sz w:val="20"/>
        </w:rPr>
        <w:sectPr>
          <w:pgSz w:w="12240" w:h="15840"/>
          <w:pgMar w:header="0" w:footer="1140" w:top="1360" w:bottom="1340" w:left="1560" w:right="1500"/>
        </w:sectPr>
      </w:pPr>
    </w:p>
    <w:p>
      <w:pPr>
        <w:pStyle w:val="BodyText"/>
        <w:spacing w:before="77"/>
        <w:ind w:left="237" w:right="294"/>
        <w:jc w:val="both"/>
      </w:pPr>
      <w:bookmarkStart w:name="_bookmark16" w:id="54"/>
      <w:bookmarkEnd w:id="54"/>
      <w:r>
        <w:rPr/>
      </w:r>
      <w:r>
        <w:rPr/>
        <w:t>approvals process. Thus, the result of mirroring the technical requirements of the Premises Standards in the BCA can be expected to achieve virtually 100% compliance with its Standards as they apply to both new buildings and to substantial upgrades of existing buildings.</w:t>
      </w:r>
    </w:p>
    <w:p>
      <w:pPr>
        <w:pStyle w:val="BodyText"/>
        <w:spacing w:before="11"/>
        <w:rPr>
          <w:sz w:val="23"/>
        </w:rPr>
      </w:pPr>
    </w:p>
    <w:p>
      <w:pPr>
        <w:pStyle w:val="BodyText"/>
        <w:ind w:left="237" w:right="293"/>
        <w:jc w:val="both"/>
      </w:pPr>
      <w:r>
        <w:rPr/>
        <w:t>As a consequence, there will be substantially increased certainty for people with</w:t>
      </w:r>
      <w:r>
        <w:rPr>
          <w:spacing w:val="40"/>
        </w:rPr>
        <w:t> </w:t>
      </w:r>
      <w:r>
        <w:rPr/>
        <w:t>a disability, building owners and occupiers. For people with a disability, the benefit of full compliance with BCA requirements is that they can be certain that new and upgraded buildings will meet the specific access and facilities requirements that are mandated in the Premises Standards/revised BCA. Moreover,</w:t>
      </w:r>
      <w:r>
        <w:rPr>
          <w:spacing w:val="-2"/>
        </w:rPr>
        <w:t> </w:t>
      </w:r>
      <w:r>
        <w:rPr/>
        <w:t>because</w:t>
      </w:r>
      <w:r>
        <w:rPr>
          <w:spacing w:val="-2"/>
        </w:rPr>
        <w:t> </w:t>
      </w:r>
      <w:r>
        <w:rPr/>
        <w:t>specific</w:t>
      </w:r>
      <w:r>
        <w:rPr>
          <w:spacing w:val="-2"/>
        </w:rPr>
        <w:t> </w:t>
      </w:r>
      <w:r>
        <w:rPr/>
        <w:t>requirements are</w:t>
      </w:r>
      <w:r>
        <w:rPr>
          <w:spacing w:val="-1"/>
        </w:rPr>
        <w:t> </w:t>
      </w:r>
      <w:r>
        <w:rPr/>
        <w:t>mandated,</w:t>
      </w:r>
      <w:r>
        <w:rPr>
          <w:spacing w:val="-1"/>
        </w:rPr>
        <w:t> </w:t>
      </w:r>
      <w:r>
        <w:rPr/>
        <w:t>they</w:t>
      </w:r>
      <w:r>
        <w:rPr>
          <w:spacing w:val="-1"/>
        </w:rPr>
        <w:t> </w:t>
      </w:r>
      <w:r>
        <w:rPr/>
        <w:t>will</w:t>
      </w:r>
      <w:r>
        <w:rPr>
          <w:spacing w:val="-1"/>
        </w:rPr>
        <w:t> </w:t>
      </w:r>
      <w:r>
        <w:rPr/>
        <w:t>have</w:t>
      </w:r>
      <w:r>
        <w:rPr>
          <w:spacing w:val="-1"/>
        </w:rPr>
        <w:t> </w:t>
      </w:r>
      <w:r>
        <w:rPr/>
        <w:t>increased certainty about the degree of access that will be provided.</w:t>
      </w:r>
    </w:p>
    <w:p>
      <w:pPr>
        <w:pStyle w:val="BodyText"/>
      </w:pPr>
    </w:p>
    <w:p>
      <w:pPr>
        <w:pStyle w:val="BodyText"/>
        <w:ind w:left="237" w:right="293"/>
        <w:jc w:val="both"/>
      </w:pPr>
      <w:r>
        <w:rPr/>
        <w:t>For building owners, the benefit is that compliance with the Premises Standards/revised BCA will provide them with a high level of assurance that they will not be the subject of a successful complaint under the DDA and that they will therefore not risk being required to retro-fit changes to their buildings. By extension, a potential source of dispute between clients and various building professionals (designers, builders, etc) is also substantially reduced.</w:t>
      </w:r>
    </w:p>
    <w:p>
      <w:pPr>
        <w:pStyle w:val="BodyText"/>
        <w:rPr>
          <w:sz w:val="26"/>
        </w:rPr>
      </w:pPr>
    </w:p>
    <w:p>
      <w:pPr>
        <w:pStyle w:val="BodyText"/>
        <w:spacing w:before="2"/>
        <w:rPr>
          <w:sz w:val="22"/>
        </w:rPr>
      </w:pPr>
    </w:p>
    <w:p>
      <w:pPr>
        <w:pStyle w:val="Heading2"/>
        <w:numPr>
          <w:ilvl w:val="1"/>
          <w:numId w:val="14"/>
        </w:numPr>
        <w:tabs>
          <w:tab w:pos="705" w:val="left" w:leader="none"/>
        </w:tabs>
        <w:spacing w:line="240" w:lineRule="auto" w:before="1" w:after="0"/>
        <w:ind w:left="704" w:right="0" w:hanging="468"/>
        <w:jc w:val="left"/>
        <w:rPr>
          <w:i/>
        </w:rPr>
      </w:pPr>
      <w:bookmarkStart w:name="7.4 Overview of the benefits " w:id="55"/>
      <w:bookmarkEnd w:id="55"/>
      <w:r>
        <w:rPr>
          <w:i/>
        </w:rPr>
        <w:t>Overview</w:t>
      </w:r>
      <w:r>
        <w:rPr>
          <w:i/>
          <w:spacing w:val="-7"/>
        </w:rPr>
        <w:t> </w:t>
      </w:r>
      <w:r>
        <w:rPr>
          <w:i/>
        </w:rPr>
        <w:t>of</w:t>
      </w:r>
      <w:r>
        <w:rPr>
          <w:i/>
          <w:spacing w:val="-6"/>
        </w:rPr>
        <w:t> </w:t>
      </w:r>
      <w:r>
        <w:rPr>
          <w:i/>
        </w:rPr>
        <w:t>the</w:t>
      </w:r>
      <w:r>
        <w:rPr>
          <w:i/>
          <w:spacing w:val="-7"/>
        </w:rPr>
        <w:t> </w:t>
      </w:r>
      <w:r>
        <w:rPr>
          <w:i/>
          <w:spacing w:val="-2"/>
        </w:rPr>
        <w:t>benefits</w:t>
      </w:r>
    </w:p>
    <w:p>
      <w:pPr>
        <w:pStyle w:val="BodyText"/>
        <w:spacing w:before="9"/>
        <w:rPr>
          <w:b/>
          <w:i/>
          <w:sz w:val="23"/>
        </w:rPr>
      </w:pPr>
    </w:p>
    <w:p>
      <w:pPr>
        <w:pStyle w:val="BodyText"/>
        <w:ind w:left="237" w:right="293"/>
        <w:jc w:val="both"/>
      </w:pPr>
      <w:r>
        <w:rPr/>
        <w:t>This section identifies and discusses the specific benefits that would arise from the adoption of the Premises Standards. That is, it considers the specific proposed changes in access requirements and analyses the nature and extent of the benefits that are likely to be derived as a result. The requirements of the Premises Standards are assessed against the background of the existing BCA access requirements, since the BCA is currently the only source of specific access requirements – and of requirements that are fully enforced through the building approvals process.</w:t>
      </w:r>
    </w:p>
    <w:p>
      <w:pPr>
        <w:pStyle w:val="BodyText"/>
        <w:spacing w:before="1"/>
      </w:pPr>
    </w:p>
    <w:p>
      <w:pPr>
        <w:pStyle w:val="BodyText"/>
        <w:ind w:left="237"/>
      </w:pPr>
      <w:r>
        <w:rPr/>
        <w:t>The</w:t>
      </w:r>
      <w:r>
        <w:rPr>
          <w:spacing w:val="-7"/>
        </w:rPr>
        <w:t> </w:t>
      </w:r>
      <w:r>
        <w:rPr/>
        <w:t>benefits</w:t>
      </w:r>
      <w:r>
        <w:rPr>
          <w:spacing w:val="-4"/>
        </w:rPr>
        <w:t> </w:t>
      </w:r>
      <w:r>
        <w:rPr/>
        <w:t>identified</w:t>
      </w:r>
      <w:r>
        <w:rPr>
          <w:spacing w:val="-4"/>
        </w:rPr>
        <w:t> </w:t>
      </w:r>
      <w:r>
        <w:rPr/>
        <w:t>can</w:t>
      </w:r>
      <w:r>
        <w:rPr>
          <w:spacing w:val="-4"/>
        </w:rPr>
        <w:t> </w:t>
      </w:r>
      <w:r>
        <w:rPr/>
        <w:t>be</w:t>
      </w:r>
      <w:r>
        <w:rPr>
          <w:spacing w:val="-4"/>
        </w:rPr>
        <w:t> </w:t>
      </w:r>
      <w:r>
        <w:rPr/>
        <w:t>divided</w:t>
      </w:r>
      <w:r>
        <w:rPr>
          <w:spacing w:val="-5"/>
        </w:rPr>
        <w:t> </w:t>
      </w:r>
      <w:r>
        <w:rPr/>
        <w:t>into</w:t>
      </w:r>
      <w:r>
        <w:rPr>
          <w:spacing w:val="-2"/>
        </w:rPr>
        <w:t> </w:t>
      </w:r>
      <w:r>
        <w:rPr/>
        <w:t>three</w:t>
      </w:r>
      <w:r>
        <w:rPr>
          <w:spacing w:val="-4"/>
        </w:rPr>
        <w:t> </w:t>
      </w:r>
      <w:r>
        <w:rPr/>
        <w:t>broad</w:t>
      </w:r>
      <w:r>
        <w:rPr>
          <w:spacing w:val="-4"/>
        </w:rPr>
        <w:t> </w:t>
      </w:r>
      <w:r>
        <w:rPr/>
        <w:t>categories.</w:t>
      </w:r>
      <w:r>
        <w:rPr>
          <w:spacing w:val="-4"/>
        </w:rPr>
        <w:t> </w:t>
      </w:r>
      <w:r>
        <w:rPr/>
        <w:t>These</w:t>
      </w:r>
      <w:r>
        <w:rPr>
          <w:spacing w:val="-4"/>
        </w:rPr>
        <w:t> are:</w:t>
      </w:r>
    </w:p>
    <w:p>
      <w:pPr>
        <w:pStyle w:val="ListParagraph"/>
        <w:numPr>
          <w:ilvl w:val="2"/>
          <w:numId w:val="14"/>
        </w:numPr>
        <w:tabs>
          <w:tab w:pos="957" w:val="left" w:leader="none"/>
          <w:tab w:pos="958" w:val="left" w:leader="none"/>
        </w:tabs>
        <w:spacing w:line="240" w:lineRule="auto" w:before="124" w:after="0"/>
        <w:ind w:left="957" w:right="0" w:hanging="361"/>
        <w:jc w:val="left"/>
        <w:rPr>
          <w:sz w:val="24"/>
        </w:rPr>
      </w:pPr>
      <w:r>
        <w:rPr>
          <w:sz w:val="24"/>
        </w:rPr>
        <w:t>extensions</w:t>
      </w:r>
      <w:r>
        <w:rPr>
          <w:spacing w:val="-6"/>
          <w:sz w:val="24"/>
        </w:rPr>
        <w:t> </w:t>
      </w:r>
      <w:r>
        <w:rPr>
          <w:sz w:val="24"/>
        </w:rPr>
        <w:t>to</w:t>
      </w:r>
      <w:r>
        <w:rPr>
          <w:spacing w:val="-4"/>
          <w:sz w:val="24"/>
        </w:rPr>
        <w:t> </w:t>
      </w:r>
      <w:r>
        <w:rPr>
          <w:sz w:val="24"/>
        </w:rPr>
        <w:t>the</w:t>
      </w:r>
      <w:r>
        <w:rPr>
          <w:spacing w:val="-4"/>
          <w:sz w:val="24"/>
        </w:rPr>
        <w:t> </w:t>
      </w:r>
      <w:r>
        <w:rPr>
          <w:sz w:val="24"/>
        </w:rPr>
        <w:t>coverage</w:t>
      </w:r>
      <w:r>
        <w:rPr>
          <w:spacing w:val="-4"/>
          <w:sz w:val="24"/>
        </w:rPr>
        <w:t> </w:t>
      </w:r>
      <w:r>
        <w:rPr>
          <w:sz w:val="24"/>
        </w:rPr>
        <w:t>of</w:t>
      </w:r>
      <w:r>
        <w:rPr>
          <w:spacing w:val="-4"/>
          <w:sz w:val="24"/>
        </w:rPr>
        <w:t> </w:t>
      </w:r>
      <w:r>
        <w:rPr>
          <w:sz w:val="24"/>
        </w:rPr>
        <w:t>access</w:t>
      </w:r>
      <w:r>
        <w:rPr>
          <w:spacing w:val="-3"/>
          <w:sz w:val="24"/>
        </w:rPr>
        <w:t> </w:t>
      </w:r>
      <w:r>
        <w:rPr>
          <w:spacing w:val="-2"/>
          <w:sz w:val="24"/>
        </w:rPr>
        <w:t>requirements;</w:t>
      </w:r>
    </w:p>
    <w:p>
      <w:pPr>
        <w:pStyle w:val="ListParagraph"/>
        <w:numPr>
          <w:ilvl w:val="2"/>
          <w:numId w:val="14"/>
        </w:numPr>
        <w:tabs>
          <w:tab w:pos="957" w:val="left" w:leader="none"/>
          <w:tab w:pos="958" w:val="left" w:leader="none"/>
        </w:tabs>
        <w:spacing w:line="240" w:lineRule="auto" w:before="118" w:after="0"/>
        <w:ind w:left="957" w:right="0" w:hanging="361"/>
        <w:jc w:val="left"/>
        <w:rPr>
          <w:sz w:val="24"/>
        </w:rPr>
      </w:pPr>
      <w:r>
        <w:rPr>
          <w:sz w:val="24"/>
        </w:rPr>
        <w:t>quantitative</w:t>
      </w:r>
      <w:r>
        <w:rPr>
          <w:spacing w:val="-8"/>
          <w:sz w:val="24"/>
        </w:rPr>
        <w:t> </w:t>
      </w:r>
      <w:r>
        <w:rPr>
          <w:sz w:val="24"/>
        </w:rPr>
        <w:t>increases</w:t>
      </w:r>
      <w:r>
        <w:rPr>
          <w:spacing w:val="-7"/>
          <w:sz w:val="24"/>
        </w:rPr>
        <w:t> </w:t>
      </w:r>
      <w:r>
        <w:rPr>
          <w:sz w:val="24"/>
        </w:rPr>
        <w:t>in</w:t>
      </w:r>
      <w:r>
        <w:rPr>
          <w:spacing w:val="-8"/>
          <w:sz w:val="24"/>
        </w:rPr>
        <w:t> </w:t>
      </w:r>
      <w:r>
        <w:rPr>
          <w:sz w:val="24"/>
        </w:rPr>
        <w:t>access</w:t>
      </w:r>
      <w:r>
        <w:rPr>
          <w:spacing w:val="-7"/>
          <w:sz w:val="24"/>
        </w:rPr>
        <w:t> </w:t>
      </w:r>
      <w:r>
        <w:rPr>
          <w:sz w:val="24"/>
        </w:rPr>
        <w:t>requirements;</w:t>
      </w:r>
      <w:r>
        <w:rPr>
          <w:spacing w:val="-7"/>
          <w:sz w:val="24"/>
        </w:rPr>
        <w:t> </w:t>
      </w:r>
      <w:r>
        <w:rPr>
          <w:spacing w:val="-5"/>
          <w:sz w:val="24"/>
        </w:rPr>
        <w:t>and</w:t>
      </w:r>
    </w:p>
    <w:p>
      <w:pPr>
        <w:pStyle w:val="ListParagraph"/>
        <w:numPr>
          <w:ilvl w:val="2"/>
          <w:numId w:val="14"/>
        </w:numPr>
        <w:tabs>
          <w:tab w:pos="957" w:val="left" w:leader="none"/>
          <w:tab w:pos="958" w:val="left" w:leader="none"/>
        </w:tabs>
        <w:spacing w:line="240" w:lineRule="auto" w:before="119" w:after="0"/>
        <w:ind w:left="957" w:right="0" w:hanging="361"/>
        <w:jc w:val="left"/>
        <w:rPr>
          <w:sz w:val="24"/>
        </w:rPr>
      </w:pPr>
      <w:r>
        <w:rPr>
          <w:sz w:val="24"/>
        </w:rPr>
        <w:t>qualitative</w:t>
      </w:r>
      <w:r>
        <w:rPr>
          <w:spacing w:val="-6"/>
          <w:sz w:val="24"/>
        </w:rPr>
        <w:t> </w:t>
      </w:r>
      <w:r>
        <w:rPr>
          <w:sz w:val="24"/>
        </w:rPr>
        <w:t>increases</w:t>
      </w:r>
      <w:r>
        <w:rPr>
          <w:spacing w:val="-6"/>
          <w:sz w:val="24"/>
        </w:rPr>
        <w:t> </w:t>
      </w:r>
      <w:r>
        <w:rPr>
          <w:sz w:val="24"/>
        </w:rPr>
        <w:t>in</w:t>
      </w:r>
      <w:r>
        <w:rPr>
          <w:spacing w:val="-5"/>
          <w:sz w:val="24"/>
        </w:rPr>
        <w:t> </w:t>
      </w:r>
      <w:r>
        <w:rPr>
          <w:sz w:val="24"/>
        </w:rPr>
        <w:t>access</w:t>
      </w:r>
      <w:r>
        <w:rPr>
          <w:spacing w:val="-5"/>
          <w:sz w:val="24"/>
        </w:rPr>
        <w:t> </w:t>
      </w:r>
      <w:r>
        <w:rPr>
          <w:spacing w:val="-2"/>
          <w:sz w:val="24"/>
        </w:rPr>
        <w:t>requirements.</w:t>
      </w:r>
    </w:p>
    <w:p>
      <w:pPr>
        <w:pStyle w:val="BodyText"/>
        <w:spacing w:before="8"/>
        <w:rPr>
          <w:sz w:val="23"/>
        </w:rPr>
      </w:pPr>
    </w:p>
    <w:p>
      <w:pPr>
        <w:pStyle w:val="BodyText"/>
        <w:ind w:left="297"/>
      </w:pPr>
      <w:r>
        <w:rPr/>
        <w:t>The</w:t>
      </w:r>
      <w:r>
        <w:rPr>
          <w:spacing w:val="40"/>
        </w:rPr>
        <w:t> </w:t>
      </w:r>
      <w:r>
        <w:rPr/>
        <w:t>main</w:t>
      </w:r>
      <w:r>
        <w:rPr>
          <w:spacing w:val="40"/>
        </w:rPr>
        <w:t> </w:t>
      </w:r>
      <w:r>
        <w:rPr/>
        <w:t>changes</w:t>
      </w:r>
      <w:r>
        <w:rPr>
          <w:spacing w:val="40"/>
        </w:rPr>
        <w:t> </w:t>
      </w:r>
      <w:r>
        <w:rPr/>
        <w:t>are</w:t>
      </w:r>
      <w:r>
        <w:rPr>
          <w:spacing w:val="40"/>
        </w:rPr>
        <w:t> </w:t>
      </w:r>
      <w:r>
        <w:rPr/>
        <w:t>discussed,</w:t>
      </w:r>
      <w:r>
        <w:rPr>
          <w:spacing w:val="40"/>
        </w:rPr>
        <w:t> </w:t>
      </w:r>
      <w:r>
        <w:rPr/>
        <w:t>in</w:t>
      </w:r>
      <w:r>
        <w:rPr>
          <w:spacing w:val="40"/>
        </w:rPr>
        <w:t> </w:t>
      </w:r>
      <w:r>
        <w:rPr/>
        <w:t>turn,</w:t>
      </w:r>
      <w:r>
        <w:rPr>
          <w:spacing w:val="40"/>
        </w:rPr>
        <w:t> </w:t>
      </w:r>
      <w:r>
        <w:rPr/>
        <w:t>in</w:t>
      </w:r>
      <w:r>
        <w:rPr>
          <w:spacing w:val="40"/>
        </w:rPr>
        <w:t> </w:t>
      </w:r>
      <w:r>
        <w:rPr/>
        <w:t>this</w:t>
      </w:r>
      <w:r>
        <w:rPr>
          <w:spacing w:val="40"/>
        </w:rPr>
        <w:t> </w:t>
      </w:r>
      <w:r>
        <w:rPr/>
        <w:t>section</w:t>
      </w:r>
      <w:r>
        <w:rPr>
          <w:spacing w:val="40"/>
        </w:rPr>
        <w:t> </w:t>
      </w:r>
      <w:r>
        <w:rPr/>
        <w:t>and</w:t>
      </w:r>
      <w:r>
        <w:rPr>
          <w:spacing w:val="40"/>
        </w:rPr>
        <w:t> </w:t>
      </w:r>
      <w:r>
        <w:rPr/>
        <w:t>in</w:t>
      </w:r>
      <w:r>
        <w:rPr>
          <w:spacing w:val="40"/>
        </w:rPr>
        <w:t> </w:t>
      </w:r>
      <w:r>
        <w:rPr/>
        <w:t>Appendix</w:t>
      </w:r>
      <w:r>
        <w:rPr>
          <w:spacing w:val="40"/>
        </w:rPr>
        <w:t> </w:t>
      </w:r>
      <w:r>
        <w:rPr/>
        <w:t>D (which reflects the proposed 2009 amendments).</w:t>
      </w:r>
    </w:p>
    <w:p>
      <w:pPr>
        <w:spacing w:after="0"/>
        <w:sectPr>
          <w:pgSz w:w="12240" w:h="15840"/>
          <w:pgMar w:header="0" w:footer="1140" w:top="1360" w:bottom="1340" w:left="1560" w:right="1500"/>
        </w:sectPr>
      </w:pPr>
    </w:p>
    <w:p>
      <w:pPr>
        <w:pStyle w:val="Heading3"/>
        <w:numPr>
          <w:ilvl w:val="2"/>
          <w:numId w:val="15"/>
        </w:numPr>
        <w:tabs>
          <w:tab w:pos="889" w:val="left" w:leader="none"/>
        </w:tabs>
        <w:spacing w:line="240" w:lineRule="auto" w:before="79" w:after="0"/>
        <w:ind w:left="888" w:right="0" w:hanging="652"/>
        <w:jc w:val="both"/>
      </w:pPr>
      <w:bookmarkStart w:name=" 7.4.1 Extensions to the coverage of acc" w:id="56"/>
      <w:bookmarkEnd w:id="56"/>
      <w:r>
        <w:rPr/>
        <w:t>Extens</w:t>
      </w:r>
      <w:r>
        <w:rPr/>
        <w:t>ions</w:t>
      </w:r>
      <w:r>
        <w:rPr>
          <w:spacing w:val="-4"/>
        </w:rPr>
        <w:t> </w:t>
      </w:r>
      <w:r>
        <w:rPr/>
        <w:t>to</w:t>
      </w:r>
      <w:r>
        <w:rPr>
          <w:spacing w:val="-3"/>
        </w:rPr>
        <w:t> </w:t>
      </w:r>
      <w:r>
        <w:rPr/>
        <w:t>the</w:t>
      </w:r>
      <w:r>
        <w:rPr>
          <w:spacing w:val="-4"/>
        </w:rPr>
        <w:t> </w:t>
      </w:r>
      <w:r>
        <w:rPr/>
        <w:t>coverage</w:t>
      </w:r>
      <w:r>
        <w:rPr>
          <w:spacing w:val="-3"/>
        </w:rPr>
        <w:t> </w:t>
      </w:r>
      <w:r>
        <w:rPr/>
        <w:t>of</w:t>
      </w:r>
      <w:r>
        <w:rPr>
          <w:spacing w:val="-4"/>
        </w:rPr>
        <w:t> </w:t>
      </w:r>
      <w:r>
        <w:rPr/>
        <w:t>access</w:t>
      </w:r>
      <w:r>
        <w:rPr>
          <w:spacing w:val="-3"/>
        </w:rPr>
        <w:t> </w:t>
      </w:r>
      <w:r>
        <w:rPr>
          <w:spacing w:val="-2"/>
        </w:rPr>
        <w:t>requirements</w:t>
      </w:r>
    </w:p>
    <w:p>
      <w:pPr>
        <w:pStyle w:val="BodyText"/>
        <w:spacing w:before="57"/>
        <w:ind w:left="237" w:right="300"/>
        <w:jc w:val="both"/>
      </w:pPr>
      <w:r>
        <w:rPr/>
        <w:t>Under the 2008 proposal the coverage of access requirements under the BCA would be extended in two main areas. These are Class 1b buildings used for short-term holiday accommodation and swimming pools. The proposed 2009 amendments expand the coverage further by modifying the application of the Premises Standards to new Class 1b buildings and capturing new Class 2 buildings, which involves the reinstatement of the 2004 proposal relating to new buildings in this Class. The expected benefits related to the 2008 proposal are noted below and those related to the proposed 2009 amendments are discussed further in Appendix D.</w:t>
      </w:r>
    </w:p>
    <w:p>
      <w:pPr>
        <w:pStyle w:val="BodyText"/>
        <w:spacing w:before="10"/>
        <w:rPr>
          <w:sz w:val="23"/>
        </w:rPr>
      </w:pPr>
    </w:p>
    <w:p>
      <w:pPr>
        <w:pStyle w:val="Heading5"/>
        <w:spacing w:line="275" w:lineRule="exact"/>
        <w:rPr>
          <w:i/>
        </w:rPr>
      </w:pPr>
      <w:r>
        <w:rPr>
          <w:i/>
        </w:rPr>
        <w:t>Class</w:t>
      </w:r>
      <w:r>
        <w:rPr>
          <w:i/>
          <w:spacing w:val="-10"/>
        </w:rPr>
        <w:t> </w:t>
      </w:r>
      <w:r>
        <w:rPr>
          <w:i/>
        </w:rPr>
        <w:t>1b</w:t>
      </w:r>
      <w:r>
        <w:rPr>
          <w:i/>
          <w:spacing w:val="-10"/>
        </w:rPr>
        <w:t> </w:t>
      </w:r>
      <w:r>
        <w:rPr>
          <w:i/>
        </w:rPr>
        <w:t>buildings</w:t>
      </w:r>
      <w:r>
        <w:rPr>
          <w:i/>
          <w:spacing w:val="-10"/>
        </w:rPr>
        <w:t> </w:t>
      </w:r>
      <w:r>
        <w:rPr>
          <w:i/>
        </w:rPr>
        <w:t>used</w:t>
      </w:r>
      <w:r>
        <w:rPr>
          <w:i/>
          <w:spacing w:val="-10"/>
        </w:rPr>
        <w:t> </w:t>
      </w:r>
      <w:r>
        <w:rPr>
          <w:i/>
        </w:rPr>
        <w:t>for</w:t>
      </w:r>
      <w:r>
        <w:rPr>
          <w:i/>
          <w:spacing w:val="-10"/>
        </w:rPr>
        <w:t> </w:t>
      </w:r>
      <w:r>
        <w:rPr>
          <w:i/>
        </w:rPr>
        <w:t>short-term</w:t>
      </w:r>
      <w:r>
        <w:rPr>
          <w:i/>
          <w:spacing w:val="-10"/>
        </w:rPr>
        <w:t> </w:t>
      </w:r>
      <w:r>
        <w:rPr>
          <w:i/>
        </w:rPr>
        <w:t>holiday</w:t>
      </w:r>
      <w:r>
        <w:rPr>
          <w:i/>
          <w:spacing w:val="-10"/>
        </w:rPr>
        <w:t> </w:t>
      </w:r>
      <w:r>
        <w:rPr>
          <w:i/>
          <w:spacing w:val="-2"/>
        </w:rPr>
        <w:t>accommodation.</w:t>
      </w:r>
    </w:p>
    <w:p>
      <w:pPr>
        <w:spacing w:before="0"/>
        <w:ind w:left="237" w:right="293" w:firstLine="0"/>
        <w:jc w:val="both"/>
        <w:rPr>
          <w:sz w:val="24"/>
        </w:rPr>
      </w:pPr>
      <w:r>
        <w:rPr>
          <w:sz w:val="24"/>
        </w:rPr>
        <w:t>A</w:t>
      </w:r>
      <w:r>
        <w:rPr>
          <w:spacing w:val="-1"/>
          <w:sz w:val="24"/>
        </w:rPr>
        <w:t> </w:t>
      </w:r>
      <w:r>
        <w:rPr>
          <w:sz w:val="24"/>
        </w:rPr>
        <w:t>Class</w:t>
      </w:r>
      <w:r>
        <w:rPr>
          <w:spacing w:val="-1"/>
          <w:sz w:val="24"/>
        </w:rPr>
        <w:t> </w:t>
      </w:r>
      <w:r>
        <w:rPr>
          <w:sz w:val="24"/>
        </w:rPr>
        <w:t>1b</w:t>
      </w:r>
      <w:r>
        <w:rPr>
          <w:spacing w:val="-1"/>
          <w:sz w:val="24"/>
        </w:rPr>
        <w:t> </w:t>
      </w:r>
      <w:r>
        <w:rPr>
          <w:sz w:val="24"/>
        </w:rPr>
        <w:t>building</w:t>
      </w:r>
      <w:r>
        <w:rPr>
          <w:spacing w:val="-1"/>
          <w:sz w:val="24"/>
        </w:rPr>
        <w:t> </w:t>
      </w:r>
      <w:r>
        <w:rPr>
          <w:sz w:val="24"/>
        </w:rPr>
        <w:t>is</w:t>
      </w:r>
      <w:r>
        <w:rPr>
          <w:spacing w:val="-1"/>
          <w:sz w:val="24"/>
        </w:rPr>
        <w:t> </w:t>
      </w:r>
      <w:r>
        <w:rPr>
          <w:sz w:val="24"/>
        </w:rPr>
        <w:t>currently</w:t>
      </w:r>
      <w:r>
        <w:rPr>
          <w:spacing w:val="-2"/>
          <w:sz w:val="24"/>
        </w:rPr>
        <w:t> </w:t>
      </w:r>
      <w:r>
        <w:rPr>
          <w:sz w:val="24"/>
        </w:rPr>
        <w:t>defined</w:t>
      </w:r>
      <w:r>
        <w:rPr>
          <w:spacing w:val="-2"/>
          <w:sz w:val="24"/>
        </w:rPr>
        <w:t> </w:t>
      </w:r>
      <w:r>
        <w:rPr>
          <w:sz w:val="24"/>
        </w:rPr>
        <w:t>in</w:t>
      </w:r>
      <w:r>
        <w:rPr>
          <w:spacing w:val="-2"/>
          <w:sz w:val="24"/>
        </w:rPr>
        <w:t> </w:t>
      </w:r>
      <w:r>
        <w:rPr>
          <w:sz w:val="24"/>
        </w:rPr>
        <w:t>the</w:t>
      </w:r>
      <w:r>
        <w:rPr>
          <w:spacing w:val="-1"/>
          <w:sz w:val="24"/>
        </w:rPr>
        <w:t> </w:t>
      </w:r>
      <w:r>
        <w:rPr>
          <w:sz w:val="24"/>
        </w:rPr>
        <w:t>BCA</w:t>
      </w:r>
      <w:r>
        <w:rPr>
          <w:spacing w:val="-2"/>
          <w:sz w:val="24"/>
        </w:rPr>
        <w:t> </w:t>
      </w:r>
      <w:r>
        <w:rPr>
          <w:sz w:val="24"/>
        </w:rPr>
        <w:t>(in</w:t>
      </w:r>
      <w:r>
        <w:rPr>
          <w:spacing w:val="-2"/>
          <w:sz w:val="24"/>
        </w:rPr>
        <w:t> </w:t>
      </w:r>
      <w:r>
        <w:rPr>
          <w:sz w:val="24"/>
        </w:rPr>
        <w:t>part)</w:t>
      </w:r>
      <w:r>
        <w:rPr>
          <w:spacing w:val="-2"/>
          <w:sz w:val="24"/>
        </w:rPr>
        <w:t> </w:t>
      </w:r>
      <w:r>
        <w:rPr>
          <w:sz w:val="24"/>
        </w:rPr>
        <w:t>as</w:t>
      </w:r>
      <w:r>
        <w:rPr>
          <w:spacing w:val="-2"/>
          <w:sz w:val="24"/>
        </w:rPr>
        <w:t> </w:t>
      </w:r>
      <w:r>
        <w:rPr>
          <w:i/>
          <w:sz w:val="24"/>
        </w:rPr>
        <w:t>“a</w:t>
      </w:r>
      <w:r>
        <w:rPr>
          <w:i/>
          <w:spacing w:val="-2"/>
          <w:sz w:val="24"/>
        </w:rPr>
        <w:t> </w:t>
      </w:r>
      <w:r>
        <w:rPr>
          <w:i/>
          <w:sz w:val="24"/>
        </w:rPr>
        <w:t>boarding</w:t>
      </w:r>
      <w:r>
        <w:rPr>
          <w:i/>
          <w:spacing w:val="-2"/>
          <w:sz w:val="24"/>
        </w:rPr>
        <w:t> </w:t>
      </w:r>
      <w:r>
        <w:rPr>
          <w:i/>
          <w:sz w:val="24"/>
        </w:rPr>
        <w:t>house,</w:t>
      </w:r>
      <w:r>
        <w:rPr>
          <w:i/>
          <w:sz w:val="24"/>
        </w:rPr>
        <w:t> guest house, hostel or the like with a total floor area not exceeding 300m</w:t>
      </w:r>
      <w:r>
        <w:rPr>
          <w:i/>
          <w:sz w:val="24"/>
          <w:vertAlign w:val="superscript"/>
        </w:rPr>
        <w:t>2</w:t>
      </w:r>
      <w:r>
        <w:rPr>
          <w:i/>
          <w:spacing w:val="-14"/>
          <w:sz w:val="24"/>
          <w:vertAlign w:val="baseline"/>
        </w:rPr>
        <w:t> </w:t>
      </w:r>
      <w:r>
        <w:rPr>
          <w:i/>
          <w:sz w:val="24"/>
          <w:vertAlign w:val="baseline"/>
        </w:rPr>
        <w:t>and in which not more than 12 persons would ordinarily be resident”. </w:t>
      </w:r>
      <w:r>
        <w:rPr>
          <w:sz w:val="24"/>
          <w:vertAlign w:val="baseline"/>
        </w:rPr>
        <w:t>Thus, the effect is to extend access requirements to small scale holiday accommodation facilities</w:t>
      </w:r>
      <w:r>
        <w:rPr>
          <w:sz w:val="24"/>
          <w:vertAlign w:val="superscript"/>
        </w:rPr>
        <w:t>22</w:t>
      </w:r>
      <w:r>
        <w:rPr>
          <w:sz w:val="24"/>
          <w:vertAlign w:val="baseline"/>
        </w:rPr>
        <w:t>. When triggered, access would need to be provided to at least one bedroom, plus facilities in common areas used by guests.</w:t>
      </w:r>
    </w:p>
    <w:p>
      <w:pPr>
        <w:pStyle w:val="BodyText"/>
        <w:spacing w:before="11"/>
        <w:rPr>
          <w:sz w:val="23"/>
        </w:rPr>
      </w:pPr>
    </w:p>
    <w:p>
      <w:pPr>
        <w:pStyle w:val="BodyText"/>
        <w:ind w:left="237" w:right="293"/>
        <w:jc w:val="both"/>
      </w:pPr>
      <w:r>
        <w:rPr/>
        <w:t>The extension of the access requirements can be expected to increase significantly the range of holiday accommodation (and, by extension, accommodation available during other forms of travel) available to persons with disabilities. The impact of this change may be quite substantial, since a considerable proportion of holiday accommodation in many areas would fit the above definition of a Class 1b building.</w:t>
      </w:r>
    </w:p>
    <w:p>
      <w:pPr>
        <w:pStyle w:val="BodyText"/>
      </w:pPr>
    </w:p>
    <w:p>
      <w:pPr>
        <w:pStyle w:val="BodyText"/>
        <w:ind w:left="237" w:right="293"/>
        <w:jc w:val="both"/>
      </w:pPr>
      <w:r>
        <w:rPr/>
        <w:t>Moreover, since many such accommodation options would tend to be relatively modestly priced, the improved access to this sector may be particularly important given the low average levels of income found among people with a disability (discussed further in section 7.5.2). That is, the effect of the change may be particularly important in expanding low-priced accommodation options for people with a disability. That said, the revised proposal for the Premises Standards not</w:t>
      </w:r>
      <w:r>
        <w:rPr>
          <w:spacing w:val="40"/>
        </w:rPr>
        <w:t> </w:t>
      </w:r>
      <w:r>
        <w:rPr/>
        <w:t>to apply to Class 1b buildings with less than four rooms available for rent by the public, will reduce somewhat the rate of dissemination of accessibility in this</w:t>
      </w:r>
      <w:r>
        <w:rPr>
          <w:spacing w:val="40"/>
        </w:rPr>
        <w:t> </w:t>
      </w:r>
      <w:r>
        <w:rPr/>
        <w:t>area, and will remove the protection from a successful complaint under the DDA for these smaller establishments.</w:t>
      </w:r>
    </w:p>
    <w:p>
      <w:pPr>
        <w:pStyle w:val="BodyText"/>
        <w:spacing w:before="1"/>
      </w:pPr>
    </w:p>
    <w:p>
      <w:pPr>
        <w:pStyle w:val="Heading5"/>
        <w:spacing w:line="275" w:lineRule="exact"/>
        <w:rPr>
          <w:i/>
        </w:rPr>
      </w:pPr>
      <w:r>
        <w:rPr>
          <w:i/>
        </w:rPr>
        <w:t>Swimming</w:t>
      </w:r>
      <w:r>
        <w:rPr>
          <w:i/>
          <w:spacing w:val="-7"/>
        </w:rPr>
        <w:t> </w:t>
      </w:r>
      <w:r>
        <w:rPr>
          <w:i/>
          <w:spacing w:val="-2"/>
        </w:rPr>
        <w:t>pools</w:t>
      </w:r>
    </w:p>
    <w:p>
      <w:pPr>
        <w:pStyle w:val="BodyText"/>
        <w:ind w:left="237" w:right="295"/>
        <w:jc w:val="both"/>
      </w:pPr>
      <w:r>
        <w:rPr/>
        <w:t>Access is to be provided to, and into, all swimming pools associated with a building required to be accessible for use by the public which has a perimeter of</w:t>
      </w:r>
    </w:p>
    <w:p>
      <w:pPr>
        <w:pStyle w:val="BodyText"/>
        <w:rPr>
          <w:sz w:val="20"/>
        </w:rPr>
      </w:pPr>
    </w:p>
    <w:p>
      <w:pPr>
        <w:pStyle w:val="BodyText"/>
        <w:spacing w:before="5"/>
        <w:rPr>
          <w:sz w:val="14"/>
        </w:rPr>
      </w:pPr>
      <w:r>
        <w:rPr/>
        <w:pict>
          <v:rect style="position:absolute;margin-left:89.879997pt;margin-top:9.546681pt;width:144pt;height:.6pt;mso-position-horizontal-relative:page;mso-position-vertical-relative:paragraph;z-index:-15719936;mso-wrap-distance-left:0;mso-wrap-distance-right:0" id="docshape23" filled="true" fillcolor="#000000" stroked="false">
            <v:fill type="solid"/>
            <w10:wrap type="topAndBottom"/>
          </v:rect>
        </w:pict>
      </w:r>
    </w:p>
    <w:p>
      <w:pPr>
        <w:pStyle w:val="BodyText"/>
        <w:spacing w:before="6"/>
        <w:rPr>
          <w:sz w:val="18"/>
        </w:rPr>
      </w:pPr>
    </w:p>
    <w:p>
      <w:pPr>
        <w:spacing w:before="130"/>
        <w:ind w:left="237" w:right="247" w:hanging="1"/>
        <w:jc w:val="left"/>
        <w:rPr>
          <w:sz w:val="20"/>
        </w:rPr>
      </w:pPr>
      <w:r>
        <w:rPr>
          <w:sz w:val="20"/>
          <w:vertAlign w:val="superscript"/>
        </w:rPr>
        <w:t>22</w:t>
      </w:r>
      <w:r>
        <w:rPr>
          <w:sz w:val="20"/>
          <w:vertAlign w:val="baseline"/>
        </w:rPr>
        <w:t> However, access</w:t>
      </w:r>
      <w:r>
        <w:rPr>
          <w:spacing w:val="-1"/>
          <w:sz w:val="20"/>
          <w:vertAlign w:val="baseline"/>
        </w:rPr>
        <w:t> </w:t>
      </w:r>
      <w:r>
        <w:rPr>
          <w:sz w:val="20"/>
          <w:vertAlign w:val="baseline"/>
        </w:rPr>
        <w:t>requirements</w:t>
      </w:r>
      <w:r>
        <w:rPr>
          <w:spacing w:val="-1"/>
          <w:sz w:val="20"/>
          <w:vertAlign w:val="baseline"/>
        </w:rPr>
        <w:t> </w:t>
      </w:r>
      <w:r>
        <w:rPr>
          <w:sz w:val="20"/>
          <w:vertAlign w:val="baseline"/>
        </w:rPr>
        <w:t>would</w:t>
      </w:r>
      <w:r>
        <w:rPr>
          <w:spacing w:val="-1"/>
          <w:sz w:val="20"/>
          <w:vertAlign w:val="baseline"/>
        </w:rPr>
        <w:t> </w:t>
      </w:r>
      <w:r>
        <w:rPr>
          <w:sz w:val="20"/>
          <w:vertAlign w:val="baseline"/>
        </w:rPr>
        <w:t>not apply to building upgrade activity in respect of Class 1b buildings unless the building would have four or more rooms available for rent by the public. Note</w:t>
      </w:r>
      <w:r>
        <w:rPr>
          <w:spacing w:val="-3"/>
          <w:sz w:val="20"/>
          <w:vertAlign w:val="baseline"/>
        </w:rPr>
        <w:t> </w:t>
      </w:r>
      <w:r>
        <w:rPr>
          <w:sz w:val="20"/>
          <w:vertAlign w:val="baseline"/>
        </w:rPr>
        <w:t>that</w:t>
      </w:r>
      <w:r>
        <w:rPr>
          <w:spacing w:val="-3"/>
          <w:sz w:val="20"/>
          <w:vertAlign w:val="baseline"/>
        </w:rPr>
        <w:t> </w:t>
      </w:r>
      <w:r>
        <w:rPr>
          <w:sz w:val="20"/>
          <w:vertAlign w:val="baseline"/>
        </w:rPr>
        <w:t>the</w:t>
      </w:r>
      <w:r>
        <w:rPr>
          <w:spacing w:val="-3"/>
          <w:sz w:val="20"/>
          <w:vertAlign w:val="baseline"/>
        </w:rPr>
        <w:t> </w:t>
      </w:r>
      <w:r>
        <w:rPr>
          <w:sz w:val="20"/>
          <w:vertAlign w:val="baseline"/>
        </w:rPr>
        <w:t>proposal</w:t>
      </w:r>
      <w:r>
        <w:rPr>
          <w:spacing w:val="-3"/>
          <w:sz w:val="20"/>
          <w:vertAlign w:val="baseline"/>
        </w:rPr>
        <w:t> </w:t>
      </w:r>
      <w:r>
        <w:rPr>
          <w:sz w:val="20"/>
          <w:vertAlign w:val="baseline"/>
        </w:rPr>
        <w:t>relating</w:t>
      </w:r>
      <w:r>
        <w:rPr>
          <w:spacing w:val="-3"/>
          <w:sz w:val="20"/>
          <w:vertAlign w:val="baseline"/>
        </w:rPr>
        <w:t> </w:t>
      </w:r>
      <w:r>
        <w:rPr>
          <w:sz w:val="20"/>
          <w:vertAlign w:val="baseline"/>
        </w:rPr>
        <w:t>to</w:t>
      </w:r>
      <w:r>
        <w:rPr>
          <w:spacing w:val="-3"/>
          <w:sz w:val="20"/>
          <w:vertAlign w:val="baseline"/>
        </w:rPr>
        <w:t> </w:t>
      </w:r>
      <w:r>
        <w:rPr>
          <w:sz w:val="20"/>
          <w:vertAlign w:val="baseline"/>
        </w:rPr>
        <w:t>Class</w:t>
      </w:r>
      <w:r>
        <w:rPr>
          <w:spacing w:val="-3"/>
          <w:sz w:val="20"/>
          <w:vertAlign w:val="baseline"/>
        </w:rPr>
        <w:t> </w:t>
      </w:r>
      <w:r>
        <w:rPr>
          <w:sz w:val="20"/>
          <w:vertAlign w:val="baseline"/>
        </w:rPr>
        <w:t>1b</w:t>
      </w:r>
      <w:r>
        <w:rPr>
          <w:spacing w:val="-3"/>
          <w:sz w:val="20"/>
          <w:vertAlign w:val="baseline"/>
        </w:rPr>
        <w:t> </w:t>
      </w:r>
      <w:r>
        <w:rPr>
          <w:sz w:val="20"/>
          <w:vertAlign w:val="baseline"/>
        </w:rPr>
        <w:t>buildings</w:t>
      </w:r>
      <w:r>
        <w:rPr>
          <w:spacing w:val="-2"/>
          <w:sz w:val="20"/>
          <w:vertAlign w:val="baseline"/>
        </w:rPr>
        <w:t> </w:t>
      </w:r>
      <w:r>
        <w:rPr>
          <w:sz w:val="20"/>
          <w:vertAlign w:val="baseline"/>
        </w:rPr>
        <w:t>has</w:t>
      </w:r>
      <w:r>
        <w:rPr>
          <w:spacing w:val="-3"/>
          <w:sz w:val="20"/>
          <w:vertAlign w:val="baseline"/>
        </w:rPr>
        <w:t> </w:t>
      </w:r>
      <w:r>
        <w:rPr>
          <w:sz w:val="20"/>
          <w:vertAlign w:val="baseline"/>
        </w:rPr>
        <w:t>been</w:t>
      </w:r>
      <w:r>
        <w:rPr>
          <w:spacing w:val="-3"/>
          <w:sz w:val="20"/>
          <w:vertAlign w:val="baseline"/>
        </w:rPr>
        <w:t> </w:t>
      </w:r>
      <w:r>
        <w:rPr>
          <w:sz w:val="20"/>
          <w:vertAlign w:val="baseline"/>
        </w:rPr>
        <w:t>amended.</w:t>
      </w:r>
      <w:r>
        <w:rPr>
          <w:spacing w:val="-3"/>
          <w:sz w:val="20"/>
          <w:vertAlign w:val="baseline"/>
        </w:rPr>
        <w:t> </w:t>
      </w:r>
      <w:r>
        <w:rPr>
          <w:sz w:val="20"/>
          <w:vertAlign w:val="baseline"/>
        </w:rPr>
        <w:t>Refer</w:t>
      </w:r>
      <w:r>
        <w:rPr>
          <w:spacing w:val="-3"/>
          <w:sz w:val="20"/>
          <w:vertAlign w:val="baseline"/>
        </w:rPr>
        <w:t> </w:t>
      </w:r>
      <w:r>
        <w:rPr>
          <w:sz w:val="20"/>
          <w:vertAlign w:val="baseline"/>
        </w:rPr>
        <w:t>to</w:t>
      </w:r>
      <w:r>
        <w:rPr>
          <w:spacing w:val="-3"/>
          <w:sz w:val="20"/>
          <w:vertAlign w:val="baseline"/>
        </w:rPr>
        <w:t> </w:t>
      </w:r>
      <w:r>
        <w:rPr>
          <w:sz w:val="20"/>
          <w:vertAlign w:val="baseline"/>
        </w:rPr>
        <w:t>Appendix</w:t>
      </w:r>
      <w:r>
        <w:rPr>
          <w:spacing w:val="-3"/>
          <w:sz w:val="20"/>
          <w:vertAlign w:val="baseline"/>
        </w:rPr>
        <w:t> </w:t>
      </w:r>
      <w:r>
        <w:rPr>
          <w:sz w:val="20"/>
          <w:vertAlign w:val="baseline"/>
        </w:rPr>
        <w:t>D</w:t>
      </w:r>
      <w:r>
        <w:rPr>
          <w:spacing w:val="-3"/>
          <w:sz w:val="20"/>
          <w:vertAlign w:val="baseline"/>
        </w:rPr>
        <w:t> </w:t>
      </w:r>
      <w:r>
        <w:rPr>
          <w:sz w:val="20"/>
          <w:vertAlign w:val="baseline"/>
        </w:rPr>
        <w:t>for further details.</w:t>
      </w:r>
    </w:p>
    <w:p>
      <w:pPr>
        <w:spacing w:after="0"/>
        <w:jc w:val="left"/>
        <w:rPr>
          <w:sz w:val="20"/>
        </w:rPr>
        <w:sectPr>
          <w:pgSz w:w="12240" w:h="15840"/>
          <w:pgMar w:header="0" w:footer="1140" w:top="1360" w:bottom="1340" w:left="1560" w:right="1500"/>
        </w:sectPr>
      </w:pPr>
    </w:p>
    <w:p>
      <w:pPr>
        <w:pStyle w:val="BodyText"/>
        <w:spacing w:before="77"/>
        <w:ind w:left="237" w:right="294"/>
        <w:jc w:val="both"/>
      </w:pPr>
      <w:r>
        <w:rPr/>
        <w:t>40 metres or more. This means access into swimming pools can vary, with different acceptable options being specified, including ramps and lifting devices.</w:t>
      </w:r>
    </w:p>
    <w:p>
      <w:pPr>
        <w:pStyle w:val="BodyText"/>
        <w:spacing w:before="11"/>
        <w:rPr>
          <w:sz w:val="23"/>
        </w:rPr>
      </w:pPr>
    </w:p>
    <w:p>
      <w:pPr>
        <w:pStyle w:val="BodyText"/>
        <w:ind w:left="237" w:right="293"/>
        <w:jc w:val="both"/>
      </w:pPr>
      <w:r>
        <w:rPr/>
        <w:t>The provision of access to public swimming pools has the potential to substantially increase leisure options for people with a disability. In addition, the access provisions may indirectly broaden the availability of more structured exercise and/or rehabilitation programs to people with a disability. Thus, this extension of access requirements is likely to yield quite substantial benefits.</w:t>
      </w:r>
    </w:p>
    <w:p>
      <w:pPr>
        <w:pStyle w:val="BodyText"/>
        <w:spacing w:before="11"/>
        <w:rPr>
          <w:sz w:val="23"/>
        </w:rPr>
      </w:pPr>
    </w:p>
    <w:p>
      <w:pPr>
        <w:pStyle w:val="Heading3"/>
        <w:numPr>
          <w:ilvl w:val="2"/>
          <w:numId w:val="15"/>
        </w:numPr>
        <w:tabs>
          <w:tab w:pos="888" w:val="left" w:leader="none"/>
        </w:tabs>
        <w:spacing w:line="240" w:lineRule="auto" w:before="0" w:after="0"/>
        <w:ind w:left="887" w:right="0" w:hanging="651"/>
        <w:jc w:val="both"/>
      </w:pPr>
      <w:bookmarkStart w:name="7.4.2 Quantitative extensions of access " w:id="57"/>
      <w:bookmarkEnd w:id="57"/>
      <w:r>
        <w:rPr/>
        <w:t>Q</w:t>
      </w:r>
      <w:r>
        <w:rPr/>
        <w:t>uantitative</w:t>
      </w:r>
      <w:r>
        <w:rPr>
          <w:spacing w:val="-8"/>
        </w:rPr>
        <w:t> </w:t>
      </w:r>
      <w:r>
        <w:rPr/>
        <w:t>extensions</w:t>
      </w:r>
      <w:r>
        <w:rPr>
          <w:spacing w:val="-7"/>
        </w:rPr>
        <w:t> </w:t>
      </w:r>
      <w:r>
        <w:rPr/>
        <w:t>of</w:t>
      </w:r>
      <w:r>
        <w:rPr>
          <w:spacing w:val="-7"/>
        </w:rPr>
        <w:t> </w:t>
      </w:r>
      <w:r>
        <w:rPr/>
        <w:t>access</w:t>
      </w:r>
      <w:r>
        <w:rPr>
          <w:spacing w:val="-7"/>
        </w:rPr>
        <w:t> </w:t>
      </w:r>
      <w:r>
        <w:rPr>
          <w:spacing w:val="-2"/>
        </w:rPr>
        <w:t>requirements</w:t>
      </w:r>
    </w:p>
    <w:p>
      <w:pPr>
        <w:pStyle w:val="BodyText"/>
        <w:spacing w:before="57"/>
        <w:ind w:left="237" w:right="294"/>
        <w:jc w:val="both"/>
      </w:pPr>
      <w:r>
        <w:rPr/>
        <w:t>This section considers changes to the BCA</w:t>
      </w:r>
      <w:r>
        <w:rPr/>
        <w:t> in</w:t>
      </w:r>
      <w:r>
        <w:rPr/>
        <w:t> which</w:t>
      </w:r>
      <w:r>
        <w:rPr/>
        <w:t> an</w:t>
      </w:r>
      <w:r>
        <w:rPr/>
        <w:t> existing</w:t>
      </w:r>
      <w:r>
        <w:rPr/>
        <w:t> access requirement is increased in a quantitative manner only. The main provisions of this kind are increases in the following: the proportion of rooms to be accessible in Class 3 buildings; the number of accessible building entrances (all classes);</w:t>
      </w:r>
      <w:r>
        <w:rPr>
          <w:spacing w:val="40"/>
        </w:rPr>
        <w:t> </w:t>
      </w:r>
      <w:r>
        <w:rPr/>
        <w:t>the number of accessible parking spaces in clinics and day surgeries; the numbers</w:t>
      </w:r>
      <w:r>
        <w:rPr>
          <w:spacing w:val="-4"/>
        </w:rPr>
        <w:t> </w:t>
      </w:r>
      <w:r>
        <w:rPr/>
        <w:t>of</w:t>
      </w:r>
      <w:r>
        <w:rPr>
          <w:spacing w:val="-4"/>
        </w:rPr>
        <w:t> </w:t>
      </w:r>
      <w:r>
        <w:rPr/>
        <w:t>wheelchair</w:t>
      </w:r>
      <w:r>
        <w:rPr>
          <w:spacing w:val="-2"/>
        </w:rPr>
        <w:t> </w:t>
      </w:r>
      <w:r>
        <w:rPr/>
        <w:t>seating</w:t>
      </w:r>
      <w:r>
        <w:rPr>
          <w:spacing w:val="-4"/>
        </w:rPr>
        <w:t> </w:t>
      </w:r>
      <w:r>
        <w:rPr/>
        <w:t>spaces</w:t>
      </w:r>
      <w:r>
        <w:rPr>
          <w:spacing w:val="-4"/>
        </w:rPr>
        <w:t> </w:t>
      </w:r>
      <w:r>
        <w:rPr/>
        <w:t>in</w:t>
      </w:r>
      <w:r>
        <w:rPr>
          <w:spacing w:val="-4"/>
        </w:rPr>
        <w:t> </w:t>
      </w:r>
      <w:r>
        <w:rPr/>
        <w:t>auditoria;</w:t>
      </w:r>
      <w:r>
        <w:rPr>
          <w:spacing w:val="-4"/>
        </w:rPr>
        <w:t> </w:t>
      </w:r>
      <w:r>
        <w:rPr/>
        <w:t>provision</w:t>
      </w:r>
      <w:r>
        <w:rPr>
          <w:spacing w:val="-4"/>
        </w:rPr>
        <w:t> </w:t>
      </w:r>
      <w:r>
        <w:rPr/>
        <w:t>of</w:t>
      </w:r>
      <w:r>
        <w:rPr>
          <w:spacing w:val="-4"/>
        </w:rPr>
        <w:t> </w:t>
      </w:r>
      <w:r>
        <w:rPr/>
        <w:t>ambulant</w:t>
      </w:r>
      <w:r>
        <w:rPr>
          <w:spacing w:val="-4"/>
        </w:rPr>
        <w:t> </w:t>
      </w:r>
      <w:r>
        <w:rPr/>
        <w:t>sanitary facilities; and provision of accessible sanitary facilities generally.</w:t>
      </w:r>
    </w:p>
    <w:p>
      <w:pPr>
        <w:pStyle w:val="BodyText"/>
        <w:spacing w:before="5"/>
        <w:rPr>
          <w:sz w:val="31"/>
        </w:rPr>
      </w:pPr>
    </w:p>
    <w:p>
      <w:pPr>
        <w:pStyle w:val="Heading5"/>
        <w:spacing w:line="275" w:lineRule="exact"/>
        <w:rPr>
          <w:i/>
        </w:rPr>
      </w:pPr>
      <w:r>
        <w:rPr>
          <w:i/>
        </w:rPr>
        <w:t>Increased</w:t>
      </w:r>
      <w:r>
        <w:rPr>
          <w:i/>
          <w:spacing w:val="-4"/>
        </w:rPr>
        <w:t> </w:t>
      </w:r>
      <w:r>
        <w:rPr>
          <w:i/>
        </w:rPr>
        <w:t>proportion</w:t>
      </w:r>
      <w:r>
        <w:rPr>
          <w:i/>
          <w:spacing w:val="-3"/>
        </w:rPr>
        <w:t> </w:t>
      </w:r>
      <w:r>
        <w:rPr>
          <w:i/>
        </w:rPr>
        <w:t>of</w:t>
      </w:r>
      <w:r>
        <w:rPr>
          <w:i/>
          <w:spacing w:val="-4"/>
        </w:rPr>
        <w:t> </w:t>
      </w:r>
      <w:r>
        <w:rPr>
          <w:i/>
        </w:rPr>
        <w:t>accessible</w:t>
      </w:r>
      <w:r>
        <w:rPr>
          <w:i/>
          <w:spacing w:val="-4"/>
        </w:rPr>
        <w:t> </w:t>
      </w:r>
      <w:r>
        <w:rPr>
          <w:i/>
        </w:rPr>
        <w:t>rooms</w:t>
      </w:r>
      <w:r>
        <w:rPr>
          <w:i/>
          <w:spacing w:val="-5"/>
        </w:rPr>
        <w:t> </w:t>
      </w:r>
      <w:r>
        <w:rPr>
          <w:i/>
        </w:rPr>
        <w:t>–</w:t>
      </w:r>
      <w:r>
        <w:rPr>
          <w:i/>
          <w:spacing w:val="-4"/>
        </w:rPr>
        <w:t> </w:t>
      </w:r>
      <w:r>
        <w:rPr>
          <w:i/>
        </w:rPr>
        <w:t>Class</w:t>
      </w:r>
      <w:r>
        <w:rPr>
          <w:i/>
          <w:spacing w:val="-5"/>
        </w:rPr>
        <w:t> </w:t>
      </w:r>
      <w:r>
        <w:rPr>
          <w:i/>
        </w:rPr>
        <w:t>3</w:t>
      </w:r>
      <w:r>
        <w:rPr>
          <w:i/>
          <w:spacing w:val="-4"/>
        </w:rPr>
        <w:t> </w:t>
      </w:r>
      <w:r>
        <w:rPr>
          <w:i/>
          <w:spacing w:val="-2"/>
        </w:rPr>
        <w:t>buildings</w:t>
      </w:r>
    </w:p>
    <w:p>
      <w:pPr>
        <w:pStyle w:val="BodyText"/>
        <w:ind w:left="237" w:right="300"/>
        <w:jc w:val="both"/>
      </w:pPr>
      <w:r>
        <w:rPr/>
        <w:t>As pointed out in Section 5.4., the effective changes proposed for Class 3 buildings are limited in most cases, in terms of their impact on individual premises. On the other hand, the changes will be applicable to a substantial number of premises of various types. Thus, the changes will provide small improvements in the availability of a wide range of both permanent and holiday accommodation to people with a disability.</w:t>
      </w:r>
    </w:p>
    <w:p>
      <w:pPr>
        <w:pStyle w:val="BodyText"/>
        <w:spacing w:before="11"/>
        <w:rPr>
          <w:sz w:val="23"/>
        </w:rPr>
      </w:pPr>
    </w:p>
    <w:p>
      <w:pPr>
        <w:pStyle w:val="BodyText"/>
        <w:ind w:left="237"/>
        <w:jc w:val="both"/>
      </w:pPr>
      <w:r>
        <w:rPr/>
        <w:t>The</w:t>
      </w:r>
      <w:r>
        <w:rPr>
          <w:spacing w:val="-2"/>
        </w:rPr>
        <w:t> </w:t>
      </w:r>
      <w:r>
        <w:rPr/>
        <w:t>expected</w:t>
      </w:r>
      <w:r>
        <w:rPr>
          <w:spacing w:val="-2"/>
        </w:rPr>
        <w:t> </w:t>
      </w:r>
      <w:r>
        <w:rPr/>
        <w:t>benefits</w:t>
      </w:r>
      <w:r>
        <w:rPr>
          <w:spacing w:val="-2"/>
        </w:rPr>
        <w:t> </w:t>
      </w:r>
      <w:r>
        <w:rPr/>
        <w:t>of</w:t>
      </w:r>
      <w:r>
        <w:rPr>
          <w:spacing w:val="-2"/>
        </w:rPr>
        <w:t> </w:t>
      </w:r>
      <w:r>
        <w:rPr/>
        <w:t>these</w:t>
      </w:r>
      <w:r>
        <w:rPr>
          <w:spacing w:val="-2"/>
        </w:rPr>
        <w:t> </w:t>
      </w:r>
      <w:r>
        <w:rPr/>
        <w:t>changes</w:t>
      </w:r>
      <w:r>
        <w:rPr>
          <w:spacing w:val="-2"/>
        </w:rPr>
        <w:t> </w:t>
      </w:r>
      <w:r>
        <w:rPr/>
        <w:t>are</w:t>
      </w:r>
      <w:r>
        <w:rPr>
          <w:spacing w:val="-2"/>
        </w:rPr>
        <w:t> </w:t>
      </w:r>
      <w:r>
        <w:rPr/>
        <w:t>considered</w:t>
      </w:r>
      <w:r>
        <w:rPr>
          <w:spacing w:val="-2"/>
        </w:rPr>
        <w:t> </w:t>
      </w:r>
      <w:r>
        <w:rPr/>
        <w:t>to</w:t>
      </w:r>
      <w:r>
        <w:rPr>
          <w:spacing w:val="-2"/>
        </w:rPr>
        <w:t> </w:t>
      </w:r>
      <w:r>
        <w:rPr/>
        <w:t>be</w:t>
      </w:r>
      <w:r>
        <w:rPr>
          <w:spacing w:val="-2"/>
        </w:rPr>
        <w:t> </w:t>
      </w:r>
      <w:r>
        <w:rPr/>
        <w:t>moderate</w:t>
      </w:r>
      <w:r>
        <w:rPr>
          <w:spacing w:val="-2"/>
        </w:rPr>
        <w:t> </w:t>
      </w:r>
      <w:r>
        <w:rPr/>
        <w:t>in</w:t>
      </w:r>
      <w:r>
        <w:rPr>
          <w:spacing w:val="-1"/>
        </w:rPr>
        <w:t> </w:t>
      </w:r>
      <w:r>
        <w:rPr>
          <w:spacing w:val="-2"/>
        </w:rPr>
        <w:t>size.</w:t>
      </w:r>
    </w:p>
    <w:p>
      <w:pPr>
        <w:pStyle w:val="BodyText"/>
        <w:spacing w:before="5"/>
        <w:rPr>
          <w:sz w:val="31"/>
        </w:rPr>
      </w:pPr>
    </w:p>
    <w:p>
      <w:pPr>
        <w:pStyle w:val="Heading5"/>
        <w:spacing w:line="275" w:lineRule="exact"/>
        <w:rPr>
          <w:i/>
        </w:rPr>
      </w:pPr>
      <w:r>
        <w:rPr>
          <w:i/>
        </w:rPr>
        <w:t>Increased</w:t>
      </w:r>
      <w:r>
        <w:rPr>
          <w:i/>
          <w:spacing w:val="-6"/>
        </w:rPr>
        <w:t> </w:t>
      </w:r>
      <w:r>
        <w:rPr>
          <w:i/>
        </w:rPr>
        <w:t>accessible</w:t>
      </w:r>
      <w:r>
        <w:rPr>
          <w:i/>
          <w:spacing w:val="-6"/>
        </w:rPr>
        <w:t> </w:t>
      </w:r>
      <w:r>
        <w:rPr>
          <w:i/>
        </w:rPr>
        <w:t>building</w:t>
      </w:r>
      <w:r>
        <w:rPr>
          <w:i/>
          <w:spacing w:val="-5"/>
        </w:rPr>
        <w:t> </w:t>
      </w:r>
      <w:r>
        <w:rPr>
          <w:i/>
          <w:spacing w:val="-2"/>
        </w:rPr>
        <w:t>entrances</w:t>
      </w:r>
    </w:p>
    <w:p>
      <w:pPr>
        <w:pStyle w:val="BodyText"/>
        <w:ind w:left="237" w:right="300"/>
        <w:jc w:val="both"/>
      </w:pPr>
      <w:r>
        <w:rPr/>
        <w:t>Access is to be provided to 50% of entrances, including the principal pedestrian entrance.</w:t>
      </w:r>
      <w:r>
        <w:rPr>
          <w:spacing w:val="40"/>
        </w:rPr>
        <w:t> </w:t>
      </w:r>
      <w:r>
        <w:rPr/>
        <w:t>Where a building has a floor area greater than 500m2 a pedestrian entrance that is not accessible must not be located more than 50 metres from an accessible entrance. By contrast, existing BCA requirements are limited to providing access through the principal pedestrian entrance.</w:t>
      </w:r>
    </w:p>
    <w:p>
      <w:pPr>
        <w:pStyle w:val="BodyText"/>
        <w:spacing w:before="11"/>
        <w:rPr>
          <w:sz w:val="23"/>
        </w:rPr>
      </w:pPr>
    </w:p>
    <w:p>
      <w:pPr>
        <w:pStyle w:val="BodyText"/>
        <w:ind w:left="237" w:right="300"/>
        <w:jc w:val="both"/>
      </w:pPr>
      <w:r>
        <w:rPr/>
        <w:t>In practice, the effect of the change is likely to increase the convenience of access to buildings for people with a disability, rather than improving access per se. This is because the existing requirement provides effective access to all</w:t>
      </w:r>
      <w:r>
        <w:rPr>
          <w:spacing w:val="40"/>
        </w:rPr>
        <w:t> </w:t>
      </w:r>
      <w:r>
        <w:rPr/>
        <w:t>areas required to be accessible. In some cases, the effect of the change may be substantial in terms of providing access with dignity – a specified objective of the DDA provisions. This is because a requirement for 50% of entrances, including the principal pedestrian entrance, to be accessible will reduce the possibility that people with a disability will not be able to use the same entrance as friends and </w:t>
      </w:r>
      <w:r>
        <w:rPr>
          <w:spacing w:val="-2"/>
        </w:rPr>
        <w:t>associates.</w:t>
      </w:r>
    </w:p>
    <w:p>
      <w:pPr>
        <w:spacing w:after="0"/>
        <w:jc w:val="both"/>
        <w:sectPr>
          <w:pgSz w:w="12240" w:h="15840"/>
          <w:pgMar w:header="0" w:footer="1140" w:top="1360" w:bottom="1340" w:left="1560" w:right="1500"/>
        </w:sectPr>
      </w:pPr>
    </w:p>
    <w:p>
      <w:pPr>
        <w:pStyle w:val="BodyText"/>
        <w:spacing w:before="77"/>
        <w:ind w:left="237" w:right="300"/>
        <w:jc w:val="both"/>
      </w:pPr>
      <w:r>
        <w:rPr/>
        <w:t>The benefit associated with this change can therefore be expected to be moderate in size.</w:t>
      </w:r>
    </w:p>
    <w:p>
      <w:pPr>
        <w:pStyle w:val="BodyText"/>
        <w:spacing w:before="1"/>
      </w:pPr>
    </w:p>
    <w:p>
      <w:pPr>
        <w:pStyle w:val="Heading5"/>
        <w:ind w:right="295"/>
      </w:pPr>
      <w:r>
        <w:rPr>
          <w:i/>
        </w:rPr>
        <w:t>Increases in the number of accessible parking spaces in clinics and day</w:t>
      </w:r>
      <w:r>
        <w:rPr/>
        <w:t> </w:t>
      </w:r>
      <w:r>
        <w:rPr>
          <w:spacing w:val="-2"/>
        </w:rPr>
        <w:t>surgeries</w:t>
      </w:r>
    </w:p>
    <w:p>
      <w:pPr>
        <w:pStyle w:val="BodyText"/>
        <w:ind w:left="237" w:right="301"/>
        <w:jc w:val="both"/>
      </w:pPr>
      <w:r>
        <w:rPr/>
        <w:t>The effect of this change will be to approximately double the number of accessible (wide bay) parking spaces required in clinics and day surgeries, to a ratio of around 1:50.</w:t>
      </w:r>
      <w:r>
        <w:rPr/>
        <w:t> This means that requirements for these facilities will be made consistent with those applying to outpatient areas of hospitals, to reflect</w:t>
      </w:r>
      <w:r>
        <w:rPr>
          <w:spacing w:val="40"/>
        </w:rPr>
        <w:t> </w:t>
      </w:r>
      <w:r>
        <w:rPr/>
        <w:t>the view of disability groups that such clinics are used in practice as generic outpatient treatment facilities.</w:t>
      </w:r>
    </w:p>
    <w:p>
      <w:pPr>
        <w:pStyle w:val="BodyText"/>
        <w:spacing w:before="7"/>
        <w:rPr>
          <w:sz w:val="23"/>
        </w:rPr>
      </w:pPr>
    </w:p>
    <w:p>
      <w:pPr>
        <w:pStyle w:val="BodyText"/>
        <w:ind w:left="237" w:right="301"/>
        <w:jc w:val="both"/>
      </w:pPr>
      <w:r>
        <w:rPr/>
        <w:t>The expected benefit of this change is that users of wheelchairs and large mobility</w:t>
      </w:r>
      <w:r>
        <w:rPr>
          <w:spacing w:val="-2"/>
        </w:rPr>
        <w:t> </w:t>
      </w:r>
      <w:r>
        <w:rPr/>
        <w:t>aids</w:t>
      </w:r>
      <w:r>
        <w:rPr>
          <w:spacing w:val="-2"/>
        </w:rPr>
        <w:t> </w:t>
      </w:r>
      <w:r>
        <w:rPr/>
        <w:t>will</w:t>
      </w:r>
      <w:r>
        <w:rPr>
          <w:spacing w:val="-2"/>
        </w:rPr>
        <w:t> </w:t>
      </w:r>
      <w:r>
        <w:rPr/>
        <w:t>gain</w:t>
      </w:r>
      <w:r>
        <w:rPr>
          <w:spacing w:val="-2"/>
        </w:rPr>
        <w:t> </w:t>
      </w:r>
      <w:r>
        <w:rPr/>
        <w:t>easier</w:t>
      </w:r>
      <w:r>
        <w:rPr>
          <w:spacing w:val="-2"/>
        </w:rPr>
        <w:t> </w:t>
      </w:r>
      <w:r>
        <w:rPr/>
        <w:t>access</w:t>
      </w:r>
      <w:r>
        <w:rPr>
          <w:spacing w:val="-2"/>
        </w:rPr>
        <w:t> </w:t>
      </w:r>
      <w:r>
        <w:rPr/>
        <w:t>to</w:t>
      </w:r>
      <w:r>
        <w:rPr>
          <w:spacing w:val="-2"/>
        </w:rPr>
        <w:t> </w:t>
      </w:r>
      <w:r>
        <w:rPr/>
        <w:t>these</w:t>
      </w:r>
      <w:r>
        <w:rPr>
          <w:spacing w:val="-2"/>
        </w:rPr>
        <w:t> </w:t>
      </w:r>
      <w:r>
        <w:rPr/>
        <w:t>facilities.</w:t>
      </w:r>
      <w:r>
        <w:rPr>
          <w:spacing w:val="-2"/>
        </w:rPr>
        <w:t> </w:t>
      </w:r>
      <w:r>
        <w:rPr/>
        <w:t>While</w:t>
      </w:r>
      <w:r>
        <w:rPr>
          <w:spacing w:val="-2"/>
        </w:rPr>
        <w:t> </w:t>
      </w:r>
      <w:r>
        <w:rPr/>
        <w:t>the</w:t>
      </w:r>
      <w:r>
        <w:rPr>
          <w:spacing w:val="-2"/>
        </w:rPr>
        <w:t> </w:t>
      </w:r>
      <w:r>
        <w:rPr/>
        <w:t>proposed</w:t>
      </w:r>
      <w:r>
        <w:rPr>
          <w:spacing w:val="-2"/>
        </w:rPr>
        <w:t> </w:t>
      </w:r>
      <w:r>
        <w:rPr/>
        <w:t>ratio</w:t>
      </w:r>
      <w:r>
        <w:rPr>
          <w:spacing w:val="-2"/>
        </w:rPr>
        <w:t> </w:t>
      </w:r>
      <w:r>
        <w:rPr/>
        <w:t>of wide bay spaces, at 2%,</w:t>
      </w:r>
      <w:r>
        <w:rPr/>
        <w:t> substantially</w:t>
      </w:r>
      <w:r>
        <w:rPr/>
        <w:t> exceeds</w:t>
      </w:r>
      <w:r>
        <w:rPr/>
        <w:t> the</w:t>
      </w:r>
      <w:r>
        <w:rPr/>
        <w:t> proportion</w:t>
      </w:r>
      <w:r>
        <w:rPr/>
        <w:t> of</w:t>
      </w:r>
      <w:r>
        <w:rPr/>
        <w:t> users</w:t>
      </w:r>
      <w:r>
        <w:rPr/>
        <w:t> of</w:t>
      </w:r>
      <w:r>
        <w:rPr/>
        <w:t> wide bay spaces (estimated at 0.6% in the 1998 RIS), the proposed change is based on anecdotal evidence of a lack of effective access. This may reflect a higher</w:t>
      </w:r>
      <w:r>
        <w:rPr>
          <w:spacing w:val="40"/>
        </w:rPr>
        <w:t> </w:t>
      </w:r>
      <w:r>
        <w:rPr/>
        <w:t>rate of usage of these facilities by people with a disability than the general </w:t>
      </w:r>
      <w:r>
        <w:rPr>
          <w:spacing w:val="-2"/>
        </w:rPr>
        <w:t>population.</w:t>
      </w:r>
    </w:p>
    <w:p>
      <w:pPr>
        <w:pStyle w:val="BodyText"/>
        <w:spacing w:before="9"/>
        <w:rPr>
          <w:sz w:val="23"/>
        </w:rPr>
      </w:pPr>
    </w:p>
    <w:p>
      <w:pPr>
        <w:pStyle w:val="BodyText"/>
        <w:ind w:left="237" w:right="303"/>
        <w:jc w:val="both"/>
      </w:pPr>
      <w:r>
        <w:rPr/>
        <w:t>The benefits associated with this proposed change can be expected to be minor in size.</w:t>
      </w:r>
    </w:p>
    <w:p>
      <w:pPr>
        <w:pStyle w:val="BodyText"/>
        <w:spacing w:before="1"/>
      </w:pPr>
    </w:p>
    <w:p>
      <w:pPr>
        <w:pStyle w:val="Heading5"/>
        <w:spacing w:line="275" w:lineRule="exact"/>
        <w:rPr>
          <w:i/>
        </w:rPr>
      </w:pPr>
      <w:r>
        <w:rPr>
          <w:i/>
        </w:rPr>
        <w:t>Increased</w:t>
      </w:r>
      <w:r>
        <w:rPr>
          <w:i/>
          <w:spacing w:val="-4"/>
        </w:rPr>
        <w:t> </w:t>
      </w:r>
      <w:r>
        <w:rPr>
          <w:i/>
        </w:rPr>
        <w:t>numbers</w:t>
      </w:r>
      <w:r>
        <w:rPr>
          <w:i/>
          <w:spacing w:val="-3"/>
        </w:rPr>
        <w:t> </w:t>
      </w:r>
      <w:r>
        <w:rPr>
          <w:i/>
        </w:rPr>
        <w:t>of</w:t>
      </w:r>
      <w:r>
        <w:rPr>
          <w:i/>
          <w:spacing w:val="-3"/>
        </w:rPr>
        <w:t> </w:t>
      </w:r>
      <w:r>
        <w:rPr>
          <w:i/>
        </w:rPr>
        <w:t>wheelchair</w:t>
      </w:r>
      <w:r>
        <w:rPr>
          <w:i/>
          <w:spacing w:val="-3"/>
        </w:rPr>
        <w:t> </w:t>
      </w:r>
      <w:r>
        <w:rPr>
          <w:i/>
        </w:rPr>
        <w:t>seating</w:t>
      </w:r>
      <w:r>
        <w:rPr>
          <w:i/>
          <w:spacing w:val="-3"/>
        </w:rPr>
        <w:t> </w:t>
      </w:r>
      <w:r>
        <w:rPr>
          <w:i/>
        </w:rPr>
        <w:t>spaces</w:t>
      </w:r>
      <w:r>
        <w:rPr>
          <w:i/>
          <w:spacing w:val="-3"/>
        </w:rPr>
        <w:t> </w:t>
      </w:r>
      <w:r>
        <w:rPr>
          <w:i/>
        </w:rPr>
        <w:t>in</w:t>
      </w:r>
      <w:r>
        <w:rPr>
          <w:i/>
          <w:spacing w:val="-3"/>
        </w:rPr>
        <w:t> </w:t>
      </w:r>
      <w:r>
        <w:rPr>
          <w:i/>
          <w:spacing w:val="-2"/>
        </w:rPr>
        <w:t>auditoria</w:t>
      </w:r>
    </w:p>
    <w:p>
      <w:pPr>
        <w:pStyle w:val="BodyText"/>
        <w:ind w:left="237" w:right="295"/>
        <w:jc w:val="both"/>
      </w:pPr>
      <w:r>
        <w:rPr/>
        <w:t>Current provisions do not require grouped seating to be provided or wheelchair access</w:t>
      </w:r>
      <w:r>
        <w:rPr/>
        <w:t> to</w:t>
      </w:r>
      <w:r>
        <w:rPr/>
        <w:t> a</w:t>
      </w:r>
      <w:r>
        <w:rPr/>
        <w:t> range</w:t>
      </w:r>
      <w:r>
        <w:rPr/>
        <w:t> of</w:t>
      </w:r>
      <w:r>
        <w:rPr/>
        <w:t> positions</w:t>
      </w:r>
      <w:r>
        <w:rPr/>
        <w:t> within</w:t>
      </w:r>
      <w:r>
        <w:rPr/>
        <w:t> an</w:t>
      </w:r>
      <w:r>
        <w:rPr/>
        <w:t> auditorium. Under the proposed</w:t>
      </w:r>
      <w:r>
        <w:rPr>
          <w:spacing w:val="40"/>
        </w:rPr>
        <w:t> </w:t>
      </w:r>
      <w:r>
        <w:rPr/>
        <w:t>changes, the number of accessible wheelchair spaces to be provided will be increased and minimum requirements for the grouping of wheelchairs would also be specified.</w:t>
      </w:r>
    </w:p>
    <w:p>
      <w:pPr>
        <w:pStyle w:val="BodyText"/>
        <w:spacing w:before="8"/>
        <w:rPr>
          <w:sz w:val="23"/>
        </w:rPr>
      </w:pPr>
    </w:p>
    <w:p>
      <w:pPr>
        <w:pStyle w:val="BodyText"/>
        <w:ind w:left="237" w:right="293"/>
        <w:jc w:val="both"/>
      </w:pPr>
      <w:r>
        <w:rPr/>
        <w:t>The change in the required number of wheelchair spaces is substantial in effect. For small auditoria (fewer than 800 seats) wheelchair spaces would be required to comprise 2% of the total. For medium sized auditoria (800 – 10,000 seats) this would be approximately 1% of the total, while for large auditoria (over 10,000 seats) it would be 0.5% of the total (for capacity exceeding 10,000 seats). This compares with a general requirement that 0.5% of seating be wheelchair spaces at present. Thus, substantial increases in numbers of wheelchair spaces will affect small and medium sized auditoria in particular.</w:t>
      </w:r>
    </w:p>
    <w:p>
      <w:pPr>
        <w:pStyle w:val="BodyText"/>
        <w:spacing w:before="8"/>
        <w:rPr>
          <w:sz w:val="23"/>
        </w:rPr>
      </w:pPr>
    </w:p>
    <w:p>
      <w:pPr>
        <w:pStyle w:val="BodyText"/>
        <w:ind w:left="237" w:right="294"/>
        <w:jc w:val="both"/>
      </w:pPr>
      <w:r>
        <w:rPr/>
        <w:t>These changes appear to provide substantially increased opportunities for wheelchair users to attend events at auditoria (e.g. concerts, seminars, etc). However, it must be noted that the existing requirement for 0.5% of seating to comprise wheelchair spaces is broadly consistent with the estimated proportion</w:t>
      </w:r>
    </w:p>
    <w:p>
      <w:pPr>
        <w:spacing w:after="0"/>
        <w:jc w:val="both"/>
        <w:sectPr>
          <w:pgSz w:w="12240" w:h="15840"/>
          <w:pgMar w:header="0" w:footer="1140" w:top="1360" w:bottom="1340" w:left="1560" w:right="1500"/>
        </w:sectPr>
      </w:pPr>
    </w:p>
    <w:p>
      <w:pPr>
        <w:pStyle w:val="BodyText"/>
        <w:spacing w:before="117"/>
        <w:ind w:left="237" w:right="294"/>
        <w:jc w:val="both"/>
      </w:pPr>
      <w:r>
        <w:rPr/>
        <w:t>of wheelchair users in society</w:t>
      </w:r>
      <w:r>
        <w:rPr>
          <w:vertAlign w:val="superscript"/>
        </w:rPr>
        <w:t>23</w:t>
      </w:r>
      <w:r>
        <w:rPr>
          <w:vertAlign w:val="baseline"/>
        </w:rPr>
        <w:t>, whereas the proposed provision at rates of 1 – 2% substantially exceeds this proportion. Moreover, it is probable that other access problems, such as transport access difficulties and the low average income levels of people with a disability, may mean that effective demand for auditorium seating is lower among wheelchair users than the population-wide </w:t>
      </w:r>
      <w:r>
        <w:rPr>
          <w:spacing w:val="-2"/>
          <w:vertAlign w:val="baseline"/>
        </w:rPr>
        <w:t>average.</w:t>
      </w:r>
    </w:p>
    <w:p>
      <w:pPr>
        <w:pStyle w:val="BodyText"/>
        <w:spacing w:before="7"/>
        <w:rPr>
          <w:sz w:val="23"/>
        </w:rPr>
      </w:pPr>
    </w:p>
    <w:p>
      <w:pPr>
        <w:pStyle w:val="BodyText"/>
        <w:spacing w:before="1"/>
        <w:ind w:left="237" w:right="294"/>
        <w:jc w:val="both"/>
      </w:pPr>
      <w:r>
        <w:rPr/>
        <w:t>This is likely to mean that the effective benefit of the proposed increase in wheelchair spaces will be small in practice, and may be felt largely in circumstances where there is excess demand for particular events (i.e.</w:t>
      </w:r>
      <w:r>
        <w:rPr>
          <w:spacing w:val="40"/>
        </w:rPr>
        <w:t> </w:t>
      </w:r>
      <w:r>
        <w:rPr/>
        <w:t>“sellouts”).</w:t>
      </w:r>
      <w:r>
        <w:rPr>
          <w:spacing w:val="-3"/>
        </w:rPr>
        <w:t> </w:t>
      </w:r>
      <w:r>
        <w:rPr/>
        <w:t>However,</w:t>
      </w:r>
      <w:r>
        <w:rPr>
          <w:spacing w:val="-3"/>
        </w:rPr>
        <w:t> </w:t>
      </w:r>
      <w:r>
        <w:rPr/>
        <w:t>the</w:t>
      </w:r>
      <w:r>
        <w:rPr>
          <w:spacing w:val="-3"/>
        </w:rPr>
        <w:t> </w:t>
      </w:r>
      <w:r>
        <w:rPr/>
        <w:t>issue</w:t>
      </w:r>
      <w:r>
        <w:rPr>
          <w:spacing w:val="-3"/>
        </w:rPr>
        <w:t> </w:t>
      </w:r>
      <w:r>
        <w:rPr/>
        <w:t>of</w:t>
      </w:r>
      <w:r>
        <w:rPr>
          <w:spacing w:val="-1"/>
        </w:rPr>
        <w:t> </w:t>
      </w:r>
      <w:r>
        <w:rPr/>
        <w:t>wheelchair</w:t>
      </w:r>
      <w:r>
        <w:rPr>
          <w:spacing w:val="-1"/>
        </w:rPr>
        <w:t> </w:t>
      </w:r>
      <w:r>
        <w:rPr/>
        <w:t>numbers</w:t>
      </w:r>
      <w:r>
        <w:rPr>
          <w:spacing w:val="-3"/>
        </w:rPr>
        <w:t> </w:t>
      </w:r>
      <w:r>
        <w:rPr/>
        <w:t>must</w:t>
      </w:r>
      <w:r>
        <w:rPr>
          <w:spacing w:val="-3"/>
        </w:rPr>
        <w:t> </w:t>
      </w:r>
      <w:r>
        <w:rPr/>
        <w:t>also</w:t>
      </w:r>
      <w:r>
        <w:rPr>
          <w:spacing w:val="-3"/>
        </w:rPr>
        <w:t> </w:t>
      </w:r>
      <w:r>
        <w:rPr/>
        <w:t>be</w:t>
      </w:r>
      <w:r>
        <w:rPr>
          <w:spacing w:val="-3"/>
        </w:rPr>
        <w:t> </w:t>
      </w:r>
      <w:r>
        <w:rPr/>
        <w:t>considered</w:t>
      </w:r>
      <w:r>
        <w:rPr>
          <w:spacing w:val="-3"/>
        </w:rPr>
        <w:t> </w:t>
      </w:r>
      <w:r>
        <w:rPr/>
        <w:t>in the context of the “grouping” requirements that are proposed to be adopted for the first time.</w:t>
      </w:r>
    </w:p>
    <w:p>
      <w:pPr>
        <w:pStyle w:val="BodyText"/>
        <w:spacing w:before="9"/>
        <w:rPr>
          <w:sz w:val="23"/>
        </w:rPr>
      </w:pPr>
    </w:p>
    <w:p>
      <w:pPr>
        <w:pStyle w:val="BodyText"/>
        <w:ind w:left="237" w:right="293"/>
        <w:jc w:val="both"/>
      </w:pPr>
      <w:r>
        <w:rPr/>
        <w:t>The proposed changes include requirements for medium and larger auditoria, where</w:t>
      </w:r>
      <w:r>
        <w:rPr>
          <w:spacing w:val="-1"/>
        </w:rPr>
        <w:t> </w:t>
      </w:r>
      <w:r>
        <w:rPr/>
        <w:t>a</w:t>
      </w:r>
      <w:r>
        <w:rPr>
          <w:spacing w:val="-1"/>
        </w:rPr>
        <w:t> </w:t>
      </w:r>
      <w:r>
        <w:rPr/>
        <w:t>combination of</w:t>
      </w:r>
      <w:r>
        <w:rPr>
          <w:spacing w:val="-1"/>
        </w:rPr>
        <w:t> </w:t>
      </w:r>
      <w:r>
        <w:rPr/>
        <w:t>single</w:t>
      </w:r>
      <w:r>
        <w:rPr>
          <w:spacing w:val="-1"/>
        </w:rPr>
        <w:t> </w:t>
      </w:r>
      <w:r>
        <w:rPr/>
        <w:t>spaces,</w:t>
      </w:r>
      <w:r>
        <w:rPr>
          <w:spacing w:val="-1"/>
        </w:rPr>
        <w:t> </w:t>
      </w:r>
      <w:r>
        <w:rPr/>
        <w:t>groups</w:t>
      </w:r>
      <w:r>
        <w:rPr>
          <w:spacing w:val="-1"/>
        </w:rPr>
        <w:t> </w:t>
      </w:r>
      <w:r>
        <w:rPr/>
        <w:t>of</w:t>
      </w:r>
      <w:r>
        <w:rPr>
          <w:spacing w:val="-1"/>
        </w:rPr>
        <w:t> </w:t>
      </w:r>
      <w:r>
        <w:rPr/>
        <w:t>two</w:t>
      </w:r>
      <w:r>
        <w:rPr>
          <w:spacing w:val="-1"/>
        </w:rPr>
        <w:t> </w:t>
      </w:r>
      <w:r>
        <w:rPr/>
        <w:t>spaces</w:t>
      </w:r>
      <w:r>
        <w:rPr>
          <w:spacing w:val="-1"/>
        </w:rPr>
        <w:t> </w:t>
      </w:r>
      <w:r>
        <w:rPr/>
        <w:t>and</w:t>
      </w:r>
      <w:r>
        <w:rPr>
          <w:spacing w:val="-1"/>
        </w:rPr>
        <w:t> </w:t>
      </w:r>
      <w:r>
        <w:rPr/>
        <w:t>groups</w:t>
      </w:r>
      <w:r>
        <w:rPr>
          <w:spacing w:val="-1"/>
        </w:rPr>
        <w:t> </w:t>
      </w:r>
      <w:r>
        <w:rPr/>
        <w:t>of</w:t>
      </w:r>
      <w:r>
        <w:rPr>
          <w:spacing w:val="-1"/>
        </w:rPr>
        <w:t> </w:t>
      </w:r>
      <w:r>
        <w:rPr/>
        <w:t>larger numbers (but not more than five) spaces be provided, with their distribution throughout the auditorium being representative of the seating types that are generally available (including pricing). These requirements are intended to</w:t>
      </w:r>
      <w:r>
        <w:rPr>
          <w:spacing w:val="40"/>
        </w:rPr>
        <w:t> </w:t>
      </w:r>
      <w:r>
        <w:rPr/>
        <w:t>ensure that wheelchair users’ needs for access in different contexts (i.e. alone, in groups with other wheelchair users, in company with non-wheelchair using companions, etc) are met and that they have access to a range of seating</w:t>
      </w:r>
      <w:r>
        <w:rPr>
          <w:spacing w:val="40"/>
        </w:rPr>
        <w:t> </w:t>
      </w:r>
      <w:r>
        <w:rPr/>
        <w:t>options and prices.</w:t>
      </w:r>
    </w:p>
    <w:p>
      <w:pPr>
        <w:pStyle w:val="BodyText"/>
      </w:pPr>
    </w:p>
    <w:p>
      <w:pPr>
        <w:pStyle w:val="BodyText"/>
        <w:ind w:left="237" w:right="293"/>
        <w:jc w:val="both"/>
      </w:pPr>
      <w:r>
        <w:rPr/>
        <w:t>These are important benefits that are not assured by the present requirements. However, provision of this range of wheelchair accessible options is only feasible if there are a sufficiently large number of total wheelchair spaces. Thus, an increase in the proportion of wheelchair spaces is likely to be necessary to allow these additional benefits of greater variety of seating options to be attained in </w:t>
      </w:r>
      <w:r>
        <w:rPr>
          <w:spacing w:val="-2"/>
        </w:rPr>
        <w:t>practice.</w:t>
      </w:r>
    </w:p>
    <w:p>
      <w:pPr>
        <w:pStyle w:val="BodyText"/>
        <w:spacing w:before="8"/>
        <w:rPr>
          <w:sz w:val="23"/>
        </w:rPr>
      </w:pPr>
    </w:p>
    <w:p>
      <w:pPr>
        <w:pStyle w:val="BodyText"/>
        <w:ind w:left="237" w:right="295"/>
        <w:jc w:val="both"/>
      </w:pPr>
      <w:r>
        <w:rPr/>
        <w:t>The benefits associated with these changes are considered to be moderate in </w:t>
      </w:r>
      <w:r>
        <w:rPr>
          <w:spacing w:val="-2"/>
        </w:rPr>
        <w:t>size.</w:t>
      </w:r>
    </w:p>
    <w:p>
      <w:pPr>
        <w:pStyle w:val="BodyText"/>
        <w:spacing w:before="5"/>
        <w:rPr>
          <w:sz w:val="31"/>
        </w:rPr>
      </w:pPr>
    </w:p>
    <w:p>
      <w:pPr>
        <w:pStyle w:val="Heading5"/>
        <w:spacing w:line="275" w:lineRule="exact"/>
        <w:rPr>
          <w:i/>
        </w:rPr>
      </w:pPr>
      <w:r>
        <w:rPr>
          <w:i/>
        </w:rPr>
        <w:t>Increased</w:t>
      </w:r>
      <w:r>
        <w:rPr>
          <w:i/>
          <w:spacing w:val="-5"/>
        </w:rPr>
        <w:t> </w:t>
      </w:r>
      <w:r>
        <w:rPr>
          <w:i/>
        </w:rPr>
        <w:t>provision</w:t>
      </w:r>
      <w:r>
        <w:rPr>
          <w:i/>
          <w:spacing w:val="-5"/>
        </w:rPr>
        <w:t> </w:t>
      </w:r>
      <w:r>
        <w:rPr>
          <w:i/>
        </w:rPr>
        <w:t>of</w:t>
      </w:r>
      <w:r>
        <w:rPr>
          <w:i/>
          <w:spacing w:val="-4"/>
        </w:rPr>
        <w:t> </w:t>
      </w:r>
      <w:r>
        <w:rPr>
          <w:i/>
        </w:rPr>
        <w:t>ambulant</w:t>
      </w:r>
      <w:r>
        <w:rPr>
          <w:i/>
          <w:spacing w:val="-5"/>
        </w:rPr>
        <w:t> </w:t>
      </w:r>
      <w:r>
        <w:rPr>
          <w:i/>
        </w:rPr>
        <w:t>sanitary</w:t>
      </w:r>
      <w:r>
        <w:rPr>
          <w:i/>
          <w:spacing w:val="-4"/>
        </w:rPr>
        <w:t> </w:t>
      </w:r>
      <w:r>
        <w:rPr>
          <w:i/>
          <w:spacing w:val="-2"/>
        </w:rPr>
        <w:t>facilities</w:t>
      </w:r>
    </w:p>
    <w:p>
      <w:pPr>
        <w:pStyle w:val="BodyText"/>
        <w:ind w:left="237" w:right="300"/>
        <w:jc w:val="both"/>
      </w:pPr>
      <w:r>
        <w:rPr/>
        <w:t>Ambulant sanitary facilities for each sex are proposed to be required at each bank of toilets where two or more toilets are provided at that bank. The current requirements for ambulant provisions apply only to Class 10a buildings – essentially, to stand-alone toilet blocks, such as in public parks, caravan parks or camping grounds. Moreover, the ratios are not as stringent as those proposed.</w:t>
      </w:r>
    </w:p>
    <w:p>
      <w:pPr>
        <w:pStyle w:val="BodyText"/>
        <w:rPr>
          <w:sz w:val="20"/>
        </w:rPr>
      </w:pPr>
    </w:p>
    <w:p>
      <w:pPr>
        <w:pStyle w:val="BodyText"/>
        <w:rPr>
          <w:sz w:val="20"/>
        </w:rPr>
      </w:pPr>
    </w:p>
    <w:p>
      <w:pPr>
        <w:pStyle w:val="BodyText"/>
        <w:spacing w:before="3"/>
        <w:rPr>
          <w:sz w:val="25"/>
        </w:rPr>
      </w:pPr>
      <w:r>
        <w:rPr/>
        <w:pict>
          <v:rect style="position:absolute;margin-left:89.879997pt;margin-top:15.728435pt;width:144pt;height:.6pt;mso-position-horizontal-relative:page;mso-position-vertical-relative:paragraph;z-index:-15719424;mso-wrap-distance-left:0;mso-wrap-distance-right:0" id="docshape24" filled="true" fillcolor="#000000" stroked="false">
            <v:fill type="solid"/>
            <w10:wrap type="topAndBottom"/>
          </v:rect>
        </w:pict>
      </w:r>
    </w:p>
    <w:p>
      <w:pPr>
        <w:pStyle w:val="BodyText"/>
        <w:spacing w:before="1"/>
        <w:rPr>
          <w:sz w:val="8"/>
        </w:rPr>
      </w:pPr>
    </w:p>
    <w:p>
      <w:pPr>
        <w:spacing w:before="130"/>
        <w:ind w:left="237" w:right="296" w:firstLine="0"/>
        <w:jc w:val="both"/>
        <w:rPr>
          <w:sz w:val="20"/>
        </w:rPr>
      </w:pPr>
      <w:r>
        <w:rPr>
          <w:sz w:val="20"/>
          <w:vertAlign w:val="superscript"/>
        </w:rPr>
        <w:t>23</w:t>
      </w:r>
      <w:r>
        <w:rPr>
          <w:sz w:val="20"/>
          <w:vertAlign w:val="baseline"/>
        </w:rPr>
        <w:t> According to ABS4430.0 (2004), there are 130,000 wheelchair users in Australia, equal to approximately 0.64% of the population.</w:t>
      </w:r>
      <w:r>
        <w:rPr>
          <w:spacing w:val="40"/>
          <w:sz w:val="20"/>
          <w:vertAlign w:val="baseline"/>
        </w:rPr>
        <w:t> </w:t>
      </w:r>
      <w:r>
        <w:rPr>
          <w:sz w:val="20"/>
          <w:vertAlign w:val="baseline"/>
        </w:rPr>
        <w:t>However, 53,200 of this group (equal to 0.26% of the population) live in private accommodation (i.e. in non-institutional settings).</w:t>
      </w:r>
    </w:p>
    <w:p>
      <w:pPr>
        <w:spacing w:after="0"/>
        <w:jc w:val="both"/>
        <w:rPr>
          <w:sz w:val="20"/>
        </w:rPr>
        <w:sectPr>
          <w:pgSz w:w="12240" w:h="15840"/>
          <w:pgMar w:header="0" w:footer="1140" w:top="1320" w:bottom="1340" w:left="1560" w:right="1500"/>
        </w:sectPr>
      </w:pPr>
    </w:p>
    <w:p>
      <w:pPr>
        <w:pStyle w:val="BodyText"/>
        <w:spacing w:before="77"/>
        <w:ind w:left="237" w:right="299"/>
        <w:jc w:val="both"/>
      </w:pPr>
      <w:r>
        <w:rPr/>
        <w:t>Toilets for people with ambulant disabilities differ from wheelchair accessible toilets in areas such as circulation space, seat pan height and handrail requirements. It is expected that the provision of suitable toilets for this group may have significant benefits since the size of the affected group is extremely large – indeed much larger than the number of wheelchair users. According to</w:t>
      </w:r>
      <w:r>
        <w:rPr>
          <w:spacing w:val="40"/>
        </w:rPr>
        <w:t> </w:t>
      </w:r>
      <w:r>
        <w:rPr/>
        <w:t>the ABS (ABS4430.0 (2004)), 512,400 people use a mobility aid, while only 130,000 of these use a wheelchair. Thus, provision of facilities specifically designed for the needs of this larger group would have potentially large benefits.</w:t>
      </w:r>
    </w:p>
    <w:p>
      <w:pPr>
        <w:pStyle w:val="BodyText"/>
        <w:spacing w:before="1"/>
      </w:pPr>
    </w:p>
    <w:p>
      <w:pPr>
        <w:pStyle w:val="Heading5"/>
        <w:spacing w:line="275" w:lineRule="exact"/>
        <w:rPr>
          <w:i/>
        </w:rPr>
      </w:pPr>
      <w:r>
        <w:rPr>
          <w:i/>
        </w:rPr>
        <w:t>Increased</w:t>
      </w:r>
      <w:r>
        <w:rPr>
          <w:i/>
          <w:spacing w:val="-5"/>
        </w:rPr>
        <w:t> </w:t>
      </w:r>
      <w:r>
        <w:rPr>
          <w:i/>
        </w:rPr>
        <w:t>provision</w:t>
      </w:r>
      <w:r>
        <w:rPr>
          <w:i/>
          <w:spacing w:val="-5"/>
        </w:rPr>
        <w:t> </w:t>
      </w:r>
      <w:r>
        <w:rPr>
          <w:i/>
        </w:rPr>
        <w:t>of</w:t>
      </w:r>
      <w:r>
        <w:rPr>
          <w:i/>
          <w:spacing w:val="-5"/>
        </w:rPr>
        <w:t> </w:t>
      </w:r>
      <w:r>
        <w:rPr>
          <w:i/>
        </w:rPr>
        <w:t>accessible</w:t>
      </w:r>
      <w:r>
        <w:rPr>
          <w:i/>
          <w:spacing w:val="-5"/>
        </w:rPr>
        <w:t> </w:t>
      </w:r>
      <w:r>
        <w:rPr>
          <w:i/>
        </w:rPr>
        <w:t>sanitary</w:t>
      </w:r>
      <w:r>
        <w:rPr>
          <w:i/>
          <w:spacing w:val="-5"/>
        </w:rPr>
        <w:t> </w:t>
      </w:r>
      <w:r>
        <w:rPr>
          <w:i/>
          <w:spacing w:val="-2"/>
        </w:rPr>
        <w:t>facilities</w:t>
      </w:r>
    </w:p>
    <w:p>
      <w:pPr>
        <w:pStyle w:val="BodyText"/>
        <w:ind w:left="237" w:right="299"/>
        <w:jc w:val="both"/>
      </w:pPr>
      <w:r>
        <w:rPr/>
        <w:t>In Class 3, 5, 6, 7, 8 and 9 buildings, it is proposed that all accessible sanitary facilities be required to be unisex and that they be provided on each floor where toilets are provided and at not less than 50% of the banks of toilets where more than one bank is provided on a floor. This can be expected to substantially increase the provision of such facilities, as current requirements are simply that facilities be provided at a ratio of not less than 1 for each 100 required standard </w:t>
      </w:r>
      <w:r>
        <w:rPr>
          <w:spacing w:val="-2"/>
        </w:rPr>
        <w:t>facilities.</w:t>
      </w:r>
    </w:p>
    <w:p>
      <w:pPr>
        <w:pStyle w:val="BodyText"/>
        <w:spacing w:before="11"/>
        <w:rPr>
          <w:sz w:val="23"/>
        </w:rPr>
      </w:pPr>
    </w:p>
    <w:p>
      <w:pPr>
        <w:pStyle w:val="BodyText"/>
        <w:ind w:left="237" w:right="296"/>
        <w:jc w:val="both"/>
      </w:pPr>
      <w:r>
        <w:rPr/>
        <w:t>This change is likely to have substantial convenience benefits for wheelchair users, particularly in relation to the ability to locate and have access to toilet facilities. An important implication of this change is that wheelchair users are less likely to face the current likelihood of having to travel some distance, perhaps from one floor to another distant floor of a building, to find accessible sanitary </w:t>
      </w:r>
      <w:r>
        <w:rPr>
          <w:spacing w:val="-2"/>
        </w:rPr>
        <w:t>facilities.</w:t>
      </w:r>
    </w:p>
    <w:p>
      <w:pPr>
        <w:pStyle w:val="BodyText"/>
        <w:spacing w:before="8"/>
        <w:rPr>
          <w:sz w:val="23"/>
        </w:rPr>
      </w:pPr>
    </w:p>
    <w:p>
      <w:pPr>
        <w:pStyle w:val="BodyText"/>
        <w:ind w:left="237" w:right="300"/>
        <w:jc w:val="both"/>
      </w:pPr>
      <w:r>
        <w:rPr/>
        <w:t>The benefits associated with this change are therefore considered to be </w:t>
      </w:r>
      <w:r>
        <w:rPr>
          <w:spacing w:val="-2"/>
        </w:rPr>
        <w:t>substantial.</w:t>
      </w:r>
    </w:p>
    <w:p>
      <w:pPr>
        <w:pStyle w:val="BodyText"/>
        <w:spacing w:before="3"/>
      </w:pPr>
    </w:p>
    <w:p>
      <w:pPr>
        <w:pStyle w:val="Heading3"/>
        <w:numPr>
          <w:ilvl w:val="2"/>
          <w:numId w:val="15"/>
        </w:numPr>
        <w:tabs>
          <w:tab w:pos="889" w:val="left" w:leader="none"/>
        </w:tabs>
        <w:spacing w:line="297" w:lineRule="exact" w:before="0" w:after="0"/>
        <w:ind w:left="888" w:right="0" w:hanging="652"/>
        <w:jc w:val="both"/>
      </w:pPr>
      <w:bookmarkStart w:name="7.4.3 Qualitative extensions of access r" w:id="58"/>
      <w:bookmarkEnd w:id="58"/>
      <w:r>
        <w:rPr/>
        <w:t>Q</w:t>
      </w:r>
      <w:r>
        <w:rPr/>
        <w:t>ualitative</w:t>
      </w:r>
      <w:r>
        <w:rPr>
          <w:spacing w:val="-10"/>
        </w:rPr>
        <w:t> </w:t>
      </w:r>
      <w:r>
        <w:rPr/>
        <w:t>extensions</w:t>
      </w:r>
      <w:r>
        <w:rPr>
          <w:spacing w:val="-7"/>
        </w:rPr>
        <w:t> </w:t>
      </w:r>
      <w:r>
        <w:rPr/>
        <w:t>of</w:t>
      </w:r>
      <w:r>
        <w:rPr>
          <w:spacing w:val="-7"/>
        </w:rPr>
        <w:t> </w:t>
      </w:r>
      <w:r>
        <w:rPr/>
        <w:t>access</w:t>
      </w:r>
      <w:r>
        <w:rPr>
          <w:spacing w:val="-7"/>
        </w:rPr>
        <w:t> </w:t>
      </w:r>
      <w:r>
        <w:rPr>
          <w:spacing w:val="-2"/>
        </w:rPr>
        <w:t>requirements</w:t>
      </w:r>
    </w:p>
    <w:p>
      <w:pPr>
        <w:pStyle w:val="BodyText"/>
        <w:ind w:left="237" w:right="299"/>
        <w:jc w:val="both"/>
      </w:pPr>
      <w:r>
        <w:rPr/>
        <w:t>Considered</w:t>
      </w:r>
      <w:r>
        <w:rPr/>
        <w:t> under</w:t>
      </w:r>
      <w:r>
        <w:rPr/>
        <w:t> this</w:t>
      </w:r>
      <w:r>
        <w:rPr/>
        <w:t> heading</w:t>
      </w:r>
      <w:r>
        <w:rPr/>
        <w:t> are</w:t>
      </w:r>
      <w:r>
        <w:rPr/>
        <w:t> changes</w:t>
      </w:r>
      <w:r>
        <w:rPr/>
        <w:t> to</w:t>
      </w:r>
      <w:r>
        <w:rPr/>
        <w:t> the</w:t>
      </w:r>
      <w:r>
        <w:rPr/>
        <w:t> BCA</w:t>
      </w:r>
      <w:r>
        <w:rPr/>
        <w:t> in</w:t>
      </w:r>
      <w:r>
        <w:rPr/>
        <w:t> which</w:t>
      </w:r>
      <w:r>
        <w:rPr/>
        <w:t> an</w:t>
      </w:r>
      <w:r>
        <w:rPr/>
        <w:t> existing access</w:t>
      </w:r>
      <w:r>
        <w:rPr/>
        <w:t> requirement</w:t>
      </w:r>
      <w:r>
        <w:rPr/>
        <w:t> is</w:t>
      </w:r>
      <w:r>
        <w:rPr/>
        <w:t> increased</w:t>
      </w:r>
      <w:r>
        <w:rPr/>
        <w:t> in</w:t>
      </w:r>
      <w:r>
        <w:rPr/>
        <w:t> qualitative</w:t>
      </w:r>
      <w:r>
        <w:rPr/>
        <w:t> terms</w:t>
      </w:r>
      <w:r>
        <w:rPr/>
        <w:t> i.e. proposals that would enhance the type of access provided, rather than the quantity of an accessible facility. The main provisions under this heading are extension of access within Class 5, 6, 7b and 8 buildings, provision of passing and turning spaces for wheelchairs, hearing augmentation, limitations on use of ramps, glazing requirements, lifting devices, some sanitary facilities provisions and changes to relevant Australian Standards.</w:t>
      </w:r>
    </w:p>
    <w:p>
      <w:pPr>
        <w:pStyle w:val="BodyText"/>
      </w:pPr>
    </w:p>
    <w:p>
      <w:pPr>
        <w:pStyle w:val="Heading5"/>
        <w:spacing w:line="275" w:lineRule="exact"/>
        <w:rPr>
          <w:i/>
        </w:rPr>
      </w:pPr>
      <w:r>
        <w:rPr>
          <w:i/>
        </w:rPr>
        <w:t>Extension</w:t>
      </w:r>
      <w:r>
        <w:rPr>
          <w:i/>
          <w:spacing w:val="-4"/>
        </w:rPr>
        <w:t> </w:t>
      </w:r>
      <w:r>
        <w:rPr>
          <w:i/>
        </w:rPr>
        <w:t>of</w:t>
      </w:r>
      <w:r>
        <w:rPr>
          <w:i/>
          <w:spacing w:val="-3"/>
        </w:rPr>
        <w:t> </w:t>
      </w:r>
      <w:r>
        <w:rPr>
          <w:i/>
        </w:rPr>
        <w:t>access</w:t>
      </w:r>
      <w:r>
        <w:rPr>
          <w:i/>
          <w:spacing w:val="-3"/>
        </w:rPr>
        <w:t> </w:t>
      </w:r>
      <w:r>
        <w:rPr>
          <w:i/>
        </w:rPr>
        <w:t>within</w:t>
      </w:r>
      <w:r>
        <w:rPr>
          <w:i/>
          <w:spacing w:val="-3"/>
        </w:rPr>
        <w:t> </w:t>
      </w:r>
      <w:r>
        <w:rPr>
          <w:i/>
        </w:rPr>
        <w:t>Class</w:t>
      </w:r>
      <w:r>
        <w:rPr>
          <w:i/>
          <w:spacing w:val="-4"/>
        </w:rPr>
        <w:t> </w:t>
      </w:r>
      <w:r>
        <w:rPr>
          <w:i/>
        </w:rPr>
        <w:t>5,</w:t>
      </w:r>
      <w:r>
        <w:rPr>
          <w:i/>
          <w:spacing w:val="-3"/>
        </w:rPr>
        <w:t> </w:t>
      </w:r>
      <w:r>
        <w:rPr>
          <w:i/>
        </w:rPr>
        <w:t>6,</w:t>
      </w:r>
      <w:r>
        <w:rPr>
          <w:i/>
          <w:spacing w:val="-3"/>
        </w:rPr>
        <w:t> </w:t>
      </w:r>
      <w:r>
        <w:rPr>
          <w:i/>
        </w:rPr>
        <w:t>7b</w:t>
      </w:r>
      <w:r>
        <w:rPr>
          <w:i/>
          <w:spacing w:val="-3"/>
        </w:rPr>
        <w:t> </w:t>
      </w:r>
      <w:r>
        <w:rPr>
          <w:i/>
        </w:rPr>
        <w:t>and</w:t>
      </w:r>
      <w:r>
        <w:rPr>
          <w:i/>
          <w:spacing w:val="-3"/>
        </w:rPr>
        <w:t> </w:t>
      </w:r>
      <w:r>
        <w:rPr>
          <w:i/>
        </w:rPr>
        <w:t>8</w:t>
      </w:r>
      <w:r>
        <w:rPr>
          <w:i/>
          <w:spacing w:val="-4"/>
        </w:rPr>
        <w:t> </w:t>
      </w:r>
      <w:r>
        <w:rPr>
          <w:i/>
          <w:spacing w:val="-2"/>
        </w:rPr>
        <w:t>buildings</w:t>
      </w:r>
    </w:p>
    <w:p>
      <w:pPr>
        <w:pStyle w:val="BodyText"/>
        <w:ind w:left="237" w:right="294"/>
        <w:jc w:val="both"/>
      </w:pPr>
      <w:r>
        <w:rPr/>
        <w:t>Access requirements are proposed to be extended to include all levels within each of these classes of building (these are offices, shops, restaurants, bars, cafes, wholesale premises and factories). The current accessibility requirements for these classes of buildings are limited to the entrance level and those levels served by lifts or ramps.</w:t>
      </w:r>
    </w:p>
    <w:p>
      <w:pPr>
        <w:spacing w:after="0"/>
        <w:jc w:val="both"/>
        <w:sectPr>
          <w:pgSz w:w="12240" w:h="15840"/>
          <w:pgMar w:header="0" w:footer="1140" w:top="1360" w:bottom="1340" w:left="1560" w:right="1500"/>
        </w:sectPr>
      </w:pPr>
    </w:p>
    <w:p>
      <w:pPr>
        <w:pStyle w:val="BodyText"/>
        <w:spacing w:before="77"/>
        <w:ind w:left="237" w:right="295"/>
        <w:jc w:val="both"/>
      </w:pPr>
      <w:r>
        <w:rPr/>
        <w:t>This change would have the effect of substantially expanding the extent of</w:t>
      </w:r>
      <w:r>
        <w:rPr>
          <w:spacing w:val="40"/>
        </w:rPr>
        <w:t> </w:t>
      </w:r>
      <w:r>
        <w:rPr/>
        <w:t>access to buildings within these classes. Key areas in which this would yield important benefits are:</w:t>
      </w:r>
    </w:p>
    <w:p>
      <w:pPr>
        <w:pStyle w:val="BodyText"/>
        <w:spacing w:before="8"/>
        <w:rPr>
          <w:sz w:val="23"/>
        </w:rPr>
      </w:pPr>
    </w:p>
    <w:p>
      <w:pPr>
        <w:pStyle w:val="ListParagraph"/>
        <w:numPr>
          <w:ilvl w:val="3"/>
          <w:numId w:val="15"/>
        </w:numPr>
        <w:tabs>
          <w:tab w:pos="957" w:val="left" w:leader="none"/>
          <w:tab w:pos="958" w:val="left" w:leader="none"/>
        </w:tabs>
        <w:spacing w:line="240" w:lineRule="auto" w:before="0" w:after="0"/>
        <w:ind w:left="957" w:right="294" w:hanging="360"/>
        <w:jc w:val="left"/>
        <w:rPr>
          <w:sz w:val="24"/>
        </w:rPr>
      </w:pPr>
      <w:r>
        <w:rPr>
          <w:sz w:val="24"/>
        </w:rPr>
        <w:t>Increased</w:t>
      </w:r>
      <w:r>
        <w:rPr>
          <w:spacing w:val="37"/>
          <w:sz w:val="24"/>
        </w:rPr>
        <w:t> </w:t>
      </w:r>
      <w:r>
        <w:rPr>
          <w:sz w:val="24"/>
        </w:rPr>
        <w:t>leisure</w:t>
      </w:r>
      <w:r>
        <w:rPr>
          <w:spacing w:val="37"/>
          <w:sz w:val="24"/>
        </w:rPr>
        <w:t> </w:t>
      </w:r>
      <w:r>
        <w:rPr>
          <w:sz w:val="24"/>
        </w:rPr>
        <w:t>opportunities</w:t>
      </w:r>
      <w:r>
        <w:rPr>
          <w:spacing w:val="37"/>
          <w:sz w:val="24"/>
        </w:rPr>
        <w:t> </w:t>
      </w:r>
      <w:r>
        <w:rPr>
          <w:sz w:val="24"/>
        </w:rPr>
        <w:t>by</w:t>
      </w:r>
      <w:r>
        <w:rPr>
          <w:spacing w:val="39"/>
          <w:sz w:val="24"/>
        </w:rPr>
        <w:t> </w:t>
      </w:r>
      <w:r>
        <w:rPr>
          <w:sz w:val="24"/>
        </w:rPr>
        <w:t>making</w:t>
      </w:r>
      <w:r>
        <w:rPr>
          <w:spacing w:val="38"/>
          <w:sz w:val="24"/>
        </w:rPr>
        <w:t> </w:t>
      </w:r>
      <w:r>
        <w:rPr>
          <w:sz w:val="24"/>
        </w:rPr>
        <w:t>a</w:t>
      </w:r>
      <w:r>
        <w:rPr>
          <w:spacing w:val="37"/>
          <w:sz w:val="24"/>
        </w:rPr>
        <w:t> </w:t>
      </w:r>
      <w:r>
        <w:rPr>
          <w:sz w:val="24"/>
        </w:rPr>
        <w:t>wider</w:t>
      </w:r>
      <w:r>
        <w:rPr>
          <w:spacing w:val="37"/>
          <w:sz w:val="24"/>
        </w:rPr>
        <w:t> </w:t>
      </w:r>
      <w:r>
        <w:rPr>
          <w:sz w:val="24"/>
        </w:rPr>
        <w:t>range</w:t>
      </w:r>
      <w:r>
        <w:rPr>
          <w:spacing w:val="38"/>
          <w:sz w:val="24"/>
        </w:rPr>
        <w:t> </w:t>
      </w:r>
      <w:r>
        <w:rPr>
          <w:sz w:val="24"/>
        </w:rPr>
        <w:t>of</w:t>
      </w:r>
      <w:r>
        <w:rPr>
          <w:spacing w:val="37"/>
          <w:sz w:val="24"/>
        </w:rPr>
        <w:t> </w:t>
      </w:r>
      <w:r>
        <w:rPr>
          <w:sz w:val="24"/>
        </w:rPr>
        <w:t>restaurants, bars, cafes etc accessible; and</w:t>
      </w:r>
    </w:p>
    <w:p>
      <w:pPr>
        <w:pStyle w:val="ListParagraph"/>
        <w:numPr>
          <w:ilvl w:val="3"/>
          <w:numId w:val="15"/>
        </w:numPr>
        <w:tabs>
          <w:tab w:pos="957" w:val="left" w:leader="none"/>
          <w:tab w:pos="958" w:val="left" w:leader="none"/>
          <w:tab w:pos="2158" w:val="left" w:leader="none"/>
          <w:tab w:pos="3664" w:val="left" w:leader="none"/>
          <w:tab w:pos="5307" w:val="left" w:leader="none"/>
          <w:tab w:pos="5762" w:val="left" w:leader="none"/>
          <w:tab w:pos="6735" w:val="left" w:leader="none"/>
          <w:tab w:pos="7442" w:val="left" w:leader="none"/>
          <w:tab w:pos="8337" w:val="left" w:leader="none"/>
        </w:tabs>
        <w:spacing w:line="237" w:lineRule="auto" w:before="1" w:after="0"/>
        <w:ind w:left="957" w:right="294" w:hanging="360"/>
        <w:jc w:val="left"/>
        <w:rPr>
          <w:sz w:val="24"/>
        </w:rPr>
      </w:pPr>
      <w:r>
        <w:rPr>
          <w:spacing w:val="-2"/>
          <w:sz w:val="24"/>
        </w:rPr>
        <w:t>Improved</w:t>
      </w:r>
      <w:r>
        <w:rPr>
          <w:sz w:val="24"/>
        </w:rPr>
        <w:tab/>
      </w:r>
      <w:r>
        <w:rPr>
          <w:spacing w:val="-2"/>
          <w:sz w:val="24"/>
        </w:rPr>
        <w:t>employment</w:t>
      </w:r>
      <w:r>
        <w:rPr>
          <w:sz w:val="24"/>
        </w:rPr>
        <w:tab/>
      </w:r>
      <w:r>
        <w:rPr>
          <w:spacing w:val="-2"/>
          <w:sz w:val="24"/>
        </w:rPr>
        <w:t>opportunities,</w:t>
      </w:r>
      <w:r>
        <w:rPr>
          <w:sz w:val="24"/>
        </w:rPr>
        <w:tab/>
      </w:r>
      <w:r>
        <w:rPr>
          <w:spacing w:val="-6"/>
          <w:sz w:val="24"/>
        </w:rPr>
        <w:t>by</w:t>
      </w:r>
      <w:r>
        <w:rPr>
          <w:sz w:val="24"/>
        </w:rPr>
        <w:tab/>
      </w:r>
      <w:r>
        <w:rPr>
          <w:spacing w:val="-2"/>
          <w:sz w:val="24"/>
        </w:rPr>
        <w:t>making</w:t>
      </w:r>
      <w:r>
        <w:rPr>
          <w:sz w:val="24"/>
        </w:rPr>
        <w:tab/>
      </w:r>
      <w:r>
        <w:rPr>
          <w:spacing w:val="-4"/>
          <w:sz w:val="24"/>
        </w:rPr>
        <w:t>work</w:t>
      </w:r>
      <w:r>
        <w:rPr>
          <w:sz w:val="24"/>
        </w:rPr>
        <w:tab/>
      </w:r>
      <w:r>
        <w:rPr>
          <w:spacing w:val="-2"/>
          <w:sz w:val="24"/>
        </w:rPr>
        <w:t>places</w:t>
      </w:r>
      <w:r>
        <w:rPr>
          <w:sz w:val="24"/>
        </w:rPr>
        <w:tab/>
      </w:r>
      <w:r>
        <w:rPr>
          <w:spacing w:val="-4"/>
          <w:sz w:val="24"/>
        </w:rPr>
        <w:t>more</w:t>
      </w:r>
      <w:r>
        <w:rPr>
          <w:spacing w:val="-4"/>
          <w:sz w:val="24"/>
        </w:rPr>
        <w:t> </w:t>
      </w:r>
      <w:r>
        <w:rPr>
          <w:spacing w:val="-2"/>
          <w:sz w:val="24"/>
        </w:rPr>
        <w:t>accessible.</w:t>
      </w:r>
    </w:p>
    <w:p>
      <w:pPr>
        <w:pStyle w:val="BodyText"/>
        <w:spacing w:before="1"/>
      </w:pPr>
    </w:p>
    <w:p>
      <w:pPr>
        <w:pStyle w:val="BodyText"/>
        <w:ind w:left="237" w:right="294"/>
        <w:jc w:val="both"/>
      </w:pPr>
      <w:r>
        <w:rPr/>
        <w:t>The major areas in which the proposed changes would have an effect would be</w:t>
      </w:r>
      <w:r>
        <w:rPr>
          <w:spacing w:val="40"/>
        </w:rPr>
        <w:t> </w:t>
      </w:r>
      <w:r>
        <w:rPr/>
        <w:t>in relation to smaller (usually two or three storey) “walk up” buildings that would not, for the most part, currently be designed with lifts or ramps.</w:t>
      </w:r>
      <w:r>
        <w:rPr>
          <w:spacing w:val="40"/>
        </w:rPr>
        <w:t> </w:t>
      </w:r>
      <w:r>
        <w:rPr/>
        <w:t>Under the 2008 proposal there were exemptions for access to the upper levels of certain small buildings.</w:t>
      </w:r>
      <w:r>
        <w:rPr>
          <w:spacing w:val="40"/>
        </w:rPr>
        <w:t> </w:t>
      </w:r>
      <w:r>
        <w:rPr/>
        <w:t>Access</w:t>
      </w:r>
      <w:r>
        <w:rPr>
          <w:spacing w:val="-1"/>
        </w:rPr>
        <w:t> </w:t>
      </w:r>
      <w:r>
        <w:rPr/>
        <w:t>would</w:t>
      </w:r>
      <w:r>
        <w:rPr>
          <w:spacing w:val="-1"/>
        </w:rPr>
        <w:t> </w:t>
      </w:r>
      <w:r>
        <w:rPr/>
        <w:t>not</w:t>
      </w:r>
      <w:r>
        <w:rPr>
          <w:spacing w:val="-2"/>
        </w:rPr>
        <w:t> </w:t>
      </w:r>
      <w:r>
        <w:rPr/>
        <w:t>need</w:t>
      </w:r>
      <w:r>
        <w:rPr>
          <w:spacing w:val="-2"/>
        </w:rPr>
        <w:t> </w:t>
      </w:r>
      <w:r>
        <w:rPr/>
        <w:t>to</w:t>
      </w:r>
      <w:r>
        <w:rPr>
          <w:spacing w:val="-1"/>
        </w:rPr>
        <w:t> </w:t>
      </w:r>
      <w:r>
        <w:rPr/>
        <w:t>be</w:t>
      </w:r>
      <w:r>
        <w:rPr>
          <w:spacing w:val="-2"/>
        </w:rPr>
        <w:t> </w:t>
      </w:r>
      <w:r>
        <w:rPr/>
        <w:t>provided</w:t>
      </w:r>
      <w:r>
        <w:rPr>
          <w:spacing w:val="-2"/>
        </w:rPr>
        <w:t> </w:t>
      </w:r>
      <w:r>
        <w:rPr/>
        <w:t>to</w:t>
      </w:r>
      <w:r>
        <w:rPr>
          <w:spacing w:val="-1"/>
        </w:rPr>
        <w:t> </w:t>
      </w:r>
      <w:r>
        <w:rPr/>
        <w:t>upper</w:t>
      </w:r>
      <w:r>
        <w:rPr>
          <w:spacing w:val="-1"/>
        </w:rPr>
        <w:t> </w:t>
      </w:r>
      <w:r>
        <w:rPr/>
        <w:t>levels</w:t>
      </w:r>
      <w:r>
        <w:rPr>
          <w:spacing w:val="-2"/>
        </w:rPr>
        <w:t> </w:t>
      </w:r>
      <w:r>
        <w:rPr/>
        <w:t>of</w:t>
      </w:r>
      <w:r>
        <w:rPr>
          <w:spacing w:val="-2"/>
        </w:rPr>
        <w:t> </w:t>
      </w:r>
      <w:r>
        <w:rPr/>
        <w:t>a</w:t>
      </w:r>
      <w:r>
        <w:rPr>
          <w:spacing w:val="-2"/>
        </w:rPr>
        <w:t> </w:t>
      </w:r>
      <w:r>
        <w:rPr/>
        <w:t>two</w:t>
      </w:r>
      <w:r>
        <w:rPr>
          <w:spacing w:val="-1"/>
        </w:rPr>
        <w:t> </w:t>
      </w:r>
      <w:r>
        <w:rPr/>
        <w:t>or</w:t>
      </w:r>
      <w:r>
        <w:rPr>
          <w:spacing w:val="-2"/>
        </w:rPr>
        <w:t> </w:t>
      </w:r>
      <w:r>
        <w:rPr/>
        <w:t>three storey building if the individual floor areas of the upper floors is less than 200m</w:t>
      </w:r>
      <w:r>
        <w:rPr>
          <w:vertAlign w:val="superscript"/>
        </w:rPr>
        <w:t>2</w:t>
      </w:r>
      <w:r>
        <w:rPr>
          <w:vertAlign w:val="baseline"/>
        </w:rPr>
        <w:t>. This exemption was not part of the original proposal and was added in</w:t>
      </w:r>
      <w:r>
        <w:rPr>
          <w:spacing w:val="40"/>
          <w:vertAlign w:val="baseline"/>
        </w:rPr>
        <w:t> </w:t>
      </w:r>
      <w:r>
        <w:rPr>
          <w:vertAlign w:val="baseline"/>
        </w:rPr>
        <w:t>recognition of the potential for disproportionate cost impacts to be incurred in these small buildings, principally as a result of providing access to upper levels.</w:t>
      </w:r>
    </w:p>
    <w:p>
      <w:pPr>
        <w:pStyle w:val="BodyText"/>
      </w:pPr>
    </w:p>
    <w:p>
      <w:pPr>
        <w:pStyle w:val="BodyText"/>
        <w:ind w:left="237" w:right="300"/>
        <w:jc w:val="both"/>
      </w:pPr>
      <w:r>
        <w:rPr/>
        <w:t>The 2008 change implied that the expected benefits associated with these provisions of the Standards will be somewhat smaller than initially estimated. Nonetheless, there will be substantial benefits arising from the improved accessibility of upper levels of Class 5 – 8 buildings.</w:t>
      </w:r>
      <w:r>
        <w:rPr>
          <w:spacing w:val="80"/>
        </w:rPr>
        <w:t> </w:t>
      </w:r>
      <w:r>
        <w:rPr/>
        <w:t>Thus, the size of the benefits associated with this provision is considered to be moderate to substantial. It also needs to be noted that, under the proposed 2009 amendments, the exemptions have been limited to the provision of lift or ramp access</w:t>
      </w:r>
      <w:r>
        <w:rPr>
          <w:spacing w:val="-2"/>
        </w:rPr>
        <w:t> </w:t>
      </w:r>
      <w:r>
        <w:rPr/>
        <w:t>between</w:t>
      </w:r>
      <w:r>
        <w:rPr>
          <w:spacing w:val="-2"/>
        </w:rPr>
        <w:t> </w:t>
      </w:r>
      <w:r>
        <w:rPr/>
        <w:t>floors.</w:t>
      </w:r>
      <w:r>
        <w:rPr>
          <w:spacing w:val="-1"/>
        </w:rPr>
        <w:t> </w:t>
      </w:r>
      <w:r>
        <w:rPr/>
        <w:t>Expected</w:t>
      </w:r>
      <w:r>
        <w:rPr>
          <w:spacing w:val="-1"/>
        </w:rPr>
        <w:t> </w:t>
      </w:r>
      <w:r>
        <w:rPr/>
        <w:t>changes</w:t>
      </w:r>
      <w:r>
        <w:rPr>
          <w:spacing w:val="-1"/>
        </w:rPr>
        <w:t> </w:t>
      </w:r>
      <w:r>
        <w:rPr/>
        <w:t>in impacts</w:t>
      </w:r>
      <w:r>
        <w:rPr>
          <w:spacing w:val="-1"/>
        </w:rPr>
        <w:t> </w:t>
      </w:r>
      <w:r>
        <w:rPr/>
        <w:t>associated</w:t>
      </w:r>
      <w:r>
        <w:rPr>
          <w:spacing w:val="-1"/>
        </w:rPr>
        <w:t> </w:t>
      </w:r>
      <w:r>
        <w:rPr/>
        <w:t>with</w:t>
      </w:r>
      <w:r>
        <w:rPr>
          <w:spacing w:val="-1"/>
        </w:rPr>
        <w:t> </w:t>
      </w:r>
      <w:r>
        <w:rPr/>
        <w:t>these</w:t>
      </w:r>
      <w:r>
        <w:rPr>
          <w:spacing w:val="-1"/>
        </w:rPr>
        <w:t> </w:t>
      </w:r>
      <w:r>
        <w:rPr/>
        <w:t>more recent changes are discussed further in Appendix D.</w:t>
      </w:r>
    </w:p>
    <w:p>
      <w:pPr>
        <w:pStyle w:val="BodyText"/>
        <w:spacing w:before="1"/>
      </w:pPr>
    </w:p>
    <w:p>
      <w:pPr>
        <w:pStyle w:val="Heading5"/>
        <w:spacing w:line="275" w:lineRule="exact"/>
        <w:rPr>
          <w:i/>
        </w:rPr>
      </w:pPr>
      <w:r>
        <w:rPr>
          <w:i/>
        </w:rPr>
        <w:t>Provision</w:t>
      </w:r>
      <w:r>
        <w:rPr>
          <w:i/>
          <w:spacing w:val="-4"/>
        </w:rPr>
        <w:t> </w:t>
      </w:r>
      <w:r>
        <w:rPr>
          <w:i/>
        </w:rPr>
        <w:t>of</w:t>
      </w:r>
      <w:r>
        <w:rPr>
          <w:i/>
          <w:spacing w:val="-3"/>
        </w:rPr>
        <w:t> </w:t>
      </w:r>
      <w:r>
        <w:rPr>
          <w:i/>
        </w:rPr>
        <w:t>passing</w:t>
      </w:r>
      <w:r>
        <w:rPr>
          <w:i/>
          <w:spacing w:val="-3"/>
        </w:rPr>
        <w:t> </w:t>
      </w:r>
      <w:r>
        <w:rPr>
          <w:i/>
        </w:rPr>
        <w:t>and</w:t>
      </w:r>
      <w:r>
        <w:rPr>
          <w:i/>
          <w:spacing w:val="-4"/>
        </w:rPr>
        <w:t> </w:t>
      </w:r>
      <w:r>
        <w:rPr>
          <w:i/>
        </w:rPr>
        <w:t>turning</w:t>
      </w:r>
      <w:r>
        <w:rPr>
          <w:i/>
          <w:spacing w:val="-3"/>
        </w:rPr>
        <w:t> </w:t>
      </w:r>
      <w:r>
        <w:rPr>
          <w:i/>
        </w:rPr>
        <w:t>spaces</w:t>
      </w:r>
      <w:r>
        <w:rPr>
          <w:i/>
          <w:spacing w:val="-3"/>
        </w:rPr>
        <w:t> </w:t>
      </w:r>
      <w:r>
        <w:rPr>
          <w:i/>
        </w:rPr>
        <w:t>for</w:t>
      </w:r>
      <w:r>
        <w:rPr>
          <w:i/>
          <w:spacing w:val="-3"/>
        </w:rPr>
        <w:t> </w:t>
      </w:r>
      <w:r>
        <w:rPr>
          <w:i/>
          <w:spacing w:val="-2"/>
        </w:rPr>
        <w:t>wheelchairs</w:t>
      </w:r>
    </w:p>
    <w:p>
      <w:pPr>
        <w:pStyle w:val="BodyText"/>
        <w:ind w:left="237" w:right="300"/>
        <w:jc w:val="both"/>
      </w:pPr>
      <w:r>
        <w:rPr/>
        <w:t>The provision of passing and turning spaces for wheelchairs in buildings is a new inclusion in the BCA. This requirement will apply to all buildings to which access is required (see Clause D3.3 &amp; AS 1428.1). Passing spaces must be provided at maximum 20 metre intervals wherever a line of sight is not available along an accessway and turning spaces at 20 metre intervals.</w:t>
      </w:r>
      <w:r>
        <w:rPr>
          <w:spacing w:val="40"/>
        </w:rPr>
        <w:t> </w:t>
      </w:r>
      <w:r>
        <w:rPr/>
        <w:t>Turning spaces must also be provided within two metres of the end of an accessway if it is not possible to continue travel along the accessway.</w:t>
      </w:r>
      <w:r>
        <w:rPr>
          <w:spacing w:val="40"/>
        </w:rPr>
        <w:t> </w:t>
      </w:r>
      <w:r>
        <w:rPr/>
        <w:t>Passing/turning spaces would need to be provided whenever an accessway was less than 1800mm wide. A passing space can be used as a turning space.</w:t>
      </w:r>
    </w:p>
    <w:p>
      <w:pPr>
        <w:pStyle w:val="BodyText"/>
      </w:pPr>
    </w:p>
    <w:p>
      <w:pPr>
        <w:pStyle w:val="BodyText"/>
        <w:ind w:left="237" w:right="300"/>
        <w:jc w:val="both"/>
      </w:pPr>
      <w:r>
        <w:rPr/>
        <w:t>The provision of passing spaces provides important benefits of convenience, safety and dignity by ensuring that wheelchair users are not required to reverse for substantial distances in the event of meeting another wheelchair user or another vehicle (trolley etc) on a path of travel.</w:t>
      </w:r>
    </w:p>
    <w:p>
      <w:pPr>
        <w:spacing w:after="0"/>
        <w:jc w:val="both"/>
        <w:sectPr>
          <w:pgSz w:w="12240" w:h="15840"/>
          <w:pgMar w:header="0" w:footer="1140" w:top="1360" w:bottom="1340" w:left="1560" w:right="1500"/>
        </w:sectPr>
      </w:pPr>
    </w:p>
    <w:p>
      <w:pPr>
        <w:pStyle w:val="BodyText"/>
        <w:spacing w:before="77"/>
        <w:ind w:left="237" w:right="300"/>
        <w:jc w:val="both"/>
      </w:pPr>
      <w:r>
        <w:rPr/>
        <w:t>It is expected that the need for such passing spaces would be met in practice as a</w:t>
      </w:r>
      <w:r>
        <w:rPr>
          <w:spacing w:val="-2"/>
        </w:rPr>
        <w:t> </w:t>
      </w:r>
      <w:r>
        <w:rPr/>
        <w:t>result</w:t>
      </w:r>
      <w:r>
        <w:rPr>
          <w:spacing w:val="-2"/>
        </w:rPr>
        <w:t> </w:t>
      </w:r>
      <w:r>
        <w:rPr/>
        <w:t>of</w:t>
      </w:r>
      <w:r>
        <w:rPr>
          <w:spacing w:val="-2"/>
        </w:rPr>
        <w:t> </w:t>
      </w:r>
      <w:r>
        <w:rPr/>
        <w:t>other</w:t>
      </w:r>
      <w:r>
        <w:rPr>
          <w:spacing w:val="-2"/>
        </w:rPr>
        <w:t> </w:t>
      </w:r>
      <w:r>
        <w:rPr/>
        <w:t>BCA</w:t>
      </w:r>
      <w:r>
        <w:rPr>
          <w:spacing w:val="-2"/>
        </w:rPr>
        <w:t> </w:t>
      </w:r>
      <w:r>
        <w:rPr/>
        <w:t>requirements,</w:t>
      </w:r>
      <w:r>
        <w:rPr>
          <w:spacing w:val="-2"/>
        </w:rPr>
        <w:t> </w:t>
      </w:r>
      <w:r>
        <w:rPr/>
        <w:t>as</w:t>
      </w:r>
      <w:r>
        <w:rPr>
          <w:spacing w:val="-1"/>
        </w:rPr>
        <w:t> </w:t>
      </w:r>
      <w:r>
        <w:rPr/>
        <w:t>well</w:t>
      </w:r>
      <w:r>
        <w:rPr>
          <w:spacing w:val="-1"/>
        </w:rPr>
        <w:t> </w:t>
      </w:r>
      <w:r>
        <w:rPr/>
        <w:t>as</w:t>
      </w:r>
      <w:r>
        <w:rPr>
          <w:spacing w:val="-1"/>
        </w:rPr>
        <w:t> </w:t>
      </w:r>
      <w:r>
        <w:rPr/>
        <w:t>general</w:t>
      </w:r>
      <w:r>
        <w:rPr>
          <w:spacing w:val="-1"/>
        </w:rPr>
        <w:t> </w:t>
      </w:r>
      <w:r>
        <w:rPr/>
        <w:t>“good</w:t>
      </w:r>
      <w:r>
        <w:rPr>
          <w:spacing w:val="-1"/>
        </w:rPr>
        <w:t> </w:t>
      </w:r>
      <w:r>
        <w:rPr/>
        <w:t>design”</w:t>
      </w:r>
      <w:r>
        <w:rPr>
          <w:spacing w:val="-2"/>
        </w:rPr>
        <w:t> </w:t>
      </w:r>
      <w:r>
        <w:rPr/>
        <w:t>criteria</w:t>
      </w:r>
      <w:r>
        <w:rPr>
          <w:spacing w:val="-2"/>
        </w:rPr>
        <w:t> </w:t>
      </w:r>
      <w:r>
        <w:rPr/>
        <w:t>–</w:t>
      </w:r>
      <w:r>
        <w:rPr>
          <w:spacing w:val="-2"/>
        </w:rPr>
        <w:t> </w:t>
      </w:r>
      <w:r>
        <w:rPr/>
        <w:t>for example, long unbroken corridors are generally avoided as being wastes of space. Thus, there was some question as to whether a specific regulatory requirement was needed in this respect.</w:t>
      </w:r>
    </w:p>
    <w:p>
      <w:pPr>
        <w:pStyle w:val="BodyText"/>
      </w:pPr>
    </w:p>
    <w:p>
      <w:pPr>
        <w:pStyle w:val="BodyText"/>
        <w:ind w:left="237" w:right="299"/>
        <w:jc w:val="both"/>
      </w:pPr>
      <w:r>
        <w:rPr/>
        <w:t>In</w:t>
      </w:r>
      <w:r>
        <w:rPr>
          <w:spacing w:val="-2"/>
        </w:rPr>
        <w:t> </w:t>
      </w:r>
      <w:r>
        <w:rPr/>
        <w:t>this</w:t>
      </w:r>
      <w:r>
        <w:rPr>
          <w:spacing w:val="-2"/>
        </w:rPr>
        <w:t> </w:t>
      </w:r>
      <w:r>
        <w:rPr/>
        <w:t>context,</w:t>
      </w:r>
      <w:r>
        <w:rPr>
          <w:spacing w:val="-2"/>
        </w:rPr>
        <w:t> </w:t>
      </w:r>
      <w:r>
        <w:rPr/>
        <w:t>the</w:t>
      </w:r>
      <w:r>
        <w:rPr>
          <w:spacing w:val="-2"/>
        </w:rPr>
        <w:t> </w:t>
      </w:r>
      <w:r>
        <w:rPr/>
        <w:t>key</w:t>
      </w:r>
      <w:r>
        <w:rPr>
          <w:spacing w:val="-2"/>
        </w:rPr>
        <w:t> </w:t>
      </w:r>
      <w:r>
        <w:rPr/>
        <w:t>benefit</w:t>
      </w:r>
      <w:r>
        <w:rPr>
          <w:spacing w:val="-2"/>
        </w:rPr>
        <w:t> </w:t>
      </w:r>
      <w:r>
        <w:rPr/>
        <w:t>that</w:t>
      </w:r>
      <w:r>
        <w:rPr>
          <w:spacing w:val="-2"/>
        </w:rPr>
        <w:t> </w:t>
      </w:r>
      <w:r>
        <w:rPr/>
        <w:t>is</w:t>
      </w:r>
      <w:r>
        <w:rPr>
          <w:spacing w:val="-2"/>
        </w:rPr>
        <w:t> </w:t>
      </w:r>
      <w:r>
        <w:rPr/>
        <w:t>expected</w:t>
      </w:r>
      <w:r>
        <w:rPr>
          <w:spacing w:val="-2"/>
        </w:rPr>
        <w:t> </w:t>
      </w:r>
      <w:r>
        <w:rPr/>
        <w:t>to</w:t>
      </w:r>
      <w:r>
        <w:rPr>
          <w:spacing w:val="-2"/>
        </w:rPr>
        <w:t> </w:t>
      </w:r>
      <w:r>
        <w:rPr/>
        <w:t>derive</w:t>
      </w:r>
      <w:r>
        <w:rPr>
          <w:spacing w:val="-2"/>
        </w:rPr>
        <w:t> </w:t>
      </w:r>
      <w:r>
        <w:rPr/>
        <w:t>from</w:t>
      </w:r>
      <w:r>
        <w:rPr>
          <w:spacing w:val="-2"/>
        </w:rPr>
        <w:t> </w:t>
      </w:r>
      <w:r>
        <w:rPr/>
        <w:t>this</w:t>
      </w:r>
      <w:r>
        <w:rPr>
          <w:spacing w:val="-2"/>
        </w:rPr>
        <w:t> </w:t>
      </w:r>
      <w:r>
        <w:rPr/>
        <w:t>provision</w:t>
      </w:r>
      <w:r>
        <w:rPr>
          <w:spacing w:val="-2"/>
        </w:rPr>
        <w:t> </w:t>
      </w:r>
      <w:r>
        <w:rPr/>
        <w:t>is</w:t>
      </w:r>
      <w:r>
        <w:rPr>
          <w:spacing w:val="-1"/>
        </w:rPr>
        <w:t> </w:t>
      </w:r>
      <w:r>
        <w:rPr/>
        <w:t>that it provides certainty that appropriate facilities will be provided in all cases. However, given that the provision will apply to a wide range of buildings, the probable impact can be assessed as moderate in size.</w:t>
      </w:r>
    </w:p>
    <w:p>
      <w:pPr>
        <w:pStyle w:val="BodyText"/>
        <w:spacing w:before="1"/>
      </w:pPr>
    </w:p>
    <w:p>
      <w:pPr>
        <w:pStyle w:val="Heading5"/>
        <w:spacing w:line="275" w:lineRule="exact"/>
        <w:rPr>
          <w:i/>
        </w:rPr>
      </w:pPr>
      <w:r>
        <w:rPr>
          <w:i/>
        </w:rPr>
        <w:t>Hearing</w:t>
      </w:r>
      <w:r>
        <w:rPr>
          <w:i/>
          <w:spacing w:val="-16"/>
        </w:rPr>
        <w:t> </w:t>
      </w:r>
      <w:r>
        <w:rPr>
          <w:i/>
          <w:spacing w:val="-2"/>
        </w:rPr>
        <w:t>augmentation</w:t>
      </w:r>
    </w:p>
    <w:p>
      <w:pPr>
        <w:pStyle w:val="BodyText"/>
        <w:ind w:left="237" w:right="301"/>
        <w:jc w:val="both"/>
      </w:pPr>
      <w:r>
        <w:rPr/>
        <w:t>The current requirements for hearing augmentation are to be extended to cover more areas within buildings and to prescribe more precisely what forms of hearing augmentation may be used.</w:t>
      </w:r>
    </w:p>
    <w:p>
      <w:pPr>
        <w:pStyle w:val="BodyText"/>
        <w:spacing w:before="7"/>
        <w:rPr>
          <w:sz w:val="23"/>
        </w:rPr>
      </w:pPr>
    </w:p>
    <w:p>
      <w:pPr>
        <w:pStyle w:val="BodyText"/>
        <w:ind w:left="237"/>
        <w:jc w:val="both"/>
      </w:pPr>
      <w:r>
        <w:rPr/>
        <w:t>The</w:t>
      </w:r>
      <w:r>
        <w:rPr>
          <w:spacing w:val="9"/>
        </w:rPr>
        <w:t> </w:t>
      </w:r>
      <w:r>
        <w:rPr/>
        <w:t>proposed</w:t>
      </w:r>
      <w:r>
        <w:rPr>
          <w:spacing w:val="10"/>
        </w:rPr>
        <w:t> </w:t>
      </w:r>
      <w:r>
        <w:rPr/>
        <w:t>expansions</w:t>
      </w:r>
      <w:r>
        <w:rPr>
          <w:spacing w:val="9"/>
        </w:rPr>
        <w:t> </w:t>
      </w:r>
      <w:r>
        <w:rPr/>
        <w:t>in</w:t>
      </w:r>
      <w:r>
        <w:rPr>
          <w:spacing w:val="10"/>
        </w:rPr>
        <w:t> </w:t>
      </w:r>
      <w:r>
        <w:rPr/>
        <w:t>minimum</w:t>
      </w:r>
      <w:r>
        <w:rPr>
          <w:spacing w:val="9"/>
        </w:rPr>
        <w:t> </w:t>
      </w:r>
      <w:r>
        <w:rPr/>
        <w:t>requirements</w:t>
      </w:r>
      <w:r>
        <w:rPr>
          <w:spacing w:val="10"/>
        </w:rPr>
        <w:t> </w:t>
      </w:r>
      <w:r>
        <w:rPr/>
        <w:t>–</w:t>
      </w:r>
      <w:r>
        <w:rPr>
          <w:spacing w:val="9"/>
        </w:rPr>
        <w:t> </w:t>
      </w:r>
      <w:r>
        <w:rPr/>
        <w:t>in</w:t>
      </w:r>
      <w:r>
        <w:rPr>
          <w:spacing w:val="10"/>
        </w:rPr>
        <w:t> </w:t>
      </w:r>
      <w:r>
        <w:rPr/>
        <w:t>terms</w:t>
      </w:r>
      <w:r>
        <w:rPr>
          <w:spacing w:val="9"/>
        </w:rPr>
        <w:t> </w:t>
      </w:r>
      <w:r>
        <w:rPr/>
        <w:t>of</w:t>
      </w:r>
      <w:r>
        <w:rPr>
          <w:spacing w:val="10"/>
        </w:rPr>
        <w:t> </w:t>
      </w:r>
      <w:r>
        <w:rPr/>
        <w:t>areas</w:t>
      </w:r>
      <w:r>
        <w:rPr>
          <w:spacing w:val="9"/>
        </w:rPr>
        <w:t> </w:t>
      </w:r>
      <w:r>
        <w:rPr>
          <w:spacing w:val="-2"/>
        </w:rPr>
        <w:t>covered</w:t>
      </w:r>
    </w:p>
    <w:p>
      <w:pPr>
        <w:pStyle w:val="BodyText"/>
        <w:ind w:left="237" w:right="293"/>
        <w:jc w:val="both"/>
      </w:pPr>
      <w:r>
        <w:rPr/>
        <w:t>–</w:t>
      </w:r>
      <w:r>
        <w:rPr>
          <w:spacing w:val="-3"/>
        </w:rPr>
        <w:t> </w:t>
      </w:r>
      <w:r>
        <w:rPr/>
        <w:t>are</w:t>
      </w:r>
      <w:r>
        <w:rPr>
          <w:spacing w:val="-3"/>
        </w:rPr>
        <w:t> </w:t>
      </w:r>
      <w:r>
        <w:rPr/>
        <w:t>relatively</w:t>
      </w:r>
      <w:r>
        <w:rPr>
          <w:spacing w:val="-3"/>
        </w:rPr>
        <w:t> </w:t>
      </w:r>
      <w:r>
        <w:rPr/>
        <w:t>modest</w:t>
      </w:r>
      <w:r>
        <w:rPr>
          <w:spacing w:val="-3"/>
        </w:rPr>
        <w:t> </w:t>
      </w:r>
      <w:r>
        <w:rPr/>
        <w:t>in</w:t>
      </w:r>
      <w:r>
        <w:rPr>
          <w:spacing w:val="-3"/>
        </w:rPr>
        <w:t> </w:t>
      </w:r>
      <w:r>
        <w:rPr/>
        <w:t>scope.</w:t>
      </w:r>
      <w:r>
        <w:rPr>
          <w:spacing w:val="-3"/>
        </w:rPr>
        <w:t> </w:t>
      </w:r>
      <w:r>
        <w:rPr/>
        <w:t>In</w:t>
      </w:r>
      <w:r>
        <w:rPr>
          <w:spacing w:val="-3"/>
        </w:rPr>
        <w:t> </w:t>
      </w:r>
      <w:r>
        <w:rPr/>
        <w:t>particular,</w:t>
      </w:r>
      <w:r>
        <w:rPr>
          <w:spacing w:val="-3"/>
        </w:rPr>
        <w:t> </w:t>
      </w:r>
      <w:r>
        <w:rPr/>
        <w:t>they</w:t>
      </w:r>
      <w:r>
        <w:rPr>
          <w:spacing w:val="-3"/>
        </w:rPr>
        <w:t> </w:t>
      </w:r>
      <w:r>
        <w:rPr/>
        <w:t>have</w:t>
      </w:r>
      <w:r>
        <w:rPr>
          <w:spacing w:val="-3"/>
        </w:rPr>
        <w:t> </w:t>
      </w:r>
      <w:r>
        <w:rPr/>
        <w:t>the</w:t>
      </w:r>
      <w:r>
        <w:rPr>
          <w:spacing w:val="-3"/>
        </w:rPr>
        <w:t> </w:t>
      </w:r>
      <w:r>
        <w:rPr/>
        <w:t>effect</w:t>
      </w:r>
      <w:r>
        <w:rPr>
          <w:spacing w:val="-3"/>
        </w:rPr>
        <w:t> </w:t>
      </w:r>
      <w:r>
        <w:rPr/>
        <w:t>of</w:t>
      </w:r>
      <w:r>
        <w:rPr>
          <w:spacing w:val="-3"/>
        </w:rPr>
        <w:t> </w:t>
      </w:r>
      <w:r>
        <w:rPr/>
        <w:t>removing</w:t>
      </w:r>
      <w:r>
        <w:rPr>
          <w:spacing w:val="-3"/>
        </w:rPr>
        <w:t> </w:t>
      </w:r>
      <w:r>
        <w:rPr/>
        <w:t>an existing exemption for small auditoria and other meeting rooms (having an area</w:t>
      </w:r>
      <w:r>
        <w:rPr>
          <w:spacing w:val="40"/>
        </w:rPr>
        <w:t> </w:t>
      </w:r>
      <w:r>
        <w:rPr/>
        <w:t>of less than 100m</w:t>
      </w:r>
      <w:r>
        <w:rPr>
          <w:vertAlign w:val="superscript"/>
        </w:rPr>
        <w:t>2</w:t>
      </w:r>
      <w:r>
        <w:rPr>
          <w:vertAlign w:val="baseline"/>
        </w:rPr>
        <w:t>)</w:t>
      </w:r>
      <w:r>
        <w:rPr>
          <w:vertAlign w:val="baseline"/>
        </w:rPr>
        <w:t> and</w:t>
      </w:r>
      <w:r>
        <w:rPr>
          <w:vertAlign w:val="baseline"/>
        </w:rPr>
        <w:t> of</w:t>
      </w:r>
      <w:r>
        <w:rPr>
          <w:vertAlign w:val="baseline"/>
        </w:rPr>
        <w:t> requiring</w:t>
      </w:r>
      <w:r>
        <w:rPr>
          <w:vertAlign w:val="baseline"/>
        </w:rPr>
        <w:t> that</w:t>
      </w:r>
      <w:r>
        <w:rPr>
          <w:vertAlign w:val="baseline"/>
        </w:rPr>
        <w:t> all</w:t>
      </w:r>
      <w:r>
        <w:rPr>
          <w:vertAlign w:val="baseline"/>
        </w:rPr>
        <w:t> parts</w:t>
      </w:r>
      <w:r>
        <w:rPr>
          <w:vertAlign w:val="baseline"/>
        </w:rPr>
        <w:t> of</w:t>
      </w:r>
      <w:r>
        <w:rPr>
          <w:vertAlign w:val="baseline"/>
        </w:rPr>
        <w:t> an</w:t>
      </w:r>
      <w:r>
        <w:rPr>
          <w:vertAlign w:val="baseline"/>
        </w:rPr>
        <w:t> auditorium</w:t>
      </w:r>
      <w:r>
        <w:rPr>
          <w:vertAlign w:val="baseline"/>
        </w:rPr>
        <w:t> (and associated</w:t>
      </w:r>
      <w:r>
        <w:rPr>
          <w:spacing w:val="-2"/>
          <w:vertAlign w:val="baseline"/>
        </w:rPr>
        <w:t> </w:t>
      </w:r>
      <w:r>
        <w:rPr>
          <w:vertAlign w:val="baseline"/>
        </w:rPr>
        <w:t>rooms</w:t>
      </w:r>
      <w:r>
        <w:rPr>
          <w:spacing w:val="-2"/>
          <w:vertAlign w:val="baseline"/>
        </w:rPr>
        <w:t> </w:t>
      </w:r>
      <w:r>
        <w:rPr>
          <w:vertAlign w:val="baseline"/>
        </w:rPr>
        <w:t>in</w:t>
      </w:r>
      <w:r>
        <w:rPr>
          <w:spacing w:val="-2"/>
          <w:vertAlign w:val="baseline"/>
        </w:rPr>
        <w:t> </w:t>
      </w:r>
      <w:r>
        <w:rPr>
          <w:vertAlign w:val="baseline"/>
        </w:rPr>
        <w:t>a</w:t>
      </w:r>
      <w:r>
        <w:rPr>
          <w:spacing w:val="-2"/>
          <w:vertAlign w:val="baseline"/>
        </w:rPr>
        <w:t> </w:t>
      </w:r>
      <w:r>
        <w:rPr>
          <w:vertAlign w:val="baseline"/>
        </w:rPr>
        <w:t>Class</w:t>
      </w:r>
      <w:r>
        <w:rPr>
          <w:spacing w:val="-2"/>
          <w:vertAlign w:val="baseline"/>
        </w:rPr>
        <w:t> </w:t>
      </w:r>
      <w:r>
        <w:rPr>
          <w:vertAlign w:val="baseline"/>
        </w:rPr>
        <w:t>9b</w:t>
      </w:r>
      <w:r>
        <w:rPr>
          <w:spacing w:val="-1"/>
          <w:vertAlign w:val="baseline"/>
        </w:rPr>
        <w:t> </w:t>
      </w:r>
      <w:r>
        <w:rPr>
          <w:vertAlign w:val="baseline"/>
        </w:rPr>
        <w:t>building</w:t>
      </w:r>
      <w:r>
        <w:rPr>
          <w:spacing w:val="-1"/>
          <w:vertAlign w:val="baseline"/>
        </w:rPr>
        <w:t> </w:t>
      </w:r>
      <w:r>
        <w:rPr>
          <w:vertAlign w:val="baseline"/>
        </w:rPr>
        <w:t>provided</w:t>
      </w:r>
      <w:r>
        <w:rPr>
          <w:spacing w:val="-1"/>
          <w:vertAlign w:val="baseline"/>
        </w:rPr>
        <w:t> </w:t>
      </w:r>
      <w:r>
        <w:rPr>
          <w:vertAlign w:val="baseline"/>
        </w:rPr>
        <w:t>with</w:t>
      </w:r>
      <w:r>
        <w:rPr>
          <w:spacing w:val="-1"/>
          <w:vertAlign w:val="baseline"/>
        </w:rPr>
        <w:t> </w:t>
      </w:r>
      <w:r>
        <w:rPr>
          <w:vertAlign w:val="baseline"/>
        </w:rPr>
        <w:t>an</w:t>
      </w:r>
      <w:r>
        <w:rPr>
          <w:spacing w:val="-1"/>
          <w:vertAlign w:val="baseline"/>
        </w:rPr>
        <w:t> </w:t>
      </w:r>
      <w:r>
        <w:rPr>
          <w:vertAlign w:val="baseline"/>
        </w:rPr>
        <w:t>amplification</w:t>
      </w:r>
      <w:r>
        <w:rPr>
          <w:spacing w:val="-1"/>
          <w:vertAlign w:val="baseline"/>
        </w:rPr>
        <w:t> </w:t>
      </w:r>
      <w:r>
        <w:rPr>
          <w:vertAlign w:val="baseline"/>
        </w:rPr>
        <w:t>system)</w:t>
      </w:r>
      <w:r>
        <w:rPr>
          <w:spacing w:val="-1"/>
          <w:vertAlign w:val="baseline"/>
        </w:rPr>
        <w:t> </w:t>
      </w:r>
      <w:r>
        <w:rPr>
          <w:vertAlign w:val="baseline"/>
        </w:rPr>
        <w:t>to be so equipped, whereas only 15% of the floor area of such auditoria are currently required to be equipped with augmentation systems.</w:t>
      </w:r>
    </w:p>
    <w:p>
      <w:pPr>
        <w:pStyle w:val="BodyText"/>
      </w:pPr>
    </w:p>
    <w:p>
      <w:pPr>
        <w:pStyle w:val="BodyText"/>
        <w:spacing w:before="1"/>
        <w:ind w:left="237" w:right="294"/>
        <w:jc w:val="both"/>
      </w:pPr>
      <w:r>
        <w:rPr/>
        <w:t>In relation to the additional prescription, the key addition is prescription of the number of receivers that must be made available in respect of systems requiring </w:t>
      </w:r>
      <w:r>
        <w:rPr>
          <w:spacing w:val="-2"/>
        </w:rPr>
        <w:t>them.</w:t>
      </w:r>
    </w:p>
    <w:p>
      <w:pPr>
        <w:pStyle w:val="BodyText"/>
      </w:pPr>
    </w:p>
    <w:p>
      <w:pPr>
        <w:pStyle w:val="BodyText"/>
        <w:ind w:left="237" w:right="300"/>
        <w:jc w:val="both"/>
      </w:pPr>
      <w:r>
        <w:rPr/>
        <w:t>The benefit of the increased scope of the hearing augmentation requirement will be that persons with hearing disabilities will be certain of being able to use all parts of the relevant buildings, with smaller buildings, in particular, becoming accessible, as well as smaller spaces within larger structures. The additional prescription of the number of receivers should ensure that there is adequate provision made for all who require hearing augmentation in all reasonably foreseeable circumstances.</w:t>
      </w:r>
    </w:p>
    <w:p>
      <w:pPr>
        <w:pStyle w:val="BodyText"/>
      </w:pPr>
    </w:p>
    <w:p>
      <w:pPr>
        <w:pStyle w:val="BodyText"/>
        <w:ind w:left="237" w:right="301"/>
        <w:jc w:val="both"/>
      </w:pPr>
      <w:r>
        <w:rPr/>
        <w:t>According to ABS statistics, 531,400 people, or more than 2.5% of the</w:t>
      </w:r>
      <w:r>
        <w:rPr>
          <w:spacing w:val="40"/>
        </w:rPr>
        <w:t> </w:t>
      </w:r>
      <w:r>
        <w:rPr/>
        <w:t>population, use some form of hearing aid</w:t>
      </w:r>
      <w:r>
        <w:rPr>
          <w:vertAlign w:val="superscript"/>
        </w:rPr>
        <w:t>24</w:t>
      </w:r>
      <w:r>
        <w:rPr>
          <w:vertAlign w:val="baseline"/>
        </w:rPr>
        <w:t>.</w:t>
      </w:r>
      <w:r>
        <w:rPr>
          <w:spacing w:val="40"/>
          <w:vertAlign w:val="baseline"/>
        </w:rPr>
        <w:t> </w:t>
      </w:r>
      <w:r>
        <w:rPr>
          <w:vertAlign w:val="baseline"/>
        </w:rPr>
        <w:t>Thus, the proportion of people affected by this change is considerable. Given the incremental nature of the changes</w:t>
      </w:r>
      <w:r>
        <w:rPr>
          <w:spacing w:val="-1"/>
          <w:vertAlign w:val="baseline"/>
        </w:rPr>
        <w:t> </w:t>
      </w:r>
      <w:r>
        <w:rPr>
          <w:vertAlign w:val="baseline"/>
        </w:rPr>
        <w:t>proposed,</w:t>
      </w:r>
      <w:r>
        <w:rPr>
          <w:spacing w:val="-1"/>
          <w:vertAlign w:val="baseline"/>
        </w:rPr>
        <w:t> </w:t>
      </w:r>
      <w:r>
        <w:rPr>
          <w:vertAlign w:val="baseline"/>
        </w:rPr>
        <w:t>the</w:t>
      </w:r>
      <w:r>
        <w:rPr>
          <w:spacing w:val="-1"/>
          <w:vertAlign w:val="baseline"/>
        </w:rPr>
        <w:t> </w:t>
      </w:r>
      <w:r>
        <w:rPr>
          <w:vertAlign w:val="baseline"/>
        </w:rPr>
        <w:t>estimated</w:t>
      </w:r>
      <w:r>
        <w:rPr>
          <w:spacing w:val="-1"/>
          <w:vertAlign w:val="baseline"/>
        </w:rPr>
        <w:t> </w:t>
      </w:r>
      <w:r>
        <w:rPr>
          <w:vertAlign w:val="baseline"/>
        </w:rPr>
        <w:t>benefits</w:t>
      </w:r>
      <w:r>
        <w:rPr>
          <w:spacing w:val="-1"/>
          <w:vertAlign w:val="baseline"/>
        </w:rPr>
        <w:t> </w:t>
      </w:r>
      <w:r>
        <w:rPr>
          <w:vertAlign w:val="baseline"/>
        </w:rPr>
        <w:t>are considered</w:t>
      </w:r>
      <w:r>
        <w:rPr>
          <w:spacing w:val="-1"/>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moderate</w:t>
      </w:r>
      <w:r>
        <w:rPr>
          <w:spacing w:val="-1"/>
          <w:vertAlign w:val="baseline"/>
        </w:rPr>
        <w:t> </w:t>
      </w:r>
      <w:r>
        <w:rPr>
          <w:vertAlign w:val="baseline"/>
        </w:rPr>
        <w:t>in</w:t>
      </w:r>
      <w:r>
        <w:rPr>
          <w:spacing w:val="-1"/>
          <w:vertAlign w:val="baseline"/>
        </w:rPr>
        <w:t> </w:t>
      </w:r>
      <w:r>
        <w:rPr>
          <w:vertAlign w:val="baseline"/>
        </w:rPr>
        <w:t>size.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pict>
          <v:rect style="position:absolute;margin-left:89.879997pt;margin-top:8.196128pt;width:144pt;height:.6pt;mso-position-horizontal-relative:page;mso-position-vertical-relative:paragraph;z-index:-15718912;mso-wrap-distance-left:0;mso-wrap-distance-right:0" id="docshape25"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24</w:t>
      </w:r>
      <w:r>
        <w:rPr>
          <w:spacing w:val="-6"/>
          <w:sz w:val="20"/>
          <w:vertAlign w:val="baseline"/>
        </w:rPr>
        <w:t> </w:t>
      </w:r>
      <w:r>
        <w:rPr>
          <w:sz w:val="20"/>
          <w:vertAlign w:val="baseline"/>
        </w:rPr>
        <w:t>See</w:t>
      </w:r>
      <w:r>
        <w:rPr>
          <w:spacing w:val="-6"/>
          <w:sz w:val="20"/>
          <w:vertAlign w:val="baseline"/>
        </w:rPr>
        <w:t> </w:t>
      </w:r>
      <w:r>
        <w:rPr>
          <w:sz w:val="20"/>
          <w:vertAlign w:val="baseline"/>
        </w:rPr>
        <w:t>ABS4430.0</w:t>
      </w:r>
      <w:r>
        <w:rPr>
          <w:spacing w:val="-6"/>
          <w:sz w:val="20"/>
          <w:vertAlign w:val="baseline"/>
        </w:rPr>
        <w:t> </w:t>
      </w:r>
      <w:r>
        <w:rPr>
          <w:sz w:val="20"/>
          <w:vertAlign w:val="baseline"/>
        </w:rPr>
        <w:t>(2004),</w:t>
      </w:r>
      <w:r>
        <w:rPr>
          <w:spacing w:val="-6"/>
          <w:sz w:val="20"/>
          <w:vertAlign w:val="baseline"/>
        </w:rPr>
        <w:t> </w:t>
      </w:r>
      <w:r>
        <w:rPr>
          <w:sz w:val="20"/>
          <w:vertAlign w:val="baseline"/>
        </w:rPr>
        <w:t>Table</w:t>
      </w:r>
      <w:r>
        <w:rPr>
          <w:spacing w:val="-6"/>
          <w:sz w:val="20"/>
          <w:vertAlign w:val="baseline"/>
        </w:rPr>
        <w:t> </w:t>
      </w:r>
      <w:r>
        <w:rPr>
          <w:spacing w:val="-5"/>
          <w:sz w:val="20"/>
          <w:vertAlign w:val="baseline"/>
        </w:rPr>
        <w:t>13.</w:t>
      </w:r>
    </w:p>
    <w:p>
      <w:pPr>
        <w:spacing w:after="0"/>
        <w:jc w:val="left"/>
        <w:rPr>
          <w:sz w:val="20"/>
        </w:rPr>
        <w:sectPr>
          <w:pgSz w:w="12240" w:h="15840"/>
          <w:pgMar w:header="0" w:footer="1140" w:top="1360" w:bottom="1340" w:left="1560" w:right="1500"/>
        </w:sectPr>
      </w:pPr>
    </w:p>
    <w:p>
      <w:pPr>
        <w:pStyle w:val="Heading5"/>
        <w:spacing w:line="275" w:lineRule="exact" w:before="78"/>
        <w:rPr>
          <w:i/>
        </w:rPr>
      </w:pPr>
      <w:r>
        <w:rPr>
          <w:i/>
        </w:rPr>
        <w:t>Limitations</w:t>
      </w:r>
      <w:r>
        <w:rPr>
          <w:i/>
          <w:spacing w:val="-4"/>
        </w:rPr>
        <w:t> </w:t>
      </w:r>
      <w:r>
        <w:rPr>
          <w:i/>
        </w:rPr>
        <w:t>on</w:t>
      </w:r>
      <w:r>
        <w:rPr>
          <w:i/>
          <w:spacing w:val="-3"/>
        </w:rPr>
        <w:t> </w:t>
      </w:r>
      <w:r>
        <w:rPr>
          <w:i/>
        </w:rPr>
        <w:t>use</w:t>
      </w:r>
      <w:r>
        <w:rPr>
          <w:i/>
          <w:spacing w:val="-4"/>
        </w:rPr>
        <w:t> </w:t>
      </w:r>
      <w:r>
        <w:rPr>
          <w:i/>
        </w:rPr>
        <w:t>of</w:t>
      </w:r>
      <w:r>
        <w:rPr>
          <w:i/>
          <w:spacing w:val="-3"/>
        </w:rPr>
        <w:t> </w:t>
      </w:r>
      <w:r>
        <w:rPr>
          <w:i/>
          <w:spacing w:val="-2"/>
        </w:rPr>
        <w:t>ramps</w:t>
      </w:r>
    </w:p>
    <w:p>
      <w:pPr>
        <w:pStyle w:val="BodyText"/>
        <w:ind w:left="237" w:right="299"/>
        <w:jc w:val="both"/>
      </w:pPr>
      <w:r>
        <w:rPr/>
        <w:t>It is proposed to limit the use of ramps to a maximum height (i.e. rise) of 3.5 metres. There are currently no height limitations in relation to the use of ramps. The change has been made as a result of concerns voiced by the disability</w:t>
      </w:r>
      <w:r>
        <w:rPr>
          <w:spacing w:val="40"/>
        </w:rPr>
        <w:t> </w:t>
      </w:r>
      <w:r>
        <w:rPr/>
        <w:t>sector in relation to the inability for people in wheelchairs to travel a ramp that serves a height greater than 3.5 metres due to fatigue problems. The height limit of 3.5 metres was chosen as a reasonable compromise that would still allow a ramp to serve one floor within a building, while addressing the issue of practicability in relation to fatigue.</w:t>
      </w:r>
    </w:p>
    <w:p>
      <w:pPr>
        <w:pStyle w:val="BodyText"/>
        <w:spacing w:before="11"/>
        <w:rPr>
          <w:sz w:val="23"/>
        </w:rPr>
      </w:pPr>
    </w:p>
    <w:p>
      <w:pPr>
        <w:pStyle w:val="BodyText"/>
        <w:ind w:left="237" w:right="301"/>
        <w:jc w:val="both"/>
      </w:pPr>
      <w:r>
        <w:rPr/>
        <w:t>The expected benefit of this change is that wheelchair users and other people with restricted mobility are less likely to find their effective access to buildings restricted due to the use of ramps in infeasible circumstances. Instead, where ramps may currently be used for rises of more than 3.5 metres, lifting devices would now need to be employed.</w:t>
      </w:r>
    </w:p>
    <w:p>
      <w:pPr>
        <w:pStyle w:val="BodyText"/>
        <w:spacing w:before="1"/>
      </w:pPr>
    </w:p>
    <w:p>
      <w:pPr>
        <w:pStyle w:val="Heading5"/>
        <w:spacing w:line="275" w:lineRule="exact"/>
        <w:rPr>
          <w:i/>
        </w:rPr>
      </w:pPr>
      <w:r>
        <w:rPr>
          <w:i/>
        </w:rPr>
        <w:t>Glazing</w:t>
      </w:r>
      <w:r>
        <w:rPr>
          <w:i/>
          <w:spacing w:val="-2"/>
        </w:rPr>
        <w:t> requirements</w:t>
      </w:r>
    </w:p>
    <w:p>
      <w:pPr>
        <w:pStyle w:val="BodyText"/>
        <w:ind w:left="237" w:right="300"/>
        <w:jc w:val="both"/>
      </w:pPr>
      <w:r>
        <w:rPr/>
        <w:t>Visual safety requirements for glazing installed on accessways are to be extended. Glazing must comply with AS1288 (Glass in buildings – Selection and installation) and frameless or fully glazed doors etc. must be marked in order to make them clearly visible.</w:t>
      </w:r>
    </w:p>
    <w:p>
      <w:pPr>
        <w:pStyle w:val="BodyText"/>
        <w:spacing w:before="7"/>
        <w:rPr>
          <w:sz w:val="23"/>
        </w:rPr>
      </w:pPr>
    </w:p>
    <w:p>
      <w:pPr>
        <w:pStyle w:val="BodyText"/>
        <w:spacing w:before="1"/>
        <w:ind w:left="237" w:right="300"/>
        <w:jc w:val="both"/>
      </w:pPr>
      <w:r>
        <w:rPr/>
        <w:t>These changes can be expected to improve safety in the use of access paths by reducing the risk of accidents and reducing the probability of injury should an accident</w:t>
      </w:r>
      <w:r>
        <w:rPr>
          <w:spacing w:val="-1"/>
        </w:rPr>
        <w:t> </w:t>
      </w:r>
      <w:r>
        <w:rPr/>
        <w:t>occur.</w:t>
      </w:r>
      <w:r>
        <w:rPr>
          <w:spacing w:val="-1"/>
        </w:rPr>
        <w:t> </w:t>
      </w:r>
      <w:r>
        <w:rPr/>
        <w:t>No</w:t>
      </w:r>
      <w:r>
        <w:rPr>
          <w:spacing w:val="-1"/>
        </w:rPr>
        <w:t> </w:t>
      </w:r>
      <w:r>
        <w:rPr/>
        <w:t>data</w:t>
      </w:r>
      <w:r>
        <w:rPr>
          <w:spacing w:val="-1"/>
        </w:rPr>
        <w:t> </w:t>
      </w:r>
      <w:r>
        <w:rPr/>
        <w:t>is</w:t>
      </w:r>
      <w:r>
        <w:rPr>
          <w:spacing w:val="-1"/>
        </w:rPr>
        <w:t> </w:t>
      </w:r>
      <w:r>
        <w:rPr/>
        <w:t>currently</w:t>
      </w:r>
      <w:r>
        <w:rPr>
          <w:spacing w:val="-1"/>
        </w:rPr>
        <w:t> </w:t>
      </w:r>
      <w:r>
        <w:rPr/>
        <w:t>available</w:t>
      </w:r>
      <w:r>
        <w:rPr>
          <w:spacing w:val="-1"/>
        </w:rPr>
        <w:t> </w:t>
      </w:r>
      <w:r>
        <w:rPr/>
        <w:t>on</w:t>
      </w:r>
      <w:r>
        <w:rPr>
          <w:spacing w:val="-1"/>
        </w:rPr>
        <w:t> </w:t>
      </w:r>
      <w:r>
        <w:rPr/>
        <w:t>the</w:t>
      </w:r>
      <w:r>
        <w:rPr>
          <w:spacing w:val="-1"/>
        </w:rPr>
        <w:t> </w:t>
      </w:r>
      <w:r>
        <w:rPr/>
        <w:t>extent</w:t>
      </w:r>
      <w:r>
        <w:rPr>
          <w:spacing w:val="-1"/>
        </w:rPr>
        <w:t> </w:t>
      </w:r>
      <w:r>
        <w:rPr/>
        <w:t>of</w:t>
      </w:r>
      <w:r>
        <w:rPr>
          <w:spacing w:val="-1"/>
        </w:rPr>
        <w:t> </w:t>
      </w:r>
      <w:r>
        <w:rPr/>
        <w:t>such</w:t>
      </w:r>
      <w:r>
        <w:rPr>
          <w:spacing w:val="-1"/>
        </w:rPr>
        <w:t> </w:t>
      </w:r>
      <w:r>
        <w:rPr/>
        <w:t>accidents</w:t>
      </w:r>
      <w:r>
        <w:rPr>
          <w:spacing w:val="-1"/>
        </w:rPr>
        <w:t> </w:t>
      </w:r>
      <w:r>
        <w:rPr/>
        <w:t>that would provide a basis for considering the likely benefits of this change </w:t>
      </w:r>
      <w:r>
        <w:rPr>
          <w:spacing w:val="-2"/>
        </w:rPr>
        <w:t>quantitatively.</w:t>
      </w:r>
    </w:p>
    <w:p>
      <w:pPr>
        <w:pStyle w:val="BodyText"/>
        <w:spacing w:before="8"/>
        <w:rPr>
          <w:sz w:val="23"/>
        </w:rPr>
      </w:pPr>
    </w:p>
    <w:p>
      <w:pPr>
        <w:pStyle w:val="BodyText"/>
        <w:ind w:left="237" w:right="300"/>
        <w:jc w:val="both"/>
      </w:pPr>
      <w:r>
        <w:rPr/>
        <w:t>A second benefit relates to the requirements that the presence of glass doors be made more apparent, particularly to people with vision impairments. This may result</w:t>
      </w:r>
      <w:r>
        <w:rPr>
          <w:spacing w:val="-1"/>
        </w:rPr>
        <w:t> </w:t>
      </w:r>
      <w:r>
        <w:rPr/>
        <w:t>in</w:t>
      </w:r>
      <w:r>
        <w:rPr>
          <w:spacing w:val="-1"/>
        </w:rPr>
        <w:t> </w:t>
      </w:r>
      <w:r>
        <w:rPr/>
        <w:t>important</w:t>
      </w:r>
      <w:r>
        <w:rPr>
          <w:spacing w:val="-1"/>
        </w:rPr>
        <w:t> </w:t>
      </w:r>
      <w:r>
        <w:rPr/>
        <w:t>benefits in</w:t>
      </w:r>
      <w:r>
        <w:rPr>
          <w:spacing w:val="-1"/>
        </w:rPr>
        <w:t> </w:t>
      </w:r>
      <w:r>
        <w:rPr/>
        <w:t>terms of</w:t>
      </w:r>
      <w:r>
        <w:rPr>
          <w:spacing w:val="-1"/>
        </w:rPr>
        <w:t> </w:t>
      </w:r>
      <w:r>
        <w:rPr/>
        <w:t>dignity</w:t>
      </w:r>
      <w:r>
        <w:rPr>
          <w:spacing w:val="-1"/>
        </w:rPr>
        <w:t> </w:t>
      </w:r>
      <w:r>
        <w:rPr/>
        <w:t>and</w:t>
      </w:r>
      <w:r>
        <w:rPr>
          <w:spacing w:val="-1"/>
        </w:rPr>
        <w:t> </w:t>
      </w:r>
      <w:r>
        <w:rPr/>
        <w:t>convenience,</w:t>
      </w:r>
      <w:r>
        <w:rPr>
          <w:spacing w:val="-1"/>
        </w:rPr>
        <w:t> </w:t>
      </w:r>
      <w:r>
        <w:rPr/>
        <w:t>as</w:t>
      </w:r>
      <w:r>
        <w:rPr>
          <w:spacing w:val="-1"/>
        </w:rPr>
        <w:t> </w:t>
      </w:r>
      <w:r>
        <w:rPr/>
        <w:t>well</w:t>
      </w:r>
      <w:r>
        <w:rPr>
          <w:spacing w:val="-1"/>
        </w:rPr>
        <w:t> </w:t>
      </w:r>
      <w:r>
        <w:rPr/>
        <w:t>as</w:t>
      </w:r>
      <w:r>
        <w:rPr>
          <w:spacing w:val="-1"/>
        </w:rPr>
        <w:t> </w:t>
      </w:r>
      <w:r>
        <w:rPr/>
        <w:t>having safety implications.</w:t>
      </w:r>
    </w:p>
    <w:p>
      <w:pPr>
        <w:pStyle w:val="BodyText"/>
        <w:spacing w:before="1"/>
      </w:pPr>
    </w:p>
    <w:p>
      <w:pPr>
        <w:pStyle w:val="Heading5"/>
        <w:spacing w:line="275" w:lineRule="exact"/>
        <w:rPr>
          <w:i/>
        </w:rPr>
      </w:pPr>
      <w:r>
        <w:rPr>
          <w:i/>
        </w:rPr>
        <w:t>Lifting</w:t>
      </w:r>
      <w:r>
        <w:rPr>
          <w:i/>
          <w:spacing w:val="-6"/>
        </w:rPr>
        <w:t> </w:t>
      </w:r>
      <w:r>
        <w:rPr>
          <w:i/>
          <w:spacing w:val="-2"/>
        </w:rPr>
        <w:t>devices</w:t>
      </w:r>
    </w:p>
    <w:p>
      <w:pPr>
        <w:pStyle w:val="BodyText"/>
        <w:ind w:left="237" w:right="299"/>
        <w:jc w:val="both"/>
      </w:pPr>
      <w:r>
        <w:rPr/>
        <w:t>Substantial additional prescription is proposed in relation to the uses, and limits</w:t>
      </w:r>
      <w:r>
        <w:rPr>
          <w:spacing w:val="40"/>
        </w:rPr>
        <w:t> </w:t>
      </w:r>
      <w:r>
        <w:rPr/>
        <w:t>to use of, different lifting devices (Clause E3.6, Tables E3.6(a) and (b)). For example, limitations on stairway lifts include requirements that they must not be </w:t>
      </w:r>
      <w:r>
        <w:rPr>
          <w:spacing w:val="-2"/>
        </w:rPr>
        <w:t>used:</w:t>
      </w:r>
    </w:p>
    <w:p>
      <w:pPr>
        <w:pStyle w:val="BodyText"/>
        <w:spacing w:before="9"/>
        <w:rPr>
          <w:sz w:val="23"/>
        </w:rPr>
      </w:pPr>
    </w:p>
    <w:p>
      <w:pPr>
        <w:pStyle w:val="ListParagraph"/>
        <w:numPr>
          <w:ilvl w:val="0"/>
          <w:numId w:val="16"/>
        </w:numPr>
        <w:tabs>
          <w:tab w:pos="957" w:val="left" w:leader="none"/>
          <w:tab w:pos="958" w:val="left" w:leader="none"/>
        </w:tabs>
        <w:spacing w:line="240" w:lineRule="auto" w:before="0" w:after="0"/>
        <w:ind w:left="957" w:right="0" w:hanging="361"/>
        <w:jc w:val="left"/>
        <w:rPr>
          <w:sz w:val="24"/>
        </w:rPr>
      </w:pPr>
      <w:r>
        <w:rPr>
          <w:sz w:val="24"/>
        </w:rPr>
        <w:t>in</w:t>
      </w:r>
      <w:r>
        <w:rPr>
          <w:spacing w:val="-7"/>
          <w:sz w:val="24"/>
        </w:rPr>
        <w:t> </w:t>
      </w:r>
      <w:r>
        <w:rPr>
          <w:sz w:val="24"/>
        </w:rPr>
        <w:t>a</w:t>
      </w:r>
      <w:r>
        <w:rPr>
          <w:spacing w:val="-4"/>
          <w:sz w:val="24"/>
        </w:rPr>
        <w:t> </w:t>
      </w:r>
      <w:r>
        <w:rPr>
          <w:sz w:val="24"/>
        </w:rPr>
        <w:t>building</w:t>
      </w:r>
      <w:r>
        <w:rPr>
          <w:spacing w:val="-4"/>
          <w:sz w:val="24"/>
        </w:rPr>
        <w:t> </w:t>
      </w:r>
      <w:r>
        <w:rPr>
          <w:sz w:val="24"/>
        </w:rPr>
        <w:t>accommodating</w:t>
      </w:r>
      <w:r>
        <w:rPr>
          <w:spacing w:val="-4"/>
          <w:sz w:val="24"/>
        </w:rPr>
        <w:t> </w:t>
      </w:r>
      <w:r>
        <w:rPr>
          <w:sz w:val="24"/>
        </w:rPr>
        <w:t>more</w:t>
      </w:r>
      <w:r>
        <w:rPr>
          <w:spacing w:val="-4"/>
          <w:sz w:val="24"/>
        </w:rPr>
        <w:t> </w:t>
      </w:r>
      <w:r>
        <w:rPr>
          <w:sz w:val="24"/>
        </w:rPr>
        <w:t>than</w:t>
      </w:r>
      <w:r>
        <w:rPr>
          <w:spacing w:val="-4"/>
          <w:sz w:val="24"/>
        </w:rPr>
        <w:t> </w:t>
      </w:r>
      <w:r>
        <w:rPr>
          <w:sz w:val="24"/>
        </w:rPr>
        <w:t>100</w:t>
      </w:r>
      <w:r>
        <w:rPr>
          <w:spacing w:val="-4"/>
          <w:sz w:val="24"/>
        </w:rPr>
        <w:t> </w:t>
      </w:r>
      <w:r>
        <w:rPr>
          <w:spacing w:val="-2"/>
          <w:sz w:val="24"/>
        </w:rPr>
        <w:t>persons;</w:t>
      </w:r>
    </w:p>
    <w:p>
      <w:pPr>
        <w:pStyle w:val="ListParagraph"/>
        <w:numPr>
          <w:ilvl w:val="0"/>
          <w:numId w:val="16"/>
        </w:numPr>
        <w:tabs>
          <w:tab w:pos="957" w:val="left" w:leader="none"/>
          <w:tab w:pos="958" w:val="left" w:leader="none"/>
        </w:tabs>
        <w:spacing w:line="240" w:lineRule="auto" w:before="118" w:after="0"/>
        <w:ind w:left="957" w:right="0" w:hanging="361"/>
        <w:jc w:val="left"/>
        <w:rPr>
          <w:sz w:val="24"/>
        </w:rPr>
      </w:pPr>
      <w:r>
        <w:rPr>
          <w:sz w:val="24"/>
        </w:rPr>
        <w:t>in</w:t>
      </w:r>
      <w:r>
        <w:rPr>
          <w:spacing w:val="-4"/>
          <w:sz w:val="24"/>
        </w:rPr>
        <w:t> </w:t>
      </w:r>
      <w:r>
        <w:rPr>
          <w:sz w:val="24"/>
        </w:rPr>
        <w:t>“high</w:t>
      </w:r>
      <w:r>
        <w:rPr>
          <w:spacing w:val="-3"/>
          <w:sz w:val="24"/>
        </w:rPr>
        <w:t> </w:t>
      </w:r>
      <w:r>
        <w:rPr>
          <w:sz w:val="24"/>
        </w:rPr>
        <w:t>traffic</w:t>
      </w:r>
      <w:r>
        <w:rPr>
          <w:spacing w:val="-3"/>
          <w:sz w:val="24"/>
        </w:rPr>
        <w:t> </w:t>
      </w:r>
      <w:r>
        <w:rPr>
          <w:sz w:val="24"/>
        </w:rPr>
        <w:t>public</w:t>
      </w:r>
      <w:r>
        <w:rPr>
          <w:spacing w:val="-3"/>
          <w:sz w:val="24"/>
        </w:rPr>
        <w:t> </w:t>
      </w:r>
      <w:r>
        <w:rPr>
          <w:sz w:val="24"/>
        </w:rPr>
        <w:t>use</w:t>
      </w:r>
      <w:r>
        <w:rPr>
          <w:spacing w:val="-3"/>
          <w:sz w:val="24"/>
        </w:rPr>
        <w:t> </w:t>
      </w:r>
      <w:r>
        <w:rPr>
          <w:sz w:val="24"/>
        </w:rPr>
        <w:t>areas”</w:t>
      </w:r>
      <w:r>
        <w:rPr>
          <w:spacing w:val="-4"/>
          <w:sz w:val="24"/>
        </w:rPr>
        <w:t> </w:t>
      </w:r>
      <w:r>
        <w:rPr>
          <w:sz w:val="24"/>
        </w:rPr>
        <w:t>(e.g.</w:t>
      </w:r>
      <w:r>
        <w:rPr>
          <w:spacing w:val="-3"/>
          <w:sz w:val="24"/>
        </w:rPr>
        <w:t> </w:t>
      </w:r>
      <w:r>
        <w:rPr>
          <w:sz w:val="24"/>
        </w:rPr>
        <w:t>cinema,</w:t>
      </w:r>
      <w:r>
        <w:rPr>
          <w:spacing w:val="-3"/>
          <w:sz w:val="24"/>
        </w:rPr>
        <w:t> </w:t>
      </w:r>
      <w:r>
        <w:rPr>
          <w:sz w:val="24"/>
        </w:rPr>
        <w:t>auditorium);</w:t>
      </w:r>
      <w:r>
        <w:rPr>
          <w:spacing w:val="-3"/>
          <w:sz w:val="24"/>
        </w:rPr>
        <w:t> </w:t>
      </w:r>
      <w:r>
        <w:rPr>
          <w:spacing w:val="-5"/>
          <w:sz w:val="24"/>
        </w:rPr>
        <w:t>or</w:t>
      </w:r>
    </w:p>
    <w:p>
      <w:pPr>
        <w:pStyle w:val="ListParagraph"/>
        <w:numPr>
          <w:ilvl w:val="0"/>
          <w:numId w:val="16"/>
        </w:numPr>
        <w:tabs>
          <w:tab w:pos="957" w:val="left" w:leader="none"/>
          <w:tab w:pos="958" w:val="left" w:leader="none"/>
        </w:tabs>
        <w:spacing w:line="240" w:lineRule="auto" w:before="119" w:after="0"/>
        <w:ind w:left="957" w:right="0" w:hanging="361"/>
        <w:jc w:val="left"/>
        <w:rPr>
          <w:sz w:val="24"/>
        </w:rPr>
      </w:pPr>
      <w:r>
        <w:rPr>
          <w:sz w:val="24"/>
        </w:rPr>
        <w:t>to connect more than two </w:t>
      </w:r>
      <w:r>
        <w:rPr>
          <w:spacing w:val="-2"/>
          <w:sz w:val="24"/>
        </w:rPr>
        <w:t>floors.</w:t>
      </w:r>
    </w:p>
    <w:p>
      <w:pPr>
        <w:pStyle w:val="BodyText"/>
        <w:spacing w:before="8"/>
        <w:rPr>
          <w:sz w:val="23"/>
        </w:rPr>
      </w:pPr>
    </w:p>
    <w:p>
      <w:pPr>
        <w:pStyle w:val="BodyText"/>
        <w:ind w:left="237" w:right="300"/>
        <w:jc w:val="both"/>
      </w:pPr>
      <w:r>
        <w:rPr/>
        <w:t>The benefit of this prescription must be seen in terms of the purpose of the DTS elements</w:t>
      </w:r>
      <w:r>
        <w:rPr>
          <w:spacing w:val="15"/>
        </w:rPr>
        <w:t> </w:t>
      </w:r>
      <w:r>
        <w:rPr/>
        <w:t>of</w:t>
      </w:r>
      <w:r>
        <w:rPr>
          <w:spacing w:val="16"/>
        </w:rPr>
        <w:t> </w:t>
      </w:r>
      <w:r>
        <w:rPr/>
        <w:t>the</w:t>
      </w:r>
      <w:r>
        <w:rPr>
          <w:spacing w:val="16"/>
        </w:rPr>
        <w:t> </w:t>
      </w:r>
      <w:r>
        <w:rPr/>
        <w:t>BCA,</w:t>
      </w:r>
      <w:r>
        <w:rPr>
          <w:spacing w:val="16"/>
        </w:rPr>
        <w:t> </w:t>
      </w:r>
      <w:r>
        <w:rPr/>
        <w:t>of</w:t>
      </w:r>
      <w:r>
        <w:rPr>
          <w:spacing w:val="16"/>
        </w:rPr>
        <w:t> </w:t>
      </w:r>
      <w:r>
        <w:rPr/>
        <w:t>which</w:t>
      </w:r>
      <w:r>
        <w:rPr>
          <w:spacing w:val="16"/>
        </w:rPr>
        <w:t> </w:t>
      </w:r>
      <w:r>
        <w:rPr/>
        <w:t>they</w:t>
      </w:r>
      <w:r>
        <w:rPr>
          <w:spacing w:val="16"/>
        </w:rPr>
        <w:t> </w:t>
      </w:r>
      <w:r>
        <w:rPr/>
        <w:t>form</w:t>
      </w:r>
      <w:r>
        <w:rPr>
          <w:spacing w:val="16"/>
        </w:rPr>
        <w:t> </w:t>
      </w:r>
      <w:r>
        <w:rPr/>
        <w:t>part.</w:t>
      </w:r>
      <w:r>
        <w:rPr>
          <w:spacing w:val="15"/>
        </w:rPr>
        <w:t> </w:t>
      </w:r>
      <w:r>
        <w:rPr/>
        <w:t>The</w:t>
      </w:r>
      <w:r>
        <w:rPr>
          <w:spacing w:val="16"/>
        </w:rPr>
        <w:t> </w:t>
      </w:r>
      <w:r>
        <w:rPr/>
        <w:t>DTS</w:t>
      </w:r>
      <w:r>
        <w:rPr>
          <w:spacing w:val="16"/>
        </w:rPr>
        <w:t> </w:t>
      </w:r>
      <w:r>
        <w:rPr/>
        <w:t>provisions</w:t>
      </w:r>
      <w:r>
        <w:rPr>
          <w:spacing w:val="16"/>
        </w:rPr>
        <w:t> </w:t>
      </w:r>
      <w:r>
        <w:rPr/>
        <w:t>are</w:t>
      </w:r>
      <w:r>
        <w:rPr>
          <w:spacing w:val="16"/>
        </w:rPr>
        <w:t> </w:t>
      </w:r>
      <w:r>
        <w:rPr>
          <w:spacing w:val="-2"/>
        </w:rPr>
        <w:t>intended</w:t>
      </w:r>
    </w:p>
    <w:p>
      <w:pPr>
        <w:spacing w:after="0"/>
        <w:jc w:val="both"/>
        <w:sectPr>
          <w:pgSz w:w="12240" w:h="15840"/>
          <w:pgMar w:header="0" w:footer="1140" w:top="1360" w:bottom="1340" w:left="1560" w:right="1500"/>
        </w:sectPr>
      </w:pPr>
    </w:p>
    <w:p>
      <w:pPr>
        <w:pStyle w:val="BodyText"/>
        <w:spacing w:before="77"/>
        <w:ind w:left="237" w:right="300"/>
        <w:jc w:val="both"/>
      </w:pPr>
      <w:r>
        <w:rPr/>
        <w:t>to provide direction and certainty to those who must comply with the BCA. Thus, the</w:t>
      </w:r>
      <w:r>
        <w:rPr>
          <w:spacing w:val="-2"/>
        </w:rPr>
        <w:t> </w:t>
      </w:r>
      <w:r>
        <w:rPr/>
        <w:t>inclusion</w:t>
      </w:r>
      <w:r>
        <w:rPr>
          <w:spacing w:val="-2"/>
        </w:rPr>
        <w:t> </w:t>
      </w:r>
      <w:r>
        <w:rPr/>
        <w:t>of</w:t>
      </w:r>
      <w:r>
        <w:rPr>
          <w:spacing w:val="-2"/>
        </w:rPr>
        <w:t> </w:t>
      </w:r>
      <w:r>
        <w:rPr/>
        <w:t>additional</w:t>
      </w:r>
      <w:r>
        <w:rPr>
          <w:spacing w:val="-2"/>
        </w:rPr>
        <w:t> </w:t>
      </w:r>
      <w:r>
        <w:rPr/>
        <w:t>prescription</w:t>
      </w:r>
      <w:r>
        <w:rPr>
          <w:spacing w:val="-2"/>
        </w:rPr>
        <w:t> </w:t>
      </w:r>
      <w:r>
        <w:rPr/>
        <w:t>helps</w:t>
      </w:r>
      <w:r>
        <w:rPr>
          <w:spacing w:val="-1"/>
        </w:rPr>
        <w:t> </w:t>
      </w:r>
      <w:r>
        <w:rPr/>
        <w:t>to</w:t>
      </w:r>
      <w:r>
        <w:rPr>
          <w:spacing w:val="-2"/>
        </w:rPr>
        <w:t> </w:t>
      </w:r>
      <w:r>
        <w:rPr/>
        <w:t>achieve</w:t>
      </w:r>
      <w:r>
        <w:rPr>
          <w:spacing w:val="-2"/>
        </w:rPr>
        <w:t> </w:t>
      </w:r>
      <w:r>
        <w:rPr/>
        <w:t>this</w:t>
      </w:r>
      <w:r>
        <w:rPr>
          <w:spacing w:val="-2"/>
        </w:rPr>
        <w:t> </w:t>
      </w:r>
      <w:r>
        <w:rPr/>
        <w:t>underlying</w:t>
      </w:r>
      <w:r>
        <w:rPr>
          <w:spacing w:val="-2"/>
        </w:rPr>
        <w:t> </w:t>
      </w:r>
      <w:r>
        <w:rPr/>
        <w:t>purpose</w:t>
      </w:r>
      <w:r>
        <w:rPr>
          <w:spacing w:val="-2"/>
        </w:rPr>
        <w:t> </w:t>
      </w:r>
      <w:r>
        <w:rPr/>
        <w:t>of the DTS requirements more effectively. That is, the additional prescription will help achieve a higher level of effective compliance with the Performance Requirements of the Premises Standards/revised BCA. At the same time, by specifying contexts in which lower cost solutions </w:t>
      </w:r>
      <w:r>
        <w:rPr>
          <w:i/>
        </w:rPr>
        <w:t>can </w:t>
      </w:r>
      <w:r>
        <w:rPr/>
        <w:t>be employed, this prescription may lower costs by providing designers with assurance that certain lower cost solutions are in conformity with the Performance Requirements.</w:t>
      </w:r>
    </w:p>
    <w:p>
      <w:pPr>
        <w:pStyle w:val="BodyText"/>
      </w:pPr>
    </w:p>
    <w:p>
      <w:pPr>
        <w:pStyle w:val="BodyText"/>
        <w:ind w:left="237"/>
        <w:jc w:val="both"/>
      </w:pPr>
      <w:r>
        <w:rPr/>
        <w:t>The</w:t>
      </w:r>
      <w:r>
        <w:rPr>
          <w:spacing w:val="-3"/>
        </w:rPr>
        <w:t> </w:t>
      </w:r>
      <w:r>
        <w:rPr/>
        <w:t>size</w:t>
      </w:r>
      <w:r>
        <w:rPr>
          <w:spacing w:val="-3"/>
        </w:rPr>
        <w:t> </w:t>
      </w:r>
      <w:r>
        <w:rPr/>
        <w:t>of</w:t>
      </w:r>
      <w:r>
        <w:rPr>
          <w:spacing w:val="-3"/>
        </w:rPr>
        <w:t> </w:t>
      </w:r>
      <w:r>
        <w:rPr/>
        <w:t>this</w:t>
      </w:r>
      <w:r>
        <w:rPr>
          <w:spacing w:val="-3"/>
        </w:rPr>
        <w:t> </w:t>
      </w:r>
      <w:r>
        <w:rPr/>
        <w:t>benefit</w:t>
      </w:r>
      <w:r>
        <w:rPr>
          <w:spacing w:val="-3"/>
        </w:rPr>
        <w:t> </w:t>
      </w:r>
      <w:r>
        <w:rPr/>
        <w:t>is</w:t>
      </w:r>
      <w:r>
        <w:rPr>
          <w:spacing w:val="-2"/>
        </w:rPr>
        <w:t> </w:t>
      </w:r>
      <w:r>
        <w:rPr/>
        <w:t>considered</w:t>
      </w:r>
      <w:r>
        <w:rPr>
          <w:spacing w:val="-3"/>
        </w:rPr>
        <w:t> </w:t>
      </w:r>
      <w:r>
        <w:rPr/>
        <w:t>to</w:t>
      </w:r>
      <w:r>
        <w:rPr>
          <w:spacing w:val="-3"/>
        </w:rPr>
        <w:t> </w:t>
      </w:r>
      <w:r>
        <w:rPr/>
        <w:t>be</w:t>
      </w:r>
      <w:r>
        <w:rPr>
          <w:spacing w:val="-3"/>
        </w:rPr>
        <w:t> </w:t>
      </w:r>
      <w:r>
        <w:rPr/>
        <w:t>moderate</w:t>
      </w:r>
      <w:r>
        <w:rPr>
          <w:spacing w:val="-3"/>
        </w:rPr>
        <w:t> </w:t>
      </w:r>
      <w:r>
        <w:rPr/>
        <w:t>in</w:t>
      </w:r>
      <w:r>
        <w:rPr>
          <w:spacing w:val="-2"/>
        </w:rPr>
        <w:t> size.</w:t>
      </w:r>
    </w:p>
    <w:p>
      <w:pPr>
        <w:pStyle w:val="BodyText"/>
        <w:spacing w:before="1"/>
      </w:pPr>
    </w:p>
    <w:p>
      <w:pPr>
        <w:pStyle w:val="Heading5"/>
        <w:spacing w:line="275" w:lineRule="exact"/>
        <w:rPr>
          <w:i/>
        </w:rPr>
      </w:pPr>
      <w:r>
        <w:rPr>
          <w:i/>
        </w:rPr>
        <w:t>Changes</w:t>
      </w:r>
      <w:r>
        <w:rPr>
          <w:i/>
          <w:spacing w:val="-17"/>
        </w:rPr>
        <w:t> </w:t>
      </w:r>
      <w:r>
        <w:rPr>
          <w:i/>
        </w:rPr>
        <w:t>to</w:t>
      </w:r>
      <w:r>
        <w:rPr>
          <w:i/>
          <w:spacing w:val="-15"/>
        </w:rPr>
        <w:t> </w:t>
      </w:r>
      <w:r>
        <w:rPr>
          <w:i/>
        </w:rPr>
        <w:t>relevant</w:t>
      </w:r>
      <w:r>
        <w:rPr>
          <w:i/>
          <w:spacing w:val="-15"/>
        </w:rPr>
        <w:t> </w:t>
      </w:r>
      <w:r>
        <w:rPr>
          <w:i/>
        </w:rPr>
        <w:t>Australian</w:t>
      </w:r>
      <w:r>
        <w:rPr>
          <w:i/>
          <w:spacing w:val="-14"/>
        </w:rPr>
        <w:t> </w:t>
      </w:r>
      <w:r>
        <w:rPr>
          <w:i/>
          <w:spacing w:val="-2"/>
        </w:rPr>
        <w:t>Standards</w:t>
      </w:r>
    </w:p>
    <w:p>
      <w:pPr>
        <w:pStyle w:val="BodyText"/>
        <w:ind w:left="237" w:right="300"/>
        <w:jc w:val="both"/>
      </w:pPr>
      <w:r>
        <w:rPr/>
        <w:t>It is proposed to adopt updated editions of AS 1428.1, AS 1428.4 and AS 2890.1 in the Premises Standards. The key changes that would thereby be made, and the expected benefits associated with them, are as follows:</w:t>
      </w:r>
    </w:p>
    <w:p>
      <w:pPr>
        <w:pStyle w:val="BodyText"/>
        <w:spacing w:before="4"/>
      </w:pPr>
    </w:p>
    <w:p>
      <w:pPr>
        <w:pStyle w:val="Heading5"/>
        <w:numPr>
          <w:ilvl w:val="0"/>
          <w:numId w:val="17"/>
        </w:numPr>
        <w:tabs>
          <w:tab w:pos="598" w:val="left" w:leader="none"/>
        </w:tabs>
        <w:spacing w:line="237" w:lineRule="auto" w:before="0" w:after="0"/>
        <w:ind w:left="597" w:right="295" w:hanging="360"/>
        <w:jc w:val="both"/>
      </w:pPr>
      <w:r>
        <w:rPr>
          <w:i/>
        </w:rPr>
        <w:t>AS 1428.1 Design for access and mobility: General requirements for</w:t>
      </w:r>
      <w:r>
        <w:rPr/>
        <w:t> access-New building work</w:t>
      </w:r>
    </w:p>
    <w:p>
      <w:pPr>
        <w:pStyle w:val="BodyText"/>
        <w:ind w:left="237" w:right="300"/>
        <w:jc w:val="both"/>
      </w:pPr>
      <w:r>
        <w:rPr/>
        <w:t>The new edition will adopt 90th percentile spatial dimensions for certain areas. Thus, these dimensional requirements would be based on the 90th percentile wheelchair and user dimensions, rather than the current 80th percentile. This will have the benefit of ensuring that a larger proportion of wheelchair users are effectively accommodated by spatial design requirements implemented via AS 1428.1. It will also mean that many users of smaller wheelchairs will experience greater ease of access due to the additional space that will be provided in</w:t>
      </w:r>
      <w:r>
        <w:rPr>
          <w:spacing w:val="40"/>
        </w:rPr>
        <w:t> </w:t>
      </w:r>
      <w:r>
        <w:rPr/>
        <w:t>various contexts.</w:t>
      </w:r>
    </w:p>
    <w:p>
      <w:pPr>
        <w:pStyle w:val="BodyText"/>
        <w:spacing w:before="10"/>
        <w:rPr>
          <w:sz w:val="23"/>
        </w:rPr>
      </w:pPr>
    </w:p>
    <w:p>
      <w:pPr>
        <w:pStyle w:val="BodyText"/>
        <w:spacing w:before="1"/>
        <w:ind w:left="237" w:right="300"/>
        <w:jc w:val="both"/>
      </w:pPr>
      <w:r>
        <w:rPr/>
        <w:t>However, whereas the draft Premises Standards proposed to apply the 90th percentile dimensions throughout, the revised proposal would apply the 90th percentile dimensions only in the following situations:</w:t>
      </w:r>
    </w:p>
    <w:p>
      <w:pPr>
        <w:pStyle w:val="BodyText"/>
        <w:spacing w:before="2"/>
      </w:pPr>
    </w:p>
    <w:p>
      <w:pPr>
        <w:pStyle w:val="ListParagraph"/>
        <w:numPr>
          <w:ilvl w:val="1"/>
          <w:numId w:val="17"/>
        </w:numPr>
        <w:tabs>
          <w:tab w:pos="1015" w:val="left" w:leader="none"/>
          <w:tab w:pos="1016" w:val="left" w:leader="none"/>
        </w:tabs>
        <w:spacing w:line="240" w:lineRule="auto" w:before="1" w:after="0"/>
        <w:ind w:left="1015" w:right="0" w:hanging="361"/>
        <w:jc w:val="left"/>
        <w:rPr>
          <w:sz w:val="24"/>
        </w:rPr>
      </w:pPr>
      <w:r>
        <w:rPr>
          <w:sz w:val="24"/>
        </w:rPr>
        <w:t>in</w:t>
      </w:r>
      <w:r>
        <w:rPr>
          <w:spacing w:val="-8"/>
          <w:sz w:val="24"/>
        </w:rPr>
        <w:t> </w:t>
      </w:r>
      <w:r>
        <w:rPr>
          <w:sz w:val="24"/>
        </w:rPr>
        <w:t>accessible</w:t>
      </w:r>
      <w:r>
        <w:rPr>
          <w:spacing w:val="-5"/>
          <w:sz w:val="24"/>
        </w:rPr>
        <w:t> </w:t>
      </w:r>
      <w:r>
        <w:rPr>
          <w:sz w:val="24"/>
        </w:rPr>
        <w:t>unisex</w:t>
      </w:r>
      <w:r>
        <w:rPr>
          <w:spacing w:val="-6"/>
          <w:sz w:val="24"/>
        </w:rPr>
        <w:t> </w:t>
      </w:r>
      <w:r>
        <w:rPr>
          <w:sz w:val="24"/>
        </w:rPr>
        <w:t>sanitary</w:t>
      </w:r>
      <w:r>
        <w:rPr>
          <w:spacing w:val="-5"/>
          <w:sz w:val="24"/>
        </w:rPr>
        <w:t> </w:t>
      </w:r>
      <w:r>
        <w:rPr>
          <w:sz w:val="24"/>
        </w:rPr>
        <w:t>facilities</w:t>
      </w:r>
      <w:r>
        <w:rPr>
          <w:spacing w:val="-5"/>
          <w:sz w:val="24"/>
        </w:rPr>
        <w:t> </w:t>
      </w:r>
      <w:r>
        <w:rPr>
          <w:spacing w:val="-2"/>
          <w:sz w:val="24"/>
        </w:rPr>
        <w:t>(toilets);</w:t>
      </w:r>
    </w:p>
    <w:p>
      <w:pPr>
        <w:pStyle w:val="ListParagraph"/>
        <w:numPr>
          <w:ilvl w:val="1"/>
          <w:numId w:val="17"/>
        </w:numPr>
        <w:tabs>
          <w:tab w:pos="1015" w:val="left" w:leader="none"/>
          <w:tab w:pos="1016" w:val="left" w:leader="none"/>
        </w:tabs>
        <w:spacing w:line="240" w:lineRule="auto" w:before="120" w:after="0"/>
        <w:ind w:left="1015" w:right="0" w:hanging="361"/>
        <w:jc w:val="left"/>
        <w:rPr>
          <w:sz w:val="24"/>
        </w:rPr>
      </w:pPr>
      <w:r>
        <w:rPr>
          <w:sz w:val="24"/>
        </w:rPr>
        <w:t>at</w:t>
      </w:r>
      <w:r>
        <w:rPr>
          <w:spacing w:val="-5"/>
          <w:sz w:val="24"/>
        </w:rPr>
        <w:t> </w:t>
      </w:r>
      <w:r>
        <w:rPr>
          <w:sz w:val="24"/>
        </w:rPr>
        <w:t>doorways</w:t>
      </w:r>
      <w:r>
        <w:rPr>
          <w:spacing w:val="-5"/>
          <w:sz w:val="24"/>
        </w:rPr>
        <w:t> </w:t>
      </w:r>
      <w:r>
        <w:rPr>
          <w:sz w:val="24"/>
        </w:rPr>
        <w:t>and</w:t>
      </w:r>
      <w:r>
        <w:rPr>
          <w:spacing w:val="-5"/>
          <w:sz w:val="24"/>
        </w:rPr>
        <w:t> </w:t>
      </w:r>
      <w:r>
        <w:rPr>
          <w:sz w:val="24"/>
        </w:rPr>
        <w:t>circulation</w:t>
      </w:r>
      <w:r>
        <w:rPr>
          <w:spacing w:val="-4"/>
          <w:sz w:val="24"/>
        </w:rPr>
        <w:t> </w:t>
      </w:r>
      <w:r>
        <w:rPr>
          <w:sz w:val="24"/>
        </w:rPr>
        <w:t>spaces</w:t>
      </w:r>
      <w:r>
        <w:rPr>
          <w:spacing w:val="-5"/>
          <w:sz w:val="24"/>
        </w:rPr>
        <w:t> </w:t>
      </w:r>
      <w:r>
        <w:rPr>
          <w:sz w:val="24"/>
        </w:rPr>
        <w:t>to</w:t>
      </w:r>
      <w:r>
        <w:rPr>
          <w:spacing w:val="-5"/>
          <w:sz w:val="24"/>
        </w:rPr>
        <w:t> </w:t>
      </w:r>
      <w:r>
        <w:rPr>
          <w:sz w:val="24"/>
        </w:rPr>
        <w:t>doorways;</w:t>
      </w:r>
      <w:r>
        <w:rPr>
          <w:spacing w:val="-4"/>
          <w:sz w:val="24"/>
        </w:rPr>
        <w:t> </w:t>
      </w:r>
      <w:r>
        <w:rPr>
          <w:spacing w:val="-5"/>
          <w:sz w:val="24"/>
        </w:rPr>
        <w:t>and</w:t>
      </w:r>
    </w:p>
    <w:p>
      <w:pPr>
        <w:pStyle w:val="ListParagraph"/>
        <w:numPr>
          <w:ilvl w:val="1"/>
          <w:numId w:val="17"/>
        </w:numPr>
        <w:tabs>
          <w:tab w:pos="1017" w:val="left" w:leader="none"/>
          <w:tab w:pos="1018" w:val="left" w:leader="none"/>
        </w:tabs>
        <w:spacing w:line="237" w:lineRule="auto" w:before="122" w:after="0"/>
        <w:ind w:left="1017" w:right="295" w:hanging="360"/>
        <w:jc w:val="left"/>
        <w:rPr>
          <w:sz w:val="24"/>
        </w:rPr>
      </w:pPr>
      <w:r>
        <w:rPr>
          <w:sz w:val="24"/>
        </w:rPr>
        <w:t>where</w:t>
      </w:r>
      <w:r>
        <w:rPr>
          <w:spacing w:val="29"/>
          <w:sz w:val="24"/>
        </w:rPr>
        <w:t> </w:t>
      </w:r>
      <w:r>
        <w:rPr>
          <w:sz w:val="24"/>
        </w:rPr>
        <w:t>there</w:t>
      </w:r>
      <w:r>
        <w:rPr>
          <w:spacing w:val="29"/>
          <w:sz w:val="24"/>
        </w:rPr>
        <w:t> </w:t>
      </w:r>
      <w:r>
        <w:rPr>
          <w:sz w:val="24"/>
        </w:rPr>
        <w:t>is</w:t>
      </w:r>
      <w:r>
        <w:rPr>
          <w:spacing w:val="29"/>
          <w:sz w:val="24"/>
        </w:rPr>
        <w:t> </w:t>
      </w:r>
      <w:r>
        <w:rPr>
          <w:sz w:val="24"/>
        </w:rPr>
        <w:t>a</w:t>
      </w:r>
      <w:r>
        <w:rPr>
          <w:spacing w:val="29"/>
          <w:sz w:val="24"/>
        </w:rPr>
        <w:t> </w:t>
      </w:r>
      <w:r>
        <w:rPr>
          <w:sz w:val="24"/>
        </w:rPr>
        <w:t>change</w:t>
      </w:r>
      <w:r>
        <w:rPr>
          <w:spacing w:val="29"/>
          <w:sz w:val="24"/>
        </w:rPr>
        <w:t> </w:t>
      </w:r>
      <w:r>
        <w:rPr>
          <w:sz w:val="24"/>
        </w:rPr>
        <w:t>in</w:t>
      </w:r>
      <w:r>
        <w:rPr>
          <w:spacing w:val="29"/>
          <w:sz w:val="24"/>
        </w:rPr>
        <w:t> </w:t>
      </w:r>
      <w:r>
        <w:rPr>
          <w:sz w:val="24"/>
        </w:rPr>
        <w:t>direction</w:t>
      </w:r>
      <w:r>
        <w:rPr>
          <w:spacing w:val="29"/>
          <w:sz w:val="24"/>
        </w:rPr>
        <w:t> </w:t>
      </w:r>
      <w:r>
        <w:rPr>
          <w:sz w:val="24"/>
        </w:rPr>
        <w:t>on</w:t>
      </w:r>
      <w:r>
        <w:rPr>
          <w:spacing w:val="29"/>
          <w:sz w:val="24"/>
        </w:rPr>
        <w:t> </w:t>
      </w:r>
      <w:r>
        <w:rPr>
          <w:sz w:val="24"/>
        </w:rPr>
        <w:t>an</w:t>
      </w:r>
      <w:r>
        <w:rPr>
          <w:spacing w:val="29"/>
          <w:sz w:val="24"/>
        </w:rPr>
        <w:t> </w:t>
      </w:r>
      <w:r>
        <w:rPr>
          <w:sz w:val="24"/>
        </w:rPr>
        <w:t>accessway</w:t>
      </w:r>
      <w:r>
        <w:rPr>
          <w:spacing w:val="29"/>
          <w:sz w:val="24"/>
        </w:rPr>
        <w:t> </w:t>
      </w:r>
      <w:r>
        <w:rPr>
          <w:sz w:val="24"/>
        </w:rPr>
        <w:t>of</w:t>
      </w:r>
      <w:r>
        <w:rPr>
          <w:spacing w:val="29"/>
          <w:sz w:val="24"/>
        </w:rPr>
        <w:t> </w:t>
      </w:r>
      <w:r>
        <w:rPr>
          <w:sz w:val="24"/>
        </w:rPr>
        <w:t>more</w:t>
      </w:r>
      <w:r>
        <w:rPr>
          <w:spacing w:val="29"/>
          <w:sz w:val="24"/>
        </w:rPr>
        <w:t> </w:t>
      </w:r>
      <w:r>
        <w:rPr>
          <w:sz w:val="24"/>
        </w:rPr>
        <w:t>than</w:t>
      </w:r>
      <w:r>
        <w:rPr>
          <w:spacing w:val="29"/>
          <w:sz w:val="24"/>
        </w:rPr>
        <w:t> </w:t>
      </w:r>
      <w:r>
        <w:rPr>
          <w:sz w:val="24"/>
        </w:rPr>
        <w:t>60 </w:t>
      </w:r>
      <w:r>
        <w:rPr>
          <w:spacing w:val="-2"/>
          <w:sz w:val="24"/>
        </w:rPr>
        <w:t>degrees.</w:t>
      </w:r>
    </w:p>
    <w:p>
      <w:pPr>
        <w:pStyle w:val="BodyText"/>
      </w:pPr>
    </w:p>
    <w:p>
      <w:pPr>
        <w:pStyle w:val="BodyText"/>
        <w:ind w:left="237" w:right="295"/>
        <w:jc w:val="both"/>
      </w:pPr>
      <w:r>
        <w:rPr/>
        <w:t>This</w:t>
      </w:r>
      <w:r>
        <w:rPr>
          <w:spacing w:val="-2"/>
        </w:rPr>
        <w:t> </w:t>
      </w:r>
      <w:r>
        <w:rPr/>
        <w:t>change</w:t>
      </w:r>
      <w:r>
        <w:rPr>
          <w:spacing w:val="-2"/>
        </w:rPr>
        <w:t> </w:t>
      </w:r>
      <w:r>
        <w:rPr/>
        <w:t>will</w:t>
      </w:r>
      <w:r>
        <w:rPr>
          <w:spacing w:val="-2"/>
        </w:rPr>
        <w:t> </w:t>
      </w:r>
      <w:r>
        <w:rPr/>
        <w:t>somewhat</w:t>
      </w:r>
      <w:r>
        <w:rPr>
          <w:spacing w:val="-2"/>
        </w:rPr>
        <w:t> </w:t>
      </w:r>
      <w:r>
        <w:rPr/>
        <w:t>reduce</w:t>
      </w:r>
      <w:r>
        <w:rPr>
          <w:spacing w:val="-2"/>
        </w:rPr>
        <w:t> </w:t>
      </w:r>
      <w:r>
        <w:rPr/>
        <w:t>the</w:t>
      </w:r>
      <w:r>
        <w:rPr>
          <w:spacing w:val="-2"/>
        </w:rPr>
        <w:t> </w:t>
      </w:r>
      <w:r>
        <w:rPr/>
        <w:t>size</w:t>
      </w:r>
      <w:r>
        <w:rPr>
          <w:spacing w:val="-2"/>
        </w:rPr>
        <w:t> </w:t>
      </w:r>
      <w:r>
        <w:rPr/>
        <w:t>of</w:t>
      </w:r>
      <w:r>
        <w:rPr>
          <w:spacing w:val="-2"/>
        </w:rPr>
        <w:t> </w:t>
      </w:r>
      <w:r>
        <w:rPr/>
        <w:t>the</w:t>
      </w:r>
      <w:r>
        <w:rPr>
          <w:spacing w:val="-2"/>
        </w:rPr>
        <w:t> </w:t>
      </w:r>
      <w:r>
        <w:rPr/>
        <w:t>benefits</w:t>
      </w:r>
      <w:r>
        <w:rPr>
          <w:spacing w:val="-2"/>
        </w:rPr>
        <w:t> </w:t>
      </w:r>
      <w:r>
        <w:rPr/>
        <w:t>that</w:t>
      </w:r>
      <w:r>
        <w:rPr>
          <w:spacing w:val="-2"/>
        </w:rPr>
        <w:t> </w:t>
      </w:r>
      <w:r>
        <w:rPr/>
        <w:t>will</w:t>
      </w:r>
      <w:r>
        <w:rPr>
          <w:spacing w:val="-2"/>
        </w:rPr>
        <w:t> </w:t>
      </w:r>
      <w:r>
        <w:rPr/>
        <w:t>be</w:t>
      </w:r>
      <w:r>
        <w:rPr>
          <w:spacing w:val="-2"/>
        </w:rPr>
        <w:t> </w:t>
      </w:r>
      <w:r>
        <w:rPr/>
        <w:t>derived</w:t>
      </w:r>
      <w:r>
        <w:rPr>
          <w:spacing w:val="-2"/>
        </w:rPr>
        <w:t> </w:t>
      </w:r>
      <w:r>
        <w:rPr/>
        <w:t>vis- à-vis the original proposal, however, the larger 90th percentile dimensions will</w:t>
      </w:r>
      <w:r>
        <w:rPr>
          <w:spacing w:val="40"/>
        </w:rPr>
        <w:t> </w:t>
      </w:r>
      <w:r>
        <w:rPr/>
        <w:t>still be required for most critical circumstances.</w:t>
      </w:r>
    </w:p>
    <w:p>
      <w:pPr>
        <w:pStyle w:val="BodyText"/>
      </w:pPr>
    </w:p>
    <w:p>
      <w:pPr>
        <w:pStyle w:val="BodyText"/>
        <w:ind w:left="237" w:right="292"/>
        <w:jc w:val="both"/>
      </w:pPr>
      <w:r>
        <w:rPr/>
        <w:t>Although proposed in the consultation draft of the Premises Standards, the location of step ramps will not be restricted although their gradients and lengths will be reduced making them safer for people to use.</w:t>
      </w:r>
    </w:p>
    <w:p>
      <w:pPr>
        <w:spacing w:after="0"/>
        <w:jc w:val="both"/>
        <w:sectPr>
          <w:pgSz w:w="12240" w:h="15840"/>
          <w:pgMar w:header="0" w:footer="1140" w:top="1360" w:bottom="1340" w:left="1560" w:right="1500"/>
        </w:sectPr>
      </w:pPr>
    </w:p>
    <w:p>
      <w:pPr>
        <w:pStyle w:val="BodyText"/>
        <w:spacing w:before="77"/>
        <w:ind w:left="237" w:right="294"/>
        <w:jc w:val="both"/>
      </w:pPr>
      <w:bookmarkStart w:name="_bookmark17" w:id="59"/>
      <w:bookmarkEnd w:id="59"/>
      <w:r>
        <w:rPr/>
      </w:r>
      <w:r>
        <w:rPr/>
        <w:t>Passing and turning spaces will be required where long narrow accessways form part of the building design.</w:t>
      </w:r>
      <w:r>
        <w:rPr>
          <w:spacing w:val="40"/>
        </w:rPr>
        <w:t> </w:t>
      </w:r>
      <w:r>
        <w:rPr/>
        <w:t>The provision of passing and turning spaces will prevent people in wheelchairs having to travel in reverse.</w:t>
      </w:r>
    </w:p>
    <w:p>
      <w:pPr>
        <w:pStyle w:val="BodyText"/>
        <w:spacing w:before="11"/>
        <w:rPr>
          <w:sz w:val="23"/>
        </w:rPr>
      </w:pPr>
    </w:p>
    <w:p>
      <w:pPr>
        <w:pStyle w:val="BodyText"/>
        <w:ind w:left="237" w:right="295"/>
        <w:jc w:val="both"/>
      </w:pPr>
      <w:r>
        <w:rPr/>
        <w:t>It will be possible to use bench tops in lieu of shelves in accessible sanitary facilities, thus providing greater design flexibility.</w:t>
      </w:r>
    </w:p>
    <w:p>
      <w:pPr>
        <w:pStyle w:val="BodyText"/>
      </w:pPr>
    </w:p>
    <w:p>
      <w:pPr>
        <w:pStyle w:val="BodyText"/>
        <w:ind w:left="237" w:right="302"/>
        <w:jc w:val="both"/>
      </w:pPr>
      <w:r>
        <w:rPr/>
        <w:t>Visual indicators will be required on glazing along an accessway making them safer for a person who is blind or vision impaired.</w:t>
      </w:r>
    </w:p>
    <w:p>
      <w:pPr>
        <w:pStyle w:val="BodyText"/>
        <w:spacing w:before="4"/>
      </w:pPr>
    </w:p>
    <w:p>
      <w:pPr>
        <w:pStyle w:val="Heading5"/>
        <w:numPr>
          <w:ilvl w:val="0"/>
          <w:numId w:val="17"/>
        </w:numPr>
        <w:tabs>
          <w:tab w:pos="597" w:val="left" w:leader="none"/>
          <w:tab w:pos="598" w:val="left" w:leader="none"/>
        </w:tabs>
        <w:spacing w:line="237" w:lineRule="auto" w:before="1" w:after="0"/>
        <w:ind w:left="597" w:right="293" w:hanging="360"/>
        <w:jc w:val="left"/>
      </w:pPr>
      <w:r>
        <w:rPr>
          <w:i/>
        </w:rPr>
        <w:t>AS</w:t>
      </w:r>
      <w:r>
        <w:rPr>
          <w:i/>
          <w:spacing w:val="80"/>
        </w:rPr>
        <w:t> </w:t>
      </w:r>
      <w:r>
        <w:rPr>
          <w:i/>
        </w:rPr>
        <w:t>1428.4</w:t>
      </w:r>
      <w:r>
        <w:rPr>
          <w:i/>
          <w:spacing w:val="80"/>
        </w:rPr>
        <w:t> </w:t>
      </w:r>
      <w:r>
        <w:rPr>
          <w:i/>
        </w:rPr>
        <w:t>Design</w:t>
      </w:r>
      <w:r>
        <w:rPr>
          <w:i/>
          <w:spacing w:val="80"/>
        </w:rPr>
        <w:t> </w:t>
      </w:r>
      <w:r>
        <w:rPr>
          <w:i/>
        </w:rPr>
        <w:t>for</w:t>
      </w:r>
      <w:r>
        <w:rPr>
          <w:i/>
          <w:spacing w:val="80"/>
        </w:rPr>
        <w:t> </w:t>
      </w:r>
      <w:r>
        <w:rPr>
          <w:i/>
        </w:rPr>
        <w:t>access</w:t>
      </w:r>
      <w:r>
        <w:rPr>
          <w:i/>
          <w:spacing w:val="80"/>
        </w:rPr>
        <w:t> </w:t>
      </w:r>
      <w:r>
        <w:rPr>
          <w:i/>
        </w:rPr>
        <w:t>and</w:t>
      </w:r>
      <w:r>
        <w:rPr>
          <w:i/>
          <w:spacing w:val="80"/>
        </w:rPr>
        <w:t> </w:t>
      </w:r>
      <w:r>
        <w:rPr>
          <w:i/>
        </w:rPr>
        <w:t>mobility:</w:t>
      </w:r>
      <w:r>
        <w:rPr>
          <w:i/>
          <w:spacing w:val="80"/>
        </w:rPr>
        <w:t> </w:t>
      </w:r>
      <w:r>
        <w:rPr>
          <w:i/>
        </w:rPr>
        <w:t>Tactile</w:t>
      </w:r>
      <w:r>
        <w:rPr>
          <w:i/>
          <w:spacing w:val="80"/>
        </w:rPr>
        <w:t> </w:t>
      </w:r>
      <w:r>
        <w:rPr>
          <w:i/>
        </w:rPr>
        <w:t>ground</w:t>
      </w:r>
      <w:r>
        <w:rPr>
          <w:i/>
          <w:spacing w:val="88"/>
        </w:rPr>
        <w:t> </w:t>
      </w:r>
      <w:r>
        <w:rPr>
          <w:i/>
        </w:rPr>
        <w:t>surface</w:t>
      </w:r>
      <w:r>
        <w:rPr/>
        <w:t> indicators for orientation of people with vision impairment.</w:t>
      </w:r>
    </w:p>
    <w:p>
      <w:pPr>
        <w:pStyle w:val="BodyText"/>
        <w:ind w:left="237" w:right="295"/>
        <w:jc w:val="both"/>
      </w:pPr>
      <w:r>
        <w:rPr/>
        <w:t>AS 1428.4 will be reformatted so that all Premises Standards matters are</w:t>
      </w:r>
      <w:r>
        <w:rPr>
          <w:spacing w:val="40"/>
        </w:rPr>
        <w:t> </w:t>
      </w:r>
      <w:r>
        <w:rPr/>
        <w:t>covered in a single section.</w:t>
      </w:r>
    </w:p>
    <w:p>
      <w:pPr>
        <w:pStyle w:val="BodyText"/>
        <w:spacing w:before="10"/>
        <w:rPr>
          <w:sz w:val="23"/>
        </w:rPr>
      </w:pPr>
    </w:p>
    <w:p>
      <w:pPr>
        <w:pStyle w:val="BodyText"/>
        <w:ind w:left="237" w:right="303"/>
        <w:jc w:val="both"/>
      </w:pPr>
      <w:r>
        <w:rPr/>
        <w:t>Further information will be provided on how to conduct luminance contrast</w:t>
      </w:r>
      <w:r>
        <w:rPr>
          <w:spacing w:val="40"/>
        </w:rPr>
        <w:t> </w:t>
      </w:r>
      <w:r>
        <w:rPr>
          <w:spacing w:val="-2"/>
        </w:rPr>
        <w:t>testing.</w:t>
      </w:r>
    </w:p>
    <w:p>
      <w:pPr>
        <w:pStyle w:val="BodyText"/>
        <w:spacing w:before="2"/>
      </w:pPr>
    </w:p>
    <w:p>
      <w:pPr>
        <w:pStyle w:val="Heading5"/>
        <w:numPr>
          <w:ilvl w:val="0"/>
          <w:numId w:val="17"/>
        </w:numPr>
        <w:tabs>
          <w:tab w:pos="598" w:val="left" w:leader="none"/>
        </w:tabs>
        <w:spacing w:line="292" w:lineRule="exact" w:before="0" w:after="0"/>
        <w:ind w:left="597" w:right="0" w:hanging="361"/>
        <w:jc w:val="both"/>
        <w:rPr>
          <w:i/>
        </w:rPr>
      </w:pPr>
      <w:r>
        <w:rPr>
          <w:i/>
        </w:rPr>
        <w:t>AS</w:t>
      </w:r>
      <w:r>
        <w:rPr>
          <w:i/>
          <w:spacing w:val="-9"/>
        </w:rPr>
        <w:t> </w:t>
      </w:r>
      <w:r>
        <w:rPr>
          <w:i/>
        </w:rPr>
        <w:t>2890.1</w:t>
      </w:r>
      <w:r>
        <w:rPr>
          <w:i/>
          <w:spacing w:val="-8"/>
        </w:rPr>
        <w:t> </w:t>
      </w:r>
      <w:r>
        <w:rPr>
          <w:i/>
        </w:rPr>
        <w:t>Parking</w:t>
      </w:r>
      <w:r>
        <w:rPr>
          <w:i/>
          <w:spacing w:val="-9"/>
        </w:rPr>
        <w:t> </w:t>
      </w:r>
      <w:r>
        <w:rPr>
          <w:i/>
        </w:rPr>
        <w:t>facilities:</w:t>
      </w:r>
      <w:r>
        <w:rPr>
          <w:i/>
          <w:spacing w:val="-9"/>
        </w:rPr>
        <w:t> </w:t>
      </w:r>
      <w:r>
        <w:rPr>
          <w:i/>
        </w:rPr>
        <w:t>Off-street</w:t>
      </w:r>
      <w:r>
        <w:rPr>
          <w:i/>
          <w:spacing w:val="-9"/>
        </w:rPr>
        <w:t> </w:t>
      </w:r>
      <w:r>
        <w:rPr>
          <w:i/>
          <w:spacing w:val="-2"/>
        </w:rPr>
        <w:t>parking</w:t>
      </w:r>
    </w:p>
    <w:p>
      <w:pPr>
        <w:pStyle w:val="BodyText"/>
        <w:ind w:left="237" w:right="294"/>
        <w:jc w:val="both"/>
      </w:pPr>
      <w:r>
        <w:rPr/>
        <w:t>The</w:t>
      </w:r>
      <w:r>
        <w:rPr>
          <w:spacing w:val="-4"/>
        </w:rPr>
        <w:t> </w:t>
      </w:r>
      <w:r>
        <w:rPr/>
        <w:t>new</w:t>
      </w:r>
      <w:r>
        <w:rPr>
          <w:spacing w:val="-4"/>
        </w:rPr>
        <w:t> </w:t>
      </w:r>
      <w:r>
        <w:rPr/>
        <w:t>Standard</w:t>
      </w:r>
      <w:r>
        <w:rPr>
          <w:spacing w:val="-4"/>
        </w:rPr>
        <w:t> </w:t>
      </w:r>
      <w:r>
        <w:rPr/>
        <w:t>will</w:t>
      </w:r>
      <w:r>
        <w:rPr>
          <w:spacing w:val="-4"/>
        </w:rPr>
        <w:t> </w:t>
      </w:r>
      <w:r>
        <w:rPr/>
        <w:t>reconfigure</w:t>
      </w:r>
      <w:r>
        <w:rPr>
          <w:spacing w:val="-4"/>
        </w:rPr>
        <w:t> </w:t>
      </w:r>
      <w:r>
        <w:rPr/>
        <w:t>the</w:t>
      </w:r>
      <w:r>
        <w:rPr>
          <w:spacing w:val="-4"/>
        </w:rPr>
        <w:t> </w:t>
      </w:r>
      <w:r>
        <w:rPr/>
        <w:t>required</w:t>
      </w:r>
      <w:r>
        <w:rPr>
          <w:spacing w:val="-4"/>
        </w:rPr>
        <w:t> </w:t>
      </w:r>
      <w:r>
        <w:rPr/>
        <w:t>dimensions</w:t>
      </w:r>
      <w:r>
        <w:rPr>
          <w:spacing w:val="-3"/>
        </w:rPr>
        <w:t> </w:t>
      </w:r>
      <w:r>
        <w:rPr/>
        <w:t>for</w:t>
      </w:r>
      <w:r>
        <w:rPr>
          <w:spacing w:val="-4"/>
        </w:rPr>
        <w:t> </w:t>
      </w:r>
      <w:r>
        <w:rPr/>
        <w:t>accessible</w:t>
      </w:r>
      <w:r>
        <w:rPr>
          <w:spacing w:val="-4"/>
        </w:rPr>
        <w:t> </w:t>
      </w:r>
      <w:r>
        <w:rPr/>
        <w:t>parking spaces, thus improving the ease of use associated with them.</w:t>
      </w:r>
      <w:r>
        <w:rPr>
          <w:spacing w:val="40"/>
        </w:rPr>
        <w:t> </w:t>
      </w:r>
      <w:r>
        <w:rPr/>
        <w:t>Changes to the Standard</w:t>
      </w:r>
      <w:r>
        <w:rPr/>
        <w:t> will</w:t>
      </w:r>
      <w:r>
        <w:rPr/>
        <w:t> allow</w:t>
      </w:r>
      <w:r>
        <w:rPr/>
        <w:t> for</w:t>
      </w:r>
      <w:r>
        <w:rPr/>
        <w:t> alternative</w:t>
      </w:r>
      <w:r>
        <w:rPr/>
        <w:t> configurations</w:t>
      </w:r>
      <w:r>
        <w:rPr/>
        <w:t> of</w:t>
      </w:r>
      <w:r>
        <w:rPr/>
        <w:t> parking</w:t>
      </w:r>
      <w:r>
        <w:rPr/>
        <w:t> spaces,</w:t>
      </w:r>
      <w:r>
        <w:rPr/>
        <w:t> increasing design flexibility.</w:t>
      </w:r>
    </w:p>
    <w:p>
      <w:pPr>
        <w:pStyle w:val="BodyText"/>
        <w:spacing w:before="9"/>
        <w:rPr>
          <w:sz w:val="23"/>
        </w:rPr>
      </w:pPr>
    </w:p>
    <w:p>
      <w:pPr>
        <w:pStyle w:val="BodyText"/>
        <w:ind w:left="237"/>
        <w:jc w:val="both"/>
      </w:pPr>
      <w:r>
        <w:rPr/>
        <w:t>The</w:t>
      </w:r>
      <w:r>
        <w:rPr>
          <w:spacing w:val="-4"/>
        </w:rPr>
        <w:t> </w:t>
      </w:r>
      <w:r>
        <w:rPr/>
        <w:t>benefits</w:t>
      </w:r>
      <w:r>
        <w:rPr>
          <w:spacing w:val="-3"/>
        </w:rPr>
        <w:t> </w:t>
      </w:r>
      <w:r>
        <w:rPr/>
        <w:t>from</w:t>
      </w:r>
      <w:r>
        <w:rPr>
          <w:spacing w:val="-4"/>
        </w:rPr>
        <w:t> </w:t>
      </w:r>
      <w:r>
        <w:rPr/>
        <w:t>these</w:t>
      </w:r>
      <w:r>
        <w:rPr>
          <w:spacing w:val="-3"/>
        </w:rPr>
        <w:t> </w:t>
      </w:r>
      <w:r>
        <w:rPr/>
        <w:t>changes</w:t>
      </w:r>
      <w:r>
        <w:rPr>
          <w:spacing w:val="-3"/>
        </w:rPr>
        <w:t> </w:t>
      </w:r>
      <w:r>
        <w:rPr/>
        <w:t>are</w:t>
      </w:r>
      <w:r>
        <w:rPr>
          <w:spacing w:val="-4"/>
        </w:rPr>
        <w:t> </w:t>
      </w:r>
      <w:r>
        <w:rPr/>
        <w:t>expected</w:t>
      </w:r>
      <w:r>
        <w:rPr>
          <w:spacing w:val="-3"/>
        </w:rPr>
        <w:t> </w:t>
      </w:r>
      <w:r>
        <w:rPr/>
        <w:t>to</w:t>
      </w:r>
      <w:r>
        <w:rPr>
          <w:spacing w:val="-3"/>
        </w:rPr>
        <w:t> </w:t>
      </w:r>
      <w:r>
        <w:rPr/>
        <w:t>be</w:t>
      </w:r>
      <w:r>
        <w:rPr>
          <w:spacing w:val="-4"/>
        </w:rPr>
        <w:t> </w:t>
      </w:r>
      <w:r>
        <w:rPr/>
        <w:t>moderate</w:t>
      </w:r>
      <w:r>
        <w:rPr>
          <w:spacing w:val="-3"/>
        </w:rPr>
        <w:t> </w:t>
      </w:r>
      <w:r>
        <w:rPr/>
        <w:t>in</w:t>
      </w:r>
      <w:r>
        <w:rPr>
          <w:spacing w:val="-3"/>
        </w:rPr>
        <w:t> </w:t>
      </w:r>
      <w:r>
        <w:rPr>
          <w:spacing w:val="-2"/>
        </w:rPr>
        <w:t>scope.</w:t>
      </w:r>
    </w:p>
    <w:p>
      <w:pPr>
        <w:pStyle w:val="BodyText"/>
        <w:rPr>
          <w:sz w:val="26"/>
        </w:rPr>
      </w:pPr>
    </w:p>
    <w:p>
      <w:pPr>
        <w:pStyle w:val="BodyText"/>
        <w:spacing w:before="5"/>
        <w:rPr>
          <w:sz w:val="29"/>
        </w:rPr>
      </w:pPr>
    </w:p>
    <w:p>
      <w:pPr>
        <w:pStyle w:val="Heading2"/>
        <w:numPr>
          <w:ilvl w:val="1"/>
          <w:numId w:val="14"/>
        </w:numPr>
        <w:tabs>
          <w:tab w:pos="959" w:val="left" w:leader="none"/>
        </w:tabs>
        <w:spacing w:line="240" w:lineRule="auto" w:before="1" w:after="0"/>
        <w:ind w:left="958" w:right="0" w:hanging="722"/>
        <w:jc w:val="both"/>
        <w:rPr>
          <w:i/>
        </w:rPr>
      </w:pPr>
      <w:bookmarkStart w:name="7.5 The benefits in context" w:id="60"/>
      <w:bookmarkEnd w:id="60"/>
      <w:r>
        <w:rPr>
          <w:i/>
        </w:rPr>
        <w:t>The</w:t>
      </w:r>
      <w:r>
        <w:rPr>
          <w:i/>
          <w:spacing w:val="-7"/>
        </w:rPr>
        <w:t> </w:t>
      </w:r>
      <w:r>
        <w:rPr>
          <w:i/>
        </w:rPr>
        <w:t>benefits</w:t>
      </w:r>
      <w:r>
        <w:rPr>
          <w:i/>
          <w:spacing w:val="-6"/>
        </w:rPr>
        <w:t> </w:t>
      </w:r>
      <w:r>
        <w:rPr>
          <w:i/>
        </w:rPr>
        <w:t>in</w:t>
      </w:r>
      <w:r>
        <w:rPr>
          <w:i/>
          <w:spacing w:val="-6"/>
        </w:rPr>
        <w:t> </w:t>
      </w:r>
      <w:r>
        <w:rPr>
          <w:i/>
          <w:spacing w:val="-2"/>
        </w:rPr>
        <w:t>context</w:t>
      </w:r>
    </w:p>
    <w:p>
      <w:pPr>
        <w:pStyle w:val="Heading3"/>
        <w:numPr>
          <w:ilvl w:val="2"/>
          <w:numId w:val="18"/>
        </w:numPr>
        <w:tabs>
          <w:tab w:pos="958" w:val="left" w:leader="none"/>
        </w:tabs>
        <w:spacing w:line="240" w:lineRule="auto" w:before="241" w:after="0"/>
        <w:ind w:left="957" w:right="0" w:hanging="721"/>
        <w:jc w:val="both"/>
      </w:pPr>
      <w:bookmarkStart w:name="7.5.1 Size of the affected group" w:id="61"/>
      <w:bookmarkEnd w:id="61"/>
      <w:r>
        <w:rPr/>
        <w:t>Siz</w:t>
      </w:r>
      <w:r>
        <w:rPr/>
        <w:t>e</w:t>
      </w:r>
      <w:r>
        <w:rPr>
          <w:spacing w:val="-4"/>
        </w:rPr>
        <w:t> </w:t>
      </w:r>
      <w:r>
        <w:rPr/>
        <w:t>of</w:t>
      </w:r>
      <w:r>
        <w:rPr>
          <w:spacing w:val="-4"/>
        </w:rPr>
        <w:t> </w:t>
      </w:r>
      <w:r>
        <w:rPr/>
        <w:t>the</w:t>
      </w:r>
      <w:r>
        <w:rPr>
          <w:spacing w:val="-4"/>
        </w:rPr>
        <w:t> </w:t>
      </w:r>
      <w:r>
        <w:rPr/>
        <w:t>affected</w:t>
      </w:r>
      <w:r>
        <w:rPr>
          <w:spacing w:val="-4"/>
        </w:rPr>
        <w:t> </w:t>
      </w:r>
      <w:r>
        <w:rPr>
          <w:spacing w:val="-2"/>
        </w:rPr>
        <w:t>group</w:t>
      </w:r>
    </w:p>
    <w:p>
      <w:pPr>
        <w:pStyle w:val="Heading5"/>
        <w:spacing w:line="275" w:lineRule="exact" w:before="58"/>
        <w:rPr>
          <w:i/>
        </w:rPr>
      </w:pPr>
      <w:r>
        <w:rPr>
          <w:i/>
        </w:rPr>
        <w:t>Incidence</w:t>
      </w:r>
      <w:r>
        <w:rPr>
          <w:i/>
          <w:spacing w:val="-4"/>
        </w:rPr>
        <w:t> </w:t>
      </w:r>
      <w:r>
        <w:rPr>
          <w:i/>
        </w:rPr>
        <w:t>of</w:t>
      </w:r>
      <w:r>
        <w:rPr>
          <w:i/>
          <w:spacing w:val="-4"/>
        </w:rPr>
        <w:t> </w:t>
      </w:r>
      <w:r>
        <w:rPr>
          <w:i/>
          <w:spacing w:val="-2"/>
        </w:rPr>
        <w:t>disability</w:t>
      </w:r>
    </w:p>
    <w:p>
      <w:pPr>
        <w:pStyle w:val="BodyText"/>
        <w:ind w:left="237" w:right="293"/>
        <w:jc w:val="both"/>
      </w:pPr>
      <w:r>
        <w:rPr/>
        <w:t>Section 6.4 discussed the benefits expected to result from each of the main specific requirements to be adopted as part of the Premises Standards, comparing them to existing BCA provisions to provide a meaningful incremental analysis.</w:t>
      </w:r>
      <w:r>
        <w:rPr>
          <w:spacing w:val="40"/>
        </w:rPr>
        <w:t> </w:t>
      </w:r>
      <w:r>
        <w:rPr/>
        <w:t>This section considers the benefits of the proposed Standards in more aggregative terms and places these in the context of the current position of people with a disability within society.</w:t>
      </w:r>
    </w:p>
    <w:p>
      <w:pPr>
        <w:pStyle w:val="BodyText"/>
      </w:pPr>
    </w:p>
    <w:p>
      <w:pPr>
        <w:pStyle w:val="BodyText"/>
        <w:ind w:left="237" w:right="295"/>
        <w:jc w:val="both"/>
      </w:pPr>
      <w:r>
        <w:rPr/>
        <w:t>As noted previously, the number of potential beneficiaries of the proposed Premises Standards is both large and rising.</w:t>
      </w:r>
      <w:r>
        <w:rPr>
          <w:spacing w:val="40"/>
        </w:rPr>
        <w:t> </w:t>
      </w:r>
      <w:r>
        <w:rPr/>
        <w:t>The proportion of the population reporting</w:t>
      </w:r>
      <w:r>
        <w:rPr>
          <w:spacing w:val="40"/>
        </w:rPr>
        <w:t> </w:t>
      </w:r>
      <w:r>
        <w:rPr/>
        <w:t>some</w:t>
      </w:r>
      <w:r>
        <w:rPr>
          <w:spacing w:val="40"/>
        </w:rPr>
        <w:t> </w:t>
      </w:r>
      <w:r>
        <w:rPr/>
        <w:t>form</w:t>
      </w:r>
      <w:r>
        <w:rPr>
          <w:spacing w:val="40"/>
        </w:rPr>
        <w:t> </w:t>
      </w:r>
      <w:r>
        <w:rPr/>
        <w:t>of</w:t>
      </w:r>
      <w:r>
        <w:rPr>
          <w:spacing w:val="40"/>
        </w:rPr>
        <w:t> </w:t>
      </w:r>
      <w:r>
        <w:rPr/>
        <w:t>disability</w:t>
      </w:r>
      <w:r>
        <w:rPr>
          <w:spacing w:val="40"/>
        </w:rPr>
        <w:t> </w:t>
      </w:r>
      <w:r>
        <w:rPr/>
        <w:t>reached</w:t>
      </w:r>
      <w:r>
        <w:rPr>
          <w:spacing w:val="40"/>
        </w:rPr>
        <w:t> </w:t>
      </w:r>
      <w:r>
        <w:rPr/>
        <w:t>20%</w:t>
      </w:r>
      <w:r>
        <w:rPr>
          <w:spacing w:val="40"/>
        </w:rPr>
        <w:t> </w:t>
      </w:r>
      <w:r>
        <w:rPr/>
        <w:t>in</w:t>
      </w:r>
      <w:r>
        <w:rPr>
          <w:spacing w:val="40"/>
        </w:rPr>
        <w:t> </w:t>
      </w:r>
      <w:r>
        <w:rPr/>
        <w:t>2003</w:t>
      </w:r>
      <w:r>
        <w:rPr>
          <w:vertAlign w:val="superscript"/>
        </w:rPr>
        <w:t>25</w:t>
      </w:r>
      <w:r>
        <w:rPr>
          <w:vertAlign w:val="baseline"/>
        </w:rPr>
        <w:t>,</w:t>
      </w:r>
      <w:r>
        <w:rPr>
          <w:spacing w:val="40"/>
          <w:vertAlign w:val="baseline"/>
        </w:rPr>
        <w:t> </w:t>
      </w:r>
      <w:r>
        <w:rPr>
          <w:vertAlign w:val="baseline"/>
        </w:rPr>
        <w:t>an</w:t>
      </w:r>
      <w:r>
        <w:rPr>
          <w:spacing w:val="40"/>
          <w:vertAlign w:val="baseline"/>
        </w:rPr>
        <w:t> </w:t>
      </w:r>
      <w:r>
        <w:rPr>
          <w:vertAlign w:val="baseline"/>
        </w:rPr>
        <w:t>increase</w:t>
      </w:r>
      <w:r>
        <w:rPr>
          <w:spacing w:val="40"/>
          <w:vertAlign w:val="baseline"/>
        </w:rPr>
        <w:t> </w:t>
      </w:r>
      <w:r>
        <w:rPr>
          <w:vertAlign w:val="baseline"/>
        </w:rPr>
        <w:t>of</w:t>
      </w:r>
      <w:r>
        <w:rPr>
          <w:spacing w:val="40"/>
          <w:vertAlign w:val="baseline"/>
        </w:rPr>
        <w:t> </w:t>
      </w:r>
      <w:r>
        <w:rPr>
          <w:vertAlign w:val="baseline"/>
        </w:rPr>
        <w:t>over</w:t>
      </w:r>
    </w:p>
    <w:p>
      <w:pPr>
        <w:pStyle w:val="BodyText"/>
        <w:rPr>
          <w:sz w:val="20"/>
        </w:rPr>
      </w:pPr>
    </w:p>
    <w:p>
      <w:pPr>
        <w:pStyle w:val="BodyText"/>
        <w:rPr>
          <w:sz w:val="20"/>
        </w:rPr>
      </w:pPr>
      <w:r>
        <w:rPr/>
        <w:pict>
          <v:rect style="position:absolute;margin-left:89.879997pt;margin-top:12.73435pt;width:144pt;height:.6pt;mso-position-horizontal-relative:page;mso-position-vertical-relative:paragraph;z-index:-15718400;mso-wrap-distance-left:0;mso-wrap-distance-right:0" id="docshape26" filled="true" fillcolor="#000000" stroked="false">
            <v:fill type="solid"/>
            <w10:wrap type="topAndBottom"/>
          </v:rect>
        </w:pict>
      </w:r>
    </w:p>
    <w:p>
      <w:pPr>
        <w:pStyle w:val="BodyText"/>
        <w:spacing w:before="1"/>
        <w:rPr>
          <w:sz w:val="9"/>
        </w:rPr>
      </w:pPr>
    </w:p>
    <w:p>
      <w:pPr>
        <w:spacing w:before="118"/>
        <w:ind w:left="237" w:right="295" w:firstLine="0"/>
        <w:jc w:val="both"/>
        <w:rPr>
          <w:sz w:val="20"/>
        </w:rPr>
      </w:pPr>
      <w:r>
        <w:rPr>
          <w:rFonts w:ascii="Times New Roman"/>
          <w:sz w:val="20"/>
          <w:vertAlign w:val="superscript"/>
        </w:rPr>
        <w:t>25</w:t>
      </w:r>
      <w:r>
        <w:rPr>
          <w:rFonts w:ascii="Times New Roman"/>
          <w:sz w:val="20"/>
          <w:vertAlign w:val="baseline"/>
        </w:rPr>
        <w:t> </w:t>
      </w:r>
      <w:r>
        <w:rPr>
          <w:sz w:val="20"/>
          <w:vertAlign w:val="baseline"/>
        </w:rPr>
        <w:t>This data is the latest available from the ABS and is self reported.</w:t>
      </w:r>
      <w:r>
        <w:rPr>
          <w:spacing w:val="40"/>
          <w:sz w:val="20"/>
          <w:vertAlign w:val="baseline"/>
        </w:rPr>
        <w:t> </w:t>
      </w:r>
      <w:r>
        <w:rPr>
          <w:sz w:val="20"/>
          <w:vertAlign w:val="baseline"/>
        </w:rPr>
        <w:t>That is, people are asked to indicate whether they have a disability.</w:t>
      </w:r>
      <w:r>
        <w:rPr>
          <w:spacing w:val="40"/>
          <w:sz w:val="20"/>
          <w:vertAlign w:val="baseline"/>
        </w:rPr>
        <w:t> </w:t>
      </w:r>
      <w:r>
        <w:rPr>
          <w:sz w:val="20"/>
          <w:vertAlign w:val="baseline"/>
        </w:rPr>
        <w:t>It is probable that some of the observed increase in the proportion</w:t>
      </w:r>
      <w:r>
        <w:rPr>
          <w:spacing w:val="23"/>
          <w:sz w:val="20"/>
          <w:vertAlign w:val="baseline"/>
        </w:rPr>
        <w:t> </w:t>
      </w:r>
      <w:r>
        <w:rPr>
          <w:sz w:val="20"/>
          <w:vertAlign w:val="baseline"/>
        </w:rPr>
        <w:t>of</w:t>
      </w:r>
      <w:r>
        <w:rPr>
          <w:spacing w:val="22"/>
          <w:sz w:val="20"/>
          <w:vertAlign w:val="baseline"/>
        </w:rPr>
        <w:t> </w:t>
      </w:r>
      <w:r>
        <w:rPr>
          <w:sz w:val="20"/>
          <w:vertAlign w:val="baseline"/>
        </w:rPr>
        <w:t>the</w:t>
      </w:r>
      <w:r>
        <w:rPr>
          <w:spacing w:val="22"/>
          <w:sz w:val="20"/>
          <w:vertAlign w:val="baseline"/>
        </w:rPr>
        <w:t> </w:t>
      </w:r>
      <w:r>
        <w:rPr>
          <w:sz w:val="20"/>
          <w:vertAlign w:val="baseline"/>
        </w:rPr>
        <w:t>population</w:t>
      </w:r>
      <w:r>
        <w:rPr>
          <w:spacing w:val="22"/>
          <w:sz w:val="20"/>
          <w:vertAlign w:val="baseline"/>
        </w:rPr>
        <w:t> </w:t>
      </w:r>
      <w:r>
        <w:rPr>
          <w:sz w:val="20"/>
          <w:vertAlign w:val="baseline"/>
        </w:rPr>
        <w:t>with</w:t>
      </w:r>
      <w:r>
        <w:rPr>
          <w:spacing w:val="22"/>
          <w:sz w:val="20"/>
          <w:vertAlign w:val="baseline"/>
        </w:rPr>
        <w:t> </w:t>
      </w:r>
      <w:r>
        <w:rPr>
          <w:sz w:val="20"/>
          <w:vertAlign w:val="baseline"/>
        </w:rPr>
        <w:t>a</w:t>
      </w:r>
      <w:r>
        <w:rPr>
          <w:spacing w:val="22"/>
          <w:sz w:val="20"/>
          <w:vertAlign w:val="baseline"/>
        </w:rPr>
        <w:t> </w:t>
      </w:r>
      <w:r>
        <w:rPr>
          <w:sz w:val="20"/>
          <w:vertAlign w:val="baseline"/>
        </w:rPr>
        <w:t>disability</w:t>
      </w:r>
      <w:r>
        <w:rPr>
          <w:spacing w:val="22"/>
          <w:sz w:val="20"/>
          <w:vertAlign w:val="baseline"/>
        </w:rPr>
        <w:t> </w:t>
      </w:r>
      <w:r>
        <w:rPr>
          <w:sz w:val="20"/>
          <w:vertAlign w:val="baseline"/>
        </w:rPr>
        <w:t>reflects</w:t>
      </w:r>
      <w:r>
        <w:rPr>
          <w:spacing w:val="23"/>
          <w:sz w:val="20"/>
          <w:vertAlign w:val="baseline"/>
        </w:rPr>
        <w:t> </w:t>
      </w:r>
      <w:r>
        <w:rPr>
          <w:sz w:val="20"/>
          <w:vertAlign w:val="baseline"/>
        </w:rPr>
        <w:t>an</w:t>
      </w:r>
      <w:r>
        <w:rPr>
          <w:spacing w:val="22"/>
          <w:sz w:val="20"/>
          <w:vertAlign w:val="baseline"/>
        </w:rPr>
        <w:t> </w:t>
      </w:r>
      <w:r>
        <w:rPr>
          <w:sz w:val="20"/>
          <w:vertAlign w:val="baseline"/>
        </w:rPr>
        <w:t>increased</w:t>
      </w:r>
      <w:r>
        <w:rPr>
          <w:spacing w:val="22"/>
          <w:sz w:val="20"/>
          <w:vertAlign w:val="baseline"/>
        </w:rPr>
        <w:t> </w:t>
      </w:r>
      <w:r>
        <w:rPr>
          <w:sz w:val="20"/>
          <w:vertAlign w:val="baseline"/>
        </w:rPr>
        <w:t>willingness</w:t>
      </w:r>
      <w:r>
        <w:rPr>
          <w:spacing w:val="22"/>
          <w:sz w:val="20"/>
          <w:vertAlign w:val="baseline"/>
        </w:rPr>
        <w:t> </w:t>
      </w:r>
      <w:r>
        <w:rPr>
          <w:sz w:val="20"/>
          <w:vertAlign w:val="baseline"/>
        </w:rPr>
        <w:t>to</w:t>
      </w:r>
      <w:r>
        <w:rPr>
          <w:spacing w:val="22"/>
          <w:sz w:val="20"/>
          <w:vertAlign w:val="baseline"/>
        </w:rPr>
        <w:t> </w:t>
      </w:r>
      <w:r>
        <w:rPr>
          <w:sz w:val="20"/>
          <w:vertAlign w:val="baseline"/>
        </w:rPr>
        <w:t>self-identify</w:t>
      </w:r>
      <w:r>
        <w:rPr>
          <w:spacing w:val="22"/>
          <w:sz w:val="20"/>
          <w:vertAlign w:val="baseline"/>
        </w:rPr>
        <w:t> </w:t>
      </w:r>
      <w:r>
        <w:rPr>
          <w:sz w:val="20"/>
          <w:vertAlign w:val="baseline"/>
        </w:rPr>
        <w:t>as</w:t>
      </w:r>
    </w:p>
    <w:p>
      <w:pPr>
        <w:spacing w:after="0"/>
        <w:jc w:val="both"/>
        <w:rPr>
          <w:sz w:val="20"/>
        </w:rPr>
        <w:sectPr>
          <w:pgSz w:w="12240" w:h="15840"/>
          <w:pgMar w:header="0" w:footer="1140" w:top="1360" w:bottom="1340" w:left="1560" w:right="1500"/>
        </w:sectPr>
      </w:pPr>
    </w:p>
    <w:p>
      <w:pPr>
        <w:pStyle w:val="BodyText"/>
        <w:spacing w:before="77"/>
        <w:ind w:left="237" w:right="294"/>
        <w:jc w:val="both"/>
      </w:pPr>
      <w:r>
        <w:rPr/>
        <w:t>50%</w:t>
      </w:r>
      <w:r>
        <w:rPr>
          <w:spacing w:val="-1"/>
        </w:rPr>
        <w:t> </w:t>
      </w:r>
      <w:r>
        <w:rPr/>
        <w:t>in</w:t>
      </w:r>
      <w:r>
        <w:rPr>
          <w:spacing w:val="-1"/>
        </w:rPr>
        <w:t> </w:t>
      </w:r>
      <w:r>
        <w:rPr/>
        <w:t>little</w:t>
      </w:r>
      <w:r>
        <w:rPr>
          <w:spacing w:val="-1"/>
        </w:rPr>
        <w:t> </w:t>
      </w:r>
      <w:r>
        <w:rPr/>
        <w:t>more</w:t>
      </w:r>
      <w:r>
        <w:rPr>
          <w:spacing w:val="-1"/>
        </w:rPr>
        <w:t> </w:t>
      </w:r>
      <w:r>
        <w:rPr/>
        <w:t>than</w:t>
      </w:r>
      <w:r>
        <w:rPr>
          <w:spacing w:val="-1"/>
        </w:rPr>
        <w:t> </w:t>
      </w:r>
      <w:r>
        <w:rPr/>
        <w:t>two</w:t>
      </w:r>
      <w:r>
        <w:rPr>
          <w:spacing w:val="-1"/>
        </w:rPr>
        <w:t> </w:t>
      </w:r>
      <w:r>
        <w:rPr/>
        <w:t>decades.</w:t>
      </w:r>
      <w:r>
        <w:rPr>
          <w:spacing w:val="40"/>
        </w:rPr>
        <w:t> </w:t>
      </w:r>
      <w:r>
        <w:rPr/>
        <w:t>Table</w:t>
      </w:r>
      <w:r>
        <w:rPr>
          <w:spacing w:val="-1"/>
        </w:rPr>
        <w:t> </w:t>
      </w:r>
      <w:r>
        <w:rPr/>
        <w:t>1</w:t>
      </w:r>
      <w:r>
        <w:rPr>
          <w:spacing w:val="-1"/>
        </w:rPr>
        <w:t> </w:t>
      </w:r>
      <w:r>
        <w:rPr/>
        <w:t>highlights</w:t>
      </w:r>
      <w:r>
        <w:rPr>
          <w:spacing w:val="-1"/>
        </w:rPr>
        <w:t> </w:t>
      </w:r>
      <w:r>
        <w:rPr/>
        <w:t>this</w:t>
      </w:r>
      <w:r>
        <w:rPr>
          <w:spacing w:val="-1"/>
        </w:rPr>
        <w:t> </w:t>
      </w:r>
      <w:r>
        <w:rPr/>
        <w:t>broad</w:t>
      </w:r>
      <w:r>
        <w:rPr>
          <w:spacing w:val="-1"/>
        </w:rPr>
        <w:t> </w:t>
      </w:r>
      <w:r>
        <w:rPr/>
        <w:t>trend,</w:t>
      </w:r>
      <w:r>
        <w:rPr>
          <w:spacing w:val="-1"/>
        </w:rPr>
        <w:t> </w:t>
      </w:r>
      <w:r>
        <w:rPr/>
        <w:t>showing the total number of people who reported that they were living with a disability</w:t>
      </w:r>
      <w:r>
        <w:rPr>
          <w:spacing w:val="40"/>
        </w:rPr>
        <w:t> </w:t>
      </w:r>
      <w:r>
        <w:rPr/>
        <w:t>over the period 1981 to 2003.</w:t>
      </w:r>
    </w:p>
    <w:p>
      <w:pPr>
        <w:pStyle w:val="BodyText"/>
        <w:spacing w:before="1"/>
      </w:pPr>
    </w:p>
    <w:p>
      <w:pPr>
        <w:pStyle w:val="Heading4"/>
        <w:ind w:left="237"/>
        <w:rPr>
          <w:u w:val="none"/>
        </w:rPr>
      </w:pPr>
      <w:r>
        <w:rPr>
          <w:u w:val="single"/>
        </w:rPr>
        <w:t>Table</w:t>
      </w:r>
      <w:r>
        <w:rPr>
          <w:spacing w:val="-8"/>
          <w:u w:val="single"/>
        </w:rPr>
        <w:t> </w:t>
      </w:r>
      <w:r>
        <w:rPr>
          <w:u w:val="single"/>
        </w:rPr>
        <w:t>1:</w:t>
      </w:r>
      <w:r>
        <w:rPr>
          <w:spacing w:val="-8"/>
          <w:u w:val="single"/>
        </w:rPr>
        <w:t> </w:t>
      </w:r>
      <w:r>
        <w:rPr>
          <w:u w:val="single"/>
        </w:rPr>
        <w:t>Numbers</w:t>
      </w:r>
      <w:r>
        <w:rPr>
          <w:spacing w:val="-9"/>
          <w:u w:val="single"/>
        </w:rPr>
        <w:t> </w:t>
      </w:r>
      <w:r>
        <w:rPr>
          <w:u w:val="single"/>
        </w:rPr>
        <w:t>and</w:t>
      </w:r>
      <w:r>
        <w:rPr>
          <w:spacing w:val="-8"/>
          <w:u w:val="single"/>
        </w:rPr>
        <w:t> </w:t>
      </w:r>
      <w:r>
        <w:rPr>
          <w:u w:val="single"/>
        </w:rPr>
        <w:t>proportion</w:t>
      </w:r>
      <w:r>
        <w:rPr>
          <w:spacing w:val="-8"/>
          <w:u w:val="single"/>
        </w:rPr>
        <w:t> </w:t>
      </w:r>
      <w:r>
        <w:rPr>
          <w:u w:val="single"/>
        </w:rPr>
        <w:t>of</w:t>
      </w:r>
      <w:r>
        <w:rPr>
          <w:spacing w:val="-9"/>
          <w:u w:val="single"/>
        </w:rPr>
        <w:t> </w:t>
      </w:r>
      <w:r>
        <w:rPr>
          <w:u w:val="single"/>
        </w:rPr>
        <w:t>the</w:t>
      </w:r>
      <w:r>
        <w:rPr>
          <w:spacing w:val="-9"/>
          <w:u w:val="single"/>
        </w:rPr>
        <w:t> </w:t>
      </w:r>
      <w:r>
        <w:rPr>
          <w:u w:val="single"/>
        </w:rPr>
        <w:t>population</w:t>
      </w:r>
      <w:r>
        <w:rPr>
          <w:spacing w:val="-8"/>
          <w:u w:val="single"/>
        </w:rPr>
        <w:t> </w:t>
      </w:r>
      <w:r>
        <w:rPr>
          <w:u w:val="single"/>
        </w:rPr>
        <w:t>living</w:t>
      </w:r>
      <w:r>
        <w:rPr>
          <w:spacing w:val="-8"/>
          <w:u w:val="single"/>
        </w:rPr>
        <w:t> </w:t>
      </w:r>
      <w:r>
        <w:rPr>
          <w:u w:val="single"/>
        </w:rPr>
        <w:t>with</w:t>
      </w:r>
      <w:r>
        <w:rPr>
          <w:spacing w:val="-10"/>
          <w:u w:val="single"/>
        </w:rPr>
        <w:t> </w:t>
      </w:r>
      <w:r>
        <w:rPr>
          <w:spacing w:val="-2"/>
          <w:u w:val="single"/>
        </w:rPr>
        <w:t>disabilities</w:t>
      </w:r>
    </w:p>
    <w:p>
      <w:pPr>
        <w:pStyle w:val="BodyText"/>
        <w:spacing w:before="2"/>
        <w:rPr>
          <w:b/>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1"/>
        <w:gridCol w:w="1217"/>
        <w:gridCol w:w="1440"/>
        <w:gridCol w:w="1440"/>
        <w:gridCol w:w="1440"/>
        <w:gridCol w:w="1440"/>
      </w:tblGrid>
      <w:tr>
        <w:trPr>
          <w:trHeight w:val="515" w:hRule="atLeast"/>
        </w:trPr>
        <w:tc>
          <w:tcPr>
            <w:tcW w:w="1771" w:type="dxa"/>
          </w:tcPr>
          <w:p>
            <w:pPr>
              <w:pStyle w:val="TableParagraph"/>
              <w:rPr>
                <w:rFonts w:ascii="Times New Roman"/>
                <w:sz w:val="22"/>
              </w:rPr>
            </w:pPr>
          </w:p>
        </w:tc>
        <w:tc>
          <w:tcPr>
            <w:tcW w:w="1217" w:type="dxa"/>
          </w:tcPr>
          <w:p>
            <w:pPr>
              <w:pStyle w:val="TableParagraph"/>
              <w:spacing w:before="118"/>
              <w:ind w:left="292" w:right="283"/>
              <w:jc w:val="center"/>
              <w:rPr>
                <w:b/>
                <w:sz w:val="24"/>
              </w:rPr>
            </w:pPr>
            <w:r>
              <w:rPr>
                <w:b/>
                <w:spacing w:val="-4"/>
                <w:sz w:val="24"/>
              </w:rPr>
              <w:t>1981</w:t>
            </w:r>
          </w:p>
        </w:tc>
        <w:tc>
          <w:tcPr>
            <w:tcW w:w="1440" w:type="dxa"/>
          </w:tcPr>
          <w:p>
            <w:pPr>
              <w:pStyle w:val="TableParagraph"/>
              <w:spacing w:before="118"/>
              <w:ind w:left="453"/>
              <w:rPr>
                <w:b/>
                <w:sz w:val="24"/>
              </w:rPr>
            </w:pPr>
            <w:r>
              <w:rPr>
                <w:b/>
                <w:spacing w:val="-4"/>
                <w:sz w:val="24"/>
              </w:rPr>
              <w:t>1988</w:t>
            </w:r>
          </w:p>
        </w:tc>
        <w:tc>
          <w:tcPr>
            <w:tcW w:w="1440" w:type="dxa"/>
          </w:tcPr>
          <w:p>
            <w:pPr>
              <w:pStyle w:val="TableParagraph"/>
              <w:spacing w:before="118"/>
              <w:ind w:left="453"/>
              <w:rPr>
                <w:b/>
                <w:sz w:val="24"/>
              </w:rPr>
            </w:pPr>
            <w:r>
              <w:rPr>
                <w:b/>
                <w:spacing w:val="-4"/>
                <w:sz w:val="24"/>
              </w:rPr>
              <w:t>1993</w:t>
            </w:r>
          </w:p>
        </w:tc>
        <w:tc>
          <w:tcPr>
            <w:tcW w:w="1440" w:type="dxa"/>
          </w:tcPr>
          <w:p>
            <w:pPr>
              <w:pStyle w:val="TableParagraph"/>
              <w:spacing w:before="118"/>
              <w:ind w:left="453"/>
              <w:rPr>
                <w:b/>
                <w:sz w:val="24"/>
              </w:rPr>
            </w:pPr>
            <w:r>
              <w:rPr>
                <w:b/>
                <w:spacing w:val="-4"/>
                <w:sz w:val="24"/>
              </w:rPr>
              <w:t>1998</w:t>
            </w:r>
          </w:p>
        </w:tc>
        <w:tc>
          <w:tcPr>
            <w:tcW w:w="1440" w:type="dxa"/>
          </w:tcPr>
          <w:p>
            <w:pPr>
              <w:pStyle w:val="TableParagraph"/>
              <w:spacing w:before="118"/>
              <w:ind w:left="452"/>
              <w:rPr>
                <w:b/>
                <w:sz w:val="24"/>
              </w:rPr>
            </w:pPr>
            <w:r>
              <w:rPr>
                <w:b/>
                <w:spacing w:val="-4"/>
                <w:sz w:val="24"/>
              </w:rPr>
              <w:t>2003</w:t>
            </w:r>
          </w:p>
        </w:tc>
      </w:tr>
      <w:tr>
        <w:trPr>
          <w:trHeight w:val="791" w:hRule="atLeast"/>
        </w:trPr>
        <w:tc>
          <w:tcPr>
            <w:tcW w:w="1771" w:type="dxa"/>
          </w:tcPr>
          <w:p>
            <w:pPr>
              <w:pStyle w:val="TableParagraph"/>
              <w:spacing w:before="118"/>
              <w:ind w:left="107" w:right="607"/>
              <w:rPr>
                <w:b/>
                <w:sz w:val="24"/>
              </w:rPr>
            </w:pPr>
            <w:r>
              <w:rPr>
                <w:b/>
                <w:spacing w:val="-2"/>
                <w:sz w:val="24"/>
              </w:rPr>
              <w:t>Numbers (000s)</w:t>
            </w:r>
          </w:p>
        </w:tc>
        <w:tc>
          <w:tcPr>
            <w:tcW w:w="1217" w:type="dxa"/>
          </w:tcPr>
          <w:p>
            <w:pPr>
              <w:pStyle w:val="TableParagraph"/>
              <w:spacing w:before="1"/>
              <w:rPr>
                <w:b/>
                <w:sz w:val="22"/>
              </w:rPr>
            </w:pPr>
          </w:p>
          <w:p>
            <w:pPr>
              <w:pStyle w:val="TableParagraph"/>
              <w:ind w:left="292" w:right="283"/>
              <w:jc w:val="center"/>
              <w:rPr>
                <w:sz w:val="24"/>
              </w:rPr>
            </w:pPr>
            <w:r>
              <w:rPr>
                <w:spacing w:val="-2"/>
                <w:sz w:val="24"/>
              </w:rPr>
              <w:t>1,942</w:t>
            </w:r>
          </w:p>
        </w:tc>
        <w:tc>
          <w:tcPr>
            <w:tcW w:w="1440" w:type="dxa"/>
          </w:tcPr>
          <w:p>
            <w:pPr>
              <w:pStyle w:val="TableParagraph"/>
              <w:spacing w:before="1"/>
              <w:rPr>
                <w:b/>
                <w:sz w:val="22"/>
              </w:rPr>
            </w:pPr>
          </w:p>
          <w:p>
            <w:pPr>
              <w:pStyle w:val="TableParagraph"/>
              <w:ind w:left="419"/>
              <w:rPr>
                <w:sz w:val="24"/>
              </w:rPr>
            </w:pPr>
            <w:r>
              <w:rPr>
                <w:spacing w:val="-2"/>
                <w:sz w:val="24"/>
              </w:rPr>
              <w:t>2,543</w:t>
            </w:r>
          </w:p>
        </w:tc>
        <w:tc>
          <w:tcPr>
            <w:tcW w:w="1440" w:type="dxa"/>
          </w:tcPr>
          <w:p>
            <w:pPr>
              <w:pStyle w:val="TableParagraph"/>
              <w:spacing w:before="1"/>
              <w:rPr>
                <w:b/>
                <w:sz w:val="22"/>
              </w:rPr>
            </w:pPr>
          </w:p>
          <w:p>
            <w:pPr>
              <w:pStyle w:val="TableParagraph"/>
              <w:ind w:left="419"/>
              <w:rPr>
                <w:sz w:val="24"/>
              </w:rPr>
            </w:pPr>
            <w:r>
              <w:rPr>
                <w:spacing w:val="-2"/>
                <w:sz w:val="24"/>
              </w:rPr>
              <w:t>2,921</w:t>
            </w:r>
          </w:p>
        </w:tc>
        <w:tc>
          <w:tcPr>
            <w:tcW w:w="1440" w:type="dxa"/>
          </w:tcPr>
          <w:p>
            <w:pPr>
              <w:pStyle w:val="TableParagraph"/>
              <w:spacing w:before="1"/>
              <w:rPr>
                <w:b/>
                <w:sz w:val="22"/>
              </w:rPr>
            </w:pPr>
          </w:p>
          <w:p>
            <w:pPr>
              <w:pStyle w:val="TableParagraph"/>
              <w:ind w:left="419"/>
              <w:rPr>
                <w:sz w:val="24"/>
              </w:rPr>
            </w:pPr>
            <w:r>
              <w:rPr>
                <w:spacing w:val="-2"/>
                <w:sz w:val="24"/>
              </w:rPr>
              <w:t>3,504</w:t>
            </w:r>
          </w:p>
        </w:tc>
        <w:tc>
          <w:tcPr>
            <w:tcW w:w="1440" w:type="dxa"/>
          </w:tcPr>
          <w:p>
            <w:pPr>
              <w:pStyle w:val="TableParagraph"/>
              <w:spacing w:before="1"/>
              <w:rPr>
                <w:b/>
                <w:sz w:val="22"/>
              </w:rPr>
            </w:pPr>
          </w:p>
          <w:p>
            <w:pPr>
              <w:pStyle w:val="TableParagraph"/>
              <w:ind w:left="419"/>
              <w:rPr>
                <w:sz w:val="24"/>
              </w:rPr>
            </w:pPr>
            <w:r>
              <w:rPr>
                <w:spacing w:val="-2"/>
                <w:sz w:val="24"/>
              </w:rPr>
              <w:t>3,958</w:t>
            </w:r>
          </w:p>
        </w:tc>
      </w:tr>
      <w:tr>
        <w:trPr>
          <w:trHeight w:val="516" w:hRule="atLeast"/>
        </w:trPr>
        <w:tc>
          <w:tcPr>
            <w:tcW w:w="1771" w:type="dxa"/>
          </w:tcPr>
          <w:p>
            <w:pPr>
              <w:pStyle w:val="TableParagraph"/>
              <w:spacing w:before="118"/>
              <w:ind w:left="107"/>
              <w:rPr>
                <w:b/>
                <w:sz w:val="24"/>
              </w:rPr>
            </w:pPr>
            <w:r>
              <w:rPr>
                <w:b/>
                <w:sz w:val="24"/>
              </w:rPr>
              <w:t>Per</w:t>
            </w:r>
            <w:r>
              <w:rPr>
                <w:b/>
                <w:spacing w:val="-2"/>
                <w:sz w:val="24"/>
              </w:rPr>
              <w:t> </w:t>
            </w:r>
            <w:r>
              <w:rPr>
                <w:b/>
                <w:spacing w:val="-4"/>
                <w:sz w:val="24"/>
              </w:rPr>
              <w:t>cent</w:t>
            </w:r>
          </w:p>
        </w:tc>
        <w:tc>
          <w:tcPr>
            <w:tcW w:w="1217" w:type="dxa"/>
          </w:tcPr>
          <w:p>
            <w:pPr>
              <w:pStyle w:val="TableParagraph"/>
              <w:spacing w:before="116"/>
              <w:ind w:left="291" w:right="283"/>
              <w:jc w:val="center"/>
              <w:rPr>
                <w:sz w:val="24"/>
              </w:rPr>
            </w:pPr>
            <w:r>
              <w:rPr>
                <w:spacing w:val="-4"/>
                <w:sz w:val="24"/>
              </w:rPr>
              <w:t>13.2</w:t>
            </w:r>
          </w:p>
        </w:tc>
        <w:tc>
          <w:tcPr>
            <w:tcW w:w="1440" w:type="dxa"/>
          </w:tcPr>
          <w:p>
            <w:pPr>
              <w:pStyle w:val="TableParagraph"/>
              <w:spacing w:before="116"/>
              <w:ind w:left="485"/>
              <w:rPr>
                <w:sz w:val="24"/>
              </w:rPr>
            </w:pPr>
            <w:r>
              <w:rPr>
                <w:spacing w:val="-4"/>
                <w:sz w:val="24"/>
              </w:rPr>
              <w:t>15.5</w:t>
            </w:r>
          </w:p>
        </w:tc>
        <w:tc>
          <w:tcPr>
            <w:tcW w:w="1440" w:type="dxa"/>
          </w:tcPr>
          <w:p>
            <w:pPr>
              <w:pStyle w:val="TableParagraph"/>
              <w:spacing w:before="116"/>
              <w:ind w:left="485"/>
              <w:rPr>
                <w:sz w:val="24"/>
              </w:rPr>
            </w:pPr>
            <w:r>
              <w:rPr>
                <w:spacing w:val="-4"/>
                <w:sz w:val="24"/>
              </w:rPr>
              <w:t>16.6</w:t>
            </w:r>
          </w:p>
        </w:tc>
        <w:tc>
          <w:tcPr>
            <w:tcW w:w="1440" w:type="dxa"/>
          </w:tcPr>
          <w:p>
            <w:pPr>
              <w:pStyle w:val="TableParagraph"/>
              <w:spacing w:before="116"/>
              <w:ind w:left="485"/>
              <w:rPr>
                <w:sz w:val="24"/>
              </w:rPr>
            </w:pPr>
            <w:r>
              <w:rPr>
                <w:spacing w:val="-4"/>
                <w:sz w:val="24"/>
              </w:rPr>
              <w:t>18.8</w:t>
            </w:r>
          </w:p>
        </w:tc>
        <w:tc>
          <w:tcPr>
            <w:tcW w:w="1440" w:type="dxa"/>
          </w:tcPr>
          <w:p>
            <w:pPr>
              <w:pStyle w:val="TableParagraph"/>
              <w:spacing w:before="116"/>
              <w:ind w:left="485"/>
              <w:rPr>
                <w:sz w:val="24"/>
              </w:rPr>
            </w:pPr>
            <w:r>
              <w:rPr>
                <w:spacing w:val="-4"/>
                <w:sz w:val="24"/>
              </w:rPr>
              <w:t>20.0</w:t>
            </w:r>
          </w:p>
        </w:tc>
      </w:tr>
    </w:tbl>
    <w:p>
      <w:pPr>
        <w:spacing w:before="119"/>
        <w:ind w:left="237" w:right="0" w:firstLine="0"/>
        <w:jc w:val="both"/>
        <w:rPr>
          <w:sz w:val="20"/>
        </w:rPr>
      </w:pPr>
      <w:r>
        <w:rPr>
          <w:b/>
          <w:sz w:val="20"/>
        </w:rPr>
        <w:t>Source:</w:t>
      </w:r>
      <w:r>
        <w:rPr>
          <w:b/>
          <w:spacing w:val="45"/>
          <w:sz w:val="20"/>
        </w:rPr>
        <w:t> </w:t>
      </w:r>
      <w:r>
        <w:rPr>
          <w:sz w:val="20"/>
        </w:rPr>
        <w:t>ABS</w:t>
      </w:r>
      <w:r>
        <w:rPr>
          <w:spacing w:val="-4"/>
          <w:sz w:val="20"/>
        </w:rPr>
        <w:t> </w:t>
      </w:r>
      <w:r>
        <w:rPr>
          <w:sz w:val="20"/>
        </w:rPr>
        <w:t>4430</w:t>
      </w:r>
      <w:r>
        <w:rPr>
          <w:spacing w:val="-5"/>
          <w:sz w:val="20"/>
        </w:rPr>
        <w:t> </w:t>
      </w:r>
      <w:r>
        <w:rPr>
          <w:sz w:val="20"/>
        </w:rPr>
        <w:t>(Sept</w:t>
      </w:r>
      <w:r>
        <w:rPr>
          <w:spacing w:val="-5"/>
          <w:sz w:val="20"/>
        </w:rPr>
        <w:t> </w:t>
      </w:r>
      <w:r>
        <w:rPr>
          <w:sz w:val="20"/>
        </w:rPr>
        <w:t>2004),</w:t>
      </w:r>
      <w:r>
        <w:rPr>
          <w:spacing w:val="-4"/>
          <w:sz w:val="20"/>
        </w:rPr>
        <w:t> </w:t>
      </w:r>
      <w:r>
        <w:rPr>
          <w:sz w:val="20"/>
        </w:rPr>
        <w:t>ABS</w:t>
      </w:r>
      <w:r>
        <w:rPr>
          <w:spacing w:val="-4"/>
          <w:sz w:val="20"/>
        </w:rPr>
        <w:t> </w:t>
      </w:r>
      <w:r>
        <w:rPr>
          <w:sz w:val="20"/>
        </w:rPr>
        <w:t>4303</w:t>
      </w:r>
      <w:r>
        <w:rPr>
          <w:spacing w:val="-4"/>
          <w:sz w:val="20"/>
        </w:rPr>
        <w:t> </w:t>
      </w:r>
      <w:r>
        <w:rPr>
          <w:spacing w:val="-2"/>
          <w:sz w:val="20"/>
        </w:rPr>
        <w:t>(2003).</w:t>
      </w:r>
    </w:p>
    <w:p>
      <w:pPr>
        <w:pStyle w:val="BodyText"/>
        <w:spacing w:before="120"/>
        <w:ind w:left="237" w:right="293"/>
        <w:jc w:val="both"/>
      </w:pPr>
      <w:r>
        <w:rPr/>
        <w:t>Advocates of improving the accessibility of the built environment frequently cite the ageing of the general population and the observation of higher rates of disability in older age cohorts as implying substantial further increases in</w:t>
      </w:r>
      <w:r>
        <w:rPr>
          <w:spacing w:val="40"/>
        </w:rPr>
        <w:t> </w:t>
      </w:r>
      <w:r>
        <w:rPr/>
        <w:t>disability rates in coming decades.</w:t>
      </w:r>
      <w:r>
        <w:rPr>
          <w:spacing w:val="40"/>
        </w:rPr>
        <w:t> </w:t>
      </w:r>
      <w:r>
        <w:rPr/>
        <w:t>ABS notes that the most recent rises in disability</w:t>
      </w:r>
      <w:r>
        <w:rPr>
          <w:spacing w:val="-1"/>
        </w:rPr>
        <w:t> </w:t>
      </w:r>
      <w:r>
        <w:rPr/>
        <w:t>rates (i.e. between</w:t>
      </w:r>
      <w:r>
        <w:rPr>
          <w:spacing w:val="-1"/>
        </w:rPr>
        <w:t> </w:t>
      </w:r>
      <w:r>
        <w:rPr/>
        <w:t>the 1998 and</w:t>
      </w:r>
      <w:r>
        <w:rPr>
          <w:spacing w:val="-1"/>
        </w:rPr>
        <w:t> </w:t>
      </w:r>
      <w:r>
        <w:rPr/>
        <w:t>2003 surveys) were</w:t>
      </w:r>
      <w:r>
        <w:rPr>
          <w:spacing w:val="-1"/>
        </w:rPr>
        <w:t> </w:t>
      </w:r>
      <w:r>
        <w:rPr/>
        <w:t>entirely</w:t>
      </w:r>
      <w:r>
        <w:rPr>
          <w:spacing w:val="-1"/>
        </w:rPr>
        <w:t> </w:t>
      </w:r>
      <w:r>
        <w:rPr/>
        <w:t>accounted for by changes in the age profile of the population over the period</w:t>
      </w:r>
      <w:r>
        <w:rPr>
          <w:vertAlign w:val="superscript"/>
        </w:rPr>
        <w:t>26</w:t>
      </w:r>
      <w:r>
        <w:rPr>
          <w:vertAlign w:val="baseline"/>
        </w:rPr>
        <w:t>, suggesting that this is likely to be the main source of future increases in disability rates.</w:t>
      </w:r>
    </w:p>
    <w:p>
      <w:pPr>
        <w:pStyle w:val="BodyText"/>
      </w:pPr>
    </w:p>
    <w:p>
      <w:pPr>
        <w:pStyle w:val="BodyText"/>
        <w:ind w:left="237" w:right="293"/>
        <w:jc w:val="both"/>
      </w:pPr>
      <w:r>
        <w:rPr/>
        <w:t>The</w:t>
      </w:r>
      <w:r>
        <w:rPr>
          <w:spacing w:val="-3"/>
        </w:rPr>
        <w:t> </w:t>
      </w:r>
      <w:r>
        <w:rPr/>
        <w:t>ABS</w:t>
      </w:r>
      <w:r>
        <w:rPr>
          <w:spacing w:val="-3"/>
        </w:rPr>
        <w:t> </w:t>
      </w:r>
      <w:r>
        <w:rPr/>
        <w:t>does</w:t>
      </w:r>
      <w:r>
        <w:rPr>
          <w:spacing w:val="-3"/>
        </w:rPr>
        <w:t> </w:t>
      </w:r>
      <w:r>
        <w:rPr/>
        <w:t>not</w:t>
      </w:r>
      <w:r>
        <w:rPr>
          <w:spacing w:val="-3"/>
        </w:rPr>
        <w:t> </w:t>
      </w:r>
      <w:r>
        <w:rPr/>
        <w:t>calculate</w:t>
      </w:r>
      <w:r>
        <w:rPr>
          <w:spacing w:val="-3"/>
        </w:rPr>
        <w:t> </w:t>
      </w:r>
      <w:r>
        <w:rPr/>
        <w:t>projected</w:t>
      </w:r>
      <w:r>
        <w:rPr>
          <w:spacing w:val="-3"/>
        </w:rPr>
        <w:t> </w:t>
      </w:r>
      <w:r>
        <w:rPr/>
        <w:t>future</w:t>
      </w:r>
      <w:r>
        <w:rPr>
          <w:spacing w:val="-3"/>
        </w:rPr>
        <w:t> </w:t>
      </w:r>
      <w:r>
        <w:rPr/>
        <w:t>disability</w:t>
      </w:r>
      <w:r>
        <w:rPr>
          <w:spacing w:val="-3"/>
        </w:rPr>
        <w:t> </w:t>
      </w:r>
      <w:r>
        <w:rPr/>
        <w:t>rates</w:t>
      </w:r>
      <w:r>
        <w:rPr>
          <w:vertAlign w:val="superscript"/>
        </w:rPr>
        <w:t>27</w:t>
      </w:r>
      <w:r>
        <w:rPr>
          <w:vertAlign w:val="baseline"/>
        </w:rPr>
        <w:t>.</w:t>
      </w:r>
      <w:r>
        <w:rPr>
          <w:spacing w:val="40"/>
          <w:vertAlign w:val="baseline"/>
        </w:rPr>
        <w:t> </w:t>
      </w:r>
      <w:r>
        <w:rPr>
          <w:vertAlign w:val="baseline"/>
        </w:rPr>
        <w:t>However,</w:t>
      </w:r>
      <w:r>
        <w:rPr>
          <w:spacing w:val="-3"/>
          <w:vertAlign w:val="baseline"/>
        </w:rPr>
        <w:t> </w:t>
      </w:r>
      <w:r>
        <w:rPr>
          <w:vertAlign w:val="baseline"/>
        </w:rPr>
        <w:t>Western Australian government estimates suggest that further rises in these rates will occur, albeit at a modest rate.</w:t>
      </w:r>
      <w:r>
        <w:rPr>
          <w:spacing w:val="40"/>
          <w:vertAlign w:val="baseline"/>
        </w:rPr>
        <w:t> </w:t>
      </w:r>
      <w:r>
        <w:rPr>
          <w:vertAlign w:val="baseline"/>
        </w:rPr>
        <w:t>An expected disability rate of 23% in 2021 is estimated, with the proportion of the population having profound core activity restrictions expected to rise from 5.6% to 6.6% over the same period</w:t>
      </w:r>
      <w:r>
        <w:rPr>
          <w:vertAlign w:val="superscript"/>
        </w:rPr>
        <w:t>28</w:t>
      </w:r>
      <w:r>
        <w:rPr>
          <w:vertAlign w:val="baseline"/>
        </w:rPr>
        <w:t>.</w:t>
      </w:r>
    </w:p>
    <w:p>
      <w:pPr>
        <w:pStyle w:val="BodyText"/>
        <w:spacing w:before="1"/>
      </w:pPr>
    </w:p>
    <w:p>
      <w:pPr>
        <w:pStyle w:val="Heading5"/>
        <w:spacing w:line="275" w:lineRule="exact"/>
        <w:rPr>
          <w:i/>
        </w:rPr>
      </w:pPr>
      <w:r>
        <w:rPr>
          <w:i/>
        </w:rPr>
        <w:t>Key</w:t>
      </w:r>
      <w:r>
        <w:rPr>
          <w:i/>
          <w:spacing w:val="-8"/>
        </w:rPr>
        <w:t> </w:t>
      </w:r>
      <w:r>
        <w:rPr>
          <w:i/>
          <w:spacing w:val="-2"/>
        </w:rPr>
        <w:t>beneficiaries</w:t>
      </w:r>
    </w:p>
    <w:p>
      <w:pPr>
        <w:pStyle w:val="BodyText"/>
        <w:ind w:left="237" w:right="294"/>
        <w:jc w:val="both"/>
      </w:pPr>
      <w:r>
        <w:rPr/>
        <w:t>The 20% of the population currently experiencing a disability represents around four million people.</w:t>
      </w:r>
      <w:r>
        <w:rPr>
          <w:spacing w:val="40"/>
        </w:rPr>
        <w:t> </w:t>
      </w:r>
      <w:r>
        <w:rPr/>
        <w:t>However, this total includes all types of disability, including those deriving from a range of psychiatric conditions, heart and lung disease and</w:t>
      </w:r>
    </w:p>
    <w:p>
      <w:pPr>
        <w:pStyle w:val="BodyText"/>
        <w:rPr>
          <w:sz w:val="20"/>
        </w:rPr>
      </w:pPr>
    </w:p>
    <w:p>
      <w:pPr>
        <w:pStyle w:val="BodyText"/>
        <w:spacing w:before="4"/>
        <w:rPr>
          <w:sz w:val="22"/>
        </w:rPr>
      </w:pPr>
      <w:r>
        <w:rPr/>
        <w:pict>
          <v:rect style="position:absolute;margin-left:89.879997pt;margin-top:14.062449pt;width:432.3pt;height:.6pt;mso-position-horizontal-relative:page;mso-position-vertical-relative:paragraph;z-index:-15717888;mso-wrap-distance-left:0;mso-wrap-distance-right:0" id="docshape27" filled="true" fillcolor="#000000" stroked="false">
            <v:fill type="solid"/>
            <w10:wrap type="topAndBottom"/>
          </v:rect>
        </w:pict>
      </w:r>
    </w:p>
    <w:p>
      <w:pPr>
        <w:pStyle w:val="BodyText"/>
        <w:spacing w:before="2"/>
        <w:rPr>
          <w:sz w:val="11"/>
        </w:rPr>
      </w:pPr>
    </w:p>
    <w:p>
      <w:pPr>
        <w:spacing w:before="94"/>
        <w:ind w:left="237" w:right="294" w:firstLine="0"/>
        <w:jc w:val="both"/>
        <w:rPr>
          <w:sz w:val="20"/>
        </w:rPr>
      </w:pPr>
      <w:r>
        <w:rPr>
          <w:sz w:val="20"/>
        </w:rPr>
        <w:t>having a disability in recent years, perhaps due to social attitudes having become less negative. However, a more widely cited view is that the bulk of the change relates to the ageing of the </w:t>
      </w:r>
      <w:r>
        <w:rPr>
          <w:spacing w:val="-2"/>
          <w:sz w:val="20"/>
        </w:rPr>
        <w:t>population.</w:t>
      </w:r>
    </w:p>
    <w:p>
      <w:pPr>
        <w:spacing w:before="120"/>
        <w:ind w:left="237" w:right="247" w:hanging="1"/>
        <w:jc w:val="left"/>
        <w:rPr>
          <w:sz w:val="20"/>
        </w:rPr>
      </w:pPr>
      <w:r>
        <w:rPr>
          <w:sz w:val="20"/>
          <w:vertAlign w:val="superscript"/>
        </w:rPr>
        <w:t>26</w:t>
      </w:r>
      <w:r>
        <w:rPr>
          <w:sz w:val="20"/>
          <w:vertAlign w:val="baseline"/>
        </w:rPr>
        <w:t> Ibid.</w:t>
      </w:r>
      <w:r>
        <w:rPr>
          <w:spacing w:val="40"/>
          <w:sz w:val="20"/>
          <w:vertAlign w:val="baseline"/>
        </w:rPr>
        <w:t> </w:t>
      </w:r>
      <w:r>
        <w:rPr>
          <w:sz w:val="20"/>
          <w:vertAlign w:val="baseline"/>
        </w:rPr>
        <w:t>After controlling for age profile changes, all disabilities rate declined from 20.1 to 20.0%, while the rate of profound or severe core activity limitation declined from 6.4 to 6.3%.</w:t>
      </w:r>
    </w:p>
    <w:p>
      <w:pPr>
        <w:spacing w:before="120"/>
        <w:ind w:left="237" w:right="0" w:firstLine="0"/>
        <w:jc w:val="both"/>
        <w:rPr>
          <w:sz w:val="20"/>
        </w:rPr>
      </w:pPr>
      <w:r>
        <w:rPr>
          <w:sz w:val="20"/>
          <w:vertAlign w:val="superscript"/>
        </w:rPr>
        <w:t>27</w:t>
      </w:r>
      <w:r>
        <w:rPr>
          <w:spacing w:val="-6"/>
          <w:sz w:val="20"/>
          <w:vertAlign w:val="baseline"/>
        </w:rPr>
        <w:t> </w:t>
      </w:r>
      <w:r>
        <w:rPr>
          <w:sz w:val="20"/>
          <w:vertAlign w:val="baseline"/>
        </w:rPr>
        <w:t>Telephone</w:t>
      </w:r>
      <w:r>
        <w:rPr>
          <w:spacing w:val="-6"/>
          <w:sz w:val="20"/>
          <w:vertAlign w:val="baseline"/>
        </w:rPr>
        <w:t> </w:t>
      </w:r>
      <w:r>
        <w:rPr>
          <w:sz w:val="20"/>
          <w:vertAlign w:val="baseline"/>
        </w:rPr>
        <w:t>conversation</w:t>
      </w:r>
      <w:r>
        <w:rPr>
          <w:spacing w:val="-7"/>
          <w:sz w:val="20"/>
          <w:vertAlign w:val="baseline"/>
        </w:rPr>
        <w:t> </w:t>
      </w:r>
      <w:r>
        <w:rPr>
          <w:sz w:val="20"/>
          <w:vertAlign w:val="baseline"/>
        </w:rPr>
        <w:t>with</w:t>
      </w:r>
      <w:r>
        <w:rPr>
          <w:spacing w:val="-6"/>
          <w:sz w:val="20"/>
          <w:vertAlign w:val="baseline"/>
        </w:rPr>
        <w:t> </w:t>
      </w:r>
      <w:r>
        <w:rPr>
          <w:sz w:val="20"/>
          <w:vertAlign w:val="baseline"/>
        </w:rPr>
        <w:t>ABS</w:t>
      </w:r>
      <w:r>
        <w:rPr>
          <w:spacing w:val="-6"/>
          <w:sz w:val="20"/>
          <w:vertAlign w:val="baseline"/>
        </w:rPr>
        <w:t> </w:t>
      </w:r>
      <w:r>
        <w:rPr>
          <w:sz w:val="20"/>
          <w:vertAlign w:val="baseline"/>
        </w:rPr>
        <w:t>contact</w:t>
      </w:r>
      <w:r>
        <w:rPr>
          <w:spacing w:val="-6"/>
          <w:sz w:val="20"/>
          <w:vertAlign w:val="baseline"/>
        </w:rPr>
        <w:t> </w:t>
      </w:r>
      <w:r>
        <w:rPr>
          <w:sz w:val="20"/>
          <w:vertAlign w:val="baseline"/>
        </w:rPr>
        <w:t>officer,</w:t>
      </w:r>
      <w:r>
        <w:rPr>
          <w:spacing w:val="-6"/>
          <w:sz w:val="20"/>
          <w:vertAlign w:val="baseline"/>
        </w:rPr>
        <w:t> </w:t>
      </w:r>
      <w:r>
        <w:rPr>
          <w:sz w:val="20"/>
          <w:vertAlign w:val="baseline"/>
        </w:rPr>
        <w:t>31</w:t>
      </w:r>
      <w:r>
        <w:rPr>
          <w:spacing w:val="-6"/>
          <w:sz w:val="20"/>
          <w:vertAlign w:val="baseline"/>
        </w:rPr>
        <w:t> </w:t>
      </w:r>
      <w:r>
        <w:rPr>
          <w:sz w:val="20"/>
          <w:vertAlign w:val="baseline"/>
        </w:rPr>
        <w:t>August</w:t>
      </w:r>
      <w:r>
        <w:rPr>
          <w:spacing w:val="-6"/>
          <w:sz w:val="20"/>
          <w:vertAlign w:val="baseline"/>
        </w:rPr>
        <w:t> </w:t>
      </w:r>
      <w:r>
        <w:rPr>
          <w:spacing w:val="-2"/>
          <w:sz w:val="20"/>
          <w:vertAlign w:val="baseline"/>
        </w:rPr>
        <w:t>2005.</w:t>
      </w:r>
    </w:p>
    <w:p>
      <w:pPr>
        <w:spacing w:before="231"/>
        <w:ind w:left="237" w:right="247" w:firstLine="0"/>
        <w:jc w:val="left"/>
        <w:rPr>
          <w:sz w:val="20"/>
        </w:rPr>
      </w:pPr>
      <w:r>
        <w:rPr>
          <w:rFonts w:ascii="Times New Roman" w:hAnsi="Times New Roman"/>
          <w:sz w:val="20"/>
          <w:vertAlign w:val="superscript"/>
        </w:rPr>
        <w:t>28</w:t>
      </w:r>
      <w:r>
        <w:rPr>
          <w:rFonts w:ascii="Times New Roman" w:hAnsi="Times New Roman"/>
          <w:spacing w:val="27"/>
          <w:sz w:val="20"/>
          <w:vertAlign w:val="baseline"/>
        </w:rPr>
        <w:t> </w:t>
      </w:r>
      <w:r>
        <w:rPr>
          <w:sz w:val="20"/>
          <w:vertAlign w:val="baseline"/>
        </w:rPr>
        <w:t>Annual Report 2001-02.</w:t>
      </w:r>
      <w:r>
        <w:rPr>
          <w:spacing w:val="80"/>
          <w:sz w:val="20"/>
          <w:vertAlign w:val="baseline"/>
        </w:rPr>
        <w:t> </w:t>
      </w:r>
      <w:r>
        <w:rPr>
          <w:sz w:val="20"/>
          <w:vertAlign w:val="baseline"/>
        </w:rPr>
        <w:t>Disability Services Commission, Government of Western Australia.</w:t>
      </w:r>
      <w:r>
        <w:rPr>
          <w:spacing w:val="40"/>
          <w:sz w:val="20"/>
          <w:vertAlign w:val="baseline"/>
        </w:rPr>
        <w:t> </w:t>
      </w:r>
      <w:r>
        <w:rPr>
          <w:sz w:val="20"/>
          <w:vertAlign w:val="baseline"/>
        </w:rPr>
        <w:t>See Section 8.0 “Trends and Issues”. </w:t>
      </w:r>
      <w:hyperlink r:id="rId12">
        <w:r>
          <w:rPr>
            <w:color w:val="0000FF"/>
            <w:spacing w:val="-2"/>
            <w:sz w:val="20"/>
            <w:u w:val="single" w:color="0000FF"/>
            <w:vertAlign w:val="baseline"/>
          </w:rPr>
          <w:t>http://www.dsc.wa.gov.au/dsc/content/2002annual_report/content/trends_issues/page02.asp</w:t>
        </w:r>
        <w:r>
          <w:rPr>
            <w:spacing w:val="-2"/>
            <w:sz w:val="20"/>
            <w:vertAlign w:val="baseline"/>
          </w:rPr>
          <w:t>.</w:t>
        </w:r>
      </w:hyperlink>
      <w:r>
        <w:rPr>
          <w:spacing w:val="-2"/>
          <w:sz w:val="20"/>
          <w:vertAlign w:val="baseline"/>
        </w:rPr>
        <w:t> </w:t>
      </w:r>
      <w:r>
        <w:rPr>
          <w:sz w:val="20"/>
          <w:vertAlign w:val="baseline"/>
        </w:rPr>
        <w:t>Forecast data in this report is based on the 1998 ABS Survey of Disability, Ageing and Carers. A more recent survey was undertaken in 2003 which revealed similar outcomes. A further survey</w:t>
      </w:r>
      <w:r>
        <w:rPr>
          <w:spacing w:val="80"/>
          <w:sz w:val="20"/>
          <w:vertAlign w:val="baseline"/>
        </w:rPr>
        <w:t> </w:t>
      </w:r>
      <w:r>
        <w:rPr>
          <w:sz w:val="20"/>
          <w:vertAlign w:val="baseline"/>
        </w:rPr>
        <w:t>was scheduled for 2009, the outcomes of which are unknown at this time.</w:t>
      </w:r>
    </w:p>
    <w:p>
      <w:pPr>
        <w:spacing w:after="0"/>
        <w:jc w:val="left"/>
        <w:rPr>
          <w:sz w:val="20"/>
        </w:rPr>
        <w:sectPr>
          <w:pgSz w:w="12240" w:h="15840"/>
          <w:pgMar w:header="0" w:footer="1140" w:top="1360" w:bottom="1340" w:left="1560" w:right="1500"/>
        </w:sectPr>
      </w:pPr>
    </w:p>
    <w:p>
      <w:pPr>
        <w:pStyle w:val="BodyText"/>
        <w:spacing w:before="77"/>
        <w:ind w:left="237" w:right="294"/>
        <w:jc w:val="both"/>
      </w:pPr>
      <w:r>
        <w:rPr/>
        <w:t>the like.</w:t>
      </w:r>
      <w:r>
        <w:rPr>
          <w:spacing w:val="40"/>
        </w:rPr>
        <w:t> </w:t>
      </w:r>
      <w:r>
        <w:rPr/>
        <w:t>Clearly, people with some disabilities are unlikely to benefit directly and substantially from improved accessibility of publicly accessible buildings.</w:t>
      </w:r>
      <w:r>
        <w:rPr>
          <w:spacing w:val="40"/>
        </w:rPr>
        <w:t> </w:t>
      </w:r>
      <w:r>
        <w:rPr/>
        <w:t>Thus, a more detailed understanding of the range of beneficiaries is required.</w:t>
      </w:r>
    </w:p>
    <w:p>
      <w:pPr>
        <w:pStyle w:val="BodyText"/>
        <w:spacing w:before="11"/>
        <w:rPr>
          <w:sz w:val="23"/>
        </w:rPr>
      </w:pPr>
    </w:p>
    <w:p>
      <w:pPr>
        <w:pStyle w:val="BodyText"/>
        <w:ind w:left="237" w:right="294"/>
        <w:jc w:val="both"/>
      </w:pPr>
      <w:r>
        <w:rPr/>
        <w:t>Sections 5 and 6 of this RIS indicate that the majority of the Premises Standards is concerned with achieving improved access for persons with a mobility disability,</w:t>
      </w:r>
      <w:r>
        <w:rPr>
          <w:spacing w:val="-4"/>
        </w:rPr>
        <w:t> </w:t>
      </w:r>
      <w:r>
        <w:rPr/>
        <w:t>while</w:t>
      </w:r>
      <w:r>
        <w:rPr>
          <w:spacing w:val="-4"/>
        </w:rPr>
        <w:t> </w:t>
      </w:r>
      <w:r>
        <w:rPr/>
        <w:t>a</w:t>
      </w:r>
      <w:r>
        <w:rPr>
          <w:spacing w:val="-4"/>
        </w:rPr>
        <w:t> </w:t>
      </w:r>
      <w:r>
        <w:rPr/>
        <w:t>smaller</w:t>
      </w:r>
      <w:r>
        <w:rPr>
          <w:spacing w:val="-4"/>
        </w:rPr>
        <w:t> </w:t>
      </w:r>
      <w:r>
        <w:rPr/>
        <w:t>number</w:t>
      </w:r>
      <w:r>
        <w:rPr>
          <w:spacing w:val="-4"/>
        </w:rPr>
        <w:t> </w:t>
      </w:r>
      <w:r>
        <w:rPr/>
        <w:t>of</w:t>
      </w:r>
      <w:r>
        <w:rPr>
          <w:spacing w:val="-4"/>
        </w:rPr>
        <w:t> </w:t>
      </w:r>
      <w:r>
        <w:rPr/>
        <w:t>provisions</w:t>
      </w:r>
      <w:r>
        <w:rPr>
          <w:spacing w:val="-4"/>
        </w:rPr>
        <w:t> </w:t>
      </w:r>
      <w:r>
        <w:rPr/>
        <w:t>are</w:t>
      </w:r>
      <w:r>
        <w:rPr>
          <w:spacing w:val="-4"/>
        </w:rPr>
        <w:t> </w:t>
      </w:r>
      <w:r>
        <w:rPr/>
        <w:t>also</w:t>
      </w:r>
      <w:r>
        <w:rPr>
          <w:spacing w:val="-4"/>
        </w:rPr>
        <w:t> </w:t>
      </w:r>
      <w:r>
        <w:rPr/>
        <w:t>concerned</w:t>
      </w:r>
      <w:r>
        <w:rPr>
          <w:spacing w:val="-4"/>
        </w:rPr>
        <w:t> </w:t>
      </w:r>
      <w:r>
        <w:rPr/>
        <w:t>with</w:t>
      </w:r>
      <w:r>
        <w:rPr>
          <w:spacing w:val="-4"/>
        </w:rPr>
        <w:t> </w:t>
      </w:r>
      <w:r>
        <w:rPr/>
        <w:t>improving access for people with vision or hearing impairment.</w:t>
      </w:r>
      <w:r>
        <w:rPr>
          <w:spacing w:val="80"/>
        </w:rPr>
        <w:t> </w:t>
      </w:r>
      <w:r>
        <w:rPr/>
        <w:t>Thus, the main</w:t>
      </w:r>
      <w:r>
        <w:rPr>
          <w:spacing w:val="40"/>
        </w:rPr>
        <w:t> </w:t>
      </w:r>
      <w:r>
        <w:rPr/>
        <w:t>beneficiaries of the Standards will be this subset of the overall number of people with a disability.</w:t>
      </w:r>
    </w:p>
    <w:p>
      <w:pPr>
        <w:pStyle w:val="BodyText"/>
      </w:pPr>
    </w:p>
    <w:p>
      <w:pPr>
        <w:pStyle w:val="BodyText"/>
        <w:ind w:left="237" w:right="294"/>
        <w:jc w:val="both"/>
      </w:pPr>
      <w:r>
        <w:rPr/>
        <w:t>According to Census data</w:t>
      </w:r>
      <w:r>
        <w:rPr>
          <w:vertAlign w:val="superscript"/>
        </w:rPr>
        <w:t>29</w:t>
      </w:r>
      <w:r>
        <w:rPr>
          <w:vertAlign w:val="baseline"/>
        </w:rPr>
        <w:t>, the proportion of people reporting mobility</w:t>
      </w:r>
      <w:r>
        <w:rPr>
          <w:spacing w:val="40"/>
          <w:vertAlign w:val="baseline"/>
        </w:rPr>
        <w:t> </w:t>
      </w:r>
      <w:r>
        <w:rPr>
          <w:vertAlign w:val="baseline"/>
        </w:rPr>
        <w:t>disabilities is currently around 10.5% of the population.</w:t>
      </w:r>
      <w:r>
        <w:rPr>
          <w:spacing w:val="40"/>
          <w:vertAlign w:val="baseline"/>
        </w:rPr>
        <w:t> </w:t>
      </w:r>
      <w:r>
        <w:rPr>
          <w:vertAlign w:val="baseline"/>
        </w:rPr>
        <w:t>In addition, 4% of people have a hearing impairment, while 1.6% have a vision impairment.</w:t>
      </w:r>
      <w:r>
        <w:rPr>
          <w:spacing w:val="40"/>
          <w:vertAlign w:val="baseline"/>
        </w:rPr>
        <w:t> </w:t>
      </w:r>
      <w:r>
        <w:rPr>
          <w:vertAlign w:val="baseline"/>
        </w:rPr>
        <w:t>This suggests that up to 16% of the population – almost one person in six, or 3.2 million people</w:t>
      </w:r>
    </w:p>
    <w:p>
      <w:pPr>
        <w:pStyle w:val="BodyText"/>
        <w:ind w:left="237" w:right="295"/>
        <w:jc w:val="both"/>
      </w:pPr>
      <w:r>
        <w:rPr/>
        <w:t>– may reap some benefit from the proposed Standards.</w:t>
      </w:r>
      <w:r>
        <w:rPr>
          <w:spacing w:val="40"/>
        </w:rPr>
        <w:t> </w:t>
      </w:r>
      <w:r>
        <w:rPr/>
        <w:t>Moreover, this group is, to some extent, a “floating” population.</w:t>
      </w:r>
      <w:r>
        <w:rPr>
          <w:spacing w:val="40"/>
        </w:rPr>
        <w:t> </w:t>
      </w:r>
      <w:r>
        <w:rPr/>
        <w:t>That is, since not all disabilities are permanent in nature, it is necessarily the case that a larger proportion of the population than this will suffer from one of these types of disability at some time</w:t>
      </w:r>
      <w:r>
        <w:rPr>
          <w:spacing w:val="40"/>
        </w:rPr>
        <w:t> </w:t>
      </w:r>
      <w:r>
        <w:rPr/>
        <w:t>in their lives.</w:t>
      </w:r>
      <w:r>
        <w:rPr>
          <w:spacing w:val="40"/>
        </w:rPr>
        <w:t> </w:t>
      </w:r>
      <w:r>
        <w:rPr/>
        <w:t>Thus, the proportion of people that may benefit from the Premises Standards at some stage in their lives may be larger than the 16% indicated </w:t>
      </w:r>
      <w:r>
        <w:rPr>
          <w:spacing w:val="-2"/>
        </w:rPr>
        <w:t>above.</w:t>
      </w:r>
    </w:p>
    <w:p>
      <w:pPr>
        <w:pStyle w:val="BodyText"/>
      </w:pPr>
    </w:p>
    <w:p>
      <w:pPr>
        <w:pStyle w:val="BodyText"/>
        <w:spacing w:before="1"/>
        <w:ind w:left="237" w:right="295"/>
        <w:jc w:val="both"/>
      </w:pPr>
      <w:r>
        <w:rPr/>
        <w:t>While the numbers of people likely to gain some benefit from the Standards are large, it is clear that the primary beneficiaries will constitute smaller groups.</w:t>
      </w:r>
    </w:p>
    <w:p>
      <w:pPr>
        <w:pStyle w:val="BodyText"/>
        <w:spacing w:before="10"/>
        <w:rPr>
          <w:sz w:val="23"/>
        </w:rPr>
      </w:pPr>
    </w:p>
    <w:p>
      <w:pPr>
        <w:pStyle w:val="BodyText"/>
        <w:ind w:left="237" w:right="295"/>
        <w:jc w:val="both"/>
      </w:pPr>
      <w:r>
        <w:rPr/>
        <w:t>With regard to measures aimed at those with mobility disabilities, it is clear that those who use mobility aids – including wheelchairs, walking frames, walking sticks, crutches etc – will be most affected.</w:t>
      </w:r>
      <w:r>
        <w:rPr>
          <w:spacing w:val="40"/>
        </w:rPr>
        <w:t> </w:t>
      </w:r>
      <w:r>
        <w:rPr/>
        <w:t>This group constitutes 2.5% of the population, or about one quarter of those reporting a mobility disability.</w:t>
      </w:r>
      <w:r>
        <w:rPr>
          <w:spacing w:val="40"/>
        </w:rPr>
        <w:t> </w:t>
      </w:r>
      <w:r>
        <w:rPr/>
        <w:t>Table 2 below summarises the number of users of different mobility aids and provides comparative</w:t>
      </w:r>
      <w:r>
        <w:rPr>
          <w:spacing w:val="-3"/>
        </w:rPr>
        <w:t> </w:t>
      </w:r>
      <w:r>
        <w:rPr/>
        <w:t>data</w:t>
      </w:r>
      <w:r>
        <w:rPr>
          <w:spacing w:val="-3"/>
        </w:rPr>
        <w:t> </w:t>
      </w:r>
      <w:r>
        <w:rPr/>
        <w:t>for</w:t>
      </w:r>
      <w:r>
        <w:rPr>
          <w:spacing w:val="-3"/>
        </w:rPr>
        <w:t> </w:t>
      </w:r>
      <w:r>
        <w:rPr/>
        <w:t>1998</w:t>
      </w:r>
      <w:r>
        <w:rPr>
          <w:spacing w:val="-3"/>
        </w:rPr>
        <w:t> </w:t>
      </w:r>
      <w:r>
        <w:rPr/>
        <w:t>and</w:t>
      </w:r>
      <w:r>
        <w:rPr>
          <w:spacing w:val="-3"/>
        </w:rPr>
        <w:t> </w:t>
      </w:r>
      <w:r>
        <w:rPr/>
        <w:t>2003.</w:t>
      </w:r>
      <w:r>
        <w:rPr>
          <w:spacing w:val="-3"/>
        </w:rPr>
        <w:t> </w:t>
      </w:r>
      <w:r>
        <w:rPr/>
        <w:t>All</w:t>
      </w:r>
      <w:r>
        <w:rPr>
          <w:spacing w:val="-3"/>
        </w:rPr>
        <w:t> </w:t>
      </w:r>
      <w:r>
        <w:rPr/>
        <w:t>data</w:t>
      </w:r>
      <w:r>
        <w:rPr>
          <w:spacing w:val="-2"/>
        </w:rPr>
        <w:t> </w:t>
      </w:r>
      <w:r>
        <w:rPr/>
        <w:t>are</w:t>
      </w:r>
      <w:r>
        <w:rPr>
          <w:spacing w:val="-3"/>
        </w:rPr>
        <w:t> </w:t>
      </w:r>
      <w:r>
        <w:rPr/>
        <w:t>derived</w:t>
      </w:r>
      <w:r>
        <w:rPr>
          <w:spacing w:val="-3"/>
        </w:rPr>
        <w:t> </w:t>
      </w:r>
      <w:r>
        <w:rPr/>
        <w:t>from</w:t>
      </w:r>
      <w:r>
        <w:rPr>
          <w:spacing w:val="-3"/>
        </w:rPr>
        <w:t> </w:t>
      </w:r>
      <w:r>
        <w:rPr/>
        <w:t>the</w:t>
      </w:r>
      <w:r>
        <w:rPr>
          <w:spacing w:val="-4"/>
        </w:rPr>
        <w:t> </w:t>
      </w:r>
      <w:r>
        <w:rPr/>
        <w:t>ABS</w:t>
      </w:r>
      <w:r>
        <w:rPr>
          <w:spacing w:val="-4"/>
        </w:rPr>
        <w:t> </w:t>
      </w:r>
      <w:r>
        <w:rPr/>
        <w:t>Disability, Ageing and Carers Survey.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rect style="position:absolute;margin-left:89.879997pt;margin-top:7.150293pt;width:144pt;height:.6pt;mso-position-horizontal-relative:page;mso-position-vertical-relative:paragraph;z-index:-15717376;mso-wrap-distance-left:0;mso-wrap-distance-right:0" id="docshape28" filled="true" fillcolor="#000000" stroked="false">
            <v:fill type="solid"/>
            <w10:wrap type="topAndBottom"/>
          </v:rect>
        </w:pict>
      </w:r>
    </w:p>
    <w:p>
      <w:pPr>
        <w:pStyle w:val="BodyText"/>
        <w:spacing w:before="1"/>
        <w:rPr>
          <w:sz w:val="8"/>
        </w:rPr>
      </w:pPr>
    </w:p>
    <w:p>
      <w:pPr>
        <w:spacing w:before="130"/>
        <w:ind w:left="237" w:right="293" w:hanging="1"/>
        <w:jc w:val="both"/>
        <w:rPr>
          <w:sz w:val="20"/>
        </w:rPr>
      </w:pPr>
      <w:r>
        <w:rPr>
          <w:sz w:val="20"/>
          <w:vertAlign w:val="superscript"/>
        </w:rPr>
        <w:t>29</w:t>
      </w:r>
      <w:r>
        <w:rPr>
          <w:sz w:val="20"/>
          <w:vertAlign w:val="baseline"/>
        </w:rPr>
        <w:t> Census disability data relates to people who state that they have a disability with an actual or expected</w:t>
      </w:r>
      <w:r>
        <w:rPr>
          <w:spacing w:val="-1"/>
          <w:sz w:val="20"/>
          <w:vertAlign w:val="baseline"/>
        </w:rPr>
        <w:t> </w:t>
      </w:r>
      <w:r>
        <w:rPr>
          <w:sz w:val="20"/>
          <w:vertAlign w:val="baseline"/>
        </w:rPr>
        <w:t>duration</w:t>
      </w:r>
      <w:r>
        <w:rPr>
          <w:spacing w:val="-1"/>
          <w:sz w:val="20"/>
          <w:vertAlign w:val="baseline"/>
        </w:rPr>
        <w:t> </w:t>
      </w:r>
      <w:r>
        <w:rPr>
          <w:sz w:val="20"/>
          <w:vertAlign w:val="baseline"/>
        </w:rPr>
        <w:t>of</w:t>
      </w:r>
      <w:r>
        <w:rPr>
          <w:spacing w:val="-1"/>
          <w:sz w:val="20"/>
          <w:vertAlign w:val="baseline"/>
        </w:rPr>
        <w:t> </w:t>
      </w:r>
      <w:r>
        <w:rPr>
          <w:sz w:val="20"/>
          <w:vertAlign w:val="baseline"/>
        </w:rPr>
        <w:t>six</w:t>
      </w:r>
      <w:r>
        <w:rPr>
          <w:spacing w:val="-1"/>
          <w:sz w:val="20"/>
          <w:vertAlign w:val="baseline"/>
        </w:rPr>
        <w:t> </w:t>
      </w:r>
      <w:r>
        <w:rPr>
          <w:sz w:val="20"/>
          <w:vertAlign w:val="baseline"/>
        </w:rPr>
        <w:t>months</w:t>
      </w:r>
      <w:r>
        <w:rPr>
          <w:spacing w:val="-1"/>
          <w:sz w:val="20"/>
          <w:vertAlign w:val="baseline"/>
        </w:rPr>
        <w:t> </w:t>
      </w:r>
      <w:r>
        <w:rPr>
          <w:sz w:val="20"/>
          <w:vertAlign w:val="baseline"/>
        </w:rPr>
        <w:t>or longer</w:t>
      </w:r>
      <w:r>
        <w:rPr>
          <w:spacing w:val="-1"/>
          <w:sz w:val="20"/>
          <w:vertAlign w:val="baseline"/>
        </w:rPr>
        <w:t> </w:t>
      </w:r>
      <w:r>
        <w:rPr>
          <w:sz w:val="20"/>
          <w:vertAlign w:val="baseline"/>
        </w:rPr>
        <w:t>at</w:t>
      </w:r>
      <w:r>
        <w:rPr>
          <w:spacing w:val="-1"/>
          <w:sz w:val="20"/>
          <w:vertAlign w:val="baseline"/>
        </w:rPr>
        <w:t> </w:t>
      </w:r>
      <w:r>
        <w:rPr>
          <w:sz w:val="20"/>
          <w:vertAlign w:val="baseline"/>
        </w:rPr>
        <w:t>the</w:t>
      </w:r>
      <w:r>
        <w:rPr>
          <w:spacing w:val="-1"/>
          <w:sz w:val="20"/>
          <w:vertAlign w:val="baseline"/>
        </w:rPr>
        <w:t> </w:t>
      </w:r>
      <w:r>
        <w:rPr>
          <w:sz w:val="20"/>
          <w:vertAlign w:val="baseline"/>
        </w:rPr>
        <w:t>time</w:t>
      </w:r>
      <w:r>
        <w:rPr>
          <w:spacing w:val="-2"/>
          <w:sz w:val="20"/>
          <w:vertAlign w:val="baseline"/>
        </w:rPr>
        <w:t> </w:t>
      </w:r>
      <w:r>
        <w:rPr>
          <w:sz w:val="20"/>
          <w:vertAlign w:val="baseline"/>
        </w:rPr>
        <w:t>of</w:t>
      </w:r>
      <w:r>
        <w:rPr>
          <w:spacing w:val="-1"/>
          <w:sz w:val="20"/>
          <w:vertAlign w:val="baseline"/>
        </w:rPr>
        <w:t> </w:t>
      </w:r>
      <w:r>
        <w:rPr>
          <w:sz w:val="20"/>
          <w:vertAlign w:val="baseline"/>
        </w:rPr>
        <w:t>the Census.</w:t>
      </w:r>
      <w:r>
        <w:rPr>
          <w:spacing w:val="40"/>
          <w:sz w:val="20"/>
          <w:vertAlign w:val="baseline"/>
        </w:rPr>
        <w:t> </w:t>
      </w:r>
      <w:r>
        <w:rPr>
          <w:sz w:val="20"/>
          <w:vertAlign w:val="baseline"/>
        </w:rPr>
        <w:t>It</w:t>
      </w:r>
      <w:r>
        <w:rPr>
          <w:spacing w:val="-1"/>
          <w:sz w:val="20"/>
          <w:vertAlign w:val="baseline"/>
        </w:rPr>
        <w:t> </w:t>
      </w:r>
      <w:r>
        <w:rPr>
          <w:sz w:val="20"/>
          <w:vertAlign w:val="baseline"/>
        </w:rPr>
        <w:t>should</w:t>
      </w:r>
      <w:r>
        <w:rPr>
          <w:spacing w:val="-1"/>
          <w:sz w:val="20"/>
          <w:vertAlign w:val="baseline"/>
        </w:rPr>
        <w:t> </w:t>
      </w:r>
      <w:r>
        <w:rPr>
          <w:sz w:val="20"/>
          <w:vertAlign w:val="baseline"/>
        </w:rPr>
        <w:t>be</w:t>
      </w:r>
      <w:r>
        <w:rPr>
          <w:spacing w:val="-1"/>
          <w:sz w:val="20"/>
          <w:vertAlign w:val="baseline"/>
        </w:rPr>
        <w:t> </w:t>
      </w:r>
      <w:r>
        <w:rPr>
          <w:sz w:val="20"/>
          <w:vertAlign w:val="baseline"/>
        </w:rPr>
        <w:t>noted,</w:t>
      </w:r>
      <w:r>
        <w:rPr>
          <w:spacing w:val="-1"/>
          <w:sz w:val="20"/>
          <w:vertAlign w:val="baseline"/>
        </w:rPr>
        <w:t> </w:t>
      </w:r>
      <w:r>
        <w:rPr>
          <w:sz w:val="20"/>
          <w:vertAlign w:val="baseline"/>
        </w:rPr>
        <w:t>also,</w:t>
      </w:r>
      <w:r>
        <w:rPr>
          <w:spacing w:val="-2"/>
          <w:sz w:val="20"/>
          <w:vertAlign w:val="baseline"/>
        </w:rPr>
        <w:t> </w:t>
      </w:r>
      <w:r>
        <w:rPr>
          <w:sz w:val="20"/>
          <w:vertAlign w:val="baseline"/>
        </w:rPr>
        <w:t>that categories of disability are not necessarily mutually exclusive.</w:t>
      </w:r>
    </w:p>
    <w:p>
      <w:pPr>
        <w:spacing w:after="0"/>
        <w:jc w:val="both"/>
        <w:rPr>
          <w:sz w:val="20"/>
        </w:rPr>
        <w:sectPr>
          <w:pgSz w:w="12240" w:h="15840"/>
          <w:pgMar w:header="0" w:footer="1140" w:top="1360" w:bottom="1340" w:left="1560" w:right="1500"/>
        </w:sectPr>
      </w:pPr>
    </w:p>
    <w:p>
      <w:pPr>
        <w:pStyle w:val="Heading4"/>
        <w:spacing w:before="78"/>
        <w:ind w:left="237"/>
        <w:jc w:val="left"/>
        <w:rPr>
          <w:u w:val="none"/>
        </w:rPr>
      </w:pPr>
      <w:r>
        <w:rPr>
          <w:u w:val="single"/>
        </w:rPr>
        <w:t>Table</w:t>
      </w:r>
      <w:r>
        <w:rPr>
          <w:spacing w:val="-7"/>
          <w:u w:val="single"/>
        </w:rPr>
        <w:t> </w:t>
      </w:r>
      <w:r>
        <w:rPr>
          <w:u w:val="single"/>
        </w:rPr>
        <w:t>2:</w:t>
      </w:r>
      <w:r>
        <w:rPr>
          <w:spacing w:val="-7"/>
          <w:u w:val="single"/>
        </w:rPr>
        <w:t> </w:t>
      </w:r>
      <w:r>
        <w:rPr>
          <w:u w:val="single"/>
        </w:rPr>
        <w:t>Users</w:t>
      </w:r>
      <w:r>
        <w:rPr>
          <w:spacing w:val="-7"/>
          <w:u w:val="single"/>
        </w:rPr>
        <w:t> </w:t>
      </w:r>
      <w:r>
        <w:rPr>
          <w:u w:val="single"/>
        </w:rPr>
        <w:t>of</w:t>
      </w:r>
      <w:r>
        <w:rPr>
          <w:spacing w:val="-7"/>
          <w:u w:val="single"/>
        </w:rPr>
        <w:t> </w:t>
      </w:r>
      <w:r>
        <w:rPr>
          <w:u w:val="single"/>
        </w:rPr>
        <w:t>mobility</w:t>
      </w:r>
      <w:r>
        <w:rPr>
          <w:spacing w:val="-9"/>
          <w:u w:val="single"/>
        </w:rPr>
        <w:t> </w:t>
      </w:r>
      <w:r>
        <w:rPr>
          <w:u w:val="single"/>
        </w:rPr>
        <w:t>aids</w:t>
      </w:r>
      <w:r>
        <w:rPr>
          <w:spacing w:val="53"/>
          <w:u w:val="single"/>
        </w:rPr>
        <w:t> </w:t>
      </w:r>
      <w:r>
        <w:rPr>
          <w:u w:val="single"/>
        </w:rPr>
        <w:t>2003</w:t>
      </w:r>
      <w:r>
        <w:rPr>
          <w:spacing w:val="-6"/>
          <w:u w:val="single"/>
        </w:rPr>
        <w:t> </w:t>
      </w:r>
      <w:r>
        <w:rPr>
          <w:spacing w:val="-2"/>
          <w:u w:val="single"/>
        </w:rPr>
        <w:t>(1998)</w:t>
      </w:r>
    </w:p>
    <w:p>
      <w:pPr>
        <w:pStyle w:val="BodyText"/>
        <w:spacing w:before="2"/>
        <w:rPr>
          <w:b/>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8"/>
        <w:gridCol w:w="2160"/>
        <w:gridCol w:w="1980"/>
      </w:tblGrid>
      <w:tr>
        <w:trPr>
          <w:trHeight w:val="331" w:hRule="atLeast"/>
        </w:trPr>
        <w:tc>
          <w:tcPr>
            <w:tcW w:w="3168" w:type="dxa"/>
          </w:tcPr>
          <w:p>
            <w:pPr>
              <w:pStyle w:val="TableParagraph"/>
              <w:rPr>
                <w:rFonts w:ascii="Times New Roman"/>
                <w:sz w:val="22"/>
              </w:rPr>
            </w:pPr>
          </w:p>
        </w:tc>
        <w:tc>
          <w:tcPr>
            <w:tcW w:w="2160" w:type="dxa"/>
          </w:tcPr>
          <w:p>
            <w:pPr>
              <w:pStyle w:val="TableParagraph"/>
              <w:spacing w:before="26"/>
              <w:ind w:left="454" w:right="444"/>
              <w:jc w:val="center"/>
              <w:rPr>
                <w:b/>
                <w:sz w:val="24"/>
              </w:rPr>
            </w:pPr>
            <w:r>
              <w:rPr>
                <w:b/>
                <w:spacing w:val="-4"/>
                <w:sz w:val="24"/>
              </w:rPr>
              <w:t>000s</w:t>
            </w:r>
          </w:p>
        </w:tc>
        <w:tc>
          <w:tcPr>
            <w:tcW w:w="1980" w:type="dxa"/>
          </w:tcPr>
          <w:p>
            <w:pPr>
              <w:pStyle w:val="TableParagraph"/>
              <w:spacing w:before="26"/>
              <w:ind w:left="504" w:right="495"/>
              <w:jc w:val="center"/>
              <w:rPr>
                <w:b/>
                <w:sz w:val="24"/>
              </w:rPr>
            </w:pPr>
            <w:r>
              <w:rPr>
                <w:b/>
                <w:sz w:val="24"/>
              </w:rPr>
              <w:t>Per</w:t>
            </w:r>
            <w:r>
              <w:rPr>
                <w:b/>
                <w:spacing w:val="-2"/>
                <w:sz w:val="24"/>
              </w:rPr>
              <w:t> </w:t>
            </w:r>
            <w:r>
              <w:rPr>
                <w:b/>
                <w:spacing w:val="-4"/>
                <w:sz w:val="24"/>
              </w:rPr>
              <w:t>cent</w:t>
            </w:r>
          </w:p>
        </w:tc>
      </w:tr>
      <w:tr>
        <w:trPr>
          <w:trHeight w:val="332" w:hRule="atLeast"/>
        </w:trPr>
        <w:tc>
          <w:tcPr>
            <w:tcW w:w="3168" w:type="dxa"/>
          </w:tcPr>
          <w:p>
            <w:pPr>
              <w:pStyle w:val="TableParagraph"/>
              <w:spacing w:before="26"/>
              <w:ind w:left="107"/>
              <w:rPr>
                <w:b/>
                <w:sz w:val="24"/>
              </w:rPr>
            </w:pPr>
            <w:r>
              <w:rPr>
                <w:b/>
                <w:sz w:val="24"/>
              </w:rPr>
              <w:t>Crutches/walking</w:t>
            </w:r>
            <w:r>
              <w:rPr>
                <w:b/>
                <w:spacing w:val="-14"/>
                <w:sz w:val="24"/>
              </w:rPr>
              <w:t> </w:t>
            </w:r>
            <w:r>
              <w:rPr>
                <w:b/>
                <w:spacing w:val="-2"/>
                <w:sz w:val="24"/>
              </w:rPr>
              <w:t>stick</w:t>
            </w:r>
          </w:p>
        </w:tc>
        <w:tc>
          <w:tcPr>
            <w:tcW w:w="2160" w:type="dxa"/>
          </w:tcPr>
          <w:p>
            <w:pPr>
              <w:pStyle w:val="TableParagraph"/>
              <w:spacing w:before="25"/>
              <w:ind w:left="454" w:right="446"/>
              <w:jc w:val="center"/>
              <w:rPr>
                <w:sz w:val="24"/>
              </w:rPr>
            </w:pPr>
            <w:r>
              <w:rPr>
                <w:sz w:val="24"/>
              </w:rPr>
              <w:t>265.2</w:t>
            </w:r>
            <w:r>
              <w:rPr>
                <w:spacing w:val="-8"/>
                <w:sz w:val="24"/>
              </w:rPr>
              <w:t> </w:t>
            </w:r>
            <w:r>
              <w:rPr>
                <w:spacing w:val="-2"/>
                <w:sz w:val="24"/>
              </w:rPr>
              <w:t>(265)</w:t>
            </w:r>
          </w:p>
        </w:tc>
        <w:tc>
          <w:tcPr>
            <w:tcW w:w="1980" w:type="dxa"/>
          </w:tcPr>
          <w:p>
            <w:pPr>
              <w:pStyle w:val="TableParagraph"/>
              <w:spacing w:before="25"/>
              <w:ind w:left="504" w:right="494"/>
              <w:jc w:val="center"/>
              <w:rPr>
                <w:sz w:val="24"/>
              </w:rPr>
            </w:pPr>
            <w:r>
              <w:rPr>
                <w:sz w:val="24"/>
              </w:rPr>
              <w:t>1.3</w:t>
            </w:r>
            <w:r>
              <w:rPr>
                <w:spacing w:val="-4"/>
                <w:sz w:val="24"/>
              </w:rPr>
              <w:t> </w:t>
            </w:r>
            <w:r>
              <w:rPr>
                <w:spacing w:val="-2"/>
                <w:sz w:val="24"/>
              </w:rPr>
              <w:t>(1.4)</w:t>
            </w:r>
          </w:p>
        </w:tc>
      </w:tr>
      <w:tr>
        <w:trPr>
          <w:trHeight w:val="332" w:hRule="atLeast"/>
        </w:trPr>
        <w:tc>
          <w:tcPr>
            <w:tcW w:w="3168" w:type="dxa"/>
          </w:tcPr>
          <w:p>
            <w:pPr>
              <w:pStyle w:val="TableParagraph"/>
              <w:spacing w:before="26"/>
              <w:ind w:left="107"/>
              <w:rPr>
                <w:b/>
                <w:sz w:val="24"/>
              </w:rPr>
            </w:pPr>
            <w:r>
              <w:rPr>
                <w:b/>
                <w:sz w:val="24"/>
              </w:rPr>
              <w:t>Walking</w:t>
            </w:r>
            <w:r>
              <w:rPr>
                <w:b/>
                <w:spacing w:val="-8"/>
                <w:sz w:val="24"/>
              </w:rPr>
              <w:t> </w:t>
            </w:r>
            <w:r>
              <w:rPr>
                <w:b/>
                <w:spacing w:val="-2"/>
                <w:sz w:val="24"/>
              </w:rPr>
              <w:t>frame</w:t>
            </w:r>
          </w:p>
        </w:tc>
        <w:tc>
          <w:tcPr>
            <w:tcW w:w="2160" w:type="dxa"/>
          </w:tcPr>
          <w:p>
            <w:pPr>
              <w:pStyle w:val="TableParagraph"/>
              <w:spacing w:before="25"/>
              <w:ind w:left="454" w:right="446"/>
              <w:jc w:val="center"/>
              <w:rPr>
                <w:sz w:val="24"/>
              </w:rPr>
            </w:pPr>
            <w:r>
              <w:rPr>
                <w:sz w:val="24"/>
              </w:rPr>
              <w:t>179.3</w:t>
            </w:r>
            <w:r>
              <w:rPr>
                <w:spacing w:val="-8"/>
                <w:sz w:val="24"/>
              </w:rPr>
              <w:t> </w:t>
            </w:r>
            <w:r>
              <w:rPr>
                <w:spacing w:val="-2"/>
                <w:sz w:val="24"/>
              </w:rPr>
              <w:t>(103)</w:t>
            </w:r>
          </w:p>
        </w:tc>
        <w:tc>
          <w:tcPr>
            <w:tcW w:w="1980" w:type="dxa"/>
          </w:tcPr>
          <w:p>
            <w:pPr>
              <w:pStyle w:val="TableParagraph"/>
              <w:spacing w:before="25"/>
              <w:ind w:left="504" w:right="494"/>
              <w:jc w:val="center"/>
              <w:rPr>
                <w:sz w:val="24"/>
              </w:rPr>
            </w:pPr>
            <w:r>
              <w:rPr>
                <w:sz w:val="24"/>
              </w:rPr>
              <w:t>0.9</w:t>
            </w:r>
            <w:r>
              <w:rPr>
                <w:spacing w:val="-4"/>
                <w:sz w:val="24"/>
              </w:rPr>
              <w:t> </w:t>
            </w:r>
            <w:r>
              <w:rPr>
                <w:spacing w:val="-2"/>
                <w:sz w:val="24"/>
              </w:rPr>
              <w:t>(0.6)</w:t>
            </w:r>
          </w:p>
        </w:tc>
      </w:tr>
      <w:tr>
        <w:trPr>
          <w:trHeight w:val="332" w:hRule="atLeast"/>
        </w:trPr>
        <w:tc>
          <w:tcPr>
            <w:tcW w:w="3168" w:type="dxa"/>
          </w:tcPr>
          <w:p>
            <w:pPr>
              <w:pStyle w:val="TableParagraph"/>
              <w:spacing w:before="26"/>
              <w:ind w:left="107"/>
              <w:rPr>
                <w:b/>
                <w:sz w:val="24"/>
              </w:rPr>
            </w:pPr>
            <w:r>
              <w:rPr>
                <w:b/>
                <w:spacing w:val="-2"/>
                <w:sz w:val="24"/>
              </w:rPr>
              <w:t>Wheelchair</w:t>
            </w:r>
          </w:p>
        </w:tc>
        <w:tc>
          <w:tcPr>
            <w:tcW w:w="2160" w:type="dxa"/>
          </w:tcPr>
          <w:p>
            <w:pPr>
              <w:pStyle w:val="TableParagraph"/>
              <w:spacing w:before="25"/>
              <w:ind w:left="454" w:right="446"/>
              <w:jc w:val="center"/>
              <w:rPr>
                <w:sz w:val="24"/>
              </w:rPr>
            </w:pPr>
            <w:r>
              <w:rPr>
                <w:sz w:val="24"/>
              </w:rPr>
              <w:t>130.0</w:t>
            </w:r>
            <w:r>
              <w:rPr>
                <w:spacing w:val="-8"/>
                <w:sz w:val="24"/>
              </w:rPr>
              <w:t> </w:t>
            </w:r>
            <w:r>
              <w:rPr>
                <w:spacing w:val="-2"/>
                <w:sz w:val="24"/>
              </w:rPr>
              <w:t>(143)</w:t>
            </w:r>
          </w:p>
        </w:tc>
        <w:tc>
          <w:tcPr>
            <w:tcW w:w="1980" w:type="dxa"/>
          </w:tcPr>
          <w:p>
            <w:pPr>
              <w:pStyle w:val="TableParagraph"/>
              <w:spacing w:before="25"/>
              <w:ind w:left="504" w:right="494"/>
              <w:jc w:val="center"/>
              <w:rPr>
                <w:sz w:val="24"/>
              </w:rPr>
            </w:pPr>
            <w:r>
              <w:rPr>
                <w:sz w:val="24"/>
              </w:rPr>
              <w:t>0.7</w:t>
            </w:r>
            <w:r>
              <w:rPr>
                <w:spacing w:val="-4"/>
                <w:sz w:val="24"/>
              </w:rPr>
              <w:t> </w:t>
            </w:r>
            <w:r>
              <w:rPr>
                <w:spacing w:val="-2"/>
                <w:sz w:val="24"/>
              </w:rPr>
              <w:t>(0.8)</w:t>
            </w:r>
          </w:p>
        </w:tc>
      </w:tr>
      <w:tr>
        <w:trPr>
          <w:trHeight w:val="332" w:hRule="atLeast"/>
        </w:trPr>
        <w:tc>
          <w:tcPr>
            <w:tcW w:w="3168" w:type="dxa"/>
          </w:tcPr>
          <w:p>
            <w:pPr>
              <w:pStyle w:val="TableParagraph"/>
              <w:spacing w:before="26"/>
              <w:ind w:left="107"/>
              <w:rPr>
                <w:b/>
                <w:sz w:val="24"/>
              </w:rPr>
            </w:pPr>
            <w:r>
              <w:rPr>
                <w:b/>
                <w:spacing w:val="-2"/>
                <w:sz w:val="24"/>
              </w:rPr>
              <w:t>Total</w:t>
            </w:r>
          </w:p>
        </w:tc>
        <w:tc>
          <w:tcPr>
            <w:tcW w:w="2160" w:type="dxa"/>
          </w:tcPr>
          <w:p>
            <w:pPr>
              <w:pStyle w:val="TableParagraph"/>
              <w:spacing w:before="26"/>
              <w:ind w:left="454" w:right="446"/>
              <w:jc w:val="center"/>
              <w:rPr>
                <w:b/>
                <w:sz w:val="24"/>
              </w:rPr>
            </w:pPr>
            <w:r>
              <w:rPr>
                <w:b/>
                <w:spacing w:val="-2"/>
                <w:sz w:val="24"/>
              </w:rPr>
              <w:t>512.4</w:t>
            </w:r>
            <w:r>
              <w:rPr>
                <w:b/>
                <w:spacing w:val="-2"/>
                <w:sz w:val="24"/>
                <w:vertAlign w:val="superscript"/>
              </w:rPr>
              <w:t>30</w:t>
            </w:r>
          </w:p>
        </w:tc>
        <w:tc>
          <w:tcPr>
            <w:tcW w:w="1980" w:type="dxa"/>
          </w:tcPr>
          <w:p>
            <w:pPr>
              <w:pStyle w:val="TableParagraph"/>
              <w:spacing w:before="26"/>
              <w:ind w:left="504" w:right="495"/>
              <w:jc w:val="center"/>
              <w:rPr>
                <w:b/>
                <w:sz w:val="24"/>
              </w:rPr>
            </w:pPr>
            <w:r>
              <w:rPr>
                <w:b/>
                <w:spacing w:val="-5"/>
                <w:sz w:val="24"/>
              </w:rPr>
              <w:t>2.5</w:t>
            </w:r>
          </w:p>
        </w:tc>
      </w:tr>
    </w:tbl>
    <w:p>
      <w:pPr>
        <w:spacing w:before="0"/>
        <w:ind w:left="237" w:right="0" w:firstLine="0"/>
        <w:jc w:val="left"/>
        <w:rPr>
          <w:sz w:val="20"/>
        </w:rPr>
      </w:pPr>
      <w:r>
        <w:rPr>
          <w:b/>
          <w:sz w:val="20"/>
        </w:rPr>
        <w:t>Source:</w:t>
      </w:r>
      <w:r>
        <w:rPr>
          <w:b/>
          <w:spacing w:val="45"/>
          <w:sz w:val="20"/>
        </w:rPr>
        <w:t> </w:t>
      </w:r>
      <w:r>
        <w:rPr>
          <w:sz w:val="20"/>
        </w:rPr>
        <w:t>ABS</w:t>
      </w:r>
      <w:r>
        <w:rPr>
          <w:spacing w:val="-5"/>
          <w:sz w:val="20"/>
        </w:rPr>
        <w:t> </w:t>
      </w:r>
      <w:r>
        <w:rPr>
          <w:sz w:val="20"/>
        </w:rPr>
        <w:t>4430</w:t>
      </w:r>
      <w:r>
        <w:rPr>
          <w:spacing w:val="-6"/>
          <w:sz w:val="20"/>
        </w:rPr>
        <w:t> </w:t>
      </w:r>
      <w:r>
        <w:rPr>
          <w:sz w:val="20"/>
        </w:rPr>
        <w:t>(September</w:t>
      </w:r>
      <w:r>
        <w:rPr>
          <w:spacing w:val="-5"/>
          <w:sz w:val="20"/>
        </w:rPr>
        <w:t> </w:t>
      </w:r>
      <w:r>
        <w:rPr>
          <w:sz w:val="20"/>
        </w:rPr>
        <w:t>2004,</w:t>
      </w:r>
      <w:r>
        <w:rPr>
          <w:spacing w:val="-5"/>
          <w:sz w:val="20"/>
        </w:rPr>
        <w:t> </w:t>
      </w:r>
      <w:r>
        <w:rPr>
          <w:sz w:val="20"/>
        </w:rPr>
        <w:t>April</w:t>
      </w:r>
      <w:r>
        <w:rPr>
          <w:spacing w:val="-5"/>
          <w:sz w:val="20"/>
        </w:rPr>
        <w:t> </w:t>
      </w:r>
      <w:r>
        <w:rPr>
          <w:spacing w:val="-2"/>
          <w:sz w:val="20"/>
        </w:rPr>
        <w:t>1999)</w:t>
      </w:r>
    </w:p>
    <w:p>
      <w:pPr>
        <w:pStyle w:val="BodyText"/>
        <w:spacing w:before="9"/>
        <w:rPr>
          <w:sz w:val="23"/>
        </w:rPr>
      </w:pPr>
    </w:p>
    <w:p>
      <w:pPr>
        <w:pStyle w:val="BodyText"/>
        <w:ind w:left="237" w:right="293"/>
        <w:jc w:val="both"/>
      </w:pPr>
      <w:r>
        <w:rPr/>
        <w:t>Table 2 indicates that approximately 512,000 people, or 2.5% of the Australian population,</w:t>
      </w:r>
      <w:r>
        <w:rPr>
          <w:spacing w:val="-1"/>
        </w:rPr>
        <w:t> </w:t>
      </w:r>
      <w:r>
        <w:rPr/>
        <w:t>are</w:t>
      </w:r>
      <w:r>
        <w:rPr>
          <w:spacing w:val="-3"/>
        </w:rPr>
        <w:t> </w:t>
      </w:r>
      <w:r>
        <w:rPr/>
        <w:t>users</w:t>
      </w:r>
      <w:r>
        <w:rPr>
          <w:spacing w:val="-3"/>
        </w:rPr>
        <w:t> </w:t>
      </w:r>
      <w:r>
        <w:rPr/>
        <w:t>of</w:t>
      </w:r>
      <w:r>
        <w:rPr>
          <w:spacing w:val="-3"/>
        </w:rPr>
        <w:t> </w:t>
      </w:r>
      <w:r>
        <w:rPr/>
        <w:t>mobility</w:t>
      </w:r>
      <w:r>
        <w:rPr>
          <w:spacing w:val="-3"/>
        </w:rPr>
        <w:t> </w:t>
      </w:r>
      <w:r>
        <w:rPr/>
        <w:t>aids</w:t>
      </w:r>
      <w:r>
        <w:rPr>
          <w:spacing w:val="-3"/>
        </w:rPr>
        <w:t> </w:t>
      </w:r>
      <w:r>
        <w:rPr/>
        <w:t>and</w:t>
      </w:r>
      <w:r>
        <w:rPr>
          <w:spacing w:val="-3"/>
        </w:rPr>
        <w:t> </w:t>
      </w:r>
      <w:r>
        <w:rPr/>
        <w:t>can</w:t>
      </w:r>
      <w:r>
        <w:rPr>
          <w:spacing w:val="-3"/>
        </w:rPr>
        <w:t> </w:t>
      </w:r>
      <w:r>
        <w:rPr/>
        <w:t>be</w:t>
      </w:r>
      <w:r>
        <w:rPr>
          <w:spacing w:val="-3"/>
        </w:rPr>
        <w:t> </w:t>
      </w:r>
      <w:r>
        <w:rPr/>
        <w:t>expected</w:t>
      </w:r>
      <w:r>
        <w:rPr>
          <w:spacing w:val="-3"/>
        </w:rPr>
        <w:t> </w:t>
      </w:r>
      <w:r>
        <w:rPr/>
        <w:t>to</w:t>
      </w:r>
      <w:r>
        <w:rPr>
          <w:spacing w:val="-3"/>
        </w:rPr>
        <w:t> </w:t>
      </w:r>
      <w:r>
        <w:rPr/>
        <w:t>benefit</w:t>
      </w:r>
      <w:r>
        <w:rPr>
          <w:spacing w:val="-3"/>
        </w:rPr>
        <w:t> </w:t>
      </w:r>
      <w:r>
        <w:rPr/>
        <w:t>substantially from improvements to the accessibility of public buildings.</w:t>
      </w:r>
      <w:r>
        <w:rPr>
          <w:spacing w:val="40"/>
        </w:rPr>
        <w:t> </w:t>
      </w:r>
      <w:r>
        <w:rPr/>
        <w:t>The size of this group appears to have increased more quickly than the population as a whole in recent years,</w:t>
      </w:r>
      <w:r>
        <w:rPr>
          <w:spacing w:val="-1"/>
        </w:rPr>
        <w:t> </w:t>
      </w:r>
      <w:r>
        <w:rPr/>
        <w:t>though</w:t>
      </w:r>
      <w:r>
        <w:rPr>
          <w:spacing w:val="-1"/>
        </w:rPr>
        <w:t> </w:t>
      </w:r>
      <w:r>
        <w:rPr/>
        <w:t>the</w:t>
      </w:r>
      <w:r>
        <w:rPr>
          <w:spacing w:val="-1"/>
        </w:rPr>
        <w:t> </w:t>
      </w:r>
      <w:r>
        <w:rPr/>
        <w:t>direction</w:t>
      </w:r>
      <w:r>
        <w:rPr>
          <w:spacing w:val="-1"/>
        </w:rPr>
        <w:t> </w:t>
      </w:r>
      <w:r>
        <w:rPr/>
        <w:t>of</w:t>
      </w:r>
      <w:r>
        <w:rPr>
          <w:spacing w:val="-1"/>
        </w:rPr>
        <w:t> </w:t>
      </w:r>
      <w:r>
        <w:rPr/>
        <w:t>movement</w:t>
      </w:r>
      <w:r>
        <w:rPr>
          <w:spacing w:val="-1"/>
        </w:rPr>
        <w:t> </w:t>
      </w:r>
      <w:r>
        <w:rPr/>
        <w:t>varies</w:t>
      </w:r>
      <w:r>
        <w:rPr>
          <w:spacing w:val="-1"/>
        </w:rPr>
        <w:t> </w:t>
      </w:r>
      <w:r>
        <w:rPr/>
        <w:t>with</w:t>
      </w:r>
      <w:r>
        <w:rPr>
          <w:spacing w:val="-1"/>
        </w:rPr>
        <w:t> </w:t>
      </w:r>
      <w:r>
        <w:rPr/>
        <w:t>different</w:t>
      </w:r>
      <w:r>
        <w:rPr>
          <w:spacing w:val="-1"/>
        </w:rPr>
        <w:t> </w:t>
      </w:r>
      <w:r>
        <w:rPr/>
        <w:t>aids,</w:t>
      </w:r>
      <w:r>
        <w:rPr>
          <w:spacing w:val="-1"/>
        </w:rPr>
        <w:t> </w:t>
      </w:r>
      <w:r>
        <w:rPr/>
        <w:t>suggesting</w:t>
      </w:r>
      <w:r>
        <w:rPr>
          <w:spacing w:val="-1"/>
        </w:rPr>
        <w:t> </w:t>
      </w:r>
      <w:r>
        <w:rPr/>
        <w:t>the possibility of some volatility in the data.</w:t>
      </w:r>
    </w:p>
    <w:p>
      <w:pPr>
        <w:pStyle w:val="BodyText"/>
      </w:pPr>
    </w:p>
    <w:p>
      <w:pPr>
        <w:pStyle w:val="BodyText"/>
        <w:ind w:left="237" w:right="294"/>
        <w:jc w:val="both"/>
      </w:pPr>
      <w:r>
        <w:rPr/>
        <w:t>In addition, a further 2.0% of the population use hearing aids, while 0.3% use reading or writing aids. These groups are likely to benefit from those aspects of the Premises Standards that relate to hearing and vision impediments.</w:t>
      </w:r>
    </w:p>
    <w:p>
      <w:pPr>
        <w:pStyle w:val="BodyText"/>
      </w:pPr>
    </w:p>
    <w:p>
      <w:pPr>
        <w:pStyle w:val="BodyText"/>
        <w:ind w:left="237" w:right="294"/>
        <w:jc w:val="both"/>
      </w:pPr>
      <w:r>
        <w:rPr/>
        <w:t>A further group that can also be expected to benefit substantially is that of</w:t>
      </w:r>
      <w:r>
        <w:rPr>
          <w:spacing w:val="40"/>
        </w:rPr>
        <w:t> </w:t>
      </w:r>
      <w:r>
        <w:rPr/>
        <w:t>primary carers to people with a disability. The implementation of the Premises Standards can be expected to reduce demands on this group, in some cases significantly.</w:t>
      </w:r>
      <w:r>
        <w:rPr>
          <w:spacing w:val="40"/>
        </w:rPr>
        <w:t> </w:t>
      </w:r>
      <w:r>
        <w:rPr/>
        <w:t>It is also possible that these reduced demands would have benefits in terms of enhancements in their ability to participate in the labour force. This issue is discussed further in Section 7.6.1.</w:t>
      </w:r>
    </w:p>
    <w:p>
      <w:pPr>
        <w:pStyle w:val="BodyText"/>
        <w:rPr>
          <w:sz w:val="26"/>
        </w:rPr>
      </w:pPr>
    </w:p>
    <w:p>
      <w:pPr>
        <w:pStyle w:val="Heading3"/>
        <w:numPr>
          <w:ilvl w:val="2"/>
          <w:numId w:val="18"/>
        </w:numPr>
        <w:tabs>
          <w:tab w:pos="958" w:val="left" w:leader="none"/>
        </w:tabs>
        <w:spacing w:line="240" w:lineRule="auto" w:before="219" w:after="0"/>
        <w:ind w:left="957" w:right="294" w:hanging="720"/>
        <w:jc w:val="both"/>
      </w:pPr>
      <w:bookmarkStart w:name="7.5.2 Economic and social situation of t" w:id="62"/>
      <w:bookmarkEnd w:id="62"/>
      <w:r>
        <w:rPr/>
        <w:t>Econom</w:t>
      </w:r>
      <w:r>
        <w:rPr/>
        <w:t>ic and social situation of the affected group – distributional benefits of the proposed Premises Standards</w:t>
      </w:r>
    </w:p>
    <w:p>
      <w:pPr>
        <w:pStyle w:val="BodyText"/>
        <w:spacing w:before="58"/>
        <w:ind w:left="237" w:right="294"/>
        <w:jc w:val="both"/>
      </w:pPr>
      <w:r>
        <w:rPr/>
        <w:t>A second important contextual issue is that of the current economic circumstances of the group of people with a disability that are likely to benefit from the proposed Premises Standards. There is substantial data to indicate the current level of disadvantage experienced by people with a disability.</w:t>
      </w:r>
    </w:p>
    <w:p>
      <w:pPr>
        <w:pStyle w:val="BodyText"/>
      </w:pPr>
    </w:p>
    <w:p>
      <w:pPr>
        <w:pStyle w:val="BodyText"/>
        <w:ind w:left="237"/>
        <w:jc w:val="both"/>
      </w:pPr>
      <w:r>
        <w:rPr/>
        <w:t>Some</w:t>
      </w:r>
      <w:r>
        <w:rPr>
          <w:spacing w:val="-3"/>
        </w:rPr>
        <w:t> </w:t>
      </w:r>
      <w:r>
        <w:rPr/>
        <w:t>important</w:t>
      </w:r>
      <w:r>
        <w:rPr>
          <w:spacing w:val="-3"/>
        </w:rPr>
        <w:t> </w:t>
      </w:r>
      <w:r>
        <w:rPr/>
        <w:t>considerations</w:t>
      </w:r>
      <w:r>
        <w:rPr>
          <w:spacing w:val="-2"/>
        </w:rPr>
        <w:t> </w:t>
      </w:r>
      <w:r>
        <w:rPr>
          <w:spacing w:val="-4"/>
        </w:rPr>
        <w:t>are:</w:t>
      </w:r>
    </w:p>
    <w:p>
      <w:pPr>
        <w:pStyle w:val="BodyText"/>
        <w:spacing w:before="3"/>
      </w:pPr>
    </w:p>
    <w:p>
      <w:pPr>
        <w:pStyle w:val="ListParagraph"/>
        <w:numPr>
          <w:ilvl w:val="0"/>
          <w:numId w:val="19"/>
        </w:numPr>
        <w:tabs>
          <w:tab w:pos="958" w:val="left" w:leader="none"/>
        </w:tabs>
        <w:spacing w:line="237" w:lineRule="auto" w:before="0" w:after="0"/>
        <w:ind w:left="951" w:right="293" w:hanging="357"/>
        <w:jc w:val="both"/>
        <w:rPr>
          <w:sz w:val="24"/>
        </w:rPr>
      </w:pPr>
      <w:r>
        <w:rPr>
          <w:sz w:val="24"/>
        </w:rPr>
        <w:t>The employment rate among people with a disability is substantially lower than that of the population as a whole. For example, Frisch</w:t>
      </w:r>
      <w:r>
        <w:rPr>
          <w:sz w:val="24"/>
          <w:vertAlign w:val="superscript"/>
        </w:rPr>
        <w:t>31</w:t>
      </w:r>
      <w:r>
        <w:rPr>
          <w:sz w:val="24"/>
          <w:vertAlign w:val="baseline"/>
        </w:rPr>
        <w:t> points out that</w:t>
      </w:r>
      <w:r>
        <w:rPr>
          <w:spacing w:val="39"/>
          <w:sz w:val="24"/>
          <w:vertAlign w:val="baseline"/>
        </w:rPr>
        <w:t> </w:t>
      </w:r>
      <w:r>
        <w:rPr>
          <w:sz w:val="24"/>
          <w:vertAlign w:val="baseline"/>
        </w:rPr>
        <w:t>the</w:t>
      </w:r>
      <w:r>
        <w:rPr>
          <w:spacing w:val="38"/>
          <w:sz w:val="24"/>
          <w:vertAlign w:val="baseline"/>
        </w:rPr>
        <w:t> </w:t>
      </w:r>
      <w:r>
        <w:rPr>
          <w:sz w:val="24"/>
          <w:vertAlign w:val="baseline"/>
        </w:rPr>
        <w:t>80,000</w:t>
      </w:r>
      <w:r>
        <w:rPr>
          <w:spacing w:val="39"/>
          <w:sz w:val="24"/>
          <w:vertAlign w:val="baseline"/>
        </w:rPr>
        <w:t> </w:t>
      </w:r>
      <w:r>
        <w:rPr>
          <w:sz w:val="24"/>
          <w:vertAlign w:val="baseline"/>
        </w:rPr>
        <w:t>wheelchair</w:t>
      </w:r>
      <w:r>
        <w:rPr>
          <w:spacing w:val="39"/>
          <w:sz w:val="24"/>
          <w:vertAlign w:val="baseline"/>
        </w:rPr>
        <w:t> </w:t>
      </w:r>
      <w:r>
        <w:rPr>
          <w:sz w:val="24"/>
          <w:vertAlign w:val="baseline"/>
        </w:rPr>
        <w:t>users</w:t>
      </w:r>
      <w:r>
        <w:rPr>
          <w:spacing w:val="40"/>
          <w:sz w:val="24"/>
          <w:vertAlign w:val="baseline"/>
        </w:rPr>
        <w:t> </w:t>
      </w:r>
      <w:r>
        <w:rPr>
          <w:sz w:val="24"/>
          <w:vertAlign w:val="baseline"/>
        </w:rPr>
        <w:t>in</w:t>
      </w:r>
      <w:r>
        <w:rPr>
          <w:spacing w:val="39"/>
          <w:sz w:val="24"/>
          <w:vertAlign w:val="baseline"/>
        </w:rPr>
        <w:t> </w:t>
      </w:r>
      <w:r>
        <w:rPr>
          <w:sz w:val="24"/>
          <w:vertAlign w:val="baseline"/>
        </w:rPr>
        <w:t>the</w:t>
      </w:r>
      <w:r>
        <w:rPr>
          <w:spacing w:val="39"/>
          <w:sz w:val="24"/>
          <w:vertAlign w:val="baseline"/>
        </w:rPr>
        <w:t> </w:t>
      </w:r>
      <w:r>
        <w:rPr>
          <w:sz w:val="24"/>
          <w:vertAlign w:val="baseline"/>
        </w:rPr>
        <w:t>community</w:t>
      </w:r>
      <w:r>
        <w:rPr>
          <w:spacing w:val="39"/>
          <w:sz w:val="24"/>
          <w:vertAlign w:val="baseline"/>
        </w:rPr>
        <w:t> </w:t>
      </w:r>
      <w:r>
        <w:rPr>
          <w:sz w:val="24"/>
          <w:vertAlign w:val="baseline"/>
        </w:rPr>
        <w:t>between</w:t>
      </w:r>
      <w:r>
        <w:rPr>
          <w:spacing w:val="39"/>
          <w:sz w:val="24"/>
          <w:vertAlign w:val="baseline"/>
        </w:rPr>
        <w:t> </w:t>
      </w:r>
      <w:r>
        <w:rPr>
          <w:sz w:val="24"/>
          <w:vertAlign w:val="baseline"/>
        </w:rPr>
        <w:t>15</w:t>
      </w:r>
      <w:r>
        <w:rPr>
          <w:spacing w:val="39"/>
          <w:sz w:val="24"/>
          <w:vertAlign w:val="baseline"/>
        </w:rPr>
        <w:t> </w:t>
      </w:r>
      <w:r>
        <w:rPr>
          <w:sz w:val="24"/>
          <w:vertAlign w:val="baseline"/>
        </w:rPr>
        <w:t>and</w:t>
      </w:r>
      <w:r>
        <w:rPr>
          <w:spacing w:val="39"/>
          <w:sz w:val="24"/>
          <w:vertAlign w:val="baseline"/>
        </w:rPr>
        <w:t> </w:t>
      </w:r>
      <w:r>
        <w:rPr>
          <w:sz w:val="24"/>
          <w:vertAlign w:val="baseline"/>
        </w:rPr>
        <w:t>65</w:t>
      </w:r>
    </w:p>
    <w:p>
      <w:pPr>
        <w:pStyle w:val="BodyText"/>
        <w:spacing w:before="7"/>
        <w:rPr>
          <w:sz w:val="28"/>
        </w:rPr>
      </w:pPr>
      <w:r>
        <w:rPr/>
        <w:pict>
          <v:rect style="position:absolute;margin-left:89.879997pt;margin-top:17.683193pt;width:144pt;height:.6pt;mso-position-horizontal-relative:page;mso-position-vertical-relative:paragraph;z-index:-15716864;mso-wrap-distance-left:0;mso-wrap-distance-right:0" id="docshape29" filled="true" fillcolor="#000000" stroked="false">
            <v:fill type="solid"/>
            <w10:wrap type="topAndBottom"/>
          </v:rect>
        </w:pict>
      </w:r>
    </w:p>
    <w:p>
      <w:pPr>
        <w:pStyle w:val="BodyText"/>
        <w:spacing w:before="6"/>
        <w:rPr>
          <w:sz w:val="18"/>
        </w:rPr>
      </w:pPr>
    </w:p>
    <w:p>
      <w:pPr>
        <w:spacing w:before="130"/>
        <w:ind w:left="237" w:right="247" w:firstLine="0"/>
        <w:jc w:val="left"/>
        <w:rPr>
          <w:sz w:val="20"/>
        </w:rPr>
      </w:pPr>
      <w:r>
        <w:rPr>
          <w:sz w:val="20"/>
          <w:vertAlign w:val="superscript"/>
        </w:rPr>
        <w:t>30</w:t>
      </w:r>
      <w:r>
        <w:rPr>
          <w:spacing w:val="-3"/>
          <w:sz w:val="20"/>
          <w:vertAlign w:val="baseline"/>
        </w:rPr>
        <w:t> </w:t>
      </w:r>
      <w:r>
        <w:rPr>
          <w:sz w:val="20"/>
          <w:vertAlign w:val="baseline"/>
        </w:rPr>
        <w:t>Total</w:t>
      </w:r>
      <w:r>
        <w:rPr>
          <w:spacing w:val="-3"/>
          <w:sz w:val="20"/>
          <w:vertAlign w:val="baseline"/>
        </w:rPr>
        <w:t> </w:t>
      </w:r>
      <w:r>
        <w:rPr>
          <w:sz w:val="20"/>
          <w:vertAlign w:val="baseline"/>
        </w:rPr>
        <w:t>is</w:t>
      </w:r>
      <w:r>
        <w:rPr>
          <w:spacing w:val="-3"/>
          <w:sz w:val="20"/>
          <w:vertAlign w:val="baseline"/>
        </w:rPr>
        <w:t> </w:t>
      </w:r>
      <w:r>
        <w:rPr>
          <w:sz w:val="20"/>
          <w:vertAlign w:val="baseline"/>
        </w:rPr>
        <w:t>less</w:t>
      </w:r>
      <w:r>
        <w:rPr>
          <w:spacing w:val="-3"/>
          <w:sz w:val="20"/>
          <w:vertAlign w:val="baseline"/>
        </w:rPr>
        <w:t> </w:t>
      </w:r>
      <w:r>
        <w:rPr>
          <w:sz w:val="20"/>
          <w:vertAlign w:val="baseline"/>
        </w:rPr>
        <w:t>than</w:t>
      </w:r>
      <w:r>
        <w:rPr>
          <w:spacing w:val="-3"/>
          <w:sz w:val="20"/>
          <w:vertAlign w:val="baseline"/>
        </w:rPr>
        <w:t> </w:t>
      </w:r>
      <w:r>
        <w:rPr>
          <w:sz w:val="20"/>
          <w:vertAlign w:val="baseline"/>
        </w:rPr>
        <w:t>the</w:t>
      </w:r>
      <w:r>
        <w:rPr>
          <w:spacing w:val="-3"/>
          <w:sz w:val="20"/>
          <w:vertAlign w:val="baseline"/>
        </w:rPr>
        <w:t> </w:t>
      </w:r>
      <w:r>
        <w:rPr>
          <w:sz w:val="20"/>
          <w:vertAlign w:val="baseline"/>
        </w:rPr>
        <w:t>sum</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individual</w:t>
      </w:r>
      <w:r>
        <w:rPr>
          <w:spacing w:val="-3"/>
          <w:sz w:val="20"/>
          <w:vertAlign w:val="baseline"/>
        </w:rPr>
        <w:t> </w:t>
      </w:r>
      <w:r>
        <w:rPr>
          <w:sz w:val="20"/>
          <w:vertAlign w:val="baseline"/>
        </w:rPr>
        <w:t>numbers</w:t>
      </w:r>
      <w:r>
        <w:rPr>
          <w:spacing w:val="-4"/>
          <w:sz w:val="20"/>
          <w:vertAlign w:val="baseline"/>
        </w:rPr>
        <w:t> </w:t>
      </w:r>
      <w:r>
        <w:rPr>
          <w:sz w:val="20"/>
          <w:vertAlign w:val="baseline"/>
        </w:rPr>
        <w:t>because</w:t>
      </w:r>
      <w:r>
        <w:rPr>
          <w:spacing w:val="-3"/>
          <w:sz w:val="20"/>
          <w:vertAlign w:val="baseline"/>
        </w:rPr>
        <w:t> </w:t>
      </w:r>
      <w:r>
        <w:rPr>
          <w:sz w:val="20"/>
          <w:vertAlign w:val="baseline"/>
        </w:rPr>
        <w:t>some</w:t>
      </w:r>
      <w:r>
        <w:rPr>
          <w:spacing w:val="-3"/>
          <w:sz w:val="20"/>
          <w:vertAlign w:val="baseline"/>
        </w:rPr>
        <w:t> </w:t>
      </w:r>
      <w:r>
        <w:rPr>
          <w:sz w:val="20"/>
          <w:vertAlign w:val="baseline"/>
        </w:rPr>
        <w:t>people</w:t>
      </w:r>
      <w:r>
        <w:rPr>
          <w:spacing w:val="-3"/>
          <w:sz w:val="20"/>
          <w:vertAlign w:val="baseline"/>
        </w:rPr>
        <w:t> </w:t>
      </w:r>
      <w:r>
        <w:rPr>
          <w:sz w:val="20"/>
          <w:vertAlign w:val="baseline"/>
        </w:rPr>
        <w:t>use</w:t>
      </w:r>
      <w:r>
        <w:rPr>
          <w:spacing w:val="-3"/>
          <w:sz w:val="20"/>
          <w:vertAlign w:val="baseline"/>
        </w:rPr>
        <w:t> </w:t>
      </w:r>
      <w:r>
        <w:rPr>
          <w:sz w:val="20"/>
          <w:vertAlign w:val="baseline"/>
        </w:rPr>
        <w:t>more</w:t>
      </w:r>
      <w:r>
        <w:rPr>
          <w:spacing w:val="-3"/>
          <w:sz w:val="20"/>
          <w:vertAlign w:val="baseline"/>
        </w:rPr>
        <w:t> </w:t>
      </w:r>
      <w:r>
        <w:rPr>
          <w:sz w:val="20"/>
          <w:vertAlign w:val="baseline"/>
        </w:rPr>
        <w:t>than</w:t>
      </w:r>
      <w:r>
        <w:rPr>
          <w:spacing w:val="-3"/>
          <w:sz w:val="20"/>
          <w:vertAlign w:val="baseline"/>
        </w:rPr>
        <w:t> </w:t>
      </w:r>
      <w:r>
        <w:rPr>
          <w:sz w:val="20"/>
          <w:vertAlign w:val="baseline"/>
        </w:rPr>
        <w:t>one kind of aid.</w:t>
      </w:r>
    </w:p>
    <w:p>
      <w:pPr>
        <w:spacing w:before="120"/>
        <w:ind w:left="237" w:right="0" w:firstLine="0"/>
        <w:jc w:val="left"/>
        <w:rPr>
          <w:sz w:val="20"/>
        </w:rPr>
      </w:pPr>
      <w:r>
        <w:rPr>
          <w:sz w:val="20"/>
          <w:vertAlign w:val="superscript"/>
        </w:rPr>
        <w:t>31</w:t>
      </w:r>
      <w:r>
        <w:rPr>
          <w:spacing w:val="-3"/>
          <w:sz w:val="20"/>
          <w:vertAlign w:val="baseline"/>
        </w:rPr>
        <w:t> </w:t>
      </w:r>
      <w:r>
        <w:rPr>
          <w:i/>
          <w:sz w:val="20"/>
          <w:vertAlign w:val="baseline"/>
        </w:rPr>
        <w:t>The</w:t>
      </w:r>
      <w:r>
        <w:rPr>
          <w:i/>
          <w:spacing w:val="-3"/>
          <w:sz w:val="20"/>
          <w:vertAlign w:val="baseline"/>
        </w:rPr>
        <w:t> </w:t>
      </w:r>
      <w:r>
        <w:rPr>
          <w:i/>
          <w:sz w:val="20"/>
          <w:vertAlign w:val="baseline"/>
        </w:rPr>
        <w:t>Benefits</w:t>
      </w:r>
      <w:r>
        <w:rPr>
          <w:i/>
          <w:spacing w:val="-3"/>
          <w:sz w:val="20"/>
          <w:vertAlign w:val="baseline"/>
        </w:rPr>
        <w:t> </w:t>
      </w:r>
      <w:r>
        <w:rPr>
          <w:i/>
          <w:sz w:val="20"/>
          <w:vertAlign w:val="baseline"/>
        </w:rPr>
        <w:t>of</w:t>
      </w:r>
      <w:r>
        <w:rPr>
          <w:i/>
          <w:spacing w:val="-3"/>
          <w:sz w:val="20"/>
          <w:vertAlign w:val="baseline"/>
        </w:rPr>
        <w:t> </w:t>
      </w:r>
      <w:r>
        <w:rPr>
          <w:i/>
          <w:sz w:val="20"/>
          <w:vertAlign w:val="baseline"/>
        </w:rPr>
        <w:t>Accessible</w:t>
      </w:r>
      <w:r>
        <w:rPr>
          <w:i/>
          <w:spacing w:val="-3"/>
          <w:sz w:val="20"/>
          <w:vertAlign w:val="baseline"/>
        </w:rPr>
        <w:t> </w:t>
      </w:r>
      <w:r>
        <w:rPr>
          <w:i/>
          <w:sz w:val="20"/>
          <w:vertAlign w:val="baseline"/>
        </w:rPr>
        <w:t>Buildings</w:t>
      </w:r>
      <w:r>
        <w:rPr>
          <w:i/>
          <w:spacing w:val="-2"/>
          <w:sz w:val="20"/>
          <w:vertAlign w:val="baseline"/>
        </w:rPr>
        <w:t> </w:t>
      </w:r>
      <w:r>
        <w:rPr>
          <w:i/>
          <w:sz w:val="20"/>
          <w:vertAlign w:val="baseline"/>
        </w:rPr>
        <w:t>and</w:t>
      </w:r>
      <w:r>
        <w:rPr>
          <w:i/>
          <w:spacing w:val="-3"/>
          <w:sz w:val="20"/>
          <w:vertAlign w:val="baseline"/>
        </w:rPr>
        <w:t> </w:t>
      </w:r>
      <w:r>
        <w:rPr>
          <w:i/>
          <w:sz w:val="20"/>
          <w:vertAlign w:val="baseline"/>
        </w:rPr>
        <w:t>Transport:</w:t>
      </w:r>
      <w:r>
        <w:rPr>
          <w:i/>
          <w:spacing w:val="-4"/>
          <w:sz w:val="20"/>
          <w:vertAlign w:val="baseline"/>
        </w:rPr>
        <w:t> </w:t>
      </w:r>
      <w:r>
        <w:rPr>
          <w:i/>
          <w:sz w:val="20"/>
          <w:vertAlign w:val="baseline"/>
        </w:rPr>
        <w:t>An</w:t>
      </w:r>
      <w:r>
        <w:rPr>
          <w:i/>
          <w:spacing w:val="-3"/>
          <w:sz w:val="20"/>
          <w:vertAlign w:val="baseline"/>
        </w:rPr>
        <w:t> </w:t>
      </w:r>
      <w:r>
        <w:rPr>
          <w:i/>
          <w:sz w:val="20"/>
          <w:vertAlign w:val="baseline"/>
        </w:rPr>
        <w:t>Economist’s</w:t>
      </w:r>
      <w:r>
        <w:rPr>
          <w:i/>
          <w:spacing w:val="-3"/>
          <w:sz w:val="20"/>
          <w:vertAlign w:val="baseline"/>
        </w:rPr>
        <w:t> </w:t>
      </w:r>
      <w:r>
        <w:rPr>
          <w:i/>
          <w:sz w:val="20"/>
          <w:vertAlign w:val="baseline"/>
        </w:rPr>
        <w:t>Approach</w:t>
      </w:r>
      <w:r>
        <w:rPr>
          <w:sz w:val="20"/>
          <w:vertAlign w:val="baseline"/>
        </w:rPr>
        <w:t>,</w:t>
      </w:r>
      <w:r>
        <w:rPr>
          <w:spacing w:val="-3"/>
          <w:sz w:val="20"/>
          <w:vertAlign w:val="baseline"/>
        </w:rPr>
        <w:t> </w:t>
      </w:r>
      <w:r>
        <w:rPr>
          <w:sz w:val="20"/>
          <w:vertAlign w:val="baseline"/>
        </w:rPr>
        <w:t>Dr</w:t>
      </w:r>
      <w:r>
        <w:rPr>
          <w:spacing w:val="-3"/>
          <w:sz w:val="20"/>
          <w:vertAlign w:val="baseline"/>
        </w:rPr>
        <w:t> </w:t>
      </w:r>
      <w:r>
        <w:rPr>
          <w:sz w:val="20"/>
          <w:vertAlign w:val="baseline"/>
        </w:rPr>
        <w:t>Jack</w:t>
      </w:r>
      <w:r>
        <w:rPr>
          <w:spacing w:val="-2"/>
          <w:sz w:val="20"/>
          <w:vertAlign w:val="baseline"/>
        </w:rPr>
        <w:t> Frisch.</w:t>
      </w:r>
    </w:p>
    <w:p>
      <w:pPr>
        <w:spacing w:after="0"/>
        <w:jc w:val="left"/>
        <w:rPr>
          <w:sz w:val="20"/>
        </w:rPr>
        <w:sectPr>
          <w:pgSz w:w="12240" w:h="15840"/>
          <w:pgMar w:header="0" w:footer="1140" w:top="1360" w:bottom="1340" w:left="1560" w:right="1500"/>
        </w:sectPr>
      </w:pPr>
    </w:p>
    <w:p>
      <w:pPr>
        <w:pStyle w:val="BodyText"/>
        <w:spacing w:before="77"/>
        <w:ind w:left="951" w:right="294"/>
        <w:jc w:val="both"/>
      </w:pPr>
      <w:bookmarkStart w:name="_bookmark18" w:id="63"/>
      <w:bookmarkEnd w:id="63"/>
      <w:r>
        <w:rPr/>
      </w:r>
      <w:r>
        <w:rPr/>
        <w:t>years old have a workforce participation rate of only 38% compared with a rate of 76.9% for those without disabilities.</w:t>
      </w:r>
    </w:p>
    <w:p>
      <w:pPr>
        <w:pStyle w:val="ListParagraph"/>
        <w:numPr>
          <w:ilvl w:val="0"/>
          <w:numId w:val="19"/>
        </w:numPr>
        <w:tabs>
          <w:tab w:pos="958" w:val="left" w:leader="none"/>
        </w:tabs>
        <w:spacing w:line="240" w:lineRule="auto" w:before="120" w:after="0"/>
        <w:ind w:left="951" w:right="295" w:hanging="357"/>
        <w:jc w:val="both"/>
        <w:rPr>
          <w:sz w:val="24"/>
        </w:rPr>
      </w:pPr>
      <w:r>
        <w:rPr>
          <w:sz w:val="24"/>
        </w:rPr>
        <w:t>As a result of both this lower employment rate and the difficulties faced by people with a disability in the workforce, the average income of people</w:t>
      </w:r>
      <w:r>
        <w:rPr>
          <w:spacing w:val="40"/>
          <w:sz w:val="24"/>
        </w:rPr>
        <w:t> </w:t>
      </w:r>
      <w:r>
        <w:rPr>
          <w:sz w:val="24"/>
        </w:rPr>
        <w:t>with a disability is also substantially below the average for the general </w:t>
      </w:r>
      <w:r>
        <w:rPr>
          <w:spacing w:val="-2"/>
          <w:sz w:val="24"/>
        </w:rPr>
        <w:t>population.</w:t>
      </w:r>
    </w:p>
    <w:p>
      <w:pPr>
        <w:pStyle w:val="ListParagraph"/>
        <w:numPr>
          <w:ilvl w:val="0"/>
          <w:numId w:val="19"/>
        </w:numPr>
        <w:tabs>
          <w:tab w:pos="958" w:val="left" w:leader="none"/>
        </w:tabs>
        <w:spacing w:line="240" w:lineRule="auto" w:before="118" w:after="0"/>
        <w:ind w:left="951" w:right="294" w:hanging="357"/>
        <w:jc w:val="both"/>
        <w:rPr>
          <w:sz w:val="24"/>
        </w:rPr>
      </w:pPr>
      <w:r>
        <w:rPr>
          <w:sz w:val="24"/>
        </w:rPr>
        <w:t>The lower average income of people with a disability is compounded by their experience of substantially higher living costs.</w:t>
      </w:r>
      <w:r>
        <w:rPr>
          <w:spacing w:val="40"/>
          <w:sz w:val="24"/>
        </w:rPr>
        <w:t> </w:t>
      </w:r>
      <w:r>
        <w:rPr>
          <w:sz w:val="24"/>
        </w:rPr>
        <w:t>For example, Frisch</w:t>
      </w:r>
      <w:r>
        <w:rPr>
          <w:sz w:val="24"/>
          <w:vertAlign w:val="superscript"/>
        </w:rPr>
        <w:t>32</w:t>
      </w:r>
      <w:r>
        <w:rPr>
          <w:sz w:val="24"/>
          <w:vertAlign w:val="baseline"/>
        </w:rPr>
        <w:t> reports data estimating the additional living costs incurred by people with substantial musculo-skeletal disabilities at up to $25,000 annually.</w:t>
      </w:r>
    </w:p>
    <w:p>
      <w:pPr>
        <w:pStyle w:val="BodyText"/>
        <w:spacing w:before="3"/>
        <w:rPr>
          <w:sz w:val="34"/>
        </w:rPr>
      </w:pPr>
    </w:p>
    <w:p>
      <w:pPr>
        <w:pStyle w:val="BodyText"/>
        <w:ind w:left="237" w:right="293"/>
        <w:jc w:val="both"/>
      </w:pPr>
      <w:r>
        <w:rPr/>
        <w:t>These factors indicate that there is a substantial distributional argument in favour of measures to enhance the accessibility of buildings.</w:t>
      </w:r>
      <w:r>
        <w:rPr>
          <w:spacing w:val="40"/>
        </w:rPr>
        <w:t> </w:t>
      </w:r>
      <w:r>
        <w:rPr/>
        <w:t>That is, regardless of whether there is a net benefit in strict economic terms associated with the proposed improvements to access to buildings, the Premises Standards would amount to a considerable transfer toward a significantly disadvantaged group in </w:t>
      </w:r>
      <w:r>
        <w:rPr>
          <w:spacing w:val="-2"/>
        </w:rPr>
        <w:t>society.</w:t>
      </w:r>
    </w:p>
    <w:p>
      <w:pPr>
        <w:pStyle w:val="BodyText"/>
      </w:pPr>
    </w:p>
    <w:p>
      <w:pPr>
        <w:pStyle w:val="BodyText"/>
        <w:ind w:left="237" w:right="293"/>
        <w:jc w:val="both"/>
      </w:pPr>
      <w:r>
        <w:rPr/>
        <w:t>Recognition</w:t>
      </w:r>
      <w:r>
        <w:rPr>
          <w:spacing w:val="-2"/>
        </w:rPr>
        <w:t> </w:t>
      </w:r>
      <w:r>
        <w:rPr/>
        <w:t>of</w:t>
      </w:r>
      <w:r>
        <w:rPr>
          <w:spacing w:val="-2"/>
        </w:rPr>
        <w:t> </w:t>
      </w:r>
      <w:r>
        <w:rPr/>
        <w:t>the</w:t>
      </w:r>
      <w:r>
        <w:rPr>
          <w:spacing w:val="-1"/>
        </w:rPr>
        <w:t> </w:t>
      </w:r>
      <w:r>
        <w:rPr/>
        <w:t>desirability</w:t>
      </w:r>
      <w:r>
        <w:rPr>
          <w:spacing w:val="-1"/>
        </w:rPr>
        <w:t> </w:t>
      </w:r>
      <w:r>
        <w:rPr/>
        <w:t>of</w:t>
      </w:r>
      <w:r>
        <w:rPr>
          <w:spacing w:val="-1"/>
        </w:rPr>
        <w:t> </w:t>
      </w:r>
      <w:r>
        <w:rPr/>
        <w:t>policy action</w:t>
      </w:r>
      <w:r>
        <w:rPr>
          <w:spacing w:val="-1"/>
        </w:rPr>
        <w:t> </w:t>
      </w:r>
      <w:r>
        <w:rPr/>
        <w:t>to improve</w:t>
      </w:r>
      <w:r>
        <w:rPr>
          <w:spacing w:val="-1"/>
        </w:rPr>
        <w:t> </w:t>
      </w:r>
      <w:r>
        <w:rPr/>
        <w:t>the</w:t>
      </w:r>
      <w:r>
        <w:rPr>
          <w:spacing w:val="-1"/>
        </w:rPr>
        <w:t> </w:t>
      </w:r>
      <w:r>
        <w:rPr/>
        <w:t>integration</w:t>
      </w:r>
      <w:r>
        <w:rPr>
          <w:spacing w:val="-1"/>
        </w:rPr>
        <w:t> </w:t>
      </w:r>
      <w:r>
        <w:rPr/>
        <w:t>of</w:t>
      </w:r>
      <w:r>
        <w:rPr>
          <w:spacing w:val="-1"/>
        </w:rPr>
        <w:t> </w:t>
      </w:r>
      <w:r>
        <w:rPr/>
        <w:t>people with</w:t>
      </w:r>
      <w:r>
        <w:rPr/>
        <w:t> a</w:t>
      </w:r>
      <w:r>
        <w:rPr/>
        <w:t> disability</w:t>
      </w:r>
      <w:r>
        <w:rPr/>
        <w:t> into</w:t>
      </w:r>
      <w:r>
        <w:rPr/>
        <w:t> society</w:t>
      </w:r>
      <w:r>
        <w:rPr/>
        <w:t> is</w:t>
      </w:r>
      <w:r>
        <w:rPr/>
        <w:t> reflected</w:t>
      </w:r>
      <w:r>
        <w:rPr/>
        <w:t> in</w:t>
      </w:r>
      <w:r>
        <w:rPr/>
        <w:t> a</w:t>
      </w:r>
      <w:r>
        <w:rPr/>
        <w:t> wide</w:t>
      </w:r>
      <w:r>
        <w:rPr/>
        <w:t> range</w:t>
      </w:r>
      <w:r>
        <w:rPr/>
        <w:t> of</w:t>
      </w:r>
      <w:r>
        <w:rPr/>
        <w:t> legislative</w:t>
      </w:r>
      <w:r>
        <w:rPr/>
        <w:t> actions</w:t>
      </w:r>
      <w:r>
        <w:rPr>
          <w:spacing w:val="40"/>
        </w:rPr>
        <w:t> </w:t>
      </w:r>
      <w:r>
        <w:rPr/>
        <w:t>taken in industrialized countries, particularly during the 1980s and 1990s.</w:t>
      </w:r>
      <w:r>
        <w:rPr>
          <w:spacing w:val="40"/>
        </w:rPr>
        <w:t> </w:t>
      </w:r>
      <w:r>
        <w:rPr/>
        <w:t>Moves to improve building accessibility have been central to this policy and legislative response and such measures are now widespread in Western countries, as discussed in Section 9, below. The concepts of integration, or “inclusion” are multi-faceted and include participation in employment, leisure activities, cultural and</w:t>
      </w:r>
      <w:r>
        <w:rPr>
          <w:spacing w:val="-2"/>
        </w:rPr>
        <w:t> </w:t>
      </w:r>
      <w:r>
        <w:rPr/>
        <w:t>sporting</w:t>
      </w:r>
      <w:r>
        <w:rPr>
          <w:spacing w:val="-2"/>
        </w:rPr>
        <w:t> </w:t>
      </w:r>
      <w:r>
        <w:rPr/>
        <w:t>activities.</w:t>
      </w:r>
      <w:r>
        <w:rPr>
          <w:spacing w:val="40"/>
        </w:rPr>
        <w:t> </w:t>
      </w:r>
      <w:r>
        <w:rPr/>
        <w:t>Improving</w:t>
      </w:r>
      <w:r>
        <w:rPr>
          <w:spacing w:val="-2"/>
        </w:rPr>
        <w:t> </w:t>
      </w:r>
      <w:r>
        <w:rPr/>
        <w:t>building</w:t>
      </w:r>
      <w:r>
        <w:rPr>
          <w:spacing w:val="-2"/>
        </w:rPr>
        <w:t> </w:t>
      </w:r>
      <w:r>
        <w:rPr/>
        <w:t>accessibility</w:t>
      </w:r>
      <w:r>
        <w:rPr>
          <w:spacing w:val="-2"/>
        </w:rPr>
        <w:t> </w:t>
      </w:r>
      <w:r>
        <w:rPr/>
        <w:t>is</w:t>
      </w:r>
      <w:r>
        <w:rPr>
          <w:spacing w:val="-2"/>
        </w:rPr>
        <w:t> </w:t>
      </w:r>
      <w:r>
        <w:rPr/>
        <w:t>a</w:t>
      </w:r>
      <w:r>
        <w:rPr>
          <w:spacing w:val="-2"/>
        </w:rPr>
        <w:t> </w:t>
      </w:r>
      <w:r>
        <w:rPr/>
        <w:t>policy</w:t>
      </w:r>
      <w:r>
        <w:rPr>
          <w:spacing w:val="-2"/>
        </w:rPr>
        <w:t> </w:t>
      </w:r>
      <w:r>
        <w:rPr/>
        <w:t>measure</w:t>
      </w:r>
      <w:r>
        <w:rPr>
          <w:spacing w:val="-2"/>
        </w:rPr>
        <w:t> </w:t>
      </w:r>
      <w:r>
        <w:rPr/>
        <w:t>that</w:t>
      </w:r>
      <w:r>
        <w:rPr>
          <w:spacing w:val="-2"/>
        </w:rPr>
        <w:t> </w:t>
      </w:r>
      <w:r>
        <w:rPr/>
        <w:t>is likely to achieve benefits across the full range of these dimensions of integration, or inclusion.</w:t>
      </w:r>
      <w:r>
        <w:rPr>
          <w:spacing w:val="40"/>
        </w:rPr>
        <w:t> </w:t>
      </w:r>
      <w:r>
        <w:rPr/>
        <w:t>In the Australian context, it can be noted that the proposed Standards constitutes only one of a range of current Federal government policy initiatives aiming to better integrate people with a disability into the economy and society as a whole.</w:t>
      </w:r>
    </w:p>
    <w:p>
      <w:pPr>
        <w:pStyle w:val="BodyText"/>
        <w:rPr>
          <w:sz w:val="26"/>
        </w:rPr>
      </w:pPr>
    </w:p>
    <w:p>
      <w:pPr>
        <w:pStyle w:val="Heading2"/>
        <w:numPr>
          <w:ilvl w:val="1"/>
          <w:numId w:val="14"/>
        </w:numPr>
        <w:tabs>
          <w:tab w:pos="958" w:val="left" w:leader="none"/>
        </w:tabs>
        <w:spacing w:line="240" w:lineRule="auto" w:before="219" w:after="0"/>
        <w:ind w:left="957" w:right="0" w:hanging="721"/>
        <w:jc w:val="both"/>
        <w:rPr>
          <w:i/>
        </w:rPr>
      </w:pPr>
      <w:bookmarkStart w:name="7.6 Economic benefits of more accessible" w:id="64"/>
      <w:bookmarkEnd w:id="64"/>
      <w:r>
        <w:rPr>
          <w:i/>
        </w:rPr>
        <w:t>Economic</w:t>
      </w:r>
      <w:r>
        <w:rPr>
          <w:i/>
          <w:spacing w:val="-10"/>
        </w:rPr>
        <w:t> </w:t>
      </w:r>
      <w:r>
        <w:rPr>
          <w:i/>
        </w:rPr>
        <w:t>benefits</w:t>
      </w:r>
      <w:r>
        <w:rPr>
          <w:i/>
          <w:spacing w:val="-10"/>
        </w:rPr>
        <w:t> </w:t>
      </w:r>
      <w:r>
        <w:rPr>
          <w:i/>
        </w:rPr>
        <w:t>of</w:t>
      </w:r>
      <w:r>
        <w:rPr>
          <w:i/>
          <w:spacing w:val="-9"/>
        </w:rPr>
        <w:t> </w:t>
      </w:r>
      <w:r>
        <w:rPr>
          <w:i/>
        </w:rPr>
        <w:t>more</w:t>
      </w:r>
      <w:r>
        <w:rPr>
          <w:i/>
          <w:spacing w:val="-10"/>
        </w:rPr>
        <w:t> </w:t>
      </w:r>
      <w:r>
        <w:rPr>
          <w:i/>
        </w:rPr>
        <w:t>accessible</w:t>
      </w:r>
      <w:r>
        <w:rPr>
          <w:i/>
          <w:spacing w:val="-9"/>
        </w:rPr>
        <w:t> </w:t>
      </w:r>
      <w:r>
        <w:rPr>
          <w:i/>
          <w:spacing w:val="-2"/>
        </w:rPr>
        <w:t>buildings</w:t>
      </w:r>
    </w:p>
    <w:p>
      <w:pPr>
        <w:pStyle w:val="Heading3"/>
        <w:numPr>
          <w:ilvl w:val="2"/>
          <w:numId w:val="20"/>
        </w:numPr>
        <w:tabs>
          <w:tab w:pos="958" w:val="left" w:leader="none"/>
        </w:tabs>
        <w:spacing w:line="240" w:lineRule="auto" w:before="241" w:after="0"/>
        <w:ind w:left="957" w:right="0" w:hanging="721"/>
        <w:jc w:val="both"/>
      </w:pPr>
      <w:bookmarkStart w:name="7.6.1 Increased employment participation" w:id="65"/>
      <w:bookmarkEnd w:id="65"/>
      <w:r>
        <w:rPr/>
        <w:t>Increase</w:t>
      </w:r>
      <w:r>
        <w:rPr/>
        <w:t>d</w:t>
      </w:r>
      <w:r>
        <w:rPr>
          <w:spacing w:val="-10"/>
        </w:rPr>
        <w:t> </w:t>
      </w:r>
      <w:r>
        <w:rPr/>
        <w:t>employment</w:t>
      </w:r>
      <w:r>
        <w:rPr>
          <w:spacing w:val="-10"/>
        </w:rPr>
        <w:t> </w:t>
      </w:r>
      <w:r>
        <w:rPr>
          <w:spacing w:val="-2"/>
        </w:rPr>
        <w:t>participation</w:t>
      </w:r>
    </w:p>
    <w:p>
      <w:pPr>
        <w:pStyle w:val="BodyText"/>
        <w:spacing w:before="57"/>
        <w:ind w:left="237" w:right="292"/>
        <w:jc w:val="both"/>
      </w:pPr>
      <w:r>
        <w:rPr/>
        <w:t>As noted above, the benefits of greater social inclusion that are expected to flow from improved building accessibility span several dimensions.</w:t>
      </w:r>
      <w:r>
        <w:rPr>
          <w:spacing w:val="40"/>
        </w:rPr>
        <w:t> </w:t>
      </w:r>
      <w:r>
        <w:rPr/>
        <w:t>However, to the extent that these benefits accrue in the employment context, they will have a direct market value that is, at least theoretically, measurable in practice. As indicated</w:t>
      </w:r>
      <w:r>
        <w:rPr>
          <w:spacing w:val="65"/>
        </w:rPr>
        <w:t> </w:t>
      </w:r>
      <w:r>
        <w:rPr/>
        <w:t>in</w:t>
      </w:r>
      <w:r>
        <w:rPr>
          <w:spacing w:val="66"/>
        </w:rPr>
        <w:t> </w:t>
      </w:r>
      <w:r>
        <w:rPr/>
        <w:t>the</w:t>
      </w:r>
      <w:r>
        <w:rPr>
          <w:spacing w:val="65"/>
        </w:rPr>
        <w:t> </w:t>
      </w:r>
      <w:r>
        <w:rPr/>
        <w:t>previous</w:t>
      </w:r>
      <w:r>
        <w:rPr>
          <w:spacing w:val="66"/>
        </w:rPr>
        <w:t> </w:t>
      </w:r>
      <w:r>
        <w:rPr/>
        <w:t>section,</w:t>
      </w:r>
      <w:r>
        <w:rPr>
          <w:spacing w:val="65"/>
        </w:rPr>
        <w:t> </w:t>
      </w:r>
      <w:r>
        <w:rPr/>
        <w:t>the</w:t>
      </w:r>
      <w:r>
        <w:rPr>
          <w:spacing w:val="66"/>
        </w:rPr>
        <w:t> </w:t>
      </w:r>
      <w:r>
        <w:rPr/>
        <w:t>rate</w:t>
      </w:r>
      <w:r>
        <w:rPr>
          <w:spacing w:val="65"/>
        </w:rPr>
        <w:t> </w:t>
      </w:r>
      <w:r>
        <w:rPr/>
        <w:t>of</w:t>
      </w:r>
      <w:r>
        <w:rPr>
          <w:spacing w:val="65"/>
        </w:rPr>
        <w:t> </w:t>
      </w:r>
      <w:r>
        <w:rPr/>
        <w:t>employment</w:t>
      </w:r>
      <w:r>
        <w:rPr>
          <w:spacing w:val="66"/>
        </w:rPr>
        <w:t> </w:t>
      </w:r>
      <w:r>
        <w:rPr/>
        <w:t>for</w:t>
      </w:r>
      <w:r>
        <w:rPr>
          <w:spacing w:val="65"/>
        </w:rPr>
        <w:t> </w:t>
      </w:r>
      <w:r>
        <w:rPr/>
        <w:t>people</w:t>
      </w:r>
      <w:r>
        <w:rPr>
          <w:spacing w:val="66"/>
        </w:rPr>
        <w:t> </w:t>
      </w:r>
      <w:r>
        <w:rPr/>
        <w:t>with</w:t>
      </w:r>
      <w:r>
        <w:rPr>
          <w:spacing w:val="65"/>
        </w:rPr>
        <w:t> </w:t>
      </w:r>
      <w:r>
        <w:rPr>
          <w:spacing w:val="-10"/>
        </w:rPr>
        <w:t>a</w:t>
      </w:r>
    </w:p>
    <w:p>
      <w:pPr>
        <w:pStyle w:val="BodyText"/>
        <w:rPr>
          <w:sz w:val="20"/>
        </w:rPr>
      </w:pPr>
    </w:p>
    <w:p>
      <w:pPr>
        <w:pStyle w:val="BodyText"/>
        <w:spacing w:before="2"/>
        <w:rPr>
          <w:sz w:val="19"/>
        </w:rPr>
      </w:pPr>
      <w:r>
        <w:rPr/>
        <w:pict>
          <v:rect style="position:absolute;margin-left:89.879997pt;margin-top:12.262871pt;width:144pt;height:.6pt;mso-position-horizontal-relative:page;mso-position-vertical-relative:paragraph;z-index:-15716352;mso-wrap-distance-left:0;mso-wrap-distance-right:0" id="docshape30" filled="true" fillcolor="#000000" stroked="false">
            <v:fill type="solid"/>
            <w10:wrap type="topAndBottom"/>
          </v:rect>
        </w:pict>
      </w:r>
    </w:p>
    <w:p>
      <w:pPr>
        <w:pStyle w:val="BodyText"/>
        <w:spacing w:before="1"/>
        <w:rPr>
          <w:sz w:val="8"/>
        </w:rPr>
      </w:pPr>
    </w:p>
    <w:p>
      <w:pPr>
        <w:spacing w:before="130"/>
        <w:ind w:left="237" w:right="416" w:firstLine="0"/>
        <w:jc w:val="left"/>
        <w:rPr>
          <w:sz w:val="20"/>
        </w:rPr>
      </w:pPr>
      <w:r>
        <w:rPr>
          <w:sz w:val="20"/>
          <w:vertAlign w:val="superscript"/>
        </w:rPr>
        <w:t>32</w:t>
      </w:r>
      <w:r>
        <w:rPr>
          <w:spacing w:val="-3"/>
          <w:sz w:val="20"/>
          <w:vertAlign w:val="baseline"/>
        </w:rPr>
        <w:t> </w:t>
      </w:r>
      <w:r>
        <w:rPr>
          <w:i/>
          <w:sz w:val="20"/>
          <w:vertAlign w:val="baseline"/>
        </w:rPr>
        <w:t>Towards</w:t>
      </w:r>
      <w:r>
        <w:rPr>
          <w:i/>
          <w:spacing w:val="-3"/>
          <w:sz w:val="20"/>
          <w:vertAlign w:val="baseline"/>
        </w:rPr>
        <w:t> </w:t>
      </w:r>
      <w:r>
        <w:rPr>
          <w:i/>
          <w:sz w:val="20"/>
          <w:vertAlign w:val="baseline"/>
        </w:rPr>
        <w:t>a</w:t>
      </w:r>
      <w:r>
        <w:rPr>
          <w:i/>
          <w:spacing w:val="-3"/>
          <w:sz w:val="20"/>
          <w:vertAlign w:val="baseline"/>
        </w:rPr>
        <w:t> </w:t>
      </w:r>
      <w:r>
        <w:rPr>
          <w:i/>
          <w:sz w:val="20"/>
          <w:vertAlign w:val="baseline"/>
        </w:rPr>
        <w:t>Disability</w:t>
      </w:r>
      <w:r>
        <w:rPr>
          <w:i/>
          <w:spacing w:val="-3"/>
          <w:sz w:val="20"/>
          <w:vertAlign w:val="baseline"/>
        </w:rPr>
        <w:t> </w:t>
      </w:r>
      <w:r>
        <w:rPr>
          <w:i/>
          <w:sz w:val="20"/>
          <w:vertAlign w:val="baseline"/>
        </w:rPr>
        <w:t>Allowance.</w:t>
      </w:r>
      <w:r>
        <w:rPr>
          <w:i/>
          <w:spacing w:val="80"/>
          <w:sz w:val="20"/>
          <w:vertAlign w:val="baseline"/>
        </w:rPr>
        <w:t> </w:t>
      </w:r>
      <w:r>
        <w:rPr>
          <w:sz w:val="20"/>
          <w:vertAlign w:val="baseline"/>
        </w:rPr>
        <w:t>Dr</w:t>
      </w:r>
      <w:r>
        <w:rPr>
          <w:spacing w:val="-3"/>
          <w:sz w:val="20"/>
          <w:vertAlign w:val="baseline"/>
        </w:rPr>
        <w:t> </w:t>
      </w:r>
      <w:r>
        <w:rPr>
          <w:sz w:val="20"/>
          <w:vertAlign w:val="baseline"/>
        </w:rPr>
        <w:t>Jack</w:t>
      </w:r>
      <w:r>
        <w:rPr>
          <w:spacing w:val="-3"/>
          <w:sz w:val="20"/>
          <w:vertAlign w:val="baseline"/>
        </w:rPr>
        <w:t> </w:t>
      </w:r>
      <w:r>
        <w:rPr>
          <w:sz w:val="20"/>
          <w:vertAlign w:val="baseline"/>
        </w:rPr>
        <w:t>Frisch.</w:t>
      </w:r>
      <w:r>
        <w:rPr>
          <w:spacing w:val="40"/>
          <w:sz w:val="20"/>
          <w:vertAlign w:val="baseline"/>
        </w:rPr>
        <w:t> </w:t>
      </w:r>
      <w:r>
        <w:rPr>
          <w:sz w:val="20"/>
          <w:vertAlign w:val="baseline"/>
        </w:rPr>
        <w:t>Disability</w:t>
      </w:r>
      <w:r>
        <w:rPr>
          <w:spacing w:val="-3"/>
          <w:sz w:val="20"/>
          <w:vertAlign w:val="baseline"/>
        </w:rPr>
        <w:t> </w:t>
      </w:r>
      <w:r>
        <w:rPr>
          <w:sz w:val="20"/>
          <w:vertAlign w:val="baseline"/>
        </w:rPr>
        <w:t>Council</w:t>
      </w:r>
      <w:r>
        <w:rPr>
          <w:spacing w:val="-3"/>
          <w:sz w:val="20"/>
          <w:vertAlign w:val="baseline"/>
        </w:rPr>
        <w:t> </w:t>
      </w:r>
      <w:r>
        <w:rPr>
          <w:sz w:val="20"/>
          <w:vertAlign w:val="baseline"/>
        </w:rPr>
        <w:t>of</w:t>
      </w:r>
      <w:r>
        <w:rPr>
          <w:spacing w:val="-3"/>
          <w:sz w:val="20"/>
          <w:vertAlign w:val="baseline"/>
        </w:rPr>
        <w:t> </w:t>
      </w:r>
      <w:r>
        <w:rPr>
          <w:sz w:val="20"/>
          <w:vertAlign w:val="baseline"/>
        </w:rPr>
        <w:t>Australia,</w:t>
      </w:r>
      <w:r>
        <w:rPr>
          <w:spacing w:val="-3"/>
          <w:sz w:val="20"/>
          <w:vertAlign w:val="baseline"/>
        </w:rPr>
        <w:t> </w:t>
      </w:r>
      <w:r>
        <w:rPr>
          <w:sz w:val="20"/>
          <w:vertAlign w:val="baseline"/>
        </w:rPr>
        <w:t>June</w:t>
      </w:r>
      <w:r>
        <w:rPr>
          <w:spacing w:val="-3"/>
          <w:sz w:val="20"/>
          <w:vertAlign w:val="baseline"/>
        </w:rPr>
        <w:t> </w:t>
      </w:r>
      <w:r>
        <w:rPr>
          <w:sz w:val="20"/>
          <w:vertAlign w:val="baseline"/>
        </w:rPr>
        <w:t>2001, see especially pp 17-21.</w:t>
      </w:r>
    </w:p>
    <w:p>
      <w:pPr>
        <w:spacing w:after="0"/>
        <w:jc w:val="left"/>
        <w:rPr>
          <w:sz w:val="20"/>
        </w:rPr>
        <w:sectPr>
          <w:pgSz w:w="12240" w:h="15840"/>
          <w:pgMar w:header="0" w:footer="1140" w:top="1360" w:bottom="1340" w:left="1560" w:right="1500"/>
        </w:sectPr>
      </w:pPr>
    </w:p>
    <w:p>
      <w:pPr>
        <w:pStyle w:val="BodyText"/>
        <w:spacing w:before="77"/>
        <w:ind w:left="237" w:right="295"/>
        <w:jc w:val="both"/>
      </w:pPr>
      <w:r>
        <w:rPr/>
        <w:t>disability is substantially below that of people without disabilities.</w:t>
      </w:r>
      <w:r>
        <w:rPr>
          <w:spacing w:val="40"/>
        </w:rPr>
        <w:t> </w:t>
      </w:r>
      <w:r>
        <w:rPr/>
        <w:t>Further indicators of the disadvantage experienced by people with a disability are contained in the </w:t>
      </w:r>
      <w:r>
        <w:rPr>
          <w:i/>
        </w:rPr>
        <w:t>Commonwealth Disability Services Census 2001</w:t>
      </w:r>
      <w:r>
        <w:rPr>
          <w:i/>
          <w:vertAlign w:val="superscript"/>
        </w:rPr>
        <w:t>33</w:t>
      </w:r>
      <w:r>
        <w:rPr>
          <w:i/>
          <w:vertAlign w:val="baseline"/>
        </w:rPr>
        <w:t>.</w:t>
      </w:r>
      <w:r>
        <w:rPr>
          <w:i/>
          <w:spacing w:val="40"/>
          <w:vertAlign w:val="baseline"/>
        </w:rPr>
        <w:t> </w:t>
      </w:r>
      <w:r>
        <w:rPr>
          <w:vertAlign w:val="baseline"/>
        </w:rPr>
        <w:t>The Census shows that:</w:t>
      </w:r>
    </w:p>
    <w:p>
      <w:pPr>
        <w:pStyle w:val="ListParagraph"/>
        <w:numPr>
          <w:ilvl w:val="3"/>
          <w:numId w:val="20"/>
        </w:numPr>
        <w:tabs>
          <w:tab w:pos="958" w:val="left" w:leader="none"/>
        </w:tabs>
        <w:spacing w:line="240" w:lineRule="auto" w:before="120" w:after="0"/>
        <w:ind w:left="951" w:right="293" w:hanging="357"/>
        <w:jc w:val="both"/>
        <w:rPr>
          <w:sz w:val="24"/>
        </w:rPr>
      </w:pPr>
      <w:r>
        <w:rPr>
          <w:sz w:val="24"/>
        </w:rPr>
        <w:t>the Commonwealth Disability Services Pension was the primary source of income of 61% of people with a disability who are users of Department of Family and Community Services (FACS) employment services</w:t>
      </w:r>
      <w:r>
        <w:rPr>
          <w:sz w:val="24"/>
          <w:vertAlign w:val="superscript"/>
        </w:rPr>
        <w:t>34</w:t>
      </w:r>
      <w:r>
        <w:rPr>
          <w:sz w:val="24"/>
          <w:vertAlign w:val="baseline"/>
        </w:rPr>
        <w:t>.</w:t>
      </w:r>
      <w:r>
        <w:rPr>
          <w:spacing w:val="40"/>
          <w:sz w:val="24"/>
          <w:vertAlign w:val="baseline"/>
        </w:rPr>
        <w:t> </w:t>
      </w:r>
      <w:r>
        <w:rPr>
          <w:sz w:val="24"/>
          <w:vertAlign w:val="baseline"/>
        </w:rPr>
        <w:t>For a further 7% of this group, the Newstart or Youth Allowance was the primary source of income;</w:t>
      </w:r>
    </w:p>
    <w:p>
      <w:pPr>
        <w:pStyle w:val="ListParagraph"/>
        <w:numPr>
          <w:ilvl w:val="3"/>
          <w:numId w:val="20"/>
        </w:numPr>
        <w:tabs>
          <w:tab w:pos="958" w:val="left" w:leader="none"/>
        </w:tabs>
        <w:spacing w:line="240" w:lineRule="auto" w:before="58" w:after="0"/>
        <w:ind w:left="951" w:right="295" w:hanging="357"/>
        <w:jc w:val="both"/>
        <w:rPr>
          <w:sz w:val="24"/>
        </w:rPr>
      </w:pPr>
      <w:r>
        <w:rPr>
          <w:sz w:val="24"/>
        </w:rPr>
        <w:t>by</w:t>
      </w:r>
      <w:r>
        <w:rPr>
          <w:spacing w:val="-2"/>
          <w:sz w:val="24"/>
        </w:rPr>
        <w:t> </w:t>
      </w:r>
      <w:r>
        <w:rPr>
          <w:sz w:val="24"/>
        </w:rPr>
        <w:t>contrast,</w:t>
      </w:r>
      <w:r>
        <w:rPr>
          <w:spacing w:val="-2"/>
          <w:sz w:val="24"/>
        </w:rPr>
        <w:t> </w:t>
      </w:r>
      <w:r>
        <w:rPr>
          <w:sz w:val="24"/>
        </w:rPr>
        <w:t>paid</w:t>
      </w:r>
      <w:r>
        <w:rPr>
          <w:spacing w:val="-2"/>
          <w:sz w:val="24"/>
        </w:rPr>
        <w:t> </w:t>
      </w:r>
      <w:r>
        <w:rPr>
          <w:sz w:val="24"/>
        </w:rPr>
        <w:t>employment</w:t>
      </w:r>
      <w:r>
        <w:rPr>
          <w:spacing w:val="-2"/>
          <w:sz w:val="24"/>
        </w:rPr>
        <w:t> </w:t>
      </w:r>
      <w:r>
        <w:rPr>
          <w:sz w:val="24"/>
        </w:rPr>
        <w:t>was</w:t>
      </w:r>
      <w:r>
        <w:rPr>
          <w:spacing w:val="-2"/>
          <w:sz w:val="24"/>
        </w:rPr>
        <w:t> </w:t>
      </w:r>
      <w:r>
        <w:rPr>
          <w:sz w:val="24"/>
        </w:rPr>
        <w:t>the</w:t>
      </w:r>
      <w:r>
        <w:rPr>
          <w:spacing w:val="-1"/>
          <w:sz w:val="24"/>
        </w:rPr>
        <w:t> </w:t>
      </w:r>
      <w:r>
        <w:rPr>
          <w:sz w:val="24"/>
        </w:rPr>
        <w:t>main</w:t>
      </w:r>
      <w:r>
        <w:rPr>
          <w:spacing w:val="-2"/>
          <w:sz w:val="24"/>
        </w:rPr>
        <w:t> </w:t>
      </w:r>
      <w:r>
        <w:rPr>
          <w:sz w:val="24"/>
        </w:rPr>
        <w:t>source</w:t>
      </w:r>
      <w:r>
        <w:rPr>
          <w:spacing w:val="-2"/>
          <w:sz w:val="24"/>
        </w:rPr>
        <w:t> </w:t>
      </w:r>
      <w:r>
        <w:rPr>
          <w:sz w:val="24"/>
        </w:rPr>
        <w:t>of</w:t>
      </w:r>
      <w:r>
        <w:rPr>
          <w:spacing w:val="-2"/>
          <w:sz w:val="24"/>
        </w:rPr>
        <w:t> </w:t>
      </w:r>
      <w:r>
        <w:rPr>
          <w:sz w:val="24"/>
        </w:rPr>
        <w:t>income</w:t>
      </w:r>
      <w:r>
        <w:rPr>
          <w:spacing w:val="-2"/>
          <w:sz w:val="24"/>
        </w:rPr>
        <w:t> </w:t>
      </w:r>
      <w:r>
        <w:rPr>
          <w:sz w:val="24"/>
        </w:rPr>
        <w:t>for</w:t>
      </w:r>
      <w:r>
        <w:rPr>
          <w:spacing w:val="-2"/>
          <w:sz w:val="24"/>
        </w:rPr>
        <w:t> </w:t>
      </w:r>
      <w:r>
        <w:rPr>
          <w:sz w:val="24"/>
        </w:rPr>
        <w:t>only</w:t>
      </w:r>
      <w:r>
        <w:rPr>
          <w:spacing w:val="-2"/>
          <w:sz w:val="24"/>
        </w:rPr>
        <w:t> </w:t>
      </w:r>
      <w:r>
        <w:rPr>
          <w:sz w:val="24"/>
        </w:rPr>
        <w:t>22% of this group; and</w:t>
      </w:r>
    </w:p>
    <w:p>
      <w:pPr>
        <w:pStyle w:val="ListParagraph"/>
        <w:numPr>
          <w:ilvl w:val="3"/>
          <w:numId w:val="20"/>
        </w:numPr>
        <w:tabs>
          <w:tab w:pos="958" w:val="left" w:leader="none"/>
        </w:tabs>
        <w:spacing w:line="292" w:lineRule="exact" w:before="59" w:after="0"/>
        <w:ind w:left="957" w:right="0" w:hanging="361"/>
        <w:jc w:val="both"/>
        <w:rPr>
          <w:sz w:val="24"/>
        </w:rPr>
      </w:pPr>
      <w:r>
        <w:rPr>
          <w:sz w:val="24"/>
        </w:rPr>
        <w:t>of</w:t>
      </w:r>
      <w:r>
        <w:rPr>
          <w:spacing w:val="37"/>
          <w:sz w:val="24"/>
        </w:rPr>
        <w:t> </w:t>
      </w:r>
      <w:r>
        <w:rPr>
          <w:sz w:val="24"/>
        </w:rPr>
        <w:t>the</w:t>
      </w:r>
      <w:r>
        <w:rPr>
          <w:spacing w:val="39"/>
          <w:sz w:val="24"/>
        </w:rPr>
        <w:t> </w:t>
      </w:r>
      <w:r>
        <w:rPr>
          <w:sz w:val="24"/>
        </w:rPr>
        <w:t>employed</w:t>
      </w:r>
      <w:r>
        <w:rPr>
          <w:spacing w:val="38"/>
          <w:sz w:val="24"/>
        </w:rPr>
        <w:t> </w:t>
      </w:r>
      <w:r>
        <w:rPr>
          <w:sz w:val="24"/>
        </w:rPr>
        <w:t>members</w:t>
      </w:r>
      <w:r>
        <w:rPr>
          <w:spacing w:val="38"/>
          <w:sz w:val="24"/>
        </w:rPr>
        <w:t> </w:t>
      </w:r>
      <w:r>
        <w:rPr>
          <w:sz w:val="24"/>
        </w:rPr>
        <w:t>of</w:t>
      </w:r>
      <w:r>
        <w:rPr>
          <w:spacing w:val="38"/>
          <w:sz w:val="24"/>
        </w:rPr>
        <w:t> </w:t>
      </w:r>
      <w:r>
        <w:rPr>
          <w:sz w:val="24"/>
        </w:rPr>
        <w:t>this</w:t>
      </w:r>
      <w:r>
        <w:rPr>
          <w:spacing w:val="41"/>
          <w:sz w:val="24"/>
        </w:rPr>
        <w:t> </w:t>
      </w:r>
      <w:r>
        <w:rPr>
          <w:sz w:val="24"/>
        </w:rPr>
        <w:t>group,</w:t>
      </w:r>
      <w:r>
        <w:rPr>
          <w:spacing w:val="39"/>
          <w:sz w:val="24"/>
        </w:rPr>
        <w:t> </w:t>
      </w:r>
      <w:r>
        <w:rPr>
          <w:sz w:val="24"/>
        </w:rPr>
        <w:t>only</w:t>
      </w:r>
      <w:r>
        <w:rPr>
          <w:spacing w:val="39"/>
          <w:sz w:val="24"/>
        </w:rPr>
        <w:t> </w:t>
      </w:r>
      <w:r>
        <w:rPr>
          <w:sz w:val="24"/>
        </w:rPr>
        <w:t>11.3%</w:t>
      </w:r>
      <w:r>
        <w:rPr>
          <w:spacing w:val="39"/>
          <w:sz w:val="24"/>
        </w:rPr>
        <w:t> </w:t>
      </w:r>
      <w:r>
        <w:rPr>
          <w:sz w:val="24"/>
        </w:rPr>
        <w:t>earned</w:t>
      </w:r>
      <w:r>
        <w:rPr>
          <w:spacing w:val="39"/>
          <w:sz w:val="24"/>
        </w:rPr>
        <w:t> </w:t>
      </w:r>
      <w:r>
        <w:rPr>
          <w:sz w:val="24"/>
        </w:rPr>
        <w:t>more</w:t>
      </w:r>
      <w:r>
        <w:rPr>
          <w:spacing w:val="39"/>
          <w:sz w:val="24"/>
        </w:rPr>
        <w:t> </w:t>
      </w:r>
      <w:r>
        <w:rPr>
          <w:spacing w:val="-4"/>
          <w:sz w:val="24"/>
        </w:rPr>
        <w:t>than</w:t>
      </w:r>
    </w:p>
    <w:p>
      <w:pPr>
        <w:pStyle w:val="BodyText"/>
        <w:spacing w:line="274" w:lineRule="exact"/>
        <w:ind w:left="957"/>
        <w:jc w:val="both"/>
      </w:pPr>
      <w:r>
        <w:rPr/>
        <w:t>$400</w:t>
      </w:r>
      <w:r>
        <w:rPr>
          <w:spacing w:val="-4"/>
        </w:rPr>
        <w:t> </w:t>
      </w:r>
      <w:r>
        <w:rPr/>
        <w:t>per</w:t>
      </w:r>
      <w:r>
        <w:rPr>
          <w:spacing w:val="-4"/>
        </w:rPr>
        <w:t> </w:t>
      </w:r>
      <w:r>
        <w:rPr/>
        <w:t>week,</w:t>
      </w:r>
      <w:r>
        <w:rPr>
          <w:spacing w:val="-4"/>
        </w:rPr>
        <w:t> </w:t>
      </w:r>
      <w:r>
        <w:rPr/>
        <w:t>while</w:t>
      </w:r>
      <w:r>
        <w:rPr>
          <w:spacing w:val="-4"/>
        </w:rPr>
        <w:t> </w:t>
      </w:r>
      <w:r>
        <w:rPr/>
        <w:t>more</w:t>
      </w:r>
      <w:r>
        <w:rPr>
          <w:spacing w:val="-4"/>
        </w:rPr>
        <w:t> </w:t>
      </w:r>
      <w:r>
        <w:rPr/>
        <w:t>than</w:t>
      </w:r>
      <w:r>
        <w:rPr>
          <w:spacing w:val="-6"/>
        </w:rPr>
        <w:t> </w:t>
      </w:r>
      <w:r>
        <w:rPr/>
        <w:t>50%</w:t>
      </w:r>
      <w:r>
        <w:rPr>
          <w:spacing w:val="-4"/>
        </w:rPr>
        <w:t> </w:t>
      </w:r>
      <w:r>
        <w:rPr/>
        <w:t>earned</w:t>
      </w:r>
      <w:r>
        <w:rPr>
          <w:spacing w:val="-3"/>
        </w:rPr>
        <w:t> </w:t>
      </w:r>
      <w:r>
        <w:rPr/>
        <w:t>less</w:t>
      </w:r>
      <w:r>
        <w:rPr>
          <w:spacing w:val="-4"/>
        </w:rPr>
        <w:t> </w:t>
      </w:r>
      <w:r>
        <w:rPr/>
        <w:t>than</w:t>
      </w:r>
      <w:r>
        <w:rPr>
          <w:spacing w:val="-4"/>
        </w:rPr>
        <w:t> </w:t>
      </w:r>
      <w:r>
        <w:rPr/>
        <w:t>$100</w:t>
      </w:r>
      <w:r>
        <w:rPr>
          <w:spacing w:val="-4"/>
        </w:rPr>
        <w:t> </w:t>
      </w:r>
      <w:r>
        <w:rPr/>
        <w:t>per</w:t>
      </w:r>
      <w:r>
        <w:rPr>
          <w:spacing w:val="-4"/>
        </w:rPr>
        <w:t> </w:t>
      </w:r>
      <w:r>
        <w:rPr>
          <w:spacing w:val="-2"/>
        </w:rPr>
        <w:t>week.</w:t>
      </w:r>
    </w:p>
    <w:p>
      <w:pPr>
        <w:pStyle w:val="BodyText"/>
      </w:pPr>
    </w:p>
    <w:p>
      <w:pPr>
        <w:pStyle w:val="BodyText"/>
        <w:ind w:left="237" w:right="294"/>
        <w:jc w:val="both"/>
      </w:pPr>
      <w:r>
        <w:rPr/>
        <w:t>This data indicates that there are substantial potential gains from policies that</w:t>
      </w:r>
      <w:r>
        <w:rPr>
          <w:spacing w:val="40"/>
        </w:rPr>
        <w:t> </w:t>
      </w:r>
      <w:r>
        <w:rPr/>
        <w:t>can increase the participation of people with a disability in the workforce, both in terms of increasing the rate of participation and in terms of increasing the effective ability to participate of those who are in employment.</w:t>
      </w:r>
    </w:p>
    <w:p>
      <w:pPr>
        <w:pStyle w:val="BodyText"/>
      </w:pPr>
    </w:p>
    <w:p>
      <w:pPr>
        <w:pStyle w:val="BodyText"/>
        <w:ind w:left="237" w:right="291"/>
        <w:jc w:val="both"/>
      </w:pPr>
      <w:r>
        <w:rPr/>
        <w:t>Building access issues constitute an extremely important barrier to accessing employment for people with a disability, although other substantial problems also exist. According to Frisch</w:t>
      </w:r>
      <w:r>
        <w:rPr>
          <w:vertAlign w:val="superscript"/>
        </w:rPr>
        <w:t>35</w:t>
      </w:r>
      <w:r>
        <w:rPr>
          <w:vertAlign w:val="baseline"/>
        </w:rPr>
        <w:t> these include discrimination, limited accessibility of transport options and factors associated with the disability that may reduce a person’s productivity in some or all occupations.</w:t>
      </w:r>
      <w:r>
        <w:rPr>
          <w:spacing w:val="40"/>
          <w:vertAlign w:val="baseline"/>
        </w:rPr>
        <w:t> </w:t>
      </w:r>
      <w:r>
        <w:rPr>
          <w:vertAlign w:val="baseline"/>
        </w:rPr>
        <w:t>The means by which building access issues can lead to reduced income are in some cases immediately obvious, but are in other cases less apparent.</w:t>
      </w:r>
      <w:r>
        <w:rPr>
          <w:spacing w:val="40"/>
          <w:vertAlign w:val="baseline"/>
        </w:rPr>
        <w:t> </w:t>
      </w:r>
      <w:r>
        <w:rPr>
          <w:vertAlign w:val="baseline"/>
        </w:rPr>
        <w:t>In the former category is the possibility that the inaccessibility of a building will mean that a person is</w:t>
      </w:r>
      <w:r>
        <w:rPr>
          <w:spacing w:val="40"/>
          <w:vertAlign w:val="baseline"/>
        </w:rPr>
        <w:t> </w:t>
      </w:r>
      <w:r>
        <w:rPr>
          <w:vertAlign w:val="baseline"/>
        </w:rPr>
        <w:t>physically unable to carry out the tasks of the job and will either not apply for it or not be given it. Some of the less apparent factors have been identified by</w:t>
      </w:r>
      <w:r>
        <w:rPr>
          <w:spacing w:val="80"/>
          <w:vertAlign w:val="baseline"/>
        </w:rPr>
        <w:t> </w:t>
      </w:r>
      <w:r>
        <w:rPr>
          <w:vertAlign w:val="baseline"/>
        </w:rPr>
        <w:t>Frisch</w:t>
      </w:r>
      <w:r>
        <w:rPr>
          <w:vertAlign w:val="superscript"/>
        </w:rPr>
        <w:t>36</w:t>
      </w:r>
      <w:r>
        <w:rPr>
          <w:vertAlign w:val="baseline"/>
        </w:rPr>
        <w:t> as including -</w:t>
      </w:r>
    </w:p>
    <w:p>
      <w:pPr>
        <w:pStyle w:val="BodyText"/>
        <w:spacing w:before="1"/>
      </w:pPr>
    </w:p>
    <w:p>
      <w:pPr>
        <w:spacing w:before="0"/>
        <w:ind w:left="957" w:right="295" w:firstLine="0"/>
        <w:jc w:val="both"/>
        <w:rPr>
          <w:i/>
          <w:sz w:val="24"/>
        </w:rPr>
      </w:pPr>
      <w:r>
        <w:rPr>
          <w:i/>
          <w:sz w:val="24"/>
        </w:rPr>
        <w:t>“…fewer seamless networking and communication opportunities with work</w:t>
      </w:r>
      <w:r>
        <w:rPr>
          <w:i/>
          <w:sz w:val="24"/>
        </w:rPr>
        <w:t> colleagues and clients and a consequently lower likelihood of promotion because of inaccessible building design…it means wasting time negotiating and planning access…etc”</w:t>
      </w:r>
    </w:p>
    <w:p>
      <w:pPr>
        <w:pStyle w:val="BodyText"/>
        <w:spacing w:before="11"/>
        <w:rPr>
          <w:i/>
          <w:sz w:val="23"/>
        </w:rPr>
      </w:pPr>
    </w:p>
    <w:p>
      <w:pPr>
        <w:pStyle w:val="BodyText"/>
        <w:ind w:left="237" w:right="295"/>
        <w:jc w:val="both"/>
      </w:pPr>
      <w:r>
        <w:rPr/>
        <w:t>Thus, improving building access may lead to both increased employment opportunities and increased opportunities for advancement within the workplace</w:t>
      </w:r>
    </w:p>
    <w:p>
      <w:pPr>
        <w:pStyle w:val="BodyText"/>
        <w:spacing w:before="5"/>
        <w:rPr>
          <w:sz w:val="23"/>
        </w:rPr>
      </w:pPr>
      <w:r>
        <w:rPr/>
        <w:pict>
          <v:rect style="position:absolute;margin-left:89.879997pt;margin-top:14.68504pt;width:144pt;height:.6pt;mso-position-horizontal-relative:page;mso-position-vertical-relative:paragraph;z-index:-15715840;mso-wrap-distance-left:0;mso-wrap-distance-right:0" id="docshape31" filled="true" fillcolor="#000000" stroked="false">
            <v:fill type="solid"/>
            <w10:wrap type="topAndBottom"/>
          </v:rect>
        </w:pict>
      </w:r>
    </w:p>
    <w:p>
      <w:pPr>
        <w:pStyle w:val="BodyText"/>
        <w:spacing w:before="6"/>
        <w:rPr>
          <w:sz w:val="18"/>
        </w:rPr>
      </w:pPr>
    </w:p>
    <w:p>
      <w:pPr>
        <w:spacing w:before="130"/>
        <w:ind w:left="237" w:right="247" w:firstLine="0"/>
        <w:jc w:val="left"/>
        <w:rPr>
          <w:sz w:val="20"/>
        </w:rPr>
      </w:pPr>
      <w:r>
        <w:rPr>
          <w:sz w:val="20"/>
          <w:vertAlign w:val="superscript"/>
        </w:rPr>
        <w:t>33</w:t>
      </w:r>
      <w:r>
        <w:rPr>
          <w:spacing w:val="-4"/>
          <w:sz w:val="20"/>
          <w:vertAlign w:val="baseline"/>
        </w:rPr>
        <w:t> </w:t>
      </w:r>
      <w:r>
        <w:rPr>
          <w:i/>
          <w:sz w:val="20"/>
          <w:vertAlign w:val="baseline"/>
        </w:rPr>
        <w:t>Commonwealth</w:t>
      </w:r>
      <w:r>
        <w:rPr>
          <w:i/>
          <w:spacing w:val="-4"/>
          <w:sz w:val="20"/>
          <w:vertAlign w:val="baseline"/>
        </w:rPr>
        <w:t> </w:t>
      </w:r>
      <w:r>
        <w:rPr>
          <w:i/>
          <w:sz w:val="20"/>
          <w:vertAlign w:val="baseline"/>
        </w:rPr>
        <w:t>Disability</w:t>
      </w:r>
      <w:r>
        <w:rPr>
          <w:i/>
          <w:spacing w:val="-3"/>
          <w:sz w:val="20"/>
          <w:vertAlign w:val="baseline"/>
        </w:rPr>
        <w:t> </w:t>
      </w:r>
      <w:r>
        <w:rPr>
          <w:i/>
          <w:sz w:val="20"/>
          <w:vertAlign w:val="baseline"/>
        </w:rPr>
        <w:t>Services</w:t>
      </w:r>
      <w:r>
        <w:rPr>
          <w:i/>
          <w:spacing w:val="-4"/>
          <w:sz w:val="20"/>
          <w:vertAlign w:val="baseline"/>
        </w:rPr>
        <w:t> </w:t>
      </w:r>
      <w:r>
        <w:rPr>
          <w:i/>
          <w:sz w:val="20"/>
          <w:vertAlign w:val="baseline"/>
        </w:rPr>
        <w:t>Census</w:t>
      </w:r>
      <w:r>
        <w:rPr>
          <w:i/>
          <w:spacing w:val="-4"/>
          <w:sz w:val="20"/>
          <w:vertAlign w:val="baseline"/>
        </w:rPr>
        <w:t> </w:t>
      </w:r>
      <w:r>
        <w:rPr>
          <w:i/>
          <w:sz w:val="20"/>
          <w:vertAlign w:val="baseline"/>
        </w:rPr>
        <w:t>2001</w:t>
      </w:r>
      <w:r>
        <w:rPr>
          <w:sz w:val="20"/>
          <w:vertAlign w:val="baseline"/>
        </w:rPr>
        <w:t>.</w:t>
      </w:r>
      <w:r>
        <w:rPr>
          <w:spacing w:val="40"/>
          <w:sz w:val="20"/>
          <w:vertAlign w:val="baseline"/>
        </w:rPr>
        <w:t> </w:t>
      </w:r>
      <w:r>
        <w:rPr>
          <w:sz w:val="20"/>
          <w:vertAlign w:val="baseline"/>
        </w:rPr>
        <w:t>Department</w:t>
      </w:r>
      <w:r>
        <w:rPr>
          <w:spacing w:val="-4"/>
          <w:sz w:val="20"/>
          <w:vertAlign w:val="baseline"/>
        </w:rPr>
        <w:t> </w:t>
      </w:r>
      <w:r>
        <w:rPr>
          <w:sz w:val="20"/>
          <w:vertAlign w:val="baseline"/>
        </w:rPr>
        <w:t>of</w:t>
      </w:r>
      <w:r>
        <w:rPr>
          <w:spacing w:val="-4"/>
          <w:sz w:val="20"/>
          <w:vertAlign w:val="baseline"/>
        </w:rPr>
        <w:t> </w:t>
      </w:r>
      <w:r>
        <w:rPr>
          <w:sz w:val="20"/>
          <w:vertAlign w:val="baseline"/>
        </w:rPr>
        <w:t>Family</w:t>
      </w:r>
      <w:r>
        <w:rPr>
          <w:spacing w:val="-4"/>
          <w:sz w:val="20"/>
          <w:vertAlign w:val="baseline"/>
        </w:rPr>
        <w:t> </w:t>
      </w:r>
      <w:r>
        <w:rPr>
          <w:sz w:val="20"/>
          <w:vertAlign w:val="baseline"/>
        </w:rPr>
        <w:t>and</w:t>
      </w:r>
      <w:r>
        <w:rPr>
          <w:spacing w:val="-4"/>
          <w:sz w:val="20"/>
          <w:vertAlign w:val="baseline"/>
        </w:rPr>
        <w:t> </w:t>
      </w:r>
      <w:r>
        <w:rPr>
          <w:sz w:val="20"/>
          <w:vertAlign w:val="baseline"/>
        </w:rPr>
        <w:t>Community Services, Canberra, 2001.</w:t>
      </w:r>
    </w:p>
    <w:p>
      <w:pPr>
        <w:spacing w:before="119"/>
        <w:ind w:left="237" w:right="0" w:firstLine="0"/>
        <w:jc w:val="left"/>
        <w:rPr>
          <w:sz w:val="20"/>
        </w:rPr>
      </w:pPr>
      <w:r>
        <w:rPr>
          <w:sz w:val="20"/>
          <w:vertAlign w:val="superscript"/>
        </w:rPr>
        <w:t>34</w:t>
      </w:r>
      <w:r>
        <w:rPr>
          <w:spacing w:val="49"/>
          <w:sz w:val="20"/>
          <w:vertAlign w:val="baseline"/>
        </w:rPr>
        <w:t> </w:t>
      </w:r>
      <w:r>
        <w:rPr>
          <w:sz w:val="20"/>
          <w:vertAlign w:val="baseline"/>
        </w:rPr>
        <w:t>The</w:t>
      </w:r>
      <w:r>
        <w:rPr>
          <w:spacing w:val="-3"/>
          <w:sz w:val="20"/>
          <w:vertAlign w:val="baseline"/>
        </w:rPr>
        <w:t> </w:t>
      </w:r>
      <w:r>
        <w:rPr>
          <w:sz w:val="20"/>
          <w:vertAlign w:val="baseline"/>
        </w:rPr>
        <w:t>2007</w:t>
      </w:r>
      <w:r>
        <w:rPr>
          <w:spacing w:val="-4"/>
          <w:sz w:val="20"/>
          <w:vertAlign w:val="baseline"/>
        </w:rPr>
        <w:t> </w:t>
      </w:r>
      <w:r>
        <w:rPr>
          <w:sz w:val="20"/>
          <w:vertAlign w:val="baseline"/>
        </w:rPr>
        <w:t>Census</w:t>
      </w:r>
      <w:r>
        <w:rPr>
          <w:spacing w:val="-3"/>
          <w:sz w:val="20"/>
          <w:vertAlign w:val="baseline"/>
        </w:rPr>
        <w:t> </w:t>
      </w:r>
      <w:r>
        <w:rPr>
          <w:sz w:val="20"/>
          <w:vertAlign w:val="baseline"/>
        </w:rPr>
        <w:t>outcomes</w:t>
      </w:r>
      <w:r>
        <w:rPr>
          <w:spacing w:val="-3"/>
          <w:sz w:val="20"/>
          <w:vertAlign w:val="baseline"/>
        </w:rPr>
        <w:t> </w:t>
      </w:r>
      <w:r>
        <w:rPr>
          <w:sz w:val="20"/>
          <w:vertAlign w:val="baseline"/>
        </w:rPr>
        <w:t>reveal</w:t>
      </w:r>
      <w:r>
        <w:rPr>
          <w:spacing w:val="-4"/>
          <w:sz w:val="20"/>
          <w:vertAlign w:val="baseline"/>
        </w:rPr>
        <w:t> </w:t>
      </w:r>
      <w:r>
        <w:rPr>
          <w:sz w:val="20"/>
          <w:vertAlign w:val="baseline"/>
        </w:rPr>
        <w:t>that</w:t>
      </w:r>
      <w:r>
        <w:rPr>
          <w:spacing w:val="-3"/>
          <w:sz w:val="20"/>
          <w:vertAlign w:val="baseline"/>
        </w:rPr>
        <w:t> </w:t>
      </w:r>
      <w:r>
        <w:rPr>
          <w:sz w:val="20"/>
          <w:vertAlign w:val="baseline"/>
        </w:rPr>
        <w:t>there</w:t>
      </w:r>
      <w:r>
        <w:rPr>
          <w:spacing w:val="-3"/>
          <w:sz w:val="20"/>
          <w:vertAlign w:val="baseline"/>
        </w:rPr>
        <w:t> </w:t>
      </w:r>
      <w:r>
        <w:rPr>
          <w:sz w:val="20"/>
          <w:vertAlign w:val="baseline"/>
        </w:rPr>
        <w:t>was</w:t>
      </w:r>
      <w:r>
        <w:rPr>
          <w:spacing w:val="-5"/>
          <w:sz w:val="20"/>
          <w:vertAlign w:val="baseline"/>
        </w:rPr>
        <w:t> </w:t>
      </w:r>
      <w:r>
        <w:rPr>
          <w:sz w:val="20"/>
          <w:vertAlign w:val="baseline"/>
        </w:rPr>
        <w:t>a</w:t>
      </w:r>
      <w:r>
        <w:rPr>
          <w:spacing w:val="-3"/>
          <w:sz w:val="20"/>
          <w:vertAlign w:val="baseline"/>
        </w:rPr>
        <w:t> </w:t>
      </w:r>
      <w:r>
        <w:rPr>
          <w:sz w:val="20"/>
          <w:vertAlign w:val="baseline"/>
        </w:rPr>
        <w:t>slight</w:t>
      </w:r>
      <w:r>
        <w:rPr>
          <w:spacing w:val="-3"/>
          <w:sz w:val="20"/>
          <w:vertAlign w:val="baseline"/>
        </w:rPr>
        <w:t> </w:t>
      </w:r>
      <w:r>
        <w:rPr>
          <w:sz w:val="20"/>
          <w:vertAlign w:val="baseline"/>
        </w:rPr>
        <w:t>reduction</w:t>
      </w:r>
      <w:r>
        <w:rPr>
          <w:spacing w:val="-3"/>
          <w:sz w:val="20"/>
          <w:vertAlign w:val="baseline"/>
        </w:rPr>
        <w:t> </w:t>
      </w:r>
      <w:r>
        <w:rPr>
          <w:sz w:val="20"/>
          <w:vertAlign w:val="baseline"/>
        </w:rPr>
        <w:t>at</w:t>
      </w:r>
      <w:r>
        <w:rPr>
          <w:spacing w:val="-4"/>
          <w:sz w:val="20"/>
          <w:vertAlign w:val="baseline"/>
        </w:rPr>
        <w:t> </w:t>
      </w:r>
      <w:r>
        <w:rPr>
          <w:sz w:val="20"/>
          <w:vertAlign w:val="baseline"/>
        </w:rPr>
        <w:t>that</w:t>
      </w:r>
      <w:r>
        <w:rPr>
          <w:spacing w:val="-3"/>
          <w:sz w:val="20"/>
          <w:vertAlign w:val="baseline"/>
        </w:rPr>
        <w:t> </w:t>
      </w:r>
      <w:r>
        <w:rPr>
          <w:sz w:val="20"/>
          <w:vertAlign w:val="baseline"/>
        </w:rPr>
        <w:t>time</w:t>
      </w:r>
      <w:r>
        <w:rPr>
          <w:spacing w:val="-3"/>
          <w:sz w:val="20"/>
          <w:vertAlign w:val="baseline"/>
        </w:rPr>
        <w:t> </w:t>
      </w:r>
      <w:r>
        <w:rPr>
          <w:sz w:val="20"/>
          <w:vertAlign w:val="baseline"/>
        </w:rPr>
        <w:t>–</w:t>
      </w:r>
      <w:r>
        <w:rPr>
          <w:spacing w:val="-4"/>
          <w:sz w:val="20"/>
          <w:vertAlign w:val="baseline"/>
        </w:rPr>
        <w:t> </w:t>
      </w:r>
      <w:r>
        <w:rPr>
          <w:sz w:val="20"/>
          <w:vertAlign w:val="baseline"/>
        </w:rPr>
        <w:t>to</w:t>
      </w:r>
      <w:r>
        <w:rPr>
          <w:spacing w:val="-3"/>
          <w:sz w:val="20"/>
          <w:vertAlign w:val="baseline"/>
        </w:rPr>
        <w:t> </w:t>
      </w:r>
      <w:r>
        <w:rPr>
          <w:spacing w:val="-2"/>
          <w:sz w:val="20"/>
          <w:vertAlign w:val="baseline"/>
        </w:rPr>
        <w:t>54.1%.</w:t>
      </w:r>
    </w:p>
    <w:p>
      <w:pPr>
        <w:spacing w:before="121"/>
        <w:ind w:left="237" w:right="0" w:firstLine="0"/>
        <w:jc w:val="left"/>
        <w:rPr>
          <w:sz w:val="20"/>
        </w:rPr>
      </w:pPr>
      <w:r>
        <w:rPr>
          <w:sz w:val="20"/>
          <w:vertAlign w:val="superscript"/>
        </w:rPr>
        <w:t>35</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11.</w:t>
      </w:r>
    </w:p>
    <w:p>
      <w:pPr>
        <w:spacing w:before="120"/>
        <w:ind w:left="237" w:right="0" w:firstLine="0"/>
        <w:jc w:val="left"/>
        <w:rPr>
          <w:sz w:val="20"/>
        </w:rPr>
      </w:pPr>
      <w:r>
        <w:rPr>
          <w:sz w:val="20"/>
          <w:vertAlign w:val="superscript"/>
        </w:rPr>
        <w:t>36</w:t>
      </w:r>
      <w:r>
        <w:rPr>
          <w:spacing w:val="-4"/>
          <w:sz w:val="20"/>
          <w:vertAlign w:val="baseline"/>
        </w:rPr>
        <w:t> Ibid.</w:t>
      </w:r>
    </w:p>
    <w:p>
      <w:pPr>
        <w:spacing w:after="0"/>
        <w:jc w:val="left"/>
        <w:rPr>
          <w:sz w:val="20"/>
        </w:rPr>
        <w:sectPr>
          <w:pgSz w:w="12240" w:h="15840"/>
          <w:pgMar w:header="0" w:footer="1140" w:top="1360" w:bottom="1340" w:left="1560" w:right="1500"/>
        </w:sectPr>
      </w:pPr>
    </w:p>
    <w:p>
      <w:pPr>
        <w:pStyle w:val="BodyText"/>
        <w:spacing w:before="77"/>
        <w:ind w:left="237" w:right="294"/>
        <w:jc w:val="both"/>
      </w:pPr>
      <w:r>
        <w:rPr/>
        <w:t>consistent with a person’s underlying talents.</w:t>
      </w:r>
      <w:r>
        <w:rPr>
          <w:spacing w:val="40"/>
        </w:rPr>
        <w:t> </w:t>
      </w:r>
      <w:r>
        <w:rPr/>
        <w:t>The existence of other causes for the observed lower employment rates and income among people with a disability</w:t>
      </w:r>
    </w:p>
    <w:p>
      <w:pPr>
        <w:pStyle w:val="ListParagraph"/>
        <w:numPr>
          <w:ilvl w:val="0"/>
          <w:numId w:val="21"/>
        </w:numPr>
        <w:tabs>
          <w:tab w:pos="443" w:val="left" w:leader="none"/>
        </w:tabs>
        <w:spacing w:line="240" w:lineRule="auto" w:before="0" w:after="0"/>
        <w:ind w:left="237" w:right="295" w:firstLine="0"/>
        <w:jc w:val="both"/>
        <w:rPr>
          <w:sz w:val="24"/>
        </w:rPr>
      </w:pPr>
      <w:r>
        <w:rPr>
          <w:sz w:val="24"/>
        </w:rPr>
        <w:t>noted above – means that even achieving “fully accessible” buildings would not be able to fully address this issue.</w:t>
      </w:r>
      <w:r>
        <w:rPr>
          <w:spacing w:val="40"/>
          <w:sz w:val="24"/>
        </w:rPr>
        <w:t> </w:t>
      </w:r>
      <w:r>
        <w:rPr>
          <w:sz w:val="24"/>
        </w:rPr>
        <w:t>However, it is apparent that building access issues are significant factors explaining these employment and income gaps, while the substantial size of the gaps in question between the experience of people with a disability and those of the general population mean that there is room for substantial gains to be made by addressing the underlying factors.</w:t>
      </w:r>
    </w:p>
    <w:p>
      <w:pPr>
        <w:pStyle w:val="BodyText"/>
      </w:pPr>
    </w:p>
    <w:p>
      <w:pPr>
        <w:pStyle w:val="BodyText"/>
        <w:ind w:left="237" w:right="293"/>
        <w:jc w:val="both"/>
      </w:pPr>
      <w:r>
        <w:rPr/>
        <w:t>The likely gains from increased workforce participation due to the implementation of the Premises Standards are inevitably extremely difficult to estimate, given the high degree of uncertainty as to the effectiveness of the Standards in achieving this impact.</w:t>
      </w:r>
      <w:r>
        <w:rPr>
          <w:spacing w:val="40"/>
        </w:rPr>
        <w:t> </w:t>
      </w:r>
      <w:r>
        <w:rPr/>
        <w:t>Frisch has derived an indicative estimate of the potential benefits of increasing the participation of wheelchair users in the workforce.</w:t>
      </w:r>
      <w:r>
        <w:rPr>
          <w:spacing w:val="80"/>
        </w:rPr>
        <w:t> </w:t>
      </w:r>
      <w:r>
        <w:rPr/>
        <w:t>He shows that</w:t>
      </w:r>
      <w:r>
        <w:rPr>
          <w:spacing w:val="40"/>
        </w:rPr>
        <w:t> </w:t>
      </w:r>
      <w:r>
        <w:rPr/>
        <w:t>if the number of wheelchair users participating in the workforce were to rise by 12,000 to 53% (i.e. still considerably below the non-wheelchair user levels), then even on highly conservative assumptions about remuneration levels, this would mean an increase of $300 million per annum in income levels</w:t>
      </w:r>
      <w:r>
        <w:rPr>
          <w:vertAlign w:val="superscript"/>
        </w:rPr>
        <w:t>37</w:t>
      </w:r>
      <w:r>
        <w:rPr>
          <w:vertAlign w:val="baseline"/>
        </w:rPr>
        <w:t>.</w:t>
      </w:r>
      <w:r>
        <w:rPr>
          <w:spacing w:val="40"/>
          <w:vertAlign w:val="baseline"/>
        </w:rPr>
        <w:t> </w:t>
      </w:r>
      <w:r>
        <w:rPr>
          <w:vertAlign w:val="baseline"/>
        </w:rPr>
        <w:t>The effects of such a shift can be considered from a number of viewpoints, as follows:</w:t>
      </w:r>
    </w:p>
    <w:p>
      <w:pPr>
        <w:pStyle w:val="ListParagraph"/>
        <w:numPr>
          <w:ilvl w:val="1"/>
          <w:numId w:val="21"/>
        </w:numPr>
        <w:tabs>
          <w:tab w:pos="958" w:val="left" w:leader="none"/>
        </w:tabs>
        <w:spacing w:line="237" w:lineRule="auto" w:before="123" w:after="0"/>
        <w:ind w:left="951" w:right="294" w:hanging="357"/>
        <w:jc w:val="both"/>
        <w:rPr>
          <w:sz w:val="24"/>
        </w:rPr>
      </w:pPr>
      <w:r>
        <w:rPr>
          <w:sz w:val="24"/>
        </w:rPr>
        <w:t>from the viewpoint of society as a whole, the benefit is equal to $300 million, which is the amount by which national GDP would be increased </w:t>
      </w:r>
      <w:r>
        <w:rPr>
          <w:spacing w:val="-2"/>
          <w:sz w:val="24"/>
        </w:rPr>
        <w:t>annually;</w:t>
      </w:r>
    </w:p>
    <w:p>
      <w:pPr>
        <w:pStyle w:val="ListParagraph"/>
        <w:numPr>
          <w:ilvl w:val="1"/>
          <w:numId w:val="21"/>
        </w:numPr>
        <w:tabs>
          <w:tab w:pos="958" w:val="left" w:leader="none"/>
        </w:tabs>
        <w:spacing w:line="240" w:lineRule="auto" w:before="64" w:after="0"/>
        <w:ind w:left="951" w:right="294" w:hanging="357"/>
        <w:jc w:val="both"/>
        <w:rPr>
          <w:sz w:val="24"/>
        </w:rPr>
      </w:pPr>
      <w:r>
        <w:rPr>
          <w:sz w:val="24"/>
        </w:rPr>
        <w:t>from the viewpoint of the individual wheelchair user, the income gain</w:t>
      </w:r>
      <w:r>
        <w:rPr>
          <w:spacing w:val="40"/>
          <w:sz w:val="24"/>
        </w:rPr>
        <w:t> </w:t>
      </w:r>
      <w:r>
        <w:rPr>
          <w:sz w:val="24"/>
        </w:rPr>
        <w:t>would be equal to the difference between their net wage income (plus any benefits that remained payable) and their current benefit income; and</w:t>
      </w:r>
    </w:p>
    <w:p>
      <w:pPr>
        <w:pStyle w:val="ListParagraph"/>
        <w:numPr>
          <w:ilvl w:val="1"/>
          <w:numId w:val="21"/>
        </w:numPr>
        <w:tabs>
          <w:tab w:pos="958" w:val="left" w:leader="none"/>
        </w:tabs>
        <w:spacing w:line="240" w:lineRule="auto" w:before="117" w:after="0"/>
        <w:ind w:left="957" w:right="295" w:hanging="360"/>
        <w:jc w:val="both"/>
        <w:rPr>
          <w:sz w:val="24"/>
        </w:rPr>
      </w:pPr>
      <w:r>
        <w:rPr>
          <w:sz w:val="24"/>
        </w:rPr>
        <w:t>from the government’s perspective, the budget would reap expenditure savings equal to the reduced allowances payable to the 12,000 newly employed persons, while there would also be revenue gains equal to the tax payable on the wage incomes of this group.</w:t>
      </w:r>
    </w:p>
    <w:p>
      <w:pPr>
        <w:pStyle w:val="BodyText"/>
        <w:spacing w:before="10"/>
        <w:rPr>
          <w:sz w:val="23"/>
        </w:rPr>
      </w:pPr>
    </w:p>
    <w:p>
      <w:pPr>
        <w:pStyle w:val="BodyText"/>
        <w:ind w:left="237" w:right="293"/>
        <w:jc w:val="both"/>
      </w:pPr>
      <w:r>
        <w:rPr/>
        <w:t>Frisch also cites a number of potential additional benefits associated with improved building accessibility.</w:t>
      </w:r>
      <w:r>
        <w:rPr>
          <w:spacing w:val="40"/>
        </w:rPr>
        <w:t> </w:t>
      </w:r>
      <w:r>
        <w:rPr/>
        <w:t>People with vision and hearing impairments and people with ambulant disabilities also have lower than average workforce participation rates and are also likely to benefit from improved access to buildings, as provided under the proposed Premises Standards.</w:t>
      </w:r>
      <w:r>
        <w:rPr>
          <w:spacing w:val="40"/>
        </w:rPr>
        <w:t> </w:t>
      </w:r>
      <w:r>
        <w:rPr/>
        <w:t>This further increases the number of potential beneficiaries and, consequently, the likely economic</w:t>
      </w:r>
      <w:r>
        <w:rPr>
          <w:spacing w:val="-1"/>
        </w:rPr>
        <w:t> </w:t>
      </w:r>
      <w:r>
        <w:rPr/>
        <w:t>benefits</w:t>
      </w:r>
      <w:r>
        <w:rPr>
          <w:spacing w:val="-1"/>
        </w:rPr>
        <w:t> </w:t>
      </w:r>
      <w:r>
        <w:rPr/>
        <w:t>of</w:t>
      </w:r>
      <w:r>
        <w:rPr>
          <w:spacing w:val="-1"/>
        </w:rPr>
        <w:t> </w:t>
      </w:r>
      <w:r>
        <w:rPr/>
        <w:t>improved access.</w:t>
      </w:r>
      <w:r>
        <w:rPr>
          <w:spacing w:val="40"/>
        </w:rPr>
        <w:t> </w:t>
      </w:r>
      <w:r>
        <w:rPr/>
        <w:t>Moreover,</w:t>
      </w:r>
      <w:r>
        <w:rPr>
          <w:spacing w:val="-1"/>
        </w:rPr>
        <w:t> </w:t>
      </w:r>
      <w:r>
        <w:rPr/>
        <w:t>family</w:t>
      </w:r>
      <w:r>
        <w:rPr>
          <w:spacing w:val="-2"/>
        </w:rPr>
        <w:t> </w:t>
      </w:r>
      <w:r>
        <w:rPr/>
        <w:t>members</w:t>
      </w:r>
      <w:r>
        <w:rPr>
          <w:spacing w:val="-2"/>
        </w:rPr>
        <w:t> </w:t>
      </w:r>
      <w:r>
        <w:rPr/>
        <w:t>and</w:t>
      </w:r>
      <w:r>
        <w:rPr>
          <w:spacing w:val="-2"/>
        </w:rPr>
        <w:t> </w:t>
      </w:r>
      <w:r>
        <w:rPr/>
        <w:t>voluntary carers of people with a disability also experience lost productivity and lower workforce participation.</w:t>
      </w:r>
      <w:r>
        <w:rPr>
          <w:spacing w:val="40"/>
        </w:rPr>
        <w:t> </w:t>
      </w:r>
      <w:r>
        <w:rPr/>
        <w:t>Thus, benefits may also be expected to accrue to this group from improved building access.</w:t>
      </w:r>
    </w:p>
    <w:p>
      <w:pPr>
        <w:pStyle w:val="BodyText"/>
        <w:rPr>
          <w:sz w:val="20"/>
        </w:rPr>
      </w:pPr>
    </w:p>
    <w:p>
      <w:pPr>
        <w:pStyle w:val="BodyText"/>
        <w:rPr>
          <w:sz w:val="12"/>
        </w:rPr>
      </w:pPr>
      <w:r>
        <w:rPr/>
        <w:pict>
          <v:rect style="position:absolute;margin-left:89.879997pt;margin-top:8.128759pt;width:144pt;height:.6pt;mso-position-horizontal-relative:page;mso-position-vertical-relative:paragraph;z-index:-15715328;mso-wrap-distance-left:0;mso-wrap-distance-right:0" id="docshape32" filled="true" fillcolor="#000000" stroked="false">
            <v:fill type="solid"/>
            <w10:wrap type="topAndBottom"/>
          </v:rect>
        </w:pict>
      </w:r>
    </w:p>
    <w:p>
      <w:pPr>
        <w:pStyle w:val="BodyText"/>
        <w:spacing w:before="1"/>
        <w:rPr>
          <w:sz w:val="8"/>
        </w:rPr>
      </w:pPr>
    </w:p>
    <w:p>
      <w:pPr>
        <w:spacing w:before="130"/>
        <w:ind w:left="237" w:right="323" w:firstLine="0"/>
        <w:jc w:val="left"/>
        <w:rPr>
          <w:sz w:val="20"/>
        </w:rPr>
      </w:pPr>
      <w:r>
        <w:rPr>
          <w:sz w:val="20"/>
          <w:vertAlign w:val="superscript"/>
        </w:rPr>
        <w:t>37</w:t>
      </w:r>
      <w:r>
        <w:rPr>
          <w:spacing w:val="-3"/>
          <w:sz w:val="20"/>
          <w:vertAlign w:val="baseline"/>
        </w:rPr>
        <w:t> </w:t>
      </w:r>
      <w:r>
        <w:rPr>
          <w:i/>
          <w:sz w:val="20"/>
          <w:vertAlign w:val="baseline"/>
        </w:rPr>
        <w:t>The</w:t>
      </w:r>
      <w:r>
        <w:rPr>
          <w:i/>
          <w:spacing w:val="-3"/>
          <w:sz w:val="20"/>
          <w:vertAlign w:val="baseline"/>
        </w:rPr>
        <w:t> </w:t>
      </w:r>
      <w:r>
        <w:rPr>
          <w:i/>
          <w:sz w:val="20"/>
          <w:vertAlign w:val="baseline"/>
        </w:rPr>
        <w:t>Benefits</w:t>
      </w:r>
      <w:r>
        <w:rPr>
          <w:i/>
          <w:spacing w:val="-3"/>
          <w:sz w:val="20"/>
          <w:vertAlign w:val="baseline"/>
        </w:rPr>
        <w:t> </w:t>
      </w:r>
      <w:r>
        <w:rPr>
          <w:i/>
          <w:sz w:val="20"/>
          <w:vertAlign w:val="baseline"/>
        </w:rPr>
        <w:t>of</w:t>
      </w:r>
      <w:r>
        <w:rPr>
          <w:i/>
          <w:spacing w:val="-3"/>
          <w:sz w:val="20"/>
          <w:vertAlign w:val="baseline"/>
        </w:rPr>
        <w:t> </w:t>
      </w:r>
      <w:r>
        <w:rPr>
          <w:i/>
          <w:sz w:val="20"/>
          <w:vertAlign w:val="baseline"/>
        </w:rPr>
        <w:t>Accessible</w:t>
      </w:r>
      <w:r>
        <w:rPr>
          <w:i/>
          <w:spacing w:val="-3"/>
          <w:sz w:val="20"/>
          <w:vertAlign w:val="baseline"/>
        </w:rPr>
        <w:t> </w:t>
      </w:r>
      <w:r>
        <w:rPr>
          <w:i/>
          <w:sz w:val="20"/>
          <w:vertAlign w:val="baseline"/>
        </w:rPr>
        <w:t>Buildings</w:t>
      </w:r>
      <w:r>
        <w:rPr>
          <w:i/>
          <w:spacing w:val="-2"/>
          <w:sz w:val="20"/>
          <w:vertAlign w:val="baseline"/>
        </w:rPr>
        <w:t> </w:t>
      </w:r>
      <w:r>
        <w:rPr>
          <w:i/>
          <w:sz w:val="20"/>
          <w:vertAlign w:val="baseline"/>
        </w:rPr>
        <w:t>and</w:t>
      </w:r>
      <w:r>
        <w:rPr>
          <w:i/>
          <w:spacing w:val="-3"/>
          <w:sz w:val="20"/>
          <w:vertAlign w:val="baseline"/>
        </w:rPr>
        <w:t> </w:t>
      </w:r>
      <w:r>
        <w:rPr>
          <w:i/>
          <w:sz w:val="20"/>
          <w:vertAlign w:val="baseline"/>
        </w:rPr>
        <w:t>Transport:</w:t>
      </w:r>
      <w:r>
        <w:rPr>
          <w:i/>
          <w:spacing w:val="-5"/>
          <w:sz w:val="20"/>
          <w:vertAlign w:val="baseline"/>
        </w:rPr>
        <w:t> </w:t>
      </w:r>
      <w:r>
        <w:rPr>
          <w:i/>
          <w:sz w:val="20"/>
          <w:vertAlign w:val="baseline"/>
        </w:rPr>
        <w:t>An</w:t>
      </w:r>
      <w:r>
        <w:rPr>
          <w:i/>
          <w:spacing w:val="-3"/>
          <w:sz w:val="20"/>
          <w:vertAlign w:val="baseline"/>
        </w:rPr>
        <w:t> </w:t>
      </w:r>
      <w:r>
        <w:rPr>
          <w:i/>
          <w:sz w:val="20"/>
          <w:vertAlign w:val="baseline"/>
        </w:rPr>
        <w:t>Economist’s</w:t>
      </w:r>
      <w:r>
        <w:rPr>
          <w:i/>
          <w:spacing w:val="-3"/>
          <w:sz w:val="20"/>
          <w:vertAlign w:val="baseline"/>
        </w:rPr>
        <w:t> </w:t>
      </w:r>
      <w:r>
        <w:rPr>
          <w:i/>
          <w:sz w:val="20"/>
          <w:vertAlign w:val="baseline"/>
        </w:rPr>
        <w:t>Approach</w:t>
      </w:r>
      <w:r>
        <w:rPr>
          <w:sz w:val="20"/>
          <w:vertAlign w:val="baseline"/>
        </w:rPr>
        <w:t>,</w:t>
      </w:r>
      <w:r>
        <w:rPr>
          <w:spacing w:val="-3"/>
          <w:sz w:val="20"/>
          <w:vertAlign w:val="baseline"/>
        </w:rPr>
        <w:t> </w:t>
      </w:r>
      <w:r>
        <w:rPr>
          <w:sz w:val="20"/>
          <w:vertAlign w:val="baseline"/>
        </w:rPr>
        <w:t>Dr</w:t>
      </w:r>
      <w:r>
        <w:rPr>
          <w:spacing w:val="-3"/>
          <w:sz w:val="20"/>
          <w:vertAlign w:val="baseline"/>
        </w:rPr>
        <w:t> </w:t>
      </w:r>
      <w:r>
        <w:rPr>
          <w:sz w:val="20"/>
          <w:vertAlign w:val="baseline"/>
        </w:rPr>
        <w:t>Jack</w:t>
      </w:r>
      <w:r>
        <w:rPr>
          <w:spacing w:val="-2"/>
          <w:sz w:val="20"/>
          <w:vertAlign w:val="baseline"/>
        </w:rPr>
        <w:t> </w:t>
      </w:r>
      <w:r>
        <w:rPr>
          <w:sz w:val="20"/>
          <w:vertAlign w:val="baseline"/>
        </w:rPr>
        <w:t>Frisch, p2.</w:t>
      </w:r>
      <w:r>
        <w:rPr>
          <w:spacing w:val="40"/>
          <w:sz w:val="20"/>
          <w:vertAlign w:val="baseline"/>
        </w:rPr>
        <w:t> </w:t>
      </w:r>
      <w:r>
        <w:rPr>
          <w:sz w:val="20"/>
          <w:vertAlign w:val="baseline"/>
        </w:rPr>
        <w:t>The $300 million figure assumes average productivity for the additional wheelchair using workers</w:t>
      </w:r>
      <w:r>
        <w:rPr>
          <w:spacing w:val="-3"/>
          <w:sz w:val="20"/>
          <w:vertAlign w:val="baseline"/>
        </w:rPr>
        <w:t> </w:t>
      </w:r>
      <w:r>
        <w:rPr>
          <w:sz w:val="20"/>
          <w:vertAlign w:val="baseline"/>
        </w:rPr>
        <w:t>of</w:t>
      </w:r>
      <w:r>
        <w:rPr>
          <w:spacing w:val="-3"/>
          <w:sz w:val="20"/>
          <w:vertAlign w:val="baseline"/>
        </w:rPr>
        <w:t> </w:t>
      </w:r>
      <w:r>
        <w:rPr>
          <w:sz w:val="20"/>
          <w:vertAlign w:val="baseline"/>
        </w:rPr>
        <w:t>$25,000</w:t>
      </w:r>
      <w:r>
        <w:rPr>
          <w:spacing w:val="-3"/>
          <w:sz w:val="20"/>
          <w:vertAlign w:val="baseline"/>
        </w:rPr>
        <w:t> </w:t>
      </w:r>
      <w:r>
        <w:rPr>
          <w:sz w:val="20"/>
          <w:vertAlign w:val="baseline"/>
        </w:rPr>
        <w:t>per</w:t>
      </w:r>
      <w:r>
        <w:rPr>
          <w:spacing w:val="-3"/>
          <w:sz w:val="20"/>
          <w:vertAlign w:val="baseline"/>
        </w:rPr>
        <w:t> </w:t>
      </w:r>
      <w:r>
        <w:rPr>
          <w:sz w:val="20"/>
          <w:vertAlign w:val="baseline"/>
        </w:rPr>
        <w:t>annum,</w:t>
      </w:r>
      <w:r>
        <w:rPr>
          <w:spacing w:val="-3"/>
          <w:sz w:val="20"/>
          <w:vertAlign w:val="baseline"/>
        </w:rPr>
        <w:t> </w:t>
      </w:r>
      <w:r>
        <w:rPr>
          <w:sz w:val="20"/>
          <w:vertAlign w:val="baseline"/>
        </w:rPr>
        <w:t>approximately</w:t>
      </w:r>
      <w:r>
        <w:rPr>
          <w:spacing w:val="-3"/>
          <w:sz w:val="20"/>
          <w:vertAlign w:val="baseline"/>
        </w:rPr>
        <w:t> </w:t>
      </w:r>
      <w:r>
        <w:rPr>
          <w:sz w:val="20"/>
          <w:vertAlign w:val="baseline"/>
        </w:rPr>
        <w:t>$10,000</w:t>
      </w:r>
      <w:r>
        <w:rPr>
          <w:spacing w:val="-3"/>
          <w:sz w:val="20"/>
          <w:vertAlign w:val="baseline"/>
        </w:rPr>
        <w:t> </w:t>
      </w:r>
      <w:r>
        <w:rPr>
          <w:sz w:val="20"/>
          <w:vertAlign w:val="baseline"/>
        </w:rPr>
        <w:t>per</w:t>
      </w:r>
      <w:r>
        <w:rPr>
          <w:spacing w:val="-3"/>
          <w:sz w:val="20"/>
          <w:vertAlign w:val="baseline"/>
        </w:rPr>
        <w:t> </w:t>
      </w:r>
      <w:r>
        <w:rPr>
          <w:sz w:val="20"/>
          <w:vertAlign w:val="baseline"/>
        </w:rPr>
        <w:t>annum</w:t>
      </w:r>
      <w:r>
        <w:rPr>
          <w:spacing w:val="-3"/>
          <w:sz w:val="20"/>
          <w:vertAlign w:val="baseline"/>
        </w:rPr>
        <w:t> </w:t>
      </w:r>
      <w:r>
        <w:rPr>
          <w:sz w:val="20"/>
          <w:vertAlign w:val="baseline"/>
        </w:rPr>
        <w:t>below</w:t>
      </w:r>
      <w:r>
        <w:rPr>
          <w:spacing w:val="-3"/>
          <w:sz w:val="20"/>
          <w:vertAlign w:val="baseline"/>
        </w:rPr>
        <w:t> </w:t>
      </w:r>
      <w:r>
        <w:rPr>
          <w:sz w:val="20"/>
          <w:vertAlign w:val="baseline"/>
        </w:rPr>
        <w:t>that</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workforce</w:t>
      </w:r>
      <w:r>
        <w:rPr>
          <w:spacing w:val="-3"/>
          <w:sz w:val="20"/>
          <w:vertAlign w:val="baseline"/>
        </w:rPr>
        <w:t> </w:t>
      </w:r>
      <w:r>
        <w:rPr>
          <w:sz w:val="20"/>
          <w:vertAlign w:val="baseline"/>
        </w:rPr>
        <w:t>as a whole.</w:t>
      </w:r>
    </w:p>
    <w:p>
      <w:pPr>
        <w:spacing w:after="0"/>
        <w:jc w:val="left"/>
        <w:rPr>
          <w:sz w:val="20"/>
        </w:rPr>
        <w:sectPr>
          <w:pgSz w:w="12240" w:h="15840"/>
          <w:pgMar w:header="0" w:footer="1140" w:top="1360" w:bottom="1340" w:left="1560" w:right="1500"/>
        </w:sectPr>
      </w:pPr>
    </w:p>
    <w:p>
      <w:pPr>
        <w:pStyle w:val="Heading5"/>
        <w:spacing w:line="275" w:lineRule="exact" w:before="78"/>
        <w:rPr>
          <w:i/>
        </w:rPr>
      </w:pPr>
      <w:r>
        <w:rPr>
          <w:i/>
        </w:rPr>
        <w:t>Empirical</w:t>
      </w:r>
      <w:r>
        <w:rPr>
          <w:i/>
          <w:spacing w:val="-9"/>
        </w:rPr>
        <w:t> </w:t>
      </w:r>
      <w:r>
        <w:rPr>
          <w:i/>
          <w:spacing w:val="-2"/>
        </w:rPr>
        <w:t>evidence</w:t>
      </w:r>
    </w:p>
    <w:p>
      <w:pPr>
        <w:pStyle w:val="BodyText"/>
        <w:ind w:left="237" w:right="294"/>
        <w:jc w:val="both"/>
      </w:pPr>
      <w:r>
        <w:rPr/>
        <w:t>There are sound theoretical reasons for predicting that improved building accessibility would enhance the employment participation of people with a disability.</w:t>
      </w:r>
      <w:r>
        <w:rPr>
          <w:spacing w:val="40"/>
        </w:rPr>
        <w:t> </w:t>
      </w:r>
      <w:r>
        <w:rPr/>
        <w:t>However, it must be acknowledged that analyses undertaken of previous legislative attempts to improve access to employment do not provide strong empirical backing for this proposition. A number of analysis have been undertaken on the Americans with Disabilities Act (ADA), passed in 1990. The ADA was fundamentally geared to redressing the discrimination that people with a disability experience with regard to their employment opportunities – an area that can also be said to be the main focus of interest (at least with regard to complaints to the AHRC) of the Australian DDA, and therefore of interest to this </w:t>
      </w:r>
      <w:r>
        <w:rPr>
          <w:spacing w:val="-2"/>
        </w:rPr>
        <w:t>analysis.</w:t>
      </w:r>
    </w:p>
    <w:p>
      <w:pPr>
        <w:pStyle w:val="BodyText"/>
        <w:spacing w:before="11"/>
        <w:rPr>
          <w:sz w:val="23"/>
        </w:rPr>
      </w:pPr>
    </w:p>
    <w:p>
      <w:pPr>
        <w:pStyle w:val="BodyText"/>
        <w:ind w:left="237" w:right="294"/>
        <w:jc w:val="both"/>
      </w:pPr>
      <w:r>
        <w:rPr/>
        <w:t>Unfortunately, a rigorous review of the outcomes by Schwochau and Blanck</w:t>
      </w:r>
      <w:r>
        <w:rPr>
          <w:rFonts w:ascii="Times New Roman"/>
          <w:vertAlign w:val="superscript"/>
        </w:rPr>
        <w:t>38</w:t>
      </w:r>
      <w:r>
        <w:rPr>
          <w:rFonts w:ascii="Times New Roman"/>
          <w:vertAlign w:val="baseline"/>
        </w:rPr>
        <w:t> </w:t>
      </w:r>
      <w:r>
        <w:rPr>
          <w:vertAlign w:val="baseline"/>
        </w:rPr>
        <w:t>indicates that the ADA appears to have failed in its aims to increase employment levels among people with a disability. Deleire, writing in the Cato Institute journal, </w:t>
      </w:r>
      <w:r>
        <w:rPr>
          <w:i/>
          <w:vertAlign w:val="baseline"/>
        </w:rPr>
        <w:t>Regulation</w:t>
      </w:r>
      <w:r>
        <w:rPr>
          <w:vertAlign w:val="baseline"/>
        </w:rPr>
        <w:t>, compared the employment rates of men with and without disabilities in</w:t>
      </w:r>
      <w:r>
        <w:rPr>
          <w:spacing w:val="-2"/>
          <w:vertAlign w:val="baseline"/>
        </w:rPr>
        <w:t> </w:t>
      </w:r>
      <w:r>
        <w:rPr>
          <w:vertAlign w:val="baseline"/>
        </w:rPr>
        <w:t>the</w:t>
      </w:r>
      <w:r>
        <w:rPr>
          <w:spacing w:val="-2"/>
          <w:vertAlign w:val="baseline"/>
        </w:rPr>
        <w:t> </w:t>
      </w:r>
      <w:r>
        <w:rPr>
          <w:vertAlign w:val="baseline"/>
        </w:rPr>
        <w:t>periods</w:t>
      </w:r>
      <w:r>
        <w:rPr>
          <w:spacing w:val="-2"/>
          <w:vertAlign w:val="baseline"/>
        </w:rPr>
        <w:t> </w:t>
      </w:r>
      <w:r>
        <w:rPr>
          <w:vertAlign w:val="baseline"/>
        </w:rPr>
        <w:t>1985</w:t>
      </w:r>
      <w:r>
        <w:rPr>
          <w:spacing w:val="-2"/>
          <w:vertAlign w:val="baseline"/>
        </w:rPr>
        <w:t> </w:t>
      </w:r>
      <w:r>
        <w:rPr>
          <w:vertAlign w:val="baseline"/>
        </w:rPr>
        <w:t>-</w:t>
      </w:r>
      <w:r>
        <w:rPr>
          <w:spacing w:val="-2"/>
          <w:vertAlign w:val="baseline"/>
        </w:rPr>
        <w:t> </w:t>
      </w:r>
      <w:r>
        <w:rPr>
          <w:vertAlign w:val="baseline"/>
        </w:rPr>
        <w:t>90</w:t>
      </w:r>
      <w:r>
        <w:rPr>
          <w:spacing w:val="-2"/>
          <w:vertAlign w:val="baseline"/>
        </w:rPr>
        <w:t> </w:t>
      </w:r>
      <w:r>
        <w:rPr>
          <w:vertAlign w:val="baseline"/>
        </w:rPr>
        <w:t>and</w:t>
      </w:r>
      <w:r>
        <w:rPr>
          <w:spacing w:val="-2"/>
          <w:vertAlign w:val="baseline"/>
        </w:rPr>
        <w:t> </w:t>
      </w:r>
      <w:r>
        <w:rPr>
          <w:vertAlign w:val="baseline"/>
        </w:rPr>
        <w:t>1991</w:t>
      </w:r>
      <w:r>
        <w:rPr>
          <w:spacing w:val="-1"/>
          <w:vertAlign w:val="baseline"/>
        </w:rPr>
        <w:t> </w:t>
      </w:r>
      <w:r>
        <w:rPr>
          <w:vertAlign w:val="baseline"/>
        </w:rPr>
        <w:t>-</w:t>
      </w:r>
      <w:r>
        <w:rPr>
          <w:spacing w:val="-1"/>
          <w:vertAlign w:val="baseline"/>
        </w:rPr>
        <w:t> </w:t>
      </w:r>
      <w:r>
        <w:rPr>
          <w:vertAlign w:val="baseline"/>
        </w:rPr>
        <w:t>1995</w:t>
      </w:r>
      <w:r>
        <w:rPr>
          <w:spacing w:val="-1"/>
          <w:vertAlign w:val="baseline"/>
        </w:rPr>
        <w:t> </w:t>
      </w:r>
      <w:r>
        <w:rPr>
          <w:vertAlign w:val="baseline"/>
        </w:rPr>
        <w:t>and</w:t>
      </w:r>
      <w:r>
        <w:rPr>
          <w:spacing w:val="-2"/>
          <w:vertAlign w:val="baseline"/>
        </w:rPr>
        <w:t> </w:t>
      </w:r>
      <w:r>
        <w:rPr>
          <w:vertAlign w:val="baseline"/>
        </w:rPr>
        <w:t>estimated</w:t>
      </w:r>
      <w:r>
        <w:rPr>
          <w:spacing w:val="-2"/>
          <w:vertAlign w:val="baseline"/>
        </w:rPr>
        <w:t> </w:t>
      </w:r>
      <w:r>
        <w:rPr>
          <w:vertAlign w:val="baseline"/>
        </w:rPr>
        <w:t>that</w:t>
      </w:r>
      <w:r>
        <w:rPr>
          <w:spacing w:val="-2"/>
          <w:vertAlign w:val="baseline"/>
        </w:rPr>
        <w:t> </w:t>
      </w:r>
      <w:r>
        <w:rPr>
          <w:vertAlign w:val="baseline"/>
        </w:rPr>
        <w:t>the</w:t>
      </w:r>
      <w:r>
        <w:rPr>
          <w:spacing w:val="-2"/>
          <w:vertAlign w:val="baseline"/>
        </w:rPr>
        <w:t> </w:t>
      </w:r>
      <w:r>
        <w:rPr>
          <w:vertAlign w:val="baseline"/>
        </w:rPr>
        <w:t>employment</w:t>
      </w:r>
      <w:r>
        <w:rPr>
          <w:spacing w:val="-2"/>
          <w:vertAlign w:val="baseline"/>
        </w:rPr>
        <w:t> </w:t>
      </w:r>
      <w:r>
        <w:rPr>
          <w:vertAlign w:val="baseline"/>
        </w:rPr>
        <w:t>rate of men with disabilities had dropped by 7.8%, relative to that of men without disabilities, between these two periods.</w:t>
      </w:r>
      <w:r>
        <w:rPr>
          <w:spacing w:val="40"/>
          <w:vertAlign w:val="baseline"/>
        </w:rPr>
        <w:t> </w:t>
      </w:r>
      <w:r>
        <w:rPr>
          <w:vertAlign w:val="baseline"/>
        </w:rPr>
        <w:t>This relative fall was observed in all age groups, employment categories and disability classes, though it was found to be least pronounced among those with more education, those with a physical disability and older age groups</w:t>
      </w:r>
      <w:r>
        <w:rPr>
          <w:rFonts w:ascii="Times New Roman"/>
          <w:vertAlign w:val="superscript"/>
        </w:rPr>
        <w:t>39</w:t>
      </w:r>
      <w:r>
        <w:rPr>
          <w:vertAlign w:val="baseline"/>
        </w:rPr>
        <w:t>.</w:t>
      </w:r>
    </w:p>
    <w:p>
      <w:pPr>
        <w:pStyle w:val="BodyText"/>
        <w:spacing w:before="11"/>
        <w:rPr>
          <w:sz w:val="23"/>
        </w:rPr>
      </w:pPr>
    </w:p>
    <w:p>
      <w:pPr>
        <w:pStyle w:val="BodyText"/>
        <w:ind w:left="237" w:right="294"/>
        <w:jc w:val="both"/>
      </w:pPr>
      <w:r>
        <w:rPr/>
        <w:t>The most authoritative estimate, that of the National</w:t>
      </w:r>
      <w:r>
        <w:rPr/>
        <w:t> Organization</w:t>
      </w:r>
      <w:r>
        <w:rPr/>
        <w:t> on</w:t>
      </w:r>
      <w:r>
        <w:rPr/>
        <w:t> Disability (Harris</w:t>
      </w:r>
      <w:r>
        <w:rPr>
          <w:vertAlign w:val="superscript"/>
        </w:rPr>
        <w:t>40</w:t>
      </w:r>
      <w:r>
        <w:rPr>
          <w:vertAlign w:val="baseline"/>
        </w:rPr>
        <w:t>), indicated that 29% of individuals with disabilities were employed in the 1998 survey compared with 31% in 1994 and 34% in 1986.</w:t>
      </w:r>
      <w:r>
        <w:rPr>
          <w:spacing w:val="40"/>
          <w:vertAlign w:val="baseline"/>
        </w:rPr>
        <w:t> </w:t>
      </w:r>
      <w:r>
        <w:rPr>
          <w:vertAlign w:val="baseline"/>
        </w:rPr>
        <w:t>However, disaggregation of the data showed substantial variability within sub-groups, with some age groups – especially older women – showing increased employment levels relative to their able-bodied counterparts.</w:t>
      </w:r>
    </w:p>
    <w:p>
      <w:pPr>
        <w:pStyle w:val="BodyText"/>
      </w:pPr>
    </w:p>
    <w:p>
      <w:pPr>
        <w:pStyle w:val="BodyText"/>
        <w:ind w:left="237" w:right="294"/>
        <w:jc w:val="both"/>
      </w:pPr>
      <w:r>
        <w:rPr/>
        <w:t>The above data implies that the ADA</w:t>
      </w:r>
      <w:r>
        <w:rPr/>
        <w:t> has</w:t>
      </w:r>
      <w:r>
        <w:rPr/>
        <w:t> had</w:t>
      </w:r>
      <w:r>
        <w:rPr/>
        <w:t> little</w:t>
      </w:r>
      <w:r>
        <w:rPr/>
        <w:t> or</w:t>
      </w:r>
      <w:r>
        <w:rPr/>
        <w:t> no</w:t>
      </w:r>
      <w:r>
        <w:rPr/>
        <w:t> effect</w:t>
      </w:r>
      <w:r>
        <w:rPr/>
        <w:t> in</w:t>
      </w:r>
      <w:r>
        <w:rPr/>
        <w:t> improving employment levels among people with a disability and has even been associated with</w:t>
      </w:r>
      <w:r>
        <w:rPr/>
        <w:t> apparent</w:t>
      </w:r>
      <w:r>
        <w:rPr/>
        <w:t> declines</w:t>
      </w:r>
      <w:r>
        <w:rPr/>
        <w:t> in</w:t>
      </w:r>
      <w:r>
        <w:rPr/>
        <w:t> such</w:t>
      </w:r>
      <w:r>
        <w:rPr/>
        <w:t> employment.</w:t>
      </w:r>
      <w:r>
        <w:rPr>
          <w:spacing w:val="40"/>
        </w:rPr>
        <w:t> </w:t>
      </w:r>
      <w:r>
        <w:rPr/>
        <w:t>It is difficult to explain the mechanism by which the ADA might result in lower levels of employment among people</w:t>
      </w:r>
      <w:r>
        <w:rPr>
          <w:spacing w:val="65"/>
        </w:rPr>
        <w:t> </w:t>
      </w:r>
      <w:r>
        <w:rPr/>
        <w:t>with</w:t>
      </w:r>
      <w:r>
        <w:rPr>
          <w:spacing w:val="65"/>
        </w:rPr>
        <w:t> </w:t>
      </w:r>
      <w:r>
        <w:rPr/>
        <w:t>a</w:t>
      </w:r>
      <w:r>
        <w:rPr>
          <w:spacing w:val="65"/>
        </w:rPr>
        <w:t> </w:t>
      </w:r>
      <w:r>
        <w:rPr/>
        <w:t>disability.</w:t>
      </w:r>
      <w:r>
        <w:rPr>
          <w:spacing w:val="65"/>
        </w:rPr>
        <w:t> </w:t>
      </w:r>
      <w:r>
        <w:rPr/>
        <w:t>The</w:t>
      </w:r>
      <w:r>
        <w:rPr>
          <w:spacing w:val="66"/>
        </w:rPr>
        <w:t> </w:t>
      </w:r>
      <w:r>
        <w:rPr/>
        <w:t>requirement</w:t>
      </w:r>
      <w:r>
        <w:rPr>
          <w:spacing w:val="68"/>
        </w:rPr>
        <w:t> </w:t>
      </w:r>
      <w:r>
        <w:rPr/>
        <w:t>for</w:t>
      </w:r>
      <w:r>
        <w:rPr>
          <w:spacing w:val="65"/>
        </w:rPr>
        <w:t> </w:t>
      </w:r>
      <w:r>
        <w:rPr/>
        <w:t>more</w:t>
      </w:r>
      <w:r>
        <w:rPr>
          <w:spacing w:val="65"/>
        </w:rPr>
        <w:t> </w:t>
      </w:r>
      <w:r>
        <w:rPr/>
        <w:t>accessible</w:t>
      </w:r>
      <w:r>
        <w:rPr>
          <w:spacing w:val="65"/>
        </w:rPr>
        <w:t> </w:t>
      </w:r>
      <w:r>
        <w:rPr/>
        <w:t>new</w:t>
      </w:r>
      <w:r>
        <w:rPr>
          <w:spacing w:val="66"/>
        </w:rPr>
        <w:t> </w:t>
      </w:r>
      <w:r>
        <w:rPr>
          <w:spacing w:val="-2"/>
        </w:rPr>
        <w:t>buildings</w:t>
      </w:r>
    </w:p>
    <w:p>
      <w:pPr>
        <w:pStyle w:val="BodyText"/>
        <w:rPr>
          <w:sz w:val="20"/>
        </w:rPr>
      </w:pPr>
    </w:p>
    <w:p>
      <w:pPr>
        <w:pStyle w:val="BodyText"/>
        <w:spacing w:before="2"/>
        <w:rPr>
          <w:sz w:val="18"/>
        </w:rPr>
      </w:pPr>
      <w:r>
        <w:rPr/>
        <w:pict>
          <v:rect style="position:absolute;margin-left:89.879997pt;margin-top:11.656986pt;width:144pt;height:.6pt;mso-position-horizontal-relative:page;mso-position-vertical-relative:paragraph;z-index:-15714816;mso-wrap-distance-left:0;mso-wrap-distance-right:0" id="docshape33" filled="true" fillcolor="#000000" stroked="false">
            <v:fill type="solid"/>
            <w10:wrap type="topAndBottom"/>
          </v:rect>
        </w:pict>
      </w:r>
    </w:p>
    <w:p>
      <w:pPr>
        <w:pStyle w:val="BodyText"/>
        <w:spacing w:before="1"/>
        <w:rPr>
          <w:sz w:val="8"/>
        </w:rPr>
      </w:pPr>
    </w:p>
    <w:p>
      <w:pPr>
        <w:spacing w:before="130"/>
        <w:ind w:left="237" w:right="293" w:hanging="1"/>
        <w:jc w:val="both"/>
        <w:rPr>
          <w:sz w:val="20"/>
        </w:rPr>
      </w:pPr>
      <w:r>
        <w:rPr>
          <w:sz w:val="20"/>
          <w:vertAlign w:val="superscript"/>
        </w:rPr>
        <w:t>38</w:t>
      </w:r>
      <w:r>
        <w:rPr>
          <w:sz w:val="20"/>
          <w:vertAlign w:val="baseline"/>
        </w:rPr>
        <w:t> Scwochau S and Blanck P. D., </w:t>
      </w:r>
      <w:r>
        <w:rPr>
          <w:i/>
          <w:sz w:val="20"/>
          <w:vertAlign w:val="baseline"/>
        </w:rPr>
        <w:t>The economics of the Americans with Disabilities Act. Part III:</w:t>
      </w:r>
      <w:r>
        <w:rPr>
          <w:i/>
          <w:sz w:val="20"/>
          <w:vertAlign w:val="baseline"/>
        </w:rPr>
        <w:t> does the ADA disable the disabled?</w:t>
      </w:r>
      <w:r>
        <w:rPr>
          <w:sz w:val="20"/>
          <w:vertAlign w:val="baseline"/>
        </w:rPr>
        <w:t>, Berkley Journal of Employment and Labor Law vol 21 2000 p. 271-313.</w:t>
      </w:r>
    </w:p>
    <w:p>
      <w:pPr>
        <w:spacing w:before="0"/>
        <w:ind w:left="237" w:right="291" w:firstLine="0"/>
        <w:jc w:val="both"/>
        <w:rPr>
          <w:sz w:val="20"/>
        </w:rPr>
      </w:pPr>
      <w:r>
        <w:rPr>
          <w:sz w:val="20"/>
          <w:vertAlign w:val="superscript"/>
        </w:rPr>
        <w:t>39</w:t>
      </w:r>
      <w:r>
        <w:rPr>
          <w:sz w:val="20"/>
          <w:vertAlign w:val="baseline"/>
        </w:rPr>
        <w:t> Thomas DeLeire</w:t>
      </w:r>
      <w:r>
        <w:rPr>
          <w:b/>
          <w:i/>
          <w:sz w:val="20"/>
          <w:vertAlign w:val="baseline"/>
        </w:rPr>
        <w:t>, </w:t>
      </w:r>
      <w:r>
        <w:rPr>
          <w:i/>
          <w:sz w:val="20"/>
          <w:vertAlign w:val="baseline"/>
        </w:rPr>
        <w:t>The Unintended Consequences of the Americans with Disabilities Act,</w:t>
      </w:r>
      <w:r>
        <w:rPr>
          <w:i/>
          <w:sz w:val="20"/>
          <w:vertAlign w:val="baseline"/>
        </w:rPr>
        <w:t> </w:t>
      </w:r>
      <w:r>
        <w:rPr>
          <w:sz w:val="20"/>
          <w:vertAlign w:val="baseline"/>
        </w:rPr>
        <w:t>Regulation, Vol. 23 N. 1 </w:t>
      </w:r>
      <w:hyperlink r:id="rId13">
        <w:r>
          <w:rPr>
            <w:color w:val="0000FF"/>
            <w:sz w:val="20"/>
            <w:u w:val="single" w:color="0000FF"/>
            <w:vertAlign w:val="baseline"/>
          </w:rPr>
          <w:t>http://www.cato.org/pubs/regulation/regv23n1/deleire.pdf</w:t>
        </w:r>
        <w:r>
          <w:rPr>
            <w:sz w:val="20"/>
            <w:vertAlign w:val="baseline"/>
          </w:rPr>
          <w:t>.</w:t>
        </w:r>
      </w:hyperlink>
      <w:r>
        <w:rPr>
          <w:sz w:val="20"/>
          <w:vertAlign w:val="baseline"/>
        </w:rPr>
        <w:t> In 1997, DeLaire</w:t>
      </w:r>
      <w:r>
        <w:rPr>
          <w:spacing w:val="-3"/>
          <w:sz w:val="20"/>
          <w:vertAlign w:val="baseline"/>
        </w:rPr>
        <w:t> </w:t>
      </w:r>
      <w:r>
        <w:rPr>
          <w:sz w:val="20"/>
          <w:vertAlign w:val="baseline"/>
        </w:rPr>
        <w:t>was</w:t>
      </w:r>
      <w:r>
        <w:rPr>
          <w:spacing w:val="-1"/>
          <w:sz w:val="20"/>
          <w:vertAlign w:val="baseline"/>
        </w:rPr>
        <w:t> </w:t>
      </w:r>
      <w:r>
        <w:rPr>
          <w:sz w:val="20"/>
          <w:vertAlign w:val="baseline"/>
        </w:rPr>
        <w:t>awarded</w:t>
      </w:r>
      <w:r>
        <w:rPr>
          <w:spacing w:val="-2"/>
          <w:sz w:val="20"/>
          <w:vertAlign w:val="baseline"/>
        </w:rPr>
        <w:t> </w:t>
      </w:r>
      <w:r>
        <w:rPr>
          <w:sz w:val="20"/>
          <w:vertAlign w:val="baseline"/>
        </w:rPr>
        <w:t>a</w:t>
      </w:r>
      <w:r>
        <w:rPr>
          <w:spacing w:val="-2"/>
          <w:sz w:val="20"/>
          <w:vertAlign w:val="baseline"/>
        </w:rPr>
        <w:t> </w:t>
      </w:r>
      <w:r>
        <w:rPr>
          <w:sz w:val="20"/>
          <w:vertAlign w:val="baseline"/>
        </w:rPr>
        <w:t>PhD</w:t>
      </w:r>
      <w:r>
        <w:rPr>
          <w:spacing w:val="-1"/>
          <w:sz w:val="20"/>
          <w:vertAlign w:val="baseline"/>
        </w:rPr>
        <w:t> </w:t>
      </w:r>
      <w:r>
        <w:rPr>
          <w:sz w:val="20"/>
          <w:vertAlign w:val="baseline"/>
        </w:rPr>
        <w:t>from</w:t>
      </w:r>
      <w:r>
        <w:rPr>
          <w:spacing w:val="-1"/>
          <w:sz w:val="20"/>
          <w:vertAlign w:val="baseline"/>
        </w:rPr>
        <w:t> </w:t>
      </w:r>
      <w:r>
        <w:rPr>
          <w:sz w:val="20"/>
          <w:vertAlign w:val="baseline"/>
        </w:rPr>
        <w:t>Stanford</w:t>
      </w:r>
      <w:r>
        <w:rPr>
          <w:spacing w:val="-1"/>
          <w:sz w:val="20"/>
          <w:vertAlign w:val="baseline"/>
        </w:rPr>
        <w:t> </w:t>
      </w:r>
      <w:r>
        <w:rPr>
          <w:sz w:val="20"/>
          <w:vertAlign w:val="baseline"/>
        </w:rPr>
        <w:t>for</w:t>
      </w:r>
      <w:r>
        <w:rPr>
          <w:spacing w:val="-1"/>
          <w:sz w:val="20"/>
          <w:vertAlign w:val="baseline"/>
        </w:rPr>
        <w:t> </w:t>
      </w:r>
      <w:r>
        <w:rPr>
          <w:sz w:val="20"/>
          <w:vertAlign w:val="baseline"/>
        </w:rPr>
        <w:t>his</w:t>
      </w:r>
      <w:r>
        <w:rPr>
          <w:spacing w:val="-1"/>
          <w:sz w:val="20"/>
          <w:vertAlign w:val="baseline"/>
        </w:rPr>
        <w:t> </w:t>
      </w:r>
      <w:r>
        <w:rPr>
          <w:sz w:val="20"/>
          <w:vertAlign w:val="baseline"/>
        </w:rPr>
        <w:t>thesis</w:t>
      </w:r>
      <w:r>
        <w:rPr>
          <w:spacing w:val="-1"/>
          <w:sz w:val="20"/>
          <w:vertAlign w:val="baseline"/>
        </w:rPr>
        <w:t> </w:t>
      </w:r>
      <w:r>
        <w:rPr>
          <w:sz w:val="20"/>
          <w:vertAlign w:val="baseline"/>
        </w:rPr>
        <w:t>on</w:t>
      </w:r>
      <w:r>
        <w:rPr>
          <w:spacing w:val="-2"/>
          <w:sz w:val="20"/>
          <w:vertAlign w:val="baseline"/>
        </w:rPr>
        <w:t> </w:t>
      </w:r>
      <w:r>
        <w:rPr>
          <w:sz w:val="20"/>
          <w:vertAlign w:val="baseline"/>
        </w:rPr>
        <w:t>Wage</w:t>
      </w:r>
      <w:r>
        <w:rPr>
          <w:spacing w:val="-3"/>
          <w:sz w:val="20"/>
          <w:vertAlign w:val="baseline"/>
        </w:rPr>
        <w:t> </w:t>
      </w:r>
      <w:r>
        <w:rPr>
          <w:sz w:val="20"/>
          <w:vertAlign w:val="baseline"/>
        </w:rPr>
        <w:t>and</w:t>
      </w:r>
      <w:r>
        <w:rPr>
          <w:spacing w:val="-2"/>
          <w:sz w:val="20"/>
          <w:vertAlign w:val="baseline"/>
        </w:rPr>
        <w:t> </w:t>
      </w:r>
      <w:r>
        <w:rPr>
          <w:sz w:val="20"/>
          <w:vertAlign w:val="baseline"/>
        </w:rPr>
        <w:t>Employment</w:t>
      </w:r>
      <w:r>
        <w:rPr>
          <w:spacing w:val="-2"/>
          <w:sz w:val="20"/>
          <w:vertAlign w:val="baseline"/>
        </w:rPr>
        <w:t> </w:t>
      </w:r>
      <w:r>
        <w:rPr>
          <w:sz w:val="20"/>
          <w:vertAlign w:val="baseline"/>
        </w:rPr>
        <w:t>Effects</w:t>
      </w:r>
      <w:r>
        <w:rPr>
          <w:spacing w:val="-2"/>
          <w:sz w:val="20"/>
          <w:vertAlign w:val="baseline"/>
        </w:rPr>
        <w:t> </w:t>
      </w:r>
      <w:r>
        <w:rPr>
          <w:sz w:val="20"/>
          <w:vertAlign w:val="baseline"/>
        </w:rPr>
        <w:t>of</w:t>
      </w:r>
      <w:r>
        <w:rPr>
          <w:spacing w:val="-2"/>
          <w:sz w:val="20"/>
          <w:vertAlign w:val="baseline"/>
        </w:rPr>
        <w:t> </w:t>
      </w:r>
      <w:r>
        <w:rPr>
          <w:sz w:val="20"/>
          <w:vertAlign w:val="baseline"/>
        </w:rPr>
        <w:t>the Americans with Disabilities Act.</w:t>
      </w:r>
    </w:p>
    <w:p>
      <w:pPr>
        <w:spacing w:before="0"/>
        <w:ind w:left="237" w:right="294" w:hanging="1"/>
        <w:jc w:val="both"/>
        <w:rPr>
          <w:sz w:val="20"/>
        </w:rPr>
      </w:pPr>
      <w:r>
        <w:rPr>
          <w:sz w:val="20"/>
          <w:vertAlign w:val="superscript"/>
        </w:rPr>
        <w:t>40</w:t>
      </w:r>
      <w:r>
        <w:rPr>
          <w:sz w:val="20"/>
          <w:vertAlign w:val="baseline"/>
        </w:rPr>
        <w:t> Chartbook on Work and Disability, National Institute on Disability and Rehabilitation, </w:t>
      </w:r>
      <w:hyperlink r:id="rId14">
        <w:r>
          <w:rPr>
            <w:color w:val="0000FF"/>
            <w:spacing w:val="-2"/>
            <w:sz w:val="20"/>
            <w:u w:val="single" w:color="0000FF"/>
            <w:vertAlign w:val="baseline"/>
          </w:rPr>
          <w:t>http://www.infouse.com/disabilitydata/workdisability_2_9.html</w:t>
        </w:r>
      </w:hyperlink>
    </w:p>
    <w:p>
      <w:pPr>
        <w:spacing w:after="0"/>
        <w:jc w:val="both"/>
        <w:rPr>
          <w:sz w:val="20"/>
        </w:rPr>
        <w:sectPr>
          <w:pgSz w:w="12240" w:h="15840"/>
          <w:pgMar w:header="0" w:footer="1140" w:top="1360" w:bottom="1340" w:left="1560" w:right="1500"/>
        </w:sectPr>
      </w:pPr>
    </w:p>
    <w:p>
      <w:pPr>
        <w:pStyle w:val="BodyText"/>
        <w:spacing w:before="77"/>
        <w:ind w:left="237" w:right="294"/>
        <w:jc w:val="both"/>
      </w:pPr>
      <w:r>
        <w:rPr/>
        <w:t>means, even without retro-fitting, the stock of more convenient accommodation increases</w:t>
      </w:r>
      <w:r>
        <w:rPr>
          <w:spacing w:val="-3"/>
        </w:rPr>
        <w:t> </w:t>
      </w:r>
      <w:r>
        <w:rPr/>
        <w:t>year</w:t>
      </w:r>
      <w:r>
        <w:rPr>
          <w:spacing w:val="-3"/>
        </w:rPr>
        <w:t> </w:t>
      </w:r>
      <w:r>
        <w:rPr/>
        <w:t>by</w:t>
      </w:r>
      <w:r>
        <w:rPr>
          <w:spacing w:val="-3"/>
        </w:rPr>
        <w:t> </w:t>
      </w:r>
      <w:r>
        <w:rPr/>
        <w:t>year,</w:t>
      </w:r>
      <w:r>
        <w:rPr>
          <w:spacing w:val="-3"/>
        </w:rPr>
        <w:t> </w:t>
      </w:r>
      <w:r>
        <w:rPr/>
        <w:t>so</w:t>
      </w:r>
      <w:r>
        <w:rPr>
          <w:spacing w:val="-3"/>
        </w:rPr>
        <w:t> </w:t>
      </w:r>
      <w:r>
        <w:rPr/>
        <w:t>that</w:t>
      </w:r>
      <w:r>
        <w:rPr>
          <w:spacing w:val="-3"/>
        </w:rPr>
        <w:t> </w:t>
      </w:r>
      <w:r>
        <w:rPr/>
        <w:t>the</w:t>
      </w:r>
      <w:r>
        <w:rPr>
          <w:spacing w:val="-3"/>
        </w:rPr>
        <w:t> </w:t>
      </w:r>
      <w:r>
        <w:rPr/>
        <w:t>potential</w:t>
      </w:r>
      <w:r>
        <w:rPr>
          <w:spacing w:val="-2"/>
        </w:rPr>
        <w:t> </w:t>
      </w:r>
      <w:r>
        <w:rPr/>
        <w:t>benefits</w:t>
      </w:r>
      <w:r>
        <w:rPr>
          <w:spacing w:val="-2"/>
        </w:rPr>
        <w:t> </w:t>
      </w:r>
      <w:r>
        <w:rPr/>
        <w:t>of</w:t>
      </w:r>
      <w:r>
        <w:rPr>
          <w:spacing w:val="-2"/>
        </w:rPr>
        <w:t> </w:t>
      </w:r>
      <w:r>
        <w:rPr/>
        <w:t>the</w:t>
      </w:r>
      <w:r>
        <w:rPr>
          <w:spacing w:val="-2"/>
        </w:rPr>
        <w:t> </w:t>
      </w:r>
      <w:r>
        <w:rPr/>
        <w:t>legislation</w:t>
      </w:r>
      <w:r>
        <w:rPr>
          <w:spacing w:val="-2"/>
        </w:rPr>
        <w:t> </w:t>
      </w:r>
      <w:r>
        <w:rPr/>
        <w:t>should</w:t>
      </w:r>
      <w:r>
        <w:rPr>
          <w:spacing w:val="-2"/>
        </w:rPr>
        <w:t> </w:t>
      </w:r>
      <w:r>
        <w:rPr/>
        <w:t>also be rising on a continuing basis.</w:t>
      </w:r>
    </w:p>
    <w:p>
      <w:pPr>
        <w:pStyle w:val="BodyText"/>
        <w:spacing w:before="11"/>
        <w:rPr>
          <w:sz w:val="23"/>
        </w:rPr>
      </w:pPr>
    </w:p>
    <w:p>
      <w:pPr>
        <w:pStyle w:val="BodyText"/>
        <w:ind w:left="237" w:right="294"/>
        <w:jc w:val="both"/>
      </w:pPr>
      <w:r>
        <w:rPr/>
        <w:t>There are several possible explanations for the observation of no improvement in the employment participation of people with disabilities following the adoption of the ADA.</w:t>
      </w:r>
      <w:r>
        <w:rPr>
          <w:spacing w:val="40"/>
        </w:rPr>
        <w:t> </w:t>
      </w:r>
      <w:r>
        <w:rPr/>
        <w:t>First, while guidelines have been developed to operationalise the Act’s requirements in relation to premises (similarly to those currently published by the AHRC under the DDA), very few States have adopted these.</w:t>
      </w:r>
    </w:p>
    <w:p>
      <w:pPr>
        <w:pStyle w:val="BodyText"/>
      </w:pPr>
    </w:p>
    <w:p>
      <w:pPr>
        <w:pStyle w:val="BodyText"/>
        <w:ind w:left="237" w:right="295"/>
        <w:jc w:val="both"/>
      </w:pPr>
      <w:r>
        <w:rPr/>
        <w:t>It is also possible that the ADA may have had limited effect due to its inability to address on-going reluctance on the part of employers to hire people who, once hired, may require special and costly facilities in workplaces that would not otherwise be required.</w:t>
      </w:r>
      <w:r>
        <w:rPr>
          <w:spacing w:val="40"/>
        </w:rPr>
        <w:t> </w:t>
      </w:r>
      <w:r>
        <w:rPr/>
        <w:t>Such an effect could exist even if employers were only subjectively of the view that such economic disincentives existed.</w:t>
      </w:r>
    </w:p>
    <w:p>
      <w:pPr>
        <w:pStyle w:val="BodyText"/>
      </w:pPr>
    </w:p>
    <w:p>
      <w:pPr>
        <w:pStyle w:val="BodyText"/>
        <w:ind w:left="237" w:right="293"/>
        <w:jc w:val="both"/>
      </w:pPr>
      <w:r>
        <w:rPr/>
        <w:t>Equally, it is possible that the observed outcome is purely driven by supply of people with a disability seeking work.</w:t>
      </w:r>
      <w:r>
        <w:rPr>
          <w:spacing w:val="80"/>
        </w:rPr>
        <w:t> </w:t>
      </w:r>
      <w:r>
        <w:rPr/>
        <w:t>There is some evidence that a large number of US working age people with a disability do not seek work because their options were only low paying jobs. Indeed, in one study, 80% of those without jobs cited this as the reason</w:t>
      </w:r>
      <w:r>
        <w:rPr>
          <w:vertAlign w:val="superscript"/>
        </w:rPr>
        <w:t>41</w:t>
      </w:r>
      <w:r>
        <w:rPr>
          <w:vertAlign w:val="baseline"/>
        </w:rPr>
        <w:t>. The fact that the minimum wage in Australia</w:t>
      </w:r>
      <w:r>
        <w:rPr>
          <w:spacing w:val="-2"/>
          <w:vertAlign w:val="baseline"/>
        </w:rPr>
        <w:t> </w:t>
      </w:r>
      <w:r>
        <w:rPr>
          <w:vertAlign w:val="baseline"/>
        </w:rPr>
        <w:t>is high</w:t>
      </w:r>
      <w:r>
        <w:rPr>
          <w:spacing w:val="-2"/>
          <w:vertAlign w:val="baseline"/>
        </w:rPr>
        <w:t> </w:t>
      </w:r>
      <w:r>
        <w:rPr>
          <w:vertAlign w:val="baseline"/>
        </w:rPr>
        <w:t>relative</w:t>
      </w:r>
      <w:r>
        <w:rPr>
          <w:spacing w:val="-2"/>
          <w:vertAlign w:val="baseline"/>
        </w:rPr>
        <w:t> </w:t>
      </w:r>
      <w:r>
        <w:rPr>
          <w:vertAlign w:val="baseline"/>
        </w:rPr>
        <w:t>to</w:t>
      </w:r>
      <w:r>
        <w:rPr>
          <w:spacing w:val="-2"/>
          <w:vertAlign w:val="baseline"/>
        </w:rPr>
        <w:t> </w:t>
      </w:r>
      <w:r>
        <w:rPr>
          <w:vertAlign w:val="baseline"/>
        </w:rPr>
        <w:t>average</w:t>
      </w:r>
      <w:r>
        <w:rPr>
          <w:spacing w:val="-2"/>
          <w:vertAlign w:val="baseline"/>
        </w:rPr>
        <w:t> </w:t>
      </w:r>
      <w:r>
        <w:rPr>
          <w:vertAlign w:val="baseline"/>
        </w:rPr>
        <w:t>wages would</w:t>
      </w:r>
      <w:r>
        <w:rPr>
          <w:spacing w:val="-2"/>
          <w:vertAlign w:val="baseline"/>
        </w:rPr>
        <w:t> </w:t>
      </w:r>
      <w:r>
        <w:rPr>
          <w:vertAlign w:val="baseline"/>
        </w:rPr>
        <w:t>diminish</w:t>
      </w:r>
      <w:r>
        <w:rPr>
          <w:spacing w:val="-2"/>
          <w:vertAlign w:val="baseline"/>
        </w:rPr>
        <w:t> </w:t>
      </w:r>
      <w:r>
        <w:rPr>
          <w:vertAlign w:val="baseline"/>
        </w:rPr>
        <w:t>that</w:t>
      </w:r>
      <w:r>
        <w:rPr>
          <w:spacing w:val="-2"/>
          <w:vertAlign w:val="baseline"/>
        </w:rPr>
        <w:t> </w:t>
      </w:r>
      <w:r>
        <w:rPr>
          <w:vertAlign w:val="baseline"/>
        </w:rPr>
        <w:t>disincentive</w:t>
      </w:r>
      <w:r>
        <w:rPr>
          <w:spacing w:val="-2"/>
          <w:vertAlign w:val="baseline"/>
        </w:rPr>
        <w:t> </w:t>
      </w:r>
      <w:r>
        <w:rPr>
          <w:vertAlign w:val="baseline"/>
        </w:rPr>
        <w:t>in</w:t>
      </w:r>
      <w:r>
        <w:rPr>
          <w:spacing w:val="-2"/>
          <w:vertAlign w:val="baseline"/>
        </w:rPr>
        <w:t> </w:t>
      </w:r>
      <w:r>
        <w:rPr>
          <w:vertAlign w:val="baseline"/>
        </w:rPr>
        <w:t>this country and so might mean that the observed effect of improvements in access would be greater than shown in these US studies.</w:t>
      </w:r>
      <w:r>
        <w:rPr>
          <w:spacing w:val="40"/>
          <w:vertAlign w:val="baseline"/>
        </w:rPr>
        <w:t> </w:t>
      </w:r>
      <w:r>
        <w:rPr>
          <w:vertAlign w:val="baseline"/>
        </w:rPr>
        <w:t>On the other hand, Australia’s relatively high minimum wage would result in fewer jobs being made available for the more marginal person interested in becoming employed.</w:t>
      </w:r>
      <w:r>
        <w:rPr>
          <w:spacing w:val="40"/>
          <w:vertAlign w:val="baseline"/>
        </w:rPr>
        <w:t> </w:t>
      </w:r>
      <w:r>
        <w:rPr>
          <w:vertAlign w:val="baseline"/>
        </w:rPr>
        <w:t>This effect might also be intensified for those with disabilities where employment carries additional costs to the employer.</w:t>
      </w:r>
    </w:p>
    <w:p>
      <w:pPr>
        <w:pStyle w:val="BodyText"/>
        <w:spacing w:before="11"/>
        <w:rPr>
          <w:sz w:val="23"/>
        </w:rPr>
      </w:pPr>
    </w:p>
    <w:p>
      <w:pPr>
        <w:pStyle w:val="BodyText"/>
        <w:ind w:left="237" w:right="293"/>
        <w:jc w:val="both"/>
      </w:pPr>
      <w:r>
        <w:rPr/>
        <w:t>In sum, this section has argued that people with a disability experience substantially lower employment and income levels than the general population and that improving building accessibility has the potential to yield substantial economic gains by addressing these employment and income gaps.</w:t>
      </w:r>
      <w:r>
        <w:rPr>
          <w:spacing w:val="40"/>
        </w:rPr>
        <w:t> </w:t>
      </w:r>
      <w:r>
        <w:rPr/>
        <w:t>While these estimates draw from the best available sources, there are considerable uncertainties associated with them and available empirical data does not provide substantial</w:t>
      </w:r>
      <w:r>
        <w:rPr>
          <w:spacing w:val="-1"/>
        </w:rPr>
        <w:t> </w:t>
      </w:r>
      <w:r>
        <w:rPr/>
        <w:t>evidence</w:t>
      </w:r>
      <w:r>
        <w:rPr>
          <w:spacing w:val="-1"/>
        </w:rPr>
        <w:t> </w:t>
      </w:r>
      <w:r>
        <w:rPr/>
        <w:t>of</w:t>
      </w:r>
      <w:r>
        <w:rPr>
          <w:spacing w:val="-1"/>
        </w:rPr>
        <w:t> </w:t>
      </w:r>
      <w:r>
        <w:rPr/>
        <w:t>equivalent</w:t>
      </w:r>
      <w:r>
        <w:rPr>
          <w:spacing w:val="-1"/>
        </w:rPr>
        <w:t> </w:t>
      </w:r>
      <w:r>
        <w:rPr/>
        <w:t>legislation</w:t>
      </w:r>
      <w:r>
        <w:rPr>
          <w:spacing w:val="-2"/>
        </w:rPr>
        <w:t> </w:t>
      </w:r>
      <w:r>
        <w:rPr/>
        <w:t>having</w:t>
      </w:r>
      <w:r>
        <w:rPr>
          <w:spacing w:val="-2"/>
        </w:rPr>
        <w:t> </w:t>
      </w:r>
      <w:r>
        <w:rPr/>
        <w:t>achieved</w:t>
      </w:r>
      <w:r>
        <w:rPr>
          <w:spacing w:val="-2"/>
        </w:rPr>
        <w:t> </w:t>
      </w:r>
      <w:r>
        <w:rPr/>
        <w:t>these</w:t>
      </w:r>
      <w:r>
        <w:rPr>
          <w:spacing w:val="-1"/>
        </w:rPr>
        <w:t> </w:t>
      </w:r>
      <w:r>
        <w:rPr/>
        <w:t>effects</w:t>
      </w:r>
      <w:r>
        <w:rPr>
          <w:spacing w:val="-2"/>
        </w:rPr>
        <w:t> </w:t>
      </w:r>
      <w:r>
        <w:rPr/>
        <w:t>in</w:t>
      </w:r>
      <w:r>
        <w:rPr>
          <w:spacing w:val="-2"/>
        </w:rPr>
        <w:t> </w:t>
      </w:r>
      <w:r>
        <w:rPr/>
        <w:t>the United States (US).</w:t>
      </w:r>
      <w:r>
        <w:rPr>
          <w:spacing w:val="80"/>
        </w:rPr>
        <w:t> </w:t>
      </w:r>
      <w:r>
        <w:rPr/>
        <w:t>However, there may be a number of reasons that are specific to the US context that could account for these observations.</w:t>
      </w:r>
      <w:r>
        <w:rPr>
          <w:spacing w:val="40"/>
        </w:rPr>
        <w:t> </w:t>
      </w:r>
      <w:r>
        <w:rPr/>
        <w:t>It seems clear that a carefully integrated policy environment is a necessary condition for maximising the potential benefits, in terms of improved employment participation, of improved accessibility of buildings.</w:t>
      </w:r>
    </w:p>
    <w:p>
      <w:pPr>
        <w:pStyle w:val="BodyText"/>
      </w:pPr>
    </w:p>
    <w:p>
      <w:pPr>
        <w:pStyle w:val="BodyText"/>
        <w:ind w:left="237" w:right="295"/>
        <w:jc w:val="both"/>
      </w:pPr>
      <w:r>
        <w:rPr/>
        <w:t>In light of the US data discussed above, the Frisch suggestion of a doubling in employment</w:t>
      </w:r>
      <w:r>
        <w:rPr>
          <w:spacing w:val="22"/>
        </w:rPr>
        <w:t> </w:t>
      </w:r>
      <w:r>
        <w:rPr/>
        <w:t>rates</w:t>
      </w:r>
      <w:r>
        <w:rPr>
          <w:spacing w:val="22"/>
        </w:rPr>
        <w:t> </w:t>
      </w:r>
      <w:r>
        <w:rPr/>
        <w:t>for</w:t>
      </w:r>
      <w:r>
        <w:rPr>
          <w:spacing w:val="22"/>
        </w:rPr>
        <w:t> </w:t>
      </w:r>
      <w:r>
        <w:rPr/>
        <w:t>users</w:t>
      </w:r>
      <w:r>
        <w:rPr>
          <w:spacing w:val="22"/>
        </w:rPr>
        <w:t> </w:t>
      </w:r>
      <w:r>
        <w:rPr/>
        <w:t>of</w:t>
      </w:r>
      <w:r>
        <w:rPr>
          <w:spacing w:val="22"/>
        </w:rPr>
        <w:t> </w:t>
      </w:r>
      <w:r>
        <w:rPr/>
        <w:t>wheelchairs</w:t>
      </w:r>
      <w:r>
        <w:rPr>
          <w:spacing w:val="23"/>
        </w:rPr>
        <w:t> </w:t>
      </w:r>
      <w:r>
        <w:rPr/>
        <w:t>would</w:t>
      </w:r>
      <w:r>
        <w:rPr>
          <w:spacing w:val="22"/>
        </w:rPr>
        <w:t> </w:t>
      </w:r>
      <w:r>
        <w:rPr/>
        <w:t>seem</w:t>
      </w:r>
      <w:r>
        <w:rPr>
          <w:spacing w:val="22"/>
        </w:rPr>
        <w:t> </w:t>
      </w:r>
      <w:r>
        <w:rPr/>
        <w:t>to</w:t>
      </w:r>
      <w:r>
        <w:rPr>
          <w:spacing w:val="22"/>
        </w:rPr>
        <w:t> </w:t>
      </w:r>
      <w:r>
        <w:rPr/>
        <w:t>be</w:t>
      </w:r>
      <w:r>
        <w:rPr>
          <w:spacing w:val="22"/>
        </w:rPr>
        <w:t> </w:t>
      </w:r>
      <w:r>
        <w:rPr/>
        <w:t>unduly</w:t>
      </w:r>
      <w:r>
        <w:rPr>
          <w:spacing w:val="22"/>
        </w:rPr>
        <w:t> </w:t>
      </w:r>
      <w:r>
        <w:rPr/>
        <w:t>optimistic.</w:t>
      </w:r>
    </w:p>
    <w:p>
      <w:pPr>
        <w:pStyle w:val="BodyText"/>
        <w:spacing w:before="4"/>
        <w:rPr>
          <w:sz w:val="26"/>
        </w:rPr>
      </w:pPr>
      <w:r>
        <w:rPr/>
        <w:pict>
          <v:rect style="position:absolute;margin-left:89.879997pt;margin-top:16.391464pt;width:144pt;height:.6pt;mso-position-horizontal-relative:page;mso-position-vertical-relative:paragraph;z-index:-15714304;mso-wrap-distance-left:0;mso-wrap-distance-right:0" id="docshape34"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41</w:t>
      </w:r>
      <w:r>
        <w:rPr>
          <w:spacing w:val="-5"/>
          <w:sz w:val="20"/>
          <w:vertAlign w:val="baseline"/>
        </w:rPr>
        <w:t> </w:t>
      </w:r>
      <w:r>
        <w:rPr>
          <w:sz w:val="20"/>
          <w:vertAlign w:val="baseline"/>
        </w:rPr>
        <w:t>See</w:t>
      </w:r>
      <w:r>
        <w:rPr>
          <w:spacing w:val="-4"/>
          <w:sz w:val="20"/>
          <w:vertAlign w:val="baseline"/>
        </w:rPr>
        <w:t> </w:t>
      </w:r>
      <w:r>
        <w:rPr>
          <w:sz w:val="20"/>
          <w:vertAlign w:val="baseline"/>
        </w:rPr>
        <w:t>Schwochau</w:t>
      </w:r>
      <w:r>
        <w:rPr>
          <w:spacing w:val="-5"/>
          <w:sz w:val="20"/>
          <w:vertAlign w:val="baseline"/>
        </w:rPr>
        <w:t> </w:t>
      </w:r>
      <w:r>
        <w:rPr>
          <w:sz w:val="20"/>
          <w:vertAlign w:val="baseline"/>
        </w:rPr>
        <w:t>and</w:t>
      </w:r>
      <w:r>
        <w:rPr>
          <w:spacing w:val="-4"/>
          <w:sz w:val="20"/>
          <w:vertAlign w:val="baseline"/>
        </w:rPr>
        <w:t> </w:t>
      </w:r>
      <w:r>
        <w:rPr>
          <w:sz w:val="20"/>
          <w:vertAlign w:val="baseline"/>
        </w:rPr>
        <w:t>Blanck,</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284.</w:t>
      </w:r>
    </w:p>
    <w:p>
      <w:pPr>
        <w:spacing w:after="0"/>
        <w:jc w:val="left"/>
        <w:rPr>
          <w:sz w:val="20"/>
        </w:rPr>
        <w:sectPr>
          <w:pgSz w:w="12240" w:h="15840"/>
          <w:pgMar w:header="0" w:footer="1140" w:top="1360" w:bottom="1340" w:left="1560" w:right="1500"/>
        </w:sectPr>
      </w:pPr>
    </w:p>
    <w:p>
      <w:pPr>
        <w:pStyle w:val="BodyText"/>
        <w:spacing w:before="77"/>
        <w:ind w:left="237" w:right="294"/>
        <w:jc w:val="both"/>
      </w:pPr>
      <w:r>
        <w:rPr/>
        <w:t>For the purposes of a “base case” scenario, an increase of 50% over the existing participation</w:t>
      </w:r>
      <w:r>
        <w:rPr>
          <w:spacing w:val="-2"/>
        </w:rPr>
        <w:t> </w:t>
      </w:r>
      <w:r>
        <w:rPr/>
        <w:t>rate</w:t>
      </w:r>
      <w:r>
        <w:rPr>
          <w:spacing w:val="-2"/>
        </w:rPr>
        <w:t> </w:t>
      </w:r>
      <w:r>
        <w:rPr/>
        <w:t>is</w:t>
      </w:r>
      <w:r>
        <w:rPr>
          <w:spacing w:val="-2"/>
        </w:rPr>
        <w:t> </w:t>
      </w:r>
      <w:r>
        <w:rPr/>
        <w:t>assumed.</w:t>
      </w:r>
      <w:r>
        <w:rPr>
          <w:spacing w:val="40"/>
        </w:rPr>
        <w:t> </w:t>
      </w:r>
      <w:r>
        <w:rPr/>
        <w:t>Using</w:t>
      </w:r>
      <w:r>
        <w:rPr>
          <w:spacing w:val="-2"/>
        </w:rPr>
        <w:t> </w:t>
      </w:r>
      <w:r>
        <w:rPr/>
        <w:t>Frisch’s</w:t>
      </w:r>
      <w:r>
        <w:rPr>
          <w:spacing w:val="-1"/>
        </w:rPr>
        <w:t> </w:t>
      </w:r>
      <w:r>
        <w:rPr/>
        <w:t>remaining</w:t>
      </w:r>
      <w:r>
        <w:rPr>
          <w:spacing w:val="-1"/>
        </w:rPr>
        <w:t> </w:t>
      </w:r>
      <w:r>
        <w:rPr/>
        <w:t>assumptions,</w:t>
      </w:r>
      <w:r>
        <w:rPr>
          <w:spacing w:val="-1"/>
        </w:rPr>
        <w:t> </w:t>
      </w:r>
      <w:r>
        <w:rPr/>
        <w:t>this</w:t>
      </w:r>
      <w:r>
        <w:rPr>
          <w:spacing w:val="-1"/>
        </w:rPr>
        <w:t> </w:t>
      </w:r>
      <w:r>
        <w:rPr/>
        <w:t>implies benefits to the economy of $150 million per annum. The Frisch estimate of a 100% increase in participation is used as an upper bound scenario, while the lower bound scenario is based on a zero increase, as seen in the United States. To ensure transparency of the assumptions made in this area, we have tested these figures for sensitivity at both optimistic and pessimistic scenarios (refer chapter 10).</w:t>
      </w:r>
    </w:p>
    <w:p>
      <w:pPr>
        <w:pStyle w:val="BodyText"/>
        <w:spacing w:before="1"/>
      </w:pPr>
    </w:p>
    <w:p>
      <w:pPr>
        <w:pStyle w:val="Heading5"/>
        <w:spacing w:line="275" w:lineRule="exact"/>
        <w:rPr>
          <w:i/>
        </w:rPr>
      </w:pPr>
      <w:r>
        <w:rPr>
          <w:i/>
        </w:rPr>
        <w:t>Employment</w:t>
      </w:r>
      <w:r>
        <w:rPr>
          <w:i/>
          <w:spacing w:val="-1"/>
        </w:rPr>
        <w:t> </w:t>
      </w:r>
      <w:r>
        <w:rPr>
          <w:i/>
        </w:rPr>
        <w:t>participation of</w:t>
      </w:r>
      <w:r>
        <w:rPr>
          <w:i/>
          <w:spacing w:val="-1"/>
        </w:rPr>
        <w:t> </w:t>
      </w:r>
      <w:r>
        <w:rPr>
          <w:i/>
        </w:rPr>
        <w:t>primary </w:t>
      </w:r>
      <w:r>
        <w:rPr>
          <w:i/>
          <w:spacing w:val="-2"/>
        </w:rPr>
        <w:t>carers</w:t>
      </w:r>
    </w:p>
    <w:p>
      <w:pPr>
        <w:pStyle w:val="BodyText"/>
        <w:ind w:left="237" w:right="293"/>
        <w:jc w:val="both"/>
      </w:pPr>
      <w:r>
        <w:rPr/>
        <w:t>Improved accessibility of buildings can also be expected to improve the employment participation of primary carers of people with a disability, albeit indirectly. In this context, the expectation is that demands on such carers will be reduced because of the improved access to buildings enjoyed by people with a disability.</w:t>
      </w:r>
      <w:r>
        <w:rPr>
          <w:spacing w:val="-3"/>
        </w:rPr>
        <w:t> </w:t>
      </w:r>
      <w:r>
        <w:rPr/>
        <w:t>This</w:t>
      </w:r>
      <w:r>
        <w:rPr>
          <w:spacing w:val="-3"/>
        </w:rPr>
        <w:t> </w:t>
      </w:r>
      <w:r>
        <w:rPr/>
        <w:t>may</w:t>
      </w:r>
      <w:r>
        <w:rPr>
          <w:spacing w:val="-3"/>
        </w:rPr>
        <w:t> </w:t>
      </w:r>
      <w:r>
        <w:rPr/>
        <w:t>then</w:t>
      </w:r>
      <w:r>
        <w:rPr>
          <w:spacing w:val="-3"/>
        </w:rPr>
        <w:t> </w:t>
      </w:r>
      <w:r>
        <w:rPr/>
        <w:t>increase</w:t>
      </w:r>
      <w:r>
        <w:rPr>
          <w:spacing w:val="-3"/>
        </w:rPr>
        <w:t> </w:t>
      </w:r>
      <w:r>
        <w:rPr/>
        <w:t>the</w:t>
      </w:r>
      <w:r>
        <w:rPr>
          <w:spacing w:val="-3"/>
        </w:rPr>
        <w:t> </w:t>
      </w:r>
      <w:r>
        <w:rPr/>
        <w:t>time</w:t>
      </w:r>
      <w:r>
        <w:rPr>
          <w:spacing w:val="-3"/>
        </w:rPr>
        <w:t> </w:t>
      </w:r>
      <w:r>
        <w:rPr/>
        <w:t>that</w:t>
      </w:r>
      <w:r>
        <w:rPr>
          <w:spacing w:val="-3"/>
        </w:rPr>
        <w:t> </w:t>
      </w:r>
      <w:r>
        <w:rPr/>
        <w:t>carers</w:t>
      </w:r>
      <w:r>
        <w:rPr>
          <w:spacing w:val="-3"/>
        </w:rPr>
        <w:t> </w:t>
      </w:r>
      <w:r>
        <w:rPr/>
        <w:t>have</w:t>
      </w:r>
      <w:r>
        <w:rPr>
          <w:spacing w:val="-3"/>
        </w:rPr>
        <w:t> </w:t>
      </w:r>
      <w:r>
        <w:rPr/>
        <w:t>available</w:t>
      </w:r>
      <w:r>
        <w:rPr>
          <w:spacing w:val="-3"/>
        </w:rPr>
        <w:t> </w:t>
      </w:r>
      <w:r>
        <w:rPr/>
        <w:t>to</w:t>
      </w:r>
      <w:r>
        <w:rPr>
          <w:spacing w:val="-3"/>
        </w:rPr>
        <w:t> </w:t>
      </w:r>
      <w:r>
        <w:rPr/>
        <w:t>engage</w:t>
      </w:r>
      <w:r>
        <w:rPr>
          <w:spacing w:val="-3"/>
        </w:rPr>
        <w:t> </w:t>
      </w:r>
      <w:r>
        <w:rPr/>
        <w:t>in other paid employment.</w:t>
      </w:r>
    </w:p>
    <w:p>
      <w:pPr>
        <w:pStyle w:val="BodyText"/>
        <w:spacing w:before="11"/>
        <w:rPr>
          <w:sz w:val="23"/>
        </w:rPr>
      </w:pPr>
    </w:p>
    <w:p>
      <w:pPr>
        <w:pStyle w:val="BodyText"/>
        <w:ind w:left="237" w:right="296"/>
        <w:jc w:val="both"/>
      </w:pPr>
      <w:r>
        <w:rPr/>
        <w:t>The Productivity Commission, in its Report</w:t>
      </w:r>
      <w:r>
        <w:rPr/>
        <w:t> on</w:t>
      </w:r>
      <w:r>
        <w:rPr/>
        <w:t> the</w:t>
      </w:r>
      <w:r>
        <w:rPr/>
        <w:t> Disability</w:t>
      </w:r>
      <w:r>
        <w:rPr/>
        <w:t> Discrimination</w:t>
      </w:r>
      <w:r>
        <w:rPr/>
        <w:t> Act argued that:</w:t>
      </w:r>
    </w:p>
    <w:p>
      <w:pPr>
        <w:pStyle w:val="BodyText"/>
        <w:spacing w:before="1"/>
      </w:pPr>
    </w:p>
    <w:p>
      <w:pPr>
        <w:spacing w:before="0"/>
        <w:ind w:left="957" w:right="294" w:firstLine="0"/>
        <w:jc w:val="both"/>
        <w:rPr>
          <w:i/>
          <w:sz w:val="24"/>
        </w:rPr>
      </w:pPr>
      <w:r>
        <w:rPr>
          <w:i/>
          <w:sz w:val="24"/>
        </w:rPr>
        <w:t>“…</w:t>
      </w:r>
      <w:r>
        <w:rPr>
          <w:i/>
          <w:sz w:val="24"/>
          <w:u w:val="single"/>
        </w:rPr>
        <w:t>greater</w:t>
      </w:r>
      <w:r>
        <w:rPr>
          <w:i/>
          <w:sz w:val="24"/>
          <w:u w:val="single"/>
        </w:rPr>
        <w:t> employment</w:t>
      </w:r>
      <w:r>
        <w:rPr>
          <w:i/>
          <w:sz w:val="24"/>
          <w:u w:val="single"/>
        </w:rPr>
        <w:t> of</w:t>
      </w:r>
      <w:r>
        <w:rPr>
          <w:i/>
          <w:sz w:val="24"/>
          <w:u w:val="single"/>
        </w:rPr>
        <w:t> people</w:t>
      </w:r>
      <w:r>
        <w:rPr>
          <w:i/>
          <w:sz w:val="24"/>
          <w:u w:val="single"/>
        </w:rPr>
        <w:t> with</w:t>
      </w:r>
      <w:r>
        <w:rPr>
          <w:i/>
          <w:sz w:val="24"/>
          <w:u w:val="single"/>
        </w:rPr>
        <w:t> disabilities</w:t>
      </w:r>
      <w:r>
        <w:rPr>
          <w:i/>
          <w:sz w:val="24"/>
          <w:u w:val="single"/>
        </w:rPr>
        <w:t> might</w:t>
      </w:r>
      <w:r>
        <w:rPr>
          <w:i/>
          <w:sz w:val="24"/>
          <w:u w:val="single"/>
        </w:rPr>
        <w:t> be</w:t>
      </w:r>
      <w:r>
        <w:rPr>
          <w:i/>
          <w:sz w:val="24"/>
          <w:u w:val="single"/>
        </w:rPr>
        <w:t> accompanied</w:t>
      </w:r>
      <w:r>
        <w:rPr>
          <w:i/>
          <w:sz w:val="24"/>
        </w:rPr>
        <w:t> </w:t>
      </w:r>
      <w:r>
        <w:rPr>
          <w:i/>
          <w:sz w:val="24"/>
          <w:u w:val="single"/>
        </w:rPr>
        <w:t>by greater workforce participation by primary carers</w:t>
      </w:r>
      <w:r>
        <w:rPr>
          <w:i/>
          <w:sz w:val="24"/>
        </w:rPr>
        <w:t>.</w:t>
      </w:r>
      <w:r>
        <w:rPr>
          <w:i/>
          <w:spacing w:val="40"/>
          <w:sz w:val="24"/>
        </w:rPr>
        <w:t> </w:t>
      </w:r>
      <w:r>
        <w:rPr>
          <w:i/>
          <w:sz w:val="24"/>
        </w:rPr>
        <w:t>In 1998, the labour force participation rate of primary carers was 59.2 percent, compared with</w:t>
      </w:r>
    </w:p>
    <w:p>
      <w:pPr>
        <w:spacing w:before="0"/>
        <w:ind w:left="957" w:right="294" w:firstLine="0"/>
        <w:jc w:val="both"/>
        <w:rPr>
          <w:i/>
          <w:sz w:val="24"/>
        </w:rPr>
      </w:pPr>
      <w:r>
        <w:rPr>
          <w:i/>
          <w:sz w:val="24"/>
        </w:rPr>
        <w:t>80.1 percent for people without a disability (ABS 1999b). This difference</w:t>
      </w:r>
      <w:r>
        <w:rPr>
          <w:i/>
          <w:sz w:val="24"/>
        </w:rPr>
        <w:t> also suggests that carers also face significant barriers in employment due to the constraints on their time from</w:t>
      </w:r>
      <w:r>
        <w:rPr>
          <w:i/>
          <w:spacing w:val="-3"/>
          <w:sz w:val="24"/>
        </w:rPr>
        <w:t> </w:t>
      </w:r>
      <w:r>
        <w:rPr>
          <w:i/>
          <w:sz w:val="24"/>
        </w:rPr>
        <w:t>caring for persons with disabilities and possibly to discrimination.</w:t>
      </w:r>
      <w:r>
        <w:rPr>
          <w:i/>
          <w:spacing w:val="40"/>
          <w:sz w:val="24"/>
        </w:rPr>
        <w:t> </w:t>
      </w:r>
      <w:r>
        <w:rPr>
          <w:i/>
          <w:sz w:val="24"/>
          <w:u w:val="single"/>
        </w:rPr>
        <w:t>To the extent that the DDA allows greater</w:t>
      </w:r>
      <w:r>
        <w:rPr>
          <w:i/>
          <w:sz w:val="24"/>
        </w:rPr>
        <w:t> </w:t>
      </w:r>
      <w:r>
        <w:rPr>
          <w:i/>
          <w:sz w:val="24"/>
          <w:u w:val="single"/>
        </w:rPr>
        <w:t>employment of people with disabilities, that effect might be compounded</w:t>
      </w:r>
      <w:r>
        <w:rPr>
          <w:i/>
          <w:sz w:val="24"/>
        </w:rPr>
        <w:t> </w:t>
      </w:r>
      <w:r>
        <w:rPr>
          <w:i/>
          <w:sz w:val="24"/>
          <w:u w:val="single"/>
        </w:rPr>
        <w:t>by increased employment of carers as well</w:t>
      </w:r>
      <w:r>
        <w:rPr>
          <w:i/>
          <w:sz w:val="24"/>
        </w:rPr>
        <w:t>”.</w:t>
      </w:r>
    </w:p>
    <w:p>
      <w:pPr>
        <w:pStyle w:val="BodyText"/>
        <w:spacing w:before="9"/>
        <w:rPr>
          <w:i/>
          <w:sz w:val="23"/>
        </w:rPr>
      </w:pPr>
    </w:p>
    <w:p>
      <w:pPr>
        <w:pStyle w:val="BodyText"/>
        <w:spacing w:before="1"/>
        <w:ind w:left="237" w:right="295"/>
        <w:jc w:val="both"/>
      </w:pPr>
      <w:r>
        <w:rPr/>
        <w:t>Thus, it can be anticipated that any substantial impact on employment participation by people with a disability as a result of the Premises Standards, as suggested above, will be accompanied by other positive impacts on employment. It</w:t>
      </w:r>
      <w:r>
        <w:rPr>
          <w:spacing w:val="-1"/>
        </w:rPr>
        <w:t> </w:t>
      </w:r>
      <w:r>
        <w:rPr/>
        <w:t>is</w:t>
      </w:r>
      <w:r>
        <w:rPr>
          <w:spacing w:val="-1"/>
        </w:rPr>
        <w:t> </w:t>
      </w:r>
      <w:r>
        <w:rPr/>
        <w:t>beyond</w:t>
      </w:r>
      <w:r>
        <w:rPr>
          <w:spacing w:val="-1"/>
        </w:rPr>
        <w:t> </w:t>
      </w:r>
      <w:r>
        <w:rPr/>
        <w:t>the</w:t>
      </w:r>
      <w:r>
        <w:rPr>
          <w:spacing w:val="-1"/>
        </w:rPr>
        <w:t> </w:t>
      </w:r>
      <w:r>
        <w:rPr/>
        <w:t>scope</w:t>
      </w:r>
      <w:r>
        <w:rPr>
          <w:spacing w:val="-1"/>
        </w:rPr>
        <w:t> </w:t>
      </w:r>
      <w:r>
        <w:rPr/>
        <w:t>of</w:t>
      </w:r>
      <w:r>
        <w:rPr>
          <w:spacing w:val="-1"/>
        </w:rPr>
        <w:t> </w:t>
      </w:r>
      <w:r>
        <w:rPr/>
        <w:t>the</w:t>
      </w:r>
      <w:r>
        <w:rPr>
          <w:spacing w:val="-1"/>
        </w:rPr>
        <w:t> </w:t>
      </w:r>
      <w:r>
        <w:rPr/>
        <w:t>current</w:t>
      </w:r>
      <w:r>
        <w:rPr>
          <w:spacing w:val="-1"/>
        </w:rPr>
        <w:t> </w:t>
      </w:r>
      <w:r>
        <w:rPr/>
        <w:t>analysis,</w:t>
      </w:r>
      <w:r>
        <w:rPr>
          <w:spacing w:val="-1"/>
        </w:rPr>
        <w:t> </w:t>
      </w:r>
      <w:r>
        <w:rPr/>
        <w:t>however,</w:t>
      </w:r>
      <w:r>
        <w:rPr>
          <w:spacing w:val="-1"/>
        </w:rPr>
        <w:t> </w:t>
      </w:r>
      <w:r>
        <w:rPr/>
        <w:t>to</w:t>
      </w:r>
      <w:r>
        <w:rPr>
          <w:spacing w:val="-1"/>
        </w:rPr>
        <w:t> </w:t>
      </w:r>
      <w:r>
        <w:rPr/>
        <w:t>attempt</w:t>
      </w:r>
      <w:r>
        <w:rPr>
          <w:spacing w:val="-1"/>
        </w:rPr>
        <w:t> </w:t>
      </w:r>
      <w:r>
        <w:rPr/>
        <w:t>to</w:t>
      </w:r>
      <w:r>
        <w:rPr>
          <w:spacing w:val="-1"/>
        </w:rPr>
        <w:t> </w:t>
      </w:r>
      <w:r>
        <w:rPr/>
        <w:t>quantify any such impacts.</w:t>
      </w:r>
    </w:p>
    <w:p>
      <w:pPr>
        <w:pStyle w:val="BodyText"/>
        <w:rPr>
          <w:sz w:val="26"/>
        </w:rPr>
      </w:pPr>
    </w:p>
    <w:p>
      <w:pPr>
        <w:pStyle w:val="Heading3"/>
        <w:numPr>
          <w:ilvl w:val="2"/>
          <w:numId w:val="22"/>
        </w:numPr>
        <w:tabs>
          <w:tab w:pos="958" w:val="left" w:leader="none"/>
        </w:tabs>
        <w:spacing w:line="240" w:lineRule="auto" w:before="220" w:after="0"/>
        <w:ind w:left="957" w:right="0" w:hanging="721"/>
        <w:jc w:val="both"/>
      </w:pPr>
      <w:bookmarkStart w:name="7.6.2 Willingness to pay approach" w:id="66"/>
      <w:bookmarkEnd w:id="66"/>
      <w:r>
        <w:rPr/>
        <w:t>Willingnes</w:t>
      </w:r>
      <w:r>
        <w:rPr/>
        <w:t>s</w:t>
      </w:r>
      <w:r>
        <w:rPr>
          <w:spacing w:val="-6"/>
        </w:rPr>
        <w:t> </w:t>
      </w:r>
      <w:r>
        <w:rPr/>
        <w:t>to</w:t>
      </w:r>
      <w:r>
        <w:rPr>
          <w:spacing w:val="-5"/>
        </w:rPr>
        <w:t> </w:t>
      </w:r>
      <w:r>
        <w:rPr/>
        <w:t>pay</w:t>
      </w:r>
      <w:r>
        <w:rPr>
          <w:spacing w:val="-7"/>
        </w:rPr>
        <w:t> </w:t>
      </w:r>
      <w:r>
        <w:rPr>
          <w:spacing w:val="-2"/>
        </w:rPr>
        <w:t>approach</w:t>
      </w:r>
    </w:p>
    <w:p>
      <w:pPr>
        <w:pStyle w:val="BodyText"/>
        <w:spacing w:before="57"/>
        <w:ind w:left="237" w:right="293"/>
        <w:jc w:val="both"/>
      </w:pPr>
      <w:r>
        <w:rPr/>
        <w:t>A second perspective on the potential economic benefits of the Premises Standards relies on the economic concept of community “willingness to pay”.</w:t>
      </w:r>
      <w:r>
        <w:rPr>
          <w:spacing w:val="40"/>
        </w:rPr>
        <w:t> </w:t>
      </w:r>
      <w:r>
        <w:rPr/>
        <w:t>This is a widely-used evaluation technique of welfare economics which asks how much people would be willing to pay to avoid a particular problem or achieve a particular</w:t>
      </w:r>
      <w:r>
        <w:rPr>
          <w:spacing w:val="-2"/>
        </w:rPr>
        <w:t> </w:t>
      </w:r>
      <w:r>
        <w:rPr/>
        <w:t>outcome</w:t>
      </w:r>
      <w:r>
        <w:rPr>
          <w:spacing w:val="-2"/>
        </w:rPr>
        <w:t> </w:t>
      </w:r>
      <w:r>
        <w:rPr/>
        <w:t>–</w:t>
      </w:r>
      <w:r>
        <w:rPr>
          <w:spacing w:val="-2"/>
        </w:rPr>
        <w:t> </w:t>
      </w:r>
      <w:r>
        <w:rPr/>
        <w:t>in</w:t>
      </w:r>
      <w:r>
        <w:rPr>
          <w:spacing w:val="-2"/>
        </w:rPr>
        <w:t> </w:t>
      </w:r>
      <w:r>
        <w:rPr/>
        <w:t>this</w:t>
      </w:r>
      <w:r>
        <w:rPr>
          <w:spacing w:val="-2"/>
        </w:rPr>
        <w:t> </w:t>
      </w:r>
      <w:r>
        <w:rPr/>
        <w:t>case</w:t>
      </w:r>
      <w:r>
        <w:rPr>
          <w:spacing w:val="-2"/>
        </w:rPr>
        <w:t> </w:t>
      </w:r>
      <w:r>
        <w:rPr/>
        <w:t>accessible</w:t>
      </w:r>
      <w:r>
        <w:rPr>
          <w:spacing w:val="-2"/>
        </w:rPr>
        <w:t> </w:t>
      </w:r>
      <w:r>
        <w:rPr/>
        <w:t>buildings</w:t>
      </w:r>
      <w:r>
        <w:rPr>
          <w:spacing w:val="-2"/>
        </w:rPr>
        <w:t> </w:t>
      </w:r>
      <w:r>
        <w:rPr/>
        <w:t>–</w:t>
      </w:r>
      <w:r>
        <w:rPr>
          <w:spacing w:val="-2"/>
        </w:rPr>
        <w:t> </w:t>
      </w:r>
      <w:r>
        <w:rPr/>
        <w:t>if</w:t>
      </w:r>
      <w:r>
        <w:rPr>
          <w:spacing w:val="-2"/>
        </w:rPr>
        <w:t> </w:t>
      </w:r>
      <w:r>
        <w:rPr/>
        <w:t>they</w:t>
      </w:r>
      <w:r>
        <w:rPr>
          <w:spacing w:val="-2"/>
        </w:rPr>
        <w:t> </w:t>
      </w:r>
      <w:r>
        <w:rPr/>
        <w:t>were</w:t>
      </w:r>
      <w:r>
        <w:rPr>
          <w:spacing w:val="-2"/>
        </w:rPr>
        <w:t> </w:t>
      </w:r>
      <w:r>
        <w:rPr/>
        <w:t>fully</w:t>
      </w:r>
      <w:r>
        <w:rPr>
          <w:spacing w:val="-2"/>
        </w:rPr>
        <w:t> </w:t>
      </w:r>
      <w:r>
        <w:rPr/>
        <w:t>informed of both the probability of their requiring an accessible environment and the costs of an inaccessible environment.</w:t>
      </w:r>
    </w:p>
    <w:p>
      <w:pPr>
        <w:spacing w:after="0"/>
        <w:jc w:val="both"/>
        <w:sectPr>
          <w:pgSz w:w="12240" w:h="15840"/>
          <w:pgMar w:header="0" w:footer="1140" w:top="1360" w:bottom="1340" w:left="1560" w:right="1500"/>
        </w:sectPr>
      </w:pPr>
    </w:p>
    <w:p>
      <w:pPr>
        <w:pStyle w:val="BodyText"/>
        <w:ind w:left="118"/>
        <w:rPr>
          <w:sz w:val="20"/>
        </w:rPr>
      </w:pPr>
      <w:r>
        <w:rPr>
          <w:sz w:val="20"/>
        </w:rPr>
        <w:pict>
          <v:shape style="width:443.7pt;height:209.55pt;mso-position-horizontal-relative:char;mso-position-vertical-relative:line" type="#_x0000_t202" id="docshape35" filled="false" stroked="true" strokeweight=".48pt" strokecolor="#000000">
            <w10:anchorlock/>
            <v:textbox inset="0,0,0,0">
              <w:txbxContent>
                <w:p>
                  <w:pPr>
                    <w:spacing w:before="18"/>
                    <w:ind w:left="109" w:right="0" w:firstLine="0"/>
                    <w:jc w:val="both"/>
                    <w:rPr>
                      <w:b/>
                      <w:sz w:val="24"/>
                    </w:rPr>
                  </w:pPr>
                  <w:r>
                    <w:rPr>
                      <w:b/>
                      <w:sz w:val="24"/>
                    </w:rPr>
                    <w:t>Box</w:t>
                  </w:r>
                  <w:r>
                    <w:rPr>
                      <w:b/>
                      <w:spacing w:val="-4"/>
                      <w:sz w:val="24"/>
                    </w:rPr>
                    <w:t> </w:t>
                  </w:r>
                  <w:r>
                    <w:rPr>
                      <w:b/>
                      <w:sz w:val="24"/>
                    </w:rPr>
                    <w:t>1:</w:t>
                  </w:r>
                  <w:r>
                    <w:rPr>
                      <w:b/>
                      <w:spacing w:val="60"/>
                      <w:sz w:val="24"/>
                    </w:rPr>
                    <w:t> </w:t>
                  </w:r>
                  <w:r>
                    <w:rPr>
                      <w:b/>
                      <w:sz w:val="24"/>
                    </w:rPr>
                    <w:t>Willingness</w:t>
                  </w:r>
                  <w:r>
                    <w:rPr>
                      <w:b/>
                      <w:spacing w:val="-3"/>
                      <w:sz w:val="24"/>
                    </w:rPr>
                    <w:t> </w:t>
                  </w:r>
                  <w:r>
                    <w:rPr>
                      <w:b/>
                      <w:sz w:val="24"/>
                    </w:rPr>
                    <w:t>to</w:t>
                  </w:r>
                  <w:r>
                    <w:rPr>
                      <w:b/>
                      <w:spacing w:val="-3"/>
                      <w:sz w:val="24"/>
                    </w:rPr>
                    <w:t> </w:t>
                  </w:r>
                  <w:r>
                    <w:rPr>
                      <w:b/>
                      <w:sz w:val="24"/>
                    </w:rPr>
                    <w:t>pay</w:t>
                  </w:r>
                  <w:r>
                    <w:rPr>
                      <w:b/>
                      <w:spacing w:val="-6"/>
                      <w:sz w:val="24"/>
                    </w:rPr>
                    <w:t> </w:t>
                  </w:r>
                  <w:r>
                    <w:rPr>
                      <w:b/>
                      <w:sz w:val="24"/>
                    </w:rPr>
                    <w:t>–</w:t>
                  </w:r>
                  <w:r>
                    <w:rPr>
                      <w:b/>
                      <w:spacing w:val="-5"/>
                      <w:sz w:val="24"/>
                    </w:rPr>
                    <w:t> </w:t>
                  </w:r>
                  <w:r>
                    <w:rPr>
                      <w:b/>
                      <w:sz w:val="24"/>
                    </w:rPr>
                    <w:t>methodological</w:t>
                  </w:r>
                  <w:r>
                    <w:rPr>
                      <w:b/>
                      <w:spacing w:val="-3"/>
                      <w:sz w:val="24"/>
                    </w:rPr>
                    <w:t> </w:t>
                  </w:r>
                  <w:r>
                    <w:rPr>
                      <w:b/>
                      <w:spacing w:val="-2"/>
                      <w:sz w:val="24"/>
                    </w:rPr>
                    <w:t>considerations</w:t>
                  </w:r>
                </w:p>
                <w:p>
                  <w:pPr>
                    <w:pStyle w:val="BodyText"/>
                    <w:spacing w:before="10"/>
                    <w:rPr>
                      <w:b/>
                      <w:sz w:val="23"/>
                    </w:rPr>
                  </w:pPr>
                </w:p>
                <w:p>
                  <w:pPr>
                    <w:pStyle w:val="BodyText"/>
                    <w:spacing w:before="1"/>
                    <w:ind w:left="109" w:right="106"/>
                    <w:jc w:val="both"/>
                  </w:pPr>
                  <w:r>
                    <w:rPr/>
                    <w:t>Substantial criticisms of “willingness to pay” approaches to economic valuation have been made.</w:t>
                  </w:r>
                  <w:r>
                    <w:rPr>
                      <w:spacing w:val="40"/>
                    </w:rPr>
                    <w:t> </w:t>
                  </w:r>
                  <w:r>
                    <w:rPr/>
                    <w:t>These are largely based on the construction of many “willingness to pay” studies, in which respondents are asked their willingness to pay in hypothetical circumstances that are often highly artificial in their construction.</w:t>
                  </w:r>
                  <w:r>
                    <w:rPr>
                      <w:spacing w:val="40"/>
                    </w:rPr>
                    <w:t> </w:t>
                  </w:r>
                  <w:r>
                    <w:rPr/>
                    <w:t>The criticisms generally emphasise that respondents have little or no incentive in such circumstances to report accurately their willingness to pay. As a result, highly artificial and often inflated estimates can result.</w:t>
                  </w:r>
                </w:p>
                <w:p>
                  <w:pPr>
                    <w:pStyle w:val="BodyText"/>
                  </w:pPr>
                </w:p>
                <w:p>
                  <w:pPr>
                    <w:pStyle w:val="BodyText"/>
                    <w:ind w:left="109" w:right="106"/>
                    <w:jc w:val="both"/>
                  </w:pPr>
                  <w:r>
                    <w:rPr/>
                    <w:t>The material included in this section of the RIS is not based on this form of “willingness to pay” valuation.</w:t>
                  </w:r>
                  <w:r>
                    <w:rPr>
                      <w:spacing w:val="40"/>
                    </w:rPr>
                    <w:t> </w:t>
                  </w:r>
                  <w:r>
                    <w:rPr/>
                    <w:t>Instead, the potential benefit estimates calculated are derived on a probabilistic basis and represent the sums that a rational, fully informed individual </w:t>
                  </w:r>
                  <w:r>
                    <w:rPr>
                      <w:i/>
                    </w:rPr>
                    <w:t>ought </w:t>
                  </w:r>
                  <w:r>
                    <w:rPr/>
                    <w:t>to be willing to pay in the particular context.</w:t>
                  </w:r>
                  <w:r>
                    <w:rPr>
                      <w:spacing w:val="40"/>
                    </w:rPr>
                    <w:t> </w:t>
                  </w:r>
                  <w:r>
                    <w:rPr/>
                    <w:t>Thus, they are not prone to the subjectivity and potential distortions noted above.</w:t>
                  </w:r>
                </w:p>
              </w:txbxContent>
            </v:textbox>
            <v:stroke dashstyle="solid"/>
          </v:shape>
        </w:pict>
      </w:r>
      <w:r>
        <w:rPr>
          <w:sz w:val="20"/>
        </w:rPr>
      </w:r>
    </w:p>
    <w:p>
      <w:pPr>
        <w:pStyle w:val="BodyText"/>
        <w:spacing w:before="10"/>
        <w:rPr>
          <w:sz w:val="8"/>
        </w:rPr>
      </w:pPr>
    </w:p>
    <w:p>
      <w:pPr>
        <w:pStyle w:val="BodyText"/>
        <w:spacing w:before="130"/>
        <w:ind w:left="237" w:right="294"/>
        <w:jc w:val="both"/>
      </w:pPr>
      <w:r>
        <w:rPr/>
        <w:t>Frisch</w:t>
      </w:r>
      <w:r>
        <w:rPr>
          <w:vertAlign w:val="superscript"/>
        </w:rPr>
        <w:t>42</w:t>
      </w:r>
      <w:r>
        <w:rPr>
          <w:vertAlign w:val="baseline"/>
        </w:rPr>
        <w:t> postulates a “willingness to pay” based valuation that is built on the notion of people “insuring” against the hardships of an accessible environment, were they to acquire a disability.</w:t>
      </w:r>
      <w:r>
        <w:rPr>
          <w:spacing w:val="40"/>
          <w:vertAlign w:val="baseline"/>
        </w:rPr>
        <w:t> </w:t>
      </w:r>
      <w:r>
        <w:rPr>
          <w:vertAlign w:val="baseline"/>
        </w:rPr>
        <w:t>This is based on the formula for a risk neutral individual of:</w:t>
      </w:r>
    </w:p>
    <w:p>
      <w:pPr>
        <w:pStyle w:val="BodyText"/>
        <w:spacing w:before="1"/>
      </w:pPr>
    </w:p>
    <w:p>
      <w:pPr>
        <w:spacing w:before="1"/>
        <w:ind w:left="957" w:right="0" w:firstLine="0"/>
        <w:jc w:val="left"/>
        <w:rPr>
          <w:i/>
          <w:sz w:val="24"/>
        </w:rPr>
      </w:pPr>
      <w:r>
        <w:rPr>
          <w:i/>
          <w:sz w:val="24"/>
        </w:rPr>
        <w:t>Willingness</w:t>
      </w:r>
      <w:r>
        <w:rPr>
          <w:i/>
          <w:spacing w:val="-3"/>
          <w:sz w:val="24"/>
        </w:rPr>
        <w:t> </w:t>
      </w:r>
      <w:r>
        <w:rPr>
          <w:i/>
          <w:sz w:val="24"/>
        </w:rPr>
        <w:t>to</w:t>
      </w:r>
      <w:r>
        <w:rPr>
          <w:i/>
          <w:spacing w:val="-3"/>
          <w:sz w:val="24"/>
        </w:rPr>
        <w:t> </w:t>
      </w:r>
      <w:r>
        <w:rPr>
          <w:i/>
          <w:sz w:val="24"/>
        </w:rPr>
        <w:t>pay</w:t>
      </w:r>
      <w:r>
        <w:rPr>
          <w:i/>
          <w:spacing w:val="-3"/>
          <w:sz w:val="24"/>
        </w:rPr>
        <w:t> </w:t>
      </w:r>
      <w:r>
        <w:rPr>
          <w:i/>
          <w:sz w:val="24"/>
        </w:rPr>
        <w:t>=</w:t>
      </w:r>
      <w:r>
        <w:rPr>
          <w:i/>
          <w:spacing w:val="-3"/>
          <w:sz w:val="24"/>
        </w:rPr>
        <w:t> </w:t>
      </w:r>
      <w:r>
        <w:rPr>
          <w:i/>
          <w:sz w:val="24"/>
        </w:rPr>
        <w:t>probability</w:t>
      </w:r>
      <w:r>
        <w:rPr>
          <w:i/>
          <w:spacing w:val="-3"/>
          <w:sz w:val="24"/>
        </w:rPr>
        <w:t> </w:t>
      </w:r>
      <w:r>
        <w:rPr>
          <w:i/>
          <w:sz w:val="24"/>
        </w:rPr>
        <w:t>of</w:t>
      </w:r>
      <w:r>
        <w:rPr>
          <w:i/>
          <w:spacing w:val="-3"/>
          <w:sz w:val="24"/>
        </w:rPr>
        <w:t> </w:t>
      </w:r>
      <w:r>
        <w:rPr>
          <w:i/>
          <w:sz w:val="24"/>
        </w:rPr>
        <w:t>loss</w:t>
      </w:r>
      <w:r>
        <w:rPr>
          <w:i/>
          <w:spacing w:val="-3"/>
          <w:sz w:val="24"/>
        </w:rPr>
        <w:t> </w:t>
      </w:r>
      <w:r>
        <w:rPr>
          <w:i/>
          <w:sz w:val="24"/>
        </w:rPr>
        <w:t>x</w:t>
      </w:r>
      <w:r>
        <w:rPr>
          <w:i/>
          <w:spacing w:val="-3"/>
          <w:sz w:val="24"/>
        </w:rPr>
        <w:t> </w:t>
      </w:r>
      <w:r>
        <w:rPr>
          <w:i/>
          <w:sz w:val="24"/>
        </w:rPr>
        <w:t>value</w:t>
      </w:r>
      <w:r>
        <w:rPr>
          <w:i/>
          <w:spacing w:val="-2"/>
          <w:sz w:val="24"/>
        </w:rPr>
        <w:t> </w:t>
      </w:r>
      <w:r>
        <w:rPr>
          <w:i/>
          <w:sz w:val="24"/>
        </w:rPr>
        <w:t>of</w:t>
      </w:r>
      <w:r>
        <w:rPr>
          <w:i/>
          <w:spacing w:val="-3"/>
          <w:sz w:val="24"/>
        </w:rPr>
        <w:t> </w:t>
      </w:r>
      <w:r>
        <w:rPr>
          <w:i/>
          <w:sz w:val="24"/>
        </w:rPr>
        <w:t>the</w:t>
      </w:r>
      <w:r>
        <w:rPr>
          <w:i/>
          <w:spacing w:val="-3"/>
          <w:sz w:val="24"/>
        </w:rPr>
        <w:t> </w:t>
      </w:r>
      <w:r>
        <w:rPr>
          <w:i/>
          <w:spacing w:val="-2"/>
          <w:sz w:val="24"/>
        </w:rPr>
        <w:t>loss.</w:t>
      </w:r>
    </w:p>
    <w:p>
      <w:pPr>
        <w:pStyle w:val="BodyText"/>
        <w:spacing w:before="10"/>
        <w:rPr>
          <w:i/>
          <w:sz w:val="23"/>
        </w:rPr>
      </w:pPr>
    </w:p>
    <w:p>
      <w:pPr>
        <w:pStyle w:val="BodyText"/>
        <w:ind w:left="237" w:right="295"/>
        <w:jc w:val="both"/>
      </w:pPr>
      <w:r>
        <w:rPr/>
        <w:t>Given the observation that 0.5% of the population currently use wheelchairs, this is taken as the probability of an individual requiring an accessible environment at some stage of their lives.</w:t>
      </w:r>
      <w:r>
        <w:rPr>
          <w:spacing w:val="40"/>
        </w:rPr>
        <w:t> </w:t>
      </w:r>
      <w:r>
        <w:rPr/>
        <w:t>The average value of the loss experienced due to a disability is estimated at 40% of income, with half of this loss being due to inaccessible environments.</w:t>
      </w:r>
      <w:r>
        <w:rPr>
          <w:spacing w:val="40"/>
        </w:rPr>
        <w:t> </w:t>
      </w:r>
      <w:r>
        <w:rPr/>
        <w:t>Thus, the loss due to an inaccessible environment is estimated at 20% of income.</w:t>
      </w:r>
    </w:p>
    <w:p>
      <w:pPr>
        <w:pStyle w:val="BodyText"/>
        <w:spacing w:before="10"/>
        <w:rPr>
          <w:sz w:val="23"/>
        </w:rPr>
      </w:pPr>
    </w:p>
    <w:p>
      <w:pPr>
        <w:pStyle w:val="BodyText"/>
        <w:ind w:left="237" w:right="294"/>
        <w:jc w:val="both"/>
      </w:pPr>
      <w:r>
        <w:rPr/>
        <w:t>This implies that the average person should be willing to pay 0.1% of their</w:t>
      </w:r>
      <w:r>
        <w:rPr>
          <w:spacing w:val="40"/>
        </w:rPr>
        <w:t> </w:t>
      </w:r>
      <w:r>
        <w:rPr/>
        <w:t>income annually to ensure an accessible environment. Frisch estimates a population of 17 million and an average income of $30,000 and thus derives an aggregate “willingness to pay” valuation for an accessible environment of $510 million per year.</w:t>
      </w:r>
    </w:p>
    <w:p>
      <w:pPr>
        <w:pStyle w:val="BodyText"/>
      </w:pPr>
    </w:p>
    <w:p>
      <w:pPr>
        <w:pStyle w:val="BodyText"/>
        <w:ind w:left="237" w:right="294"/>
        <w:jc w:val="both"/>
      </w:pPr>
      <w:r>
        <w:rPr/>
        <w:t>An alternative estimate could be derived by applying the 0.1% “willingness to</w:t>
      </w:r>
      <w:r>
        <w:rPr>
          <w:spacing w:val="40"/>
        </w:rPr>
        <w:t> </w:t>
      </w:r>
      <w:r>
        <w:rPr/>
        <w:t>pay” figure to annual GDP for Australia as a whole. This yields an annual aggregate willingness to pay of approximately $720 million</w:t>
      </w:r>
      <w:r>
        <w:rPr>
          <w:vertAlign w:val="superscript"/>
        </w:rPr>
        <w:t>43</w:t>
      </w:r>
      <w:r>
        <w:rPr>
          <w:vertAlign w:val="baseline"/>
        </w:rPr>
        <w:t>.</w:t>
      </w:r>
    </w:p>
    <w:p>
      <w:pPr>
        <w:pStyle w:val="BodyText"/>
      </w:pPr>
    </w:p>
    <w:p>
      <w:pPr>
        <w:pStyle w:val="BodyText"/>
        <w:spacing w:before="1"/>
        <w:ind w:left="237" w:right="294"/>
        <w:jc w:val="both"/>
      </w:pPr>
      <w:r>
        <w:rPr/>
        <w:t>Frisch also identifies two factors which suggest the actual willingness to pay would be somewhat higher than these figures suggest.</w:t>
      </w:r>
      <w:r>
        <w:rPr>
          <w:spacing w:val="40"/>
        </w:rPr>
        <w:t> </w:t>
      </w:r>
      <w:r>
        <w:rPr/>
        <w:t>These are that:</w:t>
      </w:r>
    </w:p>
    <w:p>
      <w:pPr>
        <w:pStyle w:val="BodyText"/>
        <w:rPr>
          <w:sz w:val="29"/>
        </w:rPr>
      </w:pPr>
      <w:r>
        <w:rPr/>
        <w:pict>
          <v:rect style="position:absolute;margin-left:89.879997pt;margin-top:17.910761pt;width:144pt;height:.6pt;mso-position-horizontal-relative:page;mso-position-vertical-relative:paragraph;z-index:-15713280;mso-wrap-distance-left:0;mso-wrap-distance-right:0" id="docshape36" filled="true" fillcolor="#000000" stroked="false">
            <v:fill type="solid"/>
            <w10:wrap type="topAndBottom"/>
          </v:rect>
        </w:pict>
      </w:r>
    </w:p>
    <w:p>
      <w:pPr>
        <w:pStyle w:val="BodyText"/>
        <w:spacing w:before="1"/>
        <w:rPr>
          <w:sz w:val="8"/>
        </w:rPr>
      </w:pPr>
    </w:p>
    <w:p>
      <w:pPr>
        <w:spacing w:before="130"/>
        <w:ind w:left="237" w:right="0" w:firstLine="0"/>
        <w:jc w:val="left"/>
        <w:rPr>
          <w:sz w:val="20"/>
        </w:rPr>
      </w:pPr>
      <w:r>
        <w:rPr>
          <w:sz w:val="20"/>
          <w:vertAlign w:val="superscript"/>
        </w:rPr>
        <w:t>42</w:t>
      </w:r>
      <w:r>
        <w:rPr>
          <w:spacing w:val="-3"/>
          <w:sz w:val="20"/>
          <w:vertAlign w:val="baseline"/>
        </w:rPr>
        <w:t> </w:t>
      </w:r>
      <w:r>
        <w:rPr>
          <w:i/>
          <w:sz w:val="20"/>
          <w:vertAlign w:val="baseline"/>
        </w:rPr>
        <w:t>The</w:t>
      </w:r>
      <w:r>
        <w:rPr>
          <w:i/>
          <w:spacing w:val="-3"/>
          <w:sz w:val="20"/>
          <w:vertAlign w:val="baseline"/>
        </w:rPr>
        <w:t> </w:t>
      </w:r>
      <w:r>
        <w:rPr>
          <w:i/>
          <w:sz w:val="20"/>
          <w:vertAlign w:val="baseline"/>
        </w:rPr>
        <w:t>Benefits</w:t>
      </w:r>
      <w:r>
        <w:rPr>
          <w:i/>
          <w:spacing w:val="-3"/>
          <w:sz w:val="20"/>
          <w:vertAlign w:val="baseline"/>
        </w:rPr>
        <w:t> </w:t>
      </w:r>
      <w:r>
        <w:rPr>
          <w:i/>
          <w:sz w:val="20"/>
          <w:vertAlign w:val="baseline"/>
        </w:rPr>
        <w:t>of</w:t>
      </w:r>
      <w:r>
        <w:rPr>
          <w:i/>
          <w:spacing w:val="-3"/>
          <w:sz w:val="20"/>
          <w:vertAlign w:val="baseline"/>
        </w:rPr>
        <w:t> </w:t>
      </w:r>
      <w:r>
        <w:rPr>
          <w:i/>
          <w:sz w:val="20"/>
          <w:vertAlign w:val="baseline"/>
        </w:rPr>
        <w:t>Accessible</w:t>
      </w:r>
      <w:r>
        <w:rPr>
          <w:i/>
          <w:spacing w:val="-3"/>
          <w:sz w:val="20"/>
          <w:vertAlign w:val="baseline"/>
        </w:rPr>
        <w:t> </w:t>
      </w:r>
      <w:r>
        <w:rPr>
          <w:i/>
          <w:sz w:val="20"/>
          <w:vertAlign w:val="baseline"/>
        </w:rPr>
        <w:t>Buildings</w:t>
      </w:r>
      <w:r>
        <w:rPr>
          <w:i/>
          <w:spacing w:val="-2"/>
          <w:sz w:val="20"/>
          <w:vertAlign w:val="baseline"/>
        </w:rPr>
        <w:t> </w:t>
      </w:r>
      <w:r>
        <w:rPr>
          <w:i/>
          <w:sz w:val="20"/>
          <w:vertAlign w:val="baseline"/>
        </w:rPr>
        <w:t>and</w:t>
      </w:r>
      <w:r>
        <w:rPr>
          <w:i/>
          <w:spacing w:val="-3"/>
          <w:sz w:val="20"/>
          <w:vertAlign w:val="baseline"/>
        </w:rPr>
        <w:t> </w:t>
      </w:r>
      <w:r>
        <w:rPr>
          <w:i/>
          <w:sz w:val="20"/>
          <w:vertAlign w:val="baseline"/>
        </w:rPr>
        <w:t>Transport</w:t>
      </w:r>
      <w:r>
        <w:rPr>
          <w:sz w:val="20"/>
          <w:vertAlign w:val="baseline"/>
        </w:rPr>
        <w:t>.</w:t>
      </w:r>
      <w:r>
        <w:rPr>
          <w:spacing w:val="48"/>
          <w:sz w:val="20"/>
          <w:vertAlign w:val="baseline"/>
        </w:rPr>
        <w:t> </w:t>
      </w:r>
      <w:r>
        <w:rPr>
          <w:sz w:val="20"/>
          <w:vertAlign w:val="baseline"/>
        </w:rPr>
        <w:t>Dr</w:t>
      </w:r>
      <w:r>
        <w:rPr>
          <w:spacing w:val="-3"/>
          <w:sz w:val="20"/>
          <w:vertAlign w:val="baseline"/>
        </w:rPr>
        <w:t> </w:t>
      </w:r>
      <w:r>
        <w:rPr>
          <w:sz w:val="20"/>
          <w:vertAlign w:val="baseline"/>
        </w:rPr>
        <w:t>Jack</w:t>
      </w:r>
      <w:r>
        <w:rPr>
          <w:spacing w:val="-2"/>
          <w:sz w:val="20"/>
          <w:vertAlign w:val="baseline"/>
        </w:rPr>
        <w:t> </w:t>
      </w:r>
      <w:r>
        <w:rPr>
          <w:sz w:val="20"/>
          <w:vertAlign w:val="baseline"/>
        </w:rPr>
        <w:t>Frisch,</w:t>
      </w:r>
      <w:r>
        <w:rPr>
          <w:spacing w:val="-3"/>
          <w:sz w:val="20"/>
          <w:vertAlign w:val="baseline"/>
        </w:rPr>
        <w:t> </w:t>
      </w:r>
      <w:r>
        <w:rPr>
          <w:sz w:val="20"/>
          <w:vertAlign w:val="baseline"/>
        </w:rPr>
        <w:t>pp</w:t>
      </w:r>
      <w:r>
        <w:rPr>
          <w:spacing w:val="-3"/>
          <w:sz w:val="20"/>
          <w:vertAlign w:val="baseline"/>
        </w:rPr>
        <w:t> </w:t>
      </w:r>
      <w:r>
        <w:rPr>
          <w:sz w:val="20"/>
          <w:vertAlign w:val="baseline"/>
        </w:rPr>
        <w:t>1-</w:t>
      </w:r>
      <w:r>
        <w:rPr>
          <w:spacing w:val="-5"/>
          <w:sz w:val="20"/>
          <w:vertAlign w:val="baseline"/>
        </w:rPr>
        <w:t>2.</w:t>
      </w:r>
    </w:p>
    <w:p>
      <w:pPr>
        <w:spacing w:before="0"/>
        <w:ind w:left="237" w:right="774" w:firstLine="0"/>
        <w:jc w:val="left"/>
        <w:rPr>
          <w:sz w:val="20"/>
        </w:rPr>
      </w:pPr>
      <w:r>
        <w:rPr>
          <w:sz w:val="20"/>
          <w:vertAlign w:val="superscript"/>
        </w:rPr>
        <w:t>43</w:t>
      </w:r>
      <w:r>
        <w:rPr>
          <w:spacing w:val="-3"/>
          <w:sz w:val="20"/>
          <w:vertAlign w:val="baseline"/>
        </w:rPr>
        <w:t> </w:t>
      </w:r>
      <w:r>
        <w:rPr>
          <w:sz w:val="20"/>
          <w:vertAlign w:val="baseline"/>
        </w:rPr>
        <w:t>Based</w:t>
      </w:r>
      <w:r>
        <w:rPr>
          <w:spacing w:val="-3"/>
          <w:sz w:val="20"/>
          <w:vertAlign w:val="baseline"/>
        </w:rPr>
        <w:t> </w:t>
      </w:r>
      <w:r>
        <w:rPr>
          <w:sz w:val="20"/>
          <w:vertAlign w:val="baseline"/>
        </w:rPr>
        <w:t>on</w:t>
      </w:r>
      <w:r>
        <w:rPr>
          <w:spacing w:val="-3"/>
          <w:sz w:val="20"/>
          <w:vertAlign w:val="baseline"/>
        </w:rPr>
        <w:t> </w:t>
      </w:r>
      <w:r>
        <w:rPr>
          <w:sz w:val="20"/>
          <w:vertAlign w:val="baseline"/>
        </w:rPr>
        <w:t>extrapolation</w:t>
      </w:r>
      <w:r>
        <w:rPr>
          <w:spacing w:val="-3"/>
          <w:sz w:val="20"/>
          <w:vertAlign w:val="baseline"/>
        </w:rPr>
        <w:t> </w:t>
      </w:r>
      <w:r>
        <w:rPr>
          <w:sz w:val="20"/>
          <w:vertAlign w:val="baseline"/>
        </w:rPr>
        <w:t>of</w:t>
      </w:r>
      <w:r>
        <w:rPr>
          <w:spacing w:val="-3"/>
          <w:sz w:val="20"/>
          <w:vertAlign w:val="baseline"/>
        </w:rPr>
        <w:t> </w:t>
      </w:r>
      <w:r>
        <w:rPr>
          <w:sz w:val="20"/>
          <w:vertAlign w:val="baseline"/>
        </w:rPr>
        <w:t>March</w:t>
      </w:r>
      <w:r>
        <w:rPr>
          <w:spacing w:val="-3"/>
          <w:sz w:val="20"/>
          <w:vertAlign w:val="baseline"/>
        </w:rPr>
        <w:t> </w:t>
      </w:r>
      <w:r>
        <w:rPr>
          <w:sz w:val="20"/>
          <w:vertAlign w:val="baseline"/>
        </w:rPr>
        <w:t>quarter</w:t>
      </w:r>
      <w:r>
        <w:rPr>
          <w:spacing w:val="-2"/>
          <w:sz w:val="20"/>
          <w:vertAlign w:val="baseline"/>
        </w:rPr>
        <w:t> </w:t>
      </w:r>
      <w:r>
        <w:rPr>
          <w:sz w:val="20"/>
          <w:vertAlign w:val="baseline"/>
        </w:rPr>
        <w:t>2003</w:t>
      </w:r>
      <w:r>
        <w:rPr>
          <w:spacing w:val="-4"/>
          <w:sz w:val="20"/>
          <w:vertAlign w:val="baseline"/>
        </w:rPr>
        <w:t> </w:t>
      </w:r>
      <w:r>
        <w:rPr>
          <w:sz w:val="20"/>
          <w:vertAlign w:val="baseline"/>
        </w:rPr>
        <w:t>GDP</w:t>
      </w:r>
      <w:r>
        <w:rPr>
          <w:spacing w:val="-3"/>
          <w:sz w:val="20"/>
          <w:vertAlign w:val="baseline"/>
        </w:rPr>
        <w:t> </w:t>
      </w:r>
      <w:r>
        <w:rPr>
          <w:sz w:val="20"/>
          <w:vertAlign w:val="baseline"/>
        </w:rPr>
        <w:t>total</w:t>
      </w:r>
      <w:r>
        <w:rPr>
          <w:spacing w:val="-3"/>
          <w:sz w:val="20"/>
          <w:vertAlign w:val="baseline"/>
        </w:rPr>
        <w:t> </w:t>
      </w:r>
      <w:r>
        <w:rPr>
          <w:sz w:val="20"/>
          <w:vertAlign w:val="baseline"/>
        </w:rPr>
        <w:t>of</w:t>
      </w:r>
      <w:r>
        <w:rPr>
          <w:spacing w:val="-3"/>
          <w:sz w:val="20"/>
          <w:vertAlign w:val="baseline"/>
        </w:rPr>
        <w:t> </w:t>
      </w:r>
      <w:r>
        <w:rPr>
          <w:sz w:val="20"/>
          <w:vertAlign w:val="baseline"/>
        </w:rPr>
        <w:t>$179.4</w:t>
      </w:r>
      <w:r>
        <w:rPr>
          <w:spacing w:val="-3"/>
          <w:sz w:val="20"/>
          <w:vertAlign w:val="baseline"/>
        </w:rPr>
        <w:t> </w:t>
      </w:r>
      <w:r>
        <w:rPr>
          <w:sz w:val="20"/>
          <w:vertAlign w:val="baseline"/>
        </w:rPr>
        <w:t>billion.</w:t>
      </w:r>
      <w:r>
        <w:rPr>
          <w:spacing w:val="40"/>
          <w:sz w:val="20"/>
          <w:vertAlign w:val="baseline"/>
        </w:rPr>
        <w:t> </w:t>
      </w:r>
      <w:r>
        <w:rPr>
          <w:sz w:val="20"/>
          <w:vertAlign w:val="baseline"/>
        </w:rPr>
        <w:t>See</w:t>
      </w:r>
      <w:r>
        <w:rPr>
          <w:spacing w:val="-3"/>
          <w:sz w:val="20"/>
          <w:vertAlign w:val="baseline"/>
        </w:rPr>
        <w:t> </w:t>
      </w:r>
      <w:r>
        <w:rPr>
          <w:sz w:val="20"/>
          <w:vertAlign w:val="baseline"/>
        </w:rPr>
        <w:t>ABS</w:t>
      </w:r>
      <w:r>
        <w:rPr>
          <w:spacing w:val="-3"/>
          <w:sz w:val="20"/>
          <w:vertAlign w:val="baseline"/>
        </w:rPr>
        <w:t> </w:t>
      </w:r>
      <w:r>
        <w:rPr>
          <w:sz w:val="20"/>
          <w:vertAlign w:val="baseline"/>
        </w:rPr>
        <w:t>Cat. </w:t>
      </w:r>
      <w:r>
        <w:rPr>
          <w:spacing w:val="-2"/>
          <w:sz w:val="20"/>
          <w:vertAlign w:val="baseline"/>
        </w:rPr>
        <w:t>5206.0.</w:t>
      </w:r>
    </w:p>
    <w:p>
      <w:pPr>
        <w:spacing w:after="0"/>
        <w:jc w:val="left"/>
        <w:rPr>
          <w:sz w:val="20"/>
        </w:rPr>
        <w:sectPr>
          <w:pgSz w:w="12240" w:h="15840"/>
          <w:pgMar w:header="0" w:footer="1140" w:top="1440" w:bottom="1340" w:left="1560" w:right="1500"/>
        </w:sectPr>
      </w:pPr>
    </w:p>
    <w:p>
      <w:pPr>
        <w:pStyle w:val="ListParagraph"/>
        <w:numPr>
          <w:ilvl w:val="0"/>
          <w:numId w:val="23"/>
        </w:numPr>
        <w:tabs>
          <w:tab w:pos="958" w:val="left" w:leader="none"/>
        </w:tabs>
        <w:spacing w:line="240" w:lineRule="auto" w:before="77" w:after="0"/>
        <w:ind w:left="951" w:right="294" w:hanging="357"/>
        <w:jc w:val="both"/>
        <w:rPr>
          <w:sz w:val="24"/>
        </w:rPr>
      </w:pPr>
      <w:r>
        <w:rPr>
          <w:sz w:val="24"/>
        </w:rPr>
        <w:t>The probability adopted of needing an accessible environment (of 0.5%) is very conservative, given that, for example, 4% of the population cannot use public transport because of their disability. The 0.5% figure, being based on wheelchair users, does not take account of access issues for people with ambulant disabilities or hearing or vision impairments.</w:t>
      </w:r>
    </w:p>
    <w:p>
      <w:pPr>
        <w:pStyle w:val="ListParagraph"/>
        <w:numPr>
          <w:ilvl w:val="0"/>
          <w:numId w:val="23"/>
        </w:numPr>
        <w:tabs>
          <w:tab w:pos="958" w:val="left" w:leader="none"/>
        </w:tabs>
        <w:spacing w:line="240" w:lineRule="auto" w:before="118" w:after="0"/>
        <w:ind w:left="957" w:right="293" w:hanging="360"/>
        <w:jc w:val="both"/>
        <w:rPr>
          <w:sz w:val="24"/>
        </w:rPr>
      </w:pPr>
      <w:r>
        <w:rPr>
          <w:sz w:val="24"/>
        </w:rPr>
        <w:t>The calculation ignores any amounts people would be willing to pay for altruistic reasons – i.e. to prevent friends, family and others experiencing an inaccessible environment.</w:t>
      </w:r>
    </w:p>
    <w:p>
      <w:pPr>
        <w:pStyle w:val="BodyText"/>
        <w:spacing w:before="9"/>
        <w:rPr>
          <w:sz w:val="23"/>
        </w:rPr>
      </w:pPr>
    </w:p>
    <w:p>
      <w:pPr>
        <w:pStyle w:val="BodyText"/>
        <w:spacing w:before="1"/>
        <w:ind w:left="237" w:right="294"/>
        <w:jc w:val="both"/>
      </w:pPr>
      <w:r>
        <w:rPr/>
        <w:t>In constructing a base case scenario, two substantial changes are made to the Frisch estimates above.</w:t>
      </w:r>
      <w:r>
        <w:rPr>
          <w:spacing w:val="40"/>
        </w:rPr>
        <w:t> </w:t>
      </w:r>
      <w:r>
        <w:rPr/>
        <w:t>First, it is considered that the extent to which building access issues (in relation to publicly accessible buildings) contribute to the incremental cost of living with a disability, is likely to be substantially less than 50% of the total.</w:t>
      </w:r>
      <w:r>
        <w:rPr>
          <w:spacing w:val="40"/>
        </w:rPr>
        <w:t> </w:t>
      </w:r>
      <w:r>
        <w:rPr/>
        <w:t>Thus, a figure of 25% is substituted in respect of wheelchair </w:t>
      </w:r>
      <w:r>
        <w:rPr>
          <w:spacing w:val="-2"/>
        </w:rPr>
        <w:t>users.</w:t>
      </w:r>
    </w:p>
    <w:p>
      <w:pPr>
        <w:pStyle w:val="BodyText"/>
      </w:pPr>
    </w:p>
    <w:p>
      <w:pPr>
        <w:pStyle w:val="BodyText"/>
        <w:ind w:left="237" w:right="292"/>
        <w:jc w:val="both"/>
      </w:pPr>
      <w:r>
        <w:rPr/>
        <w:t>Second, it is considered that basing estimation of the benefits of improved building accessibility only on the gains to wheelchair users is too restrictive, as Frisch himself suggests.</w:t>
      </w:r>
      <w:r>
        <w:rPr>
          <w:spacing w:val="40"/>
        </w:rPr>
        <w:t> </w:t>
      </w:r>
      <w:r>
        <w:rPr/>
        <w:t>The figure of 4% of persons who cannot use public transport as a result of their disability is considered a better estimate of the number of people likely to experience these cost reductions to a significant degree.</w:t>
      </w:r>
      <w:r>
        <w:rPr>
          <w:spacing w:val="40"/>
        </w:rPr>
        <w:t> </w:t>
      </w:r>
      <w:r>
        <w:rPr/>
        <w:t>However,</w:t>
      </w:r>
      <w:r>
        <w:rPr>
          <w:spacing w:val="-1"/>
        </w:rPr>
        <w:t> </w:t>
      </w:r>
      <w:r>
        <w:rPr/>
        <w:t>as</w:t>
      </w:r>
      <w:r>
        <w:rPr>
          <w:spacing w:val="-1"/>
        </w:rPr>
        <w:t> </w:t>
      </w:r>
      <w:r>
        <w:rPr/>
        <w:t>has</w:t>
      </w:r>
      <w:r>
        <w:rPr>
          <w:spacing w:val="-1"/>
        </w:rPr>
        <w:t> </w:t>
      </w:r>
      <w:r>
        <w:rPr/>
        <w:t>been</w:t>
      </w:r>
      <w:r>
        <w:rPr>
          <w:spacing w:val="-1"/>
        </w:rPr>
        <w:t> </w:t>
      </w:r>
      <w:r>
        <w:rPr/>
        <w:t>indicated</w:t>
      </w:r>
      <w:r>
        <w:rPr>
          <w:spacing w:val="-1"/>
        </w:rPr>
        <w:t> </w:t>
      </w:r>
      <w:r>
        <w:rPr/>
        <w:t>elsewhere</w:t>
      </w:r>
      <w:r>
        <w:rPr>
          <w:spacing w:val="-1"/>
        </w:rPr>
        <w:t> </w:t>
      </w:r>
      <w:r>
        <w:rPr/>
        <w:t>in</w:t>
      </w:r>
      <w:r>
        <w:rPr>
          <w:spacing w:val="-1"/>
        </w:rPr>
        <w:t> </w:t>
      </w:r>
      <w:r>
        <w:rPr/>
        <w:t>this RIS,</w:t>
      </w:r>
      <w:r>
        <w:rPr>
          <w:spacing w:val="-1"/>
        </w:rPr>
        <w:t> </w:t>
      </w:r>
      <w:r>
        <w:rPr/>
        <w:t>wheelchair</w:t>
      </w:r>
      <w:r>
        <w:rPr>
          <w:spacing w:val="-1"/>
        </w:rPr>
        <w:t> </w:t>
      </w:r>
      <w:r>
        <w:rPr/>
        <w:t>users are likely to obtain substantially larger benefits than other groups from the implementation of the Premises Standards.</w:t>
      </w:r>
      <w:r>
        <w:rPr>
          <w:spacing w:val="40"/>
        </w:rPr>
        <w:t> </w:t>
      </w:r>
      <w:r>
        <w:rPr/>
        <w:t>In recognition of this, it is estimated that the reduction in the costs of living with a disability experienced by the remaining 3.5% of the population will be equal to 10% of the average total cost figure cited by Frisch.</w:t>
      </w:r>
    </w:p>
    <w:p>
      <w:pPr>
        <w:pStyle w:val="BodyText"/>
        <w:spacing w:before="10"/>
        <w:rPr>
          <w:sz w:val="23"/>
        </w:rPr>
      </w:pPr>
    </w:p>
    <w:p>
      <w:pPr>
        <w:pStyle w:val="BodyText"/>
        <w:ind w:left="237" w:right="294"/>
        <w:jc w:val="both"/>
      </w:pPr>
      <w:r>
        <w:rPr/>
        <w:t>Thus, in the base case, each wheelchair user would obtain cost reductions of 10% of assumed income, or $3,000 per annum, while the remaining affected group would obtain cost reductions of 4% of assumed income, or $1,200 per annum.</w:t>
      </w:r>
      <w:r>
        <w:rPr>
          <w:spacing w:val="40"/>
        </w:rPr>
        <w:t> </w:t>
      </w:r>
      <w:r>
        <w:rPr/>
        <w:t>The total benefits in this base case are thus equal to $969 million per </w:t>
      </w:r>
      <w:r>
        <w:rPr>
          <w:spacing w:val="-2"/>
        </w:rPr>
        <w:t>annum</w:t>
      </w:r>
      <w:r>
        <w:rPr>
          <w:spacing w:val="-2"/>
          <w:vertAlign w:val="superscript"/>
        </w:rPr>
        <w:t>44</w:t>
      </w:r>
      <w:r>
        <w:rPr>
          <w:spacing w:val="-2"/>
          <w:vertAlign w:val="baseline"/>
        </w:rPr>
        <w:t>.</w:t>
      </w:r>
    </w:p>
    <w:p>
      <w:pPr>
        <w:pStyle w:val="BodyText"/>
      </w:pPr>
    </w:p>
    <w:p>
      <w:pPr>
        <w:pStyle w:val="BodyText"/>
        <w:ind w:left="237" w:right="292"/>
        <w:jc w:val="both"/>
      </w:pPr>
      <w:r>
        <w:rPr/>
        <w:t>Frisch characterizes these figures as “willingness to pay” figures, but they might better be understood as being cost savings that would be experienced by people with</w:t>
      </w:r>
      <w:r>
        <w:rPr>
          <w:spacing w:val="-3"/>
        </w:rPr>
        <w:t> </w:t>
      </w:r>
      <w:r>
        <w:rPr/>
        <w:t>a</w:t>
      </w:r>
      <w:r>
        <w:rPr>
          <w:spacing w:val="-3"/>
        </w:rPr>
        <w:t> </w:t>
      </w:r>
      <w:r>
        <w:rPr/>
        <w:t>disability</w:t>
      </w:r>
      <w:r>
        <w:rPr>
          <w:spacing w:val="-3"/>
        </w:rPr>
        <w:t> </w:t>
      </w:r>
      <w:r>
        <w:rPr/>
        <w:t>in</w:t>
      </w:r>
      <w:r>
        <w:rPr>
          <w:spacing w:val="-3"/>
        </w:rPr>
        <w:t> </w:t>
      </w:r>
      <w:r>
        <w:rPr/>
        <w:t>the</w:t>
      </w:r>
      <w:r>
        <w:rPr>
          <w:spacing w:val="-3"/>
        </w:rPr>
        <w:t> </w:t>
      </w:r>
      <w:r>
        <w:rPr/>
        <w:t>event</w:t>
      </w:r>
      <w:r>
        <w:rPr>
          <w:spacing w:val="-3"/>
        </w:rPr>
        <w:t> </w:t>
      </w:r>
      <w:r>
        <w:rPr/>
        <w:t>that</w:t>
      </w:r>
      <w:r>
        <w:rPr>
          <w:spacing w:val="-3"/>
        </w:rPr>
        <w:t> </w:t>
      </w:r>
      <w:r>
        <w:rPr/>
        <w:t>better</w:t>
      </w:r>
      <w:r>
        <w:rPr>
          <w:spacing w:val="-3"/>
        </w:rPr>
        <w:t> </w:t>
      </w:r>
      <w:r>
        <w:rPr/>
        <w:t>access</w:t>
      </w:r>
      <w:r>
        <w:rPr>
          <w:spacing w:val="-3"/>
        </w:rPr>
        <w:t> </w:t>
      </w:r>
      <w:r>
        <w:rPr/>
        <w:t>Standards</w:t>
      </w:r>
      <w:r>
        <w:rPr>
          <w:spacing w:val="-3"/>
        </w:rPr>
        <w:t> </w:t>
      </w:r>
      <w:r>
        <w:rPr/>
        <w:t>are</w:t>
      </w:r>
      <w:r>
        <w:rPr>
          <w:spacing w:val="-3"/>
        </w:rPr>
        <w:t> </w:t>
      </w:r>
      <w:r>
        <w:rPr/>
        <w:t>adopted.</w:t>
      </w:r>
      <w:r>
        <w:rPr>
          <w:spacing w:val="-3"/>
        </w:rPr>
        <w:t> </w:t>
      </w:r>
      <w:r>
        <w:rPr/>
        <w:t>Thus,</w:t>
      </w:r>
      <w:r>
        <w:rPr>
          <w:spacing w:val="-3"/>
        </w:rPr>
        <w:t> </w:t>
      </w:r>
      <w:r>
        <w:rPr/>
        <w:t>they</w:t>
      </w:r>
    </w:p>
    <w:p>
      <w:pPr>
        <w:pStyle w:val="BodyText"/>
        <w:rPr>
          <w:sz w:val="20"/>
        </w:rPr>
      </w:pPr>
    </w:p>
    <w:p>
      <w:pPr>
        <w:pStyle w:val="BodyText"/>
        <w:rPr>
          <w:sz w:val="20"/>
        </w:rPr>
      </w:pPr>
    </w:p>
    <w:p>
      <w:pPr>
        <w:pStyle w:val="BodyText"/>
        <w:spacing w:before="2"/>
        <w:rPr>
          <w:sz w:val="20"/>
        </w:rPr>
      </w:pPr>
      <w:r>
        <w:rPr/>
        <w:pict>
          <v:rect style="position:absolute;margin-left:89.879997pt;margin-top:12.840528pt;width:144pt;height:.6pt;mso-position-horizontal-relative:page;mso-position-vertical-relative:paragraph;z-index:-15712768;mso-wrap-distance-left:0;mso-wrap-distance-right:0" id="docshape37" filled="true" fillcolor="#000000" stroked="false">
            <v:fill type="solid"/>
            <w10:wrap type="topAndBottom"/>
          </v:rect>
        </w:pict>
      </w:r>
    </w:p>
    <w:p>
      <w:pPr>
        <w:pStyle w:val="BodyText"/>
        <w:spacing w:before="6"/>
        <w:rPr>
          <w:sz w:val="18"/>
        </w:rPr>
      </w:pPr>
    </w:p>
    <w:p>
      <w:pPr>
        <w:spacing w:before="130"/>
        <w:ind w:left="237" w:right="293" w:hanging="1"/>
        <w:jc w:val="both"/>
        <w:rPr>
          <w:sz w:val="20"/>
        </w:rPr>
      </w:pPr>
      <w:r>
        <w:rPr>
          <w:sz w:val="20"/>
          <w:vertAlign w:val="superscript"/>
        </w:rPr>
        <w:t>44</w:t>
      </w:r>
      <w:r>
        <w:rPr>
          <w:sz w:val="20"/>
          <w:vertAlign w:val="baseline"/>
        </w:rPr>
        <w:t> The adoption of the Premises Standard may not completely eliminate the additional costs incurred by people with disabilities in using publicly accessible buildings, although the Standard has been designed to address all significant access issues.</w:t>
      </w:r>
      <w:r>
        <w:rPr>
          <w:spacing w:val="80"/>
          <w:sz w:val="20"/>
          <w:vertAlign w:val="baseline"/>
        </w:rPr>
        <w:t> </w:t>
      </w:r>
      <w:r>
        <w:rPr>
          <w:sz w:val="20"/>
          <w:vertAlign w:val="baseline"/>
        </w:rPr>
        <w:t>Similarly, the attribution of 25% of</w:t>
      </w:r>
      <w:r>
        <w:rPr>
          <w:spacing w:val="40"/>
          <w:sz w:val="20"/>
          <w:vertAlign w:val="baseline"/>
        </w:rPr>
        <w:t> </w:t>
      </w:r>
      <w:r>
        <w:rPr>
          <w:sz w:val="20"/>
          <w:vertAlign w:val="baseline"/>
        </w:rPr>
        <w:t>the additional costs of living with a disability to factors associated with the use of publicly accessible</w:t>
      </w:r>
      <w:r>
        <w:rPr>
          <w:spacing w:val="-1"/>
          <w:sz w:val="20"/>
          <w:vertAlign w:val="baseline"/>
        </w:rPr>
        <w:t> </w:t>
      </w:r>
      <w:r>
        <w:rPr>
          <w:sz w:val="20"/>
          <w:vertAlign w:val="baseline"/>
        </w:rPr>
        <w:t>buildings</w:t>
      </w:r>
      <w:r>
        <w:rPr>
          <w:spacing w:val="-1"/>
          <w:sz w:val="20"/>
          <w:vertAlign w:val="baseline"/>
        </w:rPr>
        <w:t> </w:t>
      </w:r>
      <w:r>
        <w:rPr>
          <w:sz w:val="20"/>
          <w:vertAlign w:val="baseline"/>
        </w:rPr>
        <w:t>represents</w:t>
      </w:r>
      <w:r>
        <w:rPr>
          <w:spacing w:val="-3"/>
          <w:sz w:val="20"/>
          <w:vertAlign w:val="baseline"/>
        </w:rPr>
        <w:t> </w:t>
      </w:r>
      <w:r>
        <w:rPr>
          <w:sz w:val="20"/>
          <w:vertAlign w:val="baseline"/>
        </w:rPr>
        <w:t>only</w:t>
      </w:r>
      <w:r>
        <w:rPr>
          <w:spacing w:val="-1"/>
          <w:sz w:val="20"/>
          <w:vertAlign w:val="baseline"/>
        </w:rPr>
        <w:t> </w:t>
      </w:r>
      <w:r>
        <w:rPr>
          <w:sz w:val="20"/>
          <w:vertAlign w:val="baseline"/>
        </w:rPr>
        <w:t>an</w:t>
      </w:r>
      <w:r>
        <w:rPr>
          <w:spacing w:val="-3"/>
          <w:sz w:val="20"/>
          <w:vertAlign w:val="baseline"/>
        </w:rPr>
        <w:t> </w:t>
      </w:r>
      <w:r>
        <w:rPr>
          <w:sz w:val="20"/>
          <w:vertAlign w:val="baseline"/>
        </w:rPr>
        <w:t>imprecise</w:t>
      </w:r>
      <w:r>
        <w:rPr>
          <w:spacing w:val="-1"/>
          <w:sz w:val="20"/>
          <w:vertAlign w:val="baseline"/>
        </w:rPr>
        <w:t> </w:t>
      </w:r>
      <w:r>
        <w:rPr>
          <w:sz w:val="20"/>
          <w:vertAlign w:val="baseline"/>
        </w:rPr>
        <w:t>estimate.</w:t>
      </w:r>
      <w:r>
        <w:rPr>
          <w:spacing w:val="-1"/>
          <w:sz w:val="20"/>
          <w:vertAlign w:val="baseline"/>
        </w:rPr>
        <w:t> </w:t>
      </w:r>
      <w:r>
        <w:rPr>
          <w:sz w:val="20"/>
          <w:vertAlign w:val="baseline"/>
        </w:rPr>
        <w:t>The</w:t>
      </w:r>
      <w:r>
        <w:rPr>
          <w:spacing w:val="-3"/>
          <w:sz w:val="20"/>
          <w:vertAlign w:val="baseline"/>
        </w:rPr>
        <w:t> </w:t>
      </w:r>
      <w:r>
        <w:rPr>
          <w:sz w:val="20"/>
          <w:vertAlign w:val="baseline"/>
        </w:rPr>
        <w:t>benefit</w:t>
      </w:r>
      <w:r>
        <w:rPr>
          <w:spacing w:val="-2"/>
          <w:sz w:val="20"/>
          <w:vertAlign w:val="baseline"/>
        </w:rPr>
        <w:t> </w:t>
      </w:r>
      <w:r>
        <w:rPr>
          <w:sz w:val="20"/>
          <w:vertAlign w:val="baseline"/>
        </w:rPr>
        <w:t>estimates</w:t>
      </w:r>
      <w:r>
        <w:rPr>
          <w:spacing w:val="-1"/>
          <w:sz w:val="20"/>
          <w:vertAlign w:val="baseline"/>
        </w:rPr>
        <w:t> </w:t>
      </w:r>
      <w:r>
        <w:rPr>
          <w:sz w:val="20"/>
          <w:vertAlign w:val="baseline"/>
        </w:rPr>
        <w:t>presented</w:t>
      </w:r>
      <w:r>
        <w:rPr>
          <w:spacing w:val="-1"/>
          <w:sz w:val="20"/>
          <w:vertAlign w:val="baseline"/>
        </w:rPr>
        <w:t> </w:t>
      </w:r>
      <w:r>
        <w:rPr>
          <w:sz w:val="20"/>
          <w:vertAlign w:val="baseline"/>
        </w:rPr>
        <w:t>here should be understood in these terms.</w:t>
      </w:r>
    </w:p>
    <w:p>
      <w:pPr>
        <w:spacing w:after="0"/>
        <w:jc w:val="both"/>
        <w:rPr>
          <w:sz w:val="20"/>
        </w:rPr>
        <w:sectPr>
          <w:pgSz w:w="12240" w:h="15840"/>
          <w:pgMar w:header="0" w:footer="1140" w:top="1360" w:bottom="1340" w:left="1560" w:right="1500"/>
        </w:sectPr>
      </w:pPr>
    </w:p>
    <w:p>
      <w:pPr>
        <w:pStyle w:val="BodyText"/>
        <w:spacing w:before="77"/>
        <w:ind w:left="237" w:right="295"/>
        <w:jc w:val="both"/>
      </w:pPr>
      <w:r>
        <w:rPr/>
        <w:t>are additional to the benefits discussed in the previous section, which are based on increased income.</w:t>
      </w:r>
    </w:p>
    <w:p>
      <w:pPr>
        <w:pStyle w:val="BodyText"/>
        <w:spacing w:before="11"/>
        <w:rPr>
          <w:sz w:val="23"/>
        </w:rPr>
      </w:pPr>
    </w:p>
    <w:p>
      <w:pPr>
        <w:pStyle w:val="BodyText"/>
        <w:ind w:left="237" w:right="293"/>
        <w:jc w:val="both"/>
      </w:pPr>
      <w:r>
        <w:rPr/>
        <w:t>A true “willingness to pay” figure would need to account both for the fact that people are generally risk averse and for the probability that people would be willing</w:t>
      </w:r>
      <w:r>
        <w:rPr>
          <w:spacing w:val="-2"/>
        </w:rPr>
        <w:t> </w:t>
      </w:r>
      <w:r>
        <w:rPr/>
        <w:t>to</w:t>
      </w:r>
      <w:r>
        <w:rPr>
          <w:spacing w:val="-2"/>
        </w:rPr>
        <w:t> </w:t>
      </w:r>
      <w:r>
        <w:rPr/>
        <w:t>pay</w:t>
      </w:r>
      <w:r>
        <w:rPr>
          <w:spacing w:val="-2"/>
        </w:rPr>
        <w:t> </w:t>
      </w:r>
      <w:r>
        <w:rPr/>
        <w:t>additional</w:t>
      </w:r>
      <w:r>
        <w:rPr>
          <w:spacing w:val="-2"/>
        </w:rPr>
        <w:t> </w:t>
      </w:r>
      <w:r>
        <w:rPr/>
        <w:t>amounts</w:t>
      </w:r>
      <w:r>
        <w:rPr>
          <w:spacing w:val="-2"/>
        </w:rPr>
        <w:t> </w:t>
      </w:r>
      <w:r>
        <w:rPr/>
        <w:t>for</w:t>
      </w:r>
      <w:r>
        <w:rPr>
          <w:spacing w:val="-2"/>
        </w:rPr>
        <w:t> </w:t>
      </w:r>
      <w:r>
        <w:rPr/>
        <w:t>altruistic</w:t>
      </w:r>
      <w:r>
        <w:rPr>
          <w:spacing w:val="-2"/>
        </w:rPr>
        <w:t> </w:t>
      </w:r>
      <w:r>
        <w:rPr/>
        <w:t>reasons,</w:t>
      </w:r>
      <w:r>
        <w:rPr>
          <w:spacing w:val="-2"/>
        </w:rPr>
        <w:t> </w:t>
      </w:r>
      <w:r>
        <w:rPr/>
        <w:t>as</w:t>
      </w:r>
      <w:r>
        <w:rPr>
          <w:spacing w:val="-2"/>
        </w:rPr>
        <w:t> </w:t>
      </w:r>
      <w:r>
        <w:rPr/>
        <w:t>noted</w:t>
      </w:r>
      <w:r>
        <w:rPr>
          <w:spacing w:val="-2"/>
        </w:rPr>
        <w:t> </w:t>
      </w:r>
      <w:r>
        <w:rPr/>
        <w:t>by</w:t>
      </w:r>
      <w:r>
        <w:rPr>
          <w:spacing w:val="-2"/>
        </w:rPr>
        <w:t> </w:t>
      </w:r>
      <w:r>
        <w:rPr/>
        <w:t>Frisch.</w:t>
      </w:r>
      <w:r>
        <w:rPr>
          <w:spacing w:val="40"/>
        </w:rPr>
        <w:t> </w:t>
      </w:r>
      <w:r>
        <w:rPr/>
        <w:t>These additional elements are estimated to increase the value of the benefits by 20% - giving a total benefit of $1,163 million, and are adopted as the “upper bound” scenario.</w:t>
      </w:r>
      <w:r>
        <w:rPr>
          <w:spacing w:val="40"/>
        </w:rPr>
        <w:t> </w:t>
      </w:r>
      <w:r>
        <w:rPr/>
        <w:t>The</w:t>
      </w:r>
      <w:r>
        <w:rPr>
          <w:spacing w:val="-3"/>
        </w:rPr>
        <w:t> </w:t>
      </w:r>
      <w:r>
        <w:rPr/>
        <w:t>lower</w:t>
      </w:r>
      <w:r>
        <w:rPr>
          <w:spacing w:val="-3"/>
        </w:rPr>
        <w:t> </w:t>
      </w:r>
      <w:r>
        <w:rPr/>
        <w:t>bound</w:t>
      </w:r>
      <w:r>
        <w:rPr>
          <w:spacing w:val="-3"/>
        </w:rPr>
        <w:t> </w:t>
      </w:r>
      <w:r>
        <w:rPr/>
        <w:t>scenario</w:t>
      </w:r>
      <w:r>
        <w:rPr>
          <w:spacing w:val="-3"/>
        </w:rPr>
        <w:t> </w:t>
      </w:r>
      <w:r>
        <w:rPr/>
        <w:t>is</w:t>
      </w:r>
      <w:r>
        <w:rPr>
          <w:spacing w:val="-3"/>
        </w:rPr>
        <w:t> </w:t>
      </w:r>
      <w:r>
        <w:rPr/>
        <w:t>given</w:t>
      </w:r>
      <w:r>
        <w:rPr>
          <w:spacing w:val="-3"/>
        </w:rPr>
        <w:t> </w:t>
      </w:r>
      <w:r>
        <w:rPr/>
        <w:t>by</w:t>
      </w:r>
      <w:r>
        <w:rPr>
          <w:spacing w:val="-4"/>
        </w:rPr>
        <w:t> </w:t>
      </w:r>
      <w:r>
        <w:rPr/>
        <w:t>Frisch’s</w:t>
      </w:r>
      <w:r>
        <w:rPr>
          <w:spacing w:val="-3"/>
        </w:rPr>
        <w:t> </w:t>
      </w:r>
      <w:r>
        <w:rPr/>
        <w:t>original</w:t>
      </w:r>
      <w:r>
        <w:rPr>
          <w:spacing w:val="-3"/>
        </w:rPr>
        <w:t> </w:t>
      </w:r>
      <w:r>
        <w:rPr/>
        <w:t>estimate</w:t>
      </w:r>
      <w:r>
        <w:rPr>
          <w:spacing w:val="-3"/>
        </w:rPr>
        <w:t> </w:t>
      </w:r>
      <w:r>
        <w:rPr/>
        <w:t>of</w:t>
      </w:r>
      <w:r>
        <w:rPr>
          <w:spacing w:val="-3"/>
        </w:rPr>
        <w:t> </w:t>
      </w:r>
      <w:r>
        <w:rPr/>
        <w:t>$510 million per annum.</w:t>
      </w:r>
    </w:p>
    <w:p>
      <w:pPr>
        <w:pStyle w:val="BodyText"/>
        <w:rPr>
          <w:sz w:val="26"/>
        </w:rPr>
      </w:pPr>
    </w:p>
    <w:p>
      <w:pPr>
        <w:pStyle w:val="Heading3"/>
        <w:numPr>
          <w:ilvl w:val="2"/>
          <w:numId w:val="22"/>
        </w:numPr>
        <w:tabs>
          <w:tab w:pos="958" w:val="left" w:leader="none"/>
        </w:tabs>
        <w:spacing w:line="240" w:lineRule="auto" w:before="220" w:after="0"/>
        <w:ind w:left="957" w:right="293" w:hanging="720"/>
        <w:jc w:val="both"/>
      </w:pPr>
      <w:bookmarkStart w:name="7.6.3 Adjusting the benefit estimates to" w:id="67"/>
      <w:bookmarkEnd w:id="67"/>
      <w:r>
        <w:rPr/>
        <w:t>Ad</w:t>
      </w:r>
      <w:r>
        <w:rPr/>
        <w:t>justing the benefit estimates to account for changes to the </w:t>
      </w:r>
      <w:r>
        <w:rPr>
          <w:spacing w:val="-2"/>
        </w:rPr>
        <w:t>proposal</w:t>
      </w:r>
    </w:p>
    <w:p>
      <w:pPr>
        <w:pStyle w:val="BodyText"/>
        <w:spacing w:before="57"/>
        <w:ind w:left="237" w:right="295"/>
        <w:jc w:val="both"/>
      </w:pPr>
      <w:r>
        <w:rPr/>
        <w:t>The above benefit estimates were used as the basis for assessment of the draft Premises Standards proposal, analysed in the February 2004 draft RIS.</w:t>
      </w:r>
      <w:r>
        <w:rPr>
          <w:spacing w:val="40"/>
        </w:rPr>
        <w:t> </w:t>
      </w:r>
      <w:r>
        <w:rPr/>
        <w:t>They continue to be used as the basis for benefit estimation in relation to the current proposal.</w:t>
      </w:r>
      <w:r>
        <w:rPr>
          <w:spacing w:val="40"/>
        </w:rPr>
        <w:t> </w:t>
      </w:r>
      <w:r>
        <w:rPr/>
        <w:t>However,</w:t>
      </w:r>
      <w:r>
        <w:rPr>
          <w:spacing w:val="-2"/>
        </w:rPr>
        <w:t> </w:t>
      </w:r>
      <w:r>
        <w:rPr/>
        <w:t>the</w:t>
      </w:r>
      <w:r>
        <w:rPr>
          <w:spacing w:val="-2"/>
        </w:rPr>
        <w:t> </w:t>
      </w:r>
      <w:r>
        <w:rPr/>
        <w:t>significant</w:t>
      </w:r>
      <w:r>
        <w:rPr>
          <w:spacing w:val="-2"/>
        </w:rPr>
        <w:t> </w:t>
      </w:r>
      <w:r>
        <w:rPr/>
        <w:t>changes made</w:t>
      </w:r>
      <w:r>
        <w:rPr>
          <w:spacing w:val="-2"/>
        </w:rPr>
        <w:t> </w:t>
      </w:r>
      <w:r>
        <w:rPr/>
        <w:t>to</w:t>
      </w:r>
      <w:r>
        <w:rPr>
          <w:spacing w:val="-2"/>
        </w:rPr>
        <w:t> </w:t>
      </w:r>
      <w:r>
        <w:rPr/>
        <w:t>the</w:t>
      </w:r>
      <w:r>
        <w:rPr>
          <w:spacing w:val="-2"/>
        </w:rPr>
        <w:t> </w:t>
      </w:r>
      <w:r>
        <w:rPr/>
        <w:t>original</w:t>
      </w:r>
      <w:r>
        <w:rPr>
          <w:spacing w:val="-2"/>
        </w:rPr>
        <w:t> </w:t>
      </w:r>
      <w:r>
        <w:rPr/>
        <w:t>proposal</w:t>
      </w:r>
      <w:r>
        <w:rPr>
          <w:spacing w:val="-2"/>
        </w:rPr>
        <w:t> </w:t>
      </w:r>
      <w:r>
        <w:rPr/>
        <w:t>require consequent change to be made to the estimation of benefits, as follows:</w:t>
      </w:r>
    </w:p>
    <w:p>
      <w:pPr>
        <w:pStyle w:val="BodyText"/>
        <w:spacing w:before="6"/>
        <w:rPr>
          <w:sz w:val="34"/>
        </w:rPr>
      </w:pPr>
    </w:p>
    <w:p>
      <w:pPr>
        <w:pStyle w:val="Heading5"/>
        <w:spacing w:line="275" w:lineRule="exact"/>
        <w:rPr>
          <w:i/>
        </w:rPr>
      </w:pPr>
      <w:r>
        <w:rPr>
          <w:i/>
        </w:rPr>
        <w:t>Effect</w:t>
      </w:r>
      <w:r>
        <w:rPr>
          <w:i/>
          <w:spacing w:val="-4"/>
        </w:rPr>
        <w:t> </w:t>
      </w:r>
      <w:r>
        <w:rPr>
          <w:i/>
        </w:rPr>
        <w:t>on</w:t>
      </w:r>
      <w:r>
        <w:rPr>
          <w:i/>
          <w:spacing w:val="-4"/>
        </w:rPr>
        <w:t> </w:t>
      </w:r>
      <w:r>
        <w:rPr>
          <w:i/>
        </w:rPr>
        <w:t>benefits</w:t>
      </w:r>
      <w:r>
        <w:rPr>
          <w:i/>
          <w:spacing w:val="-4"/>
        </w:rPr>
        <w:t> </w:t>
      </w:r>
      <w:r>
        <w:rPr>
          <w:i/>
        </w:rPr>
        <w:t>of</w:t>
      </w:r>
      <w:r>
        <w:rPr>
          <w:i/>
          <w:spacing w:val="-4"/>
        </w:rPr>
        <w:t> </w:t>
      </w:r>
      <w:r>
        <w:rPr>
          <w:i/>
        </w:rPr>
        <w:t>changed</w:t>
      </w:r>
      <w:r>
        <w:rPr>
          <w:i/>
          <w:spacing w:val="-4"/>
        </w:rPr>
        <w:t> </w:t>
      </w:r>
      <w:r>
        <w:rPr>
          <w:i/>
        </w:rPr>
        <w:t>substantive</w:t>
      </w:r>
      <w:r>
        <w:rPr>
          <w:i/>
          <w:spacing w:val="-3"/>
        </w:rPr>
        <w:t> </w:t>
      </w:r>
      <w:r>
        <w:rPr>
          <w:i/>
          <w:spacing w:val="-2"/>
        </w:rPr>
        <w:t>requirements</w:t>
      </w:r>
    </w:p>
    <w:p>
      <w:pPr>
        <w:pStyle w:val="BodyText"/>
        <w:ind w:left="237" w:right="293"/>
        <w:jc w:val="both"/>
      </w:pPr>
      <w:r>
        <w:rPr/>
        <w:t>As discussed in section 5, above, the revised Premises Standards incorporates a number of reductions in the stringency of specific requirements as well as providing partial exemptions from compliance with the Standards for small buildings in Classes 5, 6, 7b and 8. Note, however, that the small building exemptions (now considered concessions) have, as a result of the proposed</w:t>
      </w:r>
      <w:r>
        <w:rPr>
          <w:spacing w:val="40"/>
        </w:rPr>
        <w:t> </w:t>
      </w:r>
      <w:r>
        <w:rPr/>
        <w:t>2009 amendments, been limited to not requiring lift or ramp access between floors. Further details on associated benefits to the proposed 2009 amendments are provided in Appendix D.</w:t>
      </w:r>
      <w:r>
        <w:rPr>
          <w:spacing w:val="40"/>
        </w:rPr>
        <w:t> </w:t>
      </w:r>
      <w:r>
        <w:rPr/>
        <w:t>Also in Appendix D, the benefits of the more substantial proposed 2009 amendments affecting Class 1b and Class 2 buildings are discussed.</w:t>
      </w:r>
    </w:p>
    <w:p>
      <w:pPr>
        <w:pStyle w:val="BodyText"/>
      </w:pPr>
    </w:p>
    <w:p>
      <w:pPr>
        <w:pStyle w:val="BodyText"/>
        <w:ind w:left="237" w:right="294"/>
        <w:jc w:val="both"/>
      </w:pPr>
      <w:r>
        <w:rPr/>
        <w:t>As shown in Table 3, below, two-storey shops and offices accounted for approximately $950 million worth of construction expenditure in 2002.</w:t>
      </w:r>
      <w:r>
        <w:rPr>
          <w:spacing w:val="80"/>
        </w:rPr>
        <w:t> </w:t>
      </w:r>
      <w:r>
        <w:rPr/>
        <w:t>No detailed breakdown is available as to the value of two-storey warehouses and factories constructed during the same period.</w:t>
      </w:r>
      <w:r>
        <w:rPr>
          <w:spacing w:val="40"/>
        </w:rPr>
        <w:t> </w:t>
      </w:r>
      <w:r>
        <w:rPr/>
        <w:t>However, small two-storey factories and warehouses are considered unlikely to add substantially to this figure.</w:t>
      </w:r>
      <w:r>
        <w:rPr>
          <w:spacing w:val="80"/>
        </w:rPr>
        <w:t> </w:t>
      </w:r>
      <w:r>
        <w:rPr/>
        <w:t>Thus, slightly more than $1 billion per annum of construction activity would potentially be affected by the exemption provisions incorporated into the revised Standards. This is equivalent to around 5% of total construction expenditure.</w:t>
      </w:r>
      <w:r>
        <w:rPr>
          <w:spacing w:val="40"/>
        </w:rPr>
        <w:t> </w:t>
      </w:r>
      <w:r>
        <w:rPr/>
        <w:t>In addition, other less substantial exemptions that have been adopted in the revised Standards include exemption for swimming pools with perimeters less than 40m and exemption for holiday accommodation premises providing fewer than four rooms for hire (previously, fewer than three rooms).</w:t>
      </w:r>
    </w:p>
    <w:p>
      <w:pPr>
        <w:spacing w:after="0"/>
        <w:jc w:val="both"/>
        <w:sectPr>
          <w:pgSz w:w="12240" w:h="15840"/>
          <w:pgMar w:header="0" w:footer="1140" w:top="1360" w:bottom="1340" w:left="1560" w:right="1500"/>
        </w:sectPr>
      </w:pPr>
    </w:p>
    <w:p>
      <w:pPr>
        <w:pStyle w:val="BodyText"/>
        <w:spacing w:before="77"/>
        <w:ind w:left="237" w:right="294"/>
        <w:jc w:val="both"/>
      </w:pPr>
      <w:r>
        <w:rPr/>
        <w:t>As</w:t>
      </w:r>
      <w:r>
        <w:rPr>
          <w:spacing w:val="-3"/>
        </w:rPr>
        <w:t> </w:t>
      </w:r>
      <w:r>
        <w:rPr/>
        <w:t>well</w:t>
      </w:r>
      <w:r>
        <w:rPr>
          <w:spacing w:val="-3"/>
        </w:rPr>
        <w:t> </w:t>
      </w:r>
      <w:r>
        <w:rPr/>
        <w:t>as</w:t>
      </w:r>
      <w:r>
        <w:rPr>
          <w:spacing w:val="-3"/>
        </w:rPr>
        <w:t> </w:t>
      </w:r>
      <w:r>
        <w:rPr/>
        <w:t>these</w:t>
      </w:r>
      <w:r>
        <w:rPr>
          <w:spacing w:val="-3"/>
        </w:rPr>
        <w:t> </w:t>
      </w:r>
      <w:r>
        <w:rPr/>
        <w:t>exemptions,</w:t>
      </w:r>
      <w:r>
        <w:rPr>
          <w:spacing w:val="-3"/>
        </w:rPr>
        <w:t> </w:t>
      </w:r>
      <w:r>
        <w:rPr/>
        <w:t>significant</w:t>
      </w:r>
      <w:r>
        <w:rPr>
          <w:spacing w:val="-5"/>
        </w:rPr>
        <w:t> </w:t>
      </w:r>
      <w:r>
        <w:rPr/>
        <w:t>reductions</w:t>
      </w:r>
      <w:r>
        <w:rPr>
          <w:spacing w:val="-3"/>
        </w:rPr>
        <w:t> </w:t>
      </w:r>
      <w:r>
        <w:rPr/>
        <w:t>in</w:t>
      </w:r>
      <w:r>
        <w:rPr>
          <w:spacing w:val="-3"/>
        </w:rPr>
        <w:t> </w:t>
      </w:r>
      <w:r>
        <w:rPr/>
        <w:t>the</w:t>
      </w:r>
      <w:r>
        <w:rPr>
          <w:spacing w:val="-3"/>
        </w:rPr>
        <w:t> </w:t>
      </w:r>
      <w:r>
        <w:rPr/>
        <w:t>stringency</w:t>
      </w:r>
      <w:r>
        <w:rPr>
          <w:spacing w:val="-3"/>
        </w:rPr>
        <w:t> </w:t>
      </w:r>
      <w:r>
        <w:rPr/>
        <w:t>of</w:t>
      </w:r>
      <w:r>
        <w:rPr>
          <w:spacing w:val="-3"/>
        </w:rPr>
        <w:t> </w:t>
      </w:r>
      <w:r>
        <w:rPr/>
        <w:t>aspects</w:t>
      </w:r>
      <w:r>
        <w:rPr>
          <w:spacing w:val="-3"/>
        </w:rPr>
        <w:t> </w:t>
      </w:r>
      <w:r>
        <w:rPr/>
        <w:t>of the Premises Standards have been made in relation to restrictions on the use of threshold ramps, the required number of accessible entrances, the provision of turning and passing spaces, the dimensions of lifts and the extent to which 90th percentile wheelchair dimensions will be adopted.</w:t>
      </w:r>
      <w:r>
        <w:rPr>
          <w:spacing w:val="40"/>
        </w:rPr>
        <w:t> </w:t>
      </w:r>
      <w:r>
        <w:rPr/>
        <w:t>As noted elsewhere, these changes have been deliberately made in a way that attempts to minimise any resulting loss of access.</w:t>
      </w:r>
      <w:r>
        <w:rPr>
          <w:spacing w:val="40"/>
        </w:rPr>
        <w:t> </w:t>
      </w:r>
      <w:r>
        <w:rPr/>
        <w:t>However, some loss of access will inevitably occur, as will loss of convenience and dignity for some building users with disability.</w:t>
      </w:r>
    </w:p>
    <w:p>
      <w:pPr>
        <w:pStyle w:val="BodyText"/>
      </w:pPr>
    </w:p>
    <w:p>
      <w:pPr>
        <w:pStyle w:val="BodyText"/>
        <w:ind w:left="237" w:right="293"/>
        <w:jc w:val="both"/>
      </w:pPr>
      <w:r>
        <w:rPr/>
        <w:t>Given the aggregative nature of the benefit estimates employed in this RIS, it is clearly not possible to calculate directly the impact of the changes made in formulating the revised Standards on the initial estimates of total quantifiable benefits.</w:t>
      </w:r>
      <w:r>
        <w:rPr>
          <w:spacing w:val="40"/>
        </w:rPr>
        <w:t> </w:t>
      </w:r>
      <w:r>
        <w:rPr/>
        <w:t>Rather, a qualitative judgment has had to be made by assessing the perceived importance of the above changes, relative to the scope of the</w:t>
      </w:r>
      <w:r>
        <w:rPr>
          <w:spacing w:val="40"/>
        </w:rPr>
        <w:t> </w:t>
      </w:r>
      <w:r>
        <w:rPr/>
        <w:t>Premises Standards as a whole.</w:t>
      </w:r>
    </w:p>
    <w:p>
      <w:pPr>
        <w:pStyle w:val="BodyText"/>
      </w:pPr>
    </w:p>
    <w:p>
      <w:pPr>
        <w:pStyle w:val="BodyText"/>
        <w:ind w:left="237" w:right="294"/>
        <w:jc w:val="both"/>
      </w:pPr>
      <w:r>
        <w:rPr/>
        <w:t>It is considered that the changes made are relatively modest in these terms and, consequently, the global effect of the 2008 changes made to the Standards is estimated as being equal to a 20% reduction in the total benefits that it would deliver when fully implemented. It is anticipated that the subsequent 2009 amendment proposal will moderate this reduction, especially with regard to Class 1b and 2 buildings. Further details can be found in Appendix D.</w:t>
      </w:r>
    </w:p>
    <w:p>
      <w:pPr>
        <w:pStyle w:val="BodyText"/>
        <w:rPr>
          <w:sz w:val="26"/>
        </w:rPr>
      </w:pPr>
    </w:p>
    <w:p>
      <w:pPr>
        <w:pStyle w:val="Heading3"/>
        <w:numPr>
          <w:ilvl w:val="2"/>
          <w:numId w:val="22"/>
        </w:numPr>
        <w:tabs>
          <w:tab w:pos="958" w:val="left" w:leader="none"/>
        </w:tabs>
        <w:spacing w:line="240" w:lineRule="auto" w:before="220" w:after="0"/>
        <w:ind w:left="957" w:right="0" w:hanging="721"/>
        <w:jc w:val="both"/>
      </w:pPr>
      <w:bookmarkStart w:name="7.6.4 Other economic benefits" w:id="68"/>
      <w:bookmarkEnd w:id="68"/>
      <w:r>
        <w:rPr/>
        <w:t>Othe</w:t>
      </w:r>
      <w:r>
        <w:rPr/>
        <w:t>r</w:t>
      </w:r>
      <w:r>
        <w:rPr>
          <w:spacing w:val="-7"/>
        </w:rPr>
        <w:t> </w:t>
      </w:r>
      <w:r>
        <w:rPr/>
        <w:t>economic</w:t>
      </w:r>
      <w:r>
        <w:rPr>
          <w:spacing w:val="-6"/>
        </w:rPr>
        <w:t> </w:t>
      </w:r>
      <w:r>
        <w:rPr>
          <w:spacing w:val="-2"/>
        </w:rPr>
        <w:t>benefits</w:t>
      </w:r>
    </w:p>
    <w:p>
      <w:pPr>
        <w:pStyle w:val="BodyText"/>
        <w:spacing w:before="57"/>
        <w:ind w:left="237" w:right="296"/>
        <w:jc w:val="both"/>
      </w:pPr>
      <w:r>
        <w:rPr/>
        <w:t>An additional source of benefits identified by several access experts is a reduction in accidents and, therefore, costs associated with health care and lost production.</w:t>
      </w:r>
      <w:r>
        <w:rPr>
          <w:spacing w:val="40"/>
        </w:rPr>
        <w:t> </w:t>
      </w:r>
      <w:r>
        <w:rPr/>
        <w:t>For example, Ratzka states:</w:t>
      </w:r>
    </w:p>
    <w:p>
      <w:pPr>
        <w:spacing w:before="121"/>
        <w:ind w:left="957" w:right="294" w:firstLine="0"/>
        <w:jc w:val="both"/>
        <w:rPr>
          <w:i/>
          <w:sz w:val="24"/>
        </w:rPr>
      </w:pPr>
      <w:r>
        <w:rPr>
          <w:i/>
          <w:sz w:val="24"/>
        </w:rPr>
        <w:t>“The reasoning is that accessible environments are also safe</w:t>
      </w:r>
      <w:r>
        <w:rPr>
          <w:i/>
          <w:spacing w:val="40"/>
          <w:sz w:val="24"/>
        </w:rPr>
        <w:t> </w:t>
      </w:r>
      <w:r>
        <w:rPr>
          <w:i/>
          <w:sz w:val="24"/>
        </w:rPr>
        <w:t>environments (see Wrightson and Pope). Examples are ramps rather than steps, elevators instead of staircases. According to the World Health Organization "accidents cause more deaths than any single illness except cancer and cardiovascular disease" (quoted in Ratzka 1984). The number of accidents due to stairs and the associated costs to society can be and has been estimated (see for example Ratzka 1984)”</w:t>
      </w:r>
      <w:r>
        <w:rPr>
          <w:i/>
          <w:sz w:val="24"/>
          <w:vertAlign w:val="superscript"/>
        </w:rPr>
        <w:t>45</w:t>
      </w:r>
      <w:r>
        <w:rPr>
          <w:i/>
          <w:sz w:val="24"/>
          <w:vertAlign w:val="baseline"/>
        </w:rPr>
        <w:t>.</w:t>
      </w:r>
    </w:p>
    <w:p>
      <w:pPr>
        <w:pStyle w:val="BodyText"/>
        <w:spacing w:before="9"/>
        <w:rPr>
          <w:i/>
          <w:sz w:val="23"/>
        </w:rPr>
      </w:pPr>
    </w:p>
    <w:p>
      <w:pPr>
        <w:pStyle w:val="BodyText"/>
        <w:spacing w:before="1"/>
        <w:ind w:left="237" w:right="294"/>
        <w:jc w:val="both"/>
      </w:pPr>
      <w:r>
        <w:rPr/>
        <w:t>These safety-related benefits would accrue both to people with a disability and to the general population.</w:t>
      </w:r>
      <w:r>
        <w:rPr>
          <w:spacing w:val="40"/>
        </w:rPr>
        <w:t> </w:t>
      </w:r>
      <w:r>
        <w:rPr/>
        <w:t>Generally usable quantitative estimates of these benefits have not been identified in the course of preparing this RIS.</w:t>
      </w:r>
      <w:r>
        <w:rPr>
          <w:spacing w:val="40"/>
        </w:rPr>
        <w:t> </w:t>
      </w:r>
      <w:r>
        <w:rPr/>
        <w:t>However, an indicative</w:t>
      </w:r>
      <w:r>
        <w:rPr>
          <w:spacing w:val="30"/>
        </w:rPr>
        <w:t> </w:t>
      </w:r>
      <w:r>
        <w:rPr/>
        <w:t>sense</w:t>
      </w:r>
      <w:r>
        <w:rPr>
          <w:spacing w:val="30"/>
        </w:rPr>
        <w:t> </w:t>
      </w:r>
      <w:r>
        <w:rPr/>
        <w:t>of</w:t>
      </w:r>
      <w:r>
        <w:rPr>
          <w:spacing w:val="30"/>
        </w:rPr>
        <w:t> </w:t>
      </w:r>
      <w:r>
        <w:rPr/>
        <w:t>their</w:t>
      </w:r>
      <w:r>
        <w:rPr>
          <w:spacing w:val="30"/>
        </w:rPr>
        <w:t> </w:t>
      </w:r>
      <w:r>
        <w:rPr/>
        <w:t>potential</w:t>
      </w:r>
      <w:r>
        <w:rPr>
          <w:spacing w:val="30"/>
        </w:rPr>
        <w:t> </w:t>
      </w:r>
      <w:r>
        <w:rPr/>
        <w:t>importance</w:t>
      </w:r>
      <w:r>
        <w:rPr>
          <w:spacing w:val="30"/>
        </w:rPr>
        <w:t> </w:t>
      </w:r>
      <w:r>
        <w:rPr/>
        <w:t>can</w:t>
      </w:r>
      <w:r>
        <w:rPr>
          <w:spacing w:val="30"/>
        </w:rPr>
        <w:t> </w:t>
      </w:r>
      <w:r>
        <w:rPr/>
        <w:t>be</w:t>
      </w:r>
      <w:r>
        <w:rPr>
          <w:spacing w:val="30"/>
        </w:rPr>
        <w:t> </w:t>
      </w:r>
      <w:r>
        <w:rPr/>
        <w:t>obtained</w:t>
      </w:r>
      <w:r>
        <w:rPr>
          <w:spacing w:val="30"/>
        </w:rPr>
        <w:t> </w:t>
      </w:r>
      <w:r>
        <w:rPr/>
        <w:t>from</w:t>
      </w:r>
      <w:r>
        <w:rPr>
          <w:spacing w:val="30"/>
        </w:rPr>
        <w:t> </w:t>
      </w:r>
      <w:r>
        <w:rPr/>
        <w:t>the</w:t>
      </w:r>
      <w:r>
        <w:rPr>
          <w:spacing w:val="30"/>
        </w:rPr>
        <w:t> </w:t>
      </w:r>
      <w:r>
        <w:rPr/>
        <w:t>Ratzka</w:t>
      </w:r>
    </w:p>
    <w:p>
      <w:pPr>
        <w:pStyle w:val="BodyText"/>
        <w:rPr>
          <w:sz w:val="20"/>
        </w:rPr>
      </w:pPr>
    </w:p>
    <w:p>
      <w:pPr>
        <w:pStyle w:val="BodyText"/>
        <w:rPr>
          <w:sz w:val="20"/>
        </w:rPr>
      </w:pPr>
    </w:p>
    <w:p>
      <w:pPr>
        <w:pStyle w:val="BodyText"/>
        <w:spacing w:before="8"/>
        <w:rPr>
          <w:sz w:val="27"/>
        </w:rPr>
      </w:pPr>
      <w:r>
        <w:rPr/>
        <w:pict>
          <v:rect style="position:absolute;margin-left:89.879997pt;margin-top:17.172802pt;width:144pt;height:.6pt;mso-position-horizontal-relative:page;mso-position-vertical-relative:paragraph;z-index:-15712256;mso-wrap-distance-left:0;mso-wrap-distance-right:0" id="docshape38" filled="true" fillcolor="#000000" stroked="false">
            <v:fill type="solid"/>
            <w10:wrap type="topAndBottom"/>
          </v:rect>
        </w:pict>
      </w:r>
    </w:p>
    <w:p>
      <w:pPr>
        <w:pStyle w:val="BodyText"/>
        <w:spacing w:before="1"/>
        <w:rPr>
          <w:sz w:val="8"/>
        </w:rPr>
      </w:pPr>
    </w:p>
    <w:p>
      <w:pPr>
        <w:spacing w:before="130"/>
        <w:ind w:left="237" w:right="295" w:firstLine="0"/>
        <w:jc w:val="both"/>
        <w:rPr>
          <w:sz w:val="20"/>
        </w:rPr>
      </w:pPr>
      <w:r>
        <w:rPr>
          <w:sz w:val="20"/>
          <w:vertAlign w:val="superscript"/>
        </w:rPr>
        <w:t>45</w:t>
      </w:r>
      <w:r>
        <w:rPr>
          <w:sz w:val="20"/>
          <w:vertAlign w:val="baseline"/>
        </w:rPr>
        <w:t> </w:t>
      </w:r>
      <w:r>
        <w:rPr>
          <w:i/>
          <w:sz w:val="20"/>
          <w:vertAlign w:val="baseline"/>
        </w:rPr>
        <w:t>A brief survey of studies on costs and benefits of non-handicapping environments</w:t>
      </w:r>
      <w:r>
        <w:rPr>
          <w:color w:val="004C9A"/>
          <w:sz w:val="20"/>
          <w:vertAlign w:val="baseline"/>
        </w:rPr>
        <w:t>. </w:t>
      </w:r>
      <w:r>
        <w:rPr>
          <w:sz w:val="20"/>
          <w:vertAlign w:val="baseline"/>
        </w:rPr>
        <w:t>Adolf Ratzka.</w:t>
      </w:r>
      <w:r>
        <w:rPr>
          <w:spacing w:val="40"/>
          <w:sz w:val="20"/>
          <w:vertAlign w:val="baseline"/>
        </w:rPr>
        <w:t> </w:t>
      </w:r>
      <w:r>
        <w:rPr>
          <w:sz w:val="20"/>
          <w:vertAlign w:val="baseline"/>
        </w:rPr>
        <w:t>Presentation at the International Congress on Accessibility, Rio de Janeiro, Brazil, June </w:t>
      </w:r>
      <w:r>
        <w:rPr>
          <w:spacing w:val="-2"/>
          <w:sz w:val="20"/>
          <w:vertAlign w:val="baseline"/>
        </w:rPr>
        <w:t>1994.</w:t>
      </w:r>
    </w:p>
    <w:p>
      <w:pPr>
        <w:spacing w:after="0"/>
        <w:jc w:val="both"/>
        <w:rPr>
          <w:sz w:val="20"/>
        </w:rPr>
        <w:sectPr>
          <w:pgSz w:w="12240" w:h="15840"/>
          <w:pgMar w:header="0" w:footer="1140" w:top="1360" w:bottom="1340" w:left="1560" w:right="1500"/>
        </w:sectPr>
      </w:pPr>
    </w:p>
    <w:p>
      <w:pPr>
        <w:pStyle w:val="BodyText"/>
        <w:spacing w:before="117"/>
        <w:ind w:left="237" w:right="293"/>
        <w:jc w:val="both"/>
      </w:pPr>
      <w:r>
        <w:rPr/>
        <w:t>paper cited above</w:t>
      </w:r>
      <w:r>
        <w:rPr>
          <w:vertAlign w:val="superscript"/>
        </w:rPr>
        <w:t>46</w:t>
      </w:r>
      <w:r>
        <w:rPr>
          <w:vertAlign w:val="baseline"/>
        </w:rPr>
        <w:t>. Ratzka considers the potential costs and benefits</w:t>
      </w:r>
      <w:r>
        <w:rPr>
          <w:spacing w:val="80"/>
          <w:vertAlign w:val="baseline"/>
        </w:rPr>
        <w:t> </w:t>
      </w:r>
      <w:r>
        <w:rPr>
          <w:vertAlign w:val="baseline"/>
        </w:rPr>
        <w:t>associated with installing lifts in low rise (3 or 4 storey) apartment buildings in Stockholm, Sweden. He converts his total benefit estimates into equivalent rental values.</w:t>
      </w:r>
      <w:r>
        <w:rPr>
          <w:spacing w:val="40"/>
          <w:vertAlign w:val="baseline"/>
        </w:rPr>
        <w:t> </w:t>
      </w:r>
      <w:r>
        <w:rPr>
          <w:vertAlign w:val="baseline"/>
        </w:rPr>
        <w:t>That is, a given annual benefit is expressed in terms of the equivalent impact</w:t>
      </w:r>
      <w:r>
        <w:rPr>
          <w:spacing w:val="-3"/>
          <w:vertAlign w:val="baseline"/>
        </w:rPr>
        <w:t> </w:t>
      </w:r>
      <w:r>
        <w:rPr>
          <w:vertAlign w:val="baseline"/>
        </w:rPr>
        <w:t>on</w:t>
      </w:r>
      <w:r>
        <w:rPr>
          <w:spacing w:val="-3"/>
          <w:vertAlign w:val="baseline"/>
        </w:rPr>
        <w:t> </w:t>
      </w:r>
      <w:r>
        <w:rPr>
          <w:vertAlign w:val="baseline"/>
        </w:rPr>
        <w:t>the</w:t>
      </w:r>
      <w:r>
        <w:rPr>
          <w:spacing w:val="-3"/>
          <w:vertAlign w:val="baseline"/>
        </w:rPr>
        <w:t> </w:t>
      </w:r>
      <w:r>
        <w:rPr>
          <w:vertAlign w:val="baseline"/>
        </w:rPr>
        <w:t>notional</w:t>
      </w:r>
      <w:r>
        <w:rPr>
          <w:spacing w:val="-3"/>
          <w:vertAlign w:val="baseline"/>
        </w:rPr>
        <w:t> </w:t>
      </w:r>
      <w:r>
        <w:rPr>
          <w:vertAlign w:val="baseline"/>
        </w:rPr>
        <w:t>rental</w:t>
      </w:r>
      <w:r>
        <w:rPr>
          <w:spacing w:val="-3"/>
          <w:vertAlign w:val="baseline"/>
        </w:rPr>
        <w:t> </w:t>
      </w:r>
      <w:r>
        <w:rPr>
          <w:vertAlign w:val="baseline"/>
        </w:rPr>
        <w:t>value</w:t>
      </w:r>
      <w:r>
        <w:rPr>
          <w:spacing w:val="-3"/>
          <w:vertAlign w:val="baseline"/>
        </w:rPr>
        <w:t> </w:t>
      </w:r>
      <w:r>
        <w:rPr>
          <w:vertAlign w:val="baseline"/>
        </w:rPr>
        <w:t>(per</w:t>
      </w:r>
      <w:r>
        <w:rPr>
          <w:spacing w:val="-3"/>
          <w:vertAlign w:val="baseline"/>
        </w:rPr>
        <w:t> </w:t>
      </w:r>
      <w:r>
        <w:rPr>
          <w:vertAlign w:val="baseline"/>
        </w:rPr>
        <w:t>square</w:t>
      </w:r>
      <w:r>
        <w:rPr>
          <w:spacing w:val="-3"/>
          <w:vertAlign w:val="baseline"/>
        </w:rPr>
        <w:t> </w:t>
      </w:r>
      <w:r>
        <w:rPr>
          <w:vertAlign w:val="baseline"/>
        </w:rPr>
        <w:t>metre)</w:t>
      </w:r>
      <w:r>
        <w:rPr>
          <w:spacing w:val="-3"/>
          <w:vertAlign w:val="baseline"/>
        </w:rPr>
        <w:t> </w:t>
      </w:r>
      <w:r>
        <w:rPr>
          <w:vertAlign w:val="baseline"/>
        </w:rPr>
        <w:t>of</w:t>
      </w:r>
      <w:r>
        <w:rPr>
          <w:spacing w:val="-3"/>
          <w:vertAlign w:val="baseline"/>
        </w:rPr>
        <w:t> </w:t>
      </w:r>
      <w:r>
        <w:rPr>
          <w:vertAlign w:val="baseline"/>
        </w:rPr>
        <w:t>an</w:t>
      </w:r>
      <w:r>
        <w:rPr>
          <w:spacing w:val="-3"/>
          <w:vertAlign w:val="baseline"/>
        </w:rPr>
        <w:t> </w:t>
      </w:r>
      <w:r>
        <w:rPr>
          <w:vertAlign w:val="baseline"/>
        </w:rPr>
        <w:t>apartment.</w:t>
      </w:r>
      <w:r>
        <w:rPr>
          <w:spacing w:val="40"/>
          <w:vertAlign w:val="baseline"/>
        </w:rPr>
        <w:t> </w:t>
      </w:r>
      <w:r>
        <w:rPr>
          <w:vertAlign w:val="baseline"/>
        </w:rPr>
        <w:t>Implicitly, this adopts the same “willingness to pay” logic as that of Frisch, cited previously. Ratzka has calculated how much additional rent a rational tenant should be willing to pay annually in exchange for the additional values conferred by the presence of a lift.</w:t>
      </w:r>
    </w:p>
    <w:p>
      <w:pPr>
        <w:pStyle w:val="BodyText"/>
      </w:pPr>
    </w:p>
    <w:p>
      <w:pPr>
        <w:pStyle w:val="BodyText"/>
        <w:ind w:left="237" w:right="296"/>
        <w:jc w:val="both"/>
      </w:pPr>
      <w:r>
        <w:rPr/>
        <w:t>On this basis, he identifies benefits based on the potential for reducing or eliminating the costs contained in Table 3, below:</w:t>
      </w:r>
    </w:p>
    <w:p>
      <w:pPr>
        <w:pStyle w:val="BodyText"/>
        <w:spacing w:before="6"/>
      </w:pPr>
    </w:p>
    <w:p>
      <w:pPr>
        <w:pStyle w:val="Heading4"/>
        <w:ind w:left="237"/>
        <w:rPr>
          <w:u w:val="none"/>
        </w:rPr>
      </w:pPr>
      <w:r>
        <w:rPr/>
        <w:pict>
          <v:shape style="position:absolute;margin-left:89.880005pt;margin-top:12.516847pt;width:328.9pt;height:1.3pt;mso-position-horizontal-relative:page;mso-position-vertical-relative:paragraph;z-index:15746048" id="docshape39" coordorigin="1798,250" coordsize="6578,26" path="m8120,250l1798,250,1798,276,8120,276,8120,250xm8375,250l8130,250,8130,276,8375,276,8375,250xe" filled="true" fillcolor="#000000" stroked="false">
            <v:path arrowok="t"/>
            <v:fill type="solid"/>
            <w10:wrap type="none"/>
          </v:shape>
        </w:pict>
      </w:r>
      <w:r>
        <w:rPr>
          <w:u w:val="none"/>
        </w:rPr>
        <w:t>Table</w:t>
      </w:r>
      <w:r>
        <w:rPr>
          <w:spacing w:val="-3"/>
          <w:u w:val="none"/>
        </w:rPr>
        <w:t> </w:t>
      </w:r>
      <w:r>
        <w:rPr>
          <w:u w:val="none"/>
        </w:rPr>
        <w:t>3:</w:t>
      </w:r>
      <w:r>
        <w:rPr>
          <w:spacing w:val="-2"/>
          <w:u w:val="none"/>
        </w:rPr>
        <w:t> </w:t>
      </w:r>
      <w:r>
        <w:rPr>
          <w:u w:val="none"/>
        </w:rPr>
        <w:t>Costs</w:t>
      </w:r>
      <w:r>
        <w:rPr>
          <w:spacing w:val="-2"/>
          <w:u w:val="none"/>
        </w:rPr>
        <w:t> </w:t>
      </w:r>
      <w:r>
        <w:rPr>
          <w:u w:val="none"/>
        </w:rPr>
        <w:t>incurred</w:t>
      </w:r>
      <w:r>
        <w:rPr>
          <w:spacing w:val="-2"/>
          <w:u w:val="none"/>
        </w:rPr>
        <w:t> </w:t>
      </w:r>
      <w:r>
        <w:rPr>
          <w:u w:val="none"/>
        </w:rPr>
        <w:t>due</w:t>
      </w:r>
      <w:r>
        <w:rPr>
          <w:spacing w:val="-3"/>
          <w:u w:val="none"/>
        </w:rPr>
        <w:t> </w:t>
      </w:r>
      <w:r>
        <w:rPr>
          <w:u w:val="none"/>
        </w:rPr>
        <w:t>to</w:t>
      </w:r>
      <w:r>
        <w:rPr>
          <w:spacing w:val="-2"/>
          <w:u w:val="none"/>
        </w:rPr>
        <w:t> </w:t>
      </w:r>
      <w:r>
        <w:rPr>
          <w:u w:val="none"/>
        </w:rPr>
        <w:t>the</w:t>
      </w:r>
      <w:r>
        <w:rPr>
          <w:spacing w:val="-2"/>
          <w:u w:val="none"/>
        </w:rPr>
        <w:t> </w:t>
      </w:r>
      <w:r>
        <w:rPr>
          <w:u w:val="none"/>
        </w:rPr>
        <w:t>absence</w:t>
      </w:r>
      <w:r>
        <w:rPr>
          <w:spacing w:val="-2"/>
          <w:u w:val="none"/>
        </w:rPr>
        <w:t> </w:t>
      </w:r>
      <w:r>
        <w:rPr>
          <w:u w:val="none"/>
        </w:rPr>
        <w:t>of</w:t>
      </w:r>
      <w:r>
        <w:rPr>
          <w:spacing w:val="-2"/>
          <w:u w:val="none"/>
        </w:rPr>
        <w:t> elevators</w:t>
      </w:r>
      <w:r>
        <w:rPr>
          <w:spacing w:val="-2"/>
          <w:u w:val="none"/>
          <w:vertAlign w:val="superscript"/>
        </w:rPr>
        <w:t>47</w:t>
      </w:r>
      <w:r>
        <w:rPr>
          <w:spacing w:val="-2"/>
          <w:u w:val="none"/>
          <w:vertAlign w:val="baseline"/>
        </w:rPr>
        <w:t>.</w:t>
      </w:r>
    </w:p>
    <w:p>
      <w:pPr>
        <w:pStyle w:val="BodyText"/>
        <w:spacing w:before="4"/>
        <w:rPr>
          <w:b/>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8"/>
        <w:gridCol w:w="3240"/>
      </w:tblGrid>
      <w:tr>
        <w:trPr>
          <w:trHeight w:val="331" w:hRule="atLeast"/>
        </w:trPr>
        <w:tc>
          <w:tcPr>
            <w:tcW w:w="5688" w:type="dxa"/>
          </w:tcPr>
          <w:p>
            <w:pPr>
              <w:pStyle w:val="TableParagraph"/>
              <w:spacing w:before="26"/>
              <w:ind w:left="107"/>
              <w:rPr>
                <w:b/>
                <w:sz w:val="24"/>
              </w:rPr>
            </w:pPr>
            <w:r>
              <w:rPr>
                <w:b/>
                <w:sz w:val="24"/>
              </w:rPr>
              <w:t>Cost</w:t>
            </w:r>
            <w:r>
              <w:rPr>
                <w:b/>
                <w:spacing w:val="-6"/>
                <w:sz w:val="24"/>
              </w:rPr>
              <w:t> </w:t>
            </w:r>
            <w:r>
              <w:rPr>
                <w:b/>
                <w:spacing w:val="-4"/>
                <w:sz w:val="24"/>
              </w:rPr>
              <w:t>item</w:t>
            </w:r>
          </w:p>
        </w:tc>
        <w:tc>
          <w:tcPr>
            <w:tcW w:w="3240" w:type="dxa"/>
          </w:tcPr>
          <w:p>
            <w:pPr>
              <w:pStyle w:val="TableParagraph"/>
              <w:spacing w:before="26"/>
              <w:ind w:left="107"/>
              <w:rPr>
                <w:b/>
                <w:sz w:val="24"/>
              </w:rPr>
            </w:pPr>
            <w:r>
              <w:rPr>
                <w:b/>
                <w:sz w:val="24"/>
              </w:rPr>
              <w:t>Size</w:t>
            </w:r>
            <w:r>
              <w:rPr>
                <w:b/>
                <w:spacing w:val="-2"/>
                <w:sz w:val="24"/>
              </w:rPr>
              <w:t> </w:t>
            </w:r>
            <w:r>
              <w:rPr>
                <w:b/>
                <w:sz w:val="24"/>
              </w:rPr>
              <w:t>of</w:t>
            </w:r>
            <w:r>
              <w:rPr>
                <w:b/>
                <w:spacing w:val="-2"/>
                <w:sz w:val="24"/>
              </w:rPr>
              <w:t> </w:t>
            </w:r>
            <w:r>
              <w:rPr>
                <w:b/>
                <w:sz w:val="24"/>
              </w:rPr>
              <w:t>cost</w:t>
            </w:r>
            <w:r>
              <w:rPr>
                <w:b/>
                <w:spacing w:val="-2"/>
                <w:sz w:val="24"/>
              </w:rPr>
              <w:t> </w:t>
            </w:r>
            <w:r>
              <w:rPr>
                <w:b/>
                <w:sz w:val="24"/>
              </w:rPr>
              <w:t>(*SEK/m</w:t>
            </w:r>
            <w:r>
              <w:rPr>
                <w:b/>
                <w:sz w:val="24"/>
                <w:vertAlign w:val="superscript"/>
              </w:rPr>
              <w:t>2</w:t>
            </w:r>
            <w:r>
              <w:rPr>
                <w:b/>
                <w:spacing w:val="-2"/>
                <w:sz w:val="24"/>
                <w:vertAlign w:val="baseline"/>
              </w:rPr>
              <w:t> </w:t>
            </w:r>
            <w:r>
              <w:rPr>
                <w:b/>
                <w:spacing w:val="-4"/>
                <w:sz w:val="24"/>
                <w:vertAlign w:val="baseline"/>
              </w:rPr>
              <w:t>/yr)</w:t>
            </w:r>
          </w:p>
        </w:tc>
      </w:tr>
      <w:tr>
        <w:trPr>
          <w:trHeight w:val="332" w:hRule="atLeast"/>
        </w:trPr>
        <w:tc>
          <w:tcPr>
            <w:tcW w:w="5688" w:type="dxa"/>
          </w:tcPr>
          <w:p>
            <w:pPr>
              <w:pStyle w:val="TableParagraph"/>
              <w:spacing w:before="25"/>
              <w:ind w:left="107"/>
              <w:rPr>
                <w:sz w:val="24"/>
              </w:rPr>
            </w:pPr>
            <w:r>
              <w:rPr>
                <w:sz w:val="24"/>
              </w:rPr>
              <w:t>Staircase</w:t>
            </w:r>
            <w:r>
              <w:rPr>
                <w:spacing w:val="-8"/>
                <w:sz w:val="24"/>
              </w:rPr>
              <w:t> </w:t>
            </w:r>
            <w:r>
              <w:rPr>
                <w:spacing w:val="-2"/>
                <w:sz w:val="24"/>
              </w:rPr>
              <w:t>accidents</w:t>
            </w:r>
          </w:p>
        </w:tc>
        <w:tc>
          <w:tcPr>
            <w:tcW w:w="3240" w:type="dxa"/>
          </w:tcPr>
          <w:p>
            <w:pPr>
              <w:pStyle w:val="TableParagraph"/>
              <w:spacing w:before="25"/>
              <w:ind w:right="96"/>
              <w:jc w:val="right"/>
              <w:rPr>
                <w:sz w:val="24"/>
              </w:rPr>
            </w:pPr>
            <w:r>
              <w:rPr>
                <w:sz w:val="24"/>
              </w:rPr>
              <w:t>1.40</w:t>
            </w:r>
            <w:r>
              <w:rPr>
                <w:spacing w:val="-5"/>
                <w:sz w:val="24"/>
              </w:rPr>
              <w:t> </w:t>
            </w:r>
            <w:r>
              <w:rPr>
                <w:sz w:val="24"/>
              </w:rPr>
              <w:t>to</w:t>
            </w:r>
            <w:r>
              <w:rPr>
                <w:spacing w:val="-4"/>
                <w:sz w:val="24"/>
              </w:rPr>
              <w:t> 2.40</w:t>
            </w:r>
          </w:p>
        </w:tc>
      </w:tr>
      <w:tr>
        <w:trPr>
          <w:trHeight w:val="1987" w:hRule="atLeast"/>
        </w:trPr>
        <w:tc>
          <w:tcPr>
            <w:tcW w:w="5688" w:type="dxa"/>
          </w:tcPr>
          <w:p>
            <w:pPr>
              <w:pStyle w:val="TableParagraph"/>
              <w:spacing w:before="25"/>
              <w:ind w:left="107"/>
              <w:jc w:val="both"/>
              <w:rPr>
                <w:sz w:val="24"/>
              </w:rPr>
            </w:pPr>
            <w:r>
              <w:rPr>
                <w:sz w:val="24"/>
              </w:rPr>
              <w:t>Nursing</w:t>
            </w:r>
            <w:r>
              <w:rPr>
                <w:spacing w:val="-9"/>
                <w:sz w:val="24"/>
              </w:rPr>
              <w:t> </w:t>
            </w:r>
            <w:r>
              <w:rPr>
                <w:sz w:val="24"/>
              </w:rPr>
              <w:t>home</w:t>
            </w:r>
            <w:r>
              <w:rPr>
                <w:spacing w:val="-9"/>
                <w:sz w:val="24"/>
              </w:rPr>
              <w:t> </w:t>
            </w:r>
            <w:r>
              <w:rPr>
                <w:sz w:val="24"/>
              </w:rPr>
              <w:t>and</w:t>
            </w:r>
            <w:r>
              <w:rPr>
                <w:spacing w:val="-9"/>
                <w:sz w:val="24"/>
              </w:rPr>
              <w:t> </w:t>
            </w:r>
            <w:r>
              <w:rPr>
                <w:sz w:val="24"/>
              </w:rPr>
              <w:t>old</w:t>
            </w:r>
            <w:r>
              <w:rPr>
                <w:spacing w:val="-9"/>
                <w:sz w:val="24"/>
              </w:rPr>
              <w:t> </w:t>
            </w:r>
            <w:r>
              <w:rPr>
                <w:sz w:val="24"/>
              </w:rPr>
              <w:t>age</w:t>
            </w:r>
            <w:r>
              <w:rPr>
                <w:spacing w:val="-9"/>
                <w:sz w:val="24"/>
              </w:rPr>
              <w:t> </w:t>
            </w:r>
            <w:r>
              <w:rPr>
                <w:sz w:val="24"/>
              </w:rPr>
              <w:t>home</w:t>
            </w:r>
            <w:r>
              <w:rPr>
                <w:spacing w:val="-9"/>
                <w:sz w:val="24"/>
              </w:rPr>
              <w:t> </w:t>
            </w:r>
            <w:r>
              <w:rPr>
                <w:spacing w:val="-4"/>
                <w:sz w:val="24"/>
              </w:rPr>
              <w:t>care</w:t>
            </w:r>
          </w:p>
          <w:p>
            <w:pPr>
              <w:pStyle w:val="TableParagraph"/>
              <w:ind w:left="107" w:right="96"/>
              <w:jc w:val="both"/>
              <w:rPr>
                <w:sz w:val="24"/>
              </w:rPr>
            </w:pPr>
            <w:r>
              <w:rPr>
                <w:sz w:val="24"/>
              </w:rPr>
              <w:t>Accessible housing and community-based services (whose costs are included here) such as 24-hour emergency call system, personal assistance for </w:t>
            </w:r>
            <w:r>
              <w:rPr>
                <w:sz w:val="24"/>
              </w:rPr>
              <w:t>7</w:t>
            </w:r>
            <w:r>
              <w:rPr>
                <w:spacing w:val="40"/>
                <w:sz w:val="24"/>
              </w:rPr>
              <w:t> </w:t>
            </w:r>
            <w:r>
              <w:rPr>
                <w:sz w:val="24"/>
              </w:rPr>
              <w:t>to 35 hours/week, periodic visits by district nurse enable many elderly and disabled to avoid the move to institutional care.</w:t>
            </w:r>
          </w:p>
        </w:tc>
        <w:tc>
          <w:tcPr>
            <w:tcW w:w="3240" w:type="dxa"/>
          </w:tcPr>
          <w:p>
            <w:pPr>
              <w:pStyle w:val="TableParagraph"/>
              <w:rPr>
                <w:b/>
                <w:sz w:val="26"/>
              </w:rPr>
            </w:pPr>
          </w:p>
          <w:p>
            <w:pPr>
              <w:pStyle w:val="TableParagraph"/>
              <w:rPr>
                <w:b/>
                <w:sz w:val="26"/>
              </w:rPr>
            </w:pPr>
          </w:p>
          <w:p>
            <w:pPr>
              <w:pStyle w:val="TableParagraph"/>
              <w:spacing w:before="2"/>
              <w:rPr>
                <w:b/>
                <w:sz w:val="22"/>
              </w:rPr>
            </w:pPr>
          </w:p>
          <w:p>
            <w:pPr>
              <w:pStyle w:val="TableParagraph"/>
              <w:ind w:right="95"/>
              <w:jc w:val="right"/>
              <w:rPr>
                <w:sz w:val="24"/>
              </w:rPr>
            </w:pPr>
            <w:r>
              <w:rPr>
                <w:sz w:val="24"/>
              </w:rPr>
              <w:t>15.60</w:t>
            </w:r>
            <w:r>
              <w:rPr>
                <w:spacing w:val="-7"/>
                <w:sz w:val="24"/>
              </w:rPr>
              <w:t> </w:t>
            </w:r>
            <w:r>
              <w:rPr>
                <w:sz w:val="24"/>
              </w:rPr>
              <w:t>to</w:t>
            </w:r>
            <w:r>
              <w:rPr>
                <w:spacing w:val="-5"/>
                <w:sz w:val="24"/>
              </w:rPr>
              <w:t> </w:t>
            </w:r>
            <w:r>
              <w:rPr>
                <w:spacing w:val="-2"/>
                <w:sz w:val="24"/>
              </w:rPr>
              <w:t>32.40</w:t>
            </w:r>
          </w:p>
        </w:tc>
      </w:tr>
      <w:tr>
        <w:trPr>
          <w:trHeight w:val="883" w:hRule="atLeast"/>
        </w:trPr>
        <w:tc>
          <w:tcPr>
            <w:tcW w:w="5688" w:type="dxa"/>
          </w:tcPr>
          <w:p>
            <w:pPr>
              <w:pStyle w:val="TableParagraph"/>
              <w:spacing w:before="25"/>
              <w:ind w:left="107"/>
              <w:rPr>
                <w:sz w:val="24"/>
              </w:rPr>
            </w:pPr>
            <w:r>
              <w:rPr>
                <w:sz w:val="24"/>
              </w:rPr>
              <w:t>Personal</w:t>
            </w:r>
            <w:r>
              <w:rPr>
                <w:spacing w:val="-6"/>
                <w:sz w:val="24"/>
              </w:rPr>
              <w:t> </w:t>
            </w:r>
            <w:r>
              <w:rPr>
                <w:sz w:val="24"/>
              </w:rPr>
              <w:t>assistance</w:t>
            </w:r>
            <w:r>
              <w:rPr>
                <w:spacing w:val="-6"/>
                <w:sz w:val="24"/>
              </w:rPr>
              <w:t> </w:t>
            </w:r>
            <w:r>
              <w:rPr>
                <w:sz w:val="24"/>
              </w:rPr>
              <w:t>(home</w:t>
            </w:r>
            <w:r>
              <w:rPr>
                <w:spacing w:val="-6"/>
                <w:sz w:val="24"/>
              </w:rPr>
              <w:t> </w:t>
            </w:r>
            <w:r>
              <w:rPr>
                <w:sz w:val="24"/>
              </w:rPr>
              <w:t>help</w:t>
            </w:r>
            <w:r>
              <w:rPr>
                <w:spacing w:val="-5"/>
                <w:sz w:val="24"/>
              </w:rPr>
              <w:t> </w:t>
            </w:r>
            <w:r>
              <w:rPr>
                <w:spacing w:val="-2"/>
                <w:sz w:val="24"/>
              </w:rPr>
              <w:t>etc.)</w:t>
            </w:r>
          </w:p>
          <w:p>
            <w:pPr>
              <w:pStyle w:val="TableParagraph"/>
              <w:ind w:left="107"/>
              <w:rPr>
                <w:sz w:val="24"/>
              </w:rPr>
            </w:pPr>
            <w:r>
              <w:rPr>
                <w:sz w:val="24"/>
              </w:rPr>
              <w:t>The</w:t>
            </w:r>
            <w:r>
              <w:rPr>
                <w:spacing w:val="80"/>
                <w:sz w:val="24"/>
              </w:rPr>
              <w:t> </w:t>
            </w:r>
            <w:r>
              <w:rPr>
                <w:sz w:val="24"/>
              </w:rPr>
              <w:t>need</w:t>
            </w:r>
            <w:r>
              <w:rPr>
                <w:spacing w:val="80"/>
                <w:sz w:val="24"/>
              </w:rPr>
              <w:t> </w:t>
            </w:r>
            <w:r>
              <w:rPr>
                <w:sz w:val="24"/>
              </w:rPr>
              <w:t>for</w:t>
            </w:r>
            <w:r>
              <w:rPr>
                <w:spacing w:val="80"/>
                <w:sz w:val="24"/>
              </w:rPr>
              <w:t> </w:t>
            </w:r>
            <w:r>
              <w:rPr>
                <w:sz w:val="24"/>
              </w:rPr>
              <w:t>these</w:t>
            </w:r>
            <w:r>
              <w:rPr>
                <w:spacing w:val="80"/>
                <w:sz w:val="24"/>
              </w:rPr>
              <w:t> </w:t>
            </w:r>
            <w:r>
              <w:rPr>
                <w:sz w:val="24"/>
              </w:rPr>
              <w:t>services</w:t>
            </w:r>
            <w:r>
              <w:rPr>
                <w:spacing w:val="80"/>
                <w:sz w:val="24"/>
              </w:rPr>
              <w:t> </w:t>
            </w:r>
            <w:r>
              <w:rPr>
                <w:sz w:val="24"/>
              </w:rPr>
              <w:t>is</w:t>
            </w:r>
            <w:r>
              <w:rPr>
                <w:spacing w:val="80"/>
                <w:sz w:val="24"/>
              </w:rPr>
              <w:t> </w:t>
            </w:r>
            <w:r>
              <w:rPr>
                <w:sz w:val="24"/>
              </w:rPr>
              <w:t>decreased</w:t>
            </w:r>
            <w:r>
              <w:rPr>
                <w:spacing w:val="80"/>
                <w:sz w:val="24"/>
              </w:rPr>
              <w:t> </w:t>
            </w:r>
            <w:r>
              <w:rPr>
                <w:sz w:val="24"/>
              </w:rPr>
              <w:t>by accessible housing.</w:t>
            </w:r>
          </w:p>
        </w:tc>
        <w:tc>
          <w:tcPr>
            <w:tcW w:w="3240" w:type="dxa"/>
          </w:tcPr>
          <w:p>
            <w:pPr>
              <w:pStyle w:val="TableParagraph"/>
              <w:spacing w:before="2"/>
              <w:rPr>
                <w:b/>
                <w:sz w:val="26"/>
              </w:rPr>
            </w:pPr>
          </w:p>
          <w:p>
            <w:pPr>
              <w:pStyle w:val="TableParagraph"/>
              <w:ind w:right="96"/>
              <w:jc w:val="right"/>
              <w:rPr>
                <w:sz w:val="24"/>
              </w:rPr>
            </w:pPr>
            <w:r>
              <w:rPr>
                <w:sz w:val="24"/>
              </w:rPr>
              <w:t>4.50</w:t>
            </w:r>
            <w:r>
              <w:rPr>
                <w:spacing w:val="-5"/>
                <w:sz w:val="24"/>
              </w:rPr>
              <w:t> </w:t>
            </w:r>
            <w:r>
              <w:rPr>
                <w:sz w:val="24"/>
              </w:rPr>
              <w:t>to</w:t>
            </w:r>
            <w:r>
              <w:rPr>
                <w:spacing w:val="-4"/>
                <w:sz w:val="24"/>
              </w:rPr>
              <w:t> 6.90</w:t>
            </w:r>
          </w:p>
        </w:tc>
      </w:tr>
      <w:tr>
        <w:trPr>
          <w:trHeight w:val="608" w:hRule="atLeast"/>
        </w:trPr>
        <w:tc>
          <w:tcPr>
            <w:tcW w:w="5688" w:type="dxa"/>
          </w:tcPr>
          <w:p>
            <w:pPr>
              <w:pStyle w:val="TableParagraph"/>
              <w:spacing w:before="25"/>
              <w:ind w:left="107" w:right="98"/>
              <w:rPr>
                <w:sz w:val="24"/>
              </w:rPr>
            </w:pPr>
            <w:r>
              <w:rPr>
                <w:sz w:val="24"/>
              </w:rPr>
              <w:t>In</w:t>
            </w:r>
            <w:r>
              <w:rPr>
                <w:spacing w:val="-5"/>
                <w:sz w:val="24"/>
              </w:rPr>
              <w:t> </w:t>
            </w:r>
            <w:r>
              <w:rPr>
                <w:sz w:val="24"/>
              </w:rPr>
              <w:t>addition,</w:t>
            </w:r>
            <w:r>
              <w:rPr>
                <w:spacing w:val="-4"/>
                <w:sz w:val="24"/>
              </w:rPr>
              <w:t> </w:t>
            </w:r>
            <w:r>
              <w:rPr>
                <w:sz w:val="24"/>
              </w:rPr>
              <w:t>elevators</w:t>
            </w:r>
            <w:r>
              <w:rPr>
                <w:spacing w:val="-5"/>
                <w:sz w:val="24"/>
              </w:rPr>
              <w:t> </w:t>
            </w:r>
            <w:r>
              <w:rPr>
                <w:sz w:val="24"/>
              </w:rPr>
              <w:t>are</w:t>
            </w:r>
            <w:r>
              <w:rPr>
                <w:spacing w:val="-5"/>
                <w:sz w:val="24"/>
              </w:rPr>
              <w:t> </w:t>
            </w:r>
            <w:r>
              <w:rPr>
                <w:sz w:val="24"/>
              </w:rPr>
              <w:t>an</w:t>
            </w:r>
            <w:r>
              <w:rPr>
                <w:spacing w:val="-5"/>
                <w:sz w:val="24"/>
              </w:rPr>
              <w:t> </w:t>
            </w:r>
            <w:r>
              <w:rPr>
                <w:sz w:val="24"/>
              </w:rPr>
              <w:t>amenity</w:t>
            </w:r>
            <w:r>
              <w:rPr>
                <w:spacing w:val="-5"/>
                <w:sz w:val="24"/>
              </w:rPr>
              <w:t> </w:t>
            </w:r>
            <w:r>
              <w:rPr>
                <w:sz w:val="24"/>
              </w:rPr>
              <w:t>valued</w:t>
            </w:r>
            <w:r>
              <w:rPr>
                <w:spacing w:val="-5"/>
                <w:sz w:val="24"/>
              </w:rPr>
              <w:t> </w:t>
            </w:r>
            <w:r>
              <w:rPr>
                <w:sz w:val="24"/>
              </w:rPr>
              <w:t>also</w:t>
            </w:r>
            <w:r>
              <w:rPr>
                <w:spacing w:val="-5"/>
                <w:sz w:val="24"/>
              </w:rPr>
              <w:t> </w:t>
            </w:r>
            <w:r>
              <w:rPr>
                <w:sz w:val="24"/>
              </w:rPr>
              <w:t>by non-disabled tenants.</w:t>
            </w:r>
          </w:p>
        </w:tc>
        <w:tc>
          <w:tcPr>
            <w:tcW w:w="3240" w:type="dxa"/>
          </w:tcPr>
          <w:p>
            <w:pPr>
              <w:pStyle w:val="TableParagraph"/>
              <w:spacing w:before="163"/>
              <w:ind w:right="96"/>
              <w:jc w:val="right"/>
              <w:rPr>
                <w:sz w:val="24"/>
              </w:rPr>
            </w:pPr>
            <w:r>
              <w:rPr>
                <w:sz w:val="24"/>
              </w:rPr>
              <w:t>4.80</w:t>
            </w:r>
            <w:r>
              <w:rPr>
                <w:spacing w:val="-5"/>
                <w:sz w:val="24"/>
              </w:rPr>
              <w:t> </w:t>
            </w:r>
            <w:r>
              <w:rPr>
                <w:sz w:val="24"/>
              </w:rPr>
              <w:t>to</w:t>
            </w:r>
            <w:r>
              <w:rPr>
                <w:spacing w:val="-4"/>
                <w:sz w:val="24"/>
              </w:rPr>
              <w:t> 7.70</w:t>
            </w:r>
          </w:p>
        </w:tc>
      </w:tr>
      <w:tr>
        <w:trPr>
          <w:trHeight w:val="331" w:hRule="atLeast"/>
        </w:trPr>
        <w:tc>
          <w:tcPr>
            <w:tcW w:w="5688" w:type="dxa"/>
          </w:tcPr>
          <w:p>
            <w:pPr>
              <w:pStyle w:val="TableParagraph"/>
              <w:spacing w:before="26"/>
              <w:ind w:left="107"/>
              <w:rPr>
                <w:b/>
                <w:sz w:val="24"/>
              </w:rPr>
            </w:pPr>
            <w:r>
              <w:rPr>
                <w:b/>
                <w:spacing w:val="-2"/>
                <w:sz w:val="24"/>
              </w:rPr>
              <w:t>Total</w:t>
            </w:r>
          </w:p>
        </w:tc>
        <w:tc>
          <w:tcPr>
            <w:tcW w:w="3240" w:type="dxa"/>
          </w:tcPr>
          <w:p>
            <w:pPr>
              <w:pStyle w:val="TableParagraph"/>
              <w:spacing w:before="25"/>
              <w:ind w:right="95"/>
              <w:jc w:val="right"/>
              <w:rPr>
                <w:sz w:val="24"/>
              </w:rPr>
            </w:pPr>
            <w:r>
              <w:rPr>
                <w:sz w:val="24"/>
              </w:rPr>
              <w:t>26.90</w:t>
            </w:r>
            <w:r>
              <w:rPr>
                <w:spacing w:val="-7"/>
                <w:sz w:val="24"/>
              </w:rPr>
              <w:t> </w:t>
            </w:r>
            <w:r>
              <w:rPr>
                <w:sz w:val="24"/>
              </w:rPr>
              <w:t>to</w:t>
            </w:r>
            <w:r>
              <w:rPr>
                <w:spacing w:val="-5"/>
                <w:sz w:val="24"/>
              </w:rPr>
              <w:t> </w:t>
            </w:r>
            <w:r>
              <w:rPr>
                <w:spacing w:val="-2"/>
                <w:sz w:val="24"/>
              </w:rPr>
              <w:t>49.40</w:t>
            </w:r>
          </w:p>
        </w:tc>
      </w:tr>
    </w:tbl>
    <w:p>
      <w:pPr>
        <w:spacing w:before="1"/>
        <w:ind w:left="237" w:right="0" w:firstLine="0"/>
        <w:jc w:val="both"/>
        <w:rPr>
          <w:sz w:val="20"/>
        </w:rPr>
      </w:pPr>
      <w:r>
        <w:rPr>
          <w:sz w:val="20"/>
        </w:rPr>
        <w:t>*Note:</w:t>
      </w:r>
      <w:r>
        <w:rPr>
          <w:spacing w:val="-4"/>
          <w:sz w:val="20"/>
        </w:rPr>
        <w:t> </w:t>
      </w:r>
      <w:r>
        <w:rPr>
          <w:sz w:val="20"/>
        </w:rPr>
        <w:t>A</w:t>
      </w:r>
      <w:r>
        <w:rPr>
          <w:spacing w:val="-3"/>
          <w:sz w:val="20"/>
        </w:rPr>
        <w:t> </w:t>
      </w:r>
      <w:r>
        <w:rPr>
          <w:sz w:val="20"/>
        </w:rPr>
        <w:t>SEK</w:t>
      </w:r>
      <w:r>
        <w:rPr>
          <w:spacing w:val="-4"/>
          <w:sz w:val="20"/>
        </w:rPr>
        <w:t> </w:t>
      </w:r>
      <w:r>
        <w:rPr>
          <w:sz w:val="20"/>
        </w:rPr>
        <w:t>is</w:t>
      </w:r>
      <w:r>
        <w:rPr>
          <w:spacing w:val="-3"/>
          <w:sz w:val="20"/>
        </w:rPr>
        <w:t> </w:t>
      </w:r>
      <w:r>
        <w:rPr>
          <w:sz w:val="20"/>
        </w:rPr>
        <w:t>a</w:t>
      </w:r>
      <w:r>
        <w:rPr>
          <w:spacing w:val="-4"/>
          <w:sz w:val="20"/>
        </w:rPr>
        <w:t> </w:t>
      </w:r>
      <w:r>
        <w:rPr>
          <w:sz w:val="20"/>
        </w:rPr>
        <w:t>Swedish</w:t>
      </w:r>
      <w:r>
        <w:rPr>
          <w:spacing w:val="-3"/>
          <w:sz w:val="20"/>
        </w:rPr>
        <w:t> </w:t>
      </w:r>
      <w:r>
        <w:rPr>
          <w:spacing w:val="-2"/>
          <w:sz w:val="20"/>
        </w:rPr>
        <w:t>Kroner</w:t>
      </w:r>
    </w:p>
    <w:p>
      <w:pPr>
        <w:pStyle w:val="BodyText"/>
        <w:spacing w:before="11"/>
        <w:rPr>
          <w:sz w:val="23"/>
        </w:rPr>
      </w:pPr>
    </w:p>
    <w:p>
      <w:pPr>
        <w:pStyle w:val="BodyText"/>
        <w:ind w:left="237" w:right="294"/>
        <w:jc w:val="both"/>
      </w:pPr>
      <w:r>
        <w:rPr/>
        <w:t>These costs incurred due to the absence of elevators are equivalent</w:t>
      </w:r>
      <w:r>
        <w:rPr>
          <w:spacing w:val="-1"/>
        </w:rPr>
        <w:t> </w:t>
      </w:r>
      <w:r>
        <w:rPr/>
        <w:t>to about</w:t>
      </w:r>
      <w:r>
        <w:rPr>
          <w:spacing w:val="-1"/>
        </w:rPr>
        <w:t> </w:t>
      </w:r>
      <w:r>
        <w:rPr/>
        <w:t>half of the annual amortized costs that would be incurred by installing elevators.</w:t>
      </w:r>
      <w:r>
        <w:rPr>
          <w:spacing w:val="40"/>
        </w:rPr>
        <w:t> </w:t>
      </w:r>
      <w:r>
        <w:rPr/>
        <w:t>While the residential context in Australia is clearly very different from that in Sweden,</w:t>
      </w:r>
      <w:r>
        <w:rPr>
          <w:spacing w:val="22"/>
        </w:rPr>
        <w:t> </w:t>
      </w:r>
      <w:r>
        <w:rPr/>
        <w:t>where</w:t>
      </w:r>
      <w:r>
        <w:rPr>
          <w:spacing w:val="22"/>
        </w:rPr>
        <w:t> </w:t>
      </w:r>
      <w:r>
        <w:rPr/>
        <w:t>three</w:t>
      </w:r>
      <w:r>
        <w:rPr>
          <w:spacing w:val="22"/>
        </w:rPr>
        <w:t> </w:t>
      </w:r>
      <w:r>
        <w:rPr/>
        <w:t>and</w:t>
      </w:r>
      <w:r>
        <w:rPr>
          <w:spacing w:val="22"/>
        </w:rPr>
        <w:t> </w:t>
      </w:r>
      <w:r>
        <w:rPr/>
        <w:t>four</w:t>
      </w:r>
      <w:r>
        <w:rPr>
          <w:spacing w:val="22"/>
        </w:rPr>
        <w:t> </w:t>
      </w:r>
      <w:r>
        <w:rPr/>
        <w:t>floor</w:t>
      </w:r>
      <w:r>
        <w:rPr>
          <w:spacing w:val="22"/>
        </w:rPr>
        <w:t> </w:t>
      </w:r>
      <w:r>
        <w:rPr/>
        <w:t>walk-up</w:t>
      </w:r>
      <w:r>
        <w:rPr>
          <w:spacing w:val="22"/>
        </w:rPr>
        <w:t> </w:t>
      </w:r>
      <w:r>
        <w:rPr/>
        <w:t>apartments</w:t>
      </w:r>
      <w:r>
        <w:rPr>
          <w:spacing w:val="22"/>
        </w:rPr>
        <w:t> </w:t>
      </w:r>
      <w:r>
        <w:rPr/>
        <w:t>are</w:t>
      </w:r>
      <w:r>
        <w:rPr>
          <w:spacing w:val="22"/>
        </w:rPr>
        <w:t> </w:t>
      </w:r>
      <w:r>
        <w:rPr/>
        <w:t>quite</w:t>
      </w:r>
      <w:r>
        <w:rPr>
          <w:spacing w:val="22"/>
        </w:rPr>
        <w:t> </w:t>
      </w:r>
      <w:r>
        <w:rPr/>
        <w:t>common,</w:t>
      </w:r>
      <w:r>
        <w:rPr>
          <w:spacing w:val="22"/>
        </w:rPr>
        <w:t> </w:t>
      </w:r>
      <w:r>
        <w:rPr/>
        <w:t>the</w:t>
      </w:r>
    </w:p>
    <w:p>
      <w:pPr>
        <w:pStyle w:val="BodyText"/>
        <w:rPr>
          <w:sz w:val="20"/>
        </w:rPr>
      </w:pPr>
    </w:p>
    <w:p>
      <w:pPr>
        <w:pStyle w:val="BodyText"/>
        <w:spacing w:before="4"/>
        <w:rPr>
          <w:sz w:val="25"/>
        </w:rPr>
      </w:pPr>
      <w:r>
        <w:rPr/>
        <w:pict>
          <v:rect style="position:absolute;margin-left:89.879997pt;margin-top:15.802764pt;width:144pt;height:.6pt;mso-position-horizontal-relative:page;mso-position-vertical-relative:paragraph;z-index:-15711744;mso-wrap-distance-left:0;mso-wrap-distance-right:0" id="docshape40" filled="true" fillcolor="#000000" stroked="false">
            <v:fill type="solid"/>
            <w10:wrap type="topAndBottom"/>
          </v:rect>
        </w:pict>
      </w:r>
    </w:p>
    <w:p>
      <w:pPr>
        <w:pStyle w:val="BodyText"/>
        <w:spacing w:before="1"/>
        <w:rPr>
          <w:sz w:val="8"/>
        </w:rPr>
      </w:pPr>
    </w:p>
    <w:p>
      <w:pPr>
        <w:spacing w:before="130"/>
        <w:ind w:left="237" w:right="293" w:hanging="1"/>
        <w:jc w:val="both"/>
        <w:rPr>
          <w:sz w:val="20"/>
        </w:rPr>
      </w:pPr>
      <w:r>
        <w:rPr>
          <w:sz w:val="20"/>
          <w:vertAlign w:val="superscript"/>
        </w:rPr>
        <w:t>46</w:t>
      </w:r>
      <w:r>
        <w:rPr>
          <w:sz w:val="20"/>
          <w:vertAlign w:val="baseline"/>
        </w:rPr>
        <w:t> The Cost of Disabling Environments: A Cost Revenue Analysis of Installing Elevators in Old Houses.</w:t>
      </w:r>
      <w:r>
        <w:rPr>
          <w:spacing w:val="40"/>
          <w:sz w:val="20"/>
          <w:vertAlign w:val="baseline"/>
        </w:rPr>
        <w:t> </w:t>
      </w:r>
      <w:r>
        <w:rPr>
          <w:sz w:val="20"/>
          <w:vertAlign w:val="baseline"/>
        </w:rPr>
        <w:t>Report of the International Expert Seminar: Building Concept for the Handicapped Stockholm, Sweden, April 10-12, 1984.</w:t>
      </w:r>
      <w:r>
        <w:rPr>
          <w:spacing w:val="40"/>
          <w:sz w:val="20"/>
          <w:vertAlign w:val="baseline"/>
        </w:rPr>
        <w:t> </w:t>
      </w:r>
      <w:r>
        <w:rPr>
          <w:sz w:val="20"/>
          <w:vertAlign w:val="baseline"/>
        </w:rPr>
        <w:t>Ratzka, A.</w:t>
      </w:r>
      <w:r>
        <w:rPr>
          <w:spacing w:val="40"/>
          <w:sz w:val="20"/>
          <w:vertAlign w:val="baseline"/>
        </w:rPr>
        <w:t> </w:t>
      </w:r>
      <w:r>
        <w:rPr>
          <w:sz w:val="20"/>
          <w:vertAlign w:val="baseline"/>
        </w:rPr>
        <w:t>1984.</w:t>
      </w:r>
    </w:p>
    <w:p>
      <w:pPr>
        <w:spacing w:before="0"/>
        <w:ind w:left="237" w:right="293" w:firstLine="0"/>
        <w:jc w:val="both"/>
        <w:rPr>
          <w:sz w:val="20"/>
        </w:rPr>
      </w:pPr>
      <w:r>
        <w:rPr>
          <w:rFonts w:ascii="Times New Roman" w:hAnsi="Times New Roman"/>
          <w:sz w:val="20"/>
          <w:vertAlign w:val="superscript"/>
        </w:rPr>
        <w:t>47</w:t>
      </w:r>
      <w:r>
        <w:rPr>
          <w:rFonts w:ascii="Times New Roman" w:hAnsi="Times New Roman"/>
          <w:sz w:val="20"/>
          <w:vertAlign w:val="baseline"/>
        </w:rPr>
        <w:t> </w:t>
      </w:r>
      <w:r>
        <w:rPr>
          <w:sz w:val="20"/>
          <w:vertAlign w:val="baseline"/>
        </w:rPr>
        <w:t>The estimates are based on the present and future population mix in multi-family tenant</w:t>
      </w:r>
      <w:r>
        <w:rPr>
          <w:spacing w:val="40"/>
          <w:sz w:val="20"/>
          <w:vertAlign w:val="baseline"/>
        </w:rPr>
        <w:t> </w:t>
      </w:r>
      <w:r>
        <w:rPr>
          <w:sz w:val="20"/>
          <w:vertAlign w:val="baseline"/>
        </w:rPr>
        <w:t>housing in Stockholm’s older suburbs, and on the assumption that elevators are installed in each building upon renovation - regardless of whether people with a disability live there or not.</w:t>
      </w:r>
    </w:p>
    <w:p>
      <w:pPr>
        <w:spacing w:after="0"/>
        <w:jc w:val="both"/>
        <w:rPr>
          <w:sz w:val="20"/>
        </w:rPr>
        <w:sectPr>
          <w:pgSz w:w="12240" w:h="15840"/>
          <w:pgMar w:header="0" w:footer="1140" w:top="1320" w:bottom="1340" w:left="1560" w:right="1500"/>
        </w:sectPr>
      </w:pPr>
    </w:p>
    <w:p>
      <w:pPr>
        <w:pStyle w:val="BodyText"/>
        <w:spacing w:before="77"/>
        <w:ind w:left="237" w:right="294"/>
        <w:jc w:val="both"/>
      </w:pPr>
      <w:r>
        <w:rPr/>
        <w:t>above provides a general indication of some of the broader benefits that can be derived from improving building accessibility.</w:t>
      </w:r>
    </w:p>
    <w:p>
      <w:pPr>
        <w:pStyle w:val="BodyText"/>
        <w:spacing w:before="11"/>
        <w:rPr>
          <w:sz w:val="23"/>
        </w:rPr>
      </w:pPr>
    </w:p>
    <w:p>
      <w:pPr>
        <w:pStyle w:val="BodyText"/>
        <w:ind w:left="237" w:right="295"/>
        <w:jc w:val="both"/>
      </w:pPr>
      <w:r>
        <w:rPr/>
        <w:t>As well as the benefits in terms of accidents and injuries avoided by all members of society, noted above, AHRC argues that additional gains due to the Premises Standard’s adoption would be likely to include the following:</w:t>
      </w:r>
    </w:p>
    <w:p>
      <w:pPr>
        <w:pStyle w:val="BodyText"/>
        <w:spacing w:before="3"/>
      </w:pPr>
    </w:p>
    <w:p>
      <w:pPr>
        <w:pStyle w:val="ListParagraph"/>
        <w:numPr>
          <w:ilvl w:val="0"/>
          <w:numId w:val="24"/>
        </w:numPr>
        <w:tabs>
          <w:tab w:pos="957" w:val="left" w:leader="none"/>
          <w:tab w:pos="958" w:val="left" w:leader="none"/>
        </w:tabs>
        <w:spacing w:line="237" w:lineRule="auto" w:before="0" w:after="0"/>
        <w:ind w:left="951" w:right="295" w:hanging="357"/>
        <w:jc w:val="left"/>
        <w:rPr>
          <w:sz w:val="24"/>
        </w:rPr>
      </w:pPr>
      <w:r>
        <w:rPr>
          <w:sz w:val="24"/>
        </w:rPr>
        <w:t>Reductions in property damage arising from manoeuvring heavy items up </w:t>
      </w:r>
      <w:r>
        <w:rPr>
          <w:spacing w:val="-2"/>
          <w:sz w:val="24"/>
        </w:rPr>
        <w:t>stairs;</w:t>
      </w:r>
    </w:p>
    <w:p>
      <w:pPr>
        <w:pStyle w:val="ListParagraph"/>
        <w:numPr>
          <w:ilvl w:val="0"/>
          <w:numId w:val="24"/>
        </w:numPr>
        <w:tabs>
          <w:tab w:pos="957" w:val="left" w:leader="none"/>
          <w:tab w:pos="958" w:val="left" w:leader="none"/>
        </w:tabs>
        <w:spacing w:line="240" w:lineRule="auto" w:before="121" w:after="0"/>
        <w:ind w:left="951" w:right="295" w:hanging="357"/>
        <w:jc w:val="left"/>
        <w:rPr>
          <w:sz w:val="24"/>
        </w:rPr>
      </w:pPr>
      <w:r>
        <w:rPr>
          <w:sz w:val="24"/>
        </w:rPr>
        <w:t>Convenience</w:t>
      </w:r>
      <w:r>
        <w:rPr>
          <w:spacing w:val="40"/>
          <w:sz w:val="24"/>
        </w:rPr>
        <w:t> </w:t>
      </w:r>
      <w:r>
        <w:rPr>
          <w:sz w:val="24"/>
        </w:rPr>
        <w:t>benefits</w:t>
      </w:r>
      <w:r>
        <w:rPr>
          <w:spacing w:val="40"/>
          <w:sz w:val="24"/>
        </w:rPr>
        <w:t> </w:t>
      </w:r>
      <w:r>
        <w:rPr>
          <w:sz w:val="24"/>
        </w:rPr>
        <w:t>for</w:t>
      </w:r>
      <w:r>
        <w:rPr>
          <w:spacing w:val="40"/>
          <w:sz w:val="24"/>
        </w:rPr>
        <w:t> </w:t>
      </w:r>
      <w:r>
        <w:rPr>
          <w:sz w:val="24"/>
        </w:rPr>
        <w:t>families</w:t>
      </w:r>
      <w:r>
        <w:rPr>
          <w:spacing w:val="40"/>
          <w:sz w:val="24"/>
        </w:rPr>
        <w:t> </w:t>
      </w:r>
      <w:r>
        <w:rPr>
          <w:sz w:val="24"/>
        </w:rPr>
        <w:t>with</w:t>
      </w:r>
      <w:r>
        <w:rPr>
          <w:spacing w:val="40"/>
          <w:sz w:val="24"/>
        </w:rPr>
        <w:t> </w:t>
      </w:r>
      <w:r>
        <w:rPr>
          <w:sz w:val="24"/>
        </w:rPr>
        <w:t>small</w:t>
      </w:r>
      <w:r>
        <w:rPr>
          <w:spacing w:val="40"/>
          <w:sz w:val="24"/>
        </w:rPr>
        <w:t> </w:t>
      </w:r>
      <w:r>
        <w:rPr>
          <w:sz w:val="24"/>
        </w:rPr>
        <w:t>children</w:t>
      </w:r>
      <w:r>
        <w:rPr>
          <w:spacing w:val="40"/>
          <w:sz w:val="24"/>
        </w:rPr>
        <w:t> </w:t>
      </w:r>
      <w:r>
        <w:rPr>
          <w:sz w:val="24"/>
        </w:rPr>
        <w:t>(e.g.</w:t>
      </w:r>
      <w:r>
        <w:rPr>
          <w:spacing w:val="40"/>
          <w:sz w:val="24"/>
        </w:rPr>
        <w:t> </w:t>
      </w:r>
      <w:r>
        <w:rPr>
          <w:sz w:val="24"/>
        </w:rPr>
        <w:t>in</w:t>
      </w:r>
      <w:r>
        <w:rPr>
          <w:spacing w:val="40"/>
          <w:sz w:val="24"/>
        </w:rPr>
        <w:t> </w:t>
      </w:r>
      <w:r>
        <w:rPr>
          <w:sz w:val="24"/>
        </w:rPr>
        <w:t>relation</w:t>
      </w:r>
      <w:r>
        <w:rPr>
          <w:spacing w:val="40"/>
          <w:sz w:val="24"/>
        </w:rPr>
        <w:t> </w:t>
      </w:r>
      <w:r>
        <w:rPr>
          <w:sz w:val="24"/>
        </w:rPr>
        <w:t>to use of prams etc);</w:t>
      </w:r>
    </w:p>
    <w:p>
      <w:pPr>
        <w:pStyle w:val="ListParagraph"/>
        <w:numPr>
          <w:ilvl w:val="0"/>
          <w:numId w:val="24"/>
        </w:numPr>
        <w:tabs>
          <w:tab w:pos="957" w:val="left" w:leader="none"/>
          <w:tab w:pos="958" w:val="left" w:leader="none"/>
        </w:tabs>
        <w:spacing w:line="237" w:lineRule="auto" w:before="121" w:after="0"/>
        <w:ind w:left="951" w:right="296" w:hanging="357"/>
        <w:jc w:val="left"/>
        <w:rPr>
          <w:sz w:val="24"/>
        </w:rPr>
      </w:pPr>
      <w:r>
        <w:rPr>
          <w:sz w:val="24"/>
        </w:rPr>
        <w:t>Potential</w:t>
      </w:r>
      <w:r>
        <w:rPr>
          <w:spacing w:val="80"/>
          <w:sz w:val="24"/>
        </w:rPr>
        <w:t> </w:t>
      </w:r>
      <w:r>
        <w:rPr>
          <w:sz w:val="24"/>
        </w:rPr>
        <w:t>increases</w:t>
      </w:r>
      <w:r>
        <w:rPr>
          <w:spacing w:val="80"/>
          <w:sz w:val="24"/>
        </w:rPr>
        <w:t> </w:t>
      </w:r>
      <w:r>
        <w:rPr>
          <w:sz w:val="24"/>
        </w:rPr>
        <w:t>in</w:t>
      </w:r>
      <w:r>
        <w:rPr>
          <w:spacing w:val="80"/>
          <w:sz w:val="24"/>
        </w:rPr>
        <w:t> </w:t>
      </w:r>
      <w:r>
        <w:rPr>
          <w:sz w:val="24"/>
        </w:rPr>
        <w:t>economic</w:t>
      </w:r>
      <w:r>
        <w:rPr>
          <w:spacing w:val="80"/>
          <w:sz w:val="24"/>
        </w:rPr>
        <w:t> </w:t>
      </w:r>
      <w:r>
        <w:rPr>
          <w:sz w:val="24"/>
        </w:rPr>
        <w:t>activity</w:t>
      </w:r>
      <w:r>
        <w:rPr>
          <w:spacing w:val="80"/>
          <w:sz w:val="24"/>
        </w:rPr>
        <w:t> </w:t>
      </w:r>
      <w:r>
        <w:rPr>
          <w:sz w:val="24"/>
        </w:rPr>
        <w:t>due</w:t>
      </w:r>
      <w:r>
        <w:rPr>
          <w:spacing w:val="80"/>
          <w:sz w:val="24"/>
        </w:rPr>
        <w:t> </w:t>
      </w:r>
      <w:r>
        <w:rPr>
          <w:sz w:val="24"/>
        </w:rPr>
        <w:t>to</w:t>
      </w:r>
      <w:r>
        <w:rPr>
          <w:spacing w:val="80"/>
          <w:sz w:val="24"/>
        </w:rPr>
        <w:t> </w:t>
      </w:r>
      <w:r>
        <w:rPr>
          <w:sz w:val="24"/>
        </w:rPr>
        <w:t>wider</w:t>
      </w:r>
      <w:r>
        <w:rPr>
          <w:spacing w:val="80"/>
          <w:sz w:val="24"/>
        </w:rPr>
        <w:t> </w:t>
      </w:r>
      <w:r>
        <w:rPr>
          <w:sz w:val="24"/>
        </w:rPr>
        <w:t>availability</w:t>
      </w:r>
      <w:r>
        <w:rPr>
          <w:spacing w:val="80"/>
          <w:sz w:val="24"/>
        </w:rPr>
        <w:t> </w:t>
      </w:r>
      <w:r>
        <w:rPr>
          <w:sz w:val="24"/>
        </w:rPr>
        <w:t>of accessible services such as restaurants and shops; and</w:t>
      </w:r>
    </w:p>
    <w:p>
      <w:pPr>
        <w:pStyle w:val="ListParagraph"/>
        <w:numPr>
          <w:ilvl w:val="0"/>
          <w:numId w:val="24"/>
        </w:numPr>
        <w:tabs>
          <w:tab w:pos="957" w:val="left" w:leader="none"/>
          <w:tab w:pos="958" w:val="left" w:leader="none"/>
        </w:tabs>
        <w:spacing w:line="240" w:lineRule="auto" w:before="121" w:after="0"/>
        <w:ind w:left="957" w:right="296" w:hanging="360"/>
        <w:jc w:val="left"/>
        <w:rPr>
          <w:sz w:val="24"/>
        </w:rPr>
      </w:pPr>
      <w:r>
        <w:rPr>
          <w:sz w:val="24"/>
        </w:rPr>
        <w:t>Potential</w:t>
      </w:r>
      <w:r>
        <w:rPr>
          <w:spacing w:val="80"/>
          <w:w w:val="150"/>
          <w:sz w:val="24"/>
        </w:rPr>
        <w:t> </w:t>
      </w:r>
      <w:r>
        <w:rPr>
          <w:sz w:val="24"/>
        </w:rPr>
        <w:t>increases</w:t>
      </w:r>
      <w:r>
        <w:rPr>
          <w:spacing w:val="80"/>
          <w:w w:val="150"/>
          <w:sz w:val="24"/>
        </w:rPr>
        <w:t> </w:t>
      </w:r>
      <w:r>
        <w:rPr>
          <w:sz w:val="24"/>
        </w:rPr>
        <w:t>in</w:t>
      </w:r>
      <w:r>
        <w:rPr>
          <w:spacing w:val="80"/>
          <w:w w:val="150"/>
          <w:sz w:val="24"/>
        </w:rPr>
        <w:t> </w:t>
      </w:r>
      <w:r>
        <w:rPr>
          <w:sz w:val="24"/>
        </w:rPr>
        <w:t>tourism</w:t>
      </w:r>
      <w:r>
        <w:rPr>
          <w:spacing w:val="80"/>
          <w:w w:val="150"/>
          <w:sz w:val="24"/>
        </w:rPr>
        <w:t> </w:t>
      </w:r>
      <w:r>
        <w:rPr>
          <w:sz w:val="24"/>
        </w:rPr>
        <w:t>activity</w:t>
      </w:r>
      <w:r>
        <w:rPr>
          <w:spacing w:val="80"/>
          <w:w w:val="150"/>
          <w:sz w:val="24"/>
        </w:rPr>
        <w:t> </w:t>
      </w:r>
      <w:r>
        <w:rPr>
          <w:sz w:val="24"/>
        </w:rPr>
        <w:t>due</w:t>
      </w:r>
      <w:r>
        <w:rPr>
          <w:spacing w:val="80"/>
          <w:w w:val="150"/>
          <w:sz w:val="24"/>
        </w:rPr>
        <w:t> </w:t>
      </w:r>
      <w:r>
        <w:rPr>
          <w:sz w:val="24"/>
        </w:rPr>
        <w:t>to</w:t>
      </w:r>
      <w:r>
        <w:rPr>
          <w:spacing w:val="80"/>
          <w:w w:val="150"/>
          <w:sz w:val="24"/>
        </w:rPr>
        <w:t> </w:t>
      </w:r>
      <w:r>
        <w:rPr>
          <w:sz w:val="24"/>
        </w:rPr>
        <w:t>wider</w:t>
      </w:r>
      <w:r>
        <w:rPr>
          <w:spacing w:val="80"/>
          <w:w w:val="150"/>
          <w:sz w:val="24"/>
        </w:rPr>
        <w:t> </w:t>
      </w:r>
      <w:r>
        <w:rPr>
          <w:sz w:val="24"/>
        </w:rPr>
        <w:t>availability</w:t>
      </w:r>
      <w:r>
        <w:rPr>
          <w:spacing w:val="80"/>
          <w:w w:val="150"/>
          <w:sz w:val="24"/>
        </w:rPr>
        <w:t> </w:t>
      </w:r>
      <w:r>
        <w:rPr>
          <w:sz w:val="24"/>
        </w:rPr>
        <w:t>of accessible facilities and attractions.</w:t>
      </w:r>
    </w:p>
    <w:p>
      <w:pPr>
        <w:pStyle w:val="BodyText"/>
        <w:spacing w:before="10"/>
        <w:rPr>
          <w:sz w:val="23"/>
        </w:rPr>
      </w:pPr>
    </w:p>
    <w:p>
      <w:pPr>
        <w:pStyle w:val="BodyText"/>
        <w:ind w:left="237" w:right="294"/>
        <w:jc w:val="both"/>
      </w:pPr>
      <w:r>
        <w:rPr/>
        <w:t>The quantification of such benefits is clearly not feasible within the current context.</w:t>
      </w:r>
      <w:r>
        <w:rPr>
          <w:spacing w:val="40"/>
        </w:rPr>
        <w:t> </w:t>
      </w:r>
      <w:r>
        <w:rPr/>
        <w:t>However, all of these factors constitute plausible sources of additional benefits deriving from the adoption of the Premises Standards.</w:t>
      </w:r>
    </w:p>
    <w:p>
      <w:pPr>
        <w:spacing w:after="0"/>
        <w:jc w:val="both"/>
        <w:sectPr>
          <w:pgSz w:w="12240" w:h="15840"/>
          <w:pgMar w:header="0" w:footer="1140" w:top="1360" w:bottom="1340" w:left="1560" w:right="1500"/>
        </w:sectPr>
      </w:pPr>
    </w:p>
    <w:p>
      <w:pPr>
        <w:pStyle w:val="Heading1"/>
        <w:numPr>
          <w:ilvl w:val="0"/>
          <w:numId w:val="25"/>
        </w:numPr>
        <w:tabs>
          <w:tab w:pos="957" w:val="left" w:leader="none"/>
          <w:tab w:pos="958" w:val="left" w:leader="none"/>
        </w:tabs>
        <w:spacing w:line="240" w:lineRule="auto" w:before="178" w:after="0"/>
        <w:ind w:left="957" w:right="0" w:hanging="721"/>
        <w:jc w:val="left"/>
      </w:pPr>
      <w:bookmarkStart w:name=" 8 Expected Costs  " w:id="69"/>
      <w:bookmarkEnd w:id="69"/>
      <w:r>
        <w:rPr>
          <w:b w:val="0"/>
        </w:rPr>
      </w:r>
      <w:bookmarkStart w:name="_bookmark19" w:id="70"/>
      <w:bookmarkEnd w:id="70"/>
      <w:r>
        <w:rPr/>
        <w:t>Expecte</w:t>
      </w:r>
      <w:r>
        <w:rPr/>
        <w:t>d</w:t>
      </w:r>
      <w:r>
        <w:rPr>
          <w:spacing w:val="-8"/>
        </w:rPr>
        <w:t> </w:t>
      </w:r>
      <w:r>
        <w:rPr>
          <w:spacing w:val="-4"/>
        </w:rPr>
        <w:t>Costs</w:t>
      </w:r>
    </w:p>
    <w:p>
      <w:pPr>
        <w:pStyle w:val="Heading2"/>
        <w:numPr>
          <w:ilvl w:val="1"/>
          <w:numId w:val="25"/>
        </w:numPr>
        <w:tabs>
          <w:tab w:pos="957" w:val="left" w:leader="none"/>
          <w:tab w:pos="958" w:val="left" w:leader="none"/>
        </w:tabs>
        <w:spacing w:line="240" w:lineRule="auto" w:before="241" w:after="0"/>
        <w:ind w:left="957" w:right="0" w:hanging="721"/>
        <w:jc w:val="left"/>
        <w:rPr>
          <w:i/>
        </w:rPr>
      </w:pPr>
      <w:bookmarkStart w:name="8.1 Methodology" w:id="71"/>
      <w:bookmarkEnd w:id="71"/>
      <w:r>
        <w:rPr>
          <w:i/>
          <w:spacing w:val="-2"/>
        </w:rPr>
        <w:t>M</w:t>
      </w:r>
      <w:r>
        <w:rPr>
          <w:i/>
          <w:spacing w:val="-2"/>
        </w:rPr>
        <w:t>ethodology</w:t>
      </w:r>
    </w:p>
    <w:p>
      <w:pPr>
        <w:pStyle w:val="BodyText"/>
        <w:spacing w:before="9"/>
        <w:rPr>
          <w:b/>
          <w:i/>
          <w:sz w:val="25"/>
        </w:rPr>
      </w:pPr>
    </w:p>
    <w:p>
      <w:pPr>
        <w:pStyle w:val="BodyText"/>
        <w:ind w:left="237" w:right="293"/>
        <w:jc w:val="both"/>
      </w:pPr>
      <w:r>
        <w:rPr/>
        <w:t>The issue of whether the proposed Premises Standards can be said to create new legislative obligations – beyond those already contained in the DDA – was considered in Section 7, above.</w:t>
      </w:r>
      <w:r>
        <w:rPr>
          <w:spacing w:val="40"/>
        </w:rPr>
        <w:t> </w:t>
      </w:r>
      <w:r>
        <w:rPr/>
        <w:t>It was concluded that, while there may be no </w:t>
      </w:r>
      <w:r>
        <w:rPr>
          <w:i/>
        </w:rPr>
        <w:t>formal </w:t>
      </w:r>
      <w:r>
        <w:rPr/>
        <w:t>increase in legislative obligations, the actual extent of compliance can be expected to increase substantially as a result of the adoption of the proposed Premises Standards and, in particular, the integration of its technical elements into the BCA.</w:t>
      </w:r>
      <w:r>
        <w:rPr>
          <w:spacing w:val="40"/>
        </w:rPr>
        <w:t> </w:t>
      </w:r>
      <w:r>
        <w:rPr/>
        <w:t>Given this, the assessment of costs has been carried out on the basis of a comparison of the requirements contained in the proposed Premises Standards with the current BCA requirements.</w:t>
      </w:r>
      <w:r>
        <w:rPr>
          <w:spacing w:val="40"/>
        </w:rPr>
        <w:t> </w:t>
      </w:r>
      <w:r>
        <w:rPr/>
        <w:t>Where there are no specific access related provisions in the current BCA, standard building practice (as estimated by an expert quantity surveyor who formed part of the RIS project team) was taken as the base-line for incremental cost estimation.</w:t>
      </w:r>
    </w:p>
    <w:p>
      <w:pPr>
        <w:pStyle w:val="BodyText"/>
      </w:pPr>
    </w:p>
    <w:p>
      <w:pPr>
        <w:pStyle w:val="BodyText"/>
        <w:ind w:left="237" w:right="293"/>
        <w:jc w:val="both"/>
      </w:pPr>
      <w:r>
        <w:rPr/>
        <w:t>A detailed discussion of the costing methodology employed is included in Appendix A. In broad terms, costs have been estimated by applying the requirements of the Premises Standards to a set of 45 case study buildings, developed by the RIS Steering Committee</w:t>
      </w:r>
      <w:r>
        <w:rPr>
          <w:vertAlign w:val="superscript"/>
        </w:rPr>
        <w:t>48</w:t>
      </w:r>
      <w:r>
        <w:rPr>
          <w:vertAlign w:val="baseline"/>
        </w:rPr>
        <w:t>. The number of cases</w:t>
      </w:r>
      <w:r>
        <w:rPr>
          <w:spacing w:val="-1"/>
          <w:vertAlign w:val="baseline"/>
        </w:rPr>
        <w:t> </w:t>
      </w:r>
      <w:r>
        <w:rPr>
          <w:vertAlign w:val="baseline"/>
        </w:rPr>
        <w:t>examined has increased in comparison to the 2004 RIS in order to more closely examine the effect of the small buildings concession. As the Premises Standards proposal</w:t>
      </w:r>
      <w:r>
        <w:rPr>
          <w:spacing w:val="40"/>
          <w:vertAlign w:val="baseline"/>
        </w:rPr>
        <w:t> </w:t>
      </w:r>
      <w:r>
        <w:rPr>
          <w:vertAlign w:val="baseline"/>
        </w:rPr>
        <w:t>was revised for the 2008 assessment the Class 2 building case studies were removed from the RIS. They have since been reinstated in Appendix D for new Class</w:t>
      </w:r>
      <w:r>
        <w:rPr>
          <w:spacing w:val="-1"/>
          <w:vertAlign w:val="baseline"/>
        </w:rPr>
        <w:t> </w:t>
      </w:r>
      <w:r>
        <w:rPr>
          <w:vertAlign w:val="baseline"/>
        </w:rPr>
        <w:t>2</w:t>
      </w:r>
      <w:r>
        <w:rPr>
          <w:spacing w:val="-1"/>
          <w:vertAlign w:val="baseline"/>
        </w:rPr>
        <w:t> </w:t>
      </w:r>
      <w:r>
        <w:rPr>
          <w:vertAlign w:val="baseline"/>
        </w:rPr>
        <w:t>buildings</w:t>
      </w:r>
      <w:r>
        <w:rPr>
          <w:spacing w:val="-1"/>
          <w:vertAlign w:val="baseline"/>
        </w:rPr>
        <w:t> </w:t>
      </w:r>
      <w:r>
        <w:rPr>
          <w:vertAlign w:val="baseline"/>
        </w:rPr>
        <w:t>as</w:t>
      </w:r>
      <w:r>
        <w:rPr>
          <w:spacing w:val="-1"/>
          <w:vertAlign w:val="baseline"/>
        </w:rPr>
        <w:t> </w:t>
      </w:r>
      <w:r>
        <w:rPr>
          <w:vertAlign w:val="baseline"/>
        </w:rPr>
        <w:t>part</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proposed</w:t>
      </w:r>
      <w:r>
        <w:rPr>
          <w:spacing w:val="-2"/>
          <w:vertAlign w:val="baseline"/>
        </w:rPr>
        <w:t> </w:t>
      </w:r>
      <w:r>
        <w:rPr>
          <w:vertAlign w:val="baseline"/>
        </w:rPr>
        <w:t>2009</w:t>
      </w:r>
      <w:r>
        <w:rPr>
          <w:spacing w:val="-2"/>
          <w:vertAlign w:val="baseline"/>
        </w:rPr>
        <w:t> </w:t>
      </w:r>
      <w:r>
        <w:rPr>
          <w:vertAlign w:val="baseline"/>
        </w:rPr>
        <w:t>amendments and</w:t>
      </w:r>
      <w:r>
        <w:rPr>
          <w:spacing w:val="-2"/>
          <w:vertAlign w:val="baseline"/>
        </w:rPr>
        <w:t> </w:t>
      </w:r>
      <w:r>
        <w:rPr>
          <w:vertAlign w:val="baseline"/>
        </w:rPr>
        <w:t>are</w:t>
      </w:r>
      <w:r>
        <w:rPr>
          <w:spacing w:val="-2"/>
          <w:vertAlign w:val="baseline"/>
        </w:rPr>
        <w:t> </w:t>
      </w:r>
      <w:r>
        <w:rPr>
          <w:vertAlign w:val="baseline"/>
        </w:rPr>
        <w:t>assessed</w:t>
      </w:r>
      <w:r>
        <w:rPr>
          <w:spacing w:val="-2"/>
          <w:vertAlign w:val="baseline"/>
        </w:rPr>
        <w:t> </w:t>
      </w:r>
      <w:r>
        <w:rPr>
          <w:vertAlign w:val="baseline"/>
        </w:rPr>
        <w:t>in that</w:t>
      </w:r>
      <w:r>
        <w:rPr>
          <w:spacing w:val="-2"/>
          <w:vertAlign w:val="baseline"/>
        </w:rPr>
        <w:t> </w:t>
      </w:r>
      <w:r>
        <w:rPr>
          <w:vertAlign w:val="baseline"/>
        </w:rPr>
        <w:t>Appendix.</w:t>
      </w:r>
      <w:r>
        <w:rPr>
          <w:spacing w:val="-2"/>
          <w:vertAlign w:val="baseline"/>
        </w:rPr>
        <w:t> </w:t>
      </w:r>
      <w:r>
        <w:rPr>
          <w:vertAlign w:val="baseline"/>
        </w:rPr>
        <w:t>The</w:t>
      </w:r>
      <w:r>
        <w:rPr>
          <w:spacing w:val="-2"/>
          <w:vertAlign w:val="baseline"/>
        </w:rPr>
        <w:t> </w:t>
      </w:r>
      <w:r>
        <w:rPr>
          <w:vertAlign w:val="baseline"/>
        </w:rPr>
        <w:t>case</w:t>
      </w:r>
      <w:r>
        <w:rPr>
          <w:spacing w:val="-2"/>
          <w:vertAlign w:val="baseline"/>
        </w:rPr>
        <w:t> </w:t>
      </w:r>
      <w:r>
        <w:rPr>
          <w:vertAlign w:val="baseline"/>
        </w:rPr>
        <w:t>studies</w:t>
      </w:r>
      <w:r>
        <w:rPr>
          <w:spacing w:val="-2"/>
          <w:vertAlign w:val="baseline"/>
        </w:rPr>
        <w:t> </w:t>
      </w:r>
      <w:r>
        <w:rPr>
          <w:vertAlign w:val="baseline"/>
        </w:rPr>
        <w:t>relating</w:t>
      </w:r>
      <w:r>
        <w:rPr>
          <w:spacing w:val="-2"/>
          <w:vertAlign w:val="baseline"/>
        </w:rPr>
        <w:t> </w:t>
      </w:r>
      <w:r>
        <w:rPr>
          <w:vertAlign w:val="baseline"/>
        </w:rPr>
        <w:t>to</w:t>
      </w:r>
      <w:r>
        <w:rPr>
          <w:spacing w:val="-2"/>
          <w:vertAlign w:val="baseline"/>
        </w:rPr>
        <w:t> </w:t>
      </w:r>
      <w:r>
        <w:rPr>
          <w:vertAlign w:val="baseline"/>
        </w:rPr>
        <w:t>small</w:t>
      </w:r>
      <w:r>
        <w:rPr>
          <w:spacing w:val="-2"/>
          <w:vertAlign w:val="baseline"/>
        </w:rPr>
        <w:t> </w:t>
      </w:r>
      <w:r>
        <w:rPr>
          <w:vertAlign w:val="baseline"/>
        </w:rPr>
        <w:t>swimming</w:t>
      </w:r>
      <w:r>
        <w:rPr>
          <w:spacing w:val="-2"/>
          <w:vertAlign w:val="baseline"/>
        </w:rPr>
        <w:t> </w:t>
      </w:r>
      <w:r>
        <w:rPr>
          <w:vertAlign w:val="baseline"/>
        </w:rPr>
        <w:t>pools</w:t>
      </w:r>
      <w:r>
        <w:rPr>
          <w:spacing w:val="-1"/>
          <w:vertAlign w:val="baseline"/>
        </w:rPr>
        <w:t> </w:t>
      </w:r>
      <w:r>
        <w:rPr>
          <w:vertAlign w:val="baseline"/>
        </w:rPr>
        <w:t>have</w:t>
      </w:r>
      <w:r>
        <w:rPr>
          <w:spacing w:val="-2"/>
          <w:vertAlign w:val="baseline"/>
        </w:rPr>
        <w:t> </w:t>
      </w:r>
      <w:r>
        <w:rPr>
          <w:vertAlign w:val="baseline"/>
        </w:rPr>
        <w:t>also</w:t>
      </w:r>
      <w:r>
        <w:rPr>
          <w:spacing w:val="-2"/>
          <w:vertAlign w:val="baseline"/>
        </w:rPr>
        <w:t> </w:t>
      </w:r>
      <w:r>
        <w:rPr>
          <w:vertAlign w:val="baseline"/>
        </w:rPr>
        <w:t>been removed due to the proposed change no longer applying to small pools.</w:t>
      </w:r>
    </w:p>
    <w:p>
      <w:pPr>
        <w:pStyle w:val="BodyText"/>
      </w:pPr>
    </w:p>
    <w:p>
      <w:pPr>
        <w:pStyle w:val="BodyText"/>
        <w:spacing w:before="1"/>
        <w:ind w:left="237" w:right="294"/>
        <w:jc w:val="both"/>
      </w:pPr>
      <w:r>
        <w:rPr/>
        <w:t>The cost implications of each individual provision were estimated by an expert quantity</w:t>
      </w:r>
      <w:r>
        <w:rPr>
          <w:spacing w:val="-1"/>
        </w:rPr>
        <w:t> </w:t>
      </w:r>
      <w:r>
        <w:rPr/>
        <w:t>surveyor.</w:t>
      </w:r>
      <w:r>
        <w:rPr>
          <w:spacing w:val="-1"/>
        </w:rPr>
        <w:t> </w:t>
      </w:r>
      <w:r>
        <w:rPr/>
        <w:t>The</w:t>
      </w:r>
      <w:r>
        <w:rPr>
          <w:spacing w:val="-1"/>
        </w:rPr>
        <w:t> </w:t>
      </w:r>
      <w:r>
        <w:rPr/>
        <w:t>total</w:t>
      </w:r>
      <w:r>
        <w:rPr>
          <w:spacing w:val="-1"/>
        </w:rPr>
        <w:t> </w:t>
      </w:r>
      <w:r>
        <w:rPr/>
        <w:t>costs</w:t>
      </w:r>
      <w:r>
        <w:rPr>
          <w:spacing w:val="-1"/>
        </w:rPr>
        <w:t> </w:t>
      </w:r>
      <w:r>
        <w:rPr/>
        <w:t>for</w:t>
      </w:r>
      <w:r>
        <w:rPr>
          <w:spacing w:val="-1"/>
        </w:rPr>
        <w:t> </w:t>
      </w:r>
      <w:r>
        <w:rPr/>
        <w:t>each</w:t>
      </w:r>
      <w:r>
        <w:rPr>
          <w:spacing w:val="-1"/>
        </w:rPr>
        <w:t> </w:t>
      </w:r>
      <w:r>
        <w:rPr/>
        <w:t>case</w:t>
      </w:r>
      <w:r>
        <w:rPr>
          <w:spacing w:val="-1"/>
        </w:rPr>
        <w:t> </w:t>
      </w:r>
      <w:r>
        <w:rPr/>
        <w:t>study</w:t>
      </w:r>
      <w:r>
        <w:rPr>
          <w:spacing w:val="-1"/>
        </w:rPr>
        <w:t> </w:t>
      </w:r>
      <w:r>
        <w:rPr/>
        <w:t>building</w:t>
      </w:r>
      <w:r>
        <w:rPr>
          <w:spacing w:val="-1"/>
        </w:rPr>
        <w:t> </w:t>
      </w:r>
      <w:r>
        <w:rPr/>
        <w:t>were</w:t>
      </w:r>
      <w:r>
        <w:rPr>
          <w:spacing w:val="-1"/>
        </w:rPr>
        <w:t> </w:t>
      </w:r>
      <w:r>
        <w:rPr/>
        <w:t>then</w:t>
      </w:r>
      <w:r>
        <w:rPr>
          <w:spacing w:val="-1"/>
        </w:rPr>
        <w:t> </w:t>
      </w:r>
      <w:r>
        <w:rPr/>
        <w:t>mapped against ABS and Victorian building activity data to obtain estimates of aggregate annual</w:t>
      </w:r>
      <w:r>
        <w:rPr>
          <w:spacing w:val="-3"/>
        </w:rPr>
        <w:t> </w:t>
      </w:r>
      <w:r>
        <w:rPr/>
        <w:t>cost</w:t>
      </w:r>
      <w:r>
        <w:rPr>
          <w:spacing w:val="-3"/>
        </w:rPr>
        <w:t> </w:t>
      </w:r>
      <w:r>
        <w:rPr/>
        <w:t>impacts.</w:t>
      </w:r>
      <w:r>
        <w:rPr>
          <w:spacing w:val="40"/>
        </w:rPr>
        <w:t> </w:t>
      </w:r>
      <w:r>
        <w:rPr/>
        <w:t>This</w:t>
      </w:r>
      <w:r>
        <w:rPr>
          <w:spacing w:val="-3"/>
        </w:rPr>
        <w:t> </w:t>
      </w:r>
      <w:r>
        <w:rPr/>
        <w:t>methodology</w:t>
      </w:r>
      <w:r>
        <w:rPr>
          <w:spacing w:val="-3"/>
        </w:rPr>
        <w:t> </w:t>
      </w:r>
      <w:r>
        <w:rPr/>
        <w:t>therefore</w:t>
      </w:r>
      <w:r>
        <w:rPr>
          <w:spacing w:val="-3"/>
        </w:rPr>
        <w:t> </w:t>
      </w:r>
      <w:r>
        <w:rPr/>
        <w:t>allows</w:t>
      </w:r>
      <w:r>
        <w:rPr>
          <w:spacing w:val="-3"/>
        </w:rPr>
        <w:t> </w:t>
      </w:r>
      <w:r>
        <w:rPr/>
        <w:t>both</w:t>
      </w:r>
      <w:r>
        <w:rPr>
          <w:spacing w:val="-3"/>
        </w:rPr>
        <w:t> </w:t>
      </w:r>
      <w:r>
        <w:rPr/>
        <w:t>the</w:t>
      </w:r>
      <w:r>
        <w:rPr>
          <w:spacing w:val="-3"/>
        </w:rPr>
        <w:t> </w:t>
      </w:r>
      <w:r>
        <w:rPr/>
        <w:t>cost</w:t>
      </w:r>
      <w:r>
        <w:rPr>
          <w:spacing w:val="-3"/>
        </w:rPr>
        <w:t> </w:t>
      </w:r>
      <w:r>
        <w:rPr/>
        <w:t>impacts</w:t>
      </w:r>
      <w:r>
        <w:rPr>
          <w:spacing w:val="-3"/>
        </w:rPr>
        <w:t> </w:t>
      </w:r>
      <w:r>
        <w:rPr/>
        <w:t>on individual building types and cost impacts on the economy as a whole to be </w:t>
      </w:r>
      <w:r>
        <w:rPr>
          <w:spacing w:val="-2"/>
        </w:rPr>
        <w:t>determined.</w:t>
      </w:r>
    </w:p>
    <w:p>
      <w:pPr>
        <w:pStyle w:val="BodyText"/>
        <w:spacing w:before="10"/>
        <w:rPr>
          <w:sz w:val="20"/>
        </w:rPr>
      </w:pPr>
    </w:p>
    <w:p>
      <w:pPr>
        <w:pStyle w:val="Heading2"/>
        <w:numPr>
          <w:ilvl w:val="1"/>
          <w:numId w:val="25"/>
        </w:numPr>
        <w:tabs>
          <w:tab w:pos="957" w:val="left" w:leader="none"/>
          <w:tab w:pos="958" w:val="left" w:leader="none"/>
        </w:tabs>
        <w:spacing w:line="240" w:lineRule="auto" w:before="1" w:after="0"/>
        <w:ind w:left="957" w:right="0" w:hanging="721"/>
        <w:jc w:val="left"/>
        <w:rPr>
          <w:i/>
        </w:rPr>
      </w:pPr>
      <w:bookmarkStart w:name="8.2 Estimated costs: New buildings" w:id="72"/>
      <w:bookmarkEnd w:id="72"/>
      <w:r>
        <w:rPr>
          <w:i/>
        </w:rPr>
        <w:t>Estimated</w:t>
      </w:r>
      <w:r>
        <w:rPr>
          <w:i/>
          <w:spacing w:val="-10"/>
        </w:rPr>
        <w:t> </w:t>
      </w:r>
      <w:r>
        <w:rPr>
          <w:i/>
        </w:rPr>
        <w:t>costs:</w:t>
      </w:r>
      <w:r>
        <w:rPr>
          <w:i/>
          <w:spacing w:val="-10"/>
        </w:rPr>
        <w:t> </w:t>
      </w:r>
      <w:r>
        <w:rPr>
          <w:i/>
        </w:rPr>
        <w:t>New</w:t>
      </w:r>
      <w:r>
        <w:rPr>
          <w:i/>
          <w:spacing w:val="-9"/>
        </w:rPr>
        <w:t> </w:t>
      </w:r>
      <w:r>
        <w:rPr>
          <w:i/>
          <w:spacing w:val="-2"/>
        </w:rPr>
        <w:t>buildings</w:t>
      </w:r>
    </w:p>
    <w:p>
      <w:pPr>
        <w:pStyle w:val="BodyText"/>
        <w:spacing w:before="1"/>
        <w:rPr>
          <w:b/>
          <w:i/>
          <w:sz w:val="29"/>
        </w:rPr>
      </w:pPr>
    </w:p>
    <w:p>
      <w:pPr>
        <w:pStyle w:val="BodyText"/>
        <w:ind w:left="237" w:right="295"/>
        <w:jc w:val="both"/>
      </w:pPr>
      <w:r>
        <w:rPr/>
        <w:t>Appendix B sets out the basic estimates made of the cost of each of the main specific</w:t>
      </w:r>
      <w:r>
        <w:rPr>
          <w:spacing w:val="26"/>
        </w:rPr>
        <w:t> </w:t>
      </w:r>
      <w:r>
        <w:rPr/>
        <w:t>building</w:t>
      </w:r>
      <w:r>
        <w:rPr>
          <w:spacing w:val="26"/>
        </w:rPr>
        <w:t> </w:t>
      </w:r>
      <w:r>
        <w:rPr/>
        <w:t>upgrade</w:t>
      </w:r>
      <w:r>
        <w:rPr>
          <w:spacing w:val="26"/>
        </w:rPr>
        <w:t> </w:t>
      </w:r>
      <w:r>
        <w:rPr/>
        <w:t>items</w:t>
      </w:r>
      <w:r>
        <w:rPr>
          <w:spacing w:val="26"/>
        </w:rPr>
        <w:t> </w:t>
      </w:r>
      <w:r>
        <w:rPr/>
        <w:t>required</w:t>
      </w:r>
      <w:r>
        <w:rPr>
          <w:spacing w:val="26"/>
        </w:rPr>
        <w:t> </w:t>
      </w:r>
      <w:r>
        <w:rPr/>
        <w:t>to</w:t>
      </w:r>
      <w:r>
        <w:rPr>
          <w:spacing w:val="26"/>
        </w:rPr>
        <w:t> </w:t>
      </w:r>
      <w:r>
        <w:rPr/>
        <w:t>implement</w:t>
      </w:r>
      <w:r>
        <w:rPr>
          <w:spacing w:val="27"/>
        </w:rPr>
        <w:t> </w:t>
      </w:r>
      <w:r>
        <w:rPr/>
        <w:t>the</w:t>
      </w:r>
      <w:r>
        <w:rPr>
          <w:spacing w:val="26"/>
        </w:rPr>
        <w:t> </w:t>
      </w:r>
      <w:r>
        <w:rPr/>
        <w:t>Premises</w:t>
      </w:r>
      <w:r>
        <w:rPr>
          <w:spacing w:val="26"/>
        </w:rPr>
        <w:t> </w:t>
      </w:r>
      <w:r>
        <w:rPr/>
        <w:t>Standards,</w:t>
      </w:r>
    </w:p>
    <w:p>
      <w:pPr>
        <w:pStyle w:val="BodyText"/>
        <w:rPr>
          <w:sz w:val="20"/>
        </w:rPr>
      </w:pPr>
    </w:p>
    <w:p>
      <w:pPr>
        <w:pStyle w:val="BodyText"/>
        <w:spacing w:before="11"/>
        <w:rPr>
          <w:sz w:val="13"/>
        </w:rPr>
      </w:pPr>
      <w:r>
        <w:rPr/>
        <w:pict>
          <v:rect style="position:absolute;margin-left:89.879997pt;margin-top:9.247559pt;width:144pt;height:.6pt;mso-position-horizontal-relative:page;mso-position-vertical-relative:paragraph;z-index:-15710720;mso-wrap-distance-left:0;mso-wrap-distance-right:0" id="docshape41" filled="true" fillcolor="#000000" stroked="false">
            <v:fill type="solid"/>
            <w10:wrap type="topAndBottom"/>
          </v:rect>
        </w:pict>
      </w:r>
    </w:p>
    <w:p>
      <w:pPr>
        <w:pStyle w:val="BodyText"/>
        <w:spacing w:before="1"/>
        <w:rPr>
          <w:sz w:val="9"/>
        </w:rPr>
      </w:pPr>
    </w:p>
    <w:p>
      <w:pPr>
        <w:spacing w:before="118"/>
        <w:ind w:left="237" w:right="0" w:firstLine="0"/>
        <w:jc w:val="left"/>
        <w:rPr>
          <w:sz w:val="20"/>
        </w:rPr>
      </w:pPr>
      <w:r>
        <w:rPr>
          <w:rFonts w:ascii="Times New Roman"/>
          <w:sz w:val="20"/>
          <w:vertAlign w:val="superscript"/>
        </w:rPr>
        <w:t>48</w:t>
      </w:r>
      <w:r>
        <w:rPr>
          <w:rFonts w:ascii="Times New Roman"/>
          <w:spacing w:val="-2"/>
          <w:sz w:val="20"/>
          <w:vertAlign w:val="baseline"/>
        </w:rPr>
        <w:t> </w:t>
      </w:r>
      <w:r>
        <w:rPr>
          <w:sz w:val="20"/>
          <w:vertAlign w:val="baseline"/>
        </w:rPr>
        <w:t>The</w:t>
      </w:r>
      <w:r>
        <w:rPr>
          <w:spacing w:val="-3"/>
          <w:sz w:val="20"/>
          <w:vertAlign w:val="baseline"/>
        </w:rPr>
        <w:t> </w:t>
      </w:r>
      <w:r>
        <w:rPr>
          <w:sz w:val="20"/>
          <w:vertAlign w:val="baseline"/>
        </w:rPr>
        <w:t>RIS</w:t>
      </w:r>
      <w:r>
        <w:rPr>
          <w:spacing w:val="-3"/>
          <w:sz w:val="20"/>
          <w:vertAlign w:val="baseline"/>
        </w:rPr>
        <w:t> </w:t>
      </w:r>
      <w:r>
        <w:rPr>
          <w:sz w:val="20"/>
          <w:vertAlign w:val="baseline"/>
        </w:rPr>
        <w:t>Steering</w:t>
      </w:r>
      <w:r>
        <w:rPr>
          <w:spacing w:val="-4"/>
          <w:sz w:val="20"/>
          <w:vertAlign w:val="baseline"/>
        </w:rPr>
        <w:t> </w:t>
      </w:r>
      <w:r>
        <w:rPr>
          <w:sz w:val="20"/>
          <w:vertAlign w:val="baseline"/>
        </w:rPr>
        <w:t>Committee</w:t>
      </w:r>
      <w:r>
        <w:rPr>
          <w:spacing w:val="-3"/>
          <w:sz w:val="20"/>
          <w:vertAlign w:val="baseline"/>
        </w:rPr>
        <w:t> </w:t>
      </w:r>
      <w:r>
        <w:rPr>
          <w:sz w:val="20"/>
          <w:vertAlign w:val="baseline"/>
        </w:rPr>
        <w:t>was</w:t>
      </w:r>
      <w:r>
        <w:rPr>
          <w:spacing w:val="-3"/>
          <w:sz w:val="20"/>
          <w:vertAlign w:val="baseline"/>
        </w:rPr>
        <w:t> </w:t>
      </w:r>
      <w:r>
        <w:rPr>
          <w:sz w:val="20"/>
          <w:vertAlign w:val="baseline"/>
        </w:rPr>
        <w:t>established</w:t>
      </w:r>
      <w:r>
        <w:rPr>
          <w:spacing w:val="-3"/>
          <w:sz w:val="20"/>
          <w:vertAlign w:val="baseline"/>
        </w:rPr>
        <w:t> </w:t>
      </w:r>
      <w:r>
        <w:rPr>
          <w:sz w:val="20"/>
          <w:vertAlign w:val="baseline"/>
        </w:rPr>
        <w:t>under</w:t>
      </w:r>
      <w:r>
        <w:rPr>
          <w:spacing w:val="-1"/>
          <w:sz w:val="20"/>
          <w:vertAlign w:val="baseline"/>
        </w:rPr>
        <w:t> </w:t>
      </w:r>
      <w:r>
        <w:rPr>
          <w:sz w:val="20"/>
          <w:vertAlign w:val="baseline"/>
        </w:rPr>
        <w:t>the</w:t>
      </w:r>
      <w:r>
        <w:rPr>
          <w:spacing w:val="-3"/>
          <w:sz w:val="20"/>
          <w:vertAlign w:val="baseline"/>
        </w:rPr>
        <w:t> </w:t>
      </w:r>
      <w:r>
        <w:rPr>
          <w:sz w:val="20"/>
          <w:vertAlign w:val="baseline"/>
        </w:rPr>
        <w:t>auspices</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Building</w:t>
      </w:r>
      <w:r>
        <w:rPr>
          <w:spacing w:val="-3"/>
          <w:sz w:val="20"/>
          <w:vertAlign w:val="baseline"/>
        </w:rPr>
        <w:t> </w:t>
      </w:r>
      <w:r>
        <w:rPr>
          <w:sz w:val="20"/>
          <w:vertAlign w:val="baseline"/>
        </w:rPr>
        <w:t>Access</w:t>
      </w:r>
      <w:r>
        <w:rPr>
          <w:spacing w:val="-3"/>
          <w:sz w:val="20"/>
          <w:vertAlign w:val="baseline"/>
        </w:rPr>
        <w:t> </w:t>
      </w:r>
      <w:r>
        <w:rPr>
          <w:sz w:val="20"/>
          <w:vertAlign w:val="baseline"/>
        </w:rPr>
        <w:t>Policy Committee (BAPC).</w:t>
      </w:r>
      <w:r>
        <w:rPr>
          <w:spacing w:val="40"/>
          <w:sz w:val="20"/>
          <w:vertAlign w:val="baseline"/>
        </w:rPr>
        <w:t> </w:t>
      </w:r>
      <w:r>
        <w:rPr>
          <w:sz w:val="20"/>
          <w:vertAlign w:val="baseline"/>
        </w:rPr>
        <w:t>Membership of the BAPC includes broad representation from the property, industry, government and disability sectors.</w:t>
      </w:r>
    </w:p>
    <w:p>
      <w:pPr>
        <w:spacing w:after="0"/>
        <w:jc w:val="left"/>
        <w:rPr>
          <w:sz w:val="20"/>
        </w:rPr>
        <w:sectPr>
          <w:pgSz w:w="12240" w:h="15840"/>
          <w:pgMar w:header="0" w:footer="1140" w:top="1500" w:bottom="1340" w:left="1560" w:right="1500"/>
        </w:sectPr>
      </w:pPr>
    </w:p>
    <w:p>
      <w:pPr>
        <w:pStyle w:val="BodyText"/>
        <w:spacing w:before="77"/>
        <w:ind w:left="237" w:right="294"/>
        <w:jc w:val="both"/>
      </w:pPr>
      <w:r>
        <w:rPr/>
        <w:t>and is accompanied by methodological notes explaining the approach taken to using these cost items.</w:t>
      </w:r>
      <w:r>
        <w:rPr>
          <w:spacing w:val="40"/>
        </w:rPr>
        <w:t> </w:t>
      </w:r>
      <w:r>
        <w:rPr/>
        <w:t>Appendix C also sets out the disaggregated estimates of the total incremental costs generated for each building case study, consistent</w:t>
      </w:r>
      <w:r>
        <w:rPr>
          <w:spacing w:val="40"/>
        </w:rPr>
        <w:t> </w:t>
      </w:r>
      <w:r>
        <w:rPr/>
        <w:t>with</w:t>
      </w:r>
      <w:r>
        <w:rPr>
          <w:spacing w:val="-1"/>
        </w:rPr>
        <w:t> </w:t>
      </w:r>
      <w:r>
        <w:rPr/>
        <w:t>the</w:t>
      </w:r>
      <w:r>
        <w:rPr>
          <w:spacing w:val="-1"/>
        </w:rPr>
        <w:t> </w:t>
      </w:r>
      <w:r>
        <w:rPr/>
        <w:t>methodology described above and Appendix D sets out the details of the proposed 2009 amendments.</w:t>
      </w:r>
    </w:p>
    <w:p>
      <w:pPr>
        <w:pStyle w:val="BodyText"/>
      </w:pPr>
    </w:p>
    <w:p>
      <w:pPr>
        <w:pStyle w:val="BodyText"/>
        <w:ind w:left="237"/>
      </w:pPr>
      <w:r>
        <w:rPr/>
        <w:t>Appendix B shows that the major individual cost items that would be required for compliance with the Premises Standards relate to:</w:t>
      </w:r>
    </w:p>
    <w:p>
      <w:pPr>
        <w:pStyle w:val="ListParagraph"/>
        <w:numPr>
          <w:ilvl w:val="0"/>
          <w:numId w:val="26"/>
        </w:numPr>
        <w:tabs>
          <w:tab w:pos="957" w:val="left" w:leader="none"/>
          <w:tab w:pos="958" w:val="left" w:leader="none"/>
        </w:tabs>
        <w:spacing w:line="240" w:lineRule="auto" w:before="120" w:after="0"/>
        <w:ind w:left="957" w:right="0" w:hanging="363"/>
        <w:jc w:val="left"/>
        <w:rPr>
          <w:sz w:val="24"/>
        </w:rPr>
      </w:pPr>
      <w:r>
        <w:rPr>
          <w:sz w:val="24"/>
        </w:rPr>
        <w:t>the</w:t>
      </w:r>
      <w:r>
        <w:rPr>
          <w:spacing w:val="-5"/>
          <w:sz w:val="24"/>
        </w:rPr>
        <w:t> </w:t>
      </w:r>
      <w:r>
        <w:rPr>
          <w:sz w:val="24"/>
        </w:rPr>
        <w:t>installation</w:t>
      </w:r>
      <w:r>
        <w:rPr>
          <w:spacing w:val="-4"/>
          <w:sz w:val="24"/>
        </w:rPr>
        <w:t> </w:t>
      </w:r>
      <w:r>
        <w:rPr>
          <w:sz w:val="24"/>
        </w:rPr>
        <w:t>of</w:t>
      </w:r>
      <w:r>
        <w:rPr>
          <w:spacing w:val="-4"/>
          <w:sz w:val="24"/>
        </w:rPr>
        <w:t> </w:t>
      </w:r>
      <w:r>
        <w:rPr>
          <w:sz w:val="24"/>
        </w:rPr>
        <w:t>additional</w:t>
      </w:r>
      <w:r>
        <w:rPr>
          <w:spacing w:val="-4"/>
          <w:sz w:val="24"/>
        </w:rPr>
        <w:t> </w:t>
      </w:r>
      <w:r>
        <w:rPr>
          <w:sz w:val="24"/>
        </w:rPr>
        <w:t>or</w:t>
      </w:r>
      <w:r>
        <w:rPr>
          <w:spacing w:val="-4"/>
          <w:sz w:val="24"/>
        </w:rPr>
        <w:t> </w:t>
      </w:r>
      <w:r>
        <w:rPr>
          <w:sz w:val="24"/>
        </w:rPr>
        <w:t>improved</w:t>
      </w:r>
      <w:r>
        <w:rPr>
          <w:spacing w:val="-4"/>
          <w:sz w:val="24"/>
        </w:rPr>
        <w:t> </w:t>
      </w:r>
      <w:r>
        <w:rPr>
          <w:sz w:val="24"/>
        </w:rPr>
        <w:t>lifts</w:t>
      </w:r>
      <w:r>
        <w:rPr>
          <w:spacing w:val="-4"/>
          <w:sz w:val="24"/>
        </w:rPr>
        <w:t> </w:t>
      </w:r>
      <w:r>
        <w:rPr>
          <w:sz w:val="24"/>
        </w:rPr>
        <w:t>and</w:t>
      </w:r>
      <w:r>
        <w:rPr>
          <w:spacing w:val="-4"/>
          <w:sz w:val="24"/>
        </w:rPr>
        <w:t> </w:t>
      </w:r>
      <w:r>
        <w:rPr>
          <w:spacing w:val="-2"/>
          <w:sz w:val="24"/>
        </w:rPr>
        <w:t>ramps;</w:t>
      </w:r>
    </w:p>
    <w:p>
      <w:pPr>
        <w:pStyle w:val="ListParagraph"/>
        <w:numPr>
          <w:ilvl w:val="0"/>
          <w:numId w:val="26"/>
        </w:numPr>
        <w:tabs>
          <w:tab w:pos="957" w:val="left" w:leader="none"/>
          <w:tab w:pos="958" w:val="left" w:leader="none"/>
        </w:tabs>
        <w:spacing w:line="240" w:lineRule="auto" w:before="58" w:after="0"/>
        <w:ind w:left="957" w:right="0" w:hanging="363"/>
        <w:jc w:val="left"/>
        <w:rPr>
          <w:sz w:val="24"/>
        </w:rPr>
      </w:pPr>
      <w:r>
        <w:rPr>
          <w:sz w:val="24"/>
        </w:rPr>
        <w:t>more</w:t>
      </w:r>
      <w:r>
        <w:rPr>
          <w:spacing w:val="-5"/>
          <w:sz w:val="24"/>
        </w:rPr>
        <w:t> </w:t>
      </w:r>
      <w:r>
        <w:rPr>
          <w:sz w:val="24"/>
        </w:rPr>
        <w:t>accessible</w:t>
      </w:r>
      <w:r>
        <w:rPr>
          <w:spacing w:val="-4"/>
          <w:sz w:val="24"/>
        </w:rPr>
        <w:t> </w:t>
      </w:r>
      <w:r>
        <w:rPr>
          <w:spacing w:val="-2"/>
          <w:sz w:val="24"/>
        </w:rPr>
        <w:t>entrances;</w:t>
      </w:r>
    </w:p>
    <w:p>
      <w:pPr>
        <w:pStyle w:val="ListParagraph"/>
        <w:numPr>
          <w:ilvl w:val="0"/>
          <w:numId w:val="26"/>
        </w:numPr>
        <w:tabs>
          <w:tab w:pos="957" w:val="left" w:leader="none"/>
          <w:tab w:pos="958" w:val="left" w:leader="none"/>
        </w:tabs>
        <w:spacing w:line="237" w:lineRule="auto" w:before="61" w:after="0"/>
        <w:ind w:left="951" w:right="293" w:hanging="357"/>
        <w:jc w:val="left"/>
        <w:rPr>
          <w:sz w:val="24"/>
        </w:rPr>
      </w:pPr>
      <w:r>
        <w:rPr>
          <w:sz w:val="24"/>
        </w:rPr>
        <w:t>additional</w:t>
      </w:r>
      <w:r>
        <w:rPr>
          <w:spacing w:val="80"/>
          <w:sz w:val="24"/>
        </w:rPr>
        <w:t> </w:t>
      </w:r>
      <w:r>
        <w:rPr>
          <w:sz w:val="24"/>
        </w:rPr>
        <w:t>space</w:t>
      </w:r>
      <w:r>
        <w:rPr>
          <w:spacing w:val="80"/>
          <w:sz w:val="24"/>
        </w:rPr>
        <w:t> </w:t>
      </w:r>
      <w:r>
        <w:rPr>
          <w:sz w:val="24"/>
        </w:rPr>
        <w:t>requirements</w:t>
      </w:r>
      <w:r>
        <w:rPr>
          <w:spacing w:val="80"/>
          <w:sz w:val="24"/>
        </w:rPr>
        <w:t> </w:t>
      </w:r>
      <w:r>
        <w:rPr>
          <w:sz w:val="24"/>
        </w:rPr>
        <w:t>in</w:t>
      </w:r>
      <w:r>
        <w:rPr>
          <w:spacing w:val="80"/>
          <w:sz w:val="24"/>
        </w:rPr>
        <w:t> </w:t>
      </w:r>
      <w:r>
        <w:rPr>
          <w:sz w:val="24"/>
        </w:rPr>
        <w:t>several</w:t>
      </w:r>
      <w:r>
        <w:rPr>
          <w:spacing w:val="80"/>
          <w:sz w:val="24"/>
        </w:rPr>
        <w:t> </w:t>
      </w:r>
      <w:r>
        <w:rPr>
          <w:sz w:val="24"/>
        </w:rPr>
        <w:t>contexts</w:t>
      </w:r>
      <w:r>
        <w:rPr>
          <w:spacing w:val="80"/>
          <w:sz w:val="24"/>
        </w:rPr>
        <w:t> </w:t>
      </w:r>
      <w:r>
        <w:rPr>
          <w:sz w:val="24"/>
        </w:rPr>
        <w:t>(e.g.</w:t>
      </w:r>
      <w:r>
        <w:rPr>
          <w:spacing w:val="80"/>
          <w:sz w:val="24"/>
        </w:rPr>
        <w:t> </w:t>
      </w:r>
      <w:r>
        <w:rPr>
          <w:sz w:val="24"/>
        </w:rPr>
        <w:t>passing</w:t>
      </w:r>
      <w:r>
        <w:rPr>
          <w:spacing w:val="80"/>
          <w:sz w:val="24"/>
        </w:rPr>
        <w:t> </w:t>
      </w:r>
      <w:r>
        <w:rPr>
          <w:sz w:val="24"/>
        </w:rPr>
        <w:t>and turning space in corridors); and</w:t>
      </w:r>
    </w:p>
    <w:p>
      <w:pPr>
        <w:pStyle w:val="ListParagraph"/>
        <w:numPr>
          <w:ilvl w:val="0"/>
          <w:numId w:val="26"/>
        </w:numPr>
        <w:tabs>
          <w:tab w:pos="957" w:val="left" w:leader="none"/>
          <w:tab w:pos="958" w:val="left" w:leader="none"/>
        </w:tabs>
        <w:spacing w:line="240" w:lineRule="auto" w:before="61" w:after="0"/>
        <w:ind w:left="957" w:right="0" w:hanging="361"/>
        <w:jc w:val="left"/>
        <w:rPr>
          <w:sz w:val="24"/>
        </w:rPr>
      </w:pPr>
      <w:r>
        <w:rPr>
          <w:sz w:val="24"/>
        </w:rPr>
        <w:t>additional</w:t>
      </w:r>
      <w:r>
        <w:rPr>
          <w:spacing w:val="-8"/>
          <w:sz w:val="24"/>
        </w:rPr>
        <w:t> </w:t>
      </w:r>
      <w:r>
        <w:rPr>
          <w:sz w:val="24"/>
        </w:rPr>
        <w:t>or</w:t>
      </w:r>
      <w:r>
        <w:rPr>
          <w:spacing w:val="-5"/>
          <w:sz w:val="24"/>
        </w:rPr>
        <w:t> </w:t>
      </w:r>
      <w:r>
        <w:rPr>
          <w:sz w:val="24"/>
        </w:rPr>
        <w:t>modified</w:t>
      </w:r>
      <w:r>
        <w:rPr>
          <w:spacing w:val="-6"/>
          <w:sz w:val="24"/>
        </w:rPr>
        <w:t> </w:t>
      </w:r>
      <w:r>
        <w:rPr>
          <w:sz w:val="24"/>
        </w:rPr>
        <w:t>sanitary</w:t>
      </w:r>
      <w:r>
        <w:rPr>
          <w:spacing w:val="-5"/>
          <w:sz w:val="24"/>
        </w:rPr>
        <w:t> </w:t>
      </w:r>
      <w:r>
        <w:rPr>
          <w:spacing w:val="-2"/>
          <w:sz w:val="24"/>
        </w:rPr>
        <w:t>facilities.</w:t>
      </w:r>
    </w:p>
    <w:p>
      <w:pPr>
        <w:pStyle w:val="BodyText"/>
        <w:spacing w:before="10"/>
        <w:rPr>
          <w:sz w:val="23"/>
        </w:rPr>
      </w:pPr>
    </w:p>
    <w:p>
      <w:pPr>
        <w:pStyle w:val="BodyText"/>
        <w:ind w:left="237" w:right="293"/>
        <w:jc w:val="both"/>
      </w:pPr>
      <w:r>
        <w:rPr/>
        <w:t>Appendix C shows what combinations of these individual items would be needed in order to ensure that each of the 21 case studies of indicative new building types would comply with the Premises Standards.</w:t>
      </w:r>
      <w:r>
        <w:rPr>
          <w:spacing w:val="40"/>
        </w:rPr>
        <w:t> </w:t>
      </w:r>
      <w:r>
        <w:rPr/>
        <w:t>That is, Appendix C indicates the additional construction costs that would be incurred in building each of these representative building types to the standard required by the Premises</w:t>
      </w:r>
      <w:r>
        <w:rPr>
          <w:spacing w:val="40"/>
        </w:rPr>
        <w:t> </w:t>
      </w:r>
      <w:r>
        <w:rPr/>
        <w:t>Standards, rather than to existing BCA requirements.</w:t>
      </w:r>
      <w:r>
        <w:rPr>
          <w:spacing w:val="40"/>
        </w:rPr>
        <w:t> </w:t>
      </w:r>
      <w:r>
        <w:rPr/>
        <w:t>Appendix C also includes an estimated “generic construction cost” for each of the case study buildings included.</w:t>
      </w:r>
      <w:r>
        <w:rPr>
          <w:spacing w:val="40"/>
        </w:rPr>
        <w:t> </w:t>
      </w:r>
      <w:r>
        <w:rPr/>
        <w:t>This is an estimate of the current average construction cost for a building of the type represented by the case study.</w:t>
      </w:r>
      <w:r>
        <w:rPr>
          <w:spacing w:val="40"/>
        </w:rPr>
        <w:t> </w:t>
      </w:r>
      <w:r>
        <w:rPr/>
        <w:t>Using this generic construction cost estimate, the incremental cost calculations contained in the matrix are converted into proportionate cost increases. It must be noted that Appendix C is based on the 2008 changes and does not include individual changes resulting from the 2009 amendment. Further discussion on costs associated with the 2009 amendment can be found in Appendix D.</w:t>
      </w:r>
    </w:p>
    <w:p>
      <w:pPr>
        <w:pStyle w:val="BodyText"/>
        <w:spacing w:before="10"/>
        <w:rPr>
          <w:sz w:val="23"/>
        </w:rPr>
      </w:pPr>
    </w:p>
    <w:p>
      <w:pPr>
        <w:pStyle w:val="BodyText"/>
        <w:ind w:left="237" w:right="293"/>
        <w:jc w:val="both"/>
      </w:pPr>
      <w:r>
        <w:rPr/>
        <w:t>Table 4, below, summarises the results contained in Appendix C in relation to new buildings.</w:t>
      </w:r>
      <w:r>
        <w:rPr>
          <w:spacing w:val="40"/>
        </w:rPr>
        <w:t> </w:t>
      </w:r>
      <w:r>
        <w:rPr/>
        <w:t>Table 4 shows that there remains a wide variation in the relative costs of compliance with the Premises Standards (i.e. the cost of compliance as</w:t>
      </w:r>
      <w:r>
        <w:rPr>
          <w:spacing w:val="40"/>
        </w:rPr>
        <w:t> </w:t>
      </w:r>
      <w:r>
        <w:rPr/>
        <w:t>a proportion of overall building costs).</w:t>
      </w:r>
    </w:p>
    <w:p>
      <w:pPr>
        <w:pStyle w:val="BodyText"/>
      </w:pPr>
    </w:p>
    <w:p>
      <w:pPr>
        <w:pStyle w:val="BodyText"/>
        <w:ind w:left="237" w:right="293"/>
        <w:jc w:val="both"/>
      </w:pPr>
      <w:r>
        <w:rPr/>
        <w:t>Under the original proposal, the incremental costs for new buildings range from a relatively trivial 0.1% in the case of large horizontal shopping centres, to 63% for small two-storey offices.</w:t>
      </w:r>
    </w:p>
    <w:p>
      <w:pPr>
        <w:pStyle w:val="BodyText"/>
      </w:pPr>
    </w:p>
    <w:p>
      <w:pPr>
        <w:pStyle w:val="BodyText"/>
        <w:spacing w:before="1"/>
        <w:ind w:left="237"/>
      </w:pPr>
      <w:r>
        <w:rPr/>
        <w:t>A</w:t>
      </w:r>
      <w:r>
        <w:rPr>
          <w:spacing w:val="40"/>
        </w:rPr>
        <w:t> </w:t>
      </w:r>
      <w:r>
        <w:rPr/>
        <w:t>more</w:t>
      </w:r>
      <w:r>
        <w:rPr>
          <w:spacing w:val="40"/>
        </w:rPr>
        <w:t> </w:t>
      </w:r>
      <w:r>
        <w:rPr/>
        <w:t>detailed</w:t>
      </w:r>
      <w:r>
        <w:rPr>
          <w:spacing w:val="40"/>
        </w:rPr>
        <w:t> </w:t>
      </w:r>
      <w:r>
        <w:rPr/>
        <w:t>review</w:t>
      </w:r>
      <w:r>
        <w:rPr>
          <w:spacing w:val="40"/>
        </w:rPr>
        <w:t> </w:t>
      </w:r>
      <w:r>
        <w:rPr/>
        <w:t>of</w:t>
      </w:r>
      <w:r>
        <w:rPr>
          <w:spacing w:val="40"/>
        </w:rPr>
        <w:t> </w:t>
      </w:r>
      <w:r>
        <w:rPr/>
        <w:t>the</w:t>
      </w:r>
      <w:r>
        <w:rPr>
          <w:spacing w:val="40"/>
        </w:rPr>
        <w:t> </w:t>
      </w:r>
      <w:r>
        <w:rPr/>
        <w:t>results</w:t>
      </w:r>
      <w:r>
        <w:rPr>
          <w:spacing w:val="40"/>
        </w:rPr>
        <w:t> </w:t>
      </w:r>
      <w:r>
        <w:rPr/>
        <w:t>for</w:t>
      </w:r>
      <w:r>
        <w:rPr>
          <w:spacing w:val="40"/>
        </w:rPr>
        <w:t> </w:t>
      </w:r>
      <w:r>
        <w:rPr/>
        <w:t>the</w:t>
      </w:r>
      <w:r>
        <w:rPr>
          <w:spacing w:val="40"/>
        </w:rPr>
        <w:t> </w:t>
      </w:r>
      <w:r>
        <w:rPr/>
        <w:t>21</w:t>
      </w:r>
      <w:r>
        <w:rPr>
          <w:spacing w:val="40"/>
        </w:rPr>
        <w:t> </w:t>
      </w:r>
      <w:r>
        <w:rPr/>
        <w:t>case</w:t>
      </w:r>
      <w:r>
        <w:rPr>
          <w:spacing w:val="40"/>
        </w:rPr>
        <w:t> </w:t>
      </w:r>
      <w:r>
        <w:rPr/>
        <w:t>studies</w:t>
      </w:r>
      <w:r>
        <w:rPr>
          <w:spacing w:val="40"/>
        </w:rPr>
        <w:t> </w:t>
      </w:r>
      <w:r>
        <w:rPr/>
        <w:t>shows</w:t>
      </w:r>
      <w:r>
        <w:rPr>
          <w:spacing w:val="40"/>
        </w:rPr>
        <w:t> </w:t>
      </w:r>
      <w:r>
        <w:rPr/>
        <w:t>that</w:t>
      </w:r>
      <w:r>
        <w:rPr>
          <w:spacing w:val="40"/>
        </w:rPr>
        <w:t> </w:t>
      </w:r>
      <w:r>
        <w:rPr/>
        <w:t>the proportionate cost increases were:</w:t>
      </w:r>
    </w:p>
    <w:p>
      <w:pPr>
        <w:pStyle w:val="BodyText"/>
      </w:pPr>
    </w:p>
    <w:p>
      <w:pPr>
        <w:pStyle w:val="ListParagraph"/>
        <w:numPr>
          <w:ilvl w:val="0"/>
          <w:numId w:val="26"/>
        </w:numPr>
        <w:tabs>
          <w:tab w:pos="957" w:val="left" w:leader="none"/>
          <w:tab w:pos="958" w:val="left" w:leader="none"/>
        </w:tabs>
        <w:spacing w:line="240" w:lineRule="auto" w:before="0" w:after="0"/>
        <w:ind w:left="957" w:right="0" w:hanging="363"/>
        <w:jc w:val="left"/>
        <w:rPr>
          <w:sz w:val="24"/>
        </w:rPr>
      </w:pPr>
      <w:r>
        <w:rPr>
          <w:sz w:val="24"/>
        </w:rPr>
        <w:t>Less</w:t>
      </w:r>
      <w:r>
        <w:rPr>
          <w:spacing w:val="-3"/>
          <w:sz w:val="24"/>
        </w:rPr>
        <w:t> </w:t>
      </w:r>
      <w:r>
        <w:rPr>
          <w:sz w:val="24"/>
        </w:rPr>
        <w:t>than</w:t>
      </w:r>
      <w:r>
        <w:rPr>
          <w:spacing w:val="-2"/>
          <w:sz w:val="24"/>
        </w:rPr>
        <w:t> </w:t>
      </w:r>
      <w:r>
        <w:rPr>
          <w:sz w:val="24"/>
        </w:rPr>
        <w:t>1%</w:t>
      </w:r>
      <w:r>
        <w:rPr>
          <w:spacing w:val="-2"/>
          <w:sz w:val="24"/>
        </w:rPr>
        <w:t> </w:t>
      </w:r>
      <w:r>
        <w:rPr>
          <w:sz w:val="24"/>
        </w:rPr>
        <w:t>in</w:t>
      </w:r>
      <w:r>
        <w:rPr>
          <w:spacing w:val="-2"/>
          <w:sz w:val="24"/>
        </w:rPr>
        <w:t> </w:t>
      </w:r>
      <w:r>
        <w:rPr>
          <w:sz w:val="24"/>
        </w:rPr>
        <w:t>8</w:t>
      </w:r>
      <w:r>
        <w:rPr>
          <w:spacing w:val="-2"/>
          <w:sz w:val="24"/>
        </w:rPr>
        <w:t> </w:t>
      </w:r>
      <w:r>
        <w:rPr>
          <w:sz w:val="24"/>
        </w:rPr>
        <w:t>case</w:t>
      </w:r>
      <w:r>
        <w:rPr>
          <w:spacing w:val="-2"/>
          <w:sz w:val="24"/>
        </w:rPr>
        <w:t> studies;</w:t>
      </w:r>
    </w:p>
    <w:p>
      <w:pPr>
        <w:pStyle w:val="ListParagraph"/>
        <w:numPr>
          <w:ilvl w:val="0"/>
          <w:numId w:val="26"/>
        </w:numPr>
        <w:tabs>
          <w:tab w:pos="957" w:val="left" w:leader="none"/>
          <w:tab w:pos="958" w:val="left" w:leader="none"/>
        </w:tabs>
        <w:spacing w:line="240" w:lineRule="auto" w:before="119" w:after="0"/>
        <w:ind w:left="957" w:right="0" w:hanging="363"/>
        <w:jc w:val="left"/>
        <w:rPr>
          <w:sz w:val="24"/>
        </w:rPr>
      </w:pPr>
      <w:r>
        <w:rPr>
          <w:sz w:val="24"/>
        </w:rPr>
        <w:t>Between</w:t>
      </w:r>
      <w:r>
        <w:rPr>
          <w:spacing w:val="-3"/>
          <w:sz w:val="24"/>
        </w:rPr>
        <w:t> </w:t>
      </w:r>
      <w:r>
        <w:rPr>
          <w:sz w:val="24"/>
        </w:rPr>
        <w:t>1</w:t>
      </w:r>
      <w:r>
        <w:rPr>
          <w:spacing w:val="-3"/>
          <w:sz w:val="24"/>
        </w:rPr>
        <w:t> </w:t>
      </w:r>
      <w:r>
        <w:rPr>
          <w:sz w:val="24"/>
        </w:rPr>
        <w:t>–</w:t>
      </w:r>
      <w:r>
        <w:rPr>
          <w:spacing w:val="-2"/>
          <w:sz w:val="24"/>
        </w:rPr>
        <w:t> </w:t>
      </w:r>
      <w:r>
        <w:rPr>
          <w:sz w:val="24"/>
        </w:rPr>
        <w:t>2%</w:t>
      </w:r>
      <w:r>
        <w:rPr>
          <w:spacing w:val="-3"/>
          <w:sz w:val="24"/>
        </w:rPr>
        <w:t> </w:t>
      </w:r>
      <w:r>
        <w:rPr>
          <w:sz w:val="24"/>
        </w:rPr>
        <w:t>in</w:t>
      </w:r>
      <w:r>
        <w:rPr>
          <w:spacing w:val="-3"/>
          <w:sz w:val="24"/>
        </w:rPr>
        <w:t> </w:t>
      </w:r>
      <w:r>
        <w:rPr>
          <w:sz w:val="24"/>
        </w:rPr>
        <w:t>6</w:t>
      </w:r>
      <w:r>
        <w:rPr>
          <w:spacing w:val="-2"/>
          <w:sz w:val="24"/>
        </w:rPr>
        <w:t> </w:t>
      </w:r>
      <w:r>
        <w:rPr>
          <w:sz w:val="24"/>
        </w:rPr>
        <w:t>case</w:t>
      </w:r>
      <w:r>
        <w:rPr>
          <w:spacing w:val="-3"/>
          <w:sz w:val="24"/>
        </w:rPr>
        <w:t> </w:t>
      </w:r>
      <w:r>
        <w:rPr>
          <w:spacing w:val="-2"/>
          <w:sz w:val="24"/>
        </w:rPr>
        <w:t>studies;</w:t>
      </w:r>
    </w:p>
    <w:p>
      <w:pPr>
        <w:pStyle w:val="ListParagraph"/>
        <w:numPr>
          <w:ilvl w:val="0"/>
          <w:numId w:val="26"/>
        </w:numPr>
        <w:tabs>
          <w:tab w:pos="957" w:val="left" w:leader="none"/>
          <w:tab w:pos="958" w:val="left" w:leader="none"/>
        </w:tabs>
        <w:spacing w:line="240" w:lineRule="auto" w:before="118" w:after="0"/>
        <w:ind w:left="957" w:right="0" w:hanging="363"/>
        <w:jc w:val="left"/>
        <w:rPr>
          <w:sz w:val="24"/>
        </w:rPr>
      </w:pPr>
      <w:r>
        <w:rPr>
          <w:sz w:val="24"/>
        </w:rPr>
        <w:t>Between</w:t>
      </w:r>
      <w:r>
        <w:rPr>
          <w:spacing w:val="-4"/>
          <w:sz w:val="24"/>
        </w:rPr>
        <w:t> </w:t>
      </w:r>
      <w:r>
        <w:rPr>
          <w:sz w:val="24"/>
        </w:rPr>
        <w:t>2%</w:t>
      </w:r>
      <w:r>
        <w:rPr>
          <w:spacing w:val="-4"/>
          <w:sz w:val="24"/>
        </w:rPr>
        <w:t> </w:t>
      </w:r>
      <w:r>
        <w:rPr>
          <w:sz w:val="24"/>
        </w:rPr>
        <w:t>and</w:t>
      </w:r>
      <w:r>
        <w:rPr>
          <w:spacing w:val="-3"/>
          <w:sz w:val="24"/>
        </w:rPr>
        <w:t> </w:t>
      </w:r>
      <w:r>
        <w:rPr>
          <w:sz w:val="24"/>
        </w:rPr>
        <w:t>4%</w:t>
      </w:r>
      <w:r>
        <w:rPr>
          <w:spacing w:val="-4"/>
          <w:sz w:val="24"/>
        </w:rPr>
        <w:t> </w:t>
      </w:r>
      <w:r>
        <w:rPr>
          <w:sz w:val="24"/>
        </w:rPr>
        <w:t>in</w:t>
      </w:r>
      <w:r>
        <w:rPr>
          <w:spacing w:val="-4"/>
          <w:sz w:val="24"/>
        </w:rPr>
        <w:t> </w:t>
      </w:r>
      <w:r>
        <w:rPr>
          <w:sz w:val="24"/>
        </w:rPr>
        <w:t>2</w:t>
      </w:r>
      <w:r>
        <w:rPr>
          <w:spacing w:val="-3"/>
          <w:sz w:val="24"/>
        </w:rPr>
        <w:t> </w:t>
      </w:r>
      <w:r>
        <w:rPr>
          <w:sz w:val="24"/>
        </w:rPr>
        <w:t>case</w:t>
      </w:r>
      <w:r>
        <w:rPr>
          <w:spacing w:val="-4"/>
          <w:sz w:val="24"/>
        </w:rPr>
        <w:t> </w:t>
      </w:r>
      <w:r>
        <w:rPr>
          <w:sz w:val="24"/>
        </w:rPr>
        <w:t>studies;</w:t>
      </w:r>
      <w:r>
        <w:rPr>
          <w:spacing w:val="-4"/>
          <w:sz w:val="24"/>
        </w:rPr>
        <w:t> </w:t>
      </w:r>
      <w:r>
        <w:rPr>
          <w:spacing w:val="-5"/>
          <w:sz w:val="24"/>
        </w:rPr>
        <w:t>and</w:t>
      </w:r>
    </w:p>
    <w:p>
      <w:pPr>
        <w:spacing w:after="0" w:line="240" w:lineRule="auto"/>
        <w:jc w:val="left"/>
        <w:rPr>
          <w:sz w:val="24"/>
        </w:rPr>
        <w:sectPr>
          <w:pgSz w:w="12240" w:h="15840"/>
          <w:pgMar w:header="0" w:footer="1140" w:top="1360" w:bottom="1340" w:left="1560" w:right="1500"/>
        </w:sectPr>
      </w:pPr>
    </w:p>
    <w:p>
      <w:pPr>
        <w:pStyle w:val="ListParagraph"/>
        <w:numPr>
          <w:ilvl w:val="0"/>
          <w:numId w:val="26"/>
        </w:numPr>
        <w:tabs>
          <w:tab w:pos="957" w:val="left" w:leader="none"/>
          <w:tab w:pos="958" w:val="left" w:leader="none"/>
        </w:tabs>
        <w:spacing w:line="240" w:lineRule="auto" w:before="77" w:after="0"/>
        <w:ind w:left="957" w:right="0" w:hanging="363"/>
        <w:jc w:val="left"/>
        <w:rPr>
          <w:sz w:val="24"/>
        </w:rPr>
      </w:pPr>
      <w:r>
        <w:rPr>
          <w:sz w:val="24"/>
        </w:rPr>
        <w:t>Between</w:t>
      </w:r>
      <w:r>
        <w:rPr>
          <w:spacing w:val="-4"/>
          <w:sz w:val="24"/>
        </w:rPr>
        <w:t> </w:t>
      </w:r>
      <w:r>
        <w:rPr>
          <w:sz w:val="24"/>
        </w:rPr>
        <w:t>5%</w:t>
      </w:r>
      <w:r>
        <w:rPr>
          <w:spacing w:val="-3"/>
          <w:sz w:val="24"/>
        </w:rPr>
        <w:t> </w:t>
      </w:r>
      <w:r>
        <w:rPr>
          <w:sz w:val="24"/>
        </w:rPr>
        <w:t>and</w:t>
      </w:r>
      <w:r>
        <w:rPr>
          <w:spacing w:val="-3"/>
          <w:sz w:val="24"/>
        </w:rPr>
        <w:t> </w:t>
      </w:r>
      <w:r>
        <w:rPr>
          <w:sz w:val="24"/>
        </w:rPr>
        <w:t>7%</w:t>
      </w:r>
      <w:r>
        <w:rPr>
          <w:spacing w:val="-3"/>
          <w:sz w:val="24"/>
        </w:rPr>
        <w:t> </w:t>
      </w:r>
      <w:r>
        <w:rPr>
          <w:sz w:val="24"/>
        </w:rPr>
        <w:t>in</w:t>
      </w:r>
      <w:r>
        <w:rPr>
          <w:spacing w:val="-3"/>
          <w:sz w:val="24"/>
        </w:rPr>
        <w:t> </w:t>
      </w:r>
      <w:r>
        <w:rPr>
          <w:sz w:val="24"/>
        </w:rPr>
        <w:t>5</w:t>
      </w:r>
      <w:r>
        <w:rPr>
          <w:spacing w:val="-4"/>
          <w:sz w:val="24"/>
        </w:rPr>
        <w:t> </w:t>
      </w:r>
      <w:r>
        <w:rPr>
          <w:sz w:val="24"/>
        </w:rPr>
        <w:t>case</w:t>
      </w:r>
      <w:r>
        <w:rPr>
          <w:spacing w:val="-3"/>
          <w:sz w:val="24"/>
        </w:rPr>
        <w:t> </w:t>
      </w:r>
      <w:r>
        <w:rPr>
          <w:spacing w:val="-2"/>
          <w:sz w:val="24"/>
        </w:rPr>
        <w:t>studies.</w:t>
      </w:r>
    </w:p>
    <w:p>
      <w:pPr>
        <w:pStyle w:val="BodyText"/>
        <w:spacing w:before="2"/>
        <w:rPr>
          <w:sz w:val="34"/>
        </w:rPr>
      </w:pPr>
    </w:p>
    <w:p>
      <w:pPr>
        <w:pStyle w:val="BodyText"/>
        <w:ind w:left="237" w:right="294"/>
        <w:jc w:val="both"/>
      </w:pPr>
      <w:r>
        <w:rPr/>
        <w:t>Under</w:t>
      </w:r>
      <w:r>
        <w:rPr/>
        <w:t> the</w:t>
      </w:r>
      <w:r>
        <w:rPr/>
        <w:t> 2008, modified, Premises Standards proposal these costs reduced substantially.</w:t>
      </w:r>
      <w:r>
        <w:rPr>
          <w:spacing w:val="40"/>
        </w:rPr>
        <w:t> </w:t>
      </w:r>
      <w:r>
        <w:rPr/>
        <w:t>The largest proportionate cost increase for any case study relating to new buildings was 6.2%, while only 7 of 21 case studies would see an incremental cost increase of more than 2% as a result of the application of the Standards.</w:t>
      </w:r>
      <w:r>
        <w:rPr>
          <w:spacing w:val="40"/>
        </w:rPr>
        <w:t> </w:t>
      </w:r>
      <w:r>
        <w:rPr/>
        <w:t>Table 4 includes three additional case studies.</w:t>
      </w:r>
      <w:r>
        <w:rPr>
          <w:spacing w:val="40"/>
        </w:rPr>
        <w:t> </w:t>
      </w:r>
      <w:r>
        <w:rPr/>
        <w:t>These relate to two- storey office buildings, two-storey restaurants and two-storey warehouses. Inclusion of the three new 'small buildings' case studies allows the comparison to be made between buildings that would fall below the 2008 proposed exemption threshold and those that would not.</w:t>
      </w:r>
    </w:p>
    <w:p>
      <w:pPr>
        <w:pStyle w:val="BodyText"/>
      </w:pPr>
    </w:p>
    <w:p>
      <w:pPr>
        <w:pStyle w:val="BodyText"/>
        <w:ind w:left="237" w:right="294"/>
        <w:jc w:val="both"/>
      </w:pPr>
      <w:r>
        <w:rPr/>
        <w:t>It remains the case that the larger the building and the fewer storeys, the lower are</w:t>
      </w:r>
      <w:r>
        <w:rPr>
          <w:spacing w:val="-4"/>
        </w:rPr>
        <w:t> </w:t>
      </w:r>
      <w:r>
        <w:rPr/>
        <w:t>the</w:t>
      </w:r>
      <w:r>
        <w:rPr>
          <w:spacing w:val="-4"/>
        </w:rPr>
        <w:t> </w:t>
      </w:r>
      <w:r>
        <w:rPr/>
        <w:t>proportionate</w:t>
      </w:r>
      <w:r>
        <w:rPr>
          <w:spacing w:val="-4"/>
        </w:rPr>
        <w:t> </w:t>
      </w:r>
      <w:r>
        <w:rPr/>
        <w:t>costs</w:t>
      </w:r>
      <w:r>
        <w:rPr>
          <w:spacing w:val="-4"/>
        </w:rPr>
        <w:t> </w:t>
      </w:r>
      <w:r>
        <w:rPr/>
        <w:t>of</w:t>
      </w:r>
      <w:r>
        <w:rPr>
          <w:spacing w:val="-4"/>
        </w:rPr>
        <w:t> </w:t>
      </w:r>
      <w:r>
        <w:rPr/>
        <w:t>compliance</w:t>
      </w:r>
      <w:r>
        <w:rPr>
          <w:spacing w:val="-4"/>
        </w:rPr>
        <w:t> </w:t>
      </w:r>
      <w:r>
        <w:rPr/>
        <w:t>with</w:t>
      </w:r>
      <w:r>
        <w:rPr>
          <w:spacing w:val="-4"/>
        </w:rPr>
        <w:t> </w:t>
      </w:r>
      <w:r>
        <w:rPr/>
        <w:t>the</w:t>
      </w:r>
      <w:r>
        <w:rPr>
          <w:spacing w:val="-4"/>
        </w:rPr>
        <w:t> </w:t>
      </w:r>
      <w:r>
        <w:rPr/>
        <w:t>Premises</w:t>
      </w:r>
      <w:r>
        <w:rPr>
          <w:spacing w:val="-4"/>
        </w:rPr>
        <w:t> </w:t>
      </w:r>
      <w:r>
        <w:rPr/>
        <w:t>Standards.</w:t>
      </w:r>
      <w:r>
        <w:rPr>
          <w:spacing w:val="-4"/>
        </w:rPr>
        <w:t> </w:t>
      </w:r>
      <w:r>
        <w:rPr/>
        <w:t>The</w:t>
      </w:r>
      <w:r>
        <w:rPr>
          <w:spacing w:val="-4"/>
        </w:rPr>
        <w:t> </w:t>
      </w:r>
      <w:r>
        <w:rPr/>
        <w:t>case study buildings where the construction cost increases are largest are single storey holiday accommodation buildings, two-storey offices, two-storey school buildings, and two-storey restaurants that</w:t>
      </w:r>
      <w:r>
        <w:rPr>
          <w:spacing w:val="-2"/>
        </w:rPr>
        <w:t> </w:t>
      </w:r>
      <w:r>
        <w:rPr/>
        <w:t>fall outside the exemption.</w:t>
      </w:r>
      <w:r>
        <w:rPr>
          <w:spacing w:val="40"/>
        </w:rPr>
        <w:t> </w:t>
      </w:r>
      <w:r>
        <w:rPr/>
        <w:t>Overall, the impact of the 2008 revised Standards on the new building case studies can be summarised as follows:</w:t>
      </w:r>
    </w:p>
    <w:p>
      <w:pPr>
        <w:pStyle w:val="BodyText"/>
        <w:spacing w:before="1"/>
      </w:pPr>
    </w:p>
    <w:p>
      <w:pPr>
        <w:pStyle w:val="ListParagraph"/>
        <w:numPr>
          <w:ilvl w:val="0"/>
          <w:numId w:val="26"/>
        </w:numPr>
        <w:tabs>
          <w:tab w:pos="957" w:val="left" w:leader="none"/>
          <w:tab w:pos="958" w:val="left" w:leader="none"/>
        </w:tabs>
        <w:spacing w:line="240" w:lineRule="auto" w:before="0" w:after="0"/>
        <w:ind w:left="957" w:right="0" w:hanging="361"/>
        <w:jc w:val="left"/>
        <w:rPr>
          <w:sz w:val="24"/>
        </w:rPr>
      </w:pPr>
      <w:r>
        <w:rPr>
          <w:sz w:val="24"/>
        </w:rPr>
        <w:t>less</w:t>
      </w:r>
      <w:r>
        <w:rPr>
          <w:spacing w:val="-3"/>
          <w:sz w:val="24"/>
        </w:rPr>
        <w:t> </w:t>
      </w:r>
      <w:r>
        <w:rPr>
          <w:sz w:val="24"/>
        </w:rPr>
        <w:t>than</w:t>
      </w:r>
      <w:r>
        <w:rPr>
          <w:spacing w:val="-2"/>
          <w:sz w:val="24"/>
        </w:rPr>
        <w:t> </w:t>
      </w:r>
      <w:r>
        <w:rPr>
          <w:sz w:val="24"/>
        </w:rPr>
        <w:t>1%</w:t>
      </w:r>
      <w:r>
        <w:rPr>
          <w:spacing w:val="-2"/>
          <w:sz w:val="24"/>
        </w:rPr>
        <w:t> </w:t>
      </w:r>
      <w:r>
        <w:rPr>
          <w:sz w:val="24"/>
        </w:rPr>
        <w:t>in</w:t>
      </w:r>
      <w:r>
        <w:rPr>
          <w:spacing w:val="-2"/>
          <w:sz w:val="24"/>
        </w:rPr>
        <w:t> </w:t>
      </w:r>
      <w:r>
        <w:rPr>
          <w:sz w:val="24"/>
        </w:rPr>
        <w:t>8</w:t>
      </w:r>
      <w:r>
        <w:rPr>
          <w:spacing w:val="-2"/>
          <w:sz w:val="24"/>
        </w:rPr>
        <w:t> </w:t>
      </w:r>
      <w:r>
        <w:rPr>
          <w:sz w:val="24"/>
        </w:rPr>
        <w:t>case</w:t>
      </w:r>
      <w:r>
        <w:rPr>
          <w:spacing w:val="-2"/>
          <w:sz w:val="24"/>
        </w:rPr>
        <w:t> studies;</w:t>
      </w:r>
    </w:p>
    <w:p>
      <w:pPr>
        <w:pStyle w:val="ListParagraph"/>
        <w:numPr>
          <w:ilvl w:val="0"/>
          <w:numId w:val="26"/>
        </w:numPr>
        <w:tabs>
          <w:tab w:pos="957" w:val="left" w:leader="none"/>
          <w:tab w:pos="958" w:val="left" w:leader="none"/>
        </w:tabs>
        <w:spacing w:line="240" w:lineRule="auto" w:before="119" w:after="0"/>
        <w:ind w:left="957" w:right="0" w:hanging="361"/>
        <w:jc w:val="left"/>
        <w:rPr>
          <w:sz w:val="24"/>
        </w:rPr>
      </w:pPr>
      <w:r>
        <w:rPr>
          <w:sz w:val="24"/>
        </w:rPr>
        <w:t>between</w:t>
      </w:r>
      <w:r>
        <w:rPr>
          <w:spacing w:val="-4"/>
          <w:sz w:val="24"/>
        </w:rPr>
        <w:t> </w:t>
      </w:r>
      <w:r>
        <w:rPr>
          <w:sz w:val="24"/>
        </w:rPr>
        <w:t>1%</w:t>
      </w:r>
      <w:r>
        <w:rPr>
          <w:spacing w:val="-3"/>
          <w:sz w:val="24"/>
        </w:rPr>
        <w:t> </w:t>
      </w:r>
      <w:r>
        <w:rPr>
          <w:sz w:val="24"/>
        </w:rPr>
        <w:t>and</w:t>
      </w:r>
      <w:r>
        <w:rPr>
          <w:spacing w:val="-3"/>
          <w:sz w:val="24"/>
        </w:rPr>
        <w:t> </w:t>
      </w:r>
      <w:r>
        <w:rPr>
          <w:sz w:val="24"/>
        </w:rPr>
        <w:t>3%</w:t>
      </w:r>
      <w:r>
        <w:rPr>
          <w:spacing w:val="-3"/>
          <w:sz w:val="24"/>
        </w:rPr>
        <w:t> </w:t>
      </w:r>
      <w:r>
        <w:rPr>
          <w:sz w:val="24"/>
        </w:rPr>
        <w:t>in</w:t>
      </w:r>
      <w:r>
        <w:rPr>
          <w:spacing w:val="-3"/>
          <w:sz w:val="24"/>
        </w:rPr>
        <w:t> </w:t>
      </w:r>
      <w:r>
        <w:rPr>
          <w:sz w:val="24"/>
        </w:rPr>
        <w:t>8</w:t>
      </w:r>
      <w:r>
        <w:rPr>
          <w:spacing w:val="-4"/>
          <w:sz w:val="24"/>
        </w:rPr>
        <w:t> </w:t>
      </w:r>
      <w:r>
        <w:rPr>
          <w:sz w:val="24"/>
        </w:rPr>
        <w:t>case</w:t>
      </w:r>
      <w:r>
        <w:rPr>
          <w:spacing w:val="-3"/>
          <w:sz w:val="24"/>
        </w:rPr>
        <w:t> </w:t>
      </w:r>
      <w:r>
        <w:rPr>
          <w:spacing w:val="-2"/>
          <w:sz w:val="24"/>
        </w:rPr>
        <w:t>studies;</w:t>
      </w:r>
    </w:p>
    <w:p>
      <w:pPr>
        <w:pStyle w:val="ListParagraph"/>
        <w:numPr>
          <w:ilvl w:val="0"/>
          <w:numId w:val="26"/>
        </w:numPr>
        <w:tabs>
          <w:tab w:pos="957" w:val="left" w:leader="none"/>
          <w:tab w:pos="958" w:val="left" w:leader="none"/>
        </w:tabs>
        <w:spacing w:line="240" w:lineRule="auto" w:before="118" w:after="0"/>
        <w:ind w:left="957" w:right="0" w:hanging="361"/>
        <w:jc w:val="left"/>
        <w:rPr>
          <w:sz w:val="24"/>
        </w:rPr>
      </w:pPr>
      <w:r>
        <w:rPr>
          <w:sz w:val="24"/>
        </w:rPr>
        <w:t>between</w:t>
      </w:r>
      <w:r>
        <w:rPr>
          <w:spacing w:val="-4"/>
          <w:sz w:val="24"/>
        </w:rPr>
        <w:t> </w:t>
      </w:r>
      <w:r>
        <w:rPr>
          <w:sz w:val="24"/>
        </w:rPr>
        <w:t>3%</w:t>
      </w:r>
      <w:r>
        <w:rPr>
          <w:spacing w:val="-4"/>
          <w:sz w:val="24"/>
        </w:rPr>
        <w:t> </w:t>
      </w:r>
      <w:r>
        <w:rPr>
          <w:sz w:val="24"/>
        </w:rPr>
        <w:t>and</w:t>
      </w:r>
      <w:r>
        <w:rPr>
          <w:spacing w:val="-3"/>
          <w:sz w:val="24"/>
        </w:rPr>
        <w:t> </w:t>
      </w:r>
      <w:r>
        <w:rPr>
          <w:sz w:val="24"/>
        </w:rPr>
        <w:t>5%</w:t>
      </w:r>
      <w:r>
        <w:rPr>
          <w:spacing w:val="-4"/>
          <w:sz w:val="24"/>
        </w:rPr>
        <w:t> </w:t>
      </w:r>
      <w:r>
        <w:rPr>
          <w:sz w:val="24"/>
        </w:rPr>
        <w:t>in</w:t>
      </w:r>
      <w:r>
        <w:rPr>
          <w:spacing w:val="-4"/>
          <w:sz w:val="24"/>
        </w:rPr>
        <w:t> </w:t>
      </w:r>
      <w:r>
        <w:rPr>
          <w:sz w:val="24"/>
        </w:rPr>
        <w:t>4</w:t>
      </w:r>
      <w:r>
        <w:rPr>
          <w:spacing w:val="-3"/>
          <w:sz w:val="24"/>
        </w:rPr>
        <w:t> </w:t>
      </w:r>
      <w:r>
        <w:rPr>
          <w:sz w:val="24"/>
        </w:rPr>
        <w:t>case</w:t>
      </w:r>
      <w:r>
        <w:rPr>
          <w:spacing w:val="-4"/>
          <w:sz w:val="24"/>
        </w:rPr>
        <w:t> </w:t>
      </w:r>
      <w:r>
        <w:rPr>
          <w:sz w:val="24"/>
        </w:rPr>
        <w:t>studies;</w:t>
      </w:r>
      <w:r>
        <w:rPr>
          <w:spacing w:val="-4"/>
          <w:sz w:val="24"/>
        </w:rPr>
        <w:t> </w:t>
      </w:r>
      <w:r>
        <w:rPr>
          <w:spacing w:val="-5"/>
          <w:sz w:val="24"/>
        </w:rPr>
        <w:t>and</w:t>
      </w:r>
    </w:p>
    <w:p>
      <w:pPr>
        <w:pStyle w:val="ListParagraph"/>
        <w:numPr>
          <w:ilvl w:val="0"/>
          <w:numId w:val="26"/>
        </w:numPr>
        <w:tabs>
          <w:tab w:pos="957" w:val="left" w:leader="none"/>
          <w:tab w:pos="958" w:val="left" w:leader="none"/>
        </w:tabs>
        <w:spacing w:line="240" w:lineRule="auto" w:before="117" w:after="0"/>
        <w:ind w:left="957" w:right="0" w:hanging="361"/>
        <w:jc w:val="left"/>
        <w:rPr>
          <w:sz w:val="24"/>
        </w:rPr>
      </w:pPr>
      <w:r>
        <w:rPr>
          <w:sz w:val="24"/>
        </w:rPr>
        <w:t>More</w:t>
      </w:r>
      <w:r>
        <w:rPr>
          <w:spacing w:val="-1"/>
          <w:sz w:val="24"/>
        </w:rPr>
        <w:t> </w:t>
      </w:r>
      <w:r>
        <w:rPr>
          <w:sz w:val="24"/>
        </w:rPr>
        <w:t>than</w:t>
      </w:r>
      <w:r>
        <w:rPr>
          <w:spacing w:val="-1"/>
          <w:sz w:val="24"/>
        </w:rPr>
        <w:t> </w:t>
      </w:r>
      <w:r>
        <w:rPr>
          <w:sz w:val="24"/>
        </w:rPr>
        <w:t>5%</w:t>
      </w:r>
      <w:r>
        <w:rPr>
          <w:spacing w:val="-1"/>
          <w:sz w:val="24"/>
        </w:rPr>
        <w:t> </w:t>
      </w:r>
      <w:r>
        <w:rPr>
          <w:sz w:val="24"/>
        </w:rPr>
        <w:t>in</w:t>
      </w:r>
      <w:r>
        <w:rPr>
          <w:spacing w:val="-1"/>
          <w:sz w:val="24"/>
        </w:rPr>
        <w:t> </w:t>
      </w:r>
      <w:r>
        <w:rPr>
          <w:sz w:val="24"/>
        </w:rPr>
        <w:t>1</w:t>
      </w:r>
      <w:r>
        <w:rPr>
          <w:spacing w:val="-1"/>
          <w:sz w:val="24"/>
        </w:rPr>
        <w:t> </w:t>
      </w:r>
      <w:r>
        <w:rPr>
          <w:sz w:val="24"/>
        </w:rPr>
        <w:t>case</w:t>
      </w:r>
      <w:r>
        <w:rPr>
          <w:spacing w:val="-1"/>
          <w:sz w:val="24"/>
        </w:rPr>
        <w:t> </w:t>
      </w:r>
      <w:r>
        <w:rPr>
          <w:spacing w:val="-2"/>
          <w:sz w:val="24"/>
        </w:rPr>
        <w:t>study.</w:t>
      </w:r>
    </w:p>
    <w:p>
      <w:pPr>
        <w:pStyle w:val="BodyText"/>
        <w:spacing w:before="10"/>
        <w:rPr>
          <w:sz w:val="23"/>
        </w:rPr>
      </w:pPr>
    </w:p>
    <w:p>
      <w:pPr>
        <w:pStyle w:val="BodyText"/>
        <w:ind w:left="237" w:right="293"/>
        <w:jc w:val="both"/>
      </w:pPr>
      <w:r>
        <w:rPr/>
        <w:t>The provision of lifts in small buildings where they would not have previously been required remains a substantial cost driver in some case studies.</w:t>
      </w:r>
      <w:r>
        <w:rPr>
          <w:spacing w:val="40"/>
        </w:rPr>
        <w:t> </w:t>
      </w:r>
      <w:r>
        <w:rPr/>
        <w:t>However, the estimated cost of these lifts is now lower than was estimated in relation to the draft Premises Standards proposal ($100,000 vs $160,000)</w:t>
      </w:r>
      <w:r>
        <w:rPr>
          <w:vertAlign w:val="superscript"/>
        </w:rPr>
        <w:t>49</w:t>
      </w:r>
      <w:r>
        <w:rPr>
          <w:vertAlign w:val="baseline"/>
        </w:rPr>
        <w:t>. This reflects subsequent modifications made to the specific technical requirements in relation to these lifts.</w:t>
      </w:r>
      <w:r>
        <w:rPr>
          <w:spacing w:val="40"/>
          <w:vertAlign w:val="baseline"/>
        </w:rPr>
        <w:t> </w:t>
      </w:r>
      <w:r>
        <w:rPr>
          <w:vertAlign w:val="baseline"/>
        </w:rPr>
        <w:t>In a number of case studies the provision of substantial numbers of additional accessible sanitary facilities also constitutes a significant cost driver.</w:t>
      </w:r>
    </w:p>
    <w:p>
      <w:pPr>
        <w:pStyle w:val="BodyText"/>
      </w:pPr>
    </w:p>
    <w:p>
      <w:pPr>
        <w:pStyle w:val="BodyText"/>
        <w:ind w:left="237" w:right="294"/>
        <w:jc w:val="both"/>
      </w:pPr>
      <w:r>
        <w:rPr/>
        <w:t>Further discussion on impacts and additional case studies resulting from the proposed 2009 amendments can be found in Appendix 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r>
        <w:rPr/>
        <w:pict>
          <v:rect style="position:absolute;margin-left:89.879997pt;margin-top:14.478642pt;width:144pt;height:.6pt;mso-position-horizontal-relative:page;mso-position-vertical-relative:paragraph;z-index:-15710208;mso-wrap-distance-left:0;mso-wrap-distance-right:0" id="docshape42" filled="true" fillcolor="#000000" stroked="false">
            <v:fill type="solid"/>
            <w10:wrap type="topAndBottom"/>
          </v:rect>
        </w:pict>
      </w:r>
    </w:p>
    <w:p>
      <w:pPr>
        <w:pStyle w:val="BodyText"/>
        <w:spacing w:before="1"/>
        <w:rPr>
          <w:sz w:val="8"/>
        </w:rPr>
      </w:pPr>
    </w:p>
    <w:p>
      <w:pPr>
        <w:spacing w:before="130"/>
        <w:ind w:left="237" w:right="292" w:firstLine="0"/>
        <w:jc w:val="both"/>
        <w:rPr>
          <w:sz w:val="20"/>
        </w:rPr>
      </w:pPr>
      <w:r>
        <w:rPr>
          <w:sz w:val="20"/>
          <w:vertAlign w:val="superscript"/>
        </w:rPr>
        <w:t>49</w:t>
      </w:r>
      <w:r>
        <w:rPr>
          <w:sz w:val="20"/>
          <w:vertAlign w:val="baseline"/>
        </w:rPr>
        <w:t> The provision of exemptions from the requirement to make upper storeys accessible for small Class 5, 6, 7b, and 8 buildings has reduced the degree of uncertainty in estimation of the costs of these lift requirements.</w:t>
      </w:r>
      <w:r>
        <w:rPr>
          <w:spacing w:val="40"/>
          <w:sz w:val="20"/>
          <w:vertAlign w:val="baseline"/>
        </w:rPr>
        <w:t> </w:t>
      </w:r>
      <w:r>
        <w:rPr>
          <w:sz w:val="20"/>
          <w:vertAlign w:val="baseline"/>
        </w:rPr>
        <w:t>It is now assumed that, in the case of buildings that are unable to qualify for the exemption, and therefore require a lift to be installed, a full lift will be required rather than any of the other options set out in table E3.6.</w:t>
      </w:r>
    </w:p>
    <w:p>
      <w:pPr>
        <w:spacing w:after="0"/>
        <w:jc w:val="both"/>
        <w:rPr>
          <w:sz w:val="20"/>
        </w:rPr>
        <w:sectPr>
          <w:pgSz w:w="12240" w:h="15840"/>
          <w:pgMar w:header="0" w:footer="1140" w:top="1360" w:bottom="1340" w:left="1560" w:right="1500"/>
        </w:sectPr>
      </w:pPr>
    </w:p>
    <w:p>
      <w:pPr>
        <w:pStyle w:val="BodyText"/>
        <w:rPr>
          <w:sz w:val="20"/>
        </w:rPr>
      </w:pPr>
    </w:p>
    <w:p>
      <w:pPr>
        <w:pStyle w:val="BodyText"/>
        <w:spacing w:before="10"/>
        <w:rPr>
          <w:sz w:val="25"/>
        </w:rPr>
      </w:pPr>
    </w:p>
    <w:p>
      <w:pPr>
        <w:pStyle w:val="Heading4"/>
        <w:spacing w:before="130"/>
        <w:ind w:left="480"/>
        <w:jc w:val="left"/>
        <w:rPr>
          <w:u w:val="none"/>
        </w:rPr>
      </w:pPr>
      <w:r>
        <w:rPr/>
        <w:pict>
          <v:shape style="position:absolute;margin-left:54.000004pt;margin-top:19.015831pt;width:611.35pt;height:1.3pt;mso-position-horizontal-relative:page;mso-position-vertical-relative:paragraph;z-index:15748096" id="docshape43" coordorigin="1080,380" coordsize="12227,26" path="m10200,380l1080,380,1080,406,10200,406,10200,380xm13307,380l10210,380,10210,406,13307,406,13307,380xe" filled="true" fillcolor="#000000" stroked="false">
            <v:path arrowok="t"/>
            <v:fill type="solid"/>
            <w10:wrap type="none"/>
          </v:shape>
        </w:pict>
      </w:r>
      <w:r>
        <w:rPr>
          <w:u w:val="none"/>
        </w:rPr>
        <w:t>Table</w:t>
      </w:r>
      <w:r>
        <w:rPr>
          <w:spacing w:val="-4"/>
          <w:u w:val="none"/>
        </w:rPr>
        <w:t> </w:t>
      </w:r>
      <w:r>
        <w:rPr>
          <w:u w:val="none"/>
        </w:rPr>
        <w:t>4:</w:t>
      </w:r>
      <w:r>
        <w:rPr>
          <w:spacing w:val="60"/>
          <w:u w:val="none"/>
        </w:rPr>
        <w:t> </w:t>
      </w:r>
      <w:r>
        <w:rPr>
          <w:u w:val="none"/>
        </w:rPr>
        <w:t>Estimated</w:t>
      </w:r>
      <w:r>
        <w:rPr>
          <w:spacing w:val="-3"/>
          <w:u w:val="none"/>
        </w:rPr>
        <w:t> </w:t>
      </w:r>
      <w:r>
        <w:rPr>
          <w:u w:val="none"/>
        </w:rPr>
        <w:t>costs</w:t>
      </w:r>
      <w:r>
        <w:rPr>
          <w:spacing w:val="-4"/>
          <w:u w:val="none"/>
        </w:rPr>
        <w:t> </w:t>
      </w:r>
      <w:r>
        <w:rPr>
          <w:u w:val="none"/>
        </w:rPr>
        <w:t>of</w:t>
      </w:r>
      <w:r>
        <w:rPr>
          <w:spacing w:val="-3"/>
          <w:u w:val="none"/>
        </w:rPr>
        <w:t> </w:t>
      </w:r>
      <w:r>
        <w:rPr>
          <w:u w:val="none"/>
        </w:rPr>
        <w:t>implementing</w:t>
      </w:r>
      <w:r>
        <w:rPr>
          <w:spacing w:val="-4"/>
          <w:u w:val="none"/>
        </w:rPr>
        <w:t> </w:t>
      </w:r>
      <w:r>
        <w:rPr>
          <w:u w:val="none"/>
        </w:rPr>
        <w:t>Premises</w:t>
      </w:r>
      <w:r>
        <w:rPr>
          <w:spacing w:val="-3"/>
          <w:u w:val="none"/>
        </w:rPr>
        <w:t> </w:t>
      </w:r>
      <w:r>
        <w:rPr>
          <w:u w:val="none"/>
        </w:rPr>
        <w:t>Standards</w:t>
      </w:r>
      <w:r>
        <w:rPr>
          <w:spacing w:val="-4"/>
          <w:u w:val="none"/>
        </w:rPr>
        <w:t> </w:t>
      </w:r>
      <w:r>
        <w:rPr>
          <w:u w:val="none"/>
        </w:rPr>
        <w:t>in</w:t>
      </w:r>
      <w:r>
        <w:rPr>
          <w:spacing w:val="-3"/>
          <w:u w:val="none"/>
        </w:rPr>
        <w:t> </w:t>
      </w:r>
      <w:r>
        <w:rPr>
          <w:u w:val="none"/>
        </w:rPr>
        <w:t>new</w:t>
      </w:r>
      <w:r>
        <w:rPr>
          <w:spacing w:val="-3"/>
          <w:u w:val="none"/>
        </w:rPr>
        <w:t> </w:t>
      </w:r>
      <w:r>
        <w:rPr>
          <w:u w:val="none"/>
        </w:rPr>
        <w:t>buildings</w:t>
      </w:r>
      <w:r>
        <w:rPr>
          <w:u w:val="none"/>
          <w:vertAlign w:val="superscript"/>
        </w:rPr>
        <w:t>50</w:t>
      </w:r>
      <w:r>
        <w:rPr>
          <w:u w:val="none"/>
          <w:vertAlign w:val="baseline"/>
        </w:rPr>
        <w:t>:</w:t>
      </w:r>
      <w:r>
        <w:rPr>
          <w:spacing w:val="59"/>
          <w:u w:val="none"/>
          <w:vertAlign w:val="baseline"/>
        </w:rPr>
        <w:t> </w:t>
      </w:r>
      <w:r>
        <w:rPr>
          <w:u w:val="none"/>
          <w:vertAlign w:val="baseline"/>
        </w:rPr>
        <w:t>21</w:t>
      </w:r>
      <w:r>
        <w:rPr>
          <w:spacing w:val="-4"/>
          <w:u w:val="none"/>
          <w:vertAlign w:val="baseline"/>
        </w:rPr>
        <w:t> </w:t>
      </w:r>
      <w:r>
        <w:rPr>
          <w:u w:val="none"/>
          <w:vertAlign w:val="baseline"/>
        </w:rPr>
        <w:t>case</w:t>
      </w:r>
      <w:r>
        <w:rPr>
          <w:spacing w:val="-3"/>
          <w:u w:val="none"/>
          <w:vertAlign w:val="baseline"/>
        </w:rPr>
        <w:t> </w:t>
      </w:r>
      <w:r>
        <w:rPr>
          <w:u w:val="none"/>
          <w:vertAlign w:val="baseline"/>
        </w:rPr>
        <w:t>study</w:t>
      </w:r>
      <w:r>
        <w:rPr>
          <w:spacing w:val="-7"/>
          <w:u w:val="none"/>
          <w:vertAlign w:val="baseline"/>
        </w:rPr>
        <w:t> </w:t>
      </w:r>
      <w:r>
        <w:rPr>
          <w:spacing w:val="-2"/>
          <w:u w:val="none"/>
          <w:vertAlign w:val="baseline"/>
        </w:rPr>
        <w:t>buildings</w:t>
      </w:r>
    </w:p>
    <w:p>
      <w:pPr>
        <w:pStyle w:val="BodyText"/>
        <w:spacing w:before="7"/>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145"/>
        <w:gridCol w:w="1145"/>
        <w:gridCol w:w="1146"/>
        <w:gridCol w:w="1244"/>
        <w:gridCol w:w="1146"/>
        <w:gridCol w:w="1145"/>
        <w:gridCol w:w="1146"/>
        <w:gridCol w:w="1145"/>
        <w:gridCol w:w="1146"/>
        <w:gridCol w:w="1146"/>
      </w:tblGrid>
      <w:tr>
        <w:trPr>
          <w:trHeight w:val="1160" w:hRule="atLeast"/>
        </w:trPr>
        <w:tc>
          <w:tcPr>
            <w:tcW w:w="2160" w:type="dxa"/>
            <w:tcBorders>
              <w:top w:val="nil"/>
              <w:left w:val="nil"/>
            </w:tcBorders>
          </w:tcPr>
          <w:p>
            <w:pPr>
              <w:pStyle w:val="TableParagraph"/>
              <w:rPr>
                <w:rFonts w:ascii="Times New Roman"/>
                <w:sz w:val="16"/>
              </w:rPr>
            </w:pPr>
          </w:p>
        </w:tc>
        <w:tc>
          <w:tcPr>
            <w:tcW w:w="1145" w:type="dxa"/>
          </w:tcPr>
          <w:p>
            <w:pPr>
              <w:pStyle w:val="TableParagraph"/>
              <w:spacing w:line="184" w:lineRule="exact" w:before="117"/>
              <w:ind w:left="107"/>
              <w:rPr>
                <w:sz w:val="16"/>
              </w:rPr>
            </w:pPr>
            <w:r>
              <w:rPr>
                <w:sz w:val="16"/>
              </w:rPr>
              <w:t>Single</w:t>
            </w:r>
            <w:r>
              <w:rPr>
                <w:spacing w:val="-5"/>
                <w:sz w:val="16"/>
              </w:rPr>
              <w:t> </w:t>
            </w:r>
            <w:r>
              <w:rPr>
                <w:spacing w:val="-2"/>
                <w:sz w:val="16"/>
              </w:rPr>
              <w:t>storey</w:t>
            </w:r>
          </w:p>
          <w:p>
            <w:pPr>
              <w:pStyle w:val="TableParagraph"/>
              <w:ind w:left="107" w:right="373"/>
              <w:rPr>
                <w:sz w:val="16"/>
              </w:rPr>
            </w:pPr>
            <w:r>
              <w:rPr>
                <w:sz w:val="16"/>
              </w:rPr>
              <w:t>–</w:t>
            </w:r>
            <w:r>
              <w:rPr>
                <w:spacing w:val="-12"/>
                <w:sz w:val="16"/>
              </w:rPr>
              <w:t> </w:t>
            </w:r>
            <w:r>
              <w:rPr>
                <w:sz w:val="16"/>
              </w:rPr>
              <w:t>holiday </w:t>
            </w:r>
            <w:r>
              <w:rPr>
                <w:spacing w:val="-2"/>
                <w:sz w:val="16"/>
              </w:rPr>
              <w:t>accomm.</w:t>
            </w:r>
          </w:p>
        </w:tc>
        <w:tc>
          <w:tcPr>
            <w:tcW w:w="1145" w:type="dxa"/>
          </w:tcPr>
          <w:p>
            <w:pPr>
              <w:pStyle w:val="TableParagraph"/>
              <w:spacing w:before="117"/>
              <w:ind w:left="107" w:right="103"/>
              <w:rPr>
                <w:sz w:val="16"/>
              </w:rPr>
            </w:pPr>
            <w:r>
              <w:rPr>
                <w:sz w:val="16"/>
              </w:rPr>
              <w:t>2 storey – hotel/motel</w:t>
            </w:r>
            <w:r>
              <w:rPr>
                <w:spacing w:val="-12"/>
                <w:sz w:val="16"/>
              </w:rPr>
              <w:t> </w:t>
            </w:r>
            <w:r>
              <w:rPr>
                <w:sz w:val="16"/>
              </w:rPr>
              <w:t>–</w:t>
            </w:r>
            <w:r>
              <w:rPr>
                <w:sz w:val="16"/>
              </w:rPr>
              <w:t> no lift</w:t>
            </w:r>
          </w:p>
        </w:tc>
        <w:tc>
          <w:tcPr>
            <w:tcW w:w="1146" w:type="dxa"/>
          </w:tcPr>
          <w:p>
            <w:pPr>
              <w:pStyle w:val="TableParagraph"/>
              <w:spacing w:line="184" w:lineRule="exact" w:before="117"/>
              <w:ind w:left="107"/>
              <w:jc w:val="both"/>
              <w:rPr>
                <w:sz w:val="16"/>
              </w:rPr>
            </w:pPr>
            <w:r>
              <w:rPr>
                <w:sz w:val="16"/>
              </w:rPr>
              <w:t>3+</w:t>
            </w:r>
            <w:r>
              <w:rPr>
                <w:spacing w:val="-2"/>
                <w:sz w:val="16"/>
              </w:rPr>
              <w:t> storey</w:t>
            </w:r>
          </w:p>
          <w:p>
            <w:pPr>
              <w:pStyle w:val="TableParagraph"/>
              <w:ind w:left="107" w:right="218"/>
              <w:jc w:val="both"/>
              <w:rPr>
                <w:sz w:val="16"/>
              </w:rPr>
            </w:pPr>
            <w:r>
              <w:rPr>
                <w:sz w:val="16"/>
              </w:rPr>
              <w:t>200</w:t>
            </w:r>
            <w:r>
              <w:rPr>
                <w:spacing w:val="-12"/>
                <w:sz w:val="16"/>
              </w:rPr>
              <w:t> </w:t>
            </w:r>
            <w:r>
              <w:rPr>
                <w:sz w:val="16"/>
              </w:rPr>
              <w:t>room</w:t>
            </w:r>
            <w:r>
              <w:rPr>
                <w:spacing w:val="-11"/>
                <w:sz w:val="16"/>
              </w:rPr>
              <w:t> </w:t>
            </w:r>
            <w:r>
              <w:rPr>
                <w:sz w:val="16"/>
              </w:rPr>
              <w:t>–</w:t>
            </w:r>
            <w:r>
              <w:rPr>
                <w:sz w:val="16"/>
              </w:rPr>
              <w:t> hotel</w:t>
            </w:r>
            <w:r>
              <w:rPr>
                <w:spacing w:val="-12"/>
                <w:sz w:val="16"/>
              </w:rPr>
              <w:t> </w:t>
            </w:r>
            <w:r>
              <w:rPr>
                <w:sz w:val="16"/>
              </w:rPr>
              <w:t>–</w:t>
            </w:r>
            <w:r>
              <w:rPr>
                <w:spacing w:val="-11"/>
                <w:sz w:val="16"/>
              </w:rPr>
              <w:t> </w:t>
            </w:r>
            <w:r>
              <w:rPr>
                <w:sz w:val="16"/>
              </w:rPr>
              <w:t>with</w:t>
            </w:r>
            <w:r>
              <w:rPr>
                <w:sz w:val="16"/>
              </w:rPr>
              <w:t> </w:t>
            </w:r>
            <w:r>
              <w:rPr>
                <w:spacing w:val="-4"/>
                <w:sz w:val="16"/>
              </w:rPr>
              <w:t>lift</w:t>
            </w:r>
          </w:p>
        </w:tc>
        <w:tc>
          <w:tcPr>
            <w:tcW w:w="1244" w:type="dxa"/>
          </w:tcPr>
          <w:p>
            <w:pPr>
              <w:pStyle w:val="TableParagraph"/>
              <w:spacing w:before="117"/>
              <w:ind w:left="107"/>
              <w:rPr>
                <w:sz w:val="16"/>
              </w:rPr>
            </w:pPr>
            <w:r>
              <w:rPr>
                <w:sz w:val="16"/>
              </w:rPr>
              <w:t>3+ storey 350 room</w:t>
            </w:r>
            <w:r>
              <w:rPr>
                <w:spacing w:val="-12"/>
                <w:sz w:val="16"/>
              </w:rPr>
              <w:t> </w:t>
            </w:r>
            <w:r>
              <w:rPr>
                <w:sz w:val="16"/>
              </w:rPr>
              <w:t>–</w:t>
            </w:r>
            <w:r>
              <w:rPr>
                <w:spacing w:val="-11"/>
                <w:sz w:val="16"/>
              </w:rPr>
              <w:t> </w:t>
            </w:r>
            <w:r>
              <w:rPr>
                <w:sz w:val="16"/>
              </w:rPr>
              <w:t>hotel</w:t>
            </w:r>
            <w:r>
              <w:rPr>
                <w:spacing w:val="-11"/>
                <w:sz w:val="16"/>
              </w:rPr>
              <w:t> </w:t>
            </w:r>
            <w:r>
              <w:rPr>
                <w:sz w:val="16"/>
              </w:rPr>
              <w:t>– with lifts</w:t>
            </w:r>
          </w:p>
        </w:tc>
        <w:tc>
          <w:tcPr>
            <w:tcW w:w="1146" w:type="dxa"/>
          </w:tcPr>
          <w:p>
            <w:pPr>
              <w:pStyle w:val="TableParagraph"/>
              <w:spacing w:before="117"/>
              <w:ind w:left="107" w:right="113"/>
              <w:rPr>
                <w:sz w:val="16"/>
              </w:rPr>
            </w:pPr>
            <w:r>
              <w:rPr>
                <w:sz w:val="16"/>
              </w:rPr>
              <w:t>2 storey – office – dwelling</w:t>
            </w:r>
            <w:r>
              <w:rPr>
                <w:spacing w:val="-12"/>
                <w:sz w:val="16"/>
              </w:rPr>
              <w:t> </w:t>
            </w:r>
            <w:r>
              <w:rPr>
                <w:sz w:val="16"/>
              </w:rPr>
              <w:t>size</w:t>
            </w:r>
            <w:r>
              <w:rPr>
                <w:sz w:val="16"/>
              </w:rPr>
              <w:t> </w:t>
            </w:r>
            <w:r>
              <w:rPr>
                <w:spacing w:val="-2"/>
                <w:sz w:val="16"/>
              </w:rPr>
              <w:t>(with exemption)</w:t>
            </w:r>
          </w:p>
        </w:tc>
        <w:tc>
          <w:tcPr>
            <w:tcW w:w="1145" w:type="dxa"/>
          </w:tcPr>
          <w:p>
            <w:pPr>
              <w:pStyle w:val="TableParagraph"/>
              <w:spacing w:before="117"/>
              <w:ind w:left="108" w:right="111"/>
              <w:rPr>
                <w:sz w:val="16"/>
              </w:rPr>
            </w:pPr>
            <w:r>
              <w:rPr>
                <w:sz w:val="16"/>
              </w:rPr>
              <w:t>2 storey – office – dwelling</w:t>
            </w:r>
            <w:r>
              <w:rPr>
                <w:spacing w:val="-12"/>
                <w:sz w:val="16"/>
              </w:rPr>
              <w:t> </w:t>
            </w:r>
            <w:r>
              <w:rPr>
                <w:sz w:val="16"/>
              </w:rPr>
              <w:t>size</w:t>
            </w:r>
            <w:r>
              <w:rPr>
                <w:sz w:val="16"/>
              </w:rPr>
              <w:t> </w:t>
            </w:r>
            <w:r>
              <w:rPr>
                <w:spacing w:val="-2"/>
                <w:sz w:val="16"/>
              </w:rPr>
              <w:t>(without exemption)</w:t>
            </w:r>
          </w:p>
        </w:tc>
        <w:tc>
          <w:tcPr>
            <w:tcW w:w="1146" w:type="dxa"/>
          </w:tcPr>
          <w:p>
            <w:pPr>
              <w:pStyle w:val="TableParagraph"/>
              <w:spacing w:before="117"/>
              <w:ind w:left="107" w:right="113"/>
              <w:rPr>
                <w:sz w:val="16"/>
              </w:rPr>
            </w:pPr>
            <w:r>
              <w:rPr>
                <w:sz w:val="16"/>
              </w:rPr>
              <w:t>7</w:t>
            </w:r>
            <w:r>
              <w:rPr>
                <w:spacing w:val="-12"/>
                <w:sz w:val="16"/>
              </w:rPr>
              <w:t> </w:t>
            </w:r>
            <w:r>
              <w:rPr>
                <w:sz w:val="16"/>
              </w:rPr>
              <w:t>storey</w:t>
            </w:r>
            <w:r>
              <w:rPr>
                <w:spacing w:val="-11"/>
                <w:sz w:val="16"/>
              </w:rPr>
              <w:t> </w:t>
            </w:r>
            <w:r>
              <w:rPr>
                <w:sz w:val="16"/>
              </w:rPr>
              <w:t>–</w:t>
            </w:r>
            <w:r>
              <w:rPr>
                <w:sz w:val="16"/>
              </w:rPr>
              <w:t> </w:t>
            </w:r>
            <w:r>
              <w:rPr>
                <w:spacing w:val="-2"/>
                <w:sz w:val="16"/>
              </w:rPr>
              <w:t>office</w:t>
            </w:r>
          </w:p>
        </w:tc>
        <w:tc>
          <w:tcPr>
            <w:tcW w:w="1145" w:type="dxa"/>
          </w:tcPr>
          <w:p>
            <w:pPr>
              <w:pStyle w:val="TableParagraph"/>
              <w:spacing w:before="117"/>
              <w:ind w:left="107" w:right="103"/>
              <w:rPr>
                <w:sz w:val="16"/>
              </w:rPr>
            </w:pPr>
            <w:r>
              <w:rPr>
                <w:sz w:val="16"/>
              </w:rPr>
              <w:t>20 storey – office (av. floor</w:t>
            </w:r>
            <w:r>
              <w:rPr>
                <w:spacing w:val="-12"/>
                <w:sz w:val="16"/>
              </w:rPr>
              <w:t> </w:t>
            </w:r>
            <w:r>
              <w:rPr>
                <w:sz w:val="16"/>
              </w:rPr>
              <w:t>plate</w:t>
            </w:r>
            <w:r>
              <w:rPr>
                <w:spacing w:val="-11"/>
                <w:sz w:val="16"/>
              </w:rPr>
              <w:t> </w:t>
            </w:r>
            <w:r>
              <w:rPr>
                <w:sz w:val="16"/>
              </w:rPr>
              <w:t>of</w:t>
            </w:r>
            <w:r>
              <w:rPr>
                <w:sz w:val="16"/>
              </w:rPr>
              <w:t> </w:t>
            </w:r>
            <w:r>
              <w:rPr>
                <w:spacing w:val="-2"/>
                <w:sz w:val="16"/>
              </w:rPr>
              <w:t>900m</w:t>
            </w:r>
            <w:r>
              <w:rPr>
                <w:spacing w:val="-2"/>
                <w:sz w:val="16"/>
                <w:vertAlign w:val="superscript"/>
              </w:rPr>
              <w:t>2</w:t>
            </w:r>
            <w:r>
              <w:rPr>
                <w:spacing w:val="-2"/>
                <w:sz w:val="16"/>
                <w:vertAlign w:val="baseline"/>
              </w:rPr>
              <w:t>)</w:t>
            </w:r>
          </w:p>
        </w:tc>
        <w:tc>
          <w:tcPr>
            <w:tcW w:w="1146" w:type="dxa"/>
          </w:tcPr>
          <w:p>
            <w:pPr>
              <w:pStyle w:val="TableParagraph"/>
              <w:spacing w:before="117"/>
              <w:ind w:left="107" w:right="113"/>
              <w:rPr>
                <w:sz w:val="16"/>
              </w:rPr>
            </w:pPr>
            <w:r>
              <w:rPr>
                <w:spacing w:val="-2"/>
                <w:sz w:val="16"/>
              </w:rPr>
              <w:t>Large horizontal </w:t>
            </w:r>
            <w:r>
              <w:rPr>
                <w:sz w:val="16"/>
              </w:rPr>
              <w:t>spread – </w:t>
            </w:r>
            <w:r>
              <w:rPr>
                <w:spacing w:val="-2"/>
                <w:sz w:val="16"/>
              </w:rPr>
              <w:t>shopping centre</w:t>
            </w:r>
          </w:p>
        </w:tc>
        <w:tc>
          <w:tcPr>
            <w:tcW w:w="1146" w:type="dxa"/>
          </w:tcPr>
          <w:p>
            <w:pPr>
              <w:pStyle w:val="TableParagraph"/>
              <w:spacing w:before="117"/>
              <w:ind w:left="107" w:right="113"/>
              <w:rPr>
                <w:sz w:val="16"/>
              </w:rPr>
            </w:pPr>
            <w:r>
              <w:rPr>
                <w:sz w:val="16"/>
              </w:rPr>
              <w:t>2 storey - </w:t>
            </w:r>
            <w:r>
              <w:rPr>
                <w:spacing w:val="-2"/>
                <w:sz w:val="16"/>
              </w:rPr>
              <w:t>restaurant(s) (with exemption)</w:t>
            </w:r>
          </w:p>
        </w:tc>
      </w:tr>
      <w:tr>
        <w:trPr>
          <w:trHeight w:val="424" w:hRule="atLeast"/>
        </w:trPr>
        <w:tc>
          <w:tcPr>
            <w:tcW w:w="2160" w:type="dxa"/>
          </w:tcPr>
          <w:p>
            <w:pPr>
              <w:pStyle w:val="TableParagraph"/>
              <w:spacing w:before="117"/>
              <w:ind w:left="107"/>
              <w:rPr>
                <w:b/>
                <w:i/>
                <w:sz w:val="16"/>
              </w:rPr>
            </w:pPr>
            <w:r>
              <w:rPr>
                <w:b/>
                <w:i/>
                <w:spacing w:val="-2"/>
                <w:sz w:val="16"/>
              </w:rPr>
              <w:t>Class:</w:t>
            </w:r>
          </w:p>
        </w:tc>
        <w:tc>
          <w:tcPr>
            <w:tcW w:w="1145" w:type="dxa"/>
          </w:tcPr>
          <w:p>
            <w:pPr>
              <w:pStyle w:val="TableParagraph"/>
              <w:spacing w:before="117"/>
              <w:ind w:left="468" w:right="459"/>
              <w:jc w:val="center"/>
              <w:rPr>
                <w:sz w:val="16"/>
              </w:rPr>
            </w:pPr>
            <w:r>
              <w:rPr>
                <w:spacing w:val="-5"/>
                <w:sz w:val="16"/>
              </w:rPr>
              <w:t>1b</w:t>
            </w:r>
          </w:p>
        </w:tc>
        <w:tc>
          <w:tcPr>
            <w:tcW w:w="1145" w:type="dxa"/>
          </w:tcPr>
          <w:p>
            <w:pPr>
              <w:pStyle w:val="TableParagraph"/>
              <w:spacing w:before="117"/>
              <w:ind w:left="8"/>
              <w:jc w:val="center"/>
              <w:rPr>
                <w:sz w:val="16"/>
              </w:rPr>
            </w:pPr>
            <w:r>
              <w:rPr>
                <w:w w:val="99"/>
                <w:sz w:val="16"/>
              </w:rPr>
              <w:t>3</w:t>
            </w:r>
          </w:p>
        </w:tc>
        <w:tc>
          <w:tcPr>
            <w:tcW w:w="1146" w:type="dxa"/>
          </w:tcPr>
          <w:p>
            <w:pPr>
              <w:pStyle w:val="TableParagraph"/>
              <w:spacing w:before="117"/>
              <w:ind w:left="7"/>
              <w:jc w:val="center"/>
              <w:rPr>
                <w:sz w:val="16"/>
              </w:rPr>
            </w:pPr>
            <w:r>
              <w:rPr>
                <w:w w:val="99"/>
                <w:sz w:val="16"/>
              </w:rPr>
              <w:t>3</w:t>
            </w:r>
          </w:p>
        </w:tc>
        <w:tc>
          <w:tcPr>
            <w:tcW w:w="1244" w:type="dxa"/>
          </w:tcPr>
          <w:p>
            <w:pPr>
              <w:pStyle w:val="TableParagraph"/>
              <w:spacing w:before="117"/>
              <w:ind w:left="7"/>
              <w:jc w:val="center"/>
              <w:rPr>
                <w:sz w:val="16"/>
              </w:rPr>
            </w:pPr>
            <w:r>
              <w:rPr>
                <w:w w:val="99"/>
                <w:sz w:val="16"/>
              </w:rPr>
              <w:t>3</w:t>
            </w:r>
          </w:p>
        </w:tc>
        <w:tc>
          <w:tcPr>
            <w:tcW w:w="1146" w:type="dxa"/>
          </w:tcPr>
          <w:p>
            <w:pPr>
              <w:pStyle w:val="TableParagraph"/>
              <w:spacing w:before="117"/>
              <w:ind w:left="8"/>
              <w:jc w:val="center"/>
              <w:rPr>
                <w:sz w:val="16"/>
              </w:rPr>
            </w:pPr>
            <w:r>
              <w:rPr>
                <w:w w:val="99"/>
                <w:sz w:val="16"/>
              </w:rPr>
              <w:t>5</w:t>
            </w:r>
          </w:p>
        </w:tc>
        <w:tc>
          <w:tcPr>
            <w:tcW w:w="1145" w:type="dxa"/>
          </w:tcPr>
          <w:p>
            <w:pPr>
              <w:pStyle w:val="TableParagraph"/>
              <w:spacing w:before="117"/>
              <w:ind w:left="9"/>
              <w:jc w:val="center"/>
              <w:rPr>
                <w:sz w:val="16"/>
              </w:rPr>
            </w:pPr>
            <w:r>
              <w:rPr>
                <w:w w:val="99"/>
                <w:sz w:val="16"/>
              </w:rPr>
              <w:t>5</w:t>
            </w:r>
          </w:p>
        </w:tc>
        <w:tc>
          <w:tcPr>
            <w:tcW w:w="1146" w:type="dxa"/>
          </w:tcPr>
          <w:p>
            <w:pPr>
              <w:pStyle w:val="TableParagraph"/>
              <w:spacing w:before="117"/>
              <w:ind w:left="7"/>
              <w:jc w:val="center"/>
              <w:rPr>
                <w:sz w:val="16"/>
              </w:rPr>
            </w:pPr>
            <w:r>
              <w:rPr>
                <w:w w:val="99"/>
                <w:sz w:val="16"/>
              </w:rPr>
              <w:t>5</w:t>
            </w:r>
          </w:p>
        </w:tc>
        <w:tc>
          <w:tcPr>
            <w:tcW w:w="1145" w:type="dxa"/>
          </w:tcPr>
          <w:p>
            <w:pPr>
              <w:pStyle w:val="TableParagraph"/>
              <w:spacing w:before="117"/>
              <w:ind w:left="8"/>
              <w:jc w:val="center"/>
              <w:rPr>
                <w:sz w:val="16"/>
              </w:rPr>
            </w:pPr>
            <w:r>
              <w:rPr>
                <w:w w:val="99"/>
                <w:sz w:val="16"/>
              </w:rPr>
              <w:t>5</w:t>
            </w:r>
          </w:p>
        </w:tc>
        <w:tc>
          <w:tcPr>
            <w:tcW w:w="1146" w:type="dxa"/>
          </w:tcPr>
          <w:p>
            <w:pPr>
              <w:pStyle w:val="TableParagraph"/>
              <w:spacing w:before="117"/>
              <w:ind w:left="7"/>
              <w:jc w:val="center"/>
              <w:rPr>
                <w:sz w:val="16"/>
              </w:rPr>
            </w:pPr>
            <w:r>
              <w:rPr>
                <w:w w:val="99"/>
                <w:sz w:val="16"/>
              </w:rPr>
              <w:t>6</w:t>
            </w:r>
          </w:p>
        </w:tc>
        <w:tc>
          <w:tcPr>
            <w:tcW w:w="1146" w:type="dxa"/>
          </w:tcPr>
          <w:p>
            <w:pPr>
              <w:pStyle w:val="TableParagraph"/>
              <w:spacing w:before="117"/>
              <w:ind w:left="7"/>
              <w:jc w:val="center"/>
              <w:rPr>
                <w:sz w:val="16"/>
              </w:rPr>
            </w:pPr>
            <w:r>
              <w:rPr>
                <w:w w:val="99"/>
                <w:sz w:val="16"/>
              </w:rPr>
              <w:t>6</w:t>
            </w:r>
          </w:p>
        </w:tc>
      </w:tr>
      <w:tr>
        <w:trPr>
          <w:trHeight w:val="423" w:hRule="atLeast"/>
        </w:trPr>
        <w:tc>
          <w:tcPr>
            <w:tcW w:w="2160" w:type="dxa"/>
          </w:tcPr>
          <w:p>
            <w:pPr>
              <w:pStyle w:val="TableParagraph"/>
              <w:spacing w:before="117"/>
              <w:ind w:left="107"/>
              <w:rPr>
                <w:b/>
                <w:i/>
                <w:sz w:val="16"/>
              </w:rPr>
            </w:pPr>
            <w:r>
              <w:rPr>
                <w:b/>
                <w:i/>
                <w:spacing w:val="-2"/>
                <w:sz w:val="16"/>
              </w:rPr>
              <w:t>Generic</w:t>
            </w:r>
            <w:r>
              <w:rPr>
                <w:b/>
                <w:i/>
                <w:spacing w:val="3"/>
                <w:sz w:val="16"/>
              </w:rPr>
              <w:t> </w:t>
            </w:r>
            <w:r>
              <w:rPr>
                <w:b/>
                <w:i/>
                <w:spacing w:val="-2"/>
                <w:sz w:val="16"/>
              </w:rPr>
              <w:t>Building</w:t>
            </w:r>
            <w:r>
              <w:rPr>
                <w:b/>
                <w:i/>
                <w:spacing w:val="4"/>
                <w:sz w:val="16"/>
              </w:rPr>
              <w:t> </w:t>
            </w:r>
            <w:r>
              <w:rPr>
                <w:b/>
                <w:i/>
                <w:spacing w:val="-2"/>
                <w:sz w:val="16"/>
              </w:rPr>
              <w:t>Cost($)</w:t>
            </w:r>
          </w:p>
        </w:tc>
        <w:tc>
          <w:tcPr>
            <w:tcW w:w="1145" w:type="dxa"/>
          </w:tcPr>
          <w:p>
            <w:pPr>
              <w:pStyle w:val="TableParagraph"/>
              <w:spacing w:before="117"/>
              <w:ind w:right="96"/>
              <w:jc w:val="right"/>
              <w:rPr>
                <w:sz w:val="16"/>
              </w:rPr>
            </w:pPr>
            <w:r>
              <w:rPr>
                <w:spacing w:val="-2"/>
                <w:sz w:val="16"/>
              </w:rPr>
              <w:t>165,000</w:t>
            </w:r>
          </w:p>
        </w:tc>
        <w:tc>
          <w:tcPr>
            <w:tcW w:w="1145" w:type="dxa"/>
          </w:tcPr>
          <w:p>
            <w:pPr>
              <w:pStyle w:val="TableParagraph"/>
              <w:spacing w:before="117"/>
              <w:ind w:right="96"/>
              <w:jc w:val="right"/>
              <w:rPr>
                <w:sz w:val="16"/>
              </w:rPr>
            </w:pPr>
            <w:r>
              <w:rPr>
                <w:spacing w:val="-2"/>
                <w:sz w:val="16"/>
              </w:rPr>
              <w:t>3,750,000</w:t>
            </w:r>
          </w:p>
        </w:tc>
        <w:tc>
          <w:tcPr>
            <w:tcW w:w="1146" w:type="dxa"/>
          </w:tcPr>
          <w:p>
            <w:pPr>
              <w:pStyle w:val="TableParagraph"/>
              <w:spacing w:before="117"/>
              <w:ind w:right="97"/>
              <w:jc w:val="right"/>
              <w:rPr>
                <w:sz w:val="16"/>
              </w:rPr>
            </w:pPr>
            <w:r>
              <w:rPr>
                <w:spacing w:val="-2"/>
                <w:sz w:val="16"/>
              </w:rPr>
              <w:t>26,000,000</w:t>
            </w:r>
          </w:p>
        </w:tc>
        <w:tc>
          <w:tcPr>
            <w:tcW w:w="1244" w:type="dxa"/>
          </w:tcPr>
          <w:p>
            <w:pPr>
              <w:pStyle w:val="TableParagraph"/>
              <w:spacing w:before="117"/>
              <w:ind w:right="97"/>
              <w:jc w:val="right"/>
              <w:rPr>
                <w:sz w:val="16"/>
              </w:rPr>
            </w:pPr>
            <w:r>
              <w:rPr>
                <w:spacing w:val="-2"/>
                <w:sz w:val="16"/>
              </w:rPr>
              <w:t>112,000,000</w:t>
            </w:r>
          </w:p>
        </w:tc>
        <w:tc>
          <w:tcPr>
            <w:tcW w:w="1146" w:type="dxa"/>
          </w:tcPr>
          <w:p>
            <w:pPr>
              <w:pStyle w:val="TableParagraph"/>
              <w:spacing w:before="117"/>
              <w:ind w:right="97"/>
              <w:jc w:val="right"/>
              <w:rPr>
                <w:sz w:val="16"/>
              </w:rPr>
            </w:pPr>
            <w:r>
              <w:rPr>
                <w:spacing w:val="-2"/>
                <w:sz w:val="16"/>
              </w:rPr>
              <w:t>330,000</w:t>
            </w:r>
          </w:p>
        </w:tc>
        <w:tc>
          <w:tcPr>
            <w:tcW w:w="1145" w:type="dxa"/>
          </w:tcPr>
          <w:p>
            <w:pPr>
              <w:pStyle w:val="TableParagraph"/>
              <w:spacing w:before="117"/>
              <w:ind w:right="97"/>
              <w:jc w:val="right"/>
              <w:rPr>
                <w:sz w:val="16"/>
              </w:rPr>
            </w:pPr>
            <w:r>
              <w:rPr>
                <w:spacing w:val="-2"/>
                <w:sz w:val="16"/>
              </w:rPr>
              <w:t>1,860,000</w:t>
            </w:r>
          </w:p>
        </w:tc>
        <w:tc>
          <w:tcPr>
            <w:tcW w:w="1146" w:type="dxa"/>
          </w:tcPr>
          <w:p>
            <w:pPr>
              <w:pStyle w:val="TableParagraph"/>
              <w:spacing w:before="117"/>
              <w:ind w:right="97"/>
              <w:jc w:val="right"/>
              <w:rPr>
                <w:sz w:val="16"/>
              </w:rPr>
            </w:pPr>
            <w:r>
              <w:rPr>
                <w:spacing w:val="-2"/>
                <w:sz w:val="16"/>
              </w:rPr>
              <w:t>16,500,000</w:t>
            </w:r>
          </w:p>
        </w:tc>
        <w:tc>
          <w:tcPr>
            <w:tcW w:w="1145" w:type="dxa"/>
          </w:tcPr>
          <w:p>
            <w:pPr>
              <w:pStyle w:val="TableParagraph"/>
              <w:spacing w:before="117"/>
              <w:ind w:right="98"/>
              <w:jc w:val="right"/>
              <w:rPr>
                <w:sz w:val="16"/>
              </w:rPr>
            </w:pPr>
            <w:r>
              <w:rPr>
                <w:spacing w:val="-2"/>
                <w:sz w:val="16"/>
              </w:rPr>
              <w:t>47,520,000</w:t>
            </w:r>
          </w:p>
        </w:tc>
        <w:tc>
          <w:tcPr>
            <w:tcW w:w="1146" w:type="dxa"/>
          </w:tcPr>
          <w:p>
            <w:pPr>
              <w:pStyle w:val="TableParagraph"/>
              <w:spacing w:before="117"/>
              <w:ind w:right="98"/>
              <w:jc w:val="right"/>
              <w:rPr>
                <w:sz w:val="16"/>
              </w:rPr>
            </w:pPr>
            <w:r>
              <w:rPr>
                <w:spacing w:val="-2"/>
                <w:sz w:val="16"/>
              </w:rPr>
              <w:t>93,500,000</w:t>
            </w:r>
          </w:p>
        </w:tc>
        <w:tc>
          <w:tcPr>
            <w:tcW w:w="1146" w:type="dxa"/>
          </w:tcPr>
          <w:p>
            <w:pPr>
              <w:pStyle w:val="TableParagraph"/>
              <w:spacing w:before="117"/>
              <w:ind w:right="98"/>
              <w:jc w:val="right"/>
              <w:rPr>
                <w:sz w:val="16"/>
              </w:rPr>
            </w:pPr>
            <w:r>
              <w:rPr>
                <w:spacing w:val="-2"/>
                <w:sz w:val="16"/>
              </w:rPr>
              <w:t>550,000</w:t>
            </w:r>
          </w:p>
        </w:tc>
      </w:tr>
      <w:tr>
        <w:trPr>
          <w:trHeight w:val="424" w:hRule="atLeast"/>
        </w:trPr>
        <w:tc>
          <w:tcPr>
            <w:tcW w:w="2160" w:type="dxa"/>
          </w:tcPr>
          <w:p>
            <w:pPr>
              <w:pStyle w:val="TableParagraph"/>
              <w:spacing w:before="117"/>
              <w:ind w:left="107"/>
              <w:rPr>
                <w:b/>
                <w:i/>
                <w:sz w:val="16"/>
              </w:rPr>
            </w:pPr>
            <w:r>
              <w:rPr>
                <w:b/>
                <w:i/>
                <w:spacing w:val="-2"/>
                <w:sz w:val="16"/>
              </w:rPr>
              <w:t>Regulations’</w:t>
            </w:r>
            <w:r>
              <w:rPr>
                <w:b/>
                <w:i/>
                <w:spacing w:val="4"/>
                <w:sz w:val="16"/>
              </w:rPr>
              <w:t> </w:t>
            </w:r>
            <w:r>
              <w:rPr>
                <w:b/>
                <w:i/>
                <w:spacing w:val="-2"/>
                <w:sz w:val="16"/>
              </w:rPr>
              <w:t>Costs</w:t>
            </w:r>
            <w:r>
              <w:rPr>
                <w:b/>
                <w:i/>
                <w:spacing w:val="5"/>
                <w:sz w:val="16"/>
              </w:rPr>
              <w:t> </w:t>
            </w:r>
            <w:r>
              <w:rPr>
                <w:b/>
                <w:i/>
                <w:spacing w:val="-5"/>
                <w:sz w:val="16"/>
              </w:rPr>
              <w:t>($)</w:t>
            </w:r>
          </w:p>
        </w:tc>
        <w:tc>
          <w:tcPr>
            <w:tcW w:w="1145" w:type="dxa"/>
          </w:tcPr>
          <w:p>
            <w:pPr>
              <w:pStyle w:val="TableParagraph"/>
              <w:spacing w:before="117"/>
              <w:ind w:right="96"/>
              <w:jc w:val="right"/>
              <w:rPr>
                <w:sz w:val="16"/>
              </w:rPr>
            </w:pPr>
            <w:r>
              <w:rPr>
                <w:spacing w:val="-2"/>
                <w:sz w:val="16"/>
              </w:rPr>
              <w:t>7,600</w:t>
            </w:r>
          </w:p>
        </w:tc>
        <w:tc>
          <w:tcPr>
            <w:tcW w:w="1145" w:type="dxa"/>
          </w:tcPr>
          <w:p>
            <w:pPr>
              <w:pStyle w:val="TableParagraph"/>
              <w:spacing w:before="117"/>
              <w:ind w:right="96"/>
              <w:jc w:val="right"/>
              <w:rPr>
                <w:sz w:val="16"/>
              </w:rPr>
            </w:pPr>
            <w:r>
              <w:rPr>
                <w:spacing w:val="-2"/>
                <w:sz w:val="16"/>
              </w:rPr>
              <w:t>17,700</w:t>
            </w:r>
          </w:p>
        </w:tc>
        <w:tc>
          <w:tcPr>
            <w:tcW w:w="1146" w:type="dxa"/>
          </w:tcPr>
          <w:p>
            <w:pPr>
              <w:pStyle w:val="TableParagraph"/>
              <w:spacing w:before="117"/>
              <w:ind w:right="96"/>
              <w:jc w:val="right"/>
              <w:rPr>
                <w:sz w:val="16"/>
              </w:rPr>
            </w:pPr>
            <w:r>
              <w:rPr>
                <w:spacing w:val="-2"/>
                <w:sz w:val="16"/>
              </w:rPr>
              <w:t>100,000</w:t>
            </w:r>
          </w:p>
        </w:tc>
        <w:tc>
          <w:tcPr>
            <w:tcW w:w="1244" w:type="dxa"/>
          </w:tcPr>
          <w:p>
            <w:pPr>
              <w:pStyle w:val="TableParagraph"/>
              <w:spacing w:before="117"/>
              <w:ind w:right="96"/>
              <w:jc w:val="right"/>
              <w:rPr>
                <w:sz w:val="16"/>
              </w:rPr>
            </w:pPr>
            <w:r>
              <w:rPr>
                <w:spacing w:val="-2"/>
                <w:sz w:val="16"/>
              </w:rPr>
              <w:t>158,700</w:t>
            </w:r>
          </w:p>
        </w:tc>
        <w:tc>
          <w:tcPr>
            <w:tcW w:w="1146" w:type="dxa"/>
          </w:tcPr>
          <w:p>
            <w:pPr>
              <w:pStyle w:val="TableParagraph"/>
              <w:spacing w:before="117"/>
              <w:ind w:right="96"/>
              <w:jc w:val="right"/>
              <w:rPr>
                <w:sz w:val="16"/>
              </w:rPr>
            </w:pPr>
            <w:r>
              <w:rPr>
                <w:spacing w:val="-2"/>
                <w:sz w:val="16"/>
              </w:rPr>
              <w:t>13,500</w:t>
            </w:r>
          </w:p>
        </w:tc>
        <w:tc>
          <w:tcPr>
            <w:tcW w:w="1145" w:type="dxa"/>
          </w:tcPr>
          <w:p>
            <w:pPr>
              <w:pStyle w:val="TableParagraph"/>
              <w:spacing w:before="117"/>
              <w:ind w:right="97"/>
              <w:jc w:val="right"/>
              <w:rPr>
                <w:sz w:val="16"/>
              </w:rPr>
            </w:pPr>
            <w:r>
              <w:rPr>
                <w:spacing w:val="-2"/>
                <w:sz w:val="16"/>
              </w:rPr>
              <w:t>115,250</w:t>
            </w:r>
          </w:p>
        </w:tc>
        <w:tc>
          <w:tcPr>
            <w:tcW w:w="1146" w:type="dxa"/>
          </w:tcPr>
          <w:p>
            <w:pPr>
              <w:pStyle w:val="TableParagraph"/>
              <w:spacing w:before="117"/>
              <w:ind w:right="97"/>
              <w:jc w:val="right"/>
              <w:rPr>
                <w:sz w:val="16"/>
              </w:rPr>
            </w:pPr>
            <w:r>
              <w:rPr>
                <w:spacing w:val="-2"/>
                <w:sz w:val="16"/>
              </w:rPr>
              <w:t>222,550</w:t>
            </w:r>
          </w:p>
        </w:tc>
        <w:tc>
          <w:tcPr>
            <w:tcW w:w="1145" w:type="dxa"/>
          </w:tcPr>
          <w:p>
            <w:pPr>
              <w:pStyle w:val="TableParagraph"/>
              <w:spacing w:before="117"/>
              <w:ind w:right="97"/>
              <w:jc w:val="right"/>
              <w:rPr>
                <w:sz w:val="16"/>
              </w:rPr>
            </w:pPr>
            <w:r>
              <w:rPr>
                <w:spacing w:val="-2"/>
                <w:sz w:val="16"/>
              </w:rPr>
              <w:t>577,500</w:t>
            </w:r>
          </w:p>
        </w:tc>
        <w:tc>
          <w:tcPr>
            <w:tcW w:w="1146" w:type="dxa"/>
          </w:tcPr>
          <w:p>
            <w:pPr>
              <w:pStyle w:val="TableParagraph"/>
              <w:spacing w:before="117"/>
              <w:ind w:right="98"/>
              <w:jc w:val="right"/>
              <w:rPr>
                <w:sz w:val="16"/>
              </w:rPr>
            </w:pPr>
            <w:r>
              <w:rPr>
                <w:spacing w:val="-2"/>
                <w:sz w:val="16"/>
              </w:rPr>
              <w:t>$63,700</w:t>
            </w:r>
          </w:p>
        </w:tc>
        <w:tc>
          <w:tcPr>
            <w:tcW w:w="1146" w:type="dxa"/>
          </w:tcPr>
          <w:p>
            <w:pPr>
              <w:pStyle w:val="TableParagraph"/>
              <w:spacing w:before="117"/>
              <w:ind w:right="98"/>
              <w:jc w:val="right"/>
              <w:rPr>
                <w:sz w:val="16"/>
              </w:rPr>
            </w:pPr>
            <w:r>
              <w:rPr>
                <w:spacing w:val="-2"/>
                <w:sz w:val="16"/>
              </w:rPr>
              <w:t>15,100</w:t>
            </w:r>
          </w:p>
        </w:tc>
      </w:tr>
      <w:tr>
        <w:trPr>
          <w:trHeight w:val="424" w:hRule="atLeast"/>
        </w:trPr>
        <w:tc>
          <w:tcPr>
            <w:tcW w:w="2160" w:type="dxa"/>
          </w:tcPr>
          <w:p>
            <w:pPr>
              <w:pStyle w:val="TableParagraph"/>
              <w:spacing w:before="117"/>
              <w:ind w:left="107"/>
              <w:rPr>
                <w:b/>
                <w:i/>
                <w:sz w:val="16"/>
              </w:rPr>
            </w:pPr>
            <w:r>
              <w:rPr>
                <w:b/>
                <w:i/>
                <w:spacing w:val="-2"/>
                <w:sz w:val="16"/>
              </w:rPr>
              <w:t>Proportional</w:t>
            </w:r>
            <w:r>
              <w:rPr>
                <w:b/>
                <w:i/>
                <w:spacing w:val="3"/>
                <w:sz w:val="16"/>
              </w:rPr>
              <w:t> </w:t>
            </w:r>
            <w:r>
              <w:rPr>
                <w:b/>
                <w:i/>
                <w:spacing w:val="-2"/>
                <w:sz w:val="16"/>
              </w:rPr>
              <w:t>Increase</w:t>
            </w:r>
            <w:r>
              <w:rPr>
                <w:b/>
                <w:i/>
                <w:spacing w:val="5"/>
                <w:sz w:val="16"/>
              </w:rPr>
              <w:t> </w:t>
            </w:r>
            <w:r>
              <w:rPr>
                <w:b/>
                <w:i/>
                <w:spacing w:val="-5"/>
                <w:sz w:val="16"/>
              </w:rPr>
              <w:t>(%)</w:t>
            </w:r>
          </w:p>
        </w:tc>
        <w:tc>
          <w:tcPr>
            <w:tcW w:w="1145" w:type="dxa"/>
          </w:tcPr>
          <w:p>
            <w:pPr>
              <w:pStyle w:val="TableParagraph"/>
              <w:spacing w:before="118"/>
              <w:ind w:right="96"/>
              <w:jc w:val="right"/>
              <w:rPr>
                <w:i/>
                <w:sz w:val="16"/>
              </w:rPr>
            </w:pPr>
            <w:r>
              <w:rPr>
                <w:i/>
                <w:spacing w:val="-5"/>
                <w:sz w:val="16"/>
              </w:rPr>
              <w:t>4.6</w:t>
            </w:r>
          </w:p>
        </w:tc>
        <w:tc>
          <w:tcPr>
            <w:tcW w:w="1145" w:type="dxa"/>
          </w:tcPr>
          <w:p>
            <w:pPr>
              <w:pStyle w:val="TableParagraph"/>
              <w:spacing w:before="118"/>
              <w:ind w:right="96"/>
              <w:jc w:val="right"/>
              <w:rPr>
                <w:i/>
                <w:sz w:val="16"/>
              </w:rPr>
            </w:pPr>
            <w:r>
              <w:rPr>
                <w:i/>
                <w:spacing w:val="-5"/>
                <w:sz w:val="16"/>
              </w:rPr>
              <w:t>0.5</w:t>
            </w:r>
          </w:p>
        </w:tc>
        <w:tc>
          <w:tcPr>
            <w:tcW w:w="1146" w:type="dxa"/>
          </w:tcPr>
          <w:p>
            <w:pPr>
              <w:pStyle w:val="TableParagraph"/>
              <w:spacing w:before="118"/>
              <w:ind w:right="96"/>
              <w:jc w:val="right"/>
              <w:rPr>
                <w:i/>
                <w:sz w:val="16"/>
              </w:rPr>
            </w:pPr>
            <w:r>
              <w:rPr>
                <w:i/>
                <w:spacing w:val="-5"/>
                <w:sz w:val="16"/>
              </w:rPr>
              <w:t>0.4</w:t>
            </w:r>
          </w:p>
        </w:tc>
        <w:tc>
          <w:tcPr>
            <w:tcW w:w="1244" w:type="dxa"/>
          </w:tcPr>
          <w:p>
            <w:pPr>
              <w:pStyle w:val="TableParagraph"/>
              <w:spacing w:before="118"/>
              <w:ind w:right="96"/>
              <w:jc w:val="right"/>
              <w:rPr>
                <w:i/>
                <w:sz w:val="16"/>
              </w:rPr>
            </w:pPr>
            <w:r>
              <w:rPr>
                <w:i/>
                <w:spacing w:val="-5"/>
                <w:sz w:val="16"/>
              </w:rPr>
              <w:t>0.1</w:t>
            </w:r>
          </w:p>
        </w:tc>
        <w:tc>
          <w:tcPr>
            <w:tcW w:w="1146" w:type="dxa"/>
          </w:tcPr>
          <w:p>
            <w:pPr>
              <w:pStyle w:val="TableParagraph"/>
              <w:spacing w:before="118"/>
              <w:ind w:right="96"/>
              <w:jc w:val="right"/>
              <w:rPr>
                <w:i/>
                <w:sz w:val="16"/>
              </w:rPr>
            </w:pPr>
            <w:r>
              <w:rPr>
                <w:i/>
                <w:spacing w:val="-5"/>
                <w:sz w:val="16"/>
              </w:rPr>
              <w:t>4.1</w:t>
            </w:r>
          </w:p>
        </w:tc>
        <w:tc>
          <w:tcPr>
            <w:tcW w:w="1145" w:type="dxa"/>
          </w:tcPr>
          <w:p>
            <w:pPr>
              <w:pStyle w:val="TableParagraph"/>
              <w:spacing w:before="118"/>
              <w:ind w:right="96"/>
              <w:jc w:val="right"/>
              <w:rPr>
                <w:i/>
                <w:sz w:val="16"/>
              </w:rPr>
            </w:pPr>
            <w:r>
              <w:rPr>
                <w:i/>
                <w:spacing w:val="-5"/>
                <w:sz w:val="16"/>
              </w:rPr>
              <w:t>6.2</w:t>
            </w:r>
          </w:p>
        </w:tc>
        <w:tc>
          <w:tcPr>
            <w:tcW w:w="1146" w:type="dxa"/>
          </w:tcPr>
          <w:p>
            <w:pPr>
              <w:pStyle w:val="TableParagraph"/>
              <w:spacing w:before="118"/>
              <w:ind w:right="96"/>
              <w:jc w:val="right"/>
              <w:rPr>
                <w:i/>
                <w:sz w:val="16"/>
              </w:rPr>
            </w:pPr>
            <w:r>
              <w:rPr>
                <w:i/>
                <w:spacing w:val="-5"/>
                <w:sz w:val="16"/>
              </w:rPr>
              <w:t>1.3</w:t>
            </w:r>
          </w:p>
        </w:tc>
        <w:tc>
          <w:tcPr>
            <w:tcW w:w="1145" w:type="dxa"/>
          </w:tcPr>
          <w:p>
            <w:pPr>
              <w:pStyle w:val="TableParagraph"/>
              <w:spacing w:before="118"/>
              <w:ind w:right="96"/>
              <w:jc w:val="right"/>
              <w:rPr>
                <w:i/>
                <w:sz w:val="16"/>
              </w:rPr>
            </w:pPr>
            <w:r>
              <w:rPr>
                <w:i/>
                <w:spacing w:val="-5"/>
                <w:sz w:val="16"/>
              </w:rPr>
              <w:t>1.2</w:t>
            </w:r>
          </w:p>
        </w:tc>
        <w:tc>
          <w:tcPr>
            <w:tcW w:w="1146" w:type="dxa"/>
          </w:tcPr>
          <w:p>
            <w:pPr>
              <w:pStyle w:val="TableParagraph"/>
              <w:spacing w:before="118"/>
              <w:ind w:right="96"/>
              <w:jc w:val="right"/>
              <w:rPr>
                <w:i/>
                <w:sz w:val="16"/>
              </w:rPr>
            </w:pPr>
            <w:r>
              <w:rPr>
                <w:i/>
                <w:spacing w:val="-5"/>
                <w:sz w:val="16"/>
              </w:rPr>
              <w:t>0.1</w:t>
            </w:r>
          </w:p>
        </w:tc>
        <w:tc>
          <w:tcPr>
            <w:tcW w:w="1146" w:type="dxa"/>
          </w:tcPr>
          <w:p>
            <w:pPr>
              <w:pStyle w:val="TableParagraph"/>
              <w:spacing w:before="118"/>
              <w:ind w:right="96"/>
              <w:jc w:val="right"/>
              <w:rPr>
                <w:i/>
                <w:sz w:val="16"/>
              </w:rPr>
            </w:pPr>
            <w:r>
              <w:rPr>
                <w:i/>
                <w:spacing w:val="-5"/>
                <w:sz w:val="16"/>
              </w:rPr>
              <w:t>2.7</w:t>
            </w:r>
          </w:p>
        </w:tc>
      </w:tr>
    </w:tbl>
    <w:p>
      <w:pPr>
        <w:pStyle w:val="BodyText"/>
        <w:rPr>
          <w:b/>
          <w:sz w:val="20"/>
        </w:rPr>
      </w:pPr>
    </w:p>
    <w:p>
      <w:pPr>
        <w:pStyle w:val="BodyText"/>
        <w:spacing w:before="11"/>
        <w:rPr>
          <w:b/>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050"/>
        <w:gridCol w:w="1050"/>
        <w:gridCol w:w="1050"/>
        <w:gridCol w:w="1050"/>
        <w:gridCol w:w="1050"/>
        <w:gridCol w:w="1050"/>
        <w:gridCol w:w="1050"/>
        <w:gridCol w:w="1110"/>
        <w:gridCol w:w="1050"/>
        <w:gridCol w:w="1050"/>
        <w:gridCol w:w="1050"/>
      </w:tblGrid>
      <w:tr>
        <w:trPr>
          <w:trHeight w:val="1160" w:hRule="atLeast"/>
        </w:trPr>
        <w:tc>
          <w:tcPr>
            <w:tcW w:w="2160" w:type="dxa"/>
            <w:tcBorders>
              <w:top w:val="nil"/>
              <w:left w:val="nil"/>
            </w:tcBorders>
          </w:tcPr>
          <w:p>
            <w:pPr>
              <w:pStyle w:val="TableParagraph"/>
              <w:rPr>
                <w:rFonts w:ascii="Times New Roman"/>
                <w:sz w:val="16"/>
              </w:rPr>
            </w:pPr>
          </w:p>
        </w:tc>
        <w:tc>
          <w:tcPr>
            <w:tcW w:w="1050" w:type="dxa"/>
          </w:tcPr>
          <w:p>
            <w:pPr>
              <w:pStyle w:val="TableParagraph"/>
              <w:spacing w:before="117"/>
              <w:ind w:left="107" w:right="84"/>
              <w:rPr>
                <w:sz w:val="16"/>
              </w:rPr>
            </w:pPr>
            <w:r>
              <w:rPr>
                <w:sz w:val="16"/>
              </w:rPr>
              <w:t>2 storey - </w:t>
            </w:r>
            <w:r>
              <w:rPr>
                <w:spacing w:val="-2"/>
                <w:sz w:val="16"/>
              </w:rPr>
              <w:t>restaurant (without exemption)</w:t>
            </w:r>
          </w:p>
        </w:tc>
        <w:tc>
          <w:tcPr>
            <w:tcW w:w="1050" w:type="dxa"/>
          </w:tcPr>
          <w:p>
            <w:pPr>
              <w:pStyle w:val="TableParagraph"/>
              <w:spacing w:before="117"/>
              <w:ind w:left="107" w:right="84"/>
              <w:rPr>
                <w:sz w:val="16"/>
              </w:rPr>
            </w:pPr>
            <w:r>
              <w:rPr>
                <w:sz w:val="16"/>
              </w:rPr>
              <w:t>7</w:t>
            </w:r>
            <w:r>
              <w:rPr>
                <w:spacing w:val="-12"/>
                <w:sz w:val="16"/>
              </w:rPr>
              <w:t> </w:t>
            </w:r>
            <w:r>
              <w:rPr>
                <w:sz w:val="16"/>
              </w:rPr>
              <w:t>storey</w:t>
            </w:r>
            <w:r>
              <w:rPr>
                <w:spacing w:val="-11"/>
                <w:sz w:val="16"/>
              </w:rPr>
              <w:t> </w:t>
            </w:r>
            <w:r>
              <w:rPr>
                <w:sz w:val="16"/>
              </w:rPr>
              <w:t>-</w:t>
            </w:r>
            <w:r>
              <w:rPr>
                <w:sz w:val="16"/>
              </w:rPr>
              <w:t> </w:t>
            </w:r>
            <w:r>
              <w:rPr>
                <w:spacing w:val="-2"/>
                <w:sz w:val="16"/>
              </w:rPr>
              <w:t>carpark</w:t>
            </w:r>
          </w:p>
        </w:tc>
        <w:tc>
          <w:tcPr>
            <w:tcW w:w="1050" w:type="dxa"/>
          </w:tcPr>
          <w:p>
            <w:pPr>
              <w:pStyle w:val="TableParagraph"/>
              <w:spacing w:before="117"/>
              <w:ind w:left="107" w:right="84"/>
              <w:rPr>
                <w:sz w:val="16"/>
              </w:rPr>
            </w:pPr>
            <w:r>
              <w:rPr>
                <w:sz w:val="16"/>
              </w:rPr>
              <w:t>2 storey – storage / </w:t>
            </w:r>
            <w:r>
              <w:rPr>
                <w:spacing w:val="-2"/>
                <w:sz w:val="16"/>
              </w:rPr>
              <w:t>warehouse (with exemption)</w:t>
            </w:r>
          </w:p>
        </w:tc>
        <w:tc>
          <w:tcPr>
            <w:tcW w:w="1050" w:type="dxa"/>
          </w:tcPr>
          <w:p>
            <w:pPr>
              <w:pStyle w:val="TableParagraph"/>
              <w:spacing w:before="117"/>
              <w:ind w:left="107" w:right="84"/>
              <w:rPr>
                <w:sz w:val="16"/>
              </w:rPr>
            </w:pPr>
            <w:r>
              <w:rPr>
                <w:sz w:val="16"/>
              </w:rPr>
              <w:t>2 storey – storage / </w:t>
            </w:r>
            <w:r>
              <w:rPr>
                <w:spacing w:val="-2"/>
                <w:sz w:val="16"/>
              </w:rPr>
              <w:t>warehouse (with exemption)</w:t>
            </w:r>
          </w:p>
        </w:tc>
        <w:tc>
          <w:tcPr>
            <w:tcW w:w="1050" w:type="dxa"/>
          </w:tcPr>
          <w:p>
            <w:pPr>
              <w:pStyle w:val="TableParagraph"/>
              <w:spacing w:before="117"/>
              <w:ind w:left="107" w:right="84"/>
              <w:rPr>
                <w:sz w:val="16"/>
              </w:rPr>
            </w:pPr>
            <w:r>
              <w:rPr>
                <w:spacing w:val="-2"/>
                <w:sz w:val="16"/>
              </w:rPr>
              <w:t>Single </w:t>
            </w:r>
            <w:r>
              <w:rPr>
                <w:sz w:val="16"/>
              </w:rPr>
              <w:t>storey – </w:t>
            </w:r>
            <w:r>
              <w:rPr>
                <w:spacing w:val="-2"/>
                <w:sz w:val="16"/>
              </w:rPr>
              <w:t>lab/factory</w:t>
            </w:r>
          </w:p>
          <w:p>
            <w:pPr>
              <w:pStyle w:val="TableParagraph"/>
              <w:ind w:left="107"/>
              <w:rPr>
                <w:sz w:val="16"/>
              </w:rPr>
            </w:pPr>
            <w:r>
              <w:rPr>
                <w:spacing w:val="-2"/>
                <w:sz w:val="16"/>
              </w:rPr>
              <w:t>–500m</w:t>
            </w:r>
            <w:r>
              <w:rPr>
                <w:spacing w:val="-2"/>
                <w:sz w:val="16"/>
                <w:vertAlign w:val="superscript"/>
              </w:rPr>
              <w:t>2</w:t>
            </w:r>
          </w:p>
        </w:tc>
        <w:tc>
          <w:tcPr>
            <w:tcW w:w="1050" w:type="dxa"/>
          </w:tcPr>
          <w:p>
            <w:pPr>
              <w:pStyle w:val="TableParagraph"/>
              <w:spacing w:before="117"/>
              <w:ind w:left="107" w:right="84"/>
              <w:rPr>
                <w:sz w:val="16"/>
              </w:rPr>
            </w:pPr>
            <w:r>
              <w:rPr>
                <w:sz w:val="16"/>
              </w:rPr>
              <w:t>3</w:t>
            </w:r>
            <w:r>
              <w:rPr>
                <w:spacing w:val="-12"/>
                <w:sz w:val="16"/>
              </w:rPr>
              <w:t> </w:t>
            </w:r>
            <w:r>
              <w:rPr>
                <w:sz w:val="16"/>
              </w:rPr>
              <w:t>storey</w:t>
            </w:r>
            <w:r>
              <w:rPr>
                <w:spacing w:val="-11"/>
                <w:sz w:val="16"/>
              </w:rPr>
              <w:t> </w:t>
            </w:r>
            <w:r>
              <w:rPr>
                <w:sz w:val="16"/>
              </w:rPr>
              <w:t>–</w:t>
            </w:r>
            <w:r>
              <w:rPr>
                <w:sz w:val="16"/>
              </w:rPr>
              <w:t> </w:t>
            </w:r>
            <w:r>
              <w:rPr>
                <w:spacing w:val="-2"/>
                <w:sz w:val="16"/>
              </w:rPr>
              <w:t>hospital building</w:t>
            </w:r>
          </w:p>
        </w:tc>
        <w:tc>
          <w:tcPr>
            <w:tcW w:w="1050" w:type="dxa"/>
          </w:tcPr>
          <w:p>
            <w:pPr>
              <w:pStyle w:val="TableParagraph"/>
              <w:spacing w:before="117"/>
              <w:ind w:left="107" w:right="84"/>
              <w:rPr>
                <w:sz w:val="16"/>
              </w:rPr>
            </w:pPr>
            <w:r>
              <w:rPr>
                <w:sz w:val="16"/>
              </w:rPr>
              <w:t>500</w:t>
            </w:r>
            <w:r>
              <w:rPr>
                <w:spacing w:val="-12"/>
                <w:sz w:val="16"/>
              </w:rPr>
              <w:t> </w:t>
            </w:r>
            <w:r>
              <w:rPr>
                <w:sz w:val="16"/>
              </w:rPr>
              <w:t>seat</w:t>
            </w:r>
            <w:r>
              <w:rPr>
                <w:spacing w:val="-11"/>
                <w:sz w:val="16"/>
              </w:rPr>
              <w:t> </w:t>
            </w:r>
            <w:r>
              <w:rPr>
                <w:sz w:val="16"/>
              </w:rPr>
              <w:t>–</w:t>
            </w:r>
            <w:r>
              <w:rPr>
                <w:sz w:val="16"/>
              </w:rPr>
              <w:t> </w:t>
            </w:r>
            <w:r>
              <w:rPr>
                <w:spacing w:val="-2"/>
                <w:sz w:val="16"/>
              </w:rPr>
              <w:t>theatre</w:t>
            </w:r>
          </w:p>
        </w:tc>
        <w:tc>
          <w:tcPr>
            <w:tcW w:w="1110" w:type="dxa"/>
          </w:tcPr>
          <w:p>
            <w:pPr>
              <w:pStyle w:val="TableParagraph"/>
              <w:spacing w:before="117"/>
              <w:ind w:left="107"/>
              <w:rPr>
                <w:sz w:val="16"/>
              </w:rPr>
            </w:pPr>
            <w:r>
              <w:rPr>
                <w:sz w:val="16"/>
              </w:rPr>
              <w:t>1200</w:t>
            </w:r>
            <w:r>
              <w:rPr>
                <w:spacing w:val="-12"/>
                <w:sz w:val="16"/>
              </w:rPr>
              <w:t> </w:t>
            </w:r>
            <w:r>
              <w:rPr>
                <w:sz w:val="16"/>
              </w:rPr>
              <w:t>seat</w:t>
            </w:r>
            <w:r>
              <w:rPr>
                <w:spacing w:val="-11"/>
                <w:sz w:val="16"/>
              </w:rPr>
              <w:t> </w:t>
            </w:r>
            <w:r>
              <w:rPr>
                <w:sz w:val="16"/>
              </w:rPr>
              <w:t>– </w:t>
            </w:r>
            <w:r>
              <w:rPr>
                <w:spacing w:val="-2"/>
                <w:sz w:val="16"/>
              </w:rPr>
              <w:t>theatre</w:t>
            </w:r>
          </w:p>
        </w:tc>
        <w:tc>
          <w:tcPr>
            <w:tcW w:w="1050" w:type="dxa"/>
          </w:tcPr>
          <w:p>
            <w:pPr>
              <w:pStyle w:val="TableParagraph"/>
              <w:spacing w:before="117"/>
              <w:ind w:left="107" w:right="84"/>
              <w:rPr>
                <w:sz w:val="16"/>
              </w:rPr>
            </w:pPr>
            <w:r>
              <w:rPr>
                <w:sz w:val="16"/>
              </w:rPr>
              <w:t>2</w:t>
            </w:r>
            <w:r>
              <w:rPr>
                <w:spacing w:val="-12"/>
                <w:sz w:val="16"/>
              </w:rPr>
              <w:t> </w:t>
            </w:r>
            <w:r>
              <w:rPr>
                <w:sz w:val="16"/>
              </w:rPr>
              <w:t>storey</w:t>
            </w:r>
            <w:r>
              <w:rPr>
                <w:spacing w:val="-11"/>
                <w:sz w:val="16"/>
              </w:rPr>
              <w:t> </w:t>
            </w:r>
            <w:r>
              <w:rPr>
                <w:sz w:val="16"/>
              </w:rPr>
              <w:t>–</w:t>
            </w:r>
            <w:r>
              <w:rPr>
                <w:sz w:val="16"/>
              </w:rPr>
              <w:t> </w:t>
            </w:r>
            <w:r>
              <w:rPr>
                <w:spacing w:val="-2"/>
                <w:sz w:val="16"/>
              </w:rPr>
              <w:t>school building</w:t>
            </w:r>
          </w:p>
        </w:tc>
        <w:tc>
          <w:tcPr>
            <w:tcW w:w="1050" w:type="dxa"/>
          </w:tcPr>
          <w:p>
            <w:pPr>
              <w:pStyle w:val="TableParagraph"/>
              <w:spacing w:before="117"/>
              <w:ind w:left="107" w:right="84"/>
              <w:rPr>
                <w:sz w:val="16"/>
              </w:rPr>
            </w:pPr>
            <w:r>
              <w:rPr>
                <w:spacing w:val="-2"/>
                <w:sz w:val="16"/>
              </w:rPr>
              <w:t>Single </w:t>
            </w:r>
            <w:r>
              <w:rPr>
                <w:sz w:val="16"/>
              </w:rPr>
              <w:t>storey – </w:t>
            </w:r>
            <w:r>
              <w:rPr>
                <w:spacing w:val="-2"/>
                <w:sz w:val="16"/>
              </w:rPr>
              <w:t>community </w:t>
            </w:r>
            <w:r>
              <w:rPr>
                <w:spacing w:val="-4"/>
                <w:sz w:val="16"/>
              </w:rPr>
              <w:t>hall</w:t>
            </w:r>
          </w:p>
        </w:tc>
        <w:tc>
          <w:tcPr>
            <w:tcW w:w="1050" w:type="dxa"/>
          </w:tcPr>
          <w:p>
            <w:pPr>
              <w:pStyle w:val="TableParagraph"/>
              <w:spacing w:line="184" w:lineRule="exact" w:before="116"/>
              <w:ind w:left="107"/>
              <w:rPr>
                <w:sz w:val="16"/>
              </w:rPr>
            </w:pPr>
            <w:r>
              <w:rPr>
                <w:sz w:val="16"/>
              </w:rPr>
              <w:t>10</w:t>
            </w:r>
            <w:r>
              <w:rPr>
                <w:spacing w:val="-6"/>
                <w:sz w:val="16"/>
              </w:rPr>
              <w:t> </w:t>
            </w:r>
            <w:r>
              <w:rPr>
                <w:sz w:val="16"/>
              </w:rPr>
              <w:t>000-</w:t>
            </w:r>
            <w:r>
              <w:rPr>
                <w:spacing w:val="-5"/>
                <w:sz w:val="16"/>
              </w:rPr>
              <w:t>15</w:t>
            </w:r>
          </w:p>
          <w:p>
            <w:pPr>
              <w:pStyle w:val="TableParagraph"/>
              <w:ind w:left="107" w:right="84"/>
              <w:rPr>
                <w:sz w:val="16"/>
              </w:rPr>
            </w:pPr>
            <w:r>
              <w:rPr>
                <w:sz w:val="16"/>
              </w:rPr>
              <w:t>000</w:t>
            </w:r>
            <w:r>
              <w:rPr>
                <w:spacing w:val="-12"/>
                <w:sz w:val="16"/>
              </w:rPr>
              <w:t> </w:t>
            </w:r>
            <w:r>
              <w:rPr>
                <w:sz w:val="16"/>
              </w:rPr>
              <w:t>seat</w:t>
            </w:r>
            <w:r>
              <w:rPr>
                <w:spacing w:val="-11"/>
                <w:sz w:val="16"/>
              </w:rPr>
              <w:t> </w:t>
            </w:r>
            <w:r>
              <w:rPr>
                <w:sz w:val="16"/>
              </w:rPr>
              <w:t>–</w:t>
            </w:r>
            <w:r>
              <w:rPr>
                <w:sz w:val="16"/>
              </w:rPr>
              <w:t> </w:t>
            </w:r>
            <w:r>
              <w:rPr>
                <w:spacing w:val="-2"/>
                <w:sz w:val="16"/>
              </w:rPr>
              <w:t>stadium</w:t>
            </w:r>
          </w:p>
        </w:tc>
      </w:tr>
      <w:tr>
        <w:trPr>
          <w:trHeight w:val="423" w:hRule="atLeast"/>
        </w:trPr>
        <w:tc>
          <w:tcPr>
            <w:tcW w:w="2160" w:type="dxa"/>
          </w:tcPr>
          <w:p>
            <w:pPr>
              <w:pStyle w:val="TableParagraph"/>
              <w:spacing w:before="117"/>
              <w:ind w:left="107"/>
              <w:rPr>
                <w:b/>
                <w:i/>
                <w:sz w:val="16"/>
              </w:rPr>
            </w:pPr>
            <w:r>
              <w:rPr>
                <w:b/>
                <w:i/>
                <w:spacing w:val="-2"/>
                <w:sz w:val="16"/>
              </w:rPr>
              <w:t>Class:</w:t>
            </w:r>
          </w:p>
        </w:tc>
        <w:tc>
          <w:tcPr>
            <w:tcW w:w="1050" w:type="dxa"/>
          </w:tcPr>
          <w:p>
            <w:pPr>
              <w:pStyle w:val="TableParagraph"/>
              <w:spacing w:before="117"/>
              <w:ind w:left="8"/>
              <w:jc w:val="center"/>
              <w:rPr>
                <w:sz w:val="16"/>
              </w:rPr>
            </w:pPr>
            <w:r>
              <w:rPr>
                <w:w w:val="99"/>
                <w:sz w:val="16"/>
              </w:rPr>
              <w:t>6</w:t>
            </w:r>
          </w:p>
        </w:tc>
        <w:tc>
          <w:tcPr>
            <w:tcW w:w="1050" w:type="dxa"/>
          </w:tcPr>
          <w:p>
            <w:pPr>
              <w:pStyle w:val="TableParagraph"/>
              <w:spacing w:before="117"/>
              <w:ind w:left="420" w:right="412"/>
              <w:jc w:val="center"/>
              <w:rPr>
                <w:sz w:val="16"/>
              </w:rPr>
            </w:pPr>
            <w:r>
              <w:rPr>
                <w:spacing w:val="-5"/>
                <w:sz w:val="16"/>
              </w:rPr>
              <w:t>7a</w:t>
            </w:r>
          </w:p>
        </w:tc>
        <w:tc>
          <w:tcPr>
            <w:tcW w:w="1050" w:type="dxa"/>
          </w:tcPr>
          <w:p>
            <w:pPr>
              <w:pStyle w:val="TableParagraph"/>
              <w:spacing w:before="117"/>
              <w:ind w:left="420" w:right="412"/>
              <w:jc w:val="center"/>
              <w:rPr>
                <w:sz w:val="16"/>
              </w:rPr>
            </w:pPr>
            <w:r>
              <w:rPr>
                <w:spacing w:val="-5"/>
                <w:sz w:val="16"/>
              </w:rPr>
              <w:t>7b</w:t>
            </w:r>
          </w:p>
        </w:tc>
        <w:tc>
          <w:tcPr>
            <w:tcW w:w="1050" w:type="dxa"/>
          </w:tcPr>
          <w:p>
            <w:pPr>
              <w:pStyle w:val="TableParagraph"/>
              <w:spacing w:before="117"/>
              <w:ind w:left="420" w:right="412"/>
              <w:jc w:val="center"/>
              <w:rPr>
                <w:sz w:val="16"/>
              </w:rPr>
            </w:pPr>
            <w:r>
              <w:rPr>
                <w:spacing w:val="-5"/>
                <w:sz w:val="16"/>
              </w:rPr>
              <w:t>7b</w:t>
            </w:r>
          </w:p>
        </w:tc>
        <w:tc>
          <w:tcPr>
            <w:tcW w:w="1050" w:type="dxa"/>
          </w:tcPr>
          <w:p>
            <w:pPr>
              <w:pStyle w:val="TableParagraph"/>
              <w:spacing w:before="117"/>
              <w:ind w:left="8"/>
              <w:jc w:val="center"/>
              <w:rPr>
                <w:sz w:val="16"/>
              </w:rPr>
            </w:pPr>
            <w:r>
              <w:rPr>
                <w:w w:val="99"/>
                <w:sz w:val="16"/>
              </w:rPr>
              <w:t>8</w:t>
            </w:r>
          </w:p>
        </w:tc>
        <w:tc>
          <w:tcPr>
            <w:tcW w:w="1050" w:type="dxa"/>
          </w:tcPr>
          <w:p>
            <w:pPr>
              <w:pStyle w:val="TableParagraph"/>
              <w:spacing w:before="117"/>
              <w:ind w:left="420" w:right="412"/>
              <w:jc w:val="center"/>
              <w:rPr>
                <w:sz w:val="16"/>
              </w:rPr>
            </w:pPr>
            <w:r>
              <w:rPr>
                <w:spacing w:val="-5"/>
                <w:sz w:val="16"/>
              </w:rPr>
              <w:t>9a</w:t>
            </w:r>
          </w:p>
        </w:tc>
        <w:tc>
          <w:tcPr>
            <w:tcW w:w="1050" w:type="dxa"/>
          </w:tcPr>
          <w:p>
            <w:pPr>
              <w:pStyle w:val="TableParagraph"/>
              <w:spacing w:before="117"/>
              <w:ind w:left="420" w:right="412"/>
              <w:jc w:val="center"/>
              <w:rPr>
                <w:sz w:val="16"/>
              </w:rPr>
            </w:pPr>
            <w:r>
              <w:rPr>
                <w:spacing w:val="-5"/>
                <w:sz w:val="16"/>
              </w:rPr>
              <w:t>9b</w:t>
            </w:r>
          </w:p>
        </w:tc>
        <w:tc>
          <w:tcPr>
            <w:tcW w:w="1110" w:type="dxa"/>
          </w:tcPr>
          <w:p>
            <w:pPr>
              <w:pStyle w:val="TableParagraph"/>
              <w:spacing w:before="117"/>
              <w:ind w:left="450" w:right="442"/>
              <w:jc w:val="center"/>
              <w:rPr>
                <w:sz w:val="16"/>
              </w:rPr>
            </w:pPr>
            <w:r>
              <w:rPr>
                <w:spacing w:val="-5"/>
                <w:sz w:val="16"/>
              </w:rPr>
              <w:t>9b</w:t>
            </w:r>
          </w:p>
        </w:tc>
        <w:tc>
          <w:tcPr>
            <w:tcW w:w="1050" w:type="dxa"/>
          </w:tcPr>
          <w:p>
            <w:pPr>
              <w:pStyle w:val="TableParagraph"/>
              <w:spacing w:before="117"/>
              <w:ind w:left="420" w:right="412"/>
              <w:jc w:val="center"/>
              <w:rPr>
                <w:sz w:val="16"/>
              </w:rPr>
            </w:pPr>
            <w:r>
              <w:rPr>
                <w:spacing w:val="-5"/>
                <w:sz w:val="16"/>
              </w:rPr>
              <w:t>9b</w:t>
            </w:r>
          </w:p>
        </w:tc>
        <w:tc>
          <w:tcPr>
            <w:tcW w:w="1050" w:type="dxa"/>
          </w:tcPr>
          <w:p>
            <w:pPr>
              <w:pStyle w:val="TableParagraph"/>
              <w:spacing w:before="117"/>
              <w:ind w:left="420" w:right="412"/>
              <w:jc w:val="center"/>
              <w:rPr>
                <w:sz w:val="16"/>
              </w:rPr>
            </w:pPr>
            <w:r>
              <w:rPr>
                <w:spacing w:val="-5"/>
                <w:sz w:val="16"/>
              </w:rPr>
              <w:t>9b</w:t>
            </w:r>
          </w:p>
        </w:tc>
        <w:tc>
          <w:tcPr>
            <w:tcW w:w="1050" w:type="dxa"/>
          </w:tcPr>
          <w:p>
            <w:pPr>
              <w:pStyle w:val="TableParagraph"/>
              <w:spacing w:before="117"/>
              <w:ind w:left="420" w:right="412"/>
              <w:jc w:val="center"/>
              <w:rPr>
                <w:sz w:val="16"/>
              </w:rPr>
            </w:pPr>
            <w:r>
              <w:rPr>
                <w:spacing w:val="-5"/>
                <w:sz w:val="16"/>
              </w:rPr>
              <w:t>9b</w:t>
            </w:r>
          </w:p>
        </w:tc>
      </w:tr>
      <w:tr>
        <w:trPr>
          <w:trHeight w:val="424" w:hRule="atLeast"/>
        </w:trPr>
        <w:tc>
          <w:tcPr>
            <w:tcW w:w="2160" w:type="dxa"/>
          </w:tcPr>
          <w:p>
            <w:pPr>
              <w:pStyle w:val="TableParagraph"/>
              <w:spacing w:before="117"/>
              <w:ind w:left="107"/>
              <w:rPr>
                <w:b/>
                <w:i/>
                <w:sz w:val="16"/>
              </w:rPr>
            </w:pPr>
            <w:r>
              <w:rPr>
                <w:b/>
                <w:i/>
                <w:spacing w:val="-2"/>
                <w:sz w:val="16"/>
              </w:rPr>
              <w:t>Generic</w:t>
            </w:r>
            <w:r>
              <w:rPr>
                <w:b/>
                <w:i/>
                <w:spacing w:val="3"/>
                <w:sz w:val="16"/>
              </w:rPr>
              <w:t> </w:t>
            </w:r>
            <w:r>
              <w:rPr>
                <w:b/>
                <w:i/>
                <w:spacing w:val="-2"/>
                <w:sz w:val="16"/>
              </w:rPr>
              <w:t>Building</w:t>
            </w:r>
            <w:r>
              <w:rPr>
                <w:b/>
                <w:i/>
                <w:spacing w:val="4"/>
                <w:sz w:val="16"/>
              </w:rPr>
              <w:t> </w:t>
            </w:r>
            <w:r>
              <w:rPr>
                <w:b/>
                <w:i/>
                <w:spacing w:val="-2"/>
                <w:sz w:val="16"/>
              </w:rPr>
              <w:t>Cost($)</w:t>
            </w:r>
          </w:p>
        </w:tc>
        <w:tc>
          <w:tcPr>
            <w:tcW w:w="1050" w:type="dxa"/>
          </w:tcPr>
          <w:p>
            <w:pPr>
              <w:pStyle w:val="TableParagraph"/>
              <w:spacing w:before="117"/>
              <w:ind w:right="96"/>
              <w:jc w:val="right"/>
              <w:rPr>
                <w:sz w:val="16"/>
              </w:rPr>
            </w:pPr>
            <w:r>
              <w:rPr>
                <w:spacing w:val="-2"/>
                <w:sz w:val="16"/>
              </w:rPr>
              <w:t>3,000,000</w:t>
            </w:r>
          </w:p>
        </w:tc>
        <w:tc>
          <w:tcPr>
            <w:tcW w:w="1050" w:type="dxa"/>
          </w:tcPr>
          <w:p>
            <w:pPr>
              <w:pStyle w:val="TableParagraph"/>
              <w:spacing w:before="117"/>
              <w:ind w:right="96"/>
              <w:jc w:val="right"/>
              <w:rPr>
                <w:sz w:val="16"/>
              </w:rPr>
            </w:pPr>
            <w:r>
              <w:rPr>
                <w:spacing w:val="-2"/>
                <w:sz w:val="16"/>
              </w:rPr>
              <w:t>6,300,000</w:t>
            </w:r>
          </w:p>
        </w:tc>
        <w:tc>
          <w:tcPr>
            <w:tcW w:w="1050" w:type="dxa"/>
          </w:tcPr>
          <w:p>
            <w:pPr>
              <w:pStyle w:val="TableParagraph"/>
              <w:spacing w:before="117"/>
              <w:ind w:right="96"/>
              <w:jc w:val="right"/>
              <w:rPr>
                <w:sz w:val="16"/>
              </w:rPr>
            </w:pPr>
            <w:r>
              <w:rPr>
                <w:spacing w:val="-2"/>
                <w:sz w:val="16"/>
              </w:rPr>
              <w:t>4,250,000</w:t>
            </w:r>
          </w:p>
        </w:tc>
        <w:tc>
          <w:tcPr>
            <w:tcW w:w="1050" w:type="dxa"/>
          </w:tcPr>
          <w:p>
            <w:pPr>
              <w:pStyle w:val="TableParagraph"/>
              <w:spacing w:before="117"/>
              <w:ind w:right="97"/>
              <w:jc w:val="right"/>
              <w:rPr>
                <w:sz w:val="16"/>
              </w:rPr>
            </w:pPr>
            <w:r>
              <w:rPr>
                <w:spacing w:val="-2"/>
                <w:sz w:val="16"/>
              </w:rPr>
              <w:t>5,100,000</w:t>
            </w:r>
          </w:p>
        </w:tc>
        <w:tc>
          <w:tcPr>
            <w:tcW w:w="1050" w:type="dxa"/>
          </w:tcPr>
          <w:p>
            <w:pPr>
              <w:pStyle w:val="TableParagraph"/>
              <w:spacing w:before="117"/>
              <w:ind w:right="97"/>
              <w:jc w:val="right"/>
              <w:rPr>
                <w:sz w:val="16"/>
              </w:rPr>
            </w:pPr>
            <w:r>
              <w:rPr>
                <w:spacing w:val="-2"/>
                <w:sz w:val="16"/>
              </w:rPr>
              <w:t>1,900,000</w:t>
            </w:r>
          </w:p>
        </w:tc>
        <w:tc>
          <w:tcPr>
            <w:tcW w:w="1050" w:type="dxa"/>
          </w:tcPr>
          <w:p>
            <w:pPr>
              <w:pStyle w:val="TableParagraph"/>
              <w:spacing w:before="117"/>
              <w:ind w:right="97"/>
              <w:jc w:val="right"/>
              <w:rPr>
                <w:sz w:val="16"/>
              </w:rPr>
            </w:pPr>
            <w:r>
              <w:rPr>
                <w:spacing w:val="-2"/>
                <w:sz w:val="16"/>
              </w:rPr>
              <w:t>6,600,000</w:t>
            </w:r>
          </w:p>
        </w:tc>
        <w:tc>
          <w:tcPr>
            <w:tcW w:w="1050" w:type="dxa"/>
          </w:tcPr>
          <w:p>
            <w:pPr>
              <w:pStyle w:val="TableParagraph"/>
              <w:spacing w:before="117"/>
              <w:ind w:right="97"/>
              <w:jc w:val="right"/>
              <w:rPr>
                <w:sz w:val="16"/>
              </w:rPr>
            </w:pPr>
            <w:r>
              <w:rPr>
                <w:spacing w:val="-2"/>
                <w:sz w:val="16"/>
              </w:rPr>
              <w:t>4,800,000</w:t>
            </w:r>
          </w:p>
        </w:tc>
        <w:tc>
          <w:tcPr>
            <w:tcW w:w="1110" w:type="dxa"/>
          </w:tcPr>
          <w:p>
            <w:pPr>
              <w:pStyle w:val="TableParagraph"/>
              <w:spacing w:before="117"/>
              <w:ind w:right="97"/>
              <w:jc w:val="right"/>
              <w:rPr>
                <w:sz w:val="16"/>
              </w:rPr>
            </w:pPr>
            <w:r>
              <w:rPr>
                <w:spacing w:val="-2"/>
                <w:sz w:val="16"/>
              </w:rPr>
              <w:t>15,000,000</w:t>
            </w:r>
          </w:p>
        </w:tc>
        <w:tc>
          <w:tcPr>
            <w:tcW w:w="1050" w:type="dxa"/>
          </w:tcPr>
          <w:p>
            <w:pPr>
              <w:pStyle w:val="TableParagraph"/>
              <w:spacing w:before="117"/>
              <w:ind w:right="98"/>
              <w:jc w:val="right"/>
              <w:rPr>
                <w:sz w:val="16"/>
              </w:rPr>
            </w:pPr>
            <w:r>
              <w:rPr>
                <w:spacing w:val="-2"/>
                <w:sz w:val="16"/>
              </w:rPr>
              <w:t>3,300,000</w:t>
            </w:r>
          </w:p>
        </w:tc>
        <w:tc>
          <w:tcPr>
            <w:tcW w:w="1050" w:type="dxa"/>
          </w:tcPr>
          <w:p>
            <w:pPr>
              <w:pStyle w:val="TableParagraph"/>
              <w:spacing w:before="117"/>
              <w:ind w:right="98"/>
              <w:jc w:val="right"/>
              <w:rPr>
                <w:sz w:val="16"/>
              </w:rPr>
            </w:pPr>
            <w:r>
              <w:rPr>
                <w:spacing w:val="-2"/>
                <w:sz w:val="16"/>
              </w:rPr>
              <w:t>1,300,000</w:t>
            </w:r>
          </w:p>
        </w:tc>
        <w:tc>
          <w:tcPr>
            <w:tcW w:w="1050" w:type="dxa"/>
          </w:tcPr>
          <w:p>
            <w:pPr>
              <w:pStyle w:val="TableParagraph"/>
              <w:spacing w:before="117"/>
              <w:ind w:right="98"/>
              <w:jc w:val="right"/>
              <w:rPr>
                <w:sz w:val="16"/>
              </w:rPr>
            </w:pPr>
            <w:r>
              <w:rPr>
                <w:spacing w:val="-2"/>
                <w:sz w:val="16"/>
              </w:rPr>
              <w:t>7,500,000</w:t>
            </w:r>
          </w:p>
        </w:tc>
      </w:tr>
      <w:tr>
        <w:trPr>
          <w:trHeight w:val="424" w:hRule="atLeast"/>
        </w:trPr>
        <w:tc>
          <w:tcPr>
            <w:tcW w:w="2160" w:type="dxa"/>
          </w:tcPr>
          <w:p>
            <w:pPr>
              <w:pStyle w:val="TableParagraph"/>
              <w:spacing w:before="117"/>
              <w:ind w:left="107"/>
              <w:rPr>
                <w:b/>
                <w:i/>
                <w:sz w:val="16"/>
              </w:rPr>
            </w:pPr>
            <w:r>
              <w:rPr>
                <w:b/>
                <w:i/>
                <w:spacing w:val="-2"/>
                <w:sz w:val="16"/>
              </w:rPr>
              <w:t>Regulations’</w:t>
            </w:r>
            <w:r>
              <w:rPr>
                <w:b/>
                <w:i/>
                <w:spacing w:val="4"/>
                <w:sz w:val="16"/>
              </w:rPr>
              <w:t> </w:t>
            </w:r>
            <w:r>
              <w:rPr>
                <w:b/>
                <w:i/>
                <w:spacing w:val="-2"/>
                <w:sz w:val="16"/>
              </w:rPr>
              <w:t>Costs</w:t>
            </w:r>
            <w:r>
              <w:rPr>
                <w:b/>
                <w:i/>
                <w:spacing w:val="4"/>
                <w:sz w:val="16"/>
              </w:rPr>
              <w:t> </w:t>
            </w:r>
            <w:r>
              <w:rPr>
                <w:b/>
                <w:i/>
                <w:spacing w:val="-5"/>
                <w:sz w:val="16"/>
              </w:rPr>
              <w:t>($)</w:t>
            </w:r>
          </w:p>
        </w:tc>
        <w:tc>
          <w:tcPr>
            <w:tcW w:w="1050" w:type="dxa"/>
          </w:tcPr>
          <w:p>
            <w:pPr>
              <w:pStyle w:val="TableParagraph"/>
              <w:spacing w:before="117"/>
              <w:ind w:right="96"/>
              <w:jc w:val="right"/>
              <w:rPr>
                <w:sz w:val="16"/>
              </w:rPr>
            </w:pPr>
            <w:r>
              <w:rPr>
                <w:spacing w:val="-2"/>
                <w:sz w:val="16"/>
              </w:rPr>
              <w:t>130,600</w:t>
            </w:r>
          </w:p>
        </w:tc>
        <w:tc>
          <w:tcPr>
            <w:tcW w:w="1050" w:type="dxa"/>
          </w:tcPr>
          <w:p>
            <w:pPr>
              <w:pStyle w:val="TableParagraph"/>
              <w:spacing w:before="117"/>
              <w:ind w:right="96"/>
              <w:jc w:val="right"/>
              <w:rPr>
                <w:sz w:val="16"/>
              </w:rPr>
            </w:pPr>
            <w:r>
              <w:rPr>
                <w:spacing w:val="-2"/>
                <w:sz w:val="16"/>
              </w:rPr>
              <w:t>27,500</w:t>
            </w:r>
          </w:p>
        </w:tc>
        <w:tc>
          <w:tcPr>
            <w:tcW w:w="1050" w:type="dxa"/>
          </w:tcPr>
          <w:p>
            <w:pPr>
              <w:pStyle w:val="TableParagraph"/>
              <w:spacing w:before="117"/>
              <w:ind w:right="96"/>
              <w:jc w:val="right"/>
              <w:rPr>
                <w:sz w:val="16"/>
              </w:rPr>
            </w:pPr>
            <w:r>
              <w:rPr>
                <w:spacing w:val="-2"/>
                <w:sz w:val="16"/>
              </w:rPr>
              <w:t>27,900</w:t>
            </w:r>
          </w:p>
        </w:tc>
        <w:tc>
          <w:tcPr>
            <w:tcW w:w="1050" w:type="dxa"/>
          </w:tcPr>
          <w:p>
            <w:pPr>
              <w:pStyle w:val="TableParagraph"/>
              <w:spacing w:before="117"/>
              <w:ind w:right="96"/>
              <w:jc w:val="right"/>
              <w:rPr>
                <w:sz w:val="16"/>
              </w:rPr>
            </w:pPr>
            <w:r>
              <w:rPr>
                <w:spacing w:val="-2"/>
                <w:sz w:val="16"/>
              </w:rPr>
              <w:t>144,900</w:t>
            </w:r>
          </w:p>
        </w:tc>
        <w:tc>
          <w:tcPr>
            <w:tcW w:w="1050" w:type="dxa"/>
          </w:tcPr>
          <w:p>
            <w:pPr>
              <w:pStyle w:val="TableParagraph"/>
              <w:spacing w:before="117"/>
              <w:ind w:right="96"/>
              <w:jc w:val="right"/>
              <w:rPr>
                <w:sz w:val="16"/>
              </w:rPr>
            </w:pPr>
            <w:r>
              <w:rPr>
                <w:spacing w:val="-2"/>
                <w:sz w:val="16"/>
              </w:rPr>
              <w:t>21,650</w:t>
            </w:r>
          </w:p>
        </w:tc>
        <w:tc>
          <w:tcPr>
            <w:tcW w:w="1050" w:type="dxa"/>
          </w:tcPr>
          <w:p>
            <w:pPr>
              <w:pStyle w:val="TableParagraph"/>
              <w:spacing w:before="117"/>
              <w:ind w:right="96"/>
              <w:jc w:val="right"/>
              <w:rPr>
                <w:sz w:val="16"/>
              </w:rPr>
            </w:pPr>
            <w:r>
              <w:rPr>
                <w:spacing w:val="-2"/>
                <w:sz w:val="16"/>
              </w:rPr>
              <w:t>$92,900</w:t>
            </w:r>
          </w:p>
        </w:tc>
        <w:tc>
          <w:tcPr>
            <w:tcW w:w="1050" w:type="dxa"/>
          </w:tcPr>
          <w:p>
            <w:pPr>
              <w:pStyle w:val="TableParagraph"/>
              <w:spacing w:before="117"/>
              <w:ind w:right="97"/>
              <w:jc w:val="right"/>
              <w:rPr>
                <w:sz w:val="16"/>
              </w:rPr>
            </w:pPr>
            <w:r>
              <w:rPr>
                <w:spacing w:val="-2"/>
                <w:sz w:val="16"/>
              </w:rPr>
              <w:t>57,400</w:t>
            </w:r>
          </w:p>
        </w:tc>
        <w:tc>
          <w:tcPr>
            <w:tcW w:w="1110" w:type="dxa"/>
          </w:tcPr>
          <w:p>
            <w:pPr>
              <w:pStyle w:val="TableParagraph"/>
              <w:spacing w:before="117"/>
              <w:ind w:right="97"/>
              <w:jc w:val="right"/>
              <w:rPr>
                <w:sz w:val="16"/>
              </w:rPr>
            </w:pPr>
            <w:r>
              <w:rPr>
                <w:spacing w:val="-2"/>
                <w:sz w:val="16"/>
              </w:rPr>
              <w:t>116,600</w:t>
            </w:r>
          </w:p>
        </w:tc>
        <w:tc>
          <w:tcPr>
            <w:tcW w:w="1050" w:type="dxa"/>
          </w:tcPr>
          <w:p>
            <w:pPr>
              <w:pStyle w:val="TableParagraph"/>
              <w:spacing w:before="117"/>
              <w:ind w:right="97"/>
              <w:jc w:val="right"/>
              <w:rPr>
                <w:sz w:val="16"/>
              </w:rPr>
            </w:pPr>
            <w:r>
              <w:rPr>
                <w:spacing w:val="-2"/>
                <w:sz w:val="16"/>
              </w:rPr>
              <w:t>155,100</w:t>
            </w:r>
          </w:p>
        </w:tc>
        <w:tc>
          <w:tcPr>
            <w:tcW w:w="1050" w:type="dxa"/>
          </w:tcPr>
          <w:p>
            <w:pPr>
              <w:pStyle w:val="TableParagraph"/>
              <w:spacing w:before="117"/>
              <w:ind w:right="97"/>
              <w:jc w:val="right"/>
              <w:rPr>
                <w:sz w:val="16"/>
              </w:rPr>
            </w:pPr>
            <w:r>
              <w:rPr>
                <w:spacing w:val="-2"/>
                <w:sz w:val="16"/>
              </w:rPr>
              <w:t>22,900</w:t>
            </w:r>
          </w:p>
        </w:tc>
        <w:tc>
          <w:tcPr>
            <w:tcW w:w="1050" w:type="dxa"/>
          </w:tcPr>
          <w:p>
            <w:pPr>
              <w:pStyle w:val="TableParagraph"/>
              <w:spacing w:before="117"/>
              <w:ind w:right="97"/>
              <w:jc w:val="right"/>
              <w:rPr>
                <w:sz w:val="16"/>
              </w:rPr>
            </w:pPr>
            <w:r>
              <w:rPr>
                <w:spacing w:val="-2"/>
                <w:sz w:val="16"/>
              </w:rPr>
              <w:t>522,900</w:t>
            </w:r>
          </w:p>
        </w:tc>
      </w:tr>
      <w:tr>
        <w:trPr>
          <w:trHeight w:val="424" w:hRule="atLeast"/>
        </w:trPr>
        <w:tc>
          <w:tcPr>
            <w:tcW w:w="2160" w:type="dxa"/>
          </w:tcPr>
          <w:p>
            <w:pPr>
              <w:pStyle w:val="TableParagraph"/>
              <w:spacing w:before="117"/>
              <w:ind w:left="107"/>
              <w:rPr>
                <w:b/>
                <w:i/>
                <w:sz w:val="16"/>
              </w:rPr>
            </w:pPr>
            <w:r>
              <w:rPr>
                <w:b/>
                <w:i/>
                <w:w w:val="95"/>
                <w:sz w:val="16"/>
              </w:rPr>
              <w:t>Proportional</w:t>
            </w:r>
            <w:r>
              <w:rPr>
                <w:b/>
                <w:i/>
                <w:spacing w:val="29"/>
                <w:sz w:val="16"/>
              </w:rPr>
              <w:t> </w:t>
            </w:r>
            <w:r>
              <w:rPr>
                <w:b/>
                <w:i/>
                <w:spacing w:val="-2"/>
                <w:w w:val="95"/>
                <w:sz w:val="16"/>
              </w:rPr>
              <w:t>Increase(%)</w:t>
            </w:r>
          </w:p>
        </w:tc>
        <w:tc>
          <w:tcPr>
            <w:tcW w:w="1050" w:type="dxa"/>
          </w:tcPr>
          <w:p>
            <w:pPr>
              <w:pStyle w:val="TableParagraph"/>
              <w:spacing w:before="118"/>
              <w:ind w:right="96"/>
              <w:jc w:val="right"/>
              <w:rPr>
                <w:i/>
                <w:sz w:val="16"/>
              </w:rPr>
            </w:pPr>
            <w:r>
              <w:rPr>
                <w:i/>
                <w:spacing w:val="-5"/>
                <w:sz w:val="16"/>
              </w:rPr>
              <w:t>4.4</w:t>
            </w:r>
          </w:p>
        </w:tc>
        <w:tc>
          <w:tcPr>
            <w:tcW w:w="1050" w:type="dxa"/>
          </w:tcPr>
          <w:p>
            <w:pPr>
              <w:pStyle w:val="TableParagraph"/>
              <w:spacing w:before="118"/>
              <w:ind w:right="96"/>
              <w:jc w:val="right"/>
              <w:rPr>
                <w:i/>
                <w:sz w:val="16"/>
              </w:rPr>
            </w:pPr>
            <w:r>
              <w:rPr>
                <w:i/>
                <w:spacing w:val="-5"/>
                <w:sz w:val="16"/>
              </w:rPr>
              <w:t>0.4</w:t>
            </w:r>
          </w:p>
        </w:tc>
        <w:tc>
          <w:tcPr>
            <w:tcW w:w="1050" w:type="dxa"/>
          </w:tcPr>
          <w:p>
            <w:pPr>
              <w:pStyle w:val="TableParagraph"/>
              <w:spacing w:before="118"/>
              <w:ind w:right="96"/>
              <w:jc w:val="right"/>
              <w:rPr>
                <w:i/>
                <w:sz w:val="16"/>
              </w:rPr>
            </w:pPr>
            <w:r>
              <w:rPr>
                <w:i/>
                <w:spacing w:val="-5"/>
                <w:sz w:val="16"/>
              </w:rPr>
              <w:t>0.7</w:t>
            </w:r>
          </w:p>
        </w:tc>
        <w:tc>
          <w:tcPr>
            <w:tcW w:w="1050" w:type="dxa"/>
          </w:tcPr>
          <w:p>
            <w:pPr>
              <w:pStyle w:val="TableParagraph"/>
              <w:spacing w:before="118"/>
              <w:ind w:right="96"/>
              <w:jc w:val="right"/>
              <w:rPr>
                <w:i/>
                <w:sz w:val="16"/>
              </w:rPr>
            </w:pPr>
            <w:r>
              <w:rPr>
                <w:i/>
                <w:spacing w:val="-5"/>
                <w:sz w:val="16"/>
              </w:rPr>
              <w:t>2.8</w:t>
            </w:r>
          </w:p>
        </w:tc>
        <w:tc>
          <w:tcPr>
            <w:tcW w:w="1050" w:type="dxa"/>
          </w:tcPr>
          <w:p>
            <w:pPr>
              <w:pStyle w:val="TableParagraph"/>
              <w:spacing w:before="118"/>
              <w:ind w:right="96"/>
              <w:jc w:val="right"/>
              <w:rPr>
                <w:i/>
                <w:sz w:val="16"/>
              </w:rPr>
            </w:pPr>
            <w:r>
              <w:rPr>
                <w:i/>
                <w:spacing w:val="-5"/>
                <w:sz w:val="16"/>
              </w:rPr>
              <w:t>1.1</w:t>
            </w:r>
          </w:p>
        </w:tc>
        <w:tc>
          <w:tcPr>
            <w:tcW w:w="1050" w:type="dxa"/>
          </w:tcPr>
          <w:p>
            <w:pPr>
              <w:pStyle w:val="TableParagraph"/>
              <w:spacing w:before="118"/>
              <w:ind w:right="96"/>
              <w:jc w:val="right"/>
              <w:rPr>
                <w:i/>
                <w:sz w:val="16"/>
              </w:rPr>
            </w:pPr>
            <w:r>
              <w:rPr>
                <w:i/>
                <w:spacing w:val="-5"/>
                <w:sz w:val="16"/>
              </w:rPr>
              <w:t>1.4</w:t>
            </w:r>
          </w:p>
        </w:tc>
        <w:tc>
          <w:tcPr>
            <w:tcW w:w="1050" w:type="dxa"/>
          </w:tcPr>
          <w:p>
            <w:pPr>
              <w:pStyle w:val="TableParagraph"/>
              <w:spacing w:before="118"/>
              <w:ind w:right="96"/>
              <w:jc w:val="right"/>
              <w:rPr>
                <w:i/>
                <w:sz w:val="16"/>
              </w:rPr>
            </w:pPr>
            <w:r>
              <w:rPr>
                <w:i/>
                <w:spacing w:val="-5"/>
                <w:sz w:val="16"/>
              </w:rPr>
              <w:t>1.2</w:t>
            </w:r>
          </w:p>
        </w:tc>
        <w:tc>
          <w:tcPr>
            <w:tcW w:w="1110" w:type="dxa"/>
          </w:tcPr>
          <w:p>
            <w:pPr>
              <w:pStyle w:val="TableParagraph"/>
              <w:spacing w:before="118"/>
              <w:ind w:right="96"/>
              <w:jc w:val="right"/>
              <w:rPr>
                <w:i/>
                <w:sz w:val="16"/>
              </w:rPr>
            </w:pPr>
            <w:r>
              <w:rPr>
                <w:i/>
                <w:spacing w:val="-5"/>
                <w:sz w:val="16"/>
              </w:rPr>
              <w:t>0.8</w:t>
            </w:r>
          </w:p>
        </w:tc>
        <w:tc>
          <w:tcPr>
            <w:tcW w:w="1050" w:type="dxa"/>
          </w:tcPr>
          <w:p>
            <w:pPr>
              <w:pStyle w:val="TableParagraph"/>
              <w:spacing w:before="118"/>
              <w:ind w:right="96"/>
              <w:jc w:val="right"/>
              <w:rPr>
                <w:i/>
                <w:sz w:val="16"/>
              </w:rPr>
            </w:pPr>
            <w:r>
              <w:rPr>
                <w:i/>
                <w:spacing w:val="-5"/>
                <w:sz w:val="16"/>
              </w:rPr>
              <w:t>4.7</w:t>
            </w:r>
          </w:p>
        </w:tc>
        <w:tc>
          <w:tcPr>
            <w:tcW w:w="1050" w:type="dxa"/>
          </w:tcPr>
          <w:p>
            <w:pPr>
              <w:pStyle w:val="TableParagraph"/>
              <w:spacing w:before="118"/>
              <w:ind w:right="96"/>
              <w:jc w:val="right"/>
              <w:rPr>
                <w:i/>
                <w:sz w:val="16"/>
              </w:rPr>
            </w:pPr>
            <w:r>
              <w:rPr>
                <w:i/>
                <w:spacing w:val="-5"/>
                <w:sz w:val="16"/>
              </w:rPr>
              <w:t>1.8</w:t>
            </w:r>
          </w:p>
        </w:tc>
        <w:tc>
          <w:tcPr>
            <w:tcW w:w="1050" w:type="dxa"/>
          </w:tcPr>
          <w:p>
            <w:pPr>
              <w:pStyle w:val="TableParagraph"/>
              <w:spacing w:before="118"/>
              <w:ind w:right="96"/>
              <w:jc w:val="right"/>
              <w:rPr>
                <w:i/>
                <w:sz w:val="16"/>
              </w:rPr>
            </w:pPr>
            <w:r>
              <w:rPr>
                <w:i/>
                <w:spacing w:val="-5"/>
                <w:sz w:val="16"/>
              </w:rPr>
              <w:t>0.3</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1"/>
        </w:rPr>
      </w:pPr>
      <w:r>
        <w:rPr/>
        <w:pict>
          <v:rect style="position:absolute;margin-left:72pt;margin-top:7.954883pt;width:144pt;height:.6pt;mso-position-horizontal-relative:page;mso-position-vertical-relative:paragraph;z-index:-15709696;mso-wrap-distance-left:0;mso-wrap-distance-right:0" id="docshape44" filled="true" fillcolor="#000000" stroked="false">
            <v:fill type="solid"/>
            <w10:wrap type="topAndBottom"/>
          </v:rect>
        </w:pict>
      </w:r>
    </w:p>
    <w:p>
      <w:pPr>
        <w:spacing w:before="223"/>
        <w:ind w:left="840" w:right="0" w:firstLine="0"/>
        <w:jc w:val="left"/>
        <w:rPr>
          <w:sz w:val="20"/>
        </w:rPr>
      </w:pPr>
      <w:r>
        <w:rPr>
          <w:sz w:val="20"/>
          <w:vertAlign w:val="superscript"/>
        </w:rPr>
        <w:t>50</w:t>
      </w:r>
      <w:r>
        <w:rPr>
          <w:spacing w:val="-3"/>
          <w:sz w:val="20"/>
          <w:vertAlign w:val="baseline"/>
        </w:rPr>
        <w:t> </w:t>
      </w:r>
      <w:r>
        <w:rPr>
          <w:sz w:val="20"/>
          <w:vertAlign w:val="baseline"/>
        </w:rPr>
        <w:t>Note</w:t>
      </w:r>
      <w:r>
        <w:rPr>
          <w:spacing w:val="-3"/>
          <w:sz w:val="20"/>
          <w:vertAlign w:val="baseline"/>
        </w:rPr>
        <w:t> </w:t>
      </w:r>
      <w:r>
        <w:rPr>
          <w:sz w:val="20"/>
          <w:vertAlign w:val="baseline"/>
        </w:rPr>
        <w:t>that</w:t>
      </w:r>
      <w:r>
        <w:rPr>
          <w:spacing w:val="-3"/>
          <w:sz w:val="20"/>
          <w:vertAlign w:val="baseline"/>
        </w:rPr>
        <w:t> </w:t>
      </w:r>
      <w:r>
        <w:rPr>
          <w:sz w:val="20"/>
          <w:vertAlign w:val="baseline"/>
        </w:rPr>
        <w:t>Class</w:t>
      </w:r>
      <w:r>
        <w:rPr>
          <w:spacing w:val="-2"/>
          <w:sz w:val="20"/>
          <w:vertAlign w:val="baseline"/>
        </w:rPr>
        <w:t> </w:t>
      </w:r>
      <w:r>
        <w:rPr>
          <w:sz w:val="20"/>
          <w:vertAlign w:val="baseline"/>
        </w:rPr>
        <w:t>2</w:t>
      </w:r>
      <w:r>
        <w:rPr>
          <w:spacing w:val="-4"/>
          <w:sz w:val="20"/>
          <w:vertAlign w:val="baseline"/>
        </w:rPr>
        <w:t> </w:t>
      </w:r>
      <w:r>
        <w:rPr>
          <w:sz w:val="20"/>
          <w:vertAlign w:val="baseline"/>
        </w:rPr>
        <w:t>case</w:t>
      </w:r>
      <w:r>
        <w:rPr>
          <w:spacing w:val="-3"/>
          <w:sz w:val="20"/>
          <w:vertAlign w:val="baseline"/>
        </w:rPr>
        <w:t> </w:t>
      </w:r>
      <w:r>
        <w:rPr>
          <w:sz w:val="20"/>
          <w:vertAlign w:val="baseline"/>
        </w:rPr>
        <w:t>studies</w:t>
      </w:r>
      <w:r>
        <w:rPr>
          <w:spacing w:val="-2"/>
          <w:sz w:val="20"/>
          <w:vertAlign w:val="baseline"/>
        </w:rPr>
        <w:t> </w:t>
      </w:r>
      <w:r>
        <w:rPr>
          <w:sz w:val="20"/>
          <w:vertAlign w:val="baseline"/>
        </w:rPr>
        <w:t>are</w:t>
      </w:r>
      <w:r>
        <w:rPr>
          <w:spacing w:val="-3"/>
          <w:sz w:val="20"/>
          <w:vertAlign w:val="baseline"/>
        </w:rPr>
        <w:t> </w:t>
      </w:r>
      <w:r>
        <w:rPr>
          <w:sz w:val="20"/>
          <w:vertAlign w:val="baseline"/>
        </w:rPr>
        <w:t>located</w:t>
      </w:r>
      <w:r>
        <w:rPr>
          <w:spacing w:val="-3"/>
          <w:sz w:val="20"/>
          <w:vertAlign w:val="baseline"/>
        </w:rPr>
        <w:t> </w:t>
      </w:r>
      <w:r>
        <w:rPr>
          <w:sz w:val="20"/>
          <w:vertAlign w:val="baseline"/>
        </w:rPr>
        <w:t>in</w:t>
      </w:r>
      <w:r>
        <w:rPr>
          <w:spacing w:val="-2"/>
          <w:sz w:val="20"/>
          <w:vertAlign w:val="baseline"/>
        </w:rPr>
        <w:t> </w:t>
      </w:r>
      <w:r>
        <w:rPr>
          <w:sz w:val="20"/>
          <w:vertAlign w:val="baseline"/>
        </w:rPr>
        <w:t>Appendix</w:t>
      </w:r>
      <w:r>
        <w:rPr>
          <w:spacing w:val="-3"/>
          <w:sz w:val="20"/>
          <w:vertAlign w:val="baseline"/>
        </w:rPr>
        <w:t> </w:t>
      </w:r>
      <w:r>
        <w:rPr>
          <w:spacing w:val="-10"/>
          <w:sz w:val="20"/>
          <w:vertAlign w:val="baseline"/>
        </w:rPr>
        <w:t>D</w:t>
      </w:r>
    </w:p>
    <w:p>
      <w:pPr>
        <w:pStyle w:val="BodyText"/>
        <w:rPr>
          <w:sz w:val="20"/>
        </w:rPr>
      </w:pPr>
    </w:p>
    <w:p>
      <w:pPr>
        <w:pStyle w:val="BodyText"/>
        <w:spacing w:before="11"/>
        <w:rPr>
          <w:sz w:val="21"/>
        </w:rPr>
      </w:pPr>
    </w:p>
    <w:p>
      <w:pPr>
        <w:pStyle w:val="BodyText"/>
        <w:spacing w:before="92"/>
        <w:ind w:right="199"/>
        <w:jc w:val="right"/>
      </w:pPr>
      <w:r>
        <w:rPr>
          <w:spacing w:val="-5"/>
        </w:rPr>
        <w:t>55</w:t>
      </w:r>
    </w:p>
    <w:p>
      <w:pPr>
        <w:spacing w:after="0"/>
        <w:jc w:val="right"/>
        <w:sectPr>
          <w:footerReference w:type="default" r:id="rId15"/>
          <w:pgSz w:w="15840" w:h="12240" w:orient="landscape"/>
          <w:pgMar w:footer="0" w:header="0" w:top="1140" w:bottom="280" w:left="600" w:right="1240"/>
        </w:sectPr>
      </w:pPr>
    </w:p>
    <w:p>
      <w:pPr>
        <w:pStyle w:val="Heading2"/>
        <w:numPr>
          <w:ilvl w:val="1"/>
          <w:numId w:val="25"/>
        </w:numPr>
        <w:tabs>
          <w:tab w:pos="840" w:val="left" w:leader="none"/>
          <w:tab w:pos="841" w:val="left" w:leader="none"/>
        </w:tabs>
        <w:spacing w:line="240" w:lineRule="auto" w:before="79" w:after="0"/>
        <w:ind w:left="840" w:right="0" w:hanging="721"/>
        <w:jc w:val="left"/>
        <w:rPr>
          <w:i/>
        </w:rPr>
      </w:pPr>
      <w:bookmarkStart w:name="8.3 Estimated costs: Existing Buildings" w:id="73"/>
      <w:bookmarkEnd w:id="73"/>
      <w:r>
        <w:rPr>
          <w:b w:val="0"/>
          <w:i w:val="0"/>
        </w:rPr>
      </w:r>
      <w:bookmarkStart w:name="_bookmark20" w:id="74"/>
      <w:bookmarkEnd w:id="74"/>
      <w:r>
        <w:rPr>
          <w:i/>
        </w:rPr>
        <w:t>Estimated</w:t>
      </w:r>
      <w:r>
        <w:rPr>
          <w:i/>
          <w:spacing w:val="-11"/>
        </w:rPr>
        <w:t> </w:t>
      </w:r>
      <w:r>
        <w:rPr>
          <w:i/>
        </w:rPr>
        <w:t>costs:</w:t>
      </w:r>
      <w:r>
        <w:rPr>
          <w:i/>
          <w:spacing w:val="-12"/>
        </w:rPr>
        <w:t> </w:t>
      </w:r>
      <w:r>
        <w:rPr>
          <w:i/>
        </w:rPr>
        <w:t>Existing</w:t>
      </w:r>
      <w:r>
        <w:rPr>
          <w:i/>
          <w:spacing w:val="-11"/>
        </w:rPr>
        <w:t> </w:t>
      </w:r>
      <w:r>
        <w:rPr>
          <w:i/>
          <w:spacing w:val="-2"/>
        </w:rPr>
        <w:t>Buildings</w:t>
      </w:r>
    </w:p>
    <w:p>
      <w:pPr>
        <w:pStyle w:val="BodyText"/>
        <w:rPr>
          <w:b/>
          <w:i/>
          <w:sz w:val="29"/>
        </w:rPr>
      </w:pPr>
    </w:p>
    <w:p>
      <w:pPr>
        <w:pStyle w:val="BodyText"/>
        <w:ind w:left="119" w:right="110"/>
        <w:jc w:val="both"/>
      </w:pPr>
      <w:r>
        <w:rPr/>
        <w:t>Appendix C also provides a detailed costing matrix in respect of 24 case studies dealing with the costs of upgrading existing buildings. Tables 5 and 6, below, summarise the results of Appendix C, excluding Class 2 case studies which are found in Appendix D.</w:t>
      </w:r>
      <w:r>
        <w:rPr>
          <w:spacing w:val="40"/>
        </w:rPr>
        <w:t> </w:t>
      </w:r>
      <w:r>
        <w:rPr/>
        <w:t>Unsurprisingly, the proportionate cost impacts of implementing the Premises Standards are, in many cases, substantially greater in relation to upgrades of existing buildings than in relation to new buildings.</w:t>
      </w:r>
      <w:r>
        <w:rPr>
          <w:spacing w:val="80"/>
        </w:rPr>
        <w:t> </w:t>
      </w:r>
      <w:r>
        <w:rPr/>
        <w:t>This is consistent with findings</w:t>
      </w:r>
      <w:r>
        <w:rPr>
          <w:spacing w:val="40"/>
        </w:rPr>
        <w:t> </w:t>
      </w:r>
      <w:r>
        <w:rPr/>
        <w:t>in other countries that have implemented similar requirements and demonstrates that, in</w:t>
      </w:r>
      <w:r>
        <w:rPr>
          <w:spacing w:val="-2"/>
        </w:rPr>
        <w:t> </w:t>
      </w:r>
      <w:r>
        <w:rPr/>
        <w:t>general,</w:t>
      </w:r>
      <w:r>
        <w:rPr>
          <w:spacing w:val="-2"/>
        </w:rPr>
        <w:t> </w:t>
      </w:r>
      <w:r>
        <w:rPr/>
        <w:t>it</w:t>
      </w:r>
      <w:r>
        <w:rPr>
          <w:spacing w:val="-2"/>
        </w:rPr>
        <w:t> </w:t>
      </w:r>
      <w:r>
        <w:rPr/>
        <w:t>is</w:t>
      </w:r>
      <w:r>
        <w:rPr>
          <w:spacing w:val="-2"/>
        </w:rPr>
        <w:t> </w:t>
      </w:r>
      <w:r>
        <w:rPr/>
        <w:t>less</w:t>
      </w:r>
      <w:r>
        <w:rPr>
          <w:spacing w:val="-2"/>
        </w:rPr>
        <w:t> </w:t>
      </w:r>
      <w:r>
        <w:rPr/>
        <w:t>expensive</w:t>
      </w:r>
      <w:r>
        <w:rPr>
          <w:spacing w:val="-2"/>
        </w:rPr>
        <w:t> </w:t>
      </w:r>
      <w:r>
        <w:rPr/>
        <w:t>to</w:t>
      </w:r>
      <w:r>
        <w:rPr>
          <w:spacing w:val="-2"/>
        </w:rPr>
        <w:t> </w:t>
      </w:r>
      <w:r>
        <w:rPr/>
        <w:t>undertake</w:t>
      </w:r>
      <w:r>
        <w:rPr>
          <w:spacing w:val="-2"/>
        </w:rPr>
        <w:t> </w:t>
      </w:r>
      <w:r>
        <w:rPr/>
        <w:t>construction</w:t>
      </w:r>
      <w:r>
        <w:rPr>
          <w:spacing w:val="-2"/>
        </w:rPr>
        <w:t> </w:t>
      </w:r>
      <w:r>
        <w:rPr/>
        <w:t>work</w:t>
      </w:r>
      <w:r>
        <w:rPr>
          <w:spacing w:val="-2"/>
        </w:rPr>
        <w:t> </w:t>
      </w:r>
      <w:r>
        <w:rPr/>
        <w:t>on</w:t>
      </w:r>
      <w:r>
        <w:rPr>
          <w:spacing w:val="-2"/>
        </w:rPr>
        <w:t> </w:t>
      </w:r>
      <w:r>
        <w:rPr/>
        <w:t>a</w:t>
      </w:r>
      <w:r>
        <w:rPr>
          <w:spacing w:val="-2"/>
        </w:rPr>
        <w:t> </w:t>
      </w:r>
      <w:r>
        <w:rPr/>
        <w:t>new</w:t>
      </w:r>
      <w:r>
        <w:rPr>
          <w:spacing w:val="-2"/>
        </w:rPr>
        <w:t> </w:t>
      </w:r>
      <w:r>
        <w:rPr/>
        <w:t>building</w:t>
      </w:r>
      <w:r>
        <w:rPr>
          <w:spacing w:val="-2"/>
        </w:rPr>
        <w:t> </w:t>
      </w:r>
      <w:r>
        <w:rPr/>
        <w:t>than</w:t>
      </w:r>
      <w:r>
        <w:rPr>
          <w:spacing w:val="-2"/>
        </w:rPr>
        <w:t> </w:t>
      </w:r>
      <w:r>
        <w:rPr/>
        <w:t>it is to retrofit an existing building.</w:t>
      </w:r>
    </w:p>
    <w:p>
      <w:pPr>
        <w:pStyle w:val="BodyText"/>
      </w:pPr>
    </w:p>
    <w:p>
      <w:pPr>
        <w:pStyle w:val="BodyText"/>
        <w:ind w:left="120" w:right="110"/>
        <w:jc w:val="both"/>
      </w:pPr>
      <w:r>
        <w:rPr/>
        <w:t>However, in common with the above findings in respect of new buildings, the 2008 modifications made to the draft Premises Standards proposal have had the effect of significantly reducing the estimated proportionate cost increases for the great majority of case studies.</w:t>
      </w:r>
    </w:p>
    <w:p>
      <w:pPr>
        <w:pStyle w:val="BodyText"/>
      </w:pPr>
    </w:p>
    <w:p>
      <w:pPr>
        <w:pStyle w:val="BodyText"/>
        <w:ind w:left="120" w:right="110"/>
        <w:jc w:val="both"/>
      </w:pPr>
      <w:r>
        <w:rPr/>
        <w:t>Analysis of the original draft Premises Standards proposal showed that for 18 case studies relating to full upgrades of existing buildings the proportionate cost increases involved in applying the Premises Standards were:</w:t>
      </w:r>
    </w:p>
    <w:p>
      <w:pPr>
        <w:pStyle w:val="BodyText"/>
        <w:spacing w:before="1"/>
      </w:pPr>
    </w:p>
    <w:p>
      <w:pPr>
        <w:pStyle w:val="ListParagraph"/>
        <w:numPr>
          <w:ilvl w:val="2"/>
          <w:numId w:val="25"/>
        </w:numPr>
        <w:tabs>
          <w:tab w:pos="839" w:val="left" w:leader="none"/>
          <w:tab w:pos="841" w:val="left" w:leader="none"/>
        </w:tabs>
        <w:spacing w:line="240" w:lineRule="auto" w:before="0" w:after="0"/>
        <w:ind w:left="840" w:right="0" w:hanging="361"/>
        <w:jc w:val="left"/>
        <w:rPr>
          <w:sz w:val="24"/>
        </w:rPr>
      </w:pPr>
      <w:r>
        <w:rPr>
          <w:sz w:val="24"/>
        </w:rPr>
        <w:t>Less</w:t>
      </w:r>
      <w:r>
        <w:rPr>
          <w:spacing w:val="-3"/>
          <w:sz w:val="24"/>
        </w:rPr>
        <w:t> </w:t>
      </w:r>
      <w:r>
        <w:rPr>
          <w:sz w:val="24"/>
        </w:rPr>
        <w:t>than</w:t>
      </w:r>
      <w:r>
        <w:rPr>
          <w:spacing w:val="-2"/>
          <w:sz w:val="24"/>
        </w:rPr>
        <w:t> </w:t>
      </w:r>
      <w:r>
        <w:rPr>
          <w:sz w:val="24"/>
        </w:rPr>
        <w:t>5%</w:t>
      </w:r>
      <w:r>
        <w:rPr>
          <w:spacing w:val="-2"/>
          <w:sz w:val="24"/>
        </w:rPr>
        <w:t> </w:t>
      </w:r>
      <w:r>
        <w:rPr>
          <w:sz w:val="24"/>
        </w:rPr>
        <w:t>of</w:t>
      </w:r>
      <w:r>
        <w:rPr>
          <w:spacing w:val="-3"/>
          <w:sz w:val="24"/>
        </w:rPr>
        <w:t> </w:t>
      </w:r>
      <w:r>
        <w:rPr>
          <w:sz w:val="24"/>
        </w:rPr>
        <w:t>the</w:t>
      </w:r>
      <w:r>
        <w:rPr>
          <w:spacing w:val="-2"/>
          <w:sz w:val="24"/>
        </w:rPr>
        <w:t> </w:t>
      </w:r>
      <w:r>
        <w:rPr>
          <w:sz w:val="24"/>
        </w:rPr>
        <w:t>upgrade</w:t>
      </w:r>
      <w:r>
        <w:rPr>
          <w:spacing w:val="-2"/>
          <w:sz w:val="24"/>
        </w:rPr>
        <w:t> </w:t>
      </w:r>
      <w:r>
        <w:rPr>
          <w:sz w:val="24"/>
        </w:rPr>
        <w:t>cost</w:t>
      </w:r>
      <w:r>
        <w:rPr>
          <w:spacing w:val="-2"/>
          <w:sz w:val="24"/>
        </w:rPr>
        <w:t> </w:t>
      </w:r>
      <w:r>
        <w:rPr>
          <w:sz w:val="24"/>
        </w:rPr>
        <w:t>in</w:t>
      </w:r>
      <w:r>
        <w:rPr>
          <w:spacing w:val="-2"/>
          <w:sz w:val="24"/>
        </w:rPr>
        <w:t> </w:t>
      </w:r>
      <w:r>
        <w:rPr>
          <w:sz w:val="24"/>
        </w:rPr>
        <w:t>10</w:t>
      </w:r>
      <w:r>
        <w:rPr>
          <w:spacing w:val="-2"/>
          <w:sz w:val="24"/>
        </w:rPr>
        <w:t> </w:t>
      </w:r>
      <w:r>
        <w:rPr>
          <w:sz w:val="24"/>
        </w:rPr>
        <w:t>case</w:t>
      </w:r>
      <w:r>
        <w:rPr>
          <w:spacing w:val="-3"/>
          <w:sz w:val="24"/>
        </w:rPr>
        <w:t> </w:t>
      </w:r>
      <w:r>
        <w:rPr>
          <w:spacing w:val="-2"/>
          <w:sz w:val="24"/>
        </w:rPr>
        <w:t>studies;</w:t>
      </w:r>
    </w:p>
    <w:p>
      <w:pPr>
        <w:pStyle w:val="ListParagraph"/>
        <w:numPr>
          <w:ilvl w:val="2"/>
          <w:numId w:val="25"/>
        </w:numPr>
        <w:tabs>
          <w:tab w:pos="839" w:val="left" w:leader="none"/>
          <w:tab w:pos="841" w:val="left" w:leader="none"/>
        </w:tabs>
        <w:spacing w:line="240" w:lineRule="auto" w:before="117" w:after="0"/>
        <w:ind w:left="840" w:right="0" w:hanging="361"/>
        <w:jc w:val="left"/>
        <w:rPr>
          <w:sz w:val="24"/>
        </w:rPr>
      </w:pPr>
      <w:r>
        <w:rPr>
          <w:sz w:val="24"/>
        </w:rPr>
        <w:t>Between</w:t>
      </w:r>
      <w:r>
        <w:rPr>
          <w:spacing w:val="-4"/>
          <w:sz w:val="24"/>
        </w:rPr>
        <w:t> </w:t>
      </w:r>
      <w:r>
        <w:rPr>
          <w:sz w:val="24"/>
        </w:rPr>
        <w:t>5%</w:t>
      </w:r>
      <w:r>
        <w:rPr>
          <w:spacing w:val="-4"/>
          <w:sz w:val="24"/>
        </w:rPr>
        <w:t> </w:t>
      </w:r>
      <w:r>
        <w:rPr>
          <w:sz w:val="24"/>
        </w:rPr>
        <w:t>and</w:t>
      </w:r>
      <w:r>
        <w:rPr>
          <w:spacing w:val="-3"/>
          <w:sz w:val="24"/>
        </w:rPr>
        <w:t> </w:t>
      </w:r>
      <w:r>
        <w:rPr>
          <w:sz w:val="24"/>
        </w:rPr>
        <w:t>10%</w:t>
      </w:r>
      <w:r>
        <w:rPr>
          <w:spacing w:val="-4"/>
          <w:sz w:val="24"/>
        </w:rPr>
        <w:t> </w:t>
      </w:r>
      <w:r>
        <w:rPr>
          <w:sz w:val="24"/>
        </w:rPr>
        <w:t>in</w:t>
      </w:r>
      <w:r>
        <w:rPr>
          <w:spacing w:val="-3"/>
          <w:sz w:val="24"/>
        </w:rPr>
        <w:t> </w:t>
      </w:r>
      <w:r>
        <w:rPr>
          <w:sz w:val="24"/>
        </w:rPr>
        <w:t>3</w:t>
      </w:r>
      <w:r>
        <w:rPr>
          <w:spacing w:val="-4"/>
          <w:sz w:val="24"/>
        </w:rPr>
        <w:t> </w:t>
      </w:r>
      <w:r>
        <w:rPr>
          <w:sz w:val="24"/>
        </w:rPr>
        <w:t>case</w:t>
      </w:r>
      <w:r>
        <w:rPr>
          <w:spacing w:val="-3"/>
          <w:sz w:val="24"/>
        </w:rPr>
        <w:t> </w:t>
      </w:r>
      <w:r>
        <w:rPr>
          <w:spacing w:val="-2"/>
          <w:sz w:val="24"/>
        </w:rPr>
        <w:t>studies;</w:t>
      </w:r>
    </w:p>
    <w:p>
      <w:pPr>
        <w:pStyle w:val="ListParagraph"/>
        <w:numPr>
          <w:ilvl w:val="2"/>
          <w:numId w:val="25"/>
        </w:numPr>
        <w:tabs>
          <w:tab w:pos="839" w:val="left" w:leader="none"/>
          <w:tab w:pos="841" w:val="left" w:leader="none"/>
        </w:tabs>
        <w:spacing w:line="240" w:lineRule="auto" w:before="119" w:after="0"/>
        <w:ind w:left="840" w:right="0" w:hanging="361"/>
        <w:jc w:val="left"/>
        <w:rPr>
          <w:sz w:val="24"/>
        </w:rPr>
      </w:pPr>
      <w:r>
        <w:rPr>
          <w:sz w:val="24"/>
        </w:rPr>
        <w:t>Between</w:t>
      </w:r>
      <w:r>
        <w:rPr>
          <w:spacing w:val="-4"/>
          <w:sz w:val="24"/>
        </w:rPr>
        <w:t> </w:t>
      </w:r>
      <w:r>
        <w:rPr>
          <w:sz w:val="24"/>
        </w:rPr>
        <w:t>20%</w:t>
      </w:r>
      <w:r>
        <w:rPr>
          <w:spacing w:val="-4"/>
          <w:sz w:val="24"/>
        </w:rPr>
        <w:t> </w:t>
      </w:r>
      <w:r>
        <w:rPr>
          <w:sz w:val="24"/>
        </w:rPr>
        <w:t>and</w:t>
      </w:r>
      <w:r>
        <w:rPr>
          <w:spacing w:val="-3"/>
          <w:sz w:val="24"/>
        </w:rPr>
        <w:t> </w:t>
      </w:r>
      <w:r>
        <w:rPr>
          <w:sz w:val="24"/>
        </w:rPr>
        <w:t>50%</w:t>
      </w:r>
      <w:r>
        <w:rPr>
          <w:spacing w:val="-4"/>
          <w:sz w:val="24"/>
        </w:rPr>
        <w:t> </w:t>
      </w:r>
      <w:r>
        <w:rPr>
          <w:sz w:val="24"/>
        </w:rPr>
        <w:t>in</w:t>
      </w:r>
      <w:r>
        <w:rPr>
          <w:spacing w:val="-4"/>
          <w:sz w:val="24"/>
        </w:rPr>
        <w:t> </w:t>
      </w:r>
      <w:r>
        <w:rPr>
          <w:sz w:val="24"/>
        </w:rPr>
        <w:t>five</w:t>
      </w:r>
      <w:r>
        <w:rPr>
          <w:spacing w:val="-3"/>
          <w:sz w:val="24"/>
        </w:rPr>
        <w:t> </w:t>
      </w:r>
      <w:r>
        <w:rPr>
          <w:sz w:val="24"/>
        </w:rPr>
        <w:t>case</w:t>
      </w:r>
      <w:r>
        <w:rPr>
          <w:spacing w:val="-4"/>
          <w:sz w:val="24"/>
        </w:rPr>
        <w:t> </w:t>
      </w:r>
      <w:r>
        <w:rPr>
          <w:spacing w:val="-2"/>
          <w:sz w:val="24"/>
        </w:rPr>
        <w:t>studies;</w:t>
      </w:r>
    </w:p>
    <w:p>
      <w:pPr>
        <w:pStyle w:val="ListParagraph"/>
        <w:numPr>
          <w:ilvl w:val="2"/>
          <w:numId w:val="25"/>
        </w:numPr>
        <w:tabs>
          <w:tab w:pos="839" w:val="left" w:leader="none"/>
          <w:tab w:pos="841" w:val="left" w:leader="none"/>
        </w:tabs>
        <w:spacing w:line="240" w:lineRule="auto" w:before="118" w:after="0"/>
        <w:ind w:left="840" w:right="0" w:hanging="361"/>
        <w:jc w:val="left"/>
        <w:rPr>
          <w:sz w:val="24"/>
        </w:rPr>
      </w:pPr>
      <w:r>
        <w:rPr>
          <w:sz w:val="24"/>
        </w:rPr>
        <w:t>More</w:t>
      </w:r>
      <w:r>
        <w:rPr>
          <w:spacing w:val="-1"/>
          <w:sz w:val="24"/>
        </w:rPr>
        <w:t> </w:t>
      </w:r>
      <w:r>
        <w:rPr>
          <w:sz w:val="24"/>
        </w:rPr>
        <w:t>than</w:t>
      </w:r>
      <w:r>
        <w:rPr>
          <w:spacing w:val="-1"/>
          <w:sz w:val="24"/>
        </w:rPr>
        <w:t> </w:t>
      </w:r>
      <w:r>
        <w:rPr>
          <w:sz w:val="24"/>
        </w:rPr>
        <w:t>50%</w:t>
      </w:r>
      <w:r>
        <w:rPr>
          <w:spacing w:val="-1"/>
          <w:sz w:val="24"/>
        </w:rPr>
        <w:t> </w:t>
      </w:r>
      <w:r>
        <w:rPr>
          <w:sz w:val="24"/>
        </w:rPr>
        <w:t>in</w:t>
      </w:r>
      <w:r>
        <w:rPr>
          <w:spacing w:val="-1"/>
          <w:sz w:val="24"/>
        </w:rPr>
        <w:t> </w:t>
      </w:r>
      <w:r>
        <w:rPr>
          <w:sz w:val="24"/>
        </w:rPr>
        <w:t>three</w:t>
      </w:r>
      <w:r>
        <w:rPr>
          <w:spacing w:val="-1"/>
          <w:sz w:val="24"/>
        </w:rPr>
        <w:t> </w:t>
      </w:r>
      <w:r>
        <w:rPr>
          <w:sz w:val="24"/>
        </w:rPr>
        <w:t>case</w:t>
      </w:r>
      <w:r>
        <w:rPr>
          <w:spacing w:val="-1"/>
          <w:sz w:val="24"/>
        </w:rPr>
        <w:t> </w:t>
      </w:r>
      <w:r>
        <w:rPr>
          <w:spacing w:val="-2"/>
          <w:sz w:val="24"/>
        </w:rPr>
        <w:t>studies.</w:t>
      </w:r>
    </w:p>
    <w:p>
      <w:pPr>
        <w:pStyle w:val="BodyText"/>
        <w:spacing w:before="3"/>
        <w:rPr>
          <w:sz w:val="34"/>
        </w:rPr>
      </w:pPr>
    </w:p>
    <w:p>
      <w:pPr>
        <w:pStyle w:val="BodyText"/>
        <w:ind w:left="120" w:right="109"/>
        <w:jc w:val="both"/>
      </w:pPr>
      <w:r>
        <w:rPr/>
        <w:t>By contrast, the 2008 Premises Standards proposal implies the following estimated cost increases:</w:t>
      </w:r>
    </w:p>
    <w:p>
      <w:pPr>
        <w:pStyle w:val="BodyText"/>
      </w:pPr>
    </w:p>
    <w:p>
      <w:pPr>
        <w:pStyle w:val="ListParagraph"/>
        <w:numPr>
          <w:ilvl w:val="2"/>
          <w:numId w:val="25"/>
        </w:numPr>
        <w:tabs>
          <w:tab w:pos="839" w:val="left" w:leader="none"/>
          <w:tab w:pos="841" w:val="left" w:leader="none"/>
        </w:tabs>
        <w:spacing w:line="240" w:lineRule="auto" w:before="1" w:after="0"/>
        <w:ind w:left="840" w:right="0" w:hanging="361"/>
        <w:jc w:val="left"/>
        <w:rPr>
          <w:sz w:val="24"/>
        </w:rPr>
      </w:pPr>
      <w:r>
        <w:rPr>
          <w:sz w:val="24"/>
        </w:rPr>
        <w:t>less</w:t>
      </w:r>
      <w:r>
        <w:rPr>
          <w:spacing w:val="-2"/>
          <w:sz w:val="24"/>
        </w:rPr>
        <w:t> </w:t>
      </w:r>
      <w:r>
        <w:rPr>
          <w:sz w:val="24"/>
        </w:rPr>
        <w:t>than</w:t>
      </w:r>
      <w:r>
        <w:rPr>
          <w:spacing w:val="-2"/>
          <w:sz w:val="24"/>
        </w:rPr>
        <w:t> </w:t>
      </w:r>
      <w:r>
        <w:rPr>
          <w:sz w:val="24"/>
        </w:rPr>
        <w:t>2%</w:t>
      </w:r>
      <w:r>
        <w:rPr>
          <w:spacing w:val="-2"/>
          <w:sz w:val="24"/>
        </w:rPr>
        <w:t> </w:t>
      </w:r>
      <w:r>
        <w:rPr>
          <w:sz w:val="24"/>
        </w:rPr>
        <w:t>in</w:t>
      </w:r>
      <w:r>
        <w:rPr>
          <w:spacing w:val="-2"/>
          <w:sz w:val="24"/>
        </w:rPr>
        <w:t> </w:t>
      </w:r>
      <w:r>
        <w:rPr>
          <w:sz w:val="24"/>
        </w:rPr>
        <w:t>eight</w:t>
      </w:r>
      <w:r>
        <w:rPr>
          <w:spacing w:val="-2"/>
          <w:sz w:val="24"/>
        </w:rPr>
        <w:t> </w:t>
      </w:r>
      <w:r>
        <w:rPr>
          <w:sz w:val="24"/>
        </w:rPr>
        <w:t>case</w:t>
      </w:r>
      <w:r>
        <w:rPr>
          <w:spacing w:val="-2"/>
          <w:sz w:val="24"/>
        </w:rPr>
        <w:t> studies;</w:t>
      </w:r>
    </w:p>
    <w:p>
      <w:pPr>
        <w:pStyle w:val="ListParagraph"/>
        <w:numPr>
          <w:ilvl w:val="2"/>
          <w:numId w:val="25"/>
        </w:numPr>
        <w:tabs>
          <w:tab w:pos="839" w:val="left" w:leader="none"/>
          <w:tab w:pos="841" w:val="left" w:leader="none"/>
        </w:tabs>
        <w:spacing w:line="240" w:lineRule="auto" w:before="117" w:after="0"/>
        <w:ind w:left="840" w:right="0" w:hanging="361"/>
        <w:jc w:val="left"/>
        <w:rPr>
          <w:sz w:val="24"/>
        </w:rPr>
      </w:pPr>
      <w:r>
        <w:rPr>
          <w:sz w:val="24"/>
        </w:rPr>
        <w:t>between</w:t>
      </w:r>
      <w:r>
        <w:rPr>
          <w:spacing w:val="-3"/>
          <w:sz w:val="24"/>
        </w:rPr>
        <w:t> </w:t>
      </w:r>
      <w:r>
        <w:rPr>
          <w:sz w:val="24"/>
        </w:rPr>
        <w:t>2%</w:t>
      </w:r>
      <w:r>
        <w:rPr>
          <w:spacing w:val="-3"/>
          <w:sz w:val="24"/>
        </w:rPr>
        <w:t> </w:t>
      </w:r>
      <w:r>
        <w:rPr>
          <w:sz w:val="24"/>
        </w:rPr>
        <w:t>and</w:t>
      </w:r>
      <w:r>
        <w:rPr>
          <w:spacing w:val="-3"/>
          <w:sz w:val="24"/>
        </w:rPr>
        <w:t> </w:t>
      </w:r>
      <w:r>
        <w:rPr>
          <w:sz w:val="24"/>
        </w:rPr>
        <w:t>5%</w:t>
      </w:r>
      <w:r>
        <w:rPr>
          <w:spacing w:val="-3"/>
          <w:sz w:val="24"/>
        </w:rPr>
        <w:t> </w:t>
      </w:r>
      <w:r>
        <w:rPr>
          <w:sz w:val="24"/>
        </w:rPr>
        <w:t>in</w:t>
      </w:r>
      <w:r>
        <w:rPr>
          <w:spacing w:val="-3"/>
          <w:sz w:val="24"/>
        </w:rPr>
        <w:t> </w:t>
      </w:r>
      <w:r>
        <w:rPr>
          <w:sz w:val="24"/>
        </w:rPr>
        <w:t>five</w:t>
      </w:r>
      <w:r>
        <w:rPr>
          <w:spacing w:val="-3"/>
          <w:sz w:val="24"/>
        </w:rPr>
        <w:t> </w:t>
      </w:r>
      <w:r>
        <w:rPr>
          <w:sz w:val="24"/>
        </w:rPr>
        <w:t>case</w:t>
      </w:r>
      <w:r>
        <w:rPr>
          <w:spacing w:val="-3"/>
          <w:sz w:val="24"/>
        </w:rPr>
        <w:t> </w:t>
      </w:r>
      <w:r>
        <w:rPr>
          <w:spacing w:val="-2"/>
          <w:sz w:val="24"/>
        </w:rPr>
        <w:t>studies;</w:t>
      </w:r>
    </w:p>
    <w:p>
      <w:pPr>
        <w:pStyle w:val="ListParagraph"/>
        <w:numPr>
          <w:ilvl w:val="2"/>
          <w:numId w:val="25"/>
        </w:numPr>
        <w:tabs>
          <w:tab w:pos="839" w:val="left" w:leader="none"/>
          <w:tab w:pos="841" w:val="left" w:leader="none"/>
        </w:tabs>
        <w:spacing w:line="240" w:lineRule="auto" w:before="119" w:after="0"/>
        <w:ind w:left="840" w:right="0" w:hanging="361"/>
        <w:jc w:val="left"/>
        <w:rPr>
          <w:sz w:val="24"/>
        </w:rPr>
      </w:pPr>
      <w:r>
        <w:rPr>
          <w:sz w:val="24"/>
        </w:rPr>
        <w:t>between</w:t>
      </w:r>
      <w:r>
        <w:rPr>
          <w:spacing w:val="-4"/>
          <w:sz w:val="24"/>
        </w:rPr>
        <w:t> </w:t>
      </w:r>
      <w:r>
        <w:rPr>
          <w:sz w:val="24"/>
        </w:rPr>
        <w:t>5%</w:t>
      </w:r>
      <w:r>
        <w:rPr>
          <w:spacing w:val="-3"/>
          <w:sz w:val="24"/>
        </w:rPr>
        <w:t> </w:t>
      </w:r>
      <w:r>
        <w:rPr>
          <w:sz w:val="24"/>
        </w:rPr>
        <w:t>and</w:t>
      </w:r>
      <w:r>
        <w:rPr>
          <w:spacing w:val="-3"/>
          <w:sz w:val="24"/>
        </w:rPr>
        <w:t> </w:t>
      </w:r>
      <w:r>
        <w:rPr>
          <w:sz w:val="24"/>
        </w:rPr>
        <w:t>10%</w:t>
      </w:r>
      <w:r>
        <w:rPr>
          <w:spacing w:val="-4"/>
          <w:sz w:val="24"/>
        </w:rPr>
        <w:t> </w:t>
      </w:r>
      <w:r>
        <w:rPr>
          <w:sz w:val="24"/>
        </w:rPr>
        <w:t>in</w:t>
      </w:r>
      <w:r>
        <w:rPr>
          <w:spacing w:val="-3"/>
          <w:sz w:val="24"/>
        </w:rPr>
        <w:t> </w:t>
      </w:r>
      <w:r>
        <w:rPr>
          <w:sz w:val="24"/>
        </w:rPr>
        <w:t>five</w:t>
      </w:r>
      <w:r>
        <w:rPr>
          <w:spacing w:val="-3"/>
          <w:sz w:val="24"/>
        </w:rPr>
        <w:t> </w:t>
      </w:r>
      <w:r>
        <w:rPr>
          <w:sz w:val="24"/>
        </w:rPr>
        <w:t>case</w:t>
      </w:r>
      <w:r>
        <w:rPr>
          <w:spacing w:val="-4"/>
          <w:sz w:val="24"/>
        </w:rPr>
        <w:t> </w:t>
      </w:r>
      <w:r>
        <w:rPr>
          <w:spacing w:val="-2"/>
          <w:sz w:val="24"/>
        </w:rPr>
        <w:t>studies;</w:t>
      </w:r>
    </w:p>
    <w:p>
      <w:pPr>
        <w:pStyle w:val="ListParagraph"/>
        <w:numPr>
          <w:ilvl w:val="2"/>
          <w:numId w:val="25"/>
        </w:numPr>
        <w:tabs>
          <w:tab w:pos="839" w:val="left" w:leader="none"/>
          <w:tab w:pos="841" w:val="left" w:leader="none"/>
        </w:tabs>
        <w:spacing w:line="240" w:lineRule="auto" w:before="118" w:after="0"/>
        <w:ind w:left="840" w:right="0" w:hanging="361"/>
        <w:jc w:val="left"/>
        <w:rPr>
          <w:sz w:val="24"/>
        </w:rPr>
      </w:pPr>
      <w:r>
        <w:rPr>
          <w:sz w:val="24"/>
        </w:rPr>
        <w:t>between</w:t>
      </w:r>
      <w:r>
        <w:rPr>
          <w:spacing w:val="-4"/>
          <w:sz w:val="24"/>
        </w:rPr>
        <w:t> </w:t>
      </w:r>
      <w:r>
        <w:rPr>
          <w:sz w:val="24"/>
        </w:rPr>
        <w:t>10%</w:t>
      </w:r>
      <w:r>
        <w:rPr>
          <w:spacing w:val="-4"/>
          <w:sz w:val="24"/>
        </w:rPr>
        <w:t> </w:t>
      </w:r>
      <w:r>
        <w:rPr>
          <w:sz w:val="24"/>
        </w:rPr>
        <w:t>and</w:t>
      </w:r>
      <w:r>
        <w:rPr>
          <w:spacing w:val="-4"/>
          <w:sz w:val="24"/>
        </w:rPr>
        <w:t> </w:t>
      </w:r>
      <w:r>
        <w:rPr>
          <w:sz w:val="24"/>
        </w:rPr>
        <w:t>20%</w:t>
      </w:r>
      <w:r>
        <w:rPr>
          <w:spacing w:val="-4"/>
          <w:sz w:val="24"/>
        </w:rPr>
        <w:t> </w:t>
      </w:r>
      <w:r>
        <w:rPr>
          <w:sz w:val="24"/>
        </w:rPr>
        <w:t>in</w:t>
      </w:r>
      <w:r>
        <w:rPr>
          <w:spacing w:val="-4"/>
          <w:sz w:val="24"/>
        </w:rPr>
        <w:t> </w:t>
      </w:r>
      <w:r>
        <w:rPr>
          <w:sz w:val="24"/>
        </w:rPr>
        <w:t>four</w:t>
      </w:r>
      <w:r>
        <w:rPr>
          <w:spacing w:val="-3"/>
          <w:sz w:val="24"/>
        </w:rPr>
        <w:t> </w:t>
      </w:r>
      <w:r>
        <w:rPr>
          <w:sz w:val="24"/>
        </w:rPr>
        <w:t>case</w:t>
      </w:r>
      <w:r>
        <w:rPr>
          <w:spacing w:val="-4"/>
          <w:sz w:val="24"/>
        </w:rPr>
        <w:t> </w:t>
      </w:r>
      <w:r>
        <w:rPr>
          <w:sz w:val="24"/>
        </w:rPr>
        <w:t>studies;</w:t>
      </w:r>
      <w:r>
        <w:rPr>
          <w:spacing w:val="-4"/>
          <w:sz w:val="24"/>
        </w:rPr>
        <w:t> </w:t>
      </w:r>
      <w:r>
        <w:rPr>
          <w:spacing w:val="-5"/>
          <w:sz w:val="24"/>
        </w:rPr>
        <w:t>and</w:t>
      </w:r>
    </w:p>
    <w:p>
      <w:pPr>
        <w:pStyle w:val="ListParagraph"/>
        <w:numPr>
          <w:ilvl w:val="2"/>
          <w:numId w:val="25"/>
        </w:numPr>
        <w:tabs>
          <w:tab w:pos="839" w:val="left" w:leader="none"/>
          <w:tab w:pos="841" w:val="left" w:leader="none"/>
        </w:tabs>
        <w:spacing w:line="240" w:lineRule="auto" w:before="117" w:after="0"/>
        <w:ind w:left="840" w:right="0" w:hanging="361"/>
        <w:jc w:val="left"/>
        <w:rPr>
          <w:sz w:val="24"/>
        </w:rPr>
      </w:pPr>
      <w:r>
        <w:rPr>
          <w:sz w:val="24"/>
        </w:rPr>
        <w:t>more</w:t>
      </w:r>
      <w:r>
        <w:rPr>
          <w:spacing w:val="-1"/>
          <w:sz w:val="24"/>
        </w:rPr>
        <w:t> </w:t>
      </w:r>
      <w:r>
        <w:rPr>
          <w:sz w:val="24"/>
        </w:rPr>
        <w:t>than</w:t>
      </w:r>
      <w:r>
        <w:rPr>
          <w:spacing w:val="-1"/>
          <w:sz w:val="24"/>
        </w:rPr>
        <w:t> </w:t>
      </w:r>
      <w:r>
        <w:rPr>
          <w:sz w:val="24"/>
        </w:rPr>
        <w:t>20%</w:t>
      </w:r>
      <w:r>
        <w:rPr>
          <w:spacing w:val="-1"/>
          <w:sz w:val="24"/>
        </w:rPr>
        <w:t> </w:t>
      </w:r>
      <w:r>
        <w:rPr>
          <w:sz w:val="24"/>
        </w:rPr>
        <w:t>in</w:t>
      </w:r>
      <w:r>
        <w:rPr>
          <w:spacing w:val="-1"/>
          <w:sz w:val="24"/>
        </w:rPr>
        <w:t> </w:t>
      </w:r>
      <w:r>
        <w:rPr>
          <w:sz w:val="24"/>
        </w:rPr>
        <w:t>two</w:t>
      </w:r>
      <w:r>
        <w:rPr>
          <w:spacing w:val="-1"/>
          <w:sz w:val="24"/>
        </w:rPr>
        <w:t> </w:t>
      </w:r>
      <w:r>
        <w:rPr>
          <w:sz w:val="24"/>
        </w:rPr>
        <w:t>case</w:t>
      </w:r>
      <w:r>
        <w:rPr>
          <w:spacing w:val="-1"/>
          <w:sz w:val="24"/>
        </w:rPr>
        <w:t> </w:t>
      </w:r>
      <w:r>
        <w:rPr>
          <w:spacing w:val="-2"/>
          <w:sz w:val="24"/>
        </w:rPr>
        <w:t>studies.</w:t>
      </w:r>
    </w:p>
    <w:p>
      <w:pPr>
        <w:pStyle w:val="BodyText"/>
        <w:spacing w:before="3"/>
        <w:rPr>
          <w:sz w:val="34"/>
        </w:rPr>
      </w:pPr>
    </w:p>
    <w:p>
      <w:pPr>
        <w:pStyle w:val="BodyText"/>
        <w:ind w:left="119" w:right="110"/>
        <w:jc w:val="both"/>
      </w:pPr>
      <w:r>
        <w:rPr/>
        <w:t>Table 5 includes two new case studies. These relate to two storey office buildings and two storey restaurants.</w:t>
      </w:r>
      <w:r>
        <w:rPr>
          <w:spacing w:val="80"/>
        </w:rPr>
        <w:t> </w:t>
      </w:r>
      <w:r>
        <w:rPr/>
        <w:t>Inclusion of the two new case studies allows the comparison to be made between buildings that would fall below the proposed exemption threshold and those that would not. In addition, two case studies have been deleted from the analysis. These related to the 10m lap pool and spa pool, which fall under the 40m perimeter threshold.</w:t>
      </w:r>
    </w:p>
    <w:p>
      <w:pPr>
        <w:spacing w:after="0"/>
        <w:jc w:val="both"/>
        <w:sectPr>
          <w:footerReference w:type="default" r:id="rId16"/>
          <w:pgSz w:w="12240" w:h="15840"/>
          <w:pgMar w:footer="1140" w:header="0" w:top="1480" w:bottom="1340" w:left="1320" w:right="1500"/>
          <w:pgNumType w:start="56"/>
        </w:sectPr>
      </w:pPr>
    </w:p>
    <w:p>
      <w:pPr>
        <w:pStyle w:val="BodyText"/>
        <w:spacing w:before="77"/>
        <w:ind w:left="119" w:right="109"/>
        <w:jc w:val="both"/>
      </w:pPr>
      <w:r>
        <w:rPr/>
        <w:t>As with the new case studies presented in the previous section, the cost implications are generally smaller for larger buildings and for buildings with fewer storeys.</w:t>
      </w:r>
      <w:r>
        <w:rPr>
          <w:spacing w:val="80"/>
        </w:rPr>
        <w:t> </w:t>
      </w:r>
      <w:r>
        <w:rPr/>
        <w:t>The case studies showing the largest proportionate cost increases in relation to full upgrades are single-storey holiday accommodation (32.9%), two-storey restaurant (20.9%), and two-storey bed-and-breakfast accommodation (17.3%).</w:t>
      </w:r>
      <w:r>
        <w:rPr>
          <w:spacing w:val="40"/>
        </w:rPr>
        <w:t> </w:t>
      </w:r>
      <w:r>
        <w:rPr/>
        <w:t>The smallest increases are for large shopping centres (0.4%), and 1200 seat theatres (1.0%).</w:t>
      </w:r>
    </w:p>
    <w:p>
      <w:pPr>
        <w:pStyle w:val="BodyText"/>
      </w:pPr>
    </w:p>
    <w:p>
      <w:pPr>
        <w:pStyle w:val="BodyText"/>
        <w:ind w:left="119" w:right="110"/>
        <w:jc w:val="both"/>
      </w:pPr>
      <w:r>
        <w:rPr/>
        <w:t>A further 6 case studies, presented in Table 6, demonstrate the costs of applying the Premises Standards where buildings undergo partial upgrades.</w:t>
      </w:r>
      <w:r>
        <w:rPr>
          <w:spacing w:val="40"/>
        </w:rPr>
        <w:t> </w:t>
      </w:r>
      <w:r>
        <w:rPr/>
        <w:t>Among this group the highest proportionate cost increase was 9.6% in the case of a seven-storey office building with lifts upgrading one floor.</w:t>
      </w:r>
      <w:r>
        <w:rPr>
          <w:spacing w:val="80"/>
        </w:rPr>
        <w:t> </w:t>
      </w:r>
      <w:r>
        <w:rPr/>
        <w:t>The remaining case studies show cost increases below 8.3%, with 3 case studies falling below 1%. Outcomes of the Class 2 case studies can be found in Appendix D.</w:t>
      </w:r>
    </w:p>
    <w:p>
      <w:pPr>
        <w:pStyle w:val="BodyText"/>
      </w:pPr>
    </w:p>
    <w:p>
      <w:pPr>
        <w:pStyle w:val="BodyText"/>
        <w:ind w:left="119" w:right="111"/>
        <w:jc w:val="both"/>
      </w:pPr>
      <w:r>
        <w:rPr/>
        <w:t>The main cost drivers, in the cases in which the proportionate cost impacts of the Premises Standards are largest, are broadly similar to those identified in relation to new buildings.</w:t>
      </w:r>
      <w:r>
        <w:rPr>
          <w:spacing w:val="40"/>
        </w:rPr>
        <w:t> </w:t>
      </w:r>
      <w:r>
        <w:rPr/>
        <w:t>For two-storey offices and restaurants that do not benefit from the exemption for smaller buildings, the installation of a lift is easily the largest single cost item.</w:t>
      </w:r>
      <w:r>
        <w:rPr>
          <w:spacing w:val="40"/>
        </w:rPr>
        <w:t> </w:t>
      </w:r>
      <w:r>
        <w:rPr/>
        <w:t>In relation to single-storey holiday accommodation, the major cost items are accessible sanitary facilities and wider doorways.</w:t>
      </w:r>
      <w:r>
        <w:rPr>
          <w:spacing w:val="40"/>
        </w:rPr>
        <w:t> </w:t>
      </w:r>
      <w:r>
        <w:rPr/>
        <w:t>For small single-storey shops, the main costs are for provision of ramps and wider doorways.</w:t>
      </w:r>
    </w:p>
    <w:p>
      <w:pPr>
        <w:pStyle w:val="BodyText"/>
      </w:pPr>
    </w:p>
    <w:p>
      <w:pPr>
        <w:pStyle w:val="BodyText"/>
        <w:ind w:left="120" w:right="110"/>
        <w:jc w:val="both"/>
      </w:pPr>
      <w:r>
        <w:rPr/>
        <w:t>As with new buildings, the impacts of the proposed Premises Standards in relation to alterations and additions fall disproportionately on smaller buildings.</w:t>
      </w:r>
      <w:r>
        <w:rPr>
          <w:spacing w:val="40"/>
        </w:rPr>
        <w:t> </w:t>
      </w:r>
      <w:r>
        <w:rPr/>
        <w:t>Again, this reflects the fact that the extent of most of the requirements of the proposed Standards increases less than proportionately with the size and cost of the building.</w:t>
      </w:r>
      <w:r>
        <w:rPr>
          <w:spacing w:val="40"/>
        </w:rPr>
        <w:t> </w:t>
      </w:r>
      <w:r>
        <w:rPr/>
        <w:t>Overall however, the modifications made to the draft Premises Standards proposal have substantially reduced the incidence of very large proportionate cost increases among the case study buildings analysed.</w:t>
      </w:r>
    </w:p>
    <w:p>
      <w:pPr>
        <w:spacing w:after="0"/>
        <w:jc w:val="both"/>
        <w:sectPr>
          <w:pgSz w:w="12240" w:h="15840"/>
          <w:pgMar w:header="0" w:footer="1140" w:top="1360" w:bottom="1340" w:left="1320" w:right="1500"/>
        </w:sectPr>
      </w:pPr>
    </w:p>
    <w:p>
      <w:pPr>
        <w:pStyle w:val="BodyText"/>
        <w:spacing w:before="10"/>
        <w:rPr>
          <w:sz w:val="17"/>
        </w:rPr>
      </w:pPr>
    </w:p>
    <w:p>
      <w:pPr>
        <w:spacing w:before="92"/>
        <w:ind w:left="300" w:right="0" w:firstLine="0"/>
        <w:jc w:val="left"/>
        <w:rPr>
          <w:b/>
          <w:sz w:val="24"/>
        </w:rPr>
      </w:pPr>
      <w:r>
        <w:rPr>
          <w:b/>
          <w:sz w:val="24"/>
          <w:u w:val="single"/>
        </w:rPr>
        <w:t>Table</w:t>
      </w:r>
      <w:r>
        <w:rPr>
          <w:b/>
          <w:spacing w:val="-11"/>
          <w:sz w:val="24"/>
          <w:u w:val="single"/>
        </w:rPr>
        <w:t> </w:t>
      </w:r>
      <w:r>
        <w:rPr>
          <w:b/>
          <w:sz w:val="24"/>
          <w:u w:val="single"/>
        </w:rPr>
        <w:t>5:</w:t>
      </w:r>
      <w:r>
        <w:rPr>
          <w:b/>
          <w:spacing w:val="-10"/>
          <w:sz w:val="24"/>
          <w:u w:val="single"/>
        </w:rPr>
        <w:t> </w:t>
      </w:r>
      <w:r>
        <w:rPr>
          <w:b/>
          <w:sz w:val="24"/>
          <w:u w:val="single"/>
        </w:rPr>
        <w:t>Incremental</w:t>
      </w:r>
      <w:r>
        <w:rPr>
          <w:b/>
          <w:spacing w:val="-11"/>
          <w:sz w:val="24"/>
          <w:u w:val="single"/>
        </w:rPr>
        <w:t> </w:t>
      </w:r>
      <w:r>
        <w:rPr>
          <w:b/>
          <w:sz w:val="24"/>
          <w:u w:val="single"/>
        </w:rPr>
        <w:t>costs</w:t>
      </w:r>
      <w:r>
        <w:rPr>
          <w:b/>
          <w:spacing w:val="-11"/>
          <w:sz w:val="24"/>
          <w:u w:val="single"/>
        </w:rPr>
        <w:t> </w:t>
      </w:r>
      <w:r>
        <w:rPr>
          <w:b/>
          <w:sz w:val="24"/>
          <w:u w:val="single"/>
        </w:rPr>
        <w:t>of</w:t>
      </w:r>
      <w:r>
        <w:rPr>
          <w:b/>
          <w:spacing w:val="-10"/>
          <w:sz w:val="24"/>
          <w:u w:val="single"/>
        </w:rPr>
        <w:t> </w:t>
      </w:r>
      <w:r>
        <w:rPr>
          <w:b/>
          <w:sz w:val="24"/>
          <w:u w:val="single"/>
        </w:rPr>
        <w:t>applying</w:t>
      </w:r>
      <w:r>
        <w:rPr>
          <w:b/>
          <w:spacing w:val="-11"/>
          <w:sz w:val="24"/>
          <w:u w:val="single"/>
        </w:rPr>
        <w:t> </w:t>
      </w:r>
      <w:r>
        <w:rPr>
          <w:b/>
          <w:sz w:val="24"/>
          <w:u w:val="single"/>
        </w:rPr>
        <w:t>the</w:t>
      </w:r>
      <w:r>
        <w:rPr>
          <w:b/>
          <w:spacing w:val="-11"/>
          <w:sz w:val="24"/>
          <w:u w:val="single"/>
        </w:rPr>
        <w:t> </w:t>
      </w:r>
      <w:r>
        <w:rPr>
          <w:b/>
          <w:sz w:val="24"/>
          <w:u w:val="single"/>
        </w:rPr>
        <w:t>Premises</w:t>
      </w:r>
      <w:r>
        <w:rPr>
          <w:b/>
          <w:spacing w:val="-11"/>
          <w:sz w:val="24"/>
          <w:u w:val="single"/>
        </w:rPr>
        <w:t> </w:t>
      </w:r>
      <w:r>
        <w:rPr>
          <w:b/>
          <w:sz w:val="24"/>
          <w:u w:val="single"/>
        </w:rPr>
        <w:t>Standards</w:t>
      </w:r>
      <w:r>
        <w:rPr>
          <w:b/>
          <w:spacing w:val="-10"/>
          <w:sz w:val="24"/>
          <w:u w:val="single"/>
        </w:rPr>
        <w:t> </w:t>
      </w:r>
      <w:r>
        <w:rPr>
          <w:b/>
          <w:sz w:val="24"/>
          <w:u w:val="single"/>
        </w:rPr>
        <w:t>to</w:t>
      </w:r>
      <w:r>
        <w:rPr>
          <w:b/>
          <w:spacing w:val="-11"/>
          <w:sz w:val="24"/>
          <w:u w:val="single"/>
        </w:rPr>
        <w:t> </w:t>
      </w:r>
      <w:r>
        <w:rPr>
          <w:b/>
          <w:sz w:val="24"/>
          <w:u w:val="single"/>
        </w:rPr>
        <w:t>existing</w:t>
      </w:r>
      <w:r>
        <w:rPr>
          <w:b/>
          <w:spacing w:val="-11"/>
          <w:sz w:val="24"/>
          <w:u w:val="single"/>
        </w:rPr>
        <w:t> </w:t>
      </w:r>
      <w:r>
        <w:rPr>
          <w:b/>
          <w:sz w:val="24"/>
          <w:u w:val="single"/>
        </w:rPr>
        <w:t>buildings:</w:t>
      </w:r>
      <w:r>
        <w:rPr>
          <w:b/>
          <w:spacing w:val="-10"/>
          <w:sz w:val="24"/>
          <w:u w:val="single"/>
        </w:rPr>
        <w:t> </w:t>
      </w:r>
      <w:r>
        <w:rPr>
          <w:b/>
          <w:sz w:val="24"/>
          <w:u w:val="single"/>
        </w:rPr>
        <w:t>Full</w:t>
      </w:r>
      <w:r>
        <w:rPr>
          <w:b/>
          <w:spacing w:val="-11"/>
          <w:sz w:val="24"/>
          <w:u w:val="single"/>
        </w:rPr>
        <w:t> </w:t>
      </w:r>
      <w:r>
        <w:rPr>
          <w:b/>
          <w:spacing w:val="-2"/>
          <w:sz w:val="24"/>
          <w:u w:val="single"/>
        </w:rPr>
        <w:t>upgrades</w:t>
      </w:r>
    </w:p>
    <w:p>
      <w:pPr>
        <w:pStyle w:val="BodyText"/>
        <w:spacing w:before="7"/>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1098"/>
        <w:gridCol w:w="1098"/>
        <w:gridCol w:w="1098"/>
        <w:gridCol w:w="1098"/>
        <w:gridCol w:w="1188"/>
        <w:gridCol w:w="1098"/>
        <w:gridCol w:w="1098"/>
        <w:gridCol w:w="1098"/>
        <w:gridCol w:w="1206"/>
        <w:gridCol w:w="1098"/>
      </w:tblGrid>
      <w:tr>
        <w:trPr>
          <w:trHeight w:val="1343" w:hRule="atLeast"/>
        </w:trPr>
        <w:tc>
          <w:tcPr>
            <w:tcW w:w="2340" w:type="dxa"/>
            <w:tcBorders>
              <w:top w:val="nil"/>
              <w:left w:val="nil"/>
            </w:tcBorders>
          </w:tcPr>
          <w:p>
            <w:pPr>
              <w:pStyle w:val="TableParagraph"/>
              <w:spacing w:before="118"/>
              <w:ind w:left="107"/>
              <w:rPr>
                <w:sz w:val="32"/>
              </w:rPr>
            </w:pPr>
            <w:r>
              <w:rPr>
                <w:spacing w:val="-4"/>
                <w:sz w:val="32"/>
              </w:rPr>
              <w:t>FULL </w:t>
            </w:r>
            <w:r>
              <w:rPr>
                <w:spacing w:val="-2"/>
                <w:sz w:val="32"/>
              </w:rPr>
              <w:t>UPGRADE</w:t>
            </w:r>
          </w:p>
        </w:tc>
        <w:tc>
          <w:tcPr>
            <w:tcW w:w="1098" w:type="dxa"/>
          </w:tcPr>
          <w:p>
            <w:pPr>
              <w:pStyle w:val="TableParagraph"/>
              <w:spacing w:before="117"/>
              <w:ind w:left="107" w:right="107"/>
              <w:rPr>
                <w:sz w:val="16"/>
              </w:rPr>
            </w:pPr>
            <w:r>
              <w:rPr>
                <w:spacing w:val="-2"/>
                <w:sz w:val="16"/>
              </w:rPr>
              <w:t>Single</w:t>
            </w:r>
            <w:r>
              <w:rPr>
                <w:spacing w:val="40"/>
                <w:sz w:val="16"/>
              </w:rPr>
              <w:t> </w:t>
            </w:r>
            <w:r>
              <w:rPr>
                <w:sz w:val="16"/>
              </w:rPr>
              <w:t>storey – </w:t>
            </w:r>
            <w:r>
              <w:rPr>
                <w:spacing w:val="-2"/>
                <w:sz w:val="16"/>
              </w:rPr>
              <w:t>holiday accommoda </w:t>
            </w:r>
            <w:r>
              <w:rPr>
                <w:spacing w:val="-4"/>
                <w:sz w:val="16"/>
              </w:rPr>
              <w:t>tion</w:t>
            </w:r>
          </w:p>
        </w:tc>
        <w:tc>
          <w:tcPr>
            <w:tcW w:w="1098" w:type="dxa"/>
          </w:tcPr>
          <w:p>
            <w:pPr>
              <w:pStyle w:val="TableParagraph"/>
              <w:spacing w:before="117"/>
              <w:ind w:left="107" w:right="110"/>
              <w:rPr>
                <w:sz w:val="16"/>
              </w:rPr>
            </w:pPr>
            <w:r>
              <w:rPr>
                <w:sz w:val="16"/>
              </w:rPr>
              <w:t>2</w:t>
            </w:r>
            <w:r>
              <w:rPr>
                <w:spacing w:val="-12"/>
                <w:sz w:val="16"/>
              </w:rPr>
              <w:t> </w:t>
            </w:r>
            <w:r>
              <w:rPr>
                <w:sz w:val="16"/>
              </w:rPr>
              <w:t>storey</w:t>
            </w:r>
            <w:r>
              <w:rPr>
                <w:spacing w:val="-11"/>
                <w:sz w:val="16"/>
              </w:rPr>
              <w:t> </w:t>
            </w:r>
            <w:r>
              <w:rPr>
                <w:sz w:val="16"/>
              </w:rPr>
              <w:t>–</w:t>
            </w:r>
            <w:r>
              <w:rPr>
                <w:spacing w:val="-11"/>
                <w:sz w:val="16"/>
              </w:rPr>
              <w:t> </w:t>
            </w:r>
            <w:r>
              <w:rPr>
                <w:sz w:val="16"/>
              </w:rPr>
              <w:t>B</w:t>
            </w:r>
            <w:r>
              <w:rPr>
                <w:sz w:val="16"/>
              </w:rPr>
              <w:t> &amp; B</w:t>
            </w:r>
          </w:p>
        </w:tc>
        <w:tc>
          <w:tcPr>
            <w:tcW w:w="1098" w:type="dxa"/>
          </w:tcPr>
          <w:p>
            <w:pPr>
              <w:pStyle w:val="TableParagraph"/>
              <w:spacing w:before="117"/>
              <w:ind w:left="107"/>
              <w:rPr>
                <w:sz w:val="16"/>
              </w:rPr>
            </w:pPr>
            <w:r>
              <w:rPr>
                <w:sz w:val="16"/>
              </w:rPr>
              <w:t>2 storey – </w:t>
            </w:r>
            <w:r>
              <w:rPr>
                <w:spacing w:val="-2"/>
                <w:sz w:val="16"/>
              </w:rPr>
              <w:t>hotel/motel</w:t>
            </w:r>
          </w:p>
          <w:p>
            <w:pPr>
              <w:pStyle w:val="TableParagraph"/>
              <w:ind w:left="107"/>
              <w:rPr>
                <w:sz w:val="16"/>
              </w:rPr>
            </w:pPr>
            <w:r>
              <w:rPr>
                <w:sz w:val="16"/>
              </w:rPr>
              <w:t>–</w:t>
            </w:r>
            <w:r>
              <w:rPr>
                <w:spacing w:val="-2"/>
                <w:sz w:val="16"/>
              </w:rPr>
              <w:t> </w:t>
            </w:r>
            <w:r>
              <w:rPr>
                <w:sz w:val="16"/>
              </w:rPr>
              <w:t>no</w:t>
            </w:r>
            <w:r>
              <w:rPr>
                <w:spacing w:val="-1"/>
                <w:sz w:val="16"/>
              </w:rPr>
              <w:t> </w:t>
            </w:r>
            <w:r>
              <w:rPr>
                <w:spacing w:val="-4"/>
                <w:sz w:val="16"/>
              </w:rPr>
              <w:t>lift</w:t>
            </w:r>
          </w:p>
        </w:tc>
        <w:tc>
          <w:tcPr>
            <w:tcW w:w="1098" w:type="dxa"/>
          </w:tcPr>
          <w:p>
            <w:pPr>
              <w:pStyle w:val="TableParagraph"/>
              <w:spacing w:line="184" w:lineRule="exact" w:before="117"/>
              <w:ind w:left="107"/>
              <w:jc w:val="both"/>
              <w:rPr>
                <w:sz w:val="16"/>
              </w:rPr>
            </w:pPr>
            <w:r>
              <w:rPr>
                <w:sz w:val="16"/>
              </w:rPr>
              <w:t>3+</w:t>
            </w:r>
            <w:r>
              <w:rPr>
                <w:spacing w:val="-2"/>
                <w:sz w:val="16"/>
              </w:rPr>
              <w:t> storey</w:t>
            </w:r>
          </w:p>
          <w:p>
            <w:pPr>
              <w:pStyle w:val="TableParagraph"/>
              <w:ind w:left="107" w:right="169"/>
              <w:jc w:val="both"/>
              <w:rPr>
                <w:sz w:val="16"/>
              </w:rPr>
            </w:pPr>
            <w:r>
              <w:rPr>
                <w:sz w:val="16"/>
              </w:rPr>
              <w:t>200</w:t>
            </w:r>
            <w:r>
              <w:rPr>
                <w:spacing w:val="-12"/>
                <w:sz w:val="16"/>
              </w:rPr>
              <w:t> </w:t>
            </w:r>
            <w:r>
              <w:rPr>
                <w:sz w:val="16"/>
              </w:rPr>
              <w:t>room</w:t>
            </w:r>
            <w:r>
              <w:rPr>
                <w:spacing w:val="-11"/>
                <w:sz w:val="16"/>
              </w:rPr>
              <w:t> </w:t>
            </w:r>
            <w:r>
              <w:rPr>
                <w:sz w:val="16"/>
              </w:rPr>
              <w:t>–</w:t>
            </w:r>
            <w:r>
              <w:rPr>
                <w:sz w:val="16"/>
              </w:rPr>
              <w:t> hotel</w:t>
            </w:r>
            <w:r>
              <w:rPr>
                <w:spacing w:val="-12"/>
                <w:sz w:val="16"/>
              </w:rPr>
              <w:t> </w:t>
            </w:r>
            <w:r>
              <w:rPr>
                <w:sz w:val="16"/>
              </w:rPr>
              <w:t>–</w:t>
            </w:r>
            <w:r>
              <w:rPr>
                <w:spacing w:val="-11"/>
                <w:sz w:val="16"/>
              </w:rPr>
              <w:t> </w:t>
            </w:r>
            <w:r>
              <w:rPr>
                <w:sz w:val="16"/>
              </w:rPr>
              <w:t>with</w:t>
            </w:r>
            <w:r>
              <w:rPr>
                <w:sz w:val="16"/>
              </w:rPr>
              <w:t> </w:t>
            </w:r>
            <w:r>
              <w:rPr>
                <w:spacing w:val="-4"/>
                <w:sz w:val="16"/>
              </w:rPr>
              <w:t>lift</w:t>
            </w:r>
          </w:p>
        </w:tc>
        <w:tc>
          <w:tcPr>
            <w:tcW w:w="1188" w:type="dxa"/>
          </w:tcPr>
          <w:p>
            <w:pPr>
              <w:pStyle w:val="TableParagraph"/>
              <w:spacing w:line="184" w:lineRule="exact" w:before="117"/>
              <w:ind w:left="107"/>
              <w:jc w:val="both"/>
              <w:rPr>
                <w:sz w:val="16"/>
              </w:rPr>
            </w:pPr>
            <w:r>
              <w:rPr>
                <w:sz w:val="16"/>
              </w:rPr>
              <w:t>3+</w:t>
            </w:r>
            <w:r>
              <w:rPr>
                <w:spacing w:val="-2"/>
                <w:sz w:val="16"/>
              </w:rPr>
              <w:t> storey</w:t>
            </w:r>
          </w:p>
          <w:p>
            <w:pPr>
              <w:pStyle w:val="TableParagraph"/>
              <w:ind w:left="107" w:right="259"/>
              <w:jc w:val="both"/>
              <w:rPr>
                <w:sz w:val="16"/>
              </w:rPr>
            </w:pPr>
            <w:r>
              <w:rPr>
                <w:sz w:val="16"/>
              </w:rPr>
              <w:t>350</w:t>
            </w:r>
            <w:r>
              <w:rPr>
                <w:spacing w:val="-12"/>
                <w:sz w:val="16"/>
              </w:rPr>
              <w:t> </w:t>
            </w:r>
            <w:r>
              <w:rPr>
                <w:sz w:val="16"/>
              </w:rPr>
              <w:t>room</w:t>
            </w:r>
            <w:r>
              <w:rPr>
                <w:spacing w:val="-11"/>
                <w:sz w:val="16"/>
              </w:rPr>
              <w:t> </w:t>
            </w:r>
            <w:r>
              <w:rPr>
                <w:sz w:val="16"/>
              </w:rPr>
              <w:t>–</w:t>
            </w:r>
            <w:r>
              <w:rPr>
                <w:sz w:val="16"/>
              </w:rPr>
              <w:t> hotel</w:t>
            </w:r>
            <w:r>
              <w:rPr>
                <w:spacing w:val="-12"/>
                <w:sz w:val="16"/>
              </w:rPr>
              <w:t> </w:t>
            </w:r>
            <w:r>
              <w:rPr>
                <w:sz w:val="16"/>
              </w:rPr>
              <w:t>–</w:t>
            </w:r>
            <w:r>
              <w:rPr>
                <w:spacing w:val="-11"/>
                <w:sz w:val="16"/>
              </w:rPr>
              <w:t> </w:t>
            </w:r>
            <w:r>
              <w:rPr>
                <w:sz w:val="16"/>
              </w:rPr>
              <w:t>with</w:t>
            </w:r>
            <w:r>
              <w:rPr>
                <w:sz w:val="16"/>
              </w:rPr>
              <w:t> </w:t>
            </w:r>
            <w:r>
              <w:rPr>
                <w:spacing w:val="-2"/>
                <w:sz w:val="16"/>
              </w:rPr>
              <w:t>lifts</w:t>
            </w:r>
          </w:p>
        </w:tc>
        <w:tc>
          <w:tcPr>
            <w:tcW w:w="1098" w:type="dxa"/>
          </w:tcPr>
          <w:p>
            <w:pPr>
              <w:pStyle w:val="TableParagraph"/>
              <w:spacing w:before="117"/>
              <w:ind w:left="108" w:right="187"/>
              <w:rPr>
                <w:sz w:val="16"/>
              </w:rPr>
            </w:pPr>
            <w:r>
              <w:rPr>
                <w:sz w:val="16"/>
              </w:rPr>
              <w:t>2 storey – office – </w:t>
            </w:r>
            <w:r>
              <w:rPr>
                <w:spacing w:val="-2"/>
                <w:sz w:val="16"/>
              </w:rPr>
              <w:t>dwelling </w:t>
            </w:r>
            <w:r>
              <w:rPr>
                <w:sz w:val="16"/>
              </w:rPr>
              <w:t>size (with </w:t>
            </w:r>
            <w:r>
              <w:rPr>
                <w:spacing w:val="-2"/>
                <w:sz w:val="16"/>
              </w:rPr>
              <w:t>exemption)</w:t>
            </w:r>
          </w:p>
        </w:tc>
        <w:tc>
          <w:tcPr>
            <w:tcW w:w="1098" w:type="dxa"/>
          </w:tcPr>
          <w:p>
            <w:pPr>
              <w:pStyle w:val="TableParagraph"/>
              <w:spacing w:before="116"/>
              <w:ind w:left="108" w:right="187"/>
              <w:rPr>
                <w:sz w:val="16"/>
              </w:rPr>
            </w:pPr>
            <w:r>
              <w:rPr>
                <w:sz w:val="16"/>
              </w:rPr>
              <w:t>2 storey – office – </w:t>
            </w:r>
            <w:r>
              <w:rPr>
                <w:spacing w:val="-2"/>
                <w:sz w:val="16"/>
              </w:rPr>
              <w:t>dwelling </w:t>
            </w:r>
            <w:r>
              <w:rPr>
                <w:spacing w:val="-4"/>
                <w:sz w:val="16"/>
              </w:rPr>
              <w:t>size </w:t>
            </w:r>
            <w:r>
              <w:rPr>
                <w:spacing w:val="-2"/>
                <w:sz w:val="16"/>
              </w:rPr>
              <w:t>(without exemption)</w:t>
            </w:r>
          </w:p>
        </w:tc>
        <w:tc>
          <w:tcPr>
            <w:tcW w:w="1098" w:type="dxa"/>
          </w:tcPr>
          <w:p>
            <w:pPr>
              <w:pStyle w:val="TableParagraph"/>
              <w:spacing w:before="116"/>
              <w:ind w:left="108"/>
              <w:rPr>
                <w:sz w:val="16"/>
              </w:rPr>
            </w:pPr>
            <w:r>
              <w:rPr>
                <w:sz w:val="16"/>
              </w:rPr>
              <w:t>7</w:t>
            </w:r>
            <w:r>
              <w:rPr>
                <w:spacing w:val="-12"/>
                <w:sz w:val="16"/>
              </w:rPr>
              <w:t> </w:t>
            </w:r>
            <w:r>
              <w:rPr>
                <w:sz w:val="16"/>
              </w:rPr>
              <w:t>storey</w:t>
            </w:r>
            <w:r>
              <w:rPr>
                <w:spacing w:val="-11"/>
                <w:sz w:val="16"/>
              </w:rPr>
              <w:t> </w:t>
            </w:r>
            <w:r>
              <w:rPr>
                <w:sz w:val="16"/>
              </w:rPr>
              <w:t>–</w:t>
            </w:r>
            <w:r>
              <w:rPr>
                <w:sz w:val="16"/>
              </w:rPr>
              <w:t> </w:t>
            </w:r>
            <w:r>
              <w:rPr>
                <w:spacing w:val="-2"/>
                <w:sz w:val="16"/>
              </w:rPr>
              <w:t>office</w:t>
            </w:r>
          </w:p>
        </w:tc>
        <w:tc>
          <w:tcPr>
            <w:tcW w:w="1206" w:type="dxa"/>
          </w:tcPr>
          <w:p>
            <w:pPr>
              <w:pStyle w:val="TableParagraph"/>
              <w:spacing w:before="116"/>
              <w:ind w:left="108" w:right="103"/>
              <w:rPr>
                <w:sz w:val="16"/>
              </w:rPr>
            </w:pPr>
            <w:r>
              <w:rPr>
                <w:sz w:val="16"/>
              </w:rPr>
              <w:t>20 storey – office (av. floor</w:t>
            </w:r>
            <w:r>
              <w:rPr>
                <w:spacing w:val="-12"/>
                <w:sz w:val="16"/>
              </w:rPr>
              <w:t> </w:t>
            </w:r>
            <w:r>
              <w:rPr>
                <w:sz w:val="16"/>
              </w:rPr>
              <w:t>plate</w:t>
            </w:r>
            <w:r>
              <w:rPr>
                <w:spacing w:val="-11"/>
                <w:sz w:val="16"/>
              </w:rPr>
              <w:t> </w:t>
            </w:r>
            <w:r>
              <w:rPr>
                <w:sz w:val="16"/>
              </w:rPr>
              <w:t>of</w:t>
            </w:r>
            <w:r>
              <w:rPr>
                <w:sz w:val="16"/>
              </w:rPr>
              <w:t> </w:t>
            </w:r>
            <w:r>
              <w:rPr>
                <w:spacing w:val="-2"/>
                <w:sz w:val="16"/>
              </w:rPr>
              <w:t>900m</w:t>
            </w:r>
            <w:r>
              <w:rPr>
                <w:spacing w:val="-2"/>
                <w:sz w:val="16"/>
                <w:vertAlign w:val="superscript"/>
              </w:rPr>
              <w:t>2</w:t>
            </w:r>
            <w:r>
              <w:rPr>
                <w:spacing w:val="-2"/>
                <w:sz w:val="16"/>
                <w:vertAlign w:val="baseline"/>
              </w:rPr>
              <w:t>)</w:t>
            </w:r>
          </w:p>
        </w:tc>
        <w:tc>
          <w:tcPr>
            <w:tcW w:w="1098" w:type="dxa"/>
          </w:tcPr>
          <w:p>
            <w:pPr>
              <w:pStyle w:val="TableParagraph"/>
              <w:spacing w:before="117"/>
              <w:ind w:left="107" w:right="110"/>
              <w:rPr>
                <w:sz w:val="16"/>
              </w:rPr>
            </w:pPr>
            <w:r>
              <w:rPr>
                <w:sz w:val="16"/>
              </w:rPr>
              <w:t>Small</w:t>
            </w:r>
            <w:r>
              <w:rPr>
                <w:spacing w:val="-12"/>
                <w:sz w:val="16"/>
              </w:rPr>
              <w:t> </w:t>
            </w:r>
            <w:r>
              <w:rPr>
                <w:sz w:val="16"/>
              </w:rPr>
              <w:t>single storey – </w:t>
            </w:r>
            <w:r>
              <w:rPr>
                <w:spacing w:val="-4"/>
                <w:sz w:val="16"/>
              </w:rPr>
              <w:t>shop</w:t>
            </w:r>
          </w:p>
        </w:tc>
      </w:tr>
      <w:tr>
        <w:trPr>
          <w:trHeight w:val="424" w:hRule="atLeast"/>
        </w:trPr>
        <w:tc>
          <w:tcPr>
            <w:tcW w:w="2340" w:type="dxa"/>
          </w:tcPr>
          <w:p>
            <w:pPr>
              <w:pStyle w:val="TableParagraph"/>
              <w:spacing w:before="117"/>
              <w:ind w:left="107"/>
              <w:rPr>
                <w:b/>
                <w:i/>
                <w:sz w:val="16"/>
              </w:rPr>
            </w:pPr>
            <w:r>
              <w:rPr>
                <w:b/>
                <w:i/>
                <w:spacing w:val="-2"/>
                <w:sz w:val="16"/>
              </w:rPr>
              <w:t>Class:</w:t>
            </w:r>
          </w:p>
        </w:tc>
        <w:tc>
          <w:tcPr>
            <w:tcW w:w="1098" w:type="dxa"/>
          </w:tcPr>
          <w:p>
            <w:pPr>
              <w:pStyle w:val="TableParagraph"/>
              <w:spacing w:before="117"/>
              <w:ind w:left="444" w:right="436"/>
              <w:jc w:val="center"/>
              <w:rPr>
                <w:sz w:val="16"/>
              </w:rPr>
            </w:pPr>
            <w:r>
              <w:rPr>
                <w:spacing w:val="-5"/>
                <w:sz w:val="16"/>
              </w:rPr>
              <w:t>1b</w:t>
            </w:r>
          </w:p>
        </w:tc>
        <w:tc>
          <w:tcPr>
            <w:tcW w:w="1098" w:type="dxa"/>
          </w:tcPr>
          <w:p>
            <w:pPr>
              <w:pStyle w:val="TableParagraph"/>
              <w:spacing w:before="117"/>
              <w:ind w:left="444" w:right="436"/>
              <w:jc w:val="center"/>
              <w:rPr>
                <w:sz w:val="16"/>
              </w:rPr>
            </w:pPr>
            <w:r>
              <w:rPr>
                <w:spacing w:val="-5"/>
                <w:sz w:val="16"/>
              </w:rPr>
              <w:t>1b</w:t>
            </w:r>
          </w:p>
        </w:tc>
        <w:tc>
          <w:tcPr>
            <w:tcW w:w="1098" w:type="dxa"/>
          </w:tcPr>
          <w:p>
            <w:pPr>
              <w:pStyle w:val="TableParagraph"/>
              <w:spacing w:before="117"/>
              <w:ind w:left="8"/>
              <w:jc w:val="center"/>
              <w:rPr>
                <w:sz w:val="16"/>
              </w:rPr>
            </w:pPr>
            <w:r>
              <w:rPr>
                <w:w w:val="99"/>
                <w:sz w:val="16"/>
              </w:rPr>
              <w:t>3</w:t>
            </w:r>
          </w:p>
        </w:tc>
        <w:tc>
          <w:tcPr>
            <w:tcW w:w="1098" w:type="dxa"/>
          </w:tcPr>
          <w:p>
            <w:pPr>
              <w:pStyle w:val="TableParagraph"/>
              <w:spacing w:before="117"/>
              <w:ind w:left="8"/>
              <w:jc w:val="center"/>
              <w:rPr>
                <w:sz w:val="16"/>
              </w:rPr>
            </w:pPr>
            <w:r>
              <w:rPr>
                <w:w w:val="99"/>
                <w:sz w:val="16"/>
              </w:rPr>
              <w:t>3</w:t>
            </w:r>
          </w:p>
        </w:tc>
        <w:tc>
          <w:tcPr>
            <w:tcW w:w="1188" w:type="dxa"/>
          </w:tcPr>
          <w:p>
            <w:pPr>
              <w:pStyle w:val="TableParagraph"/>
              <w:spacing w:before="117"/>
              <w:ind w:left="9"/>
              <w:jc w:val="center"/>
              <w:rPr>
                <w:sz w:val="16"/>
              </w:rPr>
            </w:pPr>
            <w:r>
              <w:rPr>
                <w:w w:val="99"/>
                <w:sz w:val="16"/>
              </w:rPr>
              <w:t>3</w:t>
            </w:r>
          </w:p>
        </w:tc>
        <w:tc>
          <w:tcPr>
            <w:tcW w:w="1098" w:type="dxa"/>
          </w:tcPr>
          <w:p>
            <w:pPr>
              <w:pStyle w:val="TableParagraph"/>
              <w:spacing w:before="117"/>
              <w:ind w:left="8"/>
              <w:jc w:val="center"/>
              <w:rPr>
                <w:sz w:val="16"/>
              </w:rPr>
            </w:pPr>
            <w:r>
              <w:rPr>
                <w:w w:val="99"/>
                <w:sz w:val="16"/>
              </w:rPr>
              <w:t>5</w:t>
            </w:r>
          </w:p>
        </w:tc>
        <w:tc>
          <w:tcPr>
            <w:tcW w:w="1098" w:type="dxa"/>
          </w:tcPr>
          <w:p>
            <w:pPr>
              <w:pStyle w:val="TableParagraph"/>
              <w:spacing w:before="117"/>
              <w:ind w:left="8"/>
              <w:jc w:val="center"/>
              <w:rPr>
                <w:sz w:val="16"/>
              </w:rPr>
            </w:pPr>
            <w:r>
              <w:rPr>
                <w:w w:val="99"/>
                <w:sz w:val="16"/>
              </w:rPr>
              <w:t>5</w:t>
            </w:r>
          </w:p>
        </w:tc>
        <w:tc>
          <w:tcPr>
            <w:tcW w:w="1098" w:type="dxa"/>
          </w:tcPr>
          <w:p>
            <w:pPr>
              <w:pStyle w:val="TableParagraph"/>
              <w:spacing w:before="117"/>
              <w:ind w:left="8"/>
              <w:jc w:val="center"/>
              <w:rPr>
                <w:sz w:val="16"/>
              </w:rPr>
            </w:pPr>
            <w:r>
              <w:rPr>
                <w:w w:val="99"/>
                <w:sz w:val="16"/>
              </w:rPr>
              <w:t>5</w:t>
            </w:r>
          </w:p>
        </w:tc>
        <w:tc>
          <w:tcPr>
            <w:tcW w:w="1206" w:type="dxa"/>
          </w:tcPr>
          <w:p>
            <w:pPr>
              <w:pStyle w:val="TableParagraph"/>
              <w:spacing w:before="117"/>
              <w:ind w:left="8"/>
              <w:jc w:val="center"/>
              <w:rPr>
                <w:sz w:val="16"/>
              </w:rPr>
            </w:pPr>
            <w:r>
              <w:rPr>
                <w:w w:val="99"/>
                <w:sz w:val="16"/>
              </w:rPr>
              <w:t>5</w:t>
            </w:r>
          </w:p>
        </w:tc>
        <w:tc>
          <w:tcPr>
            <w:tcW w:w="1098" w:type="dxa"/>
          </w:tcPr>
          <w:p>
            <w:pPr>
              <w:pStyle w:val="TableParagraph"/>
              <w:spacing w:before="117"/>
              <w:ind w:left="8"/>
              <w:jc w:val="center"/>
              <w:rPr>
                <w:sz w:val="16"/>
              </w:rPr>
            </w:pPr>
            <w:r>
              <w:rPr>
                <w:w w:val="99"/>
                <w:sz w:val="16"/>
              </w:rPr>
              <w:t>6</w:t>
            </w:r>
          </w:p>
        </w:tc>
      </w:tr>
      <w:tr>
        <w:trPr>
          <w:trHeight w:val="607" w:hRule="atLeast"/>
        </w:trPr>
        <w:tc>
          <w:tcPr>
            <w:tcW w:w="2340" w:type="dxa"/>
          </w:tcPr>
          <w:p>
            <w:pPr>
              <w:pStyle w:val="TableParagraph"/>
              <w:spacing w:before="117"/>
              <w:ind w:left="107"/>
              <w:rPr>
                <w:b/>
                <w:i/>
                <w:sz w:val="16"/>
              </w:rPr>
            </w:pPr>
            <w:r>
              <w:rPr>
                <w:b/>
                <w:i/>
                <w:sz w:val="16"/>
              </w:rPr>
              <w:t>Upgrade</w:t>
            </w:r>
            <w:r>
              <w:rPr>
                <w:b/>
                <w:i/>
                <w:spacing w:val="-12"/>
                <w:sz w:val="16"/>
              </w:rPr>
              <w:t> </w:t>
            </w:r>
            <w:r>
              <w:rPr>
                <w:b/>
                <w:i/>
                <w:sz w:val="16"/>
              </w:rPr>
              <w:t>Generic</w:t>
            </w:r>
            <w:r>
              <w:rPr>
                <w:b/>
                <w:i/>
                <w:spacing w:val="-11"/>
                <w:sz w:val="16"/>
              </w:rPr>
              <w:t> </w:t>
            </w:r>
            <w:r>
              <w:rPr>
                <w:b/>
                <w:i/>
                <w:sz w:val="16"/>
              </w:rPr>
              <w:t>Building</w:t>
            </w:r>
            <w:r>
              <w:rPr>
                <w:b/>
                <w:i/>
                <w:sz w:val="16"/>
              </w:rPr>
              <w:t> </w:t>
            </w:r>
            <w:r>
              <w:rPr>
                <w:b/>
                <w:i/>
                <w:spacing w:val="-2"/>
                <w:sz w:val="16"/>
              </w:rPr>
              <w:t>Cost($)</w:t>
            </w:r>
          </w:p>
        </w:tc>
        <w:tc>
          <w:tcPr>
            <w:tcW w:w="1098" w:type="dxa"/>
          </w:tcPr>
          <w:p>
            <w:pPr>
              <w:pStyle w:val="TableParagraph"/>
              <w:spacing w:before="2"/>
              <w:rPr>
                <w:b/>
                <w:sz w:val="18"/>
              </w:rPr>
            </w:pPr>
          </w:p>
          <w:p>
            <w:pPr>
              <w:pStyle w:val="TableParagraph"/>
              <w:ind w:right="96"/>
              <w:jc w:val="right"/>
              <w:rPr>
                <w:sz w:val="16"/>
              </w:rPr>
            </w:pPr>
            <w:r>
              <w:rPr>
                <w:spacing w:val="-2"/>
                <w:sz w:val="16"/>
              </w:rPr>
              <w:t>45,000</w:t>
            </w:r>
          </w:p>
        </w:tc>
        <w:tc>
          <w:tcPr>
            <w:tcW w:w="1098" w:type="dxa"/>
          </w:tcPr>
          <w:p>
            <w:pPr>
              <w:pStyle w:val="TableParagraph"/>
              <w:spacing w:before="2"/>
              <w:rPr>
                <w:b/>
                <w:sz w:val="18"/>
              </w:rPr>
            </w:pPr>
          </w:p>
          <w:p>
            <w:pPr>
              <w:pStyle w:val="TableParagraph"/>
              <w:ind w:right="96"/>
              <w:jc w:val="right"/>
              <w:rPr>
                <w:sz w:val="16"/>
              </w:rPr>
            </w:pPr>
            <w:r>
              <w:rPr>
                <w:spacing w:val="-2"/>
                <w:sz w:val="16"/>
              </w:rPr>
              <w:t>75,000</w:t>
            </w:r>
          </w:p>
        </w:tc>
        <w:tc>
          <w:tcPr>
            <w:tcW w:w="1098" w:type="dxa"/>
          </w:tcPr>
          <w:p>
            <w:pPr>
              <w:pStyle w:val="TableParagraph"/>
              <w:spacing w:before="2"/>
              <w:rPr>
                <w:b/>
                <w:sz w:val="18"/>
              </w:rPr>
            </w:pPr>
          </w:p>
          <w:p>
            <w:pPr>
              <w:pStyle w:val="TableParagraph"/>
              <w:ind w:right="96"/>
              <w:jc w:val="right"/>
              <w:rPr>
                <w:sz w:val="16"/>
              </w:rPr>
            </w:pPr>
            <w:r>
              <w:rPr>
                <w:spacing w:val="-2"/>
                <w:sz w:val="16"/>
              </w:rPr>
              <w:t>1,100,000</w:t>
            </w:r>
          </w:p>
        </w:tc>
        <w:tc>
          <w:tcPr>
            <w:tcW w:w="1098" w:type="dxa"/>
          </w:tcPr>
          <w:p>
            <w:pPr>
              <w:pStyle w:val="TableParagraph"/>
              <w:spacing w:before="2"/>
              <w:rPr>
                <w:b/>
                <w:sz w:val="18"/>
              </w:rPr>
            </w:pPr>
          </w:p>
          <w:p>
            <w:pPr>
              <w:pStyle w:val="TableParagraph"/>
              <w:ind w:right="96"/>
              <w:jc w:val="right"/>
              <w:rPr>
                <w:sz w:val="16"/>
              </w:rPr>
            </w:pPr>
            <w:r>
              <w:rPr>
                <w:spacing w:val="-2"/>
                <w:sz w:val="16"/>
              </w:rPr>
              <w:t>7,000,000</w:t>
            </w:r>
          </w:p>
        </w:tc>
        <w:tc>
          <w:tcPr>
            <w:tcW w:w="1188" w:type="dxa"/>
          </w:tcPr>
          <w:p>
            <w:pPr>
              <w:pStyle w:val="TableParagraph"/>
              <w:spacing w:before="2"/>
              <w:rPr>
                <w:b/>
                <w:sz w:val="18"/>
              </w:rPr>
            </w:pPr>
          </w:p>
          <w:p>
            <w:pPr>
              <w:pStyle w:val="TableParagraph"/>
              <w:ind w:right="96"/>
              <w:jc w:val="right"/>
              <w:rPr>
                <w:sz w:val="16"/>
              </w:rPr>
            </w:pPr>
            <w:r>
              <w:rPr>
                <w:spacing w:val="-2"/>
                <w:sz w:val="16"/>
              </w:rPr>
              <w:t>10,000,000</w:t>
            </w:r>
          </w:p>
        </w:tc>
        <w:tc>
          <w:tcPr>
            <w:tcW w:w="1098" w:type="dxa"/>
          </w:tcPr>
          <w:p>
            <w:pPr>
              <w:pStyle w:val="TableParagraph"/>
              <w:spacing w:before="2"/>
              <w:rPr>
                <w:b/>
                <w:sz w:val="18"/>
              </w:rPr>
            </w:pPr>
          </w:p>
          <w:p>
            <w:pPr>
              <w:pStyle w:val="TableParagraph"/>
              <w:ind w:right="97"/>
              <w:jc w:val="right"/>
              <w:rPr>
                <w:sz w:val="16"/>
              </w:rPr>
            </w:pPr>
            <w:r>
              <w:rPr>
                <w:spacing w:val="-2"/>
                <w:sz w:val="16"/>
              </w:rPr>
              <w:t>110,000</w:t>
            </w:r>
          </w:p>
        </w:tc>
        <w:tc>
          <w:tcPr>
            <w:tcW w:w="1098" w:type="dxa"/>
          </w:tcPr>
          <w:p>
            <w:pPr>
              <w:pStyle w:val="TableParagraph"/>
              <w:spacing w:before="2"/>
              <w:rPr>
                <w:b/>
                <w:sz w:val="18"/>
              </w:rPr>
            </w:pPr>
          </w:p>
          <w:p>
            <w:pPr>
              <w:pStyle w:val="TableParagraph"/>
              <w:ind w:right="97"/>
              <w:jc w:val="right"/>
              <w:rPr>
                <w:sz w:val="16"/>
              </w:rPr>
            </w:pPr>
            <w:r>
              <w:rPr>
                <w:spacing w:val="-2"/>
                <w:sz w:val="16"/>
              </w:rPr>
              <w:t>660,000</w:t>
            </w:r>
          </w:p>
        </w:tc>
        <w:tc>
          <w:tcPr>
            <w:tcW w:w="1098" w:type="dxa"/>
          </w:tcPr>
          <w:p>
            <w:pPr>
              <w:pStyle w:val="TableParagraph"/>
              <w:spacing w:before="2"/>
              <w:rPr>
                <w:b/>
                <w:sz w:val="18"/>
              </w:rPr>
            </w:pPr>
          </w:p>
          <w:p>
            <w:pPr>
              <w:pStyle w:val="TableParagraph"/>
              <w:ind w:right="97"/>
              <w:jc w:val="right"/>
              <w:rPr>
                <w:sz w:val="16"/>
              </w:rPr>
            </w:pPr>
            <w:r>
              <w:rPr>
                <w:spacing w:val="-2"/>
                <w:sz w:val="16"/>
              </w:rPr>
              <w:t>7,500,000</w:t>
            </w:r>
          </w:p>
        </w:tc>
        <w:tc>
          <w:tcPr>
            <w:tcW w:w="1206" w:type="dxa"/>
          </w:tcPr>
          <w:p>
            <w:pPr>
              <w:pStyle w:val="TableParagraph"/>
              <w:spacing w:before="2"/>
              <w:rPr>
                <w:b/>
                <w:sz w:val="18"/>
              </w:rPr>
            </w:pPr>
          </w:p>
          <w:p>
            <w:pPr>
              <w:pStyle w:val="TableParagraph"/>
              <w:ind w:right="97"/>
              <w:jc w:val="right"/>
              <w:rPr>
                <w:sz w:val="16"/>
              </w:rPr>
            </w:pPr>
            <w:r>
              <w:rPr>
                <w:spacing w:val="-2"/>
                <w:sz w:val="16"/>
              </w:rPr>
              <w:t>20,000,000</w:t>
            </w:r>
          </w:p>
        </w:tc>
        <w:tc>
          <w:tcPr>
            <w:tcW w:w="1098" w:type="dxa"/>
          </w:tcPr>
          <w:p>
            <w:pPr>
              <w:pStyle w:val="TableParagraph"/>
              <w:spacing w:before="2"/>
              <w:rPr>
                <w:b/>
                <w:sz w:val="18"/>
              </w:rPr>
            </w:pPr>
          </w:p>
          <w:p>
            <w:pPr>
              <w:pStyle w:val="TableParagraph"/>
              <w:ind w:right="97"/>
              <w:jc w:val="right"/>
              <w:rPr>
                <w:sz w:val="16"/>
              </w:rPr>
            </w:pPr>
            <w:r>
              <w:rPr>
                <w:spacing w:val="-2"/>
                <w:sz w:val="16"/>
              </w:rPr>
              <w:t>35,000</w:t>
            </w:r>
          </w:p>
        </w:tc>
      </w:tr>
      <w:tr>
        <w:trPr>
          <w:trHeight w:val="424" w:hRule="atLeast"/>
        </w:trPr>
        <w:tc>
          <w:tcPr>
            <w:tcW w:w="2340" w:type="dxa"/>
          </w:tcPr>
          <w:p>
            <w:pPr>
              <w:pStyle w:val="TableParagraph"/>
              <w:spacing w:before="117"/>
              <w:ind w:left="107"/>
              <w:rPr>
                <w:b/>
                <w:i/>
                <w:sz w:val="16"/>
              </w:rPr>
            </w:pPr>
            <w:r>
              <w:rPr>
                <w:b/>
                <w:i/>
                <w:sz w:val="16"/>
              </w:rPr>
              <w:t>Regulatory</w:t>
            </w:r>
            <w:r>
              <w:rPr>
                <w:b/>
                <w:i/>
                <w:spacing w:val="-11"/>
                <w:sz w:val="16"/>
              </w:rPr>
              <w:t> </w:t>
            </w:r>
            <w:r>
              <w:rPr>
                <w:b/>
                <w:i/>
                <w:sz w:val="16"/>
              </w:rPr>
              <w:t>Cost</w:t>
            </w:r>
            <w:r>
              <w:rPr>
                <w:b/>
                <w:i/>
                <w:spacing w:val="-10"/>
                <w:sz w:val="16"/>
              </w:rPr>
              <w:t> </w:t>
            </w:r>
            <w:r>
              <w:rPr>
                <w:b/>
                <w:i/>
                <w:spacing w:val="-5"/>
                <w:sz w:val="16"/>
              </w:rPr>
              <w:t>($)</w:t>
            </w:r>
          </w:p>
        </w:tc>
        <w:tc>
          <w:tcPr>
            <w:tcW w:w="1098" w:type="dxa"/>
          </w:tcPr>
          <w:p>
            <w:pPr>
              <w:pStyle w:val="TableParagraph"/>
              <w:spacing w:before="117"/>
              <w:ind w:right="96"/>
              <w:jc w:val="right"/>
              <w:rPr>
                <w:sz w:val="16"/>
              </w:rPr>
            </w:pPr>
            <w:r>
              <w:rPr>
                <w:spacing w:val="-2"/>
                <w:sz w:val="16"/>
              </w:rPr>
              <w:t>14,800</w:t>
            </w:r>
          </w:p>
        </w:tc>
        <w:tc>
          <w:tcPr>
            <w:tcW w:w="1098" w:type="dxa"/>
          </w:tcPr>
          <w:p>
            <w:pPr>
              <w:pStyle w:val="TableParagraph"/>
              <w:spacing w:before="117"/>
              <w:ind w:right="96"/>
              <w:jc w:val="right"/>
              <w:rPr>
                <w:sz w:val="16"/>
              </w:rPr>
            </w:pPr>
            <w:r>
              <w:rPr>
                <w:spacing w:val="-2"/>
                <w:sz w:val="16"/>
              </w:rPr>
              <w:t>13,000</w:t>
            </w:r>
          </w:p>
        </w:tc>
        <w:tc>
          <w:tcPr>
            <w:tcW w:w="1098" w:type="dxa"/>
          </w:tcPr>
          <w:p>
            <w:pPr>
              <w:pStyle w:val="TableParagraph"/>
              <w:spacing w:before="117"/>
              <w:ind w:right="96"/>
              <w:jc w:val="right"/>
              <w:rPr>
                <w:sz w:val="16"/>
              </w:rPr>
            </w:pPr>
            <w:r>
              <w:rPr>
                <w:spacing w:val="-2"/>
                <w:sz w:val="16"/>
              </w:rPr>
              <w:t>16,500</w:t>
            </w:r>
          </w:p>
        </w:tc>
        <w:tc>
          <w:tcPr>
            <w:tcW w:w="1098" w:type="dxa"/>
          </w:tcPr>
          <w:p>
            <w:pPr>
              <w:pStyle w:val="TableParagraph"/>
              <w:spacing w:before="117"/>
              <w:ind w:right="96"/>
              <w:jc w:val="right"/>
              <w:rPr>
                <w:sz w:val="16"/>
              </w:rPr>
            </w:pPr>
            <w:r>
              <w:rPr>
                <w:spacing w:val="-2"/>
                <w:sz w:val="16"/>
              </w:rPr>
              <w:t>95,200</w:t>
            </w:r>
          </w:p>
        </w:tc>
        <w:tc>
          <w:tcPr>
            <w:tcW w:w="1188" w:type="dxa"/>
          </w:tcPr>
          <w:p>
            <w:pPr>
              <w:pStyle w:val="TableParagraph"/>
              <w:spacing w:before="117"/>
              <w:ind w:right="96"/>
              <w:jc w:val="right"/>
              <w:rPr>
                <w:sz w:val="16"/>
              </w:rPr>
            </w:pPr>
            <w:r>
              <w:rPr>
                <w:spacing w:val="-2"/>
                <w:sz w:val="16"/>
              </w:rPr>
              <w:t>127,200</w:t>
            </w:r>
          </w:p>
        </w:tc>
        <w:tc>
          <w:tcPr>
            <w:tcW w:w="1098" w:type="dxa"/>
          </w:tcPr>
          <w:p>
            <w:pPr>
              <w:pStyle w:val="TableParagraph"/>
              <w:spacing w:before="117"/>
              <w:ind w:right="97"/>
              <w:jc w:val="right"/>
              <w:rPr>
                <w:sz w:val="16"/>
              </w:rPr>
            </w:pPr>
            <w:r>
              <w:rPr>
                <w:spacing w:val="-2"/>
                <w:sz w:val="16"/>
              </w:rPr>
              <w:t>6,250</w:t>
            </w:r>
          </w:p>
        </w:tc>
        <w:tc>
          <w:tcPr>
            <w:tcW w:w="1098" w:type="dxa"/>
          </w:tcPr>
          <w:p>
            <w:pPr>
              <w:pStyle w:val="TableParagraph"/>
              <w:spacing w:before="117"/>
              <w:ind w:right="97"/>
              <w:jc w:val="right"/>
              <w:rPr>
                <w:sz w:val="16"/>
              </w:rPr>
            </w:pPr>
            <w:r>
              <w:rPr>
                <w:spacing w:val="-2"/>
                <w:sz w:val="16"/>
              </w:rPr>
              <w:t>112,500</w:t>
            </w:r>
          </w:p>
        </w:tc>
        <w:tc>
          <w:tcPr>
            <w:tcW w:w="1098" w:type="dxa"/>
          </w:tcPr>
          <w:p>
            <w:pPr>
              <w:pStyle w:val="TableParagraph"/>
              <w:spacing w:before="117"/>
              <w:ind w:right="97"/>
              <w:jc w:val="right"/>
              <w:rPr>
                <w:sz w:val="16"/>
              </w:rPr>
            </w:pPr>
            <w:r>
              <w:rPr>
                <w:spacing w:val="-2"/>
                <w:sz w:val="16"/>
              </w:rPr>
              <w:t>233,300</w:t>
            </w:r>
          </w:p>
        </w:tc>
        <w:tc>
          <w:tcPr>
            <w:tcW w:w="1206" w:type="dxa"/>
          </w:tcPr>
          <w:p>
            <w:pPr>
              <w:pStyle w:val="TableParagraph"/>
              <w:spacing w:before="117"/>
              <w:ind w:right="97"/>
              <w:jc w:val="right"/>
              <w:rPr>
                <w:sz w:val="16"/>
              </w:rPr>
            </w:pPr>
            <w:r>
              <w:rPr>
                <w:spacing w:val="-2"/>
                <w:sz w:val="16"/>
              </w:rPr>
              <w:t>592,300</w:t>
            </w:r>
          </w:p>
        </w:tc>
        <w:tc>
          <w:tcPr>
            <w:tcW w:w="1098" w:type="dxa"/>
          </w:tcPr>
          <w:p>
            <w:pPr>
              <w:pStyle w:val="TableParagraph"/>
              <w:spacing w:before="117"/>
              <w:ind w:right="97"/>
              <w:jc w:val="right"/>
              <w:rPr>
                <w:sz w:val="16"/>
              </w:rPr>
            </w:pPr>
            <w:r>
              <w:rPr>
                <w:spacing w:val="-2"/>
                <w:sz w:val="16"/>
              </w:rPr>
              <w:t>2,500</w:t>
            </w:r>
          </w:p>
        </w:tc>
      </w:tr>
      <w:tr>
        <w:trPr>
          <w:trHeight w:val="424" w:hRule="atLeast"/>
        </w:trPr>
        <w:tc>
          <w:tcPr>
            <w:tcW w:w="2340" w:type="dxa"/>
          </w:tcPr>
          <w:p>
            <w:pPr>
              <w:pStyle w:val="TableParagraph"/>
              <w:spacing w:before="117"/>
              <w:ind w:left="107"/>
              <w:rPr>
                <w:b/>
                <w:i/>
                <w:sz w:val="16"/>
              </w:rPr>
            </w:pPr>
            <w:r>
              <w:rPr>
                <w:b/>
                <w:i/>
                <w:spacing w:val="-2"/>
                <w:sz w:val="16"/>
              </w:rPr>
              <w:t>Proportional</w:t>
            </w:r>
            <w:r>
              <w:rPr>
                <w:b/>
                <w:i/>
                <w:spacing w:val="3"/>
                <w:sz w:val="16"/>
              </w:rPr>
              <w:t> </w:t>
            </w:r>
            <w:r>
              <w:rPr>
                <w:b/>
                <w:i/>
                <w:spacing w:val="-2"/>
                <w:sz w:val="16"/>
              </w:rPr>
              <w:t>Increase</w:t>
            </w:r>
            <w:r>
              <w:rPr>
                <w:b/>
                <w:i/>
                <w:spacing w:val="5"/>
                <w:sz w:val="16"/>
              </w:rPr>
              <w:t> </w:t>
            </w:r>
            <w:r>
              <w:rPr>
                <w:b/>
                <w:i/>
                <w:spacing w:val="-5"/>
                <w:sz w:val="16"/>
              </w:rPr>
              <w:t>(%)</w:t>
            </w:r>
          </w:p>
        </w:tc>
        <w:tc>
          <w:tcPr>
            <w:tcW w:w="1098" w:type="dxa"/>
          </w:tcPr>
          <w:p>
            <w:pPr>
              <w:pStyle w:val="TableParagraph"/>
              <w:spacing w:before="117"/>
              <w:ind w:right="96"/>
              <w:jc w:val="right"/>
              <w:rPr>
                <w:sz w:val="16"/>
              </w:rPr>
            </w:pPr>
            <w:r>
              <w:rPr>
                <w:spacing w:val="-4"/>
                <w:sz w:val="16"/>
              </w:rPr>
              <w:t>32.9</w:t>
            </w:r>
          </w:p>
        </w:tc>
        <w:tc>
          <w:tcPr>
            <w:tcW w:w="1098" w:type="dxa"/>
          </w:tcPr>
          <w:p>
            <w:pPr>
              <w:pStyle w:val="TableParagraph"/>
              <w:spacing w:before="117"/>
              <w:ind w:right="96"/>
              <w:jc w:val="right"/>
              <w:rPr>
                <w:sz w:val="16"/>
              </w:rPr>
            </w:pPr>
            <w:r>
              <w:rPr>
                <w:spacing w:val="-4"/>
                <w:sz w:val="16"/>
              </w:rPr>
              <w:t>17.3</w:t>
            </w:r>
          </w:p>
        </w:tc>
        <w:tc>
          <w:tcPr>
            <w:tcW w:w="1098" w:type="dxa"/>
          </w:tcPr>
          <w:p>
            <w:pPr>
              <w:pStyle w:val="TableParagraph"/>
              <w:spacing w:before="117"/>
              <w:ind w:right="96"/>
              <w:jc w:val="right"/>
              <w:rPr>
                <w:sz w:val="16"/>
              </w:rPr>
            </w:pPr>
            <w:r>
              <w:rPr>
                <w:spacing w:val="-5"/>
                <w:sz w:val="16"/>
              </w:rPr>
              <w:t>1.5</w:t>
            </w:r>
          </w:p>
        </w:tc>
        <w:tc>
          <w:tcPr>
            <w:tcW w:w="1098" w:type="dxa"/>
          </w:tcPr>
          <w:p>
            <w:pPr>
              <w:pStyle w:val="TableParagraph"/>
              <w:spacing w:before="117"/>
              <w:ind w:right="96"/>
              <w:jc w:val="right"/>
              <w:rPr>
                <w:sz w:val="16"/>
              </w:rPr>
            </w:pPr>
            <w:r>
              <w:rPr>
                <w:spacing w:val="-5"/>
                <w:sz w:val="16"/>
              </w:rPr>
              <w:t>1.4</w:t>
            </w:r>
          </w:p>
        </w:tc>
        <w:tc>
          <w:tcPr>
            <w:tcW w:w="1188" w:type="dxa"/>
          </w:tcPr>
          <w:p>
            <w:pPr>
              <w:pStyle w:val="TableParagraph"/>
              <w:spacing w:before="117"/>
              <w:ind w:right="96"/>
              <w:jc w:val="right"/>
              <w:rPr>
                <w:sz w:val="16"/>
              </w:rPr>
            </w:pPr>
            <w:r>
              <w:rPr>
                <w:spacing w:val="-5"/>
                <w:sz w:val="16"/>
              </w:rPr>
              <w:t>1.3</w:t>
            </w:r>
          </w:p>
        </w:tc>
        <w:tc>
          <w:tcPr>
            <w:tcW w:w="1098" w:type="dxa"/>
          </w:tcPr>
          <w:p>
            <w:pPr>
              <w:pStyle w:val="TableParagraph"/>
              <w:spacing w:before="117"/>
              <w:ind w:right="96"/>
              <w:jc w:val="right"/>
              <w:rPr>
                <w:sz w:val="16"/>
              </w:rPr>
            </w:pPr>
            <w:r>
              <w:rPr>
                <w:spacing w:val="-5"/>
                <w:sz w:val="16"/>
              </w:rPr>
              <w:t>5.7</w:t>
            </w:r>
          </w:p>
        </w:tc>
        <w:tc>
          <w:tcPr>
            <w:tcW w:w="1098" w:type="dxa"/>
          </w:tcPr>
          <w:p>
            <w:pPr>
              <w:pStyle w:val="TableParagraph"/>
              <w:spacing w:before="117"/>
              <w:ind w:right="96"/>
              <w:jc w:val="right"/>
              <w:rPr>
                <w:sz w:val="16"/>
              </w:rPr>
            </w:pPr>
            <w:r>
              <w:rPr>
                <w:spacing w:val="-4"/>
                <w:sz w:val="16"/>
              </w:rPr>
              <w:t>17.0</w:t>
            </w:r>
          </w:p>
        </w:tc>
        <w:tc>
          <w:tcPr>
            <w:tcW w:w="1098" w:type="dxa"/>
          </w:tcPr>
          <w:p>
            <w:pPr>
              <w:pStyle w:val="TableParagraph"/>
              <w:spacing w:before="117"/>
              <w:ind w:right="96"/>
              <w:jc w:val="right"/>
              <w:rPr>
                <w:sz w:val="16"/>
              </w:rPr>
            </w:pPr>
            <w:r>
              <w:rPr>
                <w:spacing w:val="-5"/>
                <w:sz w:val="16"/>
              </w:rPr>
              <w:t>3.1</w:t>
            </w:r>
          </w:p>
        </w:tc>
        <w:tc>
          <w:tcPr>
            <w:tcW w:w="1206" w:type="dxa"/>
          </w:tcPr>
          <w:p>
            <w:pPr>
              <w:pStyle w:val="TableParagraph"/>
              <w:spacing w:before="117"/>
              <w:ind w:right="96"/>
              <w:jc w:val="right"/>
              <w:rPr>
                <w:sz w:val="16"/>
              </w:rPr>
            </w:pPr>
            <w:r>
              <w:rPr>
                <w:spacing w:val="-5"/>
                <w:sz w:val="16"/>
              </w:rPr>
              <w:t>3.0</w:t>
            </w:r>
          </w:p>
        </w:tc>
        <w:tc>
          <w:tcPr>
            <w:tcW w:w="1098" w:type="dxa"/>
          </w:tcPr>
          <w:p>
            <w:pPr>
              <w:pStyle w:val="TableParagraph"/>
              <w:spacing w:before="117"/>
              <w:ind w:right="96"/>
              <w:jc w:val="right"/>
              <w:rPr>
                <w:sz w:val="16"/>
              </w:rPr>
            </w:pPr>
            <w:r>
              <w:rPr>
                <w:spacing w:val="-5"/>
                <w:sz w:val="16"/>
              </w:rPr>
              <w:t>7.1</w:t>
            </w:r>
          </w:p>
        </w:tc>
      </w:tr>
    </w:tbl>
    <w:p>
      <w:pPr>
        <w:pStyle w:val="BodyText"/>
        <w:rPr>
          <w:b/>
          <w:sz w:val="20"/>
        </w:rPr>
      </w:pPr>
    </w:p>
    <w:p>
      <w:pPr>
        <w:pStyle w:val="BodyText"/>
        <w:spacing w:before="11"/>
        <w:rPr>
          <w:b/>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1372"/>
        <w:gridCol w:w="1374"/>
        <w:gridCol w:w="1372"/>
        <w:gridCol w:w="1373"/>
        <w:gridCol w:w="1372"/>
        <w:gridCol w:w="1374"/>
        <w:gridCol w:w="1372"/>
        <w:gridCol w:w="1373"/>
      </w:tblGrid>
      <w:tr>
        <w:trPr>
          <w:trHeight w:val="1209" w:hRule="atLeast"/>
        </w:trPr>
        <w:tc>
          <w:tcPr>
            <w:tcW w:w="2340" w:type="dxa"/>
            <w:tcBorders>
              <w:top w:val="nil"/>
              <w:left w:val="nil"/>
            </w:tcBorders>
          </w:tcPr>
          <w:p>
            <w:pPr>
              <w:pStyle w:val="TableParagraph"/>
              <w:rPr>
                <w:rFonts w:ascii="Times New Roman"/>
                <w:sz w:val="16"/>
              </w:rPr>
            </w:pPr>
          </w:p>
        </w:tc>
        <w:tc>
          <w:tcPr>
            <w:tcW w:w="1372" w:type="dxa"/>
          </w:tcPr>
          <w:p>
            <w:pPr>
              <w:pStyle w:val="TableParagraph"/>
              <w:spacing w:before="117"/>
              <w:ind w:left="107" w:right="100" w:hanging="1"/>
              <w:rPr>
                <w:sz w:val="16"/>
              </w:rPr>
            </w:pPr>
            <w:r>
              <w:rPr>
                <w:sz w:val="16"/>
              </w:rPr>
              <w:t>Large</w:t>
            </w:r>
            <w:r>
              <w:rPr>
                <w:spacing w:val="-12"/>
                <w:sz w:val="16"/>
              </w:rPr>
              <w:t> </w:t>
            </w:r>
            <w:r>
              <w:rPr>
                <w:sz w:val="16"/>
              </w:rPr>
              <w:t>horizontal spread – shopping</w:t>
            </w:r>
            <w:r>
              <w:rPr>
                <w:spacing w:val="-12"/>
                <w:sz w:val="16"/>
              </w:rPr>
              <w:t> </w:t>
            </w:r>
            <w:r>
              <w:rPr>
                <w:sz w:val="16"/>
              </w:rPr>
              <w:t>centre</w:t>
            </w:r>
          </w:p>
        </w:tc>
        <w:tc>
          <w:tcPr>
            <w:tcW w:w="1374" w:type="dxa"/>
          </w:tcPr>
          <w:p>
            <w:pPr>
              <w:pStyle w:val="TableParagraph"/>
              <w:spacing w:before="117"/>
              <w:ind w:left="107" w:right="191"/>
              <w:rPr>
                <w:sz w:val="16"/>
              </w:rPr>
            </w:pPr>
            <w:r>
              <w:rPr>
                <w:sz w:val="16"/>
              </w:rPr>
              <w:t>2 storey – </w:t>
            </w:r>
            <w:r>
              <w:rPr>
                <w:spacing w:val="-2"/>
                <w:sz w:val="16"/>
              </w:rPr>
              <w:t>restaurant(s) (with exemption)</w:t>
            </w:r>
          </w:p>
        </w:tc>
        <w:tc>
          <w:tcPr>
            <w:tcW w:w="1372" w:type="dxa"/>
          </w:tcPr>
          <w:p>
            <w:pPr>
              <w:pStyle w:val="TableParagraph"/>
              <w:spacing w:before="117"/>
              <w:ind w:left="107" w:right="100"/>
              <w:rPr>
                <w:sz w:val="16"/>
              </w:rPr>
            </w:pPr>
            <w:r>
              <w:rPr>
                <w:sz w:val="16"/>
              </w:rPr>
              <w:t>2 storey – </w:t>
            </w:r>
            <w:r>
              <w:rPr>
                <w:spacing w:val="-2"/>
                <w:sz w:val="16"/>
              </w:rPr>
              <w:t>restaurant(s) (without exemption)</w:t>
            </w:r>
          </w:p>
        </w:tc>
        <w:tc>
          <w:tcPr>
            <w:tcW w:w="1373" w:type="dxa"/>
          </w:tcPr>
          <w:p>
            <w:pPr>
              <w:pStyle w:val="TableParagraph"/>
              <w:spacing w:before="117"/>
              <w:ind w:left="107" w:right="182"/>
              <w:rPr>
                <w:sz w:val="16"/>
              </w:rPr>
            </w:pPr>
            <w:r>
              <w:rPr>
                <w:sz w:val="16"/>
              </w:rPr>
              <w:t>500</w:t>
            </w:r>
            <w:r>
              <w:rPr>
                <w:spacing w:val="-12"/>
                <w:sz w:val="16"/>
              </w:rPr>
              <w:t> </w:t>
            </w:r>
            <w:r>
              <w:rPr>
                <w:sz w:val="16"/>
              </w:rPr>
              <w:t>seat</w:t>
            </w:r>
            <w:r>
              <w:rPr>
                <w:spacing w:val="-11"/>
                <w:sz w:val="16"/>
              </w:rPr>
              <w:t> </w:t>
            </w:r>
            <w:r>
              <w:rPr>
                <w:sz w:val="16"/>
              </w:rPr>
              <w:t>–</w:t>
            </w:r>
            <w:r>
              <w:rPr>
                <w:sz w:val="16"/>
              </w:rPr>
              <w:t> </w:t>
            </w:r>
            <w:r>
              <w:rPr>
                <w:spacing w:val="-2"/>
                <w:sz w:val="16"/>
              </w:rPr>
              <w:t>theatre</w:t>
            </w:r>
          </w:p>
        </w:tc>
        <w:tc>
          <w:tcPr>
            <w:tcW w:w="1372" w:type="dxa"/>
          </w:tcPr>
          <w:p>
            <w:pPr>
              <w:pStyle w:val="TableParagraph"/>
              <w:spacing w:before="117"/>
              <w:ind w:left="106" w:right="100"/>
              <w:rPr>
                <w:sz w:val="16"/>
              </w:rPr>
            </w:pPr>
            <w:r>
              <w:rPr>
                <w:sz w:val="16"/>
              </w:rPr>
              <w:t>1200</w:t>
            </w:r>
            <w:r>
              <w:rPr>
                <w:spacing w:val="-12"/>
                <w:sz w:val="16"/>
              </w:rPr>
              <w:t> </w:t>
            </w:r>
            <w:r>
              <w:rPr>
                <w:sz w:val="16"/>
              </w:rPr>
              <w:t>seat</w:t>
            </w:r>
            <w:r>
              <w:rPr>
                <w:spacing w:val="-11"/>
                <w:sz w:val="16"/>
              </w:rPr>
              <w:t> </w:t>
            </w:r>
            <w:r>
              <w:rPr>
                <w:sz w:val="16"/>
              </w:rPr>
              <w:t>– </w:t>
            </w:r>
            <w:r>
              <w:rPr>
                <w:spacing w:val="-2"/>
                <w:sz w:val="16"/>
              </w:rPr>
              <w:t>theatre</w:t>
            </w:r>
          </w:p>
        </w:tc>
        <w:tc>
          <w:tcPr>
            <w:tcW w:w="1374" w:type="dxa"/>
          </w:tcPr>
          <w:p>
            <w:pPr>
              <w:pStyle w:val="TableParagraph"/>
              <w:spacing w:before="117"/>
              <w:ind w:left="106" w:right="191"/>
              <w:rPr>
                <w:sz w:val="16"/>
              </w:rPr>
            </w:pPr>
            <w:r>
              <w:rPr>
                <w:sz w:val="16"/>
              </w:rPr>
              <w:t>2 storey – school</w:t>
            </w:r>
            <w:r>
              <w:rPr>
                <w:spacing w:val="-12"/>
                <w:sz w:val="16"/>
              </w:rPr>
              <w:t> </w:t>
            </w:r>
            <w:r>
              <w:rPr>
                <w:sz w:val="16"/>
              </w:rPr>
              <w:t>building</w:t>
            </w:r>
          </w:p>
        </w:tc>
        <w:tc>
          <w:tcPr>
            <w:tcW w:w="1372" w:type="dxa"/>
          </w:tcPr>
          <w:p>
            <w:pPr>
              <w:pStyle w:val="TableParagraph"/>
              <w:spacing w:before="117"/>
              <w:ind w:left="106" w:right="100"/>
              <w:rPr>
                <w:sz w:val="16"/>
              </w:rPr>
            </w:pPr>
            <w:r>
              <w:rPr>
                <w:sz w:val="16"/>
              </w:rPr>
              <w:t>Single</w:t>
            </w:r>
            <w:r>
              <w:rPr>
                <w:spacing w:val="-12"/>
                <w:sz w:val="16"/>
              </w:rPr>
              <w:t> </w:t>
            </w:r>
            <w:r>
              <w:rPr>
                <w:sz w:val="16"/>
              </w:rPr>
              <w:t>storey</w:t>
            </w:r>
            <w:r>
              <w:rPr>
                <w:spacing w:val="-11"/>
                <w:sz w:val="16"/>
              </w:rPr>
              <w:t> </w:t>
            </w:r>
            <w:r>
              <w:rPr>
                <w:sz w:val="16"/>
              </w:rPr>
              <w:t>– community</w:t>
            </w:r>
            <w:r>
              <w:rPr>
                <w:spacing w:val="-9"/>
                <w:sz w:val="16"/>
              </w:rPr>
              <w:t> </w:t>
            </w:r>
            <w:r>
              <w:rPr>
                <w:spacing w:val="-4"/>
                <w:sz w:val="16"/>
              </w:rPr>
              <w:t>hall</w:t>
            </w:r>
          </w:p>
        </w:tc>
        <w:tc>
          <w:tcPr>
            <w:tcW w:w="1373" w:type="dxa"/>
          </w:tcPr>
          <w:p>
            <w:pPr>
              <w:pStyle w:val="TableParagraph"/>
              <w:spacing w:before="117"/>
              <w:ind w:left="106" w:right="182"/>
              <w:rPr>
                <w:sz w:val="16"/>
              </w:rPr>
            </w:pPr>
            <w:r>
              <w:rPr>
                <w:sz w:val="16"/>
              </w:rPr>
              <w:t>50m</w:t>
            </w:r>
            <w:r>
              <w:rPr>
                <w:spacing w:val="-12"/>
                <w:sz w:val="16"/>
              </w:rPr>
              <w:t> </w:t>
            </w:r>
            <w:r>
              <w:rPr>
                <w:sz w:val="16"/>
              </w:rPr>
              <w:t>swimming pool - 6 lane</w:t>
            </w:r>
          </w:p>
        </w:tc>
      </w:tr>
      <w:tr>
        <w:trPr>
          <w:trHeight w:val="424" w:hRule="atLeast"/>
        </w:trPr>
        <w:tc>
          <w:tcPr>
            <w:tcW w:w="2340" w:type="dxa"/>
          </w:tcPr>
          <w:p>
            <w:pPr>
              <w:pStyle w:val="TableParagraph"/>
              <w:spacing w:before="117"/>
              <w:ind w:left="107"/>
              <w:rPr>
                <w:b/>
                <w:i/>
                <w:sz w:val="16"/>
              </w:rPr>
            </w:pPr>
            <w:r>
              <w:rPr>
                <w:b/>
                <w:i/>
                <w:spacing w:val="-2"/>
                <w:sz w:val="16"/>
              </w:rPr>
              <w:t>Class:</w:t>
            </w:r>
          </w:p>
        </w:tc>
        <w:tc>
          <w:tcPr>
            <w:tcW w:w="1372" w:type="dxa"/>
          </w:tcPr>
          <w:p>
            <w:pPr>
              <w:pStyle w:val="TableParagraph"/>
              <w:spacing w:before="117"/>
              <w:ind w:left="7"/>
              <w:jc w:val="center"/>
              <w:rPr>
                <w:sz w:val="16"/>
              </w:rPr>
            </w:pPr>
            <w:r>
              <w:rPr>
                <w:w w:val="99"/>
                <w:sz w:val="16"/>
              </w:rPr>
              <w:t>6</w:t>
            </w:r>
          </w:p>
        </w:tc>
        <w:tc>
          <w:tcPr>
            <w:tcW w:w="1374" w:type="dxa"/>
          </w:tcPr>
          <w:p>
            <w:pPr>
              <w:pStyle w:val="TableParagraph"/>
              <w:spacing w:before="117"/>
              <w:ind w:left="7"/>
              <w:jc w:val="center"/>
              <w:rPr>
                <w:sz w:val="16"/>
              </w:rPr>
            </w:pPr>
            <w:r>
              <w:rPr>
                <w:w w:val="99"/>
                <w:sz w:val="16"/>
              </w:rPr>
              <w:t>6</w:t>
            </w:r>
          </w:p>
        </w:tc>
        <w:tc>
          <w:tcPr>
            <w:tcW w:w="1372" w:type="dxa"/>
          </w:tcPr>
          <w:p>
            <w:pPr>
              <w:pStyle w:val="TableParagraph"/>
              <w:spacing w:before="117"/>
              <w:ind w:left="7"/>
              <w:jc w:val="center"/>
              <w:rPr>
                <w:sz w:val="16"/>
              </w:rPr>
            </w:pPr>
            <w:r>
              <w:rPr>
                <w:w w:val="99"/>
                <w:sz w:val="16"/>
              </w:rPr>
              <w:t>6</w:t>
            </w:r>
          </w:p>
        </w:tc>
        <w:tc>
          <w:tcPr>
            <w:tcW w:w="1373" w:type="dxa"/>
          </w:tcPr>
          <w:p>
            <w:pPr>
              <w:pStyle w:val="TableParagraph"/>
              <w:spacing w:before="117"/>
              <w:ind w:left="538" w:right="531"/>
              <w:jc w:val="center"/>
              <w:rPr>
                <w:sz w:val="16"/>
              </w:rPr>
            </w:pPr>
            <w:r>
              <w:rPr>
                <w:spacing w:val="-5"/>
                <w:sz w:val="16"/>
              </w:rPr>
              <w:t>9b</w:t>
            </w:r>
          </w:p>
        </w:tc>
        <w:tc>
          <w:tcPr>
            <w:tcW w:w="1372" w:type="dxa"/>
          </w:tcPr>
          <w:p>
            <w:pPr>
              <w:pStyle w:val="TableParagraph"/>
              <w:spacing w:before="117"/>
              <w:ind w:left="579" w:right="574"/>
              <w:jc w:val="center"/>
              <w:rPr>
                <w:sz w:val="16"/>
              </w:rPr>
            </w:pPr>
            <w:r>
              <w:rPr>
                <w:spacing w:val="-5"/>
                <w:sz w:val="16"/>
              </w:rPr>
              <w:t>9b</w:t>
            </w:r>
          </w:p>
        </w:tc>
        <w:tc>
          <w:tcPr>
            <w:tcW w:w="1374" w:type="dxa"/>
          </w:tcPr>
          <w:p>
            <w:pPr>
              <w:pStyle w:val="TableParagraph"/>
              <w:spacing w:before="117"/>
              <w:ind w:left="580" w:right="575"/>
              <w:jc w:val="center"/>
              <w:rPr>
                <w:sz w:val="16"/>
              </w:rPr>
            </w:pPr>
            <w:r>
              <w:rPr>
                <w:spacing w:val="-5"/>
                <w:sz w:val="16"/>
              </w:rPr>
              <w:t>9b</w:t>
            </w:r>
          </w:p>
        </w:tc>
        <w:tc>
          <w:tcPr>
            <w:tcW w:w="1372" w:type="dxa"/>
          </w:tcPr>
          <w:p>
            <w:pPr>
              <w:pStyle w:val="TableParagraph"/>
              <w:spacing w:before="117"/>
              <w:ind w:left="579" w:right="574"/>
              <w:jc w:val="center"/>
              <w:rPr>
                <w:sz w:val="16"/>
              </w:rPr>
            </w:pPr>
            <w:r>
              <w:rPr>
                <w:spacing w:val="-5"/>
                <w:sz w:val="16"/>
              </w:rPr>
              <w:t>9b</w:t>
            </w:r>
          </w:p>
        </w:tc>
        <w:tc>
          <w:tcPr>
            <w:tcW w:w="1373" w:type="dxa"/>
          </w:tcPr>
          <w:p>
            <w:pPr>
              <w:pStyle w:val="TableParagraph"/>
              <w:spacing w:before="117"/>
              <w:ind w:left="538" w:right="533"/>
              <w:jc w:val="center"/>
              <w:rPr>
                <w:sz w:val="16"/>
              </w:rPr>
            </w:pPr>
            <w:r>
              <w:rPr>
                <w:spacing w:val="-5"/>
                <w:sz w:val="16"/>
              </w:rPr>
              <w:t>10b</w:t>
            </w:r>
          </w:p>
        </w:tc>
      </w:tr>
      <w:tr>
        <w:trPr>
          <w:trHeight w:val="424" w:hRule="atLeast"/>
        </w:trPr>
        <w:tc>
          <w:tcPr>
            <w:tcW w:w="2340" w:type="dxa"/>
          </w:tcPr>
          <w:p>
            <w:pPr>
              <w:pStyle w:val="TableParagraph"/>
              <w:spacing w:before="117"/>
              <w:ind w:left="107"/>
              <w:rPr>
                <w:b/>
                <w:i/>
                <w:sz w:val="16"/>
              </w:rPr>
            </w:pPr>
            <w:r>
              <w:rPr>
                <w:b/>
                <w:i/>
                <w:sz w:val="16"/>
              </w:rPr>
              <w:t>Generic</w:t>
            </w:r>
            <w:r>
              <w:rPr>
                <w:b/>
                <w:i/>
                <w:spacing w:val="-10"/>
                <w:sz w:val="16"/>
              </w:rPr>
              <w:t> </w:t>
            </w:r>
            <w:r>
              <w:rPr>
                <w:b/>
                <w:i/>
                <w:sz w:val="16"/>
              </w:rPr>
              <w:t>Building</w:t>
            </w:r>
            <w:r>
              <w:rPr>
                <w:b/>
                <w:i/>
                <w:spacing w:val="-9"/>
                <w:sz w:val="16"/>
              </w:rPr>
              <w:t> </w:t>
            </w:r>
            <w:r>
              <w:rPr>
                <w:b/>
                <w:i/>
                <w:sz w:val="16"/>
              </w:rPr>
              <w:t>Cost</w:t>
            </w:r>
            <w:r>
              <w:rPr>
                <w:b/>
                <w:i/>
                <w:spacing w:val="-9"/>
                <w:sz w:val="16"/>
              </w:rPr>
              <w:t> </w:t>
            </w:r>
            <w:r>
              <w:rPr>
                <w:b/>
                <w:i/>
                <w:spacing w:val="-5"/>
                <w:sz w:val="16"/>
              </w:rPr>
              <w:t>($)</w:t>
            </w:r>
          </w:p>
        </w:tc>
        <w:tc>
          <w:tcPr>
            <w:tcW w:w="1372" w:type="dxa"/>
          </w:tcPr>
          <w:p>
            <w:pPr>
              <w:pStyle w:val="TableParagraph"/>
              <w:spacing w:before="117"/>
              <w:ind w:right="96"/>
              <w:jc w:val="right"/>
              <w:rPr>
                <w:sz w:val="16"/>
              </w:rPr>
            </w:pPr>
            <w:r>
              <w:rPr>
                <w:spacing w:val="-2"/>
                <w:sz w:val="16"/>
              </w:rPr>
              <w:t>30,000,000</w:t>
            </w:r>
          </w:p>
        </w:tc>
        <w:tc>
          <w:tcPr>
            <w:tcW w:w="1374" w:type="dxa"/>
          </w:tcPr>
          <w:p>
            <w:pPr>
              <w:pStyle w:val="TableParagraph"/>
              <w:spacing w:before="117"/>
              <w:ind w:right="98"/>
              <w:jc w:val="right"/>
              <w:rPr>
                <w:sz w:val="16"/>
              </w:rPr>
            </w:pPr>
            <w:r>
              <w:rPr>
                <w:spacing w:val="-2"/>
                <w:sz w:val="16"/>
              </w:rPr>
              <w:t>165,000</w:t>
            </w:r>
          </w:p>
        </w:tc>
        <w:tc>
          <w:tcPr>
            <w:tcW w:w="1372" w:type="dxa"/>
          </w:tcPr>
          <w:p>
            <w:pPr>
              <w:pStyle w:val="TableParagraph"/>
              <w:spacing w:before="117"/>
              <w:ind w:right="97"/>
              <w:jc w:val="right"/>
              <w:rPr>
                <w:sz w:val="16"/>
              </w:rPr>
            </w:pPr>
            <w:r>
              <w:rPr>
                <w:spacing w:val="-2"/>
                <w:sz w:val="16"/>
              </w:rPr>
              <w:t>500,000</w:t>
            </w:r>
          </w:p>
        </w:tc>
        <w:tc>
          <w:tcPr>
            <w:tcW w:w="1373" w:type="dxa"/>
          </w:tcPr>
          <w:p>
            <w:pPr>
              <w:pStyle w:val="TableParagraph"/>
              <w:spacing w:before="117"/>
              <w:ind w:right="97"/>
              <w:jc w:val="right"/>
              <w:rPr>
                <w:sz w:val="16"/>
              </w:rPr>
            </w:pPr>
            <w:r>
              <w:rPr>
                <w:spacing w:val="-2"/>
                <w:sz w:val="16"/>
              </w:rPr>
              <w:t>2,200,000</w:t>
            </w:r>
          </w:p>
        </w:tc>
        <w:tc>
          <w:tcPr>
            <w:tcW w:w="1372" w:type="dxa"/>
          </w:tcPr>
          <w:p>
            <w:pPr>
              <w:pStyle w:val="TableParagraph"/>
              <w:spacing w:before="117"/>
              <w:ind w:right="98"/>
              <w:jc w:val="right"/>
              <w:rPr>
                <w:sz w:val="16"/>
              </w:rPr>
            </w:pPr>
            <w:r>
              <w:rPr>
                <w:spacing w:val="-2"/>
                <w:sz w:val="16"/>
              </w:rPr>
              <w:t>6,600,000</w:t>
            </w:r>
          </w:p>
        </w:tc>
        <w:tc>
          <w:tcPr>
            <w:tcW w:w="1374" w:type="dxa"/>
          </w:tcPr>
          <w:p>
            <w:pPr>
              <w:pStyle w:val="TableParagraph"/>
              <w:spacing w:before="117"/>
              <w:ind w:right="100"/>
              <w:jc w:val="right"/>
              <w:rPr>
                <w:sz w:val="16"/>
              </w:rPr>
            </w:pPr>
            <w:r>
              <w:rPr>
                <w:spacing w:val="-2"/>
                <w:sz w:val="16"/>
              </w:rPr>
              <w:t>1,100,000</w:t>
            </w:r>
          </w:p>
        </w:tc>
        <w:tc>
          <w:tcPr>
            <w:tcW w:w="1372" w:type="dxa"/>
          </w:tcPr>
          <w:p>
            <w:pPr>
              <w:pStyle w:val="TableParagraph"/>
              <w:spacing w:before="117"/>
              <w:ind w:right="99"/>
              <w:jc w:val="right"/>
              <w:rPr>
                <w:sz w:val="16"/>
              </w:rPr>
            </w:pPr>
            <w:r>
              <w:rPr>
                <w:spacing w:val="-2"/>
                <w:sz w:val="16"/>
              </w:rPr>
              <w:t>450,000</w:t>
            </w:r>
          </w:p>
        </w:tc>
        <w:tc>
          <w:tcPr>
            <w:tcW w:w="1373" w:type="dxa"/>
          </w:tcPr>
          <w:p>
            <w:pPr>
              <w:pStyle w:val="TableParagraph"/>
              <w:spacing w:before="117"/>
              <w:ind w:right="99"/>
              <w:jc w:val="right"/>
              <w:rPr>
                <w:sz w:val="16"/>
              </w:rPr>
            </w:pPr>
            <w:r>
              <w:rPr>
                <w:spacing w:val="-2"/>
                <w:sz w:val="16"/>
              </w:rPr>
              <w:t>220,000</w:t>
            </w:r>
          </w:p>
        </w:tc>
      </w:tr>
      <w:tr>
        <w:trPr>
          <w:trHeight w:val="539" w:hRule="atLeast"/>
        </w:trPr>
        <w:tc>
          <w:tcPr>
            <w:tcW w:w="2340" w:type="dxa"/>
          </w:tcPr>
          <w:p>
            <w:pPr>
              <w:pStyle w:val="TableParagraph"/>
              <w:spacing w:before="117"/>
              <w:ind w:left="107"/>
              <w:rPr>
                <w:b/>
                <w:i/>
                <w:sz w:val="16"/>
              </w:rPr>
            </w:pPr>
            <w:r>
              <w:rPr>
                <w:b/>
                <w:i/>
                <w:sz w:val="16"/>
              </w:rPr>
              <w:t>Regulatory</w:t>
            </w:r>
            <w:r>
              <w:rPr>
                <w:b/>
                <w:i/>
                <w:spacing w:val="-9"/>
                <w:sz w:val="16"/>
              </w:rPr>
              <w:t> </w:t>
            </w:r>
            <w:r>
              <w:rPr>
                <w:b/>
                <w:i/>
                <w:sz w:val="16"/>
              </w:rPr>
              <w:t>cost</w:t>
            </w:r>
            <w:r>
              <w:rPr>
                <w:b/>
                <w:i/>
                <w:spacing w:val="-10"/>
                <w:sz w:val="16"/>
              </w:rPr>
              <w:t> </w:t>
            </w:r>
            <w:r>
              <w:rPr>
                <w:b/>
                <w:i/>
                <w:spacing w:val="-5"/>
                <w:sz w:val="16"/>
              </w:rPr>
              <w:t>($)</w:t>
            </w:r>
          </w:p>
        </w:tc>
        <w:tc>
          <w:tcPr>
            <w:tcW w:w="1372" w:type="dxa"/>
          </w:tcPr>
          <w:p>
            <w:pPr>
              <w:pStyle w:val="TableParagraph"/>
              <w:spacing w:before="2"/>
              <w:rPr>
                <w:b/>
                <w:sz w:val="15"/>
              </w:rPr>
            </w:pPr>
          </w:p>
          <w:p>
            <w:pPr>
              <w:pStyle w:val="TableParagraph"/>
              <w:ind w:right="96"/>
              <w:jc w:val="right"/>
              <w:rPr>
                <w:sz w:val="16"/>
              </w:rPr>
            </w:pPr>
            <w:r>
              <w:rPr>
                <w:spacing w:val="-2"/>
                <w:sz w:val="16"/>
              </w:rPr>
              <w:t>57,300</w:t>
            </w:r>
          </w:p>
        </w:tc>
        <w:tc>
          <w:tcPr>
            <w:tcW w:w="1374" w:type="dxa"/>
          </w:tcPr>
          <w:p>
            <w:pPr>
              <w:pStyle w:val="TableParagraph"/>
              <w:spacing w:before="2"/>
              <w:rPr>
                <w:b/>
                <w:sz w:val="15"/>
              </w:rPr>
            </w:pPr>
          </w:p>
          <w:p>
            <w:pPr>
              <w:pStyle w:val="TableParagraph"/>
              <w:ind w:right="98"/>
              <w:jc w:val="right"/>
              <w:rPr>
                <w:sz w:val="16"/>
              </w:rPr>
            </w:pPr>
            <w:r>
              <w:rPr>
                <w:spacing w:val="-2"/>
                <w:sz w:val="16"/>
              </w:rPr>
              <w:t>4,250</w:t>
            </w:r>
          </w:p>
        </w:tc>
        <w:tc>
          <w:tcPr>
            <w:tcW w:w="1372" w:type="dxa"/>
          </w:tcPr>
          <w:p>
            <w:pPr>
              <w:pStyle w:val="TableParagraph"/>
              <w:spacing w:before="2"/>
              <w:rPr>
                <w:b/>
                <w:sz w:val="15"/>
              </w:rPr>
            </w:pPr>
          </w:p>
          <w:p>
            <w:pPr>
              <w:pStyle w:val="TableParagraph"/>
              <w:ind w:right="97"/>
              <w:jc w:val="right"/>
              <w:rPr>
                <w:sz w:val="16"/>
              </w:rPr>
            </w:pPr>
            <w:r>
              <w:rPr>
                <w:spacing w:val="-2"/>
                <w:sz w:val="16"/>
              </w:rPr>
              <w:t>104,250</w:t>
            </w:r>
          </w:p>
        </w:tc>
        <w:tc>
          <w:tcPr>
            <w:tcW w:w="1373" w:type="dxa"/>
          </w:tcPr>
          <w:p>
            <w:pPr>
              <w:pStyle w:val="TableParagraph"/>
              <w:spacing w:before="2"/>
              <w:rPr>
                <w:b/>
                <w:sz w:val="15"/>
              </w:rPr>
            </w:pPr>
          </w:p>
          <w:p>
            <w:pPr>
              <w:pStyle w:val="TableParagraph"/>
              <w:ind w:right="97"/>
              <w:jc w:val="right"/>
              <w:rPr>
                <w:sz w:val="16"/>
              </w:rPr>
            </w:pPr>
            <w:r>
              <w:rPr>
                <w:spacing w:val="-2"/>
                <w:sz w:val="16"/>
              </w:rPr>
              <w:t>23,400</w:t>
            </w:r>
          </w:p>
        </w:tc>
        <w:tc>
          <w:tcPr>
            <w:tcW w:w="1372" w:type="dxa"/>
          </w:tcPr>
          <w:p>
            <w:pPr>
              <w:pStyle w:val="TableParagraph"/>
              <w:spacing w:before="2"/>
              <w:rPr>
                <w:b/>
                <w:sz w:val="15"/>
              </w:rPr>
            </w:pPr>
          </w:p>
          <w:p>
            <w:pPr>
              <w:pStyle w:val="TableParagraph"/>
              <w:ind w:right="98"/>
              <w:jc w:val="right"/>
              <w:rPr>
                <w:sz w:val="16"/>
              </w:rPr>
            </w:pPr>
            <w:r>
              <w:rPr>
                <w:spacing w:val="-2"/>
                <w:sz w:val="16"/>
              </w:rPr>
              <w:t>64,700</w:t>
            </w:r>
          </w:p>
        </w:tc>
        <w:tc>
          <w:tcPr>
            <w:tcW w:w="1374" w:type="dxa"/>
          </w:tcPr>
          <w:p>
            <w:pPr>
              <w:pStyle w:val="TableParagraph"/>
              <w:spacing w:before="2"/>
              <w:rPr>
                <w:b/>
                <w:sz w:val="15"/>
              </w:rPr>
            </w:pPr>
          </w:p>
          <w:p>
            <w:pPr>
              <w:pStyle w:val="TableParagraph"/>
              <w:ind w:right="99"/>
              <w:jc w:val="right"/>
              <w:rPr>
                <w:sz w:val="16"/>
              </w:rPr>
            </w:pPr>
            <w:r>
              <w:rPr>
                <w:spacing w:val="-2"/>
                <w:sz w:val="16"/>
              </w:rPr>
              <w:t>148,200</w:t>
            </w:r>
          </w:p>
        </w:tc>
        <w:tc>
          <w:tcPr>
            <w:tcW w:w="1372" w:type="dxa"/>
          </w:tcPr>
          <w:p>
            <w:pPr>
              <w:pStyle w:val="TableParagraph"/>
              <w:spacing w:before="2"/>
              <w:rPr>
                <w:b/>
                <w:sz w:val="15"/>
              </w:rPr>
            </w:pPr>
          </w:p>
          <w:p>
            <w:pPr>
              <w:pStyle w:val="TableParagraph"/>
              <w:ind w:right="98"/>
              <w:jc w:val="right"/>
              <w:rPr>
                <w:sz w:val="16"/>
              </w:rPr>
            </w:pPr>
            <w:r>
              <w:rPr>
                <w:spacing w:val="-2"/>
                <w:sz w:val="16"/>
              </w:rPr>
              <w:t>19,900</w:t>
            </w:r>
          </w:p>
        </w:tc>
        <w:tc>
          <w:tcPr>
            <w:tcW w:w="1373" w:type="dxa"/>
          </w:tcPr>
          <w:p>
            <w:pPr>
              <w:pStyle w:val="TableParagraph"/>
              <w:spacing w:before="2"/>
              <w:rPr>
                <w:b/>
                <w:sz w:val="15"/>
              </w:rPr>
            </w:pPr>
          </w:p>
          <w:p>
            <w:pPr>
              <w:pStyle w:val="TableParagraph"/>
              <w:ind w:right="99"/>
              <w:jc w:val="right"/>
              <w:rPr>
                <w:sz w:val="16"/>
              </w:rPr>
            </w:pPr>
            <w:r>
              <w:rPr>
                <w:spacing w:val="-2"/>
                <w:sz w:val="16"/>
              </w:rPr>
              <w:t>30,000</w:t>
            </w:r>
          </w:p>
        </w:tc>
      </w:tr>
      <w:tr>
        <w:trPr>
          <w:trHeight w:val="424" w:hRule="atLeast"/>
        </w:trPr>
        <w:tc>
          <w:tcPr>
            <w:tcW w:w="2340" w:type="dxa"/>
          </w:tcPr>
          <w:p>
            <w:pPr>
              <w:pStyle w:val="TableParagraph"/>
              <w:spacing w:before="117"/>
              <w:ind w:left="107"/>
              <w:rPr>
                <w:b/>
                <w:i/>
                <w:sz w:val="16"/>
              </w:rPr>
            </w:pPr>
            <w:r>
              <w:rPr>
                <w:b/>
                <w:i/>
                <w:spacing w:val="-2"/>
                <w:sz w:val="16"/>
              </w:rPr>
              <w:t>Proportional</w:t>
            </w:r>
            <w:r>
              <w:rPr>
                <w:b/>
                <w:i/>
                <w:spacing w:val="3"/>
                <w:sz w:val="16"/>
              </w:rPr>
              <w:t> </w:t>
            </w:r>
            <w:r>
              <w:rPr>
                <w:b/>
                <w:i/>
                <w:spacing w:val="-2"/>
                <w:sz w:val="16"/>
              </w:rPr>
              <w:t>Increase</w:t>
            </w:r>
            <w:r>
              <w:rPr>
                <w:b/>
                <w:i/>
                <w:spacing w:val="5"/>
                <w:sz w:val="16"/>
              </w:rPr>
              <w:t> </w:t>
            </w:r>
            <w:r>
              <w:rPr>
                <w:b/>
                <w:i/>
                <w:spacing w:val="-5"/>
                <w:sz w:val="16"/>
              </w:rPr>
              <w:t>(%)</w:t>
            </w:r>
          </w:p>
        </w:tc>
        <w:tc>
          <w:tcPr>
            <w:tcW w:w="1372" w:type="dxa"/>
          </w:tcPr>
          <w:p>
            <w:pPr>
              <w:pStyle w:val="TableParagraph"/>
              <w:spacing w:before="117"/>
              <w:ind w:right="96"/>
              <w:jc w:val="right"/>
              <w:rPr>
                <w:sz w:val="16"/>
              </w:rPr>
            </w:pPr>
            <w:r>
              <w:rPr>
                <w:spacing w:val="-5"/>
                <w:sz w:val="16"/>
              </w:rPr>
              <w:t>0.2</w:t>
            </w:r>
          </w:p>
        </w:tc>
        <w:tc>
          <w:tcPr>
            <w:tcW w:w="1374" w:type="dxa"/>
          </w:tcPr>
          <w:p>
            <w:pPr>
              <w:pStyle w:val="TableParagraph"/>
              <w:spacing w:before="117"/>
              <w:ind w:right="97"/>
              <w:jc w:val="right"/>
              <w:rPr>
                <w:sz w:val="16"/>
              </w:rPr>
            </w:pPr>
            <w:r>
              <w:rPr>
                <w:spacing w:val="-5"/>
                <w:sz w:val="16"/>
              </w:rPr>
              <w:t>2.6</w:t>
            </w:r>
          </w:p>
        </w:tc>
        <w:tc>
          <w:tcPr>
            <w:tcW w:w="1372" w:type="dxa"/>
          </w:tcPr>
          <w:p>
            <w:pPr>
              <w:pStyle w:val="TableParagraph"/>
              <w:spacing w:before="117"/>
              <w:ind w:right="97"/>
              <w:jc w:val="right"/>
              <w:rPr>
                <w:sz w:val="16"/>
              </w:rPr>
            </w:pPr>
            <w:r>
              <w:rPr>
                <w:spacing w:val="-4"/>
                <w:sz w:val="16"/>
              </w:rPr>
              <w:t>20.9</w:t>
            </w:r>
          </w:p>
        </w:tc>
        <w:tc>
          <w:tcPr>
            <w:tcW w:w="1373" w:type="dxa"/>
          </w:tcPr>
          <w:p>
            <w:pPr>
              <w:pStyle w:val="TableParagraph"/>
              <w:spacing w:before="117"/>
              <w:ind w:right="97"/>
              <w:jc w:val="right"/>
              <w:rPr>
                <w:sz w:val="16"/>
              </w:rPr>
            </w:pPr>
            <w:r>
              <w:rPr>
                <w:spacing w:val="-5"/>
                <w:sz w:val="16"/>
              </w:rPr>
              <w:t>1.1</w:t>
            </w:r>
          </w:p>
        </w:tc>
        <w:tc>
          <w:tcPr>
            <w:tcW w:w="1372" w:type="dxa"/>
          </w:tcPr>
          <w:p>
            <w:pPr>
              <w:pStyle w:val="TableParagraph"/>
              <w:spacing w:before="117"/>
              <w:ind w:right="97"/>
              <w:jc w:val="right"/>
              <w:rPr>
                <w:sz w:val="16"/>
              </w:rPr>
            </w:pPr>
            <w:r>
              <w:rPr>
                <w:spacing w:val="-5"/>
                <w:sz w:val="16"/>
              </w:rPr>
              <w:t>1.0</w:t>
            </w:r>
          </w:p>
        </w:tc>
        <w:tc>
          <w:tcPr>
            <w:tcW w:w="1374" w:type="dxa"/>
          </w:tcPr>
          <w:p>
            <w:pPr>
              <w:pStyle w:val="TableParagraph"/>
              <w:spacing w:before="117"/>
              <w:ind w:right="99"/>
              <w:jc w:val="right"/>
              <w:rPr>
                <w:sz w:val="16"/>
              </w:rPr>
            </w:pPr>
            <w:r>
              <w:rPr>
                <w:spacing w:val="-4"/>
                <w:sz w:val="16"/>
              </w:rPr>
              <w:t>13.5</w:t>
            </w:r>
          </w:p>
        </w:tc>
        <w:tc>
          <w:tcPr>
            <w:tcW w:w="1372" w:type="dxa"/>
          </w:tcPr>
          <w:p>
            <w:pPr>
              <w:pStyle w:val="TableParagraph"/>
              <w:spacing w:before="117"/>
              <w:ind w:right="98"/>
              <w:jc w:val="right"/>
              <w:rPr>
                <w:sz w:val="16"/>
              </w:rPr>
            </w:pPr>
            <w:r>
              <w:rPr>
                <w:spacing w:val="-5"/>
                <w:sz w:val="16"/>
              </w:rPr>
              <w:t>4.4</w:t>
            </w:r>
          </w:p>
        </w:tc>
        <w:tc>
          <w:tcPr>
            <w:tcW w:w="1373" w:type="dxa"/>
          </w:tcPr>
          <w:p>
            <w:pPr>
              <w:pStyle w:val="TableParagraph"/>
              <w:spacing w:before="117"/>
              <w:ind w:right="98"/>
              <w:jc w:val="right"/>
              <w:rPr>
                <w:sz w:val="16"/>
              </w:rPr>
            </w:pPr>
            <w:r>
              <w:rPr>
                <w:spacing w:val="-4"/>
                <w:sz w:val="16"/>
              </w:rPr>
              <w:t>13.6</w:t>
            </w:r>
          </w:p>
        </w:tc>
      </w:tr>
    </w:tbl>
    <w:p>
      <w:pPr>
        <w:spacing w:after="0"/>
        <w:jc w:val="right"/>
        <w:rPr>
          <w:sz w:val="16"/>
        </w:rPr>
        <w:sectPr>
          <w:footerReference w:type="default" r:id="rId17"/>
          <w:pgSz w:w="15840" w:h="12240" w:orient="landscape"/>
          <w:pgMar w:footer="1140" w:header="0" w:top="1140" w:bottom="1340" w:left="1140" w:right="940"/>
        </w:sectPr>
      </w:pPr>
    </w:p>
    <w:p>
      <w:pPr>
        <w:pStyle w:val="BodyText"/>
        <w:spacing w:before="10"/>
        <w:rPr>
          <w:b/>
          <w:sz w:val="17"/>
        </w:rPr>
      </w:pPr>
    </w:p>
    <w:p>
      <w:pPr>
        <w:spacing w:before="92"/>
        <w:ind w:left="300" w:right="0" w:firstLine="0"/>
        <w:jc w:val="left"/>
        <w:rPr>
          <w:b/>
          <w:sz w:val="24"/>
        </w:rPr>
      </w:pPr>
      <w:r>
        <w:rPr>
          <w:b/>
          <w:sz w:val="24"/>
          <w:u w:val="single"/>
        </w:rPr>
        <w:t>Table</w:t>
      </w:r>
      <w:r>
        <w:rPr>
          <w:b/>
          <w:spacing w:val="-11"/>
          <w:sz w:val="24"/>
          <w:u w:val="single"/>
        </w:rPr>
        <w:t> </w:t>
      </w:r>
      <w:r>
        <w:rPr>
          <w:b/>
          <w:sz w:val="24"/>
          <w:u w:val="single"/>
        </w:rPr>
        <w:t>6:</w:t>
      </w:r>
      <w:r>
        <w:rPr>
          <w:b/>
          <w:spacing w:val="46"/>
          <w:sz w:val="24"/>
          <w:u w:val="single"/>
        </w:rPr>
        <w:t> </w:t>
      </w:r>
      <w:r>
        <w:rPr>
          <w:b/>
          <w:sz w:val="24"/>
          <w:u w:val="single"/>
        </w:rPr>
        <w:t>Incremental</w:t>
      </w:r>
      <w:r>
        <w:rPr>
          <w:b/>
          <w:spacing w:val="-11"/>
          <w:sz w:val="24"/>
          <w:u w:val="single"/>
        </w:rPr>
        <w:t> </w:t>
      </w:r>
      <w:r>
        <w:rPr>
          <w:b/>
          <w:sz w:val="24"/>
          <w:u w:val="single"/>
        </w:rPr>
        <w:t>costs</w:t>
      </w:r>
      <w:r>
        <w:rPr>
          <w:b/>
          <w:spacing w:val="-11"/>
          <w:sz w:val="24"/>
          <w:u w:val="single"/>
        </w:rPr>
        <w:t> </w:t>
      </w:r>
      <w:r>
        <w:rPr>
          <w:b/>
          <w:sz w:val="24"/>
          <w:u w:val="single"/>
        </w:rPr>
        <w:t>of</w:t>
      </w:r>
      <w:r>
        <w:rPr>
          <w:b/>
          <w:spacing w:val="-11"/>
          <w:sz w:val="24"/>
          <w:u w:val="single"/>
        </w:rPr>
        <w:t> </w:t>
      </w:r>
      <w:r>
        <w:rPr>
          <w:b/>
          <w:sz w:val="24"/>
          <w:u w:val="single"/>
        </w:rPr>
        <w:t>applying</w:t>
      </w:r>
      <w:r>
        <w:rPr>
          <w:b/>
          <w:spacing w:val="-10"/>
          <w:sz w:val="24"/>
          <w:u w:val="single"/>
        </w:rPr>
        <w:t> </w:t>
      </w:r>
      <w:r>
        <w:rPr>
          <w:b/>
          <w:sz w:val="24"/>
          <w:u w:val="single"/>
        </w:rPr>
        <w:t>the</w:t>
      </w:r>
      <w:r>
        <w:rPr>
          <w:b/>
          <w:spacing w:val="-11"/>
          <w:sz w:val="24"/>
          <w:u w:val="single"/>
        </w:rPr>
        <w:t> </w:t>
      </w:r>
      <w:r>
        <w:rPr>
          <w:b/>
          <w:sz w:val="24"/>
          <w:u w:val="single"/>
        </w:rPr>
        <w:t>Premises</w:t>
      </w:r>
      <w:r>
        <w:rPr>
          <w:b/>
          <w:spacing w:val="-11"/>
          <w:sz w:val="24"/>
          <w:u w:val="single"/>
        </w:rPr>
        <w:t> </w:t>
      </w:r>
      <w:r>
        <w:rPr>
          <w:b/>
          <w:sz w:val="24"/>
          <w:u w:val="single"/>
        </w:rPr>
        <w:t>Standards</w:t>
      </w:r>
      <w:r>
        <w:rPr>
          <w:b/>
          <w:spacing w:val="-11"/>
          <w:sz w:val="24"/>
          <w:u w:val="single"/>
        </w:rPr>
        <w:t> </w:t>
      </w:r>
      <w:r>
        <w:rPr>
          <w:b/>
          <w:sz w:val="24"/>
          <w:u w:val="single"/>
        </w:rPr>
        <w:t>to</w:t>
      </w:r>
      <w:r>
        <w:rPr>
          <w:b/>
          <w:spacing w:val="-10"/>
          <w:sz w:val="24"/>
          <w:u w:val="single"/>
        </w:rPr>
        <w:t> </w:t>
      </w:r>
      <w:r>
        <w:rPr>
          <w:b/>
          <w:sz w:val="24"/>
          <w:u w:val="single"/>
        </w:rPr>
        <w:t>existing</w:t>
      </w:r>
      <w:r>
        <w:rPr>
          <w:b/>
          <w:spacing w:val="-11"/>
          <w:sz w:val="24"/>
          <w:u w:val="single"/>
        </w:rPr>
        <w:t> </w:t>
      </w:r>
      <w:r>
        <w:rPr>
          <w:b/>
          <w:sz w:val="24"/>
          <w:u w:val="single"/>
        </w:rPr>
        <w:t>buildings:</w:t>
      </w:r>
      <w:r>
        <w:rPr>
          <w:b/>
          <w:spacing w:val="-11"/>
          <w:sz w:val="24"/>
          <w:u w:val="single"/>
        </w:rPr>
        <w:t> </w:t>
      </w:r>
      <w:r>
        <w:rPr>
          <w:b/>
          <w:sz w:val="24"/>
          <w:u w:val="single"/>
        </w:rPr>
        <w:t>Partial</w:t>
      </w:r>
      <w:r>
        <w:rPr>
          <w:b/>
          <w:spacing w:val="-11"/>
          <w:sz w:val="24"/>
          <w:u w:val="single"/>
        </w:rPr>
        <w:t> </w:t>
      </w:r>
      <w:r>
        <w:rPr>
          <w:b/>
          <w:spacing w:val="-2"/>
          <w:sz w:val="24"/>
          <w:u w:val="single"/>
        </w:rPr>
        <w:t>upgrades</w:t>
      </w:r>
    </w:p>
    <w:p>
      <w:pPr>
        <w:pStyle w:val="BodyText"/>
        <w:spacing w:before="7"/>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2"/>
        <w:gridCol w:w="1886"/>
        <w:gridCol w:w="1888"/>
        <w:gridCol w:w="1886"/>
        <w:gridCol w:w="1888"/>
        <w:gridCol w:w="1887"/>
        <w:gridCol w:w="1887"/>
      </w:tblGrid>
      <w:tr>
        <w:trPr>
          <w:trHeight w:val="1079" w:hRule="atLeast"/>
        </w:trPr>
        <w:tc>
          <w:tcPr>
            <w:tcW w:w="2002" w:type="dxa"/>
            <w:tcBorders>
              <w:top w:val="nil"/>
              <w:left w:val="nil"/>
            </w:tcBorders>
          </w:tcPr>
          <w:p>
            <w:pPr>
              <w:pStyle w:val="TableParagraph"/>
              <w:spacing w:before="118"/>
              <w:ind w:left="107"/>
              <w:rPr>
                <w:sz w:val="32"/>
              </w:rPr>
            </w:pPr>
            <w:r>
              <w:rPr>
                <w:spacing w:val="-2"/>
                <w:sz w:val="32"/>
              </w:rPr>
              <w:t>PARTIAL UPGRADE</w:t>
            </w:r>
          </w:p>
        </w:tc>
        <w:tc>
          <w:tcPr>
            <w:tcW w:w="1886" w:type="dxa"/>
          </w:tcPr>
          <w:p>
            <w:pPr>
              <w:pStyle w:val="TableParagraph"/>
              <w:spacing w:before="117"/>
              <w:ind w:left="107"/>
              <w:rPr>
                <w:sz w:val="16"/>
              </w:rPr>
            </w:pPr>
            <w:r>
              <w:rPr>
                <w:sz w:val="16"/>
              </w:rPr>
              <w:t>2 storey – office – dwelling</w:t>
            </w:r>
            <w:r>
              <w:rPr>
                <w:spacing w:val="-12"/>
                <w:sz w:val="16"/>
              </w:rPr>
              <w:t> </w:t>
            </w:r>
            <w:r>
              <w:rPr>
                <w:sz w:val="16"/>
              </w:rPr>
              <w:t>size</w:t>
            </w:r>
            <w:r>
              <w:rPr>
                <w:spacing w:val="-11"/>
                <w:sz w:val="16"/>
              </w:rPr>
              <w:t> </w:t>
            </w:r>
            <w:r>
              <w:rPr>
                <w:sz w:val="16"/>
              </w:rPr>
              <w:t>(half</w:t>
            </w:r>
            <w:r>
              <w:rPr>
                <w:spacing w:val="-11"/>
                <w:sz w:val="16"/>
              </w:rPr>
              <w:t> </w:t>
            </w:r>
            <w:r>
              <w:rPr>
                <w:sz w:val="16"/>
              </w:rPr>
              <w:t>one</w:t>
            </w:r>
            <w:r>
              <w:rPr>
                <w:sz w:val="16"/>
              </w:rPr>
              <w:t> </w:t>
            </w:r>
            <w:r>
              <w:rPr>
                <w:spacing w:val="-2"/>
                <w:sz w:val="16"/>
              </w:rPr>
              <w:t>floor)</w:t>
            </w:r>
          </w:p>
        </w:tc>
        <w:tc>
          <w:tcPr>
            <w:tcW w:w="1888" w:type="dxa"/>
          </w:tcPr>
          <w:p>
            <w:pPr>
              <w:pStyle w:val="TableParagraph"/>
              <w:spacing w:before="117"/>
              <w:ind w:left="106"/>
              <w:rPr>
                <w:sz w:val="16"/>
              </w:rPr>
            </w:pPr>
            <w:r>
              <w:rPr>
                <w:sz w:val="16"/>
              </w:rPr>
              <w:t>7</w:t>
            </w:r>
            <w:r>
              <w:rPr>
                <w:spacing w:val="-10"/>
                <w:sz w:val="16"/>
              </w:rPr>
              <w:t> </w:t>
            </w:r>
            <w:r>
              <w:rPr>
                <w:sz w:val="16"/>
              </w:rPr>
              <w:t>storey</w:t>
            </w:r>
            <w:r>
              <w:rPr>
                <w:spacing w:val="-12"/>
                <w:sz w:val="16"/>
              </w:rPr>
              <w:t> </w:t>
            </w:r>
            <w:r>
              <w:rPr>
                <w:sz w:val="16"/>
              </w:rPr>
              <w:t>–</w:t>
            </w:r>
            <w:r>
              <w:rPr>
                <w:spacing w:val="-8"/>
                <w:sz w:val="16"/>
              </w:rPr>
              <w:t> </w:t>
            </w:r>
            <w:r>
              <w:rPr>
                <w:sz w:val="16"/>
              </w:rPr>
              <w:t>office</w:t>
            </w:r>
            <w:r>
              <w:rPr>
                <w:spacing w:val="-10"/>
                <w:sz w:val="16"/>
              </w:rPr>
              <w:t> </w:t>
            </w:r>
            <w:r>
              <w:rPr>
                <w:sz w:val="16"/>
              </w:rPr>
              <w:t>(one</w:t>
            </w:r>
            <w:r>
              <w:rPr>
                <w:sz w:val="16"/>
              </w:rPr>
              <w:t> </w:t>
            </w:r>
            <w:r>
              <w:rPr>
                <w:spacing w:val="-2"/>
                <w:sz w:val="16"/>
              </w:rPr>
              <w:t>floor)</w:t>
            </w:r>
          </w:p>
        </w:tc>
        <w:tc>
          <w:tcPr>
            <w:tcW w:w="1886" w:type="dxa"/>
          </w:tcPr>
          <w:p>
            <w:pPr>
              <w:pStyle w:val="TableParagraph"/>
              <w:spacing w:before="117"/>
              <w:ind w:left="106"/>
              <w:rPr>
                <w:sz w:val="16"/>
              </w:rPr>
            </w:pPr>
            <w:r>
              <w:rPr>
                <w:sz w:val="16"/>
              </w:rPr>
              <w:t>20</w:t>
            </w:r>
            <w:r>
              <w:rPr>
                <w:spacing w:val="-10"/>
                <w:sz w:val="16"/>
              </w:rPr>
              <w:t> </w:t>
            </w:r>
            <w:r>
              <w:rPr>
                <w:sz w:val="16"/>
              </w:rPr>
              <w:t>storey</w:t>
            </w:r>
            <w:r>
              <w:rPr>
                <w:spacing w:val="-11"/>
                <w:sz w:val="16"/>
              </w:rPr>
              <w:t> </w:t>
            </w:r>
            <w:r>
              <w:rPr>
                <w:sz w:val="16"/>
              </w:rPr>
              <w:t>–</w:t>
            </w:r>
            <w:r>
              <w:rPr>
                <w:spacing w:val="-10"/>
                <w:sz w:val="16"/>
              </w:rPr>
              <w:t> </w:t>
            </w:r>
            <w:r>
              <w:rPr>
                <w:sz w:val="16"/>
              </w:rPr>
              <w:t>office</w:t>
            </w:r>
            <w:r>
              <w:rPr>
                <w:spacing w:val="-10"/>
                <w:sz w:val="16"/>
              </w:rPr>
              <w:t> </w:t>
            </w:r>
            <w:r>
              <w:rPr>
                <w:sz w:val="16"/>
              </w:rPr>
              <w:t>(av.</w:t>
            </w:r>
            <w:r>
              <w:rPr>
                <w:sz w:val="16"/>
              </w:rPr>
              <w:t> floor plate of 900m</w:t>
            </w:r>
            <w:r>
              <w:rPr>
                <w:sz w:val="16"/>
                <w:vertAlign w:val="superscript"/>
              </w:rPr>
              <w:t>2</w:t>
            </w:r>
            <w:r>
              <w:rPr>
                <w:sz w:val="16"/>
                <w:vertAlign w:val="baseline"/>
              </w:rPr>
              <w:t>) (three floors)</w:t>
            </w:r>
          </w:p>
        </w:tc>
        <w:tc>
          <w:tcPr>
            <w:tcW w:w="1888" w:type="dxa"/>
          </w:tcPr>
          <w:p>
            <w:pPr>
              <w:pStyle w:val="TableParagraph"/>
              <w:spacing w:before="117"/>
              <w:ind w:left="105" w:right="136"/>
              <w:rPr>
                <w:sz w:val="16"/>
              </w:rPr>
            </w:pPr>
            <w:r>
              <w:rPr>
                <w:sz w:val="16"/>
              </w:rPr>
              <w:t>Large horizontal spread – shopping centre</w:t>
            </w:r>
            <w:r>
              <w:rPr>
                <w:spacing w:val="-12"/>
                <w:sz w:val="16"/>
              </w:rPr>
              <w:t> </w:t>
            </w:r>
            <w:r>
              <w:rPr>
                <w:sz w:val="16"/>
              </w:rPr>
              <w:t>(10%</w:t>
            </w:r>
            <w:r>
              <w:rPr>
                <w:spacing w:val="-11"/>
                <w:sz w:val="16"/>
              </w:rPr>
              <w:t> </w:t>
            </w:r>
            <w:r>
              <w:rPr>
                <w:sz w:val="16"/>
              </w:rPr>
              <w:t>floor</w:t>
            </w:r>
            <w:r>
              <w:rPr>
                <w:spacing w:val="-11"/>
                <w:sz w:val="16"/>
              </w:rPr>
              <w:t> </w:t>
            </w:r>
            <w:r>
              <w:rPr>
                <w:sz w:val="16"/>
              </w:rPr>
              <w:t>area)</w:t>
            </w:r>
          </w:p>
        </w:tc>
        <w:tc>
          <w:tcPr>
            <w:tcW w:w="1887" w:type="dxa"/>
          </w:tcPr>
          <w:p>
            <w:pPr>
              <w:pStyle w:val="TableParagraph"/>
              <w:spacing w:before="117"/>
              <w:ind w:left="104" w:right="446"/>
              <w:jc w:val="both"/>
              <w:rPr>
                <w:sz w:val="16"/>
              </w:rPr>
            </w:pPr>
            <w:r>
              <w:rPr>
                <w:sz w:val="16"/>
              </w:rPr>
              <w:t>3</w:t>
            </w:r>
            <w:r>
              <w:rPr>
                <w:spacing w:val="-4"/>
                <w:sz w:val="16"/>
              </w:rPr>
              <w:t> </w:t>
            </w:r>
            <w:r>
              <w:rPr>
                <w:sz w:val="16"/>
              </w:rPr>
              <w:t>storey</w:t>
            </w:r>
            <w:r>
              <w:rPr>
                <w:spacing w:val="-6"/>
                <w:sz w:val="16"/>
              </w:rPr>
              <w:t> </w:t>
            </w:r>
            <w:r>
              <w:rPr>
                <w:sz w:val="16"/>
              </w:rPr>
              <w:t>–</w:t>
            </w:r>
            <w:r>
              <w:rPr>
                <w:spacing w:val="-3"/>
                <w:sz w:val="16"/>
              </w:rPr>
              <w:t> </w:t>
            </w:r>
            <w:r>
              <w:rPr>
                <w:sz w:val="16"/>
              </w:rPr>
              <w:t>hospital building</w:t>
            </w:r>
            <w:r>
              <w:rPr>
                <w:spacing w:val="-12"/>
                <w:sz w:val="16"/>
              </w:rPr>
              <w:t> </w:t>
            </w:r>
            <w:r>
              <w:rPr>
                <w:sz w:val="16"/>
              </w:rPr>
              <w:t>(10%</w:t>
            </w:r>
            <w:r>
              <w:rPr>
                <w:spacing w:val="-11"/>
                <w:sz w:val="16"/>
              </w:rPr>
              <w:t> </w:t>
            </w:r>
            <w:r>
              <w:rPr>
                <w:sz w:val="16"/>
              </w:rPr>
              <w:t>floor</w:t>
            </w:r>
            <w:r>
              <w:rPr>
                <w:sz w:val="16"/>
              </w:rPr>
              <w:t> </w:t>
            </w:r>
            <w:r>
              <w:rPr>
                <w:spacing w:val="-2"/>
                <w:sz w:val="16"/>
              </w:rPr>
              <w:t>area)</w:t>
            </w:r>
          </w:p>
        </w:tc>
        <w:tc>
          <w:tcPr>
            <w:tcW w:w="1887" w:type="dxa"/>
          </w:tcPr>
          <w:p>
            <w:pPr>
              <w:pStyle w:val="TableParagraph"/>
              <w:spacing w:before="117"/>
              <w:ind w:left="104"/>
              <w:rPr>
                <w:sz w:val="16"/>
              </w:rPr>
            </w:pPr>
            <w:r>
              <w:rPr>
                <w:sz w:val="16"/>
              </w:rPr>
              <w:t>40,000</w:t>
            </w:r>
            <w:r>
              <w:rPr>
                <w:spacing w:val="-12"/>
                <w:sz w:val="16"/>
              </w:rPr>
              <w:t> </w:t>
            </w:r>
            <w:r>
              <w:rPr>
                <w:sz w:val="16"/>
              </w:rPr>
              <w:t>seat</w:t>
            </w:r>
            <w:r>
              <w:rPr>
                <w:spacing w:val="-11"/>
                <w:sz w:val="16"/>
              </w:rPr>
              <w:t> </w:t>
            </w:r>
            <w:r>
              <w:rPr>
                <w:sz w:val="16"/>
              </w:rPr>
              <w:t>–</w:t>
            </w:r>
            <w:r>
              <w:rPr>
                <w:spacing w:val="-11"/>
                <w:sz w:val="16"/>
              </w:rPr>
              <w:t> </w:t>
            </w:r>
            <w:r>
              <w:rPr>
                <w:sz w:val="16"/>
              </w:rPr>
              <w:t>stadium (10% floor area)</w:t>
            </w:r>
          </w:p>
        </w:tc>
      </w:tr>
      <w:tr>
        <w:trPr>
          <w:trHeight w:val="424" w:hRule="atLeast"/>
        </w:trPr>
        <w:tc>
          <w:tcPr>
            <w:tcW w:w="2002" w:type="dxa"/>
          </w:tcPr>
          <w:p>
            <w:pPr>
              <w:pStyle w:val="TableParagraph"/>
              <w:spacing w:before="117"/>
              <w:ind w:left="107"/>
              <w:rPr>
                <w:b/>
                <w:i/>
                <w:sz w:val="16"/>
              </w:rPr>
            </w:pPr>
            <w:r>
              <w:rPr>
                <w:b/>
                <w:i/>
                <w:spacing w:val="-2"/>
                <w:sz w:val="16"/>
              </w:rPr>
              <w:t>Class:</w:t>
            </w:r>
          </w:p>
        </w:tc>
        <w:tc>
          <w:tcPr>
            <w:tcW w:w="1886" w:type="dxa"/>
          </w:tcPr>
          <w:p>
            <w:pPr>
              <w:pStyle w:val="TableParagraph"/>
              <w:spacing w:before="117"/>
              <w:ind w:left="9"/>
              <w:jc w:val="center"/>
              <w:rPr>
                <w:sz w:val="16"/>
              </w:rPr>
            </w:pPr>
            <w:r>
              <w:rPr>
                <w:w w:val="99"/>
                <w:sz w:val="16"/>
              </w:rPr>
              <w:t>5</w:t>
            </w:r>
          </w:p>
        </w:tc>
        <w:tc>
          <w:tcPr>
            <w:tcW w:w="1888" w:type="dxa"/>
          </w:tcPr>
          <w:p>
            <w:pPr>
              <w:pStyle w:val="TableParagraph"/>
              <w:spacing w:before="117"/>
              <w:ind w:left="5"/>
              <w:jc w:val="center"/>
              <w:rPr>
                <w:sz w:val="16"/>
              </w:rPr>
            </w:pPr>
            <w:r>
              <w:rPr>
                <w:w w:val="99"/>
                <w:sz w:val="16"/>
              </w:rPr>
              <w:t>5</w:t>
            </w:r>
          </w:p>
        </w:tc>
        <w:tc>
          <w:tcPr>
            <w:tcW w:w="1886" w:type="dxa"/>
          </w:tcPr>
          <w:p>
            <w:pPr>
              <w:pStyle w:val="TableParagraph"/>
              <w:spacing w:before="117"/>
              <w:ind w:left="6"/>
              <w:jc w:val="center"/>
              <w:rPr>
                <w:sz w:val="16"/>
              </w:rPr>
            </w:pPr>
            <w:r>
              <w:rPr>
                <w:w w:val="99"/>
                <w:sz w:val="16"/>
              </w:rPr>
              <w:t>5</w:t>
            </w:r>
          </w:p>
        </w:tc>
        <w:tc>
          <w:tcPr>
            <w:tcW w:w="1888" w:type="dxa"/>
          </w:tcPr>
          <w:p>
            <w:pPr>
              <w:pStyle w:val="TableParagraph"/>
              <w:spacing w:before="117"/>
              <w:ind w:left="3"/>
              <w:jc w:val="center"/>
              <w:rPr>
                <w:sz w:val="16"/>
              </w:rPr>
            </w:pPr>
            <w:r>
              <w:rPr>
                <w:w w:val="99"/>
                <w:sz w:val="16"/>
              </w:rPr>
              <w:t>6</w:t>
            </w:r>
          </w:p>
        </w:tc>
        <w:tc>
          <w:tcPr>
            <w:tcW w:w="1887" w:type="dxa"/>
          </w:tcPr>
          <w:p>
            <w:pPr>
              <w:pStyle w:val="TableParagraph"/>
              <w:spacing w:before="117"/>
              <w:ind w:left="835" w:right="832"/>
              <w:jc w:val="center"/>
              <w:rPr>
                <w:sz w:val="16"/>
              </w:rPr>
            </w:pPr>
            <w:r>
              <w:rPr>
                <w:spacing w:val="-5"/>
                <w:sz w:val="16"/>
              </w:rPr>
              <w:t>9a</w:t>
            </w:r>
          </w:p>
        </w:tc>
        <w:tc>
          <w:tcPr>
            <w:tcW w:w="1887" w:type="dxa"/>
          </w:tcPr>
          <w:p>
            <w:pPr>
              <w:pStyle w:val="TableParagraph"/>
              <w:spacing w:before="117"/>
              <w:ind w:left="835" w:right="833"/>
              <w:jc w:val="center"/>
              <w:rPr>
                <w:sz w:val="16"/>
              </w:rPr>
            </w:pPr>
            <w:r>
              <w:rPr>
                <w:spacing w:val="-5"/>
                <w:sz w:val="16"/>
              </w:rPr>
              <w:t>9b</w:t>
            </w:r>
          </w:p>
        </w:tc>
      </w:tr>
      <w:tr>
        <w:trPr>
          <w:trHeight w:val="608" w:hRule="atLeast"/>
        </w:trPr>
        <w:tc>
          <w:tcPr>
            <w:tcW w:w="2002" w:type="dxa"/>
          </w:tcPr>
          <w:p>
            <w:pPr>
              <w:pStyle w:val="TableParagraph"/>
              <w:spacing w:before="117"/>
              <w:ind w:left="107" w:right="64"/>
              <w:rPr>
                <w:b/>
                <w:i/>
                <w:sz w:val="16"/>
              </w:rPr>
            </w:pPr>
            <w:r>
              <w:rPr>
                <w:b/>
                <w:i/>
                <w:sz w:val="16"/>
              </w:rPr>
              <w:t>Generic</w:t>
            </w:r>
            <w:r>
              <w:rPr>
                <w:b/>
                <w:i/>
                <w:spacing w:val="-12"/>
                <w:sz w:val="16"/>
              </w:rPr>
              <w:t> </w:t>
            </w:r>
            <w:r>
              <w:rPr>
                <w:b/>
                <w:i/>
                <w:sz w:val="16"/>
              </w:rPr>
              <w:t>Building</w:t>
            </w:r>
            <w:r>
              <w:rPr>
                <w:b/>
                <w:i/>
                <w:spacing w:val="-11"/>
                <w:sz w:val="16"/>
              </w:rPr>
              <w:t> </w:t>
            </w:r>
            <w:r>
              <w:rPr>
                <w:b/>
                <w:i/>
                <w:sz w:val="16"/>
              </w:rPr>
              <w:t>Cost</w:t>
            </w:r>
            <w:r>
              <w:rPr>
                <w:b/>
                <w:i/>
                <w:sz w:val="16"/>
              </w:rPr>
              <w:t> </w:t>
            </w:r>
            <w:r>
              <w:rPr>
                <w:b/>
                <w:i/>
                <w:spacing w:val="-4"/>
                <w:sz w:val="16"/>
              </w:rPr>
              <w:t>($)</w:t>
            </w:r>
          </w:p>
        </w:tc>
        <w:tc>
          <w:tcPr>
            <w:tcW w:w="1886" w:type="dxa"/>
          </w:tcPr>
          <w:p>
            <w:pPr>
              <w:pStyle w:val="TableParagraph"/>
              <w:spacing w:before="2"/>
              <w:rPr>
                <w:b/>
                <w:sz w:val="18"/>
              </w:rPr>
            </w:pPr>
          </w:p>
          <w:p>
            <w:pPr>
              <w:pStyle w:val="TableParagraph"/>
              <w:ind w:right="96"/>
              <w:jc w:val="right"/>
              <w:rPr>
                <w:sz w:val="16"/>
              </w:rPr>
            </w:pPr>
            <w:r>
              <w:rPr>
                <w:spacing w:val="-2"/>
                <w:sz w:val="16"/>
              </w:rPr>
              <w:t>45,000</w:t>
            </w:r>
          </w:p>
        </w:tc>
        <w:tc>
          <w:tcPr>
            <w:tcW w:w="1888" w:type="dxa"/>
          </w:tcPr>
          <w:p>
            <w:pPr>
              <w:pStyle w:val="TableParagraph"/>
              <w:spacing w:before="2"/>
              <w:rPr>
                <w:b/>
                <w:sz w:val="18"/>
              </w:rPr>
            </w:pPr>
          </w:p>
          <w:p>
            <w:pPr>
              <w:pStyle w:val="TableParagraph"/>
              <w:ind w:right="98"/>
              <w:jc w:val="right"/>
              <w:rPr>
                <w:sz w:val="16"/>
              </w:rPr>
            </w:pPr>
            <w:r>
              <w:rPr>
                <w:spacing w:val="-2"/>
                <w:sz w:val="16"/>
              </w:rPr>
              <w:t>1,100,000</w:t>
            </w:r>
          </w:p>
        </w:tc>
        <w:tc>
          <w:tcPr>
            <w:tcW w:w="1886" w:type="dxa"/>
          </w:tcPr>
          <w:p>
            <w:pPr>
              <w:pStyle w:val="TableParagraph"/>
              <w:spacing w:before="2"/>
              <w:rPr>
                <w:b/>
                <w:sz w:val="18"/>
              </w:rPr>
            </w:pPr>
          </w:p>
          <w:p>
            <w:pPr>
              <w:pStyle w:val="TableParagraph"/>
              <w:ind w:right="97"/>
              <w:jc w:val="right"/>
              <w:rPr>
                <w:sz w:val="16"/>
              </w:rPr>
            </w:pPr>
            <w:r>
              <w:rPr>
                <w:spacing w:val="-2"/>
                <w:sz w:val="16"/>
              </w:rPr>
              <w:t>3,000,000</w:t>
            </w:r>
          </w:p>
        </w:tc>
        <w:tc>
          <w:tcPr>
            <w:tcW w:w="1888" w:type="dxa"/>
          </w:tcPr>
          <w:p>
            <w:pPr>
              <w:pStyle w:val="TableParagraph"/>
              <w:spacing w:before="2"/>
              <w:rPr>
                <w:b/>
                <w:sz w:val="18"/>
              </w:rPr>
            </w:pPr>
          </w:p>
          <w:p>
            <w:pPr>
              <w:pStyle w:val="TableParagraph"/>
              <w:ind w:right="99"/>
              <w:jc w:val="right"/>
              <w:rPr>
                <w:sz w:val="16"/>
              </w:rPr>
            </w:pPr>
            <w:r>
              <w:rPr>
                <w:spacing w:val="-2"/>
                <w:sz w:val="16"/>
              </w:rPr>
              <w:t>4,500,000</w:t>
            </w:r>
          </w:p>
        </w:tc>
        <w:tc>
          <w:tcPr>
            <w:tcW w:w="1887" w:type="dxa"/>
          </w:tcPr>
          <w:p>
            <w:pPr>
              <w:pStyle w:val="TableParagraph"/>
              <w:spacing w:before="2"/>
              <w:rPr>
                <w:b/>
                <w:sz w:val="18"/>
              </w:rPr>
            </w:pPr>
          </w:p>
          <w:p>
            <w:pPr>
              <w:pStyle w:val="TableParagraph"/>
              <w:ind w:right="100"/>
              <w:jc w:val="right"/>
              <w:rPr>
                <w:sz w:val="16"/>
              </w:rPr>
            </w:pPr>
            <w:r>
              <w:rPr>
                <w:spacing w:val="-2"/>
                <w:sz w:val="16"/>
              </w:rPr>
              <w:t>8,500,000</w:t>
            </w:r>
          </w:p>
        </w:tc>
        <w:tc>
          <w:tcPr>
            <w:tcW w:w="1887" w:type="dxa"/>
          </w:tcPr>
          <w:p>
            <w:pPr>
              <w:pStyle w:val="TableParagraph"/>
              <w:spacing w:before="2"/>
              <w:rPr>
                <w:b/>
                <w:sz w:val="18"/>
              </w:rPr>
            </w:pPr>
          </w:p>
          <w:p>
            <w:pPr>
              <w:pStyle w:val="TableParagraph"/>
              <w:ind w:right="100"/>
              <w:jc w:val="right"/>
              <w:rPr>
                <w:sz w:val="16"/>
              </w:rPr>
            </w:pPr>
            <w:r>
              <w:rPr>
                <w:spacing w:val="-2"/>
                <w:sz w:val="16"/>
              </w:rPr>
              <w:t>22,000,000</w:t>
            </w:r>
          </w:p>
        </w:tc>
      </w:tr>
      <w:tr>
        <w:trPr>
          <w:trHeight w:val="424" w:hRule="atLeast"/>
        </w:trPr>
        <w:tc>
          <w:tcPr>
            <w:tcW w:w="2002" w:type="dxa"/>
          </w:tcPr>
          <w:p>
            <w:pPr>
              <w:pStyle w:val="TableParagraph"/>
              <w:spacing w:before="117"/>
              <w:ind w:left="107"/>
              <w:rPr>
                <w:b/>
                <w:i/>
                <w:sz w:val="16"/>
              </w:rPr>
            </w:pPr>
            <w:r>
              <w:rPr>
                <w:b/>
                <w:i/>
                <w:sz w:val="16"/>
              </w:rPr>
              <w:t>Cost</w:t>
            </w:r>
            <w:r>
              <w:rPr>
                <w:b/>
                <w:i/>
                <w:spacing w:val="-5"/>
                <w:sz w:val="16"/>
              </w:rPr>
              <w:t> </w:t>
            </w:r>
            <w:r>
              <w:rPr>
                <w:b/>
                <w:i/>
                <w:sz w:val="16"/>
              </w:rPr>
              <w:t>of</w:t>
            </w:r>
            <w:r>
              <w:rPr>
                <w:b/>
                <w:i/>
                <w:spacing w:val="-6"/>
                <w:sz w:val="16"/>
              </w:rPr>
              <w:t> </w:t>
            </w:r>
            <w:r>
              <w:rPr>
                <w:b/>
                <w:i/>
                <w:spacing w:val="-2"/>
                <w:sz w:val="16"/>
              </w:rPr>
              <w:t>Upgrade($)</w:t>
            </w:r>
          </w:p>
        </w:tc>
        <w:tc>
          <w:tcPr>
            <w:tcW w:w="1886" w:type="dxa"/>
          </w:tcPr>
          <w:p>
            <w:pPr>
              <w:pStyle w:val="TableParagraph"/>
              <w:spacing w:before="117"/>
              <w:ind w:right="96"/>
              <w:jc w:val="right"/>
              <w:rPr>
                <w:sz w:val="16"/>
              </w:rPr>
            </w:pPr>
            <w:r>
              <w:rPr>
                <w:spacing w:val="-2"/>
                <w:sz w:val="16"/>
              </w:rPr>
              <w:t>3,750</w:t>
            </w:r>
          </w:p>
        </w:tc>
        <w:tc>
          <w:tcPr>
            <w:tcW w:w="1888" w:type="dxa"/>
          </w:tcPr>
          <w:p>
            <w:pPr>
              <w:pStyle w:val="TableParagraph"/>
              <w:spacing w:before="117"/>
              <w:ind w:right="98"/>
              <w:jc w:val="right"/>
              <w:rPr>
                <w:sz w:val="16"/>
              </w:rPr>
            </w:pPr>
            <w:r>
              <w:rPr>
                <w:spacing w:val="-2"/>
                <w:sz w:val="16"/>
              </w:rPr>
              <w:t>105,600</w:t>
            </w:r>
          </w:p>
        </w:tc>
        <w:tc>
          <w:tcPr>
            <w:tcW w:w="1886" w:type="dxa"/>
          </w:tcPr>
          <w:p>
            <w:pPr>
              <w:pStyle w:val="TableParagraph"/>
              <w:spacing w:before="117"/>
              <w:ind w:right="97"/>
              <w:jc w:val="right"/>
              <w:rPr>
                <w:sz w:val="16"/>
              </w:rPr>
            </w:pPr>
            <w:r>
              <w:rPr>
                <w:spacing w:val="-2"/>
                <w:sz w:val="16"/>
              </w:rPr>
              <w:t>207,100</w:t>
            </w:r>
          </w:p>
        </w:tc>
        <w:tc>
          <w:tcPr>
            <w:tcW w:w="1888" w:type="dxa"/>
          </w:tcPr>
          <w:p>
            <w:pPr>
              <w:pStyle w:val="TableParagraph"/>
              <w:spacing w:before="117"/>
              <w:ind w:right="99"/>
              <w:jc w:val="right"/>
              <w:rPr>
                <w:sz w:val="16"/>
              </w:rPr>
            </w:pPr>
            <w:r>
              <w:rPr>
                <w:spacing w:val="-2"/>
                <w:sz w:val="16"/>
              </w:rPr>
              <w:t>18,300</w:t>
            </w:r>
          </w:p>
        </w:tc>
        <w:tc>
          <w:tcPr>
            <w:tcW w:w="1887" w:type="dxa"/>
          </w:tcPr>
          <w:p>
            <w:pPr>
              <w:pStyle w:val="TableParagraph"/>
              <w:spacing w:before="117"/>
              <w:ind w:right="100"/>
              <w:jc w:val="right"/>
              <w:rPr>
                <w:sz w:val="16"/>
              </w:rPr>
            </w:pPr>
            <w:r>
              <w:rPr>
                <w:spacing w:val="-2"/>
                <w:sz w:val="16"/>
              </w:rPr>
              <w:t>21,000</w:t>
            </w:r>
          </w:p>
        </w:tc>
        <w:tc>
          <w:tcPr>
            <w:tcW w:w="1887" w:type="dxa"/>
          </w:tcPr>
          <w:p>
            <w:pPr>
              <w:pStyle w:val="TableParagraph"/>
              <w:spacing w:before="117"/>
              <w:ind w:right="99"/>
              <w:jc w:val="right"/>
              <w:rPr>
                <w:sz w:val="16"/>
              </w:rPr>
            </w:pPr>
            <w:r>
              <w:rPr>
                <w:spacing w:val="-2"/>
                <w:sz w:val="16"/>
              </w:rPr>
              <w:t>86,100</w:t>
            </w:r>
          </w:p>
        </w:tc>
      </w:tr>
      <w:tr>
        <w:trPr>
          <w:trHeight w:val="608" w:hRule="atLeast"/>
        </w:trPr>
        <w:tc>
          <w:tcPr>
            <w:tcW w:w="2002" w:type="dxa"/>
          </w:tcPr>
          <w:p>
            <w:pPr>
              <w:pStyle w:val="TableParagraph"/>
              <w:spacing w:before="117"/>
              <w:ind w:left="107" w:right="232"/>
              <w:rPr>
                <w:b/>
                <w:i/>
                <w:sz w:val="16"/>
              </w:rPr>
            </w:pPr>
            <w:r>
              <w:rPr>
                <w:b/>
                <w:i/>
                <w:sz w:val="16"/>
              </w:rPr>
              <w:t>Proportional</w:t>
            </w:r>
            <w:r>
              <w:rPr>
                <w:b/>
                <w:i/>
                <w:spacing w:val="-12"/>
                <w:sz w:val="16"/>
              </w:rPr>
              <w:t> </w:t>
            </w:r>
            <w:r>
              <w:rPr>
                <w:b/>
                <w:i/>
                <w:sz w:val="16"/>
              </w:rPr>
              <w:t>Increase</w:t>
            </w:r>
            <w:r>
              <w:rPr>
                <w:b/>
                <w:i/>
                <w:sz w:val="16"/>
              </w:rPr>
              <w:t> </w:t>
            </w:r>
            <w:r>
              <w:rPr>
                <w:b/>
                <w:i/>
                <w:spacing w:val="-4"/>
                <w:sz w:val="16"/>
              </w:rPr>
              <w:t>(%)</w:t>
            </w:r>
          </w:p>
        </w:tc>
        <w:tc>
          <w:tcPr>
            <w:tcW w:w="1886" w:type="dxa"/>
          </w:tcPr>
          <w:p>
            <w:pPr>
              <w:pStyle w:val="TableParagraph"/>
              <w:spacing w:before="2"/>
              <w:rPr>
                <w:b/>
                <w:sz w:val="18"/>
              </w:rPr>
            </w:pPr>
          </w:p>
          <w:p>
            <w:pPr>
              <w:pStyle w:val="TableParagraph"/>
              <w:ind w:right="96"/>
              <w:jc w:val="right"/>
              <w:rPr>
                <w:sz w:val="16"/>
              </w:rPr>
            </w:pPr>
            <w:r>
              <w:rPr>
                <w:spacing w:val="-5"/>
                <w:sz w:val="16"/>
              </w:rPr>
              <w:t>8.3</w:t>
            </w:r>
          </w:p>
        </w:tc>
        <w:tc>
          <w:tcPr>
            <w:tcW w:w="1888" w:type="dxa"/>
          </w:tcPr>
          <w:p>
            <w:pPr>
              <w:pStyle w:val="TableParagraph"/>
              <w:spacing w:before="2"/>
              <w:rPr>
                <w:b/>
                <w:sz w:val="18"/>
              </w:rPr>
            </w:pPr>
          </w:p>
          <w:p>
            <w:pPr>
              <w:pStyle w:val="TableParagraph"/>
              <w:ind w:right="97"/>
              <w:jc w:val="right"/>
              <w:rPr>
                <w:sz w:val="16"/>
              </w:rPr>
            </w:pPr>
            <w:r>
              <w:rPr>
                <w:spacing w:val="-5"/>
                <w:sz w:val="16"/>
              </w:rPr>
              <w:t>9.6</w:t>
            </w:r>
          </w:p>
        </w:tc>
        <w:tc>
          <w:tcPr>
            <w:tcW w:w="1886" w:type="dxa"/>
          </w:tcPr>
          <w:p>
            <w:pPr>
              <w:pStyle w:val="TableParagraph"/>
              <w:spacing w:before="2"/>
              <w:rPr>
                <w:b/>
                <w:sz w:val="18"/>
              </w:rPr>
            </w:pPr>
          </w:p>
          <w:p>
            <w:pPr>
              <w:pStyle w:val="TableParagraph"/>
              <w:ind w:right="97"/>
              <w:jc w:val="right"/>
              <w:rPr>
                <w:sz w:val="16"/>
              </w:rPr>
            </w:pPr>
            <w:r>
              <w:rPr>
                <w:spacing w:val="-5"/>
                <w:sz w:val="16"/>
              </w:rPr>
              <w:t>6.9</w:t>
            </w:r>
          </w:p>
        </w:tc>
        <w:tc>
          <w:tcPr>
            <w:tcW w:w="1888" w:type="dxa"/>
          </w:tcPr>
          <w:p>
            <w:pPr>
              <w:pStyle w:val="TableParagraph"/>
              <w:spacing w:before="2"/>
              <w:rPr>
                <w:b/>
                <w:sz w:val="18"/>
              </w:rPr>
            </w:pPr>
          </w:p>
          <w:p>
            <w:pPr>
              <w:pStyle w:val="TableParagraph"/>
              <w:ind w:right="98"/>
              <w:jc w:val="right"/>
              <w:rPr>
                <w:sz w:val="16"/>
              </w:rPr>
            </w:pPr>
            <w:r>
              <w:rPr>
                <w:spacing w:val="-5"/>
                <w:sz w:val="16"/>
              </w:rPr>
              <w:t>0.4</w:t>
            </w:r>
          </w:p>
        </w:tc>
        <w:tc>
          <w:tcPr>
            <w:tcW w:w="1887" w:type="dxa"/>
          </w:tcPr>
          <w:p>
            <w:pPr>
              <w:pStyle w:val="TableParagraph"/>
              <w:spacing w:before="2"/>
              <w:rPr>
                <w:b/>
                <w:sz w:val="18"/>
              </w:rPr>
            </w:pPr>
          </w:p>
          <w:p>
            <w:pPr>
              <w:pStyle w:val="TableParagraph"/>
              <w:ind w:right="99"/>
              <w:jc w:val="right"/>
              <w:rPr>
                <w:sz w:val="16"/>
              </w:rPr>
            </w:pPr>
            <w:r>
              <w:rPr>
                <w:spacing w:val="-5"/>
                <w:sz w:val="16"/>
              </w:rPr>
              <w:t>0.2</w:t>
            </w:r>
          </w:p>
        </w:tc>
        <w:tc>
          <w:tcPr>
            <w:tcW w:w="1887" w:type="dxa"/>
          </w:tcPr>
          <w:p>
            <w:pPr>
              <w:pStyle w:val="TableParagraph"/>
              <w:spacing w:before="2"/>
              <w:rPr>
                <w:b/>
                <w:sz w:val="18"/>
              </w:rPr>
            </w:pPr>
          </w:p>
          <w:p>
            <w:pPr>
              <w:pStyle w:val="TableParagraph"/>
              <w:ind w:right="98"/>
              <w:jc w:val="right"/>
              <w:rPr>
                <w:sz w:val="16"/>
              </w:rPr>
            </w:pPr>
            <w:r>
              <w:rPr>
                <w:spacing w:val="-5"/>
                <w:sz w:val="16"/>
              </w:rPr>
              <w:t>0.4</w:t>
            </w:r>
          </w:p>
        </w:tc>
      </w:tr>
    </w:tbl>
    <w:p>
      <w:pPr>
        <w:spacing w:after="0"/>
        <w:jc w:val="right"/>
        <w:rPr>
          <w:sz w:val="16"/>
        </w:rPr>
        <w:sectPr>
          <w:pgSz w:w="15840" w:h="12240" w:orient="landscape"/>
          <w:pgMar w:header="0" w:footer="1140" w:top="1140" w:bottom="1340" w:left="1140" w:right="940"/>
        </w:sectPr>
      </w:pPr>
    </w:p>
    <w:p>
      <w:pPr>
        <w:pStyle w:val="Heading2"/>
        <w:numPr>
          <w:ilvl w:val="1"/>
          <w:numId w:val="25"/>
        </w:numPr>
        <w:tabs>
          <w:tab w:pos="840" w:val="left" w:leader="none"/>
          <w:tab w:pos="841" w:val="left" w:leader="none"/>
        </w:tabs>
        <w:spacing w:line="240" w:lineRule="auto" w:before="79" w:after="0"/>
        <w:ind w:left="840" w:right="0" w:hanging="721"/>
        <w:jc w:val="left"/>
        <w:rPr>
          <w:i/>
        </w:rPr>
      </w:pPr>
      <w:bookmarkStart w:name="8.4 Estimated costs: Aggregate estimates" w:id="75"/>
      <w:bookmarkEnd w:id="75"/>
      <w:r>
        <w:rPr>
          <w:b w:val="0"/>
          <w:i w:val="0"/>
        </w:rPr>
      </w:r>
      <w:bookmarkStart w:name="_bookmark21" w:id="76"/>
      <w:bookmarkEnd w:id="76"/>
      <w:r>
        <w:rPr>
          <w:i/>
        </w:rPr>
        <w:t>Estimated</w:t>
      </w:r>
      <w:r>
        <w:rPr>
          <w:i/>
          <w:spacing w:val="-10"/>
        </w:rPr>
        <w:t> </w:t>
      </w:r>
      <w:r>
        <w:rPr>
          <w:i/>
        </w:rPr>
        <w:t>costs:</w:t>
      </w:r>
      <w:r>
        <w:rPr>
          <w:i/>
          <w:spacing w:val="-11"/>
        </w:rPr>
        <w:t> </w:t>
      </w:r>
      <w:r>
        <w:rPr>
          <w:i/>
        </w:rPr>
        <w:t>Aggregate</w:t>
      </w:r>
      <w:r>
        <w:rPr>
          <w:i/>
          <w:spacing w:val="-10"/>
        </w:rPr>
        <w:t> </w:t>
      </w:r>
      <w:r>
        <w:rPr>
          <w:i/>
        </w:rPr>
        <w:t>estimates</w:t>
      </w:r>
      <w:r>
        <w:rPr>
          <w:i/>
          <w:spacing w:val="-10"/>
        </w:rPr>
        <w:t> </w:t>
      </w:r>
      <w:r>
        <w:rPr>
          <w:i/>
        </w:rPr>
        <w:t>of</w:t>
      </w:r>
      <w:r>
        <w:rPr>
          <w:i/>
          <w:spacing w:val="-9"/>
        </w:rPr>
        <w:t> </w:t>
      </w:r>
      <w:r>
        <w:rPr>
          <w:i/>
        </w:rPr>
        <w:t>direct</w:t>
      </w:r>
      <w:r>
        <w:rPr>
          <w:i/>
          <w:spacing w:val="-10"/>
        </w:rPr>
        <w:t> </w:t>
      </w:r>
      <w:r>
        <w:rPr>
          <w:i/>
          <w:spacing w:val="-2"/>
        </w:rPr>
        <w:t>costs</w:t>
      </w:r>
    </w:p>
    <w:p>
      <w:pPr>
        <w:pStyle w:val="BodyText"/>
        <w:rPr>
          <w:b/>
          <w:i/>
          <w:sz w:val="29"/>
        </w:rPr>
      </w:pPr>
    </w:p>
    <w:p>
      <w:pPr>
        <w:pStyle w:val="BodyText"/>
        <w:ind w:left="120" w:right="109"/>
        <w:jc w:val="both"/>
      </w:pPr>
      <w:r>
        <w:rPr/>
        <w:t>The preceding sections have estimated the incremental costs of the Premises Standards at the level of individual new buildings and upgrades to existing buildings. This has been done on the basis of a set of 45 “case study” buildings, chosen as</w:t>
      </w:r>
      <w:r>
        <w:rPr>
          <w:spacing w:val="40"/>
        </w:rPr>
        <w:t> </w:t>
      </w:r>
      <w:r>
        <w:rPr/>
        <w:t>being representative of the range of buildings being constructed and upgraded across Australia. This has allowed the specific effects of the Premises Standards to be identified in a range of particular contexts. However, it is also necessary to estimate the aggregate impact of the Premises Standards on national building costs.</w:t>
      </w:r>
    </w:p>
    <w:p>
      <w:pPr>
        <w:pStyle w:val="BodyText"/>
      </w:pPr>
    </w:p>
    <w:p>
      <w:pPr>
        <w:pStyle w:val="BodyText"/>
        <w:ind w:left="120" w:right="107"/>
        <w:jc w:val="both"/>
      </w:pPr>
      <w:r>
        <w:rPr/>
        <w:t>As outlined in detail in Appendix A, this aggregate cost has been estimated by combining the cost data for individual “case study” buildings, discussed above, with building activity statistics obtained from both the ABS and the Victorian Building Commission (VBC). The VBC data is used in combination with that of ABS as it is more detailed and comprehensive than that of either ABS or other jurisdictions.</w:t>
      </w:r>
      <w:r>
        <w:rPr>
          <w:spacing w:val="40"/>
        </w:rPr>
        <w:t> </w:t>
      </w:r>
      <w:r>
        <w:rPr/>
        <w:t>Of necessity, it is implicitly assumed that the breakdown of building activity found in the Victorian data is typical of the rest of Australia.</w:t>
      </w:r>
      <w:r>
        <w:rPr>
          <w:spacing w:val="40"/>
        </w:rPr>
        <w:t> </w:t>
      </w:r>
      <w:r>
        <w:rPr/>
        <w:t>Adopting this assumption allows more detailed estimates of costs to be made than would be achievable solely using published ABS data.</w:t>
      </w:r>
    </w:p>
    <w:p>
      <w:pPr>
        <w:pStyle w:val="BodyText"/>
      </w:pPr>
    </w:p>
    <w:p>
      <w:pPr>
        <w:pStyle w:val="BodyText"/>
        <w:ind w:left="119" w:right="107"/>
        <w:jc w:val="both"/>
      </w:pPr>
      <w:r>
        <w:rPr/>
        <w:t>Table 7, below, is based on ABS data that shows that new building approvals (excluding houses) totalled nearly $23 billion in calendar 2002</w:t>
      </w:r>
      <w:r>
        <w:rPr>
          <w:rFonts w:ascii="Times New Roman"/>
          <w:vertAlign w:val="superscript"/>
        </w:rPr>
        <w:t>51</w:t>
      </w:r>
      <w:r>
        <w:rPr>
          <w:vertAlign w:val="baseline"/>
        </w:rPr>
        <w:t>.</w:t>
      </w:r>
      <w:r>
        <w:rPr>
          <w:spacing w:val="40"/>
          <w:vertAlign w:val="baseline"/>
        </w:rPr>
        <w:t> </w:t>
      </w:r>
      <w:r>
        <w:rPr>
          <w:vertAlign w:val="baseline"/>
        </w:rPr>
        <w:t>Using the VBC data noted above, this total is broken down into categories that are consistent with the above set of case studies.</w:t>
      </w:r>
      <w:r>
        <w:rPr>
          <w:spacing w:val="40"/>
          <w:vertAlign w:val="baseline"/>
        </w:rPr>
        <w:t> </w:t>
      </w:r>
      <w:r>
        <w:rPr>
          <w:vertAlign w:val="baseline"/>
        </w:rPr>
        <w:t>Refer Appendix A for a discussion on why 2002 data has been retained as the basis for the analysis. These reasons include consistency and comparability with the 2004 draft proposal as well as the need to use average, or representative data. The 2002 building data is considered to be reflective of the average level of activity across the building cycle.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0"/>
        </w:rPr>
      </w:pPr>
      <w:r>
        <w:rPr/>
        <w:pict>
          <v:rect style="position:absolute;margin-left:72pt;margin-top:7.269189pt;width:144pt;height:.6pt;mso-position-horizontal-relative:page;mso-position-vertical-relative:paragraph;z-index:-15708672;mso-wrap-distance-left:0;mso-wrap-distance-right:0" id="docshape47" filled="true" fillcolor="#000000" stroked="false">
            <v:fill type="solid"/>
            <w10:wrap type="topAndBottom"/>
          </v:rect>
        </w:pict>
      </w:r>
    </w:p>
    <w:p>
      <w:pPr>
        <w:pStyle w:val="BodyText"/>
        <w:spacing w:before="1"/>
        <w:rPr>
          <w:sz w:val="8"/>
        </w:rPr>
      </w:pPr>
    </w:p>
    <w:p>
      <w:pPr>
        <w:spacing w:before="130"/>
        <w:ind w:left="119" w:right="105" w:firstLine="0"/>
        <w:jc w:val="both"/>
        <w:rPr>
          <w:sz w:val="20"/>
        </w:rPr>
      </w:pPr>
      <w:r>
        <w:rPr>
          <w:sz w:val="20"/>
          <w:vertAlign w:val="superscript"/>
        </w:rPr>
        <w:t>51</w:t>
      </w:r>
      <w:r>
        <w:rPr>
          <w:sz w:val="20"/>
          <w:vertAlign w:val="baseline"/>
        </w:rPr>
        <w:t> The data is taken from building approvals and not the value of buildings completed in the year.</w:t>
      </w:r>
      <w:r>
        <w:rPr>
          <w:spacing w:val="40"/>
          <w:sz w:val="20"/>
          <w:vertAlign w:val="baseline"/>
        </w:rPr>
        <w:t> </w:t>
      </w:r>
      <w:r>
        <w:rPr>
          <w:sz w:val="20"/>
          <w:vertAlign w:val="baseline"/>
        </w:rPr>
        <w:t>More precise figures covering the value of completed work could be developed if reliable data was available for a number of years. This would involve apportioning each year’s approvals into the same and successive years’ work.</w:t>
      </w:r>
      <w:r>
        <w:rPr>
          <w:spacing w:val="40"/>
          <w:sz w:val="20"/>
          <w:vertAlign w:val="baseline"/>
        </w:rPr>
        <w:t> </w:t>
      </w:r>
      <w:r>
        <w:rPr>
          <w:sz w:val="20"/>
          <w:vertAlign w:val="baseline"/>
        </w:rPr>
        <w:t>However, unless there was a consistent trend of increasing value of building approvals banked up for work, (and this would mean a steady increase in the value of building work in progress)</w:t>
      </w:r>
      <w:r>
        <w:rPr>
          <w:spacing w:val="40"/>
          <w:sz w:val="20"/>
          <w:vertAlign w:val="baseline"/>
        </w:rPr>
        <w:t> </w:t>
      </w:r>
      <w:r>
        <w:rPr>
          <w:sz w:val="20"/>
          <w:vertAlign w:val="baseline"/>
        </w:rPr>
        <w:t>using a single year snapshot is an adequate indicator of aggregate value.</w:t>
      </w:r>
    </w:p>
    <w:p>
      <w:pPr>
        <w:pStyle w:val="BodyText"/>
        <w:spacing w:before="121"/>
        <w:ind w:right="109"/>
        <w:jc w:val="right"/>
      </w:pPr>
      <w:r>
        <w:rPr>
          <w:spacing w:val="-5"/>
        </w:rPr>
        <w:t>60</w:t>
      </w:r>
    </w:p>
    <w:p>
      <w:pPr>
        <w:spacing w:after="0"/>
        <w:jc w:val="right"/>
        <w:sectPr>
          <w:footerReference w:type="default" r:id="rId18"/>
          <w:pgSz w:w="12240" w:h="15840"/>
          <w:pgMar w:footer="0" w:header="0" w:top="1480" w:bottom="280" w:left="1320" w:right="1500"/>
        </w:sectPr>
      </w:pPr>
    </w:p>
    <w:p>
      <w:pPr>
        <w:pStyle w:val="BodyText"/>
        <w:spacing w:before="10"/>
        <w:rPr>
          <w:sz w:val="17"/>
        </w:rPr>
      </w:pPr>
    </w:p>
    <w:p>
      <w:pPr>
        <w:pStyle w:val="Heading4"/>
        <w:spacing w:before="92"/>
        <w:ind w:left="140"/>
        <w:jc w:val="left"/>
        <w:rPr>
          <w:u w:val="none"/>
        </w:rPr>
      </w:pPr>
      <w:r>
        <w:rPr>
          <w:u w:val="single"/>
        </w:rPr>
        <w:t>Table</w:t>
      </w:r>
      <w:r>
        <w:rPr>
          <w:spacing w:val="-7"/>
          <w:u w:val="single"/>
        </w:rPr>
        <w:t> </w:t>
      </w:r>
      <w:r>
        <w:rPr>
          <w:u w:val="single"/>
        </w:rPr>
        <w:t>7:</w:t>
      </w:r>
      <w:r>
        <w:rPr>
          <w:spacing w:val="52"/>
          <w:u w:val="single"/>
        </w:rPr>
        <w:t> </w:t>
      </w:r>
      <w:r>
        <w:rPr>
          <w:u w:val="single"/>
        </w:rPr>
        <w:t>Value</w:t>
      </w:r>
      <w:r>
        <w:rPr>
          <w:spacing w:val="-7"/>
          <w:u w:val="single"/>
        </w:rPr>
        <w:t> </w:t>
      </w:r>
      <w:r>
        <w:rPr>
          <w:u w:val="single"/>
        </w:rPr>
        <w:t>of</w:t>
      </w:r>
      <w:r>
        <w:rPr>
          <w:spacing w:val="-7"/>
          <w:u w:val="single"/>
        </w:rPr>
        <w:t> </w:t>
      </w:r>
      <w:r>
        <w:rPr>
          <w:u w:val="single"/>
        </w:rPr>
        <w:t>new</w:t>
      </w:r>
      <w:r>
        <w:rPr>
          <w:spacing w:val="-5"/>
          <w:u w:val="single"/>
        </w:rPr>
        <w:t> </w:t>
      </w:r>
      <w:r>
        <w:rPr>
          <w:u w:val="single"/>
        </w:rPr>
        <w:t>building</w:t>
      </w:r>
      <w:r>
        <w:rPr>
          <w:spacing w:val="-7"/>
          <w:u w:val="single"/>
        </w:rPr>
        <w:t> </w:t>
      </w:r>
      <w:r>
        <w:rPr>
          <w:u w:val="single"/>
        </w:rPr>
        <w:t>approvals</w:t>
      </w:r>
      <w:r>
        <w:rPr>
          <w:spacing w:val="-7"/>
          <w:u w:val="single"/>
        </w:rPr>
        <w:t> </w:t>
      </w:r>
      <w:r>
        <w:rPr>
          <w:u w:val="single"/>
        </w:rPr>
        <w:t>in</w:t>
      </w:r>
      <w:r>
        <w:rPr>
          <w:spacing w:val="-7"/>
          <w:u w:val="single"/>
        </w:rPr>
        <w:t> </w:t>
      </w:r>
      <w:r>
        <w:rPr>
          <w:u w:val="single"/>
        </w:rPr>
        <w:t>Australia</w:t>
      </w:r>
      <w:r>
        <w:rPr>
          <w:spacing w:val="-7"/>
          <w:u w:val="single"/>
        </w:rPr>
        <w:t> </w:t>
      </w:r>
      <w:r>
        <w:rPr>
          <w:u w:val="single"/>
        </w:rPr>
        <w:t>–</w:t>
      </w:r>
      <w:r>
        <w:rPr>
          <w:spacing w:val="-7"/>
          <w:u w:val="single"/>
        </w:rPr>
        <w:t> </w:t>
      </w:r>
      <w:r>
        <w:rPr>
          <w:u w:val="single"/>
        </w:rPr>
        <w:t>Calendar</w:t>
      </w:r>
      <w:r>
        <w:rPr>
          <w:spacing w:val="-6"/>
          <w:u w:val="single"/>
        </w:rPr>
        <w:t> </w:t>
      </w:r>
      <w:r>
        <w:rPr>
          <w:u w:val="single"/>
        </w:rPr>
        <w:t>2002</w:t>
      </w:r>
      <w:r>
        <w:rPr>
          <w:spacing w:val="-7"/>
          <w:u w:val="single"/>
        </w:rPr>
        <w:t> </w:t>
      </w:r>
      <w:r>
        <w:rPr>
          <w:u w:val="single"/>
        </w:rPr>
        <w:t>($</w:t>
      </w:r>
      <w:r>
        <w:rPr>
          <w:spacing w:val="-6"/>
          <w:u w:val="single"/>
        </w:rPr>
        <w:t> </w:t>
      </w:r>
      <w:r>
        <w:rPr>
          <w:spacing w:val="-5"/>
          <w:u w:val="single"/>
        </w:rPr>
        <w:t>m)</w:t>
      </w:r>
    </w:p>
    <w:p>
      <w:pPr>
        <w:pStyle w:val="BodyText"/>
        <w:spacing w:before="7"/>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0"/>
        <w:gridCol w:w="1260"/>
        <w:gridCol w:w="1260"/>
        <w:gridCol w:w="1080"/>
        <w:gridCol w:w="1260"/>
        <w:gridCol w:w="1080"/>
        <w:gridCol w:w="1440"/>
        <w:gridCol w:w="900"/>
        <w:gridCol w:w="1620"/>
      </w:tblGrid>
      <w:tr>
        <w:trPr>
          <w:trHeight w:val="288" w:hRule="atLeast"/>
        </w:trPr>
        <w:tc>
          <w:tcPr>
            <w:tcW w:w="7400" w:type="dxa"/>
            <w:gridSpan w:val="5"/>
            <w:tcBorders>
              <w:top w:val="nil"/>
              <w:left w:val="nil"/>
            </w:tcBorders>
          </w:tcPr>
          <w:p>
            <w:pPr>
              <w:pStyle w:val="TableParagraph"/>
              <w:rPr>
                <w:rFonts w:ascii="Times New Roman"/>
                <w:sz w:val="18"/>
              </w:rPr>
            </w:pPr>
          </w:p>
        </w:tc>
        <w:tc>
          <w:tcPr>
            <w:tcW w:w="2520" w:type="dxa"/>
            <w:gridSpan w:val="2"/>
          </w:tcPr>
          <w:p>
            <w:pPr>
              <w:pStyle w:val="TableParagraph"/>
              <w:spacing w:before="14"/>
              <w:ind w:left="108"/>
              <w:rPr>
                <w:b/>
                <w:sz w:val="18"/>
              </w:rPr>
            </w:pPr>
            <w:r>
              <w:rPr>
                <w:b/>
                <w:sz w:val="18"/>
              </w:rPr>
              <w:t>Regulation</w:t>
            </w:r>
            <w:r>
              <w:rPr>
                <w:b/>
                <w:spacing w:val="-13"/>
                <w:sz w:val="18"/>
              </w:rPr>
              <w:t> </w:t>
            </w:r>
            <w:r>
              <w:rPr>
                <w:b/>
                <w:sz w:val="18"/>
              </w:rPr>
              <w:t>Costs</w:t>
            </w:r>
            <w:r>
              <w:rPr>
                <w:b/>
                <w:spacing w:val="-12"/>
                <w:sz w:val="18"/>
              </w:rPr>
              <w:t> </w:t>
            </w:r>
            <w:r>
              <w:rPr>
                <w:b/>
                <w:spacing w:val="-4"/>
                <w:sz w:val="18"/>
              </w:rPr>
              <w:t>($m)</w:t>
            </w:r>
          </w:p>
        </w:tc>
        <w:tc>
          <w:tcPr>
            <w:tcW w:w="2520" w:type="dxa"/>
            <w:gridSpan w:val="2"/>
          </w:tcPr>
          <w:p>
            <w:pPr>
              <w:pStyle w:val="TableParagraph"/>
              <w:spacing w:before="14"/>
              <w:ind w:left="108"/>
              <w:rPr>
                <w:b/>
                <w:sz w:val="18"/>
              </w:rPr>
            </w:pPr>
            <w:r>
              <w:rPr>
                <w:b/>
                <w:sz w:val="18"/>
              </w:rPr>
              <w:t>Regulation</w:t>
            </w:r>
            <w:r>
              <w:rPr>
                <w:b/>
                <w:spacing w:val="-12"/>
                <w:sz w:val="18"/>
              </w:rPr>
              <w:t> </w:t>
            </w:r>
            <w:r>
              <w:rPr>
                <w:b/>
                <w:sz w:val="18"/>
              </w:rPr>
              <w:t>Cost</w:t>
            </w:r>
            <w:r>
              <w:rPr>
                <w:b/>
                <w:spacing w:val="-11"/>
                <w:sz w:val="18"/>
              </w:rPr>
              <w:t> </w:t>
            </w:r>
            <w:r>
              <w:rPr>
                <w:b/>
                <w:spacing w:val="-2"/>
                <w:sz w:val="18"/>
              </w:rPr>
              <w:t>Increase</w:t>
            </w:r>
          </w:p>
        </w:tc>
      </w:tr>
      <w:tr>
        <w:trPr>
          <w:trHeight w:val="448" w:hRule="atLeast"/>
        </w:trPr>
        <w:tc>
          <w:tcPr>
            <w:tcW w:w="2540" w:type="dxa"/>
          </w:tcPr>
          <w:p>
            <w:pPr>
              <w:pStyle w:val="TableParagraph"/>
              <w:spacing w:before="2"/>
              <w:rPr>
                <w:b/>
                <w:sz w:val="19"/>
              </w:rPr>
            </w:pPr>
          </w:p>
          <w:p>
            <w:pPr>
              <w:pStyle w:val="TableParagraph"/>
              <w:ind w:left="107"/>
              <w:rPr>
                <w:b/>
                <w:sz w:val="18"/>
              </w:rPr>
            </w:pPr>
            <w:r>
              <w:rPr>
                <w:b/>
                <w:sz w:val="18"/>
              </w:rPr>
              <w:t>Building</w:t>
            </w:r>
            <w:r>
              <w:rPr>
                <w:b/>
                <w:spacing w:val="-10"/>
                <w:sz w:val="18"/>
              </w:rPr>
              <w:t> </w:t>
            </w:r>
            <w:r>
              <w:rPr>
                <w:b/>
                <w:spacing w:val="-4"/>
                <w:sz w:val="18"/>
              </w:rPr>
              <w:t>Type</w:t>
            </w:r>
          </w:p>
        </w:tc>
        <w:tc>
          <w:tcPr>
            <w:tcW w:w="1260" w:type="dxa"/>
          </w:tcPr>
          <w:p>
            <w:pPr>
              <w:pStyle w:val="TableParagraph"/>
              <w:spacing w:before="2"/>
              <w:rPr>
                <w:b/>
                <w:sz w:val="19"/>
              </w:rPr>
            </w:pPr>
          </w:p>
          <w:p>
            <w:pPr>
              <w:pStyle w:val="TableParagraph"/>
              <w:ind w:left="414"/>
              <w:rPr>
                <w:b/>
                <w:sz w:val="18"/>
              </w:rPr>
            </w:pPr>
            <w:r>
              <w:rPr>
                <w:b/>
                <w:spacing w:val="-2"/>
                <w:sz w:val="18"/>
              </w:rPr>
              <w:t>Total</w:t>
            </w:r>
          </w:p>
        </w:tc>
        <w:tc>
          <w:tcPr>
            <w:tcW w:w="1260" w:type="dxa"/>
          </w:tcPr>
          <w:p>
            <w:pPr>
              <w:pStyle w:val="TableParagraph"/>
              <w:spacing w:before="2"/>
              <w:rPr>
                <w:b/>
                <w:sz w:val="19"/>
              </w:rPr>
            </w:pPr>
          </w:p>
          <w:p>
            <w:pPr>
              <w:pStyle w:val="TableParagraph"/>
              <w:ind w:left="108"/>
              <w:rPr>
                <w:b/>
                <w:sz w:val="18"/>
              </w:rPr>
            </w:pPr>
            <w:r>
              <w:rPr>
                <w:b/>
                <w:sz w:val="18"/>
              </w:rPr>
              <w:t>Sub-</w:t>
            </w:r>
            <w:r>
              <w:rPr>
                <w:b/>
                <w:spacing w:val="-2"/>
                <w:sz w:val="18"/>
              </w:rPr>
              <w:t>totals</w:t>
            </w:r>
          </w:p>
        </w:tc>
        <w:tc>
          <w:tcPr>
            <w:tcW w:w="1080" w:type="dxa"/>
          </w:tcPr>
          <w:p>
            <w:pPr>
              <w:pStyle w:val="TableParagraph"/>
              <w:spacing w:line="200" w:lineRule="atLeast" w:before="14"/>
              <w:ind w:left="108" w:right="258"/>
              <w:rPr>
                <w:b/>
                <w:sz w:val="18"/>
              </w:rPr>
            </w:pPr>
            <w:r>
              <w:rPr>
                <w:b/>
                <w:spacing w:val="-4"/>
                <w:sz w:val="18"/>
              </w:rPr>
              <w:t>New </w:t>
            </w:r>
            <w:r>
              <w:rPr>
                <w:b/>
                <w:spacing w:val="-2"/>
                <w:sz w:val="18"/>
              </w:rPr>
              <w:t>building</w:t>
            </w:r>
          </w:p>
        </w:tc>
        <w:tc>
          <w:tcPr>
            <w:tcW w:w="1260" w:type="dxa"/>
          </w:tcPr>
          <w:p>
            <w:pPr>
              <w:pStyle w:val="TableParagraph"/>
              <w:spacing w:line="200" w:lineRule="atLeast" w:before="14"/>
              <w:ind w:left="108" w:right="113"/>
              <w:rPr>
                <w:b/>
                <w:sz w:val="18"/>
              </w:rPr>
            </w:pPr>
            <w:r>
              <w:rPr>
                <w:b/>
                <w:spacing w:val="-2"/>
                <w:sz w:val="18"/>
              </w:rPr>
              <w:t>Alterations </w:t>
            </w:r>
            <w:r>
              <w:rPr>
                <w:b/>
                <w:sz w:val="18"/>
              </w:rPr>
              <w:t>&amp;</w:t>
            </w:r>
            <w:r>
              <w:rPr>
                <w:b/>
                <w:spacing w:val="1"/>
                <w:sz w:val="18"/>
              </w:rPr>
              <w:t> </w:t>
            </w:r>
            <w:r>
              <w:rPr>
                <w:b/>
                <w:spacing w:val="-2"/>
                <w:sz w:val="18"/>
              </w:rPr>
              <w:t>Additions</w:t>
            </w:r>
          </w:p>
        </w:tc>
        <w:tc>
          <w:tcPr>
            <w:tcW w:w="1080" w:type="dxa"/>
          </w:tcPr>
          <w:p>
            <w:pPr>
              <w:pStyle w:val="TableParagraph"/>
              <w:spacing w:line="200" w:lineRule="atLeast" w:before="14"/>
              <w:ind w:left="108" w:right="258"/>
              <w:rPr>
                <w:b/>
                <w:sz w:val="18"/>
              </w:rPr>
            </w:pPr>
            <w:r>
              <w:rPr>
                <w:b/>
                <w:spacing w:val="-4"/>
                <w:sz w:val="18"/>
              </w:rPr>
              <w:t>New </w:t>
            </w:r>
            <w:r>
              <w:rPr>
                <w:b/>
                <w:spacing w:val="-2"/>
                <w:sz w:val="18"/>
              </w:rPr>
              <w:t>building</w:t>
            </w:r>
          </w:p>
        </w:tc>
        <w:tc>
          <w:tcPr>
            <w:tcW w:w="1440" w:type="dxa"/>
          </w:tcPr>
          <w:p>
            <w:pPr>
              <w:pStyle w:val="TableParagraph"/>
              <w:spacing w:line="200" w:lineRule="atLeast" w:before="14"/>
              <w:ind w:left="108" w:right="194"/>
              <w:rPr>
                <w:b/>
                <w:sz w:val="18"/>
              </w:rPr>
            </w:pPr>
            <w:r>
              <w:rPr>
                <w:b/>
                <w:sz w:val="18"/>
              </w:rPr>
              <w:t>Alterations</w:t>
            </w:r>
            <w:r>
              <w:rPr>
                <w:b/>
                <w:spacing w:val="-13"/>
                <w:sz w:val="18"/>
              </w:rPr>
              <w:t> </w:t>
            </w:r>
            <w:r>
              <w:rPr>
                <w:b/>
                <w:sz w:val="18"/>
              </w:rPr>
              <w:t>&amp; </w:t>
            </w:r>
            <w:r>
              <w:rPr>
                <w:b/>
                <w:spacing w:val="-2"/>
                <w:sz w:val="18"/>
              </w:rPr>
              <w:t>Additions</w:t>
            </w:r>
          </w:p>
        </w:tc>
        <w:tc>
          <w:tcPr>
            <w:tcW w:w="900" w:type="dxa"/>
          </w:tcPr>
          <w:p>
            <w:pPr>
              <w:pStyle w:val="TableParagraph"/>
              <w:spacing w:before="14"/>
              <w:ind w:left="108"/>
              <w:rPr>
                <w:b/>
                <w:sz w:val="18"/>
              </w:rPr>
            </w:pPr>
            <w:r>
              <w:rPr>
                <w:b/>
                <w:spacing w:val="-5"/>
                <w:sz w:val="18"/>
              </w:rPr>
              <w:t>New</w:t>
            </w:r>
          </w:p>
        </w:tc>
        <w:tc>
          <w:tcPr>
            <w:tcW w:w="1620" w:type="dxa"/>
          </w:tcPr>
          <w:p>
            <w:pPr>
              <w:pStyle w:val="TableParagraph"/>
              <w:spacing w:line="200" w:lineRule="atLeast" w:before="14"/>
              <w:ind w:left="108" w:right="374"/>
              <w:rPr>
                <w:b/>
                <w:sz w:val="18"/>
              </w:rPr>
            </w:pPr>
            <w:r>
              <w:rPr>
                <w:b/>
                <w:sz w:val="18"/>
              </w:rPr>
              <w:t>Alterations</w:t>
            </w:r>
            <w:r>
              <w:rPr>
                <w:b/>
                <w:spacing w:val="-13"/>
                <w:sz w:val="18"/>
              </w:rPr>
              <w:t> </w:t>
            </w:r>
            <w:r>
              <w:rPr>
                <w:b/>
                <w:sz w:val="18"/>
              </w:rPr>
              <w:t>&amp; </w:t>
            </w:r>
            <w:r>
              <w:rPr>
                <w:b/>
                <w:spacing w:val="-2"/>
                <w:sz w:val="18"/>
              </w:rPr>
              <w:t>Additions</w:t>
            </w:r>
          </w:p>
        </w:tc>
      </w:tr>
      <w:tr>
        <w:trPr>
          <w:trHeight w:val="288" w:hRule="atLeast"/>
        </w:trPr>
        <w:tc>
          <w:tcPr>
            <w:tcW w:w="2540" w:type="dxa"/>
          </w:tcPr>
          <w:p>
            <w:pPr>
              <w:pStyle w:val="TableParagraph"/>
              <w:spacing w:line="205" w:lineRule="exact" w:before="63"/>
              <w:ind w:left="107"/>
              <w:rPr>
                <w:sz w:val="18"/>
              </w:rPr>
            </w:pPr>
            <w:r>
              <w:rPr>
                <w:sz w:val="18"/>
              </w:rPr>
              <w:t>Flats</w:t>
            </w:r>
            <w:r>
              <w:rPr>
                <w:spacing w:val="-3"/>
                <w:sz w:val="18"/>
              </w:rPr>
              <w:t> </w:t>
            </w:r>
            <w:r>
              <w:rPr>
                <w:sz w:val="18"/>
              </w:rPr>
              <w:t>units</w:t>
            </w:r>
            <w:r>
              <w:rPr>
                <w:spacing w:val="-3"/>
                <w:sz w:val="18"/>
              </w:rPr>
              <w:t> </w:t>
            </w:r>
            <w:r>
              <w:rPr>
                <w:sz w:val="18"/>
              </w:rPr>
              <w:t>and</w:t>
            </w:r>
            <w:r>
              <w:rPr>
                <w:spacing w:val="-2"/>
                <w:sz w:val="18"/>
              </w:rPr>
              <w:t> </w:t>
            </w:r>
            <w:r>
              <w:rPr>
                <w:spacing w:val="-4"/>
                <w:sz w:val="18"/>
              </w:rPr>
              <w:t>Apts</w:t>
            </w:r>
          </w:p>
        </w:tc>
        <w:tc>
          <w:tcPr>
            <w:tcW w:w="1260" w:type="dxa"/>
          </w:tcPr>
          <w:p>
            <w:pPr>
              <w:pStyle w:val="TableParagraph"/>
              <w:spacing w:line="205" w:lineRule="exact" w:before="63"/>
              <w:ind w:right="95"/>
              <w:jc w:val="right"/>
              <w:rPr>
                <w:sz w:val="18"/>
              </w:rPr>
            </w:pPr>
            <w:r>
              <w:rPr>
                <w:spacing w:val="-2"/>
                <w:sz w:val="18"/>
              </w:rPr>
              <w:t>6,801.1</w:t>
            </w:r>
          </w:p>
        </w:tc>
        <w:tc>
          <w:tcPr>
            <w:tcW w:w="1260" w:type="dxa"/>
          </w:tcPr>
          <w:p>
            <w:pPr>
              <w:pStyle w:val="TableParagraph"/>
              <w:rPr>
                <w:rFonts w:ascii="Times New Roman"/>
                <w:sz w:val="18"/>
              </w:rPr>
            </w:pPr>
          </w:p>
        </w:tc>
        <w:tc>
          <w:tcPr>
            <w:tcW w:w="1080" w:type="dxa"/>
          </w:tcPr>
          <w:p>
            <w:pPr>
              <w:pStyle w:val="TableParagraph"/>
              <w:rPr>
                <w:rFonts w:ascii="Times New Roman"/>
                <w:sz w:val="18"/>
              </w:rPr>
            </w:pPr>
          </w:p>
        </w:tc>
        <w:tc>
          <w:tcPr>
            <w:tcW w:w="1260" w:type="dxa"/>
          </w:tcPr>
          <w:p>
            <w:pPr>
              <w:pStyle w:val="TableParagraph"/>
              <w:rPr>
                <w:rFonts w:ascii="Times New Roman"/>
                <w:sz w:val="18"/>
              </w:rPr>
            </w:pP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8"/>
                <w:sz w:val="18"/>
              </w:rPr>
              <w:t> </w:t>
            </w:r>
            <w:r>
              <w:rPr>
                <w:sz w:val="18"/>
              </w:rPr>
              <w:t>1/2</w:t>
            </w:r>
            <w:r>
              <w:rPr>
                <w:spacing w:val="-1"/>
                <w:sz w:val="18"/>
              </w:rPr>
              <w:t> </w:t>
            </w:r>
            <w:r>
              <w:rPr>
                <w:spacing w:val="-2"/>
                <w:sz w:val="18"/>
              </w:rPr>
              <w:t>stories</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2"/>
                <w:sz w:val="18"/>
              </w:rPr>
              <w:t>378.4</w:t>
            </w:r>
          </w:p>
        </w:tc>
        <w:tc>
          <w:tcPr>
            <w:tcW w:w="1080" w:type="dxa"/>
          </w:tcPr>
          <w:p>
            <w:pPr>
              <w:pStyle w:val="TableParagraph"/>
              <w:spacing w:line="205" w:lineRule="exact" w:before="63"/>
              <w:ind w:right="94"/>
              <w:jc w:val="right"/>
              <w:rPr>
                <w:sz w:val="18"/>
              </w:rPr>
            </w:pPr>
            <w:r>
              <w:rPr>
                <w:spacing w:val="-5"/>
                <w:sz w:val="18"/>
              </w:rPr>
              <w:t>318</w:t>
            </w:r>
          </w:p>
        </w:tc>
        <w:tc>
          <w:tcPr>
            <w:tcW w:w="1260" w:type="dxa"/>
          </w:tcPr>
          <w:p>
            <w:pPr>
              <w:pStyle w:val="TableParagraph"/>
              <w:spacing w:line="205" w:lineRule="exact" w:before="63"/>
              <w:ind w:right="94"/>
              <w:jc w:val="right"/>
              <w:rPr>
                <w:sz w:val="18"/>
              </w:rPr>
            </w:pPr>
            <w:r>
              <w:rPr>
                <w:spacing w:val="-5"/>
                <w:sz w:val="18"/>
              </w:rPr>
              <w:t>61</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8"/>
                <w:sz w:val="18"/>
              </w:rPr>
              <w:t> </w:t>
            </w:r>
            <w:r>
              <w:rPr>
                <w:sz w:val="18"/>
              </w:rPr>
              <w:t>3 </w:t>
            </w:r>
            <w:r>
              <w:rPr>
                <w:spacing w:val="-2"/>
                <w:sz w:val="18"/>
              </w:rPr>
              <w:t>stories</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2"/>
                <w:sz w:val="18"/>
              </w:rPr>
              <w:t>729.6</w:t>
            </w:r>
          </w:p>
        </w:tc>
        <w:tc>
          <w:tcPr>
            <w:tcW w:w="1080" w:type="dxa"/>
          </w:tcPr>
          <w:p>
            <w:pPr>
              <w:pStyle w:val="TableParagraph"/>
              <w:spacing w:line="205" w:lineRule="exact" w:before="63"/>
              <w:ind w:right="95"/>
              <w:jc w:val="right"/>
              <w:rPr>
                <w:sz w:val="18"/>
              </w:rPr>
            </w:pPr>
            <w:r>
              <w:rPr>
                <w:spacing w:val="-5"/>
                <w:sz w:val="18"/>
              </w:rPr>
              <w:t>613</w:t>
            </w:r>
          </w:p>
        </w:tc>
        <w:tc>
          <w:tcPr>
            <w:tcW w:w="1260" w:type="dxa"/>
          </w:tcPr>
          <w:p>
            <w:pPr>
              <w:pStyle w:val="TableParagraph"/>
              <w:spacing w:line="205" w:lineRule="exact" w:before="63"/>
              <w:ind w:right="94"/>
              <w:jc w:val="right"/>
              <w:rPr>
                <w:sz w:val="18"/>
              </w:rPr>
            </w:pPr>
            <w:r>
              <w:rPr>
                <w:spacing w:val="-5"/>
                <w:sz w:val="18"/>
              </w:rPr>
              <w:t>117</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7"/>
                <w:sz w:val="18"/>
              </w:rPr>
              <w:t> </w:t>
            </w:r>
            <w:r>
              <w:rPr>
                <w:sz w:val="18"/>
              </w:rPr>
              <w:t>4+</w:t>
            </w:r>
            <w:r>
              <w:rPr>
                <w:spacing w:val="-1"/>
                <w:sz w:val="18"/>
              </w:rPr>
              <w:t> </w:t>
            </w:r>
            <w:r>
              <w:rPr>
                <w:spacing w:val="-2"/>
                <w:sz w:val="18"/>
              </w:rPr>
              <w:t>stories</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2"/>
                <w:sz w:val="18"/>
              </w:rPr>
              <w:t>$5,692.9</w:t>
            </w:r>
          </w:p>
        </w:tc>
        <w:tc>
          <w:tcPr>
            <w:tcW w:w="1080" w:type="dxa"/>
          </w:tcPr>
          <w:p>
            <w:pPr>
              <w:pStyle w:val="TableParagraph"/>
              <w:spacing w:line="205" w:lineRule="exact" w:before="63"/>
              <w:ind w:right="95"/>
              <w:jc w:val="right"/>
              <w:rPr>
                <w:sz w:val="18"/>
              </w:rPr>
            </w:pPr>
            <w:r>
              <w:rPr>
                <w:spacing w:val="-2"/>
                <w:sz w:val="18"/>
              </w:rPr>
              <w:t>4,782</w:t>
            </w:r>
          </w:p>
        </w:tc>
        <w:tc>
          <w:tcPr>
            <w:tcW w:w="1260" w:type="dxa"/>
          </w:tcPr>
          <w:p>
            <w:pPr>
              <w:pStyle w:val="TableParagraph"/>
              <w:spacing w:line="205" w:lineRule="exact" w:before="63"/>
              <w:ind w:right="94"/>
              <w:jc w:val="right"/>
              <w:rPr>
                <w:sz w:val="18"/>
              </w:rPr>
            </w:pPr>
            <w:r>
              <w:rPr>
                <w:spacing w:val="-5"/>
                <w:sz w:val="18"/>
              </w:rPr>
              <w:t>911</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0" w:hRule="atLeast"/>
        </w:trPr>
        <w:tc>
          <w:tcPr>
            <w:tcW w:w="2540" w:type="dxa"/>
          </w:tcPr>
          <w:p>
            <w:pPr>
              <w:pStyle w:val="TableParagraph"/>
              <w:spacing w:line="206" w:lineRule="exact" w:before="63"/>
              <w:ind w:left="107"/>
              <w:rPr>
                <w:sz w:val="18"/>
              </w:rPr>
            </w:pPr>
            <w:r>
              <w:rPr>
                <w:sz w:val="18"/>
              </w:rPr>
              <w:t>Hotels</w:t>
            </w:r>
            <w:r>
              <w:rPr>
                <w:spacing w:val="-8"/>
                <w:sz w:val="18"/>
              </w:rPr>
              <w:t> </w:t>
            </w:r>
            <w:r>
              <w:rPr>
                <w:sz w:val="18"/>
              </w:rPr>
              <w:t>and</w:t>
            </w:r>
            <w:r>
              <w:rPr>
                <w:spacing w:val="-8"/>
                <w:sz w:val="18"/>
              </w:rPr>
              <w:t> </w:t>
            </w:r>
            <w:r>
              <w:rPr>
                <w:spacing w:val="-2"/>
                <w:sz w:val="18"/>
              </w:rPr>
              <w:t>Motels</w:t>
            </w:r>
          </w:p>
        </w:tc>
        <w:tc>
          <w:tcPr>
            <w:tcW w:w="1260" w:type="dxa"/>
          </w:tcPr>
          <w:p>
            <w:pPr>
              <w:pStyle w:val="TableParagraph"/>
              <w:spacing w:line="206" w:lineRule="exact" w:before="63"/>
              <w:ind w:right="96"/>
              <w:jc w:val="right"/>
              <w:rPr>
                <w:sz w:val="18"/>
              </w:rPr>
            </w:pPr>
            <w:r>
              <w:rPr>
                <w:spacing w:val="-2"/>
                <w:sz w:val="18"/>
              </w:rPr>
              <w:t>594.0</w:t>
            </w:r>
          </w:p>
        </w:tc>
        <w:tc>
          <w:tcPr>
            <w:tcW w:w="1260" w:type="dxa"/>
          </w:tcPr>
          <w:p>
            <w:pPr>
              <w:pStyle w:val="TableParagraph"/>
              <w:rPr>
                <w:rFonts w:ascii="Times New Roman"/>
                <w:sz w:val="18"/>
              </w:rPr>
            </w:pPr>
          </w:p>
        </w:tc>
        <w:tc>
          <w:tcPr>
            <w:tcW w:w="1080" w:type="dxa"/>
          </w:tcPr>
          <w:p>
            <w:pPr>
              <w:pStyle w:val="TableParagraph"/>
              <w:rPr>
                <w:rFonts w:ascii="Times New Roman"/>
                <w:sz w:val="18"/>
              </w:rPr>
            </w:pPr>
          </w:p>
        </w:tc>
        <w:tc>
          <w:tcPr>
            <w:tcW w:w="1260" w:type="dxa"/>
          </w:tcPr>
          <w:p>
            <w:pPr>
              <w:pStyle w:val="TableParagraph"/>
              <w:rPr>
                <w:rFonts w:ascii="Times New Roman"/>
                <w:sz w:val="18"/>
              </w:rPr>
            </w:pPr>
          </w:p>
        </w:tc>
        <w:tc>
          <w:tcPr>
            <w:tcW w:w="1080" w:type="dxa"/>
          </w:tcPr>
          <w:p>
            <w:pPr>
              <w:pStyle w:val="TableParagraph"/>
              <w:spacing w:line="206" w:lineRule="exact" w:before="63"/>
              <w:ind w:right="95"/>
              <w:jc w:val="right"/>
              <w:rPr>
                <w:sz w:val="18"/>
              </w:rPr>
            </w:pPr>
            <w:r>
              <w:rPr>
                <w:w w:val="99"/>
                <w:sz w:val="18"/>
              </w:rPr>
              <w:t>1</w:t>
            </w:r>
          </w:p>
        </w:tc>
        <w:tc>
          <w:tcPr>
            <w:tcW w:w="1440" w:type="dxa"/>
          </w:tcPr>
          <w:p>
            <w:pPr>
              <w:pStyle w:val="TableParagraph"/>
              <w:spacing w:line="206" w:lineRule="exact" w:before="63"/>
              <w:ind w:right="95"/>
              <w:jc w:val="right"/>
              <w:rPr>
                <w:sz w:val="18"/>
              </w:rPr>
            </w:pPr>
            <w:r>
              <w:rPr>
                <w:w w:val="99"/>
                <w:sz w:val="18"/>
              </w:rPr>
              <w:t>2</w:t>
            </w:r>
          </w:p>
        </w:tc>
        <w:tc>
          <w:tcPr>
            <w:tcW w:w="900" w:type="dxa"/>
          </w:tcPr>
          <w:p>
            <w:pPr>
              <w:pStyle w:val="TableParagraph"/>
              <w:spacing w:line="206" w:lineRule="exact" w:before="63"/>
              <w:ind w:right="234"/>
              <w:jc w:val="right"/>
              <w:rPr>
                <w:sz w:val="18"/>
              </w:rPr>
            </w:pPr>
            <w:r>
              <w:rPr>
                <w:spacing w:val="-4"/>
                <w:sz w:val="18"/>
              </w:rPr>
              <w:t>0.3%</w:t>
            </w:r>
          </w:p>
        </w:tc>
        <w:tc>
          <w:tcPr>
            <w:tcW w:w="1620" w:type="dxa"/>
          </w:tcPr>
          <w:p>
            <w:pPr>
              <w:pStyle w:val="TableParagraph"/>
              <w:spacing w:line="206" w:lineRule="exact" w:before="63"/>
              <w:ind w:right="378"/>
              <w:jc w:val="right"/>
              <w:rPr>
                <w:sz w:val="18"/>
              </w:rPr>
            </w:pPr>
            <w:r>
              <w:rPr>
                <w:spacing w:val="-4"/>
                <w:sz w:val="18"/>
              </w:rPr>
              <w:t>0.8%</w:t>
            </w:r>
          </w:p>
        </w:tc>
      </w:tr>
      <w:tr>
        <w:trPr>
          <w:trHeight w:val="288" w:hRule="atLeast"/>
        </w:trPr>
        <w:tc>
          <w:tcPr>
            <w:tcW w:w="2540" w:type="dxa"/>
          </w:tcPr>
          <w:p>
            <w:pPr>
              <w:pStyle w:val="TableParagraph"/>
              <w:spacing w:line="205" w:lineRule="exact" w:before="63"/>
              <w:ind w:left="208"/>
              <w:rPr>
                <w:sz w:val="18"/>
              </w:rPr>
            </w:pPr>
            <w:r>
              <w:rPr>
                <w:sz w:val="18"/>
              </w:rPr>
              <w:t>*</w:t>
            </w:r>
            <w:r>
              <w:rPr>
                <w:spacing w:val="-8"/>
                <w:sz w:val="18"/>
              </w:rPr>
              <w:t> </w:t>
            </w:r>
            <w:r>
              <w:rPr>
                <w:sz w:val="18"/>
              </w:rPr>
              <w:t>single-</w:t>
            </w:r>
            <w:r>
              <w:rPr>
                <w:spacing w:val="-2"/>
                <w:sz w:val="18"/>
              </w:rPr>
              <w:t>storey</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2"/>
                <w:sz w:val="18"/>
              </w:rPr>
              <w:t>422.0</w:t>
            </w:r>
          </w:p>
        </w:tc>
        <w:tc>
          <w:tcPr>
            <w:tcW w:w="1080" w:type="dxa"/>
          </w:tcPr>
          <w:p>
            <w:pPr>
              <w:pStyle w:val="TableParagraph"/>
              <w:spacing w:line="205" w:lineRule="exact" w:before="63"/>
              <w:ind w:right="95"/>
              <w:jc w:val="right"/>
              <w:rPr>
                <w:sz w:val="18"/>
              </w:rPr>
            </w:pPr>
            <w:r>
              <w:rPr>
                <w:spacing w:val="-5"/>
                <w:sz w:val="18"/>
              </w:rPr>
              <w:t>232</w:t>
            </w:r>
          </w:p>
        </w:tc>
        <w:tc>
          <w:tcPr>
            <w:tcW w:w="1260" w:type="dxa"/>
          </w:tcPr>
          <w:p>
            <w:pPr>
              <w:pStyle w:val="TableParagraph"/>
              <w:spacing w:line="205" w:lineRule="exact" w:before="63"/>
              <w:ind w:right="94"/>
              <w:jc w:val="right"/>
              <w:rPr>
                <w:sz w:val="18"/>
              </w:rPr>
            </w:pPr>
            <w:r>
              <w:rPr>
                <w:spacing w:val="-5"/>
                <w:sz w:val="18"/>
              </w:rPr>
              <w:t>190</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2"/>
                <w:sz w:val="18"/>
              </w:rPr>
              <w:t> </w:t>
            </w:r>
            <w:r>
              <w:rPr>
                <w:sz w:val="18"/>
              </w:rPr>
              <w:t>double-</w:t>
            </w:r>
            <w:r>
              <w:rPr>
                <w:spacing w:val="-2"/>
                <w:sz w:val="18"/>
              </w:rPr>
              <w:t>storey</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2"/>
                <w:sz w:val="18"/>
              </w:rPr>
              <w:t>113.0</w:t>
            </w:r>
          </w:p>
        </w:tc>
        <w:tc>
          <w:tcPr>
            <w:tcW w:w="1080" w:type="dxa"/>
          </w:tcPr>
          <w:p>
            <w:pPr>
              <w:pStyle w:val="TableParagraph"/>
              <w:spacing w:line="205" w:lineRule="exact" w:before="63"/>
              <w:ind w:right="94"/>
              <w:jc w:val="right"/>
              <w:rPr>
                <w:sz w:val="18"/>
              </w:rPr>
            </w:pPr>
            <w:r>
              <w:rPr>
                <w:spacing w:val="-5"/>
                <w:sz w:val="18"/>
              </w:rPr>
              <w:t>62</w:t>
            </w:r>
          </w:p>
        </w:tc>
        <w:tc>
          <w:tcPr>
            <w:tcW w:w="1260" w:type="dxa"/>
          </w:tcPr>
          <w:p>
            <w:pPr>
              <w:pStyle w:val="TableParagraph"/>
              <w:spacing w:line="205" w:lineRule="exact" w:before="63"/>
              <w:ind w:right="94"/>
              <w:jc w:val="right"/>
              <w:rPr>
                <w:sz w:val="18"/>
              </w:rPr>
            </w:pPr>
            <w:r>
              <w:rPr>
                <w:spacing w:val="-5"/>
                <w:sz w:val="18"/>
              </w:rPr>
              <w:t>51</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3"/>
                <w:sz w:val="18"/>
              </w:rPr>
              <w:t> </w:t>
            </w:r>
            <w:r>
              <w:rPr>
                <w:sz w:val="18"/>
              </w:rPr>
              <w:t>multi-</w:t>
            </w:r>
            <w:r>
              <w:rPr>
                <w:spacing w:val="-2"/>
                <w:sz w:val="18"/>
              </w:rPr>
              <w:t>storey</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4"/>
                <w:sz w:val="18"/>
              </w:rPr>
              <w:t>59.0</w:t>
            </w:r>
          </w:p>
        </w:tc>
        <w:tc>
          <w:tcPr>
            <w:tcW w:w="1080" w:type="dxa"/>
          </w:tcPr>
          <w:p>
            <w:pPr>
              <w:pStyle w:val="TableParagraph"/>
              <w:spacing w:line="205" w:lineRule="exact" w:before="63"/>
              <w:ind w:right="95"/>
              <w:jc w:val="right"/>
              <w:rPr>
                <w:sz w:val="18"/>
              </w:rPr>
            </w:pPr>
            <w:r>
              <w:rPr>
                <w:spacing w:val="-5"/>
                <w:sz w:val="18"/>
              </w:rPr>
              <w:t>33</w:t>
            </w:r>
          </w:p>
        </w:tc>
        <w:tc>
          <w:tcPr>
            <w:tcW w:w="1260" w:type="dxa"/>
          </w:tcPr>
          <w:p>
            <w:pPr>
              <w:pStyle w:val="TableParagraph"/>
              <w:spacing w:line="205" w:lineRule="exact" w:before="63"/>
              <w:ind w:right="94"/>
              <w:jc w:val="right"/>
              <w:rPr>
                <w:sz w:val="18"/>
              </w:rPr>
            </w:pPr>
            <w:r>
              <w:rPr>
                <w:spacing w:val="-5"/>
                <w:sz w:val="18"/>
              </w:rPr>
              <w:t>27</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107"/>
              <w:rPr>
                <w:sz w:val="18"/>
              </w:rPr>
            </w:pPr>
            <w:r>
              <w:rPr>
                <w:spacing w:val="-2"/>
                <w:sz w:val="18"/>
              </w:rPr>
              <w:t>Shops</w:t>
            </w:r>
          </w:p>
        </w:tc>
        <w:tc>
          <w:tcPr>
            <w:tcW w:w="1260" w:type="dxa"/>
          </w:tcPr>
          <w:p>
            <w:pPr>
              <w:pStyle w:val="TableParagraph"/>
              <w:spacing w:line="205" w:lineRule="exact" w:before="63"/>
              <w:ind w:right="96"/>
              <w:jc w:val="right"/>
              <w:rPr>
                <w:sz w:val="18"/>
              </w:rPr>
            </w:pPr>
            <w:r>
              <w:rPr>
                <w:spacing w:val="-2"/>
                <w:sz w:val="18"/>
              </w:rPr>
              <w:t>2,643.0</w:t>
            </w:r>
          </w:p>
        </w:tc>
        <w:tc>
          <w:tcPr>
            <w:tcW w:w="1260" w:type="dxa"/>
          </w:tcPr>
          <w:p>
            <w:pPr>
              <w:pStyle w:val="TableParagraph"/>
              <w:rPr>
                <w:rFonts w:ascii="Times New Roman"/>
                <w:sz w:val="18"/>
              </w:rPr>
            </w:pPr>
          </w:p>
        </w:tc>
        <w:tc>
          <w:tcPr>
            <w:tcW w:w="1080" w:type="dxa"/>
          </w:tcPr>
          <w:p>
            <w:pPr>
              <w:pStyle w:val="TableParagraph"/>
              <w:rPr>
                <w:rFonts w:ascii="Times New Roman"/>
                <w:sz w:val="18"/>
              </w:rPr>
            </w:pPr>
          </w:p>
        </w:tc>
        <w:tc>
          <w:tcPr>
            <w:tcW w:w="1260" w:type="dxa"/>
          </w:tcPr>
          <w:p>
            <w:pPr>
              <w:pStyle w:val="TableParagraph"/>
              <w:rPr>
                <w:rFonts w:ascii="Times New Roman"/>
                <w:sz w:val="18"/>
              </w:rPr>
            </w:pPr>
          </w:p>
        </w:tc>
        <w:tc>
          <w:tcPr>
            <w:tcW w:w="1080" w:type="dxa"/>
          </w:tcPr>
          <w:p>
            <w:pPr>
              <w:pStyle w:val="TableParagraph"/>
              <w:spacing w:line="205" w:lineRule="exact" w:before="63"/>
              <w:ind w:right="95"/>
              <w:jc w:val="right"/>
              <w:rPr>
                <w:sz w:val="18"/>
              </w:rPr>
            </w:pPr>
            <w:r>
              <w:rPr>
                <w:w w:val="99"/>
                <w:sz w:val="18"/>
              </w:rPr>
              <w:t>1</w:t>
            </w:r>
          </w:p>
        </w:tc>
        <w:tc>
          <w:tcPr>
            <w:tcW w:w="1440" w:type="dxa"/>
          </w:tcPr>
          <w:p>
            <w:pPr>
              <w:pStyle w:val="TableParagraph"/>
              <w:spacing w:line="205" w:lineRule="exact" w:before="63"/>
              <w:ind w:right="95"/>
              <w:jc w:val="right"/>
              <w:rPr>
                <w:sz w:val="18"/>
              </w:rPr>
            </w:pPr>
            <w:r>
              <w:rPr>
                <w:spacing w:val="-5"/>
                <w:sz w:val="18"/>
              </w:rPr>
              <w:t>45</w:t>
            </w:r>
          </w:p>
        </w:tc>
        <w:tc>
          <w:tcPr>
            <w:tcW w:w="900" w:type="dxa"/>
          </w:tcPr>
          <w:p>
            <w:pPr>
              <w:pStyle w:val="TableParagraph"/>
              <w:spacing w:line="205" w:lineRule="exact" w:before="63"/>
              <w:ind w:right="233"/>
              <w:jc w:val="right"/>
              <w:rPr>
                <w:sz w:val="18"/>
              </w:rPr>
            </w:pPr>
            <w:r>
              <w:rPr>
                <w:spacing w:val="-4"/>
                <w:sz w:val="18"/>
              </w:rPr>
              <w:t>0.1%</w:t>
            </w:r>
          </w:p>
        </w:tc>
        <w:tc>
          <w:tcPr>
            <w:tcW w:w="1620" w:type="dxa"/>
          </w:tcPr>
          <w:p>
            <w:pPr>
              <w:pStyle w:val="TableParagraph"/>
              <w:spacing w:line="205" w:lineRule="exact" w:before="63"/>
              <w:ind w:right="378"/>
              <w:jc w:val="right"/>
              <w:rPr>
                <w:sz w:val="18"/>
              </w:rPr>
            </w:pPr>
            <w:r>
              <w:rPr>
                <w:spacing w:val="-4"/>
                <w:sz w:val="18"/>
              </w:rPr>
              <w:t>3.8%</w:t>
            </w:r>
          </w:p>
        </w:tc>
      </w:tr>
      <w:tr>
        <w:trPr>
          <w:trHeight w:val="288" w:hRule="atLeast"/>
        </w:trPr>
        <w:tc>
          <w:tcPr>
            <w:tcW w:w="2540" w:type="dxa"/>
          </w:tcPr>
          <w:p>
            <w:pPr>
              <w:pStyle w:val="TableParagraph"/>
              <w:spacing w:line="205" w:lineRule="exact" w:before="63"/>
              <w:ind w:left="208"/>
              <w:rPr>
                <w:sz w:val="18"/>
              </w:rPr>
            </w:pPr>
            <w:r>
              <w:rPr>
                <w:sz w:val="18"/>
              </w:rPr>
              <w:t>*</w:t>
            </w:r>
            <w:r>
              <w:rPr>
                <w:spacing w:val="42"/>
                <w:sz w:val="18"/>
              </w:rPr>
              <w:t> </w:t>
            </w:r>
            <w:r>
              <w:rPr>
                <w:sz w:val="18"/>
              </w:rPr>
              <w:t>single-</w:t>
            </w:r>
            <w:r>
              <w:rPr>
                <w:spacing w:val="-2"/>
                <w:sz w:val="18"/>
              </w:rPr>
              <w:t>storey</w:t>
            </w:r>
          </w:p>
        </w:tc>
        <w:tc>
          <w:tcPr>
            <w:tcW w:w="1260" w:type="dxa"/>
          </w:tcPr>
          <w:p>
            <w:pPr>
              <w:pStyle w:val="TableParagraph"/>
              <w:rPr>
                <w:rFonts w:ascii="Times New Roman"/>
                <w:sz w:val="18"/>
              </w:rPr>
            </w:pPr>
          </w:p>
        </w:tc>
        <w:tc>
          <w:tcPr>
            <w:tcW w:w="1260" w:type="dxa"/>
          </w:tcPr>
          <w:p>
            <w:pPr>
              <w:pStyle w:val="TableParagraph"/>
              <w:spacing w:line="205" w:lineRule="exact" w:before="63"/>
              <w:ind w:right="96"/>
              <w:jc w:val="right"/>
              <w:rPr>
                <w:sz w:val="18"/>
              </w:rPr>
            </w:pPr>
            <w:r>
              <w:rPr>
                <w:spacing w:val="-2"/>
                <w:sz w:val="18"/>
              </w:rPr>
              <w:t>2,009.0</w:t>
            </w:r>
          </w:p>
        </w:tc>
        <w:tc>
          <w:tcPr>
            <w:tcW w:w="1080" w:type="dxa"/>
          </w:tcPr>
          <w:p>
            <w:pPr>
              <w:pStyle w:val="TableParagraph"/>
              <w:spacing w:line="205" w:lineRule="exact" w:before="63"/>
              <w:ind w:right="95"/>
              <w:jc w:val="right"/>
              <w:rPr>
                <w:sz w:val="18"/>
              </w:rPr>
            </w:pPr>
            <w:r>
              <w:rPr>
                <w:spacing w:val="-2"/>
                <w:sz w:val="18"/>
              </w:rPr>
              <w:t>1,105</w:t>
            </w:r>
          </w:p>
        </w:tc>
        <w:tc>
          <w:tcPr>
            <w:tcW w:w="1260" w:type="dxa"/>
          </w:tcPr>
          <w:p>
            <w:pPr>
              <w:pStyle w:val="TableParagraph"/>
              <w:spacing w:line="205" w:lineRule="exact" w:before="63"/>
              <w:ind w:right="94"/>
              <w:jc w:val="right"/>
              <w:rPr>
                <w:sz w:val="18"/>
              </w:rPr>
            </w:pPr>
            <w:r>
              <w:rPr>
                <w:spacing w:val="-5"/>
                <w:sz w:val="18"/>
              </w:rPr>
              <w:t>904</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0" w:hRule="atLeast"/>
        </w:trPr>
        <w:tc>
          <w:tcPr>
            <w:tcW w:w="2540" w:type="dxa"/>
          </w:tcPr>
          <w:p>
            <w:pPr>
              <w:pStyle w:val="TableParagraph"/>
              <w:spacing w:line="206" w:lineRule="exact" w:before="63"/>
              <w:ind w:left="208"/>
              <w:rPr>
                <w:sz w:val="18"/>
              </w:rPr>
            </w:pPr>
            <w:r>
              <w:rPr>
                <w:sz w:val="18"/>
              </w:rPr>
              <w:t>*</w:t>
            </w:r>
            <w:r>
              <w:rPr>
                <w:spacing w:val="43"/>
                <w:sz w:val="18"/>
              </w:rPr>
              <w:t> </w:t>
            </w:r>
            <w:r>
              <w:rPr>
                <w:sz w:val="18"/>
              </w:rPr>
              <w:t>two-</w:t>
            </w:r>
            <w:r>
              <w:rPr>
                <w:spacing w:val="-2"/>
                <w:sz w:val="18"/>
              </w:rPr>
              <w:t>storey</w:t>
            </w:r>
          </w:p>
        </w:tc>
        <w:tc>
          <w:tcPr>
            <w:tcW w:w="1260" w:type="dxa"/>
          </w:tcPr>
          <w:p>
            <w:pPr>
              <w:pStyle w:val="TableParagraph"/>
              <w:rPr>
                <w:rFonts w:ascii="Times New Roman"/>
                <w:sz w:val="18"/>
              </w:rPr>
            </w:pPr>
          </w:p>
        </w:tc>
        <w:tc>
          <w:tcPr>
            <w:tcW w:w="1260" w:type="dxa"/>
          </w:tcPr>
          <w:p>
            <w:pPr>
              <w:pStyle w:val="TableParagraph"/>
              <w:spacing w:line="206" w:lineRule="exact" w:before="63"/>
              <w:ind w:right="95"/>
              <w:jc w:val="right"/>
              <w:rPr>
                <w:sz w:val="18"/>
              </w:rPr>
            </w:pPr>
            <w:r>
              <w:rPr>
                <w:spacing w:val="-2"/>
                <w:sz w:val="18"/>
              </w:rPr>
              <w:t>211.0</w:t>
            </w:r>
          </w:p>
        </w:tc>
        <w:tc>
          <w:tcPr>
            <w:tcW w:w="1080" w:type="dxa"/>
          </w:tcPr>
          <w:p>
            <w:pPr>
              <w:pStyle w:val="TableParagraph"/>
              <w:spacing w:line="206" w:lineRule="exact" w:before="63"/>
              <w:ind w:right="94"/>
              <w:jc w:val="right"/>
              <w:rPr>
                <w:sz w:val="18"/>
              </w:rPr>
            </w:pPr>
            <w:r>
              <w:rPr>
                <w:spacing w:val="-5"/>
                <w:sz w:val="18"/>
              </w:rPr>
              <w:t>116</w:t>
            </w:r>
          </w:p>
        </w:tc>
        <w:tc>
          <w:tcPr>
            <w:tcW w:w="1260" w:type="dxa"/>
          </w:tcPr>
          <w:p>
            <w:pPr>
              <w:pStyle w:val="TableParagraph"/>
              <w:spacing w:line="206" w:lineRule="exact" w:before="63"/>
              <w:ind w:right="94"/>
              <w:jc w:val="right"/>
              <w:rPr>
                <w:sz w:val="18"/>
              </w:rPr>
            </w:pPr>
            <w:r>
              <w:rPr>
                <w:spacing w:val="-5"/>
                <w:sz w:val="18"/>
              </w:rPr>
              <w:t>95</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3"/>
                <w:sz w:val="18"/>
              </w:rPr>
              <w:t> </w:t>
            </w:r>
            <w:r>
              <w:rPr>
                <w:sz w:val="18"/>
              </w:rPr>
              <w:t>multi-</w:t>
            </w:r>
            <w:r>
              <w:rPr>
                <w:spacing w:val="-2"/>
                <w:sz w:val="18"/>
              </w:rPr>
              <w:t>story</w:t>
            </w:r>
          </w:p>
        </w:tc>
        <w:tc>
          <w:tcPr>
            <w:tcW w:w="1260" w:type="dxa"/>
          </w:tcPr>
          <w:p>
            <w:pPr>
              <w:pStyle w:val="TableParagraph"/>
              <w:rPr>
                <w:rFonts w:ascii="Times New Roman"/>
                <w:sz w:val="18"/>
              </w:rPr>
            </w:pPr>
          </w:p>
        </w:tc>
        <w:tc>
          <w:tcPr>
            <w:tcW w:w="1260" w:type="dxa"/>
          </w:tcPr>
          <w:p>
            <w:pPr>
              <w:pStyle w:val="TableParagraph"/>
              <w:spacing w:line="205" w:lineRule="exact" w:before="63"/>
              <w:ind w:right="96"/>
              <w:jc w:val="right"/>
              <w:rPr>
                <w:sz w:val="18"/>
              </w:rPr>
            </w:pPr>
            <w:r>
              <w:rPr>
                <w:spacing w:val="-2"/>
                <w:sz w:val="18"/>
              </w:rPr>
              <w:t>423.0</w:t>
            </w:r>
          </w:p>
        </w:tc>
        <w:tc>
          <w:tcPr>
            <w:tcW w:w="1080" w:type="dxa"/>
          </w:tcPr>
          <w:p>
            <w:pPr>
              <w:pStyle w:val="TableParagraph"/>
              <w:spacing w:line="205" w:lineRule="exact" w:before="63"/>
              <w:ind w:right="95"/>
              <w:jc w:val="right"/>
              <w:rPr>
                <w:sz w:val="18"/>
              </w:rPr>
            </w:pPr>
            <w:r>
              <w:rPr>
                <w:spacing w:val="-5"/>
                <w:sz w:val="18"/>
              </w:rPr>
              <w:t>233</w:t>
            </w:r>
          </w:p>
        </w:tc>
        <w:tc>
          <w:tcPr>
            <w:tcW w:w="1260" w:type="dxa"/>
          </w:tcPr>
          <w:p>
            <w:pPr>
              <w:pStyle w:val="TableParagraph"/>
              <w:spacing w:line="205" w:lineRule="exact" w:before="63"/>
              <w:ind w:right="94"/>
              <w:jc w:val="right"/>
              <w:rPr>
                <w:sz w:val="18"/>
              </w:rPr>
            </w:pPr>
            <w:r>
              <w:rPr>
                <w:spacing w:val="-5"/>
                <w:sz w:val="18"/>
              </w:rPr>
              <w:t>190</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107"/>
              <w:rPr>
                <w:sz w:val="18"/>
              </w:rPr>
            </w:pPr>
            <w:r>
              <w:rPr>
                <w:spacing w:val="-2"/>
                <w:sz w:val="18"/>
              </w:rPr>
              <w:t>Factories</w:t>
            </w:r>
          </w:p>
        </w:tc>
        <w:tc>
          <w:tcPr>
            <w:tcW w:w="1260" w:type="dxa"/>
          </w:tcPr>
          <w:p>
            <w:pPr>
              <w:pStyle w:val="TableParagraph"/>
              <w:spacing w:line="205" w:lineRule="exact" w:before="63"/>
              <w:ind w:right="97"/>
              <w:jc w:val="right"/>
              <w:rPr>
                <w:sz w:val="18"/>
              </w:rPr>
            </w:pPr>
            <w:r>
              <w:rPr>
                <w:spacing w:val="-2"/>
                <w:sz w:val="18"/>
              </w:rPr>
              <w:t>828.0</w:t>
            </w:r>
          </w:p>
        </w:tc>
        <w:tc>
          <w:tcPr>
            <w:tcW w:w="1260" w:type="dxa"/>
          </w:tcPr>
          <w:p>
            <w:pPr>
              <w:pStyle w:val="TableParagraph"/>
              <w:rPr>
                <w:rFonts w:ascii="Times New Roman"/>
                <w:sz w:val="18"/>
              </w:rPr>
            </w:pPr>
          </w:p>
        </w:tc>
        <w:tc>
          <w:tcPr>
            <w:tcW w:w="1080" w:type="dxa"/>
          </w:tcPr>
          <w:p>
            <w:pPr>
              <w:pStyle w:val="TableParagraph"/>
              <w:spacing w:line="205" w:lineRule="exact" w:before="63"/>
              <w:ind w:right="96"/>
              <w:jc w:val="right"/>
              <w:rPr>
                <w:sz w:val="18"/>
              </w:rPr>
            </w:pPr>
            <w:r>
              <w:rPr>
                <w:spacing w:val="-5"/>
                <w:sz w:val="18"/>
              </w:rPr>
              <w:t>596</w:t>
            </w:r>
          </w:p>
        </w:tc>
        <w:tc>
          <w:tcPr>
            <w:tcW w:w="1260" w:type="dxa"/>
          </w:tcPr>
          <w:p>
            <w:pPr>
              <w:pStyle w:val="TableParagraph"/>
              <w:spacing w:line="205" w:lineRule="exact" w:before="63"/>
              <w:ind w:right="96"/>
              <w:jc w:val="right"/>
              <w:rPr>
                <w:sz w:val="18"/>
              </w:rPr>
            </w:pPr>
            <w:r>
              <w:rPr>
                <w:spacing w:val="-5"/>
                <w:sz w:val="18"/>
              </w:rPr>
              <w:t>232</w:t>
            </w:r>
          </w:p>
        </w:tc>
        <w:tc>
          <w:tcPr>
            <w:tcW w:w="1080" w:type="dxa"/>
          </w:tcPr>
          <w:p>
            <w:pPr>
              <w:pStyle w:val="TableParagraph"/>
              <w:spacing w:line="205" w:lineRule="exact" w:before="63"/>
              <w:ind w:right="95"/>
              <w:jc w:val="right"/>
              <w:rPr>
                <w:sz w:val="18"/>
              </w:rPr>
            </w:pPr>
            <w:r>
              <w:rPr>
                <w:w w:val="99"/>
                <w:sz w:val="18"/>
              </w:rPr>
              <w:t>7</w:t>
            </w:r>
          </w:p>
        </w:tc>
        <w:tc>
          <w:tcPr>
            <w:tcW w:w="1440" w:type="dxa"/>
          </w:tcPr>
          <w:p>
            <w:pPr>
              <w:pStyle w:val="TableParagraph"/>
              <w:spacing w:line="205" w:lineRule="exact" w:before="63"/>
              <w:ind w:right="95"/>
              <w:jc w:val="right"/>
              <w:rPr>
                <w:sz w:val="18"/>
              </w:rPr>
            </w:pPr>
            <w:r>
              <w:rPr>
                <w:spacing w:val="-5"/>
                <w:sz w:val="18"/>
              </w:rPr>
              <w:t>10</w:t>
            </w:r>
          </w:p>
        </w:tc>
        <w:tc>
          <w:tcPr>
            <w:tcW w:w="900" w:type="dxa"/>
          </w:tcPr>
          <w:p>
            <w:pPr>
              <w:pStyle w:val="TableParagraph"/>
              <w:spacing w:line="205" w:lineRule="exact" w:before="63"/>
              <w:ind w:right="234"/>
              <w:jc w:val="right"/>
              <w:rPr>
                <w:sz w:val="18"/>
              </w:rPr>
            </w:pPr>
            <w:r>
              <w:rPr>
                <w:spacing w:val="-4"/>
                <w:sz w:val="18"/>
              </w:rPr>
              <w:t>1.1%</w:t>
            </w:r>
          </w:p>
        </w:tc>
        <w:tc>
          <w:tcPr>
            <w:tcW w:w="1620" w:type="dxa"/>
          </w:tcPr>
          <w:p>
            <w:pPr>
              <w:pStyle w:val="TableParagraph"/>
              <w:spacing w:line="205" w:lineRule="exact" w:before="63"/>
              <w:ind w:right="378"/>
              <w:jc w:val="right"/>
              <w:rPr>
                <w:sz w:val="18"/>
              </w:rPr>
            </w:pPr>
            <w:r>
              <w:rPr>
                <w:spacing w:val="-4"/>
                <w:sz w:val="18"/>
              </w:rPr>
              <w:t>4.4%</w:t>
            </w:r>
          </w:p>
        </w:tc>
      </w:tr>
      <w:tr>
        <w:trPr>
          <w:trHeight w:val="288" w:hRule="atLeast"/>
        </w:trPr>
        <w:tc>
          <w:tcPr>
            <w:tcW w:w="2540" w:type="dxa"/>
          </w:tcPr>
          <w:p>
            <w:pPr>
              <w:pStyle w:val="TableParagraph"/>
              <w:spacing w:line="205" w:lineRule="exact" w:before="63"/>
              <w:ind w:left="107"/>
              <w:rPr>
                <w:sz w:val="18"/>
              </w:rPr>
            </w:pPr>
            <w:r>
              <w:rPr>
                <w:spacing w:val="-2"/>
                <w:sz w:val="18"/>
              </w:rPr>
              <w:t>Offices</w:t>
            </w:r>
          </w:p>
        </w:tc>
        <w:tc>
          <w:tcPr>
            <w:tcW w:w="1260" w:type="dxa"/>
          </w:tcPr>
          <w:p>
            <w:pPr>
              <w:pStyle w:val="TableParagraph"/>
              <w:spacing w:line="205" w:lineRule="exact" w:before="63"/>
              <w:ind w:right="97"/>
              <w:jc w:val="right"/>
              <w:rPr>
                <w:sz w:val="18"/>
              </w:rPr>
            </w:pPr>
            <w:r>
              <w:rPr>
                <w:spacing w:val="-2"/>
                <w:sz w:val="18"/>
              </w:rPr>
              <w:t>4,095.0</w:t>
            </w:r>
          </w:p>
        </w:tc>
        <w:tc>
          <w:tcPr>
            <w:tcW w:w="1260" w:type="dxa"/>
          </w:tcPr>
          <w:p>
            <w:pPr>
              <w:pStyle w:val="TableParagraph"/>
              <w:rPr>
                <w:rFonts w:ascii="Times New Roman"/>
                <w:sz w:val="18"/>
              </w:rPr>
            </w:pPr>
          </w:p>
        </w:tc>
        <w:tc>
          <w:tcPr>
            <w:tcW w:w="1080" w:type="dxa"/>
          </w:tcPr>
          <w:p>
            <w:pPr>
              <w:pStyle w:val="TableParagraph"/>
              <w:rPr>
                <w:rFonts w:ascii="Times New Roman"/>
                <w:sz w:val="18"/>
              </w:rPr>
            </w:pPr>
          </w:p>
        </w:tc>
        <w:tc>
          <w:tcPr>
            <w:tcW w:w="1260" w:type="dxa"/>
          </w:tcPr>
          <w:p>
            <w:pPr>
              <w:pStyle w:val="TableParagraph"/>
              <w:rPr>
                <w:rFonts w:ascii="Times New Roman"/>
                <w:sz w:val="18"/>
              </w:rPr>
            </w:pPr>
          </w:p>
        </w:tc>
        <w:tc>
          <w:tcPr>
            <w:tcW w:w="1080" w:type="dxa"/>
          </w:tcPr>
          <w:p>
            <w:pPr>
              <w:pStyle w:val="TableParagraph"/>
              <w:spacing w:line="205" w:lineRule="exact" w:before="63"/>
              <w:ind w:right="97"/>
              <w:jc w:val="right"/>
              <w:rPr>
                <w:sz w:val="18"/>
              </w:rPr>
            </w:pPr>
            <w:r>
              <w:rPr>
                <w:spacing w:val="-5"/>
                <w:sz w:val="18"/>
              </w:rPr>
              <w:t>103</w:t>
            </w:r>
          </w:p>
        </w:tc>
        <w:tc>
          <w:tcPr>
            <w:tcW w:w="1440" w:type="dxa"/>
          </w:tcPr>
          <w:p>
            <w:pPr>
              <w:pStyle w:val="TableParagraph"/>
              <w:spacing w:line="205" w:lineRule="exact" w:before="63"/>
              <w:ind w:right="96"/>
              <w:jc w:val="right"/>
              <w:rPr>
                <w:sz w:val="18"/>
              </w:rPr>
            </w:pPr>
            <w:r>
              <w:rPr>
                <w:spacing w:val="-5"/>
                <w:sz w:val="18"/>
              </w:rPr>
              <w:t>83</w:t>
            </w:r>
          </w:p>
        </w:tc>
        <w:tc>
          <w:tcPr>
            <w:tcW w:w="900" w:type="dxa"/>
          </w:tcPr>
          <w:p>
            <w:pPr>
              <w:pStyle w:val="TableParagraph"/>
              <w:spacing w:line="205" w:lineRule="exact" w:before="63"/>
              <w:ind w:right="234"/>
              <w:jc w:val="right"/>
              <w:rPr>
                <w:sz w:val="18"/>
              </w:rPr>
            </w:pPr>
            <w:r>
              <w:rPr>
                <w:spacing w:val="-4"/>
                <w:sz w:val="18"/>
              </w:rPr>
              <w:t>3.6%</w:t>
            </w:r>
          </w:p>
        </w:tc>
        <w:tc>
          <w:tcPr>
            <w:tcW w:w="1620" w:type="dxa"/>
          </w:tcPr>
          <w:p>
            <w:pPr>
              <w:pStyle w:val="TableParagraph"/>
              <w:spacing w:line="205" w:lineRule="exact" w:before="63"/>
              <w:ind w:right="378"/>
              <w:jc w:val="right"/>
              <w:rPr>
                <w:sz w:val="18"/>
              </w:rPr>
            </w:pPr>
            <w:r>
              <w:rPr>
                <w:spacing w:val="-4"/>
                <w:sz w:val="18"/>
              </w:rPr>
              <w:t>6.7%</w:t>
            </w:r>
          </w:p>
        </w:tc>
      </w:tr>
      <w:tr>
        <w:trPr>
          <w:trHeight w:val="288" w:hRule="atLeast"/>
        </w:trPr>
        <w:tc>
          <w:tcPr>
            <w:tcW w:w="2540" w:type="dxa"/>
          </w:tcPr>
          <w:p>
            <w:pPr>
              <w:pStyle w:val="TableParagraph"/>
              <w:spacing w:line="205" w:lineRule="exact" w:before="63"/>
              <w:ind w:left="208"/>
              <w:rPr>
                <w:sz w:val="18"/>
              </w:rPr>
            </w:pPr>
            <w:r>
              <w:rPr>
                <w:sz w:val="18"/>
              </w:rPr>
              <w:t>*</w:t>
            </w:r>
            <w:r>
              <w:rPr>
                <w:spacing w:val="44"/>
                <w:sz w:val="18"/>
              </w:rPr>
              <w:t> </w:t>
            </w:r>
            <w:r>
              <w:rPr>
                <w:sz w:val="18"/>
              </w:rPr>
              <w:t>single</w:t>
            </w:r>
            <w:r>
              <w:rPr>
                <w:spacing w:val="-2"/>
                <w:sz w:val="18"/>
              </w:rPr>
              <w:t> </w:t>
            </w:r>
            <w:r>
              <w:rPr>
                <w:sz w:val="18"/>
              </w:rPr>
              <w:t>storey</w:t>
            </w:r>
            <w:r>
              <w:rPr>
                <w:spacing w:val="-4"/>
                <w:sz w:val="18"/>
              </w:rPr>
              <w:t> </w:t>
            </w:r>
            <w:r>
              <w:rPr>
                <w:sz w:val="18"/>
              </w:rPr>
              <w:t>ground</w:t>
            </w:r>
            <w:r>
              <w:rPr>
                <w:spacing w:val="-3"/>
                <w:sz w:val="18"/>
              </w:rPr>
              <w:t> </w:t>
            </w:r>
            <w:r>
              <w:rPr>
                <w:spacing w:val="-2"/>
                <w:sz w:val="18"/>
              </w:rPr>
              <w:t>floor</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2"/>
                <w:sz w:val="18"/>
              </w:rPr>
              <w:t>2,211.3</w:t>
            </w:r>
          </w:p>
        </w:tc>
        <w:tc>
          <w:tcPr>
            <w:tcW w:w="1080" w:type="dxa"/>
          </w:tcPr>
          <w:p>
            <w:pPr>
              <w:pStyle w:val="TableParagraph"/>
              <w:spacing w:line="205" w:lineRule="exact" w:before="63"/>
              <w:ind w:right="94"/>
              <w:jc w:val="right"/>
              <w:rPr>
                <w:sz w:val="18"/>
              </w:rPr>
            </w:pPr>
            <w:r>
              <w:rPr>
                <w:spacing w:val="-4"/>
                <w:sz w:val="18"/>
              </w:rPr>
              <w:t>1548</w:t>
            </w:r>
          </w:p>
        </w:tc>
        <w:tc>
          <w:tcPr>
            <w:tcW w:w="1260" w:type="dxa"/>
          </w:tcPr>
          <w:p>
            <w:pPr>
              <w:pStyle w:val="TableParagraph"/>
              <w:spacing w:line="205" w:lineRule="exact" w:before="63"/>
              <w:ind w:right="93"/>
              <w:jc w:val="right"/>
              <w:rPr>
                <w:sz w:val="18"/>
              </w:rPr>
            </w:pPr>
            <w:r>
              <w:rPr>
                <w:spacing w:val="-5"/>
                <w:sz w:val="18"/>
              </w:rPr>
              <w:t>663</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0" w:hRule="atLeast"/>
        </w:trPr>
        <w:tc>
          <w:tcPr>
            <w:tcW w:w="2540" w:type="dxa"/>
          </w:tcPr>
          <w:p>
            <w:pPr>
              <w:pStyle w:val="TableParagraph"/>
              <w:spacing w:line="206" w:lineRule="exact" w:before="63"/>
              <w:ind w:left="208"/>
              <w:rPr>
                <w:sz w:val="18"/>
              </w:rPr>
            </w:pPr>
            <w:r>
              <w:rPr>
                <w:sz w:val="18"/>
              </w:rPr>
              <w:t>*</w:t>
            </w:r>
            <w:r>
              <w:rPr>
                <w:spacing w:val="45"/>
                <w:sz w:val="18"/>
              </w:rPr>
              <w:t> </w:t>
            </w:r>
            <w:r>
              <w:rPr>
                <w:sz w:val="18"/>
              </w:rPr>
              <w:t>ground</w:t>
            </w:r>
            <w:r>
              <w:rPr>
                <w:spacing w:val="-2"/>
                <w:sz w:val="18"/>
              </w:rPr>
              <w:t> </w:t>
            </w:r>
            <w:r>
              <w:rPr>
                <w:sz w:val="18"/>
              </w:rPr>
              <w:t>plus</w:t>
            </w:r>
            <w:r>
              <w:rPr>
                <w:spacing w:val="-2"/>
                <w:sz w:val="18"/>
              </w:rPr>
              <w:t> </w:t>
            </w:r>
            <w:r>
              <w:rPr>
                <w:sz w:val="18"/>
              </w:rPr>
              <w:t>first</w:t>
            </w:r>
            <w:r>
              <w:rPr>
                <w:spacing w:val="-2"/>
                <w:sz w:val="18"/>
              </w:rPr>
              <w:t> floor</w:t>
            </w:r>
          </w:p>
        </w:tc>
        <w:tc>
          <w:tcPr>
            <w:tcW w:w="1260" w:type="dxa"/>
          </w:tcPr>
          <w:p>
            <w:pPr>
              <w:pStyle w:val="TableParagraph"/>
              <w:rPr>
                <w:rFonts w:ascii="Times New Roman"/>
                <w:sz w:val="18"/>
              </w:rPr>
            </w:pPr>
          </w:p>
        </w:tc>
        <w:tc>
          <w:tcPr>
            <w:tcW w:w="1260" w:type="dxa"/>
          </w:tcPr>
          <w:p>
            <w:pPr>
              <w:pStyle w:val="TableParagraph"/>
              <w:spacing w:line="206" w:lineRule="exact" w:before="63"/>
              <w:ind w:right="94"/>
              <w:jc w:val="right"/>
              <w:rPr>
                <w:sz w:val="18"/>
              </w:rPr>
            </w:pPr>
            <w:r>
              <w:rPr>
                <w:spacing w:val="-2"/>
                <w:sz w:val="18"/>
              </w:rPr>
              <w:t>737.1</w:t>
            </w:r>
          </w:p>
        </w:tc>
        <w:tc>
          <w:tcPr>
            <w:tcW w:w="1080" w:type="dxa"/>
          </w:tcPr>
          <w:p>
            <w:pPr>
              <w:pStyle w:val="TableParagraph"/>
              <w:spacing w:line="206" w:lineRule="exact" w:before="63"/>
              <w:ind w:right="93"/>
              <w:jc w:val="right"/>
              <w:rPr>
                <w:sz w:val="18"/>
              </w:rPr>
            </w:pPr>
            <w:r>
              <w:rPr>
                <w:spacing w:val="-5"/>
                <w:sz w:val="18"/>
              </w:rPr>
              <w:t>516</w:t>
            </w:r>
          </w:p>
        </w:tc>
        <w:tc>
          <w:tcPr>
            <w:tcW w:w="1260" w:type="dxa"/>
          </w:tcPr>
          <w:p>
            <w:pPr>
              <w:pStyle w:val="TableParagraph"/>
              <w:spacing w:line="206" w:lineRule="exact" w:before="63"/>
              <w:ind w:right="93"/>
              <w:jc w:val="right"/>
              <w:rPr>
                <w:sz w:val="18"/>
              </w:rPr>
            </w:pPr>
            <w:r>
              <w:rPr>
                <w:spacing w:val="-5"/>
                <w:sz w:val="18"/>
              </w:rPr>
              <w:t>221</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5"/>
                <w:sz w:val="18"/>
              </w:rPr>
              <w:t> </w:t>
            </w:r>
            <w:r>
              <w:rPr>
                <w:sz w:val="18"/>
              </w:rPr>
              <w:t>medium</w:t>
            </w:r>
            <w:r>
              <w:rPr>
                <w:spacing w:val="-2"/>
                <w:sz w:val="18"/>
              </w:rPr>
              <w:t> </w:t>
            </w:r>
            <w:r>
              <w:rPr>
                <w:sz w:val="18"/>
              </w:rPr>
              <w:t>rise</w:t>
            </w:r>
            <w:r>
              <w:rPr>
                <w:spacing w:val="-3"/>
                <w:sz w:val="18"/>
              </w:rPr>
              <w:t> </w:t>
            </w:r>
            <w:r>
              <w:rPr>
                <w:sz w:val="18"/>
              </w:rPr>
              <w:t>(7</w:t>
            </w:r>
            <w:r>
              <w:rPr>
                <w:spacing w:val="-2"/>
                <w:sz w:val="18"/>
              </w:rPr>
              <w:t> stories)</w:t>
            </w:r>
          </w:p>
        </w:tc>
        <w:tc>
          <w:tcPr>
            <w:tcW w:w="1260" w:type="dxa"/>
          </w:tcPr>
          <w:p>
            <w:pPr>
              <w:pStyle w:val="TableParagraph"/>
              <w:rPr>
                <w:rFonts w:ascii="Times New Roman"/>
                <w:sz w:val="18"/>
              </w:rPr>
            </w:pPr>
          </w:p>
        </w:tc>
        <w:tc>
          <w:tcPr>
            <w:tcW w:w="1260" w:type="dxa"/>
          </w:tcPr>
          <w:p>
            <w:pPr>
              <w:pStyle w:val="TableParagraph"/>
              <w:spacing w:line="205" w:lineRule="exact" w:before="63"/>
              <w:ind w:right="94"/>
              <w:jc w:val="right"/>
              <w:rPr>
                <w:sz w:val="18"/>
              </w:rPr>
            </w:pPr>
            <w:r>
              <w:rPr>
                <w:spacing w:val="-2"/>
                <w:sz w:val="18"/>
              </w:rPr>
              <w:t>491.0</w:t>
            </w:r>
          </w:p>
        </w:tc>
        <w:tc>
          <w:tcPr>
            <w:tcW w:w="1080" w:type="dxa"/>
          </w:tcPr>
          <w:p>
            <w:pPr>
              <w:pStyle w:val="TableParagraph"/>
              <w:spacing w:line="205" w:lineRule="exact" w:before="63"/>
              <w:ind w:right="93"/>
              <w:jc w:val="right"/>
              <w:rPr>
                <w:sz w:val="18"/>
              </w:rPr>
            </w:pPr>
            <w:r>
              <w:rPr>
                <w:spacing w:val="-5"/>
                <w:sz w:val="18"/>
              </w:rPr>
              <w:t>344</w:t>
            </w:r>
          </w:p>
        </w:tc>
        <w:tc>
          <w:tcPr>
            <w:tcW w:w="1260" w:type="dxa"/>
          </w:tcPr>
          <w:p>
            <w:pPr>
              <w:pStyle w:val="TableParagraph"/>
              <w:spacing w:line="205" w:lineRule="exact" w:before="63"/>
              <w:ind w:right="92"/>
              <w:jc w:val="right"/>
              <w:rPr>
                <w:sz w:val="18"/>
              </w:rPr>
            </w:pPr>
            <w:r>
              <w:rPr>
                <w:spacing w:val="-5"/>
                <w:sz w:val="18"/>
              </w:rPr>
              <w:t>147</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208"/>
              <w:rPr>
                <w:sz w:val="18"/>
              </w:rPr>
            </w:pPr>
            <w:r>
              <w:rPr>
                <w:sz w:val="18"/>
              </w:rPr>
              <w:t>*</w:t>
            </w:r>
            <w:r>
              <w:rPr>
                <w:spacing w:val="47"/>
                <w:sz w:val="18"/>
              </w:rPr>
              <w:t> </w:t>
            </w:r>
            <w:r>
              <w:rPr>
                <w:sz w:val="18"/>
              </w:rPr>
              <w:t>high</w:t>
            </w:r>
            <w:r>
              <w:rPr>
                <w:spacing w:val="-1"/>
                <w:sz w:val="18"/>
              </w:rPr>
              <w:t> </w:t>
            </w:r>
            <w:r>
              <w:rPr>
                <w:spacing w:val="-4"/>
                <w:sz w:val="18"/>
              </w:rPr>
              <w:t>rise</w:t>
            </w:r>
          </w:p>
        </w:tc>
        <w:tc>
          <w:tcPr>
            <w:tcW w:w="1260" w:type="dxa"/>
          </w:tcPr>
          <w:p>
            <w:pPr>
              <w:pStyle w:val="TableParagraph"/>
              <w:rPr>
                <w:rFonts w:ascii="Times New Roman"/>
                <w:sz w:val="18"/>
              </w:rPr>
            </w:pPr>
          </w:p>
        </w:tc>
        <w:tc>
          <w:tcPr>
            <w:tcW w:w="1260" w:type="dxa"/>
          </w:tcPr>
          <w:p>
            <w:pPr>
              <w:pStyle w:val="TableParagraph"/>
              <w:spacing w:line="205" w:lineRule="exact" w:before="63"/>
              <w:ind w:right="95"/>
              <w:jc w:val="right"/>
              <w:rPr>
                <w:sz w:val="18"/>
              </w:rPr>
            </w:pPr>
            <w:r>
              <w:rPr>
                <w:spacing w:val="-2"/>
                <w:sz w:val="18"/>
              </w:rPr>
              <w:t>655.0</w:t>
            </w:r>
          </w:p>
        </w:tc>
        <w:tc>
          <w:tcPr>
            <w:tcW w:w="1080" w:type="dxa"/>
          </w:tcPr>
          <w:p>
            <w:pPr>
              <w:pStyle w:val="TableParagraph"/>
              <w:spacing w:line="205" w:lineRule="exact" w:before="63"/>
              <w:ind w:right="94"/>
              <w:jc w:val="right"/>
              <w:rPr>
                <w:sz w:val="18"/>
              </w:rPr>
            </w:pPr>
            <w:r>
              <w:rPr>
                <w:spacing w:val="-5"/>
                <w:sz w:val="18"/>
              </w:rPr>
              <w:t>459</w:t>
            </w:r>
          </w:p>
        </w:tc>
        <w:tc>
          <w:tcPr>
            <w:tcW w:w="1260" w:type="dxa"/>
          </w:tcPr>
          <w:p>
            <w:pPr>
              <w:pStyle w:val="TableParagraph"/>
              <w:spacing w:line="205" w:lineRule="exact" w:before="63"/>
              <w:ind w:right="94"/>
              <w:jc w:val="right"/>
              <w:rPr>
                <w:sz w:val="18"/>
              </w:rPr>
            </w:pPr>
            <w:r>
              <w:rPr>
                <w:spacing w:val="-5"/>
                <w:sz w:val="18"/>
              </w:rPr>
              <w:t>197</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88" w:hRule="atLeast"/>
        </w:trPr>
        <w:tc>
          <w:tcPr>
            <w:tcW w:w="2540" w:type="dxa"/>
          </w:tcPr>
          <w:p>
            <w:pPr>
              <w:pStyle w:val="TableParagraph"/>
              <w:spacing w:line="205" w:lineRule="exact" w:before="63"/>
              <w:ind w:left="107"/>
              <w:rPr>
                <w:sz w:val="18"/>
              </w:rPr>
            </w:pPr>
            <w:r>
              <w:rPr>
                <w:sz w:val="18"/>
              </w:rPr>
              <w:t>Other</w:t>
            </w:r>
            <w:r>
              <w:rPr>
                <w:spacing w:val="-4"/>
                <w:sz w:val="18"/>
              </w:rPr>
              <w:t> </w:t>
            </w:r>
            <w:r>
              <w:rPr>
                <w:spacing w:val="-2"/>
                <w:sz w:val="18"/>
              </w:rPr>
              <w:t>businesses</w:t>
            </w:r>
          </w:p>
        </w:tc>
        <w:tc>
          <w:tcPr>
            <w:tcW w:w="1260" w:type="dxa"/>
          </w:tcPr>
          <w:p>
            <w:pPr>
              <w:pStyle w:val="TableParagraph"/>
              <w:spacing w:line="205" w:lineRule="exact" w:before="63"/>
              <w:ind w:right="95"/>
              <w:jc w:val="right"/>
              <w:rPr>
                <w:sz w:val="18"/>
              </w:rPr>
            </w:pPr>
            <w:r>
              <w:rPr>
                <w:spacing w:val="-2"/>
                <w:sz w:val="18"/>
              </w:rPr>
              <w:t>2,077.0</w:t>
            </w:r>
          </w:p>
        </w:tc>
        <w:tc>
          <w:tcPr>
            <w:tcW w:w="1260" w:type="dxa"/>
          </w:tcPr>
          <w:p>
            <w:pPr>
              <w:pStyle w:val="TableParagraph"/>
              <w:rPr>
                <w:rFonts w:ascii="Times New Roman"/>
                <w:sz w:val="18"/>
              </w:rPr>
            </w:pPr>
          </w:p>
        </w:tc>
        <w:tc>
          <w:tcPr>
            <w:tcW w:w="1080" w:type="dxa"/>
          </w:tcPr>
          <w:p>
            <w:pPr>
              <w:pStyle w:val="TableParagraph"/>
              <w:spacing w:line="205" w:lineRule="exact" w:before="63"/>
              <w:ind w:right="96"/>
              <w:jc w:val="right"/>
              <w:rPr>
                <w:sz w:val="18"/>
              </w:rPr>
            </w:pPr>
            <w:r>
              <w:rPr>
                <w:spacing w:val="-2"/>
                <w:sz w:val="18"/>
              </w:rPr>
              <w:t>1,059</w:t>
            </w:r>
          </w:p>
        </w:tc>
        <w:tc>
          <w:tcPr>
            <w:tcW w:w="1260" w:type="dxa"/>
          </w:tcPr>
          <w:p>
            <w:pPr>
              <w:pStyle w:val="TableParagraph"/>
              <w:spacing w:line="205" w:lineRule="exact" w:before="63"/>
              <w:ind w:right="96"/>
              <w:jc w:val="right"/>
              <w:rPr>
                <w:sz w:val="18"/>
              </w:rPr>
            </w:pPr>
            <w:r>
              <w:rPr>
                <w:spacing w:val="-2"/>
                <w:sz w:val="18"/>
              </w:rPr>
              <w:t>1,018</w:t>
            </w:r>
          </w:p>
        </w:tc>
        <w:tc>
          <w:tcPr>
            <w:tcW w:w="1080" w:type="dxa"/>
          </w:tcPr>
          <w:p>
            <w:pPr>
              <w:pStyle w:val="TableParagraph"/>
              <w:spacing w:line="205" w:lineRule="exact" w:before="63"/>
              <w:ind w:right="95"/>
              <w:jc w:val="right"/>
              <w:rPr>
                <w:sz w:val="18"/>
              </w:rPr>
            </w:pPr>
            <w:r>
              <w:rPr>
                <w:spacing w:val="-5"/>
                <w:sz w:val="18"/>
              </w:rPr>
              <w:t>12</w:t>
            </w:r>
          </w:p>
        </w:tc>
        <w:tc>
          <w:tcPr>
            <w:tcW w:w="1440" w:type="dxa"/>
          </w:tcPr>
          <w:p>
            <w:pPr>
              <w:pStyle w:val="TableParagraph"/>
              <w:spacing w:line="205" w:lineRule="exact" w:before="63"/>
              <w:ind w:right="95"/>
              <w:jc w:val="right"/>
              <w:rPr>
                <w:sz w:val="18"/>
              </w:rPr>
            </w:pPr>
            <w:r>
              <w:rPr>
                <w:spacing w:val="-5"/>
                <w:sz w:val="18"/>
              </w:rPr>
              <w:t>62</w:t>
            </w:r>
          </w:p>
        </w:tc>
        <w:tc>
          <w:tcPr>
            <w:tcW w:w="900" w:type="dxa"/>
          </w:tcPr>
          <w:p>
            <w:pPr>
              <w:pStyle w:val="TableParagraph"/>
              <w:spacing w:line="205" w:lineRule="exact" w:before="63"/>
              <w:ind w:right="234"/>
              <w:jc w:val="right"/>
              <w:rPr>
                <w:sz w:val="18"/>
              </w:rPr>
            </w:pPr>
            <w:r>
              <w:rPr>
                <w:spacing w:val="-4"/>
                <w:sz w:val="18"/>
              </w:rPr>
              <w:t>1.1%</w:t>
            </w:r>
          </w:p>
        </w:tc>
        <w:tc>
          <w:tcPr>
            <w:tcW w:w="1620" w:type="dxa"/>
          </w:tcPr>
          <w:p>
            <w:pPr>
              <w:pStyle w:val="TableParagraph"/>
              <w:spacing w:line="205" w:lineRule="exact" w:before="63"/>
              <w:ind w:right="378"/>
              <w:jc w:val="right"/>
              <w:rPr>
                <w:sz w:val="18"/>
              </w:rPr>
            </w:pPr>
            <w:r>
              <w:rPr>
                <w:spacing w:val="-4"/>
                <w:sz w:val="18"/>
              </w:rPr>
              <w:t>6.1%</w:t>
            </w:r>
          </w:p>
        </w:tc>
      </w:tr>
      <w:tr>
        <w:trPr>
          <w:trHeight w:val="288" w:hRule="atLeast"/>
        </w:trPr>
        <w:tc>
          <w:tcPr>
            <w:tcW w:w="2540" w:type="dxa"/>
          </w:tcPr>
          <w:p>
            <w:pPr>
              <w:pStyle w:val="TableParagraph"/>
              <w:spacing w:line="205" w:lineRule="exact" w:before="63"/>
              <w:ind w:left="107"/>
              <w:rPr>
                <w:sz w:val="18"/>
              </w:rPr>
            </w:pPr>
            <w:r>
              <w:rPr>
                <w:spacing w:val="-2"/>
                <w:sz w:val="18"/>
              </w:rPr>
              <w:t>Education</w:t>
            </w:r>
          </w:p>
        </w:tc>
        <w:tc>
          <w:tcPr>
            <w:tcW w:w="1260" w:type="dxa"/>
          </w:tcPr>
          <w:p>
            <w:pPr>
              <w:pStyle w:val="TableParagraph"/>
              <w:spacing w:line="205" w:lineRule="exact" w:before="63"/>
              <w:ind w:right="96"/>
              <w:jc w:val="right"/>
              <w:rPr>
                <w:sz w:val="18"/>
              </w:rPr>
            </w:pPr>
            <w:r>
              <w:rPr>
                <w:spacing w:val="-2"/>
                <w:sz w:val="18"/>
              </w:rPr>
              <w:t>1,959.0</w:t>
            </w:r>
          </w:p>
        </w:tc>
        <w:tc>
          <w:tcPr>
            <w:tcW w:w="1260" w:type="dxa"/>
          </w:tcPr>
          <w:p>
            <w:pPr>
              <w:pStyle w:val="TableParagraph"/>
              <w:rPr>
                <w:rFonts w:ascii="Times New Roman"/>
                <w:sz w:val="18"/>
              </w:rPr>
            </w:pPr>
          </w:p>
        </w:tc>
        <w:tc>
          <w:tcPr>
            <w:tcW w:w="1080" w:type="dxa"/>
          </w:tcPr>
          <w:p>
            <w:pPr>
              <w:pStyle w:val="TableParagraph"/>
              <w:spacing w:line="205" w:lineRule="exact" w:before="63"/>
              <w:ind w:right="96"/>
              <w:jc w:val="right"/>
              <w:rPr>
                <w:sz w:val="18"/>
              </w:rPr>
            </w:pPr>
            <w:r>
              <w:rPr>
                <w:spacing w:val="-5"/>
                <w:sz w:val="18"/>
              </w:rPr>
              <w:t>999</w:t>
            </w:r>
          </w:p>
        </w:tc>
        <w:tc>
          <w:tcPr>
            <w:tcW w:w="1260" w:type="dxa"/>
          </w:tcPr>
          <w:p>
            <w:pPr>
              <w:pStyle w:val="TableParagraph"/>
              <w:spacing w:line="205" w:lineRule="exact" w:before="63"/>
              <w:ind w:right="95"/>
              <w:jc w:val="right"/>
              <w:rPr>
                <w:sz w:val="18"/>
              </w:rPr>
            </w:pPr>
            <w:r>
              <w:rPr>
                <w:spacing w:val="-5"/>
                <w:sz w:val="18"/>
              </w:rPr>
              <w:t>960</w:t>
            </w:r>
          </w:p>
        </w:tc>
        <w:tc>
          <w:tcPr>
            <w:tcW w:w="1080" w:type="dxa"/>
          </w:tcPr>
          <w:p>
            <w:pPr>
              <w:pStyle w:val="TableParagraph"/>
              <w:spacing w:line="205" w:lineRule="exact" w:before="63"/>
              <w:ind w:right="95"/>
              <w:jc w:val="right"/>
              <w:rPr>
                <w:sz w:val="18"/>
              </w:rPr>
            </w:pPr>
            <w:r>
              <w:rPr>
                <w:spacing w:val="-5"/>
                <w:sz w:val="18"/>
              </w:rPr>
              <w:t>12</w:t>
            </w:r>
          </w:p>
        </w:tc>
        <w:tc>
          <w:tcPr>
            <w:tcW w:w="1440" w:type="dxa"/>
          </w:tcPr>
          <w:p>
            <w:pPr>
              <w:pStyle w:val="TableParagraph"/>
              <w:spacing w:line="205" w:lineRule="exact" w:before="63"/>
              <w:ind w:right="95"/>
              <w:jc w:val="right"/>
              <w:rPr>
                <w:sz w:val="18"/>
              </w:rPr>
            </w:pPr>
            <w:r>
              <w:rPr>
                <w:spacing w:val="-5"/>
                <w:sz w:val="18"/>
              </w:rPr>
              <w:t>69</w:t>
            </w:r>
          </w:p>
        </w:tc>
        <w:tc>
          <w:tcPr>
            <w:tcW w:w="900" w:type="dxa"/>
          </w:tcPr>
          <w:p>
            <w:pPr>
              <w:pStyle w:val="TableParagraph"/>
              <w:spacing w:line="205" w:lineRule="exact" w:before="63"/>
              <w:ind w:right="233"/>
              <w:jc w:val="right"/>
              <w:rPr>
                <w:sz w:val="18"/>
              </w:rPr>
            </w:pPr>
            <w:r>
              <w:rPr>
                <w:spacing w:val="-4"/>
                <w:sz w:val="18"/>
              </w:rPr>
              <w:t>1.2%</w:t>
            </w:r>
          </w:p>
        </w:tc>
        <w:tc>
          <w:tcPr>
            <w:tcW w:w="1620" w:type="dxa"/>
          </w:tcPr>
          <w:p>
            <w:pPr>
              <w:pStyle w:val="TableParagraph"/>
              <w:spacing w:line="205" w:lineRule="exact" w:before="63"/>
              <w:ind w:right="378"/>
              <w:jc w:val="right"/>
              <w:rPr>
                <w:sz w:val="18"/>
              </w:rPr>
            </w:pPr>
            <w:r>
              <w:rPr>
                <w:spacing w:val="-4"/>
                <w:sz w:val="18"/>
              </w:rPr>
              <w:t>7.2%</w:t>
            </w:r>
          </w:p>
        </w:tc>
      </w:tr>
      <w:tr>
        <w:trPr>
          <w:trHeight w:val="288" w:hRule="atLeast"/>
        </w:trPr>
        <w:tc>
          <w:tcPr>
            <w:tcW w:w="2540" w:type="dxa"/>
          </w:tcPr>
          <w:p>
            <w:pPr>
              <w:pStyle w:val="TableParagraph"/>
              <w:spacing w:line="205" w:lineRule="exact" w:before="63"/>
              <w:ind w:left="107"/>
              <w:rPr>
                <w:sz w:val="18"/>
              </w:rPr>
            </w:pPr>
            <w:r>
              <w:rPr>
                <w:spacing w:val="-2"/>
                <w:sz w:val="18"/>
              </w:rPr>
              <w:t>Religious</w:t>
            </w:r>
          </w:p>
        </w:tc>
        <w:tc>
          <w:tcPr>
            <w:tcW w:w="1260" w:type="dxa"/>
          </w:tcPr>
          <w:p>
            <w:pPr>
              <w:pStyle w:val="TableParagraph"/>
              <w:spacing w:line="205" w:lineRule="exact" w:before="63"/>
              <w:ind w:right="96"/>
              <w:jc w:val="right"/>
              <w:rPr>
                <w:sz w:val="18"/>
              </w:rPr>
            </w:pPr>
            <w:r>
              <w:rPr>
                <w:spacing w:val="-2"/>
                <w:sz w:val="18"/>
              </w:rPr>
              <w:t>101.0</w:t>
            </w:r>
          </w:p>
        </w:tc>
        <w:tc>
          <w:tcPr>
            <w:tcW w:w="1260" w:type="dxa"/>
          </w:tcPr>
          <w:p>
            <w:pPr>
              <w:pStyle w:val="TableParagraph"/>
              <w:rPr>
                <w:rFonts w:ascii="Times New Roman"/>
                <w:sz w:val="18"/>
              </w:rPr>
            </w:pPr>
          </w:p>
        </w:tc>
        <w:tc>
          <w:tcPr>
            <w:tcW w:w="1080" w:type="dxa"/>
          </w:tcPr>
          <w:p>
            <w:pPr>
              <w:pStyle w:val="TableParagraph"/>
              <w:spacing w:line="205" w:lineRule="exact" w:before="63"/>
              <w:ind w:right="96"/>
              <w:jc w:val="right"/>
              <w:rPr>
                <w:sz w:val="18"/>
              </w:rPr>
            </w:pPr>
            <w:r>
              <w:rPr>
                <w:spacing w:val="-5"/>
                <w:sz w:val="18"/>
              </w:rPr>
              <w:t>52</w:t>
            </w:r>
          </w:p>
        </w:tc>
        <w:tc>
          <w:tcPr>
            <w:tcW w:w="1260" w:type="dxa"/>
          </w:tcPr>
          <w:p>
            <w:pPr>
              <w:pStyle w:val="TableParagraph"/>
              <w:spacing w:line="205" w:lineRule="exact" w:before="63"/>
              <w:ind w:right="96"/>
              <w:jc w:val="right"/>
              <w:rPr>
                <w:sz w:val="18"/>
              </w:rPr>
            </w:pPr>
            <w:r>
              <w:rPr>
                <w:spacing w:val="-5"/>
                <w:sz w:val="18"/>
              </w:rPr>
              <w:t>49</w:t>
            </w:r>
          </w:p>
        </w:tc>
        <w:tc>
          <w:tcPr>
            <w:tcW w:w="1080" w:type="dxa"/>
          </w:tcPr>
          <w:p>
            <w:pPr>
              <w:pStyle w:val="TableParagraph"/>
              <w:rPr>
                <w:rFonts w:ascii="Times New Roman"/>
                <w:sz w:val="18"/>
              </w:rPr>
            </w:pPr>
          </w:p>
        </w:tc>
        <w:tc>
          <w:tcPr>
            <w:tcW w:w="1440" w:type="dxa"/>
          </w:tcPr>
          <w:p>
            <w:pPr>
              <w:pStyle w:val="TableParagraph"/>
              <w:rPr>
                <w:rFonts w:ascii="Times New Roman"/>
                <w:sz w:val="18"/>
              </w:rPr>
            </w:pPr>
          </w:p>
        </w:tc>
        <w:tc>
          <w:tcPr>
            <w:tcW w:w="900" w:type="dxa"/>
          </w:tcPr>
          <w:p>
            <w:pPr>
              <w:pStyle w:val="TableParagraph"/>
              <w:rPr>
                <w:rFonts w:ascii="Times New Roman"/>
                <w:sz w:val="18"/>
              </w:rPr>
            </w:pPr>
          </w:p>
        </w:tc>
        <w:tc>
          <w:tcPr>
            <w:tcW w:w="1620" w:type="dxa"/>
          </w:tcPr>
          <w:p>
            <w:pPr>
              <w:pStyle w:val="TableParagraph"/>
              <w:rPr>
                <w:rFonts w:ascii="Times New Roman"/>
                <w:sz w:val="18"/>
              </w:rPr>
            </w:pPr>
          </w:p>
        </w:tc>
      </w:tr>
      <w:tr>
        <w:trPr>
          <w:trHeight w:val="290" w:hRule="atLeast"/>
        </w:trPr>
        <w:tc>
          <w:tcPr>
            <w:tcW w:w="2540" w:type="dxa"/>
          </w:tcPr>
          <w:p>
            <w:pPr>
              <w:pStyle w:val="TableParagraph"/>
              <w:spacing w:line="206" w:lineRule="exact" w:before="63"/>
              <w:ind w:left="107"/>
              <w:rPr>
                <w:sz w:val="18"/>
              </w:rPr>
            </w:pPr>
            <w:r>
              <w:rPr>
                <w:spacing w:val="-2"/>
                <w:sz w:val="18"/>
              </w:rPr>
              <w:t>Health</w:t>
            </w:r>
          </w:p>
        </w:tc>
        <w:tc>
          <w:tcPr>
            <w:tcW w:w="1260" w:type="dxa"/>
          </w:tcPr>
          <w:p>
            <w:pPr>
              <w:pStyle w:val="TableParagraph"/>
              <w:spacing w:line="206" w:lineRule="exact" w:before="63"/>
              <w:ind w:right="96"/>
              <w:jc w:val="right"/>
              <w:rPr>
                <w:sz w:val="18"/>
              </w:rPr>
            </w:pPr>
            <w:r>
              <w:rPr>
                <w:spacing w:val="-2"/>
                <w:sz w:val="18"/>
              </w:rPr>
              <w:t>1,405.0</w:t>
            </w:r>
          </w:p>
        </w:tc>
        <w:tc>
          <w:tcPr>
            <w:tcW w:w="1260" w:type="dxa"/>
          </w:tcPr>
          <w:p>
            <w:pPr>
              <w:pStyle w:val="TableParagraph"/>
              <w:rPr>
                <w:rFonts w:ascii="Times New Roman"/>
                <w:sz w:val="18"/>
              </w:rPr>
            </w:pPr>
          </w:p>
        </w:tc>
        <w:tc>
          <w:tcPr>
            <w:tcW w:w="1080" w:type="dxa"/>
          </w:tcPr>
          <w:p>
            <w:pPr>
              <w:pStyle w:val="TableParagraph"/>
              <w:spacing w:line="206" w:lineRule="exact" w:before="63"/>
              <w:ind w:right="96"/>
              <w:jc w:val="right"/>
              <w:rPr>
                <w:sz w:val="18"/>
              </w:rPr>
            </w:pPr>
            <w:r>
              <w:rPr>
                <w:spacing w:val="-5"/>
                <w:sz w:val="18"/>
              </w:rPr>
              <w:t>759</w:t>
            </w:r>
          </w:p>
        </w:tc>
        <w:tc>
          <w:tcPr>
            <w:tcW w:w="1260" w:type="dxa"/>
          </w:tcPr>
          <w:p>
            <w:pPr>
              <w:pStyle w:val="TableParagraph"/>
              <w:spacing w:line="206" w:lineRule="exact" w:before="63"/>
              <w:ind w:right="95"/>
              <w:jc w:val="right"/>
              <w:rPr>
                <w:sz w:val="18"/>
              </w:rPr>
            </w:pPr>
            <w:r>
              <w:rPr>
                <w:spacing w:val="-5"/>
                <w:sz w:val="18"/>
              </w:rPr>
              <w:t>646</w:t>
            </w:r>
          </w:p>
        </w:tc>
        <w:tc>
          <w:tcPr>
            <w:tcW w:w="1080" w:type="dxa"/>
          </w:tcPr>
          <w:p>
            <w:pPr>
              <w:pStyle w:val="TableParagraph"/>
              <w:spacing w:line="206" w:lineRule="exact" w:before="63"/>
              <w:ind w:right="95"/>
              <w:jc w:val="right"/>
              <w:rPr>
                <w:sz w:val="18"/>
              </w:rPr>
            </w:pPr>
            <w:r>
              <w:rPr>
                <w:spacing w:val="-5"/>
                <w:sz w:val="18"/>
              </w:rPr>
              <w:t>11</w:t>
            </w:r>
          </w:p>
        </w:tc>
        <w:tc>
          <w:tcPr>
            <w:tcW w:w="1440" w:type="dxa"/>
          </w:tcPr>
          <w:p>
            <w:pPr>
              <w:pStyle w:val="TableParagraph"/>
              <w:spacing w:line="206" w:lineRule="exact" w:before="63"/>
              <w:ind w:right="95"/>
              <w:jc w:val="right"/>
              <w:rPr>
                <w:sz w:val="18"/>
              </w:rPr>
            </w:pPr>
            <w:r>
              <w:rPr>
                <w:w w:val="99"/>
                <w:sz w:val="18"/>
              </w:rPr>
              <w:t>1</w:t>
            </w:r>
          </w:p>
        </w:tc>
        <w:tc>
          <w:tcPr>
            <w:tcW w:w="900" w:type="dxa"/>
          </w:tcPr>
          <w:p>
            <w:pPr>
              <w:pStyle w:val="TableParagraph"/>
              <w:spacing w:line="206" w:lineRule="exact" w:before="63"/>
              <w:ind w:right="233"/>
              <w:jc w:val="right"/>
              <w:rPr>
                <w:sz w:val="18"/>
              </w:rPr>
            </w:pPr>
            <w:r>
              <w:rPr>
                <w:spacing w:val="-4"/>
                <w:sz w:val="18"/>
              </w:rPr>
              <w:t>1.4%</w:t>
            </w:r>
          </w:p>
        </w:tc>
        <w:tc>
          <w:tcPr>
            <w:tcW w:w="1620" w:type="dxa"/>
          </w:tcPr>
          <w:p>
            <w:pPr>
              <w:pStyle w:val="TableParagraph"/>
              <w:spacing w:line="206" w:lineRule="exact" w:before="63"/>
              <w:ind w:right="378"/>
              <w:jc w:val="right"/>
              <w:rPr>
                <w:sz w:val="18"/>
              </w:rPr>
            </w:pPr>
            <w:r>
              <w:rPr>
                <w:spacing w:val="-4"/>
                <w:sz w:val="18"/>
              </w:rPr>
              <w:t>0.2%</w:t>
            </w:r>
          </w:p>
        </w:tc>
      </w:tr>
      <w:tr>
        <w:trPr>
          <w:trHeight w:val="288" w:hRule="atLeast"/>
        </w:trPr>
        <w:tc>
          <w:tcPr>
            <w:tcW w:w="2540" w:type="dxa"/>
          </w:tcPr>
          <w:p>
            <w:pPr>
              <w:pStyle w:val="TableParagraph"/>
              <w:spacing w:line="205" w:lineRule="exact" w:before="63"/>
              <w:ind w:left="107"/>
              <w:rPr>
                <w:sz w:val="18"/>
              </w:rPr>
            </w:pPr>
            <w:r>
              <w:rPr>
                <w:spacing w:val="-2"/>
                <w:sz w:val="18"/>
              </w:rPr>
              <w:t>Entertainment/recreation</w:t>
            </w:r>
          </w:p>
        </w:tc>
        <w:tc>
          <w:tcPr>
            <w:tcW w:w="1260" w:type="dxa"/>
          </w:tcPr>
          <w:p>
            <w:pPr>
              <w:pStyle w:val="TableParagraph"/>
              <w:spacing w:line="205" w:lineRule="exact" w:before="63"/>
              <w:ind w:right="95"/>
              <w:jc w:val="right"/>
              <w:rPr>
                <w:sz w:val="18"/>
              </w:rPr>
            </w:pPr>
            <w:r>
              <w:rPr>
                <w:spacing w:val="-2"/>
                <w:sz w:val="18"/>
              </w:rPr>
              <w:t>965.0</w:t>
            </w:r>
          </w:p>
        </w:tc>
        <w:tc>
          <w:tcPr>
            <w:tcW w:w="1260" w:type="dxa"/>
          </w:tcPr>
          <w:p>
            <w:pPr>
              <w:pStyle w:val="TableParagraph"/>
              <w:rPr>
                <w:rFonts w:ascii="Times New Roman"/>
                <w:sz w:val="18"/>
              </w:rPr>
            </w:pPr>
          </w:p>
        </w:tc>
        <w:tc>
          <w:tcPr>
            <w:tcW w:w="1080" w:type="dxa"/>
          </w:tcPr>
          <w:p>
            <w:pPr>
              <w:pStyle w:val="TableParagraph"/>
              <w:spacing w:line="205" w:lineRule="exact" w:before="63"/>
              <w:ind w:right="95"/>
              <w:jc w:val="right"/>
              <w:rPr>
                <w:sz w:val="18"/>
              </w:rPr>
            </w:pPr>
            <w:r>
              <w:rPr>
                <w:spacing w:val="-5"/>
                <w:sz w:val="18"/>
              </w:rPr>
              <w:t>492</w:t>
            </w:r>
          </w:p>
        </w:tc>
        <w:tc>
          <w:tcPr>
            <w:tcW w:w="1260" w:type="dxa"/>
          </w:tcPr>
          <w:p>
            <w:pPr>
              <w:pStyle w:val="TableParagraph"/>
              <w:spacing w:line="205" w:lineRule="exact" w:before="63"/>
              <w:ind w:right="95"/>
              <w:jc w:val="right"/>
              <w:rPr>
                <w:sz w:val="18"/>
              </w:rPr>
            </w:pPr>
            <w:r>
              <w:rPr>
                <w:spacing w:val="-5"/>
                <w:sz w:val="18"/>
              </w:rPr>
              <w:t>473</w:t>
            </w:r>
          </w:p>
        </w:tc>
        <w:tc>
          <w:tcPr>
            <w:tcW w:w="1080" w:type="dxa"/>
          </w:tcPr>
          <w:p>
            <w:pPr>
              <w:pStyle w:val="TableParagraph"/>
              <w:spacing w:line="205" w:lineRule="exact" w:before="63"/>
              <w:ind w:right="94"/>
              <w:jc w:val="right"/>
              <w:rPr>
                <w:sz w:val="18"/>
              </w:rPr>
            </w:pPr>
            <w:r>
              <w:rPr>
                <w:w w:val="99"/>
                <w:sz w:val="18"/>
              </w:rPr>
              <w:t>6</w:t>
            </w:r>
          </w:p>
        </w:tc>
        <w:tc>
          <w:tcPr>
            <w:tcW w:w="1440" w:type="dxa"/>
          </w:tcPr>
          <w:p>
            <w:pPr>
              <w:pStyle w:val="TableParagraph"/>
              <w:spacing w:line="205" w:lineRule="exact" w:before="63"/>
              <w:ind w:right="94"/>
              <w:jc w:val="right"/>
              <w:rPr>
                <w:sz w:val="18"/>
              </w:rPr>
            </w:pPr>
            <w:r>
              <w:rPr>
                <w:spacing w:val="-5"/>
                <w:sz w:val="18"/>
              </w:rPr>
              <w:t>16</w:t>
            </w:r>
          </w:p>
        </w:tc>
        <w:tc>
          <w:tcPr>
            <w:tcW w:w="900" w:type="dxa"/>
          </w:tcPr>
          <w:p>
            <w:pPr>
              <w:pStyle w:val="TableParagraph"/>
              <w:spacing w:line="205" w:lineRule="exact" w:before="63"/>
              <w:ind w:right="233"/>
              <w:jc w:val="right"/>
              <w:rPr>
                <w:sz w:val="18"/>
              </w:rPr>
            </w:pPr>
            <w:r>
              <w:rPr>
                <w:spacing w:val="-4"/>
                <w:sz w:val="18"/>
              </w:rPr>
              <w:t>1.2%</w:t>
            </w:r>
          </w:p>
        </w:tc>
        <w:tc>
          <w:tcPr>
            <w:tcW w:w="1620" w:type="dxa"/>
          </w:tcPr>
          <w:p>
            <w:pPr>
              <w:pStyle w:val="TableParagraph"/>
              <w:spacing w:line="205" w:lineRule="exact" w:before="63"/>
              <w:ind w:right="378"/>
              <w:jc w:val="right"/>
              <w:rPr>
                <w:sz w:val="18"/>
              </w:rPr>
            </w:pPr>
            <w:r>
              <w:rPr>
                <w:spacing w:val="-4"/>
                <w:sz w:val="18"/>
              </w:rPr>
              <w:t>3.4%</w:t>
            </w:r>
          </w:p>
        </w:tc>
      </w:tr>
      <w:tr>
        <w:trPr>
          <w:trHeight w:val="288" w:hRule="atLeast"/>
        </w:trPr>
        <w:tc>
          <w:tcPr>
            <w:tcW w:w="2540" w:type="dxa"/>
          </w:tcPr>
          <w:p>
            <w:pPr>
              <w:pStyle w:val="TableParagraph"/>
              <w:spacing w:line="205" w:lineRule="exact" w:before="63"/>
              <w:ind w:left="107"/>
              <w:rPr>
                <w:sz w:val="18"/>
              </w:rPr>
            </w:pPr>
            <w:r>
              <w:rPr>
                <w:spacing w:val="-4"/>
                <w:sz w:val="18"/>
              </w:rPr>
              <w:t>Misc</w:t>
            </w:r>
          </w:p>
        </w:tc>
        <w:tc>
          <w:tcPr>
            <w:tcW w:w="1260" w:type="dxa"/>
          </w:tcPr>
          <w:p>
            <w:pPr>
              <w:pStyle w:val="TableParagraph"/>
              <w:spacing w:line="205" w:lineRule="exact" w:before="63"/>
              <w:ind w:right="97"/>
              <w:jc w:val="right"/>
              <w:rPr>
                <w:sz w:val="18"/>
              </w:rPr>
            </w:pPr>
            <w:r>
              <w:rPr>
                <w:spacing w:val="-2"/>
                <w:sz w:val="18"/>
              </w:rPr>
              <w:t>1,312.0</w:t>
            </w:r>
          </w:p>
        </w:tc>
        <w:tc>
          <w:tcPr>
            <w:tcW w:w="1260" w:type="dxa"/>
          </w:tcPr>
          <w:p>
            <w:pPr>
              <w:pStyle w:val="TableParagraph"/>
              <w:rPr>
                <w:rFonts w:ascii="Times New Roman"/>
                <w:sz w:val="18"/>
              </w:rPr>
            </w:pPr>
          </w:p>
        </w:tc>
        <w:tc>
          <w:tcPr>
            <w:tcW w:w="1080" w:type="dxa"/>
          </w:tcPr>
          <w:p>
            <w:pPr>
              <w:pStyle w:val="TableParagraph"/>
              <w:spacing w:line="205" w:lineRule="exact" w:before="63"/>
              <w:ind w:right="96"/>
              <w:jc w:val="right"/>
              <w:rPr>
                <w:sz w:val="18"/>
              </w:rPr>
            </w:pPr>
            <w:r>
              <w:rPr>
                <w:spacing w:val="-5"/>
                <w:sz w:val="18"/>
              </w:rPr>
              <w:t>669</w:t>
            </w:r>
          </w:p>
        </w:tc>
        <w:tc>
          <w:tcPr>
            <w:tcW w:w="1260" w:type="dxa"/>
          </w:tcPr>
          <w:p>
            <w:pPr>
              <w:pStyle w:val="TableParagraph"/>
              <w:spacing w:line="205" w:lineRule="exact" w:before="63"/>
              <w:ind w:right="96"/>
              <w:jc w:val="right"/>
              <w:rPr>
                <w:sz w:val="18"/>
              </w:rPr>
            </w:pPr>
            <w:r>
              <w:rPr>
                <w:spacing w:val="-5"/>
                <w:sz w:val="18"/>
              </w:rPr>
              <w:t>643</w:t>
            </w:r>
          </w:p>
        </w:tc>
        <w:tc>
          <w:tcPr>
            <w:tcW w:w="1080" w:type="dxa"/>
          </w:tcPr>
          <w:p>
            <w:pPr>
              <w:pStyle w:val="TableParagraph"/>
              <w:spacing w:line="205" w:lineRule="exact" w:before="63"/>
              <w:ind w:right="95"/>
              <w:jc w:val="right"/>
              <w:rPr>
                <w:sz w:val="18"/>
              </w:rPr>
            </w:pPr>
            <w:r>
              <w:rPr>
                <w:w w:val="99"/>
                <w:sz w:val="18"/>
              </w:rPr>
              <w:t>7</w:t>
            </w:r>
          </w:p>
        </w:tc>
        <w:tc>
          <w:tcPr>
            <w:tcW w:w="1440" w:type="dxa"/>
          </w:tcPr>
          <w:p>
            <w:pPr>
              <w:pStyle w:val="TableParagraph"/>
              <w:spacing w:line="205" w:lineRule="exact" w:before="63"/>
              <w:ind w:right="95"/>
              <w:jc w:val="right"/>
              <w:rPr>
                <w:sz w:val="18"/>
              </w:rPr>
            </w:pPr>
            <w:r>
              <w:rPr>
                <w:spacing w:val="-5"/>
                <w:sz w:val="18"/>
              </w:rPr>
              <w:t>24</w:t>
            </w:r>
          </w:p>
        </w:tc>
        <w:tc>
          <w:tcPr>
            <w:tcW w:w="900" w:type="dxa"/>
          </w:tcPr>
          <w:p>
            <w:pPr>
              <w:pStyle w:val="TableParagraph"/>
              <w:spacing w:line="205" w:lineRule="exact" w:before="63"/>
              <w:ind w:right="233"/>
              <w:jc w:val="right"/>
              <w:rPr>
                <w:sz w:val="18"/>
              </w:rPr>
            </w:pPr>
            <w:r>
              <w:rPr>
                <w:spacing w:val="-4"/>
                <w:sz w:val="18"/>
              </w:rPr>
              <w:t>1.1%</w:t>
            </w:r>
          </w:p>
        </w:tc>
        <w:tc>
          <w:tcPr>
            <w:tcW w:w="1620" w:type="dxa"/>
          </w:tcPr>
          <w:p>
            <w:pPr>
              <w:pStyle w:val="TableParagraph"/>
              <w:spacing w:line="205" w:lineRule="exact" w:before="63"/>
              <w:ind w:right="378"/>
              <w:jc w:val="right"/>
              <w:rPr>
                <w:sz w:val="18"/>
              </w:rPr>
            </w:pPr>
            <w:r>
              <w:rPr>
                <w:spacing w:val="-4"/>
                <w:sz w:val="18"/>
              </w:rPr>
              <w:t>3.8%</w:t>
            </w:r>
          </w:p>
        </w:tc>
      </w:tr>
      <w:tr>
        <w:trPr>
          <w:trHeight w:val="288" w:hRule="atLeast"/>
        </w:trPr>
        <w:tc>
          <w:tcPr>
            <w:tcW w:w="2540" w:type="dxa"/>
          </w:tcPr>
          <w:p>
            <w:pPr>
              <w:pStyle w:val="TableParagraph"/>
              <w:spacing w:line="206" w:lineRule="exact" w:before="62"/>
              <w:ind w:left="538"/>
              <w:rPr>
                <w:b/>
                <w:sz w:val="18"/>
              </w:rPr>
            </w:pPr>
            <w:r>
              <w:rPr>
                <w:b/>
                <w:spacing w:val="-2"/>
                <w:sz w:val="18"/>
              </w:rPr>
              <w:t>Total</w:t>
            </w:r>
          </w:p>
        </w:tc>
        <w:tc>
          <w:tcPr>
            <w:tcW w:w="1260" w:type="dxa"/>
          </w:tcPr>
          <w:p>
            <w:pPr>
              <w:pStyle w:val="TableParagraph"/>
              <w:spacing w:line="206" w:lineRule="exact" w:before="62"/>
              <w:ind w:right="96"/>
              <w:jc w:val="right"/>
              <w:rPr>
                <w:b/>
                <w:sz w:val="18"/>
              </w:rPr>
            </w:pPr>
            <w:r>
              <w:rPr>
                <w:b/>
                <w:spacing w:val="-2"/>
                <w:sz w:val="18"/>
              </w:rPr>
              <w:t>22,780</w:t>
            </w:r>
          </w:p>
        </w:tc>
        <w:tc>
          <w:tcPr>
            <w:tcW w:w="1260" w:type="dxa"/>
          </w:tcPr>
          <w:p>
            <w:pPr>
              <w:pStyle w:val="TableParagraph"/>
              <w:rPr>
                <w:rFonts w:ascii="Times New Roman"/>
                <w:sz w:val="18"/>
              </w:rPr>
            </w:pPr>
          </w:p>
        </w:tc>
        <w:tc>
          <w:tcPr>
            <w:tcW w:w="1080" w:type="dxa"/>
          </w:tcPr>
          <w:p>
            <w:pPr>
              <w:pStyle w:val="TableParagraph"/>
              <w:spacing w:line="206" w:lineRule="exact" w:before="62"/>
              <w:ind w:right="96"/>
              <w:jc w:val="right"/>
              <w:rPr>
                <w:b/>
                <w:sz w:val="18"/>
              </w:rPr>
            </w:pPr>
            <w:r>
              <w:rPr>
                <w:b/>
                <w:spacing w:val="-2"/>
                <w:sz w:val="18"/>
              </w:rPr>
              <w:t>14,986</w:t>
            </w:r>
          </w:p>
        </w:tc>
        <w:tc>
          <w:tcPr>
            <w:tcW w:w="1260" w:type="dxa"/>
          </w:tcPr>
          <w:p>
            <w:pPr>
              <w:pStyle w:val="TableParagraph"/>
              <w:spacing w:line="206" w:lineRule="exact" w:before="62"/>
              <w:ind w:right="95"/>
              <w:jc w:val="right"/>
              <w:rPr>
                <w:b/>
                <w:sz w:val="18"/>
              </w:rPr>
            </w:pPr>
            <w:r>
              <w:rPr>
                <w:b/>
                <w:spacing w:val="-4"/>
                <w:sz w:val="18"/>
              </w:rPr>
              <w:t>7794</w:t>
            </w:r>
          </w:p>
        </w:tc>
        <w:tc>
          <w:tcPr>
            <w:tcW w:w="1080" w:type="dxa"/>
          </w:tcPr>
          <w:p>
            <w:pPr>
              <w:pStyle w:val="TableParagraph"/>
              <w:spacing w:line="206" w:lineRule="exact" w:before="62"/>
              <w:ind w:right="95"/>
              <w:jc w:val="right"/>
              <w:rPr>
                <w:b/>
                <w:sz w:val="18"/>
              </w:rPr>
            </w:pPr>
            <w:r>
              <w:rPr>
                <w:b/>
                <w:spacing w:val="-5"/>
                <w:sz w:val="18"/>
              </w:rPr>
              <w:t>159</w:t>
            </w:r>
          </w:p>
        </w:tc>
        <w:tc>
          <w:tcPr>
            <w:tcW w:w="1440" w:type="dxa"/>
          </w:tcPr>
          <w:p>
            <w:pPr>
              <w:pStyle w:val="TableParagraph"/>
              <w:spacing w:line="206" w:lineRule="exact" w:before="62"/>
              <w:ind w:right="95"/>
              <w:jc w:val="right"/>
              <w:rPr>
                <w:b/>
                <w:sz w:val="18"/>
              </w:rPr>
            </w:pPr>
            <w:r>
              <w:rPr>
                <w:b/>
                <w:spacing w:val="-5"/>
                <w:sz w:val="18"/>
              </w:rPr>
              <w:t>312</w:t>
            </w:r>
          </w:p>
        </w:tc>
        <w:tc>
          <w:tcPr>
            <w:tcW w:w="900" w:type="dxa"/>
          </w:tcPr>
          <w:p>
            <w:pPr>
              <w:pStyle w:val="TableParagraph"/>
              <w:spacing w:line="206" w:lineRule="exact" w:before="62"/>
              <w:ind w:right="232"/>
              <w:jc w:val="right"/>
              <w:rPr>
                <w:b/>
                <w:sz w:val="18"/>
              </w:rPr>
            </w:pPr>
            <w:r>
              <w:rPr>
                <w:b/>
                <w:spacing w:val="-4"/>
                <w:sz w:val="18"/>
              </w:rPr>
              <w:t>1.1%</w:t>
            </w:r>
          </w:p>
        </w:tc>
        <w:tc>
          <w:tcPr>
            <w:tcW w:w="1620" w:type="dxa"/>
          </w:tcPr>
          <w:p>
            <w:pPr>
              <w:pStyle w:val="TableParagraph"/>
              <w:spacing w:line="206" w:lineRule="exact" w:before="62"/>
              <w:ind w:right="376"/>
              <w:jc w:val="right"/>
              <w:rPr>
                <w:b/>
                <w:sz w:val="18"/>
              </w:rPr>
            </w:pPr>
            <w:r>
              <w:rPr>
                <w:b/>
                <w:spacing w:val="-4"/>
                <w:sz w:val="18"/>
              </w:rPr>
              <w:t>4.0%</w:t>
            </w:r>
          </w:p>
        </w:tc>
      </w:tr>
    </w:tbl>
    <w:p>
      <w:pPr>
        <w:tabs>
          <w:tab w:pos="1240" w:val="left" w:leader="none"/>
        </w:tabs>
        <w:spacing w:before="24"/>
        <w:ind w:left="227" w:right="0" w:firstLine="0"/>
        <w:jc w:val="left"/>
        <w:rPr>
          <w:i/>
          <w:sz w:val="18"/>
        </w:rPr>
      </w:pPr>
      <w:r>
        <w:rPr>
          <w:i/>
          <w:spacing w:val="-2"/>
          <w:sz w:val="18"/>
        </w:rPr>
        <w:t>Sources:</w:t>
      </w:r>
      <w:r>
        <w:rPr>
          <w:i/>
          <w:sz w:val="18"/>
        </w:rPr>
        <w:tab/>
        <w:t>1.</w:t>
      </w:r>
      <w:r>
        <w:rPr>
          <w:i/>
          <w:spacing w:val="69"/>
          <w:w w:val="150"/>
          <w:sz w:val="18"/>
        </w:rPr>
        <w:t> </w:t>
      </w:r>
      <w:r>
        <w:rPr>
          <w:i/>
          <w:sz w:val="18"/>
        </w:rPr>
        <w:t>ABS </w:t>
      </w:r>
      <w:r>
        <w:rPr>
          <w:i/>
          <w:spacing w:val="-2"/>
          <w:sz w:val="18"/>
        </w:rPr>
        <w:t>8731.0</w:t>
      </w:r>
    </w:p>
    <w:p>
      <w:pPr>
        <w:spacing w:before="0"/>
        <w:ind w:left="1228" w:right="0" w:firstLine="0"/>
        <w:jc w:val="left"/>
        <w:rPr>
          <w:i/>
          <w:sz w:val="18"/>
        </w:rPr>
      </w:pPr>
      <w:r>
        <w:rPr>
          <w:i/>
          <w:sz w:val="18"/>
        </w:rPr>
        <w:t>2.</w:t>
      </w:r>
      <w:r>
        <w:rPr>
          <w:i/>
          <w:spacing w:val="75"/>
          <w:w w:val="150"/>
          <w:sz w:val="18"/>
        </w:rPr>
        <w:t> </w:t>
      </w:r>
      <w:r>
        <w:rPr>
          <w:i/>
          <w:sz w:val="18"/>
        </w:rPr>
        <w:t>Victorian Building </w:t>
      </w:r>
      <w:r>
        <w:rPr>
          <w:i/>
          <w:spacing w:val="-2"/>
          <w:sz w:val="18"/>
        </w:rPr>
        <w:t>Commission</w:t>
      </w:r>
    </w:p>
    <w:p>
      <w:pPr>
        <w:pStyle w:val="BodyText"/>
        <w:spacing w:before="2"/>
        <w:rPr>
          <w:i/>
          <w:sz w:val="26"/>
        </w:rPr>
      </w:pPr>
    </w:p>
    <w:p>
      <w:pPr>
        <w:pStyle w:val="BodyText"/>
        <w:spacing w:before="92"/>
        <w:ind w:right="99"/>
        <w:jc w:val="right"/>
      </w:pPr>
      <w:r>
        <w:rPr>
          <w:spacing w:val="-5"/>
        </w:rPr>
        <w:t>61</w:t>
      </w:r>
    </w:p>
    <w:p>
      <w:pPr>
        <w:spacing w:after="0"/>
        <w:jc w:val="right"/>
        <w:sectPr>
          <w:footerReference w:type="default" r:id="rId19"/>
          <w:pgSz w:w="15840" w:h="12240" w:orient="landscape"/>
          <w:pgMar w:footer="0" w:header="0" w:top="1140" w:bottom="280" w:left="1300" w:right="1340"/>
        </w:sectPr>
      </w:pPr>
    </w:p>
    <w:p>
      <w:pPr>
        <w:pStyle w:val="BodyText"/>
        <w:spacing w:before="77"/>
        <w:ind w:left="417" w:right="806"/>
        <w:jc w:val="both"/>
        <w:rPr>
          <w:i/>
        </w:rPr>
      </w:pPr>
      <w:r>
        <w:rPr/>
        <w:t>Table 7 shows that the total value of building approvals, of $22.8 billion is comprised</w:t>
      </w:r>
      <w:r>
        <w:rPr>
          <w:spacing w:val="-4"/>
        </w:rPr>
        <w:t> </w:t>
      </w:r>
      <w:r>
        <w:rPr/>
        <w:t>of</w:t>
      </w:r>
      <w:r>
        <w:rPr>
          <w:spacing w:val="-4"/>
        </w:rPr>
        <w:t> </w:t>
      </w:r>
      <w:r>
        <w:rPr/>
        <w:t>approximately</w:t>
      </w:r>
      <w:r>
        <w:rPr>
          <w:spacing w:val="-4"/>
        </w:rPr>
        <w:t> </w:t>
      </w:r>
      <w:r>
        <w:rPr/>
        <w:t>$15</w:t>
      </w:r>
      <w:r>
        <w:rPr>
          <w:spacing w:val="-4"/>
        </w:rPr>
        <w:t> </w:t>
      </w:r>
      <w:r>
        <w:rPr/>
        <w:t>billion</w:t>
      </w:r>
      <w:r>
        <w:rPr>
          <w:spacing w:val="-4"/>
        </w:rPr>
        <w:t> </w:t>
      </w:r>
      <w:r>
        <w:rPr/>
        <w:t>in</w:t>
      </w:r>
      <w:r>
        <w:rPr>
          <w:spacing w:val="-2"/>
        </w:rPr>
        <w:t> </w:t>
      </w:r>
      <w:r>
        <w:rPr/>
        <w:t>approvals</w:t>
      </w:r>
      <w:r>
        <w:rPr>
          <w:spacing w:val="-4"/>
        </w:rPr>
        <w:t> </w:t>
      </w:r>
      <w:r>
        <w:rPr/>
        <w:t>for</w:t>
      </w:r>
      <w:r>
        <w:rPr>
          <w:spacing w:val="-4"/>
        </w:rPr>
        <w:t> </w:t>
      </w:r>
      <w:r>
        <w:rPr/>
        <w:t>new</w:t>
      </w:r>
      <w:r>
        <w:rPr>
          <w:spacing w:val="-4"/>
        </w:rPr>
        <w:t> </w:t>
      </w:r>
      <w:r>
        <w:rPr/>
        <w:t>buildings</w:t>
      </w:r>
      <w:r>
        <w:rPr>
          <w:spacing w:val="-4"/>
        </w:rPr>
        <w:t> </w:t>
      </w:r>
      <w:r>
        <w:rPr/>
        <w:t>and</w:t>
      </w:r>
      <w:r>
        <w:rPr>
          <w:spacing w:val="-4"/>
        </w:rPr>
        <w:t> </w:t>
      </w:r>
      <w:r>
        <w:rPr/>
        <w:t>$7.8 billion</w:t>
      </w:r>
      <w:r>
        <w:rPr>
          <w:spacing w:val="-3"/>
        </w:rPr>
        <w:t> </w:t>
      </w:r>
      <w:r>
        <w:rPr/>
        <w:t>of</w:t>
      </w:r>
      <w:r>
        <w:rPr>
          <w:spacing w:val="-3"/>
        </w:rPr>
        <w:t> </w:t>
      </w:r>
      <w:r>
        <w:rPr/>
        <w:t>approvals</w:t>
      </w:r>
      <w:r>
        <w:rPr>
          <w:spacing w:val="-3"/>
        </w:rPr>
        <w:t> </w:t>
      </w:r>
      <w:r>
        <w:rPr/>
        <w:t>for</w:t>
      </w:r>
      <w:r>
        <w:rPr>
          <w:spacing w:val="-3"/>
        </w:rPr>
        <w:t> </w:t>
      </w:r>
      <w:r>
        <w:rPr/>
        <w:t>alterations</w:t>
      </w:r>
      <w:r>
        <w:rPr>
          <w:spacing w:val="-3"/>
        </w:rPr>
        <w:t> </w:t>
      </w:r>
      <w:r>
        <w:rPr/>
        <w:t>and</w:t>
      </w:r>
      <w:r>
        <w:rPr>
          <w:spacing w:val="-1"/>
        </w:rPr>
        <w:t> </w:t>
      </w:r>
      <w:r>
        <w:rPr/>
        <w:t>additions</w:t>
      </w:r>
      <w:r>
        <w:rPr>
          <w:spacing w:val="-3"/>
        </w:rPr>
        <w:t> </w:t>
      </w:r>
      <w:r>
        <w:rPr/>
        <w:t>to</w:t>
      </w:r>
      <w:r>
        <w:rPr>
          <w:spacing w:val="-3"/>
        </w:rPr>
        <w:t> </w:t>
      </w:r>
      <w:r>
        <w:rPr/>
        <w:t>existing</w:t>
      </w:r>
      <w:r>
        <w:rPr>
          <w:spacing w:val="-2"/>
        </w:rPr>
        <w:t> </w:t>
      </w:r>
      <w:r>
        <w:rPr/>
        <w:t>buildings.</w:t>
      </w:r>
      <w:r>
        <w:rPr>
          <w:spacing w:val="-3"/>
        </w:rPr>
        <w:t> </w:t>
      </w:r>
      <w:r>
        <w:rPr/>
        <w:t>Thus,</w:t>
      </w:r>
      <w:r>
        <w:rPr>
          <w:spacing w:val="-3"/>
        </w:rPr>
        <w:t> </w:t>
      </w:r>
      <w:r>
        <w:rPr/>
        <w:t>the total value of building work comprises approximately two thirds new building and one third refurbishments, alterations and additions</w:t>
      </w:r>
      <w:r>
        <w:rPr>
          <w:i/>
        </w:rPr>
        <w:t>.</w:t>
      </w:r>
    </w:p>
    <w:p>
      <w:pPr>
        <w:pStyle w:val="BodyText"/>
        <w:rPr>
          <w:i/>
        </w:rPr>
      </w:pPr>
    </w:p>
    <w:p>
      <w:pPr>
        <w:pStyle w:val="BodyText"/>
        <w:ind w:left="417" w:right="807"/>
        <w:jc w:val="both"/>
      </w:pPr>
      <w:r>
        <w:rPr/>
        <w:t>This break-down of the value of building approvals into estimates of new building and extensions and alterations is needed in order to determine the aggregate cost impact of the Premises Standards since the proportionate cost impacts of the Standards would be, in many cases, substantially different for new buildings vs alterations and additions.</w:t>
      </w:r>
      <w:r>
        <w:rPr>
          <w:spacing w:val="40"/>
        </w:rPr>
        <w:t> </w:t>
      </w:r>
      <w:r>
        <w:rPr/>
        <w:t>In general, the design constraints imposed by the need to work within an existing building structure mean that the costs of upgrading a building to comply with the Premises Standards are usually higher than the incremental costs of incorporating the Standard’s requirements in a new building design.</w:t>
      </w:r>
    </w:p>
    <w:p>
      <w:pPr>
        <w:pStyle w:val="BodyText"/>
      </w:pPr>
    </w:p>
    <w:p>
      <w:pPr>
        <w:pStyle w:val="BodyText"/>
        <w:ind w:left="417" w:right="808"/>
        <w:jc w:val="both"/>
      </w:pPr>
      <w:r>
        <w:rPr/>
        <w:t>In interpreting Table 7, it is important to remember that the cost estimates which it contains refer to the "steady state" situation in which the Premises Standards has been fully implemented. As noted above, this "steady state" situation will not arise until 16 years after the adoption of the proposed </w:t>
      </w:r>
      <w:r>
        <w:rPr>
          <w:spacing w:val="-2"/>
        </w:rPr>
        <w:t>Standards.</w:t>
      </w:r>
    </w:p>
    <w:p>
      <w:pPr>
        <w:pStyle w:val="BodyText"/>
        <w:spacing w:before="1"/>
        <w:rPr>
          <w:sz w:val="21"/>
        </w:rPr>
      </w:pPr>
    </w:p>
    <w:p>
      <w:pPr>
        <w:pStyle w:val="Heading3"/>
        <w:numPr>
          <w:ilvl w:val="2"/>
          <w:numId w:val="27"/>
        </w:numPr>
        <w:tabs>
          <w:tab w:pos="1138" w:val="left" w:leader="none"/>
        </w:tabs>
        <w:spacing w:line="240" w:lineRule="auto" w:before="0" w:after="0"/>
        <w:ind w:left="1137" w:right="0" w:hanging="721"/>
        <w:jc w:val="both"/>
      </w:pPr>
      <w:bookmarkStart w:name="8.4.1 New buildings" w:id="77"/>
      <w:bookmarkEnd w:id="77"/>
      <w:r>
        <w:rPr/>
        <w:t>N</w:t>
      </w:r>
      <w:r>
        <w:rPr/>
        <w:t>ew</w:t>
      </w:r>
      <w:r>
        <w:rPr>
          <w:spacing w:val="-2"/>
        </w:rPr>
        <w:t> buildings</w:t>
      </w:r>
    </w:p>
    <w:p>
      <w:pPr>
        <w:pStyle w:val="BodyText"/>
        <w:spacing w:before="57"/>
        <w:ind w:left="417" w:right="810"/>
        <w:jc w:val="both"/>
      </w:pPr>
      <w:r>
        <w:rPr/>
        <w:t>The following discussion is based on the 2008 Premises Standards proposal. Additional information reflecting the proposed 2009 amendments can be</w:t>
      </w:r>
      <w:r>
        <w:rPr>
          <w:spacing w:val="40"/>
        </w:rPr>
        <w:t> </w:t>
      </w:r>
      <w:r>
        <w:rPr/>
        <w:t>found in Appendix D.</w:t>
      </w:r>
    </w:p>
    <w:p>
      <w:pPr>
        <w:pStyle w:val="BodyText"/>
      </w:pPr>
    </w:p>
    <w:p>
      <w:pPr>
        <w:pStyle w:val="BodyText"/>
        <w:spacing w:before="1"/>
        <w:ind w:left="417" w:right="807"/>
        <w:jc w:val="both"/>
      </w:pPr>
      <w:r>
        <w:rPr/>
        <w:t>The estimates of the aggregate increase in the costs of new buildings that are offered in Table 7 were developed by assigning the 21 case studies to an available</w:t>
      </w:r>
      <w:r>
        <w:rPr>
          <w:spacing w:val="-1"/>
        </w:rPr>
        <w:t> </w:t>
      </w:r>
      <w:r>
        <w:rPr/>
        <w:t>break</w:t>
      </w:r>
      <w:r>
        <w:rPr>
          <w:spacing w:val="-1"/>
        </w:rPr>
        <w:t> </w:t>
      </w:r>
      <w:r>
        <w:rPr/>
        <w:t>down</w:t>
      </w:r>
      <w:r>
        <w:rPr>
          <w:spacing w:val="-1"/>
        </w:rPr>
        <w:t> </w:t>
      </w:r>
      <w:r>
        <w:rPr/>
        <w:t>of</w:t>
      </w:r>
      <w:r>
        <w:rPr>
          <w:spacing w:val="-1"/>
        </w:rPr>
        <w:t> </w:t>
      </w:r>
      <w:r>
        <w:rPr/>
        <w:t>commercial</w:t>
      </w:r>
      <w:r>
        <w:rPr>
          <w:spacing w:val="-1"/>
        </w:rPr>
        <w:t> </w:t>
      </w:r>
      <w:r>
        <w:rPr/>
        <w:t>buildings.</w:t>
      </w:r>
      <w:r>
        <w:rPr>
          <w:spacing w:val="40"/>
        </w:rPr>
        <w:t> </w:t>
      </w:r>
      <w:r>
        <w:rPr/>
        <w:t>The</w:t>
      </w:r>
      <w:r>
        <w:rPr>
          <w:spacing w:val="-1"/>
        </w:rPr>
        <w:t> </w:t>
      </w:r>
      <w:r>
        <w:rPr/>
        <w:t>procedure</w:t>
      </w:r>
      <w:r>
        <w:rPr>
          <w:spacing w:val="-1"/>
        </w:rPr>
        <w:t> </w:t>
      </w:r>
      <w:r>
        <w:rPr/>
        <w:t>is</w:t>
      </w:r>
      <w:r>
        <w:rPr>
          <w:spacing w:val="-1"/>
        </w:rPr>
        <w:t> </w:t>
      </w:r>
      <w:r>
        <w:rPr/>
        <w:t>imperfect</w:t>
      </w:r>
      <w:r>
        <w:rPr>
          <w:spacing w:val="-1"/>
        </w:rPr>
        <w:t> </w:t>
      </w:r>
      <w:r>
        <w:rPr/>
        <w:t>but gives a reasonably accurate picture of the aggregate costs of particular categories of building just as the case studies give reasonably accurate cost estimates of individual building types.</w:t>
      </w:r>
      <w:r>
        <w:rPr>
          <w:spacing w:val="40"/>
        </w:rPr>
        <w:t> </w:t>
      </w:r>
      <w:r>
        <w:rPr/>
        <w:t>In net present value terms, aggregate costs</w:t>
      </w:r>
      <w:r>
        <w:rPr>
          <w:spacing w:val="17"/>
        </w:rPr>
        <w:t> </w:t>
      </w:r>
      <w:r>
        <w:rPr/>
        <w:t>for</w:t>
      </w:r>
      <w:r>
        <w:rPr>
          <w:spacing w:val="18"/>
        </w:rPr>
        <w:t> </w:t>
      </w:r>
      <w:r>
        <w:rPr/>
        <w:t>new</w:t>
      </w:r>
      <w:r>
        <w:rPr>
          <w:spacing w:val="17"/>
        </w:rPr>
        <w:t> </w:t>
      </w:r>
      <w:r>
        <w:rPr/>
        <w:t>buildings</w:t>
      </w:r>
      <w:r>
        <w:rPr>
          <w:spacing w:val="17"/>
        </w:rPr>
        <w:t> </w:t>
      </w:r>
      <w:r>
        <w:rPr/>
        <w:t>are</w:t>
      </w:r>
      <w:r>
        <w:rPr>
          <w:spacing w:val="17"/>
        </w:rPr>
        <w:t> </w:t>
      </w:r>
      <w:r>
        <w:rPr/>
        <w:t>estimated</w:t>
      </w:r>
      <w:r>
        <w:rPr>
          <w:spacing w:val="17"/>
        </w:rPr>
        <w:t> </w:t>
      </w:r>
      <w:r>
        <w:rPr/>
        <w:t>at</w:t>
      </w:r>
      <w:r>
        <w:rPr>
          <w:spacing w:val="21"/>
        </w:rPr>
        <w:t> </w:t>
      </w:r>
      <w:r>
        <w:rPr/>
        <w:t>$2</w:t>
      </w:r>
      <w:r>
        <w:rPr>
          <w:spacing w:val="18"/>
        </w:rPr>
        <w:t> </w:t>
      </w:r>
      <w:r>
        <w:rPr/>
        <w:t>billion</w:t>
      </w:r>
      <w:r>
        <w:rPr>
          <w:spacing w:val="18"/>
        </w:rPr>
        <w:t> </w:t>
      </w:r>
      <w:r>
        <w:rPr/>
        <w:t>at</w:t>
      </w:r>
      <w:r>
        <w:rPr>
          <w:spacing w:val="18"/>
        </w:rPr>
        <w:t> </w:t>
      </w:r>
      <w:r>
        <w:rPr/>
        <w:t>a</w:t>
      </w:r>
      <w:r>
        <w:rPr>
          <w:spacing w:val="18"/>
        </w:rPr>
        <w:t> </w:t>
      </w:r>
      <w:r>
        <w:rPr/>
        <w:t>7%</w:t>
      </w:r>
      <w:r>
        <w:rPr>
          <w:spacing w:val="18"/>
        </w:rPr>
        <w:t> </w:t>
      </w:r>
      <w:r>
        <w:rPr/>
        <w:t>discount</w:t>
      </w:r>
      <w:r>
        <w:rPr>
          <w:spacing w:val="18"/>
        </w:rPr>
        <w:t> </w:t>
      </w:r>
      <w:r>
        <w:rPr/>
        <w:t>rate</w:t>
      </w:r>
      <w:r>
        <w:rPr>
          <w:spacing w:val="18"/>
        </w:rPr>
        <w:t> </w:t>
      </w:r>
      <w:r>
        <w:rPr/>
        <w:t>and</w:t>
      </w:r>
    </w:p>
    <w:p>
      <w:pPr>
        <w:pStyle w:val="BodyText"/>
        <w:ind w:left="417" w:right="807"/>
        <w:jc w:val="both"/>
      </w:pPr>
      <w:r>
        <w:rPr/>
        <w:t>$2.7 billion at a 4% discount rate. Other costs (loss of space and maintenance) were $2.3 billion and $3.2 billion at the 7% and 4% rates respectively were estimated for the new and alterations and additions.</w:t>
      </w:r>
    </w:p>
    <w:p>
      <w:pPr>
        <w:pStyle w:val="BodyText"/>
        <w:spacing w:before="10"/>
        <w:rPr>
          <w:sz w:val="23"/>
        </w:rPr>
      </w:pPr>
    </w:p>
    <w:p>
      <w:pPr>
        <w:pStyle w:val="BodyText"/>
        <w:ind w:left="417" w:right="808"/>
        <w:jc w:val="both"/>
      </w:pPr>
      <w:r>
        <w:rPr/>
        <w:t>For new buildings as a whole, additional building costs of $159 million per annum</w:t>
      </w:r>
      <w:r>
        <w:rPr>
          <w:vertAlign w:val="superscript"/>
        </w:rPr>
        <w:t>52</w:t>
      </w:r>
      <w:r>
        <w:rPr>
          <w:vertAlign w:val="baseline"/>
        </w:rPr>
        <w:t> are estimated to be incurred, equal to a 1.1% increase in aggregate building costs.</w:t>
      </w:r>
      <w:r>
        <w:rPr>
          <w:spacing w:val="40"/>
          <w:vertAlign w:val="baseline"/>
        </w:rPr>
        <w:t> </w:t>
      </w:r>
      <w:r>
        <w:rPr>
          <w:vertAlign w:val="baseline"/>
        </w:rPr>
        <w:t>This cost increase represents a very substantial reduction of over</w:t>
      </w:r>
      <w:r>
        <w:rPr>
          <w:spacing w:val="-2"/>
          <w:vertAlign w:val="baseline"/>
        </w:rPr>
        <w:t> </w:t>
      </w:r>
      <w:r>
        <w:rPr>
          <w:vertAlign w:val="baseline"/>
        </w:rPr>
        <w:t>75%</w:t>
      </w:r>
      <w:r>
        <w:rPr>
          <w:spacing w:val="-2"/>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estimated</w:t>
      </w:r>
      <w:r>
        <w:rPr>
          <w:spacing w:val="-2"/>
          <w:vertAlign w:val="baseline"/>
        </w:rPr>
        <w:t> </w:t>
      </w:r>
      <w:r>
        <w:rPr>
          <w:vertAlign w:val="baseline"/>
        </w:rPr>
        <w:t>incremental</w:t>
      </w:r>
      <w:r>
        <w:rPr>
          <w:spacing w:val="-2"/>
          <w:vertAlign w:val="baseline"/>
        </w:rPr>
        <w:t> </w:t>
      </w:r>
      <w:r>
        <w:rPr>
          <w:vertAlign w:val="baseline"/>
        </w:rPr>
        <w:t>construction</w:t>
      </w:r>
      <w:r>
        <w:rPr>
          <w:spacing w:val="-2"/>
          <w:vertAlign w:val="baseline"/>
        </w:rPr>
        <w:t> </w:t>
      </w:r>
      <w:r>
        <w:rPr>
          <w:vertAlign w:val="baseline"/>
        </w:rPr>
        <w:t>costs</w:t>
      </w:r>
      <w:r>
        <w:rPr>
          <w:spacing w:val="-2"/>
          <w:vertAlign w:val="baseline"/>
        </w:rPr>
        <w:t> </w:t>
      </w:r>
      <w:r>
        <w:rPr>
          <w:vertAlign w:val="baseline"/>
        </w:rPr>
        <w:t>for</w:t>
      </w:r>
      <w:r>
        <w:rPr>
          <w:spacing w:val="-2"/>
          <w:vertAlign w:val="baseline"/>
        </w:rPr>
        <w:t> </w:t>
      </w:r>
      <w:r>
        <w:rPr>
          <w:vertAlign w:val="baseline"/>
        </w:rPr>
        <w:t>new</w:t>
      </w:r>
      <w:r>
        <w:rPr>
          <w:spacing w:val="-2"/>
          <w:vertAlign w:val="baseline"/>
        </w:rPr>
        <w:t> </w:t>
      </w:r>
      <w:r>
        <w:rPr>
          <w:vertAlign w:val="baseline"/>
        </w:rPr>
        <w:t>buildings of</w:t>
      </w:r>
    </w:p>
    <w:p>
      <w:pPr>
        <w:pStyle w:val="BodyText"/>
        <w:ind w:left="417" w:right="807"/>
        <w:jc w:val="both"/>
      </w:pPr>
      <w:r>
        <w:rPr/>
        <w:t>$694 million per annum (4.6% of total costs) arrived at in respect of the original Premises Standards proposal.</w:t>
      </w:r>
    </w:p>
    <w:p>
      <w:pPr>
        <w:pStyle w:val="BodyText"/>
        <w:rPr>
          <w:sz w:val="20"/>
        </w:rPr>
      </w:pPr>
    </w:p>
    <w:p>
      <w:pPr>
        <w:pStyle w:val="BodyText"/>
        <w:spacing w:before="1"/>
        <w:rPr>
          <w:sz w:val="29"/>
        </w:rPr>
      </w:pPr>
      <w:r>
        <w:rPr/>
        <w:pict>
          <v:rect style="position:absolute;margin-left:89.879997pt;margin-top:17.96244pt;width:144pt;height:.6pt;mso-position-horizontal-relative:page;mso-position-vertical-relative:paragraph;z-index:-15708160;mso-wrap-distance-left:0;mso-wrap-distance-right:0" id="docshape49" filled="true" fillcolor="#000000" stroked="false">
            <v:fill type="solid"/>
            <w10:wrap type="topAndBottom"/>
          </v:rect>
        </w:pict>
      </w:r>
    </w:p>
    <w:p>
      <w:pPr>
        <w:pStyle w:val="BodyText"/>
        <w:spacing w:before="6"/>
        <w:rPr>
          <w:sz w:val="18"/>
        </w:rPr>
      </w:pPr>
    </w:p>
    <w:p>
      <w:pPr>
        <w:spacing w:before="130"/>
        <w:ind w:left="417" w:right="828" w:firstLine="0"/>
        <w:jc w:val="both"/>
        <w:rPr>
          <w:sz w:val="20"/>
        </w:rPr>
      </w:pPr>
      <w:r>
        <w:rPr>
          <w:sz w:val="20"/>
          <w:vertAlign w:val="superscript"/>
        </w:rPr>
        <w:t>52</w:t>
      </w:r>
      <w:r>
        <w:rPr>
          <w:sz w:val="20"/>
          <w:vertAlign w:val="baseline"/>
        </w:rPr>
        <w:t> This figure has been revised (as detailed in Appendix</w:t>
      </w:r>
      <w:r>
        <w:rPr>
          <w:spacing w:val="-2"/>
          <w:sz w:val="20"/>
          <w:vertAlign w:val="baseline"/>
        </w:rPr>
        <w:t> </w:t>
      </w:r>
      <w:r>
        <w:rPr>
          <w:sz w:val="20"/>
          <w:vertAlign w:val="baseline"/>
        </w:rPr>
        <w:t>D) following the reintroduction of new Class</w:t>
      </w:r>
      <w:r>
        <w:rPr>
          <w:spacing w:val="-3"/>
          <w:sz w:val="20"/>
          <w:vertAlign w:val="baseline"/>
        </w:rPr>
        <w:t> </w:t>
      </w:r>
      <w:r>
        <w:rPr>
          <w:sz w:val="20"/>
          <w:vertAlign w:val="baseline"/>
        </w:rPr>
        <w:t>2</w:t>
      </w:r>
      <w:r>
        <w:rPr>
          <w:spacing w:val="-3"/>
          <w:sz w:val="20"/>
          <w:vertAlign w:val="baseline"/>
        </w:rPr>
        <w:t> </w:t>
      </w:r>
      <w:r>
        <w:rPr>
          <w:sz w:val="20"/>
          <w:vertAlign w:val="baseline"/>
        </w:rPr>
        <w:t>buildings</w:t>
      </w:r>
      <w:r>
        <w:rPr>
          <w:spacing w:val="-3"/>
          <w:sz w:val="20"/>
          <w:vertAlign w:val="baseline"/>
        </w:rPr>
        <w:t> </w:t>
      </w:r>
      <w:r>
        <w:rPr>
          <w:sz w:val="20"/>
          <w:vertAlign w:val="baseline"/>
        </w:rPr>
        <w:t>in</w:t>
      </w:r>
      <w:r>
        <w:rPr>
          <w:spacing w:val="-3"/>
          <w:sz w:val="20"/>
          <w:vertAlign w:val="baseline"/>
        </w:rPr>
        <w:t> </w:t>
      </w:r>
      <w:r>
        <w:rPr>
          <w:sz w:val="20"/>
          <w:vertAlign w:val="baseline"/>
        </w:rPr>
        <w:t>the</w:t>
      </w:r>
      <w:r>
        <w:rPr>
          <w:spacing w:val="-3"/>
          <w:sz w:val="20"/>
          <w:vertAlign w:val="baseline"/>
        </w:rPr>
        <w:t> </w:t>
      </w:r>
      <w:r>
        <w:rPr>
          <w:sz w:val="20"/>
          <w:vertAlign w:val="baseline"/>
        </w:rPr>
        <w:t>2009</w:t>
      </w:r>
      <w:r>
        <w:rPr>
          <w:spacing w:val="-3"/>
          <w:sz w:val="20"/>
          <w:vertAlign w:val="baseline"/>
        </w:rPr>
        <w:t> </w:t>
      </w:r>
      <w:r>
        <w:rPr>
          <w:sz w:val="20"/>
          <w:vertAlign w:val="baseline"/>
        </w:rPr>
        <w:t>amendments.</w:t>
      </w:r>
      <w:r>
        <w:rPr>
          <w:spacing w:val="-3"/>
          <w:sz w:val="20"/>
          <w:vertAlign w:val="baseline"/>
        </w:rPr>
        <w:t> </w:t>
      </w:r>
      <w:r>
        <w:rPr>
          <w:sz w:val="20"/>
          <w:vertAlign w:val="baseline"/>
        </w:rPr>
        <w:t>The</w:t>
      </w:r>
      <w:r>
        <w:rPr>
          <w:spacing w:val="-3"/>
          <w:sz w:val="20"/>
          <w:vertAlign w:val="baseline"/>
        </w:rPr>
        <w:t> </w:t>
      </w:r>
      <w:r>
        <w:rPr>
          <w:sz w:val="20"/>
          <w:vertAlign w:val="baseline"/>
        </w:rPr>
        <w:t>total</w:t>
      </w:r>
      <w:r>
        <w:rPr>
          <w:spacing w:val="-3"/>
          <w:sz w:val="20"/>
          <w:vertAlign w:val="baseline"/>
        </w:rPr>
        <w:t> </w:t>
      </w:r>
      <w:r>
        <w:rPr>
          <w:sz w:val="20"/>
          <w:vertAlign w:val="baseline"/>
        </w:rPr>
        <w:t>amount</w:t>
      </w:r>
      <w:r>
        <w:rPr>
          <w:spacing w:val="-3"/>
          <w:sz w:val="20"/>
          <w:vertAlign w:val="baseline"/>
        </w:rPr>
        <w:t> </w:t>
      </w:r>
      <w:r>
        <w:rPr>
          <w:sz w:val="20"/>
          <w:vertAlign w:val="baseline"/>
        </w:rPr>
        <w:t>increases</w:t>
      </w:r>
      <w:r>
        <w:rPr>
          <w:spacing w:val="-3"/>
          <w:sz w:val="20"/>
          <w:vertAlign w:val="baseline"/>
        </w:rPr>
        <w:t> </w:t>
      </w:r>
      <w:r>
        <w:rPr>
          <w:sz w:val="20"/>
          <w:vertAlign w:val="baseline"/>
        </w:rPr>
        <w:t>by</w:t>
      </w:r>
      <w:r>
        <w:rPr>
          <w:spacing w:val="-3"/>
          <w:sz w:val="20"/>
          <w:vertAlign w:val="baseline"/>
        </w:rPr>
        <w:t> </w:t>
      </w:r>
      <w:r>
        <w:rPr>
          <w:sz w:val="20"/>
          <w:vertAlign w:val="baseline"/>
        </w:rPr>
        <w:t>$26</w:t>
      </w:r>
      <w:r>
        <w:rPr>
          <w:spacing w:val="-4"/>
          <w:sz w:val="20"/>
          <w:vertAlign w:val="baseline"/>
        </w:rPr>
        <w:t> </w:t>
      </w:r>
      <w:r>
        <w:rPr>
          <w:sz w:val="20"/>
          <w:vertAlign w:val="baseline"/>
        </w:rPr>
        <w:t>million</w:t>
      </w:r>
      <w:r>
        <w:rPr>
          <w:spacing w:val="-3"/>
          <w:sz w:val="20"/>
          <w:vertAlign w:val="baseline"/>
        </w:rPr>
        <w:t> </w:t>
      </w:r>
      <w:r>
        <w:rPr>
          <w:sz w:val="20"/>
          <w:vertAlign w:val="baseline"/>
        </w:rPr>
        <w:t>to</w:t>
      </w:r>
      <w:r>
        <w:rPr>
          <w:spacing w:val="-3"/>
          <w:sz w:val="20"/>
          <w:vertAlign w:val="baseline"/>
        </w:rPr>
        <w:t> </w:t>
      </w:r>
      <w:r>
        <w:rPr>
          <w:sz w:val="20"/>
          <w:vertAlign w:val="baseline"/>
        </w:rPr>
        <w:t>$185 million and by 0.05% to 1.15%.</w:t>
      </w:r>
    </w:p>
    <w:p>
      <w:pPr>
        <w:spacing w:after="0"/>
        <w:jc w:val="both"/>
        <w:rPr>
          <w:sz w:val="20"/>
        </w:rPr>
        <w:sectPr>
          <w:footerReference w:type="default" r:id="rId20"/>
          <w:pgSz w:w="11900" w:h="16840"/>
          <w:pgMar w:footer="1130" w:header="0" w:top="1360" w:bottom="1320" w:left="1380" w:right="980"/>
          <w:pgNumType w:start="62"/>
        </w:sectPr>
      </w:pPr>
    </w:p>
    <w:p>
      <w:pPr>
        <w:pStyle w:val="BodyText"/>
        <w:spacing w:before="77"/>
        <w:ind w:left="417" w:right="808"/>
        <w:jc w:val="both"/>
      </w:pPr>
      <w:r>
        <w:rPr/>
        <w:t>As Table 4 shows, the largest proportionate cost increases were for smaller buildings where the costs of lifts and space modifications could not be spread across a large building area.</w:t>
      </w:r>
    </w:p>
    <w:p>
      <w:pPr>
        <w:pStyle w:val="BodyText"/>
        <w:spacing w:before="1"/>
        <w:rPr>
          <w:sz w:val="21"/>
        </w:rPr>
      </w:pPr>
    </w:p>
    <w:p>
      <w:pPr>
        <w:pStyle w:val="Heading3"/>
        <w:numPr>
          <w:ilvl w:val="2"/>
          <w:numId w:val="27"/>
        </w:numPr>
        <w:tabs>
          <w:tab w:pos="1138" w:val="left" w:leader="none"/>
        </w:tabs>
        <w:spacing w:line="240" w:lineRule="auto" w:before="0" w:after="0"/>
        <w:ind w:left="1137" w:right="0" w:hanging="721"/>
        <w:jc w:val="both"/>
      </w:pPr>
      <w:bookmarkStart w:name="8.4.2 Alterations and additions" w:id="78"/>
      <w:bookmarkEnd w:id="78"/>
      <w:r>
        <w:rPr/>
        <w:t>Alteration</w:t>
      </w:r>
      <w:r>
        <w:rPr/>
        <w:t>s</w:t>
      </w:r>
      <w:r>
        <w:rPr>
          <w:spacing w:val="-7"/>
        </w:rPr>
        <w:t> </w:t>
      </w:r>
      <w:r>
        <w:rPr/>
        <w:t>and</w:t>
      </w:r>
      <w:r>
        <w:rPr>
          <w:spacing w:val="-7"/>
        </w:rPr>
        <w:t> </w:t>
      </w:r>
      <w:r>
        <w:rPr>
          <w:spacing w:val="-2"/>
        </w:rPr>
        <w:t>additions</w:t>
      </w:r>
    </w:p>
    <w:p>
      <w:pPr>
        <w:pStyle w:val="BodyText"/>
        <w:spacing w:before="57"/>
        <w:ind w:left="417" w:right="808"/>
        <w:jc w:val="both"/>
      </w:pPr>
      <w:r>
        <w:rPr/>
        <w:t>As with 8.4.1 the following discussion is based on the 2008 Premises Standards proposal. Additional information reflecting the proposed 2009 amendments can be found in Appendix D.</w:t>
      </w:r>
    </w:p>
    <w:p>
      <w:pPr>
        <w:pStyle w:val="BodyText"/>
      </w:pPr>
    </w:p>
    <w:p>
      <w:pPr>
        <w:pStyle w:val="BodyText"/>
        <w:ind w:left="417" w:right="807"/>
        <w:jc w:val="both"/>
      </w:pPr>
      <w:r>
        <w:rPr/>
        <w:t>The estimates of the aggregate increase in the costs of renovations and additions to existing buildings were developed by assigning the 24 case studies</w:t>
      </w:r>
      <w:r>
        <w:rPr>
          <w:spacing w:val="-1"/>
        </w:rPr>
        <w:t> </w:t>
      </w:r>
      <w:r>
        <w:rPr/>
        <w:t>relating</w:t>
      </w:r>
      <w:r>
        <w:rPr>
          <w:spacing w:val="-1"/>
        </w:rPr>
        <w:t> </w:t>
      </w:r>
      <w:r>
        <w:rPr/>
        <w:t>to</w:t>
      </w:r>
      <w:r>
        <w:rPr>
          <w:spacing w:val="-1"/>
        </w:rPr>
        <w:t> </w:t>
      </w:r>
      <w:r>
        <w:rPr/>
        <w:t>partial</w:t>
      </w:r>
      <w:r>
        <w:rPr>
          <w:spacing w:val="-1"/>
        </w:rPr>
        <w:t> </w:t>
      </w:r>
      <w:r>
        <w:rPr/>
        <w:t>and</w:t>
      </w:r>
      <w:r>
        <w:rPr>
          <w:spacing w:val="-1"/>
        </w:rPr>
        <w:t> </w:t>
      </w:r>
      <w:r>
        <w:rPr/>
        <w:t>full</w:t>
      </w:r>
      <w:r>
        <w:rPr>
          <w:spacing w:val="-1"/>
        </w:rPr>
        <w:t> </w:t>
      </w:r>
      <w:r>
        <w:rPr/>
        <w:t>refurbishments</w:t>
      </w:r>
      <w:r>
        <w:rPr>
          <w:spacing w:val="-1"/>
        </w:rPr>
        <w:t> </w:t>
      </w:r>
      <w:r>
        <w:rPr/>
        <w:t>to</w:t>
      </w:r>
      <w:r>
        <w:rPr>
          <w:spacing w:val="-2"/>
        </w:rPr>
        <w:t> </w:t>
      </w:r>
      <w:r>
        <w:rPr/>
        <w:t>an</w:t>
      </w:r>
      <w:r>
        <w:rPr>
          <w:spacing w:val="-1"/>
        </w:rPr>
        <w:t> </w:t>
      </w:r>
      <w:r>
        <w:rPr/>
        <w:t>available</w:t>
      </w:r>
      <w:r>
        <w:rPr>
          <w:spacing w:val="-1"/>
        </w:rPr>
        <w:t> </w:t>
      </w:r>
      <w:r>
        <w:rPr/>
        <w:t>break</w:t>
      </w:r>
      <w:r>
        <w:rPr>
          <w:spacing w:val="-1"/>
        </w:rPr>
        <w:t> </w:t>
      </w:r>
      <w:r>
        <w:rPr/>
        <w:t>down</w:t>
      </w:r>
      <w:r>
        <w:rPr>
          <w:spacing w:val="-1"/>
        </w:rPr>
        <w:t> </w:t>
      </w:r>
      <w:r>
        <w:rPr/>
        <w:t>of commercial buildings.</w:t>
      </w:r>
      <w:r>
        <w:rPr>
          <w:spacing w:val="80"/>
        </w:rPr>
        <w:t> </w:t>
      </w:r>
      <w:r>
        <w:rPr/>
        <w:t>The procedure is equivalent to that followed with</w:t>
      </w:r>
      <w:r>
        <w:rPr>
          <w:spacing w:val="40"/>
        </w:rPr>
        <w:t> </w:t>
      </w:r>
      <w:r>
        <w:rPr/>
        <w:t>regard to new buildings (see previous section).</w:t>
      </w:r>
      <w:r>
        <w:rPr>
          <w:spacing w:val="40"/>
        </w:rPr>
        <w:t> </w:t>
      </w:r>
      <w:r>
        <w:rPr/>
        <w:t>The estimated incremental cost of applying the Premises Standards to building upgrades is $312 million. This represents an incremental cost increase of 4.0%.</w:t>
      </w:r>
      <w:r>
        <w:rPr>
          <w:spacing w:val="40"/>
        </w:rPr>
        <w:t> </w:t>
      </w:r>
      <w:r>
        <w:rPr/>
        <w:t>In proportionate terms this is twice as large as the estimated impact of the Standards on new </w:t>
      </w:r>
      <w:r>
        <w:rPr>
          <w:spacing w:val="-2"/>
        </w:rPr>
        <w:t>buildings.</w:t>
      </w:r>
    </w:p>
    <w:p>
      <w:pPr>
        <w:pStyle w:val="BodyText"/>
      </w:pPr>
    </w:p>
    <w:p>
      <w:pPr>
        <w:pStyle w:val="BodyText"/>
        <w:ind w:left="417" w:right="808"/>
        <w:jc w:val="both"/>
      </w:pPr>
      <w:r>
        <w:rPr/>
        <w:t>In net present value terms the costs are estimated at $2.6 billion at a 7% discount rate and $3.2 billion at a 4% discount rate.</w:t>
      </w:r>
      <w:r>
        <w:rPr>
          <w:spacing w:val="40"/>
        </w:rPr>
        <w:t> </w:t>
      </w:r>
      <w:r>
        <w:rPr/>
        <w:t>Alterations and additions would have a share in the other costs identified with new buildings above.</w:t>
      </w:r>
    </w:p>
    <w:p>
      <w:pPr>
        <w:pStyle w:val="BodyText"/>
      </w:pPr>
    </w:p>
    <w:p>
      <w:pPr>
        <w:pStyle w:val="BodyText"/>
        <w:ind w:left="417" w:right="808"/>
        <w:jc w:val="both"/>
      </w:pPr>
      <w:r>
        <w:rPr/>
        <w:t>This estimated cost once again represents a substantial reduction on the figure of $955 million estimated in respect of the original draft Premises Standards proposal (which constituted a 12.3% increase in aggregate construction costs).</w:t>
      </w:r>
    </w:p>
    <w:p>
      <w:pPr>
        <w:pStyle w:val="BodyText"/>
      </w:pPr>
    </w:p>
    <w:p>
      <w:pPr>
        <w:pStyle w:val="BodyText"/>
        <w:spacing w:before="1"/>
        <w:ind w:left="417" w:right="808"/>
        <w:jc w:val="both"/>
      </w:pPr>
      <w:r>
        <w:rPr/>
        <w:t>The largest single contributor to the $312 million incremental cost of the Standards in relation to building upgrade works is office buildings. This building class accounts for $83 million, or approximately one quarter of the total.</w:t>
      </w:r>
      <w:r>
        <w:rPr>
          <w:spacing w:val="40"/>
        </w:rPr>
        <w:t> </w:t>
      </w:r>
      <w:r>
        <w:rPr/>
        <w:t>A further $62 million in incremental costs arise from educational buildings (Class 9b), while $45 million of incremental costs relate to upgrades of shops.</w:t>
      </w:r>
      <w:r>
        <w:rPr>
          <w:spacing w:val="40"/>
        </w:rPr>
        <w:t> </w:t>
      </w:r>
      <w:r>
        <w:rPr/>
        <w:t>In the case of both offices and shops, the largest proportion of the incremental costs arises from smaller buildings.</w:t>
      </w:r>
    </w:p>
    <w:p>
      <w:pPr>
        <w:pStyle w:val="BodyText"/>
        <w:spacing w:before="1"/>
      </w:pPr>
    </w:p>
    <w:p>
      <w:pPr>
        <w:pStyle w:val="Heading3"/>
        <w:numPr>
          <w:ilvl w:val="2"/>
          <w:numId w:val="27"/>
        </w:numPr>
        <w:tabs>
          <w:tab w:pos="1138" w:val="left" w:leader="none"/>
        </w:tabs>
        <w:spacing w:line="298" w:lineRule="exact" w:before="0" w:after="0"/>
        <w:ind w:left="1137" w:right="0" w:hanging="721"/>
        <w:jc w:val="both"/>
      </w:pPr>
      <w:bookmarkStart w:name="8.4.3 The impact of “unjustifiable hards" w:id="79"/>
      <w:bookmarkEnd w:id="79"/>
      <w:r>
        <w:rPr/>
        <w:t>The</w:t>
      </w:r>
      <w:r>
        <w:rPr>
          <w:spacing w:val="-4"/>
        </w:rPr>
        <w:t> </w:t>
      </w:r>
      <w:r>
        <w:rPr/>
        <w:t>impact</w:t>
      </w:r>
      <w:r>
        <w:rPr>
          <w:spacing w:val="-4"/>
        </w:rPr>
        <w:t> </w:t>
      </w:r>
      <w:r>
        <w:rPr/>
        <w:t>of</w:t>
      </w:r>
      <w:r>
        <w:rPr>
          <w:spacing w:val="-3"/>
        </w:rPr>
        <w:t> </w:t>
      </w:r>
      <w:r>
        <w:rPr/>
        <w:t>“unjustifiable</w:t>
      </w:r>
      <w:r>
        <w:rPr>
          <w:spacing w:val="-4"/>
        </w:rPr>
        <w:t> </w:t>
      </w:r>
      <w:r>
        <w:rPr/>
        <w:t>hardship”</w:t>
      </w:r>
      <w:r>
        <w:rPr>
          <w:spacing w:val="-3"/>
        </w:rPr>
        <w:t> </w:t>
      </w:r>
      <w:r>
        <w:rPr>
          <w:spacing w:val="-2"/>
        </w:rPr>
        <w:t>provisions</w:t>
      </w:r>
    </w:p>
    <w:p>
      <w:pPr>
        <w:pStyle w:val="BodyText"/>
        <w:ind w:left="417" w:right="807"/>
        <w:jc w:val="both"/>
      </w:pPr>
      <w:r>
        <w:rPr/>
        <w:t>In considering the costs in relation to upgrades of existing buildings, it is important to weigh the effect of Section 23(b) of the DDA, which provides an exemption from the general duty not to discriminate in providing access to premises to the extent that providing access would cause “unjustifiable hardship”.</w:t>
      </w:r>
      <w:r>
        <w:rPr>
          <w:spacing w:val="40"/>
        </w:rPr>
        <w:t> </w:t>
      </w:r>
      <w:r>
        <w:rPr/>
        <w:t>The unjustifiable hardship (UJH) exemption is designed to prevent the DDA requirements having the effect of imposing costs that are out of all proportion to the gains likely and would cause substantial hardship to those required to comply.</w:t>
      </w:r>
      <w:r>
        <w:rPr>
          <w:spacing w:val="40"/>
        </w:rPr>
        <w:t> </w:t>
      </w:r>
      <w:r>
        <w:rPr/>
        <w:t>The UJH provisions apply to both building upgrade works</w:t>
      </w:r>
    </w:p>
    <w:p>
      <w:pPr>
        <w:spacing w:after="0"/>
        <w:jc w:val="both"/>
        <w:sectPr>
          <w:pgSz w:w="11900" w:h="16840"/>
          <w:pgMar w:header="0" w:footer="1130" w:top="1360" w:bottom="1320" w:left="1380" w:right="980"/>
        </w:sectPr>
      </w:pPr>
    </w:p>
    <w:p>
      <w:pPr>
        <w:pStyle w:val="BodyText"/>
        <w:spacing w:before="77"/>
        <w:ind w:left="417" w:right="808"/>
        <w:jc w:val="both"/>
      </w:pPr>
      <w:r>
        <w:rPr/>
        <w:t>and to new buildings although, in practice, it is expected that the provisions</w:t>
      </w:r>
      <w:r>
        <w:rPr>
          <w:spacing w:val="40"/>
        </w:rPr>
        <w:t> </w:t>
      </w:r>
      <w:r>
        <w:rPr/>
        <w:t>will be used relatively rarely in relation to new buildings</w:t>
      </w:r>
      <w:r>
        <w:rPr>
          <w:vertAlign w:val="superscript"/>
        </w:rPr>
        <w:t>53</w:t>
      </w:r>
      <w:r>
        <w:rPr>
          <w:vertAlign w:val="baseline"/>
        </w:rPr>
        <w:t>.</w:t>
      </w:r>
    </w:p>
    <w:p>
      <w:pPr>
        <w:pStyle w:val="BodyText"/>
        <w:spacing w:before="11"/>
        <w:rPr>
          <w:sz w:val="23"/>
        </w:rPr>
      </w:pPr>
    </w:p>
    <w:p>
      <w:pPr>
        <w:pStyle w:val="BodyText"/>
        <w:ind w:left="417" w:right="807"/>
        <w:jc w:val="both"/>
      </w:pPr>
      <w:r>
        <w:rPr/>
        <w:t>The term “unjustifiable hardship” is not defined in the DDA, although Section 11</w:t>
      </w:r>
      <w:r>
        <w:rPr>
          <w:spacing w:val="-3"/>
        </w:rPr>
        <w:t> </w:t>
      </w:r>
      <w:r>
        <w:rPr/>
        <w:t>sets</w:t>
      </w:r>
      <w:r>
        <w:rPr>
          <w:spacing w:val="-3"/>
        </w:rPr>
        <w:t> </w:t>
      </w:r>
      <w:r>
        <w:rPr/>
        <w:t>out</w:t>
      </w:r>
      <w:r>
        <w:rPr>
          <w:spacing w:val="-1"/>
        </w:rPr>
        <w:t> </w:t>
      </w:r>
      <w:r>
        <w:rPr/>
        <w:t>a</w:t>
      </w:r>
      <w:r>
        <w:rPr>
          <w:spacing w:val="-3"/>
        </w:rPr>
        <w:t> </w:t>
      </w:r>
      <w:r>
        <w:rPr/>
        <w:t>range</w:t>
      </w:r>
      <w:r>
        <w:rPr>
          <w:spacing w:val="-3"/>
        </w:rPr>
        <w:t> </w:t>
      </w:r>
      <w:r>
        <w:rPr/>
        <w:t>of</w:t>
      </w:r>
      <w:r>
        <w:rPr>
          <w:spacing w:val="-3"/>
        </w:rPr>
        <w:t> </w:t>
      </w:r>
      <w:r>
        <w:rPr/>
        <w:t>matters</w:t>
      </w:r>
      <w:r>
        <w:rPr>
          <w:spacing w:val="-3"/>
        </w:rPr>
        <w:t> </w:t>
      </w:r>
      <w:r>
        <w:rPr/>
        <w:t>to</w:t>
      </w:r>
      <w:r>
        <w:rPr>
          <w:spacing w:val="-3"/>
        </w:rPr>
        <w:t> </w:t>
      </w:r>
      <w:r>
        <w:rPr/>
        <w:t>be</w:t>
      </w:r>
      <w:r>
        <w:rPr>
          <w:spacing w:val="-3"/>
        </w:rPr>
        <w:t> </w:t>
      </w:r>
      <w:r>
        <w:rPr/>
        <w:t>taken</w:t>
      </w:r>
      <w:r>
        <w:rPr>
          <w:spacing w:val="-2"/>
        </w:rPr>
        <w:t> </w:t>
      </w:r>
      <w:r>
        <w:rPr/>
        <w:t>into</w:t>
      </w:r>
      <w:r>
        <w:rPr>
          <w:spacing w:val="-2"/>
        </w:rPr>
        <w:t> </w:t>
      </w:r>
      <w:r>
        <w:rPr/>
        <w:t>account</w:t>
      </w:r>
      <w:r>
        <w:rPr>
          <w:spacing w:val="-2"/>
        </w:rPr>
        <w:t> </w:t>
      </w:r>
      <w:r>
        <w:rPr/>
        <w:t>in</w:t>
      </w:r>
      <w:r>
        <w:rPr>
          <w:spacing w:val="-2"/>
        </w:rPr>
        <w:t> </w:t>
      </w:r>
      <w:r>
        <w:rPr/>
        <w:t>determining</w:t>
      </w:r>
      <w:r>
        <w:rPr>
          <w:spacing w:val="-2"/>
        </w:rPr>
        <w:t> </w:t>
      </w:r>
      <w:r>
        <w:rPr/>
        <w:t>whether UJH would result in a particular case.</w:t>
      </w:r>
      <w:r>
        <w:rPr>
          <w:spacing w:val="40"/>
        </w:rPr>
        <w:t> </w:t>
      </w:r>
      <w:r>
        <w:rPr/>
        <w:t>Similarly, in giving expression to the DDA requirements within the BCA, Part 4, 4.1(4)(a) of the modified Premises Standards provides that in determining whether compliance ...</w:t>
      </w:r>
      <w:r>
        <w:rPr>
          <w:spacing w:val="40"/>
        </w:rPr>
        <w:t> </w:t>
      </w:r>
      <w:r>
        <w:rPr/>
        <w:t>would impose unjustifiable hardship</w:t>
      </w:r>
      <w:r>
        <w:rPr>
          <w:spacing w:val="40"/>
        </w:rPr>
        <w:t> </w:t>
      </w:r>
      <w:r>
        <w:rPr/>
        <w:t>…</w:t>
      </w:r>
      <w:r>
        <w:rPr>
          <w:spacing w:val="40"/>
        </w:rPr>
        <w:t> </w:t>
      </w:r>
      <w:r>
        <w:rPr/>
        <w:t>all relevant circumstances are to be taken into account including:</w:t>
      </w:r>
    </w:p>
    <w:p>
      <w:pPr>
        <w:pStyle w:val="BodyText"/>
      </w:pPr>
    </w:p>
    <w:p>
      <w:pPr>
        <w:pStyle w:val="ListParagraph"/>
        <w:numPr>
          <w:ilvl w:val="3"/>
          <w:numId w:val="27"/>
        </w:numPr>
        <w:tabs>
          <w:tab w:pos="1856" w:val="left" w:leader="none"/>
          <w:tab w:pos="1858" w:val="left" w:leader="none"/>
        </w:tabs>
        <w:spacing w:line="240" w:lineRule="auto" w:before="0" w:after="0"/>
        <w:ind w:left="1857" w:right="809" w:hanging="720"/>
        <w:jc w:val="left"/>
        <w:rPr>
          <w:sz w:val="24"/>
        </w:rPr>
      </w:pPr>
      <w:r>
        <w:rPr>
          <w:sz w:val="24"/>
        </w:rPr>
        <w:t>any loss of occupiable or rentable area that is reasonably likely to result from compliance with the requirement;</w:t>
      </w:r>
    </w:p>
    <w:p>
      <w:pPr>
        <w:pStyle w:val="ListParagraph"/>
        <w:numPr>
          <w:ilvl w:val="3"/>
          <w:numId w:val="27"/>
        </w:numPr>
        <w:tabs>
          <w:tab w:pos="1857" w:val="left" w:leader="none"/>
          <w:tab w:pos="1858" w:val="left" w:leader="none"/>
        </w:tabs>
        <w:spacing w:line="240" w:lineRule="auto" w:before="120" w:after="0"/>
        <w:ind w:left="1857" w:right="807" w:hanging="720"/>
        <w:jc w:val="left"/>
        <w:rPr>
          <w:sz w:val="24"/>
        </w:rPr>
      </w:pPr>
      <w:r>
        <w:rPr>
          <w:sz w:val="24"/>
        </w:rPr>
        <w:t>the cost that would be incurred in upgrading ancillary features in relation to the overall cost of developing the new part; and</w:t>
      </w:r>
    </w:p>
    <w:p>
      <w:pPr>
        <w:pStyle w:val="ListParagraph"/>
        <w:numPr>
          <w:ilvl w:val="3"/>
          <w:numId w:val="27"/>
        </w:numPr>
        <w:tabs>
          <w:tab w:pos="1858" w:val="left" w:leader="none"/>
          <w:tab w:pos="1859" w:val="left" w:leader="none"/>
        </w:tabs>
        <w:spacing w:line="240" w:lineRule="auto" w:before="120" w:after="0"/>
        <w:ind w:left="1858" w:right="0" w:hanging="722"/>
        <w:jc w:val="left"/>
        <w:rPr>
          <w:sz w:val="24"/>
        </w:rPr>
      </w:pPr>
      <w:r>
        <w:rPr>
          <w:sz w:val="24"/>
        </w:rPr>
        <w:t>the</w:t>
      </w:r>
      <w:r>
        <w:rPr>
          <w:spacing w:val="-12"/>
          <w:sz w:val="24"/>
        </w:rPr>
        <w:t> </w:t>
      </w:r>
      <w:r>
        <w:rPr>
          <w:sz w:val="24"/>
        </w:rPr>
        <w:t>resources</w:t>
      </w:r>
      <w:r>
        <w:rPr>
          <w:spacing w:val="-12"/>
          <w:sz w:val="24"/>
        </w:rPr>
        <w:t> </w:t>
      </w:r>
      <w:r>
        <w:rPr>
          <w:sz w:val="24"/>
        </w:rPr>
        <w:t>reasonably</w:t>
      </w:r>
      <w:r>
        <w:rPr>
          <w:spacing w:val="-12"/>
          <w:sz w:val="24"/>
        </w:rPr>
        <w:t> </w:t>
      </w:r>
      <w:r>
        <w:rPr>
          <w:sz w:val="24"/>
        </w:rPr>
        <w:t>available</w:t>
      </w:r>
      <w:r>
        <w:rPr>
          <w:spacing w:val="-11"/>
          <w:sz w:val="24"/>
        </w:rPr>
        <w:t> </w:t>
      </w:r>
      <w:r>
        <w:rPr>
          <w:sz w:val="24"/>
        </w:rPr>
        <w:t>to</w:t>
      </w:r>
      <w:r>
        <w:rPr>
          <w:spacing w:val="-12"/>
          <w:sz w:val="24"/>
        </w:rPr>
        <w:t> </w:t>
      </w:r>
      <w:r>
        <w:rPr>
          <w:sz w:val="24"/>
        </w:rPr>
        <w:t>the</w:t>
      </w:r>
      <w:r>
        <w:rPr>
          <w:spacing w:val="-12"/>
          <w:sz w:val="24"/>
        </w:rPr>
        <w:t> </w:t>
      </w:r>
      <w:r>
        <w:rPr>
          <w:spacing w:val="-2"/>
          <w:sz w:val="24"/>
        </w:rPr>
        <w:t>person.</w:t>
      </w:r>
    </w:p>
    <w:p>
      <w:pPr>
        <w:pStyle w:val="BodyText"/>
      </w:pPr>
    </w:p>
    <w:p>
      <w:pPr>
        <w:pStyle w:val="BodyText"/>
        <w:ind w:left="417" w:right="807"/>
        <w:jc w:val="both"/>
      </w:pPr>
      <w:r>
        <w:rPr/>
        <w:t>Also to be taken into account are the extent to which the building is intended</w:t>
      </w:r>
      <w:r>
        <w:rPr>
          <w:spacing w:val="40"/>
        </w:rPr>
        <w:t> </w:t>
      </w:r>
      <w:r>
        <w:rPr/>
        <w:t>to be used by the public, whether it serves significant cultural, religious, artistic, sporting and educational needs of the community and the extent to which alternative access is available to people with a disability.</w:t>
      </w:r>
      <w:r>
        <w:rPr>
          <w:spacing w:val="40"/>
        </w:rPr>
        <w:t> </w:t>
      </w:r>
      <w:r>
        <w:rPr/>
        <w:t>The unjustifiable hardship provision is also relevant to the degree that there is a heritage value that might be compromised or that there are topographical restrictions</w:t>
      </w:r>
      <w:r>
        <w:rPr>
          <w:rFonts w:ascii="Times New Roman"/>
          <w:vertAlign w:val="superscript"/>
        </w:rPr>
        <w:t>54</w:t>
      </w:r>
      <w:r>
        <w:rPr>
          <w:vertAlign w:val="baseline"/>
        </w:rPr>
        <w:t>.</w:t>
      </w:r>
      <w:r>
        <w:rPr>
          <w:spacing w:val="40"/>
          <w:vertAlign w:val="baseline"/>
        </w:rPr>
        <w:t> </w:t>
      </w:r>
      <w:r>
        <w:rPr>
          <w:vertAlign w:val="baseline"/>
        </w:rPr>
        <w:t>The extent to which building work involves the use of public funds is also a relevant consideration, although this is, by definition, not a concern for regulation of business and private individuals.</w:t>
      </w:r>
    </w:p>
    <w:p>
      <w:pPr>
        <w:pStyle w:val="BodyText"/>
        <w:spacing w:before="11"/>
        <w:rPr>
          <w:sz w:val="23"/>
        </w:rPr>
      </w:pPr>
    </w:p>
    <w:p>
      <w:pPr>
        <w:pStyle w:val="BodyText"/>
        <w:ind w:left="417" w:right="809"/>
        <w:jc w:val="both"/>
      </w:pPr>
      <w:r>
        <w:rPr/>
        <w:t>Since the release of the 2004 draft proposal, further guidance material has been included in the Premises Standards to assist with the consideration of UJH.</w:t>
      </w:r>
      <w:r>
        <w:rPr>
          <w:spacing w:val="40"/>
        </w:rPr>
        <w:t> </w:t>
      </w:r>
      <w:r>
        <w:rPr/>
        <w:t>This change is intended to provide additional clarity and predictability in interpretation, rather to change substantively the nature of the tests to be </w:t>
      </w:r>
      <w:r>
        <w:rPr>
          <w:spacing w:val="-2"/>
        </w:rPr>
        <w:t>applied.</w:t>
      </w:r>
    </w:p>
    <w:p>
      <w:pPr>
        <w:pStyle w:val="BodyText"/>
      </w:pPr>
    </w:p>
    <w:p>
      <w:pPr>
        <w:pStyle w:val="BodyText"/>
        <w:ind w:left="417" w:right="806"/>
        <w:jc w:val="both"/>
      </w:pPr>
      <w:r>
        <w:rPr/>
        <w:t>The application of the UJH provisions is to be undertaken on a case by case basis, taking account of individual circumstances.</w:t>
      </w:r>
      <w:r>
        <w:rPr>
          <w:spacing w:val="40"/>
        </w:rPr>
        <w:t> </w:t>
      </w:r>
      <w:r>
        <w:rPr/>
        <w:t>As well, it must be noted that the decisions made will be taken by a variety of individuals and bodies.</w:t>
      </w:r>
      <w:r>
        <w:rPr>
          <w:spacing w:val="40"/>
        </w:rPr>
        <w:t> </w:t>
      </w:r>
      <w:r>
        <w:rPr/>
        <w:t>A building certifier would be able to make judgements regarding UJH exemptions.</w:t>
      </w:r>
      <w:r>
        <w:rPr>
          <w:spacing w:val="40"/>
        </w:rPr>
        <w:t> </w:t>
      </w:r>
      <w:r>
        <w:rPr/>
        <w:t>However, where a certifier does not wish to do so, an opinion could be sought from the building administration in the relevant State or Territory, or a panel constituted for this purpose by it.</w:t>
      </w:r>
      <w:r>
        <w:rPr>
          <w:spacing w:val="80"/>
        </w:rPr>
        <w:t> </w:t>
      </w:r>
      <w:r>
        <w:rPr/>
        <w:t>It is anticipated that each State and Territory will adopt a Protocol – developed as a model by ABCB</w:t>
      </w:r>
      <w:r>
        <w:rPr>
          <w:spacing w:val="7"/>
        </w:rPr>
        <w:t> </w:t>
      </w:r>
      <w:r>
        <w:rPr/>
        <w:t>–</w:t>
      </w:r>
      <w:r>
        <w:rPr>
          <w:spacing w:val="7"/>
        </w:rPr>
        <w:t> </w:t>
      </w:r>
      <w:r>
        <w:rPr/>
        <w:t>to</w:t>
      </w:r>
      <w:r>
        <w:rPr>
          <w:spacing w:val="7"/>
        </w:rPr>
        <w:t> </w:t>
      </w:r>
      <w:r>
        <w:rPr/>
        <w:t>guide</w:t>
      </w:r>
      <w:r>
        <w:rPr>
          <w:spacing w:val="8"/>
        </w:rPr>
        <w:t> </w:t>
      </w:r>
      <w:r>
        <w:rPr/>
        <w:t>the</w:t>
      </w:r>
      <w:r>
        <w:rPr>
          <w:spacing w:val="7"/>
        </w:rPr>
        <w:t> </w:t>
      </w:r>
      <w:r>
        <w:rPr/>
        <w:t>application</w:t>
      </w:r>
      <w:r>
        <w:rPr>
          <w:spacing w:val="7"/>
        </w:rPr>
        <w:t> </w:t>
      </w:r>
      <w:r>
        <w:rPr/>
        <w:t>of</w:t>
      </w:r>
      <w:r>
        <w:rPr>
          <w:spacing w:val="8"/>
        </w:rPr>
        <w:t> </w:t>
      </w:r>
      <w:r>
        <w:rPr/>
        <w:t>the</w:t>
      </w:r>
      <w:r>
        <w:rPr>
          <w:spacing w:val="7"/>
        </w:rPr>
        <w:t> </w:t>
      </w:r>
      <w:r>
        <w:rPr/>
        <w:t>UJH</w:t>
      </w:r>
      <w:r>
        <w:rPr>
          <w:spacing w:val="7"/>
        </w:rPr>
        <w:t> </w:t>
      </w:r>
      <w:r>
        <w:rPr/>
        <w:t>provisions.</w:t>
      </w:r>
      <w:r>
        <w:rPr>
          <w:spacing w:val="49"/>
          <w:w w:val="150"/>
        </w:rPr>
        <w:t> </w:t>
      </w:r>
      <w:r>
        <w:rPr/>
        <w:t>The</w:t>
      </w:r>
      <w:r>
        <w:rPr>
          <w:spacing w:val="7"/>
        </w:rPr>
        <w:t> </w:t>
      </w:r>
      <w:r>
        <w:rPr/>
        <w:t>model</w:t>
      </w:r>
      <w:r>
        <w:rPr>
          <w:spacing w:val="7"/>
        </w:rPr>
        <w:t> </w:t>
      </w:r>
      <w:r>
        <w:rPr>
          <w:spacing w:val="-2"/>
        </w:rPr>
        <w:t>contained</w:t>
      </w:r>
    </w:p>
    <w:p>
      <w:pPr>
        <w:pStyle w:val="BodyText"/>
        <w:rPr>
          <w:sz w:val="20"/>
        </w:rPr>
      </w:pPr>
    </w:p>
    <w:p>
      <w:pPr>
        <w:pStyle w:val="BodyText"/>
        <w:rPr>
          <w:sz w:val="20"/>
        </w:rPr>
      </w:pPr>
    </w:p>
    <w:p>
      <w:pPr>
        <w:pStyle w:val="BodyText"/>
        <w:rPr>
          <w:sz w:val="20"/>
        </w:rPr>
      </w:pPr>
    </w:p>
    <w:p>
      <w:pPr>
        <w:pStyle w:val="BodyText"/>
        <w:spacing w:before="2"/>
        <w:rPr>
          <w:sz w:val="21"/>
        </w:rPr>
      </w:pPr>
      <w:r>
        <w:rPr/>
        <w:pict>
          <v:rect style="position:absolute;margin-left:89.879997pt;margin-top:13.399317pt;width:144pt;height:.6pt;mso-position-horizontal-relative:page;mso-position-vertical-relative:paragraph;z-index:-15707648;mso-wrap-distance-left:0;mso-wrap-distance-right:0" id="docshape50" filled="true" fillcolor="#000000" stroked="false">
            <v:fill type="solid"/>
            <w10:wrap type="topAndBottom"/>
          </v:rect>
        </w:pict>
      </w:r>
    </w:p>
    <w:p>
      <w:pPr>
        <w:pStyle w:val="BodyText"/>
        <w:spacing w:before="1"/>
        <w:rPr>
          <w:sz w:val="8"/>
        </w:rPr>
      </w:pPr>
    </w:p>
    <w:p>
      <w:pPr>
        <w:spacing w:before="130"/>
        <w:ind w:left="417" w:right="811" w:firstLine="0"/>
        <w:jc w:val="left"/>
        <w:rPr>
          <w:sz w:val="20"/>
        </w:rPr>
      </w:pPr>
      <w:r>
        <w:rPr>
          <w:sz w:val="20"/>
          <w:vertAlign w:val="superscript"/>
        </w:rPr>
        <w:t>53</w:t>
      </w:r>
      <w:r>
        <w:rPr>
          <w:spacing w:val="-3"/>
          <w:sz w:val="20"/>
          <w:vertAlign w:val="baseline"/>
        </w:rPr>
        <w:t> </w:t>
      </w:r>
      <w:r>
        <w:rPr>
          <w:sz w:val="20"/>
          <w:vertAlign w:val="baseline"/>
        </w:rPr>
        <w:t>The</w:t>
      </w:r>
      <w:r>
        <w:rPr>
          <w:spacing w:val="-3"/>
          <w:sz w:val="20"/>
          <w:vertAlign w:val="baseline"/>
        </w:rPr>
        <w:t> </w:t>
      </w:r>
      <w:r>
        <w:rPr>
          <w:sz w:val="20"/>
          <w:vertAlign w:val="baseline"/>
        </w:rPr>
        <w:t>original</w:t>
      </w:r>
      <w:r>
        <w:rPr>
          <w:spacing w:val="-4"/>
          <w:sz w:val="20"/>
          <w:vertAlign w:val="baseline"/>
        </w:rPr>
        <w:t> </w:t>
      </w:r>
      <w:r>
        <w:rPr>
          <w:sz w:val="20"/>
          <w:vertAlign w:val="baseline"/>
        </w:rPr>
        <w:t>proposal</w:t>
      </w:r>
      <w:r>
        <w:rPr>
          <w:spacing w:val="-3"/>
          <w:sz w:val="20"/>
          <w:vertAlign w:val="baseline"/>
        </w:rPr>
        <w:t> </w:t>
      </w:r>
      <w:r>
        <w:rPr>
          <w:sz w:val="20"/>
          <w:vertAlign w:val="baseline"/>
        </w:rPr>
        <w:t>would</w:t>
      </w:r>
      <w:r>
        <w:rPr>
          <w:spacing w:val="-3"/>
          <w:sz w:val="20"/>
          <w:vertAlign w:val="baseline"/>
        </w:rPr>
        <w:t> </w:t>
      </w:r>
      <w:r>
        <w:rPr>
          <w:sz w:val="20"/>
          <w:vertAlign w:val="baseline"/>
        </w:rPr>
        <w:t>have</w:t>
      </w:r>
      <w:r>
        <w:rPr>
          <w:spacing w:val="-3"/>
          <w:sz w:val="20"/>
          <w:vertAlign w:val="baseline"/>
        </w:rPr>
        <w:t> </w:t>
      </w:r>
      <w:r>
        <w:rPr>
          <w:sz w:val="20"/>
          <w:vertAlign w:val="baseline"/>
        </w:rPr>
        <w:t>applied</w:t>
      </w:r>
      <w:r>
        <w:rPr>
          <w:spacing w:val="-3"/>
          <w:sz w:val="20"/>
          <w:vertAlign w:val="baseline"/>
        </w:rPr>
        <w:t> </w:t>
      </w:r>
      <w:r>
        <w:rPr>
          <w:sz w:val="20"/>
          <w:vertAlign w:val="baseline"/>
        </w:rPr>
        <w:t>the</w:t>
      </w:r>
      <w:r>
        <w:rPr>
          <w:spacing w:val="-3"/>
          <w:sz w:val="20"/>
          <w:vertAlign w:val="baseline"/>
        </w:rPr>
        <w:t> </w:t>
      </w:r>
      <w:r>
        <w:rPr>
          <w:sz w:val="20"/>
          <w:vertAlign w:val="baseline"/>
        </w:rPr>
        <w:t>UJH</w:t>
      </w:r>
      <w:r>
        <w:rPr>
          <w:spacing w:val="-3"/>
          <w:sz w:val="20"/>
          <w:vertAlign w:val="baseline"/>
        </w:rPr>
        <w:t> </w:t>
      </w:r>
      <w:r>
        <w:rPr>
          <w:sz w:val="20"/>
          <w:vertAlign w:val="baseline"/>
        </w:rPr>
        <w:t>provisions</w:t>
      </w:r>
      <w:r>
        <w:rPr>
          <w:spacing w:val="-4"/>
          <w:sz w:val="20"/>
          <w:vertAlign w:val="baseline"/>
        </w:rPr>
        <w:t> </w:t>
      </w:r>
      <w:r>
        <w:rPr>
          <w:sz w:val="20"/>
          <w:vertAlign w:val="baseline"/>
        </w:rPr>
        <w:t>solely</w:t>
      </w:r>
      <w:r>
        <w:rPr>
          <w:spacing w:val="-3"/>
          <w:sz w:val="20"/>
          <w:vertAlign w:val="baseline"/>
        </w:rPr>
        <w:t> </w:t>
      </w:r>
      <w:r>
        <w:rPr>
          <w:sz w:val="20"/>
          <w:vertAlign w:val="baseline"/>
        </w:rPr>
        <w:t>to</w:t>
      </w:r>
      <w:r>
        <w:rPr>
          <w:spacing w:val="-3"/>
          <w:sz w:val="20"/>
          <w:vertAlign w:val="baseline"/>
        </w:rPr>
        <w:t> </w:t>
      </w:r>
      <w:r>
        <w:rPr>
          <w:sz w:val="20"/>
          <w:vertAlign w:val="baseline"/>
        </w:rPr>
        <w:t>building</w:t>
      </w:r>
      <w:r>
        <w:rPr>
          <w:spacing w:val="-3"/>
          <w:sz w:val="20"/>
          <w:vertAlign w:val="baseline"/>
        </w:rPr>
        <w:t> </w:t>
      </w:r>
      <w:r>
        <w:rPr>
          <w:sz w:val="20"/>
          <w:vertAlign w:val="baseline"/>
        </w:rPr>
        <w:t>upgrade </w:t>
      </w:r>
      <w:r>
        <w:rPr>
          <w:spacing w:val="-2"/>
          <w:sz w:val="20"/>
          <w:vertAlign w:val="baseline"/>
        </w:rPr>
        <w:t>works.</w:t>
      </w:r>
    </w:p>
    <w:p>
      <w:pPr>
        <w:spacing w:before="0"/>
        <w:ind w:left="417" w:right="811" w:firstLine="0"/>
        <w:jc w:val="left"/>
        <w:rPr>
          <w:sz w:val="20"/>
        </w:rPr>
      </w:pPr>
      <w:r>
        <w:rPr>
          <w:sz w:val="20"/>
          <w:vertAlign w:val="superscript"/>
        </w:rPr>
        <w:t>54</w:t>
      </w:r>
      <w:r>
        <w:rPr>
          <w:spacing w:val="59"/>
          <w:sz w:val="20"/>
          <w:vertAlign w:val="baseline"/>
        </w:rPr>
        <w:t> </w:t>
      </w:r>
      <w:r>
        <w:rPr>
          <w:sz w:val="20"/>
          <w:vertAlign w:val="baseline"/>
        </w:rPr>
        <w:t>This</w:t>
      </w:r>
      <w:r>
        <w:rPr>
          <w:spacing w:val="40"/>
          <w:sz w:val="20"/>
          <w:vertAlign w:val="baseline"/>
        </w:rPr>
        <w:t> </w:t>
      </w:r>
      <w:r>
        <w:rPr>
          <w:sz w:val="20"/>
          <w:vertAlign w:val="baseline"/>
        </w:rPr>
        <w:t>would</w:t>
      </w:r>
      <w:r>
        <w:rPr>
          <w:spacing w:val="40"/>
          <w:sz w:val="20"/>
          <w:vertAlign w:val="baseline"/>
        </w:rPr>
        <w:t> </w:t>
      </w:r>
      <w:r>
        <w:rPr>
          <w:sz w:val="20"/>
          <w:vertAlign w:val="baseline"/>
        </w:rPr>
        <w:t>allay</w:t>
      </w:r>
      <w:r>
        <w:rPr>
          <w:spacing w:val="59"/>
          <w:sz w:val="20"/>
          <w:vertAlign w:val="baseline"/>
        </w:rPr>
        <w:t> </w:t>
      </w:r>
      <w:r>
        <w:rPr>
          <w:sz w:val="20"/>
          <w:vertAlign w:val="baseline"/>
        </w:rPr>
        <w:t>fears</w:t>
      </w:r>
      <w:r>
        <w:rPr>
          <w:spacing w:val="40"/>
          <w:sz w:val="20"/>
          <w:vertAlign w:val="baseline"/>
        </w:rPr>
        <w:t> </w:t>
      </w:r>
      <w:r>
        <w:rPr>
          <w:sz w:val="20"/>
          <w:vertAlign w:val="baseline"/>
        </w:rPr>
        <w:t>of</w:t>
      </w:r>
      <w:r>
        <w:rPr>
          <w:spacing w:val="59"/>
          <w:sz w:val="20"/>
          <w:vertAlign w:val="baseline"/>
        </w:rPr>
        <w:t> </w:t>
      </w:r>
      <w:r>
        <w:rPr>
          <w:sz w:val="20"/>
          <w:vertAlign w:val="baseline"/>
        </w:rPr>
        <w:t>a</w:t>
      </w:r>
      <w:r>
        <w:rPr>
          <w:spacing w:val="59"/>
          <w:sz w:val="20"/>
          <w:vertAlign w:val="baseline"/>
        </w:rPr>
        <w:t> </w:t>
      </w:r>
      <w:r>
        <w:rPr>
          <w:sz w:val="20"/>
          <w:vertAlign w:val="baseline"/>
        </w:rPr>
        <w:t>repetition</w:t>
      </w:r>
      <w:r>
        <w:rPr>
          <w:spacing w:val="59"/>
          <w:sz w:val="20"/>
          <w:vertAlign w:val="baseline"/>
        </w:rPr>
        <w:t> </w:t>
      </w:r>
      <w:r>
        <w:rPr>
          <w:sz w:val="20"/>
          <w:vertAlign w:val="baseline"/>
        </w:rPr>
        <w:t>of</w:t>
      </w:r>
      <w:r>
        <w:rPr>
          <w:spacing w:val="40"/>
          <w:sz w:val="20"/>
          <w:vertAlign w:val="baseline"/>
        </w:rPr>
        <w:t> </w:t>
      </w:r>
      <w:r>
        <w:rPr>
          <w:sz w:val="20"/>
          <w:vertAlign w:val="baseline"/>
        </w:rPr>
        <w:t>a</w:t>
      </w:r>
      <w:r>
        <w:rPr>
          <w:spacing w:val="59"/>
          <w:sz w:val="20"/>
          <w:vertAlign w:val="baseline"/>
        </w:rPr>
        <w:t> </w:t>
      </w:r>
      <w:r>
        <w:rPr>
          <w:sz w:val="20"/>
          <w:vertAlign w:val="baseline"/>
        </w:rPr>
        <w:t>notorious</w:t>
      </w:r>
      <w:r>
        <w:rPr>
          <w:spacing w:val="40"/>
          <w:sz w:val="20"/>
          <w:vertAlign w:val="baseline"/>
        </w:rPr>
        <w:t> </w:t>
      </w:r>
      <w:r>
        <w:rPr>
          <w:sz w:val="20"/>
          <w:vertAlign w:val="baseline"/>
        </w:rPr>
        <w:t>US</w:t>
      </w:r>
      <w:r>
        <w:rPr>
          <w:spacing w:val="59"/>
          <w:sz w:val="20"/>
          <w:vertAlign w:val="baseline"/>
        </w:rPr>
        <w:t> </w:t>
      </w:r>
      <w:r>
        <w:rPr>
          <w:sz w:val="20"/>
          <w:vertAlign w:val="baseline"/>
        </w:rPr>
        <w:t>case</w:t>
      </w:r>
      <w:r>
        <w:rPr>
          <w:spacing w:val="59"/>
          <w:sz w:val="20"/>
          <w:vertAlign w:val="baseline"/>
        </w:rPr>
        <w:t> </w:t>
      </w:r>
      <w:r>
        <w:rPr>
          <w:sz w:val="20"/>
          <w:vertAlign w:val="baseline"/>
        </w:rPr>
        <w:t>concerning</w:t>
      </w:r>
      <w:r>
        <w:rPr>
          <w:spacing w:val="40"/>
          <w:sz w:val="20"/>
          <w:vertAlign w:val="baseline"/>
        </w:rPr>
        <w:t> </w:t>
      </w:r>
      <w:r>
        <w:rPr>
          <w:sz w:val="20"/>
          <w:vertAlign w:val="baseline"/>
        </w:rPr>
        <w:t>an</w:t>
      </w:r>
      <w:r>
        <w:rPr>
          <w:spacing w:val="59"/>
          <w:sz w:val="20"/>
          <w:vertAlign w:val="baseline"/>
        </w:rPr>
        <w:t> </w:t>
      </w:r>
      <w:r>
        <w:rPr>
          <w:sz w:val="20"/>
          <w:vertAlign w:val="baseline"/>
        </w:rPr>
        <w:t>eating establishment, the difficult access to which was an attraction.</w:t>
      </w:r>
    </w:p>
    <w:p>
      <w:pPr>
        <w:spacing w:after="0"/>
        <w:jc w:val="left"/>
        <w:rPr>
          <w:sz w:val="20"/>
        </w:rPr>
        <w:sectPr>
          <w:pgSz w:w="11900" w:h="16840"/>
          <w:pgMar w:header="0" w:footer="1130" w:top="1360" w:bottom="1320" w:left="1380" w:right="980"/>
        </w:sectPr>
      </w:pPr>
    </w:p>
    <w:p>
      <w:pPr>
        <w:pStyle w:val="BodyText"/>
        <w:spacing w:before="77"/>
        <w:ind w:left="417" w:right="810"/>
        <w:jc w:val="both"/>
      </w:pPr>
      <w:r>
        <w:rPr/>
        <w:t>in this Protocol facilitates the establishment of an expert Access Panel to provide an opinion on the application of UJH exemptions on request</w:t>
      </w:r>
      <w:r>
        <w:rPr>
          <w:vertAlign w:val="superscript"/>
        </w:rPr>
        <w:t>55</w:t>
      </w:r>
      <w:r>
        <w:rPr>
          <w:vertAlign w:val="baseline"/>
        </w:rPr>
        <w:t>.</w:t>
      </w:r>
    </w:p>
    <w:p>
      <w:pPr>
        <w:pStyle w:val="BodyText"/>
        <w:spacing w:before="11"/>
        <w:rPr>
          <w:sz w:val="23"/>
        </w:rPr>
      </w:pPr>
    </w:p>
    <w:p>
      <w:pPr>
        <w:pStyle w:val="BodyText"/>
        <w:ind w:left="417" w:right="807"/>
        <w:jc w:val="both"/>
      </w:pPr>
      <w:r>
        <w:rPr/>
        <w:t>Given these factors, and the fact that there is relatively little experience to</w:t>
      </w:r>
      <w:r>
        <w:rPr>
          <w:spacing w:val="40"/>
        </w:rPr>
        <w:t> </w:t>
      </w:r>
      <w:r>
        <w:rPr/>
        <w:t>date with the application of the UJH provisions of the DDA in the access to premises context, the practical impact they would have in reducing the effective costs of the Premises Standards in relation to new and existing buildings</w:t>
      </w:r>
      <w:r>
        <w:rPr>
          <w:spacing w:val="-2"/>
        </w:rPr>
        <w:t> </w:t>
      </w:r>
      <w:r>
        <w:rPr/>
        <w:t>is</w:t>
      </w:r>
      <w:r>
        <w:rPr>
          <w:spacing w:val="-1"/>
        </w:rPr>
        <w:t> </w:t>
      </w:r>
      <w:r>
        <w:rPr/>
        <w:t>difficult</w:t>
      </w:r>
      <w:r>
        <w:rPr>
          <w:spacing w:val="-2"/>
        </w:rPr>
        <w:t> </w:t>
      </w:r>
      <w:r>
        <w:rPr/>
        <w:t>to</w:t>
      </w:r>
      <w:r>
        <w:rPr>
          <w:spacing w:val="-2"/>
        </w:rPr>
        <w:t> </w:t>
      </w:r>
      <w:r>
        <w:rPr/>
        <w:t>estimate.</w:t>
      </w:r>
      <w:r>
        <w:rPr>
          <w:spacing w:val="40"/>
        </w:rPr>
        <w:t> </w:t>
      </w:r>
      <w:r>
        <w:rPr/>
        <w:t>However,</w:t>
      </w:r>
      <w:r>
        <w:rPr>
          <w:spacing w:val="-2"/>
        </w:rPr>
        <w:t> </w:t>
      </w:r>
      <w:r>
        <w:rPr/>
        <w:t>it</w:t>
      </w:r>
      <w:r>
        <w:rPr>
          <w:spacing w:val="-2"/>
        </w:rPr>
        <w:t> </w:t>
      </w:r>
      <w:r>
        <w:rPr/>
        <w:t>is</w:t>
      </w:r>
      <w:r>
        <w:rPr>
          <w:spacing w:val="-2"/>
        </w:rPr>
        <w:t> </w:t>
      </w:r>
      <w:r>
        <w:rPr/>
        <w:t>apparent</w:t>
      </w:r>
      <w:r>
        <w:rPr>
          <w:spacing w:val="-2"/>
        </w:rPr>
        <w:t> </w:t>
      </w:r>
      <w:r>
        <w:rPr/>
        <w:t>from</w:t>
      </w:r>
      <w:r>
        <w:rPr>
          <w:spacing w:val="-2"/>
        </w:rPr>
        <w:t> </w:t>
      </w:r>
      <w:r>
        <w:rPr/>
        <w:t>the</w:t>
      </w:r>
      <w:r>
        <w:rPr>
          <w:spacing w:val="-2"/>
        </w:rPr>
        <w:t> </w:t>
      </w:r>
      <w:r>
        <w:rPr/>
        <w:t>discussion</w:t>
      </w:r>
      <w:r>
        <w:rPr>
          <w:spacing w:val="-2"/>
        </w:rPr>
        <w:t> </w:t>
      </w:r>
      <w:r>
        <w:rPr/>
        <w:t>of the cost impacts in relation to individual case study buildings that the cost impacts are substantially higher for two-storey office buildings and shops than for most other categories, while the extent of building activity in relation to these building types is also high.</w:t>
      </w:r>
    </w:p>
    <w:p>
      <w:pPr>
        <w:pStyle w:val="BodyText"/>
      </w:pPr>
    </w:p>
    <w:p>
      <w:pPr>
        <w:pStyle w:val="BodyText"/>
        <w:ind w:left="417" w:right="807"/>
        <w:jc w:val="both"/>
      </w:pPr>
      <w:r>
        <w:rPr/>
        <w:t>It</w:t>
      </w:r>
      <w:r>
        <w:rPr>
          <w:spacing w:val="-4"/>
        </w:rPr>
        <w:t> </w:t>
      </w:r>
      <w:r>
        <w:rPr/>
        <w:t>is</w:t>
      </w:r>
      <w:r>
        <w:rPr>
          <w:spacing w:val="-4"/>
        </w:rPr>
        <w:t> </w:t>
      </w:r>
      <w:r>
        <w:rPr/>
        <w:t>expected</w:t>
      </w:r>
      <w:r>
        <w:rPr>
          <w:spacing w:val="-4"/>
        </w:rPr>
        <w:t> </w:t>
      </w:r>
      <w:r>
        <w:rPr/>
        <w:t>that</w:t>
      </w:r>
      <w:r>
        <w:rPr>
          <w:spacing w:val="-4"/>
        </w:rPr>
        <w:t> </w:t>
      </w:r>
      <w:r>
        <w:rPr/>
        <w:t>the</w:t>
      </w:r>
      <w:r>
        <w:rPr>
          <w:spacing w:val="-4"/>
        </w:rPr>
        <w:t> </w:t>
      </w:r>
      <w:r>
        <w:rPr/>
        <w:t>UJH</w:t>
      </w:r>
      <w:r>
        <w:rPr>
          <w:spacing w:val="-4"/>
        </w:rPr>
        <w:t> </w:t>
      </w:r>
      <w:r>
        <w:rPr/>
        <w:t>provisions</w:t>
      </w:r>
      <w:r>
        <w:rPr>
          <w:spacing w:val="-4"/>
        </w:rPr>
        <w:t> </w:t>
      </w:r>
      <w:r>
        <w:rPr/>
        <w:t>will</w:t>
      </w:r>
      <w:r>
        <w:rPr>
          <w:spacing w:val="-4"/>
        </w:rPr>
        <w:t> </w:t>
      </w:r>
      <w:r>
        <w:rPr/>
        <w:t>be</w:t>
      </w:r>
      <w:r>
        <w:rPr>
          <w:spacing w:val="-4"/>
        </w:rPr>
        <w:t> </w:t>
      </w:r>
      <w:r>
        <w:rPr/>
        <w:t>utilised</w:t>
      </w:r>
      <w:r>
        <w:rPr>
          <w:spacing w:val="-2"/>
        </w:rPr>
        <w:t> </w:t>
      </w:r>
      <w:r>
        <w:rPr/>
        <w:t>predominantly</w:t>
      </w:r>
      <w:r>
        <w:rPr>
          <w:spacing w:val="-4"/>
        </w:rPr>
        <w:t> </w:t>
      </w:r>
      <w:r>
        <w:rPr/>
        <w:t>for</w:t>
      </w:r>
      <w:r>
        <w:rPr>
          <w:spacing w:val="-4"/>
        </w:rPr>
        <w:t> </w:t>
      </w:r>
      <w:r>
        <w:rPr/>
        <w:t>existing buildings undergoing alteration or addition. However, the modifications made to the 2004 draft proposal imply that substantially less use of the UJH provisions will need to be made than was estimated in the draft RIS in relation to the 2004 draft proposal, owing to the proposed exemption of ‘small’ buildings i.e. those buildings up to 3 storeys with a floor space (excluding the entrance level) of not more than 200m² per storey.</w:t>
      </w:r>
    </w:p>
    <w:p>
      <w:pPr>
        <w:pStyle w:val="BodyText"/>
      </w:pPr>
    </w:p>
    <w:p>
      <w:pPr>
        <w:pStyle w:val="BodyText"/>
        <w:spacing w:before="1"/>
        <w:ind w:left="417" w:right="807"/>
        <w:jc w:val="both"/>
      </w:pPr>
      <w:r>
        <w:rPr/>
        <w:t>It was noted in the draft RIS that court decisions applying similar hardship provisions in the United States context have tended to regard any increase in costs greater than about 20% as being unjustifiable.</w:t>
      </w:r>
      <w:r>
        <w:rPr>
          <w:spacing w:val="80"/>
        </w:rPr>
        <w:t> </w:t>
      </w:r>
      <w:r>
        <w:rPr/>
        <w:t>Whereas there were</w:t>
      </w:r>
      <w:r>
        <w:rPr>
          <w:spacing w:val="40"/>
        </w:rPr>
        <w:t> </w:t>
      </w:r>
      <w:r>
        <w:rPr/>
        <w:t>nine case studies under the 2004 draft proposal in respect of which the expected</w:t>
      </w:r>
      <w:r>
        <w:rPr>
          <w:spacing w:val="32"/>
        </w:rPr>
        <w:t> </w:t>
      </w:r>
      <w:r>
        <w:rPr/>
        <w:t>cost</w:t>
      </w:r>
      <w:r>
        <w:rPr>
          <w:spacing w:val="32"/>
        </w:rPr>
        <w:t> </w:t>
      </w:r>
      <w:r>
        <w:rPr/>
        <w:t>increase</w:t>
      </w:r>
      <w:r>
        <w:rPr>
          <w:spacing w:val="32"/>
        </w:rPr>
        <w:t> </w:t>
      </w:r>
      <w:r>
        <w:rPr/>
        <w:t>exceeded</w:t>
      </w:r>
      <w:r>
        <w:rPr>
          <w:spacing w:val="32"/>
        </w:rPr>
        <w:t> </w:t>
      </w:r>
      <w:r>
        <w:rPr/>
        <w:t>this</w:t>
      </w:r>
      <w:r>
        <w:rPr>
          <w:spacing w:val="32"/>
        </w:rPr>
        <w:t> </w:t>
      </w:r>
      <w:r>
        <w:rPr/>
        <w:t>threshold,</w:t>
      </w:r>
      <w:r>
        <w:rPr>
          <w:spacing w:val="32"/>
        </w:rPr>
        <w:t> </w:t>
      </w:r>
      <w:r>
        <w:rPr/>
        <w:t>this</w:t>
      </w:r>
      <w:r>
        <w:rPr>
          <w:spacing w:val="33"/>
        </w:rPr>
        <w:t> </w:t>
      </w:r>
      <w:r>
        <w:rPr/>
        <w:t>is</w:t>
      </w:r>
      <w:r>
        <w:rPr>
          <w:spacing w:val="32"/>
        </w:rPr>
        <w:t> </w:t>
      </w:r>
      <w:r>
        <w:rPr/>
        <w:t>no</w:t>
      </w:r>
      <w:r>
        <w:rPr>
          <w:spacing w:val="32"/>
        </w:rPr>
        <w:t> </w:t>
      </w:r>
      <w:r>
        <w:rPr/>
        <w:t>longer</w:t>
      </w:r>
      <w:r>
        <w:rPr>
          <w:spacing w:val="32"/>
        </w:rPr>
        <w:t> </w:t>
      </w:r>
      <w:r>
        <w:rPr/>
        <w:t>the</w:t>
      </w:r>
      <w:r>
        <w:rPr>
          <w:spacing w:val="33"/>
        </w:rPr>
        <w:t> </w:t>
      </w:r>
      <w:r>
        <w:rPr/>
        <w:t>case. As indicated in tables 4, 5 and 6, above, there are now only two case studies in respect of which the estimated cost of the Standards would exceed this threshold.</w:t>
      </w:r>
      <w:r>
        <w:rPr>
          <w:spacing w:val="40"/>
        </w:rPr>
        <w:t> </w:t>
      </w:r>
      <w:r>
        <w:rPr/>
        <w:t>Moreover the largest percentage cost increase under the 2008 proposal is only 32.9% whereas, under the 2004 draft proposal, the largest percentage cost increase was more than 140%.</w:t>
      </w:r>
    </w:p>
    <w:p>
      <w:pPr>
        <w:pStyle w:val="BodyText"/>
        <w:spacing w:before="10"/>
        <w:rPr>
          <w:sz w:val="23"/>
        </w:rPr>
      </w:pPr>
    </w:p>
    <w:p>
      <w:pPr>
        <w:pStyle w:val="BodyText"/>
        <w:ind w:left="417" w:right="807"/>
        <w:jc w:val="both"/>
      </w:pPr>
      <w:r>
        <w:rPr/>
        <w:t>Consequently, it is necessary to reduce substantially the estimate made in the draft RIS of the likely effect of the UJH provisions.</w:t>
      </w:r>
      <w:r>
        <w:rPr>
          <w:spacing w:val="40"/>
        </w:rPr>
        <w:t> </w:t>
      </w:r>
      <w:r>
        <w:rPr/>
        <w:t>The draft RIS suggested that the operation of these provisions in practice would be likely to reduce the notional</w:t>
      </w:r>
      <w:r>
        <w:rPr>
          <w:spacing w:val="40"/>
        </w:rPr>
        <w:t> </w:t>
      </w:r>
      <w:r>
        <w:rPr/>
        <w:t>cost</w:t>
      </w:r>
      <w:r>
        <w:rPr>
          <w:spacing w:val="40"/>
        </w:rPr>
        <w:t> </w:t>
      </w:r>
      <w:r>
        <w:rPr/>
        <w:t>of</w:t>
      </w:r>
      <w:r>
        <w:rPr>
          <w:spacing w:val="40"/>
        </w:rPr>
        <w:t> </w:t>
      </w:r>
      <w:r>
        <w:rPr/>
        <w:t>compliance</w:t>
      </w:r>
      <w:r>
        <w:rPr>
          <w:spacing w:val="40"/>
        </w:rPr>
        <w:t> </w:t>
      </w:r>
      <w:r>
        <w:rPr/>
        <w:t>in</w:t>
      </w:r>
      <w:r>
        <w:rPr>
          <w:spacing w:val="40"/>
        </w:rPr>
        <w:t> </w:t>
      </w:r>
      <w:r>
        <w:rPr/>
        <w:t>respect</w:t>
      </w:r>
      <w:r>
        <w:rPr>
          <w:spacing w:val="40"/>
        </w:rPr>
        <w:t> </w:t>
      </w:r>
      <w:r>
        <w:rPr/>
        <w:t>of</w:t>
      </w:r>
      <w:r>
        <w:rPr>
          <w:spacing w:val="40"/>
        </w:rPr>
        <w:t> </w:t>
      </w:r>
      <w:r>
        <w:rPr/>
        <w:t>building</w:t>
      </w:r>
      <w:r>
        <w:rPr>
          <w:spacing w:val="40"/>
        </w:rPr>
        <w:t> </w:t>
      </w:r>
      <w:r>
        <w:rPr/>
        <w:t>upgrade</w:t>
      </w:r>
      <w:r>
        <w:rPr>
          <w:spacing w:val="40"/>
        </w:rPr>
        <w:t> </w:t>
      </w:r>
      <w:r>
        <w:rPr/>
        <w:t>work</w:t>
      </w:r>
      <w:r>
        <w:rPr>
          <w:spacing w:val="40"/>
        </w:rPr>
        <w:t> </w:t>
      </w:r>
      <w:r>
        <w:rPr/>
        <w:t>by</w:t>
      </w:r>
      <w:r>
        <w:rPr>
          <w:spacing w:val="40"/>
        </w:rPr>
        <w:t> </w:t>
      </w:r>
      <w:r>
        <w:rPr/>
        <w:t>around</w:t>
      </w:r>
    </w:p>
    <w:p>
      <w:pPr>
        <w:pStyle w:val="BodyText"/>
        <w:ind w:left="417" w:right="808"/>
        <w:jc w:val="both"/>
      </w:pPr>
      <w:r>
        <w:rPr/>
        <w:t>$155 million per annum.</w:t>
      </w:r>
      <w:r>
        <w:rPr>
          <w:spacing w:val="40"/>
        </w:rPr>
        <w:t> </w:t>
      </w:r>
      <w:r>
        <w:rPr/>
        <w:t>Given the very substantial reductions in the proportionate cost impacts of the Standards that have been made because of the proposed small building exemption, it appears likely that under the 2008 proposal the impact of the UJH provisions may be as little as 15% of this size. That is, for present purposes it is estimated that the operation of the UJH provisions will reduce the notional</w:t>
      </w:r>
      <w:r>
        <w:rPr>
          <w:spacing w:val="-1"/>
        </w:rPr>
        <w:t> </w:t>
      </w:r>
      <w:r>
        <w:rPr/>
        <w:t>cost of</w:t>
      </w:r>
      <w:r>
        <w:rPr>
          <w:spacing w:val="-1"/>
        </w:rPr>
        <w:t> </w:t>
      </w:r>
      <w:r>
        <w:rPr/>
        <w:t>compliance for building upgrades by only $20 million per annum</w:t>
      </w:r>
      <w:r>
        <w:rPr>
          <w:vertAlign w:val="superscript"/>
        </w:rPr>
        <w:t>56</w:t>
      </w:r>
      <w:r>
        <w:rPr>
          <w:vertAlign w:val="baseline"/>
        </w:rPr>
        <w:t>.</w:t>
      </w:r>
    </w:p>
    <w:p>
      <w:pPr>
        <w:pStyle w:val="BodyText"/>
        <w:spacing w:before="7"/>
        <w:rPr>
          <w:sz w:val="27"/>
        </w:rPr>
      </w:pPr>
      <w:r>
        <w:rPr/>
        <w:pict>
          <v:rect style="position:absolute;margin-left:89.879997pt;margin-top:17.110292pt;width:144pt;height:.6pt;mso-position-horizontal-relative:page;mso-position-vertical-relative:paragraph;z-index:-15707136;mso-wrap-distance-left:0;mso-wrap-distance-right:0" id="docshape51" filled="true" fillcolor="#000000" stroked="false">
            <v:fill type="solid"/>
            <w10:wrap type="topAndBottom"/>
          </v:rect>
        </w:pict>
      </w:r>
    </w:p>
    <w:p>
      <w:pPr>
        <w:pStyle w:val="BodyText"/>
        <w:spacing w:before="1"/>
        <w:rPr>
          <w:sz w:val="8"/>
        </w:rPr>
      </w:pPr>
    </w:p>
    <w:p>
      <w:pPr>
        <w:spacing w:before="130"/>
        <w:ind w:left="417" w:right="809" w:firstLine="0"/>
        <w:jc w:val="both"/>
        <w:rPr>
          <w:sz w:val="20"/>
        </w:rPr>
      </w:pPr>
      <w:r>
        <w:rPr>
          <w:sz w:val="20"/>
          <w:vertAlign w:val="superscript"/>
        </w:rPr>
        <w:t>55</w:t>
      </w:r>
      <w:r>
        <w:rPr>
          <w:sz w:val="20"/>
          <w:vertAlign w:val="baseline"/>
        </w:rPr>
        <w:t> The Access Protocol has been the subject of a separate impact analysis process.</w:t>
      </w:r>
      <w:r>
        <w:rPr>
          <w:spacing w:val="80"/>
          <w:sz w:val="20"/>
          <w:vertAlign w:val="baseline"/>
        </w:rPr>
        <w:t> </w:t>
      </w:r>
      <w:r>
        <w:rPr>
          <w:sz w:val="20"/>
          <w:vertAlign w:val="baseline"/>
        </w:rPr>
        <w:t>For detail, please contact ABCB.</w:t>
      </w:r>
    </w:p>
    <w:p>
      <w:pPr>
        <w:spacing w:before="120"/>
        <w:ind w:left="417" w:right="808" w:hanging="1"/>
        <w:jc w:val="both"/>
        <w:rPr>
          <w:sz w:val="20"/>
        </w:rPr>
      </w:pPr>
      <w:r>
        <w:rPr>
          <w:sz w:val="20"/>
          <w:vertAlign w:val="superscript"/>
        </w:rPr>
        <w:t>56</w:t>
      </w:r>
      <w:r>
        <w:rPr>
          <w:sz w:val="20"/>
          <w:vertAlign w:val="baseline"/>
        </w:rPr>
        <w:t> This conclusion has been reached notwithstanding that the modified Standard would now apply the UJH provisions to new buildings.</w:t>
      </w:r>
      <w:r>
        <w:rPr>
          <w:spacing w:val="80"/>
          <w:sz w:val="20"/>
          <w:vertAlign w:val="baseline"/>
        </w:rPr>
        <w:t> </w:t>
      </w:r>
      <w:r>
        <w:rPr>
          <w:sz w:val="20"/>
          <w:vertAlign w:val="baseline"/>
        </w:rPr>
        <w:t>This reflects the fact that, in practice, it is expected to be only in very rare instances that UJH provisions will be used with respect to</w:t>
      </w:r>
      <w:r>
        <w:rPr>
          <w:spacing w:val="40"/>
          <w:sz w:val="20"/>
          <w:vertAlign w:val="baseline"/>
        </w:rPr>
        <w:t> </w:t>
      </w:r>
      <w:r>
        <w:rPr>
          <w:sz w:val="20"/>
          <w:vertAlign w:val="baseline"/>
        </w:rPr>
        <w:t>new buildings, given that the starting point for such buildings is, by definition, a “clean sheet”</w:t>
      </w:r>
    </w:p>
    <w:p>
      <w:pPr>
        <w:spacing w:after="0"/>
        <w:jc w:val="both"/>
        <w:rPr>
          <w:sz w:val="20"/>
        </w:rPr>
        <w:sectPr>
          <w:pgSz w:w="11900" w:h="16840"/>
          <w:pgMar w:header="0" w:footer="1130" w:top="1360" w:bottom="1320" w:left="1380" w:right="980"/>
        </w:sectPr>
      </w:pPr>
    </w:p>
    <w:p>
      <w:pPr>
        <w:pStyle w:val="Heading3"/>
        <w:numPr>
          <w:ilvl w:val="2"/>
          <w:numId w:val="27"/>
        </w:numPr>
        <w:tabs>
          <w:tab w:pos="1138" w:val="left" w:leader="none"/>
        </w:tabs>
        <w:spacing w:line="297" w:lineRule="exact" w:before="79" w:after="0"/>
        <w:ind w:left="1137" w:right="0" w:hanging="721"/>
        <w:jc w:val="both"/>
      </w:pPr>
      <w:bookmarkStart w:name="8.4.4 The impact of “owner/tenant&quot; issue" w:id="80"/>
      <w:bookmarkEnd w:id="80"/>
      <w:r>
        <w:rPr/>
        <w:t>Th</w:t>
      </w:r>
      <w:r>
        <w:rPr/>
        <w:t>e</w:t>
      </w:r>
      <w:r>
        <w:rPr>
          <w:spacing w:val="-7"/>
        </w:rPr>
        <w:t> </w:t>
      </w:r>
      <w:r>
        <w:rPr/>
        <w:t>impact</w:t>
      </w:r>
      <w:r>
        <w:rPr>
          <w:spacing w:val="-6"/>
        </w:rPr>
        <w:t> </w:t>
      </w:r>
      <w:r>
        <w:rPr/>
        <w:t>of</w:t>
      </w:r>
      <w:r>
        <w:rPr>
          <w:spacing w:val="-6"/>
        </w:rPr>
        <w:t> </w:t>
      </w:r>
      <w:r>
        <w:rPr/>
        <w:t>“owner/tenant"</w:t>
      </w:r>
      <w:r>
        <w:rPr>
          <w:spacing w:val="-6"/>
        </w:rPr>
        <w:t> </w:t>
      </w:r>
      <w:r>
        <w:rPr>
          <w:spacing w:val="-2"/>
        </w:rPr>
        <w:t>issue</w:t>
      </w:r>
    </w:p>
    <w:p>
      <w:pPr>
        <w:pStyle w:val="BodyText"/>
        <w:ind w:left="417" w:right="807"/>
        <w:jc w:val="both"/>
      </w:pPr>
      <w:r>
        <w:rPr/>
        <w:t>As noted in chapter 5.2, tenants will only be required to make accessible the affected area that falls within the tenant's lease, while owners will be required to make accessible the areas in which the work is being undertaken including the path of travel to the new work. Refer to Table 8 for an assessment of the </w:t>
      </w:r>
      <w:r>
        <w:rPr>
          <w:spacing w:val="-2"/>
        </w:rPr>
        <w:t>impacts.</w:t>
      </w:r>
    </w:p>
    <w:p>
      <w:pPr>
        <w:pStyle w:val="BodyText"/>
        <w:spacing w:before="10"/>
        <w:rPr>
          <w:sz w:val="23"/>
        </w:rPr>
      </w:pPr>
    </w:p>
    <w:p>
      <w:pPr>
        <w:pStyle w:val="BodyText"/>
        <w:spacing w:before="1"/>
        <w:ind w:left="417" w:right="806"/>
        <w:jc w:val="both"/>
      </w:pPr>
      <w:r>
        <w:rPr/>
        <w:t>We</w:t>
      </w:r>
      <w:r>
        <w:rPr>
          <w:spacing w:val="-3"/>
        </w:rPr>
        <w:t> </w:t>
      </w:r>
      <w:r>
        <w:rPr/>
        <w:t>note</w:t>
      </w:r>
      <w:r>
        <w:rPr>
          <w:spacing w:val="-3"/>
        </w:rPr>
        <w:t> </w:t>
      </w:r>
      <w:r>
        <w:rPr/>
        <w:t>that</w:t>
      </w:r>
      <w:r>
        <w:rPr>
          <w:spacing w:val="-3"/>
        </w:rPr>
        <w:t> </w:t>
      </w:r>
      <w:r>
        <w:rPr/>
        <w:t>each</w:t>
      </w:r>
      <w:r>
        <w:rPr>
          <w:spacing w:val="-3"/>
        </w:rPr>
        <w:t> </w:t>
      </w:r>
      <w:r>
        <w:rPr/>
        <w:t>cost</w:t>
      </w:r>
      <w:r>
        <w:rPr>
          <w:spacing w:val="-3"/>
        </w:rPr>
        <w:t> </w:t>
      </w:r>
      <w:r>
        <w:rPr/>
        <w:t>item</w:t>
      </w:r>
      <w:r>
        <w:rPr>
          <w:spacing w:val="-3"/>
        </w:rPr>
        <w:t> </w:t>
      </w:r>
      <w:r>
        <w:rPr/>
        <w:t>has</w:t>
      </w:r>
      <w:r>
        <w:rPr>
          <w:spacing w:val="-3"/>
        </w:rPr>
        <w:t> </w:t>
      </w:r>
      <w:r>
        <w:rPr/>
        <w:t>been</w:t>
      </w:r>
      <w:r>
        <w:rPr>
          <w:spacing w:val="-3"/>
        </w:rPr>
        <w:t> </w:t>
      </w:r>
      <w:r>
        <w:rPr/>
        <w:t>analysed</w:t>
      </w:r>
      <w:r>
        <w:rPr>
          <w:spacing w:val="-3"/>
        </w:rPr>
        <w:t> </w:t>
      </w:r>
      <w:r>
        <w:rPr/>
        <w:t>and</w:t>
      </w:r>
      <w:r>
        <w:rPr>
          <w:spacing w:val="-3"/>
        </w:rPr>
        <w:t> </w:t>
      </w:r>
      <w:r>
        <w:rPr/>
        <w:t>allocated</w:t>
      </w:r>
      <w:r>
        <w:rPr>
          <w:spacing w:val="-3"/>
        </w:rPr>
        <w:t> </w:t>
      </w:r>
      <w:r>
        <w:rPr/>
        <w:t>to</w:t>
      </w:r>
      <w:r>
        <w:rPr>
          <w:spacing w:val="-3"/>
        </w:rPr>
        <w:t> </w:t>
      </w:r>
      <w:r>
        <w:rPr/>
        <w:t>the</w:t>
      </w:r>
      <w:r>
        <w:rPr>
          <w:spacing w:val="-3"/>
        </w:rPr>
        <w:t> </w:t>
      </w:r>
      <w:r>
        <w:rPr/>
        <w:t>owner</w:t>
      </w:r>
      <w:r>
        <w:rPr>
          <w:spacing w:val="-3"/>
        </w:rPr>
        <w:t> </w:t>
      </w:r>
      <w:r>
        <w:rPr/>
        <w:t>if</w:t>
      </w:r>
      <w:r>
        <w:rPr>
          <w:spacing w:val="-3"/>
        </w:rPr>
        <w:t> </w:t>
      </w:r>
      <w:r>
        <w:rPr/>
        <w:t>it is predominantly related to public areas.</w:t>
      </w:r>
      <w:r>
        <w:rPr>
          <w:spacing w:val="40"/>
        </w:rPr>
        <w:t> </w:t>
      </w:r>
      <w:r>
        <w:rPr/>
        <w:t>This provides a slightly conservative estimate of owner costs as some costs, such as those for accessible toilets, will</w:t>
      </w:r>
      <w:r>
        <w:rPr>
          <w:spacing w:val="-2"/>
        </w:rPr>
        <w:t> </w:t>
      </w:r>
      <w:r>
        <w:rPr/>
        <w:t>have</w:t>
      </w:r>
      <w:r>
        <w:rPr>
          <w:spacing w:val="-2"/>
        </w:rPr>
        <w:t> </w:t>
      </w:r>
      <w:r>
        <w:rPr/>
        <w:t>an</w:t>
      </w:r>
      <w:r>
        <w:rPr>
          <w:spacing w:val="-2"/>
        </w:rPr>
        <w:t> </w:t>
      </w:r>
      <w:r>
        <w:rPr/>
        <w:t>element</w:t>
      </w:r>
      <w:r>
        <w:rPr>
          <w:spacing w:val="-2"/>
        </w:rPr>
        <w:t> </w:t>
      </w:r>
      <w:r>
        <w:rPr/>
        <w:t>of</w:t>
      </w:r>
      <w:r>
        <w:rPr>
          <w:spacing w:val="-2"/>
        </w:rPr>
        <w:t> </w:t>
      </w:r>
      <w:r>
        <w:rPr/>
        <w:t>public</w:t>
      </w:r>
      <w:r>
        <w:rPr>
          <w:spacing w:val="-2"/>
        </w:rPr>
        <w:t> </w:t>
      </w:r>
      <w:r>
        <w:rPr/>
        <w:t>area</w:t>
      </w:r>
      <w:r>
        <w:rPr>
          <w:spacing w:val="-2"/>
        </w:rPr>
        <w:t> </w:t>
      </w:r>
      <w:r>
        <w:rPr/>
        <w:t>cost</w:t>
      </w:r>
      <w:r>
        <w:rPr>
          <w:spacing w:val="-2"/>
        </w:rPr>
        <w:t> </w:t>
      </w:r>
      <w:r>
        <w:rPr/>
        <w:t>in</w:t>
      </w:r>
      <w:r>
        <w:rPr>
          <w:spacing w:val="-2"/>
        </w:rPr>
        <w:t> </w:t>
      </w:r>
      <w:r>
        <w:rPr/>
        <w:t>them,</w:t>
      </w:r>
      <w:r>
        <w:rPr>
          <w:spacing w:val="-2"/>
        </w:rPr>
        <w:t> </w:t>
      </w:r>
      <w:r>
        <w:rPr/>
        <w:t>but</w:t>
      </w:r>
      <w:r>
        <w:rPr>
          <w:spacing w:val="-1"/>
        </w:rPr>
        <w:t> </w:t>
      </w:r>
      <w:r>
        <w:rPr/>
        <w:t>are</w:t>
      </w:r>
      <w:r>
        <w:rPr>
          <w:spacing w:val="-2"/>
        </w:rPr>
        <w:t> </w:t>
      </w:r>
      <w:r>
        <w:rPr/>
        <w:t>predominantly</w:t>
      </w:r>
      <w:r>
        <w:rPr>
          <w:spacing w:val="-2"/>
        </w:rPr>
        <w:t> </w:t>
      </w:r>
      <w:r>
        <w:rPr/>
        <w:t>related to the individual tenancies.</w:t>
      </w:r>
    </w:p>
    <w:p>
      <w:pPr>
        <w:pStyle w:val="BodyText"/>
        <w:spacing w:before="6"/>
        <w:rPr>
          <w:sz w:val="34"/>
        </w:rPr>
      </w:pPr>
    </w:p>
    <w:p>
      <w:pPr>
        <w:pStyle w:val="Heading4"/>
        <w:ind w:left="417"/>
        <w:rPr>
          <w:u w:val="none"/>
        </w:rPr>
      </w:pPr>
      <w:r>
        <w:rPr>
          <w:u w:val="single"/>
        </w:rPr>
        <w:t>Table</w:t>
      </w:r>
      <w:r>
        <w:rPr>
          <w:spacing w:val="-8"/>
          <w:u w:val="single"/>
        </w:rPr>
        <w:t> </w:t>
      </w:r>
      <w:r>
        <w:rPr>
          <w:u w:val="single"/>
        </w:rPr>
        <w:t>8:</w:t>
      </w:r>
      <w:r>
        <w:rPr>
          <w:spacing w:val="51"/>
          <w:u w:val="single"/>
        </w:rPr>
        <w:t> </w:t>
      </w:r>
      <w:r>
        <w:rPr>
          <w:u w:val="single"/>
        </w:rPr>
        <w:t>Impact</w:t>
      </w:r>
      <w:r>
        <w:rPr>
          <w:spacing w:val="-8"/>
          <w:u w:val="single"/>
        </w:rPr>
        <w:t> </w:t>
      </w:r>
      <w:r>
        <w:rPr>
          <w:u w:val="single"/>
        </w:rPr>
        <w:t>of</w:t>
      </w:r>
      <w:r>
        <w:rPr>
          <w:spacing w:val="-7"/>
          <w:u w:val="single"/>
        </w:rPr>
        <w:t> </w:t>
      </w:r>
      <w:r>
        <w:rPr>
          <w:u w:val="single"/>
        </w:rPr>
        <w:t>"owner/tenant"</w:t>
      </w:r>
      <w:r>
        <w:rPr>
          <w:spacing w:val="-8"/>
          <w:u w:val="single"/>
        </w:rPr>
        <w:t> </w:t>
      </w:r>
      <w:r>
        <w:rPr>
          <w:u w:val="single"/>
        </w:rPr>
        <w:t>upgrade</w:t>
      </w:r>
      <w:r>
        <w:rPr>
          <w:spacing w:val="-7"/>
          <w:u w:val="single"/>
        </w:rPr>
        <w:t> </w:t>
      </w:r>
      <w:r>
        <w:rPr>
          <w:spacing w:val="-2"/>
          <w:u w:val="single"/>
        </w:rPr>
        <w:t>delineation</w:t>
      </w:r>
    </w:p>
    <w:p>
      <w:pPr>
        <w:pStyle w:val="BodyText"/>
        <w:spacing w:before="7"/>
        <w:rPr>
          <w:b/>
          <w:sz w:val="10"/>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440"/>
        <w:gridCol w:w="1440"/>
        <w:gridCol w:w="3780"/>
      </w:tblGrid>
      <w:tr>
        <w:trPr>
          <w:trHeight w:val="745" w:hRule="atLeast"/>
        </w:trPr>
        <w:tc>
          <w:tcPr>
            <w:tcW w:w="1980" w:type="dxa"/>
          </w:tcPr>
          <w:p>
            <w:pPr>
              <w:pStyle w:val="TableParagraph"/>
              <w:spacing w:before="118"/>
              <w:ind w:left="107"/>
              <w:rPr>
                <w:b/>
                <w:sz w:val="22"/>
              </w:rPr>
            </w:pPr>
            <w:r>
              <w:rPr>
                <w:b/>
                <w:spacing w:val="-2"/>
                <w:sz w:val="22"/>
              </w:rPr>
              <w:t>Class/Type</w:t>
            </w:r>
          </w:p>
        </w:tc>
        <w:tc>
          <w:tcPr>
            <w:tcW w:w="1440" w:type="dxa"/>
          </w:tcPr>
          <w:p>
            <w:pPr>
              <w:pStyle w:val="TableParagraph"/>
              <w:spacing w:before="118"/>
              <w:ind w:left="107"/>
              <w:rPr>
                <w:b/>
                <w:sz w:val="22"/>
              </w:rPr>
            </w:pPr>
            <w:r>
              <w:rPr>
                <w:b/>
                <w:sz w:val="22"/>
              </w:rPr>
              <w:t>Impact</w:t>
            </w:r>
            <w:r>
              <w:rPr>
                <w:b/>
                <w:spacing w:val="-16"/>
                <w:sz w:val="22"/>
              </w:rPr>
              <w:t> </w:t>
            </w:r>
            <w:r>
              <w:rPr>
                <w:b/>
                <w:sz w:val="22"/>
              </w:rPr>
              <w:t>on </w:t>
            </w:r>
            <w:r>
              <w:rPr>
                <w:b/>
                <w:spacing w:val="-4"/>
                <w:sz w:val="22"/>
              </w:rPr>
              <w:t>owner</w:t>
            </w:r>
          </w:p>
        </w:tc>
        <w:tc>
          <w:tcPr>
            <w:tcW w:w="1440" w:type="dxa"/>
          </w:tcPr>
          <w:p>
            <w:pPr>
              <w:pStyle w:val="TableParagraph"/>
              <w:spacing w:before="118"/>
              <w:ind w:left="107"/>
              <w:rPr>
                <w:b/>
                <w:sz w:val="22"/>
              </w:rPr>
            </w:pPr>
            <w:r>
              <w:rPr>
                <w:b/>
                <w:sz w:val="22"/>
              </w:rPr>
              <w:t>Impact</w:t>
            </w:r>
            <w:r>
              <w:rPr>
                <w:b/>
                <w:spacing w:val="-16"/>
                <w:sz w:val="22"/>
              </w:rPr>
              <w:t> </w:t>
            </w:r>
            <w:r>
              <w:rPr>
                <w:b/>
                <w:sz w:val="22"/>
              </w:rPr>
              <w:t>on </w:t>
            </w:r>
            <w:r>
              <w:rPr>
                <w:b/>
                <w:spacing w:val="-2"/>
                <w:sz w:val="22"/>
              </w:rPr>
              <w:t>tenant</w:t>
            </w:r>
          </w:p>
        </w:tc>
        <w:tc>
          <w:tcPr>
            <w:tcW w:w="3780" w:type="dxa"/>
          </w:tcPr>
          <w:p>
            <w:pPr>
              <w:pStyle w:val="TableParagraph"/>
              <w:spacing w:before="118"/>
              <w:ind w:left="107"/>
              <w:rPr>
                <w:b/>
                <w:sz w:val="22"/>
              </w:rPr>
            </w:pPr>
            <w:r>
              <w:rPr>
                <w:b/>
                <w:spacing w:val="-2"/>
                <w:sz w:val="22"/>
              </w:rPr>
              <w:t>Discussion</w:t>
            </w:r>
          </w:p>
        </w:tc>
      </w:tr>
      <w:tr>
        <w:trPr>
          <w:trHeight w:val="1251" w:hRule="atLeast"/>
        </w:trPr>
        <w:tc>
          <w:tcPr>
            <w:tcW w:w="1980" w:type="dxa"/>
          </w:tcPr>
          <w:p>
            <w:pPr>
              <w:pStyle w:val="TableParagraph"/>
              <w:spacing w:before="117"/>
              <w:ind w:left="107"/>
              <w:rPr>
                <w:sz w:val="22"/>
              </w:rPr>
            </w:pPr>
            <w:r>
              <w:rPr>
                <w:sz w:val="22"/>
              </w:rPr>
              <w:t>Class</w:t>
            </w:r>
            <w:r>
              <w:rPr>
                <w:spacing w:val="-6"/>
                <w:sz w:val="22"/>
              </w:rPr>
              <w:t> </w:t>
            </w:r>
            <w:r>
              <w:rPr>
                <w:sz w:val="22"/>
              </w:rPr>
              <w:t>1b:</w:t>
            </w:r>
            <w:r>
              <w:rPr>
                <w:spacing w:val="-6"/>
                <w:sz w:val="22"/>
              </w:rPr>
              <w:t> </w:t>
            </w:r>
            <w:r>
              <w:rPr>
                <w:sz w:val="22"/>
              </w:rPr>
              <w:t>B&amp;Bs and small </w:t>
            </w:r>
            <w:r>
              <w:rPr>
                <w:spacing w:val="-2"/>
                <w:sz w:val="22"/>
              </w:rPr>
              <w:t>accommodation facilities</w:t>
            </w:r>
          </w:p>
        </w:tc>
        <w:tc>
          <w:tcPr>
            <w:tcW w:w="1440" w:type="dxa"/>
          </w:tcPr>
          <w:p>
            <w:pPr>
              <w:pStyle w:val="TableParagraph"/>
              <w:spacing w:before="117"/>
              <w:ind w:left="107"/>
              <w:rPr>
                <w:sz w:val="22"/>
              </w:rPr>
            </w:pPr>
            <w:r>
              <w:rPr>
                <w:spacing w:val="-4"/>
                <w:sz w:val="22"/>
              </w:rPr>
              <w:t>None</w:t>
            </w:r>
          </w:p>
        </w:tc>
        <w:tc>
          <w:tcPr>
            <w:tcW w:w="1440" w:type="dxa"/>
          </w:tcPr>
          <w:p>
            <w:pPr>
              <w:pStyle w:val="TableParagraph"/>
              <w:spacing w:before="117"/>
              <w:ind w:left="107"/>
              <w:rPr>
                <w:sz w:val="22"/>
              </w:rPr>
            </w:pPr>
            <w:r>
              <w:rPr>
                <w:spacing w:val="-4"/>
                <w:sz w:val="22"/>
              </w:rPr>
              <w:t>None</w:t>
            </w:r>
          </w:p>
        </w:tc>
        <w:tc>
          <w:tcPr>
            <w:tcW w:w="3780" w:type="dxa"/>
          </w:tcPr>
          <w:p>
            <w:pPr>
              <w:pStyle w:val="TableParagraph"/>
              <w:spacing w:before="117"/>
              <w:ind w:left="108"/>
              <w:rPr>
                <w:sz w:val="22"/>
              </w:rPr>
            </w:pPr>
            <w:r>
              <w:rPr>
                <w:sz w:val="22"/>
              </w:rPr>
              <w:t>It</w:t>
            </w:r>
            <w:r>
              <w:rPr>
                <w:spacing w:val="-4"/>
                <w:sz w:val="22"/>
              </w:rPr>
              <w:t> </w:t>
            </w:r>
            <w:r>
              <w:rPr>
                <w:sz w:val="22"/>
              </w:rPr>
              <w:t>is</w:t>
            </w:r>
            <w:r>
              <w:rPr>
                <w:spacing w:val="-4"/>
                <w:sz w:val="22"/>
              </w:rPr>
              <w:t> </w:t>
            </w:r>
            <w:r>
              <w:rPr>
                <w:sz w:val="22"/>
              </w:rPr>
              <w:t>assumed</w:t>
            </w:r>
            <w:r>
              <w:rPr>
                <w:spacing w:val="-4"/>
                <w:sz w:val="22"/>
              </w:rPr>
              <w:t> </w:t>
            </w:r>
            <w:r>
              <w:rPr>
                <w:sz w:val="22"/>
              </w:rPr>
              <w:t>there</w:t>
            </w:r>
            <w:r>
              <w:rPr>
                <w:spacing w:val="-3"/>
                <w:sz w:val="22"/>
              </w:rPr>
              <w:t> </w:t>
            </w:r>
            <w:r>
              <w:rPr>
                <w:sz w:val="22"/>
              </w:rPr>
              <w:t>are</w:t>
            </w:r>
            <w:r>
              <w:rPr>
                <w:spacing w:val="-4"/>
                <w:sz w:val="22"/>
              </w:rPr>
              <w:t> </w:t>
            </w:r>
            <w:r>
              <w:rPr>
                <w:sz w:val="22"/>
              </w:rPr>
              <w:t>no</w:t>
            </w:r>
            <w:r>
              <w:rPr>
                <w:spacing w:val="-4"/>
                <w:sz w:val="22"/>
              </w:rPr>
              <w:t> </w:t>
            </w:r>
            <w:r>
              <w:rPr>
                <w:spacing w:val="-2"/>
                <w:sz w:val="22"/>
              </w:rPr>
              <w:t>"tenants".</w:t>
            </w:r>
          </w:p>
        </w:tc>
      </w:tr>
      <w:tr>
        <w:trPr>
          <w:trHeight w:val="999" w:hRule="atLeast"/>
        </w:trPr>
        <w:tc>
          <w:tcPr>
            <w:tcW w:w="1980" w:type="dxa"/>
          </w:tcPr>
          <w:p>
            <w:pPr>
              <w:pStyle w:val="TableParagraph"/>
              <w:spacing w:before="117"/>
              <w:ind w:left="107"/>
              <w:rPr>
                <w:sz w:val="22"/>
              </w:rPr>
            </w:pPr>
            <w:r>
              <w:rPr>
                <w:sz w:val="22"/>
              </w:rPr>
              <w:t>Class</w:t>
            </w:r>
            <w:r>
              <w:rPr>
                <w:spacing w:val="-12"/>
                <w:sz w:val="22"/>
              </w:rPr>
              <w:t> </w:t>
            </w:r>
            <w:r>
              <w:rPr>
                <w:sz w:val="22"/>
              </w:rPr>
              <w:t>2:</w:t>
            </w:r>
            <w:r>
              <w:rPr>
                <w:spacing w:val="-12"/>
                <w:sz w:val="22"/>
              </w:rPr>
              <w:t> </w:t>
            </w:r>
            <w:r>
              <w:rPr>
                <w:sz w:val="22"/>
              </w:rPr>
              <w:t>flats</w:t>
            </w:r>
            <w:r>
              <w:rPr>
                <w:spacing w:val="-12"/>
                <w:sz w:val="22"/>
              </w:rPr>
              <w:t> </w:t>
            </w:r>
            <w:r>
              <w:rPr>
                <w:sz w:val="22"/>
              </w:rPr>
              <w:t>and </w:t>
            </w:r>
            <w:r>
              <w:rPr>
                <w:spacing w:val="-2"/>
                <w:sz w:val="22"/>
              </w:rPr>
              <w:t>apartments</w:t>
            </w:r>
          </w:p>
        </w:tc>
        <w:tc>
          <w:tcPr>
            <w:tcW w:w="1440" w:type="dxa"/>
          </w:tcPr>
          <w:p>
            <w:pPr>
              <w:pStyle w:val="TableParagraph"/>
              <w:spacing w:before="117"/>
              <w:ind w:left="107"/>
              <w:rPr>
                <w:sz w:val="22"/>
              </w:rPr>
            </w:pPr>
            <w:r>
              <w:rPr>
                <w:spacing w:val="-4"/>
                <w:sz w:val="22"/>
              </w:rPr>
              <w:t>None</w:t>
            </w:r>
          </w:p>
        </w:tc>
        <w:tc>
          <w:tcPr>
            <w:tcW w:w="1440" w:type="dxa"/>
          </w:tcPr>
          <w:p>
            <w:pPr>
              <w:pStyle w:val="TableParagraph"/>
              <w:spacing w:before="117"/>
              <w:ind w:left="107"/>
              <w:rPr>
                <w:sz w:val="22"/>
              </w:rPr>
            </w:pPr>
            <w:r>
              <w:rPr>
                <w:spacing w:val="-4"/>
                <w:sz w:val="22"/>
              </w:rPr>
              <w:t>None</w:t>
            </w:r>
          </w:p>
        </w:tc>
        <w:tc>
          <w:tcPr>
            <w:tcW w:w="3780" w:type="dxa"/>
          </w:tcPr>
          <w:p>
            <w:pPr>
              <w:pStyle w:val="TableParagraph"/>
              <w:spacing w:before="117"/>
              <w:ind w:left="107"/>
              <w:rPr>
                <w:sz w:val="22"/>
              </w:rPr>
            </w:pPr>
            <w:r>
              <w:rPr>
                <w:sz w:val="22"/>
              </w:rPr>
              <w:t>As</w:t>
            </w:r>
            <w:r>
              <w:rPr>
                <w:spacing w:val="-7"/>
                <w:sz w:val="22"/>
              </w:rPr>
              <w:t> </w:t>
            </w:r>
            <w:r>
              <w:rPr>
                <w:sz w:val="22"/>
              </w:rPr>
              <w:t>the</w:t>
            </w:r>
            <w:r>
              <w:rPr>
                <w:spacing w:val="-7"/>
                <w:sz w:val="22"/>
              </w:rPr>
              <w:t> </w:t>
            </w:r>
            <w:r>
              <w:rPr>
                <w:sz w:val="22"/>
              </w:rPr>
              <w:t>proposals</w:t>
            </w:r>
            <w:r>
              <w:rPr>
                <w:spacing w:val="-7"/>
                <w:sz w:val="22"/>
              </w:rPr>
              <w:t> </w:t>
            </w:r>
            <w:r>
              <w:rPr>
                <w:sz w:val="22"/>
              </w:rPr>
              <w:t>only</w:t>
            </w:r>
            <w:r>
              <w:rPr>
                <w:spacing w:val="-7"/>
                <w:sz w:val="22"/>
              </w:rPr>
              <w:t> </w:t>
            </w:r>
            <w:r>
              <w:rPr>
                <w:sz w:val="22"/>
              </w:rPr>
              <w:t>apply</w:t>
            </w:r>
            <w:r>
              <w:rPr>
                <w:spacing w:val="-7"/>
                <w:sz w:val="22"/>
              </w:rPr>
              <w:t> </w:t>
            </w:r>
            <w:r>
              <w:rPr>
                <w:sz w:val="22"/>
              </w:rPr>
              <w:t>to</w:t>
            </w:r>
            <w:r>
              <w:rPr>
                <w:spacing w:val="-7"/>
                <w:sz w:val="22"/>
              </w:rPr>
              <w:t> </w:t>
            </w:r>
            <w:r>
              <w:rPr>
                <w:sz w:val="22"/>
              </w:rPr>
              <w:t>new Class 2 buildings, the tenant arrangements would not apply.</w:t>
            </w:r>
          </w:p>
        </w:tc>
      </w:tr>
      <w:tr>
        <w:trPr>
          <w:trHeight w:val="1505" w:hRule="atLeast"/>
        </w:trPr>
        <w:tc>
          <w:tcPr>
            <w:tcW w:w="1980" w:type="dxa"/>
          </w:tcPr>
          <w:p>
            <w:pPr>
              <w:pStyle w:val="TableParagraph"/>
              <w:spacing w:before="117"/>
              <w:ind w:left="107" w:right="257"/>
              <w:rPr>
                <w:sz w:val="22"/>
              </w:rPr>
            </w:pPr>
            <w:r>
              <w:rPr>
                <w:sz w:val="22"/>
              </w:rPr>
              <w:t>Class</w:t>
            </w:r>
            <w:r>
              <w:rPr>
                <w:spacing w:val="-16"/>
                <w:sz w:val="22"/>
              </w:rPr>
              <w:t> </w:t>
            </w:r>
            <w:r>
              <w:rPr>
                <w:sz w:val="22"/>
              </w:rPr>
              <w:t>3:</w:t>
            </w:r>
            <w:r>
              <w:rPr>
                <w:spacing w:val="-15"/>
                <w:sz w:val="22"/>
              </w:rPr>
              <w:t> </w:t>
            </w:r>
            <w:r>
              <w:rPr>
                <w:sz w:val="22"/>
              </w:rPr>
              <w:t>Hotels (medium and </w:t>
            </w:r>
            <w:r>
              <w:rPr>
                <w:spacing w:val="-2"/>
                <w:sz w:val="22"/>
              </w:rPr>
              <w:t>large)</w:t>
            </w:r>
          </w:p>
        </w:tc>
        <w:tc>
          <w:tcPr>
            <w:tcW w:w="1440" w:type="dxa"/>
          </w:tcPr>
          <w:p>
            <w:pPr>
              <w:pStyle w:val="TableParagraph"/>
              <w:spacing w:before="117"/>
              <w:ind w:left="107"/>
              <w:rPr>
                <w:sz w:val="22"/>
              </w:rPr>
            </w:pPr>
            <w:r>
              <w:rPr>
                <w:spacing w:val="-4"/>
                <w:sz w:val="22"/>
              </w:rPr>
              <w:t>None</w:t>
            </w:r>
          </w:p>
        </w:tc>
        <w:tc>
          <w:tcPr>
            <w:tcW w:w="1440" w:type="dxa"/>
          </w:tcPr>
          <w:p>
            <w:pPr>
              <w:pStyle w:val="TableParagraph"/>
              <w:spacing w:before="117"/>
              <w:ind w:left="107"/>
              <w:rPr>
                <w:sz w:val="22"/>
              </w:rPr>
            </w:pPr>
            <w:r>
              <w:rPr>
                <w:spacing w:val="-4"/>
                <w:sz w:val="22"/>
              </w:rPr>
              <w:t>None</w:t>
            </w:r>
          </w:p>
        </w:tc>
        <w:tc>
          <w:tcPr>
            <w:tcW w:w="3780" w:type="dxa"/>
          </w:tcPr>
          <w:p>
            <w:pPr>
              <w:pStyle w:val="TableParagraph"/>
              <w:spacing w:before="117"/>
              <w:ind w:left="107" w:right="247"/>
              <w:rPr>
                <w:sz w:val="22"/>
              </w:rPr>
            </w:pPr>
            <w:r>
              <w:rPr>
                <w:sz w:val="22"/>
              </w:rPr>
              <w:t>While a small proportion of these have</w:t>
            </w:r>
            <w:r>
              <w:rPr>
                <w:spacing w:val="-9"/>
                <w:sz w:val="22"/>
              </w:rPr>
              <w:t> </w:t>
            </w:r>
            <w:r>
              <w:rPr>
                <w:sz w:val="22"/>
              </w:rPr>
              <w:t>strata-titled</w:t>
            </w:r>
            <w:r>
              <w:rPr>
                <w:spacing w:val="-9"/>
                <w:sz w:val="22"/>
              </w:rPr>
              <w:t> </w:t>
            </w:r>
            <w:r>
              <w:rPr>
                <w:sz w:val="22"/>
              </w:rPr>
              <w:t>rooms</w:t>
            </w:r>
            <w:r>
              <w:rPr>
                <w:spacing w:val="-9"/>
                <w:sz w:val="22"/>
              </w:rPr>
              <w:t> </w:t>
            </w:r>
            <w:r>
              <w:rPr>
                <w:sz w:val="22"/>
              </w:rPr>
              <w:t>with</w:t>
            </w:r>
            <w:r>
              <w:rPr>
                <w:spacing w:val="-9"/>
                <w:sz w:val="22"/>
              </w:rPr>
              <w:t> </w:t>
            </w:r>
            <w:r>
              <w:rPr>
                <w:sz w:val="22"/>
              </w:rPr>
              <w:t>lease- backs from owners, none of these “small-investor owners” will be conducting upgrade activity.</w:t>
            </w:r>
          </w:p>
        </w:tc>
      </w:tr>
      <w:tr>
        <w:trPr>
          <w:trHeight w:val="2757" w:hRule="atLeast"/>
        </w:trPr>
        <w:tc>
          <w:tcPr>
            <w:tcW w:w="1980" w:type="dxa"/>
          </w:tcPr>
          <w:p>
            <w:pPr>
              <w:pStyle w:val="TableParagraph"/>
              <w:spacing w:before="117"/>
              <w:ind w:left="107"/>
              <w:rPr>
                <w:sz w:val="22"/>
              </w:rPr>
            </w:pPr>
            <w:r>
              <w:rPr>
                <w:sz w:val="22"/>
              </w:rPr>
              <w:t>Class</w:t>
            </w:r>
            <w:r>
              <w:rPr>
                <w:spacing w:val="-4"/>
                <w:sz w:val="22"/>
              </w:rPr>
              <w:t> </w:t>
            </w:r>
            <w:r>
              <w:rPr>
                <w:sz w:val="22"/>
              </w:rPr>
              <w:t>5:</w:t>
            </w:r>
            <w:r>
              <w:rPr>
                <w:spacing w:val="-4"/>
                <w:sz w:val="22"/>
              </w:rPr>
              <w:t> </w:t>
            </w:r>
            <w:r>
              <w:rPr>
                <w:spacing w:val="-2"/>
                <w:sz w:val="22"/>
              </w:rPr>
              <w:t>Offices</w:t>
            </w:r>
          </w:p>
        </w:tc>
        <w:tc>
          <w:tcPr>
            <w:tcW w:w="1440" w:type="dxa"/>
          </w:tcPr>
          <w:p>
            <w:pPr>
              <w:pStyle w:val="TableParagraph"/>
              <w:spacing w:before="117"/>
              <w:ind w:left="107"/>
              <w:rPr>
                <w:sz w:val="22"/>
              </w:rPr>
            </w:pPr>
            <w:r>
              <w:rPr>
                <w:sz w:val="22"/>
              </w:rPr>
              <w:t>For</w:t>
            </w:r>
            <w:r>
              <w:rPr>
                <w:spacing w:val="-16"/>
                <w:sz w:val="22"/>
              </w:rPr>
              <w:t> </w:t>
            </w:r>
            <w:r>
              <w:rPr>
                <w:sz w:val="22"/>
              </w:rPr>
              <w:t>2</w:t>
            </w:r>
            <w:r>
              <w:rPr>
                <w:spacing w:val="-15"/>
                <w:sz w:val="22"/>
              </w:rPr>
              <w:t> </w:t>
            </w:r>
            <w:r>
              <w:rPr>
                <w:sz w:val="22"/>
              </w:rPr>
              <w:t>storey offices – </w:t>
            </w:r>
            <w:r>
              <w:rPr>
                <w:spacing w:val="-2"/>
                <w:sz w:val="22"/>
              </w:rPr>
              <w:t>None.</w:t>
            </w:r>
          </w:p>
          <w:p>
            <w:pPr>
              <w:pStyle w:val="TableParagraph"/>
              <w:spacing w:before="120"/>
              <w:ind w:left="107" w:right="132"/>
              <w:rPr>
                <w:sz w:val="22"/>
              </w:rPr>
            </w:pPr>
            <w:r>
              <w:rPr>
                <w:sz w:val="22"/>
              </w:rPr>
              <w:t>For 7 &amp; 20 </w:t>
            </w:r>
            <w:r>
              <w:rPr>
                <w:spacing w:val="-2"/>
                <w:sz w:val="22"/>
              </w:rPr>
              <w:t>storey offices: </w:t>
            </w:r>
            <w:r>
              <w:rPr>
                <w:sz w:val="22"/>
              </w:rPr>
              <w:t>some</w:t>
            </w:r>
            <w:r>
              <w:rPr>
                <w:spacing w:val="-12"/>
                <w:sz w:val="22"/>
              </w:rPr>
              <w:t> </w:t>
            </w:r>
            <w:r>
              <w:rPr>
                <w:sz w:val="22"/>
              </w:rPr>
              <w:t>costs </w:t>
            </w:r>
            <w:r>
              <w:rPr>
                <w:spacing w:val="-2"/>
                <w:sz w:val="22"/>
              </w:rPr>
              <w:t>(refer Discussion)</w:t>
            </w:r>
          </w:p>
        </w:tc>
        <w:tc>
          <w:tcPr>
            <w:tcW w:w="1440" w:type="dxa"/>
          </w:tcPr>
          <w:p>
            <w:pPr>
              <w:pStyle w:val="TableParagraph"/>
              <w:spacing w:before="117"/>
              <w:ind w:left="107" w:right="194"/>
              <w:rPr>
                <w:sz w:val="22"/>
              </w:rPr>
            </w:pPr>
            <w:r>
              <w:rPr>
                <w:sz w:val="22"/>
              </w:rPr>
              <w:t>None</w:t>
            </w:r>
            <w:r>
              <w:rPr>
                <w:spacing w:val="-16"/>
                <w:sz w:val="22"/>
              </w:rPr>
              <w:t> </w:t>
            </w:r>
            <w:r>
              <w:rPr>
                <w:sz w:val="22"/>
              </w:rPr>
              <w:t>(for</w:t>
            </w:r>
            <w:r>
              <w:rPr>
                <w:spacing w:val="-15"/>
                <w:sz w:val="22"/>
              </w:rPr>
              <w:t> </w:t>
            </w:r>
            <w:r>
              <w:rPr>
                <w:sz w:val="22"/>
              </w:rPr>
              <w:t>2 </w:t>
            </w:r>
            <w:r>
              <w:rPr>
                <w:spacing w:val="-2"/>
                <w:sz w:val="22"/>
              </w:rPr>
              <w:t>storey offices)</w:t>
            </w:r>
          </w:p>
        </w:tc>
        <w:tc>
          <w:tcPr>
            <w:tcW w:w="3780" w:type="dxa"/>
          </w:tcPr>
          <w:p>
            <w:pPr>
              <w:pStyle w:val="TableParagraph"/>
              <w:spacing w:before="117"/>
              <w:ind w:left="107" w:right="137"/>
              <w:rPr>
                <w:sz w:val="22"/>
              </w:rPr>
            </w:pPr>
            <w:r>
              <w:rPr>
                <w:sz w:val="22"/>
              </w:rPr>
              <w:t>For the two "partial" upgrade case studies,</w:t>
            </w:r>
            <w:r>
              <w:rPr>
                <w:spacing w:val="-8"/>
                <w:sz w:val="22"/>
              </w:rPr>
              <w:t> </w:t>
            </w:r>
            <w:r>
              <w:rPr>
                <w:sz w:val="22"/>
              </w:rPr>
              <w:t>the</w:t>
            </w:r>
            <w:r>
              <w:rPr>
                <w:spacing w:val="-8"/>
                <w:sz w:val="22"/>
              </w:rPr>
              <w:t> </w:t>
            </w:r>
            <w:r>
              <w:rPr>
                <w:sz w:val="22"/>
              </w:rPr>
              <w:t>proportions</w:t>
            </w:r>
            <w:r>
              <w:rPr>
                <w:spacing w:val="-8"/>
                <w:sz w:val="22"/>
              </w:rPr>
              <w:t> </w:t>
            </w:r>
            <w:r>
              <w:rPr>
                <w:sz w:val="22"/>
              </w:rPr>
              <w:t>of</w:t>
            </w:r>
            <w:r>
              <w:rPr>
                <w:spacing w:val="-8"/>
                <w:sz w:val="22"/>
              </w:rPr>
              <w:t> </w:t>
            </w:r>
            <w:r>
              <w:rPr>
                <w:sz w:val="22"/>
              </w:rPr>
              <w:t>the</w:t>
            </w:r>
            <w:r>
              <w:rPr>
                <w:spacing w:val="-8"/>
                <w:sz w:val="22"/>
              </w:rPr>
              <w:t> </w:t>
            </w:r>
            <w:r>
              <w:rPr>
                <w:sz w:val="22"/>
              </w:rPr>
              <w:t>costs that become “owner costs” are 84.5% and 95.5%.</w:t>
            </w:r>
          </w:p>
          <w:p>
            <w:pPr>
              <w:pStyle w:val="TableParagraph"/>
              <w:spacing w:before="120"/>
              <w:ind w:left="107" w:right="137"/>
              <w:rPr>
                <w:sz w:val="22"/>
              </w:rPr>
            </w:pPr>
            <w:r>
              <w:rPr>
                <w:sz w:val="22"/>
              </w:rPr>
              <w:t>For the two "full" upgrade case studies,</w:t>
            </w:r>
            <w:r>
              <w:rPr>
                <w:spacing w:val="-8"/>
                <w:sz w:val="22"/>
              </w:rPr>
              <w:t> </w:t>
            </w:r>
            <w:r>
              <w:rPr>
                <w:sz w:val="22"/>
              </w:rPr>
              <w:t>the</w:t>
            </w:r>
            <w:r>
              <w:rPr>
                <w:spacing w:val="-8"/>
                <w:sz w:val="22"/>
              </w:rPr>
              <w:t> </w:t>
            </w:r>
            <w:r>
              <w:rPr>
                <w:sz w:val="22"/>
              </w:rPr>
              <w:t>proportions</w:t>
            </w:r>
            <w:r>
              <w:rPr>
                <w:spacing w:val="-8"/>
                <w:sz w:val="22"/>
              </w:rPr>
              <w:t> </w:t>
            </w:r>
            <w:r>
              <w:rPr>
                <w:sz w:val="22"/>
              </w:rPr>
              <w:t>of</w:t>
            </w:r>
            <w:r>
              <w:rPr>
                <w:spacing w:val="-8"/>
                <w:sz w:val="22"/>
              </w:rPr>
              <w:t> </w:t>
            </w:r>
            <w:r>
              <w:rPr>
                <w:sz w:val="22"/>
              </w:rPr>
              <w:t>the</w:t>
            </w:r>
            <w:r>
              <w:rPr>
                <w:spacing w:val="-8"/>
                <w:sz w:val="22"/>
              </w:rPr>
              <w:t> </w:t>
            </w:r>
            <w:r>
              <w:rPr>
                <w:sz w:val="22"/>
              </w:rPr>
              <w:t>costs that become “owner costs” are 46.2% and 56.5%.</w:t>
            </w:r>
          </w:p>
          <w:p>
            <w:pPr>
              <w:pStyle w:val="TableParagraph"/>
              <w:spacing w:before="119"/>
              <w:ind w:left="107"/>
              <w:rPr>
                <w:sz w:val="22"/>
              </w:rPr>
            </w:pPr>
            <w:r>
              <w:rPr>
                <w:sz w:val="22"/>
              </w:rPr>
              <w:t>Refer</w:t>
            </w:r>
            <w:r>
              <w:rPr>
                <w:spacing w:val="-6"/>
                <w:sz w:val="22"/>
              </w:rPr>
              <w:t> </w:t>
            </w:r>
            <w:r>
              <w:rPr>
                <w:spacing w:val="-2"/>
                <w:sz w:val="22"/>
              </w:rPr>
              <w:t>footnote</w:t>
            </w:r>
            <w:r>
              <w:rPr>
                <w:spacing w:val="-2"/>
                <w:sz w:val="22"/>
                <w:vertAlign w:val="superscript"/>
              </w:rPr>
              <w:t>57</w:t>
            </w:r>
          </w:p>
        </w:tc>
      </w:tr>
    </w:tbl>
    <w:p>
      <w:pPr>
        <w:pStyle w:val="BodyText"/>
        <w:rPr>
          <w:b/>
          <w:sz w:val="20"/>
        </w:rPr>
      </w:pPr>
    </w:p>
    <w:p>
      <w:pPr>
        <w:pStyle w:val="BodyText"/>
        <w:rPr>
          <w:b/>
          <w:sz w:val="20"/>
        </w:rPr>
      </w:pPr>
    </w:p>
    <w:p>
      <w:pPr>
        <w:pStyle w:val="BodyText"/>
        <w:spacing w:before="7"/>
        <w:rPr>
          <w:b/>
          <w:sz w:val="13"/>
        </w:rPr>
      </w:pPr>
      <w:r>
        <w:rPr/>
        <w:pict>
          <v:rect style="position:absolute;margin-left:89.879997pt;margin-top:9.071953pt;width:415.62pt;height:.6pt;mso-position-horizontal-relative:page;mso-position-vertical-relative:paragraph;z-index:-15706624;mso-wrap-distance-left:0;mso-wrap-distance-right:0" id="docshape52" filled="true" fillcolor="#000000" stroked="false">
            <v:fill type="solid"/>
            <w10:wrap type="topAndBottom"/>
          </v:rect>
        </w:pict>
      </w:r>
    </w:p>
    <w:p>
      <w:pPr>
        <w:spacing w:before="222"/>
        <w:ind w:left="417" w:right="809" w:firstLine="0"/>
        <w:jc w:val="both"/>
        <w:rPr>
          <w:sz w:val="20"/>
        </w:rPr>
      </w:pPr>
      <w:r>
        <w:rPr>
          <w:sz w:val="20"/>
        </w:rPr>
        <w:t>design and that this provides substantially greater opportunity to accommodate access requirements at a reasonable and proportionate cost.</w:t>
      </w:r>
    </w:p>
    <w:p>
      <w:pPr>
        <w:spacing w:before="120"/>
        <w:ind w:left="417" w:right="808" w:hanging="1"/>
        <w:jc w:val="both"/>
        <w:rPr>
          <w:sz w:val="20"/>
        </w:rPr>
      </w:pPr>
      <w:r>
        <w:rPr>
          <w:rFonts w:ascii="Times New Roman"/>
          <w:sz w:val="20"/>
          <w:vertAlign w:val="superscript"/>
        </w:rPr>
        <w:t>57</w:t>
      </w:r>
      <w:r>
        <w:rPr>
          <w:rFonts w:ascii="Times New Roman"/>
          <w:sz w:val="20"/>
          <w:vertAlign w:val="baseline"/>
        </w:rPr>
        <w:t> </w:t>
      </w:r>
      <w:r>
        <w:rPr>
          <w:sz w:val="20"/>
          <w:vertAlign w:val="baseline"/>
        </w:rPr>
        <w:t>This implies there will be significant cost reductions in this regard if owners are not required to undertake these upgrades of public areas when a tenant upgrades.</w:t>
      </w:r>
    </w:p>
    <w:p>
      <w:pPr>
        <w:spacing w:before="120"/>
        <w:ind w:left="417" w:right="806" w:firstLine="0"/>
        <w:jc w:val="both"/>
        <w:rPr>
          <w:sz w:val="20"/>
        </w:rPr>
      </w:pPr>
      <w:r>
        <w:rPr>
          <w:sz w:val="20"/>
        </w:rPr>
        <w:t>We have assumed that 50% of upgrades in these categories are tenant upgrades and that costs</w:t>
      </w:r>
      <w:r>
        <w:rPr>
          <w:spacing w:val="38"/>
          <w:sz w:val="20"/>
        </w:rPr>
        <w:t> </w:t>
      </w:r>
      <w:r>
        <w:rPr>
          <w:sz w:val="20"/>
        </w:rPr>
        <w:t>are</w:t>
      </w:r>
      <w:r>
        <w:rPr>
          <w:spacing w:val="38"/>
          <w:sz w:val="20"/>
        </w:rPr>
        <w:t> </w:t>
      </w:r>
      <w:r>
        <w:rPr>
          <w:sz w:val="20"/>
        </w:rPr>
        <w:t>reduced</w:t>
      </w:r>
      <w:r>
        <w:rPr>
          <w:spacing w:val="38"/>
          <w:sz w:val="20"/>
        </w:rPr>
        <w:t> </w:t>
      </w:r>
      <w:r>
        <w:rPr>
          <w:sz w:val="20"/>
        </w:rPr>
        <w:t>by</w:t>
      </w:r>
      <w:r>
        <w:rPr>
          <w:spacing w:val="38"/>
          <w:sz w:val="20"/>
        </w:rPr>
        <w:t> </w:t>
      </w:r>
      <w:r>
        <w:rPr>
          <w:sz w:val="20"/>
        </w:rPr>
        <w:t>90%</w:t>
      </w:r>
      <w:r>
        <w:rPr>
          <w:spacing w:val="38"/>
          <w:sz w:val="20"/>
        </w:rPr>
        <w:t> </w:t>
      </w:r>
      <w:r>
        <w:rPr>
          <w:sz w:val="20"/>
        </w:rPr>
        <w:t>in</w:t>
      </w:r>
      <w:r>
        <w:rPr>
          <w:spacing w:val="38"/>
          <w:sz w:val="20"/>
        </w:rPr>
        <w:t> </w:t>
      </w:r>
      <w:r>
        <w:rPr>
          <w:sz w:val="20"/>
        </w:rPr>
        <w:t>the</w:t>
      </w:r>
      <w:r>
        <w:rPr>
          <w:spacing w:val="39"/>
          <w:sz w:val="20"/>
        </w:rPr>
        <w:t> </w:t>
      </w:r>
      <w:r>
        <w:rPr>
          <w:sz w:val="20"/>
        </w:rPr>
        <w:t>case</w:t>
      </w:r>
      <w:r>
        <w:rPr>
          <w:spacing w:val="38"/>
          <w:sz w:val="20"/>
        </w:rPr>
        <w:t> </w:t>
      </w:r>
      <w:r>
        <w:rPr>
          <w:sz w:val="20"/>
        </w:rPr>
        <w:t>of</w:t>
      </w:r>
      <w:r>
        <w:rPr>
          <w:spacing w:val="38"/>
          <w:sz w:val="20"/>
        </w:rPr>
        <w:t> </w:t>
      </w:r>
      <w:r>
        <w:rPr>
          <w:sz w:val="20"/>
        </w:rPr>
        <w:t>partial</w:t>
      </w:r>
      <w:r>
        <w:rPr>
          <w:spacing w:val="38"/>
          <w:sz w:val="20"/>
        </w:rPr>
        <w:t> </w:t>
      </w:r>
      <w:r>
        <w:rPr>
          <w:sz w:val="20"/>
        </w:rPr>
        <w:t>upgrades</w:t>
      </w:r>
      <w:r>
        <w:rPr>
          <w:spacing w:val="39"/>
          <w:sz w:val="20"/>
        </w:rPr>
        <w:t> </w:t>
      </w:r>
      <w:r>
        <w:rPr>
          <w:sz w:val="20"/>
        </w:rPr>
        <w:t>and</w:t>
      </w:r>
      <w:r>
        <w:rPr>
          <w:spacing w:val="37"/>
          <w:sz w:val="20"/>
        </w:rPr>
        <w:t> </w:t>
      </w:r>
      <w:r>
        <w:rPr>
          <w:sz w:val="20"/>
        </w:rPr>
        <w:t>51.3%</w:t>
      </w:r>
      <w:r>
        <w:rPr>
          <w:spacing w:val="38"/>
          <w:sz w:val="20"/>
        </w:rPr>
        <w:t> </w:t>
      </w:r>
      <w:r>
        <w:rPr>
          <w:sz w:val="20"/>
        </w:rPr>
        <w:t>in</w:t>
      </w:r>
      <w:r>
        <w:rPr>
          <w:spacing w:val="38"/>
          <w:sz w:val="20"/>
        </w:rPr>
        <w:t> </w:t>
      </w:r>
      <w:r>
        <w:rPr>
          <w:sz w:val="20"/>
        </w:rPr>
        <w:t>the</w:t>
      </w:r>
      <w:r>
        <w:rPr>
          <w:spacing w:val="38"/>
          <w:sz w:val="20"/>
        </w:rPr>
        <w:t> </w:t>
      </w:r>
      <w:r>
        <w:rPr>
          <w:sz w:val="20"/>
        </w:rPr>
        <w:t>case</w:t>
      </w:r>
      <w:r>
        <w:rPr>
          <w:spacing w:val="38"/>
          <w:sz w:val="20"/>
        </w:rPr>
        <w:t> </w:t>
      </w:r>
      <w:r>
        <w:rPr>
          <w:sz w:val="20"/>
        </w:rPr>
        <w:t>of</w:t>
      </w:r>
      <w:r>
        <w:rPr>
          <w:spacing w:val="38"/>
          <w:sz w:val="20"/>
        </w:rPr>
        <w:t> </w:t>
      </w:r>
      <w:r>
        <w:rPr>
          <w:sz w:val="20"/>
        </w:rPr>
        <w:t>full</w:t>
      </w:r>
    </w:p>
    <w:p>
      <w:pPr>
        <w:spacing w:after="0"/>
        <w:jc w:val="both"/>
        <w:rPr>
          <w:sz w:val="20"/>
        </w:rPr>
        <w:sectPr>
          <w:pgSz w:w="11900" w:h="16840"/>
          <w:pgMar w:header="0" w:footer="1130" w:top="1360" w:bottom="1320" w:left="1380" w:right="980"/>
        </w:sect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440"/>
        <w:gridCol w:w="1440"/>
        <w:gridCol w:w="3780"/>
      </w:tblGrid>
      <w:tr>
        <w:trPr>
          <w:trHeight w:val="745" w:hRule="atLeast"/>
        </w:trPr>
        <w:tc>
          <w:tcPr>
            <w:tcW w:w="1980" w:type="dxa"/>
          </w:tcPr>
          <w:p>
            <w:pPr>
              <w:pStyle w:val="TableParagraph"/>
              <w:spacing w:before="118"/>
              <w:ind w:left="107"/>
              <w:rPr>
                <w:b/>
                <w:sz w:val="22"/>
              </w:rPr>
            </w:pPr>
            <w:r>
              <w:rPr>
                <w:b/>
                <w:spacing w:val="-2"/>
                <w:sz w:val="22"/>
              </w:rPr>
              <w:t>Class/Type</w:t>
            </w:r>
          </w:p>
        </w:tc>
        <w:tc>
          <w:tcPr>
            <w:tcW w:w="1440" w:type="dxa"/>
          </w:tcPr>
          <w:p>
            <w:pPr>
              <w:pStyle w:val="TableParagraph"/>
              <w:spacing w:before="118"/>
              <w:ind w:left="107"/>
              <w:rPr>
                <w:b/>
                <w:sz w:val="22"/>
              </w:rPr>
            </w:pPr>
            <w:r>
              <w:rPr>
                <w:b/>
                <w:sz w:val="22"/>
              </w:rPr>
              <w:t>Impact</w:t>
            </w:r>
            <w:r>
              <w:rPr>
                <w:b/>
                <w:spacing w:val="-16"/>
                <w:sz w:val="22"/>
              </w:rPr>
              <w:t> </w:t>
            </w:r>
            <w:r>
              <w:rPr>
                <w:b/>
                <w:sz w:val="22"/>
              </w:rPr>
              <w:t>on </w:t>
            </w:r>
            <w:r>
              <w:rPr>
                <w:b/>
                <w:spacing w:val="-4"/>
                <w:sz w:val="22"/>
              </w:rPr>
              <w:t>owner</w:t>
            </w:r>
          </w:p>
        </w:tc>
        <w:tc>
          <w:tcPr>
            <w:tcW w:w="1440" w:type="dxa"/>
          </w:tcPr>
          <w:p>
            <w:pPr>
              <w:pStyle w:val="TableParagraph"/>
              <w:spacing w:before="118"/>
              <w:ind w:left="107"/>
              <w:rPr>
                <w:b/>
                <w:sz w:val="22"/>
              </w:rPr>
            </w:pPr>
            <w:r>
              <w:rPr>
                <w:b/>
                <w:sz w:val="22"/>
              </w:rPr>
              <w:t>Impact</w:t>
            </w:r>
            <w:r>
              <w:rPr>
                <w:b/>
                <w:spacing w:val="-16"/>
                <w:sz w:val="22"/>
              </w:rPr>
              <w:t> </w:t>
            </w:r>
            <w:r>
              <w:rPr>
                <w:b/>
                <w:sz w:val="22"/>
              </w:rPr>
              <w:t>on </w:t>
            </w:r>
            <w:r>
              <w:rPr>
                <w:b/>
                <w:spacing w:val="-2"/>
                <w:sz w:val="22"/>
              </w:rPr>
              <w:t>tenant</w:t>
            </w:r>
          </w:p>
        </w:tc>
        <w:tc>
          <w:tcPr>
            <w:tcW w:w="3780" w:type="dxa"/>
          </w:tcPr>
          <w:p>
            <w:pPr>
              <w:pStyle w:val="TableParagraph"/>
              <w:spacing w:before="118"/>
              <w:ind w:left="107"/>
              <w:rPr>
                <w:b/>
                <w:sz w:val="22"/>
              </w:rPr>
            </w:pPr>
            <w:r>
              <w:rPr>
                <w:b/>
                <w:spacing w:val="-2"/>
                <w:sz w:val="22"/>
              </w:rPr>
              <w:t>Discussion</w:t>
            </w:r>
          </w:p>
        </w:tc>
      </w:tr>
      <w:tr>
        <w:trPr>
          <w:trHeight w:val="3022" w:hRule="atLeast"/>
        </w:trPr>
        <w:tc>
          <w:tcPr>
            <w:tcW w:w="1980" w:type="dxa"/>
          </w:tcPr>
          <w:p>
            <w:pPr>
              <w:pStyle w:val="TableParagraph"/>
              <w:spacing w:before="117"/>
              <w:ind w:left="107" w:right="257"/>
              <w:rPr>
                <w:sz w:val="22"/>
              </w:rPr>
            </w:pPr>
            <w:r>
              <w:rPr>
                <w:sz w:val="22"/>
              </w:rPr>
              <w:t>Class 6: Shops and</w:t>
            </w:r>
            <w:r>
              <w:rPr>
                <w:spacing w:val="-4"/>
                <w:sz w:val="22"/>
              </w:rPr>
              <w:t> </w:t>
            </w:r>
            <w:r>
              <w:rPr>
                <w:spacing w:val="-2"/>
                <w:sz w:val="22"/>
              </w:rPr>
              <w:t>restaurants</w:t>
            </w:r>
          </w:p>
        </w:tc>
        <w:tc>
          <w:tcPr>
            <w:tcW w:w="1440" w:type="dxa"/>
          </w:tcPr>
          <w:p>
            <w:pPr>
              <w:pStyle w:val="TableParagraph"/>
              <w:spacing w:before="117"/>
              <w:ind w:left="107" w:right="132"/>
              <w:rPr>
                <w:sz w:val="22"/>
              </w:rPr>
            </w:pPr>
            <w:r>
              <w:rPr>
                <w:sz w:val="22"/>
              </w:rPr>
              <w:t>80% of </w:t>
            </w:r>
            <w:r>
              <w:rPr>
                <w:spacing w:val="-2"/>
                <w:sz w:val="22"/>
              </w:rPr>
              <w:t>restaurant </w:t>
            </w:r>
            <w:r>
              <w:rPr>
                <w:sz w:val="22"/>
              </w:rPr>
              <w:t>and</w:t>
            </w:r>
            <w:r>
              <w:rPr>
                <w:spacing w:val="-16"/>
                <w:sz w:val="22"/>
              </w:rPr>
              <w:t> </w:t>
            </w:r>
            <w:r>
              <w:rPr>
                <w:sz w:val="22"/>
              </w:rPr>
              <w:t>virtually 100% of </w:t>
            </w:r>
            <w:r>
              <w:rPr>
                <w:spacing w:val="-2"/>
                <w:sz w:val="22"/>
              </w:rPr>
              <w:t>shopping </w:t>
            </w:r>
            <w:r>
              <w:rPr>
                <w:sz w:val="22"/>
              </w:rPr>
              <w:t>centre</w:t>
            </w:r>
            <w:r>
              <w:rPr>
                <w:spacing w:val="-16"/>
                <w:sz w:val="22"/>
              </w:rPr>
              <w:t> </w:t>
            </w:r>
            <w:r>
              <w:rPr>
                <w:sz w:val="22"/>
              </w:rPr>
              <w:t>costs</w:t>
            </w:r>
          </w:p>
        </w:tc>
        <w:tc>
          <w:tcPr>
            <w:tcW w:w="1440" w:type="dxa"/>
          </w:tcPr>
          <w:p>
            <w:pPr>
              <w:pStyle w:val="TableParagraph"/>
              <w:spacing w:before="117"/>
              <w:ind w:left="107" w:right="267"/>
              <w:rPr>
                <w:sz w:val="22"/>
              </w:rPr>
            </w:pPr>
            <w:r>
              <w:rPr>
                <w:sz w:val="22"/>
              </w:rPr>
              <w:t>Borne</w:t>
            </w:r>
            <w:r>
              <w:rPr>
                <w:spacing w:val="-16"/>
                <w:sz w:val="22"/>
              </w:rPr>
              <w:t> </w:t>
            </w:r>
            <w:r>
              <w:rPr>
                <w:sz w:val="22"/>
              </w:rPr>
              <w:t>only by</w:t>
            </w:r>
            <w:r>
              <w:rPr>
                <w:spacing w:val="-16"/>
                <w:sz w:val="22"/>
              </w:rPr>
              <w:t> </w:t>
            </w:r>
            <w:r>
              <w:rPr>
                <w:sz w:val="22"/>
              </w:rPr>
              <w:t>"anchor </w:t>
            </w:r>
            <w:r>
              <w:rPr>
                <w:spacing w:val="-2"/>
                <w:sz w:val="22"/>
              </w:rPr>
              <w:t>tenants" whose leased </w:t>
            </w:r>
            <w:r>
              <w:rPr>
                <w:sz w:val="22"/>
              </w:rPr>
              <w:t>space is </w:t>
            </w:r>
            <w:r>
              <w:rPr>
                <w:spacing w:val="-2"/>
                <w:sz w:val="22"/>
              </w:rPr>
              <w:t>large </w:t>
            </w:r>
            <w:r>
              <w:rPr>
                <w:sz w:val="22"/>
              </w:rPr>
              <w:t>enough to </w:t>
            </w:r>
            <w:r>
              <w:rPr>
                <w:spacing w:val="-2"/>
                <w:sz w:val="22"/>
              </w:rPr>
              <w:t>contain sanitary facilities.</w:t>
            </w:r>
          </w:p>
        </w:tc>
        <w:tc>
          <w:tcPr>
            <w:tcW w:w="3780" w:type="dxa"/>
          </w:tcPr>
          <w:p>
            <w:pPr>
              <w:pStyle w:val="TableParagraph"/>
              <w:spacing w:before="117"/>
              <w:ind w:left="107" w:right="137"/>
              <w:rPr>
                <w:sz w:val="22"/>
              </w:rPr>
            </w:pPr>
            <w:r>
              <w:rPr>
                <w:sz w:val="22"/>
              </w:rPr>
              <w:t>The</w:t>
            </w:r>
            <w:r>
              <w:rPr>
                <w:spacing w:val="-6"/>
                <w:sz w:val="22"/>
              </w:rPr>
              <w:t> </w:t>
            </w:r>
            <w:r>
              <w:rPr>
                <w:sz w:val="22"/>
              </w:rPr>
              <w:t>vast</w:t>
            </w:r>
            <w:r>
              <w:rPr>
                <w:spacing w:val="-6"/>
                <w:sz w:val="22"/>
              </w:rPr>
              <w:t> </w:t>
            </w:r>
            <w:r>
              <w:rPr>
                <w:sz w:val="22"/>
              </w:rPr>
              <w:t>majority</w:t>
            </w:r>
            <w:r>
              <w:rPr>
                <w:spacing w:val="-6"/>
                <w:sz w:val="22"/>
              </w:rPr>
              <w:t> </w:t>
            </w:r>
            <w:r>
              <w:rPr>
                <w:sz w:val="22"/>
              </w:rPr>
              <w:t>of</w:t>
            </w:r>
            <w:r>
              <w:rPr>
                <w:spacing w:val="-6"/>
                <w:sz w:val="22"/>
              </w:rPr>
              <w:t> </w:t>
            </w:r>
            <w:r>
              <w:rPr>
                <w:sz w:val="22"/>
              </w:rPr>
              <w:t>costs</w:t>
            </w:r>
            <w:r>
              <w:rPr>
                <w:spacing w:val="-6"/>
                <w:sz w:val="22"/>
              </w:rPr>
              <w:t> </w:t>
            </w:r>
            <w:r>
              <w:rPr>
                <w:sz w:val="22"/>
              </w:rPr>
              <w:t>relating</w:t>
            </w:r>
            <w:r>
              <w:rPr>
                <w:spacing w:val="-6"/>
                <w:sz w:val="22"/>
              </w:rPr>
              <w:t> </w:t>
            </w:r>
            <w:r>
              <w:rPr>
                <w:sz w:val="22"/>
              </w:rPr>
              <w:t>to mall-type shopping centres relate to public spaces and, hence, become owner responsibilities.</w:t>
            </w:r>
            <w:r>
              <w:rPr>
                <w:spacing w:val="40"/>
                <w:sz w:val="22"/>
              </w:rPr>
              <w:t> </w:t>
            </w:r>
            <w:r>
              <w:rPr>
                <w:sz w:val="22"/>
              </w:rPr>
              <w:t>2 storey restaurant costs are largely owner responsibilities, since the lift is the key item here.</w:t>
            </w:r>
          </w:p>
        </w:tc>
      </w:tr>
      <w:tr>
        <w:trPr>
          <w:trHeight w:val="746" w:hRule="atLeast"/>
        </w:trPr>
        <w:tc>
          <w:tcPr>
            <w:tcW w:w="1980" w:type="dxa"/>
          </w:tcPr>
          <w:p>
            <w:pPr>
              <w:pStyle w:val="TableParagraph"/>
              <w:spacing w:before="117"/>
              <w:ind w:left="107"/>
              <w:rPr>
                <w:sz w:val="22"/>
              </w:rPr>
            </w:pPr>
            <w:r>
              <w:rPr>
                <w:sz w:val="22"/>
              </w:rPr>
              <w:t>Class</w:t>
            </w:r>
            <w:r>
              <w:rPr>
                <w:spacing w:val="-4"/>
                <w:sz w:val="22"/>
              </w:rPr>
              <w:t> </w:t>
            </w:r>
            <w:r>
              <w:rPr>
                <w:sz w:val="22"/>
              </w:rPr>
              <w:t>8:</w:t>
            </w:r>
            <w:r>
              <w:rPr>
                <w:spacing w:val="-4"/>
                <w:sz w:val="22"/>
              </w:rPr>
              <w:t> </w:t>
            </w:r>
            <w:r>
              <w:rPr>
                <w:spacing w:val="-2"/>
                <w:sz w:val="22"/>
              </w:rPr>
              <w:t>Factories</w:t>
            </w:r>
          </w:p>
        </w:tc>
        <w:tc>
          <w:tcPr>
            <w:tcW w:w="1440" w:type="dxa"/>
          </w:tcPr>
          <w:p>
            <w:pPr>
              <w:pStyle w:val="TableParagraph"/>
              <w:spacing w:before="117"/>
              <w:ind w:left="107"/>
              <w:rPr>
                <w:sz w:val="22"/>
              </w:rPr>
            </w:pPr>
            <w:r>
              <w:rPr>
                <w:spacing w:val="-2"/>
                <w:sz w:val="22"/>
              </w:rPr>
              <w:t>None.</w:t>
            </w:r>
          </w:p>
        </w:tc>
        <w:tc>
          <w:tcPr>
            <w:tcW w:w="1440" w:type="dxa"/>
          </w:tcPr>
          <w:p>
            <w:pPr>
              <w:pStyle w:val="TableParagraph"/>
              <w:spacing w:before="117"/>
              <w:ind w:left="108"/>
              <w:rPr>
                <w:sz w:val="22"/>
              </w:rPr>
            </w:pPr>
            <w:r>
              <w:rPr>
                <w:spacing w:val="-2"/>
                <w:sz w:val="22"/>
              </w:rPr>
              <w:t>None.</w:t>
            </w:r>
          </w:p>
        </w:tc>
        <w:tc>
          <w:tcPr>
            <w:tcW w:w="3780" w:type="dxa"/>
          </w:tcPr>
          <w:p>
            <w:pPr>
              <w:pStyle w:val="TableParagraph"/>
              <w:spacing w:before="117"/>
              <w:ind w:left="107"/>
              <w:rPr>
                <w:sz w:val="22"/>
              </w:rPr>
            </w:pPr>
            <w:r>
              <w:rPr>
                <w:sz w:val="22"/>
              </w:rPr>
              <w:t>These</w:t>
            </w:r>
            <w:r>
              <w:rPr>
                <w:spacing w:val="-7"/>
                <w:sz w:val="22"/>
              </w:rPr>
              <w:t> </w:t>
            </w:r>
            <w:r>
              <w:rPr>
                <w:sz w:val="22"/>
              </w:rPr>
              <w:t>buildings</w:t>
            </w:r>
            <w:r>
              <w:rPr>
                <w:spacing w:val="-7"/>
                <w:sz w:val="22"/>
              </w:rPr>
              <w:t> </w:t>
            </w:r>
            <w:r>
              <w:rPr>
                <w:sz w:val="22"/>
              </w:rPr>
              <w:t>do</w:t>
            </w:r>
            <w:r>
              <w:rPr>
                <w:spacing w:val="-7"/>
                <w:sz w:val="22"/>
              </w:rPr>
              <w:t> </w:t>
            </w:r>
            <w:r>
              <w:rPr>
                <w:sz w:val="22"/>
              </w:rPr>
              <w:t>not</w:t>
            </w:r>
            <w:r>
              <w:rPr>
                <w:spacing w:val="-7"/>
                <w:sz w:val="22"/>
              </w:rPr>
              <w:t> </w:t>
            </w:r>
            <w:r>
              <w:rPr>
                <w:sz w:val="22"/>
              </w:rPr>
              <w:t>appear</w:t>
            </w:r>
            <w:r>
              <w:rPr>
                <w:spacing w:val="-7"/>
                <w:sz w:val="22"/>
              </w:rPr>
              <w:t> </w:t>
            </w:r>
            <w:r>
              <w:rPr>
                <w:sz w:val="22"/>
              </w:rPr>
              <w:t>to</w:t>
            </w:r>
            <w:r>
              <w:rPr>
                <w:spacing w:val="-7"/>
                <w:sz w:val="22"/>
              </w:rPr>
              <w:t> </w:t>
            </w:r>
            <w:r>
              <w:rPr>
                <w:sz w:val="22"/>
              </w:rPr>
              <w:t>be affected by the change.</w:t>
            </w:r>
          </w:p>
        </w:tc>
      </w:tr>
      <w:tr>
        <w:trPr>
          <w:trHeight w:val="1012" w:hRule="atLeast"/>
        </w:trPr>
        <w:tc>
          <w:tcPr>
            <w:tcW w:w="1980" w:type="dxa"/>
          </w:tcPr>
          <w:p>
            <w:pPr>
              <w:pStyle w:val="TableParagraph"/>
              <w:ind w:left="107"/>
              <w:rPr>
                <w:sz w:val="22"/>
              </w:rPr>
            </w:pPr>
            <w:r>
              <w:rPr>
                <w:sz w:val="22"/>
              </w:rPr>
              <w:t>Class 9: </w:t>
            </w:r>
            <w:r>
              <w:rPr>
                <w:spacing w:val="-2"/>
                <w:sz w:val="22"/>
              </w:rPr>
              <w:t>Hospitals/theatres</w:t>
            </w:r>
          </w:p>
          <w:p>
            <w:pPr>
              <w:pStyle w:val="TableParagraph"/>
              <w:ind w:left="107"/>
              <w:rPr>
                <w:sz w:val="22"/>
              </w:rPr>
            </w:pPr>
            <w:r>
              <w:rPr>
                <w:spacing w:val="-2"/>
                <w:sz w:val="22"/>
              </w:rPr>
              <w:t>/schools/stadiums</w:t>
            </w:r>
          </w:p>
          <w:p>
            <w:pPr>
              <w:pStyle w:val="TableParagraph"/>
              <w:spacing w:line="235" w:lineRule="exact"/>
              <w:ind w:left="107"/>
              <w:rPr>
                <w:sz w:val="22"/>
              </w:rPr>
            </w:pPr>
            <w:r>
              <w:rPr>
                <w:sz w:val="22"/>
              </w:rPr>
              <w:t>/community</w:t>
            </w:r>
            <w:r>
              <w:rPr>
                <w:spacing w:val="-11"/>
                <w:sz w:val="22"/>
              </w:rPr>
              <w:t> </w:t>
            </w:r>
            <w:r>
              <w:rPr>
                <w:spacing w:val="-2"/>
                <w:sz w:val="22"/>
              </w:rPr>
              <w:t>halls</w:t>
            </w:r>
          </w:p>
        </w:tc>
        <w:tc>
          <w:tcPr>
            <w:tcW w:w="1440" w:type="dxa"/>
          </w:tcPr>
          <w:p>
            <w:pPr>
              <w:pStyle w:val="TableParagraph"/>
              <w:spacing w:before="117"/>
              <w:ind w:left="107"/>
              <w:rPr>
                <w:sz w:val="22"/>
              </w:rPr>
            </w:pPr>
            <w:r>
              <w:rPr>
                <w:spacing w:val="-4"/>
                <w:sz w:val="22"/>
              </w:rPr>
              <w:t>None</w:t>
            </w:r>
          </w:p>
        </w:tc>
        <w:tc>
          <w:tcPr>
            <w:tcW w:w="1440" w:type="dxa"/>
          </w:tcPr>
          <w:p>
            <w:pPr>
              <w:pStyle w:val="TableParagraph"/>
              <w:spacing w:before="117"/>
              <w:ind w:left="107"/>
              <w:rPr>
                <w:sz w:val="22"/>
              </w:rPr>
            </w:pPr>
            <w:r>
              <w:rPr>
                <w:spacing w:val="-4"/>
                <w:sz w:val="22"/>
              </w:rPr>
              <w:t>None</w:t>
            </w:r>
          </w:p>
        </w:tc>
        <w:tc>
          <w:tcPr>
            <w:tcW w:w="3780" w:type="dxa"/>
          </w:tcPr>
          <w:p>
            <w:pPr>
              <w:pStyle w:val="TableParagraph"/>
              <w:spacing w:before="117"/>
              <w:ind w:left="107"/>
              <w:rPr>
                <w:sz w:val="22"/>
              </w:rPr>
            </w:pPr>
            <w:r>
              <w:rPr>
                <w:sz w:val="22"/>
              </w:rPr>
              <w:t>These</w:t>
            </w:r>
            <w:r>
              <w:rPr>
                <w:spacing w:val="-7"/>
                <w:sz w:val="22"/>
              </w:rPr>
              <w:t> </w:t>
            </w:r>
            <w:r>
              <w:rPr>
                <w:sz w:val="22"/>
              </w:rPr>
              <w:t>buildings</w:t>
            </w:r>
            <w:r>
              <w:rPr>
                <w:spacing w:val="-7"/>
                <w:sz w:val="22"/>
              </w:rPr>
              <w:t> </w:t>
            </w:r>
            <w:r>
              <w:rPr>
                <w:sz w:val="22"/>
              </w:rPr>
              <w:t>do</w:t>
            </w:r>
            <w:r>
              <w:rPr>
                <w:spacing w:val="-7"/>
                <w:sz w:val="22"/>
              </w:rPr>
              <w:t> </w:t>
            </w:r>
            <w:r>
              <w:rPr>
                <w:sz w:val="22"/>
              </w:rPr>
              <w:t>not</w:t>
            </w:r>
            <w:r>
              <w:rPr>
                <w:spacing w:val="-7"/>
                <w:sz w:val="22"/>
              </w:rPr>
              <w:t> </w:t>
            </w:r>
            <w:r>
              <w:rPr>
                <w:sz w:val="22"/>
              </w:rPr>
              <w:t>appear</w:t>
            </w:r>
            <w:r>
              <w:rPr>
                <w:spacing w:val="-7"/>
                <w:sz w:val="22"/>
              </w:rPr>
              <w:t> </w:t>
            </w:r>
            <w:r>
              <w:rPr>
                <w:sz w:val="22"/>
              </w:rPr>
              <w:t>to</w:t>
            </w:r>
            <w:r>
              <w:rPr>
                <w:spacing w:val="-7"/>
                <w:sz w:val="22"/>
              </w:rPr>
              <w:t> </w:t>
            </w:r>
            <w:r>
              <w:rPr>
                <w:sz w:val="22"/>
              </w:rPr>
              <w:t>be affected by the change</w:t>
            </w:r>
          </w:p>
        </w:tc>
      </w:tr>
      <w:tr>
        <w:trPr>
          <w:trHeight w:val="746" w:hRule="atLeast"/>
        </w:trPr>
        <w:tc>
          <w:tcPr>
            <w:tcW w:w="1980" w:type="dxa"/>
          </w:tcPr>
          <w:p>
            <w:pPr>
              <w:pStyle w:val="TableParagraph"/>
              <w:spacing w:before="117"/>
              <w:ind w:left="107" w:right="257"/>
              <w:rPr>
                <w:sz w:val="22"/>
              </w:rPr>
            </w:pPr>
            <w:r>
              <w:rPr>
                <w:sz w:val="22"/>
              </w:rPr>
              <w:t>Class 10: Swimming</w:t>
            </w:r>
            <w:r>
              <w:rPr>
                <w:spacing w:val="-16"/>
                <w:sz w:val="22"/>
              </w:rPr>
              <w:t> </w:t>
            </w:r>
            <w:r>
              <w:rPr>
                <w:sz w:val="22"/>
              </w:rPr>
              <w:t>pools</w:t>
            </w:r>
          </w:p>
        </w:tc>
        <w:tc>
          <w:tcPr>
            <w:tcW w:w="1440" w:type="dxa"/>
          </w:tcPr>
          <w:p>
            <w:pPr>
              <w:pStyle w:val="TableParagraph"/>
              <w:spacing w:before="117"/>
              <w:ind w:left="107"/>
              <w:rPr>
                <w:sz w:val="22"/>
              </w:rPr>
            </w:pPr>
            <w:r>
              <w:rPr>
                <w:spacing w:val="-4"/>
                <w:sz w:val="22"/>
              </w:rPr>
              <w:t>None</w:t>
            </w:r>
          </w:p>
        </w:tc>
        <w:tc>
          <w:tcPr>
            <w:tcW w:w="1440" w:type="dxa"/>
          </w:tcPr>
          <w:p>
            <w:pPr>
              <w:pStyle w:val="TableParagraph"/>
              <w:spacing w:before="117"/>
              <w:ind w:left="107"/>
              <w:rPr>
                <w:sz w:val="22"/>
              </w:rPr>
            </w:pPr>
            <w:r>
              <w:rPr>
                <w:spacing w:val="-4"/>
                <w:sz w:val="22"/>
              </w:rPr>
              <w:t>None</w:t>
            </w:r>
          </w:p>
        </w:tc>
        <w:tc>
          <w:tcPr>
            <w:tcW w:w="3780" w:type="dxa"/>
          </w:tcPr>
          <w:p>
            <w:pPr>
              <w:pStyle w:val="TableParagraph"/>
              <w:spacing w:before="117"/>
              <w:ind w:left="107"/>
              <w:rPr>
                <w:sz w:val="22"/>
              </w:rPr>
            </w:pPr>
            <w:r>
              <w:rPr>
                <w:sz w:val="22"/>
              </w:rPr>
              <w:t>These</w:t>
            </w:r>
            <w:r>
              <w:rPr>
                <w:spacing w:val="-7"/>
                <w:sz w:val="22"/>
              </w:rPr>
              <w:t> </w:t>
            </w:r>
            <w:r>
              <w:rPr>
                <w:sz w:val="22"/>
              </w:rPr>
              <w:t>buildings</w:t>
            </w:r>
            <w:r>
              <w:rPr>
                <w:spacing w:val="-7"/>
                <w:sz w:val="22"/>
              </w:rPr>
              <w:t> </w:t>
            </w:r>
            <w:r>
              <w:rPr>
                <w:sz w:val="22"/>
              </w:rPr>
              <w:t>do</w:t>
            </w:r>
            <w:r>
              <w:rPr>
                <w:spacing w:val="-7"/>
                <w:sz w:val="22"/>
              </w:rPr>
              <w:t> </w:t>
            </w:r>
            <w:r>
              <w:rPr>
                <w:sz w:val="22"/>
              </w:rPr>
              <w:t>not</w:t>
            </w:r>
            <w:r>
              <w:rPr>
                <w:spacing w:val="-7"/>
                <w:sz w:val="22"/>
              </w:rPr>
              <w:t> </w:t>
            </w:r>
            <w:r>
              <w:rPr>
                <w:sz w:val="22"/>
              </w:rPr>
              <w:t>appear</w:t>
            </w:r>
            <w:r>
              <w:rPr>
                <w:spacing w:val="-7"/>
                <w:sz w:val="22"/>
              </w:rPr>
              <w:t> </w:t>
            </w:r>
            <w:r>
              <w:rPr>
                <w:sz w:val="22"/>
              </w:rPr>
              <w:t>to</w:t>
            </w:r>
            <w:r>
              <w:rPr>
                <w:spacing w:val="-7"/>
                <w:sz w:val="22"/>
              </w:rPr>
              <w:t> </w:t>
            </w:r>
            <w:r>
              <w:rPr>
                <w:sz w:val="22"/>
              </w:rPr>
              <w:t>be affected by the change.</w:t>
            </w:r>
          </w:p>
        </w:tc>
      </w:tr>
    </w:tbl>
    <w:p>
      <w:pPr>
        <w:pStyle w:val="BodyText"/>
        <w:spacing w:before="11"/>
        <w:rPr>
          <w:sz w:val="12"/>
        </w:rPr>
      </w:pPr>
    </w:p>
    <w:p>
      <w:pPr>
        <w:pStyle w:val="Heading3"/>
        <w:numPr>
          <w:ilvl w:val="2"/>
          <w:numId w:val="27"/>
        </w:numPr>
        <w:tabs>
          <w:tab w:pos="1139" w:val="left" w:leader="none"/>
        </w:tabs>
        <w:spacing w:line="240" w:lineRule="auto" w:before="92" w:after="0"/>
        <w:ind w:left="1138" w:right="0" w:hanging="722"/>
        <w:jc w:val="both"/>
      </w:pPr>
      <w:bookmarkStart w:name="8.4.5 Other direct costs – loss of usabl" w:id="81"/>
      <w:bookmarkEnd w:id="81"/>
      <w:r>
        <w:rPr/>
        <w:t>Othe</w:t>
      </w:r>
      <w:r>
        <w:rPr/>
        <w:t>r</w:t>
      </w:r>
      <w:r>
        <w:rPr>
          <w:spacing w:val="-4"/>
        </w:rPr>
        <w:t> </w:t>
      </w:r>
      <w:r>
        <w:rPr/>
        <w:t>direct</w:t>
      </w:r>
      <w:r>
        <w:rPr>
          <w:spacing w:val="-3"/>
        </w:rPr>
        <w:t> </w:t>
      </w:r>
      <w:r>
        <w:rPr/>
        <w:t>costs</w:t>
      </w:r>
      <w:r>
        <w:rPr>
          <w:spacing w:val="-1"/>
        </w:rPr>
        <w:t> </w:t>
      </w:r>
      <w:r>
        <w:rPr/>
        <w:t>–</w:t>
      </w:r>
      <w:r>
        <w:rPr>
          <w:spacing w:val="-3"/>
        </w:rPr>
        <w:t> </w:t>
      </w:r>
      <w:r>
        <w:rPr/>
        <w:t>loss</w:t>
      </w:r>
      <w:r>
        <w:rPr>
          <w:spacing w:val="-2"/>
        </w:rPr>
        <w:t> </w:t>
      </w:r>
      <w:r>
        <w:rPr/>
        <w:t>of</w:t>
      </w:r>
      <w:r>
        <w:rPr>
          <w:spacing w:val="-3"/>
        </w:rPr>
        <w:t> </w:t>
      </w:r>
      <w:r>
        <w:rPr/>
        <w:t>usable</w:t>
      </w:r>
      <w:r>
        <w:rPr>
          <w:spacing w:val="-2"/>
        </w:rPr>
        <w:t> space</w:t>
      </w:r>
    </w:p>
    <w:p>
      <w:pPr>
        <w:pStyle w:val="BodyText"/>
        <w:spacing w:before="57"/>
        <w:ind w:left="417" w:right="807"/>
        <w:jc w:val="both"/>
      </w:pPr>
      <w:r>
        <w:rPr/>
        <w:t>The preceding sections have estimated the additional building costs that</w:t>
      </w:r>
      <w:r>
        <w:rPr>
          <w:spacing w:val="40"/>
        </w:rPr>
        <w:t> </w:t>
      </w:r>
      <w:r>
        <w:rPr/>
        <w:t>would result from the adoption of the Premises Standards.</w:t>
      </w:r>
      <w:r>
        <w:rPr>
          <w:spacing w:val="40"/>
        </w:rPr>
        <w:t> </w:t>
      </w:r>
      <w:r>
        <w:rPr/>
        <w:t>Additional costs would also be incurred as a result of the loss of useable space that arises</w:t>
      </w:r>
      <w:r>
        <w:rPr>
          <w:spacing w:val="40"/>
        </w:rPr>
        <w:t> </w:t>
      </w:r>
      <w:r>
        <w:rPr/>
        <w:t>from the need to devote additional space to larger circulation spaces, larger numbers of accessible sanitary facilities and the like. These costs of lost usable space were estimated in the draft RIS to average around 1.7% of what would otherwise constitute Net Lettable Area (NLA) for new buildings and 4% in existing buildings. The differential impact is, as with other cost items discussed, a result of the fact that changes can more easily and efficiently be accommodated where an entirely new design is being undertaken than where alterations to an existing building are proposed.</w:t>
      </w:r>
    </w:p>
    <w:p>
      <w:pPr>
        <w:pStyle w:val="BodyText"/>
      </w:pPr>
    </w:p>
    <w:p>
      <w:pPr>
        <w:pStyle w:val="BodyText"/>
        <w:ind w:left="417" w:right="808"/>
        <w:jc w:val="both"/>
      </w:pPr>
      <w:r>
        <w:rPr/>
        <w:t>The costs of the additional space requirements for new buildings have been included in the previously stated estimate of $156 million per annum in additional construction costs.</w:t>
      </w:r>
      <w:r>
        <w:rPr>
          <w:spacing w:val="40"/>
        </w:rPr>
        <w:t> </w:t>
      </w:r>
      <w:r>
        <w:rPr/>
        <w:t>This reflects a methodological approach in which it is effectively assumed that additional building area is added to offset the space using impacts of the Standards and yield an outcome in which a given</w:t>
      </w:r>
      <w:r>
        <w:rPr>
          <w:spacing w:val="-4"/>
        </w:rPr>
        <w:t> </w:t>
      </w:r>
      <w:r>
        <w:rPr/>
        <w:t>“target”</w:t>
      </w:r>
      <w:r>
        <w:rPr>
          <w:spacing w:val="-3"/>
        </w:rPr>
        <w:t> </w:t>
      </w:r>
      <w:r>
        <w:rPr/>
        <w:t>of</w:t>
      </w:r>
      <w:r>
        <w:rPr>
          <w:spacing w:val="-4"/>
        </w:rPr>
        <w:t> </w:t>
      </w:r>
      <w:r>
        <w:rPr/>
        <w:t>lettable</w:t>
      </w:r>
      <w:r>
        <w:rPr>
          <w:spacing w:val="-3"/>
        </w:rPr>
        <w:t> </w:t>
      </w:r>
      <w:r>
        <w:rPr/>
        <w:t>space</w:t>
      </w:r>
      <w:r>
        <w:rPr>
          <w:spacing w:val="-3"/>
        </w:rPr>
        <w:t> </w:t>
      </w:r>
      <w:r>
        <w:rPr/>
        <w:t>is</w:t>
      </w:r>
      <w:r>
        <w:rPr>
          <w:spacing w:val="-4"/>
        </w:rPr>
        <w:t> </w:t>
      </w:r>
      <w:r>
        <w:rPr/>
        <w:t>provided.</w:t>
      </w:r>
      <w:r>
        <w:rPr>
          <w:spacing w:val="61"/>
        </w:rPr>
        <w:t> </w:t>
      </w:r>
      <w:r>
        <w:rPr/>
        <w:t>Submissions</w:t>
      </w:r>
      <w:r>
        <w:rPr>
          <w:spacing w:val="-4"/>
        </w:rPr>
        <w:t> </w:t>
      </w:r>
      <w:r>
        <w:rPr/>
        <w:t>received</w:t>
      </w:r>
      <w:r>
        <w:rPr>
          <w:spacing w:val="-3"/>
        </w:rPr>
        <w:t> </w:t>
      </w:r>
      <w:r>
        <w:rPr/>
        <w:t>in</w:t>
      </w:r>
      <w:r>
        <w:rPr>
          <w:spacing w:val="-3"/>
        </w:rPr>
        <w:t> </w:t>
      </w:r>
      <w:r>
        <w:rPr>
          <w:spacing w:val="-2"/>
        </w:rPr>
        <w:t>response</w:t>
      </w:r>
    </w:p>
    <w:p>
      <w:pPr>
        <w:pStyle w:val="BodyText"/>
        <w:rPr>
          <w:sz w:val="20"/>
        </w:rPr>
      </w:pPr>
    </w:p>
    <w:p>
      <w:pPr>
        <w:pStyle w:val="BodyText"/>
        <w:spacing w:before="3"/>
        <w:rPr>
          <w:sz w:val="14"/>
        </w:rPr>
      </w:pPr>
      <w:r>
        <w:rPr/>
        <w:pict>
          <v:rect style="position:absolute;margin-left:89.879997pt;margin-top:9.443926pt;width:415.62pt;height:.6pt;mso-position-horizontal-relative:page;mso-position-vertical-relative:paragraph;z-index:-15706112;mso-wrap-distance-left:0;mso-wrap-distance-right:0" id="docshape53" filled="true" fillcolor="#000000" stroked="false">
            <v:fill type="solid"/>
            <w10:wrap type="topAndBottom"/>
          </v:rect>
        </w:pict>
      </w:r>
    </w:p>
    <w:p>
      <w:pPr>
        <w:pStyle w:val="BodyText"/>
        <w:spacing w:before="2"/>
        <w:rPr>
          <w:sz w:val="11"/>
        </w:rPr>
      </w:pPr>
    </w:p>
    <w:p>
      <w:pPr>
        <w:spacing w:before="94"/>
        <w:ind w:left="417" w:right="811" w:firstLine="0"/>
        <w:jc w:val="left"/>
        <w:rPr>
          <w:sz w:val="20"/>
        </w:rPr>
      </w:pPr>
      <w:r>
        <w:rPr>
          <w:sz w:val="20"/>
        </w:rPr>
        <w:t>upgrades</w:t>
      </w:r>
      <w:r>
        <w:rPr>
          <w:spacing w:val="31"/>
          <w:sz w:val="20"/>
        </w:rPr>
        <w:t> </w:t>
      </w:r>
      <w:r>
        <w:rPr>
          <w:sz w:val="20"/>
        </w:rPr>
        <w:t>due</w:t>
      </w:r>
      <w:r>
        <w:rPr>
          <w:spacing w:val="31"/>
          <w:sz w:val="20"/>
        </w:rPr>
        <w:t> </w:t>
      </w:r>
      <w:r>
        <w:rPr>
          <w:sz w:val="20"/>
        </w:rPr>
        <w:t>to</w:t>
      </w:r>
      <w:r>
        <w:rPr>
          <w:spacing w:val="32"/>
          <w:sz w:val="20"/>
        </w:rPr>
        <w:t> </w:t>
      </w:r>
      <w:r>
        <w:rPr>
          <w:sz w:val="20"/>
        </w:rPr>
        <w:t>the</w:t>
      </w:r>
      <w:r>
        <w:rPr>
          <w:spacing w:val="32"/>
          <w:sz w:val="20"/>
        </w:rPr>
        <w:t> </w:t>
      </w:r>
      <w:r>
        <w:rPr>
          <w:sz w:val="20"/>
        </w:rPr>
        <w:t>public</w:t>
      </w:r>
      <w:r>
        <w:rPr>
          <w:spacing w:val="31"/>
          <w:sz w:val="20"/>
        </w:rPr>
        <w:t> </w:t>
      </w:r>
      <w:r>
        <w:rPr>
          <w:sz w:val="20"/>
        </w:rPr>
        <w:t>area</w:t>
      </w:r>
      <w:r>
        <w:rPr>
          <w:spacing w:val="31"/>
          <w:sz w:val="20"/>
        </w:rPr>
        <w:t> </w:t>
      </w:r>
      <w:r>
        <w:rPr>
          <w:sz w:val="20"/>
        </w:rPr>
        <w:t>elements</w:t>
      </w:r>
      <w:r>
        <w:rPr>
          <w:spacing w:val="31"/>
          <w:sz w:val="20"/>
        </w:rPr>
        <w:t> </w:t>
      </w:r>
      <w:r>
        <w:rPr>
          <w:sz w:val="20"/>
        </w:rPr>
        <w:t>not</w:t>
      </w:r>
      <w:r>
        <w:rPr>
          <w:spacing w:val="31"/>
          <w:sz w:val="20"/>
        </w:rPr>
        <w:t> </w:t>
      </w:r>
      <w:r>
        <w:rPr>
          <w:sz w:val="20"/>
        </w:rPr>
        <w:t>having</w:t>
      </w:r>
      <w:r>
        <w:rPr>
          <w:spacing w:val="31"/>
          <w:sz w:val="20"/>
        </w:rPr>
        <w:t> </w:t>
      </w:r>
      <w:r>
        <w:rPr>
          <w:sz w:val="20"/>
        </w:rPr>
        <w:t>to</w:t>
      </w:r>
      <w:r>
        <w:rPr>
          <w:spacing w:val="32"/>
          <w:sz w:val="20"/>
        </w:rPr>
        <w:t> </w:t>
      </w:r>
      <w:r>
        <w:rPr>
          <w:sz w:val="20"/>
        </w:rPr>
        <w:t>be</w:t>
      </w:r>
      <w:r>
        <w:rPr>
          <w:spacing w:val="30"/>
          <w:sz w:val="20"/>
        </w:rPr>
        <w:t> </w:t>
      </w:r>
      <w:r>
        <w:rPr>
          <w:sz w:val="20"/>
        </w:rPr>
        <w:t>completed.</w:t>
      </w:r>
      <w:r>
        <w:rPr>
          <w:spacing w:val="80"/>
          <w:w w:val="150"/>
          <w:sz w:val="20"/>
        </w:rPr>
        <w:t> </w:t>
      </w:r>
      <w:r>
        <w:rPr>
          <w:sz w:val="20"/>
        </w:rPr>
        <w:t>The</w:t>
      </w:r>
      <w:r>
        <w:rPr>
          <w:spacing w:val="31"/>
          <w:sz w:val="20"/>
        </w:rPr>
        <w:t> </w:t>
      </w:r>
      <w:r>
        <w:rPr>
          <w:sz w:val="20"/>
        </w:rPr>
        <w:t>difference</w:t>
      </w:r>
      <w:r>
        <w:rPr>
          <w:spacing w:val="31"/>
          <w:sz w:val="20"/>
        </w:rPr>
        <w:t> </w:t>
      </w:r>
      <w:r>
        <w:rPr>
          <w:sz w:val="20"/>
        </w:rPr>
        <w:t>in annual aggregate costs is $7 million.</w:t>
      </w:r>
    </w:p>
    <w:p>
      <w:pPr>
        <w:spacing w:line="230" w:lineRule="exact" w:before="121"/>
        <w:ind w:left="417" w:right="0" w:firstLine="0"/>
        <w:jc w:val="left"/>
        <w:rPr>
          <w:sz w:val="20"/>
        </w:rPr>
      </w:pPr>
      <w:r>
        <w:rPr>
          <w:sz w:val="20"/>
        </w:rPr>
        <w:t>This</w:t>
      </w:r>
      <w:r>
        <w:rPr>
          <w:spacing w:val="-1"/>
          <w:sz w:val="20"/>
        </w:rPr>
        <w:t> </w:t>
      </w:r>
      <w:r>
        <w:rPr>
          <w:sz w:val="20"/>
        </w:rPr>
        <w:t>aspect</w:t>
      </w:r>
      <w:r>
        <w:rPr>
          <w:spacing w:val="1"/>
          <w:sz w:val="20"/>
        </w:rPr>
        <w:t> </w:t>
      </w:r>
      <w:r>
        <w:rPr>
          <w:sz w:val="20"/>
        </w:rPr>
        <w:t>of the</w:t>
      </w:r>
      <w:r>
        <w:rPr>
          <w:spacing w:val="1"/>
          <w:sz w:val="20"/>
        </w:rPr>
        <w:t> </w:t>
      </w:r>
      <w:r>
        <w:rPr>
          <w:sz w:val="20"/>
        </w:rPr>
        <w:t>impact</w:t>
      </w:r>
      <w:r>
        <w:rPr>
          <w:spacing w:val="1"/>
          <w:sz w:val="20"/>
        </w:rPr>
        <w:t> </w:t>
      </w:r>
      <w:r>
        <w:rPr>
          <w:sz w:val="20"/>
        </w:rPr>
        <w:t>of the</w:t>
      </w:r>
      <w:r>
        <w:rPr>
          <w:spacing w:val="1"/>
          <w:sz w:val="20"/>
        </w:rPr>
        <w:t> </w:t>
      </w:r>
      <w:r>
        <w:rPr>
          <w:sz w:val="20"/>
        </w:rPr>
        <w:t>proposed</w:t>
      </w:r>
      <w:r>
        <w:rPr>
          <w:spacing w:val="1"/>
          <w:sz w:val="20"/>
        </w:rPr>
        <w:t> </w:t>
      </w:r>
      <w:r>
        <w:rPr>
          <w:sz w:val="20"/>
        </w:rPr>
        <w:t>change</w:t>
      </w:r>
      <w:r>
        <w:rPr>
          <w:spacing w:val="2"/>
          <w:sz w:val="20"/>
        </w:rPr>
        <w:t> </w:t>
      </w:r>
      <w:r>
        <w:rPr>
          <w:sz w:val="20"/>
        </w:rPr>
        <w:t>is modeled</w:t>
      </w:r>
      <w:r>
        <w:rPr>
          <w:spacing w:val="1"/>
          <w:sz w:val="20"/>
        </w:rPr>
        <w:t> </w:t>
      </w:r>
      <w:r>
        <w:rPr>
          <w:sz w:val="20"/>
        </w:rPr>
        <w:t>by</w:t>
      </w:r>
      <w:r>
        <w:rPr>
          <w:spacing w:val="1"/>
          <w:sz w:val="20"/>
        </w:rPr>
        <w:t> </w:t>
      </w:r>
      <w:r>
        <w:rPr>
          <w:sz w:val="20"/>
        </w:rPr>
        <w:t>delaying</w:t>
      </w:r>
      <w:r>
        <w:rPr>
          <w:spacing w:val="1"/>
          <w:sz w:val="20"/>
        </w:rPr>
        <w:t> </w:t>
      </w:r>
      <w:r>
        <w:rPr>
          <w:sz w:val="20"/>
        </w:rPr>
        <w:t>these costs (i.e.</w:t>
      </w:r>
      <w:r>
        <w:rPr>
          <w:spacing w:val="2"/>
          <w:sz w:val="20"/>
        </w:rPr>
        <w:t> </w:t>
      </w:r>
      <w:r>
        <w:rPr>
          <w:spacing w:val="-5"/>
          <w:sz w:val="20"/>
        </w:rPr>
        <w:t>the</w:t>
      </w:r>
    </w:p>
    <w:p>
      <w:pPr>
        <w:spacing w:before="0"/>
        <w:ind w:left="417" w:right="811" w:firstLine="0"/>
        <w:jc w:val="left"/>
        <w:rPr>
          <w:rFonts w:ascii="Times New Roman"/>
          <w:sz w:val="20"/>
        </w:rPr>
      </w:pPr>
      <w:r>
        <w:rPr>
          <w:sz w:val="20"/>
        </w:rPr>
        <w:t>$7</w:t>
      </w:r>
      <w:r>
        <w:rPr>
          <w:spacing w:val="28"/>
          <w:sz w:val="20"/>
        </w:rPr>
        <w:t> </w:t>
      </w:r>
      <w:r>
        <w:rPr>
          <w:sz w:val="20"/>
        </w:rPr>
        <w:t>million</w:t>
      </w:r>
      <w:r>
        <w:rPr>
          <w:spacing w:val="28"/>
          <w:sz w:val="20"/>
        </w:rPr>
        <w:t> </w:t>
      </w:r>
      <w:r>
        <w:rPr>
          <w:sz w:val="20"/>
        </w:rPr>
        <w:t>per</w:t>
      </w:r>
      <w:r>
        <w:rPr>
          <w:spacing w:val="28"/>
          <w:sz w:val="20"/>
        </w:rPr>
        <w:t> </w:t>
      </w:r>
      <w:r>
        <w:rPr>
          <w:sz w:val="20"/>
        </w:rPr>
        <w:t>annum</w:t>
      </w:r>
      <w:r>
        <w:rPr>
          <w:spacing w:val="28"/>
          <w:sz w:val="20"/>
        </w:rPr>
        <w:t> </w:t>
      </w:r>
      <w:r>
        <w:rPr>
          <w:sz w:val="20"/>
        </w:rPr>
        <w:t>estimated</w:t>
      </w:r>
      <w:r>
        <w:rPr>
          <w:spacing w:val="28"/>
          <w:sz w:val="20"/>
        </w:rPr>
        <w:t> </w:t>
      </w:r>
      <w:r>
        <w:rPr>
          <w:sz w:val="20"/>
        </w:rPr>
        <w:t>above)</w:t>
      </w:r>
      <w:r>
        <w:rPr>
          <w:spacing w:val="28"/>
          <w:sz w:val="20"/>
        </w:rPr>
        <w:t> </w:t>
      </w:r>
      <w:r>
        <w:rPr>
          <w:sz w:val="20"/>
        </w:rPr>
        <w:t>being</w:t>
      </w:r>
      <w:r>
        <w:rPr>
          <w:spacing w:val="28"/>
          <w:sz w:val="20"/>
        </w:rPr>
        <w:t> </w:t>
      </w:r>
      <w:r>
        <w:rPr>
          <w:sz w:val="20"/>
        </w:rPr>
        <w:t>incurred</w:t>
      </w:r>
      <w:r>
        <w:rPr>
          <w:spacing w:val="28"/>
          <w:sz w:val="20"/>
        </w:rPr>
        <w:t> </w:t>
      </w:r>
      <w:r>
        <w:rPr>
          <w:sz w:val="20"/>
        </w:rPr>
        <w:t>by</w:t>
      </w:r>
      <w:r>
        <w:rPr>
          <w:spacing w:val="28"/>
          <w:sz w:val="20"/>
        </w:rPr>
        <w:t> </w:t>
      </w:r>
      <w:r>
        <w:rPr>
          <w:sz w:val="20"/>
        </w:rPr>
        <w:t>50%</w:t>
      </w:r>
      <w:r>
        <w:rPr>
          <w:spacing w:val="28"/>
          <w:sz w:val="20"/>
        </w:rPr>
        <w:t> </w:t>
      </w:r>
      <w:r>
        <w:rPr>
          <w:sz w:val="20"/>
        </w:rPr>
        <w:t>of</w:t>
      </w:r>
      <w:r>
        <w:rPr>
          <w:spacing w:val="28"/>
          <w:sz w:val="20"/>
        </w:rPr>
        <w:t> </w:t>
      </w:r>
      <w:r>
        <w:rPr>
          <w:sz w:val="20"/>
        </w:rPr>
        <w:t>the</w:t>
      </w:r>
      <w:r>
        <w:rPr>
          <w:spacing w:val="28"/>
          <w:sz w:val="20"/>
        </w:rPr>
        <w:t> </w:t>
      </w:r>
      <w:r>
        <w:rPr>
          <w:sz w:val="20"/>
        </w:rPr>
        <w:t>assumed</w:t>
      </w:r>
      <w:r>
        <w:rPr>
          <w:spacing w:val="28"/>
          <w:sz w:val="20"/>
        </w:rPr>
        <w:t> </w:t>
      </w:r>
      <w:r>
        <w:rPr>
          <w:sz w:val="20"/>
        </w:rPr>
        <w:t>renovation </w:t>
      </w:r>
      <w:r>
        <w:rPr>
          <w:spacing w:val="-2"/>
          <w:sz w:val="20"/>
        </w:rPr>
        <w:t>cycle</w:t>
      </w:r>
      <w:r>
        <w:rPr>
          <w:rFonts w:ascii="Times New Roman"/>
          <w:spacing w:val="-2"/>
          <w:sz w:val="20"/>
        </w:rPr>
        <w:t>.</w:t>
      </w:r>
    </w:p>
    <w:p>
      <w:pPr>
        <w:spacing w:after="0"/>
        <w:jc w:val="left"/>
        <w:rPr>
          <w:rFonts w:ascii="Times New Roman"/>
          <w:sz w:val="20"/>
        </w:rPr>
        <w:sectPr>
          <w:pgSz w:w="11900" w:h="16840"/>
          <w:pgMar w:header="0" w:footer="1130" w:top="1440" w:bottom="1320" w:left="1380" w:right="980"/>
        </w:sectPr>
      </w:pPr>
    </w:p>
    <w:p>
      <w:pPr>
        <w:pStyle w:val="BodyText"/>
        <w:spacing w:before="77"/>
        <w:ind w:left="417" w:right="808"/>
        <w:jc w:val="both"/>
      </w:pPr>
      <w:r>
        <w:rPr/>
        <w:t>to the draft RIS pointed out that this response would not always be</w:t>
      </w:r>
      <w:r>
        <w:rPr>
          <w:spacing w:val="40"/>
        </w:rPr>
        <w:t> </w:t>
      </w:r>
      <w:r>
        <w:rPr/>
        <w:t>practicable. However, this remains an appropriate means of costing the</w:t>
      </w:r>
      <w:r>
        <w:rPr>
          <w:spacing w:val="40"/>
        </w:rPr>
        <w:t> </w:t>
      </w:r>
      <w:r>
        <w:rPr/>
        <w:t>impact of the Standards on the lettable area of buildings, from a conceptual </w:t>
      </w:r>
      <w:r>
        <w:rPr>
          <w:spacing w:val="-2"/>
        </w:rPr>
        <w:t>viewpoint.</w:t>
      </w:r>
    </w:p>
    <w:p>
      <w:pPr>
        <w:pStyle w:val="BodyText"/>
        <w:spacing w:before="11"/>
        <w:rPr>
          <w:sz w:val="23"/>
        </w:rPr>
      </w:pPr>
    </w:p>
    <w:p>
      <w:pPr>
        <w:pStyle w:val="BodyText"/>
        <w:ind w:left="417" w:right="807"/>
        <w:jc w:val="both"/>
      </w:pPr>
      <w:r>
        <w:rPr/>
        <w:t>The costs of lost NLA in relation to existing buildings are not included in the above calculations. This asymmetric treatment of these costs is made inevitable by the fact that it is likely to be impractical, in most cases, to add to the size of an existing building in order to offset the lost usable space. Consequently, the costs of lost usable space in renovated buildings must be added to the above cost figures.</w:t>
      </w:r>
    </w:p>
    <w:p>
      <w:pPr>
        <w:pStyle w:val="BodyText"/>
      </w:pPr>
    </w:p>
    <w:p>
      <w:pPr>
        <w:pStyle w:val="BodyText"/>
        <w:ind w:left="417" w:right="806"/>
        <w:jc w:val="both"/>
      </w:pPr>
      <w:r>
        <w:rPr/>
        <w:t>As indicated, it was estimated in the draft RIS that the loss of usable space</w:t>
      </w:r>
      <w:r>
        <w:rPr>
          <w:spacing w:val="40"/>
        </w:rPr>
        <w:t> </w:t>
      </w:r>
      <w:r>
        <w:rPr/>
        <w:t>will average 4% in respect of existing buildings, although the actual loss of space will vary quite substantially between different building types</w:t>
      </w:r>
      <w:r>
        <w:rPr>
          <w:vertAlign w:val="superscript"/>
        </w:rPr>
        <w:t>58</w:t>
      </w:r>
      <w:r>
        <w:rPr>
          <w:vertAlign w:val="baseline"/>
        </w:rPr>
        <w:t>.</w:t>
      </w:r>
      <w:r>
        <w:rPr>
          <w:spacing w:val="40"/>
          <w:vertAlign w:val="baseline"/>
        </w:rPr>
        <w:t> </w:t>
      </w:r>
      <w:r>
        <w:rPr>
          <w:vertAlign w:val="baseline"/>
        </w:rPr>
        <w:t>These can be considered to be equivalent to a loss of 4% in the capital value of the buildings in question</w:t>
      </w:r>
      <w:r>
        <w:rPr>
          <w:vertAlign w:val="superscript"/>
        </w:rPr>
        <w:t>59</w:t>
      </w:r>
      <w:r>
        <w:rPr>
          <w:vertAlign w:val="baseline"/>
        </w:rPr>
        <w:t>.</w:t>
      </w:r>
      <w:r>
        <w:rPr>
          <w:spacing w:val="40"/>
          <w:vertAlign w:val="baseline"/>
        </w:rPr>
        <w:t> </w:t>
      </w:r>
      <w:r>
        <w:rPr>
          <w:vertAlign w:val="baseline"/>
        </w:rPr>
        <w:t>For the purposes of estimation, the value of building upgrade activity undertaken (estimated as $7.8 billion in 2002) is used to represent the capital value of the resulting building works.</w:t>
      </w:r>
      <w:r>
        <w:rPr>
          <w:spacing w:val="80"/>
          <w:vertAlign w:val="baseline"/>
        </w:rPr>
        <w:t> </w:t>
      </w:r>
      <w:r>
        <w:rPr>
          <w:vertAlign w:val="baseline"/>
        </w:rPr>
        <w:t>Thus, the estimated production of 4% in this capital value is equivalent to an additional cost of $312 million.</w:t>
      </w:r>
      <w:r>
        <w:rPr>
          <w:spacing w:val="80"/>
          <w:vertAlign w:val="baseline"/>
        </w:rPr>
        <w:t> </w:t>
      </w:r>
      <w:r>
        <w:rPr>
          <w:vertAlign w:val="baseline"/>
        </w:rPr>
        <w:t>Conceptually, this cost of $312 million is equal to the</w:t>
      </w:r>
      <w:r>
        <w:rPr>
          <w:spacing w:val="40"/>
          <w:vertAlign w:val="baseline"/>
        </w:rPr>
        <w:t> </w:t>
      </w:r>
      <w:r>
        <w:rPr>
          <w:vertAlign w:val="baseline"/>
        </w:rPr>
        <w:t>loss in value of buildings upgraded in the given year, considered over the full life cycle of that building upgrade work.</w:t>
      </w:r>
      <w:r>
        <w:rPr>
          <w:spacing w:val="80"/>
          <w:vertAlign w:val="baseline"/>
        </w:rPr>
        <w:t> </w:t>
      </w:r>
      <w:r>
        <w:rPr>
          <w:vertAlign w:val="baseline"/>
        </w:rPr>
        <w:t>Thus, the cost of $312 million would be incurred in each year.</w:t>
      </w:r>
    </w:p>
    <w:p>
      <w:pPr>
        <w:pStyle w:val="BodyText"/>
      </w:pPr>
    </w:p>
    <w:p>
      <w:pPr>
        <w:pStyle w:val="BodyText"/>
        <w:spacing w:before="1"/>
        <w:ind w:left="417" w:right="808"/>
        <w:jc w:val="both"/>
      </w:pPr>
      <w:r>
        <w:rPr/>
        <w:t>The revisions made to the draft Standards also require that this estimate of</w:t>
      </w:r>
      <w:r>
        <w:rPr>
          <w:spacing w:val="40"/>
        </w:rPr>
        <w:t> </w:t>
      </w:r>
      <w:r>
        <w:rPr/>
        <w:t>the value of lost NLA be revisited.</w:t>
      </w:r>
      <w:r>
        <w:rPr>
          <w:spacing w:val="80"/>
        </w:rPr>
        <w:t> </w:t>
      </w:r>
      <w:r>
        <w:rPr/>
        <w:t>Most of the space-using requirements of the originally proposed Standards have been modified in such a way as to substantially reduce the likely loss of lettable area.</w:t>
      </w:r>
      <w:r>
        <w:rPr>
          <w:spacing w:val="40"/>
        </w:rPr>
        <w:t> </w:t>
      </w:r>
      <w:r>
        <w:rPr/>
        <w:t>However, it must also be noted that several submissions made in response to the draft RIS argued strongly that this initial estimate of NLA was too low.</w:t>
      </w:r>
    </w:p>
    <w:p>
      <w:pPr>
        <w:pStyle w:val="BodyText"/>
        <w:spacing w:before="10"/>
        <w:rPr>
          <w:sz w:val="23"/>
        </w:rPr>
      </w:pPr>
    </w:p>
    <w:p>
      <w:pPr>
        <w:pStyle w:val="BodyText"/>
        <w:ind w:left="417" w:right="808"/>
        <w:jc w:val="both"/>
      </w:pPr>
      <w:r>
        <w:rPr/>
        <w:t>Clearly, any estimates of the size of this cost of item will be extremely imprecise.</w:t>
      </w:r>
      <w:r>
        <w:rPr>
          <w:spacing w:val="40"/>
        </w:rPr>
        <w:t> </w:t>
      </w:r>
      <w:r>
        <w:rPr/>
        <w:t>However, based on comparison of the provisions of the 2008 Premises Standards proposal and those of the initial proposal, the best available expert advice is that a reduction of 50% in the original estimate appears to be justified.</w:t>
      </w:r>
      <w:r>
        <w:rPr>
          <w:spacing w:val="80"/>
        </w:rPr>
        <w:t> </w:t>
      </w:r>
      <w:r>
        <w:rPr/>
        <w:t>Thus, a revised estimate of 2% of lost NLA, applying to building upgrade works, has been adopted for present purposes.</w:t>
      </w:r>
      <w:r>
        <w:rPr>
          <w:spacing w:val="40"/>
        </w:rPr>
        <w:t> </w:t>
      </w:r>
      <w:r>
        <w:rPr/>
        <w:t>This is equivalent to a cost of $156 million per annum. No additional costings have been included as a result of the 2009 amendment proposal.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rect style="position:absolute;margin-left:89.879997pt;margin-top:7.050683pt;width:144pt;height:.6pt;mso-position-horizontal-relative:page;mso-position-vertical-relative:paragraph;z-index:-15705600;mso-wrap-distance-left:0;mso-wrap-distance-right:0" id="docshape54" filled="true" fillcolor="#000000" stroked="false">
            <v:fill type="solid"/>
            <w10:wrap type="topAndBottom"/>
          </v:rect>
        </w:pict>
      </w:r>
    </w:p>
    <w:p>
      <w:pPr>
        <w:pStyle w:val="BodyText"/>
        <w:spacing w:before="1"/>
        <w:rPr>
          <w:sz w:val="8"/>
        </w:rPr>
      </w:pPr>
    </w:p>
    <w:p>
      <w:pPr>
        <w:spacing w:before="130"/>
        <w:ind w:left="417" w:right="805" w:firstLine="0"/>
        <w:jc w:val="both"/>
        <w:rPr>
          <w:sz w:val="20"/>
        </w:rPr>
      </w:pPr>
      <w:r>
        <w:rPr>
          <w:sz w:val="20"/>
          <w:vertAlign w:val="superscript"/>
        </w:rPr>
        <w:t>58</w:t>
      </w:r>
      <w:r>
        <w:rPr>
          <w:sz w:val="20"/>
          <w:vertAlign w:val="baseline"/>
        </w:rPr>
        <w:t> This variability necessarily means that there is considerable imprecision attached to the estimated costs of lost space, as applied to existing buildings.</w:t>
      </w:r>
      <w:r>
        <w:rPr>
          <w:spacing w:val="40"/>
          <w:sz w:val="20"/>
          <w:vertAlign w:val="baseline"/>
        </w:rPr>
        <w:t> </w:t>
      </w:r>
      <w:r>
        <w:rPr>
          <w:sz w:val="20"/>
          <w:vertAlign w:val="baseline"/>
        </w:rPr>
        <w:t>The 4% figure represents a professional quantity surveyor’s judgement as to the likely average impact, taking into</w:t>
      </w:r>
      <w:r>
        <w:rPr>
          <w:spacing w:val="80"/>
          <w:sz w:val="20"/>
          <w:vertAlign w:val="baseline"/>
        </w:rPr>
        <w:t> </w:t>
      </w:r>
      <w:r>
        <w:rPr>
          <w:sz w:val="20"/>
          <w:vertAlign w:val="baseline"/>
        </w:rPr>
        <w:t>account the profile of renovation and alteration activity.</w:t>
      </w:r>
    </w:p>
    <w:p>
      <w:pPr>
        <w:spacing w:before="0"/>
        <w:ind w:left="417" w:right="808" w:hanging="1"/>
        <w:jc w:val="both"/>
        <w:rPr>
          <w:sz w:val="20"/>
        </w:rPr>
      </w:pPr>
      <w:r>
        <w:rPr>
          <w:sz w:val="20"/>
          <w:vertAlign w:val="superscript"/>
        </w:rPr>
        <w:t>59</w:t>
      </w:r>
      <w:r>
        <w:rPr>
          <w:sz w:val="20"/>
          <w:vertAlign w:val="baseline"/>
        </w:rPr>
        <w:t> Note that this refers only to those parts of a building that are subject to upgrade works.</w:t>
      </w:r>
      <w:r>
        <w:rPr>
          <w:spacing w:val="80"/>
          <w:sz w:val="20"/>
          <w:vertAlign w:val="baseline"/>
        </w:rPr>
        <w:t> </w:t>
      </w:r>
      <w:r>
        <w:rPr>
          <w:sz w:val="20"/>
          <w:vertAlign w:val="baseline"/>
        </w:rPr>
        <w:t>That is, if 2 floors of a 20 storey building are upgraded, the loss in NLA will be 4% of the area contained by those two floors.</w:t>
      </w:r>
      <w:r>
        <w:rPr>
          <w:spacing w:val="40"/>
          <w:sz w:val="20"/>
          <w:vertAlign w:val="baseline"/>
        </w:rPr>
        <w:t> </w:t>
      </w:r>
      <w:r>
        <w:rPr>
          <w:sz w:val="20"/>
          <w:vertAlign w:val="baseline"/>
        </w:rPr>
        <w:t>The following calculations are based on this approach.</w:t>
      </w:r>
    </w:p>
    <w:p>
      <w:pPr>
        <w:spacing w:after="0"/>
        <w:jc w:val="both"/>
        <w:rPr>
          <w:sz w:val="20"/>
        </w:rPr>
        <w:sectPr>
          <w:pgSz w:w="11900" w:h="16840"/>
          <w:pgMar w:header="0" w:footer="1130" w:top="1360" w:bottom="1320" w:left="1380" w:right="980"/>
        </w:sectPr>
      </w:pPr>
    </w:p>
    <w:p>
      <w:pPr>
        <w:pStyle w:val="Heading3"/>
        <w:numPr>
          <w:ilvl w:val="2"/>
          <w:numId w:val="27"/>
        </w:numPr>
        <w:tabs>
          <w:tab w:pos="1138" w:val="left" w:leader="none"/>
        </w:tabs>
        <w:spacing w:line="297" w:lineRule="exact" w:before="79" w:after="0"/>
        <w:ind w:left="1137" w:right="0" w:hanging="721"/>
        <w:jc w:val="both"/>
      </w:pPr>
      <w:bookmarkStart w:name="8.4.6 Summary of direct cost impacts" w:id="82"/>
      <w:bookmarkEnd w:id="82"/>
      <w:r>
        <w:rPr/>
        <w:t>Summar</w:t>
      </w:r>
      <w:r>
        <w:rPr/>
        <w:t>y</w:t>
      </w:r>
      <w:r>
        <w:rPr>
          <w:spacing w:val="-7"/>
        </w:rPr>
        <w:t> </w:t>
      </w:r>
      <w:r>
        <w:rPr/>
        <w:t>of</w:t>
      </w:r>
      <w:r>
        <w:rPr>
          <w:spacing w:val="-5"/>
        </w:rPr>
        <w:t> </w:t>
      </w:r>
      <w:r>
        <w:rPr/>
        <w:t>direct</w:t>
      </w:r>
      <w:r>
        <w:rPr>
          <w:spacing w:val="-5"/>
        </w:rPr>
        <w:t> </w:t>
      </w:r>
      <w:r>
        <w:rPr/>
        <w:t>cost</w:t>
      </w:r>
      <w:r>
        <w:rPr>
          <w:spacing w:val="-4"/>
        </w:rPr>
        <w:t> </w:t>
      </w:r>
      <w:r>
        <w:rPr>
          <w:spacing w:val="-2"/>
        </w:rPr>
        <w:t>impacts</w:t>
      </w:r>
    </w:p>
    <w:p>
      <w:pPr>
        <w:pStyle w:val="BodyText"/>
        <w:ind w:left="417" w:right="808"/>
        <w:jc w:val="both"/>
      </w:pPr>
      <w:r>
        <w:rPr/>
        <w:t>The preceding sections have identified probable building cost increases due</w:t>
      </w:r>
      <w:r>
        <w:rPr>
          <w:spacing w:val="40"/>
        </w:rPr>
        <w:t> </w:t>
      </w:r>
      <w:r>
        <w:rPr/>
        <w:t>to the implementation of the Premises Standards of $620 million annually</w:t>
      </w:r>
      <w:r>
        <w:rPr>
          <w:vertAlign w:val="superscript"/>
        </w:rPr>
        <w:t>60</w:t>
      </w:r>
      <w:r>
        <w:rPr>
          <w:vertAlign w:val="baseline"/>
        </w:rPr>
        <w:t>. This comprises incremental costs in respect of new building works of $159 million, incremental costs in respect of building upgrades of $305 million and costs of lost NLA in respect of building upgrade works of a further $156</w:t>
      </w:r>
      <w:r>
        <w:rPr>
          <w:spacing w:val="40"/>
          <w:vertAlign w:val="baseline"/>
        </w:rPr>
        <w:t> </w:t>
      </w:r>
      <w:r>
        <w:rPr>
          <w:vertAlign w:val="baseline"/>
        </w:rPr>
        <w:t>million.</w:t>
      </w:r>
      <w:r>
        <w:rPr>
          <w:spacing w:val="40"/>
          <w:vertAlign w:val="baseline"/>
        </w:rPr>
        <w:t> </w:t>
      </w:r>
      <w:r>
        <w:rPr>
          <w:vertAlign w:val="baseline"/>
        </w:rPr>
        <w:t>In proportionate terms, these costs are equivalent to an increase of 1.1% in construction costs for new buildings and 4.0% in construction costs</w:t>
      </w:r>
      <w:r>
        <w:rPr>
          <w:spacing w:val="40"/>
          <w:vertAlign w:val="baseline"/>
        </w:rPr>
        <w:t> </w:t>
      </w:r>
      <w:r>
        <w:rPr>
          <w:vertAlign w:val="baseline"/>
        </w:rPr>
        <w:t>for building upgrade works.</w:t>
      </w:r>
      <w:r>
        <w:rPr>
          <w:spacing w:val="40"/>
          <w:vertAlign w:val="baseline"/>
        </w:rPr>
        <w:t> </w:t>
      </w:r>
      <w:r>
        <w:rPr>
          <w:vertAlign w:val="baseline"/>
        </w:rPr>
        <w:t>Net present value costs are as follows:</w:t>
      </w:r>
    </w:p>
    <w:p>
      <w:pPr>
        <w:pStyle w:val="BodyText"/>
      </w:pPr>
    </w:p>
    <w:p>
      <w:pPr>
        <w:pStyle w:val="Heading4"/>
        <w:ind w:left="417"/>
        <w:rPr>
          <w:u w:val="none"/>
        </w:rPr>
      </w:pPr>
      <w:r>
        <w:rPr>
          <w:u w:val="single"/>
        </w:rPr>
        <w:t>Table</w:t>
      </w:r>
      <w:r>
        <w:rPr>
          <w:spacing w:val="-10"/>
          <w:u w:val="single"/>
        </w:rPr>
        <w:t> </w:t>
      </w:r>
      <w:r>
        <w:rPr>
          <w:u w:val="single"/>
        </w:rPr>
        <w:t>9:</w:t>
      </w:r>
      <w:r>
        <w:rPr>
          <w:spacing w:val="-6"/>
          <w:u w:val="single"/>
        </w:rPr>
        <w:t> </w:t>
      </w:r>
      <w:r>
        <w:rPr>
          <w:u w:val="single"/>
        </w:rPr>
        <w:t>NPV</w:t>
      </w:r>
      <w:r>
        <w:rPr>
          <w:spacing w:val="-6"/>
          <w:u w:val="single"/>
        </w:rPr>
        <w:t> </w:t>
      </w:r>
      <w:r>
        <w:rPr>
          <w:u w:val="single"/>
        </w:rPr>
        <w:t>Cost</w:t>
      </w:r>
      <w:r>
        <w:rPr>
          <w:spacing w:val="-6"/>
          <w:u w:val="single"/>
        </w:rPr>
        <w:t> </w:t>
      </w:r>
      <w:r>
        <w:rPr>
          <w:u w:val="single"/>
        </w:rPr>
        <w:t>of</w:t>
      </w:r>
      <w:r>
        <w:rPr>
          <w:spacing w:val="-6"/>
          <w:u w:val="single"/>
        </w:rPr>
        <w:t> </w:t>
      </w:r>
      <w:r>
        <w:rPr>
          <w:u w:val="single"/>
        </w:rPr>
        <w:t>Proposals</w:t>
      </w:r>
      <w:r>
        <w:rPr>
          <w:spacing w:val="-6"/>
          <w:u w:val="single"/>
        </w:rPr>
        <w:t> </w:t>
      </w:r>
      <w:r>
        <w:rPr>
          <w:u w:val="single"/>
        </w:rPr>
        <w:t>($billion)</w:t>
      </w:r>
      <w:r>
        <w:rPr>
          <w:spacing w:val="-17"/>
          <w:u w:val="none"/>
        </w:rPr>
        <w:t> </w:t>
      </w:r>
      <w:r>
        <w:rPr>
          <w:spacing w:val="-5"/>
          <w:u w:val="single"/>
          <w:vertAlign w:val="superscript"/>
        </w:rPr>
        <w:t>61</w:t>
      </w:r>
    </w:p>
    <w:p>
      <w:pPr>
        <w:pStyle w:val="BodyText"/>
        <w:spacing w:before="7"/>
        <w:rPr>
          <w:b/>
          <w:sz w:val="10"/>
        </w:rPr>
      </w:pPr>
    </w:p>
    <w:tbl>
      <w:tblPr>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2698"/>
        <w:gridCol w:w="2843"/>
      </w:tblGrid>
      <w:tr>
        <w:trPr>
          <w:trHeight w:val="275" w:hRule="atLeast"/>
        </w:trPr>
        <w:tc>
          <w:tcPr>
            <w:tcW w:w="2988" w:type="dxa"/>
          </w:tcPr>
          <w:p>
            <w:pPr>
              <w:pStyle w:val="TableParagraph"/>
              <w:rPr>
                <w:rFonts w:ascii="Times New Roman"/>
                <w:sz w:val="20"/>
              </w:rPr>
            </w:pPr>
          </w:p>
        </w:tc>
        <w:tc>
          <w:tcPr>
            <w:tcW w:w="2698" w:type="dxa"/>
          </w:tcPr>
          <w:p>
            <w:pPr>
              <w:pStyle w:val="TableParagraph"/>
              <w:spacing w:line="256" w:lineRule="exact"/>
              <w:ind w:left="453"/>
              <w:rPr>
                <w:sz w:val="24"/>
              </w:rPr>
            </w:pPr>
            <w:r>
              <w:rPr>
                <w:sz w:val="24"/>
              </w:rPr>
              <w:t>7%</w:t>
            </w:r>
            <w:r>
              <w:rPr>
                <w:spacing w:val="-2"/>
                <w:sz w:val="24"/>
              </w:rPr>
              <w:t> </w:t>
            </w:r>
            <w:r>
              <w:rPr>
                <w:sz w:val="24"/>
              </w:rPr>
              <w:t>discount</w:t>
            </w:r>
            <w:r>
              <w:rPr>
                <w:spacing w:val="-2"/>
                <w:sz w:val="24"/>
              </w:rPr>
              <w:t> </w:t>
            </w:r>
            <w:r>
              <w:rPr>
                <w:spacing w:val="-4"/>
                <w:sz w:val="24"/>
              </w:rPr>
              <w:t>rate</w:t>
            </w:r>
          </w:p>
        </w:tc>
        <w:tc>
          <w:tcPr>
            <w:tcW w:w="2843" w:type="dxa"/>
          </w:tcPr>
          <w:p>
            <w:pPr>
              <w:pStyle w:val="TableParagraph"/>
              <w:spacing w:line="256" w:lineRule="exact"/>
              <w:ind w:left="526"/>
              <w:rPr>
                <w:sz w:val="24"/>
              </w:rPr>
            </w:pPr>
            <w:r>
              <w:rPr>
                <w:sz w:val="24"/>
              </w:rPr>
              <w:t>4%</w:t>
            </w:r>
            <w:r>
              <w:rPr>
                <w:spacing w:val="-2"/>
                <w:sz w:val="24"/>
              </w:rPr>
              <w:t> </w:t>
            </w:r>
            <w:r>
              <w:rPr>
                <w:sz w:val="24"/>
              </w:rPr>
              <w:t>discount</w:t>
            </w:r>
            <w:r>
              <w:rPr>
                <w:spacing w:val="-2"/>
                <w:sz w:val="24"/>
              </w:rPr>
              <w:t> </w:t>
            </w:r>
            <w:r>
              <w:rPr>
                <w:spacing w:val="-4"/>
                <w:sz w:val="24"/>
              </w:rPr>
              <w:t>rate</w:t>
            </w:r>
          </w:p>
        </w:tc>
      </w:tr>
      <w:tr>
        <w:trPr>
          <w:trHeight w:val="276" w:hRule="atLeast"/>
        </w:trPr>
        <w:tc>
          <w:tcPr>
            <w:tcW w:w="2988" w:type="dxa"/>
          </w:tcPr>
          <w:p>
            <w:pPr>
              <w:pStyle w:val="TableParagraph"/>
              <w:spacing w:line="257" w:lineRule="exact"/>
              <w:ind w:left="107"/>
              <w:rPr>
                <w:sz w:val="24"/>
              </w:rPr>
            </w:pPr>
            <w:r>
              <w:rPr>
                <w:sz w:val="24"/>
              </w:rPr>
              <w:t>New</w:t>
            </w:r>
            <w:r>
              <w:rPr>
                <w:spacing w:val="-8"/>
                <w:sz w:val="24"/>
              </w:rPr>
              <w:t> </w:t>
            </w:r>
            <w:r>
              <w:rPr>
                <w:spacing w:val="-2"/>
                <w:sz w:val="24"/>
              </w:rPr>
              <w:t>buildings</w:t>
            </w:r>
          </w:p>
        </w:tc>
        <w:tc>
          <w:tcPr>
            <w:tcW w:w="2698" w:type="dxa"/>
          </w:tcPr>
          <w:p>
            <w:pPr>
              <w:pStyle w:val="TableParagraph"/>
              <w:spacing w:line="257" w:lineRule="exact"/>
              <w:ind w:right="96"/>
              <w:jc w:val="right"/>
              <w:rPr>
                <w:sz w:val="24"/>
              </w:rPr>
            </w:pPr>
            <w:r>
              <w:rPr>
                <w:spacing w:val="-5"/>
                <w:sz w:val="24"/>
              </w:rPr>
              <w:t>2.0</w:t>
            </w:r>
          </w:p>
        </w:tc>
        <w:tc>
          <w:tcPr>
            <w:tcW w:w="2843" w:type="dxa"/>
          </w:tcPr>
          <w:p>
            <w:pPr>
              <w:pStyle w:val="TableParagraph"/>
              <w:spacing w:line="257" w:lineRule="exact"/>
              <w:ind w:right="97"/>
              <w:jc w:val="right"/>
              <w:rPr>
                <w:sz w:val="24"/>
              </w:rPr>
            </w:pPr>
            <w:r>
              <w:rPr>
                <w:spacing w:val="-5"/>
                <w:sz w:val="24"/>
              </w:rPr>
              <w:t>2.7</w:t>
            </w:r>
          </w:p>
        </w:tc>
      </w:tr>
      <w:tr>
        <w:trPr>
          <w:trHeight w:val="275" w:hRule="atLeast"/>
        </w:trPr>
        <w:tc>
          <w:tcPr>
            <w:tcW w:w="2988" w:type="dxa"/>
          </w:tcPr>
          <w:p>
            <w:pPr>
              <w:pStyle w:val="TableParagraph"/>
              <w:spacing w:line="256" w:lineRule="exact"/>
              <w:ind w:left="107"/>
              <w:rPr>
                <w:sz w:val="24"/>
              </w:rPr>
            </w:pPr>
            <w:r>
              <w:rPr>
                <w:sz w:val="24"/>
              </w:rPr>
              <w:t>Alterations</w:t>
            </w:r>
            <w:r>
              <w:rPr>
                <w:spacing w:val="-1"/>
                <w:sz w:val="24"/>
              </w:rPr>
              <w:t> </w:t>
            </w:r>
            <w:r>
              <w:rPr>
                <w:sz w:val="24"/>
              </w:rPr>
              <w:t>and</w:t>
            </w:r>
            <w:r>
              <w:rPr>
                <w:spacing w:val="-1"/>
                <w:sz w:val="24"/>
              </w:rPr>
              <w:t> </w:t>
            </w:r>
            <w:r>
              <w:rPr>
                <w:spacing w:val="-2"/>
                <w:sz w:val="24"/>
              </w:rPr>
              <w:t>additions</w:t>
            </w:r>
          </w:p>
        </w:tc>
        <w:tc>
          <w:tcPr>
            <w:tcW w:w="2698" w:type="dxa"/>
          </w:tcPr>
          <w:p>
            <w:pPr>
              <w:pStyle w:val="TableParagraph"/>
              <w:spacing w:line="256" w:lineRule="exact"/>
              <w:ind w:right="95"/>
              <w:jc w:val="right"/>
              <w:rPr>
                <w:sz w:val="24"/>
              </w:rPr>
            </w:pPr>
            <w:r>
              <w:rPr>
                <w:spacing w:val="-5"/>
                <w:sz w:val="24"/>
              </w:rPr>
              <w:t>2.6</w:t>
            </w:r>
          </w:p>
        </w:tc>
        <w:tc>
          <w:tcPr>
            <w:tcW w:w="2843" w:type="dxa"/>
          </w:tcPr>
          <w:p>
            <w:pPr>
              <w:pStyle w:val="TableParagraph"/>
              <w:spacing w:line="256" w:lineRule="exact"/>
              <w:ind w:right="96"/>
              <w:jc w:val="right"/>
              <w:rPr>
                <w:sz w:val="24"/>
              </w:rPr>
            </w:pPr>
            <w:r>
              <w:rPr>
                <w:spacing w:val="-5"/>
                <w:sz w:val="24"/>
              </w:rPr>
              <w:t>3.2</w:t>
            </w:r>
          </w:p>
        </w:tc>
      </w:tr>
      <w:tr>
        <w:trPr>
          <w:trHeight w:val="275" w:hRule="atLeast"/>
        </w:trPr>
        <w:tc>
          <w:tcPr>
            <w:tcW w:w="2988" w:type="dxa"/>
          </w:tcPr>
          <w:p>
            <w:pPr>
              <w:pStyle w:val="TableParagraph"/>
              <w:spacing w:line="256" w:lineRule="exact"/>
              <w:ind w:left="107"/>
              <w:rPr>
                <w:sz w:val="24"/>
              </w:rPr>
            </w:pPr>
            <w:r>
              <w:rPr>
                <w:sz w:val="24"/>
              </w:rPr>
              <w:t>Loss</w:t>
            </w:r>
            <w:r>
              <w:rPr>
                <w:spacing w:val="-8"/>
                <w:sz w:val="24"/>
              </w:rPr>
              <w:t> </w:t>
            </w:r>
            <w:r>
              <w:rPr>
                <w:sz w:val="24"/>
              </w:rPr>
              <w:t>of</w:t>
            </w:r>
            <w:r>
              <w:rPr>
                <w:spacing w:val="-8"/>
                <w:sz w:val="24"/>
              </w:rPr>
              <w:t> </w:t>
            </w:r>
            <w:r>
              <w:rPr>
                <w:sz w:val="24"/>
              </w:rPr>
              <w:t>space</w:t>
            </w:r>
            <w:r>
              <w:rPr>
                <w:spacing w:val="-7"/>
                <w:sz w:val="24"/>
              </w:rPr>
              <w:t> </w:t>
            </w:r>
            <w:r>
              <w:rPr>
                <w:sz w:val="24"/>
              </w:rPr>
              <w:t>and</w:t>
            </w:r>
            <w:r>
              <w:rPr>
                <w:spacing w:val="-8"/>
                <w:sz w:val="24"/>
              </w:rPr>
              <w:t> </w:t>
            </w:r>
            <w:r>
              <w:rPr>
                <w:spacing w:val="-4"/>
                <w:sz w:val="24"/>
              </w:rPr>
              <w:t>misc</w:t>
            </w:r>
          </w:p>
        </w:tc>
        <w:tc>
          <w:tcPr>
            <w:tcW w:w="2698" w:type="dxa"/>
          </w:tcPr>
          <w:p>
            <w:pPr>
              <w:pStyle w:val="TableParagraph"/>
              <w:spacing w:line="256" w:lineRule="exact"/>
              <w:ind w:right="95"/>
              <w:jc w:val="right"/>
              <w:rPr>
                <w:sz w:val="24"/>
              </w:rPr>
            </w:pPr>
            <w:r>
              <w:rPr>
                <w:spacing w:val="-5"/>
                <w:sz w:val="24"/>
              </w:rPr>
              <w:t>2.3</w:t>
            </w:r>
          </w:p>
        </w:tc>
        <w:tc>
          <w:tcPr>
            <w:tcW w:w="2843" w:type="dxa"/>
          </w:tcPr>
          <w:p>
            <w:pPr>
              <w:pStyle w:val="TableParagraph"/>
              <w:spacing w:line="256" w:lineRule="exact"/>
              <w:ind w:right="96"/>
              <w:jc w:val="right"/>
              <w:rPr>
                <w:sz w:val="24"/>
              </w:rPr>
            </w:pPr>
            <w:r>
              <w:rPr>
                <w:spacing w:val="-5"/>
                <w:sz w:val="24"/>
              </w:rPr>
              <w:t>3.2</w:t>
            </w:r>
          </w:p>
        </w:tc>
      </w:tr>
      <w:tr>
        <w:trPr>
          <w:trHeight w:val="276" w:hRule="atLeast"/>
        </w:trPr>
        <w:tc>
          <w:tcPr>
            <w:tcW w:w="2988" w:type="dxa"/>
          </w:tcPr>
          <w:p>
            <w:pPr>
              <w:pStyle w:val="TableParagraph"/>
              <w:spacing w:line="257" w:lineRule="exact"/>
              <w:ind w:left="107"/>
              <w:rPr>
                <w:sz w:val="24"/>
              </w:rPr>
            </w:pPr>
            <w:r>
              <w:rPr>
                <w:spacing w:val="-2"/>
                <w:sz w:val="24"/>
              </w:rPr>
              <w:t>Total</w:t>
            </w:r>
          </w:p>
        </w:tc>
        <w:tc>
          <w:tcPr>
            <w:tcW w:w="2698" w:type="dxa"/>
          </w:tcPr>
          <w:p>
            <w:pPr>
              <w:pStyle w:val="TableParagraph"/>
              <w:spacing w:line="257" w:lineRule="exact"/>
              <w:ind w:right="95"/>
              <w:jc w:val="right"/>
              <w:rPr>
                <w:sz w:val="24"/>
              </w:rPr>
            </w:pPr>
            <w:r>
              <w:rPr>
                <w:spacing w:val="-5"/>
                <w:sz w:val="24"/>
              </w:rPr>
              <w:t>6.9</w:t>
            </w:r>
          </w:p>
        </w:tc>
        <w:tc>
          <w:tcPr>
            <w:tcW w:w="2843" w:type="dxa"/>
          </w:tcPr>
          <w:p>
            <w:pPr>
              <w:pStyle w:val="TableParagraph"/>
              <w:spacing w:line="257" w:lineRule="exact"/>
              <w:ind w:right="96"/>
              <w:jc w:val="right"/>
              <w:rPr>
                <w:sz w:val="24"/>
              </w:rPr>
            </w:pPr>
            <w:r>
              <w:rPr>
                <w:spacing w:val="-5"/>
                <w:sz w:val="24"/>
              </w:rPr>
              <w:t>9.1</w:t>
            </w:r>
          </w:p>
        </w:tc>
      </w:tr>
    </w:tbl>
    <w:p>
      <w:pPr>
        <w:pStyle w:val="BodyText"/>
        <w:spacing w:before="11"/>
        <w:rPr>
          <w:b/>
          <w:sz w:val="23"/>
        </w:rPr>
      </w:pPr>
    </w:p>
    <w:p>
      <w:pPr>
        <w:pStyle w:val="BodyText"/>
        <w:ind w:left="417" w:right="810"/>
        <w:jc w:val="both"/>
      </w:pPr>
      <w:r>
        <w:rPr/>
        <w:t>Loss of space and other costs could be allocated to the new and alterations category pro rata.</w:t>
      </w:r>
    </w:p>
    <w:p>
      <w:pPr>
        <w:pStyle w:val="BodyText"/>
      </w:pPr>
    </w:p>
    <w:p>
      <w:pPr>
        <w:pStyle w:val="BodyText"/>
        <w:ind w:left="417" w:right="807"/>
        <w:jc w:val="both"/>
      </w:pPr>
      <w:r>
        <w:rPr/>
        <w:t>These costs clearly remain substantial.</w:t>
      </w:r>
      <w:r>
        <w:rPr>
          <w:spacing w:val="40"/>
        </w:rPr>
        <w:t> </w:t>
      </w:r>
      <w:r>
        <w:rPr/>
        <w:t>However, they represent a very significant reduction in the estimated costs of the original Premises Standards proposal.</w:t>
      </w:r>
      <w:r>
        <w:rPr>
          <w:spacing w:val="40"/>
        </w:rPr>
        <w:t> </w:t>
      </w:r>
      <w:r>
        <w:rPr/>
        <w:t>Those</w:t>
      </w:r>
      <w:r>
        <w:rPr>
          <w:spacing w:val="-1"/>
        </w:rPr>
        <w:t> </w:t>
      </w:r>
      <w:r>
        <w:rPr/>
        <w:t>costs</w:t>
      </w:r>
      <w:r>
        <w:rPr>
          <w:spacing w:val="-1"/>
        </w:rPr>
        <w:t> </w:t>
      </w:r>
      <w:r>
        <w:rPr/>
        <w:t>totalled</w:t>
      </w:r>
      <w:r>
        <w:rPr>
          <w:spacing w:val="-1"/>
        </w:rPr>
        <w:t> </w:t>
      </w:r>
      <w:r>
        <w:rPr/>
        <w:t>approximately</w:t>
      </w:r>
      <w:r>
        <w:rPr>
          <w:spacing w:val="-2"/>
        </w:rPr>
        <w:t> </w:t>
      </w:r>
      <w:r>
        <w:rPr/>
        <w:t>$1.8</w:t>
      </w:r>
      <w:r>
        <w:rPr>
          <w:spacing w:val="-1"/>
        </w:rPr>
        <w:t> </w:t>
      </w:r>
      <w:r>
        <w:rPr/>
        <w:t>billion</w:t>
      </w:r>
      <w:r>
        <w:rPr>
          <w:spacing w:val="-2"/>
        </w:rPr>
        <w:t> </w:t>
      </w:r>
      <w:r>
        <w:rPr/>
        <w:t>annually,</w:t>
      </w:r>
      <w:r>
        <w:rPr>
          <w:spacing w:val="-2"/>
        </w:rPr>
        <w:t> </w:t>
      </w:r>
      <w:r>
        <w:rPr/>
        <w:t>comprising</w:t>
      </w:r>
    </w:p>
    <w:p>
      <w:pPr>
        <w:pStyle w:val="BodyText"/>
        <w:ind w:left="417" w:right="808"/>
        <w:jc w:val="both"/>
      </w:pPr>
      <w:r>
        <w:rPr/>
        <w:t>$694 million in cost increases in relation to new buildings, $800 million of cost increases in relation to building upgrade works and $312 million in respect of the cost of NLA in relation to building upgrades.</w:t>
      </w:r>
      <w:r>
        <w:rPr>
          <w:spacing w:val="40"/>
        </w:rPr>
        <w:t> </w:t>
      </w:r>
      <w:r>
        <w:rPr/>
        <w:t>These costs represented a 4.6% increase</w:t>
      </w:r>
      <w:r>
        <w:rPr>
          <w:spacing w:val="-1"/>
        </w:rPr>
        <w:t> </w:t>
      </w:r>
      <w:r>
        <w:rPr/>
        <w:t>in</w:t>
      </w:r>
      <w:r>
        <w:rPr>
          <w:spacing w:val="-1"/>
        </w:rPr>
        <w:t> </w:t>
      </w:r>
      <w:r>
        <w:rPr/>
        <w:t>construction costs for new</w:t>
      </w:r>
      <w:r>
        <w:rPr>
          <w:spacing w:val="-1"/>
        </w:rPr>
        <w:t> </w:t>
      </w:r>
      <w:r>
        <w:rPr/>
        <w:t>buildings</w:t>
      </w:r>
      <w:r>
        <w:rPr>
          <w:spacing w:val="-1"/>
        </w:rPr>
        <w:t> </w:t>
      </w:r>
      <w:r>
        <w:rPr/>
        <w:t>and</w:t>
      </w:r>
      <w:r>
        <w:rPr>
          <w:spacing w:val="-1"/>
        </w:rPr>
        <w:t> </w:t>
      </w:r>
      <w:r>
        <w:rPr/>
        <w:t>a 14.3% increase</w:t>
      </w:r>
      <w:r>
        <w:rPr>
          <w:spacing w:val="-1"/>
        </w:rPr>
        <w:t> </w:t>
      </w:r>
      <w:r>
        <w:rPr/>
        <w:t>in construction costs for building upgrades.</w:t>
      </w:r>
    </w:p>
    <w:p>
      <w:pPr>
        <w:pStyle w:val="BodyText"/>
      </w:pPr>
    </w:p>
    <w:p>
      <w:pPr>
        <w:pStyle w:val="BodyText"/>
        <w:ind w:left="417" w:right="808"/>
        <w:jc w:val="both"/>
      </w:pPr>
      <w:r>
        <w:rPr/>
        <w:t>These substantial reductions in the expected cost of applying the Premises Standards arise from the inclusion of important exemption provisions in relation to some small buildings and a range of reductions in the degree of stringency of specific provisions.</w:t>
      </w:r>
    </w:p>
    <w:p>
      <w:pPr>
        <w:pStyle w:val="BodyText"/>
      </w:pPr>
    </w:p>
    <w:p>
      <w:pPr>
        <w:pStyle w:val="BodyText"/>
        <w:ind w:left="417" w:right="809"/>
        <w:jc w:val="both"/>
      </w:pPr>
      <w:r>
        <w:rPr/>
        <w:t>As noted in the draft RIS, costs in relation to new buildings would be reduced to the extent that current practice is to provide a greater degree of access</w:t>
      </w:r>
      <w:r>
        <w:rPr>
          <w:spacing w:val="40"/>
        </w:rPr>
        <w:t> </w:t>
      </w:r>
      <w:r>
        <w:rPr/>
        <w:t>than the existing BCA requirements – whether because of concern to ensure compliance with the DDA or for other reasons.</w:t>
      </w:r>
    </w:p>
    <w:p>
      <w:pPr>
        <w:pStyle w:val="BodyText"/>
        <w:spacing w:before="11"/>
        <w:rPr>
          <w:sz w:val="23"/>
        </w:rPr>
      </w:pPr>
    </w:p>
    <w:p>
      <w:pPr>
        <w:pStyle w:val="BodyText"/>
        <w:ind w:left="417" w:right="807"/>
        <w:jc w:val="both"/>
      </w:pPr>
      <w:r>
        <w:rPr/>
        <w:t>A number of important qualifications must be made in relation to these estimates. In particular, the problems encountered in translating the</w:t>
      </w:r>
      <w:r>
        <w:rPr>
          <w:spacing w:val="40"/>
        </w:rPr>
        <w:t> </w:t>
      </w:r>
      <w:r>
        <w:rPr/>
        <w:t>categories</w:t>
      </w:r>
      <w:r>
        <w:rPr>
          <w:spacing w:val="13"/>
        </w:rPr>
        <w:t> </w:t>
      </w:r>
      <w:r>
        <w:rPr/>
        <w:t>used</w:t>
      </w:r>
      <w:r>
        <w:rPr>
          <w:spacing w:val="14"/>
        </w:rPr>
        <w:t> </w:t>
      </w:r>
      <w:r>
        <w:rPr/>
        <w:t>in</w:t>
      </w:r>
      <w:r>
        <w:rPr>
          <w:spacing w:val="13"/>
        </w:rPr>
        <w:t> </w:t>
      </w:r>
      <w:r>
        <w:rPr/>
        <w:t>building</w:t>
      </w:r>
      <w:r>
        <w:rPr>
          <w:spacing w:val="14"/>
        </w:rPr>
        <w:t> </w:t>
      </w:r>
      <w:r>
        <w:rPr/>
        <w:t>data</w:t>
      </w:r>
      <w:r>
        <w:rPr>
          <w:spacing w:val="13"/>
        </w:rPr>
        <w:t> </w:t>
      </w:r>
      <w:r>
        <w:rPr/>
        <w:t>collections</w:t>
      </w:r>
      <w:r>
        <w:rPr>
          <w:spacing w:val="14"/>
        </w:rPr>
        <w:t> </w:t>
      </w:r>
      <w:r>
        <w:rPr/>
        <w:t>to</w:t>
      </w:r>
      <w:r>
        <w:rPr>
          <w:spacing w:val="13"/>
        </w:rPr>
        <w:t> </w:t>
      </w:r>
      <w:r>
        <w:rPr/>
        <w:t>the</w:t>
      </w:r>
      <w:r>
        <w:rPr>
          <w:spacing w:val="14"/>
        </w:rPr>
        <w:t> </w:t>
      </w:r>
      <w:r>
        <w:rPr/>
        <w:t>case</w:t>
      </w:r>
      <w:r>
        <w:rPr>
          <w:spacing w:val="13"/>
        </w:rPr>
        <w:t> </w:t>
      </w:r>
      <w:r>
        <w:rPr/>
        <w:t>study</w:t>
      </w:r>
      <w:r>
        <w:rPr>
          <w:spacing w:val="14"/>
        </w:rPr>
        <w:t> </w:t>
      </w:r>
      <w:r>
        <w:rPr/>
        <w:t>structure</w:t>
      </w:r>
      <w:r>
        <w:rPr>
          <w:spacing w:val="14"/>
        </w:rPr>
        <w:t> </w:t>
      </w:r>
      <w:r>
        <w:rPr>
          <w:spacing w:val="-4"/>
        </w:rPr>
        <w:t>mean</w:t>
      </w:r>
    </w:p>
    <w:p>
      <w:pPr>
        <w:pStyle w:val="BodyText"/>
        <w:rPr>
          <w:sz w:val="20"/>
        </w:rPr>
      </w:pPr>
    </w:p>
    <w:p>
      <w:pPr>
        <w:pStyle w:val="BodyText"/>
        <w:rPr>
          <w:sz w:val="20"/>
        </w:rPr>
      </w:pPr>
    </w:p>
    <w:p>
      <w:pPr>
        <w:pStyle w:val="BodyText"/>
        <w:spacing w:before="6"/>
        <w:rPr>
          <w:sz w:val="23"/>
        </w:rPr>
      </w:pPr>
      <w:r>
        <w:rPr/>
        <w:pict>
          <v:rect style="position:absolute;margin-left:89.879997pt;margin-top:14.732325pt;width:144pt;height:.6pt;mso-position-horizontal-relative:page;mso-position-vertical-relative:paragraph;z-index:-15705088;mso-wrap-distance-left:0;mso-wrap-distance-right:0" id="docshape55" filled="true" fillcolor="#000000" stroked="false">
            <v:fill type="solid"/>
            <w10:wrap type="topAndBottom"/>
          </v:rect>
        </w:pict>
      </w:r>
    </w:p>
    <w:p>
      <w:pPr>
        <w:pStyle w:val="BodyText"/>
        <w:spacing w:before="1"/>
        <w:rPr>
          <w:sz w:val="9"/>
        </w:rPr>
      </w:pPr>
    </w:p>
    <w:p>
      <w:pPr>
        <w:spacing w:before="118"/>
        <w:ind w:left="417" w:right="811" w:hanging="1"/>
        <w:jc w:val="left"/>
        <w:rPr>
          <w:sz w:val="20"/>
        </w:rPr>
      </w:pPr>
      <w:r>
        <w:rPr>
          <w:rFonts w:ascii="Times New Roman" w:hAnsi="Times New Roman"/>
          <w:sz w:val="20"/>
          <w:vertAlign w:val="superscript"/>
        </w:rPr>
        <w:t>60</w:t>
      </w:r>
      <w:r>
        <w:rPr>
          <w:rFonts w:ascii="Times New Roman" w:hAnsi="Times New Roman"/>
          <w:spacing w:val="-1"/>
          <w:sz w:val="20"/>
          <w:vertAlign w:val="baseline"/>
        </w:rPr>
        <w:t> </w:t>
      </w:r>
      <w:r>
        <w:rPr>
          <w:sz w:val="20"/>
          <w:vertAlign w:val="baseline"/>
        </w:rPr>
        <w:t>Note</w:t>
      </w:r>
      <w:r>
        <w:rPr>
          <w:spacing w:val="-1"/>
          <w:sz w:val="20"/>
          <w:vertAlign w:val="baseline"/>
        </w:rPr>
        <w:t> </w:t>
      </w:r>
      <w:r>
        <w:rPr>
          <w:sz w:val="20"/>
          <w:vertAlign w:val="baseline"/>
        </w:rPr>
        <w:t>that</w:t>
      </w:r>
      <w:r>
        <w:rPr>
          <w:spacing w:val="-1"/>
          <w:sz w:val="20"/>
          <w:vertAlign w:val="baseline"/>
        </w:rPr>
        <w:t> </w:t>
      </w:r>
      <w:r>
        <w:rPr>
          <w:sz w:val="20"/>
          <w:vertAlign w:val="baseline"/>
        </w:rPr>
        <w:t>this is the</w:t>
      </w:r>
      <w:r>
        <w:rPr>
          <w:spacing w:val="-1"/>
          <w:sz w:val="20"/>
          <w:vertAlign w:val="baseline"/>
        </w:rPr>
        <w:t> </w:t>
      </w:r>
      <w:r>
        <w:rPr>
          <w:sz w:val="20"/>
          <w:vertAlign w:val="baseline"/>
        </w:rPr>
        <w:t>“steady</w:t>
      </w:r>
      <w:r>
        <w:rPr>
          <w:spacing w:val="-1"/>
          <w:sz w:val="20"/>
          <w:vertAlign w:val="baseline"/>
        </w:rPr>
        <w:t> </w:t>
      </w:r>
      <w:r>
        <w:rPr>
          <w:sz w:val="20"/>
          <w:vertAlign w:val="baseline"/>
        </w:rPr>
        <w:t>state”</w:t>
      </w:r>
      <w:r>
        <w:rPr>
          <w:spacing w:val="-1"/>
          <w:sz w:val="20"/>
          <w:vertAlign w:val="baseline"/>
        </w:rPr>
        <w:t> </w:t>
      </w:r>
      <w:r>
        <w:rPr>
          <w:sz w:val="20"/>
          <w:vertAlign w:val="baseline"/>
        </w:rPr>
        <w:t>cost, which</w:t>
      </w:r>
      <w:r>
        <w:rPr>
          <w:spacing w:val="-2"/>
          <w:sz w:val="20"/>
          <w:vertAlign w:val="baseline"/>
        </w:rPr>
        <w:t> </w:t>
      </w:r>
      <w:r>
        <w:rPr>
          <w:sz w:val="20"/>
          <w:vertAlign w:val="baseline"/>
        </w:rPr>
        <w:t>only</w:t>
      </w:r>
      <w:r>
        <w:rPr>
          <w:spacing w:val="-2"/>
          <w:sz w:val="20"/>
          <w:vertAlign w:val="baseline"/>
        </w:rPr>
        <w:t> </w:t>
      </w:r>
      <w:r>
        <w:rPr>
          <w:sz w:val="20"/>
          <w:vertAlign w:val="baseline"/>
        </w:rPr>
        <w:t>comes into</w:t>
      </w:r>
      <w:r>
        <w:rPr>
          <w:spacing w:val="-1"/>
          <w:sz w:val="20"/>
          <w:vertAlign w:val="baseline"/>
        </w:rPr>
        <w:t> </w:t>
      </w:r>
      <w:r>
        <w:rPr>
          <w:sz w:val="20"/>
          <w:vertAlign w:val="baseline"/>
        </w:rPr>
        <w:t>effect</w:t>
      </w:r>
      <w:r>
        <w:rPr>
          <w:spacing w:val="-1"/>
          <w:sz w:val="20"/>
          <w:vertAlign w:val="baseline"/>
        </w:rPr>
        <w:t> </w:t>
      </w:r>
      <w:r>
        <w:rPr>
          <w:sz w:val="20"/>
          <w:vertAlign w:val="baseline"/>
        </w:rPr>
        <w:t>from year</w:t>
      </w:r>
      <w:r>
        <w:rPr>
          <w:spacing w:val="-1"/>
          <w:sz w:val="20"/>
          <w:vertAlign w:val="baseline"/>
        </w:rPr>
        <w:t> </w:t>
      </w:r>
      <w:r>
        <w:rPr>
          <w:sz w:val="20"/>
          <w:vertAlign w:val="baseline"/>
        </w:rPr>
        <w:t>15. This</w:t>
      </w:r>
      <w:r>
        <w:rPr>
          <w:spacing w:val="-1"/>
          <w:sz w:val="20"/>
          <w:vertAlign w:val="baseline"/>
        </w:rPr>
        <w:t> </w:t>
      </w:r>
      <w:r>
        <w:rPr>
          <w:sz w:val="20"/>
          <w:vertAlign w:val="baseline"/>
        </w:rPr>
        <w:t>cost also excludes maintenance costs, which are discussed below.</w:t>
      </w:r>
    </w:p>
    <w:p>
      <w:pPr>
        <w:spacing w:before="120"/>
        <w:ind w:left="417" w:right="811" w:firstLine="0"/>
        <w:jc w:val="left"/>
        <w:rPr>
          <w:sz w:val="20"/>
        </w:rPr>
      </w:pPr>
      <w:r>
        <w:rPr>
          <w:sz w:val="20"/>
          <w:vertAlign w:val="superscript"/>
        </w:rPr>
        <w:t>61</w:t>
      </w:r>
      <w:r>
        <w:rPr>
          <w:spacing w:val="-3"/>
          <w:sz w:val="20"/>
          <w:vertAlign w:val="baseline"/>
        </w:rPr>
        <w:t> </w:t>
      </w:r>
      <w:r>
        <w:rPr>
          <w:sz w:val="20"/>
          <w:vertAlign w:val="baseline"/>
        </w:rPr>
        <w:t>Note</w:t>
      </w:r>
      <w:r>
        <w:rPr>
          <w:spacing w:val="-3"/>
          <w:sz w:val="20"/>
          <w:vertAlign w:val="baseline"/>
        </w:rPr>
        <w:t> </w:t>
      </w:r>
      <w:r>
        <w:rPr>
          <w:sz w:val="20"/>
          <w:vertAlign w:val="baseline"/>
        </w:rPr>
        <w:t>that</w:t>
      </w:r>
      <w:r>
        <w:rPr>
          <w:spacing w:val="-3"/>
          <w:sz w:val="20"/>
          <w:vertAlign w:val="baseline"/>
        </w:rPr>
        <w:t> </w:t>
      </w:r>
      <w:r>
        <w:rPr>
          <w:sz w:val="20"/>
          <w:vertAlign w:val="baseline"/>
        </w:rPr>
        <w:t>these</w:t>
      </w:r>
      <w:r>
        <w:rPr>
          <w:spacing w:val="-3"/>
          <w:sz w:val="20"/>
          <w:vertAlign w:val="baseline"/>
        </w:rPr>
        <w:t> </w:t>
      </w:r>
      <w:r>
        <w:rPr>
          <w:sz w:val="20"/>
          <w:vertAlign w:val="baseline"/>
        </w:rPr>
        <w:t>figures</w:t>
      </w:r>
      <w:r>
        <w:rPr>
          <w:spacing w:val="-4"/>
          <w:sz w:val="20"/>
          <w:vertAlign w:val="baseline"/>
        </w:rPr>
        <w:t> </w:t>
      </w:r>
      <w:r>
        <w:rPr>
          <w:sz w:val="20"/>
          <w:vertAlign w:val="baseline"/>
        </w:rPr>
        <w:t>represent</w:t>
      </w:r>
      <w:r>
        <w:rPr>
          <w:spacing w:val="-3"/>
          <w:sz w:val="20"/>
          <w:vertAlign w:val="baseline"/>
        </w:rPr>
        <w:t> </w:t>
      </w:r>
      <w:r>
        <w:rPr>
          <w:sz w:val="20"/>
          <w:vertAlign w:val="baseline"/>
        </w:rPr>
        <w:t>the</w:t>
      </w:r>
      <w:r>
        <w:rPr>
          <w:spacing w:val="-3"/>
          <w:sz w:val="20"/>
          <w:vertAlign w:val="baseline"/>
        </w:rPr>
        <w:t> </w:t>
      </w:r>
      <w:r>
        <w:rPr>
          <w:sz w:val="20"/>
          <w:vertAlign w:val="baseline"/>
        </w:rPr>
        <w:t>2008</w:t>
      </w:r>
      <w:r>
        <w:rPr>
          <w:spacing w:val="-3"/>
          <w:sz w:val="20"/>
          <w:vertAlign w:val="baseline"/>
        </w:rPr>
        <w:t> </w:t>
      </w:r>
      <w:r>
        <w:rPr>
          <w:sz w:val="20"/>
          <w:vertAlign w:val="baseline"/>
        </w:rPr>
        <w:t>proposal.</w:t>
      </w:r>
      <w:r>
        <w:rPr>
          <w:spacing w:val="-3"/>
          <w:sz w:val="20"/>
          <w:vertAlign w:val="baseline"/>
        </w:rPr>
        <w:t> </w:t>
      </w:r>
      <w:r>
        <w:rPr>
          <w:sz w:val="20"/>
          <w:vertAlign w:val="baseline"/>
        </w:rPr>
        <w:t>Discussion</w:t>
      </w:r>
      <w:r>
        <w:rPr>
          <w:spacing w:val="-3"/>
          <w:sz w:val="20"/>
          <w:vertAlign w:val="baseline"/>
        </w:rPr>
        <w:t> </w:t>
      </w:r>
      <w:r>
        <w:rPr>
          <w:sz w:val="20"/>
          <w:vertAlign w:val="baseline"/>
        </w:rPr>
        <w:t>on</w:t>
      </w:r>
      <w:r>
        <w:rPr>
          <w:spacing w:val="-3"/>
          <w:sz w:val="20"/>
          <w:vertAlign w:val="baseline"/>
        </w:rPr>
        <w:t> </w:t>
      </w:r>
      <w:r>
        <w:rPr>
          <w:sz w:val="20"/>
          <w:vertAlign w:val="baseline"/>
        </w:rPr>
        <w:t>the</w:t>
      </w:r>
      <w:r>
        <w:rPr>
          <w:spacing w:val="-3"/>
          <w:sz w:val="20"/>
          <w:vertAlign w:val="baseline"/>
        </w:rPr>
        <w:t> </w:t>
      </w:r>
      <w:r>
        <w:rPr>
          <w:sz w:val="20"/>
          <w:vertAlign w:val="baseline"/>
        </w:rPr>
        <w:t>2009</w:t>
      </w:r>
      <w:r>
        <w:rPr>
          <w:spacing w:val="-3"/>
          <w:sz w:val="20"/>
          <w:vertAlign w:val="baseline"/>
        </w:rPr>
        <w:t> </w:t>
      </w:r>
      <w:r>
        <w:rPr>
          <w:sz w:val="20"/>
          <w:vertAlign w:val="baseline"/>
        </w:rPr>
        <w:t>amendments and any impact they may have on these outcomes can be found in Appendix D.</w:t>
      </w:r>
    </w:p>
    <w:p>
      <w:pPr>
        <w:spacing w:after="0"/>
        <w:jc w:val="left"/>
        <w:rPr>
          <w:sz w:val="20"/>
        </w:rPr>
        <w:sectPr>
          <w:pgSz w:w="11900" w:h="16840"/>
          <w:pgMar w:header="0" w:footer="1130" w:top="1360" w:bottom="1320" w:left="1380" w:right="980"/>
        </w:sectPr>
      </w:pPr>
    </w:p>
    <w:p>
      <w:pPr>
        <w:pStyle w:val="BodyText"/>
        <w:spacing w:before="77"/>
        <w:ind w:left="417" w:right="810"/>
        <w:jc w:val="both"/>
      </w:pPr>
      <w:bookmarkStart w:name="_bookmark22" w:id="83"/>
      <w:bookmarkEnd w:id="83"/>
      <w:r>
        <w:rPr/>
      </w:r>
      <w:r>
        <w:rPr/>
        <w:t>that some approximations have been made and introduce elements of </w:t>
      </w:r>
      <w:r>
        <w:rPr>
          <w:spacing w:val="-2"/>
        </w:rPr>
        <w:t>uncertainty.</w:t>
      </w:r>
    </w:p>
    <w:p>
      <w:pPr>
        <w:pStyle w:val="BodyText"/>
        <w:spacing w:before="11"/>
        <w:rPr>
          <w:sz w:val="23"/>
        </w:rPr>
      </w:pPr>
    </w:p>
    <w:p>
      <w:pPr>
        <w:pStyle w:val="BodyText"/>
        <w:ind w:left="417" w:right="807"/>
        <w:jc w:val="both"/>
      </w:pPr>
      <w:r>
        <w:rPr/>
        <w:t>An additional direct cost is that related to the maintenance of lifts and other machinery required to be installed.</w:t>
      </w:r>
      <w:r>
        <w:rPr>
          <w:spacing w:val="80"/>
        </w:rPr>
        <w:t> </w:t>
      </w:r>
      <w:r>
        <w:rPr/>
        <w:t>These costs were not quantified in the draft RIS.</w:t>
      </w:r>
      <w:r>
        <w:rPr>
          <w:spacing w:val="40"/>
        </w:rPr>
        <w:t> </w:t>
      </w:r>
      <w:r>
        <w:rPr/>
        <w:t>However, quantitative estimates of maintenance costs in respect of both lifts and hearing augmentation devices have been included in the current analysis.</w:t>
      </w:r>
      <w:r>
        <w:rPr>
          <w:spacing w:val="40"/>
        </w:rPr>
        <w:t> </w:t>
      </w:r>
      <w:r>
        <w:rPr/>
        <w:t>These estimates relate only to additional equipment that would be installed as a result of the application of the Premises Standards, and do not include maintenance costs for lifts that would in any event be installed.</w:t>
      </w:r>
    </w:p>
    <w:p>
      <w:pPr>
        <w:pStyle w:val="BodyText"/>
      </w:pPr>
    </w:p>
    <w:p>
      <w:pPr>
        <w:pStyle w:val="BodyText"/>
        <w:ind w:left="417" w:right="808"/>
        <w:jc w:val="both"/>
      </w:pPr>
      <w:r>
        <w:rPr/>
        <w:t>These estimated maintenance costs rise from $3 million in year 2 to $58 million in year 30.</w:t>
      </w:r>
      <w:r>
        <w:rPr>
          <w:spacing w:val="40"/>
        </w:rPr>
        <w:t> </w:t>
      </w:r>
      <w:r>
        <w:rPr/>
        <w:t>The steadily increasing pattern of these costs reflects the application of the Standards to a steadily increasing proportion of the building </w:t>
      </w:r>
      <w:r>
        <w:rPr>
          <w:spacing w:val="-2"/>
        </w:rPr>
        <w:t>stock.</w:t>
      </w:r>
    </w:p>
    <w:p>
      <w:pPr>
        <w:pStyle w:val="BodyText"/>
        <w:rPr>
          <w:sz w:val="26"/>
        </w:rPr>
      </w:pPr>
    </w:p>
    <w:p>
      <w:pPr>
        <w:pStyle w:val="Heading2"/>
        <w:numPr>
          <w:ilvl w:val="1"/>
          <w:numId w:val="25"/>
        </w:numPr>
        <w:tabs>
          <w:tab w:pos="1138" w:val="left" w:leader="none"/>
          <w:tab w:pos="1139" w:val="left" w:leader="none"/>
        </w:tabs>
        <w:spacing w:line="240" w:lineRule="auto" w:before="220" w:after="0"/>
        <w:ind w:left="1138" w:right="0" w:hanging="722"/>
        <w:jc w:val="left"/>
        <w:rPr>
          <w:i/>
        </w:rPr>
      </w:pPr>
      <w:bookmarkStart w:name="8.5 Indirect cost impacts" w:id="84"/>
      <w:bookmarkEnd w:id="84"/>
      <w:r>
        <w:rPr>
          <w:i/>
        </w:rPr>
        <w:t>Indirect</w:t>
      </w:r>
      <w:r>
        <w:rPr>
          <w:i/>
          <w:spacing w:val="-8"/>
        </w:rPr>
        <w:t> </w:t>
      </w:r>
      <w:r>
        <w:rPr>
          <w:i/>
        </w:rPr>
        <w:t>cost</w:t>
      </w:r>
      <w:r>
        <w:rPr>
          <w:i/>
          <w:spacing w:val="-8"/>
        </w:rPr>
        <w:t> </w:t>
      </w:r>
      <w:r>
        <w:rPr>
          <w:i/>
          <w:spacing w:val="-2"/>
        </w:rPr>
        <w:t>impacts</w:t>
      </w:r>
    </w:p>
    <w:p>
      <w:pPr>
        <w:pStyle w:val="BodyText"/>
        <w:spacing w:before="11"/>
        <w:rPr>
          <w:b/>
          <w:i/>
          <w:sz w:val="28"/>
        </w:rPr>
      </w:pPr>
    </w:p>
    <w:p>
      <w:pPr>
        <w:pStyle w:val="BodyText"/>
        <w:ind w:left="417" w:right="807"/>
        <w:jc w:val="both"/>
      </w:pPr>
      <w:r>
        <w:rPr/>
        <w:t>The above discussion of costs relates only to the direct costs of applying the Premises Standards.</w:t>
      </w:r>
      <w:r>
        <w:rPr>
          <w:spacing w:val="40"/>
        </w:rPr>
        <w:t> </w:t>
      </w:r>
      <w:r>
        <w:rPr/>
        <w:t>It effectively assumes that the cost increases that flow from the adoption of the Premises Standards would have no effect on</w:t>
      </w:r>
      <w:r>
        <w:rPr>
          <w:spacing w:val="40"/>
        </w:rPr>
        <w:t> </w:t>
      </w:r>
      <w:r>
        <w:rPr/>
        <w:t>people’s behaviour – that is, that people would continue to make the same choices that they currently make about the type, size and number of buildings to be erected, altered, extended and upgraded.</w:t>
      </w:r>
      <w:r>
        <w:rPr>
          <w:spacing w:val="40"/>
        </w:rPr>
        <w:t> </w:t>
      </w:r>
      <w:r>
        <w:rPr/>
        <w:t>However, this will clearly not be the case, in particular in those areas in which substantial cost impacts are felt.</w:t>
      </w:r>
      <w:r>
        <w:rPr>
          <w:spacing w:val="40"/>
        </w:rPr>
        <w:t> </w:t>
      </w:r>
      <w:r>
        <w:rPr/>
        <w:t>These changes in behaviour give rise to a range of indirect cost impacts, which are discussed in this section.</w:t>
      </w:r>
    </w:p>
    <w:p>
      <w:pPr>
        <w:pStyle w:val="BodyText"/>
        <w:spacing w:before="3"/>
      </w:pPr>
    </w:p>
    <w:p>
      <w:pPr>
        <w:pStyle w:val="Heading3"/>
        <w:numPr>
          <w:ilvl w:val="2"/>
          <w:numId w:val="28"/>
        </w:numPr>
        <w:tabs>
          <w:tab w:pos="1138" w:val="left" w:leader="none"/>
        </w:tabs>
        <w:spacing w:line="297" w:lineRule="exact" w:before="0" w:after="0"/>
        <w:ind w:left="1137" w:right="0" w:hanging="721"/>
        <w:jc w:val="left"/>
      </w:pPr>
      <w:bookmarkStart w:name="8.5.1 Substitution effects" w:id="85"/>
      <w:bookmarkEnd w:id="85"/>
      <w:r>
        <w:rPr/>
        <w:t>Substitutio</w:t>
      </w:r>
      <w:r>
        <w:rPr/>
        <w:t>n</w:t>
      </w:r>
      <w:r>
        <w:rPr>
          <w:spacing w:val="-13"/>
        </w:rPr>
        <w:t> </w:t>
      </w:r>
      <w:r>
        <w:rPr>
          <w:spacing w:val="-2"/>
        </w:rPr>
        <w:t>effects</w:t>
      </w:r>
    </w:p>
    <w:p>
      <w:pPr>
        <w:pStyle w:val="BodyText"/>
        <w:spacing w:line="274" w:lineRule="exact"/>
        <w:ind w:left="417"/>
        <w:jc w:val="both"/>
      </w:pPr>
      <w:r>
        <w:rPr/>
        <w:t>Substitution</w:t>
      </w:r>
      <w:r>
        <w:rPr>
          <w:spacing w:val="-5"/>
        </w:rPr>
        <w:t> </w:t>
      </w:r>
      <w:r>
        <w:rPr/>
        <w:t>effects</w:t>
      </w:r>
      <w:r>
        <w:rPr>
          <w:spacing w:val="-3"/>
        </w:rPr>
        <w:t> </w:t>
      </w:r>
      <w:r>
        <w:rPr/>
        <w:t>would</w:t>
      </w:r>
      <w:r>
        <w:rPr>
          <w:spacing w:val="-3"/>
        </w:rPr>
        <w:t> </w:t>
      </w:r>
      <w:r>
        <w:rPr/>
        <w:t>be</w:t>
      </w:r>
      <w:r>
        <w:rPr>
          <w:spacing w:val="-3"/>
        </w:rPr>
        <w:t> </w:t>
      </w:r>
      <w:r>
        <w:rPr/>
        <w:t>of</w:t>
      </w:r>
      <w:r>
        <w:rPr>
          <w:spacing w:val="-3"/>
        </w:rPr>
        <w:t> </w:t>
      </w:r>
      <w:r>
        <w:rPr/>
        <w:t>a</w:t>
      </w:r>
      <w:r>
        <w:rPr>
          <w:spacing w:val="-3"/>
        </w:rPr>
        <w:t> </w:t>
      </w:r>
      <w:r>
        <w:rPr/>
        <w:t>number</w:t>
      </w:r>
      <w:r>
        <w:rPr>
          <w:spacing w:val="-3"/>
        </w:rPr>
        <w:t> </w:t>
      </w:r>
      <w:r>
        <w:rPr/>
        <w:t>of</w:t>
      </w:r>
      <w:r>
        <w:rPr>
          <w:spacing w:val="-3"/>
        </w:rPr>
        <w:t> </w:t>
      </w:r>
      <w:r>
        <w:rPr/>
        <w:t>types,</w:t>
      </w:r>
      <w:r>
        <w:rPr>
          <w:spacing w:val="-3"/>
        </w:rPr>
        <w:t> </w:t>
      </w:r>
      <w:r>
        <w:rPr/>
        <w:t>as</w:t>
      </w:r>
      <w:r>
        <w:rPr>
          <w:spacing w:val="-3"/>
        </w:rPr>
        <w:t> </w:t>
      </w:r>
      <w:r>
        <w:rPr>
          <w:spacing w:val="-2"/>
        </w:rPr>
        <w:t>follows:</w:t>
      </w:r>
    </w:p>
    <w:p>
      <w:pPr>
        <w:pStyle w:val="BodyText"/>
        <w:spacing w:before="1"/>
      </w:pPr>
    </w:p>
    <w:p>
      <w:pPr>
        <w:pStyle w:val="ListParagraph"/>
        <w:numPr>
          <w:ilvl w:val="3"/>
          <w:numId w:val="28"/>
        </w:numPr>
        <w:tabs>
          <w:tab w:pos="1138" w:val="left" w:leader="none"/>
        </w:tabs>
        <w:spacing w:line="240" w:lineRule="auto" w:before="0" w:after="0"/>
        <w:ind w:left="1131" w:right="807" w:hanging="357"/>
        <w:jc w:val="both"/>
        <w:rPr>
          <w:sz w:val="24"/>
        </w:rPr>
      </w:pPr>
      <w:r>
        <w:rPr>
          <w:sz w:val="24"/>
        </w:rPr>
        <w:t>There would be changes in the types of buildings constructed.</w:t>
      </w:r>
      <w:r>
        <w:rPr>
          <w:spacing w:val="40"/>
          <w:sz w:val="24"/>
        </w:rPr>
        <w:t> </w:t>
      </w:r>
      <w:r>
        <w:rPr>
          <w:sz w:val="24"/>
        </w:rPr>
        <w:t>For example, it remains likely that there will be significant declines in construction of small office and shop buildings: these would become considerably</w:t>
      </w:r>
      <w:r>
        <w:rPr>
          <w:spacing w:val="-1"/>
          <w:sz w:val="24"/>
        </w:rPr>
        <w:t> </w:t>
      </w:r>
      <w:r>
        <w:rPr>
          <w:sz w:val="24"/>
        </w:rPr>
        <w:t>more</w:t>
      </w:r>
      <w:r>
        <w:rPr>
          <w:spacing w:val="-1"/>
          <w:sz w:val="24"/>
        </w:rPr>
        <w:t> </w:t>
      </w:r>
      <w:r>
        <w:rPr>
          <w:sz w:val="24"/>
        </w:rPr>
        <w:t>expensive,</w:t>
      </w:r>
      <w:r>
        <w:rPr>
          <w:spacing w:val="-1"/>
          <w:sz w:val="24"/>
        </w:rPr>
        <w:t> </w:t>
      </w:r>
      <w:r>
        <w:rPr>
          <w:sz w:val="24"/>
        </w:rPr>
        <w:t>notwithstanding</w:t>
      </w:r>
      <w:r>
        <w:rPr>
          <w:spacing w:val="-1"/>
          <w:sz w:val="24"/>
        </w:rPr>
        <w:t> </w:t>
      </w:r>
      <w:r>
        <w:rPr>
          <w:sz w:val="24"/>
        </w:rPr>
        <w:t>the</w:t>
      </w:r>
      <w:r>
        <w:rPr>
          <w:spacing w:val="-1"/>
          <w:sz w:val="24"/>
        </w:rPr>
        <w:t> </w:t>
      </w:r>
      <w:r>
        <w:rPr>
          <w:sz w:val="24"/>
        </w:rPr>
        <w:t>substantial</w:t>
      </w:r>
      <w:r>
        <w:rPr>
          <w:spacing w:val="-1"/>
          <w:sz w:val="24"/>
        </w:rPr>
        <w:t> </w:t>
      </w:r>
      <w:r>
        <w:rPr>
          <w:sz w:val="24"/>
        </w:rPr>
        <w:t>impact</w:t>
      </w:r>
      <w:r>
        <w:rPr>
          <w:spacing w:val="-1"/>
          <w:sz w:val="24"/>
        </w:rPr>
        <w:t> </w:t>
      </w:r>
      <w:r>
        <w:rPr>
          <w:sz w:val="24"/>
        </w:rPr>
        <w:t>of the revisions made to the proposed Premises Standards in reducing cost impacts in these areas.</w:t>
      </w:r>
      <w:r>
        <w:rPr>
          <w:spacing w:val="40"/>
          <w:sz w:val="24"/>
        </w:rPr>
        <w:t> </w:t>
      </w:r>
      <w:r>
        <w:rPr>
          <w:sz w:val="24"/>
        </w:rPr>
        <w:t>To the extent that construction of small offices and shops declines, the construction of larger office buildings and mall-type shopping and retail facilities, as well as other building options would be expected to be favoured instead</w:t>
      </w:r>
      <w:r>
        <w:rPr>
          <w:sz w:val="24"/>
          <w:vertAlign w:val="superscript"/>
        </w:rPr>
        <w:t>62</w:t>
      </w:r>
      <w:r>
        <w:rPr>
          <w:sz w:val="24"/>
          <w:vertAlign w:val="baseline"/>
        </w:rPr>
        <w:t>.</w:t>
      </w:r>
    </w:p>
    <w:p>
      <w:pPr>
        <w:pStyle w:val="ListParagraph"/>
        <w:numPr>
          <w:ilvl w:val="3"/>
          <w:numId w:val="28"/>
        </w:numPr>
        <w:tabs>
          <w:tab w:pos="1138" w:val="left" w:leader="none"/>
        </w:tabs>
        <w:spacing w:line="240" w:lineRule="auto" w:before="118" w:after="0"/>
        <w:ind w:left="1131" w:right="807" w:hanging="357"/>
        <w:jc w:val="both"/>
        <w:rPr>
          <w:sz w:val="24"/>
        </w:rPr>
      </w:pPr>
      <w:r>
        <w:rPr>
          <w:sz w:val="24"/>
        </w:rPr>
        <w:t>Changes in the balance of building expenditures between new building and</w:t>
      </w:r>
      <w:r>
        <w:rPr>
          <w:spacing w:val="36"/>
          <w:sz w:val="24"/>
        </w:rPr>
        <w:t>  </w:t>
      </w:r>
      <w:r>
        <w:rPr>
          <w:sz w:val="24"/>
        </w:rPr>
        <w:t>renovation</w:t>
      </w:r>
      <w:r>
        <w:rPr>
          <w:spacing w:val="36"/>
          <w:sz w:val="24"/>
        </w:rPr>
        <w:t>  </w:t>
      </w:r>
      <w:r>
        <w:rPr>
          <w:sz w:val="24"/>
        </w:rPr>
        <w:t>activity.</w:t>
      </w:r>
      <w:r>
        <w:rPr>
          <w:spacing w:val="36"/>
          <w:sz w:val="24"/>
        </w:rPr>
        <w:t>  </w:t>
      </w:r>
      <w:r>
        <w:rPr>
          <w:sz w:val="24"/>
        </w:rPr>
        <w:t>New</w:t>
      </w:r>
      <w:r>
        <w:rPr>
          <w:spacing w:val="36"/>
          <w:sz w:val="24"/>
        </w:rPr>
        <w:t>  </w:t>
      </w:r>
      <w:r>
        <w:rPr>
          <w:sz w:val="24"/>
        </w:rPr>
        <w:t>buildings</w:t>
      </w:r>
      <w:r>
        <w:rPr>
          <w:spacing w:val="36"/>
          <w:sz w:val="24"/>
        </w:rPr>
        <w:t>  </w:t>
      </w:r>
      <w:r>
        <w:rPr>
          <w:sz w:val="24"/>
        </w:rPr>
        <w:t>will</w:t>
      </w:r>
      <w:r>
        <w:rPr>
          <w:spacing w:val="36"/>
          <w:sz w:val="24"/>
        </w:rPr>
        <w:t>  </w:t>
      </w:r>
      <w:r>
        <w:rPr>
          <w:sz w:val="24"/>
        </w:rPr>
        <w:t>be</w:t>
      </w:r>
      <w:r>
        <w:rPr>
          <w:spacing w:val="36"/>
          <w:sz w:val="24"/>
        </w:rPr>
        <w:t>  </w:t>
      </w:r>
      <w:r>
        <w:rPr>
          <w:sz w:val="24"/>
        </w:rPr>
        <w:t>favoured,</w:t>
      </w:r>
      <w:r>
        <w:rPr>
          <w:spacing w:val="36"/>
          <w:sz w:val="24"/>
        </w:rPr>
        <w:t>  </w:t>
      </w:r>
      <w:r>
        <w:rPr>
          <w:sz w:val="24"/>
        </w:rPr>
        <w:t>since</w:t>
      </w:r>
    </w:p>
    <w:p>
      <w:pPr>
        <w:pStyle w:val="BodyText"/>
        <w:rPr>
          <w:sz w:val="20"/>
        </w:rPr>
      </w:pPr>
    </w:p>
    <w:p>
      <w:pPr>
        <w:pStyle w:val="BodyText"/>
        <w:spacing w:before="1"/>
        <w:rPr>
          <w:sz w:val="26"/>
        </w:rPr>
      </w:pPr>
      <w:r>
        <w:rPr/>
        <w:pict>
          <v:rect style="position:absolute;margin-left:89.879997pt;margin-top:16.221802pt;width:144pt;height:.6pt;mso-position-horizontal-relative:page;mso-position-vertical-relative:paragraph;z-index:-15704576;mso-wrap-distance-left:0;mso-wrap-distance-right:0" id="docshape56" filled="true" fillcolor="#000000" stroked="false">
            <v:fill type="solid"/>
            <w10:wrap type="topAndBottom"/>
          </v:rect>
        </w:pict>
      </w:r>
    </w:p>
    <w:p>
      <w:pPr>
        <w:pStyle w:val="BodyText"/>
        <w:spacing w:before="1"/>
        <w:rPr>
          <w:sz w:val="8"/>
        </w:rPr>
      </w:pPr>
    </w:p>
    <w:p>
      <w:pPr>
        <w:spacing w:before="130"/>
        <w:ind w:left="417" w:right="807" w:firstLine="0"/>
        <w:jc w:val="both"/>
        <w:rPr>
          <w:sz w:val="20"/>
        </w:rPr>
      </w:pPr>
      <w:r>
        <w:rPr>
          <w:sz w:val="20"/>
          <w:vertAlign w:val="superscript"/>
        </w:rPr>
        <w:t>62</w:t>
      </w:r>
      <w:r>
        <w:rPr>
          <w:sz w:val="20"/>
          <w:vertAlign w:val="baseline"/>
        </w:rPr>
        <w:t> As with the aggregate effect on building activity discussed below, this impact of the Premises Standard may not be directly observable – both because numerous factors affect building activity and because there are longer-term market trends and other government policies at work which affect the trends in demand in these areas over time.</w:t>
      </w:r>
    </w:p>
    <w:p>
      <w:pPr>
        <w:spacing w:after="0"/>
        <w:jc w:val="both"/>
        <w:rPr>
          <w:sz w:val="20"/>
        </w:rPr>
        <w:sectPr>
          <w:pgSz w:w="11900" w:h="16840"/>
          <w:pgMar w:header="0" w:footer="1130" w:top="1360" w:bottom="1320" w:left="1380" w:right="980"/>
        </w:sectPr>
      </w:pPr>
    </w:p>
    <w:p>
      <w:pPr>
        <w:pStyle w:val="BodyText"/>
        <w:spacing w:before="77"/>
        <w:ind w:left="1131" w:right="809"/>
        <w:jc w:val="both"/>
      </w:pPr>
      <w:r>
        <w:rPr/>
        <w:t>renovation/upgrading of existing buildings will be relatively more expensive in most cases.</w:t>
      </w:r>
    </w:p>
    <w:p>
      <w:pPr>
        <w:pStyle w:val="ListParagraph"/>
        <w:numPr>
          <w:ilvl w:val="3"/>
          <w:numId w:val="28"/>
        </w:numPr>
        <w:tabs>
          <w:tab w:pos="1138" w:val="left" w:leader="none"/>
        </w:tabs>
        <w:spacing w:line="240" w:lineRule="auto" w:before="120" w:after="0"/>
        <w:ind w:left="1131" w:right="807" w:hanging="357"/>
        <w:jc w:val="both"/>
        <w:rPr>
          <w:sz w:val="24"/>
        </w:rPr>
      </w:pPr>
      <w:r>
        <w:rPr>
          <w:sz w:val="24"/>
        </w:rPr>
        <w:t>There would be an overall reduction in building activity, since the cost</w:t>
      </w:r>
      <w:r>
        <w:rPr>
          <w:spacing w:val="40"/>
          <w:sz w:val="24"/>
        </w:rPr>
        <w:t> </w:t>
      </w:r>
      <w:r>
        <w:rPr>
          <w:sz w:val="24"/>
        </w:rPr>
        <w:t>of building, relative to other expenditures, has risen.</w:t>
      </w:r>
      <w:r>
        <w:rPr>
          <w:spacing w:val="40"/>
          <w:sz w:val="24"/>
        </w:rPr>
        <w:t> </w:t>
      </w:r>
      <w:r>
        <w:rPr>
          <w:sz w:val="24"/>
        </w:rPr>
        <w:t>Such an impact is unlikely to be directly observable in practice, given the range of factors that affect overall building activity and the observed volatility of building activity levels over time.</w:t>
      </w:r>
      <w:r>
        <w:rPr>
          <w:spacing w:val="40"/>
          <w:sz w:val="24"/>
        </w:rPr>
        <w:t> </w:t>
      </w:r>
      <w:r>
        <w:rPr>
          <w:sz w:val="24"/>
        </w:rPr>
        <w:t>It would, however, remain real.</w:t>
      </w:r>
      <w:r>
        <w:rPr>
          <w:spacing w:val="40"/>
          <w:sz w:val="24"/>
        </w:rPr>
        <w:t> </w:t>
      </w:r>
      <w:r>
        <w:rPr>
          <w:sz w:val="24"/>
        </w:rPr>
        <w:t>Again, however, the changes made to the draft Premises Standards will have the effect of significantly reducing the size of this impact.</w:t>
      </w:r>
    </w:p>
    <w:p>
      <w:pPr>
        <w:pStyle w:val="BodyText"/>
        <w:spacing w:before="9"/>
        <w:rPr>
          <w:sz w:val="23"/>
        </w:rPr>
      </w:pPr>
    </w:p>
    <w:p>
      <w:pPr>
        <w:pStyle w:val="BodyText"/>
        <w:ind w:left="417" w:right="808"/>
        <w:jc w:val="both"/>
      </w:pPr>
      <w:r>
        <w:rPr/>
        <w:t>The existence of these impacts is considered as certain, in terms of the laws of</w:t>
      </w:r>
      <w:r>
        <w:rPr>
          <w:spacing w:val="-1"/>
        </w:rPr>
        <w:t> </w:t>
      </w:r>
      <w:r>
        <w:rPr/>
        <w:t>economics,</w:t>
      </w:r>
      <w:r>
        <w:rPr>
          <w:spacing w:val="-1"/>
        </w:rPr>
        <w:t> </w:t>
      </w:r>
      <w:r>
        <w:rPr/>
        <w:t>requiring</w:t>
      </w:r>
      <w:r>
        <w:rPr>
          <w:spacing w:val="-1"/>
        </w:rPr>
        <w:t> </w:t>
      </w:r>
      <w:r>
        <w:rPr/>
        <w:t>only that the demand for a product tends to decline as its price rises (i.e. that it is a “normal” good). However, the size of the impact</w:t>
      </w:r>
      <w:r>
        <w:rPr>
          <w:spacing w:val="40"/>
        </w:rPr>
        <w:t> </w:t>
      </w:r>
      <w:r>
        <w:rPr/>
        <w:t>in practice depends on the elasticity of demand – i.e. on how sensitive demand for a product is to price changes.</w:t>
      </w:r>
      <w:r>
        <w:rPr>
          <w:spacing w:val="40"/>
        </w:rPr>
        <w:t> </w:t>
      </w:r>
      <w:r>
        <w:rPr/>
        <w:t>As noted below, estimates of the elasticity of demand for commercial buildings have not been found in the course of preparing this RIS.</w:t>
      </w:r>
      <w:r>
        <w:rPr>
          <w:spacing w:val="40"/>
        </w:rPr>
        <w:t> </w:t>
      </w:r>
      <w:r>
        <w:rPr/>
        <w:t>Hence, there must be considerable uncertainty as to the size of these effects.</w:t>
      </w:r>
      <w:r>
        <w:rPr>
          <w:spacing w:val="40"/>
        </w:rPr>
        <w:t> </w:t>
      </w:r>
      <w:r>
        <w:rPr/>
        <w:t>Nonetheless, Section 8.5.3 argues that even small reductions in demand would have important flow through effects on the economy as a whole.</w:t>
      </w:r>
      <w:r>
        <w:rPr>
          <w:spacing w:val="40"/>
        </w:rPr>
        <w:t> </w:t>
      </w:r>
      <w:r>
        <w:rPr/>
        <w:t>The following section discusses the mechanisms by which these impacts occur.</w:t>
      </w:r>
    </w:p>
    <w:p>
      <w:pPr>
        <w:pStyle w:val="BodyText"/>
        <w:spacing w:before="1"/>
        <w:rPr>
          <w:sz w:val="21"/>
        </w:rPr>
      </w:pPr>
    </w:p>
    <w:p>
      <w:pPr>
        <w:pStyle w:val="Heading3"/>
        <w:numPr>
          <w:ilvl w:val="2"/>
          <w:numId w:val="28"/>
        </w:numPr>
        <w:tabs>
          <w:tab w:pos="1139" w:val="left" w:leader="none"/>
        </w:tabs>
        <w:spacing w:line="240" w:lineRule="auto" w:before="0" w:after="0"/>
        <w:ind w:left="1138" w:right="0" w:hanging="722"/>
        <w:jc w:val="both"/>
      </w:pPr>
      <w:bookmarkStart w:name="8.5.2 Effects of Increased Costs of Buil" w:id="86"/>
      <w:bookmarkEnd w:id="86"/>
      <w:r>
        <w:rPr/>
        <w:t>Effec</w:t>
      </w:r>
      <w:r>
        <w:rPr/>
        <w:t>ts</w:t>
      </w:r>
      <w:r>
        <w:rPr>
          <w:spacing w:val="-2"/>
        </w:rPr>
        <w:t> </w:t>
      </w:r>
      <w:r>
        <w:rPr/>
        <w:t>of</w:t>
      </w:r>
      <w:r>
        <w:rPr>
          <w:spacing w:val="-3"/>
        </w:rPr>
        <w:t> </w:t>
      </w:r>
      <w:r>
        <w:rPr/>
        <w:t>Increased</w:t>
      </w:r>
      <w:r>
        <w:rPr>
          <w:spacing w:val="-2"/>
        </w:rPr>
        <w:t> </w:t>
      </w:r>
      <w:r>
        <w:rPr/>
        <w:t>Costs</w:t>
      </w:r>
      <w:r>
        <w:rPr>
          <w:spacing w:val="-2"/>
        </w:rPr>
        <w:t> </w:t>
      </w:r>
      <w:r>
        <w:rPr/>
        <w:t>of</w:t>
      </w:r>
      <w:r>
        <w:rPr>
          <w:spacing w:val="-1"/>
        </w:rPr>
        <w:t> </w:t>
      </w:r>
      <w:r>
        <w:rPr>
          <w:spacing w:val="-2"/>
        </w:rPr>
        <w:t>Buildings</w:t>
      </w:r>
    </w:p>
    <w:p>
      <w:pPr>
        <w:pStyle w:val="BodyText"/>
        <w:spacing w:before="57"/>
        <w:ind w:left="417" w:right="808"/>
        <w:jc w:val="both"/>
      </w:pPr>
      <w:r>
        <w:rPr/>
        <w:t>In order to clarify the economic dynamics that will determine the longer-term impact of the regulations, the following section is presented in two parts.</w:t>
      </w:r>
      <w:r>
        <w:rPr>
          <w:spacing w:val="40"/>
        </w:rPr>
        <w:t> </w:t>
      </w:r>
      <w:r>
        <w:rPr/>
        <w:t>The first focuses specifically on the effects on new buildings versus existing (unrenovated) stock and shows the basic effects of changes in relative prices. The second section takes a further step by adding consideration of the different price impacts of the Premises Standards on new buildings and </w:t>
      </w:r>
      <w:r>
        <w:rPr>
          <w:spacing w:val="-2"/>
        </w:rPr>
        <w:t>renovations/alterations.</w:t>
      </w:r>
    </w:p>
    <w:p>
      <w:pPr>
        <w:pStyle w:val="ListParagraph"/>
        <w:numPr>
          <w:ilvl w:val="0"/>
          <w:numId w:val="29"/>
        </w:numPr>
        <w:tabs>
          <w:tab w:pos="1138" w:val="left" w:leader="none"/>
        </w:tabs>
        <w:spacing w:line="240" w:lineRule="auto" w:before="122" w:after="0"/>
        <w:ind w:left="1137" w:right="0" w:hanging="361"/>
        <w:jc w:val="both"/>
        <w:rPr>
          <w:i/>
          <w:sz w:val="24"/>
        </w:rPr>
      </w:pPr>
      <w:bookmarkStart w:name="1. If the regulations were only to affec" w:id="87"/>
      <w:bookmarkEnd w:id="87"/>
      <w:r>
        <w:rPr>
          <w:i/>
          <w:sz w:val="24"/>
        </w:rPr>
        <w:t>If</w:t>
      </w:r>
      <w:r>
        <w:rPr>
          <w:i/>
          <w:spacing w:val="-2"/>
          <w:sz w:val="24"/>
        </w:rPr>
        <w:t> </w:t>
      </w:r>
      <w:r>
        <w:rPr>
          <w:i/>
          <w:sz w:val="24"/>
        </w:rPr>
        <w:t>the</w:t>
      </w:r>
      <w:r>
        <w:rPr>
          <w:i/>
          <w:spacing w:val="-2"/>
          <w:sz w:val="24"/>
        </w:rPr>
        <w:t> </w:t>
      </w:r>
      <w:r>
        <w:rPr>
          <w:i/>
          <w:sz w:val="24"/>
        </w:rPr>
        <w:t>regulations</w:t>
      </w:r>
      <w:r>
        <w:rPr>
          <w:i/>
          <w:spacing w:val="-2"/>
          <w:sz w:val="24"/>
        </w:rPr>
        <w:t> </w:t>
      </w:r>
      <w:r>
        <w:rPr>
          <w:i/>
          <w:sz w:val="24"/>
        </w:rPr>
        <w:t>were</w:t>
      </w:r>
      <w:r>
        <w:rPr>
          <w:i/>
          <w:spacing w:val="-1"/>
          <w:sz w:val="24"/>
        </w:rPr>
        <w:t> </w:t>
      </w:r>
      <w:r>
        <w:rPr>
          <w:i/>
          <w:sz w:val="24"/>
        </w:rPr>
        <w:t>only</w:t>
      </w:r>
      <w:r>
        <w:rPr>
          <w:i/>
          <w:spacing w:val="-2"/>
          <w:sz w:val="24"/>
        </w:rPr>
        <w:t> </w:t>
      </w:r>
      <w:r>
        <w:rPr>
          <w:i/>
          <w:sz w:val="24"/>
        </w:rPr>
        <w:t>to</w:t>
      </w:r>
      <w:r>
        <w:rPr>
          <w:i/>
          <w:spacing w:val="-2"/>
          <w:sz w:val="24"/>
        </w:rPr>
        <w:t> </w:t>
      </w:r>
      <w:r>
        <w:rPr>
          <w:i/>
          <w:sz w:val="24"/>
        </w:rPr>
        <w:t>affect</w:t>
      </w:r>
      <w:r>
        <w:rPr>
          <w:i/>
          <w:spacing w:val="-2"/>
          <w:sz w:val="24"/>
        </w:rPr>
        <w:t> </w:t>
      </w:r>
      <w:r>
        <w:rPr>
          <w:i/>
          <w:sz w:val="24"/>
        </w:rPr>
        <w:t>new</w:t>
      </w:r>
      <w:r>
        <w:rPr>
          <w:i/>
          <w:spacing w:val="-1"/>
          <w:sz w:val="24"/>
        </w:rPr>
        <w:t> </w:t>
      </w:r>
      <w:r>
        <w:rPr>
          <w:i/>
          <w:spacing w:val="-2"/>
          <w:sz w:val="24"/>
        </w:rPr>
        <w:t>buildings</w:t>
      </w:r>
    </w:p>
    <w:p>
      <w:pPr>
        <w:pStyle w:val="BodyText"/>
        <w:spacing w:before="10"/>
        <w:rPr>
          <w:i/>
          <w:sz w:val="23"/>
        </w:rPr>
      </w:pPr>
    </w:p>
    <w:p>
      <w:pPr>
        <w:pStyle w:val="BodyText"/>
        <w:ind w:left="417" w:right="807"/>
        <w:jc w:val="both"/>
      </w:pPr>
      <w:r>
        <w:rPr/>
        <w:t>New buildings are only a small proportion of the total stock of buildings in any one year; hence their increased costs will have only a minor initial effect on overall prices. The new buildings themselves, other than those in the pipeline at the time of the decision that increased their costs, will be priced to recover their costs. However, the more abundant existing stock of buildings necessarily limits the prices that can be charged successfully for new buildings.</w:t>
      </w:r>
      <w:r>
        <w:rPr>
          <w:spacing w:val="40"/>
        </w:rPr>
        <w:t> </w:t>
      </w:r>
      <w:r>
        <w:rPr/>
        <w:t>This inevitably means that some new buildings will not be built.</w:t>
      </w:r>
    </w:p>
    <w:p>
      <w:pPr>
        <w:pStyle w:val="BodyText"/>
      </w:pPr>
    </w:p>
    <w:p>
      <w:pPr>
        <w:pStyle w:val="BodyText"/>
        <w:ind w:left="417" w:right="807"/>
        <w:jc w:val="both"/>
      </w:pPr>
      <w:r>
        <w:rPr/>
        <w:t>Existing buildings will see a reduced level of competition and their rental values will rise over a period (to the benefit of the owners and to the cost of renters).</w:t>
      </w:r>
      <w:r>
        <w:rPr>
          <w:spacing w:val="40"/>
        </w:rPr>
        <w:t> </w:t>
      </w:r>
      <w:r>
        <w:rPr/>
        <w:t>As the rental rise approaches the pre-regulation “steady state”, new building work will resume a level of activity similar to that previously experienced, albeit somewhat lower as the increased costs will have led to a small permanent reduction in commercial building demand.</w:t>
      </w:r>
    </w:p>
    <w:p>
      <w:pPr>
        <w:pStyle w:val="BodyText"/>
      </w:pPr>
    </w:p>
    <w:p>
      <w:pPr>
        <w:pStyle w:val="BodyText"/>
        <w:spacing w:before="1"/>
        <w:ind w:left="417" w:right="808"/>
        <w:jc w:val="both"/>
      </w:pPr>
      <w:r>
        <w:rPr/>
        <w:t>All rents are likely to rise proportionately with the cost impact on new replacement buildings.</w:t>
      </w:r>
      <w:r>
        <w:rPr>
          <w:spacing w:val="40"/>
        </w:rPr>
        <w:t> </w:t>
      </w:r>
      <w:r>
        <w:rPr/>
        <w:t>For older premises that are, by definition less suitable</w:t>
      </w:r>
    </w:p>
    <w:p>
      <w:pPr>
        <w:spacing w:after="0"/>
        <w:jc w:val="both"/>
        <w:sectPr>
          <w:pgSz w:w="11900" w:h="16840"/>
          <w:pgMar w:header="0" w:footer="1130" w:top="1360" w:bottom="1320" w:left="1380" w:right="980"/>
        </w:sectPr>
      </w:pPr>
    </w:p>
    <w:p>
      <w:pPr>
        <w:pStyle w:val="BodyText"/>
        <w:spacing w:before="77"/>
        <w:ind w:left="417" w:right="809"/>
        <w:jc w:val="both"/>
      </w:pPr>
      <w:r>
        <w:rPr/>
        <w:t>than the newest buildings, this will incorporate a normal rental discount. Nonetheless, owners of existing buildings will benefit from a windfall gain as rentals reflect the higher costs of new buildings.</w:t>
      </w:r>
      <w:r>
        <w:rPr>
          <w:spacing w:val="40"/>
        </w:rPr>
        <w:t> </w:t>
      </w:r>
      <w:r>
        <w:rPr/>
        <w:t>For their part, building users will have permanently increased rental costs reflecting the increased building </w:t>
      </w:r>
      <w:r>
        <w:rPr>
          <w:spacing w:val="-2"/>
        </w:rPr>
        <w:t>costs.</w:t>
      </w:r>
    </w:p>
    <w:p>
      <w:pPr>
        <w:pStyle w:val="BodyText"/>
      </w:pPr>
    </w:p>
    <w:p>
      <w:pPr>
        <w:pStyle w:val="BodyText"/>
        <w:ind w:left="417" w:right="808"/>
        <w:jc w:val="both"/>
      </w:pPr>
      <w:r>
        <w:rPr/>
        <w:t>Because there are different impacts on different types of building, the pattern of outcomes will vary.</w:t>
      </w:r>
      <w:r>
        <w:rPr>
          <w:spacing w:val="40"/>
        </w:rPr>
        <w:t> </w:t>
      </w:r>
      <w:r>
        <w:rPr/>
        <w:t>If there is a substantial price-induced reduction in demand for smaller buildings incorporating lifts and other high cost modifications this could be offset somewhat by increased demand for larger buildings in which the cost of these features can be spread more widely, resulting in lower proportionate cost increases.</w:t>
      </w:r>
    </w:p>
    <w:p>
      <w:pPr>
        <w:pStyle w:val="BodyText"/>
      </w:pPr>
    </w:p>
    <w:p>
      <w:pPr>
        <w:pStyle w:val="BodyText"/>
        <w:ind w:left="417" w:right="809"/>
        <w:jc w:val="both"/>
      </w:pPr>
      <w:r>
        <w:rPr/>
        <w:t>In addition, some required changes could considerably reduce the usefulness of certain types of buildings.</w:t>
      </w:r>
      <w:r>
        <w:rPr>
          <w:spacing w:val="40"/>
        </w:rPr>
        <w:t> </w:t>
      </w:r>
      <w:r>
        <w:rPr/>
        <w:t>For example:</w:t>
      </w:r>
    </w:p>
    <w:p>
      <w:pPr>
        <w:pStyle w:val="ListParagraph"/>
        <w:numPr>
          <w:ilvl w:val="0"/>
          <w:numId w:val="30"/>
        </w:numPr>
        <w:tabs>
          <w:tab w:pos="1138" w:val="left" w:leader="none"/>
        </w:tabs>
        <w:spacing w:line="237" w:lineRule="auto" w:before="123" w:after="0"/>
        <w:ind w:left="1131" w:right="808" w:hanging="357"/>
        <w:jc w:val="both"/>
        <w:rPr>
          <w:sz w:val="24"/>
        </w:rPr>
      </w:pPr>
      <w:r>
        <w:rPr>
          <w:sz w:val="24"/>
        </w:rPr>
        <w:t>re-designing and relocating lifts will mean that the integrated marketing value of certain buildings e.g. department stores, is likely to be </w:t>
      </w:r>
      <w:r>
        <w:rPr>
          <w:spacing w:val="-2"/>
          <w:sz w:val="24"/>
        </w:rPr>
        <w:t>diminished;</w:t>
      </w:r>
    </w:p>
    <w:p>
      <w:pPr>
        <w:pStyle w:val="ListParagraph"/>
        <w:numPr>
          <w:ilvl w:val="0"/>
          <w:numId w:val="30"/>
        </w:numPr>
        <w:tabs>
          <w:tab w:pos="1138" w:val="left" w:leader="none"/>
        </w:tabs>
        <w:spacing w:line="240" w:lineRule="auto" w:before="64" w:after="0"/>
        <w:ind w:left="1131" w:right="807" w:hanging="357"/>
        <w:jc w:val="both"/>
        <w:rPr>
          <w:sz w:val="24"/>
        </w:rPr>
      </w:pPr>
      <w:r>
        <w:rPr>
          <w:sz w:val="24"/>
        </w:rPr>
        <w:t>the requirement to re-engineer pools in hotels in order to provide access may cause some hotels to abandon these facilities or to reduce their size (below the 40 metre perimeter threshold for application of the access requirements) with adverse impacts upon the hotels’ ability to meet consumer demand; and</w:t>
      </w:r>
    </w:p>
    <w:p>
      <w:pPr>
        <w:pStyle w:val="ListParagraph"/>
        <w:numPr>
          <w:ilvl w:val="0"/>
          <w:numId w:val="30"/>
        </w:numPr>
        <w:tabs>
          <w:tab w:pos="1138" w:val="left" w:leader="none"/>
        </w:tabs>
        <w:spacing w:line="240" w:lineRule="auto" w:before="59" w:after="0"/>
        <w:ind w:left="1131" w:right="809" w:hanging="357"/>
        <w:jc w:val="both"/>
        <w:rPr>
          <w:sz w:val="24"/>
        </w:rPr>
      </w:pPr>
      <w:r>
        <w:rPr>
          <w:sz w:val="24"/>
        </w:rPr>
        <w:t>construction of buildings on undulating land would make the required provision of accessible entrances difficult or even impossible in some cases.</w:t>
      </w:r>
      <w:r>
        <w:rPr>
          <w:spacing w:val="40"/>
          <w:sz w:val="24"/>
        </w:rPr>
        <w:t> </w:t>
      </w:r>
      <w:r>
        <w:rPr>
          <w:sz w:val="24"/>
        </w:rPr>
        <w:t>This is likely to bring costs to the building owners and result in the likely outcome of fewer entrances in general, especially in hilly areas like Sydney, resulting in major impacts on general street use.</w:t>
      </w:r>
    </w:p>
    <w:p>
      <w:pPr>
        <w:pStyle w:val="BodyText"/>
        <w:spacing w:before="10"/>
        <w:rPr>
          <w:sz w:val="28"/>
        </w:rPr>
      </w:pPr>
    </w:p>
    <w:p>
      <w:pPr>
        <w:pStyle w:val="BodyText"/>
        <w:spacing w:before="1"/>
        <w:ind w:left="417" w:right="806"/>
        <w:jc w:val="both"/>
      </w:pPr>
      <w:r>
        <w:rPr/>
        <w:t>Due</w:t>
      </w:r>
      <w:r>
        <w:rPr/>
        <w:t> to</w:t>
      </w:r>
      <w:r>
        <w:rPr/>
        <w:t> the</w:t>
      </w:r>
      <w:r>
        <w:rPr/>
        <w:t> prevalence</w:t>
      </w:r>
      <w:r>
        <w:rPr/>
        <w:t> of</w:t>
      </w:r>
      <w:r>
        <w:rPr/>
        <w:t> certain</w:t>
      </w:r>
      <w:r>
        <w:rPr/>
        <w:t> types</w:t>
      </w:r>
      <w:r>
        <w:rPr/>
        <w:t> of</w:t>
      </w:r>
      <w:r>
        <w:rPr/>
        <w:t> buildings, e.g. two-storey offices/shops with offices, substantially raising their costs through the regulations will have a marked affect on urban geography.</w:t>
      </w:r>
      <w:r>
        <w:rPr>
          <w:spacing w:val="40"/>
        </w:rPr>
        <w:t> </w:t>
      </w:r>
      <w:r>
        <w:rPr/>
        <w:t>In turn, this will bring implications for land values, public transport and service delivery that require further analysis.</w:t>
      </w:r>
    </w:p>
    <w:p>
      <w:pPr>
        <w:pStyle w:val="ListParagraph"/>
        <w:numPr>
          <w:ilvl w:val="0"/>
          <w:numId w:val="29"/>
        </w:numPr>
        <w:tabs>
          <w:tab w:pos="1138" w:val="left" w:leader="none"/>
        </w:tabs>
        <w:spacing w:line="240" w:lineRule="auto" w:before="121" w:after="0"/>
        <w:ind w:left="1137" w:right="0" w:hanging="361"/>
        <w:jc w:val="both"/>
        <w:rPr>
          <w:i/>
          <w:sz w:val="24"/>
        </w:rPr>
      </w:pPr>
      <w:bookmarkStart w:name="2. Where the regulations affect existing" w:id="88"/>
      <w:bookmarkEnd w:id="88"/>
      <w:r>
        <w:rPr>
          <w:i/>
          <w:sz w:val="24"/>
        </w:rPr>
        <w:t>Wher</w:t>
      </w:r>
      <w:r>
        <w:rPr>
          <w:i/>
          <w:sz w:val="24"/>
        </w:rPr>
        <w:t>e</w:t>
      </w:r>
      <w:r>
        <w:rPr>
          <w:i/>
          <w:spacing w:val="-4"/>
          <w:sz w:val="24"/>
        </w:rPr>
        <w:t> </w:t>
      </w:r>
      <w:r>
        <w:rPr>
          <w:i/>
          <w:sz w:val="24"/>
        </w:rPr>
        <w:t>the</w:t>
      </w:r>
      <w:r>
        <w:rPr>
          <w:i/>
          <w:spacing w:val="-4"/>
          <w:sz w:val="24"/>
        </w:rPr>
        <w:t> </w:t>
      </w:r>
      <w:r>
        <w:rPr>
          <w:i/>
          <w:sz w:val="24"/>
        </w:rPr>
        <w:t>regulations</w:t>
      </w:r>
      <w:r>
        <w:rPr>
          <w:i/>
          <w:spacing w:val="-3"/>
          <w:sz w:val="24"/>
        </w:rPr>
        <w:t> </w:t>
      </w:r>
      <w:r>
        <w:rPr>
          <w:i/>
          <w:sz w:val="24"/>
        </w:rPr>
        <w:t>affect</w:t>
      </w:r>
      <w:r>
        <w:rPr>
          <w:i/>
          <w:spacing w:val="-3"/>
          <w:sz w:val="24"/>
        </w:rPr>
        <w:t> </w:t>
      </w:r>
      <w:r>
        <w:rPr>
          <w:i/>
          <w:sz w:val="24"/>
        </w:rPr>
        <w:t>existing,</w:t>
      </w:r>
      <w:r>
        <w:rPr>
          <w:i/>
          <w:spacing w:val="-4"/>
          <w:sz w:val="24"/>
        </w:rPr>
        <w:t> </w:t>
      </w:r>
      <w:r>
        <w:rPr>
          <w:i/>
          <w:sz w:val="24"/>
        </w:rPr>
        <w:t>as</w:t>
      </w:r>
      <w:r>
        <w:rPr>
          <w:i/>
          <w:spacing w:val="-4"/>
          <w:sz w:val="24"/>
        </w:rPr>
        <w:t> </w:t>
      </w:r>
      <w:r>
        <w:rPr>
          <w:i/>
          <w:sz w:val="24"/>
        </w:rPr>
        <w:t>well</w:t>
      </w:r>
      <w:r>
        <w:rPr>
          <w:i/>
          <w:spacing w:val="-3"/>
          <w:sz w:val="24"/>
        </w:rPr>
        <w:t> </w:t>
      </w:r>
      <w:r>
        <w:rPr>
          <w:i/>
          <w:sz w:val="24"/>
        </w:rPr>
        <w:t>as</w:t>
      </w:r>
      <w:r>
        <w:rPr>
          <w:i/>
          <w:spacing w:val="-4"/>
          <w:sz w:val="24"/>
        </w:rPr>
        <w:t> </w:t>
      </w:r>
      <w:r>
        <w:rPr>
          <w:i/>
          <w:sz w:val="24"/>
        </w:rPr>
        <w:t>new</w:t>
      </w:r>
      <w:r>
        <w:rPr>
          <w:i/>
          <w:spacing w:val="-3"/>
          <w:sz w:val="24"/>
        </w:rPr>
        <w:t> </w:t>
      </w:r>
      <w:r>
        <w:rPr>
          <w:i/>
          <w:spacing w:val="-2"/>
          <w:sz w:val="24"/>
        </w:rPr>
        <w:t>buildings</w:t>
      </w:r>
    </w:p>
    <w:p>
      <w:pPr>
        <w:pStyle w:val="BodyText"/>
        <w:spacing w:before="10"/>
        <w:rPr>
          <w:i/>
          <w:sz w:val="23"/>
        </w:rPr>
      </w:pPr>
    </w:p>
    <w:p>
      <w:pPr>
        <w:pStyle w:val="BodyText"/>
        <w:ind w:left="417" w:right="806"/>
        <w:jc w:val="both"/>
      </w:pPr>
      <w:r>
        <w:rPr/>
        <w:t>The Premises Standards’</w:t>
      </w:r>
      <w:r>
        <w:rPr/>
        <w:t> requirement</w:t>
      </w:r>
      <w:r>
        <w:rPr/>
        <w:t> for</w:t>
      </w:r>
      <w:r>
        <w:rPr/>
        <w:t> access</w:t>
      </w:r>
      <w:r>
        <w:rPr/>
        <w:t> to</w:t>
      </w:r>
      <w:r>
        <w:rPr/>
        <w:t> be</w:t>
      </w:r>
      <w:r>
        <w:rPr/>
        <w:t> provided</w:t>
      </w:r>
      <w:r>
        <w:rPr/>
        <w:t> where buildings</w:t>
      </w:r>
      <w:r>
        <w:rPr/>
        <w:t> are</w:t>
      </w:r>
      <w:r>
        <w:rPr/>
        <w:t> upgraded</w:t>
      </w:r>
      <w:r>
        <w:rPr/>
        <w:t> will</w:t>
      </w:r>
      <w:r>
        <w:rPr/>
        <w:t> lead</w:t>
      </w:r>
      <w:r>
        <w:rPr/>
        <w:t> to</w:t>
      </w:r>
      <w:r>
        <w:rPr/>
        <w:t> an</w:t>
      </w:r>
      <w:r>
        <w:rPr/>
        <w:t> accelerated</w:t>
      </w:r>
      <w:r>
        <w:rPr/>
        <w:t> rate</w:t>
      </w:r>
      <w:r>
        <w:rPr/>
        <w:t> of</w:t>
      </w:r>
      <w:r>
        <w:rPr/>
        <w:t> scrapping</w:t>
      </w:r>
      <w:r>
        <w:rPr/>
        <w:t> of</w:t>
      </w:r>
      <w:r>
        <w:rPr/>
        <w:t> the building</w:t>
      </w:r>
      <w:r>
        <w:rPr/>
        <w:t> stock,</w:t>
      </w:r>
      <w:r>
        <w:rPr/>
        <w:t> since</w:t>
      </w:r>
      <w:r>
        <w:rPr/>
        <w:t> the</w:t>
      </w:r>
      <w:r>
        <w:rPr/>
        <w:t> relative</w:t>
      </w:r>
      <w:r>
        <w:rPr/>
        <w:t> price</w:t>
      </w:r>
      <w:r>
        <w:rPr/>
        <w:t> of</w:t>
      </w:r>
      <w:r>
        <w:rPr/>
        <w:t> renovated</w:t>
      </w:r>
      <w:r>
        <w:rPr/>
        <w:t> buildings</w:t>
      </w:r>
      <w:r>
        <w:rPr/>
        <w:t> will</w:t>
      </w:r>
      <w:r>
        <w:rPr/>
        <w:t> rise</w:t>
      </w:r>
      <w:r>
        <w:rPr/>
        <w:t> in</w:t>
      </w:r>
      <w:r>
        <w:rPr>
          <w:spacing w:val="40"/>
        </w:rPr>
        <w:t> </w:t>
      </w:r>
      <w:r>
        <w:rPr/>
        <w:t>relation to the price of new buildings.</w:t>
      </w:r>
      <w:r>
        <w:rPr>
          <w:spacing w:val="40"/>
        </w:rPr>
        <w:t> </w:t>
      </w:r>
      <w:r>
        <w:rPr/>
        <w:t>At the same time, existing buildings are likely to remain in use in an unrenovated state for longer.</w:t>
      </w:r>
      <w:r>
        <w:rPr>
          <w:spacing w:val="40"/>
        </w:rPr>
        <w:t> </w:t>
      </w:r>
      <w:r>
        <w:rPr/>
        <w:t>There are clearly important welfare losses involved in having buildings used in ways that are less than optimal because changing their use would trigger a need to undertake costly or space reducing renovations that provide inadequate revenues to justify the expenditure incurred.</w:t>
      </w:r>
      <w:r>
        <w:rPr>
          <w:spacing w:val="80"/>
        </w:rPr>
        <w:t> </w:t>
      </w:r>
      <w:r>
        <w:rPr/>
        <w:t>Similarly, there are welfare losses involved in maintaining use of existing premises rather than building new,</w:t>
      </w:r>
      <w:r>
        <w:rPr>
          <w:spacing w:val="68"/>
        </w:rPr>
        <w:t> </w:t>
      </w:r>
      <w:r>
        <w:rPr/>
        <w:t>more</w:t>
      </w:r>
      <w:r>
        <w:rPr>
          <w:spacing w:val="69"/>
        </w:rPr>
        <w:t> </w:t>
      </w:r>
      <w:r>
        <w:rPr/>
        <w:t>suitable</w:t>
      </w:r>
      <w:r>
        <w:rPr>
          <w:spacing w:val="69"/>
        </w:rPr>
        <w:t> </w:t>
      </w:r>
      <w:r>
        <w:rPr/>
        <w:t>premises,</w:t>
      </w:r>
      <w:r>
        <w:rPr>
          <w:spacing w:val="69"/>
        </w:rPr>
        <w:t> </w:t>
      </w:r>
      <w:r>
        <w:rPr/>
        <w:t>the</w:t>
      </w:r>
      <w:r>
        <w:rPr>
          <w:spacing w:val="70"/>
        </w:rPr>
        <w:t> </w:t>
      </w:r>
      <w:r>
        <w:rPr/>
        <w:t>costs</w:t>
      </w:r>
      <w:r>
        <w:rPr>
          <w:spacing w:val="69"/>
        </w:rPr>
        <w:t> </w:t>
      </w:r>
      <w:r>
        <w:rPr/>
        <w:t>of</w:t>
      </w:r>
      <w:r>
        <w:rPr>
          <w:spacing w:val="69"/>
        </w:rPr>
        <w:t> </w:t>
      </w:r>
      <w:r>
        <w:rPr/>
        <w:t>which</w:t>
      </w:r>
      <w:r>
        <w:rPr>
          <w:spacing w:val="69"/>
        </w:rPr>
        <w:t> </w:t>
      </w:r>
      <w:r>
        <w:rPr/>
        <w:t>have</w:t>
      </w:r>
      <w:r>
        <w:rPr>
          <w:spacing w:val="69"/>
        </w:rPr>
        <w:t> </w:t>
      </w:r>
      <w:r>
        <w:rPr/>
        <w:t>been</w:t>
      </w:r>
      <w:r>
        <w:rPr>
          <w:spacing w:val="69"/>
        </w:rPr>
        <w:t> </w:t>
      </w:r>
      <w:r>
        <w:rPr/>
        <w:t>boosted</w:t>
      </w:r>
      <w:r>
        <w:rPr>
          <w:spacing w:val="69"/>
        </w:rPr>
        <w:t> </w:t>
      </w:r>
      <w:r>
        <w:rPr>
          <w:spacing w:val="-5"/>
        </w:rPr>
        <w:t>by</w:t>
      </w:r>
    </w:p>
    <w:p>
      <w:pPr>
        <w:spacing w:after="0"/>
        <w:jc w:val="both"/>
        <w:sectPr>
          <w:pgSz w:w="11900" w:h="16840"/>
          <w:pgMar w:header="0" w:footer="1130" w:top="1360" w:bottom="1320" w:left="1380" w:right="980"/>
        </w:sectPr>
      </w:pPr>
    </w:p>
    <w:p>
      <w:pPr>
        <w:pStyle w:val="BodyText"/>
        <w:spacing w:before="77"/>
        <w:ind w:left="417" w:right="810"/>
        <w:jc w:val="both"/>
      </w:pPr>
      <w:bookmarkStart w:name="_bookmark23" w:id="89"/>
      <w:bookmarkEnd w:id="89"/>
      <w:r>
        <w:rPr/>
      </w:r>
      <w:r>
        <w:rPr/>
        <w:t>regulatory requirements beyond a point at which the savings are not commensurate with the additional costs.</w:t>
      </w:r>
    </w:p>
    <w:p>
      <w:pPr>
        <w:pStyle w:val="BodyText"/>
        <w:spacing w:before="11"/>
        <w:rPr>
          <w:sz w:val="23"/>
        </w:rPr>
      </w:pPr>
    </w:p>
    <w:p>
      <w:pPr>
        <w:pStyle w:val="BodyText"/>
        <w:ind w:left="417" w:right="807"/>
        <w:jc w:val="both"/>
      </w:pPr>
      <w:r>
        <w:rPr/>
        <w:t>Particularly over the medium to longer term, the higher costs of buildings (resulting from the fact that costs for both new and renovated buildings have increased) is likely to reduce the demand for building space, thus offsetting some</w:t>
      </w:r>
      <w:r>
        <w:rPr>
          <w:spacing w:val="-1"/>
        </w:rPr>
        <w:t> </w:t>
      </w:r>
      <w:r>
        <w:rPr/>
        <w:t>of</w:t>
      </w:r>
      <w:r>
        <w:rPr>
          <w:spacing w:val="-1"/>
        </w:rPr>
        <w:t> </w:t>
      </w:r>
      <w:r>
        <w:rPr/>
        <w:t>the</w:t>
      </w:r>
      <w:r>
        <w:rPr>
          <w:spacing w:val="-1"/>
        </w:rPr>
        <w:t> </w:t>
      </w:r>
      <w:r>
        <w:rPr/>
        <w:t>rental</w:t>
      </w:r>
      <w:r>
        <w:rPr>
          <w:spacing w:val="-1"/>
        </w:rPr>
        <w:t> </w:t>
      </w:r>
      <w:r>
        <w:rPr/>
        <w:t>price</w:t>
      </w:r>
      <w:r>
        <w:rPr>
          <w:spacing w:val="-1"/>
        </w:rPr>
        <w:t> </w:t>
      </w:r>
      <w:r>
        <w:rPr/>
        <w:t>increases</w:t>
      </w:r>
      <w:r>
        <w:rPr>
          <w:spacing w:val="-1"/>
        </w:rPr>
        <w:t> </w:t>
      </w:r>
      <w:r>
        <w:rPr/>
        <w:t>identified and reducing the demand for new buildings.</w:t>
      </w:r>
      <w:r>
        <w:rPr>
          <w:spacing w:val="40"/>
        </w:rPr>
        <w:t> </w:t>
      </w:r>
      <w:r>
        <w:rPr/>
        <w:t>In essence, requiring new and existing buildings to meet the new regulatory requirements simultaneously will compress the timing of the cost effects that would be felt if the regulations applied only to new buildings.</w:t>
      </w:r>
    </w:p>
    <w:p>
      <w:pPr>
        <w:pStyle w:val="BodyText"/>
        <w:rPr>
          <w:sz w:val="26"/>
        </w:rPr>
      </w:pPr>
    </w:p>
    <w:p>
      <w:pPr>
        <w:pStyle w:val="Heading2"/>
        <w:numPr>
          <w:ilvl w:val="1"/>
          <w:numId w:val="25"/>
        </w:numPr>
        <w:tabs>
          <w:tab w:pos="1137" w:val="left" w:leader="none"/>
          <w:tab w:pos="1139" w:val="left" w:leader="none"/>
        </w:tabs>
        <w:spacing w:line="240" w:lineRule="auto" w:before="219" w:after="0"/>
        <w:ind w:left="1138" w:right="0" w:hanging="722"/>
        <w:jc w:val="left"/>
        <w:rPr>
          <w:i/>
        </w:rPr>
      </w:pPr>
      <w:bookmarkStart w:name="8.6 Cost offsets" w:id="90"/>
      <w:bookmarkEnd w:id="90"/>
      <w:r>
        <w:rPr>
          <w:i/>
        </w:rPr>
        <w:t>Cost</w:t>
      </w:r>
      <w:r>
        <w:rPr>
          <w:i/>
          <w:spacing w:val="-7"/>
        </w:rPr>
        <w:t> </w:t>
      </w:r>
      <w:r>
        <w:rPr>
          <w:i/>
          <w:spacing w:val="-2"/>
        </w:rPr>
        <w:t>offsets</w:t>
      </w:r>
    </w:p>
    <w:p>
      <w:pPr>
        <w:pStyle w:val="BodyText"/>
        <w:rPr>
          <w:b/>
          <w:i/>
          <w:sz w:val="29"/>
        </w:rPr>
      </w:pPr>
    </w:p>
    <w:p>
      <w:pPr>
        <w:pStyle w:val="BodyText"/>
        <w:ind w:left="417" w:right="808"/>
        <w:jc w:val="both"/>
      </w:pPr>
      <w:r>
        <w:rPr/>
        <w:t>The above discussion of costs can be seen as assuming, implicitly, that owners and users of buildings generally do not obtain any offsetting benefits from the provision of accessibility requirements.</w:t>
      </w:r>
      <w:r>
        <w:rPr>
          <w:spacing w:val="40"/>
        </w:rPr>
        <w:t> </w:t>
      </w:r>
      <w:r>
        <w:rPr/>
        <w:t>That is, it is implicitly assumed that benefits accrue only to people with disabilities who use these </w:t>
      </w:r>
      <w:r>
        <w:rPr>
          <w:spacing w:val="-2"/>
        </w:rPr>
        <w:t>buildings.</w:t>
      </w:r>
    </w:p>
    <w:p>
      <w:pPr>
        <w:pStyle w:val="BodyText"/>
      </w:pPr>
    </w:p>
    <w:p>
      <w:pPr>
        <w:pStyle w:val="BodyText"/>
        <w:spacing w:before="1"/>
        <w:ind w:left="417" w:right="807"/>
        <w:jc w:val="both"/>
      </w:pPr>
      <w:r>
        <w:rPr/>
        <w:t>In practice, this will not be the case.</w:t>
      </w:r>
      <w:r>
        <w:rPr>
          <w:spacing w:val="73"/>
        </w:rPr>
        <w:t> </w:t>
      </w:r>
      <w:r>
        <w:rPr/>
        <w:t>It is true that many of the items specified in the Premises Standards would have a limited, if any, value to people</w:t>
      </w:r>
      <w:r>
        <w:rPr>
          <w:spacing w:val="40"/>
        </w:rPr>
        <w:t> </w:t>
      </w:r>
      <w:r>
        <w:rPr/>
        <w:t>without</w:t>
      </w:r>
      <w:r>
        <w:rPr>
          <w:spacing w:val="-3"/>
        </w:rPr>
        <w:t> </w:t>
      </w:r>
      <w:r>
        <w:rPr/>
        <w:t>a</w:t>
      </w:r>
      <w:r>
        <w:rPr>
          <w:spacing w:val="-3"/>
        </w:rPr>
        <w:t> </w:t>
      </w:r>
      <w:r>
        <w:rPr/>
        <w:t>disability.</w:t>
      </w:r>
      <w:r>
        <w:rPr>
          <w:spacing w:val="40"/>
        </w:rPr>
        <w:t> </w:t>
      </w:r>
      <w:r>
        <w:rPr/>
        <w:t>Accessible</w:t>
      </w:r>
      <w:r>
        <w:rPr>
          <w:spacing w:val="-3"/>
        </w:rPr>
        <w:t> </w:t>
      </w:r>
      <w:r>
        <w:rPr/>
        <w:t>sanitary</w:t>
      </w:r>
      <w:r>
        <w:rPr>
          <w:spacing w:val="-3"/>
        </w:rPr>
        <w:t> </w:t>
      </w:r>
      <w:r>
        <w:rPr/>
        <w:t>facilities</w:t>
      </w:r>
      <w:r>
        <w:rPr>
          <w:spacing w:val="-3"/>
        </w:rPr>
        <w:t> </w:t>
      </w:r>
      <w:r>
        <w:rPr/>
        <w:t>might</w:t>
      </w:r>
      <w:r>
        <w:rPr>
          <w:spacing w:val="-3"/>
        </w:rPr>
        <w:t> </w:t>
      </w:r>
      <w:r>
        <w:rPr/>
        <w:t>be</w:t>
      </w:r>
      <w:r>
        <w:rPr>
          <w:spacing w:val="-3"/>
        </w:rPr>
        <w:t> </w:t>
      </w:r>
      <w:r>
        <w:rPr/>
        <w:t>cited</w:t>
      </w:r>
      <w:r>
        <w:rPr>
          <w:spacing w:val="-3"/>
        </w:rPr>
        <w:t> </w:t>
      </w:r>
      <w:r>
        <w:rPr/>
        <w:t>as</w:t>
      </w:r>
      <w:r>
        <w:rPr>
          <w:spacing w:val="-3"/>
        </w:rPr>
        <w:t> </w:t>
      </w:r>
      <w:r>
        <w:rPr/>
        <w:t>an</w:t>
      </w:r>
      <w:r>
        <w:rPr>
          <w:spacing w:val="-3"/>
        </w:rPr>
        <w:t> </w:t>
      </w:r>
      <w:r>
        <w:rPr/>
        <w:t>example of this.</w:t>
      </w:r>
      <w:r>
        <w:rPr>
          <w:spacing w:val="40"/>
        </w:rPr>
        <w:t> </w:t>
      </w:r>
      <w:r>
        <w:rPr/>
        <w:t>However, other provisions will clearly have wider benefits.</w:t>
      </w:r>
      <w:r>
        <w:rPr>
          <w:spacing w:val="40"/>
        </w:rPr>
        <w:t> </w:t>
      </w:r>
      <w:r>
        <w:rPr/>
        <w:t>Increased provision of accessible entrances, larger lift plates and other related</w:t>
      </w:r>
      <w:r>
        <w:rPr>
          <w:spacing w:val="40"/>
        </w:rPr>
        <w:t> </w:t>
      </w:r>
      <w:r>
        <w:rPr/>
        <w:t>provisions can be expected to improve circulation within the building for all users, whether they have a disability or not.</w:t>
      </w:r>
      <w:r>
        <w:rPr>
          <w:spacing w:val="40"/>
        </w:rPr>
        <w:t> </w:t>
      </w:r>
      <w:r>
        <w:rPr/>
        <w:t>These benefits might be particularly significant in the context of deliveries, moving furniture and office equipment, and so forth.</w:t>
      </w:r>
    </w:p>
    <w:p>
      <w:pPr>
        <w:pStyle w:val="BodyText"/>
      </w:pPr>
    </w:p>
    <w:p>
      <w:pPr>
        <w:pStyle w:val="BodyText"/>
        <w:ind w:left="417" w:right="806"/>
        <w:jc w:val="both"/>
      </w:pPr>
      <w:r>
        <w:rPr/>
        <w:t>To the extent that these offsets exist they should, conceptually, be included among the benefits of the Premises Standards.</w:t>
      </w:r>
      <w:r>
        <w:rPr>
          <w:spacing w:val="40"/>
        </w:rPr>
        <w:t> </w:t>
      </w:r>
      <w:r>
        <w:rPr/>
        <w:t>This RIS discusses the benefits of the Premises Standards for people who do not have disabilities in qualitative terms because it has not been possible to quantify these benefits. The existence of these benefits is again noted here in order to ensure that they are taken into account by the reader.</w:t>
      </w:r>
      <w:r>
        <w:rPr>
          <w:spacing w:val="40"/>
        </w:rPr>
        <w:t> </w:t>
      </w:r>
      <w:r>
        <w:rPr/>
        <w:t>We note, however, that comments received in response to the draft RIS indicated that stakeholders differed widely in their perceptions of the size and importance of these benefits.</w:t>
      </w:r>
    </w:p>
    <w:p>
      <w:pPr>
        <w:pStyle w:val="BodyText"/>
        <w:rPr>
          <w:sz w:val="26"/>
        </w:rPr>
      </w:pPr>
    </w:p>
    <w:p>
      <w:pPr>
        <w:pStyle w:val="Heading2"/>
        <w:numPr>
          <w:ilvl w:val="1"/>
          <w:numId w:val="25"/>
        </w:numPr>
        <w:tabs>
          <w:tab w:pos="1137" w:val="left" w:leader="none"/>
          <w:tab w:pos="1138" w:val="left" w:leader="none"/>
        </w:tabs>
        <w:spacing w:line="240" w:lineRule="auto" w:before="219" w:after="0"/>
        <w:ind w:left="1137" w:right="0" w:hanging="721"/>
        <w:jc w:val="left"/>
        <w:rPr>
          <w:i/>
        </w:rPr>
      </w:pPr>
      <w:bookmarkStart w:name="8.7 Summarizing Economic Costs " w:id="91"/>
      <w:bookmarkEnd w:id="91"/>
      <w:r>
        <w:rPr>
          <w:i/>
        </w:rPr>
        <w:t>Summarizing</w:t>
      </w:r>
      <w:r>
        <w:rPr>
          <w:i/>
          <w:spacing w:val="-16"/>
        </w:rPr>
        <w:t> </w:t>
      </w:r>
      <w:r>
        <w:rPr>
          <w:i/>
        </w:rPr>
        <w:t>Economic</w:t>
      </w:r>
      <w:r>
        <w:rPr>
          <w:i/>
          <w:spacing w:val="-15"/>
        </w:rPr>
        <w:t> </w:t>
      </w:r>
      <w:r>
        <w:rPr>
          <w:i/>
          <w:spacing w:val="-2"/>
        </w:rPr>
        <w:t>Costs</w:t>
      </w:r>
    </w:p>
    <w:p>
      <w:pPr>
        <w:pStyle w:val="BodyText"/>
        <w:rPr>
          <w:b/>
          <w:i/>
          <w:sz w:val="29"/>
        </w:rPr>
      </w:pPr>
    </w:p>
    <w:p>
      <w:pPr>
        <w:pStyle w:val="BodyText"/>
        <w:ind w:left="417" w:right="809"/>
        <w:jc w:val="both"/>
      </w:pPr>
      <w:r>
        <w:rPr/>
        <w:t>Combining</w:t>
      </w:r>
      <w:r>
        <w:rPr/>
        <w:t> the</w:t>
      </w:r>
      <w:r>
        <w:rPr/>
        <w:t> direct</w:t>
      </w:r>
      <w:r>
        <w:rPr/>
        <w:t> and</w:t>
      </w:r>
      <w:r>
        <w:rPr/>
        <w:t> indirect</w:t>
      </w:r>
      <w:r>
        <w:rPr/>
        <w:t> costs</w:t>
      </w:r>
      <w:r>
        <w:rPr/>
        <w:t> of</w:t>
      </w:r>
      <w:r>
        <w:rPr/>
        <w:t> the</w:t>
      </w:r>
      <w:r>
        <w:rPr/>
        <w:t> proposed</w:t>
      </w:r>
      <w:r>
        <w:rPr/>
        <w:t> 2008 Premises Standards brings increased economy-wide costs estimated at around $620 million per annum</w:t>
      </w:r>
      <w:r>
        <w:rPr>
          <w:vertAlign w:val="superscript"/>
        </w:rPr>
        <w:t>63</w:t>
      </w:r>
      <w:r>
        <w:rPr>
          <w:vertAlign w:val="baseline"/>
        </w:rPr>
        <w:t>.</w:t>
      </w:r>
      <w:r>
        <w:rPr>
          <w:spacing w:val="40"/>
          <w:vertAlign w:val="baseline"/>
        </w:rPr>
        <w:t> </w:t>
      </w:r>
      <w:r>
        <w:rPr>
          <w:vertAlign w:val="baseline"/>
        </w:rPr>
        <w:t>As noted above, this total cost comprises:</w:t>
      </w:r>
    </w:p>
    <w:p>
      <w:pPr>
        <w:pStyle w:val="BodyText"/>
        <w:rPr>
          <w:sz w:val="20"/>
        </w:rPr>
      </w:pPr>
    </w:p>
    <w:p>
      <w:pPr>
        <w:pStyle w:val="BodyText"/>
        <w:rPr>
          <w:sz w:val="20"/>
        </w:rPr>
      </w:pPr>
    </w:p>
    <w:p>
      <w:pPr>
        <w:pStyle w:val="BodyText"/>
        <w:spacing w:before="6"/>
        <w:rPr>
          <w:sz w:val="27"/>
        </w:rPr>
      </w:pPr>
      <w:r>
        <w:rPr/>
        <w:pict>
          <v:rect style="position:absolute;margin-left:89.879997pt;margin-top:17.02837pt;width:144pt;height:.6pt;mso-position-horizontal-relative:page;mso-position-vertical-relative:paragraph;z-index:-15704064;mso-wrap-distance-left:0;mso-wrap-distance-right:0" id="docshape57" filled="true" fillcolor="#000000" stroked="false">
            <v:fill type="solid"/>
            <w10:wrap type="topAndBottom"/>
          </v:rect>
        </w:pict>
      </w:r>
    </w:p>
    <w:p>
      <w:pPr>
        <w:pStyle w:val="BodyText"/>
        <w:spacing w:before="1"/>
        <w:rPr>
          <w:sz w:val="8"/>
        </w:rPr>
      </w:pPr>
    </w:p>
    <w:p>
      <w:pPr>
        <w:spacing w:before="130"/>
        <w:ind w:left="417" w:right="0" w:firstLine="0"/>
        <w:jc w:val="left"/>
        <w:rPr>
          <w:sz w:val="20"/>
        </w:rPr>
      </w:pPr>
      <w:r>
        <w:rPr>
          <w:sz w:val="20"/>
          <w:vertAlign w:val="superscript"/>
        </w:rPr>
        <w:t>63</w:t>
      </w:r>
      <w:r>
        <w:rPr>
          <w:spacing w:val="-6"/>
          <w:sz w:val="20"/>
          <w:vertAlign w:val="baseline"/>
        </w:rPr>
        <w:t> </w:t>
      </w:r>
      <w:r>
        <w:rPr>
          <w:sz w:val="20"/>
          <w:vertAlign w:val="baseline"/>
        </w:rPr>
        <w:t>Any</w:t>
      </w:r>
      <w:r>
        <w:rPr>
          <w:spacing w:val="-6"/>
          <w:sz w:val="20"/>
          <w:vertAlign w:val="baseline"/>
        </w:rPr>
        <w:t> </w:t>
      </w:r>
      <w:r>
        <w:rPr>
          <w:sz w:val="20"/>
          <w:vertAlign w:val="baseline"/>
        </w:rPr>
        <w:t>additional</w:t>
      </w:r>
      <w:r>
        <w:rPr>
          <w:spacing w:val="-6"/>
          <w:sz w:val="20"/>
          <w:vertAlign w:val="baseline"/>
        </w:rPr>
        <w:t> </w:t>
      </w:r>
      <w:r>
        <w:rPr>
          <w:sz w:val="20"/>
          <w:vertAlign w:val="baseline"/>
        </w:rPr>
        <w:t>costs</w:t>
      </w:r>
      <w:r>
        <w:rPr>
          <w:spacing w:val="-5"/>
          <w:sz w:val="20"/>
          <w:vertAlign w:val="baseline"/>
        </w:rPr>
        <w:t> </w:t>
      </w:r>
      <w:r>
        <w:rPr>
          <w:sz w:val="20"/>
          <w:vertAlign w:val="baseline"/>
        </w:rPr>
        <w:t>resulting</w:t>
      </w:r>
      <w:r>
        <w:rPr>
          <w:spacing w:val="-6"/>
          <w:sz w:val="20"/>
          <w:vertAlign w:val="baseline"/>
        </w:rPr>
        <w:t> </w:t>
      </w:r>
      <w:r>
        <w:rPr>
          <w:sz w:val="20"/>
          <w:vertAlign w:val="baseline"/>
        </w:rPr>
        <w:t>from</w:t>
      </w:r>
      <w:r>
        <w:rPr>
          <w:spacing w:val="-6"/>
          <w:sz w:val="20"/>
          <w:vertAlign w:val="baseline"/>
        </w:rPr>
        <w:t> </w:t>
      </w:r>
      <w:r>
        <w:rPr>
          <w:sz w:val="20"/>
          <w:vertAlign w:val="baseline"/>
        </w:rPr>
        <w:t>the</w:t>
      </w:r>
      <w:r>
        <w:rPr>
          <w:spacing w:val="-6"/>
          <w:sz w:val="20"/>
          <w:vertAlign w:val="baseline"/>
        </w:rPr>
        <w:t> </w:t>
      </w:r>
      <w:r>
        <w:rPr>
          <w:sz w:val="20"/>
          <w:vertAlign w:val="baseline"/>
        </w:rPr>
        <w:t>2009</w:t>
      </w:r>
      <w:r>
        <w:rPr>
          <w:spacing w:val="-5"/>
          <w:sz w:val="20"/>
          <w:vertAlign w:val="baseline"/>
        </w:rPr>
        <w:t> </w:t>
      </w:r>
      <w:r>
        <w:rPr>
          <w:sz w:val="20"/>
          <w:vertAlign w:val="baseline"/>
        </w:rPr>
        <w:t>amendments</w:t>
      </w:r>
      <w:r>
        <w:rPr>
          <w:spacing w:val="-6"/>
          <w:sz w:val="20"/>
          <w:vertAlign w:val="baseline"/>
        </w:rPr>
        <w:t> </w:t>
      </w:r>
      <w:r>
        <w:rPr>
          <w:sz w:val="20"/>
          <w:vertAlign w:val="baseline"/>
        </w:rPr>
        <w:t>are</w:t>
      </w:r>
      <w:r>
        <w:rPr>
          <w:spacing w:val="-6"/>
          <w:sz w:val="20"/>
          <w:vertAlign w:val="baseline"/>
        </w:rPr>
        <w:t> </w:t>
      </w:r>
      <w:r>
        <w:rPr>
          <w:sz w:val="20"/>
          <w:vertAlign w:val="baseline"/>
        </w:rPr>
        <w:t>discussed</w:t>
      </w:r>
      <w:r>
        <w:rPr>
          <w:spacing w:val="-5"/>
          <w:sz w:val="20"/>
          <w:vertAlign w:val="baseline"/>
        </w:rPr>
        <w:t> </w:t>
      </w:r>
      <w:r>
        <w:rPr>
          <w:sz w:val="20"/>
          <w:vertAlign w:val="baseline"/>
        </w:rPr>
        <w:t>in</w:t>
      </w:r>
      <w:r>
        <w:rPr>
          <w:spacing w:val="-6"/>
          <w:sz w:val="20"/>
          <w:vertAlign w:val="baseline"/>
        </w:rPr>
        <w:t> </w:t>
      </w:r>
      <w:r>
        <w:rPr>
          <w:sz w:val="20"/>
          <w:vertAlign w:val="baseline"/>
        </w:rPr>
        <w:t>Appendix</w:t>
      </w:r>
      <w:r>
        <w:rPr>
          <w:spacing w:val="-6"/>
          <w:sz w:val="20"/>
          <w:vertAlign w:val="baseline"/>
        </w:rPr>
        <w:t> </w:t>
      </w:r>
      <w:r>
        <w:rPr>
          <w:spacing w:val="-5"/>
          <w:sz w:val="20"/>
          <w:vertAlign w:val="baseline"/>
        </w:rPr>
        <w:t>D.</w:t>
      </w:r>
    </w:p>
    <w:p>
      <w:pPr>
        <w:spacing w:after="0"/>
        <w:jc w:val="left"/>
        <w:rPr>
          <w:sz w:val="20"/>
        </w:rPr>
        <w:sectPr>
          <w:pgSz w:w="11900" w:h="16840"/>
          <w:pgMar w:header="0" w:footer="1130" w:top="1360" w:bottom="1320" w:left="1380" w:right="980"/>
        </w:sectPr>
      </w:pPr>
    </w:p>
    <w:p>
      <w:pPr>
        <w:pStyle w:val="ListParagraph"/>
        <w:numPr>
          <w:ilvl w:val="0"/>
          <w:numId w:val="31"/>
        </w:numPr>
        <w:tabs>
          <w:tab w:pos="1137" w:val="left" w:leader="none"/>
          <w:tab w:pos="1138" w:val="left" w:leader="none"/>
        </w:tabs>
        <w:spacing w:line="240" w:lineRule="auto" w:before="77" w:after="0"/>
        <w:ind w:left="1137" w:right="0" w:hanging="363"/>
        <w:jc w:val="left"/>
        <w:rPr>
          <w:sz w:val="24"/>
        </w:rPr>
      </w:pPr>
      <w:r>
        <w:rPr>
          <w:sz w:val="24"/>
        </w:rPr>
        <w:t>$159</w:t>
      </w:r>
      <w:r>
        <w:rPr>
          <w:spacing w:val="-5"/>
          <w:sz w:val="24"/>
        </w:rPr>
        <w:t> </w:t>
      </w:r>
      <w:r>
        <w:rPr>
          <w:sz w:val="24"/>
        </w:rPr>
        <w:t>million</w:t>
      </w:r>
      <w:r>
        <w:rPr>
          <w:spacing w:val="-4"/>
          <w:sz w:val="24"/>
        </w:rPr>
        <w:t> </w:t>
      </w:r>
      <w:r>
        <w:rPr>
          <w:sz w:val="24"/>
        </w:rPr>
        <w:t>in</w:t>
      </w:r>
      <w:r>
        <w:rPr>
          <w:spacing w:val="-4"/>
          <w:sz w:val="24"/>
        </w:rPr>
        <w:t> </w:t>
      </w:r>
      <w:r>
        <w:rPr>
          <w:sz w:val="24"/>
        </w:rPr>
        <w:t>annual</w:t>
      </w:r>
      <w:r>
        <w:rPr>
          <w:spacing w:val="-4"/>
          <w:sz w:val="24"/>
        </w:rPr>
        <w:t> </w:t>
      </w:r>
      <w:r>
        <w:rPr>
          <w:sz w:val="24"/>
        </w:rPr>
        <w:t>cost</w:t>
      </w:r>
      <w:r>
        <w:rPr>
          <w:spacing w:val="-4"/>
          <w:sz w:val="24"/>
        </w:rPr>
        <w:t> </w:t>
      </w:r>
      <w:r>
        <w:rPr>
          <w:sz w:val="24"/>
        </w:rPr>
        <w:t>increases</w:t>
      </w:r>
      <w:r>
        <w:rPr>
          <w:spacing w:val="-4"/>
          <w:sz w:val="24"/>
        </w:rPr>
        <w:t> </w:t>
      </w:r>
      <w:r>
        <w:rPr>
          <w:sz w:val="24"/>
        </w:rPr>
        <w:t>in</w:t>
      </w:r>
      <w:r>
        <w:rPr>
          <w:spacing w:val="-4"/>
          <w:sz w:val="24"/>
        </w:rPr>
        <w:t> </w:t>
      </w:r>
      <w:r>
        <w:rPr>
          <w:sz w:val="24"/>
        </w:rPr>
        <w:t>respect</w:t>
      </w:r>
      <w:r>
        <w:rPr>
          <w:spacing w:val="-5"/>
          <w:sz w:val="24"/>
        </w:rPr>
        <w:t> </w:t>
      </w:r>
      <w:r>
        <w:rPr>
          <w:sz w:val="24"/>
        </w:rPr>
        <w:t>of</w:t>
      </w:r>
      <w:r>
        <w:rPr>
          <w:spacing w:val="-4"/>
          <w:sz w:val="24"/>
        </w:rPr>
        <w:t> </w:t>
      </w:r>
      <w:r>
        <w:rPr>
          <w:sz w:val="24"/>
        </w:rPr>
        <w:t>new</w:t>
      </w:r>
      <w:r>
        <w:rPr>
          <w:spacing w:val="-4"/>
          <w:sz w:val="24"/>
        </w:rPr>
        <w:t> </w:t>
      </w:r>
      <w:r>
        <w:rPr>
          <w:spacing w:val="-2"/>
          <w:sz w:val="24"/>
        </w:rPr>
        <w:t>buildings;</w:t>
      </w:r>
    </w:p>
    <w:p>
      <w:pPr>
        <w:pStyle w:val="ListParagraph"/>
        <w:numPr>
          <w:ilvl w:val="0"/>
          <w:numId w:val="31"/>
        </w:numPr>
        <w:tabs>
          <w:tab w:pos="1137" w:val="left" w:leader="none"/>
          <w:tab w:pos="1138" w:val="left" w:leader="none"/>
        </w:tabs>
        <w:spacing w:line="240" w:lineRule="auto" w:before="118" w:after="0"/>
        <w:ind w:left="1131" w:right="811" w:hanging="357"/>
        <w:jc w:val="left"/>
        <w:rPr>
          <w:sz w:val="24"/>
        </w:rPr>
      </w:pPr>
      <w:r>
        <w:rPr>
          <w:sz w:val="24"/>
        </w:rPr>
        <w:t>$305 million in annual cost increases in respect of building upgrades; </w:t>
      </w:r>
      <w:r>
        <w:rPr>
          <w:spacing w:val="-4"/>
          <w:sz w:val="24"/>
        </w:rPr>
        <w:t>and</w:t>
      </w:r>
    </w:p>
    <w:p>
      <w:pPr>
        <w:pStyle w:val="ListParagraph"/>
        <w:numPr>
          <w:ilvl w:val="0"/>
          <w:numId w:val="31"/>
        </w:numPr>
        <w:tabs>
          <w:tab w:pos="1137" w:val="left" w:leader="none"/>
          <w:tab w:pos="1138" w:val="left" w:leader="none"/>
        </w:tabs>
        <w:spacing w:line="237" w:lineRule="auto" w:before="121" w:after="0"/>
        <w:ind w:left="1131" w:right="809" w:hanging="357"/>
        <w:jc w:val="left"/>
        <w:rPr>
          <w:sz w:val="24"/>
        </w:rPr>
      </w:pPr>
      <w:r>
        <w:rPr>
          <w:sz w:val="24"/>
        </w:rPr>
        <w:t>a further $156 million in annual costs of the lost NLA, again relating to building upgrade works.</w:t>
      </w:r>
    </w:p>
    <w:p>
      <w:pPr>
        <w:pStyle w:val="BodyText"/>
      </w:pPr>
    </w:p>
    <w:p>
      <w:pPr>
        <w:pStyle w:val="BodyText"/>
        <w:ind w:left="417"/>
        <w:jc w:val="both"/>
      </w:pPr>
      <w:r>
        <w:rPr/>
        <w:t>As</w:t>
      </w:r>
      <w:r>
        <w:rPr>
          <w:spacing w:val="-7"/>
        </w:rPr>
        <w:t> </w:t>
      </w:r>
      <w:r>
        <w:rPr/>
        <w:t>well,</w:t>
      </w:r>
      <w:r>
        <w:rPr>
          <w:spacing w:val="-4"/>
        </w:rPr>
        <w:t> </w:t>
      </w:r>
      <w:r>
        <w:rPr/>
        <w:t>the</w:t>
      </w:r>
      <w:r>
        <w:rPr>
          <w:spacing w:val="-4"/>
        </w:rPr>
        <w:t> </w:t>
      </w:r>
      <w:r>
        <w:rPr/>
        <w:t>broader</w:t>
      </w:r>
      <w:r>
        <w:rPr>
          <w:spacing w:val="-4"/>
        </w:rPr>
        <w:t> </w:t>
      </w:r>
      <w:r>
        <w:rPr/>
        <w:t>impacts</w:t>
      </w:r>
      <w:r>
        <w:rPr>
          <w:spacing w:val="-4"/>
        </w:rPr>
        <w:t> </w:t>
      </w:r>
      <w:r>
        <w:rPr/>
        <w:t>of</w:t>
      </w:r>
      <w:r>
        <w:rPr>
          <w:spacing w:val="-4"/>
        </w:rPr>
        <w:t> </w:t>
      </w:r>
      <w:r>
        <w:rPr/>
        <w:t>these</w:t>
      </w:r>
      <w:r>
        <w:rPr>
          <w:spacing w:val="-4"/>
        </w:rPr>
        <w:t> </w:t>
      </w:r>
      <w:r>
        <w:rPr/>
        <w:t>regulatory</w:t>
      </w:r>
      <w:r>
        <w:rPr>
          <w:spacing w:val="-4"/>
        </w:rPr>
        <w:t> </w:t>
      </w:r>
      <w:r>
        <w:rPr/>
        <w:t>proposals</w:t>
      </w:r>
      <w:r>
        <w:rPr>
          <w:spacing w:val="-4"/>
        </w:rPr>
        <w:t> </w:t>
      </w:r>
      <w:r>
        <w:rPr>
          <w:spacing w:val="-2"/>
        </w:rPr>
        <w:t>include:</w:t>
      </w:r>
    </w:p>
    <w:p>
      <w:pPr>
        <w:pStyle w:val="BodyText"/>
        <w:spacing w:before="1"/>
      </w:pPr>
    </w:p>
    <w:p>
      <w:pPr>
        <w:pStyle w:val="ListParagraph"/>
        <w:numPr>
          <w:ilvl w:val="0"/>
          <w:numId w:val="31"/>
        </w:numPr>
        <w:tabs>
          <w:tab w:pos="1138" w:val="left" w:leader="none"/>
        </w:tabs>
        <w:spacing w:line="240" w:lineRule="auto" w:before="0" w:after="0"/>
        <w:ind w:left="1131" w:right="808" w:hanging="357"/>
        <w:jc w:val="both"/>
        <w:rPr>
          <w:sz w:val="24"/>
        </w:rPr>
      </w:pPr>
      <w:r>
        <w:rPr>
          <w:sz w:val="24"/>
        </w:rPr>
        <w:t>a transfer between parties, in this case revenues dedicated to specific uses that are transferred from the community in general to people with a disability; and</w:t>
      </w:r>
    </w:p>
    <w:p>
      <w:pPr>
        <w:pStyle w:val="ListParagraph"/>
        <w:numPr>
          <w:ilvl w:val="0"/>
          <w:numId w:val="31"/>
        </w:numPr>
        <w:tabs>
          <w:tab w:pos="1138" w:val="left" w:leader="none"/>
        </w:tabs>
        <w:spacing w:line="237" w:lineRule="auto" w:before="121" w:after="0"/>
        <w:ind w:left="1137" w:right="808" w:hanging="360"/>
        <w:jc w:val="both"/>
        <w:rPr>
          <w:sz w:val="24"/>
        </w:rPr>
      </w:pPr>
      <w:r>
        <w:rPr>
          <w:sz w:val="24"/>
        </w:rPr>
        <w:t>distortions that the cost impost brings in terms of loss of “welfare” stemming from expenditure being diverted away from the goods and services that become relatively more expensive.</w:t>
      </w:r>
    </w:p>
    <w:p>
      <w:pPr>
        <w:pStyle w:val="BodyText"/>
        <w:spacing w:before="3"/>
      </w:pPr>
    </w:p>
    <w:p>
      <w:pPr>
        <w:pStyle w:val="BodyText"/>
        <w:ind w:left="417" w:right="807"/>
        <w:jc w:val="both"/>
      </w:pPr>
      <w:r>
        <w:rPr/>
        <w:t>It is the second facet that is the true economic cost of a regulatory intervention.</w:t>
      </w:r>
      <w:r>
        <w:rPr>
          <w:spacing w:val="40"/>
        </w:rPr>
        <w:t> </w:t>
      </w:r>
      <w:r>
        <w:rPr/>
        <w:t>However, measuring this is difficult because elasticities of demand (the response of users to higher prices) are difficult to estimate. Estimates of demand elasticities for commercial buildings could not be found, possibly because such measures are more commonly applied to consumer </w:t>
      </w:r>
      <w:r>
        <w:rPr>
          <w:spacing w:val="-2"/>
        </w:rPr>
        <w:t>goods.</w:t>
      </w:r>
    </w:p>
    <w:p>
      <w:pPr>
        <w:pStyle w:val="BodyText"/>
      </w:pPr>
    </w:p>
    <w:p>
      <w:pPr>
        <w:pStyle w:val="BodyText"/>
        <w:ind w:left="417" w:right="807"/>
        <w:jc w:val="both"/>
      </w:pPr>
      <w:r>
        <w:rPr/>
        <w:t>The economy-wide effects are often measured by general equilibrium models of the economy such as those of Monash University, Access Economics and that originally developed by the Australian Treasury (the Murphy Model).</w:t>
      </w:r>
      <w:r>
        <w:rPr>
          <w:spacing w:val="40"/>
        </w:rPr>
        <w:t> </w:t>
      </w:r>
      <w:r>
        <w:rPr/>
        <w:t>One application of such models was commissioned by the Property Council</w:t>
      </w:r>
      <w:r>
        <w:rPr/>
        <w:t> of Australia to assess the case for removing stamp duty on property transfers</w:t>
      </w:r>
      <w:r>
        <w:rPr>
          <w:rFonts w:ascii="Times New Roman" w:hAnsi="Times New Roman"/>
          <w:vertAlign w:val="superscript"/>
        </w:rPr>
        <w:t>64</w:t>
      </w:r>
      <w:r>
        <w:rPr>
          <w:vertAlign w:val="baseline"/>
        </w:rPr>
        <w:t>. The report, undertaken by Access Economics, found the economy-wide costs of stamp duty on conveyancing (which it modelled as a gain from reducing stamp duty) was greater than any other imposts it measured.</w:t>
      </w:r>
      <w:r>
        <w:rPr>
          <w:spacing w:val="40"/>
          <w:vertAlign w:val="baseline"/>
        </w:rPr>
        <w:t> </w:t>
      </w:r>
      <w:r>
        <w:rPr>
          <w:vertAlign w:val="baseline"/>
        </w:rPr>
        <w:t>The cost – resulting from distortions in demand and supply, and hence economic activity</w:t>
      </w:r>
    </w:p>
    <w:p>
      <w:pPr>
        <w:pStyle w:val="BodyText"/>
        <w:spacing w:before="1"/>
        <w:ind w:left="417" w:right="808"/>
        <w:jc w:val="both"/>
      </w:pPr>
      <w:r>
        <w:rPr/>
        <w:t>- of a tax on non-residential property was estimated to be equal to 60% of the revenue raised by the tax.</w:t>
      </w:r>
      <w:r>
        <w:rPr>
          <w:spacing w:val="40"/>
        </w:rPr>
        <w:t> </w:t>
      </w:r>
      <w:r>
        <w:rPr/>
        <w:t>This was found to be twice the cost in economic distortions of a tax raising the same revenue from residential property or from </w:t>
      </w:r>
      <w:r>
        <w:rPr>
          <w:spacing w:val="-2"/>
        </w:rPr>
        <w:t>gambling.</w:t>
      </w:r>
    </w:p>
    <w:p>
      <w:pPr>
        <w:pStyle w:val="BodyText"/>
      </w:pPr>
    </w:p>
    <w:p>
      <w:pPr>
        <w:pStyle w:val="BodyText"/>
        <w:ind w:left="417" w:right="807"/>
        <w:jc w:val="both"/>
      </w:pPr>
      <w:r>
        <w:rPr/>
        <w:t>This large economy-wide effect of property taxes is due to the fact that property is fundamental to a wide range of income-generation activity.</w:t>
      </w:r>
      <w:r>
        <w:rPr>
          <w:spacing w:val="40"/>
        </w:rPr>
        <w:t> </w:t>
      </w:r>
      <w:r>
        <w:rPr/>
        <w:t>The taxes tend to bring distortions to almost all goods and services and, even when set at seemingly low levels, can have important impacts.</w:t>
      </w:r>
      <w:r>
        <w:rPr>
          <w:spacing w:val="40"/>
        </w:rPr>
        <w:t> </w:t>
      </w:r>
      <w:r>
        <w:rPr/>
        <w:t>The adverse effects of such property and investment taxes are the main reason why governments try to avoid property taxes and were a major motivation behind</w:t>
      </w:r>
    </w:p>
    <w:p>
      <w:pPr>
        <w:pStyle w:val="BodyText"/>
        <w:spacing w:before="8"/>
        <w:rPr>
          <w:sz w:val="22"/>
        </w:rPr>
      </w:pPr>
      <w:r>
        <w:rPr/>
        <w:pict>
          <v:rect style="position:absolute;margin-left:89.879997pt;margin-top:14.272754pt;width:144pt;height:.6pt;mso-position-horizontal-relative:page;mso-position-vertical-relative:paragraph;z-index:-15703552;mso-wrap-distance-left:0;mso-wrap-distance-right:0" id="docshape58" filled="true" fillcolor="#000000" stroked="false">
            <v:fill type="solid"/>
            <w10:wrap type="topAndBottom"/>
          </v:rect>
        </w:pict>
      </w:r>
    </w:p>
    <w:p>
      <w:pPr>
        <w:pStyle w:val="BodyText"/>
        <w:spacing w:before="1"/>
        <w:rPr>
          <w:sz w:val="8"/>
        </w:rPr>
      </w:pPr>
    </w:p>
    <w:p>
      <w:pPr>
        <w:spacing w:before="130"/>
        <w:ind w:left="417" w:right="807" w:hanging="1"/>
        <w:jc w:val="both"/>
        <w:rPr>
          <w:sz w:val="20"/>
        </w:rPr>
      </w:pPr>
      <w:r>
        <w:rPr>
          <w:sz w:val="20"/>
          <w:vertAlign w:val="superscript"/>
        </w:rPr>
        <w:t>64</w:t>
      </w:r>
      <w:r>
        <w:rPr>
          <w:spacing w:val="40"/>
          <w:sz w:val="20"/>
          <w:vertAlign w:val="baseline"/>
        </w:rPr>
        <w:t> </w:t>
      </w:r>
      <w:r>
        <w:rPr>
          <w:sz w:val="20"/>
          <w:vertAlign w:val="baseline"/>
        </w:rPr>
        <w:t>Access Economics, </w:t>
      </w:r>
      <w:r>
        <w:rPr>
          <w:i/>
          <w:sz w:val="20"/>
          <w:vertAlign w:val="baseline"/>
        </w:rPr>
        <w:t>The Economic Case For Removing Stamp Duty on Commercial</w:t>
      </w:r>
      <w:r>
        <w:rPr>
          <w:i/>
          <w:sz w:val="20"/>
          <w:vertAlign w:val="baseline"/>
        </w:rPr>
        <w:t> Property Transfers: A Quantitative Analysis for New South Wales and Australia</w:t>
      </w:r>
      <w:r>
        <w:rPr>
          <w:sz w:val="20"/>
          <w:vertAlign w:val="baseline"/>
        </w:rPr>
        <w:t>, February </w:t>
      </w:r>
      <w:r>
        <w:rPr>
          <w:spacing w:val="-2"/>
          <w:sz w:val="20"/>
          <w:vertAlign w:val="baseline"/>
        </w:rPr>
        <w:t>2003:</w:t>
      </w:r>
    </w:p>
    <w:p>
      <w:pPr>
        <w:spacing w:before="120"/>
        <w:ind w:left="417" w:right="811" w:firstLine="0"/>
        <w:jc w:val="left"/>
        <w:rPr>
          <w:sz w:val="20"/>
        </w:rPr>
      </w:pPr>
      <w:hyperlink r:id="rId21">
        <w:r>
          <w:rPr>
            <w:color w:val="0000FF"/>
            <w:spacing w:val="-2"/>
            <w:sz w:val="20"/>
            <w:u w:val="single" w:color="0000FF"/>
          </w:rPr>
          <w:t>http://www.propertyoz.com.au/nsw/advoc/subs/Access%20Economics%20Stamp%20Duty%2</w:t>
        </w:r>
      </w:hyperlink>
      <w:r>
        <w:rPr>
          <w:color w:val="0000FF"/>
          <w:spacing w:val="-2"/>
          <w:sz w:val="20"/>
        </w:rPr>
        <w:t> </w:t>
      </w:r>
      <w:r>
        <w:rPr>
          <w:color w:val="0000FF"/>
          <w:spacing w:val="-2"/>
          <w:sz w:val="20"/>
          <w:u w:val="single" w:color="0000FF"/>
        </w:rPr>
        <w:t>0Report.pdf</w:t>
      </w:r>
    </w:p>
    <w:p>
      <w:pPr>
        <w:spacing w:after="0"/>
        <w:jc w:val="left"/>
        <w:rPr>
          <w:sz w:val="20"/>
        </w:rPr>
        <w:sectPr>
          <w:pgSz w:w="11900" w:h="16840"/>
          <w:pgMar w:header="0" w:footer="1130" w:top="1360" w:bottom="1320" w:left="1380" w:right="980"/>
        </w:sectPr>
      </w:pPr>
    </w:p>
    <w:p>
      <w:pPr>
        <w:pStyle w:val="BodyText"/>
        <w:spacing w:before="77"/>
        <w:ind w:left="417" w:right="808"/>
        <w:jc w:val="both"/>
      </w:pPr>
      <w:r>
        <w:rPr/>
        <w:t>the GST, accompanying which was a phasing out of certain property taxes and taxes on property transactions.</w:t>
      </w:r>
    </w:p>
    <w:p>
      <w:pPr>
        <w:pStyle w:val="BodyText"/>
        <w:spacing w:before="11"/>
        <w:rPr>
          <w:sz w:val="23"/>
        </w:rPr>
      </w:pPr>
    </w:p>
    <w:p>
      <w:pPr>
        <w:pStyle w:val="BodyText"/>
        <w:ind w:left="417" w:right="807"/>
        <w:jc w:val="both"/>
        <w:rPr>
          <w:i/>
        </w:rPr>
      </w:pPr>
      <w:r>
        <w:rPr/>
        <w:t>This implies that the costs of the economic distortions resulting from the implementation of the Premises Standards are likely to be relatively high.</w:t>
      </w:r>
      <w:r>
        <w:rPr>
          <w:spacing w:val="40"/>
        </w:rPr>
        <w:t> </w:t>
      </w:r>
      <w:r>
        <w:rPr/>
        <w:t>For example, if the 60% estimate cited above is applied to the estimated annual cost of the proposed Standards of $620 million, it would imply an additional “second-round” cost of $372 million.</w:t>
      </w:r>
      <w:r>
        <w:rPr>
          <w:spacing w:val="40"/>
        </w:rPr>
        <w:t> </w:t>
      </w:r>
      <w:r>
        <w:rPr/>
        <w:t>However, while the impact of the Standards is arguably conceptually equivalent to a property tax, it is far from clear that the above estimate can reasonably be applied to develop a quantitative estimate of the likely second-round costs. One significant difference is that, as the previous analysis has shown, the effective “rate” will be highly variable between different types of buildings and, in fact, is not</w:t>
      </w:r>
      <w:r>
        <w:rPr>
          <w:spacing w:val="40"/>
        </w:rPr>
        <w:t> </w:t>
      </w:r>
      <w:r>
        <w:rPr/>
        <w:t>easily predictable </w:t>
      </w:r>
      <w:r>
        <w:rPr>
          <w:i/>
        </w:rPr>
        <w:t>ex ante.</w:t>
      </w:r>
    </w:p>
    <w:p>
      <w:pPr>
        <w:pStyle w:val="BodyText"/>
        <w:rPr>
          <w:i/>
        </w:rPr>
      </w:pPr>
    </w:p>
    <w:p>
      <w:pPr>
        <w:pStyle w:val="BodyText"/>
        <w:ind w:left="417" w:right="808"/>
        <w:jc w:val="both"/>
      </w:pPr>
      <w:r>
        <w:rPr/>
        <w:t>It may be that any distortions will be greater in relation to private expenditures than in relation to Government expenditures, since Governments can be considered to be less cost-sensitive in some respects. However, it is apparent that governments are increasingly using buildings that are rented from the private sector, rather than commissioning purpose built buildings themselves. This suggests that the distorting effects discussed above may be substantial</w:t>
      </w:r>
      <w:r>
        <w:rPr>
          <w:spacing w:val="40"/>
        </w:rPr>
        <w:t> </w:t>
      </w:r>
      <w:r>
        <w:rPr/>
        <w:t>in both areas.</w:t>
      </w:r>
    </w:p>
    <w:p>
      <w:pPr>
        <w:pStyle w:val="BodyText"/>
      </w:pPr>
    </w:p>
    <w:p>
      <w:pPr>
        <w:pStyle w:val="BodyText"/>
        <w:spacing w:before="1"/>
        <w:ind w:left="417" w:right="808"/>
        <w:jc w:val="both"/>
      </w:pPr>
      <w:r>
        <w:rPr/>
        <w:t>The existence of these distortions means that the adoption of the Premises Standards would have potentially important impacts on the ambulant population. For example, while Section 7, above, has indicated that employment benefits for people with a disability would be expected to flow from the adoption of the Premises Standards, it can also be expected that there would be some offsetting employment losses among the population in general.</w:t>
      </w:r>
      <w:r>
        <w:rPr>
          <w:spacing w:val="40"/>
        </w:rPr>
        <w:t> </w:t>
      </w:r>
      <w:r>
        <w:rPr/>
        <w:t>These losses would be the result of the increase in the cost of buildings, combined with the role of buildings as a substantial productive input in a wide range of industries and the limited ability of businesses to substitute away from the use of buildings.</w:t>
      </w:r>
    </w:p>
    <w:p>
      <w:pPr>
        <w:pStyle w:val="BodyText"/>
        <w:spacing w:before="10"/>
        <w:rPr>
          <w:sz w:val="23"/>
        </w:rPr>
      </w:pPr>
    </w:p>
    <w:p>
      <w:pPr>
        <w:pStyle w:val="BodyText"/>
        <w:ind w:left="417" w:right="807"/>
        <w:jc w:val="both"/>
      </w:pPr>
      <w:r>
        <w:rPr/>
        <w:t>As with any increase in the price of a productive input, one result will be a reduction</w:t>
      </w:r>
      <w:r>
        <w:rPr>
          <w:spacing w:val="-3"/>
        </w:rPr>
        <w:t> </w:t>
      </w:r>
      <w:r>
        <w:rPr/>
        <w:t>in</w:t>
      </w:r>
      <w:r>
        <w:rPr>
          <w:spacing w:val="-3"/>
        </w:rPr>
        <w:t> </w:t>
      </w:r>
      <w:r>
        <w:rPr/>
        <w:t>the</w:t>
      </w:r>
      <w:r>
        <w:rPr>
          <w:spacing w:val="-3"/>
        </w:rPr>
        <w:t> </w:t>
      </w:r>
      <w:r>
        <w:rPr/>
        <w:t>demand</w:t>
      </w:r>
      <w:r>
        <w:rPr>
          <w:spacing w:val="-3"/>
        </w:rPr>
        <w:t> </w:t>
      </w:r>
      <w:r>
        <w:rPr/>
        <w:t>for</w:t>
      </w:r>
      <w:r>
        <w:rPr>
          <w:spacing w:val="-3"/>
        </w:rPr>
        <w:t> </w:t>
      </w:r>
      <w:r>
        <w:rPr/>
        <w:t>complementary</w:t>
      </w:r>
      <w:r>
        <w:rPr>
          <w:spacing w:val="-3"/>
        </w:rPr>
        <w:t> </w:t>
      </w:r>
      <w:r>
        <w:rPr/>
        <w:t>inputs.</w:t>
      </w:r>
      <w:r>
        <w:rPr>
          <w:spacing w:val="-3"/>
        </w:rPr>
        <w:t> </w:t>
      </w:r>
      <w:r>
        <w:rPr/>
        <w:t>To</w:t>
      </w:r>
      <w:r>
        <w:rPr>
          <w:spacing w:val="-3"/>
        </w:rPr>
        <w:t> </w:t>
      </w:r>
      <w:r>
        <w:rPr/>
        <w:t>the</w:t>
      </w:r>
      <w:r>
        <w:rPr>
          <w:spacing w:val="-3"/>
        </w:rPr>
        <w:t> </w:t>
      </w:r>
      <w:r>
        <w:rPr/>
        <w:t>extent</w:t>
      </w:r>
      <w:r>
        <w:rPr>
          <w:spacing w:val="-3"/>
        </w:rPr>
        <w:t> </w:t>
      </w:r>
      <w:r>
        <w:rPr/>
        <w:t>that</w:t>
      </w:r>
      <w:r>
        <w:rPr>
          <w:spacing w:val="-3"/>
        </w:rPr>
        <w:t> </w:t>
      </w:r>
      <w:r>
        <w:rPr/>
        <w:t>labour</w:t>
      </w:r>
      <w:r>
        <w:rPr>
          <w:spacing w:val="-3"/>
        </w:rPr>
        <w:t> </w:t>
      </w:r>
      <w:r>
        <w:rPr/>
        <w:t>is a complement to buildings in productive processes, negative impacts on employment can be expected to result.</w:t>
      </w:r>
      <w:r>
        <w:rPr>
          <w:spacing w:val="40"/>
        </w:rPr>
        <w:t> </w:t>
      </w:r>
      <w:r>
        <w:rPr/>
        <w:t>As well, the increase in the price of buildings reduces real income and, as a result, reduces demand generally.</w:t>
      </w:r>
    </w:p>
    <w:p>
      <w:pPr>
        <w:pStyle w:val="BodyText"/>
      </w:pPr>
    </w:p>
    <w:p>
      <w:pPr>
        <w:pStyle w:val="BodyText"/>
        <w:ind w:left="417" w:right="809"/>
        <w:jc w:val="both"/>
      </w:pPr>
      <w:r>
        <w:rPr/>
        <w:t>The size of these negative impacts on employment may be increased by the fact that, as noted elsewhere, the cost impacts of the proposed Premises Standards are proportionately largest in relation to smaller buildings. This suggests that small businesses will be most affected, while small businesses are generally more labour intensive than the economy - wide average.</w:t>
      </w:r>
    </w:p>
    <w:p>
      <w:pPr>
        <w:pStyle w:val="BodyText"/>
      </w:pPr>
    </w:p>
    <w:p>
      <w:pPr>
        <w:pStyle w:val="BodyText"/>
        <w:ind w:left="417" w:right="805"/>
        <w:jc w:val="both"/>
      </w:pPr>
      <w:r>
        <w:rPr/>
        <w:t>An additional likely effect of this disproportionate impact on smaller buildings</w:t>
      </w:r>
      <w:r>
        <w:rPr>
          <w:spacing w:val="40"/>
        </w:rPr>
        <w:t> </w:t>
      </w:r>
      <w:r>
        <w:rPr/>
        <w:t>is</w:t>
      </w:r>
      <w:r>
        <w:rPr>
          <w:spacing w:val="-3"/>
        </w:rPr>
        <w:t> </w:t>
      </w:r>
      <w:r>
        <w:rPr/>
        <w:t>that</w:t>
      </w:r>
      <w:r>
        <w:rPr>
          <w:spacing w:val="-3"/>
        </w:rPr>
        <w:t> </w:t>
      </w:r>
      <w:r>
        <w:rPr/>
        <w:t>the</w:t>
      </w:r>
      <w:r>
        <w:rPr>
          <w:spacing w:val="-3"/>
        </w:rPr>
        <w:t> </w:t>
      </w:r>
      <w:r>
        <w:rPr/>
        <w:t>pattern</w:t>
      </w:r>
      <w:r>
        <w:rPr>
          <w:spacing w:val="-3"/>
        </w:rPr>
        <w:t> </w:t>
      </w:r>
      <w:r>
        <w:rPr/>
        <w:t>of</w:t>
      </w:r>
      <w:r>
        <w:rPr>
          <w:spacing w:val="-3"/>
        </w:rPr>
        <w:t> </w:t>
      </w:r>
      <w:r>
        <w:rPr/>
        <w:t>building</w:t>
      </w:r>
      <w:r>
        <w:rPr>
          <w:spacing w:val="-3"/>
        </w:rPr>
        <w:t> </w:t>
      </w:r>
      <w:r>
        <w:rPr/>
        <w:t>is</w:t>
      </w:r>
      <w:r>
        <w:rPr>
          <w:spacing w:val="-3"/>
        </w:rPr>
        <w:t> </w:t>
      </w:r>
      <w:r>
        <w:rPr/>
        <w:t>likely</w:t>
      </w:r>
      <w:r>
        <w:rPr>
          <w:spacing w:val="-3"/>
        </w:rPr>
        <w:t> </w:t>
      </w:r>
      <w:r>
        <w:rPr/>
        <w:t>to</w:t>
      </w:r>
      <w:r>
        <w:rPr>
          <w:spacing w:val="-3"/>
        </w:rPr>
        <w:t> </w:t>
      </w:r>
      <w:r>
        <w:rPr/>
        <w:t>change</w:t>
      </w:r>
      <w:r>
        <w:rPr>
          <w:spacing w:val="-3"/>
        </w:rPr>
        <w:t> </w:t>
      </w:r>
      <w:r>
        <w:rPr/>
        <w:t>in</w:t>
      </w:r>
      <w:r>
        <w:rPr>
          <w:spacing w:val="-3"/>
        </w:rPr>
        <w:t> </w:t>
      </w:r>
      <w:r>
        <w:rPr/>
        <w:t>ways</w:t>
      </w:r>
      <w:r>
        <w:rPr>
          <w:spacing w:val="-3"/>
        </w:rPr>
        <w:t> </w:t>
      </w:r>
      <w:r>
        <w:rPr/>
        <w:t>that</w:t>
      </w:r>
      <w:r>
        <w:rPr>
          <w:spacing w:val="-3"/>
        </w:rPr>
        <w:t> </w:t>
      </w:r>
      <w:r>
        <w:rPr/>
        <w:t>may</w:t>
      </w:r>
      <w:r>
        <w:rPr>
          <w:spacing w:val="-3"/>
        </w:rPr>
        <w:t> </w:t>
      </w:r>
      <w:r>
        <w:rPr/>
        <w:t>have</w:t>
      </w:r>
      <w:r>
        <w:rPr>
          <w:spacing w:val="-3"/>
        </w:rPr>
        <w:t> </w:t>
      </w:r>
      <w:r>
        <w:rPr/>
        <w:t>broader significance in a number of areas.</w:t>
      </w:r>
      <w:r>
        <w:rPr>
          <w:spacing w:val="40"/>
        </w:rPr>
        <w:t> </w:t>
      </w:r>
      <w:r>
        <w:rPr/>
        <w:t>An area of significance is the incremental cost</w:t>
      </w:r>
      <w:r>
        <w:rPr>
          <w:spacing w:val="61"/>
        </w:rPr>
        <w:t> </w:t>
      </w:r>
      <w:r>
        <w:rPr/>
        <w:t>impacts</w:t>
      </w:r>
      <w:r>
        <w:rPr>
          <w:spacing w:val="61"/>
        </w:rPr>
        <w:t> </w:t>
      </w:r>
      <w:r>
        <w:rPr/>
        <w:t>identified</w:t>
      </w:r>
      <w:r>
        <w:rPr>
          <w:spacing w:val="61"/>
        </w:rPr>
        <w:t> </w:t>
      </w:r>
      <w:r>
        <w:rPr/>
        <w:t>in</w:t>
      </w:r>
      <w:r>
        <w:rPr>
          <w:spacing w:val="61"/>
        </w:rPr>
        <w:t> </w:t>
      </w:r>
      <w:r>
        <w:rPr/>
        <w:t>relation</w:t>
      </w:r>
      <w:r>
        <w:rPr>
          <w:spacing w:val="61"/>
        </w:rPr>
        <w:t> </w:t>
      </w:r>
      <w:r>
        <w:rPr/>
        <w:t>to</w:t>
      </w:r>
      <w:r>
        <w:rPr>
          <w:spacing w:val="63"/>
        </w:rPr>
        <w:t> </w:t>
      </w:r>
      <w:r>
        <w:rPr/>
        <w:t>small</w:t>
      </w:r>
      <w:r>
        <w:rPr>
          <w:spacing w:val="61"/>
        </w:rPr>
        <w:t> </w:t>
      </w:r>
      <w:r>
        <w:rPr/>
        <w:t>shops</w:t>
      </w:r>
      <w:r>
        <w:rPr>
          <w:spacing w:val="61"/>
        </w:rPr>
        <w:t> </w:t>
      </w:r>
      <w:r>
        <w:rPr/>
        <w:t>and</w:t>
      </w:r>
      <w:r>
        <w:rPr>
          <w:spacing w:val="61"/>
        </w:rPr>
        <w:t> </w:t>
      </w:r>
      <w:r>
        <w:rPr/>
        <w:t>offices.</w:t>
      </w:r>
      <w:r>
        <w:rPr>
          <w:spacing w:val="61"/>
        </w:rPr>
        <w:t> </w:t>
      </w:r>
      <w:r>
        <w:rPr/>
        <w:t>These</w:t>
      </w:r>
      <w:r>
        <w:rPr>
          <w:spacing w:val="61"/>
        </w:rPr>
        <w:t> </w:t>
      </w:r>
      <w:r>
        <w:rPr/>
        <w:t>cost</w:t>
      </w:r>
    </w:p>
    <w:p>
      <w:pPr>
        <w:spacing w:after="0"/>
        <w:jc w:val="both"/>
        <w:sectPr>
          <w:pgSz w:w="11900" w:h="16840"/>
          <w:pgMar w:header="0" w:footer="1130" w:top="1360" w:bottom="1320" w:left="1380" w:right="980"/>
        </w:sectPr>
      </w:pPr>
    </w:p>
    <w:p>
      <w:pPr>
        <w:pStyle w:val="BodyText"/>
        <w:spacing w:before="77"/>
        <w:ind w:left="417" w:right="808"/>
        <w:jc w:val="both"/>
      </w:pPr>
      <w:bookmarkStart w:name="_bookmark24" w:id="92"/>
      <w:bookmarkEnd w:id="92"/>
      <w:r>
        <w:rPr/>
      </w:r>
      <w:r>
        <w:rPr/>
        <w:t>increases, while substantially smaller than under the original Premises Standards proposal, remain much larger than the impacts estimated in</w:t>
      </w:r>
      <w:r>
        <w:rPr>
          <w:spacing w:val="40"/>
        </w:rPr>
        <w:t> </w:t>
      </w:r>
      <w:r>
        <w:rPr/>
        <w:t>relation to large shopping centres and office blocks.</w:t>
      </w:r>
      <w:r>
        <w:rPr>
          <w:spacing w:val="40"/>
        </w:rPr>
        <w:t> </w:t>
      </w:r>
      <w:r>
        <w:rPr/>
        <w:t>The conjunction of these observations suggests that the modified Premises Standards could reinforce the long-term shift away from local, “strip” shopping centres, toward large shopping, office and mall complexes to some degree.</w:t>
      </w:r>
    </w:p>
    <w:p>
      <w:pPr>
        <w:pStyle w:val="BodyText"/>
      </w:pPr>
    </w:p>
    <w:p>
      <w:pPr>
        <w:pStyle w:val="BodyText"/>
        <w:ind w:left="417" w:right="808"/>
        <w:jc w:val="both"/>
      </w:pPr>
      <w:r>
        <w:rPr/>
        <w:t>Such a shift could be expected to have a variety of social and economic impacts, analysis of which is beyond the scope of this RIS. However, one important potential impact of such a shift is that people with a disability would be likely to be disadvantaged by it, to the extent that such malls were less accessible to them from the point of view of transport availability.</w:t>
      </w:r>
    </w:p>
    <w:p>
      <w:pPr>
        <w:pStyle w:val="BodyText"/>
        <w:rPr>
          <w:sz w:val="26"/>
        </w:rPr>
      </w:pPr>
    </w:p>
    <w:p>
      <w:pPr>
        <w:pStyle w:val="Heading2"/>
        <w:numPr>
          <w:ilvl w:val="1"/>
          <w:numId w:val="25"/>
        </w:numPr>
        <w:tabs>
          <w:tab w:pos="1137" w:val="left" w:leader="none"/>
          <w:tab w:pos="1138" w:val="left" w:leader="none"/>
        </w:tabs>
        <w:spacing w:line="240" w:lineRule="auto" w:before="219" w:after="0"/>
        <w:ind w:left="1137" w:right="0" w:hanging="721"/>
        <w:jc w:val="left"/>
        <w:rPr>
          <w:i/>
        </w:rPr>
      </w:pPr>
      <w:bookmarkStart w:name="8.8 Costs to the public sector" w:id="93"/>
      <w:bookmarkEnd w:id="93"/>
      <w:r>
        <w:rPr>
          <w:i/>
        </w:rPr>
        <w:t>Costs</w:t>
      </w:r>
      <w:r>
        <w:rPr>
          <w:i/>
          <w:spacing w:val="-6"/>
        </w:rPr>
        <w:t> </w:t>
      </w:r>
      <w:r>
        <w:rPr>
          <w:i/>
        </w:rPr>
        <w:t>to</w:t>
      </w:r>
      <w:r>
        <w:rPr>
          <w:i/>
          <w:spacing w:val="-5"/>
        </w:rPr>
        <w:t> </w:t>
      </w:r>
      <w:r>
        <w:rPr>
          <w:i/>
        </w:rPr>
        <w:t>the</w:t>
      </w:r>
      <w:r>
        <w:rPr>
          <w:i/>
          <w:spacing w:val="-6"/>
        </w:rPr>
        <w:t> </w:t>
      </w:r>
      <w:r>
        <w:rPr>
          <w:i/>
        </w:rPr>
        <w:t>public</w:t>
      </w:r>
      <w:r>
        <w:rPr>
          <w:i/>
          <w:spacing w:val="-5"/>
        </w:rPr>
        <w:t> </w:t>
      </w:r>
      <w:r>
        <w:rPr>
          <w:i/>
          <w:spacing w:val="-2"/>
        </w:rPr>
        <w:t>sector</w:t>
      </w:r>
    </w:p>
    <w:p>
      <w:pPr>
        <w:pStyle w:val="BodyText"/>
        <w:rPr>
          <w:b/>
          <w:i/>
          <w:sz w:val="29"/>
        </w:rPr>
      </w:pPr>
    </w:p>
    <w:p>
      <w:pPr>
        <w:pStyle w:val="BodyText"/>
        <w:ind w:left="417" w:right="806"/>
        <w:jc w:val="both"/>
      </w:pPr>
      <w:r>
        <w:rPr/>
        <w:t>As substantial owners, builders and renovators of non-residential buildings, government at Federal, State/Territory and local levels will incur a substantial proportion of the costs estimated to result from the implementation of the proposed Premises Standards. This section provides estimates of those</w:t>
      </w:r>
      <w:r>
        <w:rPr>
          <w:spacing w:val="40"/>
        </w:rPr>
        <w:t> </w:t>
      </w:r>
      <w:r>
        <w:rPr/>
        <w:t>costs, although substantial uncertainties exist which limit the degree of confidence with which these estimates can be put forward. Also note, the figures used and outcomes reached are not anticipated to have changed markedly or to have been influenced as a result of the proposed 2009 amendments. They therefore remain as they were under the 2008 proposal.</w:t>
      </w:r>
    </w:p>
    <w:p>
      <w:pPr>
        <w:pStyle w:val="BodyText"/>
      </w:pPr>
    </w:p>
    <w:p>
      <w:pPr>
        <w:pStyle w:val="BodyText"/>
        <w:ind w:left="417" w:right="808"/>
        <w:jc w:val="both"/>
      </w:pPr>
      <w:r>
        <w:rPr/>
        <w:t>Table 10, below, provides a breakdown of the total value of non-residential building approvals by sector for financial years 2001-2005.</w:t>
      </w:r>
    </w:p>
    <w:p>
      <w:pPr>
        <w:pStyle w:val="BodyText"/>
        <w:spacing w:before="1"/>
      </w:pPr>
    </w:p>
    <w:p>
      <w:pPr>
        <w:pStyle w:val="Heading4"/>
        <w:spacing w:before="1"/>
        <w:ind w:left="417"/>
        <w:rPr>
          <w:u w:val="none"/>
        </w:rPr>
      </w:pPr>
      <w:r>
        <w:rPr>
          <w:u w:val="single"/>
        </w:rPr>
        <w:t>Table</w:t>
      </w:r>
      <w:r>
        <w:rPr>
          <w:spacing w:val="-7"/>
          <w:u w:val="single"/>
        </w:rPr>
        <w:t> </w:t>
      </w:r>
      <w:r>
        <w:rPr>
          <w:u w:val="single"/>
        </w:rPr>
        <w:t>10:</w:t>
      </w:r>
      <w:r>
        <w:rPr>
          <w:spacing w:val="53"/>
          <w:u w:val="single"/>
        </w:rPr>
        <w:t> </w:t>
      </w:r>
      <w:r>
        <w:rPr>
          <w:u w:val="single"/>
        </w:rPr>
        <w:t>Value</w:t>
      </w:r>
      <w:r>
        <w:rPr>
          <w:spacing w:val="-8"/>
          <w:u w:val="single"/>
        </w:rPr>
        <w:t> </w:t>
      </w:r>
      <w:r>
        <w:rPr>
          <w:u w:val="single"/>
        </w:rPr>
        <w:t>of</w:t>
      </w:r>
      <w:r>
        <w:rPr>
          <w:spacing w:val="-7"/>
          <w:u w:val="single"/>
        </w:rPr>
        <w:t> </w:t>
      </w:r>
      <w:r>
        <w:rPr>
          <w:u w:val="single"/>
        </w:rPr>
        <w:t>non-residential</w:t>
      </w:r>
      <w:r>
        <w:rPr>
          <w:spacing w:val="-7"/>
          <w:u w:val="single"/>
        </w:rPr>
        <w:t> </w:t>
      </w:r>
      <w:r>
        <w:rPr>
          <w:u w:val="single"/>
        </w:rPr>
        <w:t>building</w:t>
      </w:r>
      <w:r>
        <w:rPr>
          <w:spacing w:val="-7"/>
          <w:u w:val="single"/>
        </w:rPr>
        <w:t> </w:t>
      </w:r>
      <w:r>
        <w:rPr>
          <w:u w:val="single"/>
        </w:rPr>
        <w:t>approvals</w:t>
      </w:r>
      <w:r>
        <w:rPr>
          <w:spacing w:val="-7"/>
          <w:u w:val="single"/>
        </w:rPr>
        <w:t> </w:t>
      </w:r>
      <w:r>
        <w:rPr>
          <w:u w:val="single"/>
        </w:rPr>
        <w:t>by</w:t>
      </w:r>
      <w:r>
        <w:rPr>
          <w:spacing w:val="-10"/>
          <w:u w:val="single"/>
        </w:rPr>
        <w:t> </w:t>
      </w:r>
      <w:r>
        <w:rPr>
          <w:u w:val="single"/>
        </w:rPr>
        <w:t>sector</w:t>
      </w:r>
      <w:r>
        <w:rPr>
          <w:spacing w:val="-7"/>
          <w:u w:val="single"/>
        </w:rPr>
        <w:t> </w:t>
      </w:r>
      <w:r>
        <w:rPr>
          <w:spacing w:val="-2"/>
          <w:u w:val="single"/>
        </w:rPr>
        <w:t>($billion)</w:t>
      </w:r>
    </w:p>
    <w:p>
      <w:pPr>
        <w:pStyle w:val="BodyText"/>
        <w:spacing w:before="1" w:after="1"/>
        <w:rPr>
          <w:b/>
        </w:r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1708"/>
        <w:gridCol w:w="1545"/>
        <w:gridCol w:w="1409"/>
        <w:gridCol w:w="1903"/>
      </w:tblGrid>
      <w:tr>
        <w:trPr>
          <w:trHeight w:val="608" w:hRule="atLeast"/>
        </w:trPr>
        <w:tc>
          <w:tcPr>
            <w:tcW w:w="1716" w:type="dxa"/>
          </w:tcPr>
          <w:p>
            <w:pPr>
              <w:pStyle w:val="TableParagraph"/>
              <w:spacing w:before="26"/>
              <w:ind w:left="107"/>
              <w:rPr>
                <w:b/>
                <w:sz w:val="24"/>
              </w:rPr>
            </w:pPr>
            <w:r>
              <w:rPr>
                <w:b/>
                <w:spacing w:val="-4"/>
                <w:sz w:val="24"/>
              </w:rPr>
              <w:t>Year</w:t>
            </w:r>
          </w:p>
        </w:tc>
        <w:tc>
          <w:tcPr>
            <w:tcW w:w="1708" w:type="dxa"/>
          </w:tcPr>
          <w:p>
            <w:pPr>
              <w:pStyle w:val="TableParagraph"/>
              <w:spacing w:before="26"/>
              <w:ind w:left="108"/>
              <w:rPr>
                <w:b/>
                <w:sz w:val="24"/>
              </w:rPr>
            </w:pPr>
            <w:r>
              <w:rPr>
                <w:b/>
                <w:spacing w:val="-2"/>
                <w:sz w:val="24"/>
              </w:rPr>
              <w:t>Private</w:t>
            </w:r>
          </w:p>
        </w:tc>
        <w:tc>
          <w:tcPr>
            <w:tcW w:w="1545" w:type="dxa"/>
          </w:tcPr>
          <w:p>
            <w:pPr>
              <w:pStyle w:val="TableParagraph"/>
              <w:spacing w:before="26"/>
              <w:ind w:left="107"/>
              <w:rPr>
                <w:b/>
                <w:sz w:val="24"/>
              </w:rPr>
            </w:pPr>
            <w:r>
              <w:rPr>
                <w:b/>
                <w:spacing w:val="-2"/>
                <w:sz w:val="24"/>
              </w:rPr>
              <w:t>Public</w:t>
            </w:r>
          </w:p>
        </w:tc>
        <w:tc>
          <w:tcPr>
            <w:tcW w:w="1409" w:type="dxa"/>
          </w:tcPr>
          <w:p>
            <w:pPr>
              <w:pStyle w:val="TableParagraph"/>
              <w:spacing w:before="26"/>
              <w:ind w:left="107"/>
              <w:rPr>
                <w:b/>
                <w:sz w:val="24"/>
              </w:rPr>
            </w:pPr>
            <w:r>
              <w:rPr>
                <w:b/>
                <w:spacing w:val="-2"/>
                <w:sz w:val="24"/>
              </w:rPr>
              <w:t>Total</w:t>
            </w:r>
          </w:p>
        </w:tc>
        <w:tc>
          <w:tcPr>
            <w:tcW w:w="1903" w:type="dxa"/>
          </w:tcPr>
          <w:p>
            <w:pPr>
              <w:pStyle w:val="TableParagraph"/>
              <w:spacing w:before="26"/>
              <w:ind w:left="106"/>
              <w:rPr>
                <w:b/>
                <w:sz w:val="24"/>
              </w:rPr>
            </w:pPr>
            <w:r>
              <w:rPr>
                <w:b/>
                <w:sz w:val="24"/>
              </w:rPr>
              <w:t>Public</w:t>
            </w:r>
            <w:r>
              <w:rPr>
                <w:b/>
                <w:spacing w:val="-12"/>
                <w:sz w:val="24"/>
              </w:rPr>
              <w:t> </w:t>
            </w:r>
            <w:r>
              <w:rPr>
                <w:b/>
                <w:sz w:val="24"/>
              </w:rPr>
              <w:t>as</w:t>
            </w:r>
            <w:r>
              <w:rPr>
                <w:b/>
                <w:spacing w:val="-12"/>
                <w:sz w:val="24"/>
              </w:rPr>
              <w:t> </w:t>
            </w:r>
            <w:r>
              <w:rPr>
                <w:b/>
                <w:sz w:val="24"/>
              </w:rPr>
              <w:t>%</w:t>
            </w:r>
            <w:r>
              <w:rPr>
                <w:b/>
                <w:spacing w:val="-15"/>
                <w:sz w:val="24"/>
              </w:rPr>
              <w:t> </w:t>
            </w:r>
            <w:r>
              <w:rPr>
                <w:b/>
                <w:sz w:val="24"/>
              </w:rPr>
              <w:t>of </w:t>
            </w:r>
            <w:r>
              <w:rPr>
                <w:b/>
                <w:spacing w:val="-2"/>
                <w:sz w:val="24"/>
              </w:rPr>
              <w:t>total</w:t>
            </w:r>
          </w:p>
        </w:tc>
      </w:tr>
      <w:tr>
        <w:trPr>
          <w:trHeight w:val="331" w:hRule="atLeast"/>
        </w:trPr>
        <w:tc>
          <w:tcPr>
            <w:tcW w:w="1716" w:type="dxa"/>
          </w:tcPr>
          <w:p>
            <w:pPr>
              <w:pStyle w:val="TableParagraph"/>
              <w:spacing w:before="25"/>
              <w:ind w:left="107"/>
              <w:rPr>
                <w:sz w:val="24"/>
              </w:rPr>
            </w:pPr>
            <w:r>
              <w:rPr>
                <w:w w:val="95"/>
                <w:sz w:val="24"/>
              </w:rPr>
              <w:t>2001-</w:t>
            </w:r>
            <w:r>
              <w:rPr>
                <w:spacing w:val="-5"/>
                <w:w w:val="95"/>
                <w:sz w:val="24"/>
              </w:rPr>
              <w:t>02</w:t>
            </w:r>
          </w:p>
        </w:tc>
        <w:tc>
          <w:tcPr>
            <w:tcW w:w="1708" w:type="dxa"/>
          </w:tcPr>
          <w:p>
            <w:pPr>
              <w:pStyle w:val="TableParagraph"/>
              <w:spacing w:before="25"/>
              <w:ind w:right="95"/>
              <w:jc w:val="right"/>
              <w:rPr>
                <w:sz w:val="24"/>
              </w:rPr>
            </w:pPr>
            <w:r>
              <w:rPr>
                <w:spacing w:val="-4"/>
                <w:sz w:val="24"/>
              </w:rPr>
              <w:t>16.8</w:t>
            </w:r>
          </w:p>
        </w:tc>
        <w:tc>
          <w:tcPr>
            <w:tcW w:w="1545" w:type="dxa"/>
          </w:tcPr>
          <w:p>
            <w:pPr>
              <w:pStyle w:val="TableParagraph"/>
              <w:spacing w:before="25"/>
              <w:ind w:right="96"/>
              <w:jc w:val="right"/>
              <w:rPr>
                <w:sz w:val="24"/>
              </w:rPr>
            </w:pPr>
            <w:r>
              <w:rPr>
                <w:spacing w:val="-5"/>
                <w:sz w:val="24"/>
              </w:rPr>
              <w:t>4.0</w:t>
            </w:r>
          </w:p>
        </w:tc>
        <w:tc>
          <w:tcPr>
            <w:tcW w:w="1409" w:type="dxa"/>
          </w:tcPr>
          <w:p>
            <w:pPr>
              <w:pStyle w:val="TableParagraph"/>
              <w:spacing w:before="25"/>
              <w:ind w:right="97"/>
              <w:jc w:val="right"/>
              <w:rPr>
                <w:sz w:val="24"/>
              </w:rPr>
            </w:pPr>
            <w:r>
              <w:rPr>
                <w:spacing w:val="-4"/>
                <w:sz w:val="24"/>
              </w:rPr>
              <w:t>20.8</w:t>
            </w:r>
          </w:p>
        </w:tc>
        <w:tc>
          <w:tcPr>
            <w:tcW w:w="1903" w:type="dxa"/>
          </w:tcPr>
          <w:p>
            <w:pPr>
              <w:pStyle w:val="TableParagraph"/>
              <w:spacing w:before="25"/>
              <w:ind w:left="592" w:right="586"/>
              <w:jc w:val="center"/>
              <w:rPr>
                <w:sz w:val="24"/>
              </w:rPr>
            </w:pPr>
            <w:r>
              <w:rPr>
                <w:spacing w:val="-2"/>
                <w:sz w:val="24"/>
              </w:rPr>
              <w:t>19.2%</w:t>
            </w:r>
          </w:p>
        </w:tc>
      </w:tr>
      <w:tr>
        <w:trPr>
          <w:trHeight w:val="332" w:hRule="atLeast"/>
        </w:trPr>
        <w:tc>
          <w:tcPr>
            <w:tcW w:w="1716" w:type="dxa"/>
          </w:tcPr>
          <w:p>
            <w:pPr>
              <w:pStyle w:val="TableParagraph"/>
              <w:spacing w:before="25"/>
              <w:ind w:left="107"/>
              <w:rPr>
                <w:sz w:val="24"/>
              </w:rPr>
            </w:pPr>
            <w:r>
              <w:rPr>
                <w:w w:val="95"/>
                <w:sz w:val="24"/>
              </w:rPr>
              <w:t>2002-</w:t>
            </w:r>
            <w:r>
              <w:rPr>
                <w:spacing w:val="-5"/>
                <w:w w:val="95"/>
                <w:sz w:val="24"/>
              </w:rPr>
              <w:t>03</w:t>
            </w:r>
          </w:p>
        </w:tc>
        <w:tc>
          <w:tcPr>
            <w:tcW w:w="1708" w:type="dxa"/>
          </w:tcPr>
          <w:p>
            <w:pPr>
              <w:pStyle w:val="TableParagraph"/>
              <w:spacing w:before="25"/>
              <w:ind w:right="95"/>
              <w:jc w:val="right"/>
              <w:rPr>
                <w:sz w:val="24"/>
              </w:rPr>
            </w:pPr>
            <w:r>
              <w:rPr>
                <w:spacing w:val="-4"/>
                <w:sz w:val="24"/>
              </w:rPr>
              <w:t>23.2</w:t>
            </w:r>
          </w:p>
        </w:tc>
        <w:tc>
          <w:tcPr>
            <w:tcW w:w="1545" w:type="dxa"/>
          </w:tcPr>
          <w:p>
            <w:pPr>
              <w:pStyle w:val="TableParagraph"/>
              <w:spacing w:before="25"/>
              <w:ind w:right="96"/>
              <w:jc w:val="right"/>
              <w:rPr>
                <w:sz w:val="24"/>
              </w:rPr>
            </w:pPr>
            <w:r>
              <w:rPr>
                <w:spacing w:val="-5"/>
                <w:sz w:val="24"/>
              </w:rPr>
              <w:t>3.7</w:t>
            </w:r>
          </w:p>
        </w:tc>
        <w:tc>
          <w:tcPr>
            <w:tcW w:w="1409" w:type="dxa"/>
          </w:tcPr>
          <w:p>
            <w:pPr>
              <w:pStyle w:val="TableParagraph"/>
              <w:spacing w:before="25"/>
              <w:ind w:right="97"/>
              <w:jc w:val="right"/>
              <w:rPr>
                <w:sz w:val="24"/>
              </w:rPr>
            </w:pPr>
            <w:r>
              <w:rPr>
                <w:spacing w:val="-4"/>
                <w:sz w:val="24"/>
              </w:rPr>
              <w:t>26.9</w:t>
            </w:r>
          </w:p>
        </w:tc>
        <w:tc>
          <w:tcPr>
            <w:tcW w:w="1903" w:type="dxa"/>
          </w:tcPr>
          <w:p>
            <w:pPr>
              <w:pStyle w:val="TableParagraph"/>
              <w:spacing w:before="25"/>
              <w:ind w:left="592" w:right="586"/>
              <w:jc w:val="center"/>
              <w:rPr>
                <w:sz w:val="24"/>
              </w:rPr>
            </w:pPr>
            <w:r>
              <w:rPr>
                <w:spacing w:val="-2"/>
                <w:sz w:val="24"/>
              </w:rPr>
              <w:t>13.7%</w:t>
            </w:r>
          </w:p>
        </w:tc>
      </w:tr>
      <w:tr>
        <w:trPr>
          <w:trHeight w:val="331" w:hRule="atLeast"/>
        </w:trPr>
        <w:tc>
          <w:tcPr>
            <w:tcW w:w="1716" w:type="dxa"/>
          </w:tcPr>
          <w:p>
            <w:pPr>
              <w:pStyle w:val="TableParagraph"/>
              <w:spacing w:before="25"/>
              <w:ind w:left="107"/>
              <w:rPr>
                <w:sz w:val="24"/>
              </w:rPr>
            </w:pPr>
            <w:r>
              <w:rPr>
                <w:w w:val="95"/>
                <w:sz w:val="24"/>
              </w:rPr>
              <w:t>2003-</w:t>
            </w:r>
            <w:r>
              <w:rPr>
                <w:spacing w:val="-5"/>
                <w:w w:val="95"/>
                <w:sz w:val="24"/>
              </w:rPr>
              <w:t>04</w:t>
            </w:r>
          </w:p>
        </w:tc>
        <w:tc>
          <w:tcPr>
            <w:tcW w:w="1708" w:type="dxa"/>
          </w:tcPr>
          <w:p>
            <w:pPr>
              <w:pStyle w:val="TableParagraph"/>
              <w:spacing w:before="25"/>
              <w:ind w:right="95"/>
              <w:jc w:val="right"/>
              <w:rPr>
                <w:sz w:val="24"/>
              </w:rPr>
            </w:pPr>
            <w:r>
              <w:rPr>
                <w:spacing w:val="-4"/>
                <w:sz w:val="24"/>
              </w:rPr>
              <w:t>22.7</w:t>
            </w:r>
          </w:p>
        </w:tc>
        <w:tc>
          <w:tcPr>
            <w:tcW w:w="1545" w:type="dxa"/>
          </w:tcPr>
          <w:p>
            <w:pPr>
              <w:pStyle w:val="TableParagraph"/>
              <w:spacing w:before="25"/>
              <w:ind w:right="96"/>
              <w:jc w:val="right"/>
              <w:rPr>
                <w:sz w:val="24"/>
              </w:rPr>
            </w:pPr>
            <w:r>
              <w:rPr>
                <w:spacing w:val="-5"/>
                <w:sz w:val="24"/>
              </w:rPr>
              <w:t>4.1</w:t>
            </w:r>
          </w:p>
        </w:tc>
        <w:tc>
          <w:tcPr>
            <w:tcW w:w="1409" w:type="dxa"/>
          </w:tcPr>
          <w:p>
            <w:pPr>
              <w:pStyle w:val="TableParagraph"/>
              <w:spacing w:before="25"/>
              <w:ind w:right="97"/>
              <w:jc w:val="right"/>
              <w:rPr>
                <w:sz w:val="24"/>
              </w:rPr>
            </w:pPr>
            <w:r>
              <w:rPr>
                <w:spacing w:val="-4"/>
                <w:sz w:val="24"/>
              </w:rPr>
              <w:t>26.8</w:t>
            </w:r>
          </w:p>
        </w:tc>
        <w:tc>
          <w:tcPr>
            <w:tcW w:w="1903" w:type="dxa"/>
          </w:tcPr>
          <w:p>
            <w:pPr>
              <w:pStyle w:val="TableParagraph"/>
              <w:spacing w:before="25"/>
              <w:ind w:left="592" w:right="586"/>
              <w:jc w:val="center"/>
              <w:rPr>
                <w:sz w:val="24"/>
              </w:rPr>
            </w:pPr>
            <w:r>
              <w:rPr>
                <w:spacing w:val="-2"/>
                <w:sz w:val="24"/>
              </w:rPr>
              <w:t>15.3%</w:t>
            </w:r>
          </w:p>
        </w:tc>
      </w:tr>
      <w:tr>
        <w:trPr>
          <w:trHeight w:val="332" w:hRule="atLeast"/>
        </w:trPr>
        <w:tc>
          <w:tcPr>
            <w:tcW w:w="1716" w:type="dxa"/>
          </w:tcPr>
          <w:p>
            <w:pPr>
              <w:pStyle w:val="TableParagraph"/>
              <w:spacing w:before="25"/>
              <w:ind w:left="107"/>
              <w:rPr>
                <w:sz w:val="24"/>
              </w:rPr>
            </w:pPr>
            <w:r>
              <w:rPr>
                <w:w w:val="95"/>
                <w:sz w:val="24"/>
              </w:rPr>
              <w:t>2004-</w:t>
            </w:r>
            <w:r>
              <w:rPr>
                <w:spacing w:val="-5"/>
                <w:w w:val="95"/>
                <w:sz w:val="24"/>
              </w:rPr>
              <w:t>05</w:t>
            </w:r>
          </w:p>
        </w:tc>
        <w:tc>
          <w:tcPr>
            <w:tcW w:w="1708" w:type="dxa"/>
          </w:tcPr>
          <w:p>
            <w:pPr>
              <w:pStyle w:val="TableParagraph"/>
              <w:spacing w:before="25"/>
              <w:ind w:right="95"/>
              <w:jc w:val="right"/>
              <w:rPr>
                <w:sz w:val="24"/>
              </w:rPr>
            </w:pPr>
            <w:r>
              <w:rPr>
                <w:spacing w:val="-4"/>
                <w:sz w:val="24"/>
              </w:rPr>
              <w:t>24.6</w:t>
            </w:r>
          </w:p>
        </w:tc>
        <w:tc>
          <w:tcPr>
            <w:tcW w:w="1545" w:type="dxa"/>
          </w:tcPr>
          <w:p>
            <w:pPr>
              <w:pStyle w:val="TableParagraph"/>
              <w:spacing w:before="25"/>
              <w:ind w:right="96"/>
              <w:jc w:val="right"/>
              <w:rPr>
                <w:sz w:val="24"/>
              </w:rPr>
            </w:pPr>
            <w:r>
              <w:rPr>
                <w:spacing w:val="-5"/>
                <w:sz w:val="24"/>
              </w:rPr>
              <w:t>4.5</w:t>
            </w:r>
          </w:p>
        </w:tc>
        <w:tc>
          <w:tcPr>
            <w:tcW w:w="1409" w:type="dxa"/>
          </w:tcPr>
          <w:p>
            <w:pPr>
              <w:pStyle w:val="TableParagraph"/>
              <w:spacing w:before="25"/>
              <w:ind w:right="97"/>
              <w:jc w:val="right"/>
              <w:rPr>
                <w:sz w:val="24"/>
              </w:rPr>
            </w:pPr>
            <w:r>
              <w:rPr>
                <w:spacing w:val="-4"/>
                <w:sz w:val="24"/>
              </w:rPr>
              <w:t>29.1</w:t>
            </w:r>
          </w:p>
        </w:tc>
        <w:tc>
          <w:tcPr>
            <w:tcW w:w="1903" w:type="dxa"/>
          </w:tcPr>
          <w:p>
            <w:pPr>
              <w:pStyle w:val="TableParagraph"/>
              <w:spacing w:before="25"/>
              <w:ind w:left="592" w:right="586"/>
              <w:jc w:val="center"/>
              <w:rPr>
                <w:sz w:val="24"/>
              </w:rPr>
            </w:pPr>
            <w:r>
              <w:rPr>
                <w:spacing w:val="-2"/>
                <w:sz w:val="24"/>
              </w:rPr>
              <w:t>15.5%</w:t>
            </w:r>
          </w:p>
        </w:tc>
      </w:tr>
      <w:tr>
        <w:trPr>
          <w:trHeight w:val="332" w:hRule="atLeast"/>
        </w:trPr>
        <w:tc>
          <w:tcPr>
            <w:tcW w:w="1716" w:type="dxa"/>
          </w:tcPr>
          <w:p>
            <w:pPr>
              <w:pStyle w:val="TableParagraph"/>
              <w:spacing w:before="26"/>
              <w:ind w:left="107"/>
              <w:rPr>
                <w:b/>
                <w:sz w:val="24"/>
              </w:rPr>
            </w:pPr>
            <w:r>
              <w:rPr>
                <w:b/>
                <w:spacing w:val="-2"/>
                <w:sz w:val="24"/>
              </w:rPr>
              <w:t>Average</w:t>
            </w:r>
          </w:p>
        </w:tc>
        <w:tc>
          <w:tcPr>
            <w:tcW w:w="1708" w:type="dxa"/>
          </w:tcPr>
          <w:p>
            <w:pPr>
              <w:pStyle w:val="TableParagraph"/>
              <w:rPr>
                <w:rFonts w:ascii="Times New Roman"/>
                <w:sz w:val="22"/>
              </w:rPr>
            </w:pPr>
          </w:p>
        </w:tc>
        <w:tc>
          <w:tcPr>
            <w:tcW w:w="1545" w:type="dxa"/>
          </w:tcPr>
          <w:p>
            <w:pPr>
              <w:pStyle w:val="TableParagraph"/>
              <w:rPr>
                <w:rFonts w:ascii="Times New Roman"/>
                <w:sz w:val="22"/>
              </w:rPr>
            </w:pPr>
          </w:p>
        </w:tc>
        <w:tc>
          <w:tcPr>
            <w:tcW w:w="1409" w:type="dxa"/>
          </w:tcPr>
          <w:p>
            <w:pPr>
              <w:pStyle w:val="TableParagraph"/>
              <w:spacing w:before="26"/>
              <w:ind w:right="97"/>
              <w:jc w:val="right"/>
              <w:rPr>
                <w:b/>
                <w:sz w:val="24"/>
              </w:rPr>
            </w:pPr>
            <w:r>
              <w:rPr>
                <w:b/>
                <w:spacing w:val="-4"/>
                <w:sz w:val="24"/>
              </w:rPr>
              <w:t>25.9</w:t>
            </w:r>
          </w:p>
        </w:tc>
        <w:tc>
          <w:tcPr>
            <w:tcW w:w="1903" w:type="dxa"/>
          </w:tcPr>
          <w:p>
            <w:pPr>
              <w:pStyle w:val="TableParagraph"/>
              <w:spacing w:before="26"/>
              <w:ind w:left="594" w:right="584"/>
              <w:jc w:val="center"/>
              <w:rPr>
                <w:b/>
                <w:sz w:val="24"/>
              </w:rPr>
            </w:pPr>
            <w:r>
              <w:rPr>
                <w:b/>
                <w:spacing w:val="-2"/>
                <w:sz w:val="24"/>
              </w:rPr>
              <w:t>15.9%</w:t>
            </w:r>
          </w:p>
        </w:tc>
      </w:tr>
    </w:tbl>
    <w:p>
      <w:pPr>
        <w:spacing w:before="0"/>
        <w:ind w:left="417" w:right="0" w:firstLine="0"/>
        <w:jc w:val="both"/>
        <w:rPr>
          <w:sz w:val="20"/>
        </w:rPr>
      </w:pPr>
      <w:r>
        <w:rPr>
          <w:b/>
          <w:sz w:val="20"/>
        </w:rPr>
        <w:t>Source:</w:t>
      </w:r>
      <w:r>
        <w:rPr>
          <w:b/>
          <w:spacing w:val="-6"/>
          <w:sz w:val="20"/>
        </w:rPr>
        <w:t> </w:t>
      </w:r>
      <w:r>
        <w:rPr>
          <w:sz w:val="20"/>
        </w:rPr>
        <w:t>ABS</w:t>
      </w:r>
      <w:r>
        <w:rPr>
          <w:spacing w:val="-6"/>
          <w:sz w:val="20"/>
        </w:rPr>
        <w:t> </w:t>
      </w:r>
      <w:r>
        <w:rPr>
          <w:sz w:val="20"/>
        </w:rPr>
        <w:t>8731.0</w:t>
      </w:r>
      <w:r>
        <w:rPr>
          <w:spacing w:val="-7"/>
          <w:sz w:val="20"/>
        </w:rPr>
        <w:t> </w:t>
      </w:r>
      <w:r>
        <w:rPr>
          <w:sz w:val="20"/>
        </w:rPr>
        <w:t>-</w:t>
      </w:r>
      <w:r>
        <w:rPr>
          <w:spacing w:val="-6"/>
          <w:sz w:val="20"/>
        </w:rPr>
        <w:t> </w:t>
      </w:r>
      <w:r>
        <w:rPr>
          <w:sz w:val="20"/>
        </w:rPr>
        <w:t>Building</w:t>
      </w:r>
      <w:r>
        <w:rPr>
          <w:spacing w:val="-6"/>
          <w:sz w:val="20"/>
        </w:rPr>
        <w:t> </w:t>
      </w:r>
      <w:r>
        <w:rPr>
          <w:sz w:val="20"/>
        </w:rPr>
        <w:t>approvals,</w:t>
      </w:r>
      <w:r>
        <w:rPr>
          <w:spacing w:val="-6"/>
          <w:sz w:val="20"/>
        </w:rPr>
        <w:t> </w:t>
      </w:r>
      <w:r>
        <w:rPr>
          <w:spacing w:val="-2"/>
          <w:sz w:val="20"/>
        </w:rPr>
        <w:t>Australia</w:t>
      </w:r>
    </w:p>
    <w:p>
      <w:pPr>
        <w:pStyle w:val="BodyText"/>
        <w:spacing w:before="10"/>
        <w:rPr>
          <w:sz w:val="23"/>
        </w:rPr>
      </w:pPr>
    </w:p>
    <w:p>
      <w:pPr>
        <w:pStyle w:val="BodyText"/>
        <w:ind w:left="417" w:right="809"/>
        <w:jc w:val="both"/>
      </w:pPr>
      <w:r>
        <w:rPr/>
        <w:t>Table 10 shows that, over the four years, the public sector has, on average, been responsible for 15.9% of the value of total non-residential building approvals.</w:t>
      </w:r>
      <w:r>
        <w:rPr>
          <w:spacing w:val="40"/>
        </w:rPr>
        <w:t> </w:t>
      </w:r>
      <w:r>
        <w:rPr/>
        <w:t>This aggregate percentage figure can be used as the basis for developing very broad estimates of the likely costs to the public sector of implementing the proposed Premises Standards.</w:t>
      </w:r>
    </w:p>
    <w:p>
      <w:pPr>
        <w:pStyle w:val="BodyText"/>
        <w:spacing w:before="10"/>
        <w:rPr>
          <w:sz w:val="23"/>
        </w:rPr>
      </w:pPr>
    </w:p>
    <w:p>
      <w:pPr>
        <w:pStyle w:val="BodyText"/>
        <w:spacing w:before="1"/>
        <w:ind w:left="417" w:right="810"/>
        <w:jc w:val="both"/>
      </w:pPr>
      <w:r>
        <w:rPr/>
        <w:t>If it is assumed that the proportionate cost increases associated with new buildings</w:t>
      </w:r>
      <w:r>
        <w:rPr>
          <w:spacing w:val="80"/>
          <w:w w:val="150"/>
        </w:rPr>
        <w:t> </w:t>
      </w:r>
      <w:r>
        <w:rPr/>
        <w:t>completed</w:t>
      </w:r>
      <w:r>
        <w:rPr>
          <w:spacing w:val="80"/>
          <w:w w:val="150"/>
        </w:rPr>
        <w:t> </w:t>
      </w:r>
      <w:r>
        <w:rPr/>
        <w:t>by</w:t>
      </w:r>
      <w:r>
        <w:rPr>
          <w:spacing w:val="80"/>
          <w:w w:val="150"/>
        </w:rPr>
        <w:t> </w:t>
      </w:r>
      <w:r>
        <w:rPr/>
        <w:t>the</w:t>
      </w:r>
      <w:r>
        <w:rPr>
          <w:spacing w:val="80"/>
          <w:w w:val="150"/>
        </w:rPr>
        <w:t> </w:t>
      </w:r>
      <w:r>
        <w:rPr/>
        <w:t>public</w:t>
      </w:r>
      <w:r>
        <w:rPr>
          <w:spacing w:val="80"/>
          <w:w w:val="150"/>
        </w:rPr>
        <w:t> </w:t>
      </w:r>
      <w:r>
        <w:rPr/>
        <w:t>sector</w:t>
      </w:r>
      <w:r>
        <w:rPr>
          <w:spacing w:val="80"/>
          <w:w w:val="150"/>
        </w:rPr>
        <w:t> </w:t>
      </w:r>
      <w:r>
        <w:rPr/>
        <w:t>(and</w:t>
      </w:r>
      <w:r>
        <w:rPr>
          <w:spacing w:val="80"/>
          <w:w w:val="150"/>
        </w:rPr>
        <w:t> </w:t>
      </w:r>
      <w:r>
        <w:rPr/>
        <w:t>building</w:t>
      </w:r>
      <w:r>
        <w:rPr>
          <w:spacing w:val="80"/>
          <w:w w:val="150"/>
        </w:rPr>
        <w:t> </w:t>
      </w:r>
      <w:r>
        <w:rPr/>
        <w:t>upgrade</w:t>
      </w:r>
      <w:r>
        <w:rPr>
          <w:spacing w:val="80"/>
          <w:w w:val="150"/>
        </w:rPr>
        <w:t> </w:t>
      </w:r>
      <w:r>
        <w:rPr/>
        <w:t>work</w:t>
      </w:r>
    </w:p>
    <w:p>
      <w:pPr>
        <w:spacing w:after="0"/>
        <w:jc w:val="both"/>
        <w:sectPr>
          <w:pgSz w:w="11900" w:h="16840"/>
          <w:pgMar w:header="0" w:footer="1130" w:top="1360" w:bottom="1320" w:left="1380" w:right="980"/>
        </w:sectPr>
      </w:pPr>
    </w:p>
    <w:p>
      <w:pPr>
        <w:pStyle w:val="BodyText"/>
        <w:spacing w:before="77"/>
        <w:ind w:left="417" w:right="807"/>
        <w:jc w:val="both"/>
      </w:pPr>
      <w:r>
        <w:rPr/>
        <w:t>completed by the public sector) are equivalent to those estimated for the economy</w:t>
      </w:r>
      <w:r>
        <w:rPr>
          <w:spacing w:val="-1"/>
        </w:rPr>
        <w:t> </w:t>
      </w:r>
      <w:r>
        <w:rPr/>
        <w:t>as</w:t>
      </w:r>
      <w:r>
        <w:rPr>
          <w:spacing w:val="-1"/>
        </w:rPr>
        <w:t> </w:t>
      </w:r>
      <w:r>
        <w:rPr/>
        <w:t>a</w:t>
      </w:r>
      <w:r>
        <w:rPr>
          <w:spacing w:val="-1"/>
        </w:rPr>
        <w:t> </w:t>
      </w:r>
      <w:r>
        <w:rPr/>
        <w:t>whole,</w:t>
      </w:r>
      <w:r>
        <w:rPr>
          <w:spacing w:val="-1"/>
        </w:rPr>
        <w:t> </w:t>
      </w:r>
      <w:r>
        <w:rPr/>
        <w:t>then the figure of 15.9%</w:t>
      </w:r>
      <w:r>
        <w:rPr>
          <w:spacing w:val="-1"/>
        </w:rPr>
        <w:t> </w:t>
      </w:r>
      <w:r>
        <w:rPr/>
        <w:t>can</w:t>
      </w:r>
      <w:r>
        <w:rPr>
          <w:spacing w:val="-1"/>
        </w:rPr>
        <w:t> </w:t>
      </w:r>
      <w:r>
        <w:rPr/>
        <w:t>be</w:t>
      </w:r>
      <w:r>
        <w:rPr>
          <w:spacing w:val="-1"/>
        </w:rPr>
        <w:t> </w:t>
      </w:r>
      <w:r>
        <w:rPr/>
        <w:t>applied</w:t>
      </w:r>
      <w:r>
        <w:rPr>
          <w:spacing w:val="-1"/>
        </w:rPr>
        <w:t> </w:t>
      </w:r>
      <w:r>
        <w:rPr/>
        <w:t>to</w:t>
      </w:r>
      <w:r>
        <w:rPr>
          <w:spacing w:val="-1"/>
        </w:rPr>
        <w:t> </w:t>
      </w:r>
      <w:r>
        <w:rPr/>
        <w:t>the</w:t>
      </w:r>
      <w:r>
        <w:rPr>
          <w:spacing w:val="-1"/>
        </w:rPr>
        <w:t> </w:t>
      </w:r>
      <w:r>
        <w:rPr/>
        <w:t>estimated annual cost associated with the implementation of the Premises Standards of</w:t>
      </w:r>
    </w:p>
    <w:p>
      <w:pPr>
        <w:pStyle w:val="BodyText"/>
        <w:ind w:left="417" w:right="809"/>
        <w:jc w:val="both"/>
      </w:pPr>
      <w:r>
        <w:rPr/>
        <w:t>$620 million. This suggests that the annual cost to governments of implementing the proposed Premises Standards could be around $98.6 </w:t>
      </w:r>
      <w:r>
        <w:rPr>
          <w:spacing w:val="-2"/>
        </w:rPr>
        <w:t>million.</w:t>
      </w:r>
    </w:p>
    <w:p>
      <w:pPr>
        <w:pStyle w:val="BodyText"/>
      </w:pPr>
    </w:p>
    <w:p>
      <w:pPr>
        <w:pStyle w:val="BodyText"/>
        <w:ind w:left="417" w:right="807"/>
        <w:jc w:val="both"/>
      </w:pPr>
      <w:r>
        <w:rPr/>
        <w:t>However, there are two substantial difficulties with this estimate.</w:t>
      </w:r>
      <w:r>
        <w:rPr>
          <w:spacing w:val="40"/>
        </w:rPr>
        <w:t> </w:t>
      </w:r>
      <w:r>
        <w:rPr/>
        <w:t>Firstly, the estimate implicitly assumes that the profile of building types approved for construction by the public sector is equivalent to that approved for</w:t>
      </w:r>
      <w:r>
        <w:rPr>
          <w:spacing w:val="40"/>
        </w:rPr>
        <w:t> </w:t>
      </w:r>
      <w:r>
        <w:rPr/>
        <w:t>construction</w:t>
      </w:r>
      <w:r>
        <w:rPr>
          <w:spacing w:val="-1"/>
        </w:rPr>
        <w:t> </w:t>
      </w:r>
      <w:r>
        <w:rPr/>
        <w:t>by</w:t>
      </w:r>
      <w:r>
        <w:rPr>
          <w:spacing w:val="-1"/>
        </w:rPr>
        <w:t> </w:t>
      </w:r>
      <w:r>
        <w:rPr/>
        <w:t>the private</w:t>
      </w:r>
      <w:r>
        <w:rPr>
          <w:spacing w:val="-1"/>
        </w:rPr>
        <w:t> </w:t>
      </w:r>
      <w:r>
        <w:rPr/>
        <w:t>sector.</w:t>
      </w:r>
      <w:r>
        <w:rPr>
          <w:spacing w:val="40"/>
        </w:rPr>
        <w:t> </w:t>
      </w:r>
      <w:r>
        <w:rPr/>
        <w:t>This will clearly not be the case</w:t>
      </w:r>
      <w:r>
        <w:rPr>
          <w:spacing w:val="-1"/>
        </w:rPr>
        <w:t> </w:t>
      </w:r>
      <w:r>
        <w:rPr/>
        <w:t>in</w:t>
      </w:r>
      <w:r>
        <w:rPr>
          <w:spacing w:val="-1"/>
        </w:rPr>
        <w:t> </w:t>
      </w:r>
      <w:r>
        <w:rPr/>
        <w:t>practice. A</w:t>
      </w:r>
      <w:r>
        <w:rPr>
          <w:spacing w:val="-3"/>
        </w:rPr>
        <w:t> </w:t>
      </w:r>
      <w:r>
        <w:rPr/>
        <w:t>more</w:t>
      </w:r>
      <w:r>
        <w:rPr>
          <w:spacing w:val="-3"/>
        </w:rPr>
        <w:t> </w:t>
      </w:r>
      <w:r>
        <w:rPr/>
        <w:t>sophisticated</w:t>
      </w:r>
      <w:r>
        <w:rPr>
          <w:spacing w:val="-3"/>
        </w:rPr>
        <w:t> </w:t>
      </w:r>
      <w:r>
        <w:rPr/>
        <w:t>estimate</w:t>
      </w:r>
      <w:r>
        <w:rPr>
          <w:spacing w:val="-3"/>
        </w:rPr>
        <w:t> </w:t>
      </w:r>
      <w:r>
        <w:rPr/>
        <w:t>can</w:t>
      </w:r>
      <w:r>
        <w:rPr>
          <w:spacing w:val="-3"/>
        </w:rPr>
        <w:t> </w:t>
      </w:r>
      <w:r>
        <w:rPr/>
        <w:t>be</w:t>
      </w:r>
      <w:r>
        <w:rPr>
          <w:spacing w:val="-3"/>
        </w:rPr>
        <w:t> </w:t>
      </w:r>
      <w:r>
        <w:rPr/>
        <w:t>attempted</w:t>
      </w:r>
      <w:r>
        <w:rPr>
          <w:spacing w:val="-3"/>
        </w:rPr>
        <w:t> </w:t>
      </w:r>
      <w:r>
        <w:rPr/>
        <w:t>by</w:t>
      </w:r>
      <w:r>
        <w:rPr>
          <w:spacing w:val="-3"/>
        </w:rPr>
        <w:t> </w:t>
      </w:r>
      <w:r>
        <w:rPr/>
        <w:t>considering</w:t>
      </w:r>
      <w:r>
        <w:rPr>
          <w:spacing w:val="-2"/>
        </w:rPr>
        <w:t> </w:t>
      </w:r>
      <w:r>
        <w:rPr/>
        <w:t>the</w:t>
      </w:r>
      <w:r>
        <w:rPr>
          <w:spacing w:val="-2"/>
        </w:rPr>
        <w:t> </w:t>
      </w:r>
      <w:r>
        <w:rPr/>
        <w:t>proportion of public sector building activity to total building activity in a more detailed </w:t>
      </w:r>
      <w:r>
        <w:rPr>
          <w:spacing w:val="-2"/>
        </w:rPr>
        <w:t>fashion.</w:t>
      </w:r>
    </w:p>
    <w:p>
      <w:pPr>
        <w:pStyle w:val="BodyText"/>
      </w:pPr>
    </w:p>
    <w:p>
      <w:pPr>
        <w:pStyle w:val="BodyText"/>
        <w:ind w:left="417" w:right="808"/>
        <w:jc w:val="both"/>
      </w:pPr>
      <w:r>
        <w:rPr/>
        <w:t>Table 11, below, provides an estimate derived on this basis. The approach taken is to build up partial cost estimates for each building use type.</w:t>
      </w:r>
      <w:r>
        <w:rPr>
          <w:spacing w:val="40"/>
        </w:rPr>
        <w:t> </w:t>
      </w:r>
      <w:r>
        <w:rPr/>
        <w:t>This is done by determining the percentage of total building activity in respect of an individual building use type that is accounted for by the public sector and applying this percentage to the total incremental cost of the Premises Standards for that building use type.</w:t>
      </w:r>
      <w:r>
        <w:rPr>
          <w:spacing w:val="80"/>
        </w:rPr>
        <w:t> </w:t>
      </w:r>
      <w:r>
        <w:rPr/>
        <w:t>This method is followed for each of</w:t>
      </w:r>
      <w:r>
        <w:rPr>
          <w:spacing w:val="40"/>
        </w:rPr>
        <w:t> </w:t>
      </w:r>
      <w:r>
        <w:rPr/>
        <w:t>those building use types in respect of which the above analysis has shown that the proposed Premises Standards would have a substantial cost impact. In respect of the remaining proportion of the costs of implementing the proposed Premises Standards, the figure of 15.9% is adopted.</w:t>
      </w:r>
    </w:p>
    <w:p>
      <w:pPr>
        <w:pStyle w:val="BodyText"/>
      </w:pPr>
    </w:p>
    <w:p>
      <w:pPr>
        <w:pStyle w:val="Heading4"/>
        <w:ind w:left="417"/>
        <w:rPr>
          <w:u w:val="none"/>
        </w:rPr>
      </w:pPr>
      <w:r>
        <w:rPr>
          <w:u w:val="single"/>
        </w:rPr>
        <w:t>Table</w:t>
      </w:r>
      <w:r>
        <w:rPr>
          <w:spacing w:val="-8"/>
          <w:u w:val="single"/>
        </w:rPr>
        <w:t> </w:t>
      </w:r>
      <w:r>
        <w:rPr>
          <w:u w:val="single"/>
        </w:rPr>
        <w:t>11:</w:t>
      </w:r>
      <w:r>
        <w:rPr>
          <w:spacing w:val="51"/>
          <w:u w:val="single"/>
        </w:rPr>
        <w:t> </w:t>
      </w:r>
      <w:r>
        <w:rPr>
          <w:u w:val="single"/>
        </w:rPr>
        <w:t>Major</w:t>
      </w:r>
      <w:r>
        <w:rPr>
          <w:spacing w:val="-7"/>
          <w:u w:val="single"/>
        </w:rPr>
        <w:t> </w:t>
      </w:r>
      <w:r>
        <w:rPr>
          <w:u w:val="single"/>
        </w:rPr>
        <w:t>cost</w:t>
      </w:r>
      <w:r>
        <w:rPr>
          <w:spacing w:val="-8"/>
          <w:u w:val="single"/>
        </w:rPr>
        <w:t> </w:t>
      </w:r>
      <w:r>
        <w:rPr>
          <w:u w:val="single"/>
        </w:rPr>
        <w:t>impacts</w:t>
      </w:r>
      <w:r>
        <w:rPr>
          <w:spacing w:val="-8"/>
          <w:u w:val="single"/>
        </w:rPr>
        <w:t> </w:t>
      </w:r>
      <w:r>
        <w:rPr>
          <w:u w:val="single"/>
        </w:rPr>
        <w:t>for</w:t>
      </w:r>
      <w:r>
        <w:rPr>
          <w:spacing w:val="-9"/>
          <w:u w:val="single"/>
        </w:rPr>
        <w:t> </w:t>
      </w:r>
      <w:r>
        <w:rPr>
          <w:u w:val="single"/>
        </w:rPr>
        <w:t>government</w:t>
      </w:r>
      <w:r>
        <w:rPr>
          <w:spacing w:val="-7"/>
          <w:u w:val="single"/>
        </w:rPr>
        <w:t> </w:t>
      </w:r>
      <w:r>
        <w:rPr>
          <w:u w:val="single"/>
        </w:rPr>
        <w:t>(annual</w:t>
      </w:r>
      <w:r>
        <w:rPr>
          <w:spacing w:val="-8"/>
          <w:u w:val="single"/>
        </w:rPr>
        <w:t> </w:t>
      </w:r>
      <w:r>
        <w:rPr>
          <w:u w:val="single"/>
        </w:rPr>
        <w:t>basis)</w:t>
      </w:r>
      <w:r>
        <w:rPr>
          <w:spacing w:val="-8"/>
          <w:u w:val="single"/>
        </w:rPr>
        <w:t> </w:t>
      </w:r>
      <w:r>
        <w:rPr>
          <w:spacing w:val="-2"/>
          <w:u w:val="single"/>
        </w:rPr>
        <w:t>($million)</w:t>
      </w:r>
    </w:p>
    <w:p>
      <w:pPr>
        <w:pStyle w:val="BodyText"/>
        <w:spacing w:before="2"/>
        <w:rPr>
          <w:b/>
        </w:r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9"/>
        <w:gridCol w:w="2114"/>
        <w:gridCol w:w="2142"/>
        <w:gridCol w:w="1874"/>
      </w:tblGrid>
      <w:tr>
        <w:trPr>
          <w:trHeight w:val="883" w:hRule="atLeast"/>
        </w:trPr>
        <w:tc>
          <w:tcPr>
            <w:tcW w:w="2149" w:type="dxa"/>
          </w:tcPr>
          <w:p>
            <w:pPr>
              <w:pStyle w:val="TableParagraph"/>
              <w:spacing w:before="26"/>
              <w:ind w:left="107"/>
              <w:rPr>
                <w:b/>
                <w:sz w:val="24"/>
              </w:rPr>
            </w:pPr>
            <w:r>
              <w:rPr>
                <w:b/>
                <w:spacing w:val="-2"/>
                <w:sz w:val="24"/>
              </w:rPr>
              <w:t>Building </w:t>
            </w:r>
            <w:r>
              <w:rPr>
                <w:b/>
                <w:spacing w:val="-5"/>
                <w:sz w:val="24"/>
              </w:rPr>
              <w:t>Use</w:t>
            </w:r>
          </w:p>
        </w:tc>
        <w:tc>
          <w:tcPr>
            <w:tcW w:w="2114" w:type="dxa"/>
          </w:tcPr>
          <w:p>
            <w:pPr>
              <w:pStyle w:val="TableParagraph"/>
              <w:spacing w:before="26"/>
              <w:ind w:left="108" w:right="109"/>
              <w:rPr>
                <w:b/>
                <w:sz w:val="24"/>
              </w:rPr>
            </w:pPr>
            <w:r>
              <w:rPr>
                <w:b/>
                <w:sz w:val="24"/>
              </w:rPr>
              <w:t>Total cost impact</w:t>
            </w:r>
            <w:r>
              <w:rPr>
                <w:b/>
                <w:spacing w:val="-17"/>
                <w:sz w:val="24"/>
              </w:rPr>
              <w:t> </w:t>
            </w:r>
            <w:r>
              <w:rPr>
                <w:b/>
                <w:sz w:val="24"/>
              </w:rPr>
              <w:t>($m)</w:t>
            </w:r>
          </w:p>
        </w:tc>
        <w:tc>
          <w:tcPr>
            <w:tcW w:w="2142" w:type="dxa"/>
          </w:tcPr>
          <w:p>
            <w:pPr>
              <w:pStyle w:val="TableParagraph"/>
              <w:spacing w:before="26"/>
              <w:ind w:left="108" w:right="30"/>
              <w:rPr>
                <w:b/>
                <w:sz w:val="24"/>
              </w:rPr>
            </w:pPr>
            <w:r>
              <w:rPr>
                <w:b/>
                <w:sz w:val="24"/>
              </w:rPr>
              <w:t>Public sector % of</w:t>
            </w:r>
            <w:r>
              <w:rPr>
                <w:b/>
                <w:spacing w:val="-1"/>
                <w:sz w:val="24"/>
              </w:rPr>
              <w:t> </w:t>
            </w:r>
            <w:r>
              <w:rPr>
                <w:b/>
                <w:sz w:val="24"/>
              </w:rPr>
              <w:t>total</w:t>
            </w:r>
            <w:r>
              <w:rPr>
                <w:b/>
                <w:spacing w:val="-1"/>
                <w:sz w:val="24"/>
              </w:rPr>
              <w:t> </w:t>
            </w:r>
            <w:r>
              <w:rPr>
                <w:b/>
                <w:spacing w:val="-2"/>
                <w:sz w:val="24"/>
              </w:rPr>
              <w:t>activity</w:t>
            </w:r>
            <w:r>
              <w:rPr>
                <w:b/>
                <w:spacing w:val="-2"/>
                <w:sz w:val="24"/>
                <w:vertAlign w:val="superscript"/>
              </w:rPr>
              <w:t>65</w:t>
            </w:r>
          </w:p>
        </w:tc>
        <w:tc>
          <w:tcPr>
            <w:tcW w:w="1874" w:type="dxa"/>
          </w:tcPr>
          <w:p>
            <w:pPr>
              <w:pStyle w:val="TableParagraph"/>
              <w:spacing w:before="26"/>
              <w:ind w:left="108" w:right="245"/>
              <w:rPr>
                <w:b/>
                <w:sz w:val="24"/>
              </w:rPr>
            </w:pPr>
            <w:r>
              <w:rPr>
                <w:b/>
                <w:sz w:val="24"/>
              </w:rPr>
              <w:t>Public</w:t>
            </w:r>
            <w:r>
              <w:rPr>
                <w:b/>
                <w:spacing w:val="-17"/>
                <w:sz w:val="24"/>
              </w:rPr>
              <w:t> </w:t>
            </w:r>
            <w:r>
              <w:rPr>
                <w:b/>
                <w:sz w:val="24"/>
              </w:rPr>
              <w:t>sector cost impact </w:t>
            </w:r>
            <w:r>
              <w:rPr>
                <w:b/>
                <w:spacing w:val="-4"/>
                <w:sz w:val="24"/>
              </w:rPr>
              <w:t>($m)</w:t>
            </w:r>
          </w:p>
        </w:tc>
      </w:tr>
      <w:tr>
        <w:trPr>
          <w:trHeight w:val="332" w:hRule="atLeast"/>
        </w:trPr>
        <w:tc>
          <w:tcPr>
            <w:tcW w:w="2149" w:type="dxa"/>
          </w:tcPr>
          <w:p>
            <w:pPr>
              <w:pStyle w:val="TableParagraph"/>
              <w:spacing w:before="25"/>
              <w:ind w:left="107"/>
              <w:rPr>
                <w:sz w:val="24"/>
              </w:rPr>
            </w:pPr>
            <w:r>
              <w:rPr>
                <w:spacing w:val="-2"/>
                <w:sz w:val="24"/>
              </w:rPr>
              <w:t>Education</w:t>
            </w:r>
          </w:p>
        </w:tc>
        <w:tc>
          <w:tcPr>
            <w:tcW w:w="2114" w:type="dxa"/>
          </w:tcPr>
          <w:p>
            <w:pPr>
              <w:pStyle w:val="TableParagraph"/>
              <w:spacing w:before="25"/>
              <w:ind w:right="95"/>
              <w:jc w:val="right"/>
              <w:rPr>
                <w:sz w:val="24"/>
              </w:rPr>
            </w:pPr>
            <w:r>
              <w:rPr>
                <w:spacing w:val="-5"/>
                <w:sz w:val="24"/>
              </w:rPr>
              <w:t>81</w:t>
            </w:r>
          </w:p>
        </w:tc>
        <w:tc>
          <w:tcPr>
            <w:tcW w:w="2142" w:type="dxa"/>
          </w:tcPr>
          <w:p>
            <w:pPr>
              <w:pStyle w:val="TableParagraph"/>
              <w:spacing w:before="25"/>
              <w:ind w:left="823" w:right="814"/>
              <w:jc w:val="center"/>
              <w:rPr>
                <w:sz w:val="24"/>
              </w:rPr>
            </w:pPr>
            <w:r>
              <w:rPr>
                <w:spacing w:val="-4"/>
                <w:sz w:val="24"/>
              </w:rPr>
              <w:t>68.3</w:t>
            </w:r>
          </w:p>
        </w:tc>
        <w:tc>
          <w:tcPr>
            <w:tcW w:w="1874" w:type="dxa"/>
          </w:tcPr>
          <w:p>
            <w:pPr>
              <w:pStyle w:val="TableParagraph"/>
              <w:spacing w:before="25"/>
              <w:ind w:right="96"/>
              <w:jc w:val="right"/>
              <w:rPr>
                <w:sz w:val="24"/>
              </w:rPr>
            </w:pPr>
            <w:r>
              <w:rPr>
                <w:spacing w:val="-4"/>
                <w:sz w:val="24"/>
              </w:rPr>
              <w:t>55.3</w:t>
            </w:r>
          </w:p>
        </w:tc>
      </w:tr>
      <w:tr>
        <w:trPr>
          <w:trHeight w:val="332" w:hRule="atLeast"/>
        </w:trPr>
        <w:tc>
          <w:tcPr>
            <w:tcW w:w="2149" w:type="dxa"/>
          </w:tcPr>
          <w:p>
            <w:pPr>
              <w:pStyle w:val="TableParagraph"/>
              <w:spacing w:before="25"/>
              <w:ind w:left="107"/>
              <w:rPr>
                <w:sz w:val="24"/>
              </w:rPr>
            </w:pPr>
            <w:r>
              <w:rPr>
                <w:spacing w:val="-2"/>
                <w:sz w:val="24"/>
              </w:rPr>
              <w:t>Offices</w:t>
            </w:r>
          </w:p>
        </w:tc>
        <w:tc>
          <w:tcPr>
            <w:tcW w:w="2114" w:type="dxa"/>
          </w:tcPr>
          <w:p>
            <w:pPr>
              <w:pStyle w:val="TableParagraph"/>
              <w:spacing w:before="25"/>
              <w:ind w:right="96"/>
              <w:jc w:val="right"/>
              <w:rPr>
                <w:sz w:val="24"/>
              </w:rPr>
            </w:pPr>
            <w:r>
              <w:rPr>
                <w:spacing w:val="-5"/>
                <w:sz w:val="24"/>
              </w:rPr>
              <w:t>186</w:t>
            </w:r>
          </w:p>
        </w:tc>
        <w:tc>
          <w:tcPr>
            <w:tcW w:w="2142" w:type="dxa"/>
          </w:tcPr>
          <w:p>
            <w:pPr>
              <w:pStyle w:val="TableParagraph"/>
              <w:spacing w:before="25"/>
              <w:ind w:left="823" w:right="814"/>
              <w:jc w:val="center"/>
              <w:rPr>
                <w:sz w:val="24"/>
              </w:rPr>
            </w:pPr>
            <w:r>
              <w:rPr>
                <w:spacing w:val="-4"/>
                <w:sz w:val="24"/>
              </w:rPr>
              <w:t>11.2</w:t>
            </w:r>
          </w:p>
        </w:tc>
        <w:tc>
          <w:tcPr>
            <w:tcW w:w="1874" w:type="dxa"/>
          </w:tcPr>
          <w:p>
            <w:pPr>
              <w:pStyle w:val="TableParagraph"/>
              <w:spacing w:before="25"/>
              <w:ind w:right="95"/>
              <w:jc w:val="right"/>
              <w:rPr>
                <w:sz w:val="24"/>
              </w:rPr>
            </w:pPr>
            <w:r>
              <w:rPr>
                <w:spacing w:val="-4"/>
                <w:sz w:val="24"/>
              </w:rPr>
              <w:t>20.8</w:t>
            </w:r>
          </w:p>
        </w:tc>
      </w:tr>
      <w:tr>
        <w:trPr>
          <w:trHeight w:val="331" w:hRule="atLeast"/>
        </w:trPr>
        <w:tc>
          <w:tcPr>
            <w:tcW w:w="2149" w:type="dxa"/>
          </w:tcPr>
          <w:p>
            <w:pPr>
              <w:pStyle w:val="TableParagraph"/>
              <w:spacing w:before="25"/>
              <w:ind w:left="107"/>
              <w:rPr>
                <w:sz w:val="24"/>
              </w:rPr>
            </w:pPr>
            <w:r>
              <w:rPr>
                <w:spacing w:val="-2"/>
                <w:sz w:val="24"/>
              </w:rPr>
              <w:t>Health</w:t>
            </w:r>
          </w:p>
        </w:tc>
        <w:tc>
          <w:tcPr>
            <w:tcW w:w="2114" w:type="dxa"/>
          </w:tcPr>
          <w:p>
            <w:pPr>
              <w:pStyle w:val="TableParagraph"/>
              <w:spacing w:before="25"/>
              <w:ind w:right="95"/>
              <w:jc w:val="right"/>
              <w:rPr>
                <w:sz w:val="24"/>
              </w:rPr>
            </w:pPr>
            <w:r>
              <w:rPr>
                <w:spacing w:val="-5"/>
                <w:sz w:val="24"/>
              </w:rPr>
              <w:t>12</w:t>
            </w:r>
          </w:p>
        </w:tc>
        <w:tc>
          <w:tcPr>
            <w:tcW w:w="2142" w:type="dxa"/>
          </w:tcPr>
          <w:p>
            <w:pPr>
              <w:pStyle w:val="TableParagraph"/>
              <w:spacing w:before="25"/>
              <w:ind w:left="824" w:right="814"/>
              <w:jc w:val="center"/>
              <w:rPr>
                <w:sz w:val="24"/>
              </w:rPr>
            </w:pPr>
            <w:r>
              <w:rPr>
                <w:spacing w:val="-4"/>
                <w:sz w:val="24"/>
              </w:rPr>
              <w:t>70.8</w:t>
            </w:r>
          </w:p>
        </w:tc>
        <w:tc>
          <w:tcPr>
            <w:tcW w:w="1874" w:type="dxa"/>
          </w:tcPr>
          <w:p>
            <w:pPr>
              <w:pStyle w:val="TableParagraph"/>
              <w:spacing w:before="25"/>
              <w:ind w:right="95"/>
              <w:jc w:val="right"/>
              <w:rPr>
                <w:sz w:val="24"/>
              </w:rPr>
            </w:pPr>
            <w:r>
              <w:rPr>
                <w:spacing w:val="-5"/>
                <w:sz w:val="24"/>
              </w:rPr>
              <w:t>8.5</w:t>
            </w:r>
          </w:p>
        </w:tc>
      </w:tr>
      <w:tr>
        <w:trPr>
          <w:trHeight w:val="332" w:hRule="atLeast"/>
        </w:trPr>
        <w:tc>
          <w:tcPr>
            <w:tcW w:w="2149" w:type="dxa"/>
          </w:tcPr>
          <w:p>
            <w:pPr>
              <w:pStyle w:val="TableParagraph"/>
              <w:spacing w:before="25"/>
              <w:ind w:left="107"/>
              <w:rPr>
                <w:sz w:val="24"/>
              </w:rPr>
            </w:pPr>
            <w:r>
              <w:rPr>
                <w:spacing w:val="-2"/>
                <w:sz w:val="24"/>
              </w:rPr>
              <w:t>Shops</w:t>
            </w:r>
          </w:p>
        </w:tc>
        <w:tc>
          <w:tcPr>
            <w:tcW w:w="2114" w:type="dxa"/>
          </w:tcPr>
          <w:p>
            <w:pPr>
              <w:pStyle w:val="TableParagraph"/>
              <w:spacing w:before="25"/>
              <w:ind w:right="94"/>
              <w:jc w:val="right"/>
              <w:rPr>
                <w:sz w:val="24"/>
              </w:rPr>
            </w:pPr>
            <w:r>
              <w:rPr>
                <w:spacing w:val="-5"/>
                <w:sz w:val="24"/>
              </w:rPr>
              <w:t>46</w:t>
            </w:r>
          </w:p>
        </w:tc>
        <w:tc>
          <w:tcPr>
            <w:tcW w:w="2142" w:type="dxa"/>
          </w:tcPr>
          <w:p>
            <w:pPr>
              <w:pStyle w:val="TableParagraph"/>
              <w:spacing w:before="25"/>
              <w:ind w:left="824" w:right="812"/>
              <w:jc w:val="center"/>
              <w:rPr>
                <w:sz w:val="24"/>
              </w:rPr>
            </w:pPr>
            <w:r>
              <w:rPr>
                <w:spacing w:val="-5"/>
                <w:sz w:val="24"/>
              </w:rPr>
              <w:t>1.4</w:t>
            </w:r>
          </w:p>
        </w:tc>
        <w:tc>
          <w:tcPr>
            <w:tcW w:w="1874" w:type="dxa"/>
          </w:tcPr>
          <w:p>
            <w:pPr>
              <w:pStyle w:val="TableParagraph"/>
              <w:spacing w:before="25"/>
              <w:ind w:right="95"/>
              <w:jc w:val="right"/>
              <w:rPr>
                <w:sz w:val="24"/>
              </w:rPr>
            </w:pPr>
            <w:r>
              <w:rPr>
                <w:spacing w:val="-5"/>
                <w:sz w:val="24"/>
              </w:rPr>
              <w:t>0.6</w:t>
            </w:r>
          </w:p>
        </w:tc>
      </w:tr>
      <w:tr>
        <w:trPr>
          <w:trHeight w:val="332" w:hRule="atLeast"/>
        </w:trPr>
        <w:tc>
          <w:tcPr>
            <w:tcW w:w="2149" w:type="dxa"/>
          </w:tcPr>
          <w:p>
            <w:pPr>
              <w:pStyle w:val="TableParagraph"/>
              <w:spacing w:before="25"/>
              <w:ind w:left="107"/>
              <w:rPr>
                <w:sz w:val="24"/>
              </w:rPr>
            </w:pPr>
            <w:r>
              <w:rPr>
                <w:sz w:val="24"/>
              </w:rPr>
              <w:t>All</w:t>
            </w:r>
            <w:r>
              <w:rPr>
                <w:spacing w:val="-2"/>
                <w:sz w:val="24"/>
              </w:rPr>
              <w:t> other</w:t>
            </w:r>
          </w:p>
        </w:tc>
        <w:tc>
          <w:tcPr>
            <w:tcW w:w="2114" w:type="dxa"/>
          </w:tcPr>
          <w:p>
            <w:pPr>
              <w:pStyle w:val="TableParagraph"/>
              <w:spacing w:before="25"/>
              <w:ind w:right="95"/>
              <w:jc w:val="right"/>
              <w:rPr>
                <w:sz w:val="24"/>
              </w:rPr>
            </w:pPr>
            <w:r>
              <w:rPr>
                <w:spacing w:val="-5"/>
                <w:sz w:val="24"/>
              </w:rPr>
              <w:t>146</w:t>
            </w:r>
          </w:p>
        </w:tc>
        <w:tc>
          <w:tcPr>
            <w:tcW w:w="2142" w:type="dxa"/>
          </w:tcPr>
          <w:p>
            <w:pPr>
              <w:pStyle w:val="TableParagraph"/>
              <w:spacing w:before="25"/>
              <w:ind w:left="238"/>
              <w:rPr>
                <w:sz w:val="24"/>
              </w:rPr>
            </w:pPr>
            <w:r>
              <w:rPr>
                <w:sz w:val="24"/>
              </w:rPr>
              <w:t>15.9</w:t>
            </w:r>
            <w:r>
              <w:rPr>
                <w:spacing w:val="-8"/>
                <w:sz w:val="24"/>
              </w:rPr>
              <w:t> </w:t>
            </w:r>
            <w:r>
              <w:rPr>
                <w:spacing w:val="-2"/>
                <w:sz w:val="24"/>
              </w:rPr>
              <w:t>(assumed)</w:t>
            </w:r>
          </w:p>
        </w:tc>
        <w:tc>
          <w:tcPr>
            <w:tcW w:w="1874" w:type="dxa"/>
          </w:tcPr>
          <w:p>
            <w:pPr>
              <w:pStyle w:val="TableParagraph"/>
              <w:spacing w:before="25"/>
              <w:ind w:right="96"/>
              <w:jc w:val="right"/>
              <w:rPr>
                <w:sz w:val="24"/>
              </w:rPr>
            </w:pPr>
            <w:r>
              <w:rPr>
                <w:spacing w:val="-4"/>
                <w:sz w:val="24"/>
              </w:rPr>
              <w:t>23.2</w:t>
            </w:r>
          </w:p>
        </w:tc>
      </w:tr>
      <w:tr>
        <w:trPr>
          <w:trHeight w:val="331" w:hRule="atLeast"/>
        </w:trPr>
        <w:tc>
          <w:tcPr>
            <w:tcW w:w="2149" w:type="dxa"/>
          </w:tcPr>
          <w:p>
            <w:pPr>
              <w:pStyle w:val="TableParagraph"/>
              <w:spacing w:before="26"/>
              <w:ind w:left="107"/>
              <w:rPr>
                <w:i/>
                <w:sz w:val="24"/>
              </w:rPr>
            </w:pPr>
            <w:r>
              <w:rPr>
                <w:i/>
                <w:spacing w:val="-2"/>
                <w:sz w:val="24"/>
              </w:rPr>
              <w:t>Sub-total</w:t>
            </w:r>
          </w:p>
        </w:tc>
        <w:tc>
          <w:tcPr>
            <w:tcW w:w="2114" w:type="dxa"/>
          </w:tcPr>
          <w:p>
            <w:pPr>
              <w:pStyle w:val="TableParagraph"/>
              <w:spacing w:before="26"/>
              <w:ind w:right="95"/>
              <w:jc w:val="right"/>
              <w:rPr>
                <w:i/>
                <w:sz w:val="24"/>
              </w:rPr>
            </w:pPr>
            <w:r>
              <w:rPr>
                <w:i/>
                <w:spacing w:val="-5"/>
                <w:sz w:val="24"/>
              </w:rPr>
              <w:t>471</w:t>
            </w:r>
          </w:p>
        </w:tc>
        <w:tc>
          <w:tcPr>
            <w:tcW w:w="2142" w:type="dxa"/>
          </w:tcPr>
          <w:p>
            <w:pPr>
              <w:pStyle w:val="TableParagraph"/>
              <w:spacing w:before="26"/>
              <w:ind w:left="823" w:right="814"/>
              <w:jc w:val="center"/>
              <w:rPr>
                <w:i/>
                <w:sz w:val="24"/>
              </w:rPr>
            </w:pPr>
            <w:r>
              <w:rPr>
                <w:i/>
                <w:spacing w:val="-4"/>
                <w:sz w:val="24"/>
              </w:rPr>
              <w:t>21.3</w:t>
            </w:r>
          </w:p>
        </w:tc>
        <w:tc>
          <w:tcPr>
            <w:tcW w:w="1874" w:type="dxa"/>
          </w:tcPr>
          <w:p>
            <w:pPr>
              <w:pStyle w:val="TableParagraph"/>
              <w:spacing w:before="26"/>
              <w:ind w:right="96"/>
              <w:jc w:val="right"/>
              <w:rPr>
                <w:i/>
                <w:sz w:val="24"/>
              </w:rPr>
            </w:pPr>
            <w:r>
              <w:rPr>
                <w:i/>
                <w:spacing w:val="-2"/>
                <w:sz w:val="24"/>
              </w:rPr>
              <w:t>100.3</w:t>
            </w:r>
          </w:p>
        </w:tc>
      </w:tr>
      <w:tr>
        <w:trPr>
          <w:trHeight w:val="332" w:hRule="atLeast"/>
        </w:trPr>
        <w:tc>
          <w:tcPr>
            <w:tcW w:w="2149" w:type="dxa"/>
          </w:tcPr>
          <w:p>
            <w:pPr>
              <w:pStyle w:val="TableParagraph"/>
              <w:spacing w:before="25"/>
              <w:ind w:left="107"/>
              <w:rPr>
                <w:sz w:val="24"/>
              </w:rPr>
            </w:pPr>
            <w:r>
              <w:rPr>
                <w:sz w:val="24"/>
              </w:rPr>
              <w:t>Plus</w:t>
            </w:r>
            <w:r>
              <w:rPr>
                <w:spacing w:val="-3"/>
                <w:sz w:val="24"/>
              </w:rPr>
              <w:t> </w:t>
            </w:r>
            <w:r>
              <w:rPr>
                <w:sz w:val="24"/>
              </w:rPr>
              <w:t>lost</w:t>
            </w:r>
            <w:r>
              <w:rPr>
                <w:spacing w:val="-3"/>
                <w:sz w:val="24"/>
              </w:rPr>
              <w:t> </w:t>
            </w:r>
            <w:r>
              <w:rPr>
                <w:spacing w:val="-5"/>
                <w:sz w:val="24"/>
              </w:rPr>
              <w:t>NLA</w:t>
            </w:r>
          </w:p>
        </w:tc>
        <w:tc>
          <w:tcPr>
            <w:tcW w:w="2114" w:type="dxa"/>
          </w:tcPr>
          <w:p>
            <w:pPr>
              <w:pStyle w:val="TableParagraph"/>
              <w:spacing w:before="25"/>
              <w:ind w:right="94"/>
              <w:jc w:val="right"/>
              <w:rPr>
                <w:sz w:val="24"/>
              </w:rPr>
            </w:pPr>
            <w:r>
              <w:rPr>
                <w:spacing w:val="-5"/>
                <w:sz w:val="24"/>
              </w:rPr>
              <w:t>156</w:t>
            </w:r>
          </w:p>
        </w:tc>
        <w:tc>
          <w:tcPr>
            <w:tcW w:w="2142" w:type="dxa"/>
          </w:tcPr>
          <w:p>
            <w:pPr>
              <w:pStyle w:val="TableParagraph"/>
              <w:spacing w:before="25"/>
              <w:ind w:left="824" w:right="813"/>
              <w:jc w:val="center"/>
              <w:rPr>
                <w:sz w:val="24"/>
              </w:rPr>
            </w:pPr>
            <w:r>
              <w:rPr>
                <w:spacing w:val="-4"/>
                <w:sz w:val="24"/>
              </w:rPr>
              <w:t>21.3</w:t>
            </w:r>
          </w:p>
        </w:tc>
        <w:tc>
          <w:tcPr>
            <w:tcW w:w="1874" w:type="dxa"/>
          </w:tcPr>
          <w:p>
            <w:pPr>
              <w:pStyle w:val="TableParagraph"/>
              <w:spacing w:before="25"/>
              <w:ind w:right="94"/>
              <w:jc w:val="right"/>
              <w:rPr>
                <w:sz w:val="24"/>
              </w:rPr>
            </w:pPr>
            <w:r>
              <w:rPr>
                <w:spacing w:val="-4"/>
                <w:sz w:val="24"/>
              </w:rPr>
              <w:t>33.2</w:t>
            </w:r>
          </w:p>
        </w:tc>
      </w:tr>
      <w:tr>
        <w:trPr>
          <w:trHeight w:val="331" w:hRule="atLeast"/>
        </w:trPr>
        <w:tc>
          <w:tcPr>
            <w:tcW w:w="2149" w:type="dxa"/>
          </w:tcPr>
          <w:p>
            <w:pPr>
              <w:pStyle w:val="TableParagraph"/>
              <w:spacing w:before="25"/>
              <w:ind w:left="107"/>
              <w:rPr>
                <w:sz w:val="24"/>
              </w:rPr>
            </w:pPr>
            <w:r>
              <w:rPr>
                <w:sz w:val="24"/>
              </w:rPr>
              <w:t>Less</w:t>
            </w:r>
            <w:r>
              <w:rPr>
                <w:spacing w:val="-9"/>
                <w:sz w:val="24"/>
              </w:rPr>
              <w:t> </w:t>
            </w:r>
            <w:r>
              <w:rPr>
                <w:spacing w:val="-5"/>
                <w:sz w:val="24"/>
              </w:rPr>
              <w:t>UJH</w:t>
            </w:r>
          </w:p>
        </w:tc>
        <w:tc>
          <w:tcPr>
            <w:tcW w:w="2114" w:type="dxa"/>
          </w:tcPr>
          <w:p>
            <w:pPr>
              <w:pStyle w:val="TableParagraph"/>
              <w:spacing w:before="25"/>
              <w:ind w:right="94"/>
              <w:jc w:val="right"/>
              <w:rPr>
                <w:sz w:val="24"/>
              </w:rPr>
            </w:pPr>
            <w:r>
              <w:rPr>
                <w:spacing w:val="-5"/>
                <w:sz w:val="24"/>
              </w:rPr>
              <w:t>20</w:t>
            </w:r>
          </w:p>
        </w:tc>
        <w:tc>
          <w:tcPr>
            <w:tcW w:w="2142" w:type="dxa"/>
          </w:tcPr>
          <w:p>
            <w:pPr>
              <w:pStyle w:val="TableParagraph"/>
              <w:spacing w:before="25"/>
              <w:ind w:left="824" w:right="813"/>
              <w:jc w:val="center"/>
              <w:rPr>
                <w:sz w:val="24"/>
              </w:rPr>
            </w:pPr>
            <w:r>
              <w:rPr>
                <w:spacing w:val="-4"/>
                <w:sz w:val="24"/>
              </w:rPr>
              <w:t>21.3</w:t>
            </w:r>
          </w:p>
        </w:tc>
        <w:tc>
          <w:tcPr>
            <w:tcW w:w="1874" w:type="dxa"/>
          </w:tcPr>
          <w:p>
            <w:pPr>
              <w:pStyle w:val="TableParagraph"/>
              <w:spacing w:before="25"/>
              <w:ind w:right="95"/>
              <w:jc w:val="right"/>
              <w:rPr>
                <w:sz w:val="24"/>
              </w:rPr>
            </w:pPr>
            <w:r>
              <w:rPr>
                <w:w w:val="95"/>
                <w:sz w:val="24"/>
              </w:rPr>
              <w:t>-</w:t>
            </w:r>
            <w:r>
              <w:rPr>
                <w:spacing w:val="-4"/>
                <w:sz w:val="24"/>
              </w:rPr>
              <w:t>4.62</w:t>
            </w:r>
          </w:p>
        </w:tc>
      </w:tr>
      <w:tr>
        <w:trPr>
          <w:trHeight w:val="333" w:hRule="atLeast"/>
        </w:trPr>
        <w:tc>
          <w:tcPr>
            <w:tcW w:w="2149" w:type="dxa"/>
          </w:tcPr>
          <w:p>
            <w:pPr>
              <w:pStyle w:val="TableParagraph"/>
              <w:spacing w:before="26"/>
              <w:ind w:left="107"/>
              <w:rPr>
                <w:b/>
                <w:sz w:val="24"/>
              </w:rPr>
            </w:pPr>
            <w:r>
              <w:rPr>
                <w:b/>
                <w:spacing w:val="-2"/>
                <w:sz w:val="24"/>
              </w:rPr>
              <w:t>Total</w:t>
            </w:r>
          </w:p>
        </w:tc>
        <w:tc>
          <w:tcPr>
            <w:tcW w:w="2114" w:type="dxa"/>
          </w:tcPr>
          <w:p>
            <w:pPr>
              <w:pStyle w:val="TableParagraph"/>
              <w:spacing w:before="26"/>
              <w:ind w:right="95"/>
              <w:jc w:val="right"/>
              <w:rPr>
                <w:b/>
                <w:sz w:val="24"/>
              </w:rPr>
            </w:pPr>
            <w:r>
              <w:rPr>
                <w:b/>
                <w:spacing w:val="-5"/>
                <w:sz w:val="24"/>
              </w:rPr>
              <w:t>647</w:t>
            </w:r>
          </w:p>
        </w:tc>
        <w:tc>
          <w:tcPr>
            <w:tcW w:w="2142" w:type="dxa"/>
          </w:tcPr>
          <w:p>
            <w:pPr>
              <w:pStyle w:val="TableParagraph"/>
              <w:spacing w:before="26"/>
              <w:ind w:left="823" w:right="814"/>
              <w:jc w:val="center"/>
              <w:rPr>
                <w:b/>
                <w:sz w:val="24"/>
              </w:rPr>
            </w:pPr>
            <w:r>
              <w:rPr>
                <w:b/>
                <w:spacing w:val="-4"/>
                <w:sz w:val="24"/>
              </w:rPr>
              <w:t>21.6</w:t>
            </w:r>
          </w:p>
        </w:tc>
        <w:tc>
          <w:tcPr>
            <w:tcW w:w="1874" w:type="dxa"/>
          </w:tcPr>
          <w:p>
            <w:pPr>
              <w:pStyle w:val="TableParagraph"/>
              <w:spacing w:before="26"/>
              <w:ind w:right="95"/>
              <w:jc w:val="right"/>
              <w:rPr>
                <w:b/>
                <w:sz w:val="24"/>
              </w:rPr>
            </w:pPr>
            <w:r>
              <w:rPr>
                <w:b/>
                <w:spacing w:val="-2"/>
                <w:sz w:val="24"/>
              </w:rPr>
              <w:t>139.8</w:t>
            </w:r>
          </w:p>
        </w:tc>
      </w:tr>
    </w:tbl>
    <w:p>
      <w:pPr>
        <w:pStyle w:val="BodyText"/>
        <w:ind w:left="417" w:right="809"/>
        <w:jc w:val="both"/>
      </w:pPr>
      <w:r>
        <w:rPr/>
        <w:t>Table 11 shows that, using these assumptions, the estimated cost to government increases to $139.8 million, compared with the previous estimate</w:t>
      </w:r>
    </w:p>
    <w:p>
      <w:pPr>
        <w:pStyle w:val="BodyText"/>
        <w:rPr>
          <w:sz w:val="20"/>
        </w:rPr>
      </w:pPr>
    </w:p>
    <w:p>
      <w:pPr>
        <w:pStyle w:val="BodyText"/>
        <w:spacing w:before="4"/>
        <w:rPr>
          <w:sz w:val="13"/>
        </w:rPr>
      </w:pPr>
      <w:r>
        <w:rPr/>
        <w:pict>
          <v:rect style="position:absolute;margin-left:89.879997pt;margin-top:8.913321pt;width:144pt;height:.6pt;mso-position-horizontal-relative:page;mso-position-vertical-relative:paragraph;z-index:-15703040;mso-wrap-distance-left:0;mso-wrap-distance-right:0" id="docshape59" filled="true" fillcolor="#000000" stroked="false">
            <v:fill type="solid"/>
            <w10:wrap type="topAndBottom"/>
          </v:rect>
        </w:pict>
      </w:r>
    </w:p>
    <w:p>
      <w:pPr>
        <w:pStyle w:val="BodyText"/>
        <w:spacing w:before="1"/>
        <w:rPr>
          <w:sz w:val="8"/>
        </w:rPr>
      </w:pPr>
    </w:p>
    <w:p>
      <w:pPr>
        <w:spacing w:before="130"/>
        <w:ind w:left="417" w:right="806" w:hanging="1"/>
        <w:jc w:val="both"/>
        <w:rPr>
          <w:sz w:val="20"/>
        </w:rPr>
      </w:pPr>
      <w:r>
        <w:rPr>
          <w:sz w:val="20"/>
          <w:vertAlign w:val="superscript"/>
        </w:rPr>
        <w:t>65</w:t>
      </w:r>
      <w:r>
        <w:rPr>
          <w:sz w:val="20"/>
          <w:vertAlign w:val="baseline"/>
        </w:rPr>
        <w:t> Based on data for 2000-01 - see ABS8731.0. This represents the most recent period for which a detailed breakdown is published.</w:t>
      </w:r>
      <w:r>
        <w:rPr>
          <w:spacing w:val="40"/>
          <w:sz w:val="20"/>
          <w:vertAlign w:val="baseline"/>
        </w:rPr>
        <w:t> </w:t>
      </w:r>
      <w:r>
        <w:rPr>
          <w:sz w:val="20"/>
          <w:vertAlign w:val="baseline"/>
        </w:rPr>
        <w:t>Note, however, that the total value of non- residential building activity for this period ($12.8bn) is very similar to the equivalent figures for 2002-03 ($13.7bn) and 2003-04 ($12.9bn).</w:t>
      </w:r>
    </w:p>
    <w:p>
      <w:pPr>
        <w:spacing w:after="0"/>
        <w:jc w:val="both"/>
        <w:rPr>
          <w:sz w:val="20"/>
        </w:rPr>
        <w:sectPr>
          <w:pgSz w:w="11900" w:h="16840"/>
          <w:pgMar w:header="0" w:footer="1130" w:top="1360" w:bottom="1320" w:left="1380" w:right="980"/>
        </w:sectPr>
      </w:pPr>
    </w:p>
    <w:p>
      <w:pPr>
        <w:pStyle w:val="BodyText"/>
        <w:spacing w:before="77"/>
        <w:ind w:left="417" w:right="808"/>
        <w:jc w:val="both"/>
      </w:pPr>
      <w:r>
        <w:rPr/>
        <w:t>of $105.3 million.</w:t>
      </w:r>
      <w:r>
        <w:rPr>
          <w:spacing w:val="40"/>
        </w:rPr>
        <w:t> </w:t>
      </w:r>
      <w:r>
        <w:rPr/>
        <w:t>Given that specific estimates of the proportion of public sector building activity within total building activity have been identified in respect of most of the major contributors to the estimated total cost of implementing the Premises Standards, this more detailed estimate is considered likely to be more accurate than that given above.</w:t>
      </w:r>
    </w:p>
    <w:p>
      <w:pPr>
        <w:pStyle w:val="BodyText"/>
      </w:pPr>
    </w:p>
    <w:p>
      <w:pPr>
        <w:pStyle w:val="BodyText"/>
        <w:ind w:left="417" w:right="807"/>
        <w:jc w:val="both"/>
      </w:pPr>
      <w:r>
        <w:rPr/>
        <w:t>Table 11 suggests that the public sector will bear approximately 21.6% of the total</w:t>
      </w:r>
      <w:r>
        <w:rPr/>
        <w:t> cost</w:t>
      </w:r>
      <w:r>
        <w:rPr/>
        <w:t> of</w:t>
      </w:r>
      <w:r>
        <w:rPr/>
        <w:t> implementing</w:t>
      </w:r>
      <w:r>
        <w:rPr/>
        <w:t> the</w:t>
      </w:r>
      <w:r>
        <w:rPr/>
        <w:t> Premises</w:t>
      </w:r>
      <w:r>
        <w:rPr/>
        <w:t> Standards.</w:t>
      </w:r>
      <w:r>
        <w:rPr>
          <w:spacing w:val="40"/>
        </w:rPr>
        <w:t> </w:t>
      </w:r>
      <w:r>
        <w:rPr/>
        <w:t>If this percentage is applied to the estimated NPV of the costs of implementing the Premises Standards over 30 years, of $9.3 ($6.9) billion, an estimate of the NPV of the costs to the public sector over this period of $2.0 ($1.49) billion results.</w:t>
      </w:r>
      <w:r>
        <w:rPr>
          <w:spacing w:val="80"/>
        </w:rPr>
        <w:t> </w:t>
      </w:r>
      <w:r>
        <w:rPr/>
        <w:t>Such a figure is problematic, however, because the above calculations do not distinguish between the very different implications of the Standards for new buildings</w:t>
      </w:r>
      <w:r>
        <w:rPr>
          <w:spacing w:val="40"/>
        </w:rPr>
        <w:t> </w:t>
      </w:r>
      <w:r>
        <w:rPr/>
        <w:t>and building upgrade</w:t>
      </w:r>
      <w:r>
        <w:rPr>
          <w:spacing w:val="40"/>
        </w:rPr>
        <w:t> </w:t>
      </w:r>
      <w:r>
        <w:rPr/>
        <w:t>works</w:t>
      </w:r>
      <w:r>
        <w:rPr>
          <w:spacing w:val="40"/>
        </w:rPr>
        <w:t> </w:t>
      </w:r>
      <w:r>
        <w:rPr/>
        <w:t>across</w:t>
      </w:r>
      <w:r>
        <w:rPr>
          <w:spacing w:val="40"/>
        </w:rPr>
        <w:t> </w:t>
      </w:r>
      <w:r>
        <w:rPr/>
        <w:t>different</w:t>
      </w:r>
      <w:r>
        <w:rPr>
          <w:spacing w:val="40"/>
        </w:rPr>
        <w:t> </w:t>
      </w:r>
      <w:r>
        <w:rPr/>
        <w:t>building</w:t>
      </w:r>
      <w:r>
        <w:rPr>
          <w:spacing w:val="40"/>
        </w:rPr>
        <w:t> </w:t>
      </w:r>
      <w:r>
        <w:rPr/>
        <w:t>use</w:t>
      </w:r>
      <w:r>
        <w:rPr>
          <w:spacing w:val="40"/>
        </w:rPr>
        <w:t> </w:t>
      </w:r>
      <w:r>
        <w:rPr/>
        <w:t>types. That is, with respect to flats and apartments, as well as offices, the costs of</w:t>
      </w:r>
      <w:r>
        <w:rPr>
          <w:spacing w:val="40"/>
        </w:rPr>
        <w:t> </w:t>
      </w:r>
      <w:r>
        <w:rPr/>
        <w:t>the Standards are approximately evenly distributed between new building works and building upgrade works.</w:t>
      </w:r>
      <w:r>
        <w:rPr>
          <w:spacing w:val="80"/>
        </w:rPr>
        <w:t> </w:t>
      </w:r>
      <w:r>
        <w:rPr/>
        <w:t>By comparison, with respect to educational buildings, the great majority of the costs associated with the Standards related to building upgrade works.</w:t>
      </w:r>
      <w:r>
        <w:rPr>
          <w:spacing w:val="40"/>
        </w:rPr>
        <w:t> </w:t>
      </w:r>
      <w:r>
        <w:rPr/>
        <w:t>Unless these differences are accounted for, the above estimates must be seen as being subject to a significant degree of error.</w:t>
      </w:r>
    </w:p>
    <w:p>
      <w:pPr>
        <w:pStyle w:val="BodyText"/>
      </w:pPr>
    </w:p>
    <w:p>
      <w:pPr>
        <w:pStyle w:val="BodyText"/>
        <w:ind w:left="417" w:right="807"/>
        <w:jc w:val="both"/>
      </w:pPr>
      <w:r>
        <w:rPr/>
        <w:t>An additional factor suggests that the above may underestimate the true cost to the public sector in one important respect.</w:t>
      </w:r>
      <w:r>
        <w:rPr>
          <w:spacing w:val="40"/>
        </w:rPr>
        <w:t> </w:t>
      </w:r>
      <w:r>
        <w:rPr/>
        <w:t>As table 11 indicates, the public sector</w:t>
      </w:r>
      <w:r>
        <w:rPr>
          <w:spacing w:val="-2"/>
        </w:rPr>
        <w:t> </w:t>
      </w:r>
      <w:r>
        <w:rPr/>
        <w:t>is</w:t>
      </w:r>
      <w:r>
        <w:rPr>
          <w:spacing w:val="-2"/>
        </w:rPr>
        <w:t> </w:t>
      </w:r>
      <w:r>
        <w:rPr/>
        <w:t>directly</w:t>
      </w:r>
      <w:r>
        <w:rPr>
          <w:spacing w:val="-2"/>
        </w:rPr>
        <w:t> </w:t>
      </w:r>
      <w:r>
        <w:rPr/>
        <w:t>responsible</w:t>
      </w:r>
      <w:r>
        <w:rPr>
          <w:spacing w:val="-1"/>
        </w:rPr>
        <w:t> </w:t>
      </w:r>
      <w:r>
        <w:rPr/>
        <w:t>for</w:t>
      </w:r>
      <w:r>
        <w:rPr>
          <w:spacing w:val="-2"/>
        </w:rPr>
        <w:t> </w:t>
      </w:r>
      <w:r>
        <w:rPr/>
        <w:t>only</w:t>
      </w:r>
      <w:r>
        <w:rPr>
          <w:spacing w:val="-2"/>
        </w:rPr>
        <w:t> </w:t>
      </w:r>
      <w:r>
        <w:rPr/>
        <w:t>11.2%</w:t>
      </w:r>
      <w:r>
        <w:rPr>
          <w:spacing w:val="-2"/>
        </w:rPr>
        <w:t> </w:t>
      </w:r>
      <w:r>
        <w:rPr/>
        <w:t>of</w:t>
      </w:r>
      <w:r>
        <w:rPr>
          <w:spacing w:val="-2"/>
        </w:rPr>
        <w:t> </w:t>
      </w:r>
      <w:r>
        <w:rPr/>
        <w:t>total</w:t>
      </w:r>
      <w:r>
        <w:rPr>
          <w:spacing w:val="-2"/>
        </w:rPr>
        <w:t> </w:t>
      </w:r>
      <w:r>
        <w:rPr/>
        <w:t>office</w:t>
      </w:r>
      <w:r>
        <w:rPr>
          <w:spacing w:val="-2"/>
        </w:rPr>
        <w:t> </w:t>
      </w:r>
      <w:r>
        <w:rPr/>
        <w:t>construction.</w:t>
      </w:r>
      <w:r>
        <w:rPr>
          <w:spacing w:val="40"/>
        </w:rPr>
        <w:t> </w:t>
      </w:r>
      <w:r>
        <w:rPr/>
        <w:t>This</w:t>
      </w:r>
      <w:r>
        <w:rPr>
          <w:spacing w:val="-2"/>
        </w:rPr>
        <w:t> </w:t>
      </w:r>
      <w:r>
        <w:rPr/>
        <w:t>is clearly an underestimate, given that the public sector workforce represents around 16% of the total workforce.</w:t>
      </w:r>
      <w:r>
        <w:rPr>
          <w:spacing w:val="40"/>
        </w:rPr>
        <w:t> </w:t>
      </w:r>
      <w:r>
        <w:rPr/>
        <w:t>The difference is accounted for by the substantial propensity of the governments to rent office space from private landlords.</w:t>
      </w:r>
      <w:r>
        <w:rPr>
          <w:spacing w:val="40"/>
        </w:rPr>
        <w:t> </w:t>
      </w:r>
      <w:r>
        <w:rPr/>
        <w:t>Data from the Australian Procurement and Construction Council (APCC) illustrate the relative proportions of building area owned by State and Territory governments, and occupied by them, on a leasehold basis.</w:t>
      </w:r>
      <w:r>
        <w:rPr>
          <w:spacing w:val="80"/>
        </w:rPr>
        <w:t> </w:t>
      </w:r>
      <w:r>
        <w:rPr/>
        <w:t>Table 12, below, summarises this data.</w:t>
      </w:r>
    </w:p>
    <w:p>
      <w:pPr>
        <w:pStyle w:val="BodyText"/>
      </w:pPr>
    </w:p>
    <w:p>
      <w:pPr>
        <w:pStyle w:val="Heading4"/>
        <w:ind w:left="417"/>
        <w:rPr>
          <w:u w:val="none"/>
        </w:rPr>
      </w:pPr>
      <w:r>
        <w:rPr/>
        <w:pict>
          <v:rect style="position:absolute;margin-left:89.879997pt;margin-top:12.516165pt;width:397.32pt;height:1.26pt;mso-position-horizontal-relative:page;mso-position-vertical-relative:paragraph;z-index:15754752" id="docshape60" filled="true" fillcolor="#000000" stroked="false">
            <v:fill type="solid"/>
            <w10:wrap type="none"/>
          </v:rect>
        </w:pict>
      </w:r>
      <w:r>
        <w:rPr>
          <w:u w:val="none"/>
        </w:rPr>
        <w:t>Table</w:t>
      </w:r>
      <w:r>
        <w:rPr>
          <w:spacing w:val="-2"/>
          <w:u w:val="none"/>
        </w:rPr>
        <w:t> </w:t>
      </w:r>
      <w:r>
        <w:rPr>
          <w:u w:val="none"/>
        </w:rPr>
        <w:t>12:</w:t>
      </w:r>
      <w:r>
        <w:rPr>
          <w:spacing w:val="-2"/>
          <w:u w:val="none"/>
        </w:rPr>
        <w:t> </w:t>
      </w:r>
      <w:r>
        <w:rPr>
          <w:u w:val="none"/>
        </w:rPr>
        <w:t>Building</w:t>
      </w:r>
      <w:r>
        <w:rPr>
          <w:spacing w:val="-2"/>
          <w:u w:val="none"/>
        </w:rPr>
        <w:t> </w:t>
      </w:r>
      <w:r>
        <w:rPr>
          <w:u w:val="none"/>
        </w:rPr>
        <w:t>area</w:t>
      </w:r>
      <w:r>
        <w:rPr>
          <w:spacing w:val="-2"/>
          <w:u w:val="none"/>
        </w:rPr>
        <w:t> </w:t>
      </w:r>
      <w:r>
        <w:rPr>
          <w:u w:val="none"/>
        </w:rPr>
        <w:t>occupied</w:t>
      </w:r>
      <w:r>
        <w:rPr>
          <w:spacing w:val="-2"/>
          <w:u w:val="none"/>
        </w:rPr>
        <w:t> </w:t>
      </w:r>
      <w:r>
        <w:rPr>
          <w:u w:val="none"/>
        </w:rPr>
        <w:t>by</w:t>
      </w:r>
      <w:r>
        <w:rPr>
          <w:spacing w:val="-4"/>
          <w:u w:val="none"/>
        </w:rPr>
        <w:t> </w:t>
      </w:r>
      <w:r>
        <w:rPr>
          <w:u w:val="none"/>
        </w:rPr>
        <w:t>State/Territory</w:t>
      </w:r>
      <w:r>
        <w:rPr>
          <w:spacing w:val="-2"/>
          <w:u w:val="none"/>
        </w:rPr>
        <w:t> </w:t>
      </w:r>
      <w:r>
        <w:rPr>
          <w:u w:val="none"/>
        </w:rPr>
        <w:t>Governments</w:t>
      </w:r>
      <w:r>
        <w:rPr>
          <w:spacing w:val="-2"/>
          <w:u w:val="none"/>
        </w:rPr>
        <w:t> </w:t>
      </w:r>
      <w:r>
        <w:rPr>
          <w:spacing w:val="-4"/>
          <w:u w:val="none"/>
        </w:rPr>
        <w:t>(m</w:t>
      </w:r>
      <w:r>
        <w:rPr>
          <w:spacing w:val="-4"/>
          <w:u w:val="none"/>
          <w:vertAlign w:val="superscript"/>
        </w:rPr>
        <w:t>2</w:t>
      </w:r>
      <w:r>
        <w:rPr>
          <w:spacing w:val="-4"/>
          <w:u w:val="none"/>
          <w:vertAlign w:val="baseline"/>
        </w:rPr>
        <w:t>)</w:t>
      </w:r>
    </w:p>
    <w:p>
      <w:pPr>
        <w:pStyle w:val="BodyText"/>
        <w:spacing w:before="2"/>
        <w:rPr>
          <w:b/>
        </w:r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3"/>
        <w:gridCol w:w="1895"/>
        <w:gridCol w:w="1732"/>
        <w:gridCol w:w="1739"/>
        <w:gridCol w:w="1582"/>
      </w:tblGrid>
      <w:tr>
        <w:trPr>
          <w:trHeight w:val="331" w:hRule="atLeast"/>
        </w:trPr>
        <w:tc>
          <w:tcPr>
            <w:tcW w:w="1333" w:type="dxa"/>
          </w:tcPr>
          <w:p>
            <w:pPr>
              <w:pStyle w:val="TableParagraph"/>
              <w:rPr>
                <w:rFonts w:ascii="Times New Roman"/>
                <w:sz w:val="22"/>
              </w:rPr>
            </w:pPr>
          </w:p>
        </w:tc>
        <w:tc>
          <w:tcPr>
            <w:tcW w:w="1895" w:type="dxa"/>
          </w:tcPr>
          <w:p>
            <w:pPr>
              <w:pStyle w:val="TableParagraph"/>
              <w:spacing w:before="26"/>
              <w:ind w:left="402" w:right="393"/>
              <w:jc w:val="center"/>
              <w:rPr>
                <w:b/>
                <w:sz w:val="24"/>
              </w:rPr>
            </w:pPr>
            <w:r>
              <w:rPr>
                <w:b/>
                <w:spacing w:val="-5"/>
                <w:sz w:val="24"/>
              </w:rPr>
              <w:t>CBD</w:t>
            </w:r>
          </w:p>
        </w:tc>
        <w:tc>
          <w:tcPr>
            <w:tcW w:w="1732" w:type="dxa"/>
          </w:tcPr>
          <w:p>
            <w:pPr>
              <w:pStyle w:val="TableParagraph"/>
              <w:spacing w:before="26"/>
              <w:ind w:left="173" w:right="162"/>
              <w:jc w:val="center"/>
              <w:rPr>
                <w:b/>
                <w:sz w:val="24"/>
              </w:rPr>
            </w:pPr>
            <w:r>
              <w:rPr>
                <w:b/>
                <w:sz w:val="24"/>
              </w:rPr>
              <w:t>Other</w:t>
            </w:r>
            <w:r>
              <w:rPr>
                <w:b/>
                <w:spacing w:val="-4"/>
                <w:sz w:val="24"/>
              </w:rPr>
              <w:t> </w:t>
            </w:r>
            <w:r>
              <w:rPr>
                <w:b/>
                <w:spacing w:val="-2"/>
                <w:sz w:val="24"/>
              </w:rPr>
              <w:t>Metro</w:t>
            </w:r>
          </w:p>
        </w:tc>
        <w:tc>
          <w:tcPr>
            <w:tcW w:w="1739" w:type="dxa"/>
          </w:tcPr>
          <w:p>
            <w:pPr>
              <w:pStyle w:val="TableParagraph"/>
              <w:spacing w:before="26"/>
              <w:ind w:left="349" w:right="342"/>
              <w:jc w:val="center"/>
              <w:rPr>
                <w:b/>
                <w:sz w:val="24"/>
              </w:rPr>
            </w:pPr>
            <w:r>
              <w:rPr>
                <w:b/>
                <w:spacing w:val="-2"/>
                <w:sz w:val="24"/>
              </w:rPr>
              <w:t>Regional</w:t>
            </w:r>
          </w:p>
        </w:tc>
        <w:tc>
          <w:tcPr>
            <w:tcW w:w="1582" w:type="dxa"/>
          </w:tcPr>
          <w:p>
            <w:pPr>
              <w:pStyle w:val="TableParagraph"/>
              <w:spacing w:before="26"/>
              <w:ind w:left="244" w:right="235"/>
              <w:jc w:val="center"/>
              <w:rPr>
                <w:b/>
                <w:sz w:val="24"/>
              </w:rPr>
            </w:pPr>
            <w:r>
              <w:rPr>
                <w:b/>
                <w:spacing w:val="-2"/>
                <w:sz w:val="24"/>
              </w:rPr>
              <w:t>Total</w:t>
            </w:r>
          </w:p>
        </w:tc>
      </w:tr>
      <w:tr>
        <w:trPr>
          <w:trHeight w:val="608" w:hRule="atLeast"/>
        </w:trPr>
        <w:tc>
          <w:tcPr>
            <w:tcW w:w="1333" w:type="dxa"/>
          </w:tcPr>
          <w:p>
            <w:pPr>
              <w:pStyle w:val="TableParagraph"/>
              <w:spacing w:before="164"/>
              <w:ind w:left="107"/>
              <w:rPr>
                <w:b/>
                <w:sz w:val="24"/>
              </w:rPr>
            </w:pPr>
            <w:r>
              <w:rPr>
                <w:b/>
                <w:spacing w:val="-2"/>
                <w:sz w:val="24"/>
              </w:rPr>
              <w:t>Owned</w:t>
            </w:r>
          </w:p>
        </w:tc>
        <w:tc>
          <w:tcPr>
            <w:tcW w:w="1895" w:type="dxa"/>
          </w:tcPr>
          <w:p>
            <w:pPr>
              <w:pStyle w:val="TableParagraph"/>
              <w:spacing w:before="25"/>
              <w:ind w:left="513"/>
              <w:rPr>
                <w:sz w:val="24"/>
              </w:rPr>
            </w:pPr>
            <w:r>
              <w:rPr>
                <w:spacing w:val="-2"/>
                <w:sz w:val="24"/>
              </w:rPr>
              <w:t>697,976</w:t>
            </w:r>
          </w:p>
          <w:p>
            <w:pPr>
              <w:pStyle w:val="TableParagraph"/>
              <w:ind w:left="526"/>
              <w:rPr>
                <w:sz w:val="24"/>
              </w:rPr>
            </w:pPr>
            <w:r>
              <w:rPr>
                <w:spacing w:val="-2"/>
                <w:sz w:val="24"/>
              </w:rPr>
              <w:t>(37.8%)</w:t>
            </w:r>
          </w:p>
        </w:tc>
        <w:tc>
          <w:tcPr>
            <w:tcW w:w="1732" w:type="dxa"/>
          </w:tcPr>
          <w:p>
            <w:pPr>
              <w:pStyle w:val="TableParagraph"/>
              <w:spacing w:before="25"/>
              <w:ind w:left="431"/>
              <w:rPr>
                <w:sz w:val="24"/>
              </w:rPr>
            </w:pPr>
            <w:r>
              <w:rPr>
                <w:spacing w:val="-2"/>
                <w:sz w:val="24"/>
              </w:rPr>
              <w:t>389,466</w:t>
            </w:r>
          </w:p>
          <w:p>
            <w:pPr>
              <w:pStyle w:val="TableParagraph"/>
              <w:ind w:left="445"/>
              <w:rPr>
                <w:sz w:val="24"/>
              </w:rPr>
            </w:pPr>
            <w:r>
              <w:rPr>
                <w:spacing w:val="-2"/>
                <w:sz w:val="24"/>
              </w:rPr>
              <w:t>(35.8%)</w:t>
            </w:r>
          </w:p>
        </w:tc>
        <w:tc>
          <w:tcPr>
            <w:tcW w:w="1739" w:type="dxa"/>
          </w:tcPr>
          <w:p>
            <w:pPr>
              <w:pStyle w:val="TableParagraph"/>
              <w:spacing w:before="25"/>
              <w:ind w:left="433"/>
              <w:rPr>
                <w:sz w:val="24"/>
              </w:rPr>
            </w:pPr>
            <w:r>
              <w:rPr>
                <w:spacing w:val="-2"/>
                <w:sz w:val="24"/>
              </w:rPr>
              <w:t>223,167</w:t>
            </w:r>
          </w:p>
          <w:p>
            <w:pPr>
              <w:pStyle w:val="TableParagraph"/>
              <w:ind w:left="445"/>
              <w:rPr>
                <w:sz w:val="24"/>
              </w:rPr>
            </w:pPr>
            <w:r>
              <w:rPr>
                <w:spacing w:val="-2"/>
                <w:sz w:val="24"/>
              </w:rPr>
              <w:t>(26.0%)</w:t>
            </w:r>
          </w:p>
        </w:tc>
        <w:tc>
          <w:tcPr>
            <w:tcW w:w="1582" w:type="dxa"/>
          </w:tcPr>
          <w:p>
            <w:pPr>
              <w:pStyle w:val="TableParagraph"/>
              <w:spacing w:before="25"/>
              <w:ind w:left="256"/>
              <w:rPr>
                <w:sz w:val="24"/>
              </w:rPr>
            </w:pPr>
            <w:r>
              <w:rPr>
                <w:spacing w:val="-2"/>
                <w:sz w:val="24"/>
              </w:rPr>
              <w:t>1,310,609</w:t>
            </w:r>
          </w:p>
          <w:p>
            <w:pPr>
              <w:pStyle w:val="TableParagraph"/>
              <w:ind w:left="368"/>
              <w:rPr>
                <w:sz w:val="24"/>
              </w:rPr>
            </w:pPr>
            <w:r>
              <w:rPr>
                <w:spacing w:val="-2"/>
                <w:sz w:val="24"/>
              </w:rPr>
              <w:t>(34.6%)</w:t>
            </w:r>
          </w:p>
        </w:tc>
      </w:tr>
      <w:tr>
        <w:trPr>
          <w:trHeight w:val="607" w:hRule="atLeast"/>
        </w:trPr>
        <w:tc>
          <w:tcPr>
            <w:tcW w:w="1333" w:type="dxa"/>
          </w:tcPr>
          <w:p>
            <w:pPr>
              <w:pStyle w:val="TableParagraph"/>
              <w:spacing w:before="164"/>
              <w:ind w:left="107"/>
              <w:rPr>
                <w:b/>
                <w:sz w:val="24"/>
              </w:rPr>
            </w:pPr>
            <w:r>
              <w:rPr>
                <w:b/>
                <w:spacing w:val="-2"/>
                <w:sz w:val="24"/>
              </w:rPr>
              <w:t>Leased</w:t>
            </w:r>
          </w:p>
        </w:tc>
        <w:tc>
          <w:tcPr>
            <w:tcW w:w="1895" w:type="dxa"/>
          </w:tcPr>
          <w:p>
            <w:pPr>
              <w:pStyle w:val="TableParagraph"/>
              <w:spacing w:before="25"/>
              <w:ind w:left="414"/>
              <w:rPr>
                <w:sz w:val="24"/>
              </w:rPr>
            </w:pPr>
            <w:r>
              <w:rPr>
                <w:spacing w:val="-2"/>
                <w:sz w:val="24"/>
              </w:rPr>
              <w:t>1,146,395</w:t>
            </w:r>
          </w:p>
          <w:p>
            <w:pPr>
              <w:pStyle w:val="TableParagraph"/>
              <w:ind w:left="526"/>
              <w:rPr>
                <w:sz w:val="24"/>
              </w:rPr>
            </w:pPr>
            <w:r>
              <w:rPr>
                <w:spacing w:val="-2"/>
                <w:sz w:val="24"/>
              </w:rPr>
              <w:t>(62.2%)</w:t>
            </w:r>
          </w:p>
        </w:tc>
        <w:tc>
          <w:tcPr>
            <w:tcW w:w="1732" w:type="dxa"/>
          </w:tcPr>
          <w:p>
            <w:pPr>
              <w:pStyle w:val="TableParagraph"/>
              <w:spacing w:before="25"/>
              <w:ind w:left="431"/>
              <w:rPr>
                <w:sz w:val="24"/>
              </w:rPr>
            </w:pPr>
            <w:r>
              <w:rPr>
                <w:spacing w:val="-2"/>
                <w:sz w:val="24"/>
              </w:rPr>
              <w:t>699,218</w:t>
            </w:r>
          </w:p>
          <w:p>
            <w:pPr>
              <w:pStyle w:val="TableParagraph"/>
              <w:ind w:left="445"/>
              <w:rPr>
                <w:sz w:val="24"/>
              </w:rPr>
            </w:pPr>
            <w:r>
              <w:rPr>
                <w:spacing w:val="-2"/>
                <w:sz w:val="24"/>
              </w:rPr>
              <w:t>(64.2%)</w:t>
            </w:r>
          </w:p>
        </w:tc>
        <w:tc>
          <w:tcPr>
            <w:tcW w:w="1739" w:type="dxa"/>
          </w:tcPr>
          <w:p>
            <w:pPr>
              <w:pStyle w:val="TableParagraph"/>
              <w:spacing w:before="25"/>
              <w:ind w:left="433"/>
              <w:rPr>
                <w:sz w:val="24"/>
              </w:rPr>
            </w:pPr>
            <w:r>
              <w:rPr>
                <w:spacing w:val="-2"/>
                <w:sz w:val="24"/>
              </w:rPr>
              <w:t>636,569</w:t>
            </w:r>
          </w:p>
          <w:p>
            <w:pPr>
              <w:pStyle w:val="TableParagraph"/>
              <w:ind w:left="445"/>
              <w:rPr>
                <w:sz w:val="24"/>
              </w:rPr>
            </w:pPr>
            <w:r>
              <w:rPr>
                <w:spacing w:val="-2"/>
                <w:sz w:val="24"/>
              </w:rPr>
              <w:t>(74.0%)</w:t>
            </w:r>
          </w:p>
        </w:tc>
        <w:tc>
          <w:tcPr>
            <w:tcW w:w="1582" w:type="dxa"/>
          </w:tcPr>
          <w:p>
            <w:pPr>
              <w:pStyle w:val="TableParagraph"/>
              <w:spacing w:before="25"/>
              <w:ind w:left="256"/>
              <w:rPr>
                <w:sz w:val="24"/>
              </w:rPr>
            </w:pPr>
            <w:r>
              <w:rPr>
                <w:spacing w:val="-2"/>
                <w:sz w:val="24"/>
              </w:rPr>
              <w:t>2,482,182</w:t>
            </w:r>
          </w:p>
          <w:p>
            <w:pPr>
              <w:pStyle w:val="TableParagraph"/>
              <w:ind w:left="368"/>
              <w:rPr>
                <w:sz w:val="24"/>
              </w:rPr>
            </w:pPr>
            <w:r>
              <w:rPr>
                <w:spacing w:val="-2"/>
                <w:sz w:val="24"/>
              </w:rPr>
              <w:t>(65.4%)</w:t>
            </w:r>
          </w:p>
        </w:tc>
      </w:tr>
      <w:tr>
        <w:trPr>
          <w:trHeight w:val="333" w:hRule="atLeast"/>
        </w:trPr>
        <w:tc>
          <w:tcPr>
            <w:tcW w:w="1333" w:type="dxa"/>
          </w:tcPr>
          <w:p>
            <w:pPr>
              <w:pStyle w:val="TableParagraph"/>
              <w:spacing w:before="26"/>
              <w:ind w:left="107"/>
              <w:rPr>
                <w:b/>
                <w:sz w:val="24"/>
              </w:rPr>
            </w:pPr>
            <w:r>
              <w:rPr>
                <w:b/>
                <w:spacing w:val="-2"/>
                <w:sz w:val="24"/>
              </w:rPr>
              <w:t>Total</w:t>
            </w:r>
          </w:p>
        </w:tc>
        <w:tc>
          <w:tcPr>
            <w:tcW w:w="1895" w:type="dxa"/>
          </w:tcPr>
          <w:p>
            <w:pPr>
              <w:pStyle w:val="TableParagraph"/>
              <w:spacing w:before="26"/>
              <w:ind w:left="402" w:right="393"/>
              <w:jc w:val="center"/>
              <w:rPr>
                <w:b/>
                <w:sz w:val="24"/>
              </w:rPr>
            </w:pPr>
            <w:r>
              <w:rPr>
                <w:b/>
                <w:spacing w:val="-2"/>
                <w:sz w:val="24"/>
              </w:rPr>
              <w:t>1,844,371</w:t>
            </w:r>
          </w:p>
        </w:tc>
        <w:tc>
          <w:tcPr>
            <w:tcW w:w="1732" w:type="dxa"/>
          </w:tcPr>
          <w:p>
            <w:pPr>
              <w:pStyle w:val="TableParagraph"/>
              <w:spacing w:before="26"/>
              <w:ind w:left="171" w:right="162"/>
              <w:jc w:val="center"/>
              <w:rPr>
                <w:b/>
                <w:sz w:val="24"/>
              </w:rPr>
            </w:pPr>
            <w:r>
              <w:rPr>
                <w:b/>
                <w:spacing w:val="-2"/>
                <w:sz w:val="24"/>
              </w:rPr>
              <w:t>1,088,684</w:t>
            </w:r>
          </w:p>
        </w:tc>
        <w:tc>
          <w:tcPr>
            <w:tcW w:w="1739" w:type="dxa"/>
          </w:tcPr>
          <w:p>
            <w:pPr>
              <w:pStyle w:val="TableParagraph"/>
              <w:spacing w:before="26"/>
              <w:ind w:left="346" w:right="342"/>
              <w:jc w:val="center"/>
              <w:rPr>
                <w:b/>
                <w:sz w:val="24"/>
              </w:rPr>
            </w:pPr>
            <w:r>
              <w:rPr>
                <w:b/>
                <w:spacing w:val="-2"/>
                <w:sz w:val="24"/>
              </w:rPr>
              <w:t>859,736</w:t>
            </w:r>
          </w:p>
        </w:tc>
        <w:tc>
          <w:tcPr>
            <w:tcW w:w="1582" w:type="dxa"/>
          </w:tcPr>
          <w:p>
            <w:pPr>
              <w:pStyle w:val="TableParagraph"/>
              <w:spacing w:before="26"/>
              <w:ind w:left="244" w:right="238"/>
              <w:jc w:val="center"/>
              <w:rPr>
                <w:b/>
                <w:sz w:val="24"/>
              </w:rPr>
            </w:pPr>
            <w:r>
              <w:rPr>
                <w:b/>
                <w:spacing w:val="-2"/>
                <w:sz w:val="24"/>
              </w:rPr>
              <w:t>3,792,791</w:t>
            </w:r>
          </w:p>
        </w:tc>
      </w:tr>
    </w:tbl>
    <w:p>
      <w:pPr>
        <w:spacing w:before="0"/>
        <w:ind w:left="417" w:right="0" w:firstLine="0"/>
        <w:jc w:val="both"/>
        <w:rPr>
          <w:sz w:val="20"/>
        </w:rPr>
      </w:pPr>
      <w:r>
        <w:rPr>
          <w:b/>
          <w:sz w:val="20"/>
        </w:rPr>
        <w:t>Source:</w:t>
      </w:r>
      <w:r>
        <w:rPr>
          <w:b/>
          <w:spacing w:val="40"/>
          <w:sz w:val="20"/>
        </w:rPr>
        <w:t> </w:t>
      </w:r>
      <w:r>
        <w:rPr>
          <w:sz w:val="20"/>
        </w:rPr>
        <w:t>Australian</w:t>
      </w:r>
      <w:r>
        <w:rPr>
          <w:spacing w:val="-8"/>
          <w:sz w:val="20"/>
        </w:rPr>
        <w:t> </w:t>
      </w:r>
      <w:r>
        <w:rPr>
          <w:sz w:val="20"/>
        </w:rPr>
        <w:t>Procurement</w:t>
      </w:r>
      <w:r>
        <w:rPr>
          <w:spacing w:val="-8"/>
          <w:sz w:val="20"/>
        </w:rPr>
        <w:t> </w:t>
      </w:r>
      <w:r>
        <w:rPr>
          <w:sz w:val="20"/>
        </w:rPr>
        <w:t>and</w:t>
      </w:r>
      <w:r>
        <w:rPr>
          <w:spacing w:val="-9"/>
          <w:sz w:val="20"/>
        </w:rPr>
        <w:t> </w:t>
      </w:r>
      <w:r>
        <w:rPr>
          <w:sz w:val="20"/>
        </w:rPr>
        <w:t>Construction</w:t>
      </w:r>
      <w:r>
        <w:rPr>
          <w:spacing w:val="-7"/>
          <w:sz w:val="20"/>
        </w:rPr>
        <w:t> </w:t>
      </w:r>
      <w:r>
        <w:rPr>
          <w:spacing w:val="-2"/>
          <w:sz w:val="20"/>
        </w:rPr>
        <w:t>Council</w:t>
      </w:r>
    </w:p>
    <w:p>
      <w:pPr>
        <w:pStyle w:val="BodyText"/>
        <w:spacing w:before="9"/>
        <w:rPr>
          <w:sz w:val="23"/>
        </w:rPr>
      </w:pPr>
    </w:p>
    <w:p>
      <w:pPr>
        <w:pStyle w:val="BodyText"/>
        <w:ind w:left="417" w:right="807"/>
        <w:jc w:val="both"/>
      </w:pPr>
      <w:r>
        <w:rPr/>
        <w:t>Table 12 shows that State and Territory governments occupy a total of 3.8 million square metres of building area and that 2.5 million square metres, or approximately two thirds of this total, is leased.</w:t>
      </w:r>
      <w:r>
        <w:rPr>
          <w:spacing w:val="40"/>
        </w:rPr>
        <w:t> </w:t>
      </w:r>
      <w:r>
        <w:rPr/>
        <w:t>Thus, the above estimates of costs to the public sector associated with the adoption of the Premises Standards are substantially less than the whole of the likely cost to governments.</w:t>
      </w:r>
      <w:r>
        <w:rPr>
          <w:spacing w:val="80"/>
        </w:rPr>
        <w:t> </w:t>
      </w:r>
      <w:r>
        <w:rPr/>
        <w:t>The</w:t>
      </w:r>
      <w:r>
        <w:rPr>
          <w:spacing w:val="80"/>
        </w:rPr>
        <w:t> </w:t>
      </w:r>
      <w:r>
        <w:rPr/>
        <w:t>estimates</w:t>
      </w:r>
      <w:r>
        <w:rPr>
          <w:spacing w:val="80"/>
        </w:rPr>
        <w:t> </w:t>
      </w:r>
      <w:r>
        <w:rPr/>
        <w:t>presented</w:t>
      </w:r>
      <w:r>
        <w:rPr>
          <w:spacing w:val="80"/>
        </w:rPr>
        <w:t> </w:t>
      </w:r>
      <w:r>
        <w:rPr/>
        <w:t>above</w:t>
      </w:r>
      <w:r>
        <w:rPr>
          <w:spacing w:val="80"/>
        </w:rPr>
        <w:t> </w:t>
      </w:r>
      <w:r>
        <w:rPr/>
        <w:t>are</w:t>
      </w:r>
      <w:r>
        <w:rPr>
          <w:spacing w:val="80"/>
        </w:rPr>
        <w:t> </w:t>
      </w:r>
      <w:r>
        <w:rPr/>
        <w:t>based</w:t>
      </w:r>
      <w:r>
        <w:rPr>
          <w:spacing w:val="80"/>
        </w:rPr>
        <w:t> </w:t>
      </w:r>
      <w:r>
        <w:rPr/>
        <w:t>solely</w:t>
      </w:r>
      <w:r>
        <w:rPr>
          <w:spacing w:val="80"/>
        </w:rPr>
        <w:t> </w:t>
      </w:r>
      <w:r>
        <w:rPr/>
        <w:t>on</w:t>
      </w:r>
      <w:r>
        <w:rPr>
          <w:spacing w:val="80"/>
        </w:rPr>
        <w:t> </w:t>
      </w:r>
      <w:r>
        <w:rPr/>
        <w:t>the</w:t>
      </w:r>
    </w:p>
    <w:p>
      <w:pPr>
        <w:spacing w:after="0"/>
        <w:jc w:val="both"/>
        <w:sectPr>
          <w:pgSz w:w="11900" w:h="16840"/>
          <w:pgMar w:header="0" w:footer="1130" w:top="1360" w:bottom="1320" w:left="1380" w:right="980"/>
        </w:sectPr>
      </w:pPr>
    </w:p>
    <w:p>
      <w:pPr>
        <w:pStyle w:val="BodyText"/>
        <w:spacing w:before="77"/>
        <w:ind w:left="417" w:right="808"/>
        <w:jc w:val="both"/>
      </w:pPr>
      <w:r>
        <w:rPr/>
        <w:t>expected cost increases associated with government building and renovation activity.</w:t>
      </w:r>
      <w:r>
        <w:rPr>
          <w:spacing w:val="40"/>
        </w:rPr>
        <w:t> </w:t>
      </w:r>
      <w:r>
        <w:rPr/>
        <w:t>However,</w:t>
      </w:r>
      <w:r>
        <w:rPr>
          <w:spacing w:val="-1"/>
        </w:rPr>
        <w:t> </w:t>
      </w:r>
      <w:r>
        <w:rPr/>
        <w:t>increases</w:t>
      </w:r>
      <w:r>
        <w:rPr>
          <w:spacing w:val="-1"/>
        </w:rPr>
        <w:t> </w:t>
      </w:r>
      <w:r>
        <w:rPr/>
        <w:t>in</w:t>
      </w:r>
      <w:r>
        <w:rPr>
          <w:spacing w:val="-1"/>
        </w:rPr>
        <w:t> </w:t>
      </w:r>
      <w:r>
        <w:rPr/>
        <w:t>the</w:t>
      </w:r>
      <w:r>
        <w:rPr>
          <w:spacing w:val="-1"/>
        </w:rPr>
        <w:t> </w:t>
      </w:r>
      <w:r>
        <w:rPr/>
        <w:t>cost</w:t>
      </w:r>
      <w:r>
        <w:rPr>
          <w:spacing w:val="-1"/>
        </w:rPr>
        <w:t> </w:t>
      </w:r>
      <w:r>
        <w:rPr/>
        <w:t>of</w:t>
      </w:r>
      <w:r>
        <w:rPr>
          <w:spacing w:val="-1"/>
        </w:rPr>
        <w:t> </w:t>
      </w:r>
      <w:r>
        <w:rPr/>
        <w:t>construction</w:t>
      </w:r>
      <w:r>
        <w:rPr>
          <w:spacing w:val="-1"/>
        </w:rPr>
        <w:t> </w:t>
      </w:r>
      <w:r>
        <w:rPr/>
        <w:t>and</w:t>
      </w:r>
      <w:r>
        <w:rPr>
          <w:spacing w:val="-1"/>
        </w:rPr>
        <w:t> </w:t>
      </w:r>
      <w:r>
        <w:rPr/>
        <w:t>renovation</w:t>
      </w:r>
      <w:r>
        <w:rPr>
          <w:spacing w:val="-1"/>
        </w:rPr>
        <w:t> </w:t>
      </w:r>
      <w:r>
        <w:rPr/>
        <w:t>activity will necessarily flow through to increases in rental costs.</w:t>
      </w:r>
    </w:p>
    <w:p>
      <w:pPr>
        <w:pStyle w:val="BodyText"/>
        <w:spacing w:before="11"/>
        <w:rPr>
          <w:sz w:val="23"/>
        </w:rPr>
      </w:pPr>
    </w:p>
    <w:p>
      <w:pPr>
        <w:pStyle w:val="BodyText"/>
        <w:ind w:left="417" w:right="807"/>
        <w:jc w:val="both"/>
      </w:pPr>
      <w:r>
        <w:rPr/>
        <w:t>For the current purposes it will be assumed that the adoption of the Premises Standards</w:t>
      </w:r>
      <w:r>
        <w:rPr>
          <w:spacing w:val="-2"/>
        </w:rPr>
        <w:t> </w:t>
      </w:r>
      <w:r>
        <w:rPr/>
        <w:t>will</w:t>
      </w:r>
      <w:r>
        <w:rPr>
          <w:spacing w:val="-2"/>
        </w:rPr>
        <w:t> </w:t>
      </w:r>
      <w:r>
        <w:rPr/>
        <w:t>not</w:t>
      </w:r>
      <w:r>
        <w:rPr>
          <w:spacing w:val="-2"/>
        </w:rPr>
        <w:t> </w:t>
      </w:r>
      <w:r>
        <w:rPr/>
        <w:t>lead</w:t>
      </w:r>
      <w:r>
        <w:rPr>
          <w:spacing w:val="-2"/>
        </w:rPr>
        <w:t> </w:t>
      </w:r>
      <w:r>
        <w:rPr/>
        <w:t>to</w:t>
      </w:r>
      <w:r>
        <w:rPr>
          <w:spacing w:val="-2"/>
        </w:rPr>
        <w:t> </w:t>
      </w:r>
      <w:r>
        <w:rPr/>
        <w:t>any</w:t>
      </w:r>
      <w:r>
        <w:rPr>
          <w:spacing w:val="-1"/>
        </w:rPr>
        <w:t> </w:t>
      </w:r>
      <w:r>
        <w:rPr/>
        <w:t>long-term</w:t>
      </w:r>
      <w:r>
        <w:rPr>
          <w:spacing w:val="-2"/>
        </w:rPr>
        <w:t> </w:t>
      </w:r>
      <w:r>
        <w:rPr/>
        <w:t>reduction</w:t>
      </w:r>
      <w:r>
        <w:rPr>
          <w:spacing w:val="-2"/>
        </w:rPr>
        <w:t> </w:t>
      </w:r>
      <w:r>
        <w:rPr/>
        <w:t>in</w:t>
      </w:r>
      <w:r>
        <w:rPr>
          <w:spacing w:val="-2"/>
        </w:rPr>
        <w:t> </w:t>
      </w:r>
      <w:r>
        <w:rPr/>
        <w:t>the</w:t>
      </w:r>
      <w:r>
        <w:rPr>
          <w:spacing w:val="-2"/>
        </w:rPr>
        <w:t> </w:t>
      </w:r>
      <w:r>
        <w:rPr/>
        <w:t>rental</w:t>
      </w:r>
      <w:r>
        <w:rPr>
          <w:spacing w:val="-2"/>
        </w:rPr>
        <w:t> </w:t>
      </w:r>
      <w:r>
        <w:rPr/>
        <w:t>rate</w:t>
      </w:r>
      <w:r>
        <w:rPr>
          <w:spacing w:val="-2"/>
        </w:rPr>
        <w:t> </w:t>
      </w:r>
      <w:r>
        <w:rPr/>
        <w:t>of</w:t>
      </w:r>
      <w:r>
        <w:rPr>
          <w:spacing w:val="-2"/>
        </w:rPr>
        <w:t> </w:t>
      </w:r>
      <w:r>
        <w:rPr/>
        <w:t>return</w:t>
      </w:r>
      <w:r>
        <w:rPr>
          <w:spacing w:val="-2"/>
        </w:rPr>
        <w:t> </w:t>
      </w:r>
      <w:r>
        <w:rPr/>
        <w:t>to building owners.</w:t>
      </w:r>
      <w:r>
        <w:rPr>
          <w:spacing w:val="40"/>
        </w:rPr>
        <w:t> </w:t>
      </w:r>
      <w:r>
        <w:rPr/>
        <w:t>This implies that a given percentage increase in construction/renovation costs will yield an equal percentage increase in rental prices.</w:t>
      </w:r>
      <w:r>
        <w:rPr>
          <w:spacing w:val="40"/>
        </w:rPr>
        <w:t> </w:t>
      </w:r>
      <w:r>
        <w:rPr/>
        <w:t>The aggregate cost data presented above shows annual increases in the</w:t>
      </w:r>
      <w:r>
        <w:rPr>
          <w:spacing w:val="-4"/>
        </w:rPr>
        <w:t> </w:t>
      </w:r>
      <w:r>
        <w:rPr/>
        <w:t>costs</w:t>
      </w:r>
      <w:r>
        <w:rPr>
          <w:spacing w:val="-4"/>
        </w:rPr>
        <w:t> </w:t>
      </w:r>
      <w:r>
        <w:rPr/>
        <w:t>of</w:t>
      </w:r>
      <w:r>
        <w:rPr>
          <w:spacing w:val="-4"/>
        </w:rPr>
        <w:t> </w:t>
      </w:r>
      <w:r>
        <w:rPr/>
        <w:t>construction</w:t>
      </w:r>
      <w:r>
        <w:rPr>
          <w:spacing w:val="-4"/>
        </w:rPr>
        <w:t> </w:t>
      </w:r>
      <w:r>
        <w:rPr/>
        <w:t>and</w:t>
      </w:r>
      <w:r>
        <w:rPr>
          <w:spacing w:val="-4"/>
        </w:rPr>
        <w:t> </w:t>
      </w:r>
      <w:r>
        <w:rPr/>
        <w:t>renovation</w:t>
      </w:r>
      <w:r>
        <w:rPr>
          <w:spacing w:val="-4"/>
        </w:rPr>
        <w:t> </w:t>
      </w:r>
      <w:r>
        <w:rPr/>
        <w:t>activity</w:t>
      </w:r>
      <w:r>
        <w:rPr>
          <w:spacing w:val="-4"/>
        </w:rPr>
        <w:t> </w:t>
      </w:r>
      <w:r>
        <w:rPr/>
        <w:t>associated</w:t>
      </w:r>
      <w:r>
        <w:rPr>
          <w:spacing w:val="-4"/>
        </w:rPr>
        <w:t> </w:t>
      </w:r>
      <w:r>
        <w:rPr/>
        <w:t>with</w:t>
      </w:r>
      <w:r>
        <w:rPr>
          <w:spacing w:val="-4"/>
        </w:rPr>
        <w:t> </w:t>
      </w:r>
      <w:r>
        <w:rPr/>
        <w:t>the</w:t>
      </w:r>
      <w:r>
        <w:rPr>
          <w:spacing w:val="-4"/>
        </w:rPr>
        <w:t> </w:t>
      </w:r>
      <w:r>
        <w:rPr/>
        <w:t>Standards estimated at $620 million.</w:t>
      </w:r>
      <w:r>
        <w:rPr>
          <w:spacing w:val="40"/>
        </w:rPr>
        <w:t> </w:t>
      </w:r>
      <w:r>
        <w:rPr/>
        <w:t>This is equivalent to an increase of 2.7% on the base year value of building and construction activity of $22.8 billion.</w:t>
      </w:r>
    </w:p>
    <w:p>
      <w:pPr>
        <w:pStyle w:val="BodyText"/>
      </w:pPr>
    </w:p>
    <w:p>
      <w:pPr>
        <w:pStyle w:val="BodyText"/>
        <w:ind w:left="417" w:right="806"/>
        <w:jc w:val="both"/>
      </w:pPr>
      <w:r>
        <w:rPr/>
        <w:t>Further data from APCC show that total rental payments in respect of this leased property were $689.9 million in the 2004-05 financial year.</w:t>
      </w:r>
      <w:r>
        <w:rPr>
          <w:spacing w:val="40"/>
        </w:rPr>
        <w:t> </w:t>
      </w:r>
      <w:r>
        <w:rPr/>
        <w:t>As noted above, however, the APCC data relates only to State and Territory governments.</w:t>
      </w:r>
      <w:r>
        <w:rPr>
          <w:spacing w:val="40"/>
        </w:rPr>
        <w:t> </w:t>
      </w:r>
      <w:r>
        <w:rPr/>
        <w:t>Other ABS data shows that State and Territory governments account for only 73.6% of total public sector employment</w:t>
      </w:r>
      <w:r>
        <w:rPr>
          <w:vertAlign w:val="superscript"/>
        </w:rPr>
        <w:t>66</w:t>
      </w:r>
      <w:r>
        <w:rPr>
          <w:vertAlign w:val="baseline"/>
        </w:rPr>
        <w:t>.</w:t>
      </w:r>
      <w:r>
        <w:rPr>
          <w:spacing w:val="40"/>
          <w:vertAlign w:val="baseline"/>
        </w:rPr>
        <w:t> </w:t>
      </w:r>
      <w:r>
        <w:rPr>
          <w:vertAlign w:val="baseline"/>
        </w:rPr>
        <w:t>Given this, the total rental figure of $689.9 million cited above must be inflated by a factor of (1/0.736 = 1.36) in order to arrive at an estimate of the total rental paid in respect of leased buildings by the Federal, State/Territory and local governments.</w:t>
      </w:r>
      <w:r>
        <w:rPr>
          <w:spacing w:val="40"/>
          <w:vertAlign w:val="baseline"/>
        </w:rPr>
        <w:t> </w:t>
      </w:r>
      <w:r>
        <w:rPr>
          <w:vertAlign w:val="baseline"/>
        </w:rPr>
        <w:t>This yields a total rental figure of $937.4 million.</w:t>
      </w:r>
    </w:p>
    <w:p>
      <w:pPr>
        <w:pStyle w:val="BodyText"/>
      </w:pPr>
    </w:p>
    <w:p>
      <w:pPr>
        <w:pStyle w:val="BodyText"/>
        <w:spacing w:before="1"/>
        <w:ind w:left="417" w:right="808"/>
        <w:jc w:val="both"/>
      </w:pPr>
      <w:r>
        <w:rPr/>
        <w:t>Applying the above estimate of the 2.7% rental increase to this total yields an estimated "steady state" increase in annual rental payments by governments of $25.3 million.</w:t>
      </w:r>
      <w:r>
        <w:rPr>
          <w:spacing w:val="40"/>
        </w:rPr>
        <w:t> </w:t>
      </w:r>
      <w:r>
        <w:rPr/>
        <w:t>This can be added to the above estimate of increased construction/renovation costs of $139 .8 million per annum to yield a revised estimate of the total annual cost to government of $165 million.</w:t>
      </w:r>
    </w:p>
    <w:p>
      <w:pPr>
        <w:pStyle w:val="BodyText"/>
        <w:rPr>
          <w:sz w:val="22"/>
        </w:rPr>
      </w:pPr>
      <w:r>
        <w:rPr/>
        <w:pict>
          <v:group style="position:absolute;margin-left:83.940002pt;margin-top:13.897763pt;width:427.5pt;height:236.1pt;mso-position-horizontal-relative:page;mso-position-vertical-relative:paragraph;z-index:-15702016;mso-wrap-distance-left:0;mso-wrap-distance-right:0" id="docshapegroup61" coordorigin="1679,278" coordsize="8550,4722">
            <v:shape style="position:absolute;left:1678;top:277;width:8550;height:4722" id="docshape62" coordorigin="1679,278" coordsize="8550,4722" path="m10229,278l10219,278,1688,278,1679,278,1679,288,1679,5000,1688,5000,1688,288,10219,288,10219,5000,10229,5000,10229,288,10229,278xe" filled="true" fillcolor="#000000" stroked="false">
              <v:path arrowok="t"/>
              <v:fill type="solid"/>
            </v:shape>
            <v:shape style="position:absolute;left:1688;top:287;width:8531;height:4713" type="#_x0000_t202" id="docshape63" filled="false" stroked="false">
              <v:textbox inset="0,0,0,0">
                <w:txbxContent>
                  <w:p>
                    <w:pPr>
                      <w:spacing w:line="275" w:lineRule="exact" w:before="18"/>
                      <w:ind w:left="109" w:right="0" w:firstLine="0"/>
                      <w:jc w:val="both"/>
                      <w:rPr>
                        <w:b/>
                        <w:sz w:val="24"/>
                      </w:rPr>
                    </w:pPr>
                    <w:r>
                      <w:rPr>
                        <w:b/>
                        <w:sz w:val="24"/>
                      </w:rPr>
                      <w:t>Box</w:t>
                    </w:r>
                    <w:r>
                      <w:rPr>
                        <w:b/>
                        <w:spacing w:val="-10"/>
                        <w:sz w:val="24"/>
                      </w:rPr>
                      <w:t> </w:t>
                    </w:r>
                    <w:r>
                      <w:rPr>
                        <w:b/>
                        <w:sz w:val="24"/>
                      </w:rPr>
                      <w:t>2:</w:t>
                    </w:r>
                    <w:r>
                      <w:rPr>
                        <w:b/>
                        <w:spacing w:val="-9"/>
                        <w:sz w:val="24"/>
                      </w:rPr>
                      <w:t> </w:t>
                    </w:r>
                    <w:r>
                      <w:rPr>
                        <w:b/>
                        <w:sz w:val="24"/>
                      </w:rPr>
                      <w:t>Cyclical</w:t>
                    </w:r>
                    <w:r>
                      <w:rPr>
                        <w:b/>
                        <w:spacing w:val="-9"/>
                        <w:sz w:val="24"/>
                      </w:rPr>
                      <w:t> </w:t>
                    </w:r>
                    <w:r>
                      <w:rPr>
                        <w:b/>
                        <w:spacing w:val="-2"/>
                        <w:sz w:val="24"/>
                      </w:rPr>
                      <w:t>impacts</w:t>
                    </w:r>
                  </w:p>
                  <w:p>
                    <w:pPr>
                      <w:spacing w:before="0"/>
                      <w:ind w:left="109" w:right="105" w:firstLine="0"/>
                      <w:jc w:val="both"/>
                      <w:rPr>
                        <w:sz w:val="24"/>
                      </w:rPr>
                    </w:pPr>
                    <w:r>
                      <w:rPr>
                        <w:sz w:val="24"/>
                      </w:rPr>
                      <w:t>A final difficulty, when seeking to estimate the costs to government of the proposed Premises Standards, is that the proportion of the value of total building attributable to the government vary substantially at different stages of the building cycle. For example, Table 9 shows a variation in the percentage</w:t>
                    </w:r>
                    <w:r>
                      <w:rPr>
                        <w:spacing w:val="40"/>
                        <w:sz w:val="24"/>
                      </w:rPr>
                      <w:t> </w:t>
                    </w:r>
                    <w:r>
                      <w:rPr>
                        <w:sz w:val="24"/>
                      </w:rPr>
                      <w:t>of total building approvals accounted for by the public sector of 5.5% between 2001-02 and 2002-03. Further review of the table indicated that the level of public sector building approvals is relatively constant from year to year, while the level of private sector building approvals is considerably more variable. This is unsurprising given that public sector decision-making is largely unaffected by the cyclical factors that affect private sector building activity.</w:t>
                    </w:r>
                  </w:p>
                  <w:p>
                    <w:pPr>
                      <w:spacing w:line="240" w:lineRule="auto" w:before="0"/>
                      <w:rPr>
                        <w:sz w:val="24"/>
                      </w:rPr>
                    </w:pPr>
                  </w:p>
                  <w:p>
                    <w:pPr>
                      <w:spacing w:before="0"/>
                      <w:ind w:left="109" w:right="106" w:firstLine="0"/>
                      <w:jc w:val="both"/>
                      <w:rPr>
                        <w:sz w:val="24"/>
                      </w:rPr>
                    </w:pPr>
                    <w:r>
                      <w:rPr>
                        <w:sz w:val="24"/>
                      </w:rPr>
                      <w:t>To the extent that the calendar year 2002 building activity data used as the basis for the above cost estimates reflect a “typical” year’s building activity,</w:t>
                    </w:r>
                    <w:r>
                      <w:rPr>
                        <w:spacing w:val="40"/>
                        <w:sz w:val="24"/>
                      </w:rPr>
                      <w:t> </w:t>
                    </w:r>
                    <w:r>
                      <w:rPr>
                        <w:sz w:val="24"/>
                      </w:rPr>
                      <w:t>the estimates made of the cost likely to be incurred by the public sector may be</w:t>
                    </w:r>
                    <w:r>
                      <w:rPr>
                        <w:spacing w:val="-3"/>
                        <w:sz w:val="24"/>
                      </w:rPr>
                      <w:t> </w:t>
                    </w:r>
                    <w:r>
                      <w:rPr>
                        <w:sz w:val="24"/>
                      </w:rPr>
                      <w:t>appropriate.</w:t>
                    </w:r>
                    <w:r>
                      <w:rPr>
                        <w:spacing w:val="-3"/>
                        <w:sz w:val="24"/>
                      </w:rPr>
                      <w:t> </w:t>
                    </w:r>
                    <w:r>
                      <w:rPr>
                        <w:sz w:val="24"/>
                      </w:rPr>
                      <w:t>However,</w:t>
                    </w:r>
                    <w:r>
                      <w:rPr>
                        <w:spacing w:val="-3"/>
                        <w:sz w:val="24"/>
                      </w:rPr>
                      <w:t> </w:t>
                    </w:r>
                    <w:r>
                      <w:rPr>
                        <w:sz w:val="24"/>
                      </w:rPr>
                      <w:t>if</w:t>
                    </w:r>
                    <w:r>
                      <w:rPr>
                        <w:spacing w:val="-3"/>
                        <w:sz w:val="24"/>
                      </w:rPr>
                      <w:t> </w:t>
                    </w:r>
                    <w:r>
                      <w:rPr>
                        <w:sz w:val="24"/>
                      </w:rPr>
                      <w:t>the</w:t>
                    </w:r>
                    <w:r>
                      <w:rPr>
                        <w:spacing w:val="-3"/>
                        <w:sz w:val="24"/>
                      </w:rPr>
                      <w:t> </w:t>
                    </w:r>
                    <w:r>
                      <w:rPr>
                        <w:sz w:val="24"/>
                      </w:rPr>
                      <w:t>2002</w:t>
                    </w:r>
                    <w:r>
                      <w:rPr>
                        <w:spacing w:val="-3"/>
                        <w:sz w:val="24"/>
                      </w:rPr>
                      <w:t> </w:t>
                    </w:r>
                    <w:r>
                      <w:rPr>
                        <w:sz w:val="24"/>
                      </w:rPr>
                      <w:t>building</w:t>
                    </w:r>
                    <w:r>
                      <w:rPr>
                        <w:spacing w:val="-3"/>
                        <w:sz w:val="24"/>
                      </w:rPr>
                      <w:t> </w:t>
                    </w:r>
                    <w:r>
                      <w:rPr>
                        <w:sz w:val="24"/>
                      </w:rPr>
                      <w:t>activity</w:t>
                    </w:r>
                    <w:r>
                      <w:rPr>
                        <w:spacing w:val="-3"/>
                        <w:sz w:val="24"/>
                      </w:rPr>
                      <w:t> </w:t>
                    </w:r>
                    <w:r>
                      <w:rPr>
                        <w:sz w:val="24"/>
                      </w:rPr>
                      <w:t>data</w:t>
                    </w:r>
                    <w:r>
                      <w:rPr>
                        <w:spacing w:val="-3"/>
                        <w:sz w:val="24"/>
                      </w:rPr>
                      <w:t> </w:t>
                    </w:r>
                    <w:r>
                      <w:rPr>
                        <w:sz w:val="24"/>
                      </w:rPr>
                      <w:t>represents</w:t>
                    </w:r>
                    <w:r>
                      <w:rPr>
                        <w:spacing w:val="-3"/>
                        <w:sz w:val="24"/>
                      </w:rPr>
                      <w:t> </w:t>
                    </w:r>
                    <w:r>
                      <w:rPr>
                        <w:sz w:val="24"/>
                      </w:rPr>
                      <w:t>a</w:t>
                    </w:r>
                    <w:r>
                      <w:rPr>
                        <w:spacing w:val="-3"/>
                        <w:sz w:val="24"/>
                      </w:rPr>
                      <w:t> </w:t>
                    </w:r>
                    <w:r>
                      <w:rPr>
                        <w:sz w:val="24"/>
                      </w:rPr>
                      <w:t>year</w:t>
                    </w:r>
                    <w:r>
                      <w:rPr>
                        <w:spacing w:val="-3"/>
                        <w:sz w:val="24"/>
                      </w:rPr>
                      <w:t> </w:t>
                    </w:r>
                    <w:r>
                      <w:rPr>
                        <w:sz w:val="24"/>
                      </w:rPr>
                      <w:t>of above-average</w:t>
                    </w:r>
                    <w:r>
                      <w:rPr>
                        <w:spacing w:val="39"/>
                        <w:sz w:val="24"/>
                      </w:rPr>
                      <w:t> </w:t>
                    </w:r>
                    <w:r>
                      <w:rPr>
                        <w:sz w:val="24"/>
                      </w:rPr>
                      <w:t>building</w:t>
                    </w:r>
                    <w:r>
                      <w:rPr>
                        <w:spacing w:val="39"/>
                        <w:sz w:val="24"/>
                      </w:rPr>
                      <w:t> </w:t>
                    </w:r>
                    <w:r>
                      <w:rPr>
                        <w:sz w:val="24"/>
                      </w:rPr>
                      <w:t>activity,</w:t>
                    </w:r>
                    <w:r>
                      <w:rPr>
                        <w:spacing w:val="39"/>
                        <w:sz w:val="24"/>
                      </w:rPr>
                      <w:t> </w:t>
                    </w:r>
                    <w:r>
                      <w:rPr>
                        <w:sz w:val="24"/>
                      </w:rPr>
                      <w:t>it</w:t>
                    </w:r>
                    <w:r>
                      <w:rPr>
                        <w:spacing w:val="39"/>
                        <w:sz w:val="24"/>
                      </w:rPr>
                      <w:t> </w:t>
                    </w:r>
                    <w:r>
                      <w:rPr>
                        <w:sz w:val="24"/>
                      </w:rPr>
                      <w:t>is</w:t>
                    </w:r>
                    <w:r>
                      <w:rPr>
                        <w:spacing w:val="39"/>
                        <w:sz w:val="24"/>
                      </w:rPr>
                      <w:t> </w:t>
                    </w:r>
                    <w:r>
                      <w:rPr>
                        <w:sz w:val="24"/>
                      </w:rPr>
                      <w:t>likely</w:t>
                    </w:r>
                    <w:r>
                      <w:rPr>
                        <w:spacing w:val="39"/>
                        <w:sz w:val="24"/>
                      </w:rPr>
                      <w:t> </w:t>
                    </w:r>
                    <w:r>
                      <w:rPr>
                        <w:sz w:val="24"/>
                      </w:rPr>
                      <w:t>that</w:t>
                    </w:r>
                    <w:r>
                      <w:rPr>
                        <w:spacing w:val="39"/>
                        <w:sz w:val="24"/>
                      </w:rPr>
                      <w:t> </w:t>
                    </w:r>
                    <w:r>
                      <w:rPr>
                        <w:sz w:val="24"/>
                      </w:rPr>
                      <w:t>the</w:t>
                    </w:r>
                    <w:r>
                      <w:rPr>
                        <w:spacing w:val="39"/>
                        <w:sz w:val="24"/>
                      </w:rPr>
                      <w:t> </w:t>
                    </w:r>
                    <w:r>
                      <w:rPr>
                        <w:sz w:val="24"/>
                      </w:rPr>
                      <w:t>result</w:t>
                    </w:r>
                    <w:r>
                      <w:rPr>
                        <w:spacing w:val="39"/>
                        <w:sz w:val="24"/>
                      </w:rPr>
                      <w:t> </w:t>
                    </w:r>
                    <w:r>
                      <w:rPr>
                        <w:sz w:val="24"/>
                      </w:rPr>
                      <w:t>would</w:t>
                    </w:r>
                    <w:r>
                      <w:rPr>
                        <w:spacing w:val="39"/>
                        <w:sz w:val="24"/>
                      </w:rPr>
                      <w:t> </w:t>
                    </w:r>
                    <w:r>
                      <w:rPr>
                        <w:sz w:val="24"/>
                      </w:rPr>
                      <w:t>be</w:t>
                    </w:r>
                    <w:r>
                      <w:rPr>
                        <w:spacing w:val="39"/>
                        <w:sz w:val="24"/>
                      </w:rPr>
                      <w:t> </w:t>
                    </w:r>
                    <w:r>
                      <w:rPr>
                        <w:sz w:val="24"/>
                      </w:rPr>
                      <w:t>that</w:t>
                    </w:r>
                    <w:r>
                      <w:rPr>
                        <w:spacing w:val="39"/>
                        <w:sz w:val="24"/>
                      </w:rPr>
                      <w:t> </w:t>
                    </w:r>
                    <w:r>
                      <w:rPr>
                        <w:sz w:val="24"/>
                      </w:rPr>
                      <w:t>the</w:t>
                    </w:r>
                  </w:p>
                </w:txbxContent>
              </v:textbox>
              <w10:wrap type="none"/>
            </v:shape>
            <w10:wrap type="topAndBottom"/>
          </v:group>
        </w:pict>
      </w:r>
    </w:p>
    <w:p>
      <w:pPr>
        <w:pStyle w:val="BodyText"/>
        <w:rPr>
          <w:sz w:val="20"/>
        </w:rPr>
      </w:pPr>
    </w:p>
    <w:p>
      <w:pPr>
        <w:pStyle w:val="BodyText"/>
        <w:rPr>
          <w:sz w:val="20"/>
        </w:rPr>
      </w:pPr>
    </w:p>
    <w:p>
      <w:pPr>
        <w:pStyle w:val="BodyText"/>
        <w:spacing w:before="9"/>
        <w:rPr>
          <w:sz w:val="12"/>
        </w:rPr>
      </w:pPr>
      <w:r>
        <w:rPr/>
        <w:pict>
          <v:rect style="position:absolute;margin-left:89.879997pt;margin-top:8.561954pt;width:144pt;height:.6pt;mso-position-horizontal-relative:page;mso-position-vertical-relative:paragraph;z-index:-15701504;mso-wrap-distance-left:0;mso-wrap-distance-right:0" id="docshape64" filled="true" fillcolor="#000000" stroked="false">
            <v:fill type="solid"/>
            <w10:wrap type="topAndBottom"/>
          </v:rect>
        </w:pict>
      </w:r>
    </w:p>
    <w:p>
      <w:pPr>
        <w:pStyle w:val="BodyText"/>
        <w:spacing w:before="1"/>
        <w:rPr>
          <w:sz w:val="8"/>
        </w:rPr>
      </w:pPr>
    </w:p>
    <w:p>
      <w:pPr>
        <w:spacing w:before="130"/>
        <w:ind w:left="417" w:right="0" w:firstLine="0"/>
        <w:jc w:val="left"/>
        <w:rPr>
          <w:sz w:val="20"/>
        </w:rPr>
      </w:pPr>
      <w:r>
        <w:rPr>
          <w:sz w:val="20"/>
          <w:vertAlign w:val="superscript"/>
        </w:rPr>
        <w:t>66</w:t>
      </w:r>
      <w:r>
        <w:rPr>
          <w:spacing w:val="-5"/>
          <w:sz w:val="20"/>
          <w:vertAlign w:val="baseline"/>
        </w:rPr>
        <w:t> </w:t>
      </w:r>
      <w:r>
        <w:rPr>
          <w:sz w:val="20"/>
          <w:vertAlign w:val="baseline"/>
        </w:rPr>
        <w:t>See</w:t>
      </w:r>
      <w:r>
        <w:rPr>
          <w:spacing w:val="-5"/>
          <w:sz w:val="20"/>
          <w:vertAlign w:val="baseline"/>
        </w:rPr>
        <w:t> </w:t>
      </w:r>
      <w:r>
        <w:rPr>
          <w:i/>
          <w:sz w:val="20"/>
          <w:vertAlign w:val="baseline"/>
        </w:rPr>
        <w:t>Wage</w:t>
      </w:r>
      <w:r>
        <w:rPr>
          <w:i/>
          <w:spacing w:val="-5"/>
          <w:sz w:val="20"/>
          <w:vertAlign w:val="baseline"/>
        </w:rPr>
        <w:t> </w:t>
      </w:r>
      <w:r>
        <w:rPr>
          <w:i/>
          <w:sz w:val="20"/>
          <w:vertAlign w:val="baseline"/>
        </w:rPr>
        <w:t>and</w:t>
      </w:r>
      <w:r>
        <w:rPr>
          <w:i/>
          <w:spacing w:val="-5"/>
          <w:sz w:val="20"/>
          <w:vertAlign w:val="baseline"/>
        </w:rPr>
        <w:t> </w:t>
      </w:r>
      <w:r>
        <w:rPr>
          <w:i/>
          <w:sz w:val="20"/>
          <w:vertAlign w:val="baseline"/>
        </w:rPr>
        <w:t>Salary</w:t>
      </w:r>
      <w:r>
        <w:rPr>
          <w:i/>
          <w:spacing w:val="-5"/>
          <w:sz w:val="20"/>
          <w:vertAlign w:val="baseline"/>
        </w:rPr>
        <w:t> </w:t>
      </w:r>
      <w:r>
        <w:rPr>
          <w:i/>
          <w:sz w:val="20"/>
          <w:vertAlign w:val="baseline"/>
        </w:rPr>
        <w:t>Earners,</w:t>
      </w:r>
      <w:r>
        <w:rPr>
          <w:i/>
          <w:spacing w:val="-5"/>
          <w:sz w:val="20"/>
          <w:vertAlign w:val="baseline"/>
        </w:rPr>
        <w:t> </w:t>
      </w:r>
      <w:r>
        <w:rPr>
          <w:i/>
          <w:sz w:val="20"/>
          <w:vertAlign w:val="baseline"/>
        </w:rPr>
        <w:t>Public</w:t>
      </w:r>
      <w:r>
        <w:rPr>
          <w:i/>
          <w:spacing w:val="-6"/>
          <w:sz w:val="20"/>
          <w:vertAlign w:val="baseline"/>
        </w:rPr>
        <w:t> </w:t>
      </w:r>
      <w:r>
        <w:rPr>
          <w:i/>
          <w:sz w:val="20"/>
          <w:vertAlign w:val="baseline"/>
        </w:rPr>
        <w:t>Sector,</w:t>
      </w:r>
      <w:r>
        <w:rPr>
          <w:i/>
          <w:spacing w:val="-4"/>
          <w:sz w:val="20"/>
          <w:vertAlign w:val="baseline"/>
        </w:rPr>
        <w:t> </w:t>
      </w:r>
      <w:r>
        <w:rPr>
          <w:i/>
          <w:sz w:val="20"/>
          <w:vertAlign w:val="baseline"/>
        </w:rPr>
        <w:t>Australia.</w:t>
      </w:r>
      <w:r>
        <w:rPr>
          <w:i/>
          <w:spacing w:val="47"/>
          <w:sz w:val="20"/>
          <w:vertAlign w:val="baseline"/>
        </w:rPr>
        <w:t> </w:t>
      </w:r>
      <w:r>
        <w:rPr>
          <w:sz w:val="20"/>
          <w:vertAlign w:val="baseline"/>
        </w:rPr>
        <w:t>ABS</w:t>
      </w:r>
      <w:r>
        <w:rPr>
          <w:spacing w:val="-5"/>
          <w:sz w:val="20"/>
          <w:vertAlign w:val="baseline"/>
        </w:rPr>
        <w:t> </w:t>
      </w:r>
      <w:r>
        <w:rPr>
          <w:sz w:val="20"/>
          <w:vertAlign w:val="baseline"/>
        </w:rPr>
        <w:t>6248.0,</w:t>
      </w:r>
      <w:r>
        <w:rPr>
          <w:spacing w:val="-4"/>
          <w:sz w:val="20"/>
          <w:vertAlign w:val="baseline"/>
        </w:rPr>
        <w:t> </w:t>
      </w:r>
      <w:r>
        <w:rPr>
          <w:sz w:val="20"/>
          <w:vertAlign w:val="baseline"/>
        </w:rPr>
        <w:t>June</w:t>
      </w:r>
      <w:r>
        <w:rPr>
          <w:spacing w:val="-5"/>
          <w:sz w:val="20"/>
          <w:vertAlign w:val="baseline"/>
        </w:rPr>
        <w:t> </w:t>
      </w:r>
      <w:r>
        <w:rPr>
          <w:spacing w:val="-2"/>
          <w:sz w:val="20"/>
          <w:vertAlign w:val="baseline"/>
        </w:rPr>
        <w:t>2003.</w:t>
      </w:r>
    </w:p>
    <w:p>
      <w:pPr>
        <w:spacing w:after="0"/>
        <w:jc w:val="left"/>
        <w:rPr>
          <w:sz w:val="20"/>
        </w:rPr>
        <w:sectPr>
          <w:pgSz w:w="11900" w:h="16840"/>
          <w:pgMar w:header="0" w:footer="1130" w:top="1360" w:bottom="1320" w:left="1380" w:right="980"/>
        </w:sectPr>
      </w:pPr>
    </w:p>
    <w:p>
      <w:pPr>
        <w:pStyle w:val="BodyText"/>
        <w:ind w:left="298"/>
        <w:rPr>
          <w:sz w:val="20"/>
        </w:rPr>
      </w:pPr>
      <w:r>
        <w:rPr>
          <w:sz w:val="20"/>
        </w:rPr>
        <w:pict>
          <v:group style="width:427.5pt;height:29.1pt;mso-position-horizontal-relative:char;mso-position-vertical-relative:line" id="docshapegroup65" coordorigin="0,0" coordsize="8550,582">
            <v:shape style="position:absolute;left:0;top:0;width:8550;height:582" id="docshape66" coordorigin="0,0" coordsize="8550,582" path="m8550,0l8540,0,8540,276,8540,572,10,572,10,276,10,0,0,0,0,276,0,572,0,582,10,582,8540,582,8550,582,8550,572,8550,276,8550,0xe" filled="true" fillcolor="#000000" stroked="false">
              <v:path arrowok="t"/>
              <v:fill type="solid"/>
            </v:shape>
            <v:shape style="position:absolute;left:9;top:0;width:8531;height:573" type="#_x0000_t202" id="docshape67" filled="false" stroked="false">
              <v:textbox inset="0,0,0,0">
                <w:txbxContent>
                  <w:p>
                    <w:pPr>
                      <w:spacing w:line="240" w:lineRule="auto" w:before="0"/>
                      <w:ind w:left="109" w:right="0" w:firstLine="0"/>
                      <w:jc w:val="left"/>
                      <w:rPr>
                        <w:sz w:val="24"/>
                      </w:rPr>
                    </w:pPr>
                    <w:bookmarkStart w:name="_bookmark25" w:id="94"/>
                    <w:bookmarkEnd w:id="94"/>
                    <w:r>
                      <w:rPr/>
                    </w:r>
                    <w:r>
                      <w:rPr>
                        <w:sz w:val="24"/>
                      </w:rPr>
                      <w:t>above calculations effectively underestimate the costs to government of the proposed Premises Standards.</w:t>
                    </w:r>
                  </w:p>
                </w:txbxContent>
              </v:textbox>
              <w10:wrap type="none"/>
            </v:shape>
          </v:group>
        </w:pict>
      </w:r>
      <w:r>
        <w:rPr>
          <w:sz w:val="20"/>
        </w:rPr>
      </w:r>
    </w:p>
    <w:p>
      <w:pPr>
        <w:pStyle w:val="BodyText"/>
        <w:spacing w:before="4"/>
        <w:rPr>
          <w:sz w:val="13"/>
        </w:rPr>
      </w:pPr>
    </w:p>
    <w:p>
      <w:pPr>
        <w:pStyle w:val="Heading5"/>
        <w:spacing w:before="92"/>
        <w:ind w:left="417"/>
        <w:jc w:val="left"/>
        <w:rPr>
          <w:i/>
        </w:rPr>
      </w:pPr>
      <w:r>
        <w:rPr>
          <w:i/>
          <w:spacing w:val="-2"/>
        </w:rPr>
        <w:t>Conclusion</w:t>
      </w:r>
    </w:p>
    <w:p>
      <w:pPr>
        <w:pStyle w:val="BodyText"/>
        <w:spacing w:before="119"/>
        <w:ind w:left="417" w:right="807"/>
        <w:jc w:val="both"/>
      </w:pPr>
      <w:r>
        <w:rPr/>
        <w:t>The above estimates suggest that the cost to Australian governments of implementing the proposed Premises Standards will be around a quarter of the total estimated cost (i.e. $165m/$620m = 26.6% of the estimated annual cost).</w:t>
      </w:r>
      <w:r>
        <w:rPr>
          <w:spacing w:val="40"/>
        </w:rPr>
        <w:t> </w:t>
      </w:r>
      <w:r>
        <w:rPr/>
        <w:t>This is equivalent to costs having a NPV of $2.3 at a 4% discount rate and $1.7 billion at a 7% discount rate over 30 years. Such costs are clearly substantial in absolute terms, albeit they remain relatively small within the context of overall budgetary expenditures by Australian governments.</w:t>
      </w:r>
      <w:r>
        <w:rPr>
          <w:spacing w:val="40"/>
        </w:rPr>
        <w:t> </w:t>
      </w:r>
      <w:r>
        <w:rPr/>
        <w:t>A substantial proportion of the identified costs is likely to be concentrated in a few portfolio areas, suggesting the need for attention to be given to the likely necessity of compensating for these impacts through the budget process.</w:t>
      </w:r>
      <w:r>
        <w:rPr>
          <w:spacing w:val="40"/>
        </w:rPr>
        <w:t> </w:t>
      </w:r>
      <w:r>
        <w:rPr/>
        <w:t>As Table 11, above, shows the largest single impact is likely to be found in the education sector.</w:t>
      </w:r>
      <w:r>
        <w:rPr>
          <w:spacing w:val="80"/>
        </w:rPr>
        <w:t> </w:t>
      </w:r>
      <w:r>
        <w:rPr/>
        <w:t>More broadly, it is apparent that costs on the scale identified must be funded either through tax increases or offsetting reductions in other expenditure.</w:t>
      </w:r>
    </w:p>
    <w:p>
      <w:pPr>
        <w:pStyle w:val="BodyText"/>
        <w:rPr>
          <w:sz w:val="26"/>
        </w:rPr>
      </w:pPr>
    </w:p>
    <w:p>
      <w:pPr>
        <w:pStyle w:val="Heading2"/>
        <w:numPr>
          <w:ilvl w:val="1"/>
          <w:numId w:val="25"/>
        </w:numPr>
        <w:tabs>
          <w:tab w:pos="1138" w:val="left" w:leader="none"/>
          <w:tab w:pos="1139" w:val="left" w:leader="none"/>
        </w:tabs>
        <w:spacing w:line="240" w:lineRule="auto" w:before="220" w:after="0"/>
        <w:ind w:left="1138" w:right="0" w:hanging="722"/>
        <w:jc w:val="left"/>
        <w:rPr>
          <w:i/>
        </w:rPr>
      </w:pPr>
      <w:bookmarkStart w:name="8.9 Business Compliance Costs" w:id="95"/>
      <w:bookmarkEnd w:id="95"/>
      <w:r>
        <w:rPr>
          <w:i/>
        </w:rPr>
        <w:t>Business</w:t>
      </w:r>
      <w:r>
        <w:rPr>
          <w:i/>
          <w:spacing w:val="-15"/>
        </w:rPr>
        <w:t> </w:t>
      </w:r>
      <w:r>
        <w:rPr>
          <w:i/>
        </w:rPr>
        <w:t>Compliance</w:t>
      </w:r>
      <w:r>
        <w:rPr>
          <w:i/>
          <w:spacing w:val="-14"/>
        </w:rPr>
        <w:t> </w:t>
      </w:r>
      <w:r>
        <w:rPr>
          <w:i/>
          <w:spacing w:val="-2"/>
        </w:rPr>
        <w:t>Costs</w:t>
      </w:r>
    </w:p>
    <w:p>
      <w:pPr>
        <w:pStyle w:val="BodyText"/>
        <w:spacing w:before="7"/>
        <w:rPr>
          <w:b/>
          <w:i/>
          <w:sz w:val="44"/>
        </w:rPr>
      </w:pPr>
    </w:p>
    <w:p>
      <w:pPr>
        <w:pStyle w:val="BodyText"/>
        <w:ind w:left="417" w:right="807"/>
        <w:jc w:val="both"/>
      </w:pPr>
      <w:r>
        <w:rPr/>
        <w:t>Businesses who comply with regulation incur certain compliance costs under existing arrangements. The Council of Australian Government (COAG) Guide </w:t>
      </w:r>
      <w:r>
        <w:rPr>
          <w:i/>
        </w:rPr>
        <w:t>Best Practice Regulation </w:t>
      </w:r>
      <w:r>
        <w:rPr/>
        <w:t>requires consideration of any additional</w:t>
      </w:r>
      <w:r>
        <w:rPr>
          <w:spacing w:val="40"/>
        </w:rPr>
        <w:t> </w:t>
      </w:r>
      <w:r>
        <w:rPr/>
        <w:t>(incremental)</w:t>
      </w:r>
      <w:r>
        <w:rPr>
          <w:spacing w:val="-3"/>
        </w:rPr>
        <w:t> </w:t>
      </w:r>
      <w:r>
        <w:rPr/>
        <w:t>compliance</w:t>
      </w:r>
      <w:r>
        <w:rPr>
          <w:spacing w:val="-3"/>
        </w:rPr>
        <w:t> </w:t>
      </w:r>
      <w:r>
        <w:rPr/>
        <w:t>burden</w:t>
      </w:r>
      <w:r>
        <w:rPr>
          <w:spacing w:val="-3"/>
        </w:rPr>
        <w:t> </w:t>
      </w:r>
      <w:r>
        <w:rPr/>
        <w:t>incurred</w:t>
      </w:r>
      <w:r>
        <w:rPr>
          <w:spacing w:val="-3"/>
        </w:rPr>
        <w:t> </w:t>
      </w:r>
      <w:r>
        <w:rPr/>
        <w:t>by</w:t>
      </w:r>
      <w:r>
        <w:rPr>
          <w:spacing w:val="-3"/>
        </w:rPr>
        <w:t> </w:t>
      </w:r>
      <w:r>
        <w:rPr/>
        <w:t>businesses</w:t>
      </w:r>
      <w:r>
        <w:rPr>
          <w:spacing w:val="-3"/>
        </w:rPr>
        <w:t> </w:t>
      </w:r>
      <w:r>
        <w:rPr/>
        <w:t>when</w:t>
      </w:r>
      <w:r>
        <w:rPr>
          <w:spacing w:val="-3"/>
        </w:rPr>
        <w:t> </w:t>
      </w:r>
      <w:r>
        <w:rPr/>
        <w:t>complying</w:t>
      </w:r>
      <w:r>
        <w:rPr>
          <w:spacing w:val="-3"/>
        </w:rPr>
        <w:t> </w:t>
      </w:r>
      <w:r>
        <w:rPr/>
        <w:t>with new or amended regulations. Quantification of compliance costs using the Business Cost Calculator (BCC) is required for proposals that are likely to impose medium or significant compliance costs on business. The BCC provides a tool for identifying the administrative and paperwork costs incurred by business in meeting government regulatory requirements. We consider below the potential extent of any additional compliance costs under the proposed changes to disability access provisions.</w:t>
      </w:r>
    </w:p>
    <w:p>
      <w:pPr>
        <w:pStyle w:val="BodyText"/>
        <w:spacing w:before="1"/>
      </w:pPr>
    </w:p>
    <w:p>
      <w:pPr>
        <w:pStyle w:val="Heading5"/>
        <w:spacing w:before="1"/>
        <w:ind w:left="417"/>
        <w:rPr>
          <w:i/>
        </w:rPr>
      </w:pPr>
      <w:r>
        <w:rPr>
          <w:i/>
          <w:spacing w:val="-2"/>
        </w:rPr>
        <w:t>Assessment of additional</w:t>
      </w:r>
      <w:r>
        <w:rPr>
          <w:i/>
          <w:spacing w:val="-1"/>
        </w:rPr>
        <w:t> </w:t>
      </w:r>
      <w:r>
        <w:rPr>
          <w:i/>
          <w:spacing w:val="-2"/>
        </w:rPr>
        <w:t>compliance costs</w:t>
      </w:r>
    </w:p>
    <w:p>
      <w:pPr>
        <w:pStyle w:val="BodyText"/>
        <w:spacing w:before="118"/>
        <w:ind w:left="417" w:right="808"/>
        <w:jc w:val="both"/>
      </w:pPr>
      <w:r>
        <w:rPr/>
        <w:t>We considered the compliance costs areas identified by the BCC against owners, tenants, architects/designers, builders and building certifiers. The proposed changes to the disability access provisions are likely to impose business compliance costs in two areas:</w:t>
      </w:r>
    </w:p>
    <w:p>
      <w:pPr>
        <w:pStyle w:val="BodyText"/>
      </w:pPr>
    </w:p>
    <w:p>
      <w:pPr>
        <w:pStyle w:val="BodyText"/>
        <w:spacing w:before="1"/>
        <w:ind w:left="417" w:right="806"/>
        <w:jc w:val="both"/>
      </w:pPr>
      <w:r>
        <w:rPr/>
        <w:t>Firstly, through the costs to building practitioners and owners, familiarising</w:t>
      </w:r>
      <w:r>
        <w:rPr>
          <w:spacing w:val="40"/>
        </w:rPr>
        <w:t> </w:t>
      </w:r>
      <w:r>
        <w:rPr/>
        <w:t>and educating themselves with the proposed changes. However, these compliance costs are considered to be within the normal education and training requirements for practitioner's continuing professional development. Furthermore, with the exception of pool builders who, in certain situations,</w:t>
      </w:r>
      <w:r>
        <w:rPr>
          <w:spacing w:val="40"/>
        </w:rPr>
        <w:t> </w:t>
      </w:r>
      <w:r>
        <w:rPr/>
        <w:t>may need to acquire new skills associated with providing access to pools, the educational</w:t>
      </w:r>
      <w:r>
        <w:rPr>
          <w:spacing w:val="36"/>
        </w:rPr>
        <w:t> </w:t>
      </w:r>
      <w:r>
        <w:rPr/>
        <w:t>costs</w:t>
      </w:r>
      <w:r>
        <w:rPr>
          <w:spacing w:val="36"/>
        </w:rPr>
        <w:t> </w:t>
      </w:r>
      <w:r>
        <w:rPr/>
        <w:t>for</w:t>
      </w:r>
      <w:r>
        <w:rPr>
          <w:spacing w:val="36"/>
        </w:rPr>
        <w:t> </w:t>
      </w:r>
      <w:r>
        <w:rPr/>
        <w:t>affected</w:t>
      </w:r>
      <w:r>
        <w:rPr>
          <w:spacing w:val="36"/>
        </w:rPr>
        <w:t> </w:t>
      </w:r>
      <w:r>
        <w:rPr/>
        <w:t>practitioners</w:t>
      </w:r>
      <w:r>
        <w:rPr>
          <w:spacing w:val="36"/>
        </w:rPr>
        <w:t> </w:t>
      </w:r>
      <w:r>
        <w:rPr/>
        <w:t>relate</w:t>
      </w:r>
      <w:r>
        <w:rPr>
          <w:spacing w:val="36"/>
        </w:rPr>
        <w:t> </w:t>
      </w:r>
      <w:r>
        <w:rPr/>
        <w:t>to</w:t>
      </w:r>
      <w:r>
        <w:rPr>
          <w:spacing w:val="36"/>
        </w:rPr>
        <w:t> </w:t>
      </w:r>
      <w:r>
        <w:rPr/>
        <w:t>updating</w:t>
      </w:r>
      <w:r>
        <w:rPr>
          <w:spacing w:val="36"/>
        </w:rPr>
        <w:t> </w:t>
      </w:r>
      <w:r>
        <w:rPr/>
        <w:t>existing</w:t>
      </w:r>
      <w:r>
        <w:rPr>
          <w:spacing w:val="36"/>
        </w:rPr>
        <w:t> </w:t>
      </w:r>
      <w:r>
        <w:rPr/>
        <w:t>skills,</w:t>
      </w:r>
    </w:p>
    <w:p>
      <w:pPr>
        <w:spacing w:after="0"/>
        <w:jc w:val="both"/>
        <w:sectPr>
          <w:pgSz w:w="11900" w:h="16840"/>
          <w:pgMar w:header="0" w:footer="1130" w:top="1440" w:bottom="1320" w:left="1380" w:right="980"/>
        </w:sectPr>
      </w:pPr>
    </w:p>
    <w:p>
      <w:pPr>
        <w:pStyle w:val="BodyText"/>
        <w:spacing w:before="77"/>
        <w:ind w:left="417" w:right="811"/>
        <w:jc w:val="both"/>
      </w:pPr>
      <w:r>
        <w:rPr/>
        <w:t>not acquiring new skills. Therefore, the educational cost associated with compliance with the new provisions is likely to impose a low compliance cost.</w:t>
      </w:r>
    </w:p>
    <w:p>
      <w:pPr>
        <w:pStyle w:val="BodyText"/>
        <w:spacing w:before="11"/>
        <w:rPr>
          <w:sz w:val="23"/>
        </w:rPr>
      </w:pPr>
    </w:p>
    <w:p>
      <w:pPr>
        <w:pStyle w:val="BodyText"/>
        <w:ind w:left="417" w:right="805"/>
        <w:jc w:val="both"/>
      </w:pPr>
      <w:r>
        <w:rPr/>
        <w:t>Secondly, in existing buildings being brought up to the standard, disability access consultants may be employed more frequently than is currently the case, in order to use Alternative Solutions to meet the Performance Requirements of the BCA. One example of this is regarding assessing space limitations of the existing building. However, given that there is no formal requirement to employ an access consultant, this cannot be considered a prescribed compliance cost.</w:t>
      </w:r>
    </w:p>
    <w:p>
      <w:pPr>
        <w:pStyle w:val="BodyText"/>
      </w:pPr>
    </w:p>
    <w:p>
      <w:pPr>
        <w:pStyle w:val="BodyText"/>
        <w:ind w:left="417" w:right="809"/>
        <w:jc w:val="both"/>
      </w:pPr>
      <w:r>
        <w:rPr/>
        <w:t>Further, the new provisions may provide a compliance cost reduction (benefit) for practitioners in terms of publication and documentation, by providing certainty of requirements under the Disability Discrimination Act 1992 (DDA). For example, building designers may currently employ disability access consultants to ensure</w:t>
      </w:r>
      <w:r>
        <w:rPr>
          <w:spacing w:val="-1"/>
        </w:rPr>
        <w:t> </w:t>
      </w:r>
      <w:r>
        <w:rPr/>
        <w:t>they meet</w:t>
      </w:r>
      <w:r>
        <w:rPr>
          <w:spacing w:val="-1"/>
        </w:rPr>
        <w:t> </w:t>
      </w:r>
      <w:r>
        <w:rPr/>
        <w:t>the intent</w:t>
      </w:r>
      <w:r>
        <w:rPr>
          <w:spacing w:val="-1"/>
        </w:rPr>
        <w:t> </w:t>
      </w:r>
      <w:r>
        <w:rPr/>
        <w:t>of the DDA,</w:t>
      </w:r>
      <w:r>
        <w:rPr>
          <w:spacing w:val="-1"/>
        </w:rPr>
        <w:t> </w:t>
      </w:r>
      <w:r>
        <w:rPr/>
        <w:t>however,</w:t>
      </w:r>
      <w:r>
        <w:rPr>
          <w:spacing w:val="-1"/>
        </w:rPr>
        <w:t> </w:t>
      </w:r>
      <w:r>
        <w:rPr/>
        <w:t>with</w:t>
      </w:r>
      <w:r>
        <w:rPr>
          <w:spacing w:val="-1"/>
        </w:rPr>
        <w:t> </w:t>
      </w:r>
      <w:r>
        <w:rPr/>
        <w:t>the new, clear provisions that codify the intent of the DDA, building designers may be able to fulfil the requirements independently, thereby reducing costs.</w:t>
      </w:r>
    </w:p>
    <w:p>
      <w:pPr>
        <w:pStyle w:val="BodyText"/>
      </w:pPr>
    </w:p>
    <w:p>
      <w:pPr>
        <w:pStyle w:val="BodyText"/>
        <w:spacing w:before="1"/>
        <w:ind w:left="417" w:right="808"/>
        <w:jc w:val="both"/>
      </w:pPr>
      <w:r>
        <w:rPr/>
        <w:t>Given that the costs considered above are either low or voluntary, it was considered</w:t>
      </w:r>
      <w:r>
        <w:rPr>
          <w:spacing w:val="-1"/>
        </w:rPr>
        <w:t> </w:t>
      </w:r>
      <w:r>
        <w:rPr/>
        <w:t>that use</w:t>
      </w:r>
      <w:r>
        <w:rPr>
          <w:spacing w:val="-1"/>
        </w:rPr>
        <w:t> </w:t>
      </w:r>
      <w:r>
        <w:rPr/>
        <w:t>of</w:t>
      </w:r>
      <w:r>
        <w:rPr>
          <w:spacing w:val="-1"/>
        </w:rPr>
        <w:t> </w:t>
      </w:r>
      <w:r>
        <w:rPr/>
        <w:t>the</w:t>
      </w:r>
      <w:r>
        <w:rPr>
          <w:spacing w:val="-1"/>
        </w:rPr>
        <w:t> </w:t>
      </w:r>
      <w:r>
        <w:rPr/>
        <w:t>BCC was</w:t>
      </w:r>
      <w:r>
        <w:rPr>
          <w:spacing w:val="-1"/>
        </w:rPr>
        <w:t> </w:t>
      </w:r>
      <w:r>
        <w:rPr/>
        <w:t>not</w:t>
      </w:r>
      <w:r>
        <w:rPr>
          <w:spacing w:val="-1"/>
        </w:rPr>
        <w:t> </w:t>
      </w:r>
      <w:r>
        <w:rPr/>
        <w:t>required to assess such costs. Based on the assessment above, the changes to disability access provisions are likely to impose low compliance costs on businesses.</w:t>
      </w:r>
    </w:p>
    <w:p>
      <w:pPr>
        <w:spacing w:after="0"/>
        <w:jc w:val="both"/>
        <w:sectPr>
          <w:pgSz w:w="11900" w:h="16840"/>
          <w:pgMar w:header="0" w:footer="1130" w:top="1360" w:bottom="1320" w:left="1380" w:right="980"/>
        </w:sectPr>
      </w:pPr>
    </w:p>
    <w:p>
      <w:pPr>
        <w:pStyle w:val="Heading1"/>
        <w:numPr>
          <w:ilvl w:val="0"/>
          <w:numId w:val="25"/>
        </w:numPr>
        <w:tabs>
          <w:tab w:pos="1140" w:val="left" w:leader="none"/>
          <w:tab w:pos="1141" w:val="left" w:leader="none"/>
        </w:tabs>
        <w:spacing w:line="240" w:lineRule="auto" w:before="77" w:after="0"/>
        <w:ind w:left="1140" w:right="0" w:hanging="721"/>
        <w:jc w:val="left"/>
      </w:pPr>
      <w:bookmarkStart w:name="9 Analysis of alternatives" w:id="96"/>
      <w:bookmarkEnd w:id="96"/>
      <w:r>
        <w:rPr>
          <w:b w:val="0"/>
        </w:rPr>
      </w:r>
      <w:bookmarkStart w:name="_bookmark26" w:id="97"/>
      <w:bookmarkEnd w:id="97"/>
      <w:r>
        <w:rPr/>
        <w:t>Analysi</w:t>
      </w:r>
      <w:r>
        <w:rPr/>
        <w:t>s</w:t>
      </w:r>
      <w:r>
        <w:rPr>
          <w:spacing w:val="-5"/>
        </w:rPr>
        <w:t> </w:t>
      </w:r>
      <w:r>
        <w:rPr/>
        <w:t>of</w:t>
      </w:r>
      <w:r>
        <w:rPr>
          <w:spacing w:val="-5"/>
        </w:rPr>
        <w:t> </w:t>
      </w:r>
      <w:r>
        <w:rPr>
          <w:spacing w:val="-2"/>
        </w:rPr>
        <w:t>alternatives</w:t>
      </w:r>
    </w:p>
    <w:p>
      <w:pPr>
        <w:pStyle w:val="BodyText"/>
        <w:spacing w:before="239"/>
        <w:ind w:left="419" w:right="812"/>
        <w:jc w:val="both"/>
      </w:pPr>
      <w:r>
        <w:rPr/>
        <w:t>This section identifies and analyses alternatives to the proposed Premises Standards from four separate perspectives.</w:t>
      </w:r>
      <w:r>
        <w:rPr>
          <w:spacing w:val="40"/>
        </w:rPr>
        <w:t> </w:t>
      </w:r>
      <w:r>
        <w:rPr/>
        <w:t>First, it considers the question of alternatives at</w:t>
      </w:r>
      <w:r>
        <w:rPr>
          <w:spacing w:val="-1"/>
        </w:rPr>
        <w:t> </w:t>
      </w:r>
      <w:r>
        <w:rPr/>
        <w:t>the</w:t>
      </w:r>
      <w:r>
        <w:rPr>
          <w:spacing w:val="-1"/>
        </w:rPr>
        <w:t> </w:t>
      </w:r>
      <w:r>
        <w:rPr/>
        <w:t>micro-level.</w:t>
      </w:r>
      <w:r>
        <w:rPr>
          <w:spacing w:val="40"/>
        </w:rPr>
        <w:t> </w:t>
      </w:r>
      <w:r>
        <w:rPr/>
        <w:t>That</w:t>
      </w:r>
      <w:r>
        <w:rPr>
          <w:spacing w:val="-1"/>
        </w:rPr>
        <w:t> </w:t>
      </w:r>
      <w:r>
        <w:rPr/>
        <w:t>is,</w:t>
      </w:r>
      <w:r>
        <w:rPr>
          <w:spacing w:val="-1"/>
        </w:rPr>
        <w:t> </w:t>
      </w:r>
      <w:r>
        <w:rPr/>
        <w:t>it</w:t>
      </w:r>
      <w:r>
        <w:rPr>
          <w:spacing w:val="-1"/>
        </w:rPr>
        <w:t> </w:t>
      </w:r>
      <w:r>
        <w:rPr/>
        <w:t>considers the issues</w:t>
      </w:r>
      <w:r>
        <w:rPr>
          <w:spacing w:val="-1"/>
        </w:rPr>
        <w:t> </w:t>
      </w:r>
      <w:r>
        <w:rPr/>
        <w:t>surrounding the development of the specific provisions contained in the Premises Standards and</w:t>
      </w:r>
      <w:r>
        <w:rPr>
          <w:spacing w:val="-1"/>
        </w:rPr>
        <w:t> </w:t>
      </w:r>
      <w:r>
        <w:rPr/>
        <w:t>the process</w:t>
      </w:r>
      <w:r>
        <w:rPr>
          <w:spacing w:val="-1"/>
        </w:rPr>
        <w:t> </w:t>
      </w:r>
      <w:r>
        <w:rPr/>
        <w:t>of</w:t>
      </w:r>
      <w:r>
        <w:rPr>
          <w:spacing w:val="-1"/>
        </w:rPr>
        <w:t> </w:t>
      </w:r>
      <w:r>
        <w:rPr/>
        <w:t>arriving</w:t>
      </w:r>
      <w:r>
        <w:rPr>
          <w:spacing w:val="-1"/>
        </w:rPr>
        <w:t> </w:t>
      </w:r>
      <w:r>
        <w:rPr/>
        <w:t>at</w:t>
      </w:r>
      <w:r>
        <w:rPr>
          <w:spacing w:val="-1"/>
        </w:rPr>
        <w:t> </w:t>
      </w:r>
      <w:r>
        <w:rPr/>
        <w:t>these outcomes</w:t>
      </w:r>
      <w:r>
        <w:rPr>
          <w:spacing w:val="-1"/>
        </w:rPr>
        <w:t> </w:t>
      </w:r>
      <w:r>
        <w:rPr/>
        <w:t>in</w:t>
      </w:r>
      <w:r>
        <w:rPr>
          <w:spacing w:val="-1"/>
        </w:rPr>
        <w:t> </w:t>
      </w:r>
      <w:r>
        <w:rPr/>
        <w:t>a</w:t>
      </w:r>
      <w:r>
        <w:rPr>
          <w:spacing w:val="-1"/>
        </w:rPr>
        <w:t> </w:t>
      </w:r>
      <w:r>
        <w:rPr/>
        <w:t>comparative</w:t>
      </w:r>
      <w:r>
        <w:rPr>
          <w:spacing w:val="-1"/>
        </w:rPr>
        <w:t> </w:t>
      </w:r>
      <w:r>
        <w:rPr/>
        <w:t>policy</w:t>
      </w:r>
      <w:r>
        <w:rPr>
          <w:spacing w:val="-1"/>
        </w:rPr>
        <w:t> </w:t>
      </w:r>
      <w:r>
        <w:rPr/>
        <w:t>context. Second, it considers macro-level alternatives to the general policy approach</w:t>
      </w:r>
      <w:r>
        <w:rPr>
          <w:spacing w:val="40"/>
        </w:rPr>
        <w:t> </w:t>
      </w:r>
      <w:r>
        <w:rPr/>
        <w:t>of adopting a Premises Standards that is harmonised between the DDA and BCA. Third, it considers alternatives in terms of the application of the Premises Standards.</w:t>
      </w:r>
      <w:r>
        <w:rPr>
          <w:spacing w:val="40"/>
        </w:rPr>
        <w:t> </w:t>
      </w:r>
      <w:r>
        <w:rPr/>
        <w:t>Fourth, it considers the nature and likely impacts of market-based means of achieving improved access to premises for people with a disability.</w:t>
      </w:r>
      <w:r>
        <w:rPr>
          <w:spacing w:val="40"/>
        </w:rPr>
        <w:t> </w:t>
      </w:r>
      <w:r>
        <w:rPr/>
        <w:t>This four part approach is necessary in order to document fully the comparative policy analysis undertaken as part of the development of the</w:t>
      </w:r>
      <w:r>
        <w:rPr>
          <w:spacing w:val="-1"/>
        </w:rPr>
        <w:t> </w:t>
      </w:r>
      <w:r>
        <w:rPr/>
        <w:t>current</w:t>
      </w:r>
      <w:r>
        <w:rPr>
          <w:spacing w:val="-2"/>
        </w:rPr>
        <w:t> </w:t>
      </w:r>
      <w:r>
        <w:rPr/>
        <w:t>proposal</w:t>
      </w:r>
      <w:r>
        <w:rPr>
          <w:spacing w:val="-2"/>
        </w:rPr>
        <w:t> </w:t>
      </w:r>
      <w:r>
        <w:rPr/>
        <w:t>and</w:t>
      </w:r>
      <w:r>
        <w:rPr>
          <w:spacing w:val="-2"/>
        </w:rPr>
        <w:t> </w:t>
      </w:r>
      <w:r>
        <w:rPr/>
        <w:t>to</w:t>
      </w:r>
      <w:r>
        <w:rPr>
          <w:spacing w:val="-1"/>
        </w:rPr>
        <w:t> </w:t>
      </w:r>
      <w:r>
        <w:rPr/>
        <w:t>place</w:t>
      </w:r>
      <w:r>
        <w:rPr>
          <w:spacing w:val="-2"/>
        </w:rPr>
        <w:t> </w:t>
      </w:r>
      <w:r>
        <w:rPr/>
        <w:t>the</w:t>
      </w:r>
      <w:r>
        <w:rPr>
          <w:spacing w:val="-2"/>
        </w:rPr>
        <w:t> </w:t>
      </w:r>
      <w:r>
        <w:rPr/>
        <w:t>proposed</w:t>
      </w:r>
      <w:r>
        <w:rPr>
          <w:spacing w:val="-2"/>
        </w:rPr>
        <w:t> </w:t>
      </w:r>
      <w:r>
        <w:rPr/>
        <w:t>Premises</w:t>
      </w:r>
      <w:r>
        <w:rPr>
          <w:spacing w:val="-2"/>
        </w:rPr>
        <w:t> </w:t>
      </w:r>
      <w:r>
        <w:rPr/>
        <w:t>Standards</w:t>
      </w:r>
      <w:r>
        <w:rPr>
          <w:spacing w:val="-2"/>
        </w:rPr>
        <w:t> </w:t>
      </w:r>
      <w:r>
        <w:rPr/>
        <w:t>within</w:t>
      </w:r>
      <w:r>
        <w:rPr>
          <w:spacing w:val="-2"/>
        </w:rPr>
        <w:t> </w:t>
      </w:r>
      <w:r>
        <w:rPr/>
        <w:t>the broader context of possible policy initiatives to achieve its underlying </w:t>
      </w:r>
      <w:r>
        <w:rPr>
          <w:spacing w:val="-2"/>
        </w:rPr>
        <w:t>objectives.</w:t>
      </w:r>
    </w:p>
    <w:p>
      <w:pPr>
        <w:pStyle w:val="BodyText"/>
        <w:rPr>
          <w:sz w:val="26"/>
        </w:rPr>
      </w:pPr>
    </w:p>
    <w:p>
      <w:pPr>
        <w:pStyle w:val="BodyText"/>
        <w:spacing w:before="4"/>
        <w:rPr>
          <w:sz w:val="29"/>
        </w:rPr>
      </w:pPr>
    </w:p>
    <w:p>
      <w:pPr>
        <w:pStyle w:val="Heading2"/>
        <w:numPr>
          <w:ilvl w:val="1"/>
          <w:numId w:val="25"/>
        </w:numPr>
        <w:tabs>
          <w:tab w:pos="1140" w:val="left" w:leader="none"/>
          <w:tab w:pos="1141" w:val="left" w:leader="none"/>
        </w:tabs>
        <w:spacing w:line="240" w:lineRule="auto" w:before="1" w:after="0"/>
        <w:ind w:left="1140" w:right="0" w:hanging="721"/>
        <w:jc w:val="left"/>
        <w:rPr>
          <w:i/>
        </w:rPr>
      </w:pPr>
      <w:bookmarkStart w:name="9.1 Alternatives to specific Premises St" w:id="98"/>
      <w:bookmarkEnd w:id="98"/>
      <w:r>
        <w:rPr>
          <w:i/>
        </w:rPr>
        <w:t>Alternatives</w:t>
      </w:r>
      <w:r>
        <w:rPr>
          <w:i/>
          <w:spacing w:val="-12"/>
        </w:rPr>
        <w:t> </w:t>
      </w:r>
      <w:r>
        <w:rPr>
          <w:i/>
        </w:rPr>
        <w:t>to</w:t>
      </w:r>
      <w:r>
        <w:rPr>
          <w:i/>
          <w:spacing w:val="-11"/>
        </w:rPr>
        <w:t> </w:t>
      </w:r>
      <w:r>
        <w:rPr>
          <w:i/>
        </w:rPr>
        <w:t>specific</w:t>
      </w:r>
      <w:r>
        <w:rPr>
          <w:i/>
          <w:spacing w:val="-12"/>
        </w:rPr>
        <w:t> </w:t>
      </w:r>
      <w:r>
        <w:rPr>
          <w:i/>
        </w:rPr>
        <w:t>Premises</w:t>
      </w:r>
      <w:r>
        <w:rPr>
          <w:i/>
          <w:spacing w:val="-11"/>
        </w:rPr>
        <w:t> </w:t>
      </w:r>
      <w:r>
        <w:rPr>
          <w:i/>
        </w:rPr>
        <w:t>Standards</w:t>
      </w:r>
      <w:r>
        <w:rPr>
          <w:i/>
          <w:spacing w:val="-12"/>
        </w:rPr>
        <w:t> </w:t>
      </w:r>
      <w:r>
        <w:rPr>
          <w:i/>
          <w:spacing w:val="-2"/>
        </w:rPr>
        <w:t>provisions</w:t>
      </w:r>
    </w:p>
    <w:p>
      <w:pPr>
        <w:pStyle w:val="BodyText"/>
        <w:spacing w:before="1"/>
        <w:rPr>
          <w:b/>
          <w:i/>
          <w:sz w:val="29"/>
        </w:rPr>
      </w:pPr>
    </w:p>
    <w:p>
      <w:pPr>
        <w:pStyle w:val="BodyText"/>
        <w:ind w:left="419" w:right="810"/>
        <w:jc w:val="both"/>
      </w:pPr>
      <w:r>
        <w:rPr/>
        <w:t>When considered at the micro-level, it is apparent that there is an infinite number of potential alternative formulations of the Premises Standards.</w:t>
      </w:r>
      <w:r>
        <w:rPr>
          <w:spacing w:val="40"/>
        </w:rPr>
        <w:t> </w:t>
      </w:r>
      <w:r>
        <w:rPr/>
        <w:t>It is clearly not feasible to identify and assess each such combination of detailed provisions separately.</w:t>
      </w:r>
      <w:r>
        <w:rPr>
          <w:spacing w:val="40"/>
        </w:rPr>
        <w:t> </w:t>
      </w:r>
      <w:r>
        <w:rPr/>
        <w:t>Consequently, this section describes the process by which the specific technical provisions of the proposed Premises Standards were developed, in order to highlight the robust nature of this process and the fact that it was founded on comparative policy analysis of the kind that underlies the RIS process.</w:t>
      </w:r>
    </w:p>
    <w:p>
      <w:pPr>
        <w:pStyle w:val="BodyText"/>
      </w:pPr>
    </w:p>
    <w:p>
      <w:pPr>
        <w:pStyle w:val="BodyText"/>
        <w:ind w:left="420" w:right="810"/>
        <w:jc w:val="both"/>
      </w:pPr>
      <w:r>
        <w:rPr/>
        <w:t>The development of recommendations for the specific requirements for</w:t>
      </w:r>
      <w:r>
        <w:rPr>
          <w:spacing w:val="40"/>
        </w:rPr>
        <w:t> </w:t>
      </w:r>
      <w:r>
        <w:rPr/>
        <w:t>access to premises that are to be adopted in the BCA and, under the DDA as the Premises Standards, was the responsibility of an ABCB committee called the Building Access Policy Committee (BAPC). The Commonwealth House of Representatives Standing Committee on Legal and Constitutional Affairs has since conducted an inquiry on the proposed Premises Standards and made recommendations for consideration by Government. These committees and the processes undertaken are discussed below.</w:t>
      </w:r>
    </w:p>
    <w:p>
      <w:pPr>
        <w:pStyle w:val="BodyText"/>
      </w:pPr>
    </w:p>
    <w:p>
      <w:pPr>
        <w:pStyle w:val="Heading5"/>
        <w:ind w:left="420"/>
        <w:rPr>
          <w:i/>
        </w:rPr>
      </w:pPr>
      <w:r>
        <w:rPr>
          <w:i/>
        </w:rPr>
        <w:t>Building</w:t>
      </w:r>
      <w:r>
        <w:rPr>
          <w:i/>
          <w:spacing w:val="-15"/>
        </w:rPr>
        <w:t> </w:t>
      </w:r>
      <w:r>
        <w:rPr>
          <w:i/>
        </w:rPr>
        <w:t>Access</w:t>
      </w:r>
      <w:r>
        <w:rPr>
          <w:i/>
          <w:spacing w:val="-15"/>
        </w:rPr>
        <w:t> </w:t>
      </w:r>
      <w:r>
        <w:rPr>
          <w:i/>
        </w:rPr>
        <w:t>Policy</w:t>
      </w:r>
      <w:r>
        <w:rPr>
          <w:i/>
          <w:spacing w:val="-15"/>
        </w:rPr>
        <w:t> </w:t>
      </w:r>
      <w:r>
        <w:rPr>
          <w:i/>
          <w:spacing w:val="-2"/>
        </w:rPr>
        <w:t>Committee</w:t>
      </w:r>
    </w:p>
    <w:p>
      <w:pPr>
        <w:pStyle w:val="BodyText"/>
        <w:spacing w:before="119"/>
        <w:ind w:left="420" w:right="811"/>
        <w:jc w:val="both"/>
      </w:pPr>
      <w:r>
        <w:rPr/>
        <w:t>The BAPC</w:t>
      </w:r>
      <w:r>
        <w:rPr/>
        <w:t> was</w:t>
      </w:r>
      <w:r>
        <w:rPr/>
        <w:t> formed</w:t>
      </w:r>
      <w:r>
        <w:rPr/>
        <w:t> specifically</w:t>
      </w:r>
      <w:r>
        <w:rPr/>
        <w:t> to</w:t>
      </w:r>
      <w:r>
        <w:rPr/>
        <w:t> recommend</w:t>
      </w:r>
      <w:r>
        <w:rPr/>
        <w:t> changes</w:t>
      </w:r>
      <w:r>
        <w:rPr/>
        <w:t> to</w:t>
      </w:r>
      <w:r>
        <w:rPr/>
        <w:t> the</w:t>
      </w:r>
      <w:r>
        <w:rPr/>
        <w:t> BCA,</w:t>
      </w:r>
      <w:r>
        <w:rPr/>
        <w:t> to consult widely with industry and the community, and to provide advice to the ABCB on access-related issues.</w:t>
      </w:r>
    </w:p>
    <w:p>
      <w:pPr>
        <w:pStyle w:val="BodyText"/>
      </w:pPr>
    </w:p>
    <w:p>
      <w:pPr>
        <w:pStyle w:val="BodyText"/>
        <w:ind w:left="420" w:right="812"/>
        <w:jc w:val="both"/>
      </w:pPr>
      <w:r>
        <w:rPr/>
        <w:t>The membership of the BAPC</w:t>
      </w:r>
      <w:r>
        <w:rPr/>
        <w:t> includes</w:t>
      </w:r>
      <w:r>
        <w:rPr/>
        <w:t> broad</w:t>
      </w:r>
      <w:r>
        <w:rPr/>
        <w:t> representation</w:t>
      </w:r>
      <w:r>
        <w:rPr/>
        <w:t> from</w:t>
      </w:r>
      <w:r>
        <w:rPr/>
        <w:t> the property,</w:t>
      </w:r>
      <w:r>
        <w:rPr/>
        <w:t> industry,</w:t>
      </w:r>
      <w:r>
        <w:rPr/>
        <w:t> government</w:t>
      </w:r>
      <w:r>
        <w:rPr/>
        <w:t> and</w:t>
      </w:r>
      <w:r>
        <w:rPr/>
        <w:t> disability</w:t>
      </w:r>
      <w:r>
        <w:rPr/>
        <w:t> sectors.</w:t>
      </w:r>
      <w:r>
        <w:rPr/>
        <w:t> The Committee's members are:</w:t>
      </w:r>
    </w:p>
    <w:p>
      <w:pPr>
        <w:pStyle w:val="ListParagraph"/>
        <w:numPr>
          <w:ilvl w:val="0"/>
          <w:numId w:val="32"/>
        </w:numPr>
        <w:tabs>
          <w:tab w:pos="1141" w:val="left" w:leader="none"/>
        </w:tabs>
        <w:spacing w:line="240" w:lineRule="auto" w:before="121" w:after="0"/>
        <w:ind w:left="1140" w:right="0" w:hanging="364"/>
        <w:jc w:val="both"/>
        <w:rPr>
          <w:sz w:val="24"/>
        </w:rPr>
      </w:pPr>
      <w:r>
        <w:rPr>
          <w:sz w:val="24"/>
        </w:rPr>
        <w:t>A</w:t>
      </w:r>
      <w:r>
        <w:rPr>
          <w:spacing w:val="-4"/>
          <w:sz w:val="24"/>
        </w:rPr>
        <w:t> </w:t>
      </w:r>
      <w:r>
        <w:rPr>
          <w:sz w:val="24"/>
        </w:rPr>
        <w:t>representative</w:t>
      </w:r>
      <w:r>
        <w:rPr>
          <w:spacing w:val="-4"/>
          <w:sz w:val="24"/>
        </w:rPr>
        <w:t> </w:t>
      </w:r>
      <w:r>
        <w:rPr>
          <w:sz w:val="24"/>
        </w:rPr>
        <w:t>of</w:t>
      </w:r>
      <w:r>
        <w:rPr>
          <w:spacing w:val="-4"/>
          <w:sz w:val="24"/>
        </w:rPr>
        <w:t> </w:t>
      </w:r>
      <w:r>
        <w:rPr>
          <w:sz w:val="24"/>
        </w:rPr>
        <w:t>the</w:t>
      </w:r>
      <w:r>
        <w:rPr>
          <w:spacing w:val="-4"/>
          <w:sz w:val="24"/>
        </w:rPr>
        <w:t> </w:t>
      </w:r>
      <w:r>
        <w:rPr>
          <w:sz w:val="24"/>
        </w:rPr>
        <w:t>ABCB</w:t>
      </w:r>
      <w:r>
        <w:rPr>
          <w:spacing w:val="-4"/>
          <w:sz w:val="24"/>
        </w:rPr>
        <w:t> </w:t>
      </w:r>
      <w:r>
        <w:rPr>
          <w:sz w:val="24"/>
        </w:rPr>
        <w:t>Board</w:t>
      </w:r>
      <w:r>
        <w:rPr>
          <w:spacing w:val="-3"/>
          <w:sz w:val="24"/>
        </w:rPr>
        <w:t> </w:t>
      </w:r>
      <w:r>
        <w:rPr>
          <w:spacing w:val="-2"/>
          <w:sz w:val="24"/>
        </w:rPr>
        <w:t>(Chair);</w:t>
      </w:r>
    </w:p>
    <w:p>
      <w:pPr>
        <w:pStyle w:val="ListParagraph"/>
        <w:numPr>
          <w:ilvl w:val="0"/>
          <w:numId w:val="32"/>
        </w:numPr>
        <w:tabs>
          <w:tab w:pos="1141" w:val="left" w:leader="none"/>
        </w:tabs>
        <w:spacing w:line="240" w:lineRule="auto" w:before="119" w:after="0"/>
        <w:ind w:left="1140" w:right="0" w:hanging="364"/>
        <w:jc w:val="both"/>
        <w:rPr>
          <w:sz w:val="24"/>
        </w:rPr>
      </w:pPr>
      <w:r>
        <w:rPr>
          <w:sz w:val="24"/>
        </w:rPr>
        <w:t>The</w:t>
      </w:r>
      <w:r>
        <w:rPr>
          <w:spacing w:val="-3"/>
          <w:sz w:val="24"/>
        </w:rPr>
        <w:t> </w:t>
      </w:r>
      <w:r>
        <w:rPr>
          <w:sz w:val="24"/>
        </w:rPr>
        <w:t>General</w:t>
      </w:r>
      <w:r>
        <w:rPr>
          <w:spacing w:val="-3"/>
          <w:sz w:val="24"/>
        </w:rPr>
        <w:t> </w:t>
      </w:r>
      <w:r>
        <w:rPr>
          <w:sz w:val="24"/>
        </w:rPr>
        <w:t>Manager</w:t>
      </w:r>
      <w:r>
        <w:rPr>
          <w:spacing w:val="-3"/>
          <w:sz w:val="24"/>
        </w:rPr>
        <w:t> </w:t>
      </w:r>
      <w:r>
        <w:rPr>
          <w:sz w:val="24"/>
        </w:rPr>
        <w:t>of</w:t>
      </w:r>
      <w:r>
        <w:rPr>
          <w:spacing w:val="-2"/>
          <w:sz w:val="24"/>
        </w:rPr>
        <w:t> </w:t>
      </w:r>
      <w:r>
        <w:rPr>
          <w:sz w:val="24"/>
        </w:rPr>
        <w:t>the</w:t>
      </w:r>
      <w:r>
        <w:rPr>
          <w:spacing w:val="-3"/>
          <w:sz w:val="24"/>
        </w:rPr>
        <w:t> </w:t>
      </w:r>
      <w:r>
        <w:rPr>
          <w:spacing w:val="-2"/>
          <w:sz w:val="24"/>
        </w:rPr>
        <w:t>Board;</w:t>
      </w:r>
    </w:p>
    <w:p>
      <w:pPr>
        <w:spacing w:after="0" w:line="240" w:lineRule="auto"/>
        <w:jc w:val="both"/>
        <w:rPr>
          <w:sz w:val="24"/>
        </w:rPr>
        <w:sectPr>
          <w:pgSz w:w="11900" w:h="16840"/>
          <w:pgMar w:header="0" w:footer="1130" w:top="1120" w:bottom="1320" w:left="1380" w:right="980"/>
        </w:sectPr>
      </w:pPr>
    </w:p>
    <w:p>
      <w:pPr>
        <w:pStyle w:val="ListParagraph"/>
        <w:numPr>
          <w:ilvl w:val="0"/>
          <w:numId w:val="32"/>
        </w:numPr>
        <w:tabs>
          <w:tab w:pos="1139" w:val="left" w:leader="none"/>
          <w:tab w:pos="1141" w:val="left" w:leader="none"/>
        </w:tabs>
        <w:spacing w:line="240" w:lineRule="auto" w:before="76" w:after="0"/>
        <w:ind w:left="1140" w:right="0" w:hanging="364"/>
        <w:jc w:val="left"/>
        <w:rPr>
          <w:sz w:val="24"/>
        </w:rPr>
      </w:pPr>
      <w:r>
        <w:rPr>
          <w:sz w:val="24"/>
        </w:rPr>
        <w:t>The</w:t>
      </w:r>
      <w:r>
        <w:rPr>
          <w:spacing w:val="-8"/>
          <w:sz w:val="24"/>
        </w:rPr>
        <w:t> </w:t>
      </w:r>
      <w:r>
        <w:rPr>
          <w:sz w:val="24"/>
        </w:rPr>
        <w:t>Disability</w:t>
      </w:r>
      <w:r>
        <w:rPr>
          <w:spacing w:val="-7"/>
          <w:sz w:val="24"/>
        </w:rPr>
        <w:t> </w:t>
      </w:r>
      <w:r>
        <w:rPr>
          <w:sz w:val="24"/>
        </w:rPr>
        <w:t>Discrimination</w:t>
      </w:r>
      <w:r>
        <w:rPr>
          <w:spacing w:val="-7"/>
          <w:sz w:val="24"/>
        </w:rPr>
        <w:t> </w:t>
      </w:r>
      <w:r>
        <w:rPr>
          <w:spacing w:val="-2"/>
          <w:sz w:val="24"/>
        </w:rPr>
        <w:t>Commissioner;</w:t>
      </w:r>
    </w:p>
    <w:p>
      <w:pPr>
        <w:pStyle w:val="ListParagraph"/>
        <w:numPr>
          <w:ilvl w:val="0"/>
          <w:numId w:val="32"/>
        </w:numPr>
        <w:tabs>
          <w:tab w:pos="1139" w:val="left" w:leader="none"/>
          <w:tab w:pos="1141" w:val="left" w:leader="none"/>
        </w:tabs>
        <w:spacing w:line="240" w:lineRule="auto" w:before="119" w:after="0"/>
        <w:ind w:left="1140" w:right="0" w:hanging="364"/>
        <w:jc w:val="left"/>
        <w:rPr>
          <w:sz w:val="24"/>
        </w:rPr>
      </w:pPr>
      <w:r>
        <w:rPr>
          <w:sz w:val="24"/>
        </w:rPr>
        <w:t>Three</w:t>
      </w:r>
      <w:r>
        <w:rPr>
          <w:spacing w:val="-4"/>
          <w:sz w:val="24"/>
        </w:rPr>
        <w:t> </w:t>
      </w:r>
      <w:r>
        <w:rPr>
          <w:sz w:val="24"/>
        </w:rPr>
        <w:t>representatives</w:t>
      </w:r>
      <w:r>
        <w:rPr>
          <w:spacing w:val="-4"/>
          <w:sz w:val="24"/>
        </w:rPr>
        <w:t> </w:t>
      </w:r>
      <w:r>
        <w:rPr>
          <w:sz w:val="24"/>
        </w:rPr>
        <w:t>of</w:t>
      </w:r>
      <w:r>
        <w:rPr>
          <w:spacing w:val="-4"/>
          <w:sz w:val="24"/>
        </w:rPr>
        <w:t> </w:t>
      </w:r>
      <w:r>
        <w:rPr>
          <w:sz w:val="24"/>
        </w:rPr>
        <w:t>the</w:t>
      </w:r>
      <w:r>
        <w:rPr>
          <w:spacing w:val="-4"/>
          <w:sz w:val="24"/>
        </w:rPr>
        <w:t> </w:t>
      </w:r>
      <w:r>
        <w:rPr>
          <w:sz w:val="24"/>
        </w:rPr>
        <w:t>DDA</w:t>
      </w:r>
      <w:r>
        <w:rPr>
          <w:spacing w:val="-4"/>
          <w:sz w:val="24"/>
        </w:rPr>
        <w:t> </w:t>
      </w:r>
      <w:r>
        <w:rPr>
          <w:sz w:val="24"/>
        </w:rPr>
        <w:t>Standards</w:t>
      </w:r>
      <w:r>
        <w:rPr>
          <w:spacing w:val="-4"/>
          <w:sz w:val="24"/>
        </w:rPr>
        <w:t> </w:t>
      </w:r>
      <w:r>
        <w:rPr>
          <w:spacing w:val="-2"/>
          <w:sz w:val="24"/>
        </w:rPr>
        <w:t>Project;</w:t>
      </w:r>
    </w:p>
    <w:p>
      <w:pPr>
        <w:pStyle w:val="ListParagraph"/>
        <w:numPr>
          <w:ilvl w:val="0"/>
          <w:numId w:val="32"/>
        </w:numPr>
        <w:tabs>
          <w:tab w:pos="1139" w:val="left" w:leader="none"/>
          <w:tab w:pos="1141" w:val="left" w:leader="none"/>
        </w:tabs>
        <w:spacing w:line="240" w:lineRule="auto" w:before="117" w:after="0"/>
        <w:ind w:left="1140" w:right="0" w:hanging="364"/>
        <w:jc w:val="left"/>
        <w:rPr>
          <w:sz w:val="24"/>
        </w:rPr>
      </w:pPr>
      <w:r>
        <w:rPr>
          <w:sz w:val="24"/>
        </w:rPr>
        <w:t>Representatives</w:t>
      </w:r>
      <w:r>
        <w:rPr>
          <w:spacing w:val="-6"/>
          <w:sz w:val="24"/>
        </w:rPr>
        <w:t> </w:t>
      </w:r>
      <w:r>
        <w:rPr>
          <w:sz w:val="24"/>
        </w:rPr>
        <w:t>of</w:t>
      </w:r>
      <w:r>
        <w:rPr>
          <w:spacing w:val="-6"/>
          <w:sz w:val="24"/>
        </w:rPr>
        <w:t> </w:t>
      </w:r>
      <w:r>
        <w:rPr>
          <w:sz w:val="24"/>
        </w:rPr>
        <w:t>the</w:t>
      </w:r>
      <w:r>
        <w:rPr>
          <w:spacing w:val="-6"/>
          <w:sz w:val="24"/>
        </w:rPr>
        <w:t> </w:t>
      </w:r>
      <w:r>
        <w:rPr>
          <w:sz w:val="24"/>
        </w:rPr>
        <w:t>State</w:t>
      </w:r>
      <w:r>
        <w:rPr>
          <w:spacing w:val="-6"/>
          <w:sz w:val="24"/>
        </w:rPr>
        <w:t> </w:t>
      </w:r>
      <w:r>
        <w:rPr>
          <w:sz w:val="24"/>
        </w:rPr>
        <w:t>and</w:t>
      </w:r>
      <w:r>
        <w:rPr>
          <w:spacing w:val="-6"/>
          <w:sz w:val="24"/>
        </w:rPr>
        <w:t> </w:t>
      </w:r>
      <w:r>
        <w:rPr>
          <w:sz w:val="24"/>
        </w:rPr>
        <w:t>Territory</w:t>
      </w:r>
      <w:r>
        <w:rPr>
          <w:spacing w:val="-6"/>
          <w:sz w:val="24"/>
        </w:rPr>
        <w:t> </w:t>
      </w:r>
      <w:r>
        <w:rPr>
          <w:sz w:val="24"/>
        </w:rPr>
        <w:t>Governments;</w:t>
      </w:r>
      <w:r>
        <w:rPr>
          <w:spacing w:val="-5"/>
          <w:sz w:val="24"/>
        </w:rPr>
        <w:t> and</w:t>
      </w:r>
    </w:p>
    <w:p>
      <w:pPr>
        <w:pStyle w:val="ListParagraph"/>
        <w:numPr>
          <w:ilvl w:val="0"/>
          <w:numId w:val="32"/>
        </w:numPr>
        <w:tabs>
          <w:tab w:pos="1139" w:val="left" w:leader="none"/>
          <w:tab w:pos="1141" w:val="left" w:leader="none"/>
        </w:tabs>
        <w:spacing w:line="240" w:lineRule="auto" w:before="119" w:after="0"/>
        <w:ind w:left="1140" w:right="0" w:hanging="364"/>
        <w:jc w:val="left"/>
        <w:rPr>
          <w:sz w:val="24"/>
        </w:rPr>
      </w:pPr>
      <w:r>
        <w:rPr>
          <w:sz w:val="24"/>
        </w:rPr>
        <w:t>Representatives</w:t>
      </w:r>
      <w:r>
        <w:rPr>
          <w:spacing w:val="-7"/>
          <w:sz w:val="24"/>
        </w:rPr>
        <w:t> </w:t>
      </w:r>
      <w:r>
        <w:rPr>
          <w:sz w:val="24"/>
        </w:rPr>
        <w:t>from</w:t>
      </w:r>
      <w:r>
        <w:rPr>
          <w:spacing w:val="-6"/>
          <w:sz w:val="24"/>
        </w:rPr>
        <w:t> </w:t>
      </w:r>
      <w:r>
        <w:rPr>
          <w:sz w:val="24"/>
        </w:rPr>
        <w:t>the</w:t>
      </w:r>
      <w:r>
        <w:rPr>
          <w:spacing w:val="-6"/>
          <w:sz w:val="24"/>
        </w:rPr>
        <w:t> </w:t>
      </w:r>
      <w:r>
        <w:rPr>
          <w:sz w:val="24"/>
        </w:rPr>
        <w:t>following</w:t>
      </w:r>
      <w:r>
        <w:rPr>
          <w:spacing w:val="-6"/>
          <w:sz w:val="24"/>
        </w:rPr>
        <w:t> </w:t>
      </w:r>
      <w:r>
        <w:rPr>
          <w:spacing w:val="-2"/>
          <w:sz w:val="24"/>
        </w:rPr>
        <w:t>bodies:</w:t>
      </w:r>
    </w:p>
    <w:p>
      <w:pPr>
        <w:pStyle w:val="ListParagraph"/>
        <w:numPr>
          <w:ilvl w:val="1"/>
          <w:numId w:val="32"/>
        </w:numPr>
        <w:tabs>
          <w:tab w:pos="1859" w:val="left" w:leader="none"/>
          <w:tab w:pos="1861" w:val="left" w:leader="none"/>
        </w:tabs>
        <w:spacing w:line="240" w:lineRule="auto" w:before="118" w:after="0"/>
        <w:ind w:left="1860" w:right="0" w:hanging="362"/>
        <w:jc w:val="left"/>
        <w:rPr>
          <w:sz w:val="24"/>
        </w:rPr>
      </w:pPr>
      <w:r>
        <w:rPr>
          <w:sz w:val="24"/>
        </w:rPr>
        <w:t>the</w:t>
      </w:r>
      <w:r>
        <w:rPr>
          <w:spacing w:val="-4"/>
          <w:sz w:val="24"/>
        </w:rPr>
        <w:t> </w:t>
      </w:r>
      <w:r>
        <w:rPr>
          <w:sz w:val="24"/>
        </w:rPr>
        <w:t>Property</w:t>
      </w:r>
      <w:r>
        <w:rPr>
          <w:spacing w:val="-3"/>
          <w:sz w:val="24"/>
        </w:rPr>
        <w:t> </w:t>
      </w:r>
      <w:r>
        <w:rPr>
          <w:sz w:val="24"/>
        </w:rPr>
        <w:t>Council</w:t>
      </w:r>
      <w:r>
        <w:rPr>
          <w:spacing w:val="-4"/>
          <w:sz w:val="24"/>
        </w:rPr>
        <w:t> </w:t>
      </w:r>
      <w:r>
        <w:rPr>
          <w:sz w:val="24"/>
        </w:rPr>
        <w:t>of</w:t>
      </w:r>
      <w:r>
        <w:rPr>
          <w:spacing w:val="-3"/>
          <w:sz w:val="24"/>
        </w:rPr>
        <w:t> </w:t>
      </w:r>
      <w:r>
        <w:rPr>
          <w:spacing w:val="-2"/>
          <w:sz w:val="24"/>
        </w:rPr>
        <w:t>Australia;</w:t>
      </w:r>
    </w:p>
    <w:p>
      <w:pPr>
        <w:pStyle w:val="ListParagraph"/>
        <w:numPr>
          <w:ilvl w:val="1"/>
          <w:numId w:val="32"/>
        </w:numPr>
        <w:tabs>
          <w:tab w:pos="1859" w:val="left" w:leader="none"/>
          <w:tab w:pos="1860" w:val="left" w:leader="none"/>
        </w:tabs>
        <w:spacing w:line="240" w:lineRule="auto" w:before="117" w:after="0"/>
        <w:ind w:left="1859" w:right="0" w:hanging="361"/>
        <w:jc w:val="left"/>
        <w:rPr>
          <w:sz w:val="24"/>
        </w:rPr>
      </w:pPr>
      <w:r>
        <w:rPr>
          <w:sz w:val="24"/>
        </w:rPr>
        <w:t>the</w:t>
      </w:r>
      <w:r>
        <w:rPr>
          <w:spacing w:val="-6"/>
          <w:sz w:val="24"/>
        </w:rPr>
        <w:t> </w:t>
      </w:r>
      <w:r>
        <w:rPr>
          <w:sz w:val="24"/>
        </w:rPr>
        <w:t>Australian</w:t>
      </w:r>
      <w:r>
        <w:rPr>
          <w:spacing w:val="-5"/>
          <w:sz w:val="24"/>
        </w:rPr>
        <w:t> </w:t>
      </w:r>
      <w:r>
        <w:rPr>
          <w:sz w:val="24"/>
        </w:rPr>
        <w:t>Local</w:t>
      </w:r>
      <w:r>
        <w:rPr>
          <w:spacing w:val="-6"/>
          <w:sz w:val="24"/>
        </w:rPr>
        <w:t> </w:t>
      </w:r>
      <w:r>
        <w:rPr>
          <w:sz w:val="24"/>
        </w:rPr>
        <w:t>Government</w:t>
      </w:r>
      <w:r>
        <w:rPr>
          <w:spacing w:val="-5"/>
          <w:sz w:val="24"/>
        </w:rPr>
        <w:t> </w:t>
      </w:r>
      <w:r>
        <w:rPr>
          <w:spacing w:val="-2"/>
          <w:sz w:val="24"/>
        </w:rPr>
        <w:t>Association;</w:t>
      </w:r>
    </w:p>
    <w:p>
      <w:pPr>
        <w:pStyle w:val="ListParagraph"/>
        <w:numPr>
          <w:ilvl w:val="1"/>
          <w:numId w:val="32"/>
        </w:numPr>
        <w:tabs>
          <w:tab w:pos="1859" w:val="left" w:leader="none"/>
          <w:tab w:pos="1861" w:val="left" w:leader="none"/>
        </w:tabs>
        <w:spacing w:line="240" w:lineRule="auto" w:before="119" w:after="0"/>
        <w:ind w:left="1860" w:right="0" w:hanging="362"/>
        <w:jc w:val="left"/>
        <w:rPr>
          <w:sz w:val="24"/>
        </w:rPr>
      </w:pPr>
      <w:r>
        <w:rPr>
          <w:sz w:val="24"/>
        </w:rPr>
        <w:t>the Attorney-General's </w:t>
      </w:r>
      <w:r>
        <w:rPr>
          <w:spacing w:val="-2"/>
          <w:sz w:val="24"/>
        </w:rPr>
        <w:t>Department;</w:t>
      </w:r>
    </w:p>
    <w:p>
      <w:pPr>
        <w:pStyle w:val="ListParagraph"/>
        <w:numPr>
          <w:ilvl w:val="1"/>
          <w:numId w:val="32"/>
        </w:numPr>
        <w:tabs>
          <w:tab w:pos="1860" w:val="left" w:leader="none"/>
          <w:tab w:pos="1861" w:val="left" w:leader="none"/>
        </w:tabs>
        <w:spacing w:line="240" w:lineRule="auto" w:before="118" w:after="0"/>
        <w:ind w:left="1859" w:right="810" w:hanging="360"/>
        <w:jc w:val="left"/>
        <w:rPr>
          <w:sz w:val="24"/>
        </w:rPr>
      </w:pPr>
      <w:r>
        <w:rPr>
          <w:sz w:val="24"/>
        </w:rPr>
        <w:t>the</w:t>
      </w:r>
      <w:r>
        <w:rPr>
          <w:spacing w:val="40"/>
          <w:sz w:val="24"/>
        </w:rPr>
        <w:t> </w:t>
      </w:r>
      <w:r>
        <w:rPr>
          <w:sz w:val="24"/>
        </w:rPr>
        <w:t>Department</w:t>
      </w:r>
      <w:r>
        <w:rPr>
          <w:spacing w:val="39"/>
          <w:sz w:val="24"/>
        </w:rPr>
        <w:t> </w:t>
      </w:r>
      <w:r>
        <w:rPr>
          <w:sz w:val="24"/>
        </w:rPr>
        <w:t>of</w:t>
      </w:r>
      <w:r>
        <w:rPr>
          <w:spacing w:val="39"/>
          <w:sz w:val="24"/>
        </w:rPr>
        <w:t> </w:t>
      </w:r>
      <w:r>
        <w:rPr>
          <w:sz w:val="24"/>
        </w:rPr>
        <w:t>Industry,</w:t>
      </w:r>
      <w:r>
        <w:rPr>
          <w:spacing w:val="40"/>
          <w:sz w:val="24"/>
        </w:rPr>
        <w:t> </w:t>
      </w:r>
      <w:r>
        <w:rPr>
          <w:sz w:val="24"/>
        </w:rPr>
        <w:t>Tourism</w:t>
      </w:r>
      <w:r>
        <w:rPr>
          <w:spacing w:val="40"/>
          <w:sz w:val="24"/>
        </w:rPr>
        <w:t> </w:t>
      </w:r>
      <w:r>
        <w:rPr>
          <w:sz w:val="24"/>
        </w:rPr>
        <w:t>and</w:t>
      </w:r>
      <w:r>
        <w:rPr>
          <w:spacing w:val="40"/>
          <w:sz w:val="24"/>
        </w:rPr>
        <w:t> </w:t>
      </w:r>
      <w:r>
        <w:rPr>
          <w:sz w:val="24"/>
        </w:rPr>
        <w:t>Resources</w:t>
      </w:r>
      <w:r>
        <w:rPr>
          <w:spacing w:val="40"/>
          <w:sz w:val="24"/>
        </w:rPr>
        <w:t> </w:t>
      </w:r>
      <w:r>
        <w:rPr>
          <w:sz w:val="24"/>
        </w:rPr>
        <w:t>(now</w:t>
      </w:r>
      <w:r>
        <w:rPr>
          <w:spacing w:val="40"/>
          <w:sz w:val="24"/>
        </w:rPr>
        <w:t> </w:t>
      </w:r>
      <w:r>
        <w:rPr>
          <w:sz w:val="24"/>
        </w:rPr>
        <w:t>the Department of Innovation, Industry, Science and Research);</w:t>
      </w:r>
    </w:p>
    <w:p>
      <w:pPr>
        <w:pStyle w:val="ListParagraph"/>
        <w:numPr>
          <w:ilvl w:val="1"/>
          <w:numId w:val="32"/>
        </w:numPr>
        <w:tabs>
          <w:tab w:pos="1859" w:val="left" w:leader="none"/>
          <w:tab w:pos="1861" w:val="left" w:leader="none"/>
        </w:tabs>
        <w:spacing w:line="240" w:lineRule="auto" w:before="118" w:after="0"/>
        <w:ind w:left="1860" w:right="0" w:hanging="362"/>
        <w:jc w:val="left"/>
        <w:rPr>
          <w:sz w:val="24"/>
        </w:rPr>
      </w:pPr>
      <w:r>
        <w:rPr>
          <w:sz w:val="24"/>
        </w:rPr>
        <w:t>the</w:t>
      </w:r>
      <w:r>
        <w:rPr>
          <w:spacing w:val="-7"/>
          <w:sz w:val="24"/>
        </w:rPr>
        <w:t> </w:t>
      </w:r>
      <w:r>
        <w:rPr>
          <w:sz w:val="24"/>
        </w:rPr>
        <w:t>Australian</w:t>
      </w:r>
      <w:r>
        <w:rPr>
          <w:spacing w:val="-7"/>
          <w:sz w:val="24"/>
        </w:rPr>
        <w:t> </w:t>
      </w:r>
      <w:r>
        <w:rPr>
          <w:sz w:val="24"/>
        </w:rPr>
        <w:t>Construction</w:t>
      </w:r>
      <w:r>
        <w:rPr>
          <w:spacing w:val="-7"/>
          <w:sz w:val="24"/>
        </w:rPr>
        <w:t> </w:t>
      </w:r>
      <w:r>
        <w:rPr>
          <w:sz w:val="24"/>
        </w:rPr>
        <w:t>Industry</w:t>
      </w:r>
      <w:r>
        <w:rPr>
          <w:spacing w:val="-6"/>
          <w:sz w:val="24"/>
        </w:rPr>
        <w:t> </w:t>
      </w:r>
      <w:r>
        <w:rPr>
          <w:spacing w:val="-2"/>
          <w:sz w:val="24"/>
        </w:rPr>
        <w:t>Forum;</w:t>
      </w:r>
    </w:p>
    <w:p>
      <w:pPr>
        <w:pStyle w:val="ListParagraph"/>
        <w:numPr>
          <w:ilvl w:val="1"/>
          <w:numId w:val="32"/>
        </w:numPr>
        <w:tabs>
          <w:tab w:pos="1859" w:val="left" w:leader="none"/>
          <w:tab w:pos="1861" w:val="left" w:leader="none"/>
        </w:tabs>
        <w:spacing w:line="240" w:lineRule="auto" w:before="118" w:after="0"/>
        <w:ind w:left="1860" w:right="0" w:hanging="362"/>
        <w:jc w:val="left"/>
        <w:rPr>
          <w:sz w:val="24"/>
        </w:rPr>
      </w:pPr>
      <w:r>
        <w:rPr>
          <w:sz w:val="24"/>
        </w:rPr>
        <w:t>the</w:t>
      </w:r>
      <w:r>
        <w:rPr>
          <w:spacing w:val="-6"/>
          <w:sz w:val="24"/>
        </w:rPr>
        <w:t> </w:t>
      </w:r>
      <w:r>
        <w:rPr>
          <w:sz w:val="24"/>
        </w:rPr>
        <w:t>Australian</w:t>
      </w:r>
      <w:r>
        <w:rPr>
          <w:spacing w:val="-5"/>
          <w:sz w:val="24"/>
        </w:rPr>
        <w:t> </w:t>
      </w:r>
      <w:r>
        <w:rPr>
          <w:sz w:val="24"/>
        </w:rPr>
        <w:t>Institute</w:t>
      </w:r>
      <w:r>
        <w:rPr>
          <w:spacing w:val="-6"/>
          <w:sz w:val="24"/>
        </w:rPr>
        <w:t> </w:t>
      </w:r>
      <w:r>
        <w:rPr>
          <w:sz w:val="24"/>
        </w:rPr>
        <w:t>of</w:t>
      </w:r>
      <w:r>
        <w:rPr>
          <w:spacing w:val="-5"/>
          <w:sz w:val="24"/>
        </w:rPr>
        <w:t> </w:t>
      </w:r>
      <w:r>
        <w:rPr>
          <w:sz w:val="24"/>
        </w:rPr>
        <w:t>Building</w:t>
      </w:r>
      <w:r>
        <w:rPr>
          <w:spacing w:val="-5"/>
          <w:sz w:val="24"/>
        </w:rPr>
        <w:t> </w:t>
      </w:r>
      <w:r>
        <w:rPr>
          <w:spacing w:val="-2"/>
          <w:sz w:val="24"/>
        </w:rPr>
        <w:t>Surveyors;</w:t>
      </w:r>
    </w:p>
    <w:p>
      <w:pPr>
        <w:pStyle w:val="ListParagraph"/>
        <w:numPr>
          <w:ilvl w:val="1"/>
          <w:numId w:val="32"/>
        </w:numPr>
        <w:tabs>
          <w:tab w:pos="1859" w:val="left" w:leader="none"/>
          <w:tab w:pos="1861" w:val="left" w:leader="none"/>
        </w:tabs>
        <w:spacing w:line="240" w:lineRule="auto" w:before="119" w:after="0"/>
        <w:ind w:left="1860" w:right="0" w:hanging="362"/>
        <w:jc w:val="left"/>
        <w:rPr>
          <w:sz w:val="24"/>
        </w:rPr>
      </w:pPr>
      <w:r>
        <w:rPr>
          <w:sz w:val="24"/>
        </w:rPr>
        <w:t>Standards</w:t>
      </w:r>
      <w:r>
        <w:rPr>
          <w:spacing w:val="-5"/>
          <w:sz w:val="24"/>
        </w:rPr>
        <w:t> </w:t>
      </w:r>
      <w:r>
        <w:rPr>
          <w:sz w:val="24"/>
        </w:rPr>
        <w:t>Australia</w:t>
      </w:r>
      <w:r>
        <w:rPr>
          <w:spacing w:val="-5"/>
          <w:sz w:val="24"/>
        </w:rPr>
        <w:t> </w:t>
      </w:r>
      <w:r>
        <w:rPr>
          <w:sz w:val="24"/>
        </w:rPr>
        <w:t>(observer</w:t>
      </w:r>
      <w:r>
        <w:rPr>
          <w:spacing w:val="-5"/>
          <w:sz w:val="24"/>
        </w:rPr>
        <w:t> </w:t>
      </w:r>
      <w:r>
        <w:rPr>
          <w:sz w:val="24"/>
        </w:rPr>
        <w:t>status);</w:t>
      </w:r>
      <w:r>
        <w:rPr>
          <w:spacing w:val="-5"/>
          <w:sz w:val="24"/>
        </w:rPr>
        <w:t> </w:t>
      </w:r>
      <w:r>
        <w:rPr>
          <w:spacing w:val="-2"/>
          <w:sz w:val="24"/>
        </w:rPr>
        <w:t>plus,</w:t>
      </w:r>
    </w:p>
    <w:p>
      <w:pPr>
        <w:pStyle w:val="ListParagraph"/>
        <w:numPr>
          <w:ilvl w:val="1"/>
          <w:numId w:val="32"/>
        </w:numPr>
        <w:tabs>
          <w:tab w:pos="1859" w:val="left" w:leader="none"/>
          <w:tab w:pos="1861" w:val="left" w:leader="none"/>
        </w:tabs>
        <w:spacing w:line="240" w:lineRule="auto" w:before="117" w:after="0"/>
        <w:ind w:left="1859" w:right="814" w:hanging="360"/>
        <w:jc w:val="left"/>
        <w:rPr>
          <w:sz w:val="24"/>
        </w:rPr>
      </w:pPr>
      <w:r>
        <w:rPr>
          <w:sz w:val="24"/>
        </w:rPr>
        <w:t>a</w:t>
      </w:r>
      <w:r>
        <w:rPr>
          <w:spacing w:val="40"/>
          <w:sz w:val="24"/>
        </w:rPr>
        <w:t> </w:t>
      </w:r>
      <w:r>
        <w:rPr>
          <w:sz w:val="24"/>
        </w:rPr>
        <w:t>representative</w:t>
      </w:r>
      <w:r>
        <w:rPr>
          <w:spacing w:val="40"/>
          <w:sz w:val="24"/>
        </w:rPr>
        <w:t> </w:t>
      </w:r>
      <w:r>
        <w:rPr>
          <w:sz w:val="24"/>
        </w:rPr>
        <w:t>from</w:t>
      </w:r>
      <w:r>
        <w:rPr>
          <w:spacing w:val="40"/>
          <w:sz w:val="24"/>
        </w:rPr>
        <w:t> </w:t>
      </w:r>
      <w:r>
        <w:rPr>
          <w:sz w:val="24"/>
        </w:rPr>
        <w:t>both</w:t>
      </w:r>
      <w:r>
        <w:rPr>
          <w:spacing w:val="40"/>
          <w:sz w:val="24"/>
        </w:rPr>
        <w:t> </w:t>
      </w:r>
      <w:r>
        <w:rPr>
          <w:sz w:val="24"/>
        </w:rPr>
        <w:t>the</w:t>
      </w:r>
      <w:r>
        <w:rPr>
          <w:spacing w:val="40"/>
          <w:sz w:val="24"/>
        </w:rPr>
        <w:t> </w:t>
      </w:r>
      <w:r>
        <w:rPr>
          <w:sz w:val="24"/>
        </w:rPr>
        <w:t>design</w:t>
      </w:r>
      <w:r>
        <w:rPr>
          <w:spacing w:val="40"/>
          <w:sz w:val="24"/>
        </w:rPr>
        <w:t> </w:t>
      </w:r>
      <w:r>
        <w:rPr>
          <w:sz w:val="24"/>
        </w:rPr>
        <w:t>professions</w:t>
      </w:r>
      <w:r>
        <w:rPr>
          <w:spacing w:val="40"/>
          <w:sz w:val="24"/>
        </w:rPr>
        <w:t> </w:t>
      </w:r>
      <w:r>
        <w:rPr>
          <w:sz w:val="24"/>
        </w:rPr>
        <w:t>and</w:t>
      </w:r>
      <w:r>
        <w:rPr>
          <w:spacing w:val="40"/>
          <w:sz w:val="24"/>
        </w:rPr>
        <w:t> </w:t>
      </w:r>
      <w:r>
        <w:rPr>
          <w:sz w:val="24"/>
        </w:rPr>
        <w:t>public sector property management.</w:t>
      </w:r>
    </w:p>
    <w:p>
      <w:pPr>
        <w:pStyle w:val="BodyText"/>
        <w:spacing w:before="3"/>
        <w:rPr>
          <w:sz w:val="34"/>
        </w:rPr>
      </w:pPr>
    </w:p>
    <w:p>
      <w:pPr>
        <w:pStyle w:val="BodyText"/>
        <w:spacing w:before="1"/>
        <w:ind w:left="419" w:right="811"/>
        <w:jc w:val="both"/>
      </w:pPr>
      <w:r>
        <w:rPr/>
        <w:t>An expert Technical Working Group (TWG) was appointed by BAPC to undertake the detailed development of the technical provisions of the Premises Standards.</w:t>
      </w:r>
      <w:r>
        <w:rPr>
          <w:spacing w:val="80"/>
        </w:rPr>
        <w:t> </w:t>
      </w:r>
      <w:r>
        <w:rPr/>
        <w:t>The TWG has a membership that broadly reflects that</w:t>
      </w:r>
      <w:r>
        <w:rPr>
          <w:spacing w:val="40"/>
        </w:rPr>
        <w:t> </w:t>
      </w:r>
      <w:r>
        <w:rPr/>
        <w:t>of the BAPC.</w:t>
      </w:r>
      <w:r>
        <w:rPr>
          <w:spacing w:val="80"/>
        </w:rPr>
        <w:t> </w:t>
      </w:r>
      <w:r>
        <w:rPr/>
        <w:t>The process by which the TWG arrived at the proposed technical provisions was extensive and included the identification and evaluation of options in respect of each area of regulation covered in the Premises Standards.</w:t>
      </w:r>
      <w:r>
        <w:rPr>
          <w:spacing w:val="80"/>
        </w:rPr>
        <w:t> </w:t>
      </w:r>
      <w:r>
        <w:rPr/>
        <w:t>The technical recommendations of the TWG were put</w:t>
      </w:r>
      <w:r>
        <w:rPr>
          <w:spacing w:val="40"/>
        </w:rPr>
        <w:t> </w:t>
      </w:r>
      <w:r>
        <w:rPr/>
        <w:t>to BAPC for their consideration for inclusion in the Premises Standards.</w:t>
      </w:r>
    </w:p>
    <w:p>
      <w:pPr>
        <w:pStyle w:val="BodyText"/>
        <w:spacing w:before="10"/>
        <w:rPr>
          <w:sz w:val="23"/>
        </w:rPr>
      </w:pPr>
    </w:p>
    <w:p>
      <w:pPr>
        <w:pStyle w:val="BodyText"/>
        <w:ind w:left="419" w:right="811"/>
        <w:jc w:val="both"/>
      </w:pPr>
      <w:r>
        <w:rPr/>
        <w:t>In each case, discussion centred on issues including the nature of the evidence as to the access problem being addressed, the identification of different</w:t>
      </w:r>
      <w:r>
        <w:rPr>
          <w:spacing w:val="40"/>
        </w:rPr>
        <w:t> </w:t>
      </w:r>
      <w:r>
        <w:rPr/>
        <w:t>means</w:t>
      </w:r>
      <w:r>
        <w:rPr>
          <w:spacing w:val="40"/>
        </w:rPr>
        <w:t> </w:t>
      </w:r>
      <w:r>
        <w:rPr/>
        <w:t>of</w:t>
      </w:r>
      <w:r>
        <w:rPr>
          <w:spacing w:val="40"/>
        </w:rPr>
        <w:t> </w:t>
      </w:r>
      <w:r>
        <w:rPr/>
        <w:t>addressing</w:t>
      </w:r>
      <w:r>
        <w:rPr>
          <w:spacing w:val="40"/>
        </w:rPr>
        <w:t> </w:t>
      </w:r>
      <w:r>
        <w:rPr/>
        <w:t>these</w:t>
      </w:r>
      <w:r>
        <w:rPr>
          <w:spacing w:val="40"/>
        </w:rPr>
        <w:t> </w:t>
      </w:r>
      <w:r>
        <w:rPr/>
        <w:t>issues</w:t>
      </w:r>
      <w:r>
        <w:rPr>
          <w:spacing w:val="40"/>
        </w:rPr>
        <w:t> </w:t>
      </w:r>
      <w:r>
        <w:rPr/>
        <w:t>and</w:t>
      </w:r>
      <w:r>
        <w:rPr>
          <w:spacing w:val="40"/>
        </w:rPr>
        <w:t> </w:t>
      </w:r>
      <w:r>
        <w:rPr/>
        <w:t>the</w:t>
      </w:r>
      <w:r>
        <w:rPr>
          <w:spacing w:val="40"/>
        </w:rPr>
        <w:t> </w:t>
      </w:r>
      <w:r>
        <w:rPr/>
        <w:t>costs</w:t>
      </w:r>
      <w:r>
        <w:rPr>
          <w:spacing w:val="40"/>
        </w:rPr>
        <w:t> </w:t>
      </w:r>
      <w:r>
        <w:rPr/>
        <w:t>of</w:t>
      </w:r>
      <w:r>
        <w:rPr>
          <w:spacing w:val="40"/>
        </w:rPr>
        <w:t> </w:t>
      </w:r>
      <w:r>
        <w:rPr/>
        <w:t>so</w:t>
      </w:r>
      <w:r>
        <w:rPr>
          <w:spacing w:val="40"/>
        </w:rPr>
        <w:t> </w:t>
      </w:r>
      <w:r>
        <w:rPr/>
        <w:t>doing. Clearly, the TWG were not in a position to conduct formal benefit/cost</w:t>
      </w:r>
      <w:r>
        <w:rPr>
          <w:spacing w:val="40"/>
        </w:rPr>
        <w:t> </w:t>
      </w:r>
      <w:r>
        <w:rPr/>
        <w:t>analysis at the level of individual access provisions.</w:t>
      </w:r>
      <w:r>
        <w:rPr>
          <w:spacing w:val="40"/>
        </w:rPr>
        <w:t> </w:t>
      </w:r>
      <w:r>
        <w:rPr/>
        <w:t>Even were resource constraints not to have prevented such a course, the interdependence of the different access issues addressed in the Premises Standards militate against the practicality of a “clause by clause” approach to such an analysis.</w:t>
      </w:r>
      <w:r>
        <w:rPr>
          <w:spacing w:val="40"/>
        </w:rPr>
        <w:t> </w:t>
      </w:r>
      <w:r>
        <w:rPr/>
        <w:t>However, the operating methods of the TWG have been based around an appreciation of the need for a comparative policy approach and the need to consider trade-offs in an attempt to maximise efficiency and practicality.</w:t>
      </w:r>
    </w:p>
    <w:p>
      <w:pPr>
        <w:pStyle w:val="BodyText"/>
      </w:pPr>
    </w:p>
    <w:p>
      <w:pPr>
        <w:pStyle w:val="BodyText"/>
        <w:ind w:left="420" w:right="810"/>
        <w:jc w:val="both"/>
      </w:pPr>
      <w:r>
        <w:rPr/>
        <w:t>Thus, the specific form of the proposed Premises Standards has been determined by the application of a comparative policy approach which seeks to weigh benefits and costs and identify the most appropriate regulatory solution, as is required by the logic of the RIS process generally.</w:t>
      </w:r>
      <w:r>
        <w:rPr>
          <w:spacing w:val="40"/>
        </w:rPr>
        <w:t> </w:t>
      </w:r>
      <w:r>
        <w:rPr/>
        <w:t>In this context, it should be noted that a RIS Steering Committee was also formed under the auspices of BAPC.</w:t>
      </w:r>
      <w:r>
        <w:rPr>
          <w:spacing w:val="40"/>
        </w:rPr>
        <w:t> </w:t>
      </w:r>
      <w:r>
        <w:rPr/>
        <w:t>Thus, the development of the Premises Standards was integrated with the RIS development process, ensuring as far as</w:t>
      </w:r>
      <w:r>
        <w:rPr>
          <w:spacing w:val="32"/>
        </w:rPr>
        <w:t> </w:t>
      </w:r>
      <w:r>
        <w:rPr/>
        <w:t>possible</w:t>
      </w:r>
      <w:r>
        <w:rPr>
          <w:spacing w:val="32"/>
        </w:rPr>
        <w:t> </w:t>
      </w:r>
      <w:r>
        <w:rPr/>
        <w:t>that</w:t>
      </w:r>
      <w:r>
        <w:rPr>
          <w:spacing w:val="32"/>
        </w:rPr>
        <w:t> </w:t>
      </w:r>
      <w:r>
        <w:rPr/>
        <w:t>the</w:t>
      </w:r>
      <w:r>
        <w:rPr>
          <w:spacing w:val="32"/>
        </w:rPr>
        <w:t> </w:t>
      </w:r>
      <w:r>
        <w:rPr/>
        <w:t>process</w:t>
      </w:r>
      <w:r>
        <w:rPr>
          <w:spacing w:val="32"/>
        </w:rPr>
        <w:t> </w:t>
      </w:r>
      <w:r>
        <w:rPr/>
        <w:t>of</w:t>
      </w:r>
      <w:r>
        <w:rPr>
          <w:spacing w:val="32"/>
        </w:rPr>
        <w:t> </w:t>
      </w:r>
      <w:r>
        <w:rPr/>
        <w:t>developing</w:t>
      </w:r>
      <w:r>
        <w:rPr>
          <w:spacing w:val="32"/>
        </w:rPr>
        <w:t> </w:t>
      </w:r>
      <w:r>
        <w:rPr/>
        <w:t>the</w:t>
      </w:r>
      <w:r>
        <w:rPr>
          <w:spacing w:val="32"/>
        </w:rPr>
        <w:t> </w:t>
      </w:r>
      <w:r>
        <w:rPr/>
        <w:t>specific</w:t>
      </w:r>
      <w:r>
        <w:rPr>
          <w:spacing w:val="33"/>
        </w:rPr>
        <w:t> </w:t>
      </w:r>
      <w:r>
        <w:rPr/>
        <w:t>standards</w:t>
      </w:r>
      <w:r>
        <w:rPr>
          <w:spacing w:val="32"/>
        </w:rPr>
        <w:t> </w:t>
      </w:r>
      <w:r>
        <w:rPr/>
        <w:t>has</w:t>
      </w:r>
      <w:r>
        <w:rPr>
          <w:spacing w:val="33"/>
        </w:rPr>
        <w:t> </w:t>
      </w:r>
      <w:r>
        <w:rPr/>
        <w:t>been</w:t>
      </w:r>
    </w:p>
    <w:p>
      <w:pPr>
        <w:spacing w:after="0"/>
        <w:jc w:val="both"/>
        <w:sectPr>
          <w:pgSz w:w="11900" w:h="16840"/>
          <w:pgMar w:header="0" w:footer="1130" w:top="1000" w:bottom="1320" w:left="1380" w:right="980"/>
        </w:sectPr>
      </w:pPr>
    </w:p>
    <w:p>
      <w:pPr>
        <w:pStyle w:val="BodyText"/>
        <w:spacing w:before="75"/>
        <w:ind w:left="420" w:right="813"/>
        <w:jc w:val="both"/>
      </w:pPr>
      <w:bookmarkStart w:name="_bookmark27" w:id="99"/>
      <w:bookmarkEnd w:id="99"/>
      <w:r>
        <w:rPr/>
      </w:r>
      <w:r>
        <w:rPr/>
        <w:t>cognisant of the requirements of the RIS process as established via the COAG principles and guidelines.</w:t>
      </w:r>
    </w:p>
    <w:p>
      <w:pPr>
        <w:pStyle w:val="BodyText"/>
      </w:pPr>
    </w:p>
    <w:p>
      <w:pPr>
        <w:pStyle w:val="BodyText"/>
        <w:ind w:left="420" w:right="811"/>
        <w:jc w:val="both"/>
      </w:pPr>
      <w:r>
        <w:rPr/>
        <w:t>In addition, as noted in previous sections, the currently proposed Premises Standards varies significantly in some respects from that of the original proposal.</w:t>
      </w:r>
      <w:r>
        <w:rPr>
          <w:spacing w:val="40"/>
        </w:rPr>
        <w:t> </w:t>
      </w:r>
      <w:r>
        <w:rPr/>
        <w:t>These changes reflect the feedback received from stakeholders during the consultation process and the analysis of that feedback by the ABCB, BAPC and the House of Representatives Legal and Constitutional Affairs Committee.</w:t>
      </w:r>
      <w:r>
        <w:rPr>
          <w:spacing w:val="40"/>
        </w:rPr>
        <w:t> </w:t>
      </w:r>
      <w:r>
        <w:rPr/>
        <w:t>Significant additional analytical work was undertaken in 2008 to identify specific changes to the initial proposal that would best</w:t>
      </w:r>
      <w:r>
        <w:rPr>
          <w:spacing w:val="40"/>
        </w:rPr>
        <w:t> </w:t>
      </w:r>
      <w:r>
        <w:rPr/>
        <w:t>address cost and practicality concerns raised while ensuring that the maximum possible benefits continued to be preserved.</w:t>
      </w:r>
      <w:r>
        <w:rPr>
          <w:spacing w:val="40"/>
        </w:rPr>
        <w:t> </w:t>
      </w:r>
      <w:r>
        <w:rPr/>
        <w:t>Thus, the analysis of alternatives has continued to be informed by the application of comparative benefit/cost analysis and has resulted in a significantly modified proposal.</w:t>
      </w:r>
    </w:p>
    <w:p>
      <w:pPr>
        <w:pStyle w:val="BodyText"/>
        <w:spacing w:before="2"/>
      </w:pPr>
    </w:p>
    <w:p>
      <w:pPr>
        <w:pStyle w:val="Heading5"/>
        <w:ind w:left="420" w:right="812"/>
      </w:pPr>
      <w:r>
        <w:rPr>
          <w:i/>
        </w:rPr>
        <w:t>House</w:t>
      </w:r>
      <w:r>
        <w:rPr>
          <w:i/>
        </w:rPr>
        <w:t> of</w:t>
      </w:r>
      <w:r>
        <w:rPr>
          <w:i/>
        </w:rPr>
        <w:t> Representatives</w:t>
      </w:r>
      <w:r>
        <w:rPr>
          <w:i/>
        </w:rPr>
        <w:t> Standing</w:t>
      </w:r>
      <w:r>
        <w:rPr>
          <w:i/>
        </w:rPr>
        <w:t> Committee</w:t>
      </w:r>
      <w:r>
        <w:rPr>
          <w:i/>
        </w:rPr>
        <w:t> on</w:t>
      </w:r>
      <w:r>
        <w:rPr>
          <w:i/>
        </w:rPr>
        <w:t> Legal and</w:t>
      </w:r>
      <w:r>
        <w:rPr/>
        <w:t> Constitutional Affairs</w:t>
      </w:r>
    </w:p>
    <w:p>
      <w:pPr>
        <w:pStyle w:val="BodyText"/>
        <w:spacing w:before="119"/>
        <w:ind w:left="420" w:right="810"/>
        <w:jc w:val="both"/>
      </w:pPr>
      <w:r>
        <w:rPr/>
        <w:t>On 3 December 2008 the Commonwealth Attorney-General and Minister for Innovation, Industry, Science and research referred the Draft Disability (Access to Premises – Buildings) Standards to the House of Representatives Standing Committee on Legal and Constitutional Affairs.</w:t>
      </w:r>
    </w:p>
    <w:p>
      <w:pPr>
        <w:pStyle w:val="BodyText"/>
      </w:pPr>
    </w:p>
    <w:p>
      <w:pPr>
        <w:pStyle w:val="BodyText"/>
        <w:ind w:left="420"/>
        <w:jc w:val="both"/>
      </w:pPr>
      <w:r>
        <w:rPr/>
        <w:t>The</w:t>
      </w:r>
      <w:r>
        <w:rPr>
          <w:spacing w:val="-9"/>
        </w:rPr>
        <w:t> </w:t>
      </w:r>
      <w:r>
        <w:rPr/>
        <w:t>Committee</w:t>
      </w:r>
      <w:r>
        <w:rPr>
          <w:spacing w:val="-9"/>
        </w:rPr>
        <w:t> </w:t>
      </w:r>
      <w:r>
        <w:rPr/>
        <w:t>was</w:t>
      </w:r>
      <w:r>
        <w:rPr>
          <w:spacing w:val="-10"/>
        </w:rPr>
        <w:t> </w:t>
      </w:r>
      <w:r>
        <w:rPr/>
        <w:t>asked</w:t>
      </w:r>
      <w:r>
        <w:rPr>
          <w:spacing w:val="-9"/>
        </w:rPr>
        <w:t> </w:t>
      </w:r>
      <w:r>
        <w:rPr/>
        <w:t>to</w:t>
      </w:r>
      <w:r>
        <w:rPr>
          <w:spacing w:val="-9"/>
        </w:rPr>
        <w:t> </w:t>
      </w:r>
      <w:r>
        <w:rPr/>
        <w:t>inquire</w:t>
      </w:r>
      <w:r>
        <w:rPr>
          <w:spacing w:val="-10"/>
        </w:rPr>
        <w:t> </w:t>
      </w:r>
      <w:r>
        <w:rPr/>
        <w:t>into</w:t>
      </w:r>
      <w:r>
        <w:rPr>
          <w:spacing w:val="-9"/>
        </w:rPr>
        <w:t> </w:t>
      </w:r>
      <w:r>
        <w:rPr/>
        <w:t>and</w:t>
      </w:r>
      <w:r>
        <w:rPr>
          <w:spacing w:val="-9"/>
        </w:rPr>
        <w:t> </w:t>
      </w:r>
      <w:r>
        <w:rPr/>
        <w:t>report</w:t>
      </w:r>
      <w:r>
        <w:rPr>
          <w:spacing w:val="-9"/>
        </w:rPr>
        <w:t> </w:t>
      </w:r>
      <w:r>
        <w:rPr>
          <w:spacing w:val="-5"/>
        </w:rPr>
        <w:t>on:</w:t>
      </w:r>
    </w:p>
    <w:p>
      <w:pPr>
        <w:pStyle w:val="ListParagraph"/>
        <w:numPr>
          <w:ilvl w:val="0"/>
          <w:numId w:val="32"/>
        </w:numPr>
        <w:tabs>
          <w:tab w:pos="1141" w:val="left" w:leader="none"/>
        </w:tabs>
        <w:spacing w:line="237" w:lineRule="auto" w:before="3" w:after="0"/>
        <w:ind w:left="1134" w:right="812" w:hanging="357"/>
        <w:jc w:val="both"/>
        <w:rPr>
          <w:sz w:val="24"/>
        </w:rPr>
      </w:pPr>
      <w:r>
        <w:rPr>
          <w:sz w:val="24"/>
        </w:rPr>
        <w:t>The appropriateness and effectiveness of the Proposed Premises Standards in achieving their objectives;</w:t>
      </w:r>
    </w:p>
    <w:p>
      <w:pPr>
        <w:pStyle w:val="ListParagraph"/>
        <w:numPr>
          <w:ilvl w:val="0"/>
          <w:numId w:val="32"/>
        </w:numPr>
        <w:tabs>
          <w:tab w:pos="1141" w:val="left" w:leader="none"/>
        </w:tabs>
        <w:spacing w:line="240" w:lineRule="auto" w:before="121" w:after="0"/>
        <w:ind w:left="1134" w:right="811" w:hanging="357"/>
        <w:jc w:val="both"/>
        <w:rPr>
          <w:sz w:val="24"/>
        </w:rPr>
      </w:pPr>
      <w:r>
        <w:rPr>
          <w:sz w:val="24"/>
        </w:rPr>
        <w:t>The interaction between the Premises Standards and existing regulatory schemes operating in State and Territory jurisdictions, including the appropriateness and effectiveness of the proposed Model Process to Administer Building Access for People with a Disability;</w:t>
      </w:r>
    </w:p>
    <w:p>
      <w:pPr>
        <w:pStyle w:val="ListParagraph"/>
        <w:numPr>
          <w:ilvl w:val="0"/>
          <w:numId w:val="32"/>
        </w:numPr>
        <w:tabs>
          <w:tab w:pos="1141" w:val="left" w:leader="none"/>
        </w:tabs>
        <w:spacing w:line="237" w:lineRule="auto" w:before="121" w:after="0"/>
        <w:ind w:left="1134" w:right="812" w:hanging="357"/>
        <w:jc w:val="both"/>
        <w:rPr>
          <w:sz w:val="24"/>
        </w:rPr>
      </w:pPr>
      <w:r>
        <w:rPr>
          <w:sz w:val="24"/>
        </w:rPr>
        <w:t>Whether the Premises Standards will have an unjustifiable impact on any particular sector or group within a sector; and</w:t>
      </w:r>
    </w:p>
    <w:p>
      <w:pPr>
        <w:pStyle w:val="ListParagraph"/>
        <w:numPr>
          <w:ilvl w:val="0"/>
          <w:numId w:val="32"/>
        </w:numPr>
        <w:tabs>
          <w:tab w:pos="1141" w:val="left" w:leader="none"/>
        </w:tabs>
        <w:spacing w:line="240" w:lineRule="auto" w:before="121" w:after="0"/>
        <w:ind w:left="1140" w:right="0" w:hanging="364"/>
        <w:jc w:val="both"/>
        <w:rPr>
          <w:sz w:val="24"/>
        </w:rPr>
      </w:pPr>
      <w:r>
        <w:rPr>
          <w:sz w:val="24"/>
        </w:rPr>
        <w:t>Any related </w:t>
      </w:r>
      <w:r>
        <w:rPr>
          <w:spacing w:val="-2"/>
          <w:sz w:val="24"/>
        </w:rPr>
        <w:t>matters.</w:t>
      </w:r>
    </w:p>
    <w:p>
      <w:pPr>
        <w:pStyle w:val="BodyText"/>
        <w:spacing w:before="117"/>
        <w:ind w:left="420" w:right="811"/>
        <w:jc w:val="both"/>
      </w:pPr>
      <w:r>
        <w:rPr/>
        <w:t>The committee sought submissions from government, business and individuals, receiving a total of 146 and 12 supplementary. The outcomes are as reported in Access All Areas – Report of the Inquiry into Draft Disability (Access to Premises – Buildings) Standards. The Recommendations of the report can be found in Appendix E.</w:t>
      </w:r>
    </w:p>
    <w:p>
      <w:pPr>
        <w:pStyle w:val="BodyText"/>
        <w:rPr>
          <w:sz w:val="26"/>
        </w:rPr>
      </w:pPr>
    </w:p>
    <w:p>
      <w:pPr>
        <w:pStyle w:val="Heading2"/>
        <w:numPr>
          <w:ilvl w:val="1"/>
          <w:numId w:val="25"/>
        </w:numPr>
        <w:tabs>
          <w:tab w:pos="1140" w:val="left" w:leader="none"/>
          <w:tab w:pos="1141" w:val="left" w:leader="none"/>
          <w:tab w:pos="2993" w:val="left" w:leader="none"/>
          <w:tab w:pos="3506" w:val="left" w:leader="none"/>
          <w:tab w:pos="4940" w:val="left" w:leader="none"/>
          <w:tab w:pos="5455" w:val="left" w:leader="none"/>
          <w:tab w:pos="5862" w:val="left" w:leader="none"/>
          <w:tab w:pos="7357" w:val="left" w:leader="none"/>
        </w:tabs>
        <w:spacing w:line="240" w:lineRule="auto" w:before="219" w:after="0"/>
        <w:ind w:left="1139" w:right="813" w:hanging="720"/>
        <w:jc w:val="left"/>
      </w:pPr>
      <w:bookmarkStart w:name="9.2 Alternatives to adoption of a Premis" w:id="100"/>
      <w:bookmarkEnd w:id="100"/>
      <w:r>
        <w:rPr>
          <w:i/>
          <w:spacing w:val="-2"/>
        </w:rPr>
        <w:t>Alternatives</w:t>
      </w:r>
      <w:r>
        <w:rPr>
          <w:i/>
        </w:rPr>
        <w:tab/>
      </w:r>
      <w:r>
        <w:rPr>
          <w:i/>
          <w:spacing w:val="-6"/>
        </w:rPr>
        <w:t>to</w:t>
      </w:r>
      <w:r>
        <w:rPr>
          <w:i/>
        </w:rPr>
        <w:tab/>
      </w:r>
      <w:r>
        <w:rPr>
          <w:i/>
          <w:spacing w:val="-2"/>
        </w:rPr>
        <w:t>adoption</w:t>
      </w:r>
      <w:r>
        <w:rPr>
          <w:i/>
        </w:rPr>
        <w:tab/>
      </w:r>
      <w:r>
        <w:rPr>
          <w:i/>
          <w:spacing w:val="-6"/>
        </w:rPr>
        <w:t>of</w:t>
      </w:r>
      <w:r>
        <w:rPr>
          <w:i/>
        </w:rPr>
        <w:tab/>
      </w:r>
      <w:r>
        <w:rPr>
          <w:i/>
          <w:spacing w:val="-10"/>
        </w:rPr>
        <w:t>a</w:t>
      </w:r>
      <w:r>
        <w:rPr>
          <w:i/>
        </w:rPr>
        <w:tab/>
      </w:r>
      <w:r>
        <w:rPr>
          <w:i/>
          <w:spacing w:val="-2"/>
        </w:rPr>
        <w:t>Premises</w:t>
      </w:r>
      <w:r>
        <w:rPr>
          <w:i/>
        </w:rPr>
        <w:tab/>
      </w:r>
      <w:r>
        <w:rPr>
          <w:i/>
          <w:spacing w:val="-2"/>
        </w:rPr>
        <w:t>Standards</w:t>
      </w:r>
      <w:r>
        <w:rPr>
          <w:spacing w:val="-2"/>
        </w:rPr>
        <w:t> </w:t>
      </w:r>
      <w:r>
        <w:rPr/>
        <w:t>harmonised with the BCA</w:t>
      </w:r>
    </w:p>
    <w:p>
      <w:pPr>
        <w:pStyle w:val="BodyText"/>
        <w:spacing w:before="8"/>
        <w:rPr>
          <w:b/>
          <w:i/>
          <w:sz w:val="44"/>
        </w:rPr>
      </w:pPr>
    </w:p>
    <w:p>
      <w:pPr>
        <w:pStyle w:val="BodyText"/>
        <w:spacing w:before="1"/>
        <w:ind w:left="420" w:right="812"/>
        <w:jc w:val="both"/>
      </w:pPr>
      <w:r>
        <w:rPr/>
        <w:t>This section identifies and assesses two specific alternatives to the proposed Premises Standards, within the context of using a codification of the DDA to achieve improved access to premises for people with a disability:</w:t>
      </w:r>
    </w:p>
    <w:p>
      <w:pPr>
        <w:pStyle w:val="ListParagraph"/>
        <w:numPr>
          <w:ilvl w:val="2"/>
          <w:numId w:val="25"/>
        </w:numPr>
        <w:tabs>
          <w:tab w:pos="1141" w:val="left" w:leader="none"/>
        </w:tabs>
        <w:spacing w:line="237" w:lineRule="auto" w:before="123" w:after="0"/>
        <w:ind w:left="1140" w:right="815" w:hanging="360"/>
        <w:jc w:val="both"/>
        <w:rPr>
          <w:sz w:val="24"/>
        </w:rPr>
      </w:pPr>
      <w:r>
        <w:rPr>
          <w:sz w:val="24"/>
        </w:rPr>
        <w:t>adopt the Premises Standards under the DDA without modification of the BCA to achieve harmonisation; and</w:t>
      </w:r>
    </w:p>
    <w:p>
      <w:pPr>
        <w:spacing w:after="0" w:line="237" w:lineRule="auto"/>
        <w:jc w:val="both"/>
        <w:rPr>
          <w:sz w:val="24"/>
        </w:rPr>
        <w:sectPr>
          <w:pgSz w:w="11900" w:h="16840"/>
          <w:pgMar w:header="0" w:footer="1130" w:top="1000" w:bottom="1320" w:left="1380" w:right="980"/>
        </w:sectPr>
      </w:pPr>
    </w:p>
    <w:p>
      <w:pPr>
        <w:pStyle w:val="ListParagraph"/>
        <w:numPr>
          <w:ilvl w:val="2"/>
          <w:numId w:val="25"/>
        </w:numPr>
        <w:tabs>
          <w:tab w:pos="1139" w:val="left" w:leader="none"/>
          <w:tab w:pos="1141" w:val="left" w:leader="none"/>
        </w:tabs>
        <w:spacing w:line="240" w:lineRule="auto" w:before="76" w:after="0"/>
        <w:ind w:left="1139" w:right="813" w:hanging="360"/>
        <w:jc w:val="left"/>
        <w:rPr>
          <w:sz w:val="24"/>
        </w:rPr>
      </w:pPr>
      <w:r>
        <w:rPr>
          <w:sz w:val="24"/>
        </w:rPr>
        <w:t>adopt the Premises Standards as proposed, but without the proposed changes to the referencing of a revised version of AS 1428.1.</w:t>
      </w:r>
    </w:p>
    <w:p>
      <w:pPr>
        <w:pStyle w:val="BodyText"/>
        <w:spacing w:before="11"/>
        <w:rPr>
          <w:sz w:val="20"/>
        </w:rPr>
      </w:pPr>
    </w:p>
    <w:p>
      <w:pPr>
        <w:pStyle w:val="Heading3"/>
        <w:numPr>
          <w:ilvl w:val="2"/>
          <w:numId w:val="33"/>
        </w:numPr>
        <w:tabs>
          <w:tab w:pos="1141" w:val="left" w:leader="none"/>
        </w:tabs>
        <w:spacing w:line="240" w:lineRule="auto" w:before="0" w:after="0"/>
        <w:ind w:left="1140" w:right="811" w:hanging="720"/>
        <w:jc w:val="left"/>
      </w:pPr>
      <w:bookmarkStart w:name="9.2.1 Adoption of the Premises Standards" w:id="101"/>
      <w:bookmarkEnd w:id="101"/>
      <w:r>
        <w:rPr/>
        <w:t>Adoptio</w:t>
      </w:r>
      <w:r>
        <w:rPr/>
        <w:t>n of the Premises Standards without modification of the BCA</w:t>
      </w:r>
    </w:p>
    <w:p>
      <w:pPr>
        <w:pStyle w:val="BodyText"/>
        <w:spacing w:before="117"/>
        <w:ind w:left="419" w:right="811"/>
        <w:jc w:val="both"/>
      </w:pPr>
      <w:r>
        <w:rPr/>
        <w:t>The current regulatory proposal involves an explicit harmonisation of the requirements of the BCA and the DDA in respect of access to premises.</w:t>
      </w:r>
      <w:r>
        <w:rPr>
          <w:spacing w:val="40"/>
        </w:rPr>
        <w:t> </w:t>
      </w:r>
      <w:r>
        <w:rPr/>
        <w:t>A feasible alternative for consideration is that of adopting the modified Premises Standards under the DDA without amending the BCA to achieve this harmonisation between the DDA and the building legislative requirements. The expected benefits and costs of this alternative are as follows:</w:t>
      </w:r>
    </w:p>
    <w:p>
      <w:pPr>
        <w:pStyle w:val="BodyText"/>
        <w:rPr>
          <w:sz w:val="26"/>
        </w:rPr>
      </w:pPr>
    </w:p>
    <w:p>
      <w:pPr>
        <w:pStyle w:val="Heading5"/>
        <w:spacing w:line="275" w:lineRule="exact" w:before="218"/>
        <w:ind w:left="419"/>
        <w:rPr>
          <w:i/>
        </w:rPr>
      </w:pPr>
      <w:r>
        <w:rPr>
          <w:i/>
        </w:rPr>
        <w:t>Expected</w:t>
      </w:r>
      <w:r>
        <w:rPr>
          <w:i/>
          <w:spacing w:val="-3"/>
        </w:rPr>
        <w:t> </w:t>
      </w:r>
      <w:r>
        <w:rPr>
          <w:i/>
        </w:rPr>
        <w:t>benefits</w:t>
      </w:r>
      <w:r>
        <w:rPr>
          <w:i/>
          <w:spacing w:val="-2"/>
        </w:rPr>
        <w:t> </w:t>
      </w:r>
      <w:r>
        <w:rPr>
          <w:i/>
        </w:rPr>
        <w:t>of</w:t>
      </w:r>
      <w:r>
        <w:rPr>
          <w:i/>
          <w:spacing w:val="-2"/>
        </w:rPr>
        <w:t> </w:t>
      </w:r>
      <w:r>
        <w:rPr>
          <w:i/>
        </w:rPr>
        <w:t>the</w:t>
      </w:r>
      <w:r>
        <w:rPr>
          <w:i/>
          <w:spacing w:val="-2"/>
        </w:rPr>
        <w:t> alternative</w:t>
      </w:r>
    </w:p>
    <w:p>
      <w:pPr>
        <w:pStyle w:val="BodyText"/>
        <w:ind w:left="419" w:right="812"/>
        <w:jc w:val="both"/>
      </w:pPr>
      <w:r>
        <w:rPr/>
        <w:t>The harmonisation process involves a number of complexities and difficulties that would be avoided under this alternative.</w:t>
      </w:r>
      <w:r>
        <w:rPr>
          <w:spacing w:val="40"/>
        </w:rPr>
        <w:t> </w:t>
      </w:r>
      <w:r>
        <w:rPr/>
        <w:t>Firstly, the DDA is Commonwealth</w:t>
      </w:r>
      <w:r>
        <w:rPr>
          <w:spacing w:val="-2"/>
        </w:rPr>
        <w:t> </w:t>
      </w:r>
      <w:r>
        <w:rPr/>
        <w:t>legislation,</w:t>
      </w:r>
      <w:r>
        <w:rPr>
          <w:spacing w:val="-2"/>
        </w:rPr>
        <w:t> </w:t>
      </w:r>
      <w:r>
        <w:rPr/>
        <w:t>while</w:t>
      </w:r>
      <w:r>
        <w:rPr>
          <w:spacing w:val="-2"/>
        </w:rPr>
        <w:t> </w:t>
      </w:r>
      <w:r>
        <w:rPr/>
        <w:t>the</w:t>
      </w:r>
      <w:r>
        <w:rPr>
          <w:spacing w:val="-1"/>
        </w:rPr>
        <w:t> </w:t>
      </w:r>
      <w:r>
        <w:rPr/>
        <w:t>BCA</w:t>
      </w:r>
      <w:r>
        <w:rPr>
          <w:spacing w:val="-1"/>
        </w:rPr>
        <w:t> </w:t>
      </w:r>
      <w:r>
        <w:rPr/>
        <w:t>is,</w:t>
      </w:r>
      <w:r>
        <w:rPr>
          <w:spacing w:val="-2"/>
        </w:rPr>
        <w:t> </w:t>
      </w:r>
      <w:r>
        <w:rPr/>
        <w:t>in</w:t>
      </w:r>
      <w:r>
        <w:rPr>
          <w:spacing w:val="-2"/>
        </w:rPr>
        <w:t> </w:t>
      </w:r>
      <w:r>
        <w:rPr/>
        <w:t>practice,</w:t>
      </w:r>
      <w:r>
        <w:rPr>
          <w:spacing w:val="-2"/>
        </w:rPr>
        <w:t> </w:t>
      </w:r>
      <w:r>
        <w:rPr/>
        <w:t>State/Territory</w:t>
      </w:r>
      <w:r>
        <w:rPr>
          <w:spacing w:val="-2"/>
        </w:rPr>
        <w:t> </w:t>
      </w:r>
      <w:r>
        <w:rPr/>
        <w:t>based regulation.</w:t>
      </w:r>
      <w:r>
        <w:rPr>
          <w:spacing w:val="40"/>
        </w:rPr>
        <w:t> </w:t>
      </w:r>
      <w:r>
        <w:rPr/>
        <w:t>That is, responsibility for building control rests with State and Territory Governments, which have agreed to harmonise building regulatory requirements.</w:t>
      </w:r>
      <w:r>
        <w:rPr>
          <w:spacing w:val="40"/>
        </w:rPr>
        <w:t> </w:t>
      </w:r>
      <w:r>
        <w:rPr/>
        <w:t>Specifically, they have jointly agreed to adopt the BCA in State and Territory legislation as the basic document containing technical requirements for buildings.</w:t>
      </w:r>
      <w:r>
        <w:rPr>
          <w:spacing w:val="40"/>
        </w:rPr>
        <w:t> </w:t>
      </w:r>
      <w:r>
        <w:rPr/>
        <w:t>Thus, uniformity of technical requirements for buildings is achieved, subject to limited State/Territory-based variations and </w:t>
      </w:r>
      <w:r>
        <w:rPr>
          <w:spacing w:val="-2"/>
        </w:rPr>
        <w:t>additions.</w:t>
      </w:r>
    </w:p>
    <w:p>
      <w:pPr>
        <w:pStyle w:val="BodyText"/>
      </w:pPr>
    </w:p>
    <w:p>
      <w:pPr>
        <w:pStyle w:val="BodyText"/>
        <w:ind w:left="419" w:right="811"/>
        <w:jc w:val="both"/>
      </w:pPr>
      <w:r>
        <w:rPr/>
        <w:t>Changes</w:t>
      </w:r>
      <w:r>
        <w:rPr/>
        <w:t> to</w:t>
      </w:r>
      <w:r>
        <w:rPr/>
        <w:t> the</w:t>
      </w:r>
      <w:r>
        <w:rPr/>
        <w:t> BCA</w:t>
      </w:r>
      <w:r>
        <w:rPr/>
        <w:t> must</w:t>
      </w:r>
      <w:r>
        <w:rPr/>
        <w:t> therefore</w:t>
      </w:r>
      <w:r>
        <w:rPr/>
        <w:t> be</w:t>
      </w:r>
      <w:r>
        <w:rPr/>
        <w:t> agreed</w:t>
      </w:r>
      <w:r>
        <w:rPr/>
        <w:t> by</w:t>
      </w:r>
      <w:r>
        <w:rPr/>
        <w:t> the</w:t>
      </w:r>
      <w:r>
        <w:rPr/>
        <w:t> Building</w:t>
      </w:r>
      <w:r>
        <w:rPr/>
        <w:t> Codes Committee and the Board, both of which include representatives of the eight States and Territories.</w:t>
      </w:r>
      <w:r>
        <w:rPr>
          <w:spacing w:val="40"/>
        </w:rPr>
        <w:t> </w:t>
      </w:r>
      <w:r>
        <w:rPr/>
        <w:t>This means that any future changes to the Premises Standards would also need to be agreed by the eight States and Territories through</w:t>
      </w:r>
      <w:r>
        <w:rPr>
          <w:spacing w:val="-2"/>
        </w:rPr>
        <w:t> </w:t>
      </w:r>
      <w:r>
        <w:rPr/>
        <w:t>the</w:t>
      </w:r>
      <w:r>
        <w:rPr>
          <w:spacing w:val="-2"/>
        </w:rPr>
        <w:t> </w:t>
      </w:r>
      <w:r>
        <w:rPr/>
        <w:t>Committee</w:t>
      </w:r>
      <w:r>
        <w:rPr>
          <w:spacing w:val="-3"/>
        </w:rPr>
        <w:t> </w:t>
      </w:r>
      <w:r>
        <w:rPr/>
        <w:t>process.</w:t>
      </w:r>
      <w:r>
        <w:rPr>
          <w:spacing w:val="40"/>
        </w:rPr>
        <w:t> </w:t>
      </w:r>
      <w:r>
        <w:rPr/>
        <w:t>Failure</w:t>
      </w:r>
      <w:r>
        <w:rPr>
          <w:spacing w:val="-3"/>
        </w:rPr>
        <w:t> </w:t>
      </w:r>
      <w:r>
        <w:rPr/>
        <w:t>to</w:t>
      </w:r>
      <w:r>
        <w:rPr>
          <w:spacing w:val="-2"/>
        </w:rPr>
        <w:t> </w:t>
      </w:r>
      <w:r>
        <w:rPr/>
        <w:t>obtain</w:t>
      </w:r>
      <w:r>
        <w:rPr>
          <w:spacing w:val="-2"/>
        </w:rPr>
        <w:t> </w:t>
      </w:r>
      <w:r>
        <w:rPr/>
        <w:t>this</w:t>
      </w:r>
      <w:r>
        <w:rPr>
          <w:spacing w:val="-1"/>
        </w:rPr>
        <w:t> </w:t>
      </w:r>
      <w:r>
        <w:rPr/>
        <w:t>agreement</w:t>
      </w:r>
      <w:r>
        <w:rPr>
          <w:spacing w:val="-2"/>
        </w:rPr>
        <w:t> </w:t>
      </w:r>
      <w:r>
        <w:rPr/>
        <w:t>would</w:t>
      </w:r>
      <w:r>
        <w:rPr>
          <w:spacing w:val="-2"/>
        </w:rPr>
        <w:t> </w:t>
      </w:r>
      <w:r>
        <w:rPr/>
        <w:t>mean that the harmonisation between the BCA and the Premises Standards would be lost.</w:t>
      </w:r>
    </w:p>
    <w:p>
      <w:pPr>
        <w:pStyle w:val="BodyText"/>
        <w:spacing w:before="10"/>
        <w:rPr>
          <w:sz w:val="23"/>
        </w:rPr>
      </w:pPr>
    </w:p>
    <w:p>
      <w:pPr>
        <w:pStyle w:val="BodyText"/>
        <w:ind w:left="420" w:right="811"/>
        <w:jc w:val="both"/>
      </w:pPr>
      <w:r>
        <w:rPr/>
        <w:t>Following</w:t>
      </w:r>
      <w:r>
        <w:rPr>
          <w:spacing w:val="-2"/>
        </w:rPr>
        <w:t> </w:t>
      </w:r>
      <w:r>
        <w:rPr/>
        <w:t>from</w:t>
      </w:r>
      <w:r>
        <w:rPr>
          <w:spacing w:val="-2"/>
        </w:rPr>
        <w:t> </w:t>
      </w:r>
      <w:r>
        <w:rPr/>
        <w:t>this,</w:t>
      </w:r>
      <w:r>
        <w:rPr>
          <w:spacing w:val="-2"/>
        </w:rPr>
        <w:t> </w:t>
      </w:r>
      <w:r>
        <w:rPr/>
        <w:t>it</w:t>
      </w:r>
      <w:r>
        <w:rPr>
          <w:spacing w:val="-2"/>
        </w:rPr>
        <w:t> </w:t>
      </w:r>
      <w:r>
        <w:rPr/>
        <w:t>can</w:t>
      </w:r>
      <w:r>
        <w:rPr>
          <w:spacing w:val="-2"/>
        </w:rPr>
        <w:t> </w:t>
      </w:r>
      <w:r>
        <w:rPr/>
        <w:t>be</w:t>
      </w:r>
      <w:r>
        <w:rPr>
          <w:spacing w:val="-2"/>
        </w:rPr>
        <w:t> </w:t>
      </w:r>
      <w:r>
        <w:rPr/>
        <w:t>expected</w:t>
      </w:r>
      <w:r>
        <w:rPr>
          <w:spacing w:val="-1"/>
        </w:rPr>
        <w:t> </w:t>
      </w:r>
      <w:r>
        <w:rPr/>
        <w:t>that</w:t>
      </w:r>
      <w:r>
        <w:rPr>
          <w:spacing w:val="-2"/>
        </w:rPr>
        <w:t> </w:t>
      </w:r>
      <w:r>
        <w:rPr/>
        <w:t>the</w:t>
      </w:r>
      <w:r>
        <w:rPr>
          <w:spacing w:val="-2"/>
        </w:rPr>
        <w:t> </w:t>
      </w:r>
      <w:r>
        <w:rPr/>
        <w:t>proposed</w:t>
      </w:r>
      <w:r>
        <w:rPr>
          <w:spacing w:val="-2"/>
        </w:rPr>
        <w:t> </w:t>
      </w:r>
      <w:r>
        <w:rPr/>
        <w:t>harmonisation</w:t>
      </w:r>
      <w:r>
        <w:rPr>
          <w:spacing w:val="-2"/>
        </w:rPr>
        <w:t> </w:t>
      </w:r>
      <w:r>
        <w:rPr/>
        <w:t>would somewhat reduce the potential degree of responsiveness of the Premises Standards over time as circumstances change and the need to make amendments arise.</w:t>
      </w:r>
      <w:r>
        <w:rPr>
          <w:spacing w:val="40"/>
        </w:rPr>
        <w:t> </w:t>
      </w:r>
      <w:r>
        <w:rPr/>
        <w:t>This is a generic cost of regulatory harmonisation </w:t>
      </w:r>
      <w:r>
        <w:rPr>
          <w:spacing w:val="-2"/>
        </w:rPr>
        <w:t>processes.</w:t>
      </w:r>
    </w:p>
    <w:p>
      <w:pPr>
        <w:pStyle w:val="BodyText"/>
      </w:pPr>
    </w:p>
    <w:p>
      <w:pPr>
        <w:pStyle w:val="BodyText"/>
        <w:spacing w:before="1"/>
        <w:ind w:left="420" w:right="810"/>
        <w:jc w:val="both"/>
      </w:pPr>
      <w:r>
        <w:rPr/>
        <w:t>Thus, the alternative of developing and maintaining the Premises Standards</w:t>
      </w:r>
      <w:r>
        <w:rPr>
          <w:spacing w:val="40"/>
        </w:rPr>
        <w:t> </w:t>
      </w:r>
      <w:r>
        <w:rPr/>
        <w:t>in isolation from the BCA can be expected to yield greater regulatory flexibility and responsiveness and thus enhance the effectiveness of the Premises Standards in ensuring access to premises over time.</w:t>
      </w:r>
      <w:r>
        <w:rPr>
          <w:spacing w:val="40"/>
        </w:rPr>
        <w:t> </w:t>
      </w:r>
      <w:r>
        <w:rPr/>
        <w:t>As well, there would necessarily be resource savings, flowing from the fact that there would be no need to negotiate and agree on harmonised technical provisions and implementation and enforcement processes under this alternative.</w:t>
      </w:r>
      <w:r>
        <w:rPr>
          <w:spacing w:val="80"/>
        </w:rPr>
        <w:t> </w:t>
      </w:r>
      <w:r>
        <w:rPr/>
        <w:t>The size</w:t>
      </w:r>
      <w:r>
        <w:rPr>
          <w:spacing w:val="40"/>
        </w:rPr>
        <w:t> </w:t>
      </w:r>
      <w:r>
        <w:rPr/>
        <w:t>of this benefit in practice is necessarily difficult to estimate.</w:t>
      </w:r>
      <w:r>
        <w:rPr>
          <w:spacing w:val="40"/>
        </w:rPr>
        <w:t> </w:t>
      </w:r>
      <w:r>
        <w:rPr/>
        <w:t>It is likely that the Premises Standards would be amended relatively infrequently, although it is envisaged that it is to be reviewed at least five-yearly (see below).</w:t>
      </w:r>
      <w:r>
        <w:rPr>
          <w:spacing w:val="40"/>
        </w:rPr>
        <w:t> </w:t>
      </w:r>
      <w:r>
        <w:rPr/>
        <w:t>To the extent</w:t>
      </w:r>
      <w:r>
        <w:rPr>
          <w:spacing w:val="65"/>
        </w:rPr>
        <w:t> </w:t>
      </w:r>
      <w:r>
        <w:rPr/>
        <w:t>that</w:t>
      </w:r>
      <w:r>
        <w:rPr>
          <w:spacing w:val="65"/>
        </w:rPr>
        <w:t> </w:t>
      </w:r>
      <w:r>
        <w:rPr/>
        <w:t>this</w:t>
      </w:r>
      <w:r>
        <w:rPr>
          <w:spacing w:val="65"/>
        </w:rPr>
        <w:t> </w:t>
      </w:r>
      <w:r>
        <w:rPr/>
        <w:t>is</w:t>
      </w:r>
      <w:r>
        <w:rPr>
          <w:spacing w:val="65"/>
        </w:rPr>
        <w:t> </w:t>
      </w:r>
      <w:r>
        <w:rPr/>
        <w:t>so,</w:t>
      </w:r>
      <w:r>
        <w:rPr>
          <w:spacing w:val="65"/>
        </w:rPr>
        <w:t> </w:t>
      </w:r>
      <w:r>
        <w:rPr/>
        <w:t>any</w:t>
      </w:r>
      <w:r>
        <w:rPr>
          <w:spacing w:val="65"/>
        </w:rPr>
        <w:t> </w:t>
      </w:r>
      <w:r>
        <w:rPr/>
        <w:t>benefits</w:t>
      </w:r>
      <w:r>
        <w:rPr>
          <w:spacing w:val="64"/>
        </w:rPr>
        <w:t> </w:t>
      </w:r>
      <w:r>
        <w:rPr/>
        <w:t>from</w:t>
      </w:r>
      <w:r>
        <w:rPr>
          <w:spacing w:val="65"/>
        </w:rPr>
        <w:t> </w:t>
      </w:r>
      <w:r>
        <w:rPr/>
        <w:t>avoiding</w:t>
      </w:r>
      <w:r>
        <w:rPr>
          <w:spacing w:val="64"/>
        </w:rPr>
        <w:t> </w:t>
      </w:r>
      <w:r>
        <w:rPr/>
        <w:t>the</w:t>
      </w:r>
      <w:r>
        <w:rPr>
          <w:spacing w:val="65"/>
        </w:rPr>
        <w:t> </w:t>
      </w:r>
      <w:r>
        <w:rPr/>
        <w:t>need</w:t>
      </w:r>
      <w:r>
        <w:rPr>
          <w:spacing w:val="64"/>
        </w:rPr>
        <w:t> </w:t>
      </w:r>
      <w:r>
        <w:rPr/>
        <w:t>to</w:t>
      </w:r>
      <w:r>
        <w:rPr>
          <w:spacing w:val="65"/>
        </w:rPr>
        <w:t> </w:t>
      </w:r>
      <w:r>
        <w:rPr/>
        <w:t>revisit</w:t>
      </w:r>
      <w:r>
        <w:rPr>
          <w:spacing w:val="65"/>
        </w:rPr>
        <w:t> </w:t>
      </w:r>
      <w:r>
        <w:rPr/>
        <w:t>the</w:t>
      </w:r>
    </w:p>
    <w:p>
      <w:pPr>
        <w:spacing w:after="0"/>
        <w:jc w:val="both"/>
        <w:sectPr>
          <w:pgSz w:w="11900" w:h="16840"/>
          <w:pgMar w:header="0" w:footer="1130" w:top="1000" w:bottom="1320" w:left="1380" w:right="980"/>
        </w:sectPr>
      </w:pPr>
    </w:p>
    <w:p>
      <w:pPr>
        <w:pStyle w:val="BodyText"/>
        <w:spacing w:before="75"/>
        <w:ind w:left="419" w:right="813"/>
        <w:jc w:val="both"/>
      </w:pPr>
      <w:r>
        <w:rPr/>
        <w:t>harmonisation process will also occur infrequently.</w:t>
      </w:r>
      <w:r>
        <w:rPr>
          <w:spacing w:val="40"/>
        </w:rPr>
        <w:t> </w:t>
      </w:r>
      <w:r>
        <w:rPr/>
        <w:t>Thus, they may not loom particularly large in the longer-term sense.</w:t>
      </w:r>
    </w:p>
    <w:p>
      <w:pPr>
        <w:pStyle w:val="BodyText"/>
      </w:pPr>
    </w:p>
    <w:p>
      <w:pPr>
        <w:pStyle w:val="BodyText"/>
        <w:ind w:left="419" w:right="809"/>
        <w:jc w:val="both"/>
      </w:pPr>
      <w:r>
        <w:rPr/>
        <w:t>A second substantive benefit associated with this alternative relates to the scope of the Premises Standards.</w:t>
      </w:r>
      <w:r>
        <w:rPr>
          <w:spacing w:val="80"/>
        </w:rPr>
        <w:t> </w:t>
      </w:r>
      <w:r>
        <w:rPr/>
        <w:t>The BCA deals only with matters relating</w:t>
      </w:r>
      <w:r>
        <w:rPr>
          <w:spacing w:val="40"/>
        </w:rPr>
        <w:t> </w:t>
      </w:r>
      <w:r>
        <w:rPr/>
        <w:t>to building “fabric”, whereas the matters that could potentially be included in the Premises Standards are broader in scope.</w:t>
      </w:r>
      <w:r>
        <w:rPr>
          <w:spacing w:val="40"/>
        </w:rPr>
        <w:t> </w:t>
      </w:r>
      <w:r>
        <w:rPr/>
        <w:t>By implication, the effort to harmonise the BCA and the Premises Standards tends to work against the inclusion of these broader provisions in the Premises Standards.</w:t>
      </w:r>
      <w:r>
        <w:rPr>
          <w:spacing w:val="40"/>
        </w:rPr>
        <w:t> </w:t>
      </w:r>
      <w:r>
        <w:rPr/>
        <w:t>Thus, adoption of the alternative, with no harmonisation of the Premises Standards and the BCA, may provide greater scope for the inclusion of additional material in the Premises Standards that would more effectively codify the DDA’s general duties in relation to the provision of access and so improve the effective degree of access provided.</w:t>
      </w:r>
      <w:r>
        <w:rPr>
          <w:spacing w:val="40"/>
        </w:rPr>
        <w:t> </w:t>
      </w:r>
      <w:r>
        <w:rPr/>
        <w:t>There could also be efficiency gains in this regard, since there may be instances in which a “non-building solution” would constitute the most efficient and effective means of dealing with an access issue.</w:t>
      </w:r>
    </w:p>
    <w:p>
      <w:pPr>
        <w:pStyle w:val="BodyText"/>
        <w:spacing w:before="1"/>
      </w:pPr>
    </w:p>
    <w:p>
      <w:pPr>
        <w:pStyle w:val="BodyText"/>
        <w:ind w:left="419" w:right="812"/>
        <w:jc w:val="both"/>
      </w:pPr>
      <w:r>
        <w:rPr/>
        <w:t>It is not possible in the current context to provide any quantification of these expected benefits of the alternative.</w:t>
      </w:r>
      <w:r>
        <w:rPr>
          <w:spacing w:val="40"/>
        </w:rPr>
        <w:t> </w:t>
      </w:r>
      <w:r>
        <w:rPr/>
        <w:t>The size of the resource savings and potential</w:t>
      </w:r>
      <w:r>
        <w:rPr>
          <w:spacing w:val="-3"/>
        </w:rPr>
        <w:t> </w:t>
      </w:r>
      <w:r>
        <w:rPr/>
        <w:t>efficiency</w:t>
      </w:r>
      <w:r>
        <w:rPr>
          <w:spacing w:val="-3"/>
        </w:rPr>
        <w:t> </w:t>
      </w:r>
      <w:r>
        <w:rPr/>
        <w:t>gains</w:t>
      </w:r>
      <w:r>
        <w:rPr>
          <w:spacing w:val="-3"/>
        </w:rPr>
        <w:t> </w:t>
      </w:r>
      <w:r>
        <w:rPr/>
        <w:t>due</w:t>
      </w:r>
      <w:r>
        <w:rPr>
          <w:spacing w:val="-3"/>
        </w:rPr>
        <w:t> </w:t>
      </w:r>
      <w:r>
        <w:rPr/>
        <w:t>to</w:t>
      </w:r>
      <w:r>
        <w:rPr>
          <w:spacing w:val="-2"/>
        </w:rPr>
        <w:t> </w:t>
      </w:r>
      <w:r>
        <w:rPr/>
        <w:t>non-harmonisation</w:t>
      </w:r>
      <w:r>
        <w:rPr>
          <w:spacing w:val="-2"/>
        </w:rPr>
        <w:t> </w:t>
      </w:r>
      <w:r>
        <w:rPr/>
        <w:t>will</w:t>
      </w:r>
      <w:r>
        <w:rPr>
          <w:spacing w:val="-2"/>
        </w:rPr>
        <w:t> </w:t>
      </w:r>
      <w:r>
        <w:rPr/>
        <w:t>be</w:t>
      </w:r>
      <w:r>
        <w:rPr>
          <w:spacing w:val="-2"/>
        </w:rPr>
        <w:t> </w:t>
      </w:r>
      <w:r>
        <w:rPr/>
        <w:t>proportionate</w:t>
      </w:r>
      <w:r>
        <w:rPr>
          <w:spacing w:val="-3"/>
        </w:rPr>
        <w:t> </w:t>
      </w:r>
      <w:r>
        <w:rPr/>
        <w:t>to</w:t>
      </w:r>
      <w:r>
        <w:rPr>
          <w:spacing w:val="-3"/>
        </w:rPr>
        <w:t> </w:t>
      </w:r>
      <w:r>
        <w:rPr/>
        <w:t>the extent and frequency with which it is expected changes to the Premises Standards would be required over time.</w:t>
      </w:r>
      <w:r>
        <w:rPr>
          <w:spacing w:val="40"/>
        </w:rPr>
        <w:t> </w:t>
      </w:r>
      <w:r>
        <w:rPr/>
        <w:t>As noted above, there is reason to believe that these changes would be relatively infrequent, and so this benefit of the alternative would be relatively small.</w:t>
      </w:r>
    </w:p>
    <w:p>
      <w:pPr>
        <w:pStyle w:val="BodyText"/>
      </w:pPr>
    </w:p>
    <w:p>
      <w:pPr>
        <w:pStyle w:val="BodyText"/>
        <w:ind w:left="419" w:right="811"/>
        <w:jc w:val="both"/>
      </w:pPr>
      <w:r>
        <w:rPr/>
        <w:t>Similarly, the potential gain from the adoption of non-building solutions in the Standards must rest on judgements as to the scope for their use in practice and their desirability relative to possible building solutions.</w:t>
      </w:r>
    </w:p>
    <w:p>
      <w:pPr>
        <w:pStyle w:val="BodyText"/>
        <w:spacing w:before="1"/>
      </w:pPr>
    </w:p>
    <w:p>
      <w:pPr>
        <w:pStyle w:val="Heading5"/>
        <w:spacing w:line="275" w:lineRule="exact"/>
        <w:ind w:left="419"/>
        <w:rPr>
          <w:i/>
        </w:rPr>
      </w:pPr>
      <w:r>
        <w:rPr>
          <w:i/>
        </w:rPr>
        <w:t>Expected</w:t>
      </w:r>
      <w:r>
        <w:rPr>
          <w:i/>
          <w:spacing w:val="-4"/>
        </w:rPr>
        <w:t> </w:t>
      </w:r>
      <w:r>
        <w:rPr>
          <w:i/>
        </w:rPr>
        <w:t>costs</w:t>
      </w:r>
      <w:r>
        <w:rPr>
          <w:i/>
          <w:spacing w:val="-3"/>
        </w:rPr>
        <w:t> </w:t>
      </w:r>
      <w:r>
        <w:rPr>
          <w:i/>
        </w:rPr>
        <w:t>of</w:t>
      </w:r>
      <w:r>
        <w:rPr>
          <w:i/>
          <w:spacing w:val="-4"/>
        </w:rPr>
        <w:t> </w:t>
      </w:r>
      <w:r>
        <w:rPr>
          <w:i/>
        </w:rPr>
        <w:t>the</w:t>
      </w:r>
      <w:r>
        <w:rPr>
          <w:i/>
          <w:spacing w:val="-3"/>
        </w:rPr>
        <w:t> </w:t>
      </w:r>
      <w:r>
        <w:rPr>
          <w:i/>
          <w:spacing w:val="-2"/>
        </w:rPr>
        <w:t>alternative</w:t>
      </w:r>
    </w:p>
    <w:p>
      <w:pPr>
        <w:pStyle w:val="BodyText"/>
        <w:ind w:left="419" w:right="810"/>
        <w:jc w:val="both"/>
      </w:pPr>
      <w:r>
        <w:rPr/>
        <w:t>The main expected costs of the alternative relate to the potential loss of certainty involved in having different requirements under the BCA</w:t>
      </w:r>
      <w:r>
        <w:rPr/>
        <w:t> and</w:t>
      </w:r>
      <w:r>
        <w:rPr/>
        <w:t> the Premises</w:t>
      </w:r>
      <w:r>
        <w:rPr/>
        <w:t> Standards. The BCA</w:t>
      </w:r>
      <w:r>
        <w:rPr/>
        <w:t> is</w:t>
      </w:r>
      <w:r>
        <w:rPr/>
        <w:t> intended</w:t>
      </w:r>
      <w:r>
        <w:rPr/>
        <w:t> to</w:t>
      </w:r>
      <w:r>
        <w:rPr/>
        <w:t> constitute</w:t>
      </w:r>
      <w:r>
        <w:rPr/>
        <w:t> a</w:t>
      </w:r>
      <w:r>
        <w:rPr/>
        <w:t> single, comprehensive source of technical requirements in relation to buildings.</w:t>
      </w:r>
      <w:r>
        <w:rPr>
          <w:spacing w:val="40"/>
        </w:rPr>
        <w:t> </w:t>
      </w:r>
      <w:r>
        <w:rPr/>
        <w:t>This role would be compromised substantially to the extent that it differed from the requirements established in the Premises Standards.</w:t>
      </w:r>
      <w:r>
        <w:rPr>
          <w:spacing w:val="40"/>
        </w:rPr>
        <w:t> </w:t>
      </w:r>
      <w:r>
        <w:rPr/>
        <w:t>Thus, building owners and building designers could not be sure of being in full compliance with the law simply by ensuring that their designs and building conformed with the BCA.</w:t>
      </w:r>
      <w:r>
        <w:rPr>
          <w:spacing w:val="40"/>
        </w:rPr>
        <w:t> </w:t>
      </w:r>
      <w:r>
        <w:rPr/>
        <w:t>Instead, they would need to be cognisant of two separately developed pieces of legislation and would, potentially, have to reconcile quite different and possibly contradictory requirements.</w:t>
      </w:r>
    </w:p>
    <w:p>
      <w:pPr>
        <w:pStyle w:val="BodyText"/>
        <w:spacing w:before="10"/>
        <w:rPr>
          <w:sz w:val="23"/>
        </w:rPr>
      </w:pPr>
    </w:p>
    <w:p>
      <w:pPr>
        <w:pStyle w:val="BodyText"/>
        <w:ind w:left="419" w:right="812"/>
        <w:jc w:val="both"/>
      </w:pPr>
      <w:r>
        <w:rPr/>
        <w:t>To this extent, the alternative could be judged as failing to address a major objective of the Premises Standards, which is to provide certainty and consistency</w:t>
      </w:r>
      <w:r>
        <w:rPr>
          <w:spacing w:val="-4"/>
        </w:rPr>
        <w:t> </w:t>
      </w:r>
      <w:r>
        <w:rPr/>
        <w:t>for</w:t>
      </w:r>
      <w:r>
        <w:rPr>
          <w:spacing w:val="-4"/>
        </w:rPr>
        <w:t> </w:t>
      </w:r>
      <w:r>
        <w:rPr/>
        <w:t>affected</w:t>
      </w:r>
      <w:r>
        <w:rPr>
          <w:spacing w:val="-4"/>
        </w:rPr>
        <w:t> </w:t>
      </w:r>
      <w:r>
        <w:rPr/>
        <w:t>parties</w:t>
      </w:r>
      <w:r>
        <w:rPr>
          <w:spacing w:val="-4"/>
        </w:rPr>
        <w:t> </w:t>
      </w:r>
      <w:r>
        <w:rPr/>
        <w:t>regarding</w:t>
      </w:r>
      <w:r>
        <w:rPr>
          <w:spacing w:val="-4"/>
        </w:rPr>
        <w:t> </w:t>
      </w:r>
      <w:r>
        <w:rPr/>
        <w:t>compliance</w:t>
      </w:r>
      <w:r>
        <w:rPr>
          <w:spacing w:val="-4"/>
        </w:rPr>
        <w:t> </w:t>
      </w:r>
      <w:r>
        <w:rPr/>
        <w:t>with</w:t>
      </w:r>
      <w:r>
        <w:rPr>
          <w:spacing w:val="-4"/>
        </w:rPr>
        <w:t> </w:t>
      </w:r>
      <w:r>
        <w:rPr/>
        <w:t>the</w:t>
      </w:r>
      <w:r>
        <w:rPr>
          <w:spacing w:val="-4"/>
        </w:rPr>
        <w:t> </w:t>
      </w:r>
      <w:r>
        <w:rPr/>
        <w:t>requirements</w:t>
      </w:r>
      <w:r>
        <w:rPr>
          <w:spacing w:val="-4"/>
        </w:rPr>
        <w:t> </w:t>
      </w:r>
      <w:r>
        <w:rPr/>
        <w:t>of the DDA.</w:t>
      </w:r>
    </w:p>
    <w:p>
      <w:pPr>
        <w:pStyle w:val="BodyText"/>
      </w:pPr>
    </w:p>
    <w:p>
      <w:pPr>
        <w:pStyle w:val="BodyText"/>
        <w:ind w:left="419" w:right="814"/>
        <w:jc w:val="both"/>
      </w:pPr>
      <w:r>
        <w:rPr/>
        <w:t>The lack of certainty and of co-ordination implied by this alternative would be likely</w:t>
      </w:r>
      <w:r>
        <w:rPr>
          <w:spacing w:val="15"/>
        </w:rPr>
        <w:t> </w:t>
      </w:r>
      <w:r>
        <w:rPr/>
        <w:t>to</w:t>
      </w:r>
      <w:r>
        <w:rPr>
          <w:spacing w:val="17"/>
        </w:rPr>
        <w:t> </w:t>
      </w:r>
      <w:r>
        <w:rPr/>
        <w:t>have</w:t>
      </w:r>
      <w:r>
        <w:rPr>
          <w:spacing w:val="17"/>
        </w:rPr>
        <w:t> </w:t>
      </w:r>
      <w:r>
        <w:rPr/>
        <w:t>the</w:t>
      </w:r>
      <w:r>
        <w:rPr>
          <w:spacing w:val="17"/>
        </w:rPr>
        <w:t> </w:t>
      </w:r>
      <w:r>
        <w:rPr/>
        <w:t>effect</w:t>
      </w:r>
      <w:r>
        <w:rPr>
          <w:spacing w:val="17"/>
        </w:rPr>
        <w:t> </w:t>
      </w:r>
      <w:r>
        <w:rPr/>
        <w:t>that</w:t>
      </w:r>
      <w:r>
        <w:rPr>
          <w:spacing w:val="17"/>
        </w:rPr>
        <w:t> </w:t>
      </w:r>
      <w:r>
        <w:rPr/>
        <w:t>the</w:t>
      </w:r>
      <w:r>
        <w:rPr>
          <w:spacing w:val="17"/>
        </w:rPr>
        <w:t> </w:t>
      </w:r>
      <w:r>
        <w:rPr/>
        <w:t>actual</w:t>
      </w:r>
      <w:r>
        <w:rPr>
          <w:spacing w:val="18"/>
        </w:rPr>
        <w:t> </w:t>
      </w:r>
      <w:r>
        <w:rPr/>
        <w:t>level</w:t>
      </w:r>
      <w:r>
        <w:rPr>
          <w:spacing w:val="17"/>
        </w:rPr>
        <w:t> </w:t>
      </w:r>
      <w:r>
        <w:rPr/>
        <w:t>of</w:t>
      </w:r>
      <w:r>
        <w:rPr>
          <w:spacing w:val="17"/>
        </w:rPr>
        <w:t> </w:t>
      </w:r>
      <w:r>
        <w:rPr/>
        <w:t>compliance</w:t>
      </w:r>
      <w:r>
        <w:rPr>
          <w:spacing w:val="17"/>
        </w:rPr>
        <w:t> </w:t>
      </w:r>
      <w:r>
        <w:rPr/>
        <w:t>achieved</w:t>
      </w:r>
      <w:r>
        <w:rPr>
          <w:spacing w:val="17"/>
        </w:rPr>
        <w:t> </w:t>
      </w:r>
      <w:r>
        <w:rPr/>
        <w:t>with</w:t>
      </w:r>
      <w:r>
        <w:rPr>
          <w:spacing w:val="17"/>
        </w:rPr>
        <w:t> </w:t>
      </w:r>
      <w:r>
        <w:rPr>
          <w:spacing w:val="-5"/>
        </w:rPr>
        <w:t>the</w:t>
      </w:r>
    </w:p>
    <w:p>
      <w:pPr>
        <w:spacing w:after="0"/>
        <w:jc w:val="both"/>
        <w:sectPr>
          <w:pgSz w:w="11900" w:h="16840"/>
          <w:pgMar w:header="0" w:footer="1130" w:top="1000" w:bottom="1320" w:left="1380" w:right="980"/>
        </w:sectPr>
      </w:pPr>
    </w:p>
    <w:p>
      <w:pPr>
        <w:pStyle w:val="BodyText"/>
        <w:spacing w:before="75"/>
        <w:ind w:left="420" w:right="810"/>
        <w:jc w:val="both"/>
      </w:pPr>
      <w:r>
        <w:rPr/>
        <w:t>underlying DDA duties would be lower under this alternative than would be achieved under the proposed approach.</w:t>
      </w:r>
    </w:p>
    <w:p>
      <w:pPr>
        <w:pStyle w:val="BodyText"/>
      </w:pPr>
    </w:p>
    <w:p>
      <w:pPr>
        <w:pStyle w:val="BodyText"/>
        <w:ind w:left="420" w:right="811"/>
        <w:jc w:val="both"/>
      </w:pPr>
      <w:r>
        <w:rPr/>
        <w:t>The problems of uncertainty do not relate only to building owners and building designers.</w:t>
      </w:r>
      <w:r>
        <w:rPr>
          <w:spacing w:val="40"/>
        </w:rPr>
        <w:t> </w:t>
      </w:r>
      <w:r>
        <w:rPr/>
        <w:t>People with a disability would also be less certain as to the standards of access they would encounter in buildings as a result of the</w:t>
      </w:r>
      <w:r>
        <w:rPr>
          <w:spacing w:val="40"/>
        </w:rPr>
        <w:t> </w:t>
      </w:r>
      <w:r>
        <w:rPr/>
        <w:t>above factors.</w:t>
      </w:r>
    </w:p>
    <w:p>
      <w:pPr>
        <w:pStyle w:val="BodyText"/>
      </w:pPr>
    </w:p>
    <w:p>
      <w:pPr>
        <w:pStyle w:val="BodyText"/>
        <w:spacing w:before="1"/>
        <w:ind w:left="419" w:right="810"/>
        <w:jc w:val="both"/>
      </w:pPr>
      <w:r>
        <w:rPr/>
        <w:t>Finally, it can be expected that there would be a reduced level of compliance under this alternative, because the Premises Standards would not be subject to the existing building regulatory enforcement system.</w:t>
      </w:r>
      <w:r>
        <w:rPr>
          <w:spacing w:val="40"/>
        </w:rPr>
        <w:t> </w:t>
      </w:r>
      <w:r>
        <w:rPr/>
        <w:t>Non-compliance with the Premises Standards under this scenario would, instead, continue to be responded</w:t>
      </w:r>
      <w:r>
        <w:rPr>
          <w:spacing w:val="-3"/>
        </w:rPr>
        <w:t> </w:t>
      </w:r>
      <w:r>
        <w:rPr/>
        <w:t>to</w:t>
      </w:r>
      <w:r>
        <w:rPr>
          <w:spacing w:val="-3"/>
        </w:rPr>
        <w:t> </w:t>
      </w:r>
      <w:r>
        <w:rPr/>
        <w:t>via</w:t>
      </w:r>
      <w:r>
        <w:rPr>
          <w:spacing w:val="-3"/>
        </w:rPr>
        <w:t> </w:t>
      </w:r>
      <w:r>
        <w:rPr/>
        <w:t>the</w:t>
      </w:r>
      <w:r>
        <w:rPr>
          <w:spacing w:val="-3"/>
        </w:rPr>
        <w:t> </w:t>
      </w:r>
      <w:r>
        <w:rPr/>
        <w:t>existing</w:t>
      </w:r>
      <w:r>
        <w:rPr>
          <w:spacing w:val="-3"/>
        </w:rPr>
        <w:t> </w:t>
      </w:r>
      <w:r>
        <w:rPr/>
        <w:t>complaint</w:t>
      </w:r>
      <w:r>
        <w:rPr>
          <w:spacing w:val="-3"/>
        </w:rPr>
        <w:t> </w:t>
      </w:r>
      <w:r>
        <w:rPr/>
        <w:t>mechanisms</w:t>
      </w:r>
      <w:r>
        <w:rPr>
          <w:spacing w:val="-3"/>
        </w:rPr>
        <w:t> </w:t>
      </w:r>
      <w:r>
        <w:rPr/>
        <w:t>available</w:t>
      </w:r>
      <w:r>
        <w:rPr>
          <w:spacing w:val="-3"/>
        </w:rPr>
        <w:t> </w:t>
      </w:r>
      <w:r>
        <w:rPr/>
        <w:t>under</w:t>
      </w:r>
      <w:r>
        <w:rPr>
          <w:spacing w:val="-3"/>
        </w:rPr>
        <w:t> </w:t>
      </w:r>
      <w:r>
        <w:rPr/>
        <w:t>the</w:t>
      </w:r>
      <w:r>
        <w:rPr>
          <w:spacing w:val="-3"/>
        </w:rPr>
        <w:t> </w:t>
      </w:r>
      <w:r>
        <w:rPr/>
        <w:t>DDA.</w:t>
      </w:r>
    </w:p>
    <w:p>
      <w:pPr>
        <w:pStyle w:val="BodyText"/>
        <w:spacing w:before="1"/>
        <w:rPr>
          <w:sz w:val="21"/>
        </w:rPr>
      </w:pPr>
    </w:p>
    <w:p>
      <w:pPr>
        <w:pStyle w:val="Heading3"/>
        <w:numPr>
          <w:ilvl w:val="2"/>
          <w:numId w:val="33"/>
        </w:numPr>
        <w:tabs>
          <w:tab w:pos="1141" w:val="left" w:leader="none"/>
        </w:tabs>
        <w:spacing w:line="240" w:lineRule="auto" w:before="0" w:after="0"/>
        <w:ind w:left="1140" w:right="811" w:hanging="720"/>
        <w:jc w:val="both"/>
      </w:pPr>
      <w:bookmarkStart w:name="9.2.2 Adopting the Premises Standards wi" w:id="102"/>
      <w:bookmarkEnd w:id="102"/>
      <w:r>
        <w:rPr/>
        <w:t>Adoptin</w:t>
      </w:r>
      <w:r>
        <w:rPr/>
        <w:t>g the Premises Standards with equivalent BCA amendment, but without changing the referencing of AS </w:t>
      </w:r>
      <w:r>
        <w:rPr>
          <w:spacing w:val="-2"/>
        </w:rPr>
        <w:t>1428.1-2001.</w:t>
      </w:r>
    </w:p>
    <w:p>
      <w:pPr>
        <w:pStyle w:val="BodyText"/>
        <w:spacing w:before="57"/>
        <w:ind w:left="420" w:right="812"/>
        <w:jc w:val="both"/>
      </w:pPr>
      <w:r>
        <w:rPr/>
        <w:t>A second potential alternative would involve adopting the proposed approach to harmonising the Premises Standards and BCA, but doing so without changing the current referencing of AS 1428.1.</w:t>
      </w:r>
    </w:p>
    <w:p>
      <w:pPr>
        <w:pStyle w:val="BodyText"/>
      </w:pPr>
    </w:p>
    <w:p>
      <w:pPr>
        <w:pStyle w:val="BodyText"/>
        <w:ind w:left="420" w:right="811"/>
        <w:jc w:val="both"/>
      </w:pPr>
      <w:r>
        <w:rPr/>
        <w:t>The current BCA</w:t>
      </w:r>
      <w:r>
        <w:rPr/>
        <w:t> references</w:t>
      </w:r>
      <w:r>
        <w:rPr/>
        <w:t> the</w:t>
      </w:r>
      <w:r>
        <w:rPr/>
        <w:t> 2001 edition of Australian Standard AS 1428.1.</w:t>
      </w:r>
      <w:r>
        <w:rPr>
          <w:spacing w:val="40"/>
        </w:rPr>
        <w:t> </w:t>
      </w:r>
      <w:r>
        <w:rPr/>
        <w:t>The spatial dimensions in the standard are based on 80</w:t>
      </w:r>
      <w:r>
        <w:rPr>
          <w:vertAlign w:val="superscript"/>
        </w:rPr>
        <w:t>th</w:t>
      </w:r>
      <w:r>
        <w:rPr>
          <w:vertAlign w:val="baseline"/>
        </w:rPr>
        <w:t> percentile dimensions for wheelchairs.</w:t>
      </w:r>
      <w:r>
        <w:rPr>
          <w:spacing w:val="40"/>
          <w:vertAlign w:val="baseline"/>
        </w:rPr>
        <w:t> </w:t>
      </w:r>
      <w:r>
        <w:rPr>
          <w:vertAlign w:val="baseline"/>
        </w:rPr>
        <w:t>That is, it sets out accessibility provisions based on the 80</w:t>
      </w:r>
      <w:r>
        <w:rPr>
          <w:vertAlign w:val="superscript"/>
        </w:rPr>
        <w:t>th</w:t>
      </w:r>
      <w:r>
        <w:rPr>
          <w:vertAlign w:val="baseline"/>
        </w:rPr>
        <w:t> percentile wheelchair dimensions.</w:t>
      </w:r>
    </w:p>
    <w:p>
      <w:pPr>
        <w:pStyle w:val="BodyText"/>
      </w:pPr>
    </w:p>
    <w:p>
      <w:pPr>
        <w:pStyle w:val="BodyText"/>
        <w:ind w:left="419" w:right="811"/>
        <w:jc w:val="both"/>
      </w:pPr>
      <w:r>
        <w:rPr/>
        <w:t>By contrast, the proposed Premises Standards and amended BCA would adopt the 90th percentile dimensions in key areas (specifically unisex accessible sanitary facilities, doorways and associated circulation spaces and on accessways at locations where there is a turn of more than 60 degrees) while retaining the 80th percentile dimensions in the remaining areas.</w:t>
      </w:r>
    </w:p>
    <w:p>
      <w:pPr>
        <w:pStyle w:val="BodyText"/>
      </w:pPr>
    </w:p>
    <w:p>
      <w:pPr>
        <w:pStyle w:val="BodyText"/>
        <w:ind w:left="419" w:right="812"/>
        <w:jc w:val="both"/>
      </w:pPr>
      <w:r>
        <w:rPr/>
        <w:t>This approach has been adopted in order to improve the effective degree of access provided in the most cost effective manner possible.</w:t>
      </w:r>
      <w:r>
        <w:rPr>
          <w:spacing w:val="80"/>
        </w:rPr>
        <w:t> </w:t>
      </w:r>
      <w:r>
        <w:rPr/>
        <w:t>It is for this reason that the original proposal, to adopt the 90th percentile dimensions in</w:t>
      </w:r>
      <w:r>
        <w:rPr>
          <w:spacing w:val="40"/>
        </w:rPr>
        <w:t> </w:t>
      </w:r>
      <w:r>
        <w:rPr/>
        <w:t>all areas, has been modified.</w:t>
      </w:r>
      <w:r>
        <w:rPr>
          <w:spacing w:val="40"/>
        </w:rPr>
        <w:t> </w:t>
      </w:r>
      <w:r>
        <w:rPr/>
        <w:t>Given this change to the Premises Standards proposal there is now only a limited difference between the proposed Standards and this alternative.</w:t>
      </w:r>
    </w:p>
    <w:p>
      <w:pPr>
        <w:pStyle w:val="BodyText"/>
        <w:spacing w:before="1"/>
      </w:pPr>
    </w:p>
    <w:p>
      <w:pPr>
        <w:pStyle w:val="Heading5"/>
        <w:spacing w:line="275" w:lineRule="exact"/>
        <w:ind w:left="419"/>
        <w:rPr>
          <w:i/>
        </w:rPr>
      </w:pPr>
      <w:r>
        <w:rPr>
          <w:i/>
        </w:rPr>
        <w:t>Expected</w:t>
      </w:r>
      <w:r>
        <w:rPr>
          <w:i/>
          <w:spacing w:val="-4"/>
        </w:rPr>
        <w:t> </w:t>
      </w:r>
      <w:r>
        <w:rPr>
          <w:i/>
        </w:rPr>
        <w:t>benefits</w:t>
      </w:r>
      <w:r>
        <w:rPr>
          <w:i/>
          <w:spacing w:val="-4"/>
        </w:rPr>
        <w:t> </w:t>
      </w:r>
      <w:r>
        <w:rPr>
          <w:i/>
        </w:rPr>
        <w:t>and</w:t>
      </w:r>
      <w:r>
        <w:rPr>
          <w:i/>
          <w:spacing w:val="-4"/>
        </w:rPr>
        <w:t> </w:t>
      </w:r>
      <w:r>
        <w:rPr>
          <w:i/>
        </w:rPr>
        <w:t>costs</w:t>
      </w:r>
      <w:r>
        <w:rPr>
          <w:i/>
          <w:spacing w:val="-4"/>
        </w:rPr>
        <w:t> </w:t>
      </w:r>
      <w:r>
        <w:rPr>
          <w:i/>
        </w:rPr>
        <w:t>of</w:t>
      </w:r>
      <w:r>
        <w:rPr>
          <w:i/>
          <w:spacing w:val="-4"/>
        </w:rPr>
        <w:t> </w:t>
      </w:r>
      <w:r>
        <w:rPr>
          <w:i/>
        </w:rPr>
        <w:t>the</w:t>
      </w:r>
      <w:r>
        <w:rPr>
          <w:i/>
          <w:spacing w:val="-3"/>
        </w:rPr>
        <w:t> </w:t>
      </w:r>
      <w:r>
        <w:rPr>
          <w:i/>
          <w:spacing w:val="-2"/>
        </w:rPr>
        <w:t>alternative</w:t>
      </w:r>
    </w:p>
    <w:p>
      <w:pPr>
        <w:pStyle w:val="BodyText"/>
        <w:ind w:left="419" w:right="811"/>
        <w:jc w:val="both"/>
      </w:pPr>
      <w:r>
        <w:rPr/>
        <w:t>The main benefit of the alternative is that the costs that would be involved in adopting the 90</w:t>
      </w:r>
      <w:r>
        <w:rPr>
          <w:vertAlign w:val="superscript"/>
        </w:rPr>
        <w:t>th</w:t>
      </w:r>
      <w:r>
        <w:rPr>
          <w:vertAlign w:val="baseline"/>
        </w:rPr>
        <w:t> percentile dimensions in relation to new buildings and alterations to existing buildings would be avoided.</w:t>
      </w:r>
      <w:r>
        <w:rPr>
          <w:spacing w:val="40"/>
          <w:vertAlign w:val="baseline"/>
        </w:rPr>
        <w:t> </w:t>
      </w:r>
      <w:r>
        <w:rPr>
          <w:vertAlign w:val="baseline"/>
        </w:rPr>
        <w:t>By contrast, the main cost of the alternative is that users of larger wheelchairs (i.e. those with</w:t>
      </w:r>
      <w:r>
        <w:rPr>
          <w:spacing w:val="40"/>
          <w:vertAlign w:val="baseline"/>
        </w:rPr>
        <w:t> </w:t>
      </w:r>
      <w:r>
        <w:rPr>
          <w:vertAlign w:val="baseline"/>
        </w:rPr>
        <w:t>dimensions between the 80</w:t>
      </w:r>
      <w:r>
        <w:rPr>
          <w:vertAlign w:val="superscript"/>
        </w:rPr>
        <w:t>th</w:t>
      </w:r>
      <w:r>
        <w:rPr>
          <w:vertAlign w:val="baseline"/>
        </w:rPr>
        <w:t> and 90</w:t>
      </w:r>
      <w:r>
        <w:rPr>
          <w:vertAlign w:val="superscript"/>
        </w:rPr>
        <w:t>th</w:t>
      </w:r>
      <w:r>
        <w:rPr>
          <w:vertAlign w:val="baseline"/>
        </w:rPr>
        <w:t> percentiles) would not achieve the degree of enhanced access to premises that adoption of the 90</w:t>
      </w:r>
      <w:r>
        <w:rPr>
          <w:vertAlign w:val="superscript"/>
        </w:rPr>
        <w:t>th</w:t>
      </w:r>
      <w:r>
        <w:rPr>
          <w:vertAlign w:val="baseline"/>
        </w:rPr>
        <w:t> percentile dimensions in key areas of the building would allow.</w:t>
      </w:r>
    </w:p>
    <w:p>
      <w:pPr>
        <w:pStyle w:val="BodyText"/>
      </w:pPr>
    </w:p>
    <w:p>
      <w:pPr>
        <w:pStyle w:val="BodyText"/>
        <w:ind w:left="420" w:right="810"/>
        <w:jc w:val="both"/>
      </w:pPr>
      <w:r>
        <w:rPr/>
        <w:t>The only substantive cost item identified in respect of the adoption of the proposed revised edition of the Australian Standard was the additional space requirement</w:t>
      </w:r>
      <w:r>
        <w:rPr>
          <w:spacing w:val="35"/>
        </w:rPr>
        <w:t> </w:t>
      </w:r>
      <w:r>
        <w:rPr/>
        <w:t>involved</w:t>
      </w:r>
      <w:r>
        <w:rPr>
          <w:spacing w:val="35"/>
        </w:rPr>
        <w:t> </w:t>
      </w:r>
      <w:r>
        <w:rPr/>
        <w:t>in</w:t>
      </w:r>
      <w:r>
        <w:rPr>
          <w:spacing w:val="35"/>
        </w:rPr>
        <w:t> </w:t>
      </w:r>
      <w:r>
        <w:rPr/>
        <w:t>adopting</w:t>
      </w:r>
      <w:r>
        <w:rPr>
          <w:spacing w:val="35"/>
        </w:rPr>
        <w:t> </w:t>
      </w:r>
      <w:r>
        <w:rPr/>
        <w:t>the</w:t>
      </w:r>
      <w:r>
        <w:rPr>
          <w:spacing w:val="35"/>
        </w:rPr>
        <w:t> </w:t>
      </w:r>
      <w:r>
        <w:rPr/>
        <w:t>90</w:t>
      </w:r>
      <w:r>
        <w:rPr>
          <w:vertAlign w:val="superscript"/>
        </w:rPr>
        <w:t>th</w:t>
      </w:r>
      <w:r>
        <w:rPr>
          <w:spacing w:val="36"/>
          <w:vertAlign w:val="baseline"/>
        </w:rPr>
        <w:t> </w:t>
      </w:r>
      <w:r>
        <w:rPr>
          <w:vertAlign w:val="baseline"/>
        </w:rPr>
        <w:t>percentile</w:t>
      </w:r>
      <w:r>
        <w:rPr>
          <w:spacing w:val="35"/>
          <w:vertAlign w:val="baseline"/>
        </w:rPr>
        <w:t> </w:t>
      </w:r>
      <w:r>
        <w:rPr>
          <w:vertAlign w:val="baseline"/>
        </w:rPr>
        <w:t>dimensions.</w:t>
      </w:r>
      <w:r>
        <w:rPr>
          <w:spacing w:val="36"/>
          <w:vertAlign w:val="baseline"/>
        </w:rPr>
        <w:t>  </w:t>
      </w:r>
      <w:r>
        <w:rPr>
          <w:vertAlign w:val="baseline"/>
        </w:rPr>
        <w:t>Thus,</w:t>
      </w:r>
      <w:r>
        <w:rPr>
          <w:spacing w:val="35"/>
          <w:vertAlign w:val="baseline"/>
        </w:rPr>
        <w:t> </w:t>
      </w:r>
      <w:r>
        <w:rPr>
          <w:spacing w:val="-5"/>
          <w:vertAlign w:val="baseline"/>
        </w:rPr>
        <w:t>the</w:t>
      </w:r>
    </w:p>
    <w:p>
      <w:pPr>
        <w:spacing w:after="0"/>
        <w:jc w:val="both"/>
        <w:sectPr>
          <w:pgSz w:w="11900" w:h="16840"/>
          <w:pgMar w:header="0" w:footer="1130" w:top="1000" w:bottom="1320" w:left="1380" w:right="980"/>
        </w:sectPr>
      </w:pPr>
    </w:p>
    <w:p>
      <w:pPr>
        <w:pStyle w:val="BodyText"/>
        <w:spacing w:before="75"/>
        <w:ind w:left="420" w:right="812"/>
        <w:jc w:val="both"/>
      </w:pPr>
      <w:r>
        <w:rPr/>
        <w:t>benefit of not adopting this edition of the Standard arises from cost savings in this area.</w:t>
      </w:r>
    </w:p>
    <w:p>
      <w:pPr>
        <w:pStyle w:val="BodyText"/>
      </w:pPr>
    </w:p>
    <w:p>
      <w:pPr>
        <w:pStyle w:val="BodyText"/>
        <w:ind w:left="420" w:right="809"/>
        <w:jc w:val="both"/>
      </w:pPr>
      <w:r>
        <w:rPr/>
        <w:t>Review of the costings of the case study buildings (see matrix at Appendix C) completed on the basis of the initial Premises Standards proposal indicates that the expected cost of implementing the proposed revised edition of AS 1428.1</w:t>
      </w:r>
      <w:r>
        <w:rPr>
          <w:spacing w:val="-1"/>
        </w:rPr>
        <w:t> </w:t>
      </w:r>
      <w:r>
        <w:rPr/>
        <w:t>in</w:t>
      </w:r>
      <w:r>
        <w:rPr>
          <w:spacing w:val="-1"/>
        </w:rPr>
        <w:t> </w:t>
      </w:r>
      <w:r>
        <w:rPr/>
        <w:t>respect</w:t>
      </w:r>
      <w:r>
        <w:rPr>
          <w:spacing w:val="-1"/>
        </w:rPr>
        <w:t> </w:t>
      </w:r>
      <w:r>
        <w:rPr/>
        <w:t>of</w:t>
      </w:r>
      <w:r>
        <w:rPr>
          <w:spacing w:val="-1"/>
        </w:rPr>
        <w:t> </w:t>
      </w:r>
      <w:r>
        <w:rPr/>
        <w:t>new</w:t>
      </w:r>
      <w:r>
        <w:rPr>
          <w:spacing w:val="-1"/>
        </w:rPr>
        <w:t> </w:t>
      </w:r>
      <w:r>
        <w:rPr/>
        <w:t>buildings</w:t>
      </w:r>
      <w:r>
        <w:rPr>
          <w:spacing w:val="-1"/>
        </w:rPr>
        <w:t> </w:t>
      </w:r>
      <w:r>
        <w:rPr/>
        <w:t>varied</w:t>
      </w:r>
      <w:r>
        <w:rPr>
          <w:spacing w:val="-1"/>
        </w:rPr>
        <w:t> </w:t>
      </w:r>
      <w:r>
        <w:rPr/>
        <w:t>from</w:t>
      </w:r>
      <w:r>
        <w:rPr>
          <w:spacing w:val="-1"/>
        </w:rPr>
        <w:t> </w:t>
      </w:r>
      <w:r>
        <w:rPr/>
        <w:t>a</w:t>
      </w:r>
      <w:r>
        <w:rPr>
          <w:spacing w:val="-1"/>
        </w:rPr>
        <w:t> </w:t>
      </w:r>
      <w:r>
        <w:rPr/>
        <w:t>minimum</w:t>
      </w:r>
      <w:r>
        <w:rPr>
          <w:spacing w:val="-1"/>
        </w:rPr>
        <w:t> </w:t>
      </w:r>
      <w:r>
        <w:rPr/>
        <w:t>of</w:t>
      </w:r>
      <w:r>
        <w:rPr>
          <w:spacing w:val="-1"/>
        </w:rPr>
        <w:t> </w:t>
      </w:r>
      <w:r>
        <w:rPr/>
        <w:t>$1,500,</w:t>
      </w:r>
      <w:r>
        <w:rPr>
          <w:spacing w:val="-1"/>
        </w:rPr>
        <w:t> </w:t>
      </w:r>
      <w:r>
        <w:rPr/>
        <w:t>for</w:t>
      </w:r>
      <w:r>
        <w:rPr>
          <w:spacing w:val="-1"/>
        </w:rPr>
        <w:t> </w:t>
      </w:r>
      <w:r>
        <w:rPr/>
        <w:t>a</w:t>
      </w:r>
      <w:r>
        <w:rPr>
          <w:spacing w:val="-1"/>
        </w:rPr>
        <w:t> </w:t>
      </w:r>
      <w:r>
        <w:rPr/>
        <w:t>500 seat theatre, a single storey community hall or single storey holiday accommodation, to a maximum of $45,000 for a 350 room hotel. In percentage terms, this was equal to a maximum of 1.0% of costs for the</w:t>
      </w:r>
      <w:r>
        <w:rPr>
          <w:spacing w:val="80"/>
        </w:rPr>
        <w:t> </w:t>
      </w:r>
      <w:r>
        <w:rPr/>
        <w:t>single storey holiday accommodation, and a minimum of 0.04% for a 350</w:t>
      </w:r>
      <w:r>
        <w:rPr>
          <w:spacing w:val="40"/>
        </w:rPr>
        <w:t> </w:t>
      </w:r>
      <w:r>
        <w:rPr/>
        <w:t>room hotel.</w:t>
      </w:r>
      <w:r>
        <w:rPr>
          <w:spacing w:val="40"/>
        </w:rPr>
        <w:t> </w:t>
      </w:r>
      <w:r>
        <w:rPr/>
        <w:t>No equivalent calculations were possible in respect of building </w:t>
      </w:r>
      <w:r>
        <w:rPr>
          <w:spacing w:val="-2"/>
        </w:rPr>
        <w:t>upgrades.</w:t>
      </w:r>
    </w:p>
    <w:p>
      <w:pPr>
        <w:pStyle w:val="BodyText"/>
        <w:spacing w:before="1"/>
      </w:pPr>
    </w:p>
    <w:p>
      <w:pPr>
        <w:pStyle w:val="BodyText"/>
        <w:ind w:left="420" w:right="811"/>
        <w:jc w:val="both"/>
      </w:pPr>
      <w:r>
        <w:rPr/>
        <w:t>No detailed estimation of the aggregate costs of the adoption of the proposed revised AS 1428.1 was able to be undertaken.</w:t>
      </w:r>
      <w:r>
        <w:rPr>
          <w:spacing w:val="40"/>
        </w:rPr>
        <w:t> </w:t>
      </w:r>
      <w:r>
        <w:rPr/>
        <w:t>However, review of the above indicative costs in relation to the total costs of implementing the Premises Standards suggests that, overall, continuing to use AS 1428.1 (2001) would have reduced the costs associated with the initially proposed Premises Standards/BCA changes by around 3 – 4%.</w:t>
      </w:r>
      <w:r>
        <w:rPr>
          <w:spacing w:val="40"/>
        </w:rPr>
        <w:t> </w:t>
      </w:r>
      <w:r>
        <w:rPr/>
        <w:t>Given the uncertainties noted in relation</w:t>
      </w:r>
      <w:r>
        <w:rPr>
          <w:spacing w:val="80"/>
          <w:w w:val="150"/>
        </w:rPr>
        <w:t> </w:t>
      </w:r>
      <w:r>
        <w:rPr/>
        <w:t>to</w:t>
      </w:r>
      <w:r>
        <w:rPr>
          <w:spacing w:val="80"/>
          <w:w w:val="150"/>
        </w:rPr>
        <w:t> </w:t>
      </w:r>
      <w:r>
        <w:rPr/>
        <w:t>overall</w:t>
      </w:r>
      <w:r>
        <w:rPr>
          <w:spacing w:val="80"/>
          <w:w w:val="150"/>
        </w:rPr>
        <w:t> </w:t>
      </w:r>
      <w:r>
        <w:rPr/>
        <w:t>costings,</w:t>
      </w:r>
      <w:r>
        <w:rPr>
          <w:spacing w:val="80"/>
          <w:w w:val="150"/>
        </w:rPr>
        <w:t> </w:t>
      </w:r>
      <w:r>
        <w:rPr/>
        <w:t>it</w:t>
      </w:r>
      <w:r>
        <w:rPr>
          <w:spacing w:val="80"/>
          <w:w w:val="150"/>
        </w:rPr>
        <w:t> </w:t>
      </w:r>
      <w:r>
        <w:rPr/>
        <w:t>may</w:t>
      </w:r>
      <w:r>
        <w:rPr>
          <w:spacing w:val="80"/>
          <w:w w:val="150"/>
        </w:rPr>
        <w:t> </w:t>
      </w:r>
      <w:r>
        <w:rPr/>
        <w:t>be</w:t>
      </w:r>
      <w:r>
        <w:rPr>
          <w:spacing w:val="80"/>
          <w:w w:val="150"/>
        </w:rPr>
        <w:t> </w:t>
      </w:r>
      <w:r>
        <w:rPr/>
        <w:t>that</w:t>
      </w:r>
      <w:r>
        <w:rPr>
          <w:spacing w:val="80"/>
          <w:w w:val="150"/>
        </w:rPr>
        <w:t> </w:t>
      </w:r>
      <w:r>
        <w:rPr/>
        <w:t>this</w:t>
      </w:r>
      <w:r>
        <w:rPr>
          <w:spacing w:val="80"/>
          <w:w w:val="150"/>
        </w:rPr>
        <w:t> </w:t>
      </w:r>
      <w:r>
        <w:rPr/>
        <w:t>is</w:t>
      </w:r>
      <w:r>
        <w:rPr>
          <w:spacing w:val="80"/>
          <w:w w:val="150"/>
        </w:rPr>
        <w:t> </w:t>
      </w:r>
      <w:r>
        <w:rPr/>
        <w:t>in</w:t>
      </w:r>
      <w:r>
        <w:rPr>
          <w:spacing w:val="80"/>
          <w:w w:val="150"/>
        </w:rPr>
        <w:t> </w:t>
      </w:r>
      <w:r>
        <w:rPr/>
        <w:t>the</w:t>
      </w:r>
      <w:r>
        <w:rPr>
          <w:spacing w:val="80"/>
          <w:w w:val="150"/>
        </w:rPr>
        <w:t> </w:t>
      </w:r>
      <w:r>
        <w:rPr/>
        <w:t>vicinity</w:t>
      </w:r>
      <w:r>
        <w:rPr>
          <w:spacing w:val="80"/>
          <w:w w:val="150"/>
        </w:rPr>
        <w:t> </w:t>
      </w:r>
      <w:r>
        <w:rPr/>
        <w:t>of</w:t>
      </w:r>
    </w:p>
    <w:p>
      <w:pPr>
        <w:pStyle w:val="BodyText"/>
        <w:ind w:left="420"/>
        <w:jc w:val="both"/>
      </w:pPr>
      <w:r>
        <w:rPr/>
        <w:t>$40-$60</w:t>
      </w:r>
      <w:r>
        <w:rPr>
          <w:spacing w:val="-8"/>
        </w:rPr>
        <w:t> </w:t>
      </w:r>
      <w:r>
        <w:rPr/>
        <w:t>million</w:t>
      </w:r>
      <w:r>
        <w:rPr>
          <w:spacing w:val="-8"/>
        </w:rPr>
        <w:t> </w:t>
      </w:r>
      <w:r>
        <w:rPr/>
        <w:t>per</w:t>
      </w:r>
      <w:r>
        <w:rPr>
          <w:spacing w:val="-7"/>
        </w:rPr>
        <w:t> </w:t>
      </w:r>
      <w:r>
        <w:rPr>
          <w:spacing w:val="-2"/>
        </w:rPr>
        <w:t>annum.</w:t>
      </w:r>
    </w:p>
    <w:p>
      <w:pPr>
        <w:pStyle w:val="BodyText"/>
      </w:pPr>
    </w:p>
    <w:p>
      <w:pPr>
        <w:pStyle w:val="BodyText"/>
        <w:ind w:left="419" w:right="811"/>
        <w:jc w:val="both"/>
      </w:pPr>
      <w:r>
        <w:rPr/>
        <w:t>The cost savings associated with the adoption of this alternative would now</w:t>
      </w:r>
      <w:r>
        <w:rPr>
          <w:spacing w:val="40"/>
        </w:rPr>
        <w:t> </w:t>
      </w:r>
      <w:r>
        <w:rPr/>
        <w:t>be</w:t>
      </w:r>
      <w:r>
        <w:rPr>
          <w:spacing w:val="-2"/>
        </w:rPr>
        <w:t> </w:t>
      </w:r>
      <w:r>
        <w:rPr/>
        <w:t>much</w:t>
      </w:r>
      <w:r>
        <w:rPr>
          <w:spacing w:val="-2"/>
        </w:rPr>
        <w:t> </w:t>
      </w:r>
      <w:r>
        <w:rPr/>
        <w:t>smaller</w:t>
      </w:r>
      <w:r>
        <w:rPr>
          <w:spacing w:val="-2"/>
        </w:rPr>
        <w:t> </w:t>
      </w:r>
      <w:r>
        <w:rPr/>
        <w:t>than</w:t>
      </w:r>
      <w:r>
        <w:rPr>
          <w:spacing w:val="-2"/>
        </w:rPr>
        <w:t> </w:t>
      </w:r>
      <w:r>
        <w:rPr/>
        <w:t>were</w:t>
      </w:r>
      <w:r>
        <w:rPr>
          <w:spacing w:val="-2"/>
        </w:rPr>
        <w:t> </w:t>
      </w:r>
      <w:r>
        <w:rPr/>
        <w:t>estimated</w:t>
      </w:r>
      <w:r>
        <w:rPr>
          <w:spacing w:val="-2"/>
        </w:rPr>
        <w:t> </w:t>
      </w:r>
      <w:r>
        <w:rPr/>
        <w:t>above.</w:t>
      </w:r>
      <w:r>
        <w:rPr>
          <w:spacing w:val="40"/>
        </w:rPr>
        <w:t> </w:t>
      </w:r>
      <w:r>
        <w:rPr/>
        <w:t>Overall,</w:t>
      </w:r>
      <w:r>
        <w:rPr>
          <w:spacing w:val="-2"/>
        </w:rPr>
        <w:t> </w:t>
      </w:r>
      <w:r>
        <w:rPr/>
        <w:t>the</w:t>
      </w:r>
      <w:r>
        <w:rPr>
          <w:spacing w:val="-2"/>
        </w:rPr>
        <w:t> </w:t>
      </w:r>
      <w:r>
        <w:rPr/>
        <w:t>estimated</w:t>
      </w:r>
      <w:r>
        <w:rPr>
          <w:spacing w:val="-2"/>
        </w:rPr>
        <w:t> </w:t>
      </w:r>
      <w:r>
        <w:rPr/>
        <w:t>impact</w:t>
      </w:r>
      <w:r>
        <w:rPr>
          <w:spacing w:val="-2"/>
        </w:rPr>
        <w:t> </w:t>
      </w:r>
      <w:r>
        <w:rPr/>
        <w:t>of the proposed Premises Standards in terms of lost NLA is now half that associated with the initial Premises Standards proposal.</w:t>
      </w:r>
      <w:r>
        <w:rPr>
          <w:spacing w:val="40"/>
        </w:rPr>
        <w:t> </w:t>
      </w:r>
      <w:r>
        <w:rPr/>
        <w:t>Given this, it is likely that the cost savings associated with adopting this alternative (i.e. retention of the 80th percentile dimensions, as per the 2001 edition of the Standard)</w:t>
      </w:r>
      <w:r>
        <w:rPr>
          <w:spacing w:val="40"/>
        </w:rPr>
        <w:t> </w:t>
      </w:r>
      <w:r>
        <w:rPr/>
        <w:t>would</w:t>
      </w:r>
      <w:r>
        <w:rPr>
          <w:spacing w:val="40"/>
        </w:rPr>
        <w:t> </w:t>
      </w:r>
      <w:r>
        <w:rPr/>
        <w:t>be</w:t>
      </w:r>
      <w:r>
        <w:rPr>
          <w:spacing w:val="40"/>
        </w:rPr>
        <w:t> </w:t>
      </w:r>
      <w:r>
        <w:rPr/>
        <w:t>around</w:t>
      </w:r>
      <w:r>
        <w:rPr>
          <w:spacing w:val="40"/>
        </w:rPr>
        <w:t> </w:t>
      </w:r>
      <w:r>
        <w:rPr/>
        <w:t>half</w:t>
      </w:r>
      <w:r>
        <w:rPr>
          <w:spacing w:val="40"/>
        </w:rPr>
        <w:t> </w:t>
      </w:r>
      <w:r>
        <w:rPr/>
        <w:t>of</w:t>
      </w:r>
      <w:r>
        <w:rPr>
          <w:spacing w:val="40"/>
        </w:rPr>
        <w:t> </w:t>
      </w:r>
      <w:r>
        <w:rPr/>
        <w:t>the</w:t>
      </w:r>
      <w:r>
        <w:rPr>
          <w:spacing w:val="40"/>
        </w:rPr>
        <w:t> </w:t>
      </w:r>
      <w:r>
        <w:rPr/>
        <w:t>$40-$60</w:t>
      </w:r>
      <w:r>
        <w:rPr>
          <w:spacing w:val="40"/>
        </w:rPr>
        <w:t> </w:t>
      </w:r>
      <w:r>
        <w:rPr/>
        <w:t>million</w:t>
      </w:r>
      <w:r>
        <w:rPr>
          <w:spacing w:val="40"/>
        </w:rPr>
        <w:t> </w:t>
      </w:r>
      <w:r>
        <w:rPr/>
        <w:t>per</w:t>
      </w:r>
      <w:r>
        <w:rPr>
          <w:spacing w:val="40"/>
        </w:rPr>
        <w:t> </w:t>
      </w:r>
      <w:r>
        <w:rPr/>
        <w:t>annum</w:t>
      </w:r>
      <w:r>
        <w:rPr>
          <w:spacing w:val="40"/>
        </w:rPr>
        <w:t> </w:t>
      </w:r>
      <w:r>
        <w:rPr/>
        <w:t>estimated</w:t>
      </w:r>
      <w:r>
        <w:rPr>
          <w:spacing w:val="40"/>
        </w:rPr>
        <w:t> </w:t>
      </w:r>
      <w:r>
        <w:rPr/>
        <w:t>above. That is, the likely savings may be of the order of $20-$30 million per annum.</w:t>
      </w:r>
    </w:p>
    <w:p>
      <w:pPr>
        <w:pStyle w:val="BodyText"/>
      </w:pPr>
    </w:p>
    <w:p>
      <w:pPr>
        <w:pStyle w:val="BodyText"/>
        <w:ind w:left="419" w:right="811"/>
        <w:jc w:val="both"/>
      </w:pPr>
      <w:r>
        <w:rPr/>
        <w:t>The costs of retaining the 80</w:t>
      </w:r>
      <w:r>
        <w:rPr>
          <w:vertAlign w:val="superscript"/>
        </w:rPr>
        <w:t>th</w:t>
      </w:r>
      <w:r>
        <w:rPr>
          <w:vertAlign w:val="baseline"/>
        </w:rPr>
        <w:t> percentile dimensions are extremely difficult to calculate, due to the lack of available data on the size distribution of wheelchairs.</w:t>
      </w:r>
      <w:r>
        <w:rPr>
          <w:spacing w:val="40"/>
          <w:vertAlign w:val="baseline"/>
        </w:rPr>
        <w:t> </w:t>
      </w:r>
      <w:r>
        <w:rPr>
          <w:vertAlign w:val="baseline"/>
        </w:rPr>
        <w:t>That is, references to the 80</w:t>
      </w:r>
      <w:r>
        <w:rPr>
          <w:vertAlign w:val="superscript"/>
        </w:rPr>
        <w:t>th</w:t>
      </w:r>
      <w:r>
        <w:rPr>
          <w:vertAlign w:val="baseline"/>
        </w:rPr>
        <w:t> and 90</w:t>
      </w:r>
      <w:r>
        <w:rPr>
          <w:vertAlign w:val="superscript"/>
        </w:rPr>
        <w:t>th</w:t>
      </w:r>
      <w:r>
        <w:rPr>
          <w:vertAlign w:val="baseline"/>
        </w:rPr>
        <w:t> percentile wheelchair in this context do not relate to the number of wheelchairs in use.</w:t>
      </w:r>
      <w:r>
        <w:rPr>
          <w:spacing w:val="40"/>
          <w:vertAlign w:val="baseline"/>
        </w:rPr>
        <w:t> </w:t>
      </w:r>
      <w:r>
        <w:rPr>
          <w:vertAlign w:val="baseline"/>
        </w:rPr>
        <w:t>Rather, they relate</w:t>
      </w:r>
      <w:r>
        <w:rPr>
          <w:spacing w:val="-1"/>
          <w:vertAlign w:val="baseline"/>
        </w:rPr>
        <w:t> </w:t>
      </w:r>
      <w:r>
        <w:rPr>
          <w:vertAlign w:val="baseline"/>
        </w:rPr>
        <w:t>to wheelchair</w:t>
      </w:r>
      <w:r>
        <w:rPr>
          <w:spacing w:val="-1"/>
          <w:vertAlign w:val="baseline"/>
        </w:rPr>
        <w:t> </w:t>
      </w:r>
      <w:r>
        <w:rPr>
          <w:vertAlign w:val="baseline"/>
        </w:rPr>
        <w:t>designs.</w:t>
      </w:r>
      <w:r>
        <w:rPr>
          <w:spacing w:val="40"/>
          <w:vertAlign w:val="baseline"/>
        </w:rPr>
        <w:t> </w:t>
      </w:r>
      <w:r>
        <w:rPr>
          <w:vertAlign w:val="baseline"/>
        </w:rPr>
        <w:t>The</w:t>
      </w:r>
      <w:r>
        <w:rPr>
          <w:spacing w:val="-1"/>
          <w:vertAlign w:val="baseline"/>
        </w:rPr>
        <w:t> </w:t>
      </w:r>
      <w:r>
        <w:rPr>
          <w:vertAlign w:val="baseline"/>
        </w:rPr>
        <w:t>consequence</w:t>
      </w:r>
      <w:r>
        <w:rPr>
          <w:spacing w:val="-1"/>
          <w:vertAlign w:val="baseline"/>
        </w:rPr>
        <w:t> </w:t>
      </w:r>
      <w:r>
        <w:rPr>
          <w:vertAlign w:val="baseline"/>
        </w:rPr>
        <w:t>of</w:t>
      </w:r>
      <w:r>
        <w:rPr>
          <w:spacing w:val="-1"/>
          <w:vertAlign w:val="baseline"/>
        </w:rPr>
        <w:t> </w:t>
      </w:r>
      <w:r>
        <w:rPr>
          <w:vertAlign w:val="baseline"/>
        </w:rPr>
        <w:t>this is</w:t>
      </w:r>
      <w:r>
        <w:rPr>
          <w:spacing w:val="-1"/>
          <w:vertAlign w:val="baseline"/>
        </w:rPr>
        <w:t> </w:t>
      </w:r>
      <w:r>
        <w:rPr>
          <w:vertAlign w:val="baseline"/>
        </w:rPr>
        <w:t>that it</w:t>
      </w:r>
      <w:r>
        <w:rPr>
          <w:spacing w:val="-1"/>
          <w:vertAlign w:val="baseline"/>
        </w:rPr>
        <w:t> </w:t>
      </w:r>
      <w:r>
        <w:rPr>
          <w:vertAlign w:val="baseline"/>
        </w:rPr>
        <w:t>is not</w:t>
      </w:r>
      <w:r>
        <w:rPr>
          <w:spacing w:val="-1"/>
          <w:vertAlign w:val="baseline"/>
        </w:rPr>
        <w:t> </w:t>
      </w:r>
      <w:r>
        <w:rPr>
          <w:vertAlign w:val="baseline"/>
        </w:rPr>
        <w:t>possible to say how many wheelchair users have wheelchairs that are larger than the 80</w:t>
      </w:r>
      <w:r>
        <w:rPr>
          <w:vertAlign w:val="superscript"/>
        </w:rPr>
        <w:t>th</w:t>
      </w:r>
      <w:r>
        <w:rPr>
          <w:vertAlign w:val="baseline"/>
        </w:rPr>
        <w:t> percentile wheelchair design.</w:t>
      </w:r>
      <w:r>
        <w:rPr>
          <w:spacing w:val="40"/>
          <w:vertAlign w:val="baseline"/>
        </w:rPr>
        <w:t> </w:t>
      </w:r>
      <w:r>
        <w:rPr>
          <w:vertAlign w:val="baseline"/>
        </w:rPr>
        <w:t>In turn, this means that it is impossible to estimate how many wheelchair users would derive significant benefits from</w:t>
      </w:r>
      <w:r>
        <w:rPr>
          <w:spacing w:val="40"/>
          <w:vertAlign w:val="baseline"/>
        </w:rPr>
        <w:t> </w:t>
      </w:r>
      <w:r>
        <w:rPr>
          <w:vertAlign w:val="baseline"/>
        </w:rPr>
        <w:t>the move from 80</w:t>
      </w:r>
      <w:r>
        <w:rPr>
          <w:vertAlign w:val="superscript"/>
        </w:rPr>
        <w:t>th</w:t>
      </w:r>
      <w:r>
        <w:rPr>
          <w:vertAlign w:val="baseline"/>
        </w:rPr>
        <w:t> to 90</w:t>
      </w:r>
      <w:r>
        <w:rPr>
          <w:vertAlign w:val="superscript"/>
        </w:rPr>
        <w:t>th</w:t>
      </w:r>
      <w:r>
        <w:rPr>
          <w:vertAlign w:val="baseline"/>
        </w:rPr>
        <w:t> percentile dimensions.</w:t>
      </w:r>
    </w:p>
    <w:p>
      <w:pPr>
        <w:pStyle w:val="BodyText"/>
        <w:spacing w:before="10"/>
        <w:rPr>
          <w:sz w:val="23"/>
        </w:rPr>
      </w:pPr>
    </w:p>
    <w:p>
      <w:pPr>
        <w:pStyle w:val="BodyText"/>
        <w:spacing w:before="1"/>
        <w:ind w:left="420" w:right="811"/>
        <w:jc w:val="both"/>
      </w:pPr>
      <w:r>
        <w:rPr/>
        <w:t>Intuitively, it seems likely that wheelchair users would be aware of this dimensional issue and that the great majority would therefore respond by choosing wheelchairs that were within the 80</w:t>
      </w:r>
      <w:r>
        <w:rPr>
          <w:vertAlign w:val="superscript"/>
        </w:rPr>
        <w:t>th</w:t>
      </w:r>
      <w:r>
        <w:rPr>
          <w:vertAlign w:val="baseline"/>
        </w:rPr>
        <w:t> percentile design dimensions. However, it is also likely that people with more severe disabilities may need to use larger wheelchairs and have no real opportunity to substitute smaller ones.</w:t>
      </w:r>
      <w:r>
        <w:rPr>
          <w:spacing w:val="40"/>
          <w:vertAlign w:val="baseline"/>
        </w:rPr>
        <w:t> </w:t>
      </w:r>
      <w:r>
        <w:rPr>
          <w:vertAlign w:val="baseline"/>
        </w:rPr>
        <w:t>If this is true, then it is people with the most severe disabilities who would benefit from the shift to the 90</w:t>
      </w:r>
      <w:r>
        <w:rPr>
          <w:vertAlign w:val="superscript"/>
        </w:rPr>
        <w:t>th</w:t>
      </w:r>
      <w:r>
        <w:rPr>
          <w:vertAlign w:val="baseline"/>
        </w:rPr>
        <w:t> percentile dimensions.</w:t>
      </w:r>
      <w:r>
        <w:rPr>
          <w:spacing w:val="40"/>
          <w:vertAlign w:val="baseline"/>
        </w:rPr>
        <w:t> </w:t>
      </w:r>
      <w:r>
        <w:rPr>
          <w:vertAlign w:val="baseline"/>
        </w:rPr>
        <w:t>Thus, were this option adopted and the 90</w:t>
      </w:r>
      <w:r>
        <w:rPr>
          <w:vertAlign w:val="superscript"/>
        </w:rPr>
        <w:t>th</w:t>
      </w:r>
      <w:r>
        <w:rPr>
          <w:vertAlign w:val="baseline"/>
        </w:rPr>
        <w:t> percentile dimensions not employed, the benefits would be largely foregone by this group.</w:t>
      </w:r>
    </w:p>
    <w:p>
      <w:pPr>
        <w:spacing w:after="0"/>
        <w:jc w:val="both"/>
        <w:sectPr>
          <w:pgSz w:w="11900" w:h="16840"/>
          <w:pgMar w:header="0" w:footer="1130" w:top="1000" w:bottom="1320" w:left="1380" w:right="980"/>
        </w:sectPr>
      </w:pPr>
    </w:p>
    <w:p>
      <w:pPr>
        <w:pStyle w:val="BodyText"/>
        <w:spacing w:before="115"/>
        <w:ind w:left="419" w:right="811"/>
        <w:jc w:val="both"/>
      </w:pPr>
      <w:bookmarkStart w:name="_bookmark28" w:id="103"/>
      <w:bookmarkEnd w:id="103"/>
      <w:r>
        <w:rPr/>
      </w:r>
      <w:r>
        <w:rPr/>
        <w:t>In addition, the 90</w:t>
      </w:r>
      <w:r>
        <w:rPr>
          <w:vertAlign w:val="superscript"/>
        </w:rPr>
        <w:t>th</w:t>
      </w:r>
      <w:r>
        <w:rPr>
          <w:vertAlign w:val="baseline"/>
        </w:rPr>
        <w:t> percentile dimensions would bring lesser benefits to wheelchair users who are currently able to navigate buildings constructed in accordance with the 80</w:t>
      </w:r>
      <w:r>
        <w:rPr>
          <w:vertAlign w:val="superscript"/>
        </w:rPr>
        <w:t>th</w:t>
      </w:r>
      <w:r>
        <w:rPr>
          <w:vertAlign w:val="baseline"/>
        </w:rPr>
        <w:t> percentile standard.</w:t>
      </w:r>
      <w:r>
        <w:rPr>
          <w:spacing w:val="40"/>
          <w:vertAlign w:val="baseline"/>
        </w:rPr>
        <w:t> </w:t>
      </w:r>
      <w:r>
        <w:rPr>
          <w:vertAlign w:val="baseline"/>
        </w:rPr>
        <w:t>For this group, the benefits foregone are those of easier and more convenient access than is currently possible, due to the increased space dimensions.</w:t>
      </w:r>
      <w:r>
        <w:rPr>
          <w:spacing w:val="40"/>
          <w:vertAlign w:val="baseline"/>
        </w:rPr>
        <w:t> </w:t>
      </w:r>
      <w:r>
        <w:rPr>
          <w:vertAlign w:val="baseline"/>
        </w:rPr>
        <w:t>A subset of this group – those whose wheelchairs are near the 80</w:t>
      </w:r>
      <w:r>
        <w:rPr>
          <w:vertAlign w:val="superscript"/>
        </w:rPr>
        <w:t>th</w:t>
      </w:r>
      <w:r>
        <w:rPr>
          <w:vertAlign w:val="baseline"/>
        </w:rPr>
        <w:t> percentile limit – may forego a substantial benefit.</w:t>
      </w:r>
    </w:p>
    <w:p>
      <w:pPr>
        <w:pStyle w:val="BodyText"/>
      </w:pPr>
    </w:p>
    <w:p>
      <w:pPr>
        <w:pStyle w:val="BodyText"/>
        <w:spacing w:before="1"/>
        <w:ind w:left="420" w:right="813"/>
        <w:jc w:val="both"/>
      </w:pPr>
      <w:r>
        <w:rPr/>
        <w:t>Other users of mobility aids would also forego benefits if the 90</w:t>
      </w:r>
      <w:r>
        <w:rPr>
          <w:vertAlign w:val="superscript"/>
        </w:rPr>
        <w:t>th</w:t>
      </w:r>
      <w:r>
        <w:rPr>
          <w:vertAlign w:val="baseline"/>
        </w:rPr>
        <w:t> percentile dimensions were not adopted in the identified areas, since this group can also be expected to obtain easier access to buildings given the larger dimensions contained in the proposed revised version of AS 1428.1.</w:t>
      </w:r>
    </w:p>
    <w:p>
      <w:pPr>
        <w:pStyle w:val="BodyText"/>
        <w:spacing w:before="11"/>
        <w:rPr>
          <w:sz w:val="23"/>
        </w:rPr>
      </w:pPr>
    </w:p>
    <w:p>
      <w:pPr>
        <w:pStyle w:val="BodyText"/>
        <w:ind w:left="420" w:right="812"/>
        <w:jc w:val="both"/>
      </w:pPr>
      <w:r>
        <w:rPr/>
        <w:t>Finally, additional benefits sought via adoption of the new edition of AS</w:t>
      </w:r>
      <w:r>
        <w:rPr>
          <w:spacing w:val="40"/>
        </w:rPr>
        <w:t> </w:t>
      </w:r>
      <w:r>
        <w:rPr/>
        <w:t>1428.1 include improved clarity and ease of interpretation of the various requirements of the Standard, with consequent gains in terms of the ease of use and enforcement of the Standard. These benefits would be foregone under this alternative.</w:t>
      </w:r>
    </w:p>
    <w:p>
      <w:pPr>
        <w:pStyle w:val="BodyText"/>
        <w:rPr>
          <w:sz w:val="26"/>
        </w:rPr>
      </w:pPr>
    </w:p>
    <w:p>
      <w:pPr>
        <w:pStyle w:val="Heading2"/>
        <w:numPr>
          <w:ilvl w:val="1"/>
          <w:numId w:val="25"/>
        </w:numPr>
        <w:tabs>
          <w:tab w:pos="1141" w:val="left" w:leader="none"/>
        </w:tabs>
        <w:spacing w:line="240" w:lineRule="auto" w:before="219" w:after="0"/>
        <w:ind w:left="1139" w:right="915" w:hanging="720"/>
        <w:jc w:val="both"/>
      </w:pPr>
      <w:bookmarkStart w:name="9.3 Alternatives relating to the scope a" w:id="104"/>
      <w:bookmarkEnd w:id="104"/>
      <w:r>
        <w:rPr>
          <w:i/>
        </w:rPr>
        <w:t>Alternatives</w:t>
      </w:r>
      <w:r>
        <w:rPr>
          <w:i/>
          <w:spacing w:val="-6"/>
        </w:rPr>
        <w:t> </w:t>
      </w:r>
      <w:r>
        <w:rPr>
          <w:i/>
        </w:rPr>
        <w:t>relating</w:t>
      </w:r>
      <w:r>
        <w:rPr>
          <w:i/>
          <w:spacing w:val="-6"/>
        </w:rPr>
        <w:t> </w:t>
      </w:r>
      <w:r>
        <w:rPr>
          <w:i/>
        </w:rPr>
        <w:t>to</w:t>
      </w:r>
      <w:r>
        <w:rPr>
          <w:i/>
          <w:spacing w:val="-6"/>
        </w:rPr>
        <w:t> </w:t>
      </w:r>
      <w:r>
        <w:rPr>
          <w:i/>
        </w:rPr>
        <w:t>the</w:t>
      </w:r>
      <w:r>
        <w:rPr>
          <w:i/>
          <w:spacing w:val="-6"/>
        </w:rPr>
        <w:t> </w:t>
      </w:r>
      <w:r>
        <w:rPr>
          <w:i/>
        </w:rPr>
        <w:t>scope</w:t>
      </w:r>
      <w:r>
        <w:rPr>
          <w:i/>
          <w:spacing w:val="-6"/>
        </w:rPr>
        <w:t> </w:t>
      </w:r>
      <w:r>
        <w:rPr>
          <w:i/>
        </w:rPr>
        <w:t>and</w:t>
      </w:r>
      <w:r>
        <w:rPr>
          <w:i/>
          <w:spacing w:val="-6"/>
        </w:rPr>
        <w:t> </w:t>
      </w:r>
      <w:r>
        <w:rPr>
          <w:i/>
        </w:rPr>
        <w:t>implementation</w:t>
      </w:r>
      <w:r>
        <w:rPr>
          <w:i/>
          <w:spacing w:val="-6"/>
        </w:rPr>
        <w:t> </w:t>
      </w:r>
      <w:r>
        <w:rPr>
          <w:i/>
        </w:rPr>
        <w:t>of</w:t>
      </w:r>
      <w:r>
        <w:rPr/>
        <w:t> the proposed Premises Standards</w:t>
      </w:r>
    </w:p>
    <w:p>
      <w:pPr>
        <w:pStyle w:val="BodyText"/>
        <w:rPr>
          <w:b/>
          <w:i/>
          <w:sz w:val="29"/>
        </w:rPr>
      </w:pPr>
    </w:p>
    <w:p>
      <w:pPr>
        <w:pStyle w:val="BodyText"/>
        <w:ind w:left="420" w:right="810"/>
        <w:jc w:val="both"/>
      </w:pPr>
      <w:r>
        <w:rPr/>
        <w:t>The above discusses specific alternative options within the framework of the Premises Standards and options in terms of the relationship of the Premises Standards to other policy instruments.</w:t>
      </w:r>
      <w:r>
        <w:rPr>
          <w:spacing w:val="40"/>
        </w:rPr>
        <w:t> </w:t>
      </w:r>
      <w:r>
        <w:rPr/>
        <w:t>A third level of alternatives that have been considered in the course of finalising the Premises Standards proposal relates to the application of the Standards.</w:t>
      </w:r>
      <w:r>
        <w:rPr>
          <w:spacing w:val="40"/>
        </w:rPr>
        <w:t> </w:t>
      </w:r>
      <w:r>
        <w:rPr/>
        <w:t>These alternatives are discussed </w:t>
      </w:r>
      <w:r>
        <w:rPr>
          <w:spacing w:val="-2"/>
        </w:rPr>
        <w:t>below.</w:t>
      </w:r>
    </w:p>
    <w:p>
      <w:pPr>
        <w:pStyle w:val="BodyText"/>
        <w:spacing w:before="3"/>
      </w:pPr>
    </w:p>
    <w:p>
      <w:pPr>
        <w:pStyle w:val="Heading3"/>
        <w:ind w:left="1140" w:right="809" w:hanging="720"/>
      </w:pPr>
      <w:bookmarkStart w:name="9.3.1 Option 2: Apply the Premises Stand" w:id="105"/>
      <w:bookmarkEnd w:id="105"/>
      <w:r>
        <w:rPr>
          <w:b w:val="0"/>
        </w:rPr>
      </w:r>
      <w:r>
        <w:rPr/>
        <w:t>9.3.1 Option 2: Apply the Premises Standards to new buildings </w:t>
      </w:r>
      <w:r>
        <w:rPr>
          <w:spacing w:val="-2"/>
        </w:rPr>
        <w:t>only</w:t>
      </w:r>
      <w:r>
        <w:rPr>
          <w:spacing w:val="-2"/>
          <w:vertAlign w:val="superscript"/>
        </w:rPr>
        <w:t>67</w:t>
      </w:r>
    </w:p>
    <w:p>
      <w:pPr>
        <w:pStyle w:val="BodyText"/>
        <w:ind w:left="419" w:right="812"/>
        <w:jc w:val="both"/>
      </w:pPr>
      <w:r>
        <w:rPr/>
        <w:t>The Standard is currently proposed to be applied both to new buildings and to new building work in existing buildings.</w:t>
      </w:r>
      <w:r>
        <w:rPr>
          <w:spacing w:val="40"/>
        </w:rPr>
        <w:t> </w:t>
      </w:r>
      <w:r>
        <w:rPr/>
        <w:t>However, as the preceding sections have established, the relative cost of applying the provisions of the Standards to building upgrade work is significantly higher than the cost of applying the Standards to new buildings.</w:t>
      </w:r>
      <w:r>
        <w:rPr>
          <w:spacing w:val="80"/>
        </w:rPr>
        <w:t> </w:t>
      </w:r>
      <w:r>
        <w:rPr/>
        <w:t>Given this, it is clear that cost-effectiveness would be improved were the Standards to be applied to new buildings only, with the current access provisions contained in the BCA continuing to apply to building upgrade work.</w:t>
      </w:r>
    </w:p>
    <w:p>
      <w:pPr>
        <w:pStyle w:val="BodyText"/>
        <w:spacing w:before="8"/>
        <w:rPr>
          <w:sz w:val="23"/>
        </w:rPr>
      </w:pPr>
    </w:p>
    <w:p>
      <w:pPr>
        <w:pStyle w:val="BodyText"/>
        <w:spacing w:before="1"/>
        <w:ind w:left="419" w:right="811"/>
        <w:jc w:val="both"/>
      </w:pPr>
      <w:r>
        <w:rPr/>
        <w:t>On the other hand, this option would entail substantial additional administrative complexities.</w:t>
      </w:r>
      <w:r>
        <w:rPr>
          <w:spacing w:val="40"/>
        </w:rPr>
        <w:t> </w:t>
      </w:r>
      <w:r>
        <w:rPr/>
        <w:t>Because new and existing buildings are treated differently, the complexity of the Premises Standards and supporting documents would be increased.</w:t>
      </w:r>
      <w:r>
        <w:rPr>
          <w:spacing w:val="40"/>
        </w:rPr>
        <w:t> </w:t>
      </w:r>
      <w:r>
        <w:rPr/>
        <w:t>Practitioners would need to be familiar with separate</w:t>
      </w:r>
      <w:r>
        <w:rPr>
          <w:spacing w:val="30"/>
        </w:rPr>
        <w:t> </w:t>
      </w:r>
      <w:r>
        <w:rPr/>
        <w:t>sets</w:t>
      </w:r>
      <w:r>
        <w:rPr>
          <w:spacing w:val="30"/>
        </w:rPr>
        <w:t> </w:t>
      </w:r>
      <w:r>
        <w:rPr/>
        <w:t>of</w:t>
      </w:r>
      <w:r>
        <w:rPr>
          <w:spacing w:val="30"/>
        </w:rPr>
        <w:t> </w:t>
      </w:r>
      <w:r>
        <w:rPr/>
        <w:t>requirements</w:t>
      </w:r>
      <w:r>
        <w:rPr>
          <w:spacing w:val="30"/>
        </w:rPr>
        <w:t> </w:t>
      </w:r>
      <w:r>
        <w:rPr/>
        <w:t>and</w:t>
      </w:r>
      <w:r>
        <w:rPr>
          <w:spacing w:val="30"/>
        </w:rPr>
        <w:t> </w:t>
      </w:r>
      <w:r>
        <w:rPr/>
        <w:t>determining</w:t>
      </w:r>
      <w:r>
        <w:rPr>
          <w:spacing w:val="30"/>
        </w:rPr>
        <w:t> </w:t>
      </w:r>
      <w:r>
        <w:rPr/>
        <w:t>whether</w:t>
      </w:r>
      <w:r>
        <w:rPr>
          <w:spacing w:val="30"/>
        </w:rPr>
        <w:t> </w:t>
      </w:r>
      <w:r>
        <w:rPr/>
        <w:t>a</w:t>
      </w:r>
      <w:r>
        <w:rPr>
          <w:spacing w:val="30"/>
        </w:rPr>
        <w:t> </w:t>
      </w:r>
      <w:r>
        <w:rPr/>
        <w:t>building</w:t>
      </w:r>
      <w:r>
        <w:rPr>
          <w:spacing w:val="30"/>
        </w:rPr>
        <w:t> </w:t>
      </w:r>
      <w:r>
        <w:rPr/>
        <w:t>complies</w:t>
      </w:r>
    </w:p>
    <w:p>
      <w:pPr>
        <w:pStyle w:val="BodyText"/>
        <w:rPr>
          <w:sz w:val="20"/>
        </w:rPr>
      </w:pPr>
    </w:p>
    <w:p>
      <w:pPr>
        <w:pStyle w:val="BodyText"/>
        <w:spacing w:before="10"/>
        <w:rPr>
          <w:sz w:val="12"/>
        </w:rPr>
      </w:pPr>
      <w:r>
        <w:rPr/>
        <w:pict>
          <v:rect style="position:absolute;margin-left:90pt;margin-top:8.639541pt;width:144pt;height:.6pt;mso-position-horizontal-relative:page;mso-position-vertical-relative:paragraph;z-index:-15700480;mso-wrap-distance-left:0;mso-wrap-distance-right:0" id="docshape68" filled="true" fillcolor="#000000" stroked="false">
            <v:fill type="solid"/>
            <w10:wrap type="topAndBottom"/>
          </v:rect>
        </w:pict>
      </w:r>
    </w:p>
    <w:p>
      <w:pPr>
        <w:pStyle w:val="BodyText"/>
        <w:spacing w:before="1"/>
        <w:rPr>
          <w:sz w:val="9"/>
        </w:rPr>
      </w:pPr>
    </w:p>
    <w:p>
      <w:pPr>
        <w:spacing w:before="118"/>
        <w:ind w:left="420" w:right="811" w:hanging="1"/>
        <w:jc w:val="left"/>
        <w:rPr>
          <w:sz w:val="20"/>
        </w:rPr>
      </w:pPr>
      <w:r>
        <w:rPr>
          <w:rFonts w:ascii="Times New Roman"/>
          <w:sz w:val="20"/>
          <w:vertAlign w:val="superscript"/>
        </w:rPr>
        <w:t>67</w:t>
      </w:r>
      <w:r>
        <w:rPr>
          <w:rFonts w:ascii="Times New Roman"/>
          <w:spacing w:val="-2"/>
          <w:sz w:val="20"/>
          <w:vertAlign w:val="baseline"/>
        </w:rPr>
        <w:t> </w:t>
      </w:r>
      <w:r>
        <w:rPr>
          <w:sz w:val="20"/>
          <w:vertAlign w:val="baseline"/>
        </w:rPr>
        <w:t>Under</w:t>
      </w:r>
      <w:r>
        <w:rPr>
          <w:spacing w:val="-3"/>
          <w:sz w:val="20"/>
          <w:vertAlign w:val="baseline"/>
        </w:rPr>
        <w:t> </w:t>
      </w:r>
      <w:r>
        <w:rPr>
          <w:sz w:val="20"/>
          <w:vertAlign w:val="baseline"/>
        </w:rPr>
        <w:t>the</w:t>
      </w:r>
      <w:r>
        <w:rPr>
          <w:spacing w:val="-3"/>
          <w:sz w:val="20"/>
          <w:vertAlign w:val="baseline"/>
        </w:rPr>
        <w:t> </w:t>
      </w:r>
      <w:r>
        <w:rPr>
          <w:sz w:val="20"/>
          <w:vertAlign w:val="baseline"/>
        </w:rPr>
        <w:t>2008</w:t>
      </w:r>
      <w:r>
        <w:rPr>
          <w:spacing w:val="-3"/>
          <w:sz w:val="20"/>
          <w:vertAlign w:val="baseline"/>
        </w:rPr>
        <w:t> </w:t>
      </w:r>
      <w:r>
        <w:rPr>
          <w:sz w:val="20"/>
          <w:vertAlign w:val="baseline"/>
        </w:rPr>
        <w:t>proposal</w:t>
      </w:r>
      <w:r>
        <w:rPr>
          <w:spacing w:val="-3"/>
          <w:sz w:val="20"/>
          <w:vertAlign w:val="baseline"/>
        </w:rPr>
        <w:t> </w:t>
      </w:r>
      <w:r>
        <w:rPr>
          <w:sz w:val="20"/>
          <w:vertAlign w:val="baseline"/>
        </w:rPr>
        <w:t>this</w:t>
      </w:r>
      <w:r>
        <w:rPr>
          <w:spacing w:val="-3"/>
          <w:sz w:val="20"/>
          <w:vertAlign w:val="baseline"/>
        </w:rPr>
        <w:t> </w:t>
      </w:r>
      <w:r>
        <w:rPr>
          <w:sz w:val="20"/>
          <w:vertAlign w:val="baseline"/>
        </w:rPr>
        <w:t>option,</w:t>
      </w:r>
      <w:r>
        <w:rPr>
          <w:spacing w:val="-3"/>
          <w:sz w:val="20"/>
          <w:vertAlign w:val="baseline"/>
        </w:rPr>
        <w:t> </w:t>
      </w:r>
      <w:r>
        <w:rPr>
          <w:sz w:val="20"/>
          <w:vertAlign w:val="baseline"/>
        </w:rPr>
        <w:t>the</w:t>
      </w:r>
      <w:r>
        <w:rPr>
          <w:spacing w:val="-3"/>
          <w:sz w:val="20"/>
          <w:vertAlign w:val="baseline"/>
        </w:rPr>
        <w:t> </w:t>
      </w:r>
      <w:r>
        <w:rPr>
          <w:sz w:val="20"/>
          <w:vertAlign w:val="baseline"/>
        </w:rPr>
        <w:t>application</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Premises</w:t>
      </w:r>
      <w:r>
        <w:rPr>
          <w:spacing w:val="-3"/>
          <w:sz w:val="20"/>
          <w:vertAlign w:val="baseline"/>
        </w:rPr>
        <w:t> </w:t>
      </w:r>
      <w:r>
        <w:rPr>
          <w:sz w:val="20"/>
          <w:vertAlign w:val="baseline"/>
        </w:rPr>
        <w:t>Standards</w:t>
      </w:r>
      <w:r>
        <w:rPr>
          <w:spacing w:val="-3"/>
          <w:sz w:val="20"/>
          <w:vertAlign w:val="baseline"/>
        </w:rPr>
        <w:t> </w:t>
      </w:r>
      <w:r>
        <w:rPr>
          <w:sz w:val="20"/>
          <w:vertAlign w:val="baseline"/>
        </w:rPr>
        <w:t>to</w:t>
      </w:r>
      <w:r>
        <w:rPr>
          <w:spacing w:val="-3"/>
          <w:sz w:val="20"/>
          <w:vertAlign w:val="baseline"/>
        </w:rPr>
        <w:t> </w:t>
      </w:r>
      <w:r>
        <w:rPr>
          <w:sz w:val="20"/>
          <w:vertAlign w:val="baseline"/>
        </w:rPr>
        <w:t>new buildings only, was considered. Following the most recent House of Representatives Committee review of the proposal the option was subsequently ruled out.</w:t>
      </w:r>
    </w:p>
    <w:p>
      <w:pPr>
        <w:spacing w:after="0"/>
        <w:jc w:val="left"/>
        <w:rPr>
          <w:sz w:val="20"/>
        </w:rPr>
        <w:sectPr>
          <w:pgSz w:w="11900" w:h="16840"/>
          <w:pgMar w:header="0" w:footer="1130" w:top="960" w:bottom="1320" w:left="1380" w:right="980"/>
        </w:sectPr>
      </w:pPr>
    </w:p>
    <w:p>
      <w:pPr>
        <w:pStyle w:val="BodyText"/>
        <w:spacing w:before="75"/>
        <w:ind w:left="419" w:right="810"/>
        <w:jc w:val="both"/>
      </w:pPr>
      <w:r>
        <w:rPr/>
        <w:t>with</w:t>
      </w:r>
      <w:r>
        <w:rPr>
          <w:spacing w:val="-3"/>
        </w:rPr>
        <w:t> </w:t>
      </w:r>
      <w:r>
        <w:rPr/>
        <w:t>the</w:t>
      </w:r>
      <w:r>
        <w:rPr>
          <w:spacing w:val="-3"/>
        </w:rPr>
        <w:t> </w:t>
      </w:r>
      <w:r>
        <w:rPr/>
        <w:t>Premises</w:t>
      </w:r>
      <w:r>
        <w:rPr>
          <w:spacing w:val="-3"/>
        </w:rPr>
        <w:t> </w:t>
      </w:r>
      <w:r>
        <w:rPr/>
        <w:t>Standards</w:t>
      </w:r>
      <w:r>
        <w:rPr>
          <w:spacing w:val="-2"/>
        </w:rPr>
        <w:t> </w:t>
      </w:r>
      <w:r>
        <w:rPr/>
        <w:t>would</w:t>
      </w:r>
      <w:r>
        <w:rPr>
          <w:spacing w:val="-3"/>
        </w:rPr>
        <w:t> </w:t>
      </w:r>
      <w:r>
        <w:rPr/>
        <w:t>be</w:t>
      </w:r>
      <w:r>
        <w:rPr>
          <w:spacing w:val="-3"/>
        </w:rPr>
        <w:t> </w:t>
      </w:r>
      <w:r>
        <w:rPr/>
        <w:t>harder.</w:t>
      </w:r>
      <w:r>
        <w:rPr>
          <w:spacing w:val="40"/>
        </w:rPr>
        <w:t> </w:t>
      </w:r>
      <w:r>
        <w:rPr/>
        <w:t>As</w:t>
      </w:r>
      <w:r>
        <w:rPr>
          <w:spacing w:val="-3"/>
        </w:rPr>
        <w:t> </w:t>
      </w:r>
      <w:r>
        <w:rPr/>
        <w:t>a</w:t>
      </w:r>
      <w:r>
        <w:rPr>
          <w:spacing w:val="-3"/>
        </w:rPr>
        <w:t> </w:t>
      </w:r>
      <w:r>
        <w:rPr/>
        <w:t>consequence,</w:t>
      </w:r>
      <w:r>
        <w:rPr>
          <w:spacing w:val="-3"/>
        </w:rPr>
        <w:t> </w:t>
      </w:r>
      <w:r>
        <w:rPr/>
        <w:t>it</w:t>
      </w:r>
      <w:r>
        <w:rPr>
          <w:spacing w:val="-3"/>
        </w:rPr>
        <w:t> </w:t>
      </w:r>
      <w:r>
        <w:rPr/>
        <w:t>would</w:t>
      </w:r>
      <w:r>
        <w:rPr>
          <w:spacing w:val="-3"/>
        </w:rPr>
        <w:t> </w:t>
      </w:r>
      <w:r>
        <w:rPr/>
        <w:t>be expected that there would be greater administration and enforcement costs, compared with the option of treating all buildings the same.</w:t>
      </w:r>
      <w:r>
        <w:rPr>
          <w:spacing w:val="80"/>
        </w:rPr>
        <w:t> </w:t>
      </w:r>
      <w:r>
        <w:rPr/>
        <w:t>Government would incur a substantive proportion of such costs.</w:t>
      </w:r>
      <w:r>
        <w:rPr>
          <w:spacing w:val="40"/>
        </w:rPr>
        <w:t> </w:t>
      </w:r>
      <w:r>
        <w:rPr/>
        <w:t>There would also be increased complexity for building product manufacturers in producing and supplying different products for new and existing buildings, resulting in lost </w:t>
      </w:r>
      <w:r>
        <w:rPr>
          <w:spacing w:val="-2"/>
        </w:rPr>
        <w:t>efficiencies.</w:t>
      </w:r>
    </w:p>
    <w:p>
      <w:pPr>
        <w:pStyle w:val="BodyText"/>
      </w:pPr>
    </w:p>
    <w:p>
      <w:pPr>
        <w:pStyle w:val="BodyText"/>
        <w:spacing w:before="1"/>
        <w:ind w:left="420" w:right="811"/>
        <w:jc w:val="both"/>
      </w:pPr>
      <w:r>
        <w:rPr/>
        <w:t>As stated above, the analysis of this option contained in this RIS assumes</w:t>
      </w:r>
      <w:r>
        <w:rPr>
          <w:spacing w:val="40"/>
        </w:rPr>
        <w:t> </w:t>
      </w:r>
      <w:r>
        <w:rPr/>
        <w:t>that buildings undergoing upgrade work will be required by the Premises Standards to comply with the current BCA access provisions and in doing so will be compliant with the DDA.</w:t>
      </w:r>
      <w:r>
        <w:rPr>
          <w:spacing w:val="40"/>
        </w:rPr>
        <w:t> </w:t>
      </w:r>
      <w:r>
        <w:rPr/>
        <w:t>Consequently, potential costs to building owners and operators of litigation due to ‘non-compliance’ with the DDA have not been included in the analysis.</w:t>
      </w:r>
    </w:p>
    <w:p>
      <w:pPr>
        <w:pStyle w:val="BodyText"/>
        <w:spacing w:before="1"/>
      </w:pPr>
    </w:p>
    <w:p>
      <w:pPr>
        <w:pStyle w:val="Heading5"/>
        <w:spacing w:line="275" w:lineRule="exact"/>
        <w:ind w:left="420"/>
        <w:rPr>
          <w:i/>
        </w:rPr>
      </w:pPr>
      <w:r>
        <w:rPr>
          <w:i/>
        </w:rPr>
        <w:t>Expected</w:t>
      </w:r>
      <w:r>
        <w:rPr>
          <w:i/>
          <w:spacing w:val="-3"/>
        </w:rPr>
        <w:t> </w:t>
      </w:r>
      <w:r>
        <w:rPr>
          <w:i/>
        </w:rPr>
        <w:t>benefits</w:t>
      </w:r>
      <w:r>
        <w:rPr>
          <w:i/>
          <w:spacing w:val="-2"/>
        </w:rPr>
        <w:t> </w:t>
      </w:r>
      <w:r>
        <w:rPr>
          <w:i/>
        </w:rPr>
        <w:t>of</w:t>
      </w:r>
      <w:r>
        <w:rPr>
          <w:i/>
          <w:spacing w:val="-2"/>
        </w:rPr>
        <w:t> </w:t>
      </w:r>
      <w:r>
        <w:rPr>
          <w:i/>
        </w:rPr>
        <w:t>the</w:t>
      </w:r>
      <w:r>
        <w:rPr>
          <w:i/>
          <w:spacing w:val="-2"/>
        </w:rPr>
        <w:t> alternative</w:t>
      </w:r>
    </w:p>
    <w:p>
      <w:pPr>
        <w:pStyle w:val="BodyText"/>
        <w:ind w:left="420" w:right="810"/>
        <w:jc w:val="both"/>
      </w:pPr>
      <w:r>
        <w:rPr/>
        <w:t>The requirements of the Standards are to be applied equally to both new and upgraded buildings.</w:t>
      </w:r>
      <w:r>
        <w:rPr>
          <w:spacing w:val="80"/>
        </w:rPr>
        <w:t> </w:t>
      </w:r>
      <w:r>
        <w:rPr/>
        <w:t>Given this, it can reasonably be assumed that the benefits of the Standards will be similar for the two types of building work.</w:t>
      </w:r>
      <w:r>
        <w:rPr>
          <w:spacing w:val="80"/>
        </w:rPr>
        <w:t> </w:t>
      </w:r>
      <w:r>
        <w:rPr/>
        <w:t>The building activity data employed for this RIS (refer Table 7) indicate that approximately 66% of building activity relates to new buildings, while 34% relates to building upgrade work.</w:t>
      </w:r>
      <w:r>
        <w:rPr>
          <w:spacing w:val="80"/>
        </w:rPr>
        <w:t> </w:t>
      </w:r>
      <w:r>
        <w:rPr/>
        <w:t>Given this breakdown, it is assumed that</w:t>
      </w:r>
      <w:r>
        <w:rPr>
          <w:spacing w:val="40"/>
        </w:rPr>
        <w:t> </w:t>
      </w:r>
      <w:r>
        <w:rPr/>
        <w:t>the application of the Standards to new buildings only reduces the benefits of the current proposal (i.e. its application to all building work) by around 34%.</w:t>
      </w:r>
    </w:p>
    <w:p>
      <w:pPr>
        <w:pStyle w:val="BodyText"/>
        <w:spacing w:before="11"/>
        <w:rPr>
          <w:sz w:val="23"/>
        </w:rPr>
      </w:pPr>
    </w:p>
    <w:p>
      <w:pPr>
        <w:pStyle w:val="BodyText"/>
        <w:ind w:left="420" w:right="812"/>
        <w:jc w:val="both"/>
      </w:pPr>
      <w:r>
        <w:rPr/>
        <w:t>Modelling of this change shows that the benefits of this alternative would be approximately $43 million in year 1, rising to $656 million in year 15 and thereafter.</w:t>
      </w:r>
      <w:r>
        <w:rPr>
          <w:spacing w:val="34"/>
        </w:rPr>
        <w:t>  </w:t>
      </w:r>
      <w:r>
        <w:rPr/>
        <w:t>The</w:t>
      </w:r>
      <w:r>
        <w:rPr>
          <w:spacing w:val="35"/>
        </w:rPr>
        <w:t> </w:t>
      </w:r>
      <w:r>
        <w:rPr/>
        <w:t>present</w:t>
      </w:r>
      <w:r>
        <w:rPr>
          <w:spacing w:val="34"/>
        </w:rPr>
        <w:t> </w:t>
      </w:r>
      <w:r>
        <w:rPr/>
        <w:t>value</w:t>
      </w:r>
      <w:r>
        <w:rPr>
          <w:spacing w:val="34"/>
        </w:rPr>
        <w:t> </w:t>
      </w:r>
      <w:r>
        <w:rPr/>
        <w:t>(PV)</w:t>
      </w:r>
      <w:r>
        <w:rPr>
          <w:spacing w:val="34"/>
        </w:rPr>
        <w:t> </w:t>
      </w:r>
      <w:r>
        <w:rPr/>
        <w:t>of</w:t>
      </w:r>
      <w:r>
        <w:rPr>
          <w:spacing w:val="33"/>
        </w:rPr>
        <w:t> </w:t>
      </w:r>
      <w:r>
        <w:rPr/>
        <w:t>the</w:t>
      </w:r>
      <w:r>
        <w:rPr>
          <w:spacing w:val="35"/>
        </w:rPr>
        <w:t> </w:t>
      </w:r>
      <w:r>
        <w:rPr/>
        <w:t>benefits</w:t>
      </w:r>
      <w:r>
        <w:rPr>
          <w:spacing w:val="34"/>
        </w:rPr>
        <w:t> </w:t>
      </w:r>
      <w:r>
        <w:rPr/>
        <w:t>over</w:t>
      </w:r>
      <w:r>
        <w:rPr>
          <w:spacing w:val="34"/>
        </w:rPr>
        <w:t> </w:t>
      </w:r>
      <w:r>
        <w:rPr/>
        <w:t>30</w:t>
      </w:r>
      <w:r>
        <w:rPr>
          <w:spacing w:val="35"/>
        </w:rPr>
        <w:t> </w:t>
      </w:r>
      <w:r>
        <w:rPr/>
        <w:t>years</w:t>
      </w:r>
      <w:r>
        <w:rPr>
          <w:spacing w:val="34"/>
        </w:rPr>
        <w:t> </w:t>
      </w:r>
      <w:r>
        <w:rPr/>
        <w:t>would</w:t>
      </w:r>
      <w:r>
        <w:rPr>
          <w:spacing w:val="34"/>
        </w:rPr>
        <w:t> </w:t>
      </w:r>
      <w:r>
        <w:rPr>
          <w:spacing w:val="-5"/>
        </w:rPr>
        <w:t>be</w:t>
      </w:r>
    </w:p>
    <w:p>
      <w:pPr>
        <w:pStyle w:val="BodyText"/>
        <w:ind w:left="420"/>
        <w:jc w:val="both"/>
      </w:pPr>
      <w:r>
        <w:rPr/>
        <w:t>$4.7</w:t>
      </w:r>
      <w:r>
        <w:rPr>
          <w:spacing w:val="-11"/>
        </w:rPr>
        <w:t> </w:t>
      </w:r>
      <w:r>
        <w:rPr/>
        <w:t>($2.8)</w:t>
      </w:r>
      <w:r>
        <w:rPr>
          <w:spacing w:val="-10"/>
        </w:rPr>
        <w:t> </w:t>
      </w:r>
      <w:r>
        <w:rPr>
          <w:spacing w:val="-2"/>
        </w:rPr>
        <w:t>billion.</w:t>
      </w:r>
    </w:p>
    <w:p>
      <w:pPr>
        <w:pStyle w:val="BodyText"/>
      </w:pPr>
    </w:p>
    <w:p>
      <w:pPr>
        <w:pStyle w:val="BodyText"/>
        <w:ind w:left="419" w:right="811"/>
        <w:jc w:val="both"/>
      </w:pPr>
      <w:r>
        <w:rPr/>
        <w:t>In qualitative terms, it should be noted that this alternative would see the rate of dissemination of accessible buildings reduced by around one third, by comparison with the proposed Standards.</w:t>
      </w:r>
      <w:r>
        <w:rPr>
          <w:spacing w:val="40"/>
        </w:rPr>
        <w:t> </w:t>
      </w:r>
      <w:r>
        <w:rPr/>
        <w:t>This would substantially slow the achievement of a more accessible built environment, which is particularly significant given the long life spans of buildings.</w:t>
      </w:r>
      <w:r>
        <w:rPr>
          <w:spacing w:val="40"/>
        </w:rPr>
        <w:t> </w:t>
      </w:r>
      <w:r>
        <w:rPr/>
        <w:t>The proposed Standards will therefore achieve a fully accessible environment only after several decades.</w:t>
      </w:r>
    </w:p>
    <w:p>
      <w:pPr>
        <w:pStyle w:val="BodyText"/>
      </w:pPr>
    </w:p>
    <w:p>
      <w:pPr>
        <w:pStyle w:val="Heading5"/>
        <w:spacing w:line="275" w:lineRule="exact"/>
        <w:ind w:left="419"/>
        <w:rPr>
          <w:i/>
        </w:rPr>
      </w:pPr>
      <w:r>
        <w:rPr>
          <w:i/>
        </w:rPr>
        <w:t>Expected</w:t>
      </w:r>
      <w:r>
        <w:rPr>
          <w:i/>
          <w:spacing w:val="-4"/>
        </w:rPr>
        <w:t> </w:t>
      </w:r>
      <w:r>
        <w:rPr>
          <w:i/>
        </w:rPr>
        <w:t>costs</w:t>
      </w:r>
      <w:r>
        <w:rPr>
          <w:i/>
          <w:spacing w:val="-3"/>
        </w:rPr>
        <w:t> </w:t>
      </w:r>
      <w:r>
        <w:rPr>
          <w:i/>
        </w:rPr>
        <w:t>of</w:t>
      </w:r>
      <w:r>
        <w:rPr>
          <w:i/>
          <w:spacing w:val="-4"/>
        </w:rPr>
        <w:t> </w:t>
      </w:r>
      <w:r>
        <w:rPr>
          <w:i/>
        </w:rPr>
        <w:t>the</w:t>
      </w:r>
      <w:r>
        <w:rPr>
          <w:i/>
          <w:spacing w:val="-3"/>
        </w:rPr>
        <w:t> </w:t>
      </w:r>
      <w:r>
        <w:rPr>
          <w:i/>
          <w:spacing w:val="-2"/>
        </w:rPr>
        <w:t>alternative</w:t>
      </w:r>
    </w:p>
    <w:p>
      <w:pPr>
        <w:pStyle w:val="BodyText"/>
        <w:ind w:left="420" w:right="812"/>
        <w:jc w:val="both"/>
      </w:pPr>
      <w:r>
        <w:rPr/>
        <w:t>The costs of this alternative are substantially lower than is the case with the proposed Standards.</w:t>
      </w:r>
      <w:r>
        <w:rPr>
          <w:spacing w:val="40"/>
        </w:rPr>
        <w:t> </w:t>
      </w:r>
      <w:r>
        <w:rPr/>
        <w:t>The annual incremental cost of applying the Standards to</w:t>
      </w:r>
      <w:r>
        <w:rPr>
          <w:spacing w:val="-1"/>
        </w:rPr>
        <w:t> </w:t>
      </w:r>
      <w:r>
        <w:rPr/>
        <w:t>new</w:t>
      </w:r>
      <w:r>
        <w:rPr>
          <w:spacing w:val="-1"/>
        </w:rPr>
        <w:t> </w:t>
      </w:r>
      <w:r>
        <w:rPr/>
        <w:t>buildings</w:t>
      </w:r>
      <w:r>
        <w:rPr>
          <w:spacing w:val="-1"/>
        </w:rPr>
        <w:t> </w:t>
      </w:r>
      <w:r>
        <w:rPr/>
        <w:t>only,</w:t>
      </w:r>
      <w:r>
        <w:rPr>
          <w:spacing w:val="-1"/>
        </w:rPr>
        <w:t> </w:t>
      </w:r>
      <w:r>
        <w:rPr/>
        <w:t>is</w:t>
      </w:r>
      <w:r>
        <w:rPr>
          <w:spacing w:val="-1"/>
        </w:rPr>
        <w:t> </w:t>
      </w:r>
      <w:r>
        <w:rPr/>
        <w:t>$159</w:t>
      </w:r>
      <w:r>
        <w:rPr>
          <w:spacing w:val="-1"/>
        </w:rPr>
        <w:t> </w:t>
      </w:r>
      <w:r>
        <w:rPr/>
        <w:t>million.</w:t>
      </w:r>
      <w:r>
        <w:rPr>
          <w:spacing w:val="40"/>
        </w:rPr>
        <w:t> </w:t>
      </w:r>
      <w:r>
        <w:rPr/>
        <w:t>Additional</w:t>
      </w:r>
      <w:r>
        <w:rPr>
          <w:spacing w:val="-1"/>
        </w:rPr>
        <w:t> </w:t>
      </w:r>
      <w:r>
        <w:rPr/>
        <w:t>maintenance</w:t>
      </w:r>
      <w:r>
        <w:rPr>
          <w:spacing w:val="-1"/>
        </w:rPr>
        <w:t> </w:t>
      </w:r>
      <w:r>
        <w:rPr/>
        <w:t>expenditures in respect of new lifts and hearing augmentation devices must also be added. These costs rise steadily from $0.24 million in year 2 to $22 million in year 30. The PV of the costs of this alternative is equal to $4.7 ($2.8) billion over 30 </w:t>
      </w:r>
      <w:r>
        <w:rPr>
          <w:spacing w:val="-2"/>
        </w:rPr>
        <w:t>years.</w:t>
      </w:r>
    </w:p>
    <w:p>
      <w:pPr>
        <w:pStyle w:val="BodyText"/>
      </w:pPr>
    </w:p>
    <w:p>
      <w:pPr>
        <w:pStyle w:val="BodyText"/>
        <w:ind w:left="420" w:right="813"/>
        <w:jc w:val="both"/>
      </w:pPr>
      <w:r>
        <w:rPr/>
        <w:t>However, it was noted above that this option would involve significantly greater administrative costs.</w:t>
      </w:r>
      <w:r>
        <w:rPr>
          <w:spacing w:val="40"/>
        </w:rPr>
        <w:t> </w:t>
      </w:r>
      <w:r>
        <w:rPr/>
        <w:t>These have not been able to be quantified, but must be taken into account when weighing this alternative.</w:t>
      </w:r>
    </w:p>
    <w:p>
      <w:pPr>
        <w:pStyle w:val="BodyText"/>
        <w:spacing w:before="1"/>
      </w:pPr>
    </w:p>
    <w:p>
      <w:pPr>
        <w:pStyle w:val="Heading5"/>
        <w:ind w:left="420"/>
        <w:rPr>
          <w:i/>
        </w:rPr>
      </w:pPr>
      <w:r>
        <w:rPr>
          <w:i/>
        </w:rPr>
        <w:t>Comparison</w:t>
      </w:r>
      <w:r>
        <w:rPr>
          <w:i/>
          <w:spacing w:val="-11"/>
        </w:rPr>
        <w:t> </w:t>
      </w:r>
      <w:r>
        <w:rPr>
          <w:i/>
        </w:rPr>
        <w:t>of</w:t>
      </w:r>
      <w:r>
        <w:rPr>
          <w:i/>
          <w:spacing w:val="-11"/>
        </w:rPr>
        <w:t> </w:t>
      </w:r>
      <w:r>
        <w:rPr>
          <w:i/>
        </w:rPr>
        <w:t>benefits</w:t>
      </w:r>
      <w:r>
        <w:rPr>
          <w:i/>
          <w:spacing w:val="-11"/>
        </w:rPr>
        <w:t> </w:t>
      </w:r>
      <w:r>
        <w:rPr>
          <w:i/>
        </w:rPr>
        <w:t>and</w:t>
      </w:r>
      <w:r>
        <w:rPr>
          <w:i/>
          <w:spacing w:val="-11"/>
        </w:rPr>
        <w:t> </w:t>
      </w:r>
      <w:r>
        <w:rPr>
          <w:i/>
          <w:spacing w:val="-2"/>
        </w:rPr>
        <w:t>costs</w:t>
      </w:r>
    </w:p>
    <w:p>
      <w:pPr>
        <w:spacing w:after="0"/>
        <w:sectPr>
          <w:pgSz w:w="11900" w:h="16840"/>
          <w:pgMar w:header="0" w:footer="1130" w:top="1000" w:bottom="1320" w:left="1380" w:right="980"/>
        </w:sectPr>
      </w:pPr>
    </w:p>
    <w:p>
      <w:pPr>
        <w:pStyle w:val="BodyText"/>
        <w:spacing w:before="75"/>
        <w:ind w:left="420"/>
        <w:jc w:val="both"/>
      </w:pPr>
      <w:bookmarkStart w:name="_bookmark29" w:id="106"/>
      <w:bookmarkEnd w:id="106"/>
      <w:r>
        <w:rPr/>
      </w:r>
      <w:r>
        <w:rPr/>
        <w:t>Table</w:t>
      </w:r>
      <w:r>
        <w:rPr>
          <w:spacing w:val="-3"/>
        </w:rPr>
        <w:t> </w:t>
      </w:r>
      <w:r>
        <w:rPr/>
        <w:t>13</w:t>
      </w:r>
      <w:r>
        <w:rPr>
          <w:spacing w:val="-3"/>
        </w:rPr>
        <w:t> </w:t>
      </w:r>
      <w:r>
        <w:rPr/>
        <w:t>compares</w:t>
      </w:r>
      <w:r>
        <w:rPr>
          <w:spacing w:val="-3"/>
        </w:rPr>
        <w:t> </w:t>
      </w:r>
      <w:r>
        <w:rPr/>
        <w:t>the</w:t>
      </w:r>
      <w:r>
        <w:rPr>
          <w:spacing w:val="-3"/>
        </w:rPr>
        <w:t> </w:t>
      </w:r>
      <w:r>
        <w:rPr/>
        <w:t>benefits</w:t>
      </w:r>
      <w:r>
        <w:rPr>
          <w:spacing w:val="-3"/>
        </w:rPr>
        <w:t> </w:t>
      </w:r>
      <w:r>
        <w:rPr/>
        <w:t>and</w:t>
      </w:r>
      <w:r>
        <w:rPr>
          <w:spacing w:val="-3"/>
        </w:rPr>
        <w:t> </w:t>
      </w:r>
      <w:r>
        <w:rPr/>
        <w:t>costs</w:t>
      </w:r>
      <w:r>
        <w:rPr>
          <w:spacing w:val="-3"/>
        </w:rPr>
        <w:t> </w:t>
      </w:r>
      <w:r>
        <w:rPr/>
        <w:t>of</w:t>
      </w:r>
      <w:r>
        <w:rPr>
          <w:spacing w:val="-3"/>
        </w:rPr>
        <w:t> </w:t>
      </w:r>
      <w:r>
        <w:rPr/>
        <w:t>this</w:t>
      </w:r>
      <w:r>
        <w:rPr>
          <w:spacing w:val="-3"/>
        </w:rPr>
        <w:t> </w:t>
      </w:r>
      <w:r>
        <w:rPr>
          <w:spacing w:val="-2"/>
        </w:rPr>
        <w:t>alternative.</w:t>
      </w:r>
    </w:p>
    <w:p>
      <w:pPr>
        <w:pStyle w:val="BodyText"/>
        <w:spacing w:before="1"/>
      </w:pPr>
    </w:p>
    <w:p>
      <w:pPr>
        <w:pStyle w:val="Heading4"/>
        <w:spacing w:before="1"/>
        <w:ind w:right="835"/>
        <w:rPr>
          <w:u w:val="none"/>
        </w:rPr>
      </w:pPr>
      <w:r>
        <w:rPr>
          <w:u w:val="single"/>
        </w:rPr>
        <w:t>Table</w:t>
      </w:r>
      <w:r>
        <w:rPr>
          <w:spacing w:val="-3"/>
          <w:u w:val="single"/>
        </w:rPr>
        <w:t> </w:t>
      </w:r>
      <w:r>
        <w:rPr>
          <w:u w:val="single"/>
        </w:rPr>
        <w:t>13:</w:t>
      </w:r>
      <w:r>
        <w:rPr>
          <w:spacing w:val="40"/>
          <w:u w:val="single"/>
        </w:rPr>
        <w:t> </w:t>
      </w:r>
      <w:r>
        <w:rPr>
          <w:u w:val="single"/>
        </w:rPr>
        <w:t>Benefits</w:t>
      </w:r>
      <w:r>
        <w:rPr>
          <w:spacing w:val="-4"/>
          <w:u w:val="single"/>
        </w:rPr>
        <w:t> </w:t>
      </w:r>
      <w:r>
        <w:rPr>
          <w:u w:val="single"/>
        </w:rPr>
        <w:t>and</w:t>
      </w:r>
      <w:r>
        <w:rPr>
          <w:spacing w:val="-4"/>
          <w:u w:val="single"/>
        </w:rPr>
        <w:t> </w:t>
      </w:r>
      <w:r>
        <w:rPr>
          <w:u w:val="single"/>
        </w:rPr>
        <w:t>costs</w:t>
      </w:r>
      <w:r>
        <w:rPr>
          <w:spacing w:val="-4"/>
          <w:u w:val="single"/>
        </w:rPr>
        <w:t> </w:t>
      </w:r>
      <w:r>
        <w:rPr>
          <w:u w:val="single"/>
        </w:rPr>
        <w:t>of</w:t>
      </w:r>
      <w:r>
        <w:rPr>
          <w:spacing w:val="-4"/>
          <w:u w:val="single"/>
        </w:rPr>
        <w:t> </w:t>
      </w:r>
      <w:r>
        <w:rPr>
          <w:u w:val="single"/>
        </w:rPr>
        <w:t>applying</w:t>
      </w:r>
      <w:r>
        <w:rPr>
          <w:spacing w:val="-4"/>
          <w:u w:val="single"/>
        </w:rPr>
        <w:t> </w:t>
      </w:r>
      <w:r>
        <w:rPr>
          <w:u w:val="single"/>
        </w:rPr>
        <w:t>the</w:t>
      </w:r>
      <w:r>
        <w:rPr>
          <w:spacing w:val="-4"/>
          <w:u w:val="single"/>
        </w:rPr>
        <w:t> </w:t>
      </w:r>
      <w:r>
        <w:rPr>
          <w:u w:val="single"/>
        </w:rPr>
        <w:t>Standards</w:t>
      </w:r>
      <w:r>
        <w:rPr>
          <w:spacing w:val="-4"/>
          <w:u w:val="single"/>
        </w:rPr>
        <w:t> </w:t>
      </w:r>
      <w:r>
        <w:rPr>
          <w:u w:val="single"/>
        </w:rPr>
        <w:t>to</w:t>
      </w:r>
      <w:r>
        <w:rPr>
          <w:spacing w:val="-4"/>
          <w:u w:val="single"/>
        </w:rPr>
        <w:t> </w:t>
      </w:r>
      <w:r>
        <w:rPr>
          <w:u w:val="single"/>
        </w:rPr>
        <w:t>new</w:t>
      </w:r>
      <w:r>
        <w:rPr>
          <w:spacing w:val="-4"/>
          <w:u w:val="single"/>
        </w:rPr>
        <w:t> </w:t>
      </w:r>
      <w:r>
        <w:rPr>
          <w:u w:val="single"/>
        </w:rPr>
        <w:t>buildings</w:t>
      </w:r>
      <w:r>
        <w:rPr>
          <w:u w:val="none"/>
        </w:rPr>
        <w:t> </w:t>
      </w:r>
      <w:r>
        <w:rPr>
          <w:u w:val="single"/>
        </w:rPr>
        <w:t>only (Option 2) ($billion)</w:t>
      </w:r>
    </w:p>
    <w:p>
      <w:pPr>
        <w:pStyle w:val="BodyText"/>
        <w:spacing w:before="1" w:after="1"/>
        <w:rPr>
          <w:b/>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8"/>
        <w:gridCol w:w="2340"/>
        <w:gridCol w:w="2340"/>
      </w:tblGrid>
      <w:tr>
        <w:trPr>
          <w:trHeight w:val="332" w:hRule="atLeast"/>
        </w:trPr>
        <w:tc>
          <w:tcPr>
            <w:tcW w:w="3168" w:type="dxa"/>
          </w:tcPr>
          <w:p>
            <w:pPr>
              <w:pStyle w:val="TableParagraph"/>
              <w:rPr>
                <w:rFonts w:ascii="Times New Roman"/>
                <w:sz w:val="24"/>
              </w:rPr>
            </w:pPr>
          </w:p>
        </w:tc>
        <w:tc>
          <w:tcPr>
            <w:tcW w:w="2340" w:type="dxa"/>
          </w:tcPr>
          <w:p>
            <w:pPr>
              <w:pStyle w:val="TableParagraph"/>
              <w:spacing w:before="26"/>
              <w:ind w:left="107"/>
              <w:rPr>
                <w:b/>
                <w:sz w:val="24"/>
              </w:rPr>
            </w:pPr>
            <w:r>
              <w:rPr>
                <w:b/>
                <w:sz w:val="24"/>
              </w:rPr>
              <w:t>4%</w:t>
            </w:r>
            <w:r>
              <w:rPr>
                <w:b/>
                <w:spacing w:val="-5"/>
                <w:sz w:val="24"/>
              </w:rPr>
              <w:t> </w:t>
            </w:r>
            <w:r>
              <w:rPr>
                <w:b/>
                <w:sz w:val="24"/>
              </w:rPr>
              <w:t>Discount</w:t>
            </w:r>
            <w:r>
              <w:rPr>
                <w:b/>
                <w:spacing w:val="-1"/>
                <w:sz w:val="24"/>
              </w:rPr>
              <w:t> </w:t>
            </w:r>
            <w:r>
              <w:rPr>
                <w:b/>
                <w:spacing w:val="-4"/>
                <w:sz w:val="24"/>
              </w:rPr>
              <w:t>Rate</w:t>
            </w:r>
          </w:p>
        </w:tc>
        <w:tc>
          <w:tcPr>
            <w:tcW w:w="2340" w:type="dxa"/>
          </w:tcPr>
          <w:p>
            <w:pPr>
              <w:pStyle w:val="TableParagraph"/>
              <w:spacing w:before="26"/>
              <w:ind w:left="108"/>
              <w:rPr>
                <w:b/>
                <w:sz w:val="24"/>
              </w:rPr>
            </w:pPr>
            <w:r>
              <w:rPr>
                <w:b/>
                <w:sz w:val="24"/>
              </w:rPr>
              <w:t>7%</w:t>
            </w:r>
            <w:r>
              <w:rPr>
                <w:b/>
                <w:spacing w:val="-5"/>
                <w:sz w:val="24"/>
              </w:rPr>
              <w:t> </w:t>
            </w:r>
            <w:r>
              <w:rPr>
                <w:b/>
                <w:sz w:val="24"/>
              </w:rPr>
              <w:t>Discount</w:t>
            </w:r>
            <w:r>
              <w:rPr>
                <w:b/>
                <w:spacing w:val="-1"/>
                <w:sz w:val="24"/>
              </w:rPr>
              <w:t> </w:t>
            </w:r>
            <w:r>
              <w:rPr>
                <w:b/>
                <w:spacing w:val="-4"/>
                <w:sz w:val="24"/>
              </w:rPr>
              <w:t>Rate</w:t>
            </w:r>
          </w:p>
        </w:tc>
      </w:tr>
      <w:tr>
        <w:trPr>
          <w:trHeight w:val="332" w:hRule="atLeast"/>
        </w:trPr>
        <w:tc>
          <w:tcPr>
            <w:tcW w:w="3168" w:type="dxa"/>
          </w:tcPr>
          <w:p>
            <w:pPr>
              <w:pStyle w:val="TableParagraph"/>
              <w:spacing w:before="25"/>
              <w:ind w:left="107"/>
              <w:rPr>
                <w:sz w:val="24"/>
              </w:rPr>
            </w:pPr>
            <w:r>
              <w:rPr>
                <w:sz w:val="24"/>
              </w:rPr>
              <w:t>Benefits</w:t>
            </w:r>
            <w:r>
              <w:rPr>
                <w:spacing w:val="-4"/>
                <w:sz w:val="24"/>
              </w:rPr>
              <w:t> </w:t>
            </w:r>
            <w:r>
              <w:rPr>
                <w:sz w:val="24"/>
              </w:rPr>
              <w:t>(PV</w:t>
            </w:r>
            <w:r>
              <w:rPr>
                <w:spacing w:val="-4"/>
                <w:sz w:val="24"/>
              </w:rPr>
              <w:t> </w:t>
            </w:r>
            <w:r>
              <w:rPr>
                <w:sz w:val="24"/>
              </w:rPr>
              <w:t>over</w:t>
            </w:r>
            <w:r>
              <w:rPr>
                <w:spacing w:val="-4"/>
                <w:sz w:val="24"/>
              </w:rPr>
              <w:t> </w:t>
            </w:r>
            <w:r>
              <w:rPr>
                <w:sz w:val="24"/>
              </w:rPr>
              <w:t>30</w:t>
            </w:r>
            <w:r>
              <w:rPr>
                <w:spacing w:val="-4"/>
                <w:sz w:val="24"/>
              </w:rPr>
              <w:t> </w:t>
            </w:r>
            <w:r>
              <w:rPr>
                <w:spacing w:val="-2"/>
                <w:sz w:val="24"/>
              </w:rPr>
              <w:t>years)</w:t>
            </w:r>
          </w:p>
        </w:tc>
        <w:tc>
          <w:tcPr>
            <w:tcW w:w="2340" w:type="dxa"/>
          </w:tcPr>
          <w:p>
            <w:pPr>
              <w:pStyle w:val="TableParagraph"/>
              <w:spacing w:before="25"/>
              <w:ind w:right="96"/>
              <w:jc w:val="right"/>
              <w:rPr>
                <w:sz w:val="24"/>
              </w:rPr>
            </w:pPr>
            <w:r>
              <w:rPr>
                <w:spacing w:val="-5"/>
                <w:sz w:val="24"/>
              </w:rPr>
              <w:t>7.6</w:t>
            </w:r>
          </w:p>
        </w:tc>
        <w:tc>
          <w:tcPr>
            <w:tcW w:w="2340" w:type="dxa"/>
          </w:tcPr>
          <w:p>
            <w:pPr>
              <w:pStyle w:val="TableParagraph"/>
              <w:spacing w:before="25"/>
              <w:ind w:right="96"/>
              <w:jc w:val="right"/>
              <w:rPr>
                <w:sz w:val="24"/>
              </w:rPr>
            </w:pPr>
            <w:r>
              <w:rPr>
                <w:spacing w:val="-5"/>
                <w:sz w:val="24"/>
              </w:rPr>
              <w:t>4.9</w:t>
            </w:r>
          </w:p>
        </w:tc>
      </w:tr>
      <w:tr>
        <w:trPr>
          <w:trHeight w:val="332" w:hRule="atLeast"/>
        </w:trPr>
        <w:tc>
          <w:tcPr>
            <w:tcW w:w="3168" w:type="dxa"/>
          </w:tcPr>
          <w:p>
            <w:pPr>
              <w:pStyle w:val="TableParagraph"/>
              <w:spacing w:before="25"/>
              <w:ind w:left="107"/>
              <w:rPr>
                <w:sz w:val="24"/>
              </w:rPr>
            </w:pPr>
            <w:r>
              <w:rPr>
                <w:sz w:val="24"/>
              </w:rPr>
              <w:t>Costs</w:t>
            </w:r>
            <w:r>
              <w:rPr>
                <w:spacing w:val="-8"/>
                <w:sz w:val="24"/>
              </w:rPr>
              <w:t> </w:t>
            </w:r>
            <w:r>
              <w:rPr>
                <w:sz w:val="24"/>
              </w:rPr>
              <w:t>(PV</w:t>
            </w:r>
            <w:r>
              <w:rPr>
                <w:spacing w:val="-8"/>
                <w:sz w:val="24"/>
              </w:rPr>
              <w:t> </w:t>
            </w:r>
            <w:r>
              <w:rPr>
                <w:sz w:val="24"/>
              </w:rPr>
              <w:t>over</w:t>
            </w:r>
            <w:r>
              <w:rPr>
                <w:spacing w:val="-7"/>
                <w:sz w:val="24"/>
              </w:rPr>
              <w:t> </w:t>
            </w:r>
            <w:r>
              <w:rPr>
                <w:sz w:val="24"/>
              </w:rPr>
              <w:t>30</w:t>
            </w:r>
            <w:r>
              <w:rPr>
                <w:spacing w:val="-7"/>
                <w:sz w:val="24"/>
              </w:rPr>
              <w:t> </w:t>
            </w:r>
            <w:r>
              <w:rPr>
                <w:spacing w:val="-2"/>
                <w:sz w:val="24"/>
              </w:rPr>
              <w:t>years)</w:t>
            </w:r>
          </w:p>
        </w:tc>
        <w:tc>
          <w:tcPr>
            <w:tcW w:w="2340" w:type="dxa"/>
          </w:tcPr>
          <w:p>
            <w:pPr>
              <w:pStyle w:val="TableParagraph"/>
              <w:spacing w:before="25"/>
              <w:ind w:right="95"/>
              <w:jc w:val="right"/>
              <w:rPr>
                <w:sz w:val="24"/>
              </w:rPr>
            </w:pPr>
            <w:r>
              <w:rPr>
                <w:spacing w:val="-5"/>
                <w:sz w:val="24"/>
              </w:rPr>
              <w:t>2.9</w:t>
            </w:r>
          </w:p>
        </w:tc>
        <w:tc>
          <w:tcPr>
            <w:tcW w:w="2340" w:type="dxa"/>
          </w:tcPr>
          <w:p>
            <w:pPr>
              <w:pStyle w:val="TableParagraph"/>
              <w:spacing w:before="25"/>
              <w:ind w:right="96"/>
              <w:jc w:val="right"/>
              <w:rPr>
                <w:sz w:val="24"/>
              </w:rPr>
            </w:pPr>
            <w:r>
              <w:rPr>
                <w:spacing w:val="-5"/>
                <w:sz w:val="24"/>
              </w:rPr>
              <w:t>2.1</w:t>
            </w:r>
          </w:p>
        </w:tc>
      </w:tr>
      <w:tr>
        <w:trPr>
          <w:trHeight w:val="332" w:hRule="atLeast"/>
        </w:trPr>
        <w:tc>
          <w:tcPr>
            <w:tcW w:w="3168" w:type="dxa"/>
          </w:tcPr>
          <w:p>
            <w:pPr>
              <w:pStyle w:val="TableParagraph"/>
              <w:spacing w:before="25"/>
              <w:ind w:left="107"/>
              <w:rPr>
                <w:sz w:val="24"/>
              </w:rPr>
            </w:pPr>
            <w:r>
              <w:rPr>
                <w:sz w:val="24"/>
              </w:rPr>
              <w:t>Net</w:t>
            </w:r>
            <w:r>
              <w:rPr>
                <w:spacing w:val="-6"/>
                <w:sz w:val="24"/>
              </w:rPr>
              <w:t> </w:t>
            </w:r>
            <w:r>
              <w:rPr>
                <w:sz w:val="24"/>
              </w:rPr>
              <w:t>Present</w:t>
            </w:r>
            <w:r>
              <w:rPr>
                <w:spacing w:val="-6"/>
                <w:sz w:val="24"/>
              </w:rPr>
              <w:t> </w:t>
            </w:r>
            <w:r>
              <w:rPr>
                <w:spacing w:val="-2"/>
                <w:sz w:val="24"/>
              </w:rPr>
              <w:t>Value</w:t>
            </w:r>
          </w:p>
        </w:tc>
        <w:tc>
          <w:tcPr>
            <w:tcW w:w="2340" w:type="dxa"/>
          </w:tcPr>
          <w:p>
            <w:pPr>
              <w:pStyle w:val="TableParagraph"/>
              <w:spacing w:before="25"/>
              <w:ind w:right="94"/>
              <w:jc w:val="right"/>
              <w:rPr>
                <w:sz w:val="24"/>
              </w:rPr>
            </w:pPr>
            <w:r>
              <w:rPr>
                <w:spacing w:val="-5"/>
                <w:sz w:val="24"/>
              </w:rPr>
              <w:t>4.7</w:t>
            </w:r>
          </w:p>
        </w:tc>
        <w:tc>
          <w:tcPr>
            <w:tcW w:w="2340" w:type="dxa"/>
          </w:tcPr>
          <w:p>
            <w:pPr>
              <w:pStyle w:val="TableParagraph"/>
              <w:spacing w:before="25"/>
              <w:ind w:right="95"/>
              <w:jc w:val="right"/>
              <w:rPr>
                <w:sz w:val="24"/>
              </w:rPr>
            </w:pPr>
            <w:r>
              <w:rPr>
                <w:spacing w:val="-5"/>
                <w:sz w:val="24"/>
              </w:rPr>
              <w:t>2.8</w:t>
            </w:r>
          </w:p>
        </w:tc>
      </w:tr>
      <w:tr>
        <w:trPr>
          <w:trHeight w:val="331" w:hRule="atLeast"/>
        </w:trPr>
        <w:tc>
          <w:tcPr>
            <w:tcW w:w="3168" w:type="dxa"/>
          </w:tcPr>
          <w:p>
            <w:pPr>
              <w:pStyle w:val="TableParagraph"/>
              <w:spacing w:before="26"/>
              <w:ind w:left="175"/>
              <w:rPr>
                <w:b/>
                <w:sz w:val="24"/>
              </w:rPr>
            </w:pPr>
            <w:r>
              <w:rPr>
                <w:b/>
                <w:sz w:val="24"/>
              </w:rPr>
              <w:t>Benefit/cost</w:t>
            </w:r>
            <w:r>
              <w:rPr>
                <w:b/>
                <w:spacing w:val="-2"/>
                <w:sz w:val="24"/>
              </w:rPr>
              <w:t> ratio</w:t>
            </w:r>
          </w:p>
        </w:tc>
        <w:tc>
          <w:tcPr>
            <w:tcW w:w="2340" w:type="dxa"/>
          </w:tcPr>
          <w:p>
            <w:pPr>
              <w:pStyle w:val="TableParagraph"/>
              <w:spacing w:before="25"/>
              <w:ind w:left="792" w:right="783"/>
              <w:jc w:val="center"/>
              <w:rPr>
                <w:sz w:val="24"/>
              </w:rPr>
            </w:pPr>
            <w:r>
              <w:rPr>
                <w:sz w:val="24"/>
              </w:rPr>
              <w:t>2.62:</w:t>
            </w:r>
            <w:r>
              <w:rPr>
                <w:spacing w:val="-9"/>
                <w:sz w:val="24"/>
              </w:rPr>
              <w:t> </w:t>
            </w:r>
            <w:r>
              <w:rPr>
                <w:spacing w:val="-10"/>
                <w:sz w:val="24"/>
              </w:rPr>
              <w:t>1</w:t>
            </w:r>
          </w:p>
        </w:tc>
        <w:tc>
          <w:tcPr>
            <w:tcW w:w="2340" w:type="dxa"/>
          </w:tcPr>
          <w:p>
            <w:pPr>
              <w:pStyle w:val="TableParagraph"/>
              <w:spacing w:before="25"/>
              <w:ind w:left="792" w:right="783"/>
              <w:jc w:val="center"/>
              <w:rPr>
                <w:sz w:val="24"/>
              </w:rPr>
            </w:pPr>
            <w:r>
              <w:rPr>
                <w:spacing w:val="-2"/>
                <w:sz w:val="24"/>
              </w:rPr>
              <w:t>2.36:1</w:t>
            </w:r>
          </w:p>
        </w:tc>
      </w:tr>
    </w:tbl>
    <w:p>
      <w:pPr>
        <w:pStyle w:val="BodyText"/>
        <w:spacing w:before="9"/>
        <w:rPr>
          <w:b/>
          <w:sz w:val="23"/>
        </w:rPr>
      </w:pPr>
    </w:p>
    <w:p>
      <w:pPr>
        <w:pStyle w:val="BodyText"/>
        <w:ind w:left="419" w:right="810"/>
        <w:jc w:val="both"/>
      </w:pPr>
      <w:r>
        <w:rPr/>
        <w:t>Table 13 shows that using a 4% discount rate the total benefits are reduced</w:t>
      </w:r>
      <w:r>
        <w:rPr>
          <w:spacing w:val="40"/>
        </w:rPr>
        <w:t> </w:t>
      </w:r>
      <w:r>
        <w:rPr/>
        <w:t>by 33% over the proposed Standards, but that the NPV, at $4.7 billion is $2.6 billion higher than under the proposed Standards.</w:t>
      </w:r>
      <w:r>
        <w:rPr>
          <w:spacing w:val="40"/>
        </w:rPr>
        <w:t> </w:t>
      </w:r>
      <w:r>
        <w:rPr/>
        <w:t>Similarly, the benefit/cost ratio is substantially higher than under the proposed Standards, at 2.62: 1.</w:t>
      </w:r>
    </w:p>
    <w:p>
      <w:pPr>
        <w:pStyle w:val="BodyText"/>
      </w:pPr>
    </w:p>
    <w:p>
      <w:pPr>
        <w:pStyle w:val="BodyText"/>
        <w:ind w:left="419" w:right="812"/>
        <w:jc w:val="both"/>
      </w:pPr>
      <w:r>
        <w:rPr/>
        <w:t>Using</w:t>
      </w:r>
      <w:r>
        <w:rPr>
          <w:spacing w:val="-3"/>
        </w:rPr>
        <w:t> </w:t>
      </w:r>
      <w:r>
        <w:rPr/>
        <w:t>a</w:t>
      </w:r>
      <w:r>
        <w:rPr>
          <w:spacing w:val="-3"/>
        </w:rPr>
        <w:t> </w:t>
      </w:r>
      <w:r>
        <w:rPr/>
        <w:t>7%</w:t>
      </w:r>
      <w:r>
        <w:rPr>
          <w:spacing w:val="-3"/>
        </w:rPr>
        <w:t> </w:t>
      </w:r>
      <w:r>
        <w:rPr/>
        <w:t>discount</w:t>
      </w:r>
      <w:r>
        <w:rPr>
          <w:spacing w:val="-1"/>
        </w:rPr>
        <w:t> </w:t>
      </w:r>
      <w:r>
        <w:rPr/>
        <w:t>rate</w:t>
      </w:r>
      <w:r>
        <w:rPr>
          <w:spacing w:val="-3"/>
        </w:rPr>
        <w:t> </w:t>
      </w:r>
      <w:r>
        <w:rPr/>
        <w:t>the</w:t>
      </w:r>
      <w:r>
        <w:rPr>
          <w:spacing w:val="-3"/>
        </w:rPr>
        <w:t> </w:t>
      </w:r>
      <w:r>
        <w:rPr/>
        <w:t>total</w:t>
      </w:r>
      <w:r>
        <w:rPr>
          <w:spacing w:val="-3"/>
        </w:rPr>
        <w:t> </w:t>
      </w:r>
      <w:r>
        <w:rPr/>
        <w:t>benefits</w:t>
      </w:r>
      <w:r>
        <w:rPr>
          <w:spacing w:val="-3"/>
        </w:rPr>
        <w:t> </w:t>
      </w:r>
      <w:r>
        <w:rPr/>
        <w:t>are</w:t>
      </w:r>
      <w:r>
        <w:rPr>
          <w:spacing w:val="-3"/>
        </w:rPr>
        <w:t> </w:t>
      </w:r>
      <w:r>
        <w:rPr/>
        <w:t>again</w:t>
      </w:r>
      <w:r>
        <w:rPr>
          <w:spacing w:val="-3"/>
        </w:rPr>
        <w:t> </w:t>
      </w:r>
      <w:r>
        <w:rPr/>
        <w:t>reduced</w:t>
      </w:r>
      <w:r>
        <w:rPr>
          <w:spacing w:val="-3"/>
        </w:rPr>
        <w:t> </w:t>
      </w:r>
      <w:r>
        <w:rPr/>
        <w:t>by</w:t>
      </w:r>
      <w:r>
        <w:rPr>
          <w:spacing w:val="-3"/>
        </w:rPr>
        <w:t> </w:t>
      </w:r>
      <w:r>
        <w:rPr/>
        <w:t>33%</w:t>
      </w:r>
      <w:r>
        <w:rPr>
          <w:spacing w:val="-3"/>
        </w:rPr>
        <w:t> </w:t>
      </w:r>
      <w:r>
        <w:rPr/>
        <w:t>over</w:t>
      </w:r>
      <w:r>
        <w:rPr>
          <w:spacing w:val="-3"/>
        </w:rPr>
        <w:t> </w:t>
      </w:r>
      <w:r>
        <w:rPr/>
        <w:t>the proposed Standards, but the NPV, at $2.8 billion is $2.4 billion higher than under the proposed Standards.</w:t>
      </w:r>
      <w:r>
        <w:rPr>
          <w:spacing w:val="40"/>
        </w:rPr>
        <w:t> </w:t>
      </w:r>
      <w:r>
        <w:rPr/>
        <w:t>The benefit/cost ratio also remains higher at </w:t>
      </w:r>
      <w:r>
        <w:rPr>
          <w:spacing w:val="-2"/>
        </w:rPr>
        <w:t>2.36:1.</w:t>
      </w:r>
    </w:p>
    <w:p>
      <w:pPr>
        <w:pStyle w:val="BodyText"/>
      </w:pPr>
    </w:p>
    <w:p>
      <w:pPr>
        <w:pStyle w:val="BodyText"/>
        <w:ind w:left="419" w:right="811"/>
        <w:jc w:val="both"/>
      </w:pPr>
      <w:r>
        <w:rPr/>
        <w:t>These results reflect the fact that this option is more cost-effective than the application of the Standards to both new buildings and upgrades, but that in aggregate terms, its ability to achieve the benefits of more accessible buildings is diminished significantly.</w:t>
      </w:r>
    </w:p>
    <w:p>
      <w:pPr>
        <w:pStyle w:val="BodyText"/>
        <w:rPr>
          <w:sz w:val="26"/>
        </w:rPr>
      </w:pPr>
    </w:p>
    <w:p>
      <w:pPr>
        <w:pStyle w:val="BodyText"/>
        <w:spacing w:before="5"/>
        <w:rPr>
          <w:sz w:val="29"/>
        </w:rPr>
      </w:pPr>
    </w:p>
    <w:p>
      <w:pPr>
        <w:pStyle w:val="Heading2"/>
        <w:numPr>
          <w:ilvl w:val="1"/>
          <w:numId w:val="25"/>
        </w:numPr>
        <w:tabs>
          <w:tab w:pos="1140" w:val="left" w:leader="none"/>
          <w:tab w:pos="1141" w:val="left" w:leader="none"/>
        </w:tabs>
        <w:spacing w:line="240" w:lineRule="auto" w:before="1" w:after="0"/>
        <w:ind w:left="1140" w:right="0" w:hanging="721"/>
        <w:jc w:val="left"/>
        <w:rPr>
          <w:i/>
        </w:rPr>
      </w:pPr>
      <w:bookmarkStart w:name="9.4 Market-based alternatives" w:id="107"/>
      <w:bookmarkEnd w:id="107"/>
      <w:r>
        <w:rPr>
          <w:i/>
          <w:spacing w:val="-2"/>
        </w:rPr>
        <w:t>M</w:t>
      </w:r>
      <w:r>
        <w:rPr>
          <w:i/>
          <w:spacing w:val="-2"/>
        </w:rPr>
        <w:t>arket-based</w:t>
      </w:r>
      <w:r>
        <w:rPr>
          <w:i/>
          <w:spacing w:val="3"/>
        </w:rPr>
        <w:t> </w:t>
      </w:r>
      <w:r>
        <w:rPr>
          <w:i/>
          <w:spacing w:val="-2"/>
        </w:rPr>
        <w:t>alternatives</w:t>
      </w:r>
    </w:p>
    <w:p>
      <w:pPr>
        <w:pStyle w:val="BodyText"/>
        <w:rPr>
          <w:b/>
          <w:i/>
          <w:sz w:val="29"/>
        </w:rPr>
      </w:pPr>
    </w:p>
    <w:p>
      <w:pPr>
        <w:pStyle w:val="BodyText"/>
        <w:ind w:left="419" w:right="811"/>
        <w:jc w:val="both"/>
      </w:pPr>
      <w:r>
        <w:rPr/>
        <w:t>The alternatives discussed above constitute variants on the regulatory proposal of using a Premises Standards to further codify the general duties</w:t>
      </w:r>
      <w:r>
        <w:rPr>
          <w:spacing w:val="40"/>
        </w:rPr>
        <w:t> </w:t>
      </w:r>
      <w:r>
        <w:rPr/>
        <w:t>set out under the DDA.</w:t>
      </w:r>
      <w:r>
        <w:rPr>
          <w:spacing w:val="40"/>
        </w:rPr>
        <w:t> </w:t>
      </w:r>
      <w:r>
        <w:rPr/>
        <w:t>A final alternative can also be identified, which differs substantially in approach, being based on a more market-based approach to ensuring access for people with a disability.</w:t>
      </w:r>
      <w:r>
        <w:rPr>
          <w:spacing w:val="40"/>
        </w:rPr>
        <w:t> </w:t>
      </w:r>
      <w:r>
        <w:rPr/>
        <w:t>It should be noted at the outset that such an approach is largely rendered infeasible by the current context of the existence of the DDA and its general access to premises provision and</w:t>
      </w:r>
      <w:r>
        <w:rPr>
          <w:spacing w:val="40"/>
        </w:rPr>
        <w:t> </w:t>
      </w:r>
      <w:r>
        <w:rPr/>
        <w:t>the need to harmonise the DDA with the building law as far as possible.</w:t>
      </w:r>
      <w:r>
        <w:rPr>
          <w:spacing w:val="40"/>
        </w:rPr>
        <w:t> </w:t>
      </w:r>
      <w:r>
        <w:rPr/>
        <w:t>For this reason, the following analysis of market-based alternatives contains less detail than that undertaken in relation to the proposed Premises Standards. However, it is considered necessary to include discussion of market-based approaches in order to allow a broader appreciation of the general policy context within which the DDA and the proposed Premises Standards operate.</w:t>
      </w:r>
    </w:p>
    <w:p>
      <w:pPr>
        <w:pStyle w:val="BodyText"/>
      </w:pPr>
    </w:p>
    <w:p>
      <w:pPr>
        <w:pStyle w:val="BodyText"/>
        <w:ind w:left="419" w:right="812"/>
        <w:jc w:val="both"/>
      </w:pPr>
      <w:r>
        <w:rPr/>
        <w:t>The argument for a market-based approach was put strongly in the context of the adoption of the US ADA which, as was noted previously, addresses many of</w:t>
      </w:r>
      <w:r>
        <w:rPr>
          <w:spacing w:val="18"/>
        </w:rPr>
        <w:t> </w:t>
      </w:r>
      <w:r>
        <w:rPr/>
        <w:t>the</w:t>
      </w:r>
      <w:r>
        <w:rPr>
          <w:spacing w:val="18"/>
        </w:rPr>
        <w:t> </w:t>
      </w:r>
      <w:r>
        <w:rPr/>
        <w:t>same</w:t>
      </w:r>
      <w:r>
        <w:rPr>
          <w:spacing w:val="18"/>
        </w:rPr>
        <w:t> </w:t>
      </w:r>
      <w:r>
        <w:rPr/>
        <w:t>issues</w:t>
      </w:r>
      <w:r>
        <w:rPr>
          <w:spacing w:val="18"/>
        </w:rPr>
        <w:t> </w:t>
      </w:r>
      <w:r>
        <w:rPr/>
        <w:t>as</w:t>
      </w:r>
      <w:r>
        <w:rPr>
          <w:spacing w:val="18"/>
        </w:rPr>
        <w:t> </w:t>
      </w:r>
      <w:r>
        <w:rPr/>
        <w:t>the</w:t>
      </w:r>
      <w:r>
        <w:rPr>
          <w:spacing w:val="18"/>
        </w:rPr>
        <w:t> </w:t>
      </w:r>
      <w:r>
        <w:rPr/>
        <w:t>DDA.</w:t>
      </w:r>
      <w:r>
        <w:rPr>
          <w:spacing w:val="80"/>
        </w:rPr>
        <w:t> </w:t>
      </w:r>
      <w:r>
        <w:rPr/>
        <w:t>An</w:t>
      </w:r>
      <w:r>
        <w:rPr>
          <w:spacing w:val="18"/>
        </w:rPr>
        <w:t> </w:t>
      </w:r>
      <w:r>
        <w:rPr/>
        <w:t>early</w:t>
      </w:r>
      <w:r>
        <w:rPr>
          <w:spacing w:val="18"/>
        </w:rPr>
        <w:t> </w:t>
      </w:r>
      <w:r>
        <w:rPr/>
        <w:t>critic</w:t>
      </w:r>
      <w:r>
        <w:rPr>
          <w:spacing w:val="18"/>
        </w:rPr>
        <w:t> </w:t>
      </w:r>
      <w:r>
        <w:rPr/>
        <w:t>of</w:t>
      </w:r>
      <w:r>
        <w:rPr>
          <w:spacing w:val="18"/>
        </w:rPr>
        <w:t> </w:t>
      </w:r>
      <w:r>
        <w:rPr/>
        <w:t>the</w:t>
      </w:r>
      <w:r>
        <w:rPr>
          <w:spacing w:val="19"/>
        </w:rPr>
        <w:t> </w:t>
      </w:r>
      <w:r>
        <w:rPr/>
        <w:t>ADA</w:t>
      </w:r>
      <w:r>
        <w:rPr>
          <w:spacing w:val="18"/>
        </w:rPr>
        <w:t> </w:t>
      </w:r>
      <w:r>
        <w:rPr/>
        <w:t>was</w:t>
      </w:r>
      <w:r>
        <w:rPr>
          <w:spacing w:val="18"/>
        </w:rPr>
        <w:t> </w:t>
      </w:r>
      <w:r>
        <w:rPr/>
        <w:t>the</w:t>
      </w:r>
      <w:r>
        <w:rPr>
          <w:spacing w:val="19"/>
        </w:rPr>
        <w:t> </w:t>
      </w:r>
      <w:r>
        <w:rPr/>
        <w:t>eminent</w:t>
      </w:r>
    </w:p>
    <w:p>
      <w:pPr>
        <w:spacing w:after="0"/>
        <w:jc w:val="both"/>
        <w:sectPr>
          <w:pgSz w:w="11900" w:h="16840"/>
          <w:pgMar w:header="0" w:footer="1130" w:top="1000" w:bottom="1320" w:left="1380" w:right="980"/>
        </w:sectPr>
      </w:pPr>
    </w:p>
    <w:p>
      <w:pPr>
        <w:pStyle w:val="BodyText"/>
        <w:spacing w:before="115"/>
        <w:ind w:left="420" w:right="811"/>
        <w:jc w:val="both"/>
      </w:pPr>
      <w:r>
        <w:rPr/>
        <w:t>legal scholar Richard Epstein</w:t>
      </w:r>
      <w:r>
        <w:rPr>
          <w:rFonts w:ascii="Times New Roman"/>
          <w:vertAlign w:val="superscript"/>
        </w:rPr>
        <w:t>68</w:t>
      </w:r>
      <w:r>
        <w:rPr>
          <w:vertAlign w:val="baseline"/>
        </w:rPr>
        <w:t>, who took the view that regulatory intervention in favour of people with a disability was misplaced and costly.</w:t>
      </w:r>
      <w:r>
        <w:rPr>
          <w:spacing w:val="40"/>
          <w:vertAlign w:val="baseline"/>
        </w:rPr>
        <w:t> </w:t>
      </w:r>
      <w:r>
        <w:rPr>
          <w:vertAlign w:val="baseline"/>
        </w:rPr>
        <w:t>He argued for:</w:t>
      </w:r>
    </w:p>
    <w:p>
      <w:pPr>
        <w:pStyle w:val="BodyText"/>
        <w:spacing w:before="3"/>
      </w:pPr>
    </w:p>
    <w:p>
      <w:pPr>
        <w:pStyle w:val="ListParagraph"/>
        <w:numPr>
          <w:ilvl w:val="0"/>
          <w:numId w:val="34"/>
        </w:numPr>
        <w:tabs>
          <w:tab w:pos="1141" w:val="left" w:leader="none"/>
        </w:tabs>
        <w:spacing w:line="237" w:lineRule="auto" w:before="1" w:after="0"/>
        <w:ind w:left="1133" w:right="812" w:hanging="357"/>
        <w:jc w:val="both"/>
        <w:rPr>
          <w:sz w:val="24"/>
        </w:rPr>
      </w:pPr>
      <w:r>
        <w:rPr>
          <w:sz w:val="24"/>
        </w:rPr>
        <w:t>Allowing a true market to operate under which disabled persons would underbid the true value of their employment services as a way of offsetting their accommodation costs;</w:t>
      </w:r>
    </w:p>
    <w:p>
      <w:pPr>
        <w:pStyle w:val="ListParagraph"/>
        <w:numPr>
          <w:ilvl w:val="0"/>
          <w:numId w:val="34"/>
        </w:numPr>
        <w:tabs>
          <w:tab w:pos="1141" w:val="left" w:leader="none"/>
        </w:tabs>
        <w:spacing w:line="240" w:lineRule="auto" w:before="123" w:after="0"/>
        <w:ind w:left="1133" w:right="811" w:hanging="357"/>
        <w:jc w:val="both"/>
        <w:rPr>
          <w:sz w:val="24"/>
        </w:rPr>
      </w:pPr>
      <w:r>
        <w:rPr>
          <w:sz w:val="24"/>
        </w:rPr>
        <w:t>Provision of state supplied incentives like vouchers for spreading the costs through general taxation; and</w:t>
      </w:r>
    </w:p>
    <w:p>
      <w:pPr>
        <w:pStyle w:val="ListParagraph"/>
        <w:numPr>
          <w:ilvl w:val="0"/>
          <w:numId w:val="34"/>
        </w:numPr>
        <w:tabs>
          <w:tab w:pos="1141" w:val="left" w:leader="none"/>
        </w:tabs>
        <w:spacing w:line="237" w:lineRule="auto" w:before="122" w:after="0"/>
        <w:ind w:left="1139" w:right="812" w:hanging="360"/>
        <w:jc w:val="both"/>
        <w:rPr>
          <w:sz w:val="24"/>
        </w:rPr>
      </w:pPr>
      <w:r>
        <w:rPr>
          <w:sz w:val="24"/>
        </w:rPr>
        <w:t>Allowing specific handicapped centres to be developed which would reduce costs.</w:t>
      </w:r>
    </w:p>
    <w:p>
      <w:pPr>
        <w:pStyle w:val="BodyText"/>
      </w:pPr>
    </w:p>
    <w:p>
      <w:pPr>
        <w:pStyle w:val="BodyText"/>
        <w:ind w:left="419" w:right="812"/>
        <w:jc w:val="both"/>
      </w:pPr>
      <w:r>
        <w:rPr/>
        <w:t>This approach has understandably attracted considerable criticism.</w:t>
      </w:r>
      <w:r>
        <w:rPr>
          <w:spacing w:val="40"/>
        </w:rPr>
        <w:t> </w:t>
      </w:r>
      <w:r>
        <w:rPr/>
        <w:t>However, Epstein was pointing to the efficiency losses society incurs as a result of regulatory interventions and applying what has become a conventional approach to cost minimisation.</w:t>
      </w:r>
      <w:r>
        <w:rPr>
          <w:spacing w:val="40"/>
        </w:rPr>
        <w:t> </w:t>
      </w:r>
      <w:r>
        <w:rPr/>
        <w:t>Many</w:t>
      </w:r>
      <w:r>
        <w:rPr>
          <w:rFonts w:ascii="Times New Roman" w:hAnsi="Times New Roman"/>
          <w:vertAlign w:val="superscript"/>
        </w:rPr>
        <w:t>69</w:t>
      </w:r>
      <w:r>
        <w:rPr>
          <w:rFonts w:ascii="Times New Roman" w:hAnsi="Times New Roman"/>
          <w:vertAlign w:val="baseline"/>
        </w:rPr>
        <w:t> </w:t>
      </w:r>
      <w:r>
        <w:rPr>
          <w:vertAlign w:val="baseline"/>
        </w:rPr>
        <w:t>have criticized Epstein because he adopts an approach which might be labelled “economic rationalist”.</w:t>
      </w:r>
    </w:p>
    <w:p>
      <w:pPr>
        <w:pStyle w:val="BodyText"/>
      </w:pPr>
    </w:p>
    <w:p>
      <w:pPr>
        <w:pStyle w:val="BodyText"/>
        <w:ind w:left="420" w:right="811"/>
        <w:jc w:val="both"/>
      </w:pPr>
      <w:r>
        <w:rPr/>
        <w:t>Epstein was, however, pursuing the logic of the behaviour exhibited by “economic man”, whereby a cost increment forced on an employer will result in the employer taking countervailing actions to avoid the imposition of the costs.</w:t>
      </w:r>
      <w:r>
        <w:rPr>
          <w:spacing w:val="40"/>
        </w:rPr>
        <w:t> </w:t>
      </w:r>
      <w:r>
        <w:rPr/>
        <w:t>Such activities are central to business operations and the pursuit of efficiency.</w:t>
      </w:r>
      <w:r>
        <w:rPr>
          <w:spacing w:val="40"/>
        </w:rPr>
        <w:t> </w:t>
      </w:r>
      <w:r>
        <w:rPr/>
        <w:t>The need to undertake profitable activities (or even to remain in business) motivates employers to seek to defray or avoid cost impositions.</w:t>
      </w:r>
    </w:p>
    <w:p>
      <w:pPr>
        <w:pStyle w:val="BodyText"/>
      </w:pPr>
    </w:p>
    <w:p>
      <w:pPr>
        <w:pStyle w:val="BodyText"/>
        <w:ind w:left="419" w:right="811"/>
        <w:jc w:val="both"/>
      </w:pPr>
      <w:r>
        <w:rPr/>
        <w:t>Moreover, unless the costs are distributed evenly, selectively imposing a cost on some employers only will cause those employers to suffer their own discrimination.</w:t>
      </w:r>
      <w:r>
        <w:rPr>
          <w:spacing w:val="40"/>
        </w:rPr>
        <w:t> </w:t>
      </w:r>
      <w:r>
        <w:rPr/>
        <w:t>Epstein’s premise is that the costs cannot be evenly spread except by the use of general taxation, since not everything can be captured within the regulatory net, and certainly not captured in a way that avoids uneven costs across different activities.</w:t>
      </w:r>
    </w:p>
    <w:p>
      <w:pPr>
        <w:pStyle w:val="BodyText"/>
      </w:pPr>
    </w:p>
    <w:p>
      <w:pPr>
        <w:pStyle w:val="BodyText"/>
        <w:ind w:left="420"/>
        <w:jc w:val="both"/>
      </w:pPr>
      <w:r>
        <w:rPr/>
        <w:t>Proponents</w:t>
      </w:r>
      <w:r>
        <w:rPr>
          <w:spacing w:val="-6"/>
        </w:rPr>
        <w:t> </w:t>
      </w:r>
      <w:r>
        <w:rPr/>
        <w:t>of</w:t>
      </w:r>
      <w:r>
        <w:rPr>
          <w:spacing w:val="-6"/>
        </w:rPr>
        <w:t> </w:t>
      </w:r>
      <w:r>
        <w:rPr/>
        <w:t>regulatory</w:t>
      </w:r>
      <w:r>
        <w:rPr>
          <w:spacing w:val="-6"/>
        </w:rPr>
        <w:t> </w:t>
      </w:r>
      <w:r>
        <w:rPr/>
        <w:t>activity</w:t>
      </w:r>
      <w:r>
        <w:rPr>
          <w:spacing w:val="-6"/>
        </w:rPr>
        <w:t> </w:t>
      </w:r>
      <w:r>
        <w:rPr/>
        <w:t>point</w:t>
      </w:r>
      <w:r>
        <w:rPr>
          <w:spacing w:val="-7"/>
        </w:rPr>
        <w:t> </w:t>
      </w:r>
      <w:r>
        <w:rPr/>
        <w:t>to</w:t>
      </w:r>
      <w:r>
        <w:rPr>
          <w:spacing w:val="-6"/>
        </w:rPr>
        <w:t> </w:t>
      </w:r>
      <w:r>
        <w:rPr/>
        <w:t>several</w:t>
      </w:r>
      <w:r>
        <w:rPr>
          <w:spacing w:val="-6"/>
        </w:rPr>
        <w:t> </w:t>
      </w:r>
      <w:r>
        <w:rPr/>
        <w:t>countervailing</w:t>
      </w:r>
      <w:r>
        <w:rPr>
          <w:spacing w:val="-6"/>
        </w:rPr>
        <w:t> </w:t>
      </w:r>
      <w:r>
        <w:rPr>
          <w:spacing w:val="-2"/>
        </w:rPr>
        <w:t>factors:</w:t>
      </w:r>
    </w:p>
    <w:p>
      <w:pPr>
        <w:pStyle w:val="BodyText"/>
        <w:spacing w:before="1"/>
      </w:pPr>
    </w:p>
    <w:p>
      <w:pPr>
        <w:pStyle w:val="ListParagraph"/>
        <w:numPr>
          <w:ilvl w:val="0"/>
          <w:numId w:val="34"/>
        </w:numPr>
        <w:tabs>
          <w:tab w:pos="1141" w:val="left" w:leader="none"/>
        </w:tabs>
        <w:spacing w:line="240" w:lineRule="auto" w:before="0" w:after="0"/>
        <w:ind w:left="1133" w:right="811" w:hanging="357"/>
        <w:jc w:val="both"/>
        <w:rPr>
          <w:sz w:val="24"/>
        </w:rPr>
      </w:pPr>
      <w:r>
        <w:rPr>
          <w:sz w:val="24"/>
        </w:rPr>
        <w:t>Prejudice against people with a disability far exceeds any additional costs that their employment might bring and positive discrimination will reduce that prejudice to the benefit of those with disabilities and the community in general;</w:t>
      </w:r>
    </w:p>
    <w:p>
      <w:pPr>
        <w:pStyle w:val="ListParagraph"/>
        <w:numPr>
          <w:ilvl w:val="0"/>
          <w:numId w:val="34"/>
        </w:numPr>
        <w:tabs>
          <w:tab w:pos="1141" w:val="left" w:leader="none"/>
        </w:tabs>
        <w:spacing w:line="240" w:lineRule="auto" w:before="118" w:after="0"/>
        <w:ind w:left="1133" w:right="815" w:hanging="357"/>
        <w:jc w:val="both"/>
        <w:rPr>
          <w:sz w:val="24"/>
        </w:rPr>
      </w:pPr>
      <w:r>
        <w:rPr>
          <w:sz w:val="24"/>
        </w:rPr>
        <w:t>There are major benefits in ensuring a comprehensive assimilation of all people within general society and avoiding ghetto-isation; and</w:t>
      </w:r>
    </w:p>
    <w:p>
      <w:pPr>
        <w:pStyle w:val="ListParagraph"/>
        <w:numPr>
          <w:ilvl w:val="0"/>
          <w:numId w:val="34"/>
        </w:numPr>
        <w:tabs>
          <w:tab w:pos="1141" w:val="left" w:leader="none"/>
        </w:tabs>
        <w:spacing w:line="240" w:lineRule="auto" w:before="119" w:after="0"/>
        <w:ind w:left="1139" w:right="812" w:hanging="360"/>
        <w:jc w:val="both"/>
        <w:rPr>
          <w:sz w:val="24"/>
        </w:rPr>
      </w:pPr>
      <w:r>
        <w:rPr>
          <w:sz w:val="24"/>
        </w:rPr>
        <w:t>There is overwhelming support for measures that positively</w:t>
      </w:r>
      <w:r>
        <w:rPr>
          <w:spacing w:val="40"/>
          <w:sz w:val="24"/>
        </w:rPr>
        <w:t> </w:t>
      </w:r>
      <w:r>
        <w:rPr>
          <w:sz w:val="24"/>
        </w:rPr>
        <w:t>discriminate in favour of people with a disability.</w:t>
      </w:r>
      <w:r>
        <w:rPr>
          <w:spacing w:val="40"/>
          <w:sz w:val="24"/>
        </w:rPr>
        <w:t> </w:t>
      </w:r>
      <w:r>
        <w:rPr>
          <w:sz w:val="24"/>
        </w:rPr>
        <w:t>For example, the US ADA was passed with one of the largest majorities any such bill has achieved and passed by a Republican dominated legislature.</w:t>
      </w:r>
    </w:p>
    <w:p>
      <w:pPr>
        <w:pStyle w:val="BodyText"/>
        <w:rPr>
          <w:sz w:val="20"/>
        </w:rPr>
      </w:pPr>
    </w:p>
    <w:p>
      <w:pPr>
        <w:pStyle w:val="BodyText"/>
        <w:rPr>
          <w:sz w:val="20"/>
        </w:rPr>
      </w:pPr>
    </w:p>
    <w:p>
      <w:pPr>
        <w:pStyle w:val="BodyText"/>
        <w:spacing w:before="9"/>
        <w:rPr>
          <w:sz w:val="18"/>
        </w:rPr>
      </w:pPr>
      <w:r>
        <w:rPr/>
        <w:pict>
          <v:rect style="position:absolute;margin-left:90pt;margin-top:12.040801pt;width:144pt;height:.6pt;mso-position-horizontal-relative:page;mso-position-vertical-relative:paragraph;z-index:-15699968;mso-wrap-distance-left:0;mso-wrap-distance-right:0" id="docshape69" filled="true" fillcolor="#000000" stroked="false">
            <v:fill type="solid"/>
            <w10:wrap type="topAndBottom"/>
          </v:rect>
        </w:pict>
      </w:r>
    </w:p>
    <w:p>
      <w:pPr>
        <w:pStyle w:val="BodyText"/>
        <w:spacing w:before="1"/>
        <w:rPr>
          <w:sz w:val="8"/>
        </w:rPr>
      </w:pPr>
    </w:p>
    <w:p>
      <w:pPr>
        <w:spacing w:before="130"/>
        <w:ind w:left="420" w:right="0" w:firstLine="0"/>
        <w:jc w:val="left"/>
        <w:rPr>
          <w:i/>
          <w:sz w:val="20"/>
        </w:rPr>
      </w:pPr>
      <w:r>
        <w:rPr>
          <w:sz w:val="20"/>
          <w:vertAlign w:val="superscript"/>
        </w:rPr>
        <w:t>68</w:t>
      </w:r>
      <w:r>
        <w:rPr>
          <w:spacing w:val="29"/>
          <w:sz w:val="20"/>
          <w:vertAlign w:val="baseline"/>
        </w:rPr>
        <w:t> </w:t>
      </w:r>
      <w:r>
        <w:rPr>
          <w:sz w:val="20"/>
          <w:vertAlign w:val="baseline"/>
        </w:rPr>
        <w:t>Richard</w:t>
      </w:r>
      <w:r>
        <w:rPr>
          <w:spacing w:val="30"/>
          <w:sz w:val="20"/>
          <w:vertAlign w:val="baseline"/>
        </w:rPr>
        <w:t> </w:t>
      </w:r>
      <w:r>
        <w:rPr>
          <w:sz w:val="20"/>
          <w:vertAlign w:val="baseline"/>
        </w:rPr>
        <w:t>A</w:t>
      </w:r>
      <w:r>
        <w:rPr>
          <w:spacing w:val="29"/>
          <w:sz w:val="20"/>
          <w:vertAlign w:val="baseline"/>
        </w:rPr>
        <w:t> </w:t>
      </w:r>
      <w:r>
        <w:rPr>
          <w:sz w:val="20"/>
          <w:vertAlign w:val="baseline"/>
        </w:rPr>
        <w:t>Epstein,</w:t>
      </w:r>
      <w:r>
        <w:rPr>
          <w:spacing w:val="31"/>
          <w:sz w:val="20"/>
          <w:vertAlign w:val="baseline"/>
        </w:rPr>
        <w:t> </w:t>
      </w:r>
      <w:r>
        <w:rPr>
          <w:i/>
          <w:sz w:val="20"/>
          <w:vertAlign w:val="baseline"/>
        </w:rPr>
        <w:t>Forbidden</w:t>
      </w:r>
      <w:r>
        <w:rPr>
          <w:i/>
          <w:spacing w:val="29"/>
          <w:sz w:val="20"/>
          <w:vertAlign w:val="baseline"/>
        </w:rPr>
        <w:t> </w:t>
      </w:r>
      <w:r>
        <w:rPr>
          <w:i/>
          <w:sz w:val="20"/>
          <w:vertAlign w:val="baseline"/>
        </w:rPr>
        <w:t>ground:</w:t>
      </w:r>
      <w:r>
        <w:rPr>
          <w:i/>
          <w:spacing w:val="28"/>
          <w:sz w:val="20"/>
          <w:vertAlign w:val="baseline"/>
        </w:rPr>
        <w:t> </w:t>
      </w:r>
      <w:r>
        <w:rPr>
          <w:i/>
          <w:sz w:val="20"/>
          <w:vertAlign w:val="baseline"/>
        </w:rPr>
        <w:t>the</w:t>
      </w:r>
      <w:r>
        <w:rPr>
          <w:i/>
          <w:spacing w:val="30"/>
          <w:sz w:val="20"/>
          <w:vertAlign w:val="baseline"/>
        </w:rPr>
        <w:t> </w:t>
      </w:r>
      <w:r>
        <w:rPr>
          <w:i/>
          <w:sz w:val="20"/>
          <w:vertAlign w:val="baseline"/>
        </w:rPr>
        <w:t>case</w:t>
      </w:r>
      <w:r>
        <w:rPr>
          <w:i/>
          <w:spacing w:val="29"/>
          <w:sz w:val="20"/>
          <w:vertAlign w:val="baseline"/>
        </w:rPr>
        <w:t> </w:t>
      </w:r>
      <w:r>
        <w:rPr>
          <w:i/>
          <w:sz w:val="20"/>
          <w:vertAlign w:val="baseline"/>
        </w:rPr>
        <w:t>against</w:t>
      </w:r>
      <w:r>
        <w:rPr>
          <w:i/>
          <w:spacing w:val="30"/>
          <w:sz w:val="20"/>
          <w:vertAlign w:val="baseline"/>
        </w:rPr>
        <w:t> </w:t>
      </w:r>
      <w:r>
        <w:rPr>
          <w:i/>
          <w:sz w:val="20"/>
          <w:vertAlign w:val="baseline"/>
        </w:rPr>
        <w:t>employment</w:t>
      </w:r>
      <w:r>
        <w:rPr>
          <w:i/>
          <w:spacing w:val="29"/>
          <w:sz w:val="20"/>
          <w:vertAlign w:val="baseline"/>
        </w:rPr>
        <w:t> </w:t>
      </w:r>
      <w:r>
        <w:rPr>
          <w:i/>
          <w:sz w:val="20"/>
          <w:vertAlign w:val="baseline"/>
        </w:rPr>
        <w:t>discrimination</w:t>
      </w:r>
      <w:r>
        <w:rPr>
          <w:i/>
          <w:spacing w:val="30"/>
          <w:sz w:val="20"/>
          <w:vertAlign w:val="baseline"/>
        </w:rPr>
        <w:t> </w:t>
      </w:r>
      <w:r>
        <w:rPr>
          <w:i/>
          <w:spacing w:val="-4"/>
          <w:sz w:val="20"/>
          <w:vertAlign w:val="baseline"/>
        </w:rPr>
        <w:t>laws</w:t>
      </w:r>
    </w:p>
    <w:p>
      <w:pPr>
        <w:spacing w:before="0"/>
        <w:ind w:left="419" w:right="0" w:firstLine="0"/>
        <w:jc w:val="left"/>
        <w:rPr>
          <w:sz w:val="20"/>
        </w:rPr>
      </w:pPr>
      <w:r>
        <w:rPr>
          <w:spacing w:val="-2"/>
          <w:sz w:val="20"/>
        </w:rPr>
        <w:t>(1992).</w:t>
      </w:r>
    </w:p>
    <w:p>
      <w:pPr>
        <w:spacing w:before="0"/>
        <w:ind w:left="420" w:right="811" w:hanging="1"/>
        <w:jc w:val="left"/>
        <w:rPr>
          <w:sz w:val="20"/>
        </w:rPr>
      </w:pPr>
      <w:r>
        <w:rPr>
          <w:sz w:val="20"/>
          <w:vertAlign w:val="superscript"/>
        </w:rPr>
        <w:t>69</w:t>
      </w:r>
      <w:r>
        <w:rPr>
          <w:sz w:val="20"/>
          <w:vertAlign w:val="baseline"/>
        </w:rPr>
        <w:t> See for example Stein MA, </w:t>
      </w:r>
      <w:r>
        <w:rPr>
          <w:i/>
          <w:sz w:val="20"/>
          <w:vertAlign w:val="baseline"/>
        </w:rPr>
        <w:t>Labor markets, rationality and workers with disabilities</w:t>
      </w:r>
      <w:r>
        <w:rPr>
          <w:sz w:val="20"/>
          <w:vertAlign w:val="baseline"/>
        </w:rPr>
        <w:t>, Berkley Journal of Employment and Labor Law, Vol 21, No. 1 (2000) p314-334.</w:t>
      </w:r>
    </w:p>
    <w:p>
      <w:pPr>
        <w:spacing w:after="0"/>
        <w:jc w:val="left"/>
        <w:rPr>
          <w:sz w:val="20"/>
        </w:rPr>
        <w:sectPr>
          <w:pgSz w:w="11900" w:h="16840"/>
          <w:pgMar w:header="0" w:footer="1130" w:top="960" w:bottom="1320" w:left="1380" w:right="980"/>
        </w:sectPr>
      </w:pPr>
    </w:p>
    <w:p>
      <w:pPr>
        <w:pStyle w:val="BodyText"/>
        <w:spacing w:before="75"/>
        <w:ind w:left="420" w:right="811"/>
        <w:jc w:val="both"/>
      </w:pPr>
      <w:r>
        <w:rPr/>
        <w:t>These arguments reflect those put earlier in this RIS when discussing the objectives of the regulations.</w:t>
      </w:r>
      <w:r>
        <w:rPr>
          <w:spacing w:val="40"/>
        </w:rPr>
        <w:t> </w:t>
      </w:r>
      <w:r>
        <w:rPr/>
        <w:t>They encapsulate the tensions between the additional costs inherent in a regulatory measure and the benefits the regulation may bring.</w:t>
      </w:r>
    </w:p>
    <w:p>
      <w:pPr>
        <w:pStyle w:val="BodyText"/>
      </w:pPr>
    </w:p>
    <w:p>
      <w:pPr>
        <w:pStyle w:val="BodyText"/>
        <w:ind w:left="419" w:right="810"/>
        <w:jc w:val="both"/>
      </w:pPr>
      <w:r>
        <w:rPr/>
        <w:t>It may reasonably be argued, in the current context, that the existence of the DDA means that the broad legislative direction for addressing these issues has already been set down.</w:t>
      </w:r>
      <w:r>
        <w:rPr>
          <w:spacing w:val="40"/>
        </w:rPr>
        <w:t> </w:t>
      </w:r>
      <w:r>
        <w:rPr/>
        <w:t>To this extent, the adoption of a more market- based approach, such as that advocated by Epstein, can be considered to be outside the range of feasible alternatives to the adoption of a Premises Standards as a specific instrument under the DDA.</w:t>
      </w:r>
      <w:r>
        <w:rPr>
          <w:spacing w:val="40"/>
        </w:rPr>
        <w:t> </w:t>
      </w:r>
      <w:r>
        <w:rPr/>
        <w:t>However, the above discussion serves to indicate the broader context of policy choice within which the adoption of the Premises Standards, as well as other Access Standards under DDA, must take place.</w:t>
      </w:r>
    </w:p>
    <w:p>
      <w:pPr>
        <w:spacing w:after="0"/>
        <w:jc w:val="both"/>
        <w:sectPr>
          <w:pgSz w:w="11900" w:h="16840"/>
          <w:pgMar w:header="0" w:footer="1130" w:top="1000" w:bottom="1320" w:left="1380" w:right="980"/>
        </w:sectPr>
      </w:pPr>
    </w:p>
    <w:p>
      <w:pPr>
        <w:pStyle w:val="Heading1"/>
        <w:numPr>
          <w:ilvl w:val="0"/>
          <w:numId w:val="25"/>
        </w:numPr>
        <w:tabs>
          <w:tab w:pos="1139" w:val="left" w:leader="none"/>
          <w:tab w:pos="1140" w:val="left" w:leader="none"/>
        </w:tabs>
        <w:spacing w:line="240" w:lineRule="auto" w:before="77" w:after="0"/>
        <w:ind w:left="420" w:right="1337" w:firstLine="0"/>
        <w:jc w:val="left"/>
      </w:pPr>
      <w:bookmarkStart w:name=" 10 Conclusion: Comparing expected benef" w:id="108"/>
      <w:bookmarkEnd w:id="108"/>
      <w:r>
        <w:rPr>
          <w:b w:val="0"/>
        </w:rPr>
      </w:r>
      <w:bookmarkStart w:name="_bookmark30" w:id="109"/>
      <w:bookmarkEnd w:id="109"/>
      <w:r>
        <w:rPr/>
        <w:t>Conclusion</w:t>
      </w:r>
      <w:r>
        <w:rPr/>
        <w:t>:</w:t>
      </w:r>
      <w:r>
        <w:rPr>
          <w:spacing w:val="-14"/>
        </w:rPr>
        <w:t> </w:t>
      </w:r>
      <w:r>
        <w:rPr/>
        <w:t>Comparing</w:t>
      </w:r>
      <w:r>
        <w:rPr>
          <w:spacing w:val="-14"/>
        </w:rPr>
        <w:t> </w:t>
      </w:r>
      <w:r>
        <w:rPr/>
        <w:t>expected</w:t>
      </w:r>
      <w:r>
        <w:rPr>
          <w:spacing w:val="-14"/>
        </w:rPr>
        <w:t> </w:t>
      </w:r>
      <w:r>
        <w:rPr/>
        <w:t>benefits</w:t>
      </w:r>
      <w:r>
        <w:rPr>
          <w:spacing w:val="-14"/>
        </w:rPr>
        <w:t> </w:t>
      </w:r>
      <w:r>
        <w:rPr/>
        <w:t>and </w:t>
      </w:r>
      <w:r>
        <w:rPr>
          <w:spacing w:val="-2"/>
        </w:rPr>
        <w:t>costs</w:t>
      </w:r>
    </w:p>
    <w:p>
      <w:pPr>
        <w:pStyle w:val="BodyText"/>
        <w:spacing w:before="238"/>
        <w:ind w:left="419" w:right="810"/>
        <w:jc w:val="both"/>
      </w:pPr>
      <w:r>
        <w:rPr/>
        <w:t>As has been made apparent throughout this RIS, the task of comparing the benefits and costs associated with the proposed Premises Standards and determining whether, and to what extent, there would be a net benefit associated with its adoption is a difficult one.</w:t>
      </w:r>
      <w:r>
        <w:rPr>
          <w:spacing w:val="40"/>
        </w:rPr>
        <w:t> </w:t>
      </w:r>
      <w:r>
        <w:rPr/>
        <w:t>These difficulties arise from:</w:t>
      </w:r>
    </w:p>
    <w:p>
      <w:pPr>
        <w:pStyle w:val="BodyText"/>
        <w:spacing w:before="1"/>
      </w:pPr>
    </w:p>
    <w:p>
      <w:pPr>
        <w:pStyle w:val="ListParagraph"/>
        <w:numPr>
          <w:ilvl w:val="0"/>
          <w:numId w:val="35"/>
        </w:numPr>
        <w:tabs>
          <w:tab w:pos="1141" w:val="left" w:leader="none"/>
        </w:tabs>
        <w:spacing w:line="240" w:lineRule="auto" w:before="0" w:after="0"/>
        <w:ind w:left="1133" w:right="811" w:hanging="357"/>
        <w:jc w:val="both"/>
        <w:rPr>
          <w:sz w:val="24"/>
        </w:rPr>
      </w:pPr>
      <w:r>
        <w:rPr>
          <w:sz w:val="24"/>
        </w:rPr>
        <w:t>The fact that a number of important benefits cannot readily be quantified, much less expressed in dollar terms;</w:t>
      </w:r>
    </w:p>
    <w:p>
      <w:pPr>
        <w:pStyle w:val="ListParagraph"/>
        <w:numPr>
          <w:ilvl w:val="0"/>
          <w:numId w:val="35"/>
        </w:numPr>
        <w:tabs>
          <w:tab w:pos="1141" w:val="left" w:leader="none"/>
        </w:tabs>
        <w:spacing w:line="237" w:lineRule="auto" w:before="121" w:after="0"/>
        <w:ind w:left="1133" w:right="812" w:hanging="357"/>
        <w:jc w:val="both"/>
        <w:rPr>
          <w:sz w:val="24"/>
        </w:rPr>
      </w:pPr>
      <w:r>
        <w:rPr>
          <w:sz w:val="24"/>
        </w:rPr>
        <w:t>The fact that there are substantial uncertainties in relation to the quantification of a number of the major cost items;</w:t>
      </w:r>
    </w:p>
    <w:p>
      <w:pPr>
        <w:pStyle w:val="ListParagraph"/>
        <w:numPr>
          <w:ilvl w:val="0"/>
          <w:numId w:val="35"/>
        </w:numPr>
        <w:tabs>
          <w:tab w:pos="1141" w:val="left" w:leader="none"/>
        </w:tabs>
        <w:spacing w:line="240" w:lineRule="auto" w:before="121" w:after="0"/>
        <w:ind w:left="1133" w:right="811" w:hanging="357"/>
        <w:jc w:val="both"/>
        <w:rPr>
          <w:sz w:val="24"/>
        </w:rPr>
      </w:pPr>
      <w:r>
        <w:rPr>
          <w:sz w:val="24"/>
        </w:rPr>
        <w:t>The legislative context, which poses conceptual questions as to the extent to which the requirements of the Premises Standards create</w:t>
      </w:r>
      <w:r>
        <w:rPr>
          <w:spacing w:val="40"/>
          <w:sz w:val="24"/>
        </w:rPr>
        <w:t> </w:t>
      </w:r>
      <w:r>
        <w:rPr>
          <w:sz w:val="24"/>
        </w:rPr>
        <w:t>new</w:t>
      </w:r>
      <w:r>
        <w:rPr>
          <w:spacing w:val="-2"/>
          <w:sz w:val="24"/>
        </w:rPr>
        <w:t> </w:t>
      </w:r>
      <w:r>
        <w:rPr>
          <w:sz w:val="24"/>
        </w:rPr>
        <w:t>regulatory</w:t>
      </w:r>
      <w:r>
        <w:rPr>
          <w:spacing w:val="-2"/>
          <w:sz w:val="24"/>
        </w:rPr>
        <w:t> </w:t>
      </w:r>
      <w:r>
        <w:rPr>
          <w:sz w:val="24"/>
        </w:rPr>
        <w:t>burdens,</w:t>
      </w:r>
      <w:r>
        <w:rPr>
          <w:spacing w:val="-2"/>
          <w:sz w:val="24"/>
        </w:rPr>
        <w:t> </w:t>
      </w:r>
      <w:r>
        <w:rPr>
          <w:sz w:val="24"/>
        </w:rPr>
        <w:t>rather</w:t>
      </w:r>
      <w:r>
        <w:rPr>
          <w:spacing w:val="-2"/>
          <w:sz w:val="24"/>
        </w:rPr>
        <w:t> </w:t>
      </w:r>
      <w:r>
        <w:rPr>
          <w:sz w:val="24"/>
        </w:rPr>
        <w:t>than</w:t>
      </w:r>
      <w:r>
        <w:rPr>
          <w:spacing w:val="-1"/>
          <w:sz w:val="24"/>
        </w:rPr>
        <w:t> </w:t>
      </w:r>
      <w:r>
        <w:rPr>
          <w:sz w:val="24"/>
        </w:rPr>
        <w:t>simply</w:t>
      </w:r>
      <w:r>
        <w:rPr>
          <w:spacing w:val="-1"/>
          <w:sz w:val="24"/>
        </w:rPr>
        <w:t> </w:t>
      </w:r>
      <w:r>
        <w:rPr>
          <w:sz w:val="24"/>
        </w:rPr>
        <w:t>constituting</w:t>
      </w:r>
      <w:r>
        <w:rPr>
          <w:spacing w:val="-1"/>
          <w:sz w:val="24"/>
        </w:rPr>
        <w:t> </w:t>
      </w:r>
      <w:r>
        <w:rPr>
          <w:sz w:val="24"/>
        </w:rPr>
        <w:t>a</w:t>
      </w:r>
      <w:r>
        <w:rPr>
          <w:spacing w:val="-1"/>
          <w:sz w:val="24"/>
        </w:rPr>
        <w:t> </w:t>
      </w:r>
      <w:r>
        <w:rPr>
          <w:sz w:val="24"/>
        </w:rPr>
        <w:t>codification</w:t>
      </w:r>
      <w:r>
        <w:rPr>
          <w:spacing w:val="-1"/>
          <w:sz w:val="24"/>
        </w:rPr>
        <w:t> </w:t>
      </w:r>
      <w:r>
        <w:rPr>
          <w:sz w:val="24"/>
        </w:rPr>
        <w:t>of existing legislative obligations contained in the DDA; and</w:t>
      </w:r>
    </w:p>
    <w:p>
      <w:pPr>
        <w:pStyle w:val="ListParagraph"/>
        <w:numPr>
          <w:ilvl w:val="0"/>
          <w:numId w:val="35"/>
        </w:numPr>
        <w:tabs>
          <w:tab w:pos="1141" w:val="left" w:leader="none"/>
        </w:tabs>
        <w:spacing w:line="237" w:lineRule="auto" w:before="121" w:after="0"/>
        <w:ind w:left="1139" w:right="813" w:hanging="360"/>
        <w:jc w:val="both"/>
        <w:rPr>
          <w:sz w:val="24"/>
        </w:rPr>
      </w:pPr>
      <w:r>
        <w:rPr>
          <w:sz w:val="24"/>
        </w:rPr>
        <w:t>The need to give appropriate weighting to distributional considerations and the associated intangible benefits associated with the Standards.</w:t>
      </w:r>
    </w:p>
    <w:p>
      <w:pPr>
        <w:pStyle w:val="BodyText"/>
      </w:pPr>
    </w:p>
    <w:p>
      <w:pPr>
        <w:pStyle w:val="BodyText"/>
        <w:ind w:left="419" w:right="810"/>
        <w:jc w:val="both"/>
      </w:pPr>
      <w:r>
        <w:rPr/>
        <w:t>In light of these difficulties, the approach taken in this section is to draw together the discussion of benefits and costs, indicate the relative magnitude of</w:t>
      </w:r>
      <w:r>
        <w:rPr>
          <w:spacing w:val="-3"/>
        </w:rPr>
        <w:t> </w:t>
      </w:r>
      <w:r>
        <w:rPr/>
        <w:t>these</w:t>
      </w:r>
      <w:r>
        <w:rPr>
          <w:spacing w:val="-3"/>
        </w:rPr>
        <w:t> </w:t>
      </w:r>
      <w:r>
        <w:rPr/>
        <w:t>where</w:t>
      </w:r>
      <w:r>
        <w:rPr>
          <w:spacing w:val="-3"/>
        </w:rPr>
        <w:t> </w:t>
      </w:r>
      <w:r>
        <w:rPr/>
        <w:t>possible</w:t>
      </w:r>
      <w:r>
        <w:rPr>
          <w:spacing w:val="-3"/>
        </w:rPr>
        <w:t> </w:t>
      </w:r>
      <w:r>
        <w:rPr/>
        <w:t>and</w:t>
      </w:r>
      <w:r>
        <w:rPr>
          <w:spacing w:val="-3"/>
        </w:rPr>
        <w:t> </w:t>
      </w:r>
      <w:r>
        <w:rPr/>
        <w:t>draw</w:t>
      </w:r>
      <w:r>
        <w:rPr>
          <w:spacing w:val="-3"/>
        </w:rPr>
        <w:t> </w:t>
      </w:r>
      <w:r>
        <w:rPr/>
        <w:t>conclusions</w:t>
      </w:r>
      <w:r>
        <w:rPr>
          <w:spacing w:val="-3"/>
        </w:rPr>
        <w:t> </w:t>
      </w:r>
      <w:r>
        <w:rPr/>
        <w:t>as</w:t>
      </w:r>
      <w:r>
        <w:rPr>
          <w:spacing w:val="-3"/>
        </w:rPr>
        <w:t> </w:t>
      </w:r>
      <w:r>
        <w:rPr/>
        <w:t>to</w:t>
      </w:r>
      <w:r>
        <w:rPr>
          <w:spacing w:val="-3"/>
        </w:rPr>
        <w:t> </w:t>
      </w:r>
      <w:r>
        <w:rPr/>
        <w:t>the</w:t>
      </w:r>
      <w:r>
        <w:rPr>
          <w:spacing w:val="-3"/>
        </w:rPr>
        <w:t> </w:t>
      </w:r>
      <w:r>
        <w:rPr/>
        <w:t>likely</w:t>
      </w:r>
      <w:r>
        <w:rPr>
          <w:spacing w:val="-3"/>
        </w:rPr>
        <w:t> </w:t>
      </w:r>
      <w:r>
        <w:rPr/>
        <w:t>overall</w:t>
      </w:r>
      <w:r>
        <w:rPr>
          <w:spacing w:val="-3"/>
        </w:rPr>
        <w:t> </w:t>
      </w:r>
      <w:r>
        <w:rPr/>
        <w:t>impact</w:t>
      </w:r>
      <w:r>
        <w:rPr>
          <w:spacing w:val="-1"/>
        </w:rPr>
        <w:t> </w:t>
      </w:r>
      <w:r>
        <w:rPr/>
        <w:t>of the proposed Standards where possible.</w:t>
      </w:r>
      <w:r>
        <w:rPr>
          <w:spacing w:val="40"/>
        </w:rPr>
        <w:t> </w:t>
      </w:r>
      <w:r>
        <w:rPr/>
        <w:t>In addition, the merits of the specific alternatives identified and analysed in Sections 9.2 and 9.3 are discussed relative to those of the Standards and the results of sensitivity testing undertaken are presented and discussed.</w:t>
      </w:r>
    </w:p>
    <w:p>
      <w:pPr>
        <w:pStyle w:val="BodyText"/>
        <w:rPr>
          <w:sz w:val="26"/>
        </w:rPr>
      </w:pPr>
    </w:p>
    <w:p>
      <w:pPr>
        <w:pStyle w:val="Heading2"/>
        <w:numPr>
          <w:ilvl w:val="1"/>
          <w:numId w:val="25"/>
        </w:numPr>
        <w:tabs>
          <w:tab w:pos="1141" w:val="left" w:leader="none"/>
        </w:tabs>
        <w:spacing w:line="240" w:lineRule="auto" w:before="220" w:after="0"/>
        <w:ind w:left="1140" w:right="0" w:hanging="721"/>
        <w:jc w:val="left"/>
        <w:rPr>
          <w:i/>
        </w:rPr>
      </w:pPr>
      <w:bookmarkStart w:name="10.1 Cost summary" w:id="110"/>
      <w:bookmarkEnd w:id="110"/>
      <w:r>
        <w:rPr>
          <w:i/>
        </w:rPr>
        <w:t>Cost</w:t>
      </w:r>
      <w:r>
        <w:rPr>
          <w:i/>
          <w:spacing w:val="-7"/>
        </w:rPr>
        <w:t> </w:t>
      </w:r>
      <w:r>
        <w:rPr>
          <w:i/>
          <w:spacing w:val="-2"/>
        </w:rPr>
        <w:t>summary</w:t>
      </w:r>
    </w:p>
    <w:p>
      <w:pPr>
        <w:pStyle w:val="BodyText"/>
        <w:rPr>
          <w:b/>
          <w:i/>
          <w:sz w:val="29"/>
        </w:rPr>
      </w:pPr>
    </w:p>
    <w:p>
      <w:pPr>
        <w:pStyle w:val="BodyText"/>
        <w:ind w:left="419" w:right="811"/>
        <w:jc w:val="both"/>
      </w:pPr>
      <w:r>
        <w:rPr/>
        <w:t>While the costs associated with the proposed Standards remain substantial, they are significantly lower than the compliance costs estimated in the draft RIS</w:t>
      </w:r>
      <w:r>
        <w:rPr>
          <w:spacing w:val="-2"/>
        </w:rPr>
        <w:t> </w:t>
      </w:r>
      <w:r>
        <w:rPr/>
        <w:t>in</w:t>
      </w:r>
      <w:r>
        <w:rPr>
          <w:spacing w:val="-2"/>
        </w:rPr>
        <w:t> </w:t>
      </w:r>
      <w:r>
        <w:rPr/>
        <w:t>respect</w:t>
      </w:r>
      <w:r>
        <w:rPr>
          <w:spacing w:val="-2"/>
        </w:rPr>
        <w:t> </w:t>
      </w:r>
      <w:r>
        <w:rPr/>
        <w:t>of</w:t>
      </w:r>
      <w:r>
        <w:rPr>
          <w:spacing w:val="-2"/>
        </w:rPr>
        <w:t> </w:t>
      </w:r>
      <w:r>
        <w:rPr/>
        <w:t>the</w:t>
      </w:r>
      <w:r>
        <w:rPr>
          <w:spacing w:val="-2"/>
        </w:rPr>
        <w:t> </w:t>
      </w:r>
      <w:r>
        <w:rPr/>
        <w:t>Premises</w:t>
      </w:r>
      <w:r>
        <w:rPr>
          <w:spacing w:val="-2"/>
        </w:rPr>
        <w:t> </w:t>
      </w:r>
      <w:r>
        <w:rPr/>
        <w:t>Standards</w:t>
      </w:r>
      <w:r>
        <w:rPr>
          <w:spacing w:val="-2"/>
        </w:rPr>
        <w:t> </w:t>
      </w:r>
      <w:r>
        <w:rPr/>
        <w:t>proposal.</w:t>
      </w:r>
      <w:r>
        <w:rPr>
          <w:spacing w:val="40"/>
        </w:rPr>
        <w:t> </w:t>
      </w:r>
      <w:r>
        <w:rPr/>
        <w:t>Table</w:t>
      </w:r>
      <w:r>
        <w:rPr>
          <w:spacing w:val="-2"/>
        </w:rPr>
        <w:t> </w:t>
      </w:r>
      <w:r>
        <w:rPr/>
        <w:t>14</w:t>
      </w:r>
      <w:r>
        <w:rPr>
          <w:spacing w:val="-2"/>
        </w:rPr>
        <w:t> </w:t>
      </w:r>
      <w:r>
        <w:rPr/>
        <w:t>summarises</w:t>
      </w:r>
      <w:r>
        <w:rPr>
          <w:spacing w:val="-2"/>
        </w:rPr>
        <w:t> </w:t>
      </w:r>
      <w:r>
        <w:rPr/>
        <w:t>the changes between the costs of the Standards as originally proposed in 2004 and</w:t>
      </w:r>
      <w:r>
        <w:rPr>
          <w:spacing w:val="-1"/>
        </w:rPr>
        <w:t> </w:t>
      </w:r>
      <w:r>
        <w:rPr/>
        <w:t>those implied</w:t>
      </w:r>
      <w:r>
        <w:rPr>
          <w:spacing w:val="-1"/>
        </w:rPr>
        <w:t> </w:t>
      </w:r>
      <w:r>
        <w:rPr/>
        <w:t>by</w:t>
      </w:r>
      <w:r>
        <w:rPr>
          <w:spacing w:val="-1"/>
        </w:rPr>
        <w:t> </w:t>
      </w:r>
      <w:r>
        <w:rPr/>
        <w:t>the</w:t>
      </w:r>
      <w:r>
        <w:rPr>
          <w:spacing w:val="-1"/>
        </w:rPr>
        <w:t> </w:t>
      </w:r>
      <w:r>
        <w:rPr/>
        <w:t>currently proposed Standards. Costs associated with the proposed 2009 amendments have not been quantified in a similar manner and as such are not included in this table. They are, however discussed in Appendix D.</w:t>
      </w:r>
    </w:p>
    <w:p>
      <w:pPr>
        <w:pStyle w:val="BodyText"/>
        <w:spacing w:before="1"/>
      </w:pPr>
    </w:p>
    <w:p>
      <w:pPr>
        <w:pStyle w:val="Heading4"/>
        <w:ind w:right="811"/>
        <w:jc w:val="left"/>
        <w:rPr>
          <w:u w:val="none"/>
        </w:rPr>
      </w:pPr>
      <w:r>
        <w:rPr>
          <w:u w:val="single"/>
        </w:rPr>
        <w:t>Table</w:t>
      </w:r>
      <w:r>
        <w:rPr>
          <w:spacing w:val="-3"/>
          <w:u w:val="single"/>
        </w:rPr>
        <w:t> </w:t>
      </w:r>
      <w:r>
        <w:rPr>
          <w:u w:val="single"/>
        </w:rPr>
        <w:t>14:</w:t>
      </w:r>
      <w:r>
        <w:rPr>
          <w:spacing w:val="40"/>
          <w:u w:val="single"/>
        </w:rPr>
        <w:t> </w:t>
      </w:r>
      <w:r>
        <w:rPr>
          <w:u w:val="single"/>
        </w:rPr>
        <w:t>Comparison</w:t>
      </w:r>
      <w:r>
        <w:rPr>
          <w:spacing w:val="-4"/>
          <w:u w:val="single"/>
        </w:rPr>
        <w:t> </w:t>
      </w:r>
      <w:r>
        <w:rPr>
          <w:u w:val="single"/>
        </w:rPr>
        <w:t>of</w:t>
      </w:r>
      <w:r>
        <w:rPr>
          <w:spacing w:val="-4"/>
          <w:u w:val="single"/>
        </w:rPr>
        <w:t> </w:t>
      </w:r>
      <w:r>
        <w:rPr>
          <w:u w:val="single"/>
        </w:rPr>
        <w:t>expected</w:t>
      </w:r>
      <w:r>
        <w:rPr>
          <w:spacing w:val="-4"/>
          <w:u w:val="single"/>
        </w:rPr>
        <w:t> </w:t>
      </w:r>
      <w:r>
        <w:rPr>
          <w:u w:val="single"/>
        </w:rPr>
        <w:t>cost</w:t>
      </w:r>
      <w:r>
        <w:rPr>
          <w:spacing w:val="-4"/>
          <w:u w:val="single"/>
        </w:rPr>
        <w:t> </w:t>
      </w:r>
      <w:r>
        <w:rPr>
          <w:u w:val="single"/>
        </w:rPr>
        <w:t>impacts</w:t>
      </w:r>
      <w:r>
        <w:rPr>
          <w:spacing w:val="-4"/>
          <w:u w:val="single"/>
        </w:rPr>
        <w:t> </w:t>
      </w:r>
      <w:r>
        <w:rPr>
          <w:u w:val="single"/>
        </w:rPr>
        <w:t>–</w:t>
      </w:r>
      <w:r>
        <w:rPr>
          <w:spacing w:val="-3"/>
          <w:u w:val="single"/>
        </w:rPr>
        <w:t> </w:t>
      </w:r>
      <w:r>
        <w:rPr>
          <w:u w:val="single"/>
        </w:rPr>
        <w:t>original</w:t>
      </w:r>
      <w:r>
        <w:rPr>
          <w:spacing w:val="-3"/>
          <w:u w:val="single"/>
        </w:rPr>
        <w:t> </w:t>
      </w:r>
      <w:r>
        <w:rPr>
          <w:u w:val="single"/>
        </w:rPr>
        <w:t>vs</w:t>
      </w:r>
      <w:r>
        <w:rPr>
          <w:spacing w:val="-3"/>
          <w:u w:val="single"/>
        </w:rPr>
        <w:t> </w:t>
      </w:r>
      <w:r>
        <w:rPr>
          <w:u w:val="single"/>
        </w:rPr>
        <w:t>modified</w:t>
      </w:r>
      <w:r>
        <w:rPr>
          <w:u w:val="none"/>
        </w:rPr>
        <w:t> </w:t>
      </w:r>
      <w:r>
        <w:rPr>
          <w:u w:val="single"/>
        </w:rPr>
        <w:t>2008 proposal ($million)</w:t>
      </w:r>
    </w:p>
    <w:p>
      <w:pPr>
        <w:pStyle w:val="BodyText"/>
        <w:spacing w:before="2"/>
        <w:rPr>
          <w:b/>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8"/>
        <w:gridCol w:w="2340"/>
        <w:gridCol w:w="2294"/>
      </w:tblGrid>
      <w:tr>
        <w:trPr>
          <w:trHeight w:val="608" w:hRule="atLeast"/>
        </w:trPr>
        <w:tc>
          <w:tcPr>
            <w:tcW w:w="3888" w:type="dxa"/>
          </w:tcPr>
          <w:p>
            <w:pPr>
              <w:pStyle w:val="TableParagraph"/>
              <w:rPr>
                <w:rFonts w:ascii="Times New Roman"/>
                <w:sz w:val="24"/>
              </w:rPr>
            </w:pPr>
          </w:p>
        </w:tc>
        <w:tc>
          <w:tcPr>
            <w:tcW w:w="2340" w:type="dxa"/>
          </w:tcPr>
          <w:p>
            <w:pPr>
              <w:pStyle w:val="TableParagraph"/>
              <w:spacing w:before="26"/>
              <w:ind w:left="107"/>
              <w:rPr>
                <w:b/>
                <w:sz w:val="24"/>
              </w:rPr>
            </w:pPr>
            <w:r>
              <w:rPr>
                <w:b/>
                <w:sz w:val="24"/>
              </w:rPr>
              <w:t>Original</w:t>
            </w:r>
            <w:r>
              <w:rPr>
                <w:b/>
                <w:spacing w:val="-7"/>
                <w:sz w:val="24"/>
              </w:rPr>
              <w:t> </w:t>
            </w:r>
            <w:r>
              <w:rPr>
                <w:b/>
                <w:spacing w:val="-2"/>
                <w:sz w:val="24"/>
              </w:rPr>
              <w:t>Proposal</w:t>
            </w:r>
          </w:p>
          <w:p>
            <w:pPr>
              <w:pStyle w:val="TableParagraph"/>
              <w:ind w:left="107"/>
              <w:rPr>
                <w:sz w:val="18"/>
              </w:rPr>
            </w:pPr>
            <w:r>
              <w:rPr>
                <w:sz w:val="18"/>
              </w:rPr>
              <w:t>(as</w:t>
            </w:r>
            <w:r>
              <w:rPr>
                <w:spacing w:val="-8"/>
                <w:sz w:val="18"/>
              </w:rPr>
              <w:t> </w:t>
            </w:r>
            <w:r>
              <w:rPr>
                <w:sz w:val="18"/>
              </w:rPr>
              <w:t>reported</w:t>
            </w:r>
            <w:r>
              <w:rPr>
                <w:spacing w:val="-7"/>
                <w:sz w:val="18"/>
              </w:rPr>
              <w:t> </w:t>
            </w:r>
            <w:r>
              <w:rPr>
                <w:sz w:val="18"/>
              </w:rPr>
              <w:t>in</w:t>
            </w:r>
            <w:r>
              <w:rPr>
                <w:spacing w:val="-6"/>
                <w:sz w:val="18"/>
              </w:rPr>
              <w:t> </w:t>
            </w:r>
            <w:r>
              <w:rPr>
                <w:sz w:val="18"/>
              </w:rPr>
              <w:t>draft</w:t>
            </w:r>
            <w:r>
              <w:rPr>
                <w:spacing w:val="-8"/>
                <w:sz w:val="18"/>
              </w:rPr>
              <w:t> </w:t>
            </w:r>
            <w:r>
              <w:rPr>
                <w:spacing w:val="-4"/>
                <w:sz w:val="18"/>
              </w:rPr>
              <w:t>RIS)</w:t>
            </w:r>
          </w:p>
        </w:tc>
        <w:tc>
          <w:tcPr>
            <w:tcW w:w="2294" w:type="dxa"/>
          </w:tcPr>
          <w:p>
            <w:pPr>
              <w:pStyle w:val="TableParagraph"/>
              <w:spacing w:before="26"/>
              <w:ind w:left="107" w:right="586"/>
              <w:rPr>
                <w:b/>
                <w:sz w:val="24"/>
              </w:rPr>
            </w:pPr>
            <w:r>
              <w:rPr>
                <w:b/>
                <w:sz w:val="24"/>
              </w:rPr>
              <w:t>Modified</w:t>
            </w:r>
            <w:r>
              <w:rPr>
                <w:b/>
                <w:spacing w:val="-17"/>
                <w:sz w:val="24"/>
              </w:rPr>
              <w:t> </w:t>
            </w:r>
            <w:r>
              <w:rPr>
                <w:b/>
                <w:sz w:val="24"/>
              </w:rPr>
              <w:t>2008 </w:t>
            </w:r>
            <w:r>
              <w:rPr>
                <w:b/>
                <w:spacing w:val="-2"/>
                <w:sz w:val="24"/>
              </w:rPr>
              <w:t>proposal</w:t>
            </w:r>
          </w:p>
        </w:tc>
      </w:tr>
      <w:tr>
        <w:trPr>
          <w:trHeight w:val="331" w:hRule="atLeast"/>
        </w:trPr>
        <w:tc>
          <w:tcPr>
            <w:tcW w:w="3888" w:type="dxa"/>
          </w:tcPr>
          <w:p>
            <w:pPr>
              <w:pStyle w:val="TableParagraph"/>
              <w:spacing w:before="25"/>
              <w:ind w:left="107"/>
              <w:rPr>
                <w:sz w:val="24"/>
              </w:rPr>
            </w:pPr>
            <w:r>
              <w:rPr>
                <w:sz w:val="24"/>
              </w:rPr>
              <w:t>Annual</w:t>
            </w:r>
            <w:r>
              <w:rPr>
                <w:spacing w:val="-3"/>
                <w:sz w:val="24"/>
              </w:rPr>
              <w:t> </w:t>
            </w:r>
            <w:r>
              <w:rPr>
                <w:sz w:val="24"/>
              </w:rPr>
              <w:t>costs</w:t>
            </w:r>
            <w:r>
              <w:rPr>
                <w:spacing w:val="-3"/>
                <w:sz w:val="24"/>
              </w:rPr>
              <w:t> </w:t>
            </w:r>
            <w:r>
              <w:rPr>
                <w:sz w:val="24"/>
              </w:rPr>
              <w:t>(new</w:t>
            </w:r>
            <w:r>
              <w:rPr>
                <w:spacing w:val="-3"/>
                <w:sz w:val="24"/>
              </w:rPr>
              <w:t> </w:t>
            </w:r>
            <w:r>
              <w:rPr>
                <w:spacing w:val="-2"/>
                <w:sz w:val="24"/>
              </w:rPr>
              <w:t>buildings)</w:t>
            </w:r>
          </w:p>
        </w:tc>
        <w:tc>
          <w:tcPr>
            <w:tcW w:w="2340" w:type="dxa"/>
          </w:tcPr>
          <w:p>
            <w:pPr>
              <w:pStyle w:val="TableParagraph"/>
              <w:spacing w:before="25"/>
              <w:ind w:right="96"/>
              <w:jc w:val="right"/>
              <w:rPr>
                <w:sz w:val="24"/>
              </w:rPr>
            </w:pPr>
            <w:r>
              <w:rPr>
                <w:spacing w:val="-5"/>
                <w:sz w:val="24"/>
              </w:rPr>
              <w:t>696</w:t>
            </w:r>
          </w:p>
        </w:tc>
        <w:tc>
          <w:tcPr>
            <w:tcW w:w="2294" w:type="dxa"/>
          </w:tcPr>
          <w:p>
            <w:pPr>
              <w:pStyle w:val="TableParagraph"/>
              <w:spacing w:before="25"/>
              <w:ind w:right="95"/>
              <w:jc w:val="right"/>
              <w:rPr>
                <w:sz w:val="24"/>
              </w:rPr>
            </w:pPr>
            <w:r>
              <w:rPr>
                <w:spacing w:val="-5"/>
                <w:sz w:val="24"/>
              </w:rPr>
              <w:t>159</w:t>
            </w:r>
          </w:p>
        </w:tc>
      </w:tr>
      <w:tr>
        <w:trPr>
          <w:trHeight w:val="331" w:hRule="atLeast"/>
        </w:trPr>
        <w:tc>
          <w:tcPr>
            <w:tcW w:w="3888" w:type="dxa"/>
          </w:tcPr>
          <w:p>
            <w:pPr>
              <w:pStyle w:val="TableParagraph"/>
              <w:spacing w:before="25"/>
              <w:ind w:left="107"/>
              <w:rPr>
                <w:sz w:val="24"/>
              </w:rPr>
            </w:pPr>
            <w:r>
              <w:rPr>
                <w:sz w:val="24"/>
              </w:rPr>
              <w:t>Annual</w:t>
            </w:r>
            <w:r>
              <w:rPr>
                <w:spacing w:val="-4"/>
                <w:sz w:val="24"/>
              </w:rPr>
              <w:t> </w:t>
            </w:r>
            <w:r>
              <w:rPr>
                <w:sz w:val="24"/>
              </w:rPr>
              <w:t>costs</w:t>
            </w:r>
            <w:r>
              <w:rPr>
                <w:spacing w:val="-3"/>
                <w:sz w:val="24"/>
              </w:rPr>
              <w:t> </w:t>
            </w:r>
            <w:r>
              <w:rPr>
                <w:sz w:val="24"/>
              </w:rPr>
              <w:t>(bldg</w:t>
            </w:r>
            <w:r>
              <w:rPr>
                <w:spacing w:val="-3"/>
                <w:sz w:val="24"/>
              </w:rPr>
              <w:t> </w:t>
            </w:r>
            <w:r>
              <w:rPr>
                <w:spacing w:val="-2"/>
                <w:sz w:val="24"/>
              </w:rPr>
              <w:t>upgrades)</w:t>
            </w:r>
          </w:p>
        </w:tc>
        <w:tc>
          <w:tcPr>
            <w:tcW w:w="2340" w:type="dxa"/>
          </w:tcPr>
          <w:p>
            <w:pPr>
              <w:pStyle w:val="TableParagraph"/>
              <w:spacing w:before="25"/>
              <w:ind w:right="97"/>
              <w:jc w:val="right"/>
              <w:rPr>
                <w:sz w:val="24"/>
              </w:rPr>
            </w:pPr>
            <w:r>
              <w:rPr>
                <w:spacing w:val="-5"/>
                <w:sz w:val="24"/>
              </w:rPr>
              <w:t>800</w:t>
            </w:r>
          </w:p>
        </w:tc>
        <w:tc>
          <w:tcPr>
            <w:tcW w:w="2294" w:type="dxa"/>
          </w:tcPr>
          <w:p>
            <w:pPr>
              <w:pStyle w:val="TableParagraph"/>
              <w:spacing w:before="25"/>
              <w:ind w:right="97"/>
              <w:jc w:val="right"/>
              <w:rPr>
                <w:sz w:val="24"/>
              </w:rPr>
            </w:pPr>
            <w:r>
              <w:rPr>
                <w:spacing w:val="-5"/>
                <w:sz w:val="24"/>
              </w:rPr>
              <w:t>312</w:t>
            </w:r>
          </w:p>
        </w:tc>
      </w:tr>
      <w:tr>
        <w:trPr>
          <w:trHeight w:val="331" w:hRule="atLeast"/>
        </w:trPr>
        <w:tc>
          <w:tcPr>
            <w:tcW w:w="3888" w:type="dxa"/>
          </w:tcPr>
          <w:p>
            <w:pPr>
              <w:pStyle w:val="TableParagraph"/>
              <w:spacing w:before="25"/>
              <w:ind w:left="107"/>
              <w:rPr>
                <w:sz w:val="24"/>
              </w:rPr>
            </w:pPr>
            <w:r>
              <w:rPr>
                <w:sz w:val="24"/>
              </w:rPr>
              <w:t>Lost</w:t>
            </w:r>
            <w:r>
              <w:rPr>
                <w:spacing w:val="-9"/>
                <w:sz w:val="24"/>
              </w:rPr>
              <w:t> </w:t>
            </w:r>
            <w:r>
              <w:rPr>
                <w:sz w:val="24"/>
              </w:rPr>
              <w:t>NLA</w:t>
            </w:r>
            <w:r>
              <w:rPr>
                <w:spacing w:val="-9"/>
                <w:sz w:val="24"/>
              </w:rPr>
              <w:t> </w:t>
            </w:r>
            <w:r>
              <w:rPr>
                <w:sz w:val="24"/>
              </w:rPr>
              <w:t>(bldg</w:t>
            </w:r>
            <w:r>
              <w:rPr>
                <w:spacing w:val="-8"/>
                <w:sz w:val="24"/>
              </w:rPr>
              <w:t> </w:t>
            </w:r>
            <w:r>
              <w:rPr>
                <w:spacing w:val="-2"/>
                <w:sz w:val="24"/>
              </w:rPr>
              <w:t>upgrades)</w:t>
            </w:r>
          </w:p>
        </w:tc>
        <w:tc>
          <w:tcPr>
            <w:tcW w:w="2340" w:type="dxa"/>
          </w:tcPr>
          <w:p>
            <w:pPr>
              <w:pStyle w:val="TableParagraph"/>
              <w:spacing w:before="25"/>
              <w:ind w:right="96"/>
              <w:jc w:val="right"/>
              <w:rPr>
                <w:sz w:val="24"/>
              </w:rPr>
            </w:pPr>
            <w:r>
              <w:rPr>
                <w:spacing w:val="-5"/>
                <w:sz w:val="24"/>
              </w:rPr>
              <w:t>312</w:t>
            </w:r>
          </w:p>
        </w:tc>
        <w:tc>
          <w:tcPr>
            <w:tcW w:w="2294" w:type="dxa"/>
          </w:tcPr>
          <w:p>
            <w:pPr>
              <w:pStyle w:val="TableParagraph"/>
              <w:spacing w:before="25"/>
              <w:ind w:right="96"/>
              <w:jc w:val="right"/>
              <w:rPr>
                <w:sz w:val="24"/>
              </w:rPr>
            </w:pPr>
            <w:r>
              <w:rPr>
                <w:spacing w:val="-5"/>
                <w:sz w:val="24"/>
              </w:rPr>
              <w:t>156</w:t>
            </w:r>
          </w:p>
        </w:tc>
      </w:tr>
    </w:tbl>
    <w:p>
      <w:pPr>
        <w:spacing w:after="0"/>
        <w:jc w:val="right"/>
        <w:rPr>
          <w:sz w:val="24"/>
        </w:rPr>
        <w:sectPr>
          <w:pgSz w:w="11900" w:h="16840"/>
          <w:pgMar w:header="0" w:footer="1130" w:top="1240" w:bottom="1320" w:left="1380" w:right="980"/>
        </w:sect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8"/>
        <w:gridCol w:w="2340"/>
        <w:gridCol w:w="2294"/>
      </w:tblGrid>
      <w:tr>
        <w:trPr>
          <w:trHeight w:val="608" w:hRule="atLeast"/>
        </w:trPr>
        <w:tc>
          <w:tcPr>
            <w:tcW w:w="3888" w:type="dxa"/>
          </w:tcPr>
          <w:p>
            <w:pPr>
              <w:pStyle w:val="TableParagraph"/>
              <w:rPr>
                <w:rFonts w:ascii="Times New Roman"/>
                <w:sz w:val="22"/>
              </w:rPr>
            </w:pPr>
          </w:p>
        </w:tc>
        <w:tc>
          <w:tcPr>
            <w:tcW w:w="2340" w:type="dxa"/>
          </w:tcPr>
          <w:p>
            <w:pPr>
              <w:pStyle w:val="TableParagraph"/>
              <w:spacing w:before="26"/>
              <w:ind w:left="107"/>
              <w:rPr>
                <w:b/>
                <w:sz w:val="24"/>
              </w:rPr>
            </w:pPr>
            <w:r>
              <w:rPr>
                <w:b/>
                <w:sz w:val="24"/>
              </w:rPr>
              <w:t>Original</w:t>
            </w:r>
            <w:r>
              <w:rPr>
                <w:b/>
                <w:spacing w:val="-7"/>
                <w:sz w:val="24"/>
              </w:rPr>
              <w:t> </w:t>
            </w:r>
            <w:r>
              <w:rPr>
                <w:b/>
                <w:spacing w:val="-2"/>
                <w:sz w:val="24"/>
              </w:rPr>
              <w:t>Proposal</w:t>
            </w:r>
          </w:p>
          <w:p>
            <w:pPr>
              <w:pStyle w:val="TableParagraph"/>
              <w:ind w:left="107"/>
              <w:rPr>
                <w:sz w:val="18"/>
              </w:rPr>
            </w:pPr>
            <w:r>
              <w:rPr>
                <w:sz w:val="18"/>
              </w:rPr>
              <w:t>(as</w:t>
            </w:r>
            <w:r>
              <w:rPr>
                <w:spacing w:val="-8"/>
                <w:sz w:val="18"/>
              </w:rPr>
              <w:t> </w:t>
            </w:r>
            <w:r>
              <w:rPr>
                <w:sz w:val="18"/>
              </w:rPr>
              <w:t>reported</w:t>
            </w:r>
            <w:r>
              <w:rPr>
                <w:spacing w:val="-7"/>
                <w:sz w:val="18"/>
              </w:rPr>
              <w:t> </w:t>
            </w:r>
            <w:r>
              <w:rPr>
                <w:sz w:val="18"/>
              </w:rPr>
              <w:t>in</w:t>
            </w:r>
            <w:r>
              <w:rPr>
                <w:spacing w:val="-6"/>
                <w:sz w:val="18"/>
              </w:rPr>
              <w:t> </w:t>
            </w:r>
            <w:r>
              <w:rPr>
                <w:sz w:val="18"/>
              </w:rPr>
              <w:t>draft</w:t>
            </w:r>
            <w:r>
              <w:rPr>
                <w:spacing w:val="-8"/>
                <w:sz w:val="18"/>
              </w:rPr>
              <w:t> </w:t>
            </w:r>
            <w:r>
              <w:rPr>
                <w:spacing w:val="-4"/>
                <w:sz w:val="18"/>
              </w:rPr>
              <w:t>RIS)</w:t>
            </w:r>
          </w:p>
        </w:tc>
        <w:tc>
          <w:tcPr>
            <w:tcW w:w="2294" w:type="dxa"/>
          </w:tcPr>
          <w:p>
            <w:pPr>
              <w:pStyle w:val="TableParagraph"/>
              <w:spacing w:before="26"/>
              <w:ind w:left="107" w:right="586"/>
              <w:rPr>
                <w:b/>
                <w:sz w:val="24"/>
              </w:rPr>
            </w:pPr>
            <w:r>
              <w:rPr>
                <w:b/>
                <w:sz w:val="24"/>
              </w:rPr>
              <w:t>Modified</w:t>
            </w:r>
            <w:r>
              <w:rPr>
                <w:b/>
                <w:spacing w:val="-17"/>
                <w:sz w:val="24"/>
              </w:rPr>
              <w:t> </w:t>
            </w:r>
            <w:r>
              <w:rPr>
                <w:b/>
                <w:sz w:val="24"/>
              </w:rPr>
              <w:t>2008 </w:t>
            </w:r>
            <w:r>
              <w:rPr>
                <w:b/>
                <w:spacing w:val="-2"/>
                <w:sz w:val="24"/>
              </w:rPr>
              <w:t>proposal</w:t>
            </w:r>
          </w:p>
        </w:tc>
      </w:tr>
      <w:tr>
        <w:trPr>
          <w:trHeight w:val="331" w:hRule="atLeast"/>
        </w:trPr>
        <w:tc>
          <w:tcPr>
            <w:tcW w:w="3888" w:type="dxa"/>
          </w:tcPr>
          <w:p>
            <w:pPr>
              <w:pStyle w:val="TableParagraph"/>
              <w:spacing w:before="25"/>
              <w:ind w:left="107"/>
              <w:rPr>
                <w:sz w:val="24"/>
              </w:rPr>
            </w:pPr>
            <w:r>
              <w:rPr>
                <w:sz w:val="24"/>
              </w:rPr>
              <w:t>Present</w:t>
            </w:r>
            <w:r>
              <w:rPr>
                <w:spacing w:val="-1"/>
                <w:sz w:val="24"/>
              </w:rPr>
              <w:t> </w:t>
            </w:r>
            <w:r>
              <w:rPr>
                <w:sz w:val="24"/>
              </w:rPr>
              <w:t>value of costs </w:t>
            </w:r>
            <w:r>
              <w:rPr>
                <w:spacing w:val="-2"/>
                <w:sz w:val="24"/>
              </w:rPr>
              <w:t>(30yrs)</w:t>
            </w:r>
          </w:p>
        </w:tc>
        <w:tc>
          <w:tcPr>
            <w:tcW w:w="2340" w:type="dxa"/>
          </w:tcPr>
          <w:p>
            <w:pPr>
              <w:pStyle w:val="TableParagraph"/>
              <w:spacing w:before="25"/>
              <w:ind w:left="1498"/>
              <w:rPr>
                <w:sz w:val="24"/>
              </w:rPr>
            </w:pPr>
            <w:r>
              <w:rPr>
                <w:spacing w:val="-2"/>
                <w:sz w:val="24"/>
              </w:rPr>
              <w:t>26,300</w:t>
            </w:r>
          </w:p>
        </w:tc>
        <w:tc>
          <w:tcPr>
            <w:tcW w:w="2294" w:type="dxa"/>
          </w:tcPr>
          <w:p>
            <w:pPr>
              <w:pStyle w:val="TableParagraph"/>
              <w:spacing w:before="25"/>
              <w:ind w:right="94"/>
              <w:jc w:val="right"/>
              <w:rPr>
                <w:sz w:val="24"/>
              </w:rPr>
            </w:pPr>
            <w:r>
              <w:rPr>
                <w:spacing w:val="-2"/>
                <w:sz w:val="24"/>
              </w:rPr>
              <w:t>9,300</w:t>
            </w:r>
          </w:p>
        </w:tc>
      </w:tr>
    </w:tbl>
    <w:p>
      <w:pPr>
        <w:pStyle w:val="BodyText"/>
        <w:spacing w:before="7"/>
        <w:rPr>
          <w:b/>
          <w:sz w:val="15"/>
        </w:rPr>
      </w:pPr>
    </w:p>
    <w:p>
      <w:pPr>
        <w:pStyle w:val="BodyText"/>
        <w:spacing w:before="92"/>
        <w:ind w:left="420" w:right="811"/>
        <w:jc w:val="both"/>
      </w:pPr>
      <w:r>
        <w:rPr/>
        <w:t>In relation to new construction, the estimated annual incremental costs have been reduced from around $700 million to $159 million under the 2008 proposal.</w:t>
      </w:r>
      <w:r>
        <w:rPr>
          <w:spacing w:val="80"/>
        </w:rPr>
        <w:t> </w:t>
      </w:r>
      <w:r>
        <w:rPr/>
        <w:t>In proportionate terms this represents a reduction in the</w:t>
      </w:r>
      <w:r>
        <w:rPr>
          <w:spacing w:val="40"/>
        </w:rPr>
        <w:t> </w:t>
      </w:r>
      <w:r>
        <w:rPr/>
        <w:t>incremental construction costs from 4.6% to 1.1%.</w:t>
      </w:r>
    </w:p>
    <w:p>
      <w:pPr>
        <w:pStyle w:val="BodyText"/>
      </w:pPr>
    </w:p>
    <w:p>
      <w:pPr>
        <w:pStyle w:val="BodyText"/>
        <w:spacing w:before="1"/>
        <w:ind w:left="420" w:right="811"/>
        <w:jc w:val="both"/>
      </w:pPr>
      <w:r>
        <w:rPr/>
        <w:t>In relation to building upgrade works, the annual incremental costs associated with</w:t>
      </w:r>
      <w:r>
        <w:rPr>
          <w:spacing w:val="40"/>
        </w:rPr>
        <w:t> </w:t>
      </w:r>
      <w:r>
        <w:rPr/>
        <w:t>the</w:t>
      </w:r>
      <w:r>
        <w:rPr>
          <w:spacing w:val="40"/>
        </w:rPr>
        <w:t> </w:t>
      </w:r>
      <w:r>
        <w:rPr/>
        <w:t>Standards</w:t>
      </w:r>
      <w:r>
        <w:rPr>
          <w:spacing w:val="40"/>
        </w:rPr>
        <w:t> </w:t>
      </w:r>
      <w:r>
        <w:rPr/>
        <w:t>have</w:t>
      </w:r>
      <w:r>
        <w:rPr>
          <w:spacing w:val="40"/>
        </w:rPr>
        <w:t> </w:t>
      </w:r>
      <w:r>
        <w:rPr/>
        <w:t>been</w:t>
      </w:r>
      <w:r>
        <w:rPr>
          <w:spacing w:val="40"/>
        </w:rPr>
        <w:t> </w:t>
      </w:r>
      <w:r>
        <w:rPr/>
        <w:t>reduced</w:t>
      </w:r>
      <w:r>
        <w:rPr>
          <w:spacing w:val="40"/>
        </w:rPr>
        <w:t> </w:t>
      </w:r>
      <w:r>
        <w:rPr/>
        <w:t>from</w:t>
      </w:r>
      <w:r>
        <w:rPr>
          <w:spacing w:val="40"/>
        </w:rPr>
        <w:t> </w:t>
      </w:r>
      <w:r>
        <w:rPr/>
        <w:t>approximately</w:t>
      </w:r>
      <w:r>
        <w:rPr>
          <w:spacing w:val="40"/>
        </w:rPr>
        <w:t> </w:t>
      </w:r>
      <w:r>
        <w:rPr/>
        <w:t>$800</w:t>
      </w:r>
      <w:r>
        <w:rPr>
          <w:spacing w:val="40"/>
        </w:rPr>
        <w:t> </w:t>
      </w:r>
      <w:r>
        <w:rPr/>
        <w:t>million</w:t>
      </w:r>
      <w:r>
        <w:rPr>
          <w:spacing w:val="40"/>
        </w:rPr>
        <w:t> </w:t>
      </w:r>
      <w:r>
        <w:rPr/>
        <w:t>to</w:t>
      </w:r>
    </w:p>
    <w:p>
      <w:pPr>
        <w:pStyle w:val="BodyText"/>
        <w:ind w:left="420" w:right="812"/>
        <w:jc w:val="both"/>
      </w:pPr>
      <w:r>
        <w:rPr/>
        <w:t>$312 million under the 2008 proposal.</w:t>
      </w:r>
      <w:r>
        <w:rPr>
          <w:spacing w:val="40"/>
        </w:rPr>
        <w:t> </w:t>
      </w:r>
      <w:r>
        <w:rPr/>
        <w:t>This represents a reduction in proportionate incremental costs from 10.3% to 4.0%.</w:t>
      </w:r>
    </w:p>
    <w:p>
      <w:pPr>
        <w:pStyle w:val="BodyText"/>
      </w:pPr>
    </w:p>
    <w:p>
      <w:pPr>
        <w:pStyle w:val="BodyText"/>
        <w:ind w:left="420"/>
        <w:jc w:val="both"/>
      </w:pPr>
      <w:r>
        <w:rPr/>
        <w:t>Anticipated</w:t>
      </w:r>
      <w:r>
        <w:rPr>
          <w:spacing w:val="5"/>
        </w:rPr>
        <w:t> </w:t>
      </w:r>
      <w:r>
        <w:rPr/>
        <w:t>additional</w:t>
      </w:r>
      <w:r>
        <w:rPr>
          <w:spacing w:val="6"/>
        </w:rPr>
        <w:t> </w:t>
      </w:r>
      <w:r>
        <w:rPr/>
        <w:t>costs</w:t>
      </w:r>
      <w:r>
        <w:rPr>
          <w:spacing w:val="6"/>
        </w:rPr>
        <w:t> </w:t>
      </w:r>
      <w:r>
        <w:rPr/>
        <w:t>due</w:t>
      </w:r>
      <w:r>
        <w:rPr>
          <w:spacing w:val="5"/>
        </w:rPr>
        <w:t> </w:t>
      </w:r>
      <w:r>
        <w:rPr/>
        <w:t>to</w:t>
      </w:r>
      <w:r>
        <w:rPr>
          <w:spacing w:val="6"/>
        </w:rPr>
        <w:t> </w:t>
      </w:r>
      <w:r>
        <w:rPr/>
        <w:t>losses</w:t>
      </w:r>
      <w:r>
        <w:rPr>
          <w:spacing w:val="6"/>
        </w:rPr>
        <w:t> </w:t>
      </w:r>
      <w:r>
        <w:rPr/>
        <w:t>in</w:t>
      </w:r>
      <w:r>
        <w:rPr>
          <w:spacing w:val="5"/>
        </w:rPr>
        <w:t> </w:t>
      </w:r>
      <w:r>
        <w:rPr/>
        <w:t>NLA</w:t>
      </w:r>
      <w:r>
        <w:rPr>
          <w:spacing w:val="6"/>
        </w:rPr>
        <w:t> </w:t>
      </w:r>
      <w:r>
        <w:rPr/>
        <w:t>have</w:t>
      </w:r>
      <w:r>
        <w:rPr>
          <w:spacing w:val="6"/>
        </w:rPr>
        <w:t> </w:t>
      </w:r>
      <w:r>
        <w:rPr/>
        <w:t>also</w:t>
      </w:r>
      <w:r>
        <w:rPr>
          <w:spacing w:val="5"/>
        </w:rPr>
        <w:t> </w:t>
      </w:r>
      <w:r>
        <w:rPr/>
        <w:t>been</w:t>
      </w:r>
      <w:r>
        <w:rPr>
          <w:spacing w:val="6"/>
        </w:rPr>
        <w:t> </w:t>
      </w:r>
      <w:r>
        <w:rPr/>
        <w:t>halved</w:t>
      </w:r>
      <w:r>
        <w:rPr>
          <w:spacing w:val="6"/>
        </w:rPr>
        <w:t> </w:t>
      </w:r>
      <w:r>
        <w:rPr>
          <w:spacing w:val="-4"/>
        </w:rPr>
        <w:t>from</w:t>
      </w:r>
    </w:p>
    <w:p>
      <w:pPr>
        <w:pStyle w:val="BodyText"/>
        <w:ind w:left="420"/>
        <w:jc w:val="both"/>
      </w:pPr>
      <w:r>
        <w:rPr/>
        <w:t>$312</w:t>
      </w:r>
      <w:r>
        <w:rPr>
          <w:spacing w:val="-5"/>
        </w:rPr>
        <w:t> </w:t>
      </w:r>
      <w:r>
        <w:rPr/>
        <w:t>million</w:t>
      </w:r>
      <w:r>
        <w:rPr>
          <w:spacing w:val="-4"/>
        </w:rPr>
        <w:t> </w:t>
      </w:r>
      <w:r>
        <w:rPr/>
        <w:t>per</w:t>
      </w:r>
      <w:r>
        <w:rPr>
          <w:spacing w:val="-5"/>
        </w:rPr>
        <w:t> </w:t>
      </w:r>
      <w:r>
        <w:rPr/>
        <w:t>annum</w:t>
      </w:r>
      <w:r>
        <w:rPr>
          <w:spacing w:val="-4"/>
        </w:rPr>
        <w:t> </w:t>
      </w:r>
      <w:r>
        <w:rPr/>
        <w:t>to</w:t>
      </w:r>
      <w:r>
        <w:rPr>
          <w:spacing w:val="-5"/>
        </w:rPr>
        <w:t> </w:t>
      </w:r>
      <w:r>
        <w:rPr/>
        <w:t>$156</w:t>
      </w:r>
      <w:r>
        <w:rPr>
          <w:spacing w:val="-4"/>
        </w:rPr>
        <w:t> </w:t>
      </w:r>
      <w:r>
        <w:rPr/>
        <w:t>million</w:t>
      </w:r>
      <w:r>
        <w:rPr>
          <w:spacing w:val="-4"/>
        </w:rPr>
        <w:t> </w:t>
      </w:r>
      <w:r>
        <w:rPr/>
        <w:t>per</w:t>
      </w:r>
      <w:r>
        <w:rPr>
          <w:spacing w:val="-5"/>
        </w:rPr>
        <w:t> </w:t>
      </w:r>
      <w:r>
        <w:rPr/>
        <w:t>annum</w:t>
      </w:r>
      <w:r>
        <w:rPr>
          <w:spacing w:val="-4"/>
        </w:rPr>
        <w:t> </w:t>
      </w:r>
      <w:r>
        <w:rPr/>
        <w:t>under</w:t>
      </w:r>
      <w:r>
        <w:rPr>
          <w:spacing w:val="-5"/>
        </w:rPr>
        <w:t> </w:t>
      </w:r>
      <w:r>
        <w:rPr/>
        <w:t>the</w:t>
      </w:r>
      <w:r>
        <w:rPr>
          <w:spacing w:val="-4"/>
        </w:rPr>
        <w:t> </w:t>
      </w:r>
      <w:r>
        <w:rPr/>
        <w:t>2008</w:t>
      </w:r>
      <w:r>
        <w:rPr>
          <w:spacing w:val="-5"/>
        </w:rPr>
        <w:t> </w:t>
      </w:r>
      <w:r>
        <w:rPr>
          <w:spacing w:val="-2"/>
        </w:rPr>
        <w:t>proposal.</w:t>
      </w:r>
    </w:p>
    <w:p>
      <w:pPr>
        <w:pStyle w:val="BodyText"/>
      </w:pPr>
    </w:p>
    <w:p>
      <w:pPr>
        <w:pStyle w:val="BodyText"/>
        <w:ind w:left="420" w:right="809"/>
        <w:jc w:val="both"/>
      </w:pPr>
      <w:r>
        <w:rPr/>
        <w:t>These 2008 cost reductions arise in part from reductions in the stringency of particular requirements, however, the major part of the cost reductions arise from the adoption of certain exemption provisions in respect of small</w:t>
      </w:r>
      <w:r>
        <w:rPr>
          <w:spacing w:val="40"/>
        </w:rPr>
        <w:t> </w:t>
      </w:r>
      <w:r>
        <w:rPr/>
        <w:t>buildings.</w:t>
      </w:r>
      <w:r>
        <w:rPr>
          <w:spacing w:val="40"/>
        </w:rPr>
        <w:t> </w:t>
      </w:r>
      <w:r>
        <w:rPr/>
        <w:t>These changes in the proposed Standards have reduced the maximum impact on any individual building type, as assessed through the case study analysis, and are unlikely to change markedly as a result of the proposed 2009 amendments. Further details on the proposed 2009 amendments and their anticipated cost impacts can be found in Appendix D.</w:t>
      </w:r>
    </w:p>
    <w:p>
      <w:pPr>
        <w:pStyle w:val="BodyText"/>
      </w:pPr>
    </w:p>
    <w:p>
      <w:pPr>
        <w:pStyle w:val="BodyText"/>
        <w:ind w:left="419" w:right="811"/>
        <w:jc w:val="both"/>
      </w:pPr>
      <w:r>
        <w:rPr/>
        <w:t>One very important consequence of the cost reductions is that it is now expected that the unjustifiable hardship provisions of the DDA will be infrequently used in practice.</w:t>
      </w:r>
      <w:r>
        <w:rPr>
          <w:spacing w:val="40"/>
        </w:rPr>
        <w:t> </w:t>
      </w:r>
      <w:r>
        <w:rPr/>
        <w:t>A second, closely linked, consequence is that the degree of probable substitution between different types of buildings will be substantially less than was suggested in the draft RIS.</w:t>
      </w:r>
    </w:p>
    <w:p>
      <w:pPr>
        <w:pStyle w:val="BodyText"/>
      </w:pPr>
    </w:p>
    <w:p>
      <w:pPr>
        <w:pStyle w:val="BodyText"/>
        <w:ind w:left="419" w:right="812"/>
        <w:jc w:val="both"/>
      </w:pPr>
      <w:r>
        <w:rPr/>
        <w:t>The above figures represent best quantitative estimates of these costs, although</w:t>
      </w:r>
      <w:r>
        <w:rPr>
          <w:spacing w:val="-3"/>
        </w:rPr>
        <w:t> </w:t>
      </w:r>
      <w:r>
        <w:rPr/>
        <w:t>the</w:t>
      </w:r>
      <w:r>
        <w:rPr>
          <w:spacing w:val="-3"/>
        </w:rPr>
        <w:t> </w:t>
      </w:r>
      <w:r>
        <w:rPr/>
        <w:t>methodological</w:t>
      </w:r>
      <w:r>
        <w:rPr>
          <w:spacing w:val="-3"/>
        </w:rPr>
        <w:t> </w:t>
      </w:r>
      <w:r>
        <w:rPr/>
        <w:t>summary,</w:t>
      </w:r>
      <w:r>
        <w:rPr>
          <w:spacing w:val="-3"/>
        </w:rPr>
        <w:t> </w:t>
      </w:r>
      <w:r>
        <w:rPr/>
        <w:t>presented</w:t>
      </w:r>
      <w:r>
        <w:rPr>
          <w:spacing w:val="-3"/>
        </w:rPr>
        <w:t> </w:t>
      </w:r>
      <w:r>
        <w:rPr/>
        <w:t>in</w:t>
      </w:r>
      <w:r>
        <w:rPr>
          <w:spacing w:val="-3"/>
        </w:rPr>
        <w:t> </w:t>
      </w:r>
      <w:r>
        <w:rPr/>
        <w:t>Appendix</w:t>
      </w:r>
      <w:r>
        <w:rPr>
          <w:spacing w:val="-3"/>
        </w:rPr>
        <w:t> </w:t>
      </w:r>
      <w:r>
        <w:rPr/>
        <w:t>A</w:t>
      </w:r>
      <w:r>
        <w:rPr>
          <w:spacing w:val="-1"/>
        </w:rPr>
        <w:t> </w:t>
      </w:r>
      <w:r>
        <w:rPr/>
        <w:t>indicates</w:t>
      </w:r>
      <w:r>
        <w:rPr>
          <w:spacing w:val="-3"/>
        </w:rPr>
        <w:t> </w:t>
      </w:r>
      <w:r>
        <w:rPr/>
        <w:t>that a number of factors will tend to reduce the actual costs to some degree.</w:t>
      </w:r>
      <w:r>
        <w:rPr>
          <w:spacing w:val="40"/>
        </w:rPr>
        <w:t> </w:t>
      </w:r>
      <w:r>
        <w:rPr/>
        <w:t>These factors are:</w:t>
      </w:r>
    </w:p>
    <w:p>
      <w:pPr>
        <w:pStyle w:val="BodyText"/>
        <w:spacing w:before="3"/>
      </w:pPr>
    </w:p>
    <w:p>
      <w:pPr>
        <w:pStyle w:val="ListParagraph"/>
        <w:numPr>
          <w:ilvl w:val="0"/>
          <w:numId w:val="36"/>
        </w:numPr>
        <w:tabs>
          <w:tab w:pos="1141" w:val="left" w:leader="none"/>
        </w:tabs>
        <w:spacing w:line="237" w:lineRule="auto" w:before="0" w:after="0"/>
        <w:ind w:left="1133" w:right="812" w:hanging="357"/>
        <w:jc w:val="both"/>
        <w:rPr>
          <w:sz w:val="24"/>
        </w:rPr>
      </w:pPr>
      <w:r>
        <w:rPr>
          <w:sz w:val="24"/>
        </w:rPr>
        <w:t>The extent to which Alternative Solutions can meet the Premises Standards requirements at lower cost than the DTS solutions used in the above estimations;</w:t>
      </w:r>
    </w:p>
    <w:p>
      <w:pPr>
        <w:pStyle w:val="ListParagraph"/>
        <w:numPr>
          <w:ilvl w:val="0"/>
          <w:numId w:val="36"/>
        </w:numPr>
        <w:tabs>
          <w:tab w:pos="1141" w:val="left" w:leader="none"/>
        </w:tabs>
        <w:spacing w:line="240" w:lineRule="auto" w:before="124" w:after="0"/>
        <w:ind w:left="1133" w:right="813" w:hanging="357"/>
        <w:jc w:val="both"/>
        <w:rPr>
          <w:sz w:val="24"/>
        </w:rPr>
      </w:pPr>
      <w:r>
        <w:rPr>
          <w:sz w:val="24"/>
        </w:rPr>
        <w:t>The extent to which offsetting benefits, in terms of improved building quality for users other than the target group, exist; and</w:t>
      </w:r>
    </w:p>
    <w:p>
      <w:pPr>
        <w:pStyle w:val="ListParagraph"/>
        <w:numPr>
          <w:ilvl w:val="0"/>
          <w:numId w:val="36"/>
        </w:numPr>
        <w:tabs>
          <w:tab w:pos="1141" w:val="left" w:leader="none"/>
        </w:tabs>
        <w:spacing w:line="237" w:lineRule="auto" w:before="121" w:after="0"/>
        <w:ind w:left="1140" w:right="812" w:hanging="360"/>
        <w:jc w:val="both"/>
        <w:rPr>
          <w:sz w:val="24"/>
        </w:rPr>
      </w:pPr>
      <w:r>
        <w:rPr>
          <w:sz w:val="24"/>
        </w:rPr>
        <w:t>The extent to which current compliance with the DDA reduces the size of the compliance task consequent to the introduction of the Premises </w:t>
      </w:r>
      <w:r>
        <w:rPr>
          <w:spacing w:val="-2"/>
          <w:sz w:val="24"/>
        </w:rPr>
        <w:t>Standards</w:t>
      </w:r>
      <w:r>
        <w:rPr>
          <w:spacing w:val="-2"/>
          <w:sz w:val="24"/>
          <w:vertAlign w:val="superscript"/>
        </w:rPr>
        <w:t>70</w:t>
      </w:r>
      <w:r>
        <w:rPr>
          <w:spacing w:val="-2"/>
          <w:sz w:val="24"/>
          <w:vertAlign w:val="baseline"/>
        </w:rPr>
        <w:t>.</w:t>
      </w:r>
    </w:p>
    <w:p>
      <w:pPr>
        <w:pStyle w:val="BodyText"/>
        <w:rPr>
          <w:sz w:val="20"/>
        </w:rPr>
      </w:pPr>
    </w:p>
    <w:p>
      <w:pPr>
        <w:pStyle w:val="BodyText"/>
        <w:rPr>
          <w:sz w:val="20"/>
        </w:rPr>
      </w:pPr>
    </w:p>
    <w:p>
      <w:pPr>
        <w:pStyle w:val="BodyText"/>
        <w:spacing w:before="5"/>
      </w:pPr>
      <w:r>
        <w:rPr/>
        <w:pict>
          <v:rect style="position:absolute;margin-left:90pt;margin-top:15.254678pt;width:144pt;height:.6pt;mso-position-horizontal-relative:page;mso-position-vertical-relative:paragraph;z-index:-15699456;mso-wrap-distance-left:0;mso-wrap-distance-right:0" id="docshape70" filled="true" fillcolor="#000000" stroked="false">
            <v:fill type="solid"/>
            <w10:wrap type="topAndBottom"/>
          </v:rect>
        </w:pict>
      </w:r>
    </w:p>
    <w:p>
      <w:pPr>
        <w:pStyle w:val="BodyText"/>
        <w:spacing w:before="1"/>
        <w:rPr>
          <w:sz w:val="8"/>
        </w:rPr>
      </w:pPr>
    </w:p>
    <w:p>
      <w:pPr>
        <w:spacing w:before="130"/>
        <w:ind w:left="420" w:right="811" w:hanging="1"/>
        <w:jc w:val="left"/>
        <w:rPr>
          <w:sz w:val="20"/>
        </w:rPr>
      </w:pPr>
      <w:r>
        <w:rPr>
          <w:sz w:val="20"/>
          <w:vertAlign w:val="superscript"/>
        </w:rPr>
        <w:t>70</w:t>
      </w:r>
      <w:r>
        <w:rPr>
          <w:spacing w:val="-3"/>
          <w:sz w:val="20"/>
          <w:vertAlign w:val="baseline"/>
        </w:rPr>
        <w:t> </w:t>
      </w:r>
      <w:r>
        <w:rPr>
          <w:sz w:val="20"/>
          <w:vertAlign w:val="baseline"/>
        </w:rPr>
        <w:t>To</w:t>
      </w:r>
      <w:r>
        <w:rPr>
          <w:spacing w:val="-3"/>
          <w:sz w:val="20"/>
          <w:vertAlign w:val="baseline"/>
        </w:rPr>
        <w:t> </w:t>
      </w:r>
      <w:r>
        <w:rPr>
          <w:sz w:val="20"/>
          <w:vertAlign w:val="baseline"/>
        </w:rPr>
        <w:t>the</w:t>
      </w:r>
      <w:r>
        <w:rPr>
          <w:spacing w:val="-3"/>
          <w:sz w:val="20"/>
          <w:vertAlign w:val="baseline"/>
        </w:rPr>
        <w:t> </w:t>
      </w:r>
      <w:r>
        <w:rPr>
          <w:sz w:val="20"/>
          <w:vertAlign w:val="baseline"/>
        </w:rPr>
        <w:t>extent</w:t>
      </w:r>
      <w:r>
        <w:rPr>
          <w:spacing w:val="-3"/>
          <w:sz w:val="20"/>
          <w:vertAlign w:val="baseline"/>
        </w:rPr>
        <w:t> </w:t>
      </w:r>
      <w:r>
        <w:rPr>
          <w:sz w:val="20"/>
          <w:vertAlign w:val="baseline"/>
        </w:rPr>
        <w:t>that</w:t>
      </w:r>
      <w:r>
        <w:rPr>
          <w:spacing w:val="-3"/>
          <w:sz w:val="20"/>
          <w:vertAlign w:val="baseline"/>
        </w:rPr>
        <w:t> </w:t>
      </w:r>
      <w:r>
        <w:rPr>
          <w:sz w:val="20"/>
          <w:vertAlign w:val="baseline"/>
        </w:rPr>
        <w:t>this</w:t>
      </w:r>
      <w:r>
        <w:rPr>
          <w:spacing w:val="-2"/>
          <w:sz w:val="20"/>
          <w:vertAlign w:val="baseline"/>
        </w:rPr>
        <w:t> </w:t>
      </w:r>
      <w:r>
        <w:rPr>
          <w:sz w:val="20"/>
          <w:vertAlign w:val="baseline"/>
        </w:rPr>
        <w:t>last</w:t>
      </w:r>
      <w:r>
        <w:rPr>
          <w:spacing w:val="-3"/>
          <w:sz w:val="20"/>
          <w:vertAlign w:val="baseline"/>
        </w:rPr>
        <w:t> </w:t>
      </w:r>
      <w:r>
        <w:rPr>
          <w:sz w:val="20"/>
          <w:vertAlign w:val="baseline"/>
        </w:rPr>
        <w:t>factor</w:t>
      </w:r>
      <w:r>
        <w:rPr>
          <w:spacing w:val="-3"/>
          <w:sz w:val="20"/>
          <w:vertAlign w:val="baseline"/>
        </w:rPr>
        <w:t> </w:t>
      </w:r>
      <w:r>
        <w:rPr>
          <w:sz w:val="20"/>
          <w:vertAlign w:val="baseline"/>
        </w:rPr>
        <w:t>is</w:t>
      </w:r>
      <w:r>
        <w:rPr>
          <w:spacing w:val="-2"/>
          <w:sz w:val="20"/>
          <w:vertAlign w:val="baseline"/>
        </w:rPr>
        <w:t> </w:t>
      </w:r>
      <w:r>
        <w:rPr>
          <w:sz w:val="20"/>
          <w:vertAlign w:val="baseline"/>
        </w:rPr>
        <w:t>relevant,</w:t>
      </w:r>
      <w:r>
        <w:rPr>
          <w:spacing w:val="-3"/>
          <w:sz w:val="20"/>
          <w:vertAlign w:val="baseline"/>
        </w:rPr>
        <w:t> </w:t>
      </w:r>
      <w:r>
        <w:rPr>
          <w:sz w:val="20"/>
          <w:vertAlign w:val="baseline"/>
        </w:rPr>
        <w:t>it</w:t>
      </w:r>
      <w:r>
        <w:rPr>
          <w:spacing w:val="-3"/>
          <w:sz w:val="20"/>
          <w:vertAlign w:val="baseline"/>
        </w:rPr>
        <w:t> </w:t>
      </w:r>
      <w:r>
        <w:rPr>
          <w:sz w:val="20"/>
          <w:vertAlign w:val="baseline"/>
        </w:rPr>
        <w:t>must</w:t>
      </w:r>
      <w:r>
        <w:rPr>
          <w:spacing w:val="-3"/>
          <w:sz w:val="20"/>
          <w:vertAlign w:val="baseline"/>
        </w:rPr>
        <w:t> </w:t>
      </w:r>
      <w:r>
        <w:rPr>
          <w:sz w:val="20"/>
          <w:vertAlign w:val="baseline"/>
        </w:rPr>
        <w:t>be</w:t>
      </w:r>
      <w:r>
        <w:rPr>
          <w:spacing w:val="-3"/>
          <w:sz w:val="20"/>
          <w:vertAlign w:val="baseline"/>
        </w:rPr>
        <w:t> </w:t>
      </w:r>
      <w:r>
        <w:rPr>
          <w:sz w:val="20"/>
          <w:vertAlign w:val="baseline"/>
        </w:rPr>
        <w:t>noted</w:t>
      </w:r>
      <w:r>
        <w:rPr>
          <w:spacing w:val="-3"/>
          <w:sz w:val="20"/>
          <w:vertAlign w:val="baseline"/>
        </w:rPr>
        <w:t> </w:t>
      </w:r>
      <w:r>
        <w:rPr>
          <w:sz w:val="20"/>
          <w:vertAlign w:val="baseline"/>
        </w:rPr>
        <w:t>that</w:t>
      </w:r>
      <w:r>
        <w:rPr>
          <w:spacing w:val="-3"/>
          <w:sz w:val="20"/>
          <w:vertAlign w:val="baseline"/>
        </w:rPr>
        <w:t> </w:t>
      </w:r>
      <w:r>
        <w:rPr>
          <w:sz w:val="20"/>
          <w:vertAlign w:val="baseline"/>
        </w:rPr>
        <w:t>it</w:t>
      </w:r>
      <w:r>
        <w:rPr>
          <w:spacing w:val="-3"/>
          <w:sz w:val="20"/>
          <w:vertAlign w:val="baseline"/>
        </w:rPr>
        <w:t> </w:t>
      </w:r>
      <w:r>
        <w:rPr>
          <w:sz w:val="20"/>
          <w:vertAlign w:val="baseline"/>
        </w:rPr>
        <w:t>involves</w:t>
      </w:r>
      <w:r>
        <w:rPr>
          <w:spacing w:val="-3"/>
          <w:sz w:val="20"/>
          <w:vertAlign w:val="baseline"/>
        </w:rPr>
        <w:t> </w:t>
      </w:r>
      <w:r>
        <w:rPr>
          <w:sz w:val="20"/>
          <w:vertAlign w:val="baseline"/>
        </w:rPr>
        <w:t>a</w:t>
      </w:r>
      <w:r>
        <w:rPr>
          <w:spacing w:val="-3"/>
          <w:sz w:val="20"/>
          <w:vertAlign w:val="baseline"/>
        </w:rPr>
        <w:t> </w:t>
      </w:r>
      <w:r>
        <w:rPr>
          <w:sz w:val="20"/>
          <w:vertAlign w:val="baseline"/>
        </w:rPr>
        <w:t>reduction</w:t>
      </w:r>
      <w:r>
        <w:rPr>
          <w:spacing w:val="-3"/>
          <w:sz w:val="20"/>
          <w:vertAlign w:val="baseline"/>
        </w:rPr>
        <w:t> </w:t>
      </w:r>
      <w:r>
        <w:rPr>
          <w:sz w:val="20"/>
          <w:vertAlign w:val="baseline"/>
        </w:rPr>
        <w:t>in the expected benefits of the Premises Standard, as well as a reduction in its costs.</w:t>
      </w:r>
    </w:p>
    <w:p>
      <w:pPr>
        <w:spacing w:after="0"/>
        <w:jc w:val="left"/>
        <w:rPr>
          <w:sz w:val="20"/>
        </w:rPr>
        <w:sectPr>
          <w:type w:val="continuous"/>
          <w:pgSz w:w="11900" w:h="16840"/>
          <w:pgMar w:header="0" w:footer="1130" w:top="1080" w:bottom="1320" w:left="1380" w:right="980"/>
        </w:sectPr>
      </w:pPr>
    </w:p>
    <w:p>
      <w:pPr>
        <w:pStyle w:val="BodyText"/>
        <w:spacing w:before="75"/>
        <w:ind w:left="420" w:right="811"/>
        <w:jc w:val="both"/>
      </w:pPr>
      <w:bookmarkStart w:name="_bookmark31" w:id="111"/>
      <w:bookmarkEnd w:id="111"/>
      <w:r>
        <w:rPr/>
      </w:r>
      <w:r>
        <w:rPr/>
        <w:t>In sum, the aggregate costs of the proposed Premises Standards remain substantial in relation to new buildings and very substantial in relation to alterations and additions to existing buildings.</w:t>
      </w:r>
      <w:r>
        <w:rPr>
          <w:spacing w:val="40"/>
        </w:rPr>
        <w:t> </w:t>
      </w:r>
      <w:r>
        <w:rPr/>
        <w:t>However, the expected annual costs associated with the 2008 proposed Standards have, overall, been reduced by approximately 65% when compared with the original Premises Standards proposal.</w:t>
      </w:r>
    </w:p>
    <w:p>
      <w:pPr>
        <w:pStyle w:val="BodyText"/>
      </w:pPr>
    </w:p>
    <w:p>
      <w:pPr>
        <w:pStyle w:val="BodyText"/>
        <w:spacing w:before="1"/>
        <w:ind w:left="419" w:right="810"/>
        <w:jc w:val="both"/>
      </w:pPr>
      <w:r>
        <w:rPr/>
        <w:t>In macro-economic terms, the Premises Standards would be expected to</w:t>
      </w:r>
      <w:r>
        <w:rPr>
          <w:spacing w:val="40"/>
        </w:rPr>
        <w:t> </w:t>
      </w:r>
      <w:r>
        <w:rPr/>
        <w:t>have a modest negative effect on demand for new building activity and a somewhat larger negative effect on demand for renovations.</w:t>
      </w:r>
      <w:r>
        <w:rPr>
          <w:spacing w:val="40"/>
        </w:rPr>
        <w:t> </w:t>
      </w:r>
      <w:r>
        <w:rPr/>
        <w:t>Some switching of demand from building upgrade activity to new building activity could potentially offset the former effect.</w:t>
      </w:r>
      <w:r>
        <w:rPr>
          <w:spacing w:val="40"/>
        </w:rPr>
        <w:t> </w:t>
      </w:r>
      <w:r>
        <w:rPr/>
        <w:t>There would be some negative impact on the overall level of building activity (i.e. incorporating new and renovated buildings).</w:t>
      </w:r>
      <w:r>
        <w:rPr>
          <w:spacing w:val="40"/>
        </w:rPr>
        <w:t> </w:t>
      </w:r>
      <w:r>
        <w:rPr/>
        <w:t>This, in turn, can be expected to lead to indirect negative impacts on employment in the wider economy.</w:t>
      </w:r>
      <w:r>
        <w:rPr>
          <w:spacing w:val="40"/>
        </w:rPr>
        <w:t> </w:t>
      </w:r>
      <w:r>
        <w:rPr/>
        <w:t>This is the result of the fact that the price of a widely used productive input – buildings – will have increased significantly.</w:t>
      </w:r>
      <w:r>
        <w:rPr>
          <w:spacing w:val="40"/>
        </w:rPr>
        <w:t> </w:t>
      </w:r>
      <w:r>
        <w:rPr/>
        <w:t>Such an input price increase will necessarily reduce demand for complementary</w:t>
      </w:r>
      <w:r>
        <w:rPr>
          <w:spacing w:val="-2"/>
        </w:rPr>
        <w:t> </w:t>
      </w:r>
      <w:r>
        <w:rPr/>
        <w:t>inputs,</w:t>
      </w:r>
      <w:r>
        <w:rPr>
          <w:spacing w:val="-2"/>
        </w:rPr>
        <w:t> </w:t>
      </w:r>
      <w:r>
        <w:rPr/>
        <w:t>which</w:t>
      </w:r>
      <w:r>
        <w:rPr>
          <w:spacing w:val="-2"/>
        </w:rPr>
        <w:t> </w:t>
      </w:r>
      <w:r>
        <w:rPr/>
        <w:t>would</w:t>
      </w:r>
      <w:r>
        <w:rPr>
          <w:spacing w:val="-2"/>
        </w:rPr>
        <w:t> </w:t>
      </w:r>
      <w:r>
        <w:rPr/>
        <w:t>include</w:t>
      </w:r>
      <w:r>
        <w:rPr>
          <w:spacing w:val="-2"/>
        </w:rPr>
        <w:t> </w:t>
      </w:r>
      <w:r>
        <w:rPr/>
        <w:t>labour</w:t>
      </w:r>
      <w:r>
        <w:rPr>
          <w:spacing w:val="-2"/>
        </w:rPr>
        <w:t> </w:t>
      </w:r>
      <w:r>
        <w:rPr/>
        <w:t>in</w:t>
      </w:r>
      <w:r>
        <w:rPr>
          <w:spacing w:val="-2"/>
        </w:rPr>
        <w:t> </w:t>
      </w:r>
      <w:r>
        <w:rPr/>
        <w:t>many</w:t>
      </w:r>
      <w:r>
        <w:rPr>
          <w:spacing w:val="-2"/>
        </w:rPr>
        <w:t> </w:t>
      </w:r>
      <w:r>
        <w:rPr/>
        <w:t>or</w:t>
      </w:r>
      <w:r>
        <w:rPr>
          <w:spacing w:val="-2"/>
        </w:rPr>
        <w:t> </w:t>
      </w:r>
      <w:r>
        <w:rPr/>
        <w:t>most</w:t>
      </w:r>
      <w:r>
        <w:rPr>
          <w:spacing w:val="-2"/>
        </w:rPr>
        <w:t> </w:t>
      </w:r>
      <w:r>
        <w:rPr/>
        <w:t>industries. Moreover, the increase in the cost of buildings reduces real income overall, thus reducing demand in general.</w:t>
      </w:r>
    </w:p>
    <w:p>
      <w:pPr>
        <w:pStyle w:val="BodyText"/>
        <w:rPr>
          <w:sz w:val="26"/>
        </w:rPr>
      </w:pPr>
    </w:p>
    <w:p>
      <w:pPr>
        <w:pStyle w:val="Heading2"/>
        <w:numPr>
          <w:ilvl w:val="1"/>
          <w:numId w:val="25"/>
        </w:numPr>
        <w:tabs>
          <w:tab w:pos="1141" w:val="left" w:leader="none"/>
        </w:tabs>
        <w:spacing w:line="240" w:lineRule="auto" w:before="219" w:after="0"/>
        <w:ind w:left="1140" w:right="0" w:hanging="721"/>
        <w:jc w:val="left"/>
        <w:rPr>
          <w:i/>
        </w:rPr>
      </w:pPr>
      <w:bookmarkStart w:name="10.2 Benefit summary" w:id="112"/>
      <w:bookmarkEnd w:id="112"/>
      <w:r>
        <w:rPr>
          <w:i/>
        </w:rPr>
        <w:t>Benefit</w:t>
      </w:r>
      <w:r>
        <w:rPr>
          <w:i/>
          <w:spacing w:val="-10"/>
        </w:rPr>
        <w:t> </w:t>
      </w:r>
      <w:r>
        <w:rPr>
          <w:i/>
          <w:spacing w:val="-2"/>
        </w:rPr>
        <w:t>summary</w:t>
      </w:r>
    </w:p>
    <w:p>
      <w:pPr>
        <w:pStyle w:val="BodyText"/>
        <w:rPr>
          <w:b/>
          <w:i/>
          <w:sz w:val="29"/>
        </w:rPr>
      </w:pPr>
    </w:p>
    <w:p>
      <w:pPr>
        <w:pStyle w:val="BodyText"/>
        <w:ind w:left="420" w:right="811"/>
        <w:jc w:val="both"/>
      </w:pPr>
      <w:r>
        <w:rPr/>
        <w:t>The discussion of expected benefits has documented the specific contexts in which benefits would be expected to be obtained and discussed the importance of these benefits in qualitative terms.</w:t>
      </w:r>
      <w:r>
        <w:rPr>
          <w:spacing w:val="40"/>
        </w:rPr>
        <w:t> </w:t>
      </w:r>
      <w:r>
        <w:rPr/>
        <w:t>It has also established the disadvantage currently experienced by the intended beneficiaries of the Standards, in terms of income levels, access to employment and access to leisure and social activities.</w:t>
      </w:r>
      <w:r>
        <w:rPr>
          <w:spacing w:val="40"/>
        </w:rPr>
        <w:t> </w:t>
      </w:r>
      <w:r>
        <w:rPr/>
        <w:t>Thus, it has been shown that there would be a strong distributional benefit due to the adoption of the proposed Premises Standards, while noting the considerable uncertainties associated with these estimates. To ensure transparency of the assumptions made in this area, we have tested these figures for sensitivity at both optimistic and pessimistic scenarios later in this chapter.</w:t>
      </w:r>
    </w:p>
    <w:p>
      <w:pPr>
        <w:pStyle w:val="BodyText"/>
      </w:pPr>
    </w:p>
    <w:p>
      <w:pPr>
        <w:pStyle w:val="BodyText"/>
        <w:ind w:left="420" w:right="812"/>
        <w:jc w:val="both"/>
      </w:pPr>
      <w:r>
        <w:rPr/>
        <w:t>A range of other unquantifiable benefits have also been identified and discussed.</w:t>
      </w:r>
      <w:r>
        <w:rPr>
          <w:spacing w:val="40"/>
        </w:rPr>
        <w:t> </w:t>
      </w:r>
      <w:r>
        <w:rPr/>
        <w:t>These include benefits for elderly</w:t>
      </w:r>
      <w:r>
        <w:rPr>
          <w:spacing w:val="-1"/>
        </w:rPr>
        <w:t> </w:t>
      </w:r>
      <w:r>
        <w:rPr/>
        <w:t>people</w:t>
      </w:r>
      <w:r>
        <w:rPr>
          <w:spacing w:val="-1"/>
        </w:rPr>
        <w:t> </w:t>
      </w:r>
      <w:r>
        <w:rPr/>
        <w:t>who</w:t>
      </w:r>
      <w:r>
        <w:rPr>
          <w:spacing w:val="-1"/>
        </w:rPr>
        <w:t> </w:t>
      </w:r>
      <w:r>
        <w:rPr/>
        <w:t>are</w:t>
      </w:r>
      <w:r>
        <w:rPr>
          <w:spacing w:val="-1"/>
        </w:rPr>
        <w:t> </w:t>
      </w:r>
      <w:r>
        <w:rPr/>
        <w:t>not</w:t>
      </w:r>
      <w:r>
        <w:rPr>
          <w:spacing w:val="-1"/>
        </w:rPr>
        <w:t> </w:t>
      </w:r>
      <w:r>
        <w:rPr/>
        <w:t>classified</w:t>
      </w:r>
      <w:r>
        <w:rPr>
          <w:spacing w:val="-1"/>
        </w:rPr>
        <w:t> </w:t>
      </w:r>
      <w:r>
        <w:rPr/>
        <w:t>as having a disability but who would gain easier and more convenient access to buildings due to the implementation of the Premises Standards.</w:t>
      </w:r>
      <w:r>
        <w:rPr>
          <w:spacing w:val="40"/>
        </w:rPr>
        <w:t> </w:t>
      </w:r>
      <w:r>
        <w:rPr/>
        <w:t>Important benefits also exist for carers of people with a disability.</w:t>
      </w:r>
      <w:r>
        <w:rPr>
          <w:spacing w:val="40"/>
        </w:rPr>
        <w:t> </w:t>
      </w:r>
      <w:r>
        <w:rPr/>
        <w:t>Carers are likely to be less heavily relied upon by people with a disability due to the proposed improvements in access to premises.</w:t>
      </w:r>
      <w:r>
        <w:rPr>
          <w:spacing w:val="40"/>
        </w:rPr>
        <w:t> </w:t>
      </w:r>
      <w:r>
        <w:rPr/>
        <w:t>This will bring a range of consequent benefits including a likely increase in the currently low employment rates experienced by primary carers.</w:t>
      </w:r>
      <w:r>
        <w:rPr>
          <w:spacing w:val="40"/>
        </w:rPr>
        <w:t> </w:t>
      </w:r>
      <w:r>
        <w:rPr/>
        <w:t>As well, moving to the Premises Standards is likely to reduce substantially the transaction costs involved in using the</w:t>
      </w:r>
      <w:r>
        <w:rPr>
          <w:spacing w:val="40"/>
        </w:rPr>
        <w:t> </w:t>
      </w:r>
      <w:r>
        <w:rPr/>
        <w:t>current DDA complaints mechanism to enforce access requirements.</w:t>
      </w:r>
      <w:r>
        <w:rPr>
          <w:spacing w:val="40"/>
        </w:rPr>
        <w:t> </w:t>
      </w:r>
      <w:r>
        <w:rPr/>
        <w:t>These reductions can be considered both in relation to the existing level of use of these</w:t>
      </w:r>
      <w:r>
        <w:rPr>
          <w:spacing w:val="-1"/>
        </w:rPr>
        <w:t> </w:t>
      </w:r>
      <w:r>
        <w:rPr/>
        <w:t>mechanisms</w:t>
      </w:r>
      <w:r>
        <w:rPr>
          <w:spacing w:val="-1"/>
        </w:rPr>
        <w:t> </w:t>
      </w:r>
      <w:r>
        <w:rPr/>
        <w:t>and</w:t>
      </w:r>
      <w:r>
        <w:rPr>
          <w:spacing w:val="-1"/>
        </w:rPr>
        <w:t> </w:t>
      </w:r>
      <w:r>
        <w:rPr/>
        <w:t>in</w:t>
      </w:r>
      <w:r>
        <w:rPr>
          <w:spacing w:val="-1"/>
        </w:rPr>
        <w:t> </w:t>
      </w:r>
      <w:r>
        <w:rPr/>
        <w:t>relation</w:t>
      </w:r>
      <w:r>
        <w:rPr>
          <w:spacing w:val="-1"/>
        </w:rPr>
        <w:t> </w:t>
      </w:r>
      <w:r>
        <w:rPr/>
        <w:t>to</w:t>
      </w:r>
      <w:r>
        <w:rPr>
          <w:spacing w:val="-1"/>
        </w:rPr>
        <w:t> </w:t>
      </w:r>
      <w:r>
        <w:rPr/>
        <w:t>the expected</w:t>
      </w:r>
      <w:r>
        <w:rPr>
          <w:spacing w:val="-1"/>
        </w:rPr>
        <w:t> </w:t>
      </w:r>
      <w:r>
        <w:rPr/>
        <w:t>future</w:t>
      </w:r>
      <w:r>
        <w:rPr>
          <w:spacing w:val="-1"/>
        </w:rPr>
        <w:t> </w:t>
      </w:r>
      <w:r>
        <w:rPr/>
        <w:t>use</w:t>
      </w:r>
      <w:r>
        <w:rPr>
          <w:spacing w:val="-1"/>
        </w:rPr>
        <w:t> </w:t>
      </w:r>
      <w:r>
        <w:rPr/>
        <w:t>of</w:t>
      </w:r>
      <w:r>
        <w:rPr>
          <w:spacing w:val="-1"/>
        </w:rPr>
        <w:t> </w:t>
      </w:r>
      <w:r>
        <w:rPr/>
        <w:t>them</w:t>
      </w:r>
      <w:r>
        <w:rPr>
          <w:spacing w:val="-1"/>
        </w:rPr>
        <w:t> </w:t>
      </w:r>
      <w:r>
        <w:rPr/>
        <w:t>were</w:t>
      </w:r>
      <w:r>
        <w:rPr>
          <w:spacing w:val="-1"/>
        </w:rPr>
        <w:t> </w:t>
      </w:r>
      <w:r>
        <w:rPr/>
        <w:t>the Premises Standards not to be adopted.</w:t>
      </w:r>
    </w:p>
    <w:p>
      <w:pPr>
        <w:spacing w:after="0"/>
        <w:jc w:val="both"/>
        <w:sectPr>
          <w:pgSz w:w="11900" w:h="16840"/>
          <w:pgMar w:header="0" w:footer="1130" w:top="1000" w:bottom="1320" w:left="1380" w:right="980"/>
        </w:sectPr>
      </w:pPr>
    </w:p>
    <w:p>
      <w:pPr>
        <w:pStyle w:val="BodyText"/>
        <w:spacing w:before="75"/>
        <w:ind w:left="420" w:right="810"/>
        <w:jc w:val="both"/>
      </w:pPr>
      <w:r>
        <w:rPr/>
        <w:t>An additional factor leading the quantified benefit estimates below to tend toward under-estimating the true benefits of the Premises Standards, is the continuing trend toward increases in the proportion of people with a disability in the general population.</w:t>
      </w:r>
      <w:r>
        <w:rPr>
          <w:spacing w:val="40"/>
        </w:rPr>
        <w:t> </w:t>
      </w:r>
      <w:r>
        <w:rPr/>
        <w:t>The ageing of the population and other factors means that the number of beneficiaries of the Premises Standards is likely to be significantly larger in future years than the current numbers used as the basis of the quantitative estimates below.</w:t>
      </w:r>
      <w:r>
        <w:rPr>
          <w:spacing w:val="40"/>
        </w:rPr>
        <w:t> </w:t>
      </w:r>
      <w:r>
        <w:rPr/>
        <w:t>As well, there has been no attempt to quantify the potential benefits for ambulant groups likely to flow from the adoption of the Premises Standards.</w:t>
      </w:r>
    </w:p>
    <w:p>
      <w:pPr>
        <w:pStyle w:val="BodyText"/>
      </w:pPr>
    </w:p>
    <w:p>
      <w:pPr>
        <w:pStyle w:val="BodyText"/>
        <w:spacing w:before="1"/>
        <w:ind w:left="420" w:right="812"/>
        <w:jc w:val="both"/>
      </w:pPr>
      <w:r>
        <w:rPr/>
        <w:t>For all of these reasons, the quantitative benefit estimates should be considered as only one part – albeit a very important one – of the total benefit that would be associated with the adoption of the Standards.</w:t>
      </w:r>
    </w:p>
    <w:p>
      <w:pPr>
        <w:pStyle w:val="BodyText"/>
      </w:pPr>
    </w:p>
    <w:p>
      <w:pPr>
        <w:pStyle w:val="BodyText"/>
        <w:ind w:left="419" w:right="811"/>
        <w:jc w:val="both"/>
      </w:pPr>
      <w:r>
        <w:rPr/>
        <w:t>Two major types of benefit have been estimated in quantitative terms.</w:t>
      </w:r>
      <w:r>
        <w:rPr>
          <w:spacing w:val="73"/>
        </w:rPr>
        <w:t> </w:t>
      </w:r>
      <w:r>
        <w:rPr/>
        <w:t>Firstly, it can be expected that the Standards would have an important impact in increasing the participation in the workplace of people with mobility disabilities in particular, and to a lesser extent people with hearing and vision impairments.</w:t>
      </w:r>
      <w:r>
        <w:rPr>
          <w:spacing w:val="80"/>
        </w:rPr>
        <w:t> </w:t>
      </w:r>
      <w:r>
        <w:rPr/>
        <w:t>No reliable estimates of the size of these impacts can be gained, and limited available </w:t>
      </w:r>
      <w:r>
        <w:rPr>
          <w:i/>
        </w:rPr>
        <w:t>ex post </w:t>
      </w:r>
      <w:r>
        <w:rPr/>
        <w:t>data from the United States casts some doubt on the efficacy of programs such as the Premises Standards in this regard.</w:t>
      </w:r>
      <w:r>
        <w:rPr>
          <w:spacing w:val="40"/>
        </w:rPr>
        <w:t> </w:t>
      </w:r>
      <w:r>
        <w:rPr/>
        <w:t>We have based our estimates of the plausible gains in this area on those</w:t>
      </w:r>
      <w:r>
        <w:rPr>
          <w:spacing w:val="-2"/>
        </w:rPr>
        <w:t> </w:t>
      </w:r>
      <w:r>
        <w:rPr/>
        <w:t>derived</w:t>
      </w:r>
      <w:r>
        <w:rPr>
          <w:spacing w:val="-2"/>
        </w:rPr>
        <w:t> </w:t>
      </w:r>
      <w:r>
        <w:rPr/>
        <w:t>by</w:t>
      </w:r>
      <w:r>
        <w:rPr>
          <w:spacing w:val="-2"/>
        </w:rPr>
        <w:t> </w:t>
      </w:r>
      <w:r>
        <w:rPr/>
        <w:t>Frisch.</w:t>
      </w:r>
      <w:r>
        <w:rPr>
          <w:spacing w:val="40"/>
        </w:rPr>
        <w:t> </w:t>
      </w:r>
      <w:r>
        <w:rPr/>
        <w:t>However,</w:t>
      </w:r>
      <w:r>
        <w:rPr>
          <w:spacing w:val="-2"/>
        </w:rPr>
        <w:t> </w:t>
      </w:r>
      <w:r>
        <w:rPr/>
        <w:t>given</w:t>
      </w:r>
      <w:r>
        <w:rPr>
          <w:spacing w:val="-2"/>
        </w:rPr>
        <w:t> </w:t>
      </w:r>
      <w:r>
        <w:rPr/>
        <w:t>the</w:t>
      </w:r>
      <w:r>
        <w:rPr>
          <w:spacing w:val="-2"/>
        </w:rPr>
        <w:t> </w:t>
      </w:r>
      <w:r>
        <w:rPr/>
        <w:t>doubt</w:t>
      </w:r>
      <w:r>
        <w:rPr>
          <w:spacing w:val="-2"/>
        </w:rPr>
        <w:t> </w:t>
      </w:r>
      <w:r>
        <w:rPr/>
        <w:t>cast</w:t>
      </w:r>
      <w:r>
        <w:rPr>
          <w:spacing w:val="-2"/>
        </w:rPr>
        <w:t> </w:t>
      </w:r>
      <w:r>
        <w:rPr/>
        <w:t>on</w:t>
      </w:r>
      <w:r>
        <w:rPr>
          <w:spacing w:val="-2"/>
        </w:rPr>
        <w:t> </w:t>
      </w:r>
      <w:r>
        <w:rPr/>
        <w:t>the</w:t>
      </w:r>
      <w:r>
        <w:rPr>
          <w:spacing w:val="-2"/>
        </w:rPr>
        <w:t> </w:t>
      </w:r>
      <w:r>
        <w:rPr/>
        <w:t>achievability</w:t>
      </w:r>
      <w:r>
        <w:rPr>
          <w:spacing w:val="-2"/>
        </w:rPr>
        <w:t> </w:t>
      </w:r>
      <w:r>
        <w:rPr/>
        <w:t>of these benefits by the United States experience, we have reduced by 50% the estimate initially derived using Frisch’s methodology.</w:t>
      </w:r>
    </w:p>
    <w:p>
      <w:pPr>
        <w:pStyle w:val="BodyText"/>
      </w:pPr>
    </w:p>
    <w:p>
      <w:pPr>
        <w:pStyle w:val="BodyText"/>
        <w:ind w:left="419" w:right="811"/>
        <w:jc w:val="both"/>
      </w:pPr>
      <w:r>
        <w:rPr/>
        <w:t>Secondly, the expected impact of the Premises Standards in reducing the additional living costs currently experienced by people with a disability has been estimated in quantitative terms.</w:t>
      </w:r>
      <w:r>
        <w:rPr>
          <w:spacing w:val="40"/>
        </w:rPr>
        <w:t> </w:t>
      </w:r>
      <w:r>
        <w:rPr/>
        <w:t>Data derived from Frisch’s “insurance based”</w:t>
      </w:r>
      <w:r>
        <w:rPr/>
        <w:t> methodology</w:t>
      </w:r>
      <w:r>
        <w:rPr/>
        <w:t> (but</w:t>
      </w:r>
      <w:r>
        <w:rPr/>
        <w:t> using</w:t>
      </w:r>
      <w:r>
        <w:rPr/>
        <w:t> adjusted</w:t>
      </w:r>
      <w:r>
        <w:rPr/>
        <w:t> assumptions, discussed above) suggest that overall benefits of the order of at $969 million per annum may be attainable from the removal of access barriers.</w:t>
      </w:r>
    </w:p>
    <w:p>
      <w:pPr>
        <w:pStyle w:val="BodyText"/>
        <w:spacing w:before="1"/>
      </w:pPr>
    </w:p>
    <w:p>
      <w:pPr>
        <w:pStyle w:val="Heading5"/>
        <w:ind w:left="419" w:right="810"/>
      </w:pPr>
      <w:r>
        <w:rPr>
          <w:i/>
        </w:rPr>
        <w:t>Adjusting</w:t>
      </w:r>
      <w:r>
        <w:rPr>
          <w:i/>
          <w:spacing w:val="-2"/>
        </w:rPr>
        <w:t> </w:t>
      </w:r>
      <w:r>
        <w:rPr>
          <w:i/>
        </w:rPr>
        <w:t>benefits</w:t>
      </w:r>
      <w:r>
        <w:rPr>
          <w:i/>
          <w:spacing w:val="-2"/>
        </w:rPr>
        <w:t> </w:t>
      </w:r>
      <w:r>
        <w:rPr>
          <w:i/>
        </w:rPr>
        <w:t>to</w:t>
      </w:r>
      <w:r>
        <w:rPr>
          <w:i/>
          <w:spacing w:val="-2"/>
        </w:rPr>
        <w:t> </w:t>
      </w:r>
      <w:r>
        <w:rPr>
          <w:i/>
        </w:rPr>
        <w:t>account</w:t>
      </w:r>
      <w:r>
        <w:rPr>
          <w:i/>
          <w:spacing w:val="-2"/>
        </w:rPr>
        <w:t> </w:t>
      </w:r>
      <w:r>
        <w:rPr>
          <w:i/>
        </w:rPr>
        <w:t>for</w:t>
      </w:r>
      <w:r>
        <w:rPr>
          <w:i/>
          <w:spacing w:val="-2"/>
        </w:rPr>
        <w:t> </w:t>
      </w:r>
      <w:r>
        <w:rPr>
          <w:i/>
        </w:rPr>
        <w:t>the</w:t>
      </w:r>
      <w:r>
        <w:rPr>
          <w:i/>
          <w:spacing w:val="-2"/>
        </w:rPr>
        <w:t> </w:t>
      </w:r>
      <w:r>
        <w:rPr>
          <w:i/>
        </w:rPr>
        <w:t>changes</w:t>
      </w:r>
      <w:r>
        <w:rPr>
          <w:i/>
          <w:spacing w:val="-2"/>
        </w:rPr>
        <w:t> </w:t>
      </w:r>
      <w:r>
        <w:rPr>
          <w:i/>
        </w:rPr>
        <w:t>to</w:t>
      </w:r>
      <w:r>
        <w:rPr>
          <w:i/>
          <w:spacing w:val="-2"/>
        </w:rPr>
        <w:t> </w:t>
      </w:r>
      <w:r>
        <w:rPr>
          <w:i/>
        </w:rPr>
        <w:t>the</w:t>
      </w:r>
      <w:r>
        <w:rPr>
          <w:i/>
          <w:spacing w:val="-2"/>
        </w:rPr>
        <w:t> </w:t>
      </w:r>
      <w:r>
        <w:rPr>
          <w:i/>
        </w:rPr>
        <w:t>2004</w:t>
      </w:r>
      <w:r>
        <w:rPr>
          <w:i/>
          <w:spacing w:val="-1"/>
        </w:rPr>
        <w:t> </w:t>
      </w:r>
      <w:r>
        <w:rPr>
          <w:i/>
        </w:rPr>
        <w:t>draft</w:t>
      </w:r>
      <w:r>
        <w:rPr>
          <w:i/>
          <w:spacing w:val="-1"/>
        </w:rPr>
        <w:t> </w:t>
      </w:r>
      <w:r>
        <w:rPr>
          <w:i/>
        </w:rPr>
        <w:t>Premises</w:t>
      </w:r>
      <w:r>
        <w:rPr/>
        <w:t> Standards proposal</w:t>
      </w:r>
    </w:p>
    <w:p>
      <w:pPr>
        <w:pStyle w:val="BodyText"/>
        <w:ind w:left="419" w:right="811"/>
        <w:jc w:val="both"/>
      </w:pPr>
      <w:r>
        <w:rPr/>
        <w:t>As noted in Chapter 7, a significant number of reductions in stringency have been made since the original Premises Standards proposal, but these have been carefully designed so that the changes in almost all cases reduce convenience</w:t>
      </w:r>
      <w:r>
        <w:rPr>
          <w:spacing w:val="-3"/>
        </w:rPr>
        <w:t> </w:t>
      </w:r>
      <w:r>
        <w:rPr/>
        <w:t>and</w:t>
      </w:r>
      <w:r>
        <w:rPr>
          <w:spacing w:val="-3"/>
        </w:rPr>
        <w:t> </w:t>
      </w:r>
      <w:r>
        <w:rPr/>
        <w:t>dignity</w:t>
      </w:r>
      <w:r>
        <w:rPr>
          <w:spacing w:val="-3"/>
        </w:rPr>
        <w:t> </w:t>
      </w:r>
      <w:r>
        <w:rPr/>
        <w:t>to</w:t>
      </w:r>
      <w:r>
        <w:rPr>
          <w:spacing w:val="-3"/>
        </w:rPr>
        <w:t> </w:t>
      </w:r>
      <w:r>
        <w:rPr/>
        <w:t>a</w:t>
      </w:r>
      <w:r>
        <w:rPr>
          <w:spacing w:val="-3"/>
        </w:rPr>
        <w:t> </w:t>
      </w:r>
      <w:r>
        <w:rPr/>
        <w:t>degree,</w:t>
      </w:r>
      <w:r>
        <w:rPr>
          <w:spacing w:val="-3"/>
        </w:rPr>
        <w:t> </w:t>
      </w:r>
      <w:r>
        <w:rPr/>
        <w:t>while</w:t>
      </w:r>
      <w:r>
        <w:rPr>
          <w:spacing w:val="-3"/>
        </w:rPr>
        <w:t> </w:t>
      </w:r>
      <w:r>
        <w:rPr/>
        <w:t>preserving</w:t>
      </w:r>
      <w:r>
        <w:rPr>
          <w:spacing w:val="-3"/>
        </w:rPr>
        <w:t> </w:t>
      </w:r>
      <w:r>
        <w:rPr/>
        <w:t>access</w:t>
      </w:r>
      <w:r>
        <w:rPr>
          <w:spacing w:val="-1"/>
        </w:rPr>
        <w:t> </w:t>
      </w:r>
      <w:r>
        <w:rPr>
          <w:i/>
        </w:rPr>
        <w:t>per</w:t>
      </w:r>
      <w:r>
        <w:rPr>
          <w:i/>
          <w:spacing w:val="-3"/>
        </w:rPr>
        <w:t> </w:t>
      </w:r>
      <w:r>
        <w:rPr>
          <w:i/>
        </w:rPr>
        <w:t>se</w:t>
      </w:r>
      <w:r>
        <w:rPr/>
        <w:t>.</w:t>
      </w:r>
      <w:r>
        <w:rPr>
          <w:spacing w:val="40"/>
        </w:rPr>
        <w:t> </w:t>
      </w:r>
      <w:r>
        <w:rPr/>
        <w:t>As</w:t>
      </w:r>
      <w:r>
        <w:rPr>
          <w:spacing w:val="-3"/>
        </w:rPr>
        <w:t> </w:t>
      </w:r>
      <w:r>
        <w:rPr/>
        <w:t>well, some</w:t>
      </w:r>
      <w:r>
        <w:rPr>
          <w:spacing w:val="-3"/>
        </w:rPr>
        <w:t> </w:t>
      </w:r>
      <w:r>
        <w:rPr/>
        <w:t>exemptions</w:t>
      </w:r>
      <w:r>
        <w:rPr>
          <w:spacing w:val="-3"/>
        </w:rPr>
        <w:t> </w:t>
      </w:r>
      <w:r>
        <w:rPr/>
        <w:t>for</w:t>
      </w:r>
      <w:r>
        <w:rPr>
          <w:spacing w:val="-3"/>
        </w:rPr>
        <w:t> </w:t>
      </w:r>
      <w:r>
        <w:rPr/>
        <w:t>smaller</w:t>
      </w:r>
      <w:r>
        <w:rPr>
          <w:spacing w:val="-3"/>
        </w:rPr>
        <w:t> </w:t>
      </w:r>
      <w:r>
        <w:rPr/>
        <w:t>buildings</w:t>
      </w:r>
      <w:r>
        <w:rPr>
          <w:spacing w:val="-4"/>
        </w:rPr>
        <w:t> </w:t>
      </w:r>
      <w:r>
        <w:rPr/>
        <w:t>have</w:t>
      </w:r>
      <w:r>
        <w:rPr>
          <w:spacing w:val="-3"/>
        </w:rPr>
        <w:t> </w:t>
      </w:r>
      <w:r>
        <w:rPr/>
        <w:t>been</w:t>
      </w:r>
      <w:r>
        <w:rPr>
          <w:spacing w:val="-3"/>
        </w:rPr>
        <w:t> </w:t>
      </w:r>
      <w:r>
        <w:rPr/>
        <w:t>created.</w:t>
      </w:r>
      <w:r>
        <w:rPr>
          <w:spacing w:val="40"/>
        </w:rPr>
        <w:t> </w:t>
      </w:r>
      <w:r>
        <w:rPr/>
        <w:t>The</w:t>
      </w:r>
      <w:r>
        <w:rPr>
          <w:spacing w:val="-2"/>
        </w:rPr>
        <w:t> </w:t>
      </w:r>
      <w:r>
        <w:rPr/>
        <w:t>overall</w:t>
      </w:r>
      <w:r>
        <w:rPr>
          <w:spacing w:val="-2"/>
        </w:rPr>
        <w:t> </w:t>
      </w:r>
      <w:r>
        <w:rPr/>
        <w:t>impact of these changes is estimated as being equal to a 20% reduction in the total benefits that the Standards would deliver when fully implemented, when compared with the proposal that was the subject of the draft RIS.</w:t>
      </w:r>
      <w:r>
        <w:rPr>
          <w:spacing w:val="40"/>
        </w:rPr>
        <w:t> </w:t>
      </w:r>
      <w:r>
        <w:rPr/>
        <w:t>This 20% reduction must be applied to all the benefit estimates discussed above.</w:t>
      </w:r>
    </w:p>
    <w:p>
      <w:pPr>
        <w:pStyle w:val="BodyText"/>
        <w:spacing w:before="10"/>
        <w:rPr>
          <w:sz w:val="23"/>
        </w:rPr>
      </w:pPr>
    </w:p>
    <w:p>
      <w:pPr>
        <w:pStyle w:val="BodyText"/>
        <w:ind w:left="419" w:right="811"/>
        <w:jc w:val="both"/>
      </w:pPr>
      <w:r>
        <w:rPr/>
        <w:t>The Premises Standards – and the other Disability Standards that have been or may be developed under the DDA – should also be seen as representing an integrated or holistic approach to addressing the need to ensure the integration of people with a disability into the community as far as possible. This is clearly an intangible benefit of considerable importance – a fact recognized in the establishment of very broad duties on a range of individuals</w:t>
      </w:r>
    </w:p>
    <w:p>
      <w:pPr>
        <w:spacing w:after="0"/>
        <w:jc w:val="both"/>
        <w:sectPr>
          <w:pgSz w:w="11900" w:h="16840"/>
          <w:pgMar w:header="0" w:footer="1130" w:top="1000" w:bottom="1320" w:left="1380" w:right="980"/>
        </w:sectPr>
      </w:pPr>
    </w:p>
    <w:p>
      <w:pPr>
        <w:pStyle w:val="BodyText"/>
        <w:spacing w:before="75"/>
        <w:ind w:left="420" w:right="812"/>
        <w:jc w:val="both"/>
      </w:pPr>
      <w:r>
        <w:rPr/>
        <w:t>– including building owners and managers – in the DDA at the time of its drafting and passage in 1992.</w:t>
      </w:r>
    </w:p>
    <w:p>
      <w:pPr>
        <w:pStyle w:val="BodyText"/>
      </w:pPr>
    </w:p>
    <w:p>
      <w:pPr>
        <w:pStyle w:val="BodyText"/>
        <w:ind w:left="420" w:right="811"/>
        <w:jc w:val="both"/>
      </w:pPr>
      <w:r>
        <w:rPr/>
        <w:t>The current moves to codify these duties via formulation of a range of Access Standards under the DDA reflects concern that, after over a decade of operation of the DDA, more must be done in order to ensure that the benefits that the DDA sought to bring are actually achieved in practice.</w:t>
      </w:r>
    </w:p>
    <w:p>
      <w:pPr>
        <w:pStyle w:val="BodyText"/>
      </w:pPr>
    </w:p>
    <w:p>
      <w:pPr>
        <w:pStyle w:val="BodyText"/>
        <w:spacing w:before="1"/>
        <w:ind w:left="419" w:right="810"/>
        <w:jc w:val="both"/>
      </w:pPr>
      <w:r>
        <w:rPr/>
        <w:t>In addition, Section 6 has indicated that the adoption of the Premises Standards is likely to yield important benefits in terms of reduced transaction costs and increased certainty and consistency for building owners and managers, people with a disability and other stakeholders.</w:t>
      </w:r>
      <w:r>
        <w:rPr>
          <w:spacing w:val="40"/>
        </w:rPr>
        <w:t> </w:t>
      </w:r>
      <w:r>
        <w:rPr/>
        <w:t>In particular, it will largely supplant the existing complaints-based system of resolving concerns</w:t>
      </w:r>
      <w:r>
        <w:rPr>
          <w:spacing w:val="40"/>
        </w:rPr>
        <w:t> </w:t>
      </w:r>
      <w:r>
        <w:rPr/>
        <w:t>in relation to the provision of access, which places a substantial onus on complainants and very often fails in translating decisions on access in particular cases into wider compliance outcomes.</w:t>
      </w:r>
    </w:p>
    <w:p>
      <w:pPr>
        <w:pStyle w:val="BodyText"/>
        <w:rPr>
          <w:sz w:val="26"/>
        </w:rPr>
      </w:pPr>
    </w:p>
    <w:p>
      <w:pPr>
        <w:pStyle w:val="Heading2"/>
        <w:numPr>
          <w:ilvl w:val="1"/>
          <w:numId w:val="25"/>
        </w:numPr>
        <w:tabs>
          <w:tab w:pos="1140" w:val="left" w:leader="none"/>
          <w:tab w:pos="2976" w:val="left" w:leader="none"/>
          <w:tab w:pos="3444" w:val="left" w:leader="none"/>
          <w:tab w:pos="4722" w:val="left" w:leader="none"/>
          <w:tab w:pos="5423" w:val="left" w:leader="none"/>
          <w:tab w:pos="6358" w:val="left" w:leader="none"/>
          <w:tab w:pos="6827" w:val="left" w:leader="none"/>
          <w:tab w:pos="7450" w:val="left" w:leader="none"/>
        </w:tabs>
        <w:spacing w:line="240" w:lineRule="auto" w:before="219" w:after="0"/>
        <w:ind w:left="1139" w:right="811" w:hanging="720"/>
        <w:jc w:val="left"/>
      </w:pPr>
      <w:bookmarkStart w:name="_TOC_250013" w:id="113"/>
      <w:bookmarkStart w:name="10.3 Comparison of benefits and costs of" w:id="114"/>
      <w:r>
        <w:rPr>
          <w:i/>
          <w:spacing w:val="-2"/>
        </w:rPr>
        <w:t>Comparison</w:t>
      </w:r>
      <w:r>
        <w:rPr>
          <w:i/>
        </w:rPr>
        <w:tab/>
      </w:r>
      <w:r>
        <w:rPr>
          <w:i/>
          <w:spacing w:val="-6"/>
        </w:rPr>
        <w:t>of</w:t>
      </w:r>
      <w:r>
        <w:rPr>
          <w:i/>
        </w:rPr>
        <w:tab/>
      </w:r>
      <w:r>
        <w:rPr>
          <w:i/>
          <w:spacing w:val="-2"/>
        </w:rPr>
        <w:t>benefits</w:t>
      </w:r>
      <w:r>
        <w:rPr>
          <w:i/>
        </w:rPr>
        <w:tab/>
      </w:r>
      <w:r>
        <w:rPr>
          <w:i/>
          <w:spacing w:val="-4"/>
        </w:rPr>
        <w:t>and</w:t>
      </w:r>
      <w:r>
        <w:rPr>
          <w:i/>
        </w:rPr>
        <w:tab/>
      </w:r>
      <w:r>
        <w:rPr>
          <w:i/>
          <w:spacing w:val="-2"/>
        </w:rPr>
        <w:t>costs</w:t>
      </w:r>
      <w:r>
        <w:rPr>
          <w:i/>
        </w:rPr>
        <w:tab/>
      </w:r>
      <w:r>
        <w:rPr>
          <w:i/>
          <w:spacing w:val="-6"/>
        </w:rPr>
        <w:t>of</w:t>
      </w:r>
      <w:r>
        <w:rPr>
          <w:i/>
        </w:rPr>
        <w:tab/>
      </w:r>
      <w:r>
        <w:rPr>
          <w:i/>
          <w:spacing w:val="-4"/>
        </w:rPr>
        <w:t>the</w:t>
      </w:r>
      <w:r>
        <w:rPr>
          <w:i/>
        </w:rPr>
        <w:tab/>
      </w:r>
      <w:r>
        <w:rPr>
          <w:i/>
          <w:spacing w:val="-2"/>
        </w:rPr>
        <w:t>proposed</w:t>
      </w:r>
      <w:r>
        <w:rPr>
          <w:spacing w:val="-2"/>
        </w:rPr>
        <w:t> </w:t>
      </w:r>
      <w:bookmarkEnd w:id="113"/>
      <w:r>
        <w:rPr/>
        <w:t>Premises Standards</w:t>
      </w:r>
    </w:p>
    <w:p>
      <w:pPr>
        <w:pStyle w:val="BodyText"/>
        <w:spacing w:before="11"/>
        <w:rPr>
          <w:b/>
          <w:i/>
          <w:sz w:val="28"/>
        </w:rPr>
      </w:pPr>
    </w:p>
    <w:p>
      <w:pPr>
        <w:pStyle w:val="BodyText"/>
        <w:ind w:left="419" w:right="812"/>
        <w:jc w:val="both"/>
      </w:pPr>
      <w:r>
        <w:rPr/>
        <w:t>The fact that both the estimated benefits and costs of implementing the Premises Standards are extremely substantial reflects the considerable non- compliance with the general duties of the DDA that persists even after more then a decade of enforcement of its individual complaints mechanism.</w:t>
      </w:r>
      <w:r>
        <w:rPr>
          <w:spacing w:val="40"/>
        </w:rPr>
        <w:t> </w:t>
      </w:r>
      <w:r>
        <w:rPr/>
        <w:t>This is contextually fundamental for the consideration of the overall merits of the proposed Standards.</w:t>
      </w:r>
    </w:p>
    <w:p>
      <w:pPr>
        <w:pStyle w:val="BodyText"/>
      </w:pPr>
    </w:p>
    <w:p>
      <w:pPr>
        <w:pStyle w:val="BodyText"/>
        <w:ind w:left="419" w:right="810"/>
        <w:jc w:val="both"/>
      </w:pPr>
      <w:r>
        <w:rPr/>
        <w:t>The annual values of the quantifiable benefits and costs have been discussed above.</w:t>
      </w:r>
      <w:r>
        <w:rPr>
          <w:spacing w:val="40"/>
        </w:rPr>
        <w:t> </w:t>
      </w:r>
      <w:r>
        <w:rPr/>
        <w:t>However, these values reflect a steady state and do not take into account</w:t>
      </w:r>
      <w:r>
        <w:rPr>
          <w:spacing w:val="-3"/>
        </w:rPr>
        <w:t> </w:t>
      </w:r>
      <w:r>
        <w:rPr/>
        <w:t>the</w:t>
      </w:r>
      <w:r>
        <w:rPr>
          <w:spacing w:val="-3"/>
        </w:rPr>
        <w:t> </w:t>
      </w:r>
      <w:r>
        <w:rPr/>
        <w:t>fundamental</w:t>
      </w:r>
      <w:r>
        <w:rPr>
          <w:spacing w:val="-3"/>
        </w:rPr>
        <w:t> </w:t>
      </w:r>
      <w:r>
        <w:rPr/>
        <w:t>issue</w:t>
      </w:r>
      <w:r>
        <w:rPr>
          <w:spacing w:val="-3"/>
        </w:rPr>
        <w:t> </w:t>
      </w:r>
      <w:r>
        <w:rPr/>
        <w:t>of</w:t>
      </w:r>
      <w:r>
        <w:rPr>
          <w:spacing w:val="-3"/>
        </w:rPr>
        <w:t> </w:t>
      </w:r>
      <w:r>
        <w:rPr/>
        <w:t>the</w:t>
      </w:r>
      <w:r>
        <w:rPr>
          <w:spacing w:val="-3"/>
        </w:rPr>
        <w:t> </w:t>
      </w:r>
      <w:r>
        <w:rPr/>
        <w:t>different</w:t>
      </w:r>
      <w:r>
        <w:rPr>
          <w:spacing w:val="-3"/>
        </w:rPr>
        <w:t> </w:t>
      </w:r>
      <w:r>
        <w:rPr/>
        <w:t>timing</w:t>
      </w:r>
      <w:r>
        <w:rPr>
          <w:spacing w:val="-3"/>
        </w:rPr>
        <w:t> </w:t>
      </w:r>
      <w:r>
        <w:rPr/>
        <w:t>of</w:t>
      </w:r>
      <w:r>
        <w:rPr>
          <w:spacing w:val="-3"/>
        </w:rPr>
        <w:t> </w:t>
      </w:r>
      <w:r>
        <w:rPr/>
        <w:t>the</w:t>
      </w:r>
      <w:r>
        <w:rPr>
          <w:spacing w:val="-3"/>
        </w:rPr>
        <w:t> </w:t>
      </w:r>
      <w:r>
        <w:rPr/>
        <w:t>benefits</w:t>
      </w:r>
      <w:r>
        <w:rPr>
          <w:spacing w:val="-3"/>
        </w:rPr>
        <w:t> </w:t>
      </w:r>
      <w:r>
        <w:rPr/>
        <w:t>and</w:t>
      </w:r>
      <w:r>
        <w:rPr>
          <w:spacing w:val="-3"/>
        </w:rPr>
        <w:t> </w:t>
      </w:r>
      <w:r>
        <w:rPr/>
        <w:t>costs. An analysis of the long-term impact of the Premises Standards must consider these differences in timing.</w:t>
      </w:r>
      <w:r>
        <w:rPr>
          <w:spacing w:val="80"/>
        </w:rPr>
        <w:t> </w:t>
      </w:r>
      <w:r>
        <w:rPr/>
        <w:t>In particular, the following timing issues have to be taken into account:</w:t>
      </w:r>
    </w:p>
    <w:p>
      <w:pPr>
        <w:pStyle w:val="BodyText"/>
        <w:spacing w:before="1"/>
      </w:pPr>
    </w:p>
    <w:p>
      <w:pPr>
        <w:pStyle w:val="ListParagraph"/>
        <w:numPr>
          <w:ilvl w:val="0"/>
          <w:numId w:val="37"/>
        </w:numPr>
        <w:tabs>
          <w:tab w:pos="1141" w:val="left" w:leader="none"/>
        </w:tabs>
        <w:spacing w:line="240" w:lineRule="auto" w:before="0" w:after="0"/>
        <w:ind w:left="1139" w:right="812" w:hanging="360"/>
        <w:jc w:val="both"/>
        <w:rPr>
          <w:sz w:val="24"/>
        </w:rPr>
      </w:pPr>
      <w:r>
        <w:rPr>
          <w:sz w:val="24"/>
        </w:rPr>
        <w:t>The costs identified in respect of new buildings will be incurred from year one and will remain substantially unaltered over the life of the </w:t>
      </w:r>
      <w:r>
        <w:rPr>
          <w:spacing w:val="-2"/>
          <w:sz w:val="24"/>
        </w:rPr>
        <w:t>Standards;</w:t>
      </w:r>
    </w:p>
    <w:p>
      <w:pPr>
        <w:pStyle w:val="ListParagraph"/>
        <w:numPr>
          <w:ilvl w:val="0"/>
          <w:numId w:val="37"/>
        </w:numPr>
        <w:tabs>
          <w:tab w:pos="1140" w:val="left" w:leader="none"/>
        </w:tabs>
        <w:spacing w:line="237" w:lineRule="auto" w:before="121" w:after="0"/>
        <w:ind w:left="1139" w:right="812" w:hanging="360"/>
        <w:jc w:val="both"/>
        <w:rPr>
          <w:sz w:val="24"/>
        </w:rPr>
      </w:pPr>
      <w:r>
        <w:rPr>
          <w:sz w:val="24"/>
        </w:rPr>
        <w:t>The costs identified in respect of building upgrades will increase over a 15 year period.</w:t>
      </w:r>
      <w:r>
        <w:rPr>
          <w:spacing w:val="40"/>
          <w:sz w:val="24"/>
        </w:rPr>
        <w:t> </w:t>
      </w:r>
      <w:r>
        <w:rPr>
          <w:sz w:val="24"/>
        </w:rPr>
        <w:t>These costs will be incurred annually for the length of the "renovation cycle", here estimated as being 15 years</w:t>
      </w:r>
      <w:r>
        <w:rPr>
          <w:sz w:val="24"/>
          <w:vertAlign w:val="superscript"/>
        </w:rPr>
        <w:t>71</w:t>
      </w:r>
      <w:r>
        <w:rPr>
          <w:sz w:val="24"/>
          <w:vertAlign w:val="baseline"/>
        </w:rPr>
        <w:t>; and</w:t>
      </w:r>
    </w:p>
    <w:p>
      <w:pPr>
        <w:pStyle w:val="BodyText"/>
        <w:rPr>
          <w:sz w:val="20"/>
        </w:rPr>
      </w:pPr>
    </w:p>
    <w:p>
      <w:pPr>
        <w:pStyle w:val="BodyText"/>
        <w:rPr>
          <w:sz w:val="20"/>
        </w:rPr>
      </w:pPr>
    </w:p>
    <w:p>
      <w:pPr>
        <w:pStyle w:val="BodyText"/>
        <w:spacing w:before="6"/>
        <w:rPr>
          <w:sz w:val="14"/>
        </w:rPr>
      </w:pPr>
      <w:r>
        <w:rPr/>
        <w:pict>
          <v:rect style="position:absolute;margin-left:90pt;margin-top:9.557813pt;width:144pt;height:.6pt;mso-position-horizontal-relative:page;mso-position-vertical-relative:paragraph;z-index:-15698944;mso-wrap-distance-left:0;mso-wrap-distance-right:0" id="docshape71" filled="true" fillcolor="#000000" stroked="false">
            <v:fill type="solid"/>
            <w10:wrap type="topAndBottom"/>
          </v:rect>
        </w:pict>
      </w:r>
    </w:p>
    <w:p>
      <w:pPr>
        <w:pStyle w:val="BodyText"/>
        <w:spacing w:before="1"/>
        <w:rPr>
          <w:sz w:val="8"/>
        </w:rPr>
      </w:pPr>
    </w:p>
    <w:p>
      <w:pPr>
        <w:spacing w:before="130"/>
        <w:ind w:left="419" w:right="808" w:firstLine="0"/>
        <w:jc w:val="both"/>
        <w:rPr>
          <w:sz w:val="20"/>
        </w:rPr>
      </w:pPr>
      <w:r>
        <w:rPr>
          <w:sz w:val="20"/>
          <w:vertAlign w:val="superscript"/>
        </w:rPr>
        <w:t>71</w:t>
      </w:r>
      <w:r>
        <w:rPr>
          <w:spacing w:val="-2"/>
          <w:sz w:val="20"/>
          <w:vertAlign w:val="baseline"/>
        </w:rPr>
        <w:t> </w:t>
      </w:r>
      <w:r>
        <w:rPr>
          <w:sz w:val="20"/>
          <w:vertAlign w:val="baseline"/>
        </w:rPr>
        <w:t>The</w:t>
      </w:r>
      <w:r>
        <w:rPr>
          <w:spacing w:val="-2"/>
          <w:sz w:val="20"/>
          <w:vertAlign w:val="baseline"/>
        </w:rPr>
        <w:t> </w:t>
      </w:r>
      <w:r>
        <w:rPr>
          <w:sz w:val="20"/>
          <w:vertAlign w:val="baseline"/>
        </w:rPr>
        <w:t>commercial</w:t>
      </w:r>
      <w:r>
        <w:rPr>
          <w:spacing w:val="-2"/>
          <w:sz w:val="20"/>
          <w:vertAlign w:val="baseline"/>
        </w:rPr>
        <w:t> </w:t>
      </w:r>
      <w:r>
        <w:rPr>
          <w:sz w:val="20"/>
          <w:vertAlign w:val="baseline"/>
        </w:rPr>
        <w:t>(cf.</w:t>
      </w:r>
      <w:r>
        <w:rPr>
          <w:spacing w:val="-2"/>
          <w:sz w:val="20"/>
          <w:vertAlign w:val="baseline"/>
        </w:rPr>
        <w:t> </w:t>
      </w:r>
      <w:r>
        <w:rPr>
          <w:sz w:val="20"/>
          <w:vertAlign w:val="baseline"/>
        </w:rPr>
        <w:t>technical)</w:t>
      </w:r>
      <w:r>
        <w:rPr>
          <w:spacing w:val="-2"/>
          <w:sz w:val="20"/>
          <w:vertAlign w:val="baseline"/>
        </w:rPr>
        <w:t> </w:t>
      </w:r>
      <w:r>
        <w:rPr>
          <w:sz w:val="20"/>
          <w:vertAlign w:val="baseline"/>
        </w:rPr>
        <w:t>life</w:t>
      </w:r>
      <w:r>
        <w:rPr>
          <w:spacing w:val="-3"/>
          <w:sz w:val="20"/>
          <w:vertAlign w:val="baseline"/>
        </w:rPr>
        <w:t> </w:t>
      </w:r>
      <w:r>
        <w:rPr>
          <w:sz w:val="20"/>
          <w:vertAlign w:val="baseline"/>
        </w:rPr>
        <w:t>of</w:t>
      </w:r>
      <w:r>
        <w:rPr>
          <w:spacing w:val="-2"/>
          <w:sz w:val="20"/>
          <w:vertAlign w:val="baseline"/>
        </w:rPr>
        <w:t> </w:t>
      </w:r>
      <w:r>
        <w:rPr>
          <w:sz w:val="20"/>
          <w:vertAlign w:val="baseline"/>
        </w:rPr>
        <w:t>non-residential</w:t>
      </w:r>
      <w:r>
        <w:rPr>
          <w:spacing w:val="-3"/>
          <w:sz w:val="20"/>
          <w:vertAlign w:val="baseline"/>
        </w:rPr>
        <w:t> </w:t>
      </w:r>
      <w:r>
        <w:rPr>
          <w:sz w:val="20"/>
          <w:vertAlign w:val="baseline"/>
        </w:rPr>
        <w:t>buildings</w:t>
      </w:r>
      <w:r>
        <w:rPr>
          <w:spacing w:val="-1"/>
          <w:sz w:val="20"/>
          <w:vertAlign w:val="baseline"/>
        </w:rPr>
        <w:t> </w:t>
      </w:r>
      <w:r>
        <w:rPr>
          <w:sz w:val="20"/>
          <w:vertAlign w:val="baseline"/>
        </w:rPr>
        <w:t>is</w:t>
      </w:r>
      <w:r>
        <w:rPr>
          <w:spacing w:val="-1"/>
          <w:sz w:val="20"/>
          <w:vertAlign w:val="baseline"/>
        </w:rPr>
        <w:t> </w:t>
      </w:r>
      <w:r>
        <w:rPr>
          <w:sz w:val="20"/>
          <w:vertAlign w:val="baseline"/>
        </w:rPr>
        <w:t>assumed</w:t>
      </w:r>
      <w:r>
        <w:rPr>
          <w:spacing w:val="-2"/>
          <w:sz w:val="20"/>
          <w:vertAlign w:val="baseline"/>
        </w:rPr>
        <w:t> </w:t>
      </w:r>
      <w:r>
        <w:rPr>
          <w:sz w:val="20"/>
          <w:vertAlign w:val="baseline"/>
        </w:rPr>
        <w:t>to</w:t>
      </w:r>
      <w:r>
        <w:rPr>
          <w:spacing w:val="-3"/>
          <w:sz w:val="20"/>
          <w:vertAlign w:val="baseline"/>
        </w:rPr>
        <w:t> </w:t>
      </w:r>
      <w:r>
        <w:rPr>
          <w:sz w:val="20"/>
          <w:vertAlign w:val="baseline"/>
        </w:rPr>
        <w:t>be</w:t>
      </w:r>
      <w:r>
        <w:rPr>
          <w:spacing w:val="-3"/>
          <w:sz w:val="20"/>
          <w:vertAlign w:val="baseline"/>
        </w:rPr>
        <w:t> </w:t>
      </w:r>
      <w:r>
        <w:rPr>
          <w:sz w:val="20"/>
          <w:vertAlign w:val="baseline"/>
        </w:rPr>
        <w:t>in</w:t>
      </w:r>
      <w:r>
        <w:rPr>
          <w:spacing w:val="-2"/>
          <w:sz w:val="20"/>
          <w:vertAlign w:val="baseline"/>
        </w:rPr>
        <w:t> </w:t>
      </w:r>
      <w:r>
        <w:rPr>
          <w:sz w:val="20"/>
          <w:vertAlign w:val="baseline"/>
        </w:rPr>
        <w:t>the</w:t>
      </w:r>
      <w:r>
        <w:rPr>
          <w:spacing w:val="-1"/>
          <w:sz w:val="20"/>
          <w:vertAlign w:val="baseline"/>
        </w:rPr>
        <w:t> </w:t>
      </w:r>
      <w:r>
        <w:rPr>
          <w:sz w:val="20"/>
          <w:vertAlign w:val="baseline"/>
        </w:rPr>
        <w:t>range of 40-50 years.</w:t>
      </w:r>
      <w:r>
        <w:rPr>
          <w:spacing w:val="40"/>
          <w:sz w:val="20"/>
          <w:vertAlign w:val="baseline"/>
        </w:rPr>
        <w:t> </w:t>
      </w:r>
      <w:r>
        <w:rPr>
          <w:sz w:val="20"/>
          <w:vertAlign w:val="baseline"/>
        </w:rPr>
        <w:t>It has been estimated that a building will be renovated at around 15 year intervals within this lifespan.</w:t>
      </w:r>
      <w:r>
        <w:rPr>
          <w:spacing w:val="40"/>
          <w:sz w:val="20"/>
          <w:vertAlign w:val="baseline"/>
        </w:rPr>
        <w:t> </w:t>
      </w:r>
      <w:r>
        <w:rPr>
          <w:sz w:val="20"/>
          <w:vertAlign w:val="baseline"/>
        </w:rPr>
        <w:t>Moreover, this estimate is broadly consistent with the data on annual building expenditure, viz: If it is assumed that new building activity adds around 2.5% to the existing stock per annum (i.e. broadly equivalent to an average 40 year life for a building), the implicit value of the stock is 40 x $15bn = $600bn.</w:t>
      </w:r>
      <w:r>
        <w:rPr>
          <w:spacing w:val="40"/>
          <w:sz w:val="20"/>
          <w:vertAlign w:val="baseline"/>
        </w:rPr>
        <w:t> </w:t>
      </w:r>
      <w:r>
        <w:rPr>
          <w:sz w:val="20"/>
          <w:vertAlign w:val="baseline"/>
        </w:rPr>
        <w:t>If roughly $8bn p.a. is spent and</w:t>
      </w:r>
      <w:r>
        <w:rPr>
          <w:spacing w:val="34"/>
          <w:sz w:val="20"/>
          <w:vertAlign w:val="baseline"/>
        </w:rPr>
        <w:t> </w:t>
      </w:r>
      <w:r>
        <w:rPr>
          <w:sz w:val="20"/>
          <w:vertAlign w:val="baseline"/>
        </w:rPr>
        <w:t>the</w:t>
      </w:r>
      <w:r>
        <w:rPr>
          <w:spacing w:val="35"/>
          <w:sz w:val="20"/>
          <w:vertAlign w:val="baseline"/>
        </w:rPr>
        <w:t> </w:t>
      </w:r>
      <w:r>
        <w:rPr>
          <w:sz w:val="20"/>
          <w:vertAlign w:val="baseline"/>
        </w:rPr>
        <w:t>whole</w:t>
      </w:r>
      <w:r>
        <w:rPr>
          <w:spacing w:val="37"/>
          <w:sz w:val="20"/>
          <w:vertAlign w:val="baseline"/>
        </w:rPr>
        <w:t> </w:t>
      </w:r>
      <w:r>
        <w:rPr>
          <w:sz w:val="20"/>
          <w:vertAlign w:val="baseline"/>
        </w:rPr>
        <w:t>stock</w:t>
      </w:r>
      <w:r>
        <w:rPr>
          <w:spacing w:val="37"/>
          <w:sz w:val="20"/>
          <w:vertAlign w:val="baseline"/>
        </w:rPr>
        <w:t> </w:t>
      </w:r>
      <w:r>
        <w:rPr>
          <w:sz w:val="20"/>
          <w:vertAlign w:val="baseline"/>
        </w:rPr>
        <w:t>is</w:t>
      </w:r>
      <w:r>
        <w:rPr>
          <w:spacing w:val="36"/>
          <w:sz w:val="20"/>
          <w:vertAlign w:val="baseline"/>
        </w:rPr>
        <w:t> </w:t>
      </w:r>
      <w:r>
        <w:rPr>
          <w:sz w:val="20"/>
          <w:vertAlign w:val="baseline"/>
        </w:rPr>
        <w:t>renovated</w:t>
      </w:r>
      <w:r>
        <w:rPr>
          <w:spacing w:val="35"/>
          <w:sz w:val="20"/>
          <w:vertAlign w:val="baseline"/>
        </w:rPr>
        <w:t> </w:t>
      </w:r>
      <w:r>
        <w:rPr>
          <w:sz w:val="20"/>
          <w:vertAlign w:val="baseline"/>
        </w:rPr>
        <w:t>over</w:t>
      </w:r>
      <w:r>
        <w:rPr>
          <w:spacing w:val="37"/>
          <w:sz w:val="20"/>
          <w:vertAlign w:val="baseline"/>
        </w:rPr>
        <w:t> </w:t>
      </w:r>
      <w:r>
        <w:rPr>
          <w:sz w:val="20"/>
          <w:vertAlign w:val="baseline"/>
        </w:rPr>
        <w:t>15</w:t>
      </w:r>
      <w:r>
        <w:rPr>
          <w:spacing w:val="37"/>
          <w:sz w:val="20"/>
          <w:vertAlign w:val="baseline"/>
        </w:rPr>
        <w:t> </w:t>
      </w:r>
      <w:r>
        <w:rPr>
          <w:sz w:val="20"/>
          <w:vertAlign w:val="baseline"/>
        </w:rPr>
        <w:t>years,</w:t>
      </w:r>
      <w:r>
        <w:rPr>
          <w:spacing w:val="37"/>
          <w:sz w:val="20"/>
          <w:vertAlign w:val="baseline"/>
        </w:rPr>
        <w:t> </w:t>
      </w:r>
      <w:r>
        <w:rPr>
          <w:sz w:val="20"/>
          <w:vertAlign w:val="baseline"/>
        </w:rPr>
        <w:t>this</w:t>
      </w:r>
      <w:r>
        <w:rPr>
          <w:spacing w:val="35"/>
          <w:sz w:val="20"/>
          <w:vertAlign w:val="baseline"/>
        </w:rPr>
        <w:t> </w:t>
      </w:r>
      <w:r>
        <w:rPr>
          <w:sz w:val="20"/>
          <w:vertAlign w:val="baseline"/>
        </w:rPr>
        <w:t>suggests</w:t>
      </w:r>
      <w:r>
        <w:rPr>
          <w:spacing w:val="35"/>
          <w:sz w:val="20"/>
          <w:vertAlign w:val="baseline"/>
        </w:rPr>
        <w:t> </w:t>
      </w:r>
      <w:r>
        <w:rPr>
          <w:sz w:val="20"/>
          <w:vertAlign w:val="baseline"/>
        </w:rPr>
        <w:t>renovation</w:t>
      </w:r>
      <w:r>
        <w:rPr>
          <w:spacing w:val="36"/>
          <w:sz w:val="20"/>
          <w:vertAlign w:val="baseline"/>
        </w:rPr>
        <w:t> </w:t>
      </w:r>
      <w:r>
        <w:rPr>
          <w:sz w:val="20"/>
          <w:vertAlign w:val="baseline"/>
        </w:rPr>
        <w:t>expenditure</w:t>
      </w:r>
      <w:r>
        <w:rPr>
          <w:spacing w:val="35"/>
          <w:sz w:val="20"/>
          <w:vertAlign w:val="baseline"/>
        </w:rPr>
        <w:t> </w:t>
      </w:r>
      <w:r>
        <w:rPr>
          <w:spacing w:val="-5"/>
          <w:sz w:val="20"/>
          <w:vertAlign w:val="baseline"/>
        </w:rPr>
        <w:t>of</w:t>
      </w:r>
    </w:p>
    <w:p>
      <w:pPr>
        <w:spacing w:line="230" w:lineRule="exact" w:before="0"/>
        <w:ind w:left="419" w:right="0" w:firstLine="0"/>
        <w:jc w:val="both"/>
        <w:rPr>
          <w:sz w:val="20"/>
        </w:rPr>
      </w:pPr>
      <w:r>
        <w:rPr>
          <w:sz w:val="20"/>
        </w:rPr>
        <w:t>$120bn,</w:t>
      </w:r>
      <w:r>
        <w:rPr>
          <w:spacing w:val="8"/>
          <w:sz w:val="20"/>
        </w:rPr>
        <w:t> </w:t>
      </w:r>
      <w:r>
        <w:rPr>
          <w:sz w:val="20"/>
        </w:rPr>
        <w:t>or</w:t>
      </w:r>
      <w:r>
        <w:rPr>
          <w:spacing w:val="8"/>
          <w:sz w:val="20"/>
        </w:rPr>
        <w:t> </w:t>
      </w:r>
      <w:r>
        <w:rPr>
          <w:sz w:val="20"/>
        </w:rPr>
        <w:t>about</w:t>
      </w:r>
      <w:r>
        <w:rPr>
          <w:spacing w:val="8"/>
          <w:sz w:val="20"/>
        </w:rPr>
        <w:t> </w:t>
      </w:r>
      <w:r>
        <w:rPr>
          <w:sz w:val="20"/>
        </w:rPr>
        <w:t>20%</w:t>
      </w:r>
      <w:r>
        <w:rPr>
          <w:spacing w:val="9"/>
          <w:sz w:val="20"/>
        </w:rPr>
        <w:t> </w:t>
      </w:r>
      <w:r>
        <w:rPr>
          <w:sz w:val="20"/>
        </w:rPr>
        <w:t>of</w:t>
      </w:r>
      <w:r>
        <w:rPr>
          <w:spacing w:val="8"/>
          <w:sz w:val="20"/>
        </w:rPr>
        <w:t> </w:t>
      </w:r>
      <w:r>
        <w:rPr>
          <w:sz w:val="20"/>
        </w:rPr>
        <w:t>the</w:t>
      </w:r>
      <w:r>
        <w:rPr>
          <w:spacing w:val="8"/>
          <w:sz w:val="20"/>
        </w:rPr>
        <w:t> </w:t>
      </w:r>
      <w:r>
        <w:rPr>
          <w:sz w:val="20"/>
        </w:rPr>
        <w:t>capital</w:t>
      </w:r>
      <w:r>
        <w:rPr>
          <w:spacing w:val="9"/>
          <w:sz w:val="20"/>
        </w:rPr>
        <w:t> </w:t>
      </w:r>
      <w:r>
        <w:rPr>
          <w:sz w:val="20"/>
        </w:rPr>
        <w:t>value</w:t>
      </w:r>
      <w:r>
        <w:rPr>
          <w:spacing w:val="72"/>
          <w:sz w:val="20"/>
        </w:rPr>
        <w:t> </w:t>
      </w:r>
      <w:r>
        <w:rPr>
          <w:sz w:val="20"/>
        </w:rPr>
        <w:t>[or,</w:t>
      </w:r>
      <w:r>
        <w:rPr>
          <w:spacing w:val="9"/>
          <w:sz w:val="20"/>
        </w:rPr>
        <w:t> </w:t>
      </w:r>
      <w:r>
        <w:rPr>
          <w:sz w:val="20"/>
        </w:rPr>
        <w:t>effectively,</w:t>
      </w:r>
      <w:r>
        <w:rPr>
          <w:spacing w:val="8"/>
          <w:sz w:val="20"/>
        </w:rPr>
        <w:t> </w:t>
      </w:r>
      <w:r>
        <w:rPr>
          <w:sz w:val="20"/>
        </w:rPr>
        <w:t>the</w:t>
      </w:r>
      <w:r>
        <w:rPr>
          <w:spacing w:val="8"/>
          <w:sz w:val="20"/>
        </w:rPr>
        <w:t> </w:t>
      </w:r>
      <w:r>
        <w:rPr>
          <w:sz w:val="20"/>
        </w:rPr>
        <w:t>real</w:t>
      </w:r>
      <w:r>
        <w:rPr>
          <w:spacing w:val="9"/>
          <w:sz w:val="20"/>
        </w:rPr>
        <w:t> </w:t>
      </w:r>
      <w:r>
        <w:rPr>
          <w:sz w:val="20"/>
        </w:rPr>
        <w:t>replacement</w:t>
      </w:r>
      <w:r>
        <w:rPr>
          <w:spacing w:val="7"/>
          <w:sz w:val="20"/>
        </w:rPr>
        <w:t> </w:t>
      </w:r>
      <w:r>
        <w:rPr>
          <w:sz w:val="20"/>
        </w:rPr>
        <w:t>value]</w:t>
      </w:r>
      <w:r>
        <w:rPr>
          <w:spacing w:val="8"/>
          <w:sz w:val="20"/>
        </w:rPr>
        <w:t> </w:t>
      </w:r>
      <w:r>
        <w:rPr>
          <w:sz w:val="20"/>
        </w:rPr>
        <w:t>of</w:t>
      </w:r>
      <w:r>
        <w:rPr>
          <w:spacing w:val="9"/>
          <w:sz w:val="20"/>
        </w:rPr>
        <w:t> </w:t>
      </w:r>
      <w:r>
        <w:rPr>
          <w:spacing w:val="-5"/>
          <w:sz w:val="20"/>
        </w:rPr>
        <w:t>the</w:t>
      </w:r>
    </w:p>
    <w:p>
      <w:pPr>
        <w:spacing w:after="0" w:line="230" w:lineRule="exact"/>
        <w:jc w:val="both"/>
        <w:rPr>
          <w:sz w:val="20"/>
        </w:rPr>
        <w:sectPr>
          <w:pgSz w:w="11900" w:h="16840"/>
          <w:pgMar w:header="0" w:footer="1130" w:top="1000" w:bottom="1320" w:left="1380" w:right="980"/>
        </w:sectPr>
      </w:pPr>
    </w:p>
    <w:p>
      <w:pPr>
        <w:pStyle w:val="ListParagraph"/>
        <w:numPr>
          <w:ilvl w:val="0"/>
          <w:numId w:val="37"/>
        </w:numPr>
        <w:tabs>
          <w:tab w:pos="1141" w:val="left" w:leader="none"/>
        </w:tabs>
        <w:spacing w:line="240" w:lineRule="auto" w:before="76" w:after="0"/>
        <w:ind w:left="1139" w:right="811" w:hanging="360"/>
        <w:jc w:val="both"/>
        <w:rPr>
          <w:sz w:val="24"/>
        </w:rPr>
      </w:pPr>
      <w:r>
        <w:rPr>
          <w:sz w:val="24"/>
        </w:rPr>
        <w:t>Benefits will initially be small but will rise progressively as the</w:t>
      </w:r>
      <w:r>
        <w:rPr>
          <w:spacing w:val="40"/>
          <w:sz w:val="24"/>
        </w:rPr>
        <w:t> </w:t>
      </w:r>
      <w:r>
        <w:rPr>
          <w:sz w:val="24"/>
        </w:rPr>
        <w:t>proportion of the building stock that has been built, or upgraded, in accordance with the Standards increases. Only when the renovation cycle is complete will the stock of buildings have been made substantially accessible.</w:t>
      </w:r>
    </w:p>
    <w:p>
      <w:pPr>
        <w:pStyle w:val="BodyText"/>
        <w:spacing w:before="10"/>
        <w:rPr>
          <w:sz w:val="23"/>
        </w:rPr>
      </w:pPr>
    </w:p>
    <w:p>
      <w:pPr>
        <w:pStyle w:val="BodyText"/>
        <w:ind w:left="419" w:right="808"/>
        <w:jc w:val="both"/>
      </w:pPr>
      <w:r>
        <w:rPr/>
        <w:t>In order to account for these differences in the timing of the benefits and costs a Net Present Value analysis is employed.</w:t>
      </w:r>
      <w:r>
        <w:rPr>
          <w:spacing w:val="40"/>
        </w:rPr>
        <w:t> </w:t>
      </w:r>
      <w:r>
        <w:rPr/>
        <w:t>For indicative purposes, NPVs have been calculated over a 30 year time horizon.</w:t>
      </w:r>
      <w:r>
        <w:rPr>
          <w:spacing w:val="40"/>
        </w:rPr>
        <w:t> </w:t>
      </w:r>
      <w:r>
        <w:rPr/>
        <w:t>As noted above, it is assumed that the “renovation cycle” is 15 years.</w:t>
      </w:r>
      <w:r>
        <w:rPr>
          <w:spacing w:val="40"/>
        </w:rPr>
        <w:t> </w:t>
      </w:r>
      <w:r>
        <w:rPr/>
        <w:t>The base case benefit/cost analysis uses a real discount rate of 4%. The chosen value of 4% is toward the lower end of the range of plausible values for this social opportunity cost and has primarily been chosen to ensure consistency and comparability with the draft RIS. Further, the long-term nature of the analysis suggests the need to ensure that long delayed benefits are not consigned to near irrelevance by the operation of discounting. We note that the Victorian Competition and Efficiency</w:t>
      </w:r>
      <w:r>
        <w:rPr>
          <w:spacing w:val="-1"/>
        </w:rPr>
        <w:t> </w:t>
      </w:r>
      <w:r>
        <w:rPr/>
        <w:t>Commission</w:t>
      </w:r>
      <w:r>
        <w:rPr>
          <w:spacing w:val="-1"/>
        </w:rPr>
        <w:t> </w:t>
      </w:r>
      <w:r>
        <w:rPr/>
        <w:t>(VCEC)</w:t>
      </w:r>
      <w:r>
        <w:rPr>
          <w:spacing w:val="-2"/>
        </w:rPr>
        <w:t> </w:t>
      </w:r>
      <w:r>
        <w:rPr/>
        <w:t>recommend</w:t>
      </w:r>
      <w:r>
        <w:rPr>
          <w:spacing w:val="-2"/>
        </w:rPr>
        <w:t> </w:t>
      </w:r>
      <w:r>
        <w:rPr/>
        <w:t>a</w:t>
      </w:r>
      <w:r>
        <w:rPr>
          <w:spacing w:val="-2"/>
        </w:rPr>
        <w:t> </w:t>
      </w:r>
      <w:r>
        <w:rPr/>
        <w:t>rate</w:t>
      </w:r>
      <w:r>
        <w:rPr>
          <w:spacing w:val="-2"/>
        </w:rPr>
        <w:t> </w:t>
      </w:r>
      <w:r>
        <w:rPr/>
        <w:t>of</w:t>
      </w:r>
      <w:r>
        <w:rPr>
          <w:spacing w:val="-2"/>
        </w:rPr>
        <w:t> </w:t>
      </w:r>
      <w:r>
        <w:rPr/>
        <w:t>3.5%</w:t>
      </w:r>
      <w:r>
        <w:rPr>
          <w:spacing w:val="-2"/>
        </w:rPr>
        <w:t> </w:t>
      </w:r>
      <w:r>
        <w:rPr/>
        <w:t>(</w:t>
      </w:r>
      <w:r>
        <w:rPr>
          <w:i/>
        </w:rPr>
        <w:t>Guidance</w:t>
      </w:r>
      <w:r>
        <w:rPr>
          <w:i/>
          <w:spacing w:val="-1"/>
        </w:rPr>
        <w:t> </w:t>
      </w:r>
      <w:r>
        <w:rPr>
          <w:i/>
        </w:rPr>
        <w:t>Note</w:t>
      </w:r>
      <w:r>
        <w:rPr>
          <w:i/>
          <w:spacing w:val="-1"/>
        </w:rPr>
        <w:t> </w:t>
      </w:r>
      <w:r>
        <w:rPr>
          <w:i/>
        </w:rPr>
        <w:t>on</w:t>
      </w:r>
      <w:r>
        <w:rPr>
          <w:i/>
        </w:rPr>
        <w:t> Discounting</w:t>
      </w:r>
      <w:r>
        <w:rPr/>
        <w:t>, VCEC Melbourne 2007).</w:t>
      </w:r>
    </w:p>
    <w:p>
      <w:pPr>
        <w:pStyle w:val="BodyText"/>
        <w:spacing w:before="10"/>
        <w:rPr>
          <w:sz w:val="23"/>
        </w:rPr>
      </w:pPr>
    </w:p>
    <w:p>
      <w:pPr>
        <w:pStyle w:val="BodyText"/>
        <w:ind w:left="420" w:right="811"/>
        <w:jc w:val="both"/>
      </w:pPr>
      <w:r>
        <w:rPr/>
        <w:t>Notwithstanding these factors, we note that the Commonwealth Office of Best Practice Regulation (OBPR)</w:t>
      </w:r>
      <w:r>
        <w:rPr/>
        <w:t> currently</w:t>
      </w:r>
      <w:r>
        <w:rPr/>
        <w:t> recommend</w:t>
      </w:r>
      <w:r>
        <w:rPr/>
        <w:t> a</w:t>
      </w:r>
      <w:r>
        <w:rPr/>
        <w:t> 7% real discount rate.</w:t>
      </w:r>
      <w:r>
        <w:rPr>
          <w:spacing w:val="40"/>
        </w:rPr>
        <w:t> </w:t>
      </w:r>
      <w:r>
        <w:rPr/>
        <w:t>For this reason, both figures are shown throughout this RIS with the 7% rate shown in brackets, providing a sensitivity analysis on the original rate. Additionally, further sensitivity testing, based on an alternative real interest rate of 11% is conducted in the following section.</w:t>
      </w:r>
    </w:p>
    <w:p>
      <w:pPr>
        <w:pStyle w:val="BodyText"/>
      </w:pPr>
    </w:p>
    <w:p>
      <w:pPr>
        <w:pStyle w:val="BodyText"/>
        <w:spacing w:before="1"/>
        <w:ind w:left="420" w:right="811"/>
        <w:jc w:val="both"/>
      </w:pPr>
      <w:r>
        <w:rPr/>
        <w:t>Table 15, below, summarises the results of the benefit cost analysis of the Premises Standards proposal. . Costs and benefits associated with the proposed 2009 amendments are excluded from this table and are considered separately in Appendix D. They are generally anticipated to be balanced and as such should not affect the overall benefit to cost outcome.</w:t>
      </w:r>
    </w:p>
    <w:p>
      <w:pPr>
        <w:pStyle w:val="BodyText"/>
        <w:spacing w:before="1"/>
      </w:pPr>
    </w:p>
    <w:p>
      <w:pPr>
        <w:pStyle w:val="Heading4"/>
        <w:ind w:right="811"/>
        <w:jc w:val="left"/>
        <w:rPr>
          <w:u w:val="none"/>
        </w:rPr>
      </w:pPr>
      <w:r>
        <w:rPr/>
        <w:pict>
          <v:shape style="position:absolute;margin-left:90.000008pt;margin-top:26.316139pt;width:350.8pt;height:1.3pt;mso-position-horizontal-relative:page;mso-position-vertical-relative:paragraph;z-index:15759360" id="docshape73" coordorigin="1800,526" coordsize="7016,26" path="m6200,526l1800,526,1800,552,6200,552,6200,526xm8815,526l6211,526,6211,552,8815,552,8815,526xe" filled="true" fillcolor="#000000" stroked="false">
            <v:path arrowok="t"/>
            <v:fill type="solid"/>
            <w10:wrap type="none"/>
          </v:shape>
        </w:pict>
      </w:r>
      <w:r>
        <w:rPr>
          <w:u w:val="single"/>
        </w:rPr>
        <w:t>Table</w:t>
      </w:r>
      <w:r>
        <w:rPr>
          <w:spacing w:val="-3"/>
          <w:u w:val="single"/>
        </w:rPr>
        <w:t> </w:t>
      </w:r>
      <w:r>
        <w:rPr>
          <w:u w:val="single"/>
        </w:rPr>
        <w:t>15a:</w:t>
      </w:r>
      <w:r>
        <w:rPr>
          <w:spacing w:val="-4"/>
          <w:u w:val="single"/>
        </w:rPr>
        <w:t> </w:t>
      </w:r>
      <w:r>
        <w:rPr>
          <w:u w:val="single"/>
        </w:rPr>
        <w:t>Summary</w:t>
      </w:r>
      <w:r>
        <w:rPr>
          <w:spacing w:val="-6"/>
          <w:u w:val="single"/>
        </w:rPr>
        <w:t> </w:t>
      </w:r>
      <w:r>
        <w:rPr>
          <w:u w:val="single"/>
        </w:rPr>
        <w:t>of</w:t>
      </w:r>
      <w:r>
        <w:rPr>
          <w:spacing w:val="-4"/>
          <w:u w:val="single"/>
        </w:rPr>
        <w:t> </w:t>
      </w:r>
      <w:r>
        <w:rPr>
          <w:u w:val="single"/>
        </w:rPr>
        <w:t>benefits</w:t>
      </w:r>
      <w:r>
        <w:rPr>
          <w:spacing w:val="-8"/>
          <w:u w:val="single"/>
        </w:rPr>
        <w:t> </w:t>
      </w:r>
      <w:r>
        <w:rPr>
          <w:u w:val="single"/>
        </w:rPr>
        <w:t>and</w:t>
      </w:r>
      <w:r>
        <w:rPr>
          <w:spacing w:val="-4"/>
          <w:u w:val="single"/>
        </w:rPr>
        <w:t> </w:t>
      </w:r>
      <w:r>
        <w:rPr>
          <w:u w:val="single"/>
        </w:rPr>
        <w:t>costs</w:t>
      </w:r>
      <w:r>
        <w:rPr>
          <w:spacing w:val="-4"/>
          <w:u w:val="single"/>
        </w:rPr>
        <w:t> </w:t>
      </w:r>
      <w:r>
        <w:rPr>
          <w:u w:val="single"/>
        </w:rPr>
        <w:t>of</w:t>
      </w:r>
      <w:r>
        <w:rPr>
          <w:spacing w:val="-4"/>
          <w:u w:val="single"/>
        </w:rPr>
        <w:t> </w:t>
      </w:r>
      <w:r>
        <w:rPr>
          <w:u w:val="single"/>
        </w:rPr>
        <w:t>proposed</w:t>
      </w:r>
      <w:r>
        <w:rPr>
          <w:spacing w:val="-4"/>
          <w:u w:val="single"/>
        </w:rPr>
        <w:t> </w:t>
      </w:r>
      <w:r>
        <w:rPr>
          <w:u w:val="single"/>
        </w:rPr>
        <w:t>Premises</w:t>
      </w:r>
      <w:r>
        <w:rPr>
          <w:u w:val="none"/>
        </w:rPr>
        <w:t> Standards based on the 2008 proposal</w:t>
      </w:r>
      <w:r>
        <w:rPr>
          <w:u w:val="none"/>
          <w:vertAlign w:val="superscript"/>
        </w:rPr>
        <w:t>72</w:t>
      </w:r>
      <w:r>
        <w:rPr>
          <w:u w:val="none"/>
          <w:vertAlign w:val="baseline"/>
        </w:rPr>
        <w:t> ($million per annum)</w:t>
      </w:r>
    </w:p>
    <w:p>
      <w:pPr>
        <w:pStyle w:val="BodyText"/>
        <w:spacing w:before="2"/>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2040"/>
        <w:gridCol w:w="2040"/>
        <w:gridCol w:w="2040"/>
      </w:tblGrid>
      <w:tr>
        <w:trPr>
          <w:trHeight w:val="332" w:hRule="atLeast"/>
        </w:trPr>
        <w:tc>
          <w:tcPr>
            <w:tcW w:w="2160" w:type="dxa"/>
          </w:tcPr>
          <w:p>
            <w:pPr>
              <w:pStyle w:val="TableParagraph"/>
              <w:spacing w:before="26"/>
              <w:ind w:left="107"/>
              <w:rPr>
                <w:b/>
                <w:sz w:val="24"/>
              </w:rPr>
            </w:pPr>
            <w:r>
              <w:rPr>
                <w:b/>
                <w:sz w:val="24"/>
              </w:rPr>
              <w:t>Annual</w:t>
            </w:r>
            <w:r>
              <w:rPr>
                <w:b/>
                <w:spacing w:val="-9"/>
                <w:sz w:val="24"/>
              </w:rPr>
              <w:t> </w:t>
            </w:r>
            <w:r>
              <w:rPr>
                <w:b/>
                <w:spacing w:val="-2"/>
                <w:sz w:val="24"/>
              </w:rPr>
              <w:t>Benefits</w:t>
            </w:r>
          </w:p>
        </w:tc>
        <w:tc>
          <w:tcPr>
            <w:tcW w:w="2040" w:type="dxa"/>
          </w:tcPr>
          <w:p>
            <w:pPr>
              <w:pStyle w:val="TableParagraph"/>
              <w:spacing w:before="26"/>
              <w:ind w:left="443"/>
              <w:rPr>
                <w:b/>
                <w:sz w:val="24"/>
              </w:rPr>
            </w:pPr>
            <w:r>
              <w:rPr>
                <w:b/>
                <w:sz w:val="24"/>
              </w:rPr>
              <w:t>@</w:t>
            </w:r>
            <w:r>
              <w:rPr>
                <w:b/>
                <w:spacing w:val="-2"/>
                <w:sz w:val="24"/>
              </w:rPr>
              <w:t> </w:t>
            </w:r>
            <w:r>
              <w:rPr>
                <w:b/>
                <w:sz w:val="24"/>
              </w:rPr>
              <w:t>4%</w:t>
            </w:r>
            <w:r>
              <w:rPr>
                <w:b/>
                <w:spacing w:val="-7"/>
                <w:sz w:val="24"/>
              </w:rPr>
              <w:t> </w:t>
            </w:r>
            <w:r>
              <w:rPr>
                <w:b/>
                <w:spacing w:val="-4"/>
                <w:sz w:val="24"/>
              </w:rPr>
              <w:t>rate</w:t>
            </w:r>
          </w:p>
        </w:tc>
        <w:tc>
          <w:tcPr>
            <w:tcW w:w="2040" w:type="dxa"/>
          </w:tcPr>
          <w:p>
            <w:pPr>
              <w:pStyle w:val="TableParagraph"/>
              <w:spacing w:before="26"/>
              <w:ind w:left="408"/>
              <w:rPr>
                <w:b/>
                <w:sz w:val="24"/>
              </w:rPr>
            </w:pPr>
            <w:r>
              <w:rPr>
                <w:b/>
                <w:sz w:val="24"/>
              </w:rPr>
              <w:t>@</w:t>
            </w:r>
            <w:r>
              <w:rPr>
                <w:b/>
                <w:spacing w:val="-2"/>
                <w:sz w:val="24"/>
              </w:rPr>
              <w:t> </w:t>
            </w:r>
            <w:r>
              <w:rPr>
                <w:b/>
                <w:sz w:val="24"/>
              </w:rPr>
              <w:t>7</w:t>
            </w:r>
            <w:r>
              <w:rPr>
                <w:b/>
                <w:spacing w:val="-2"/>
                <w:sz w:val="24"/>
              </w:rPr>
              <w:t> </w:t>
            </w:r>
            <w:r>
              <w:rPr>
                <w:b/>
                <w:sz w:val="24"/>
              </w:rPr>
              <w:t>%</w:t>
            </w:r>
            <w:r>
              <w:rPr>
                <w:b/>
                <w:spacing w:val="-5"/>
                <w:sz w:val="24"/>
              </w:rPr>
              <w:t> </w:t>
            </w:r>
            <w:r>
              <w:rPr>
                <w:b/>
                <w:spacing w:val="-4"/>
                <w:sz w:val="24"/>
              </w:rPr>
              <w:t>rate</w:t>
            </w:r>
          </w:p>
        </w:tc>
        <w:tc>
          <w:tcPr>
            <w:tcW w:w="2040" w:type="dxa"/>
          </w:tcPr>
          <w:p>
            <w:pPr>
              <w:pStyle w:val="TableParagraph"/>
              <w:spacing w:before="26"/>
              <w:ind w:left="373"/>
              <w:rPr>
                <w:b/>
                <w:sz w:val="24"/>
              </w:rPr>
            </w:pPr>
            <w:r>
              <w:rPr>
                <w:b/>
                <w:sz w:val="24"/>
              </w:rPr>
              <w:t>@</w:t>
            </w:r>
            <w:r>
              <w:rPr>
                <w:b/>
                <w:spacing w:val="-3"/>
                <w:sz w:val="24"/>
              </w:rPr>
              <w:t> </w:t>
            </w:r>
            <w:r>
              <w:rPr>
                <w:b/>
                <w:sz w:val="24"/>
              </w:rPr>
              <w:t>11%</w:t>
            </w:r>
            <w:r>
              <w:rPr>
                <w:b/>
                <w:spacing w:val="-8"/>
                <w:sz w:val="24"/>
              </w:rPr>
              <w:t> </w:t>
            </w:r>
            <w:r>
              <w:rPr>
                <w:b/>
                <w:spacing w:val="-4"/>
                <w:sz w:val="24"/>
              </w:rPr>
              <w:t>rate</w:t>
            </w:r>
          </w:p>
        </w:tc>
      </w:tr>
      <w:tr>
        <w:trPr>
          <w:trHeight w:val="883" w:hRule="atLeast"/>
        </w:trPr>
        <w:tc>
          <w:tcPr>
            <w:tcW w:w="2160" w:type="dxa"/>
          </w:tcPr>
          <w:p>
            <w:pPr>
              <w:pStyle w:val="TableParagraph"/>
              <w:spacing w:before="25"/>
              <w:ind w:left="107"/>
              <w:rPr>
                <w:sz w:val="24"/>
              </w:rPr>
            </w:pPr>
            <w:r>
              <w:rPr>
                <w:spacing w:val="-2"/>
                <w:sz w:val="24"/>
              </w:rPr>
              <w:t>Increased employment participation</w:t>
            </w:r>
          </w:p>
        </w:tc>
        <w:tc>
          <w:tcPr>
            <w:tcW w:w="2040" w:type="dxa"/>
          </w:tcPr>
          <w:p>
            <w:pPr>
              <w:pStyle w:val="TableParagraph"/>
              <w:spacing w:before="2"/>
              <w:rPr>
                <w:b/>
                <w:sz w:val="26"/>
              </w:rPr>
            </w:pPr>
          </w:p>
          <w:p>
            <w:pPr>
              <w:pStyle w:val="TableParagraph"/>
              <w:ind w:right="96"/>
              <w:jc w:val="right"/>
              <w:rPr>
                <w:sz w:val="24"/>
              </w:rPr>
            </w:pPr>
            <w:r>
              <w:rPr>
                <w:spacing w:val="-5"/>
                <w:sz w:val="24"/>
              </w:rPr>
              <w:t>150</w:t>
            </w:r>
          </w:p>
        </w:tc>
        <w:tc>
          <w:tcPr>
            <w:tcW w:w="2040" w:type="dxa"/>
          </w:tcPr>
          <w:p>
            <w:pPr>
              <w:pStyle w:val="TableParagraph"/>
              <w:spacing w:before="2"/>
              <w:rPr>
                <w:b/>
                <w:sz w:val="26"/>
              </w:rPr>
            </w:pPr>
          </w:p>
          <w:p>
            <w:pPr>
              <w:pStyle w:val="TableParagraph"/>
              <w:ind w:right="96"/>
              <w:jc w:val="right"/>
              <w:rPr>
                <w:sz w:val="24"/>
              </w:rPr>
            </w:pPr>
            <w:r>
              <w:rPr>
                <w:spacing w:val="-5"/>
                <w:sz w:val="24"/>
              </w:rPr>
              <w:t>150</w:t>
            </w:r>
          </w:p>
        </w:tc>
        <w:tc>
          <w:tcPr>
            <w:tcW w:w="2040" w:type="dxa"/>
          </w:tcPr>
          <w:p>
            <w:pPr>
              <w:pStyle w:val="TableParagraph"/>
              <w:spacing w:before="2"/>
              <w:rPr>
                <w:b/>
                <w:sz w:val="26"/>
              </w:rPr>
            </w:pPr>
          </w:p>
          <w:p>
            <w:pPr>
              <w:pStyle w:val="TableParagraph"/>
              <w:ind w:right="96"/>
              <w:jc w:val="right"/>
              <w:rPr>
                <w:sz w:val="24"/>
              </w:rPr>
            </w:pPr>
            <w:r>
              <w:rPr>
                <w:spacing w:val="-5"/>
                <w:sz w:val="24"/>
              </w:rPr>
              <w:t>150</w:t>
            </w:r>
          </w:p>
        </w:tc>
      </w:tr>
      <w:tr>
        <w:trPr>
          <w:trHeight w:val="608" w:hRule="atLeast"/>
        </w:trPr>
        <w:tc>
          <w:tcPr>
            <w:tcW w:w="2160" w:type="dxa"/>
          </w:tcPr>
          <w:p>
            <w:pPr>
              <w:pStyle w:val="TableParagraph"/>
              <w:spacing w:before="25"/>
              <w:ind w:left="107" w:right="385"/>
              <w:rPr>
                <w:sz w:val="24"/>
              </w:rPr>
            </w:pPr>
            <w:r>
              <w:rPr>
                <w:sz w:val="24"/>
              </w:rPr>
              <w:t>Reduced</w:t>
            </w:r>
            <w:r>
              <w:rPr>
                <w:spacing w:val="-17"/>
                <w:sz w:val="24"/>
              </w:rPr>
              <w:t> </w:t>
            </w:r>
            <w:r>
              <w:rPr>
                <w:sz w:val="24"/>
              </w:rPr>
              <w:t>Living </w:t>
            </w:r>
            <w:r>
              <w:rPr>
                <w:spacing w:val="-2"/>
                <w:sz w:val="24"/>
              </w:rPr>
              <w:t>costs</w:t>
            </w:r>
          </w:p>
        </w:tc>
        <w:tc>
          <w:tcPr>
            <w:tcW w:w="2040" w:type="dxa"/>
          </w:tcPr>
          <w:p>
            <w:pPr>
              <w:pStyle w:val="TableParagraph"/>
              <w:spacing w:before="163"/>
              <w:ind w:right="96"/>
              <w:jc w:val="right"/>
              <w:rPr>
                <w:sz w:val="24"/>
              </w:rPr>
            </w:pPr>
            <w:r>
              <w:rPr>
                <w:spacing w:val="-5"/>
                <w:sz w:val="24"/>
              </w:rPr>
              <w:t>910</w:t>
            </w:r>
          </w:p>
        </w:tc>
        <w:tc>
          <w:tcPr>
            <w:tcW w:w="2040" w:type="dxa"/>
          </w:tcPr>
          <w:p>
            <w:pPr>
              <w:pStyle w:val="TableParagraph"/>
              <w:spacing w:before="163"/>
              <w:ind w:right="96"/>
              <w:jc w:val="right"/>
              <w:rPr>
                <w:sz w:val="24"/>
              </w:rPr>
            </w:pPr>
            <w:r>
              <w:rPr>
                <w:spacing w:val="-5"/>
                <w:sz w:val="24"/>
              </w:rPr>
              <w:t>910</w:t>
            </w:r>
          </w:p>
        </w:tc>
        <w:tc>
          <w:tcPr>
            <w:tcW w:w="2040" w:type="dxa"/>
          </w:tcPr>
          <w:p>
            <w:pPr>
              <w:pStyle w:val="TableParagraph"/>
              <w:spacing w:before="163"/>
              <w:ind w:right="96"/>
              <w:jc w:val="right"/>
              <w:rPr>
                <w:sz w:val="24"/>
              </w:rPr>
            </w:pPr>
            <w:r>
              <w:rPr>
                <w:spacing w:val="-5"/>
                <w:sz w:val="24"/>
              </w:rPr>
              <w:t>910</w:t>
            </w:r>
          </w:p>
        </w:tc>
      </w:tr>
      <w:tr>
        <w:trPr>
          <w:trHeight w:val="331" w:hRule="atLeast"/>
        </w:trPr>
        <w:tc>
          <w:tcPr>
            <w:tcW w:w="2160" w:type="dxa"/>
          </w:tcPr>
          <w:p>
            <w:pPr>
              <w:pStyle w:val="TableParagraph"/>
              <w:spacing w:before="26"/>
              <w:ind w:left="107"/>
              <w:rPr>
                <w:b/>
                <w:sz w:val="24"/>
              </w:rPr>
            </w:pPr>
            <w:r>
              <w:rPr>
                <w:b/>
                <w:spacing w:val="-2"/>
                <w:sz w:val="24"/>
              </w:rPr>
              <w:t>Total</w:t>
            </w:r>
          </w:p>
        </w:tc>
        <w:tc>
          <w:tcPr>
            <w:tcW w:w="2040" w:type="dxa"/>
          </w:tcPr>
          <w:p>
            <w:pPr>
              <w:pStyle w:val="TableParagraph"/>
              <w:spacing w:before="25"/>
              <w:ind w:right="96"/>
              <w:jc w:val="right"/>
              <w:rPr>
                <w:sz w:val="24"/>
              </w:rPr>
            </w:pPr>
            <w:r>
              <w:rPr>
                <w:spacing w:val="-2"/>
                <w:sz w:val="24"/>
              </w:rPr>
              <w:t>1,060</w:t>
            </w:r>
          </w:p>
        </w:tc>
        <w:tc>
          <w:tcPr>
            <w:tcW w:w="2040" w:type="dxa"/>
          </w:tcPr>
          <w:p>
            <w:pPr>
              <w:pStyle w:val="TableParagraph"/>
              <w:spacing w:before="25"/>
              <w:ind w:right="96"/>
              <w:jc w:val="right"/>
              <w:rPr>
                <w:sz w:val="24"/>
              </w:rPr>
            </w:pPr>
            <w:r>
              <w:rPr>
                <w:spacing w:val="-2"/>
                <w:sz w:val="24"/>
              </w:rPr>
              <w:t>1,060</w:t>
            </w:r>
          </w:p>
        </w:tc>
        <w:tc>
          <w:tcPr>
            <w:tcW w:w="2040" w:type="dxa"/>
          </w:tcPr>
          <w:p>
            <w:pPr>
              <w:pStyle w:val="TableParagraph"/>
              <w:spacing w:before="25"/>
              <w:ind w:right="96"/>
              <w:jc w:val="right"/>
              <w:rPr>
                <w:sz w:val="24"/>
              </w:rPr>
            </w:pPr>
            <w:r>
              <w:rPr>
                <w:spacing w:val="-2"/>
                <w:sz w:val="24"/>
              </w:rPr>
              <w:t>1,060</w:t>
            </w:r>
          </w:p>
        </w:tc>
      </w:tr>
    </w:tbl>
    <w:p>
      <w:pPr>
        <w:pStyle w:val="BodyText"/>
        <w:rPr>
          <w:b/>
          <w:sz w:val="20"/>
        </w:rPr>
      </w:pPr>
    </w:p>
    <w:p>
      <w:pPr>
        <w:pStyle w:val="BodyText"/>
        <w:spacing w:before="2"/>
        <w:rPr>
          <w:b/>
          <w:sz w:val="28"/>
        </w:rPr>
      </w:pPr>
      <w:r>
        <w:rPr/>
        <w:pict>
          <v:rect style="position:absolute;margin-left:90pt;margin-top:17.440977pt;width:415.32pt;height:.6pt;mso-position-horizontal-relative:page;mso-position-vertical-relative:paragraph;z-index:-15698432;mso-wrap-distance-left:0;mso-wrap-distance-right:0" id="docshape74" filled="true" fillcolor="#000000" stroked="false">
            <v:fill type="solid"/>
            <w10:wrap type="topAndBottom"/>
          </v:rect>
        </w:pict>
      </w:r>
    </w:p>
    <w:p>
      <w:pPr>
        <w:spacing w:before="221"/>
        <w:ind w:left="419" w:right="812" w:firstLine="0"/>
        <w:jc w:val="both"/>
        <w:rPr>
          <w:sz w:val="20"/>
        </w:rPr>
      </w:pPr>
      <w:r>
        <w:rPr>
          <w:sz w:val="20"/>
        </w:rPr>
        <w:t>stock.</w:t>
      </w:r>
      <w:r>
        <w:rPr>
          <w:spacing w:val="40"/>
          <w:sz w:val="20"/>
        </w:rPr>
        <w:t> </w:t>
      </w:r>
      <w:r>
        <w:rPr>
          <w:sz w:val="20"/>
        </w:rPr>
        <w:t>This appears to be broadly realistic as an estimate of the amounts owners are likely to be prepared to spend on building upgrades.</w:t>
      </w:r>
    </w:p>
    <w:p>
      <w:pPr>
        <w:spacing w:before="1"/>
        <w:ind w:left="420" w:right="0" w:firstLine="0"/>
        <w:jc w:val="left"/>
        <w:rPr>
          <w:sz w:val="20"/>
        </w:rPr>
      </w:pPr>
      <w:r>
        <w:rPr>
          <w:sz w:val="20"/>
          <w:vertAlign w:val="superscript"/>
        </w:rPr>
        <w:t>72</w:t>
      </w:r>
      <w:r>
        <w:rPr>
          <w:spacing w:val="35"/>
          <w:sz w:val="20"/>
          <w:vertAlign w:val="baseline"/>
        </w:rPr>
        <w:t> </w:t>
      </w:r>
      <w:r>
        <w:rPr>
          <w:sz w:val="20"/>
          <w:vertAlign w:val="baseline"/>
        </w:rPr>
        <w:t>All</w:t>
      </w:r>
      <w:r>
        <w:rPr>
          <w:spacing w:val="35"/>
          <w:sz w:val="20"/>
          <w:vertAlign w:val="baseline"/>
        </w:rPr>
        <w:t> </w:t>
      </w:r>
      <w:r>
        <w:rPr>
          <w:sz w:val="20"/>
          <w:vertAlign w:val="baseline"/>
        </w:rPr>
        <w:t>annual</w:t>
      </w:r>
      <w:r>
        <w:rPr>
          <w:spacing w:val="35"/>
          <w:sz w:val="20"/>
          <w:vertAlign w:val="baseline"/>
        </w:rPr>
        <w:t> </w:t>
      </w:r>
      <w:r>
        <w:rPr>
          <w:sz w:val="20"/>
          <w:vertAlign w:val="baseline"/>
        </w:rPr>
        <w:t>figures</w:t>
      </w:r>
      <w:r>
        <w:rPr>
          <w:spacing w:val="35"/>
          <w:sz w:val="20"/>
          <w:vertAlign w:val="baseline"/>
        </w:rPr>
        <w:t> </w:t>
      </w:r>
      <w:r>
        <w:rPr>
          <w:sz w:val="20"/>
          <w:vertAlign w:val="baseline"/>
        </w:rPr>
        <w:t>contained</w:t>
      </w:r>
      <w:r>
        <w:rPr>
          <w:spacing w:val="35"/>
          <w:sz w:val="20"/>
          <w:vertAlign w:val="baseline"/>
        </w:rPr>
        <w:t> </w:t>
      </w:r>
      <w:r>
        <w:rPr>
          <w:sz w:val="20"/>
          <w:vertAlign w:val="baseline"/>
        </w:rPr>
        <w:t>in</w:t>
      </w:r>
      <w:r>
        <w:rPr>
          <w:spacing w:val="35"/>
          <w:sz w:val="20"/>
          <w:vertAlign w:val="baseline"/>
        </w:rPr>
        <w:t> </w:t>
      </w:r>
      <w:r>
        <w:rPr>
          <w:sz w:val="20"/>
          <w:vertAlign w:val="baseline"/>
        </w:rPr>
        <w:t>this</w:t>
      </w:r>
      <w:r>
        <w:rPr>
          <w:spacing w:val="36"/>
          <w:sz w:val="20"/>
          <w:vertAlign w:val="baseline"/>
        </w:rPr>
        <w:t> </w:t>
      </w:r>
      <w:r>
        <w:rPr>
          <w:sz w:val="20"/>
          <w:vertAlign w:val="baseline"/>
        </w:rPr>
        <w:t>table</w:t>
      </w:r>
      <w:r>
        <w:rPr>
          <w:spacing w:val="35"/>
          <w:sz w:val="20"/>
          <w:vertAlign w:val="baseline"/>
        </w:rPr>
        <w:t> </w:t>
      </w:r>
      <w:r>
        <w:rPr>
          <w:sz w:val="20"/>
          <w:vertAlign w:val="baseline"/>
        </w:rPr>
        <w:t>constitute</w:t>
      </w:r>
      <w:r>
        <w:rPr>
          <w:spacing w:val="35"/>
          <w:sz w:val="20"/>
          <w:vertAlign w:val="baseline"/>
        </w:rPr>
        <w:t> </w:t>
      </w:r>
      <w:r>
        <w:rPr>
          <w:sz w:val="20"/>
          <w:vertAlign w:val="baseline"/>
        </w:rPr>
        <w:t>“steady</w:t>
      </w:r>
      <w:r>
        <w:rPr>
          <w:spacing w:val="36"/>
          <w:sz w:val="20"/>
          <w:vertAlign w:val="baseline"/>
        </w:rPr>
        <w:t> </w:t>
      </w:r>
      <w:r>
        <w:rPr>
          <w:sz w:val="20"/>
          <w:vertAlign w:val="baseline"/>
        </w:rPr>
        <w:t>state”</w:t>
      </w:r>
      <w:r>
        <w:rPr>
          <w:spacing w:val="35"/>
          <w:sz w:val="20"/>
          <w:vertAlign w:val="baseline"/>
        </w:rPr>
        <w:t> </w:t>
      </w:r>
      <w:r>
        <w:rPr>
          <w:sz w:val="20"/>
          <w:vertAlign w:val="baseline"/>
        </w:rPr>
        <w:t>estimates</w:t>
      </w:r>
      <w:r>
        <w:rPr>
          <w:spacing w:val="35"/>
          <w:sz w:val="20"/>
          <w:vertAlign w:val="baseline"/>
        </w:rPr>
        <w:t> </w:t>
      </w:r>
      <w:r>
        <w:rPr>
          <w:sz w:val="20"/>
          <w:vertAlign w:val="baseline"/>
        </w:rPr>
        <w:t>–</w:t>
      </w:r>
      <w:r>
        <w:rPr>
          <w:spacing w:val="35"/>
          <w:sz w:val="20"/>
          <w:vertAlign w:val="baseline"/>
        </w:rPr>
        <w:t> </w:t>
      </w:r>
      <w:r>
        <w:rPr>
          <w:sz w:val="20"/>
          <w:vertAlign w:val="baseline"/>
        </w:rPr>
        <w:t>i.e.</w:t>
      </w:r>
      <w:r>
        <w:rPr>
          <w:spacing w:val="35"/>
          <w:sz w:val="20"/>
          <w:vertAlign w:val="baseline"/>
        </w:rPr>
        <w:t> </w:t>
      </w:r>
      <w:r>
        <w:rPr>
          <w:spacing w:val="-4"/>
          <w:sz w:val="20"/>
          <w:vertAlign w:val="baseline"/>
        </w:rPr>
        <w:t>they</w:t>
      </w:r>
    </w:p>
    <w:p>
      <w:pPr>
        <w:spacing w:after="0"/>
        <w:jc w:val="left"/>
        <w:rPr>
          <w:sz w:val="20"/>
        </w:rPr>
        <w:sectPr>
          <w:footerReference w:type="default" r:id="rId22"/>
          <w:pgSz w:w="11900" w:h="16840"/>
          <w:pgMar w:footer="2098" w:header="0" w:top="1000" w:bottom="228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2040"/>
        <w:gridCol w:w="2040"/>
        <w:gridCol w:w="2040"/>
      </w:tblGrid>
      <w:tr>
        <w:trPr>
          <w:trHeight w:val="332" w:hRule="atLeast"/>
        </w:trPr>
        <w:tc>
          <w:tcPr>
            <w:tcW w:w="2160" w:type="dxa"/>
          </w:tcPr>
          <w:p>
            <w:pPr>
              <w:pStyle w:val="TableParagraph"/>
              <w:spacing w:before="26"/>
              <w:ind w:left="107"/>
              <w:rPr>
                <w:b/>
                <w:sz w:val="24"/>
              </w:rPr>
            </w:pPr>
            <w:r>
              <w:rPr>
                <w:b/>
                <w:sz w:val="24"/>
              </w:rPr>
              <w:t>Annual</w:t>
            </w:r>
            <w:r>
              <w:rPr>
                <w:b/>
                <w:spacing w:val="-9"/>
                <w:sz w:val="24"/>
              </w:rPr>
              <w:t> </w:t>
            </w:r>
            <w:r>
              <w:rPr>
                <w:b/>
                <w:spacing w:val="-2"/>
                <w:sz w:val="24"/>
              </w:rPr>
              <w:t>Benefits</w:t>
            </w:r>
          </w:p>
        </w:tc>
        <w:tc>
          <w:tcPr>
            <w:tcW w:w="2040" w:type="dxa"/>
          </w:tcPr>
          <w:p>
            <w:pPr>
              <w:pStyle w:val="TableParagraph"/>
              <w:spacing w:before="26"/>
              <w:ind w:left="443"/>
              <w:rPr>
                <w:b/>
                <w:sz w:val="24"/>
              </w:rPr>
            </w:pPr>
            <w:r>
              <w:rPr>
                <w:b/>
                <w:sz w:val="24"/>
              </w:rPr>
              <w:t>@</w:t>
            </w:r>
            <w:r>
              <w:rPr>
                <w:b/>
                <w:spacing w:val="-2"/>
                <w:sz w:val="24"/>
              </w:rPr>
              <w:t> </w:t>
            </w:r>
            <w:r>
              <w:rPr>
                <w:b/>
                <w:sz w:val="24"/>
              </w:rPr>
              <w:t>4%</w:t>
            </w:r>
            <w:r>
              <w:rPr>
                <w:b/>
                <w:spacing w:val="-7"/>
                <w:sz w:val="24"/>
              </w:rPr>
              <w:t> </w:t>
            </w:r>
            <w:r>
              <w:rPr>
                <w:b/>
                <w:spacing w:val="-4"/>
                <w:sz w:val="24"/>
              </w:rPr>
              <w:t>rate</w:t>
            </w:r>
          </w:p>
        </w:tc>
        <w:tc>
          <w:tcPr>
            <w:tcW w:w="2040" w:type="dxa"/>
          </w:tcPr>
          <w:p>
            <w:pPr>
              <w:pStyle w:val="TableParagraph"/>
              <w:spacing w:before="26"/>
              <w:ind w:left="408"/>
              <w:rPr>
                <w:b/>
                <w:sz w:val="24"/>
              </w:rPr>
            </w:pPr>
            <w:r>
              <w:rPr>
                <w:b/>
                <w:sz w:val="24"/>
              </w:rPr>
              <w:t>@</w:t>
            </w:r>
            <w:r>
              <w:rPr>
                <w:b/>
                <w:spacing w:val="-2"/>
                <w:sz w:val="24"/>
              </w:rPr>
              <w:t> </w:t>
            </w:r>
            <w:r>
              <w:rPr>
                <w:b/>
                <w:sz w:val="24"/>
              </w:rPr>
              <w:t>7</w:t>
            </w:r>
            <w:r>
              <w:rPr>
                <w:b/>
                <w:spacing w:val="-2"/>
                <w:sz w:val="24"/>
              </w:rPr>
              <w:t> </w:t>
            </w:r>
            <w:r>
              <w:rPr>
                <w:b/>
                <w:sz w:val="24"/>
              </w:rPr>
              <w:t>%</w:t>
            </w:r>
            <w:r>
              <w:rPr>
                <w:b/>
                <w:spacing w:val="-5"/>
                <w:sz w:val="24"/>
              </w:rPr>
              <w:t> </w:t>
            </w:r>
            <w:r>
              <w:rPr>
                <w:b/>
                <w:spacing w:val="-4"/>
                <w:sz w:val="24"/>
              </w:rPr>
              <w:t>rate</w:t>
            </w:r>
          </w:p>
        </w:tc>
        <w:tc>
          <w:tcPr>
            <w:tcW w:w="2040" w:type="dxa"/>
          </w:tcPr>
          <w:p>
            <w:pPr>
              <w:pStyle w:val="TableParagraph"/>
              <w:spacing w:before="26"/>
              <w:ind w:left="373"/>
              <w:rPr>
                <w:b/>
                <w:sz w:val="24"/>
              </w:rPr>
            </w:pPr>
            <w:r>
              <w:rPr>
                <w:b/>
                <w:sz w:val="24"/>
              </w:rPr>
              <w:t>@</w:t>
            </w:r>
            <w:r>
              <w:rPr>
                <w:b/>
                <w:spacing w:val="-3"/>
                <w:sz w:val="24"/>
              </w:rPr>
              <w:t> </w:t>
            </w:r>
            <w:r>
              <w:rPr>
                <w:b/>
                <w:sz w:val="24"/>
              </w:rPr>
              <w:t>11%</w:t>
            </w:r>
            <w:r>
              <w:rPr>
                <w:b/>
                <w:spacing w:val="-8"/>
                <w:sz w:val="24"/>
              </w:rPr>
              <w:t> </w:t>
            </w:r>
            <w:r>
              <w:rPr>
                <w:b/>
                <w:spacing w:val="-4"/>
                <w:sz w:val="24"/>
              </w:rPr>
              <w:t>rate</w:t>
            </w:r>
          </w:p>
        </w:tc>
      </w:tr>
      <w:tr>
        <w:trPr>
          <w:trHeight w:val="332" w:hRule="atLeast"/>
        </w:trPr>
        <w:tc>
          <w:tcPr>
            <w:tcW w:w="2160" w:type="dxa"/>
          </w:tcPr>
          <w:p>
            <w:pPr>
              <w:pStyle w:val="TableParagraph"/>
              <w:spacing w:before="26"/>
              <w:ind w:left="107"/>
              <w:rPr>
                <w:b/>
                <w:sz w:val="24"/>
              </w:rPr>
            </w:pPr>
            <w:r>
              <w:rPr>
                <w:b/>
                <w:sz w:val="24"/>
              </w:rPr>
              <w:t>Annual</w:t>
            </w:r>
            <w:r>
              <w:rPr>
                <w:b/>
                <w:spacing w:val="-14"/>
                <w:sz w:val="24"/>
              </w:rPr>
              <w:t> </w:t>
            </w:r>
            <w:r>
              <w:rPr>
                <w:b/>
                <w:spacing w:val="-2"/>
                <w:sz w:val="24"/>
              </w:rPr>
              <w:t>Costs</w:t>
            </w:r>
          </w:p>
        </w:tc>
        <w:tc>
          <w:tcPr>
            <w:tcW w:w="2040" w:type="dxa"/>
          </w:tcPr>
          <w:p>
            <w:pPr>
              <w:pStyle w:val="TableParagraph"/>
              <w:rPr>
                <w:rFonts w:ascii="Times New Roman"/>
                <w:sz w:val="22"/>
              </w:rPr>
            </w:pPr>
          </w:p>
        </w:tc>
        <w:tc>
          <w:tcPr>
            <w:tcW w:w="2040" w:type="dxa"/>
          </w:tcPr>
          <w:p>
            <w:pPr>
              <w:pStyle w:val="TableParagraph"/>
              <w:rPr>
                <w:rFonts w:ascii="Times New Roman"/>
                <w:sz w:val="22"/>
              </w:rPr>
            </w:pPr>
          </w:p>
        </w:tc>
        <w:tc>
          <w:tcPr>
            <w:tcW w:w="2040" w:type="dxa"/>
          </w:tcPr>
          <w:p>
            <w:pPr>
              <w:pStyle w:val="TableParagraph"/>
              <w:rPr>
                <w:rFonts w:ascii="Times New Roman"/>
                <w:sz w:val="22"/>
              </w:rPr>
            </w:pPr>
          </w:p>
        </w:tc>
      </w:tr>
      <w:tr>
        <w:trPr>
          <w:trHeight w:val="332" w:hRule="atLeast"/>
        </w:trPr>
        <w:tc>
          <w:tcPr>
            <w:tcW w:w="2160" w:type="dxa"/>
          </w:tcPr>
          <w:p>
            <w:pPr>
              <w:pStyle w:val="TableParagraph"/>
              <w:spacing w:before="25"/>
              <w:ind w:left="107"/>
              <w:rPr>
                <w:sz w:val="24"/>
              </w:rPr>
            </w:pPr>
            <w:r>
              <w:rPr>
                <w:sz w:val="24"/>
              </w:rPr>
              <w:t>New</w:t>
            </w:r>
            <w:r>
              <w:rPr>
                <w:spacing w:val="-8"/>
                <w:sz w:val="24"/>
              </w:rPr>
              <w:t> </w:t>
            </w:r>
            <w:r>
              <w:rPr>
                <w:spacing w:val="-2"/>
                <w:sz w:val="24"/>
              </w:rPr>
              <w:t>Buildings</w:t>
            </w:r>
          </w:p>
        </w:tc>
        <w:tc>
          <w:tcPr>
            <w:tcW w:w="2040" w:type="dxa"/>
          </w:tcPr>
          <w:p>
            <w:pPr>
              <w:pStyle w:val="TableParagraph"/>
              <w:spacing w:before="25"/>
              <w:ind w:right="97"/>
              <w:jc w:val="right"/>
              <w:rPr>
                <w:sz w:val="24"/>
              </w:rPr>
            </w:pPr>
            <w:r>
              <w:rPr>
                <w:spacing w:val="-5"/>
                <w:sz w:val="24"/>
              </w:rPr>
              <w:t>159</w:t>
            </w:r>
          </w:p>
        </w:tc>
        <w:tc>
          <w:tcPr>
            <w:tcW w:w="2040" w:type="dxa"/>
          </w:tcPr>
          <w:p>
            <w:pPr>
              <w:pStyle w:val="TableParagraph"/>
              <w:spacing w:before="25"/>
              <w:ind w:right="97"/>
              <w:jc w:val="right"/>
              <w:rPr>
                <w:sz w:val="24"/>
              </w:rPr>
            </w:pPr>
            <w:r>
              <w:rPr>
                <w:spacing w:val="-5"/>
                <w:sz w:val="24"/>
              </w:rPr>
              <w:t>159</w:t>
            </w:r>
          </w:p>
        </w:tc>
        <w:tc>
          <w:tcPr>
            <w:tcW w:w="2040" w:type="dxa"/>
          </w:tcPr>
          <w:p>
            <w:pPr>
              <w:pStyle w:val="TableParagraph"/>
              <w:spacing w:before="25"/>
              <w:ind w:right="97"/>
              <w:jc w:val="right"/>
              <w:rPr>
                <w:sz w:val="24"/>
              </w:rPr>
            </w:pPr>
            <w:r>
              <w:rPr>
                <w:spacing w:val="-4"/>
                <w:sz w:val="24"/>
              </w:rPr>
              <w:t>$159</w:t>
            </w:r>
          </w:p>
        </w:tc>
      </w:tr>
      <w:tr>
        <w:trPr>
          <w:trHeight w:val="332" w:hRule="atLeast"/>
        </w:trPr>
        <w:tc>
          <w:tcPr>
            <w:tcW w:w="2160" w:type="dxa"/>
          </w:tcPr>
          <w:p>
            <w:pPr>
              <w:pStyle w:val="TableParagraph"/>
              <w:spacing w:before="25"/>
              <w:ind w:left="107"/>
              <w:rPr>
                <w:sz w:val="24"/>
              </w:rPr>
            </w:pPr>
            <w:r>
              <w:rPr>
                <w:sz w:val="24"/>
              </w:rPr>
              <w:t>Building</w:t>
            </w:r>
            <w:r>
              <w:rPr>
                <w:spacing w:val="-7"/>
                <w:sz w:val="24"/>
              </w:rPr>
              <w:t> </w:t>
            </w:r>
            <w:r>
              <w:rPr>
                <w:spacing w:val="-2"/>
                <w:sz w:val="24"/>
              </w:rPr>
              <w:t>upgrades</w:t>
            </w:r>
          </w:p>
        </w:tc>
        <w:tc>
          <w:tcPr>
            <w:tcW w:w="2040" w:type="dxa"/>
          </w:tcPr>
          <w:p>
            <w:pPr>
              <w:pStyle w:val="TableParagraph"/>
              <w:spacing w:before="25"/>
              <w:ind w:right="96"/>
              <w:jc w:val="right"/>
              <w:rPr>
                <w:sz w:val="24"/>
              </w:rPr>
            </w:pPr>
            <w:r>
              <w:rPr>
                <w:spacing w:val="-4"/>
                <w:sz w:val="24"/>
              </w:rPr>
              <w:t>292</w:t>
            </w:r>
            <w:r>
              <w:rPr>
                <w:spacing w:val="-4"/>
                <w:sz w:val="24"/>
                <w:vertAlign w:val="superscript"/>
              </w:rPr>
              <w:t>73</w:t>
            </w:r>
          </w:p>
        </w:tc>
        <w:tc>
          <w:tcPr>
            <w:tcW w:w="2040" w:type="dxa"/>
          </w:tcPr>
          <w:p>
            <w:pPr>
              <w:pStyle w:val="TableParagraph"/>
              <w:spacing w:before="25"/>
              <w:ind w:right="96"/>
              <w:jc w:val="right"/>
              <w:rPr>
                <w:sz w:val="24"/>
              </w:rPr>
            </w:pPr>
            <w:r>
              <w:rPr>
                <w:spacing w:val="-4"/>
                <w:sz w:val="24"/>
              </w:rPr>
              <w:t>292</w:t>
            </w:r>
            <w:r>
              <w:rPr>
                <w:spacing w:val="-4"/>
                <w:sz w:val="24"/>
                <w:vertAlign w:val="superscript"/>
              </w:rPr>
              <w:t>74</w:t>
            </w:r>
          </w:p>
        </w:tc>
        <w:tc>
          <w:tcPr>
            <w:tcW w:w="2040" w:type="dxa"/>
          </w:tcPr>
          <w:p>
            <w:pPr>
              <w:pStyle w:val="TableParagraph"/>
              <w:spacing w:before="25"/>
              <w:ind w:right="96"/>
              <w:jc w:val="right"/>
              <w:rPr>
                <w:sz w:val="24"/>
              </w:rPr>
            </w:pPr>
            <w:r>
              <w:rPr>
                <w:spacing w:val="-4"/>
                <w:sz w:val="24"/>
              </w:rPr>
              <w:t>292</w:t>
            </w:r>
            <w:r>
              <w:rPr>
                <w:spacing w:val="-4"/>
                <w:sz w:val="24"/>
                <w:vertAlign w:val="superscript"/>
              </w:rPr>
              <w:t>75</w:t>
            </w:r>
          </w:p>
        </w:tc>
      </w:tr>
      <w:tr>
        <w:trPr>
          <w:trHeight w:val="883" w:hRule="atLeast"/>
        </w:trPr>
        <w:tc>
          <w:tcPr>
            <w:tcW w:w="2160" w:type="dxa"/>
          </w:tcPr>
          <w:p>
            <w:pPr>
              <w:pStyle w:val="TableParagraph"/>
              <w:spacing w:before="25"/>
              <w:ind w:left="107" w:right="385"/>
              <w:rPr>
                <w:sz w:val="24"/>
              </w:rPr>
            </w:pPr>
            <w:r>
              <w:rPr>
                <w:sz w:val="24"/>
              </w:rPr>
              <w:t>Lost NLA </w:t>
            </w:r>
            <w:r>
              <w:rPr>
                <w:spacing w:val="-2"/>
                <w:sz w:val="24"/>
              </w:rPr>
              <w:t>(building upgrades)</w:t>
            </w:r>
          </w:p>
        </w:tc>
        <w:tc>
          <w:tcPr>
            <w:tcW w:w="2040" w:type="dxa"/>
          </w:tcPr>
          <w:p>
            <w:pPr>
              <w:pStyle w:val="TableParagraph"/>
              <w:spacing w:before="2"/>
              <w:rPr>
                <w:sz w:val="26"/>
              </w:rPr>
            </w:pPr>
          </w:p>
          <w:p>
            <w:pPr>
              <w:pStyle w:val="TableParagraph"/>
              <w:ind w:right="96"/>
              <w:jc w:val="right"/>
              <w:rPr>
                <w:sz w:val="24"/>
              </w:rPr>
            </w:pPr>
            <w:r>
              <w:rPr>
                <w:spacing w:val="-5"/>
                <w:sz w:val="24"/>
              </w:rPr>
              <w:t>156</w:t>
            </w:r>
          </w:p>
        </w:tc>
        <w:tc>
          <w:tcPr>
            <w:tcW w:w="2040" w:type="dxa"/>
          </w:tcPr>
          <w:p>
            <w:pPr>
              <w:pStyle w:val="TableParagraph"/>
              <w:spacing w:before="2"/>
              <w:rPr>
                <w:sz w:val="26"/>
              </w:rPr>
            </w:pPr>
          </w:p>
          <w:p>
            <w:pPr>
              <w:pStyle w:val="TableParagraph"/>
              <w:ind w:right="96"/>
              <w:jc w:val="right"/>
              <w:rPr>
                <w:sz w:val="24"/>
              </w:rPr>
            </w:pPr>
            <w:r>
              <w:rPr>
                <w:spacing w:val="-5"/>
                <w:sz w:val="24"/>
              </w:rPr>
              <w:t>156</w:t>
            </w:r>
          </w:p>
        </w:tc>
        <w:tc>
          <w:tcPr>
            <w:tcW w:w="2040" w:type="dxa"/>
          </w:tcPr>
          <w:p>
            <w:pPr>
              <w:pStyle w:val="TableParagraph"/>
              <w:spacing w:before="2"/>
              <w:rPr>
                <w:sz w:val="26"/>
              </w:rPr>
            </w:pPr>
          </w:p>
          <w:p>
            <w:pPr>
              <w:pStyle w:val="TableParagraph"/>
              <w:ind w:right="96"/>
              <w:jc w:val="right"/>
              <w:rPr>
                <w:sz w:val="24"/>
              </w:rPr>
            </w:pPr>
            <w:r>
              <w:rPr>
                <w:spacing w:val="-5"/>
                <w:sz w:val="24"/>
              </w:rPr>
              <w:t>156</w:t>
            </w:r>
          </w:p>
        </w:tc>
      </w:tr>
      <w:tr>
        <w:trPr>
          <w:trHeight w:val="332" w:hRule="atLeast"/>
        </w:trPr>
        <w:tc>
          <w:tcPr>
            <w:tcW w:w="2160" w:type="dxa"/>
          </w:tcPr>
          <w:p>
            <w:pPr>
              <w:pStyle w:val="TableParagraph"/>
              <w:spacing w:before="26"/>
              <w:ind w:left="107"/>
              <w:rPr>
                <w:b/>
                <w:sz w:val="24"/>
              </w:rPr>
            </w:pPr>
            <w:r>
              <w:rPr>
                <w:b/>
                <w:spacing w:val="-2"/>
                <w:sz w:val="24"/>
              </w:rPr>
              <w:t>Total</w:t>
            </w:r>
          </w:p>
        </w:tc>
        <w:tc>
          <w:tcPr>
            <w:tcW w:w="2040" w:type="dxa"/>
          </w:tcPr>
          <w:p>
            <w:pPr>
              <w:pStyle w:val="TableParagraph"/>
              <w:spacing w:before="25"/>
              <w:ind w:right="96"/>
              <w:jc w:val="right"/>
              <w:rPr>
                <w:sz w:val="24"/>
              </w:rPr>
            </w:pPr>
            <w:r>
              <w:rPr>
                <w:spacing w:val="-5"/>
                <w:sz w:val="24"/>
              </w:rPr>
              <w:t>607</w:t>
            </w:r>
          </w:p>
        </w:tc>
        <w:tc>
          <w:tcPr>
            <w:tcW w:w="2040" w:type="dxa"/>
          </w:tcPr>
          <w:p>
            <w:pPr>
              <w:pStyle w:val="TableParagraph"/>
              <w:spacing w:before="25"/>
              <w:ind w:right="96"/>
              <w:jc w:val="right"/>
              <w:rPr>
                <w:sz w:val="24"/>
              </w:rPr>
            </w:pPr>
            <w:r>
              <w:rPr>
                <w:spacing w:val="-5"/>
                <w:sz w:val="24"/>
              </w:rPr>
              <w:t>607</w:t>
            </w:r>
          </w:p>
        </w:tc>
        <w:tc>
          <w:tcPr>
            <w:tcW w:w="2040" w:type="dxa"/>
          </w:tcPr>
          <w:p>
            <w:pPr>
              <w:pStyle w:val="TableParagraph"/>
              <w:spacing w:before="25"/>
              <w:ind w:right="96"/>
              <w:jc w:val="right"/>
              <w:rPr>
                <w:sz w:val="24"/>
              </w:rPr>
            </w:pPr>
            <w:r>
              <w:rPr>
                <w:spacing w:val="-5"/>
                <w:sz w:val="24"/>
              </w:rPr>
              <w:t>607</w:t>
            </w:r>
          </w:p>
        </w:tc>
      </w:tr>
    </w:tbl>
    <w:p>
      <w:pPr>
        <w:pStyle w:val="BodyText"/>
        <w:rPr>
          <w:sz w:val="20"/>
        </w:rPr>
      </w:pPr>
    </w:p>
    <w:p>
      <w:pPr>
        <w:pStyle w:val="BodyText"/>
        <w:spacing w:before="7"/>
        <w:rPr>
          <w:sz w:val="16"/>
        </w:rPr>
      </w:pPr>
    </w:p>
    <w:p>
      <w:pPr>
        <w:pStyle w:val="Heading4"/>
        <w:spacing w:before="92"/>
        <w:ind w:right="1715"/>
        <w:rPr>
          <w:u w:val="none"/>
        </w:rPr>
      </w:pPr>
      <w:r>
        <w:rPr/>
        <w:pict>
          <v:shape style="position:absolute;margin-left:90.000008pt;margin-top:30.916119pt;width:282.8pt;height:1.3pt;mso-position-horizontal-relative:page;mso-position-vertical-relative:paragraph;z-index:15760384" id="docshape75" coordorigin="1800,618" coordsize="5656,26" path="m6200,618l1800,618,1800,644,6200,644,6200,618xm7456,618l6211,618,6211,644,7456,644,7456,618xe" filled="true" fillcolor="#000000" stroked="false">
            <v:path arrowok="t"/>
            <v:fill type="solid"/>
            <w10:wrap type="none"/>
          </v:shape>
        </w:pict>
      </w:r>
      <w:r>
        <w:rPr>
          <w:u w:val="single"/>
        </w:rPr>
        <w:t>Table</w:t>
      </w:r>
      <w:r>
        <w:rPr>
          <w:spacing w:val="-4"/>
          <w:u w:val="single"/>
        </w:rPr>
        <w:t> </w:t>
      </w:r>
      <w:r>
        <w:rPr>
          <w:u w:val="single"/>
        </w:rPr>
        <w:t>15b:</w:t>
      </w:r>
      <w:r>
        <w:rPr>
          <w:spacing w:val="-4"/>
          <w:u w:val="single"/>
        </w:rPr>
        <w:t> </w:t>
      </w:r>
      <w:r>
        <w:rPr>
          <w:u w:val="single"/>
        </w:rPr>
        <w:t>Summary</w:t>
      </w:r>
      <w:r>
        <w:rPr>
          <w:spacing w:val="-6"/>
          <w:u w:val="single"/>
        </w:rPr>
        <w:t> </w:t>
      </w:r>
      <w:r>
        <w:rPr>
          <w:u w:val="single"/>
        </w:rPr>
        <w:t>of</w:t>
      </w:r>
      <w:r>
        <w:rPr>
          <w:spacing w:val="-4"/>
          <w:u w:val="single"/>
        </w:rPr>
        <w:t> </w:t>
      </w:r>
      <w:r>
        <w:rPr>
          <w:u w:val="single"/>
        </w:rPr>
        <w:t>benefits</w:t>
      </w:r>
      <w:r>
        <w:rPr>
          <w:spacing w:val="-6"/>
          <w:u w:val="single"/>
        </w:rPr>
        <w:t> </w:t>
      </w:r>
      <w:r>
        <w:rPr>
          <w:u w:val="single"/>
        </w:rPr>
        <w:t>and</w:t>
      </w:r>
      <w:r>
        <w:rPr>
          <w:spacing w:val="-4"/>
          <w:u w:val="single"/>
        </w:rPr>
        <w:t> </w:t>
      </w:r>
      <w:r>
        <w:rPr>
          <w:u w:val="single"/>
        </w:rPr>
        <w:t>costs</w:t>
      </w:r>
      <w:r>
        <w:rPr>
          <w:spacing w:val="-4"/>
          <w:u w:val="single"/>
        </w:rPr>
        <w:t> </w:t>
      </w:r>
      <w:r>
        <w:rPr>
          <w:u w:val="single"/>
        </w:rPr>
        <w:t>of</w:t>
      </w:r>
      <w:r>
        <w:rPr>
          <w:spacing w:val="-4"/>
          <w:u w:val="single"/>
        </w:rPr>
        <w:t> </w:t>
      </w:r>
      <w:r>
        <w:rPr>
          <w:u w:val="single"/>
        </w:rPr>
        <w:t>proposed</w:t>
      </w:r>
      <w:r>
        <w:rPr>
          <w:spacing w:val="-4"/>
          <w:u w:val="single"/>
        </w:rPr>
        <w:t> </w:t>
      </w:r>
      <w:r>
        <w:rPr>
          <w:u w:val="single"/>
        </w:rPr>
        <w:t>Premises</w:t>
      </w:r>
      <w:r>
        <w:rPr>
          <w:u w:val="none"/>
        </w:rPr>
        <w:t> Standards based on the 2008 proposal</w:t>
      </w:r>
      <w:r>
        <w:rPr>
          <w:u w:val="none"/>
          <w:vertAlign w:val="superscript"/>
        </w:rPr>
        <w:t>76</w:t>
      </w:r>
      <w:r>
        <w:rPr>
          <w:u w:val="none"/>
          <w:vertAlign w:val="baseline"/>
        </w:rPr>
        <w:t> ($billion)</w:t>
      </w:r>
    </w:p>
    <w:p>
      <w:pPr>
        <w:pStyle w:val="BodyText"/>
        <w:spacing w:before="7"/>
        <w:rPr>
          <w:b/>
          <w:sz w:val="10"/>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2040"/>
        <w:gridCol w:w="2040"/>
        <w:gridCol w:w="2040"/>
      </w:tblGrid>
      <w:tr>
        <w:trPr>
          <w:trHeight w:val="332" w:hRule="atLeast"/>
        </w:trPr>
        <w:tc>
          <w:tcPr>
            <w:tcW w:w="2160" w:type="dxa"/>
          </w:tcPr>
          <w:p>
            <w:pPr>
              <w:pStyle w:val="TableParagraph"/>
              <w:rPr>
                <w:rFonts w:ascii="Times New Roman"/>
                <w:sz w:val="22"/>
              </w:rPr>
            </w:pPr>
          </w:p>
        </w:tc>
        <w:tc>
          <w:tcPr>
            <w:tcW w:w="2040" w:type="dxa"/>
          </w:tcPr>
          <w:p>
            <w:pPr>
              <w:pStyle w:val="TableParagraph"/>
              <w:spacing w:before="26"/>
              <w:ind w:left="442"/>
              <w:rPr>
                <w:b/>
                <w:sz w:val="24"/>
              </w:rPr>
            </w:pPr>
            <w:r>
              <w:rPr>
                <w:b/>
                <w:sz w:val="24"/>
              </w:rPr>
              <w:t>@</w:t>
            </w:r>
            <w:r>
              <w:rPr>
                <w:b/>
                <w:spacing w:val="-2"/>
                <w:sz w:val="24"/>
              </w:rPr>
              <w:t> </w:t>
            </w:r>
            <w:r>
              <w:rPr>
                <w:b/>
                <w:sz w:val="24"/>
              </w:rPr>
              <w:t>4%</w:t>
            </w:r>
            <w:r>
              <w:rPr>
                <w:b/>
                <w:spacing w:val="-6"/>
                <w:sz w:val="24"/>
              </w:rPr>
              <w:t> </w:t>
            </w:r>
            <w:r>
              <w:rPr>
                <w:b/>
                <w:spacing w:val="-4"/>
                <w:sz w:val="24"/>
              </w:rPr>
              <w:t>rate</w:t>
            </w:r>
          </w:p>
        </w:tc>
        <w:tc>
          <w:tcPr>
            <w:tcW w:w="2040" w:type="dxa"/>
          </w:tcPr>
          <w:p>
            <w:pPr>
              <w:pStyle w:val="TableParagraph"/>
              <w:spacing w:before="26"/>
              <w:ind w:left="407"/>
              <w:rPr>
                <w:b/>
                <w:sz w:val="24"/>
              </w:rPr>
            </w:pPr>
            <w:r>
              <w:rPr>
                <w:b/>
                <w:sz w:val="24"/>
              </w:rPr>
              <w:t>@</w:t>
            </w:r>
            <w:r>
              <w:rPr>
                <w:b/>
                <w:spacing w:val="-2"/>
                <w:sz w:val="24"/>
              </w:rPr>
              <w:t> </w:t>
            </w:r>
            <w:r>
              <w:rPr>
                <w:b/>
                <w:sz w:val="24"/>
              </w:rPr>
              <w:t>7</w:t>
            </w:r>
            <w:r>
              <w:rPr>
                <w:b/>
                <w:spacing w:val="-2"/>
                <w:sz w:val="24"/>
              </w:rPr>
              <w:t> </w:t>
            </w:r>
            <w:r>
              <w:rPr>
                <w:b/>
                <w:sz w:val="24"/>
              </w:rPr>
              <w:t>%</w:t>
            </w:r>
            <w:r>
              <w:rPr>
                <w:b/>
                <w:spacing w:val="-5"/>
                <w:sz w:val="24"/>
              </w:rPr>
              <w:t> </w:t>
            </w:r>
            <w:r>
              <w:rPr>
                <w:b/>
                <w:spacing w:val="-4"/>
                <w:sz w:val="24"/>
              </w:rPr>
              <w:t>rate</w:t>
            </w:r>
          </w:p>
        </w:tc>
        <w:tc>
          <w:tcPr>
            <w:tcW w:w="2040" w:type="dxa"/>
          </w:tcPr>
          <w:p>
            <w:pPr>
              <w:pStyle w:val="TableParagraph"/>
              <w:spacing w:before="26"/>
              <w:ind w:left="372"/>
              <w:rPr>
                <w:b/>
                <w:sz w:val="24"/>
              </w:rPr>
            </w:pPr>
            <w:r>
              <w:rPr>
                <w:b/>
                <w:sz w:val="24"/>
              </w:rPr>
              <w:t>@</w:t>
            </w:r>
            <w:r>
              <w:rPr>
                <w:b/>
                <w:spacing w:val="-3"/>
                <w:sz w:val="24"/>
              </w:rPr>
              <w:t> </w:t>
            </w:r>
            <w:r>
              <w:rPr>
                <w:b/>
                <w:sz w:val="24"/>
              </w:rPr>
              <w:t>11%</w:t>
            </w:r>
            <w:r>
              <w:rPr>
                <w:b/>
                <w:spacing w:val="-7"/>
                <w:sz w:val="24"/>
              </w:rPr>
              <w:t> </w:t>
            </w:r>
            <w:r>
              <w:rPr>
                <w:b/>
                <w:spacing w:val="-4"/>
                <w:sz w:val="24"/>
              </w:rPr>
              <w:t>rate</w:t>
            </w:r>
          </w:p>
        </w:tc>
      </w:tr>
      <w:tr>
        <w:trPr>
          <w:trHeight w:val="607" w:hRule="atLeast"/>
        </w:trPr>
        <w:tc>
          <w:tcPr>
            <w:tcW w:w="2160" w:type="dxa"/>
          </w:tcPr>
          <w:p>
            <w:pPr>
              <w:pStyle w:val="TableParagraph"/>
              <w:spacing w:before="26"/>
              <w:ind w:left="107"/>
              <w:rPr>
                <w:b/>
                <w:sz w:val="24"/>
              </w:rPr>
            </w:pPr>
            <w:r>
              <w:rPr>
                <w:b/>
                <w:sz w:val="24"/>
              </w:rPr>
              <w:t>Present</w:t>
            </w:r>
            <w:r>
              <w:rPr>
                <w:b/>
                <w:spacing w:val="-17"/>
                <w:sz w:val="24"/>
              </w:rPr>
              <w:t> </w:t>
            </w:r>
            <w:r>
              <w:rPr>
                <w:b/>
                <w:sz w:val="24"/>
              </w:rPr>
              <w:t>Value</w:t>
            </w:r>
            <w:r>
              <w:rPr>
                <w:b/>
                <w:spacing w:val="-17"/>
                <w:sz w:val="24"/>
              </w:rPr>
              <w:t> </w:t>
            </w:r>
            <w:r>
              <w:rPr>
                <w:b/>
                <w:sz w:val="24"/>
              </w:rPr>
              <w:t>of Benefits</w:t>
            </w:r>
            <w:r>
              <w:rPr>
                <w:b/>
                <w:spacing w:val="-2"/>
                <w:sz w:val="24"/>
              </w:rPr>
              <w:t> </w:t>
            </w:r>
            <w:r>
              <w:rPr>
                <w:b/>
                <w:sz w:val="24"/>
              </w:rPr>
              <w:t>(30</w:t>
            </w:r>
            <w:r>
              <w:rPr>
                <w:b/>
                <w:spacing w:val="-2"/>
                <w:sz w:val="24"/>
              </w:rPr>
              <w:t> </w:t>
            </w:r>
            <w:r>
              <w:rPr>
                <w:b/>
                <w:spacing w:val="-4"/>
                <w:sz w:val="24"/>
              </w:rPr>
              <w:t>yrs)</w:t>
            </w:r>
          </w:p>
        </w:tc>
        <w:tc>
          <w:tcPr>
            <w:tcW w:w="2040" w:type="dxa"/>
          </w:tcPr>
          <w:p>
            <w:pPr>
              <w:pStyle w:val="TableParagraph"/>
              <w:spacing w:before="163"/>
              <w:ind w:right="95"/>
              <w:jc w:val="right"/>
              <w:rPr>
                <w:sz w:val="24"/>
              </w:rPr>
            </w:pPr>
            <w:r>
              <w:rPr>
                <w:spacing w:val="-4"/>
                <w:sz w:val="24"/>
              </w:rPr>
              <w:t>11.4</w:t>
            </w:r>
          </w:p>
        </w:tc>
        <w:tc>
          <w:tcPr>
            <w:tcW w:w="2040" w:type="dxa"/>
          </w:tcPr>
          <w:p>
            <w:pPr>
              <w:pStyle w:val="TableParagraph"/>
              <w:spacing w:before="163"/>
              <w:ind w:right="95"/>
              <w:jc w:val="right"/>
              <w:rPr>
                <w:sz w:val="24"/>
              </w:rPr>
            </w:pPr>
            <w:r>
              <w:rPr>
                <w:spacing w:val="-5"/>
                <w:sz w:val="24"/>
              </w:rPr>
              <w:t>7.3</w:t>
            </w:r>
          </w:p>
        </w:tc>
        <w:tc>
          <w:tcPr>
            <w:tcW w:w="2040" w:type="dxa"/>
          </w:tcPr>
          <w:p>
            <w:pPr>
              <w:pStyle w:val="TableParagraph"/>
              <w:spacing w:before="163"/>
              <w:ind w:right="95"/>
              <w:jc w:val="right"/>
              <w:rPr>
                <w:sz w:val="24"/>
              </w:rPr>
            </w:pPr>
            <w:r>
              <w:rPr>
                <w:spacing w:val="-5"/>
                <w:sz w:val="24"/>
              </w:rPr>
              <w:t>4.5</w:t>
            </w:r>
          </w:p>
        </w:tc>
      </w:tr>
      <w:tr>
        <w:trPr>
          <w:trHeight w:val="607" w:hRule="atLeast"/>
        </w:trPr>
        <w:tc>
          <w:tcPr>
            <w:tcW w:w="2160" w:type="dxa"/>
          </w:tcPr>
          <w:p>
            <w:pPr>
              <w:pStyle w:val="TableParagraph"/>
              <w:spacing w:before="26"/>
              <w:ind w:left="107"/>
              <w:rPr>
                <w:b/>
                <w:sz w:val="24"/>
              </w:rPr>
            </w:pPr>
            <w:r>
              <w:rPr>
                <w:b/>
                <w:sz w:val="24"/>
              </w:rPr>
              <w:t>Present</w:t>
            </w:r>
            <w:r>
              <w:rPr>
                <w:b/>
                <w:spacing w:val="-17"/>
                <w:sz w:val="24"/>
              </w:rPr>
              <w:t> </w:t>
            </w:r>
            <w:r>
              <w:rPr>
                <w:b/>
                <w:sz w:val="24"/>
              </w:rPr>
              <w:t>Value</w:t>
            </w:r>
            <w:r>
              <w:rPr>
                <w:b/>
                <w:spacing w:val="-17"/>
                <w:sz w:val="24"/>
              </w:rPr>
              <w:t> </w:t>
            </w:r>
            <w:r>
              <w:rPr>
                <w:b/>
                <w:sz w:val="24"/>
              </w:rPr>
              <w:t>of Costs</w:t>
            </w:r>
            <w:r>
              <w:rPr>
                <w:b/>
                <w:spacing w:val="-5"/>
                <w:sz w:val="24"/>
              </w:rPr>
              <w:t> </w:t>
            </w:r>
            <w:r>
              <w:rPr>
                <w:b/>
                <w:sz w:val="24"/>
              </w:rPr>
              <w:t>(30</w:t>
            </w:r>
            <w:r>
              <w:rPr>
                <w:b/>
                <w:spacing w:val="-5"/>
                <w:sz w:val="24"/>
              </w:rPr>
              <w:t> </w:t>
            </w:r>
            <w:r>
              <w:rPr>
                <w:b/>
                <w:spacing w:val="-2"/>
                <w:sz w:val="24"/>
              </w:rPr>
              <w:t>years)</w:t>
            </w:r>
          </w:p>
        </w:tc>
        <w:tc>
          <w:tcPr>
            <w:tcW w:w="2040" w:type="dxa"/>
          </w:tcPr>
          <w:p>
            <w:pPr>
              <w:pStyle w:val="TableParagraph"/>
              <w:spacing w:before="163"/>
              <w:ind w:right="95"/>
              <w:jc w:val="right"/>
              <w:rPr>
                <w:sz w:val="24"/>
              </w:rPr>
            </w:pPr>
            <w:r>
              <w:rPr>
                <w:spacing w:val="-5"/>
                <w:sz w:val="24"/>
              </w:rPr>
              <w:t>9.3</w:t>
            </w:r>
          </w:p>
        </w:tc>
        <w:tc>
          <w:tcPr>
            <w:tcW w:w="2040" w:type="dxa"/>
          </w:tcPr>
          <w:p>
            <w:pPr>
              <w:pStyle w:val="TableParagraph"/>
              <w:spacing w:before="163"/>
              <w:ind w:right="95"/>
              <w:jc w:val="right"/>
              <w:rPr>
                <w:sz w:val="24"/>
              </w:rPr>
            </w:pPr>
            <w:r>
              <w:rPr>
                <w:spacing w:val="-5"/>
                <w:sz w:val="24"/>
              </w:rPr>
              <w:t>6.9</w:t>
            </w:r>
          </w:p>
        </w:tc>
        <w:tc>
          <w:tcPr>
            <w:tcW w:w="2040" w:type="dxa"/>
          </w:tcPr>
          <w:p>
            <w:pPr>
              <w:pStyle w:val="TableParagraph"/>
              <w:spacing w:before="163"/>
              <w:ind w:right="95"/>
              <w:jc w:val="right"/>
              <w:rPr>
                <w:sz w:val="24"/>
              </w:rPr>
            </w:pPr>
            <w:r>
              <w:rPr>
                <w:spacing w:val="-5"/>
                <w:sz w:val="24"/>
              </w:rPr>
              <w:t>5.5</w:t>
            </w:r>
          </w:p>
        </w:tc>
      </w:tr>
      <w:tr>
        <w:trPr>
          <w:trHeight w:val="608" w:hRule="atLeast"/>
        </w:trPr>
        <w:tc>
          <w:tcPr>
            <w:tcW w:w="2160" w:type="dxa"/>
          </w:tcPr>
          <w:p>
            <w:pPr>
              <w:pStyle w:val="TableParagraph"/>
              <w:spacing w:before="26"/>
              <w:ind w:left="107" w:right="385"/>
              <w:rPr>
                <w:b/>
                <w:sz w:val="24"/>
              </w:rPr>
            </w:pPr>
            <w:r>
              <w:rPr>
                <w:b/>
                <w:sz w:val="24"/>
              </w:rPr>
              <w:t>Net</w:t>
            </w:r>
            <w:r>
              <w:rPr>
                <w:b/>
                <w:spacing w:val="-17"/>
                <w:sz w:val="24"/>
              </w:rPr>
              <w:t> </w:t>
            </w:r>
            <w:r>
              <w:rPr>
                <w:b/>
                <w:sz w:val="24"/>
              </w:rPr>
              <w:t>Present </w:t>
            </w:r>
            <w:r>
              <w:rPr>
                <w:b/>
                <w:spacing w:val="-2"/>
                <w:sz w:val="24"/>
              </w:rPr>
              <w:t>Value</w:t>
            </w:r>
          </w:p>
        </w:tc>
        <w:tc>
          <w:tcPr>
            <w:tcW w:w="2040" w:type="dxa"/>
          </w:tcPr>
          <w:p>
            <w:pPr>
              <w:pStyle w:val="TableParagraph"/>
              <w:spacing w:before="163"/>
              <w:ind w:right="95"/>
              <w:jc w:val="right"/>
              <w:rPr>
                <w:sz w:val="24"/>
              </w:rPr>
            </w:pPr>
            <w:r>
              <w:rPr>
                <w:spacing w:val="-5"/>
                <w:sz w:val="24"/>
              </w:rPr>
              <w:t>2.1</w:t>
            </w:r>
          </w:p>
        </w:tc>
        <w:tc>
          <w:tcPr>
            <w:tcW w:w="2040" w:type="dxa"/>
          </w:tcPr>
          <w:p>
            <w:pPr>
              <w:pStyle w:val="TableParagraph"/>
              <w:spacing w:before="163"/>
              <w:ind w:right="95"/>
              <w:jc w:val="right"/>
              <w:rPr>
                <w:sz w:val="24"/>
              </w:rPr>
            </w:pPr>
            <w:r>
              <w:rPr>
                <w:spacing w:val="-5"/>
                <w:sz w:val="24"/>
              </w:rPr>
              <w:t>0.4</w:t>
            </w:r>
          </w:p>
        </w:tc>
        <w:tc>
          <w:tcPr>
            <w:tcW w:w="2040" w:type="dxa"/>
          </w:tcPr>
          <w:p>
            <w:pPr>
              <w:pStyle w:val="TableParagraph"/>
              <w:spacing w:before="163"/>
              <w:ind w:right="95"/>
              <w:jc w:val="right"/>
              <w:rPr>
                <w:sz w:val="24"/>
              </w:rPr>
            </w:pPr>
            <w:r>
              <w:rPr>
                <w:w w:val="95"/>
                <w:sz w:val="24"/>
              </w:rPr>
              <w:t>-</w:t>
            </w:r>
            <w:r>
              <w:rPr>
                <w:spacing w:val="-5"/>
                <w:sz w:val="24"/>
              </w:rPr>
              <w:t>1.0</w:t>
            </w:r>
          </w:p>
        </w:tc>
      </w:tr>
      <w:tr>
        <w:trPr>
          <w:trHeight w:val="607" w:hRule="atLeast"/>
        </w:trPr>
        <w:tc>
          <w:tcPr>
            <w:tcW w:w="2160" w:type="dxa"/>
          </w:tcPr>
          <w:p>
            <w:pPr>
              <w:pStyle w:val="TableParagraph"/>
              <w:spacing w:before="26"/>
              <w:ind w:left="107" w:right="385"/>
              <w:rPr>
                <w:b/>
                <w:sz w:val="24"/>
              </w:rPr>
            </w:pPr>
            <w:r>
              <w:rPr>
                <w:b/>
                <w:spacing w:val="-2"/>
                <w:sz w:val="24"/>
              </w:rPr>
              <w:t>Benefit/cost Ratio</w:t>
            </w:r>
          </w:p>
        </w:tc>
        <w:tc>
          <w:tcPr>
            <w:tcW w:w="2040" w:type="dxa"/>
          </w:tcPr>
          <w:p>
            <w:pPr>
              <w:pStyle w:val="TableParagraph"/>
              <w:spacing w:before="163"/>
              <w:ind w:left="671" w:right="662"/>
              <w:jc w:val="center"/>
              <w:rPr>
                <w:sz w:val="24"/>
              </w:rPr>
            </w:pPr>
            <w:r>
              <w:rPr>
                <w:spacing w:val="-2"/>
                <w:sz w:val="24"/>
              </w:rPr>
              <w:t>1.23:1</w:t>
            </w:r>
          </w:p>
        </w:tc>
        <w:tc>
          <w:tcPr>
            <w:tcW w:w="2040" w:type="dxa"/>
          </w:tcPr>
          <w:p>
            <w:pPr>
              <w:pStyle w:val="TableParagraph"/>
              <w:spacing w:before="163"/>
              <w:ind w:left="670" w:right="662"/>
              <w:jc w:val="center"/>
              <w:rPr>
                <w:sz w:val="24"/>
              </w:rPr>
            </w:pPr>
            <w:r>
              <w:rPr>
                <w:spacing w:val="-2"/>
                <w:sz w:val="24"/>
              </w:rPr>
              <w:t>1.05:1</w:t>
            </w:r>
          </w:p>
        </w:tc>
        <w:tc>
          <w:tcPr>
            <w:tcW w:w="2040" w:type="dxa"/>
          </w:tcPr>
          <w:p>
            <w:pPr>
              <w:pStyle w:val="TableParagraph"/>
              <w:spacing w:before="163"/>
              <w:ind w:left="670" w:right="662"/>
              <w:jc w:val="center"/>
              <w:rPr>
                <w:sz w:val="24"/>
              </w:rPr>
            </w:pPr>
            <w:r>
              <w:rPr>
                <w:spacing w:val="-2"/>
                <w:sz w:val="24"/>
              </w:rPr>
              <w:t>0.82:1</w:t>
            </w:r>
          </w:p>
        </w:tc>
      </w:tr>
    </w:tbl>
    <w:p>
      <w:pPr>
        <w:spacing w:before="1"/>
        <w:ind w:left="420" w:right="0" w:firstLine="0"/>
        <w:jc w:val="both"/>
        <w:rPr>
          <w:i/>
          <w:sz w:val="20"/>
        </w:rPr>
      </w:pPr>
      <w:r>
        <w:rPr>
          <w:i/>
          <w:sz w:val="20"/>
        </w:rPr>
        <w:t>Note:</w:t>
      </w:r>
      <w:r>
        <w:rPr>
          <w:i/>
          <w:spacing w:val="-4"/>
          <w:sz w:val="20"/>
        </w:rPr>
        <w:t> </w:t>
      </w:r>
      <w:r>
        <w:rPr>
          <w:i/>
          <w:sz w:val="20"/>
        </w:rPr>
        <w:t>11</w:t>
      </w:r>
      <w:r>
        <w:rPr>
          <w:i/>
          <w:spacing w:val="-4"/>
          <w:sz w:val="20"/>
        </w:rPr>
        <w:t> </w:t>
      </w:r>
      <w:r>
        <w:rPr>
          <w:i/>
          <w:sz w:val="20"/>
        </w:rPr>
        <w:t>%</w:t>
      </w:r>
      <w:r>
        <w:rPr>
          <w:i/>
          <w:spacing w:val="-4"/>
          <w:sz w:val="20"/>
        </w:rPr>
        <w:t> </w:t>
      </w:r>
      <w:r>
        <w:rPr>
          <w:i/>
          <w:sz w:val="20"/>
        </w:rPr>
        <w:t>rate</w:t>
      </w:r>
      <w:r>
        <w:rPr>
          <w:i/>
          <w:spacing w:val="-4"/>
          <w:sz w:val="20"/>
        </w:rPr>
        <w:t> </w:t>
      </w:r>
      <w:r>
        <w:rPr>
          <w:i/>
          <w:sz w:val="20"/>
        </w:rPr>
        <w:t>is</w:t>
      </w:r>
      <w:r>
        <w:rPr>
          <w:i/>
          <w:spacing w:val="-4"/>
          <w:sz w:val="20"/>
        </w:rPr>
        <w:t> </w:t>
      </w:r>
      <w:r>
        <w:rPr>
          <w:i/>
          <w:sz w:val="20"/>
        </w:rPr>
        <w:t>discussed</w:t>
      </w:r>
      <w:r>
        <w:rPr>
          <w:i/>
          <w:spacing w:val="-4"/>
          <w:sz w:val="20"/>
        </w:rPr>
        <w:t> </w:t>
      </w:r>
      <w:r>
        <w:rPr>
          <w:i/>
          <w:sz w:val="20"/>
        </w:rPr>
        <w:t>at</w:t>
      </w:r>
      <w:r>
        <w:rPr>
          <w:i/>
          <w:spacing w:val="-3"/>
          <w:sz w:val="20"/>
        </w:rPr>
        <w:t> </w:t>
      </w:r>
      <w:r>
        <w:rPr>
          <w:i/>
          <w:spacing w:val="-4"/>
          <w:sz w:val="20"/>
        </w:rPr>
        <w:t>10.4</w:t>
      </w:r>
    </w:p>
    <w:p>
      <w:pPr>
        <w:pStyle w:val="BodyText"/>
        <w:spacing w:before="10"/>
        <w:rPr>
          <w:i/>
          <w:sz w:val="23"/>
        </w:rPr>
      </w:pPr>
    </w:p>
    <w:p>
      <w:pPr>
        <w:pStyle w:val="BodyText"/>
        <w:ind w:left="419" w:right="811"/>
        <w:jc w:val="both"/>
      </w:pPr>
      <w:r>
        <w:rPr/>
        <w:t>Table 15 shows that the modified 2008 Premises Standards proposal would impose costs with a Present Value of $9.3 ($6.9) billion over 30 years.</w:t>
      </w:r>
      <w:r>
        <w:rPr>
          <w:spacing w:val="80"/>
        </w:rPr>
        <w:t> </w:t>
      </w:r>
      <w:r>
        <w:rPr/>
        <w:t>The PV of the quantifiable benefits of the Standards would be $11.4 ($7.3) billion over the same period, leading to a NPV of $2.1 ($0.4) billion over 30 years. The proposal therefore, based on the 2008 proposal, has a benefit/cost ratio of 1.23:1 (1.05:1). That is, there would be $1.23 ($1.05) of benefits for each dollar of costs imposed by the Standards.</w:t>
      </w:r>
    </w:p>
    <w:p>
      <w:pPr>
        <w:pStyle w:val="BodyText"/>
      </w:pPr>
    </w:p>
    <w:p>
      <w:pPr>
        <w:pStyle w:val="BodyText"/>
        <w:ind w:left="419" w:right="810"/>
        <w:jc w:val="both"/>
      </w:pPr>
      <w:r>
        <w:rPr/>
        <w:t>However, it must be noted that these calculations are based solely on the quantified benefits.</w:t>
      </w:r>
      <w:r>
        <w:rPr>
          <w:spacing w:val="40"/>
        </w:rPr>
        <w:t> </w:t>
      </w:r>
      <w:r>
        <w:rPr/>
        <w:t>As discussed above, there are substantial unquantified benefits also associated with the proposed Standards.</w:t>
      </w:r>
      <w:r>
        <w:rPr>
          <w:spacing w:val="40"/>
        </w:rPr>
        <w:t> </w:t>
      </w:r>
      <w:r>
        <w:rPr/>
        <w:t>These benefits, while unquantified, nonetheless constitute a significant part of the overall rationale for the adoption of the Standards.</w:t>
      </w:r>
      <w:r>
        <w:rPr>
          <w:spacing w:val="40"/>
        </w:rPr>
        <w:t> </w:t>
      </w:r>
      <w:r>
        <w:rPr/>
        <w:t>Thus, the above table cannot be seen as providing a full summary of the impacts of the Standards.</w:t>
      </w:r>
    </w:p>
    <w:p>
      <w:pPr>
        <w:pStyle w:val="BodyText"/>
        <w:rPr>
          <w:sz w:val="20"/>
        </w:rPr>
      </w:pPr>
    </w:p>
    <w:p>
      <w:pPr>
        <w:pStyle w:val="BodyText"/>
        <w:spacing w:before="4"/>
        <w:rPr>
          <w:sz w:val="25"/>
        </w:rPr>
      </w:pPr>
      <w:r>
        <w:rPr/>
        <w:pict>
          <v:rect style="position:absolute;margin-left:90pt;margin-top:15.814483pt;width:144pt;height:.6pt;mso-position-horizontal-relative:page;mso-position-vertical-relative:paragraph;z-index:-15697408;mso-wrap-distance-left:0;mso-wrap-distance-right:0" id="docshape76" filled="true" fillcolor="#000000" stroked="false">
            <v:fill type="solid"/>
            <w10:wrap type="topAndBottom"/>
          </v:rect>
        </w:pict>
      </w:r>
    </w:p>
    <w:p>
      <w:pPr>
        <w:pStyle w:val="BodyText"/>
        <w:spacing w:before="1"/>
        <w:rPr>
          <w:sz w:val="8"/>
        </w:rPr>
      </w:pPr>
    </w:p>
    <w:p>
      <w:pPr>
        <w:spacing w:before="130"/>
        <w:ind w:left="420" w:right="811" w:hanging="1"/>
        <w:jc w:val="left"/>
        <w:rPr>
          <w:sz w:val="20"/>
        </w:rPr>
      </w:pPr>
      <w:r>
        <w:rPr>
          <w:sz w:val="20"/>
          <w:vertAlign w:val="superscript"/>
        </w:rPr>
        <w:t>73</w:t>
      </w:r>
      <w:r>
        <w:rPr>
          <w:spacing w:val="-2"/>
          <w:sz w:val="20"/>
          <w:vertAlign w:val="baseline"/>
        </w:rPr>
        <w:t> </w:t>
      </w:r>
      <w:r>
        <w:rPr>
          <w:sz w:val="20"/>
          <w:vertAlign w:val="baseline"/>
        </w:rPr>
        <w:t>Gross</w:t>
      </w:r>
      <w:r>
        <w:rPr>
          <w:spacing w:val="-2"/>
          <w:sz w:val="20"/>
          <w:vertAlign w:val="baseline"/>
        </w:rPr>
        <w:t> </w:t>
      </w:r>
      <w:r>
        <w:rPr>
          <w:sz w:val="20"/>
          <w:vertAlign w:val="baseline"/>
        </w:rPr>
        <w:t>cost</w:t>
      </w:r>
      <w:r>
        <w:rPr>
          <w:spacing w:val="-2"/>
          <w:sz w:val="20"/>
          <w:vertAlign w:val="baseline"/>
        </w:rPr>
        <w:t> </w:t>
      </w:r>
      <w:r>
        <w:rPr>
          <w:sz w:val="20"/>
          <w:vertAlign w:val="baseline"/>
        </w:rPr>
        <w:t>estimate</w:t>
      </w:r>
      <w:r>
        <w:rPr>
          <w:spacing w:val="-2"/>
          <w:sz w:val="20"/>
          <w:vertAlign w:val="baseline"/>
        </w:rPr>
        <w:t> </w:t>
      </w:r>
      <w:r>
        <w:rPr>
          <w:sz w:val="20"/>
          <w:vertAlign w:val="baseline"/>
        </w:rPr>
        <w:t>of</w:t>
      </w:r>
      <w:r>
        <w:rPr>
          <w:spacing w:val="-2"/>
          <w:sz w:val="20"/>
          <w:vertAlign w:val="baseline"/>
        </w:rPr>
        <w:t> </w:t>
      </w:r>
      <w:r>
        <w:rPr>
          <w:sz w:val="20"/>
          <w:vertAlign w:val="baseline"/>
        </w:rPr>
        <w:t>$312</w:t>
      </w:r>
      <w:r>
        <w:rPr>
          <w:spacing w:val="-2"/>
          <w:sz w:val="20"/>
          <w:vertAlign w:val="baseline"/>
        </w:rPr>
        <w:t> </w:t>
      </w:r>
      <w:r>
        <w:rPr>
          <w:sz w:val="20"/>
          <w:vertAlign w:val="baseline"/>
        </w:rPr>
        <w:t>million</w:t>
      </w:r>
      <w:r>
        <w:rPr>
          <w:spacing w:val="-2"/>
          <w:sz w:val="20"/>
          <w:vertAlign w:val="baseline"/>
        </w:rPr>
        <w:t> </w:t>
      </w:r>
      <w:r>
        <w:rPr>
          <w:sz w:val="20"/>
          <w:vertAlign w:val="baseline"/>
        </w:rPr>
        <w:t>less</w:t>
      </w:r>
      <w:r>
        <w:rPr>
          <w:spacing w:val="-2"/>
          <w:sz w:val="20"/>
          <w:vertAlign w:val="baseline"/>
        </w:rPr>
        <w:t> </w:t>
      </w:r>
      <w:r>
        <w:rPr>
          <w:sz w:val="20"/>
          <w:vertAlign w:val="baseline"/>
        </w:rPr>
        <w:t>reduction</w:t>
      </w:r>
      <w:r>
        <w:rPr>
          <w:spacing w:val="-2"/>
          <w:sz w:val="20"/>
          <w:vertAlign w:val="baseline"/>
        </w:rPr>
        <w:t> </w:t>
      </w:r>
      <w:r>
        <w:rPr>
          <w:sz w:val="20"/>
          <w:vertAlign w:val="baseline"/>
        </w:rPr>
        <w:t>in</w:t>
      </w:r>
      <w:r>
        <w:rPr>
          <w:spacing w:val="-3"/>
          <w:sz w:val="20"/>
          <w:vertAlign w:val="baseline"/>
        </w:rPr>
        <w:t> </w:t>
      </w:r>
      <w:r>
        <w:rPr>
          <w:sz w:val="20"/>
          <w:vertAlign w:val="baseline"/>
        </w:rPr>
        <w:t>cost</w:t>
      </w:r>
      <w:r>
        <w:rPr>
          <w:spacing w:val="-2"/>
          <w:sz w:val="20"/>
          <w:vertAlign w:val="baseline"/>
        </w:rPr>
        <w:t> </w:t>
      </w:r>
      <w:r>
        <w:rPr>
          <w:sz w:val="20"/>
          <w:vertAlign w:val="baseline"/>
        </w:rPr>
        <w:t>of</w:t>
      </w:r>
      <w:r>
        <w:rPr>
          <w:spacing w:val="-2"/>
          <w:sz w:val="20"/>
          <w:vertAlign w:val="baseline"/>
        </w:rPr>
        <w:t> </w:t>
      </w:r>
      <w:r>
        <w:rPr>
          <w:sz w:val="20"/>
          <w:vertAlign w:val="baseline"/>
        </w:rPr>
        <w:t>$20</w:t>
      </w:r>
      <w:r>
        <w:rPr>
          <w:spacing w:val="-3"/>
          <w:sz w:val="20"/>
          <w:vertAlign w:val="baseline"/>
        </w:rPr>
        <w:t> </w:t>
      </w:r>
      <w:r>
        <w:rPr>
          <w:sz w:val="20"/>
          <w:vertAlign w:val="baseline"/>
        </w:rPr>
        <w:t>million</w:t>
      </w:r>
      <w:r>
        <w:rPr>
          <w:spacing w:val="-2"/>
          <w:sz w:val="20"/>
          <w:vertAlign w:val="baseline"/>
        </w:rPr>
        <w:t> </w:t>
      </w:r>
      <w:r>
        <w:rPr>
          <w:sz w:val="20"/>
          <w:vertAlign w:val="baseline"/>
        </w:rPr>
        <w:t>due</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operation of unjustifiable hardship provisions.</w:t>
      </w:r>
    </w:p>
    <w:p>
      <w:pPr>
        <w:spacing w:before="0"/>
        <w:ind w:left="420" w:right="811" w:hanging="1"/>
        <w:jc w:val="left"/>
        <w:rPr>
          <w:sz w:val="20"/>
        </w:rPr>
      </w:pPr>
      <w:r>
        <w:rPr>
          <w:sz w:val="20"/>
          <w:vertAlign w:val="superscript"/>
        </w:rPr>
        <w:t>74</w:t>
      </w:r>
      <w:r>
        <w:rPr>
          <w:spacing w:val="-2"/>
          <w:sz w:val="20"/>
          <w:vertAlign w:val="baseline"/>
        </w:rPr>
        <w:t> </w:t>
      </w:r>
      <w:r>
        <w:rPr>
          <w:sz w:val="20"/>
          <w:vertAlign w:val="baseline"/>
        </w:rPr>
        <w:t>Gross</w:t>
      </w:r>
      <w:r>
        <w:rPr>
          <w:spacing w:val="-2"/>
          <w:sz w:val="20"/>
          <w:vertAlign w:val="baseline"/>
        </w:rPr>
        <w:t> </w:t>
      </w:r>
      <w:r>
        <w:rPr>
          <w:sz w:val="20"/>
          <w:vertAlign w:val="baseline"/>
        </w:rPr>
        <w:t>cost</w:t>
      </w:r>
      <w:r>
        <w:rPr>
          <w:spacing w:val="-2"/>
          <w:sz w:val="20"/>
          <w:vertAlign w:val="baseline"/>
        </w:rPr>
        <w:t> </w:t>
      </w:r>
      <w:r>
        <w:rPr>
          <w:sz w:val="20"/>
          <w:vertAlign w:val="baseline"/>
        </w:rPr>
        <w:t>estimate</w:t>
      </w:r>
      <w:r>
        <w:rPr>
          <w:spacing w:val="-2"/>
          <w:sz w:val="20"/>
          <w:vertAlign w:val="baseline"/>
        </w:rPr>
        <w:t> </w:t>
      </w:r>
      <w:r>
        <w:rPr>
          <w:sz w:val="20"/>
          <w:vertAlign w:val="baseline"/>
        </w:rPr>
        <w:t>of</w:t>
      </w:r>
      <w:r>
        <w:rPr>
          <w:spacing w:val="-2"/>
          <w:sz w:val="20"/>
          <w:vertAlign w:val="baseline"/>
        </w:rPr>
        <w:t> </w:t>
      </w:r>
      <w:r>
        <w:rPr>
          <w:sz w:val="20"/>
          <w:vertAlign w:val="baseline"/>
        </w:rPr>
        <w:t>$312</w:t>
      </w:r>
      <w:r>
        <w:rPr>
          <w:spacing w:val="-2"/>
          <w:sz w:val="20"/>
          <w:vertAlign w:val="baseline"/>
        </w:rPr>
        <w:t> </w:t>
      </w:r>
      <w:r>
        <w:rPr>
          <w:sz w:val="20"/>
          <w:vertAlign w:val="baseline"/>
        </w:rPr>
        <w:t>million</w:t>
      </w:r>
      <w:r>
        <w:rPr>
          <w:spacing w:val="-2"/>
          <w:sz w:val="20"/>
          <w:vertAlign w:val="baseline"/>
        </w:rPr>
        <w:t> </w:t>
      </w:r>
      <w:r>
        <w:rPr>
          <w:sz w:val="20"/>
          <w:vertAlign w:val="baseline"/>
        </w:rPr>
        <w:t>less</w:t>
      </w:r>
      <w:r>
        <w:rPr>
          <w:spacing w:val="-2"/>
          <w:sz w:val="20"/>
          <w:vertAlign w:val="baseline"/>
        </w:rPr>
        <w:t> </w:t>
      </w:r>
      <w:r>
        <w:rPr>
          <w:sz w:val="20"/>
          <w:vertAlign w:val="baseline"/>
        </w:rPr>
        <w:t>reduction</w:t>
      </w:r>
      <w:r>
        <w:rPr>
          <w:spacing w:val="-2"/>
          <w:sz w:val="20"/>
          <w:vertAlign w:val="baseline"/>
        </w:rPr>
        <w:t> </w:t>
      </w:r>
      <w:r>
        <w:rPr>
          <w:sz w:val="20"/>
          <w:vertAlign w:val="baseline"/>
        </w:rPr>
        <w:t>in</w:t>
      </w:r>
      <w:r>
        <w:rPr>
          <w:spacing w:val="-3"/>
          <w:sz w:val="20"/>
          <w:vertAlign w:val="baseline"/>
        </w:rPr>
        <w:t> </w:t>
      </w:r>
      <w:r>
        <w:rPr>
          <w:sz w:val="20"/>
          <w:vertAlign w:val="baseline"/>
        </w:rPr>
        <w:t>cost</w:t>
      </w:r>
      <w:r>
        <w:rPr>
          <w:spacing w:val="-2"/>
          <w:sz w:val="20"/>
          <w:vertAlign w:val="baseline"/>
        </w:rPr>
        <w:t> </w:t>
      </w:r>
      <w:r>
        <w:rPr>
          <w:sz w:val="20"/>
          <w:vertAlign w:val="baseline"/>
        </w:rPr>
        <w:t>of</w:t>
      </w:r>
      <w:r>
        <w:rPr>
          <w:spacing w:val="-2"/>
          <w:sz w:val="20"/>
          <w:vertAlign w:val="baseline"/>
        </w:rPr>
        <w:t> </w:t>
      </w:r>
      <w:r>
        <w:rPr>
          <w:sz w:val="20"/>
          <w:vertAlign w:val="baseline"/>
        </w:rPr>
        <w:t>$20</w:t>
      </w:r>
      <w:r>
        <w:rPr>
          <w:spacing w:val="-3"/>
          <w:sz w:val="20"/>
          <w:vertAlign w:val="baseline"/>
        </w:rPr>
        <w:t> </w:t>
      </w:r>
      <w:r>
        <w:rPr>
          <w:sz w:val="20"/>
          <w:vertAlign w:val="baseline"/>
        </w:rPr>
        <w:t>million</w:t>
      </w:r>
      <w:r>
        <w:rPr>
          <w:spacing w:val="-2"/>
          <w:sz w:val="20"/>
          <w:vertAlign w:val="baseline"/>
        </w:rPr>
        <w:t> </w:t>
      </w:r>
      <w:r>
        <w:rPr>
          <w:sz w:val="20"/>
          <w:vertAlign w:val="baseline"/>
        </w:rPr>
        <w:t>due</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operation of unjustifiable hardship provisions.</w:t>
      </w:r>
    </w:p>
    <w:p>
      <w:pPr>
        <w:spacing w:before="0"/>
        <w:ind w:left="420" w:right="811" w:hanging="1"/>
        <w:jc w:val="left"/>
        <w:rPr>
          <w:sz w:val="20"/>
        </w:rPr>
      </w:pPr>
      <w:r>
        <w:rPr>
          <w:sz w:val="20"/>
          <w:vertAlign w:val="superscript"/>
        </w:rPr>
        <w:t>75</w:t>
      </w:r>
      <w:r>
        <w:rPr>
          <w:spacing w:val="-2"/>
          <w:sz w:val="20"/>
          <w:vertAlign w:val="baseline"/>
        </w:rPr>
        <w:t> </w:t>
      </w:r>
      <w:r>
        <w:rPr>
          <w:sz w:val="20"/>
          <w:vertAlign w:val="baseline"/>
        </w:rPr>
        <w:t>Gross</w:t>
      </w:r>
      <w:r>
        <w:rPr>
          <w:spacing w:val="-2"/>
          <w:sz w:val="20"/>
          <w:vertAlign w:val="baseline"/>
        </w:rPr>
        <w:t> </w:t>
      </w:r>
      <w:r>
        <w:rPr>
          <w:sz w:val="20"/>
          <w:vertAlign w:val="baseline"/>
        </w:rPr>
        <w:t>cost</w:t>
      </w:r>
      <w:r>
        <w:rPr>
          <w:spacing w:val="-2"/>
          <w:sz w:val="20"/>
          <w:vertAlign w:val="baseline"/>
        </w:rPr>
        <w:t> </w:t>
      </w:r>
      <w:r>
        <w:rPr>
          <w:sz w:val="20"/>
          <w:vertAlign w:val="baseline"/>
        </w:rPr>
        <w:t>estimate</w:t>
      </w:r>
      <w:r>
        <w:rPr>
          <w:spacing w:val="-2"/>
          <w:sz w:val="20"/>
          <w:vertAlign w:val="baseline"/>
        </w:rPr>
        <w:t> </w:t>
      </w:r>
      <w:r>
        <w:rPr>
          <w:sz w:val="20"/>
          <w:vertAlign w:val="baseline"/>
        </w:rPr>
        <w:t>of</w:t>
      </w:r>
      <w:r>
        <w:rPr>
          <w:spacing w:val="-2"/>
          <w:sz w:val="20"/>
          <w:vertAlign w:val="baseline"/>
        </w:rPr>
        <w:t> </w:t>
      </w:r>
      <w:r>
        <w:rPr>
          <w:sz w:val="20"/>
          <w:vertAlign w:val="baseline"/>
        </w:rPr>
        <w:t>$312</w:t>
      </w:r>
      <w:r>
        <w:rPr>
          <w:spacing w:val="-2"/>
          <w:sz w:val="20"/>
          <w:vertAlign w:val="baseline"/>
        </w:rPr>
        <w:t> </w:t>
      </w:r>
      <w:r>
        <w:rPr>
          <w:sz w:val="20"/>
          <w:vertAlign w:val="baseline"/>
        </w:rPr>
        <w:t>million</w:t>
      </w:r>
      <w:r>
        <w:rPr>
          <w:spacing w:val="-2"/>
          <w:sz w:val="20"/>
          <w:vertAlign w:val="baseline"/>
        </w:rPr>
        <w:t> </w:t>
      </w:r>
      <w:r>
        <w:rPr>
          <w:sz w:val="20"/>
          <w:vertAlign w:val="baseline"/>
        </w:rPr>
        <w:t>less</w:t>
      </w:r>
      <w:r>
        <w:rPr>
          <w:spacing w:val="-2"/>
          <w:sz w:val="20"/>
          <w:vertAlign w:val="baseline"/>
        </w:rPr>
        <w:t> </w:t>
      </w:r>
      <w:r>
        <w:rPr>
          <w:sz w:val="20"/>
          <w:vertAlign w:val="baseline"/>
        </w:rPr>
        <w:t>reduction</w:t>
      </w:r>
      <w:r>
        <w:rPr>
          <w:spacing w:val="-2"/>
          <w:sz w:val="20"/>
          <w:vertAlign w:val="baseline"/>
        </w:rPr>
        <w:t> </w:t>
      </w:r>
      <w:r>
        <w:rPr>
          <w:sz w:val="20"/>
          <w:vertAlign w:val="baseline"/>
        </w:rPr>
        <w:t>in</w:t>
      </w:r>
      <w:r>
        <w:rPr>
          <w:spacing w:val="-3"/>
          <w:sz w:val="20"/>
          <w:vertAlign w:val="baseline"/>
        </w:rPr>
        <w:t> </w:t>
      </w:r>
      <w:r>
        <w:rPr>
          <w:sz w:val="20"/>
          <w:vertAlign w:val="baseline"/>
        </w:rPr>
        <w:t>cost</w:t>
      </w:r>
      <w:r>
        <w:rPr>
          <w:spacing w:val="-2"/>
          <w:sz w:val="20"/>
          <w:vertAlign w:val="baseline"/>
        </w:rPr>
        <w:t> </w:t>
      </w:r>
      <w:r>
        <w:rPr>
          <w:sz w:val="20"/>
          <w:vertAlign w:val="baseline"/>
        </w:rPr>
        <w:t>of</w:t>
      </w:r>
      <w:r>
        <w:rPr>
          <w:spacing w:val="-2"/>
          <w:sz w:val="20"/>
          <w:vertAlign w:val="baseline"/>
        </w:rPr>
        <w:t> </w:t>
      </w:r>
      <w:r>
        <w:rPr>
          <w:sz w:val="20"/>
          <w:vertAlign w:val="baseline"/>
        </w:rPr>
        <w:t>$20</w:t>
      </w:r>
      <w:r>
        <w:rPr>
          <w:spacing w:val="-3"/>
          <w:sz w:val="20"/>
          <w:vertAlign w:val="baseline"/>
        </w:rPr>
        <w:t> </w:t>
      </w:r>
      <w:r>
        <w:rPr>
          <w:sz w:val="20"/>
          <w:vertAlign w:val="baseline"/>
        </w:rPr>
        <w:t>million</w:t>
      </w:r>
      <w:r>
        <w:rPr>
          <w:spacing w:val="-2"/>
          <w:sz w:val="20"/>
          <w:vertAlign w:val="baseline"/>
        </w:rPr>
        <w:t> </w:t>
      </w:r>
      <w:r>
        <w:rPr>
          <w:sz w:val="20"/>
          <w:vertAlign w:val="baseline"/>
        </w:rPr>
        <w:t>due</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operation of unjustifiable hardship provisions.</w:t>
      </w:r>
    </w:p>
    <w:p>
      <w:pPr>
        <w:spacing w:before="0"/>
        <w:ind w:left="420" w:right="0" w:firstLine="0"/>
        <w:jc w:val="left"/>
        <w:rPr>
          <w:sz w:val="20"/>
        </w:rPr>
      </w:pPr>
      <w:r>
        <w:rPr>
          <w:sz w:val="20"/>
          <w:vertAlign w:val="superscript"/>
        </w:rPr>
        <w:t>76</w:t>
      </w:r>
      <w:r>
        <w:rPr>
          <w:spacing w:val="35"/>
          <w:sz w:val="20"/>
          <w:vertAlign w:val="baseline"/>
        </w:rPr>
        <w:t> </w:t>
      </w:r>
      <w:r>
        <w:rPr>
          <w:sz w:val="20"/>
          <w:vertAlign w:val="baseline"/>
        </w:rPr>
        <w:t>All</w:t>
      </w:r>
      <w:r>
        <w:rPr>
          <w:spacing w:val="35"/>
          <w:sz w:val="20"/>
          <w:vertAlign w:val="baseline"/>
        </w:rPr>
        <w:t> </w:t>
      </w:r>
      <w:r>
        <w:rPr>
          <w:sz w:val="20"/>
          <w:vertAlign w:val="baseline"/>
        </w:rPr>
        <w:t>annual</w:t>
      </w:r>
      <w:r>
        <w:rPr>
          <w:spacing w:val="35"/>
          <w:sz w:val="20"/>
          <w:vertAlign w:val="baseline"/>
        </w:rPr>
        <w:t> </w:t>
      </w:r>
      <w:r>
        <w:rPr>
          <w:sz w:val="20"/>
          <w:vertAlign w:val="baseline"/>
        </w:rPr>
        <w:t>figures</w:t>
      </w:r>
      <w:r>
        <w:rPr>
          <w:spacing w:val="35"/>
          <w:sz w:val="20"/>
          <w:vertAlign w:val="baseline"/>
        </w:rPr>
        <w:t> </w:t>
      </w:r>
      <w:r>
        <w:rPr>
          <w:sz w:val="20"/>
          <w:vertAlign w:val="baseline"/>
        </w:rPr>
        <w:t>contained</w:t>
      </w:r>
      <w:r>
        <w:rPr>
          <w:spacing w:val="35"/>
          <w:sz w:val="20"/>
          <w:vertAlign w:val="baseline"/>
        </w:rPr>
        <w:t> </w:t>
      </w:r>
      <w:r>
        <w:rPr>
          <w:sz w:val="20"/>
          <w:vertAlign w:val="baseline"/>
        </w:rPr>
        <w:t>in</w:t>
      </w:r>
      <w:r>
        <w:rPr>
          <w:spacing w:val="35"/>
          <w:sz w:val="20"/>
          <w:vertAlign w:val="baseline"/>
        </w:rPr>
        <w:t> </w:t>
      </w:r>
      <w:r>
        <w:rPr>
          <w:sz w:val="20"/>
          <w:vertAlign w:val="baseline"/>
        </w:rPr>
        <w:t>this</w:t>
      </w:r>
      <w:r>
        <w:rPr>
          <w:spacing w:val="36"/>
          <w:sz w:val="20"/>
          <w:vertAlign w:val="baseline"/>
        </w:rPr>
        <w:t> </w:t>
      </w:r>
      <w:r>
        <w:rPr>
          <w:sz w:val="20"/>
          <w:vertAlign w:val="baseline"/>
        </w:rPr>
        <w:t>table</w:t>
      </w:r>
      <w:r>
        <w:rPr>
          <w:spacing w:val="35"/>
          <w:sz w:val="20"/>
          <w:vertAlign w:val="baseline"/>
        </w:rPr>
        <w:t> </w:t>
      </w:r>
      <w:r>
        <w:rPr>
          <w:sz w:val="20"/>
          <w:vertAlign w:val="baseline"/>
        </w:rPr>
        <w:t>constitute</w:t>
      </w:r>
      <w:r>
        <w:rPr>
          <w:spacing w:val="35"/>
          <w:sz w:val="20"/>
          <w:vertAlign w:val="baseline"/>
        </w:rPr>
        <w:t> </w:t>
      </w:r>
      <w:r>
        <w:rPr>
          <w:sz w:val="20"/>
          <w:vertAlign w:val="baseline"/>
        </w:rPr>
        <w:t>“steady</w:t>
      </w:r>
      <w:r>
        <w:rPr>
          <w:spacing w:val="36"/>
          <w:sz w:val="20"/>
          <w:vertAlign w:val="baseline"/>
        </w:rPr>
        <w:t> </w:t>
      </w:r>
      <w:r>
        <w:rPr>
          <w:sz w:val="20"/>
          <w:vertAlign w:val="baseline"/>
        </w:rPr>
        <w:t>state”</w:t>
      </w:r>
      <w:r>
        <w:rPr>
          <w:spacing w:val="35"/>
          <w:sz w:val="20"/>
          <w:vertAlign w:val="baseline"/>
        </w:rPr>
        <w:t> </w:t>
      </w:r>
      <w:r>
        <w:rPr>
          <w:sz w:val="20"/>
          <w:vertAlign w:val="baseline"/>
        </w:rPr>
        <w:t>estimates</w:t>
      </w:r>
      <w:r>
        <w:rPr>
          <w:spacing w:val="35"/>
          <w:sz w:val="20"/>
          <w:vertAlign w:val="baseline"/>
        </w:rPr>
        <w:t> </w:t>
      </w:r>
      <w:r>
        <w:rPr>
          <w:sz w:val="20"/>
          <w:vertAlign w:val="baseline"/>
        </w:rPr>
        <w:t>–</w:t>
      </w:r>
      <w:r>
        <w:rPr>
          <w:spacing w:val="35"/>
          <w:sz w:val="20"/>
          <w:vertAlign w:val="baseline"/>
        </w:rPr>
        <w:t> </w:t>
      </w:r>
      <w:r>
        <w:rPr>
          <w:sz w:val="20"/>
          <w:vertAlign w:val="baseline"/>
        </w:rPr>
        <w:t>i.e.</w:t>
      </w:r>
      <w:r>
        <w:rPr>
          <w:spacing w:val="35"/>
          <w:sz w:val="20"/>
          <w:vertAlign w:val="baseline"/>
        </w:rPr>
        <w:t> </w:t>
      </w:r>
      <w:r>
        <w:rPr>
          <w:spacing w:val="-4"/>
          <w:sz w:val="20"/>
          <w:vertAlign w:val="baseline"/>
        </w:rPr>
        <w:t>they</w:t>
      </w:r>
    </w:p>
    <w:p>
      <w:pPr>
        <w:spacing w:after="0"/>
        <w:jc w:val="left"/>
        <w:rPr>
          <w:sz w:val="20"/>
        </w:rPr>
        <w:sectPr>
          <w:pgSz w:w="11900" w:h="16840"/>
          <w:pgMar w:header="0" w:footer="2098" w:top="1080" w:bottom="2280" w:left="1380" w:right="980"/>
        </w:sectPr>
      </w:pPr>
    </w:p>
    <w:p>
      <w:pPr>
        <w:pStyle w:val="Heading2"/>
        <w:numPr>
          <w:ilvl w:val="1"/>
          <w:numId w:val="25"/>
        </w:numPr>
        <w:tabs>
          <w:tab w:pos="1141" w:val="left" w:leader="none"/>
        </w:tabs>
        <w:spacing w:line="240" w:lineRule="auto" w:before="73" w:after="0"/>
        <w:ind w:left="1140" w:right="0" w:hanging="721"/>
        <w:jc w:val="both"/>
        <w:rPr>
          <w:i/>
        </w:rPr>
      </w:pPr>
      <w:bookmarkStart w:name="_TOC_250012" w:id="115"/>
      <w:bookmarkStart w:name="10.4 Sensitivity analyses" w:id="116"/>
      <w:r>
        <w:rPr>
          <w:i/>
        </w:rPr>
        <w:t>Sensitivity</w:t>
      </w:r>
      <w:r>
        <w:rPr>
          <w:i/>
          <w:spacing w:val="-16"/>
        </w:rPr>
        <w:t> </w:t>
      </w:r>
      <w:bookmarkEnd w:id="115"/>
      <w:r>
        <w:rPr>
          <w:i/>
          <w:spacing w:val="-2"/>
        </w:rPr>
        <w:t>analyses</w:t>
      </w:r>
    </w:p>
    <w:p>
      <w:pPr>
        <w:pStyle w:val="BodyText"/>
        <w:rPr>
          <w:b/>
          <w:i/>
          <w:sz w:val="29"/>
        </w:rPr>
      </w:pPr>
    </w:p>
    <w:p>
      <w:pPr>
        <w:pStyle w:val="BodyText"/>
        <w:spacing w:before="1"/>
        <w:ind w:left="419" w:right="809"/>
        <w:jc w:val="both"/>
      </w:pPr>
      <w:r>
        <w:rPr/>
        <w:t>Where significant uncertainties surround key values or assumptions used in benefit cost analysis, it is necessary to undertake sensitivity testing in order to verify the robustness of the analytical results.</w:t>
      </w:r>
      <w:r>
        <w:rPr>
          <w:spacing w:val="40"/>
        </w:rPr>
        <w:t> </w:t>
      </w:r>
      <w:r>
        <w:rPr/>
        <w:t>Sensitivity testing must be undertaken with regard to those variables that have the greatest potential impact on the outcome of the analysis and those which demonstrate the greatest degree of uncertainty, or about which there are the most highly contested views.</w:t>
      </w:r>
      <w:r>
        <w:rPr>
          <w:spacing w:val="80"/>
        </w:rPr>
        <w:t> </w:t>
      </w:r>
      <w:r>
        <w:rPr/>
        <w:t>Several sensitivity analyses have been carried out in</w:t>
      </w:r>
      <w:r>
        <w:rPr>
          <w:spacing w:val="40"/>
        </w:rPr>
        <w:t> </w:t>
      </w:r>
      <w:r>
        <w:rPr/>
        <w:t>relation to the proposed Premises Standards.</w:t>
      </w:r>
      <w:r>
        <w:rPr>
          <w:spacing w:val="40"/>
        </w:rPr>
        <w:t> </w:t>
      </w:r>
      <w:r>
        <w:rPr/>
        <w:t>The basis for choosing these variables for testing, and the alternative values adopted are discussed below, as well as the results of substituting these alternative values.</w:t>
      </w:r>
    </w:p>
    <w:p>
      <w:pPr>
        <w:pStyle w:val="BodyText"/>
        <w:spacing w:before="1"/>
        <w:rPr>
          <w:sz w:val="21"/>
        </w:rPr>
      </w:pPr>
    </w:p>
    <w:p>
      <w:pPr>
        <w:pStyle w:val="Heading3"/>
        <w:numPr>
          <w:ilvl w:val="2"/>
          <w:numId w:val="38"/>
        </w:numPr>
        <w:tabs>
          <w:tab w:pos="1861" w:val="left" w:leader="none"/>
        </w:tabs>
        <w:spacing w:line="240" w:lineRule="auto" w:before="0" w:after="0"/>
        <w:ind w:left="1860" w:right="0" w:hanging="1441"/>
        <w:jc w:val="both"/>
      </w:pPr>
      <w:bookmarkStart w:name="10.4.1 Varying the discount rate" w:id="117"/>
      <w:bookmarkEnd w:id="117"/>
      <w:r>
        <w:rPr/>
        <w:t>Var</w:t>
      </w:r>
      <w:r>
        <w:rPr/>
        <w:t>ying</w:t>
      </w:r>
      <w:r>
        <w:rPr>
          <w:spacing w:val="-4"/>
        </w:rPr>
        <w:t> </w:t>
      </w:r>
      <w:r>
        <w:rPr/>
        <w:t>the</w:t>
      </w:r>
      <w:r>
        <w:rPr>
          <w:spacing w:val="-2"/>
        </w:rPr>
        <w:t> </w:t>
      </w:r>
      <w:r>
        <w:rPr/>
        <w:t>discount</w:t>
      </w:r>
      <w:r>
        <w:rPr>
          <w:spacing w:val="-2"/>
        </w:rPr>
        <w:t> </w:t>
      </w:r>
      <w:r>
        <w:rPr>
          <w:spacing w:val="-4"/>
        </w:rPr>
        <w:t>rate</w:t>
      </w:r>
    </w:p>
    <w:p>
      <w:pPr>
        <w:pStyle w:val="BodyText"/>
        <w:spacing w:before="57"/>
        <w:ind w:left="419" w:right="811"/>
        <w:jc w:val="both"/>
      </w:pPr>
      <w:r>
        <w:rPr/>
        <w:t>As with the majority of regulatory proposals, a greater proportion of the expected costs of the proposed Premises Standards occur in the earlier years after implementation, while more of the benefits are delayed toward the later years.</w:t>
      </w:r>
      <w:r>
        <w:rPr>
          <w:spacing w:val="-3"/>
        </w:rPr>
        <w:t> </w:t>
      </w:r>
      <w:r>
        <w:rPr/>
        <w:t>Any</w:t>
      </w:r>
      <w:r>
        <w:rPr>
          <w:spacing w:val="-3"/>
        </w:rPr>
        <w:t> </w:t>
      </w:r>
      <w:r>
        <w:rPr/>
        <w:t>project</w:t>
      </w:r>
      <w:r>
        <w:rPr>
          <w:spacing w:val="-3"/>
        </w:rPr>
        <w:t> </w:t>
      </w:r>
      <w:r>
        <w:rPr/>
        <w:t>or</w:t>
      </w:r>
      <w:r>
        <w:rPr>
          <w:spacing w:val="-3"/>
        </w:rPr>
        <w:t> </w:t>
      </w:r>
      <w:r>
        <w:rPr/>
        <w:t>regulation</w:t>
      </w:r>
      <w:r>
        <w:rPr>
          <w:spacing w:val="-3"/>
        </w:rPr>
        <w:t> </w:t>
      </w:r>
      <w:r>
        <w:rPr/>
        <w:t>that</w:t>
      </w:r>
      <w:r>
        <w:rPr>
          <w:spacing w:val="-3"/>
        </w:rPr>
        <w:t> </w:t>
      </w:r>
      <w:r>
        <w:rPr/>
        <w:t>demonstrates</w:t>
      </w:r>
      <w:r>
        <w:rPr>
          <w:spacing w:val="-3"/>
        </w:rPr>
        <w:t> </w:t>
      </w:r>
      <w:r>
        <w:rPr/>
        <w:t>this</w:t>
      </w:r>
      <w:r>
        <w:rPr>
          <w:spacing w:val="-3"/>
        </w:rPr>
        <w:t> </w:t>
      </w:r>
      <w:r>
        <w:rPr/>
        <w:t>pattern;</w:t>
      </w:r>
      <w:r>
        <w:rPr>
          <w:spacing w:val="-3"/>
        </w:rPr>
        <w:t> </w:t>
      </w:r>
      <w:r>
        <w:rPr/>
        <w:t>that</w:t>
      </w:r>
      <w:r>
        <w:rPr>
          <w:spacing w:val="-3"/>
        </w:rPr>
        <w:t> </w:t>
      </w:r>
      <w:r>
        <w:rPr/>
        <w:t>is,</w:t>
      </w:r>
      <w:r>
        <w:rPr>
          <w:spacing w:val="-3"/>
        </w:rPr>
        <w:t> </w:t>
      </w:r>
      <w:r>
        <w:rPr/>
        <w:t>of</w:t>
      </w:r>
      <w:r>
        <w:rPr>
          <w:spacing w:val="-3"/>
        </w:rPr>
        <w:t> </w:t>
      </w:r>
      <w:r>
        <w:rPr/>
        <w:t>costs preceding benefits in relative terms, will also show higher net present value outcomes at lower discount rates and vice versa.</w:t>
      </w:r>
    </w:p>
    <w:p>
      <w:pPr>
        <w:pStyle w:val="BodyText"/>
      </w:pPr>
    </w:p>
    <w:p>
      <w:pPr>
        <w:pStyle w:val="BodyText"/>
        <w:ind w:left="419" w:right="810"/>
        <w:jc w:val="both"/>
      </w:pPr>
      <w:r>
        <w:rPr/>
        <w:t>As noted earlier, the base case benefit cost analysis uses a real discount rate of 4%, with the OBPR-approved 7% rate shown in brackets throughout this RIS, The use of the 7% rate has the added effect of providing a sensitivity analysis on the original rate. Additionally, further sensitivity testing is undertaken based on an alternative real interest rate of 11%. This rate is considered to be toward the upper end of plausible discount rates.</w:t>
      </w:r>
    </w:p>
    <w:p>
      <w:pPr>
        <w:pStyle w:val="BodyText"/>
      </w:pPr>
    </w:p>
    <w:p>
      <w:pPr>
        <w:pStyle w:val="BodyText"/>
        <w:ind w:left="419" w:right="811"/>
        <w:jc w:val="both"/>
      </w:pPr>
      <w:r>
        <w:rPr/>
        <w:t>We note that adopting a 7% real discount rate inevitably decreases the present value of both the benefits and costs accruing as a result of the adoption of the Premises Standards. However, the benefits are decreased by a larger amount than the costs, due to the fact that a larger proportion of them are expected to occur further into the future.</w:t>
      </w:r>
    </w:p>
    <w:p>
      <w:pPr>
        <w:pStyle w:val="BodyText"/>
      </w:pPr>
    </w:p>
    <w:p>
      <w:pPr>
        <w:pStyle w:val="BodyText"/>
        <w:spacing w:before="1"/>
        <w:ind w:left="419" w:right="812"/>
        <w:jc w:val="both"/>
      </w:pPr>
      <w:r>
        <w:rPr/>
        <w:t>At a 7% real discount rate, the present value of the benefits, as shown in Table 15 above, is $7.3 billion, while the present value of the costs is $6.9 billion. The net present value is $0.4 billion and the benefits/cost ratio is </w:t>
      </w:r>
      <w:r>
        <w:rPr>
          <w:spacing w:val="-2"/>
        </w:rPr>
        <w:t>1.05:1.</w:t>
      </w:r>
    </w:p>
    <w:p>
      <w:pPr>
        <w:pStyle w:val="BodyText"/>
        <w:spacing w:before="11"/>
        <w:rPr>
          <w:sz w:val="23"/>
        </w:rPr>
      </w:pPr>
    </w:p>
    <w:p>
      <w:pPr>
        <w:pStyle w:val="BodyText"/>
        <w:ind w:left="419" w:right="811"/>
        <w:jc w:val="both"/>
      </w:pPr>
      <w:r>
        <w:rPr/>
        <w:t>Adoption of a 7% real discount rate for the base case analysis will have the impact of substantially lowering the NPV of the proposal (i.e. $0.4 billion</w:t>
      </w:r>
      <w:r>
        <w:rPr>
          <w:spacing w:val="40"/>
        </w:rPr>
        <w:t> </w:t>
      </w:r>
      <w:r>
        <w:rPr/>
        <w:t>rather than $1.9 billion). The benefits/cost ratio will also be somewhat reduced, from 1.24:1 to 1.05:1.</w:t>
      </w:r>
    </w:p>
    <w:p>
      <w:pPr>
        <w:pStyle w:val="BodyText"/>
      </w:pPr>
    </w:p>
    <w:p>
      <w:pPr>
        <w:pStyle w:val="BodyText"/>
        <w:ind w:left="419" w:right="813"/>
        <w:jc w:val="both"/>
      </w:pPr>
      <w:r>
        <w:rPr/>
        <w:t>At an 11% real discount rate, the present value of the benefits as shown is reduced to $4.5 billion while the present value of the costs is $5.5 billion. Thus, the NPV of the Standards under this scenario is $1.0 billion with a benefit/cost ratio of 0.82:1.</w:t>
      </w:r>
    </w:p>
    <w:p>
      <w:pPr>
        <w:spacing w:after="0"/>
        <w:jc w:val="both"/>
        <w:sectPr>
          <w:footerReference w:type="default" r:id="rId23"/>
          <w:pgSz w:w="11900" w:h="16840"/>
          <w:pgMar w:footer="1130" w:header="0" w:top="1520" w:bottom="1320" w:left="1380" w:right="980"/>
        </w:sectPr>
      </w:pPr>
    </w:p>
    <w:p>
      <w:pPr>
        <w:pStyle w:val="BodyText"/>
        <w:spacing w:before="75"/>
        <w:ind w:left="419" w:right="810"/>
        <w:jc w:val="both"/>
      </w:pPr>
      <w:r>
        <w:rPr/>
        <w:t>As noted earlier, the OBPR recommend a discount rate of 7%, while the only other OBPR-equivalent organisation that specifically recommends a particular discount</w:t>
      </w:r>
      <w:r>
        <w:rPr/>
        <w:t> rate</w:t>
      </w:r>
      <w:r>
        <w:rPr/>
        <w:t> to</w:t>
      </w:r>
      <w:r>
        <w:rPr/>
        <w:t> be</w:t>
      </w:r>
      <w:r>
        <w:rPr/>
        <w:t> used</w:t>
      </w:r>
      <w:r>
        <w:rPr/>
        <w:t> for</w:t>
      </w:r>
      <w:r>
        <w:rPr/>
        <w:t> base</w:t>
      </w:r>
      <w:r>
        <w:rPr/>
        <w:t> case</w:t>
      </w:r>
      <w:r>
        <w:rPr/>
        <w:t> regulations</w:t>
      </w:r>
      <w:r>
        <w:rPr/>
        <w:t> (VCEC)</w:t>
      </w:r>
      <w:r>
        <w:rPr/>
        <w:t> recommends</w:t>
      </w:r>
      <w:r>
        <w:rPr/>
        <w:t> a</w:t>
      </w:r>
      <w:r>
        <w:rPr>
          <w:spacing w:val="40"/>
        </w:rPr>
        <w:t> </w:t>
      </w:r>
      <w:r>
        <w:rPr/>
        <w:t>rate of 3.5%. Thus, the 4% discount rate scenario should, at least arguably,</w:t>
      </w:r>
      <w:r>
        <w:rPr>
          <w:spacing w:val="40"/>
        </w:rPr>
        <w:t> </w:t>
      </w:r>
      <w:r>
        <w:rPr/>
        <w:t>be</w:t>
      </w:r>
      <w:r>
        <w:rPr>
          <w:spacing w:val="-3"/>
        </w:rPr>
        <w:t> </w:t>
      </w:r>
      <w:r>
        <w:rPr/>
        <w:t>given</w:t>
      </w:r>
      <w:r>
        <w:rPr>
          <w:spacing w:val="-3"/>
        </w:rPr>
        <w:t> </w:t>
      </w:r>
      <w:r>
        <w:rPr/>
        <w:t>more</w:t>
      </w:r>
      <w:r>
        <w:rPr>
          <w:spacing w:val="-3"/>
        </w:rPr>
        <w:t> </w:t>
      </w:r>
      <w:r>
        <w:rPr/>
        <w:t>or</w:t>
      </w:r>
      <w:r>
        <w:rPr>
          <w:spacing w:val="-3"/>
        </w:rPr>
        <w:t> </w:t>
      </w:r>
      <w:r>
        <w:rPr/>
        <w:t>less</w:t>
      </w:r>
      <w:r>
        <w:rPr>
          <w:spacing w:val="-3"/>
        </w:rPr>
        <w:t> </w:t>
      </w:r>
      <w:r>
        <w:rPr/>
        <w:t>equal</w:t>
      </w:r>
      <w:r>
        <w:rPr>
          <w:spacing w:val="-3"/>
        </w:rPr>
        <w:t> </w:t>
      </w:r>
      <w:r>
        <w:rPr/>
        <w:t>weight</w:t>
      </w:r>
      <w:r>
        <w:rPr>
          <w:spacing w:val="-3"/>
        </w:rPr>
        <w:t> </w:t>
      </w:r>
      <w:r>
        <w:rPr/>
        <w:t>to</w:t>
      </w:r>
      <w:r>
        <w:rPr>
          <w:spacing w:val="-3"/>
        </w:rPr>
        <w:t> </w:t>
      </w:r>
      <w:r>
        <w:rPr/>
        <w:t>the</w:t>
      </w:r>
      <w:r>
        <w:rPr>
          <w:spacing w:val="-3"/>
        </w:rPr>
        <w:t> </w:t>
      </w:r>
      <w:r>
        <w:rPr/>
        <w:t>7%</w:t>
      </w:r>
      <w:r>
        <w:rPr>
          <w:spacing w:val="-3"/>
        </w:rPr>
        <w:t> </w:t>
      </w:r>
      <w:r>
        <w:rPr/>
        <w:t>discount</w:t>
      </w:r>
      <w:r>
        <w:rPr>
          <w:spacing w:val="-1"/>
        </w:rPr>
        <w:t> </w:t>
      </w:r>
      <w:r>
        <w:rPr/>
        <w:t>rate</w:t>
      </w:r>
      <w:r>
        <w:rPr>
          <w:spacing w:val="-3"/>
        </w:rPr>
        <w:t> </w:t>
      </w:r>
      <w:r>
        <w:rPr/>
        <w:t>scenario.</w:t>
      </w:r>
      <w:r>
        <w:rPr>
          <w:spacing w:val="-3"/>
        </w:rPr>
        <w:t> </w:t>
      </w:r>
      <w:r>
        <w:rPr/>
        <w:t>The</w:t>
      </w:r>
      <w:r>
        <w:rPr>
          <w:spacing w:val="-3"/>
        </w:rPr>
        <w:t> </w:t>
      </w:r>
      <w:r>
        <w:rPr/>
        <w:t>11% discount rate scenario is slightly outside the range of discount rates on recommended internationally in the context of the conduct of regulatory</w:t>
      </w:r>
      <w:r>
        <w:rPr>
          <w:spacing w:val="40"/>
        </w:rPr>
        <w:t> </w:t>
      </w:r>
      <w:r>
        <w:rPr/>
        <w:t>impact analysis and, as a result, this scenario should be given a relatively limited weight.</w:t>
      </w:r>
    </w:p>
    <w:p>
      <w:pPr>
        <w:pStyle w:val="BodyText"/>
      </w:pPr>
    </w:p>
    <w:p>
      <w:pPr>
        <w:pStyle w:val="BodyText"/>
        <w:spacing w:before="1"/>
        <w:ind w:left="419" w:right="811"/>
        <w:jc w:val="both"/>
      </w:pPr>
      <w:r>
        <w:rPr/>
        <w:t>It can also be noted that the outcomes of the benefit/cost analysis are not unduly sensitive to even quite large changes in the discount rate used. As demonstrated above, changing the discount rate from 4% to 11% reduces the benefit/cost ratio by only a relatively small amount: i.e. from 1.23:1 to 0.82:1.</w:t>
      </w:r>
    </w:p>
    <w:p>
      <w:pPr>
        <w:pStyle w:val="BodyText"/>
      </w:pPr>
    </w:p>
    <w:p>
      <w:pPr>
        <w:pStyle w:val="BodyText"/>
        <w:ind w:left="420" w:right="810"/>
        <w:jc w:val="both"/>
      </w:pPr>
      <w:r>
        <w:rPr/>
        <w:t>It</w:t>
      </w:r>
      <w:r>
        <w:rPr>
          <w:spacing w:val="-2"/>
        </w:rPr>
        <w:t> </w:t>
      </w:r>
      <w:r>
        <w:rPr/>
        <w:t>can</w:t>
      </w:r>
      <w:r>
        <w:rPr>
          <w:spacing w:val="-2"/>
        </w:rPr>
        <w:t> </w:t>
      </w:r>
      <w:r>
        <w:rPr/>
        <w:t>therefore</w:t>
      </w:r>
      <w:r>
        <w:rPr>
          <w:spacing w:val="-2"/>
        </w:rPr>
        <w:t> </w:t>
      </w:r>
      <w:r>
        <w:rPr/>
        <w:t>be</w:t>
      </w:r>
      <w:r>
        <w:rPr>
          <w:spacing w:val="-2"/>
        </w:rPr>
        <w:t> </w:t>
      </w:r>
      <w:r>
        <w:rPr/>
        <w:t>concluded</w:t>
      </w:r>
      <w:r>
        <w:rPr>
          <w:spacing w:val="-2"/>
        </w:rPr>
        <w:t> </w:t>
      </w:r>
      <w:r>
        <w:rPr/>
        <w:t>that the</w:t>
      </w:r>
      <w:r>
        <w:rPr>
          <w:spacing w:val="-2"/>
        </w:rPr>
        <w:t> </w:t>
      </w:r>
      <w:r>
        <w:rPr/>
        <w:t>impact</w:t>
      </w:r>
      <w:r>
        <w:rPr>
          <w:spacing w:val="-2"/>
        </w:rPr>
        <w:t> </w:t>
      </w:r>
      <w:r>
        <w:rPr/>
        <w:t>of</w:t>
      </w:r>
      <w:r>
        <w:rPr>
          <w:spacing w:val="-2"/>
        </w:rPr>
        <w:t> </w:t>
      </w:r>
      <w:r>
        <w:rPr/>
        <w:t>the</w:t>
      </w:r>
      <w:r>
        <w:rPr>
          <w:spacing w:val="-2"/>
        </w:rPr>
        <w:t> </w:t>
      </w:r>
      <w:r>
        <w:rPr/>
        <w:t>proposed</w:t>
      </w:r>
      <w:r>
        <w:rPr>
          <w:spacing w:val="-2"/>
        </w:rPr>
        <w:t> </w:t>
      </w:r>
      <w:r>
        <w:rPr/>
        <w:t>Standards</w:t>
      </w:r>
      <w:r>
        <w:rPr>
          <w:spacing w:val="-2"/>
        </w:rPr>
        <w:t> </w:t>
      </w:r>
      <w:r>
        <w:rPr/>
        <w:t>is</w:t>
      </w:r>
      <w:r>
        <w:rPr>
          <w:spacing w:val="-2"/>
        </w:rPr>
        <w:t> </w:t>
      </w:r>
      <w:r>
        <w:rPr/>
        <w:t>not particularly sensitive to the discount rate employed.</w:t>
      </w:r>
      <w:r>
        <w:rPr>
          <w:spacing w:val="40"/>
        </w:rPr>
        <w:t> </w:t>
      </w:r>
      <w:r>
        <w:rPr/>
        <w:t>To the extent that the benefit cost ratio is reduced when a high discount rate is adopted, reflects the fact that a higher proportion of the costs associated with the Standards are incurred in earlier years, whereas proportionately more of the benefits are obtained in later years.</w:t>
      </w:r>
    </w:p>
    <w:p>
      <w:pPr>
        <w:pStyle w:val="BodyText"/>
        <w:spacing w:before="1"/>
        <w:rPr>
          <w:sz w:val="21"/>
        </w:rPr>
      </w:pPr>
    </w:p>
    <w:p>
      <w:pPr>
        <w:pStyle w:val="Heading3"/>
        <w:numPr>
          <w:ilvl w:val="2"/>
          <w:numId w:val="38"/>
        </w:numPr>
        <w:tabs>
          <w:tab w:pos="1860" w:val="left" w:leader="none"/>
          <w:tab w:pos="1861" w:val="left" w:leader="none"/>
        </w:tabs>
        <w:spacing w:line="240" w:lineRule="auto" w:before="0" w:after="0"/>
        <w:ind w:left="1860" w:right="0" w:hanging="1441"/>
        <w:jc w:val="left"/>
      </w:pPr>
      <w:bookmarkStart w:name="10.4.2 Other Sensitivity Analyses" w:id="118"/>
      <w:bookmarkEnd w:id="118"/>
      <w:r>
        <w:rPr/>
        <w:t>Othe</w:t>
      </w:r>
      <w:r>
        <w:rPr/>
        <w:t>r</w:t>
      </w:r>
      <w:r>
        <w:rPr>
          <w:spacing w:val="-9"/>
        </w:rPr>
        <w:t> </w:t>
      </w:r>
      <w:r>
        <w:rPr/>
        <w:t>Sensitivity</w:t>
      </w:r>
      <w:r>
        <w:rPr>
          <w:spacing w:val="-8"/>
        </w:rPr>
        <w:t> </w:t>
      </w:r>
      <w:r>
        <w:rPr>
          <w:spacing w:val="-2"/>
        </w:rPr>
        <w:t>Analyses</w:t>
      </w:r>
    </w:p>
    <w:p>
      <w:pPr>
        <w:pStyle w:val="BodyText"/>
        <w:spacing w:before="57"/>
        <w:ind w:left="420"/>
        <w:jc w:val="both"/>
      </w:pPr>
      <w:r>
        <w:rPr/>
        <w:t>Additional</w:t>
      </w:r>
      <w:r>
        <w:rPr>
          <w:spacing w:val="-6"/>
        </w:rPr>
        <w:t> </w:t>
      </w:r>
      <w:r>
        <w:rPr/>
        <w:t>sensitivities</w:t>
      </w:r>
      <w:r>
        <w:rPr>
          <w:spacing w:val="-4"/>
        </w:rPr>
        <w:t> </w:t>
      </w:r>
      <w:r>
        <w:rPr/>
        <w:t>have</w:t>
      </w:r>
      <w:r>
        <w:rPr>
          <w:spacing w:val="-5"/>
        </w:rPr>
        <w:t> </w:t>
      </w:r>
      <w:r>
        <w:rPr/>
        <w:t>been</w:t>
      </w:r>
      <w:r>
        <w:rPr>
          <w:spacing w:val="-6"/>
        </w:rPr>
        <w:t> </w:t>
      </w:r>
      <w:r>
        <w:rPr/>
        <w:t>run</w:t>
      </w:r>
      <w:r>
        <w:rPr>
          <w:spacing w:val="-6"/>
        </w:rPr>
        <w:t> </w:t>
      </w:r>
      <w:r>
        <w:rPr/>
        <w:t>on</w:t>
      </w:r>
      <w:r>
        <w:rPr>
          <w:spacing w:val="-5"/>
        </w:rPr>
        <w:t> </w:t>
      </w:r>
      <w:r>
        <w:rPr/>
        <w:t>different</w:t>
      </w:r>
      <w:r>
        <w:rPr>
          <w:spacing w:val="-6"/>
        </w:rPr>
        <w:t> </w:t>
      </w:r>
      <w:r>
        <w:rPr/>
        <w:t>discount</w:t>
      </w:r>
      <w:r>
        <w:rPr>
          <w:spacing w:val="-5"/>
        </w:rPr>
        <w:t> </w:t>
      </w:r>
      <w:r>
        <w:rPr>
          <w:spacing w:val="-2"/>
        </w:rPr>
        <w:t>rates:</w:t>
      </w:r>
    </w:p>
    <w:p>
      <w:pPr>
        <w:pStyle w:val="BodyText"/>
      </w:pPr>
    </w:p>
    <w:p>
      <w:pPr>
        <w:pStyle w:val="BodyText"/>
        <w:ind w:left="419" w:right="811"/>
        <w:jc w:val="both"/>
      </w:pPr>
      <w:r>
        <w:rPr/>
        <w:t>The first pair of these sensitivity tests looks at the impact of changes in the assumed quantity of lost net lettable area (NLA) in existing buildings that are upgraded in accordance with the proposed Standards. The first of these tests double the base case estimate, from 2% to 4%, while the second halves this estimate, to 1%. Note that the figures here reflect the 2008 proposal as calculated above. Details regarding the 2009 amendment are located in Appendix D.</w:t>
      </w:r>
    </w:p>
    <w:p>
      <w:pPr>
        <w:pStyle w:val="BodyText"/>
      </w:pPr>
    </w:p>
    <w:p>
      <w:pPr>
        <w:pStyle w:val="BodyText"/>
        <w:ind w:left="419" w:right="812"/>
        <w:jc w:val="both"/>
      </w:pPr>
      <w:r>
        <w:rPr/>
        <w:t>The present value outcomes are shown to be relatively sensitive to changes</w:t>
      </w:r>
      <w:r>
        <w:rPr>
          <w:spacing w:val="40"/>
        </w:rPr>
        <w:t> </w:t>
      </w:r>
      <w:r>
        <w:rPr/>
        <w:t>in this variable. Doubling the NLA to 4% yields a negative NPV of $0.5 ($1.6) billion and a benefit/cost ratio of 0.95:1 (0.82:1). On the other hand, halving the NLA to 1% yields a positive NPV of $3.5 ($1.3) billion and a benefit/cost ratio of 1.44:1 (1.21:1).</w:t>
      </w:r>
    </w:p>
    <w:p>
      <w:pPr>
        <w:pStyle w:val="BodyText"/>
      </w:pPr>
    </w:p>
    <w:p>
      <w:pPr>
        <w:pStyle w:val="BodyText"/>
        <w:spacing w:before="1"/>
        <w:ind w:left="419" w:right="811"/>
        <w:jc w:val="both"/>
      </w:pPr>
      <w:r>
        <w:rPr/>
        <w:t>The second pair of sensitivity analyses vary the base case assumption regarding the impact of the proposed Standards in increasing the workforce participation rate of people with disabilities and their carers. The first of these two sensitivities</w:t>
      </w:r>
      <w:r>
        <w:rPr>
          <w:spacing w:val="-1"/>
        </w:rPr>
        <w:t> </w:t>
      </w:r>
      <w:r>
        <w:rPr/>
        <w:t>assumes</w:t>
      </w:r>
      <w:r>
        <w:rPr>
          <w:spacing w:val="-1"/>
        </w:rPr>
        <w:t> </w:t>
      </w:r>
      <w:r>
        <w:rPr/>
        <w:t>that</w:t>
      </w:r>
      <w:r>
        <w:rPr>
          <w:spacing w:val="-1"/>
        </w:rPr>
        <w:t> </w:t>
      </w:r>
      <w:r>
        <w:rPr/>
        <w:t>there will</w:t>
      </w:r>
      <w:r>
        <w:rPr>
          <w:spacing w:val="-1"/>
        </w:rPr>
        <w:t> </w:t>
      </w:r>
      <w:r>
        <w:rPr/>
        <w:t>be</w:t>
      </w:r>
      <w:r>
        <w:rPr>
          <w:spacing w:val="-1"/>
        </w:rPr>
        <w:t> </w:t>
      </w:r>
      <w:r>
        <w:rPr/>
        <w:t>a</w:t>
      </w:r>
      <w:r>
        <w:rPr>
          <w:spacing w:val="-1"/>
        </w:rPr>
        <w:t> </w:t>
      </w:r>
      <w:r>
        <w:rPr/>
        <w:t>zero</w:t>
      </w:r>
      <w:r>
        <w:rPr>
          <w:spacing w:val="-1"/>
        </w:rPr>
        <w:t> </w:t>
      </w:r>
      <w:r>
        <w:rPr/>
        <w:t>increase</w:t>
      </w:r>
      <w:r>
        <w:rPr>
          <w:spacing w:val="-1"/>
        </w:rPr>
        <w:t> </w:t>
      </w:r>
      <w:r>
        <w:rPr/>
        <w:t>in</w:t>
      </w:r>
      <w:r>
        <w:rPr>
          <w:spacing w:val="-1"/>
        </w:rPr>
        <w:t> </w:t>
      </w:r>
      <w:r>
        <w:rPr/>
        <w:t>this participation rate, while the latter assumes double the increase in the participation rate, compared with the base case.</w:t>
      </w:r>
    </w:p>
    <w:p>
      <w:pPr>
        <w:pStyle w:val="BodyText"/>
        <w:spacing w:before="10"/>
        <w:rPr>
          <w:sz w:val="23"/>
        </w:rPr>
      </w:pPr>
    </w:p>
    <w:p>
      <w:pPr>
        <w:pStyle w:val="BodyText"/>
        <w:ind w:left="419" w:right="812"/>
        <w:jc w:val="both"/>
      </w:pPr>
      <w:r>
        <w:rPr/>
        <w:t>The benefits/cost outcome is found to be moderately sensitive to changes in this variable: assuming a zero increase in the participation rate, the proposed Standards will have a small negative NPV</w:t>
      </w:r>
      <w:r>
        <w:rPr/>
        <w:t> of</w:t>
      </w:r>
      <w:r>
        <w:rPr/>
        <w:t> $0.6</w:t>
      </w:r>
      <w:r>
        <w:rPr/>
        <w:t> billion</w:t>
      </w:r>
      <w:r>
        <w:rPr/>
        <w:t> and</w:t>
      </w:r>
      <w:r>
        <w:rPr/>
        <w:t> a</w:t>
      </w:r>
      <w:r>
        <w:rPr/>
        <w:t> benefit/cost ratio of 0.91:1. Doubling the expected base case increase in the participation</w:t>
      </w:r>
    </w:p>
    <w:p>
      <w:pPr>
        <w:spacing w:after="0"/>
        <w:jc w:val="both"/>
        <w:sectPr>
          <w:pgSz w:w="11900" w:h="16840"/>
          <w:pgMar w:header="0" w:footer="1130" w:top="1000" w:bottom="1320" w:left="1380" w:right="980"/>
        </w:sectPr>
      </w:pPr>
    </w:p>
    <w:p>
      <w:pPr>
        <w:pStyle w:val="BodyText"/>
        <w:spacing w:before="75"/>
        <w:ind w:left="419" w:right="813"/>
        <w:jc w:val="both"/>
      </w:pPr>
      <w:r>
        <w:rPr/>
        <w:t>rate yields a positive NPV outcome of $1.3 billion and a benefit/cost ratio of </w:t>
      </w:r>
      <w:r>
        <w:rPr>
          <w:spacing w:val="-2"/>
        </w:rPr>
        <w:t>1.19:1.</w:t>
      </w:r>
    </w:p>
    <w:p>
      <w:pPr>
        <w:pStyle w:val="BodyText"/>
      </w:pPr>
    </w:p>
    <w:p>
      <w:pPr>
        <w:pStyle w:val="BodyText"/>
        <w:ind w:left="419" w:right="810"/>
        <w:jc w:val="both"/>
      </w:pPr>
      <w:r>
        <w:rPr/>
        <w:t>The</w:t>
      </w:r>
      <w:r>
        <w:rPr>
          <w:spacing w:val="-3"/>
        </w:rPr>
        <w:t> </w:t>
      </w:r>
      <w:r>
        <w:rPr/>
        <w:t>third</w:t>
      </w:r>
      <w:r>
        <w:rPr>
          <w:spacing w:val="-3"/>
        </w:rPr>
        <w:t> </w:t>
      </w:r>
      <w:r>
        <w:rPr/>
        <w:t>pair</w:t>
      </w:r>
      <w:r>
        <w:rPr>
          <w:spacing w:val="-3"/>
        </w:rPr>
        <w:t> </w:t>
      </w:r>
      <w:r>
        <w:rPr/>
        <w:t>of</w:t>
      </w:r>
      <w:r>
        <w:rPr>
          <w:spacing w:val="-3"/>
        </w:rPr>
        <w:t> </w:t>
      </w:r>
      <w:r>
        <w:rPr/>
        <w:t>sensitivity</w:t>
      </w:r>
      <w:r>
        <w:rPr>
          <w:spacing w:val="-3"/>
        </w:rPr>
        <w:t> </w:t>
      </w:r>
      <w:r>
        <w:rPr/>
        <w:t>tests</w:t>
      </w:r>
      <w:r>
        <w:rPr>
          <w:spacing w:val="-3"/>
        </w:rPr>
        <w:t> </w:t>
      </w:r>
      <w:r>
        <w:rPr/>
        <w:t>undertaken</w:t>
      </w:r>
      <w:r>
        <w:rPr>
          <w:spacing w:val="-3"/>
        </w:rPr>
        <w:t> </w:t>
      </w:r>
      <w:r>
        <w:rPr/>
        <w:t>measure</w:t>
      </w:r>
      <w:r>
        <w:rPr>
          <w:spacing w:val="-3"/>
        </w:rPr>
        <w:t> </w:t>
      </w:r>
      <w:r>
        <w:rPr/>
        <w:t>the</w:t>
      </w:r>
      <w:r>
        <w:rPr>
          <w:spacing w:val="-3"/>
        </w:rPr>
        <w:t> </w:t>
      </w:r>
      <w:r>
        <w:rPr/>
        <w:t>impact</w:t>
      </w:r>
      <w:r>
        <w:rPr>
          <w:spacing w:val="-3"/>
        </w:rPr>
        <w:t> </w:t>
      </w:r>
      <w:r>
        <w:rPr/>
        <w:t>of</w:t>
      </w:r>
      <w:r>
        <w:rPr>
          <w:spacing w:val="-3"/>
        </w:rPr>
        <w:t> </w:t>
      </w:r>
      <w:r>
        <w:rPr/>
        <w:t>changes</w:t>
      </w:r>
      <w:r>
        <w:rPr>
          <w:spacing w:val="-2"/>
        </w:rPr>
        <w:t> </w:t>
      </w:r>
      <w:r>
        <w:rPr/>
        <w:t>in the assumed effectiveness of the Premises Standards in decreasing the cost of living for people with disabilities. As would be expected, given that this is the largest benefit identified in relation to the Standards, the results are extremely sensitive to changes in this assumption.</w:t>
      </w:r>
    </w:p>
    <w:p>
      <w:pPr>
        <w:pStyle w:val="BodyText"/>
      </w:pPr>
    </w:p>
    <w:p>
      <w:pPr>
        <w:pStyle w:val="BodyText"/>
        <w:spacing w:before="1"/>
        <w:ind w:left="419" w:right="810"/>
        <w:jc w:val="both"/>
      </w:pPr>
      <w:r>
        <w:rPr/>
        <w:t>The lower bound estimate used is that put forward by Frisch. It should be noted that the base case figure used in the RIS, while substantially higher ($910 million vs $510 million), was developed by applying a number of adjustment factors to this original Frisch estimate. Substituting the lower bound estimate into the analysis yields a negative NPV of $2.4 billion and a benefit/cost ratio of 0.66:1.</w:t>
      </w:r>
    </w:p>
    <w:p>
      <w:pPr>
        <w:pStyle w:val="BodyText"/>
      </w:pPr>
    </w:p>
    <w:p>
      <w:pPr>
        <w:pStyle w:val="BodyText"/>
        <w:ind w:left="419" w:right="811"/>
        <w:jc w:val="both"/>
      </w:pPr>
      <w:r>
        <w:rPr/>
        <w:t>The upper bound estimate used is a $1,163 million. This is based on an escalation</w:t>
      </w:r>
      <w:r>
        <w:rPr>
          <w:spacing w:val="37"/>
        </w:rPr>
        <w:t> </w:t>
      </w:r>
      <w:r>
        <w:rPr/>
        <w:t>of</w:t>
      </w:r>
      <w:r>
        <w:rPr>
          <w:spacing w:val="37"/>
        </w:rPr>
        <w:t> </w:t>
      </w:r>
      <w:r>
        <w:rPr/>
        <w:t>20%</w:t>
      </w:r>
      <w:r>
        <w:rPr>
          <w:spacing w:val="38"/>
        </w:rPr>
        <w:t> </w:t>
      </w:r>
      <w:r>
        <w:rPr/>
        <w:t>in</w:t>
      </w:r>
      <w:r>
        <w:rPr>
          <w:spacing w:val="37"/>
        </w:rPr>
        <w:t> </w:t>
      </w:r>
      <w:r>
        <w:rPr/>
        <w:t>the</w:t>
      </w:r>
      <w:r>
        <w:rPr>
          <w:spacing w:val="37"/>
        </w:rPr>
        <w:t> </w:t>
      </w:r>
      <w:r>
        <w:rPr/>
        <w:t>base</w:t>
      </w:r>
      <w:r>
        <w:rPr>
          <w:spacing w:val="38"/>
        </w:rPr>
        <w:t> </w:t>
      </w:r>
      <w:r>
        <w:rPr/>
        <w:t>case</w:t>
      </w:r>
      <w:r>
        <w:rPr>
          <w:spacing w:val="37"/>
        </w:rPr>
        <w:t> </w:t>
      </w:r>
      <w:r>
        <w:rPr/>
        <w:t>figure</w:t>
      </w:r>
      <w:r>
        <w:rPr>
          <w:spacing w:val="37"/>
        </w:rPr>
        <w:t> </w:t>
      </w:r>
      <w:r>
        <w:rPr/>
        <w:t>for</w:t>
      </w:r>
      <w:r>
        <w:rPr>
          <w:spacing w:val="38"/>
        </w:rPr>
        <w:t> </w:t>
      </w:r>
      <w:r>
        <w:rPr/>
        <w:t>reasons</w:t>
      </w:r>
      <w:r>
        <w:rPr>
          <w:spacing w:val="37"/>
        </w:rPr>
        <w:t> </w:t>
      </w:r>
      <w:r>
        <w:rPr/>
        <w:t>explained</w:t>
      </w:r>
      <w:r>
        <w:rPr>
          <w:spacing w:val="37"/>
        </w:rPr>
        <w:t> </w:t>
      </w:r>
      <w:r>
        <w:rPr/>
        <w:t>in</w:t>
      </w:r>
      <w:r>
        <w:rPr>
          <w:spacing w:val="38"/>
        </w:rPr>
        <w:t> </w:t>
      </w:r>
      <w:r>
        <w:rPr>
          <w:spacing w:val="-2"/>
        </w:rPr>
        <w:t>section</w:t>
      </w:r>
    </w:p>
    <w:p>
      <w:pPr>
        <w:pStyle w:val="BodyText"/>
        <w:ind w:left="419" w:right="812"/>
        <w:jc w:val="both"/>
      </w:pPr>
      <w:r>
        <w:rPr/>
        <w:t>7.6.2</w:t>
      </w:r>
      <w:r>
        <w:rPr>
          <w:spacing w:val="-2"/>
        </w:rPr>
        <w:t> </w:t>
      </w:r>
      <w:r>
        <w:rPr/>
        <w:t>of</w:t>
      </w:r>
      <w:r>
        <w:rPr>
          <w:spacing w:val="-2"/>
        </w:rPr>
        <w:t> </w:t>
      </w:r>
      <w:r>
        <w:rPr/>
        <w:t>the</w:t>
      </w:r>
      <w:r>
        <w:rPr>
          <w:spacing w:val="-3"/>
        </w:rPr>
        <w:t> </w:t>
      </w:r>
      <w:r>
        <w:rPr/>
        <w:t>2006</w:t>
      </w:r>
      <w:r>
        <w:rPr>
          <w:spacing w:val="-1"/>
        </w:rPr>
        <w:t> </w:t>
      </w:r>
      <w:r>
        <w:rPr/>
        <w:t>RIS.</w:t>
      </w:r>
      <w:r>
        <w:rPr>
          <w:spacing w:val="-1"/>
        </w:rPr>
        <w:t> </w:t>
      </w:r>
      <w:r>
        <w:rPr/>
        <w:t>Adopting</w:t>
      </w:r>
      <w:r>
        <w:rPr>
          <w:spacing w:val="-1"/>
        </w:rPr>
        <w:t> </w:t>
      </w:r>
      <w:r>
        <w:rPr/>
        <w:t>this</w:t>
      </w:r>
      <w:r>
        <w:rPr>
          <w:spacing w:val="-1"/>
        </w:rPr>
        <w:t> </w:t>
      </w:r>
      <w:r>
        <w:rPr/>
        <w:t>estimate</w:t>
      </w:r>
      <w:r>
        <w:rPr>
          <w:spacing w:val="-1"/>
        </w:rPr>
        <w:t> </w:t>
      </w:r>
      <w:r>
        <w:rPr/>
        <w:t>yields</w:t>
      </w:r>
      <w:r>
        <w:rPr>
          <w:spacing w:val="-1"/>
        </w:rPr>
        <w:t> </w:t>
      </w:r>
      <w:r>
        <w:rPr/>
        <w:t>an</w:t>
      </w:r>
      <w:r>
        <w:rPr>
          <w:spacing w:val="-1"/>
        </w:rPr>
        <w:t> </w:t>
      </w:r>
      <w:r>
        <w:rPr/>
        <w:t>NPV</w:t>
      </w:r>
      <w:r>
        <w:rPr>
          <w:spacing w:val="-1"/>
        </w:rPr>
        <w:t> </w:t>
      </w:r>
      <w:r>
        <w:rPr/>
        <w:t>of</w:t>
      </w:r>
      <w:r>
        <w:rPr>
          <w:spacing w:val="-1"/>
        </w:rPr>
        <w:t> </w:t>
      </w:r>
      <w:r>
        <w:rPr/>
        <w:t>$2.1</w:t>
      </w:r>
      <w:r>
        <w:rPr>
          <w:spacing w:val="-1"/>
        </w:rPr>
        <w:t> </w:t>
      </w:r>
      <w:r>
        <w:rPr/>
        <w:t>billion</w:t>
      </w:r>
      <w:r>
        <w:rPr>
          <w:spacing w:val="-1"/>
        </w:rPr>
        <w:t> </w:t>
      </w:r>
      <w:r>
        <w:rPr/>
        <w:t>and a benefit/cost ratio of 1.30:1.</w:t>
      </w:r>
    </w:p>
    <w:p>
      <w:pPr>
        <w:pStyle w:val="BodyText"/>
        <w:spacing w:before="1"/>
        <w:rPr>
          <w:sz w:val="21"/>
        </w:rPr>
      </w:pPr>
    </w:p>
    <w:p>
      <w:pPr>
        <w:pStyle w:val="Heading3"/>
        <w:numPr>
          <w:ilvl w:val="2"/>
          <w:numId w:val="39"/>
        </w:numPr>
        <w:tabs>
          <w:tab w:pos="1860" w:val="left" w:leader="none"/>
        </w:tabs>
        <w:spacing w:line="240" w:lineRule="auto" w:before="0" w:after="0"/>
        <w:ind w:left="1859" w:right="0" w:hanging="1440"/>
        <w:jc w:val="both"/>
      </w:pPr>
      <w:bookmarkStart w:name="10.4.3 Adopting optimistic benefit assum" w:id="119"/>
      <w:bookmarkEnd w:id="119"/>
      <w:r>
        <w:rPr/>
        <w:t>Adopting</w:t>
      </w:r>
      <w:r>
        <w:rPr>
          <w:spacing w:val="-2"/>
        </w:rPr>
        <w:t> </w:t>
      </w:r>
      <w:r>
        <w:rPr/>
        <w:t>optimistic</w:t>
      </w:r>
      <w:r>
        <w:rPr>
          <w:spacing w:val="-3"/>
        </w:rPr>
        <w:t> </w:t>
      </w:r>
      <w:r>
        <w:rPr/>
        <w:t>benefit</w:t>
      </w:r>
      <w:r>
        <w:rPr>
          <w:spacing w:val="-2"/>
        </w:rPr>
        <w:t> assumptions</w:t>
      </w:r>
    </w:p>
    <w:p>
      <w:pPr>
        <w:pStyle w:val="BodyText"/>
        <w:spacing w:before="57"/>
        <w:ind w:left="419" w:right="810"/>
        <w:jc w:val="both"/>
      </w:pPr>
      <w:r>
        <w:rPr/>
        <w:t>The draft RIS included an optimistic scenario in which base case costs were combined with higher benefit estimates.</w:t>
      </w:r>
      <w:r>
        <w:rPr>
          <w:spacing w:val="40"/>
        </w:rPr>
        <w:t> </w:t>
      </w:r>
      <w:r>
        <w:rPr/>
        <w:t>Changes</w:t>
      </w:r>
      <w:r>
        <w:rPr/>
        <w:t> were</w:t>
      </w:r>
      <w:r>
        <w:rPr/>
        <w:t> made</w:t>
      </w:r>
      <w:r>
        <w:rPr/>
        <w:t> to</w:t>
      </w:r>
      <w:r>
        <w:rPr/>
        <w:t> both elements</w:t>
      </w:r>
      <w:r>
        <w:rPr/>
        <w:t> of</w:t>
      </w:r>
      <w:r>
        <w:rPr/>
        <w:t> the</w:t>
      </w:r>
      <w:r>
        <w:rPr/>
        <w:t> quantifiable</w:t>
      </w:r>
      <w:r>
        <w:rPr/>
        <w:t> benefits</w:t>
      </w:r>
      <w:r>
        <w:rPr/>
        <w:t> identified.</w:t>
      </w:r>
      <w:r>
        <w:rPr>
          <w:spacing w:val="40"/>
        </w:rPr>
        <w:t> </w:t>
      </w:r>
      <w:r>
        <w:rPr/>
        <w:t>In relation to the expected increases in the participation rate of people with disabilities, the optimistic scenario adopted Frisch's assumptions without change, whereas the base case benefit estimate had halved Frisch’s estimate of the size of this increase in participation rate.</w:t>
      </w:r>
    </w:p>
    <w:p>
      <w:pPr>
        <w:pStyle w:val="BodyText"/>
      </w:pPr>
    </w:p>
    <w:p>
      <w:pPr>
        <w:pStyle w:val="BodyText"/>
        <w:ind w:left="419" w:right="811"/>
        <w:jc w:val="both"/>
      </w:pPr>
      <w:r>
        <w:rPr/>
        <w:t>In relation to the expected reductions in the costs of living with a disability, the base case estimate is increased by 20%.</w:t>
      </w:r>
      <w:r>
        <w:rPr>
          <w:spacing w:val="40"/>
        </w:rPr>
        <w:t> </w:t>
      </w:r>
      <w:r>
        <w:rPr/>
        <w:t>This adjustment allows for the fact that people are, on the whole, risk averse rather than risk neutral, as is assumed in the base case.</w:t>
      </w:r>
      <w:r>
        <w:rPr>
          <w:spacing w:val="40"/>
        </w:rPr>
        <w:t> </w:t>
      </w:r>
      <w:r>
        <w:rPr/>
        <w:t>It also allows for the probability that people would have some additional willingness to pay in respect of Premises Standards provisions for altruistic reasons.</w:t>
      </w:r>
    </w:p>
    <w:p>
      <w:pPr>
        <w:pStyle w:val="BodyText"/>
      </w:pPr>
    </w:p>
    <w:p>
      <w:pPr>
        <w:pStyle w:val="BodyText"/>
        <w:spacing w:before="1"/>
        <w:ind w:left="420" w:right="812"/>
        <w:jc w:val="both"/>
      </w:pPr>
      <w:r>
        <w:rPr/>
        <w:t>This sensitivity analysis has been repeated, however, with both benefit estimates adjusted downward by 10%. This is consistent with the view taken that the modifications made to the draft Premises Standards proposal would have an effect of approximately this magnitude.</w:t>
      </w:r>
    </w:p>
    <w:p>
      <w:pPr>
        <w:pStyle w:val="BodyText"/>
        <w:spacing w:before="11"/>
        <w:rPr>
          <w:sz w:val="23"/>
        </w:rPr>
      </w:pPr>
    </w:p>
    <w:p>
      <w:pPr>
        <w:pStyle w:val="BodyText"/>
        <w:ind w:left="420" w:right="813"/>
        <w:jc w:val="both"/>
      </w:pPr>
      <w:r>
        <w:rPr/>
        <w:t>The results of this sensitivity analysis, based on the 2008 proposal, are costs of $6.9 billion and benefits of $10 billion yielding an NPV of $3.1 billion.</w:t>
      </w:r>
      <w:r>
        <w:rPr>
          <w:spacing w:val="40"/>
        </w:rPr>
        <w:t> </w:t>
      </w:r>
      <w:r>
        <w:rPr/>
        <w:t>The benefit cost ratio is equal to 1.45:1.</w:t>
      </w:r>
    </w:p>
    <w:p>
      <w:pPr>
        <w:pStyle w:val="BodyText"/>
        <w:rPr>
          <w:sz w:val="21"/>
        </w:rPr>
      </w:pPr>
    </w:p>
    <w:p>
      <w:pPr>
        <w:pStyle w:val="Heading3"/>
        <w:numPr>
          <w:ilvl w:val="2"/>
          <w:numId w:val="39"/>
        </w:numPr>
        <w:tabs>
          <w:tab w:pos="1860" w:val="left" w:leader="none"/>
        </w:tabs>
        <w:spacing w:line="240" w:lineRule="auto" w:before="0" w:after="0"/>
        <w:ind w:left="1859" w:right="0" w:hanging="1440"/>
        <w:jc w:val="both"/>
      </w:pPr>
      <w:bookmarkStart w:name="10.4.4 Adopting pessimistic benefit assu" w:id="120"/>
      <w:bookmarkEnd w:id="120"/>
      <w:r>
        <w:rPr/>
        <w:t>Adopting</w:t>
      </w:r>
      <w:r>
        <w:rPr>
          <w:spacing w:val="-3"/>
        </w:rPr>
        <w:t> </w:t>
      </w:r>
      <w:r>
        <w:rPr/>
        <w:t>pessimistic</w:t>
      </w:r>
      <w:r>
        <w:rPr>
          <w:spacing w:val="-2"/>
        </w:rPr>
        <w:t> </w:t>
      </w:r>
      <w:r>
        <w:rPr/>
        <w:t>benefit</w:t>
      </w:r>
      <w:r>
        <w:rPr>
          <w:spacing w:val="-2"/>
        </w:rPr>
        <w:t> assumptions</w:t>
      </w:r>
    </w:p>
    <w:p>
      <w:pPr>
        <w:pStyle w:val="BodyText"/>
        <w:spacing w:before="59"/>
        <w:ind w:left="420" w:right="811"/>
        <w:jc w:val="both"/>
      </w:pPr>
      <w:r>
        <w:rPr/>
        <w:t>The draft RIS also analysed a scenario based on the pessimistic benefit assumptions.</w:t>
      </w:r>
      <w:r>
        <w:rPr>
          <w:spacing w:val="40"/>
        </w:rPr>
        <w:t> </w:t>
      </w:r>
      <w:r>
        <w:rPr/>
        <w:t>In</w:t>
      </w:r>
      <w:r>
        <w:rPr>
          <w:spacing w:val="-2"/>
        </w:rPr>
        <w:t> </w:t>
      </w:r>
      <w:r>
        <w:rPr/>
        <w:t>this</w:t>
      </w:r>
      <w:r>
        <w:rPr>
          <w:spacing w:val="-2"/>
        </w:rPr>
        <w:t> </w:t>
      </w:r>
      <w:r>
        <w:rPr/>
        <w:t>scenario</w:t>
      </w:r>
      <w:r>
        <w:rPr>
          <w:spacing w:val="-2"/>
        </w:rPr>
        <w:t> </w:t>
      </w:r>
      <w:r>
        <w:rPr/>
        <w:t>it</w:t>
      </w:r>
      <w:r>
        <w:rPr>
          <w:spacing w:val="-2"/>
        </w:rPr>
        <w:t> </w:t>
      </w:r>
      <w:r>
        <w:rPr/>
        <w:t>is assumed</w:t>
      </w:r>
      <w:r>
        <w:rPr>
          <w:spacing w:val="-2"/>
        </w:rPr>
        <w:t> </w:t>
      </w:r>
      <w:r>
        <w:rPr/>
        <w:t>that</w:t>
      </w:r>
      <w:r>
        <w:rPr>
          <w:spacing w:val="-2"/>
        </w:rPr>
        <w:t> </w:t>
      </w:r>
      <w:r>
        <w:rPr/>
        <w:t>there</w:t>
      </w:r>
      <w:r>
        <w:rPr>
          <w:spacing w:val="-2"/>
        </w:rPr>
        <w:t> </w:t>
      </w:r>
      <w:r>
        <w:rPr/>
        <w:t>are</w:t>
      </w:r>
      <w:r>
        <w:rPr>
          <w:spacing w:val="-2"/>
        </w:rPr>
        <w:t> </w:t>
      </w:r>
      <w:r>
        <w:rPr/>
        <w:t>no</w:t>
      </w:r>
      <w:r>
        <w:rPr>
          <w:spacing w:val="-2"/>
        </w:rPr>
        <w:t> </w:t>
      </w:r>
      <w:r>
        <w:rPr/>
        <w:t>benefits</w:t>
      </w:r>
      <w:r>
        <w:rPr>
          <w:spacing w:val="-2"/>
        </w:rPr>
        <w:t> </w:t>
      </w:r>
      <w:r>
        <w:rPr/>
        <w:t>in</w:t>
      </w:r>
      <w:r>
        <w:rPr>
          <w:spacing w:val="-2"/>
        </w:rPr>
        <w:t> </w:t>
      </w:r>
      <w:r>
        <w:rPr/>
        <w:t>terms of increases in the employment participation rate of people with disabilities, consistent</w:t>
      </w:r>
      <w:r>
        <w:rPr>
          <w:spacing w:val="80"/>
        </w:rPr>
        <w:t> </w:t>
      </w:r>
      <w:r>
        <w:rPr/>
        <w:t>with</w:t>
      </w:r>
      <w:r>
        <w:rPr>
          <w:spacing w:val="80"/>
        </w:rPr>
        <w:t> </w:t>
      </w:r>
      <w:r>
        <w:rPr/>
        <w:t>the</w:t>
      </w:r>
      <w:r>
        <w:rPr>
          <w:spacing w:val="80"/>
        </w:rPr>
        <w:t> </w:t>
      </w:r>
      <w:r>
        <w:rPr/>
        <w:t>observed</w:t>
      </w:r>
      <w:r>
        <w:rPr>
          <w:spacing w:val="80"/>
        </w:rPr>
        <w:t> </w:t>
      </w:r>
      <w:r>
        <w:rPr/>
        <w:t>experience</w:t>
      </w:r>
      <w:r>
        <w:rPr>
          <w:spacing w:val="80"/>
        </w:rPr>
        <w:t> </w:t>
      </w:r>
      <w:r>
        <w:rPr/>
        <w:t>of</w:t>
      </w:r>
      <w:r>
        <w:rPr>
          <w:spacing w:val="80"/>
        </w:rPr>
        <w:t> </w:t>
      </w:r>
      <w:r>
        <w:rPr/>
        <w:t>the</w:t>
      </w:r>
      <w:r>
        <w:rPr>
          <w:spacing w:val="80"/>
        </w:rPr>
        <w:t> </w:t>
      </w:r>
      <w:r>
        <w:rPr/>
        <w:t>United</w:t>
      </w:r>
      <w:r>
        <w:rPr>
          <w:spacing w:val="80"/>
        </w:rPr>
        <w:t> </w:t>
      </w:r>
      <w:r>
        <w:rPr/>
        <w:t>States</w:t>
      </w:r>
      <w:r>
        <w:rPr>
          <w:spacing w:val="80"/>
        </w:rPr>
        <w:t> </w:t>
      </w:r>
      <w:r>
        <w:rPr/>
        <w:t>after</w:t>
      </w:r>
      <w:r>
        <w:rPr>
          <w:spacing w:val="80"/>
        </w:rPr>
        <w:t> </w:t>
      </w:r>
      <w:r>
        <w:rPr/>
        <w:t>the</w:t>
      </w:r>
    </w:p>
    <w:p>
      <w:pPr>
        <w:spacing w:after="0"/>
        <w:jc w:val="both"/>
        <w:sectPr>
          <w:pgSz w:w="11900" w:h="16840"/>
          <w:pgMar w:header="0" w:footer="1130" w:top="1000" w:bottom="1320" w:left="1380" w:right="980"/>
        </w:sectPr>
      </w:pPr>
    </w:p>
    <w:p>
      <w:pPr>
        <w:pStyle w:val="BodyText"/>
        <w:spacing w:before="75"/>
        <w:ind w:left="420" w:right="812"/>
        <w:jc w:val="both"/>
      </w:pPr>
      <w:r>
        <w:rPr/>
        <w:t>passage of the Americans with Disabilities Act.</w:t>
      </w:r>
      <w:r>
        <w:rPr>
          <w:spacing w:val="40"/>
        </w:rPr>
        <w:t> </w:t>
      </w:r>
      <w:r>
        <w:rPr/>
        <w:t>In addition, Frisch’s original assumptions in relation to reductions in the cost of living with a disability are adopted without change.</w:t>
      </w:r>
      <w:r>
        <w:rPr>
          <w:spacing w:val="40"/>
        </w:rPr>
        <w:t> </w:t>
      </w:r>
      <w:r>
        <w:rPr/>
        <w:t>These are based on a narrower assessment of the range of beneficiaries of the Standard’s provisions.</w:t>
      </w:r>
    </w:p>
    <w:p>
      <w:pPr>
        <w:pStyle w:val="BodyText"/>
      </w:pPr>
    </w:p>
    <w:p>
      <w:pPr>
        <w:pStyle w:val="BodyText"/>
        <w:ind w:left="419" w:right="811"/>
        <w:jc w:val="both"/>
      </w:pPr>
      <w:r>
        <w:rPr/>
        <w:t>Repeating</w:t>
      </w:r>
      <w:r>
        <w:rPr/>
        <w:t> this</w:t>
      </w:r>
      <w:r>
        <w:rPr/>
        <w:t> scenario,</w:t>
      </w:r>
      <w:r>
        <w:rPr/>
        <w:t> and</w:t>
      </w:r>
      <w:r>
        <w:rPr/>
        <w:t> applying</w:t>
      </w:r>
      <w:r>
        <w:rPr/>
        <w:t> 10% reduction, based on the 2008 proposal, results in costs of $6.9 billion and benefits of $3.5 billion yielding an NPV of -$3.4 billion.</w:t>
      </w:r>
      <w:r>
        <w:rPr>
          <w:spacing w:val="40"/>
        </w:rPr>
        <w:t> </w:t>
      </w:r>
      <w:r>
        <w:rPr/>
        <w:t>The benefit cost ratio is equal to 0.51:1.</w:t>
      </w:r>
    </w:p>
    <w:p>
      <w:pPr>
        <w:pStyle w:val="BodyText"/>
        <w:spacing w:before="2"/>
        <w:rPr>
          <w:sz w:val="21"/>
        </w:rPr>
      </w:pPr>
    </w:p>
    <w:p>
      <w:pPr>
        <w:pStyle w:val="Heading3"/>
        <w:numPr>
          <w:ilvl w:val="2"/>
          <w:numId w:val="39"/>
        </w:numPr>
        <w:tabs>
          <w:tab w:pos="1860" w:val="left" w:leader="none"/>
        </w:tabs>
        <w:spacing w:line="240" w:lineRule="auto" w:before="0" w:after="0"/>
        <w:ind w:left="1859" w:right="0" w:hanging="1440"/>
        <w:jc w:val="both"/>
      </w:pPr>
      <w:bookmarkStart w:name="10.4.5 Alternative “loss of NLA” assumpt" w:id="121"/>
      <w:bookmarkEnd w:id="121"/>
      <w:r>
        <w:rPr/>
        <w:t>Alternativ</w:t>
      </w:r>
      <w:r>
        <w:rPr/>
        <w:t>e</w:t>
      </w:r>
      <w:r>
        <w:rPr>
          <w:spacing w:val="-8"/>
        </w:rPr>
        <w:t> </w:t>
      </w:r>
      <w:r>
        <w:rPr/>
        <w:t>“loss</w:t>
      </w:r>
      <w:r>
        <w:rPr>
          <w:spacing w:val="-6"/>
        </w:rPr>
        <w:t> </w:t>
      </w:r>
      <w:r>
        <w:rPr/>
        <w:t>of</w:t>
      </w:r>
      <w:r>
        <w:rPr>
          <w:spacing w:val="-7"/>
        </w:rPr>
        <w:t> </w:t>
      </w:r>
      <w:r>
        <w:rPr/>
        <w:t>NLA”</w:t>
      </w:r>
      <w:r>
        <w:rPr>
          <w:spacing w:val="-5"/>
        </w:rPr>
        <w:t> </w:t>
      </w:r>
      <w:r>
        <w:rPr>
          <w:spacing w:val="-2"/>
        </w:rPr>
        <w:t>assumptions</w:t>
      </w:r>
    </w:p>
    <w:p>
      <w:pPr>
        <w:pStyle w:val="BodyText"/>
        <w:spacing w:before="57"/>
        <w:ind w:left="419" w:right="810"/>
        <w:jc w:val="both"/>
      </w:pPr>
      <w:r>
        <w:rPr/>
        <w:t>The issue of the likely size of losses in NLA resulting from the adoption of the Premises Standards proved highly controversial in the context of the draft</w:t>
      </w:r>
      <w:r>
        <w:rPr>
          <w:spacing w:val="40"/>
        </w:rPr>
        <w:t> </w:t>
      </w:r>
      <w:r>
        <w:rPr/>
        <w:t>RIS.</w:t>
      </w:r>
      <w:r>
        <w:rPr>
          <w:spacing w:val="40"/>
        </w:rPr>
        <w:t> </w:t>
      </w:r>
      <w:r>
        <w:rPr/>
        <w:t>On the one hand, industry groups argued that the likely losses would substantially exceed the 4% estimated in the draft RIS.</w:t>
      </w:r>
      <w:r>
        <w:rPr>
          <w:spacing w:val="80"/>
        </w:rPr>
        <w:t> </w:t>
      </w:r>
      <w:r>
        <w:rPr/>
        <w:t>On the other,</w:t>
      </w:r>
      <w:r>
        <w:rPr>
          <w:spacing w:val="40"/>
        </w:rPr>
        <w:t> </w:t>
      </w:r>
      <w:r>
        <w:rPr/>
        <w:t>disability sector groups argued that the adoption of good design principles would reduce these losses to a level substantially below that estimated.</w:t>
      </w:r>
    </w:p>
    <w:p>
      <w:pPr>
        <w:pStyle w:val="BodyText"/>
      </w:pPr>
    </w:p>
    <w:p>
      <w:pPr>
        <w:pStyle w:val="BodyText"/>
        <w:ind w:left="419" w:right="809"/>
        <w:jc w:val="both"/>
      </w:pPr>
      <w:r>
        <w:rPr/>
        <w:t>As noted above, the base case estimate of the size of these losses in NLA</w:t>
      </w:r>
      <w:r>
        <w:rPr>
          <w:spacing w:val="40"/>
        </w:rPr>
        <w:t> </w:t>
      </w:r>
      <w:r>
        <w:rPr/>
        <w:t>has been halved to 2%.</w:t>
      </w:r>
      <w:r>
        <w:rPr>
          <w:spacing w:val="40"/>
        </w:rPr>
        <w:t> </w:t>
      </w:r>
      <w:r>
        <w:rPr/>
        <w:t>This reflects the removal or reduction in stringency of many space-using requirements.</w:t>
      </w:r>
      <w:r>
        <w:rPr>
          <w:spacing w:val="40"/>
        </w:rPr>
        <w:t> </w:t>
      </w:r>
      <w:r>
        <w:rPr/>
        <w:t>However, given the range of views on this subject, two alternative estimates of the size of the lost NLA are considered here.</w:t>
      </w:r>
      <w:r>
        <w:rPr>
          <w:spacing w:val="80"/>
        </w:rPr>
        <w:t> </w:t>
      </w:r>
      <w:r>
        <w:rPr/>
        <w:t>The first is a larger reduction in the estimated size of the lost NLA to 1%.</w:t>
      </w:r>
      <w:r>
        <w:rPr>
          <w:spacing w:val="80"/>
        </w:rPr>
        <w:t> </w:t>
      </w:r>
      <w:r>
        <w:rPr/>
        <w:t>The second involves retention of the original estimate of a 4% reduction in NLA.</w:t>
      </w:r>
    </w:p>
    <w:p>
      <w:pPr>
        <w:pStyle w:val="BodyText"/>
      </w:pPr>
    </w:p>
    <w:p>
      <w:pPr>
        <w:pStyle w:val="BodyText"/>
        <w:ind w:left="419" w:right="811"/>
        <w:jc w:val="both"/>
      </w:pPr>
      <w:r>
        <w:rPr/>
        <w:t>In the first of these scenarios, reducing the estimated loss of NLA to 1% has the effect of reducing the PV of the costs associated with the 2008 Premises Standards from $9.3 ($6.9) billion to $7.9 ($6.0) billion over 30 years.</w:t>
      </w:r>
      <w:r>
        <w:rPr>
          <w:spacing w:val="40"/>
        </w:rPr>
        <w:t> </w:t>
      </w:r>
      <w:r>
        <w:rPr/>
        <w:t>As the PV</w:t>
      </w:r>
      <w:r>
        <w:rPr>
          <w:spacing w:val="-1"/>
        </w:rPr>
        <w:t> </w:t>
      </w:r>
      <w:r>
        <w:rPr/>
        <w:t>of</w:t>
      </w:r>
      <w:r>
        <w:rPr>
          <w:spacing w:val="-1"/>
        </w:rPr>
        <w:t> </w:t>
      </w:r>
      <w:r>
        <w:rPr/>
        <w:t>the</w:t>
      </w:r>
      <w:r>
        <w:rPr>
          <w:spacing w:val="-1"/>
        </w:rPr>
        <w:t> </w:t>
      </w:r>
      <w:r>
        <w:rPr/>
        <w:t>benefits</w:t>
      </w:r>
      <w:r>
        <w:rPr>
          <w:spacing w:val="-1"/>
        </w:rPr>
        <w:t> </w:t>
      </w:r>
      <w:r>
        <w:rPr/>
        <w:t>would</w:t>
      </w:r>
      <w:r>
        <w:rPr>
          <w:spacing w:val="-1"/>
        </w:rPr>
        <w:t> </w:t>
      </w:r>
      <w:r>
        <w:rPr/>
        <w:t>remain</w:t>
      </w:r>
      <w:r>
        <w:rPr>
          <w:spacing w:val="-1"/>
        </w:rPr>
        <w:t> </w:t>
      </w:r>
      <w:r>
        <w:rPr/>
        <w:t>unchanged at</w:t>
      </w:r>
      <w:r>
        <w:rPr>
          <w:spacing w:val="-1"/>
        </w:rPr>
        <w:t> </w:t>
      </w:r>
      <w:r>
        <w:rPr/>
        <w:t>$11.4</w:t>
      </w:r>
      <w:r>
        <w:rPr>
          <w:spacing w:val="-1"/>
        </w:rPr>
        <w:t> </w:t>
      </w:r>
      <w:r>
        <w:rPr/>
        <w:t>($7.3)</w:t>
      </w:r>
      <w:r>
        <w:rPr>
          <w:spacing w:val="-1"/>
        </w:rPr>
        <w:t> </w:t>
      </w:r>
      <w:r>
        <w:rPr/>
        <w:t>billion, this</w:t>
      </w:r>
      <w:r>
        <w:rPr>
          <w:spacing w:val="-1"/>
        </w:rPr>
        <w:t> </w:t>
      </w:r>
      <w:r>
        <w:rPr/>
        <w:t>implies that the PV of adopting the Standards would, under this scenario, be equal to</w:t>
      </w:r>
    </w:p>
    <w:p>
      <w:pPr>
        <w:pStyle w:val="BodyText"/>
        <w:ind w:left="419"/>
        <w:jc w:val="both"/>
      </w:pPr>
      <w:r>
        <w:rPr/>
        <w:t>$3.5</w:t>
      </w:r>
      <w:r>
        <w:rPr>
          <w:spacing w:val="-4"/>
        </w:rPr>
        <w:t> </w:t>
      </w:r>
      <w:r>
        <w:rPr/>
        <w:t>($1.3)</w:t>
      </w:r>
      <w:r>
        <w:rPr>
          <w:spacing w:val="-3"/>
        </w:rPr>
        <w:t> </w:t>
      </w:r>
      <w:r>
        <w:rPr/>
        <w:t>billion.</w:t>
      </w:r>
      <w:r>
        <w:rPr>
          <w:spacing w:val="61"/>
        </w:rPr>
        <w:t> </w:t>
      </w:r>
      <w:r>
        <w:rPr/>
        <w:t>The</w:t>
      </w:r>
      <w:r>
        <w:rPr>
          <w:spacing w:val="-3"/>
        </w:rPr>
        <w:t> </w:t>
      </w:r>
      <w:r>
        <w:rPr/>
        <w:t>benefit</w:t>
      </w:r>
      <w:r>
        <w:rPr>
          <w:spacing w:val="-3"/>
        </w:rPr>
        <w:t> </w:t>
      </w:r>
      <w:r>
        <w:rPr/>
        <w:t>cost</w:t>
      </w:r>
      <w:r>
        <w:rPr>
          <w:spacing w:val="-3"/>
        </w:rPr>
        <w:t> </w:t>
      </w:r>
      <w:r>
        <w:rPr/>
        <w:t>ratio</w:t>
      </w:r>
      <w:r>
        <w:rPr>
          <w:spacing w:val="-3"/>
        </w:rPr>
        <w:t> </w:t>
      </w:r>
      <w:r>
        <w:rPr/>
        <w:t>would</w:t>
      </w:r>
      <w:r>
        <w:rPr>
          <w:spacing w:val="-5"/>
        </w:rPr>
        <w:t> </w:t>
      </w:r>
      <w:r>
        <w:rPr/>
        <w:t>rise</w:t>
      </w:r>
      <w:r>
        <w:rPr>
          <w:spacing w:val="-3"/>
        </w:rPr>
        <w:t> </w:t>
      </w:r>
      <w:r>
        <w:rPr/>
        <w:t>to</w:t>
      </w:r>
      <w:r>
        <w:rPr>
          <w:spacing w:val="-3"/>
        </w:rPr>
        <w:t> </w:t>
      </w:r>
      <w:r>
        <w:rPr/>
        <w:t>1.44:1</w:t>
      </w:r>
      <w:r>
        <w:rPr>
          <w:spacing w:val="-3"/>
        </w:rPr>
        <w:t> </w:t>
      </w:r>
      <w:r>
        <w:rPr>
          <w:spacing w:val="-2"/>
        </w:rPr>
        <w:t>(1.21:1).</w:t>
      </w:r>
    </w:p>
    <w:p>
      <w:pPr>
        <w:pStyle w:val="BodyText"/>
      </w:pPr>
    </w:p>
    <w:p>
      <w:pPr>
        <w:pStyle w:val="BodyText"/>
        <w:ind w:left="419" w:right="811"/>
        <w:jc w:val="both"/>
      </w:pPr>
      <w:r>
        <w:rPr/>
        <w:t>In the second of these scenarios, involving increasing the estimated loss of NLA to 4%, the PV of the costs associated with the 2008 Standards increases from $9.3 ($6.9) billion over 30 years to $11.9 ($8 9) billion over 30 years. Given that the PV of the benefits would remain unchanged at $11.4 ($7.3) billion,</w:t>
      </w:r>
      <w:r>
        <w:rPr>
          <w:spacing w:val="26"/>
        </w:rPr>
        <w:t> </w:t>
      </w:r>
      <w:r>
        <w:rPr/>
        <w:t>the</w:t>
      </w:r>
      <w:r>
        <w:rPr>
          <w:spacing w:val="26"/>
        </w:rPr>
        <w:t> </w:t>
      </w:r>
      <w:r>
        <w:rPr/>
        <w:t>NPV</w:t>
      </w:r>
      <w:r>
        <w:rPr>
          <w:spacing w:val="26"/>
        </w:rPr>
        <w:t> </w:t>
      </w:r>
      <w:r>
        <w:rPr/>
        <w:t>of</w:t>
      </w:r>
      <w:r>
        <w:rPr>
          <w:spacing w:val="26"/>
        </w:rPr>
        <w:t> </w:t>
      </w:r>
      <w:r>
        <w:rPr/>
        <w:t>the</w:t>
      </w:r>
      <w:r>
        <w:rPr>
          <w:spacing w:val="25"/>
        </w:rPr>
        <w:t> </w:t>
      </w:r>
      <w:r>
        <w:rPr/>
        <w:t>implementation</w:t>
      </w:r>
      <w:r>
        <w:rPr>
          <w:spacing w:val="26"/>
        </w:rPr>
        <w:t> </w:t>
      </w:r>
      <w:r>
        <w:rPr/>
        <w:t>of</w:t>
      </w:r>
      <w:r>
        <w:rPr>
          <w:spacing w:val="26"/>
        </w:rPr>
        <w:t> </w:t>
      </w:r>
      <w:r>
        <w:rPr/>
        <w:t>the</w:t>
      </w:r>
      <w:r>
        <w:rPr>
          <w:spacing w:val="25"/>
        </w:rPr>
        <w:t> </w:t>
      </w:r>
      <w:r>
        <w:rPr/>
        <w:t>Premises</w:t>
      </w:r>
      <w:r>
        <w:rPr>
          <w:spacing w:val="26"/>
        </w:rPr>
        <w:t> </w:t>
      </w:r>
      <w:r>
        <w:rPr/>
        <w:t>Standards</w:t>
      </w:r>
      <w:r>
        <w:rPr>
          <w:spacing w:val="26"/>
        </w:rPr>
        <w:t> </w:t>
      </w:r>
      <w:r>
        <w:rPr/>
        <w:t>would</w:t>
      </w:r>
      <w:r>
        <w:rPr>
          <w:spacing w:val="25"/>
        </w:rPr>
        <w:t> </w:t>
      </w:r>
      <w:r>
        <w:rPr>
          <w:spacing w:val="-5"/>
        </w:rPr>
        <w:t>be</w:t>
      </w:r>
    </w:p>
    <w:p>
      <w:pPr>
        <w:pStyle w:val="BodyText"/>
        <w:spacing w:before="1"/>
        <w:ind w:left="420"/>
        <w:jc w:val="both"/>
      </w:pPr>
      <w:r>
        <w:rPr/>
        <w:t>$0.5</w:t>
      </w:r>
      <w:r>
        <w:rPr>
          <w:spacing w:val="-4"/>
        </w:rPr>
        <w:t> </w:t>
      </w:r>
      <w:r>
        <w:rPr/>
        <w:t>billion</w:t>
      </w:r>
      <w:r>
        <w:rPr>
          <w:spacing w:val="-4"/>
        </w:rPr>
        <w:t> </w:t>
      </w:r>
      <w:r>
        <w:rPr/>
        <w:t>and</w:t>
      </w:r>
      <w:r>
        <w:rPr>
          <w:spacing w:val="-4"/>
        </w:rPr>
        <w:t> </w:t>
      </w:r>
      <w:r>
        <w:rPr/>
        <w:t>the</w:t>
      </w:r>
      <w:r>
        <w:rPr>
          <w:spacing w:val="-4"/>
        </w:rPr>
        <w:t> </w:t>
      </w:r>
      <w:r>
        <w:rPr/>
        <w:t>benefit</w:t>
      </w:r>
      <w:r>
        <w:rPr>
          <w:spacing w:val="-4"/>
        </w:rPr>
        <w:t> </w:t>
      </w:r>
      <w:r>
        <w:rPr/>
        <w:t>cost</w:t>
      </w:r>
      <w:r>
        <w:rPr>
          <w:spacing w:val="-4"/>
        </w:rPr>
        <w:t> </w:t>
      </w:r>
      <w:r>
        <w:rPr/>
        <w:t>ratio</w:t>
      </w:r>
      <w:r>
        <w:rPr>
          <w:spacing w:val="-4"/>
        </w:rPr>
        <w:t> </w:t>
      </w:r>
      <w:r>
        <w:rPr/>
        <w:t>would</w:t>
      </w:r>
      <w:r>
        <w:rPr>
          <w:spacing w:val="-3"/>
        </w:rPr>
        <w:t> </w:t>
      </w:r>
      <w:r>
        <w:rPr/>
        <w:t>be</w:t>
      </w:r>
      <w:r>
        <w:rPr>
          <w:spacing w:val="-4"/>
        </w:rPr>
        <w:t> </w:t>
      </w:r>
      <w:r>
        <w:rPr/>
        <w:t>0.95:1</w:t>
      </w:r>
      <w:r>
        <w:rPr>
          <w:spacing w:val="-4"/>
        </w:rPr>
        <w:t> </w:t>
      </w:r>
      <w:r>
        <w:rPr>
          <w:spacing w:val="-2"/>
        </w:rPr>
        <w:t>(0.82:1).</w:t>
      </w:r>
    </w:p>
    <w:p>
      <w:pPr>
        <w:pStyle w:val="BodyText"/>
        <w:spacing w:before="1"/>
        <w:rPr>
          <w:sz w:val="21"/>
        </w:rPr>
      </w:pPr>
    </w:p>
    <w:p>
      <w:pPr>
        <w:pStyle w:val="Heading3"/>
        <w:numPr>
          <w:ilvl w:val="2"/>
          <w:numId w:val="39"/>
        </w:numPr>
        <w:tabs>
          <w:tab w:pos="1860" w:val="left" w:leader="none"/>
        </w:tabs>
        <w:spacing w:line="240" w:lineRule="auto" w:before="0" w:after="0"/>
        <w:ind w:left="420" w:right="1597" w:firstLine="0"/>
        <w:jc w:val="both"/>
      </w:pPr>
      <w:bookmarkStart w:name="10.4.6 Summarising the results of the se" w:id="122"/>
      <w:bookmarkEnd w:id="122"/>
      <w:r>
        <w:rPr/>
        <w:t>Summar</w:t>
      </w:r>
      <w:r>
        <w:rPr/>
        <w:t>ising</w:t>
      </w:r>
      <w:r>
        <w:rPr>
          <w:spacing w:val="-7"/>
        </w:rPr>
        <w:t> </w:t>
      </w:r>
      <w:r>
        <w:rPr/>
        <w:t>the</w:t>
      </w:r>
      <w:r>
        <w:rPr>
          <w:spacing w:val="-7"/>
        </w:rPr>
        <w:t> </w:t>
      </w:r>
      <w:r>
        <w:rPr/>
        <w:t>results</w:t>
      </w:r>
      <w:r>
        <w:rPr>
          <w:spacing w:val="-7"/>
        </w:rPr>
        <w:t> </w:t>
      </w:r>
      <w:r>
        <w:rPr/>
        <w:t>of</w:t>
      </w:r>
      <w:r>
        <w:rPr>
          <w:spacing w:val="-7"/>
        </w:rPr>
        <w:t> </w:t>
      </w:r>
      <w:r>
        <w:rPr/>
        <w:t>the</w:t>
      </w:r>
      <w:r>
        <w:rPr>
          <w:spacing w:val="-7"/>
        </w:rPr>
        <w:t> </w:t>
      </w:r>
      <w:r>
        <w:rPr/>
        <w:t>sensitivity</w:t>
      </w:r>
      <w:r>
        <w:rPr>
          <w:spacing w:val="-7"/>
        </w:rPr>
        <w:t> </w:t>
      </w:r>
      <w:r>
        <w:rPr/>
        <w:t>testing based on the 2008 Proposal</w:t>
      </w:r>
    </w:p>
    <w:p>
      <w:pPr>
        <w:pStyle w:val="BodyText"/>
        <w:rPr>
          <w:b/>
          <w:sz w:val="29"/>
        </w:rPr>
      </w:pPr>
    </w:p>
    <w:p>
      <w:pPr>
        <w:pStyle w:val="Heading4"/>
        <w:rPr>
          <w:u w:val="none"/>
        </w:rPr>
      </w:pPr>
      <w:r>
        <w:rPr>
          <w:u w:val="single"/>
        </w:rPr>
        <w:t>Table</w:t>
      </w:r>
      <w:r>
        <w:rPr>
          <w:spacing w:val="-8"/>
          <w:u w:val="single"/>
        </w:rPr>
        <w:t> </w:t>
      </w:r>
      <w:r>
        <w:rPr>
          <w:u w:val="single"/>
        </w:rPr>
        <w:t>16:</w:t>
      </w:r>
      <w:r>
        <w:rPr>
          <w:spacing w:val="52"/>
          <w:u w:val="single"/>
        </w:rPr>
        <w:t> </w:t>
      </w:r>
      <w:r>
        <w:rPr>
          <w:u w:val="single"/>
        </w:rPr>
        <w:t>Summary</w:t>
      </w:r>
      <w:r>
        <w:rPr>
          <w:spacing w:val="-11"/>
          <w:u w:val="single"/>
        </w:rPr>
        <w:t> </w:t>
      </w:r>
      <w:r>
        <w:rPr>
          <w:u w:val="single"/>
        </w:rPr>
        <w:t>of</w:t>
      </w:r>
      <w:r>
        <w:rPr>
          <w:spacing w:val="-7"/>
          <w:u w:val="single"/>
        </w:rPr>
        <w:t> </w:t>
      </w:r>
      <w:r>
        <w:rPr>
          <w:u w:val="single"/>
        </w:rPr>
        <w:t>results</w:t>
      </w:r>
      <w:r>
        <w:rPr>
          <w:spacing w:val="-8"/>
          <w:u w:val="single"/>
        </w:rPr>
        <w:t> </w:t>
      </w:r>
      <w:r>
        <w:rPr>
          <w:u w:val="single"/>
        </w:rPr>
        <w:t>of</w:t>
      </w:r>
      <w:r>
        <w:rPr>
          <w:spacing w:val="-7"/>
          <w:u w:val="single"/>
        </w:rPr>
        <w:t> </w:t>
      </w:r>
      <w:r>
        <w:rPr>
          <w:u w:val="single"/>
        </w:rPr>
        <w:t>sensitivity</w:t>
      </w:r>
      <w:r>
        <w:rPr>
          <w:spacing w:val="-10"/>
          <w:u w:val="single"/>
        </w:rPr>
        <w:t> </w:t>
      </w:r>
      <w:r>
        <w:rPr>
          <w:u w:val="single"/>
        </w:rPr>
        <w:t>testing</w:t>
      </w:r>
      <w:r>
        <w:rPr>
          <w:spacing w:val="-8"/>
          <w:u w:val="single"/>
        </w:rPr>
        <w:t> </w:t>
      </w:r>
      <w:r>
        <w:rPr>
          <w:spacing w:val="-2"/>
          <w:u w:val="single"/>
        </w:rPr>
        <w:t>($billion)</w:t>
      </w:r>
    </w:p>
    <w:p>
      <w:pPr>
        <w:pStyle w:val="BodyText"/>
        <w:spacing w:before="2"/>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576"/>
        <w:gridCol w:w="1575"/>
        <w:gridCol w:w="1576"/>
        <w:gridCol w:w="1395"/>
      </w:tblGrid>
      <w:tr>
        <w:trPr>
          <w:trHeight w:val="814" w:hRule="atLeast"/>
        </w:trPr>
        <w:tc>
          <w:tcPr>
            <w:tcW w:w="2160" w:type="dxa"/>
          </w:tcPr>
          <w:p>
            <w:pPr>
              <w:pStyle w:val="TableParagraph"/>
              <w:rPr>
                <w:rFonts w:ascii="Times New Roman"/>
                <w:sz w:val="22"/>
              </w:rPr>
            </w:pPr>
          </w:p>
        </w:tc>
        <w:tc>
          <w:tcPr>
            <w:tcW w:w="1576" w:type="dxa"/>
          </w:tcPr>
          <w:p>
            <w:pPr>
              <w:pStyle w:val="TableParagraph"/>
              <w:spacing w:before="27"/>
              <w:ind w:left="107" w:right="123"/>
              <w:rPr>
                <w:b/>
                <w:sz w:val="22"/>
              </w:rPr>
            </w:pPr>
            <w:r>
              <w:rPr>
                <w:b/>
                <w:sz w:val="22"/>
              </w:rPr>
              <w:t>PV of </w:t>
            </w:r>
            <w:r>
              <w:rPr>
                <w:b/>
                <w:spacing w:val="-2"/>
                <w:sz w:val="22"/>
              </w:rPr>
              <w:t>benefits ($bn)</w:t>
            </w:r>
          </w:p>
        </w:tc>
        <w:tc>
          <w:tcPr>
            <w:tcW w:w="1575" w:type="dxa"/>
          </w:tcPr>
          <w:p>
            <w:pPr>
              <w:pStyle w:val="TableParagraph"/>
              <w:spacing w:before="27"/>
              <w:ind w:left="107"/>
              <w:rPr>
                <w:b/>
                <w:sz w:val="22"/>
              </w:rPr>
            </w:pPr>
            <w:r>
              <w:rPr>
                <w:b/>
                <w:sz w:val="22"/>
              </w:rPr>
              <w:t>PV</w:t>
            </w:r>
            <w:r>
              <w:rPr>
                <w:b/>
                <w:spacing w:val="-3"/>
                <w:sz w:val="22"/>
              </w:rPr>
              <w:t> </w:t>
            </w:r>
            <w:r>
              <w:rPr>
                <w:b/>
                <w:sz w:val="22"/>
              </w:rPr>
              <w:t>of</w:t>
            </w:r>
            <w:r>
              <w:rPr>
                <w:b/>
                <w:spacing w:val="-3"/>
                <w:sz w:val="22"/>
              </w:rPr>
              <w:t> </w:t>
            </w:r>
            <w:r>
              <w:rPr>
                <w:b/>
                <w:spacing w:val="-2"/>
                <w:sz w:val="22"/>
              </w:rPr>
              <w:t>costs</w:t>
            </w:r>
          </w:p>
        </w:tc>
        <w:tc>
          <w:tcPr>
            <w:tcW w:w="1576" w:type="dxa"/>
          </w:tcPr>
          <w:p>
            <w:pPr>
              <w:pStyle w:val="TableParagraph"/>
              <w:spacing w:before="27"/>
              <w:ind w:left="106"/>
              <w:rPr>
                <w:b/>
                <w:sz w:val="22"/>
              </w:rPr>
            </w:pPr>
            <w:r>
              <w:rPr>
                <w:b/>
                <w:spacing w:val="-5"/>
                <w:sz w:val="22"/>
              </w:rPr>
              <w:t>NPV</w:t>
            </w:r>
          </w:p>
        </w:tc>
        <w:tc>
          <w:tcPr>
            <w:tcW w:w="1395" w:type="dxa"/>
          </w:tcPr>
          <w:p>
            <w:pPr>
              <w:pStyle w:val="TableParagraph"/>
              <w:spacing w:before="27"/>
              <w:ind w:left="106" w:right="284"/>
              <w:rPr>
                <w:b/>
                <w:sz w:val="22"/>
              </w:rPr>
            </w:pPr>
            <w:r>
              <w:rPr>
                <w:b/>
                <w:spacing w:val="-2"/>
                <w:sz w:val="22"/>
              </w:rPr>
              <w:t>Benefit/ </w:t>
            </w:r>
            <w:r>
              <w:rPr>
                <w:b/>
                <w:sz w:val="22"/>
              </w:rPr>
              <w:t>cost</w:t>
            </w:r>
            <w:r>
              <w:rPr>
                <w:b/>
                <w:spacing w:val="-16"/>
                <w:sz w:val="22"/>
              </w:rPr>
              <w:t> </w:t>
            </w:r>
            <w:r>
              <w:rPr>
                <w:b/>
                <w:sz w:val="22"/>
              </w:rPr>
              <w:t>ratio</w:t>
            </w:r>
          </w:p>
        </w:tc>
      </w:tr>
      <w:tr>
        <w:trPr>
          <w:trHeight w:val="562" w:hRule="atLeast"/>
        </w:trPr>
        <w:tc>
          <w:tcPr>
            <w:tcW w:w="2160" w:type="dxa"/>
          </w:tcPr>
          <w:p>
            <w:pPr>
              <w:pStyle w:val="TableParagraph"/>
              <w:spacing w:before="27"/>
              <w:ind w:left="107" w:right="167"/>
              <w:rPr>
                <w:b/>
                <w:sz w:val="22"/>
              </w:rPr>
            </w:pPr>
            <w:r>
              <w:rPr>
                <w:b/>
                <w:sz w:val="22"/>
              </w:rPr>
              <w:t>Base case with 4%</w:t>
            </w:r>
            <w:r>
              <w:rPr>
                <w:b/>
                <w:spacing w:val="-16"/>
                <w:sz w:val="22"/>
              </w:rPr>
              <w:t> </w:t>
            </w:r>
            <w:r>
              <w:rPr>
                <w:b/>
                <w:sz w:val="22"/>
              </w:rPr>
              <w:t>discount</w:t>
            </w:r>
            <w:r>
              <w:rPr>
                <w:b/>
                <w:spacing w:val="-15"/>
                <w:sz w:val="22"/>
              </w:rPr>
              <w:t> </w:t>
            </w:r>
            <w:r>
              <w:rPr>
                <w:b/>
                <w:sz w:val="22"/>
              </w:rPr>
              <w:t>rate</w:t>
            </w:r>
          </w:p>
        </w:tc>
        <w:tc>
          <w:tcPr>
            <w:tcW w:w="1576" w:type="dxa"/>
          </w:tcPr>
          <w:p>
            <w:pPr>
              <w:pStyle w:val="TableParagraph"/>
              <w:spacing w:before="152"/>
              <w:ind w:right="97"/>
              <w:jc w:val="right"/>
              <w:rPr>
                <w:sz w:val="22"/>
              </w:rPr>
            </w:pPr>
            <w:r>
              <w:rPr>
                <w:spacing w:val="-4"/>
                <w:sz w:val="22"/>
              </w:rPr>
              <w:t>11.4</w:t>
            </w:r>
          </w:p>
        </w:tc>
        <w:tc>
          <w:tcPr>
            <w:tcW w:w="1575" w:type="dxa"/>
          </w:tcPr>
          <w:p>
            <w:pPr>
              <w:pStyle w:val="TableParagraph"/>
              <w:spacing w:before="152"/>
              <w:ind w:right="97"/>
              <w:jc w:val="right"/>
              <w:rPr>
                <w:sz w:val="22"/>
              </w:rPr>
            </w:pPr>
            <w:r>
              <w:rPr>
                <w:spacing w:val="-5"/>
                <w:sz w:val="22"/>
              </w:rPr>
              <w:t>9.3</w:t>
            </w:r>
          </w:p>
        </w:tc>
        <w:tc>
          <w:tcPr>
            <w:tcW w:w="1576" w:type="dxa"/>
          </w:tcPr>
          <w:p>
            <w:pPr>
              <w:pStyle w:val="TableParagraph"/>
              <w:spacing w:before="152"/>
              <w:ind w:right="99"/>
              <w:jc w:val="right"/>
              <w:rPr>
                <w:sz w:val="22"/>
              </w:rPr>
            </w:pPr>
            <w:r>
              <w:rPr>
                <w:spacing w:val="-5"/>
                <w:sz w:val="22"/>
              </w:rPr>
              <w:t>2.1</w:t>
            </w:r>
          </w:p>
        </w:tc>
        <w:tc>
          <w:tcPr>
            <w:tcW w:w="1395" w:type="dxa"/>
          </w:tcPr>
          <w:p>
            <w:pPr>
              <w:pStyle w:val="TableParagraph"/>
              <w:spacing w:before="152"/>
              <w:ind w:left="358"/>
              <w:rPr>
                <w:sz w:val="22"/>
              </w:rPr>
            </w:pPr>
            <w:r>
              <w:rPr>
                <w:sz w:val="22"/>
              </w:rPr>
              <w:t>1.23:</w:t>
            </w:r>
            <w:r>
              <w:rPr>
                <w:spacing w:val="-5"/>
                <w:sz w:val="22"/>
              </w:rPr>
              <w:t> </w:t>
            </w:r>
            <w:r>
              <w:rPr>
                <w:spacing w:val="-10"/>
                <w:sz w:val="22"/>
              </w:rPr>
              <w:t>1</w:t>
            </w:r>
          </w:p>
        </w:tc>
      </w:tr>
      <w:tr>
        <w:trPr>
          <w:trHeight w:val="562" w:hRule="atLeast"/>
        </w:trPr>
        <w:tc>
          <w:tcPr>
            <w:tcW w:w="2160" w:type="dxa"/>
          </w:tcPr>
          <w:p>
            <w:pPr>
              <w:pStyle w:val="TableParagraph"/>
              <w:spacing w:before="27"/>
              <w:ind w:left="107" w:right="167"/>
              <w:rPr>
                <w:b/>
                <w:sz w:val="22"/>
              </w:rPr>
            </w:pPr>
            <w:r>
              <w:rPr>
                <w:b/>
                <w:sz w:val="22"/>
              </w:rPr>
              <w:t>Base case with 7%</w:t>
            </w:r>
            <w:r>
              <w:rPr>
                <w:b/>
                <w:spacing w:val="-16"/>
                <w:sz w:val="22"/>
              </w:rPr>
              <w:t> </w:t>
            </w:r>
            <w:r>
              <w:rPr>
                <w:b/>
                <w:sz w:val="22"/>
              </w:rPr>
              <w:t>discount</w:t>
            </w:r>
            <w:r>
              <w:rPr>
                <w:b/>
                <w:spacing w:val="-15"/>
                <w:sz w:val="22"/>
              </w:rPr>
              <w:t> </w:t>
            </w:r>
            <w:r>
              <w:rPr>
                <w:b/>
                <w:sz w:val="22"/>
              </w:rPr>
              <w:t>rate</w:t>
            </w:r>
          </w:p>
        </w:tc>
        <w:tc>
          <w:tcPr>
            <w:tcW w:w="1576" w:type="dxa"/>
          </w:tcPr>
          <w:p>
            <w:pPr>
              <w:pStyle w:val="TableParagraph"/>
              <w:spacing w:before="152"/>
              <w:ind w:right="97"/>
              <w:jc w:val="right"/>
              <w:rPr>
                <w:sz w:val="22"/>
              </w:rPr>
            </w:pPr>
            <w:r>
              <w:rPr>
                <w:spacing w:val="-5"/>
                <w:sz w:val="22"/>
              </w:rPr>
              <w:t>7.3</w:t>
            </w:r>
          </w:p>
        </w:tc>
        <w:tc>
          <w:tcPr>
            <w:tcW w:w="1575" w:type="dxa"/>
          </w:tcPr>
          <w:p>
            <w:pPr>
              <w:pStyle w:val="TableParagraph"/>
              <w:spacing w:before="152"/>
              <w:ind w:right="97"/>
              <w:jc w:val="right"/>
              <w:rPr>
                <w:sz w:val="22"/>
              </w:rPr>
            </w:pPr>
            <w:r>
              <w:rPr>
                <w:spacing w:val="-5"/>
                <w:sz w:val="22"/>
              </w:rPr>
              <w:t>6.9</w:t>
            </w:r>
          </w:p>
        </w:tc>
        <w:tc>
          <w:tcPr>
            <w:tcW w:w="1576" w:type="dxa"/>
          </w:tcPr>
          <w:p>
            <w:pPr>
              <w:pStyle w:val="TableParagraph"/>
              <w:spacing w:before="152"/>
              <w:ind w:right="99"/>
              <w:jc w:val="right"/>
              <w:rPr>
                <w:sz w:val="22"/>
              </w:rPr>
            </w:pPr>
            <w:r>
              <w:rPr>
                <w:spacing w:val="-5"/>
                <w:sz w:val="22"/>
              </w:rPr>
              <w:t>0.4</w:t>
            </w:r>
          </w:p>
        </w:tc>
        <w:tc>
          <w:tcPr>
            <w:tcW w:w="1395" w:type="dxa"/>
          </w:tcPr>
          <w:p>
            <w:pPr>
              <w:pStyle w:val="TableParagraph"/>
              <w:spacing w:before="152"/>
              <w:ind w:left="389"/>
              <w:rPr>
                <w:sz w:val="22"/>
              </w:rPr>
            </w:pPr>
            <w:r>
              <w:rPr>
                <w:spacing w:val="-2"/>
                <w:sz w:val="22"/>
              </w:rPr>
              <w:t>1.05:1</w:t>
            </w:r>
          </w:p>
        </w:tc>
      </w:tr>
    </w:tbl>
    <w:p>
      <w:pPr>
        <w:spacing w:after="0"/>
        <w:rPr>
          <w:sz w:val="22"/>
        </w:rPr>
        <w:sectPr>
          <w:pgSz w:w="11900" w:h="16840"/>
          <w:pgMar w:header="0" w:footer="1130" w:top="1000" w:bottom="132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576"/>
        <w:gridCol w:w="1575"/>
        <w:gridCol w:w="1576"/>
        <w:gridCol w:w="1395"/>
      </w:tblGrid>
      <w:tr>
        <w:trPr>
          <w:trHeight w:val="815" w:hRule="atLeast"/>
        </w:trPr>
        <w:tc>
          <w:tcPr>
            <w:tcW w:w="2160" w:type="dxa"/>
          </w:tcPr>
          <w:p>
            <w:pPr>
              <w:pStyle w:val="TableParagraph"/>
              <w:rPr>
                <w:rFonts w:ascii="Times New Roman"/>
                <w:sz w:val="22"/>
              </w:rPr>
            </w:pPr>
          </w:p>
        </w:tc>
        <w:tc>
          <w:tcPr>
            <w:tcW w:w="1576" w:type="dxa"/>
          </w:tcPr>
          <w:p>
            <w:pPr>
              <w:pStyle w:val="TableParagraph"/>
              <w:spacing w:before="27"/>
              <w:ind w:left="107" w:right="123"/>
              <w:rPr>
                <w:b/>
                <w:sz w:val="22"/>
              </w:rPr>
            </w:pPr>
            <w:r>
              <w:rPr>
                <w:b/>
                <w:sz w:val="22"/>
              </w:rPr>
              <w:t>PV of </w:t>
            </w:r>
            <w:r>
              <w:rPr>
                <w:b/>
                <w:spacing w:val="-2"/>
                <w:sz w:val="22"/>
              </w:rPr>
              <w:t>benefits ($bn)</w:t>
            </w:r>
          </w:p>
        </w:tc>
        <w:tc>
          <w:tcPr>
            <w:tcW w:w="1575" w:type="dxa"/>
          </w:tcPr>
          <w:p>
            <w:pPr>
              <w:pStyle w:val="TableParagraph"/>
              <w:spacing w:before="27"/>
              <w:ind w:left="107"/>
              <w:rPr>
                <w:b/>
                <w:sz w:val="22"/>
              </w:rPr>
            </w:pPr>
            <w:r>
              <w:rPr>
                <w:b/>
                <w:sz w:val="22"/>
              </w:rPr>
              <w:t>PV</w:t>
            </w:r>
            <w:r>
              <w:rPr>
                <w:b/>
                <w:spacing w:val="-3"/>
                <w:sz w:val="22"/>
              </w:rPr>
              <w:t> </w:t>
            </w:r>
            <w:r>
              <w:rPr>
                <w:b/>
                <w:sz w:val="22"/>
              </w:rPr>
              <w:t>of</w:t>
            </w:r>
            <w:r>
              <w:rPr>
                <w:b/>
                <w:spacing w:val="-3"/>
                <w:sz w:val="22"/>
              </w:rPr>
              <w:t> </w:t>
            </w:r>
            <w:r>
              <w:rPr>
                <w:b/>
                <w:spacing w:val="-2"/>
                <w:sz w:val="22"/>
              </w:rPr>
              <w:t>costs</w:t>
            </w:r>
          </w:p>
        </w:tc>
        <w:tc>
          <w:tcPr>
            <w:tcW w:w="1576" w:type="dxa"/>
          </w:tcPr>
          <w:p>
            <w:pPr>
              <w:pStyle w:val="TableParagraph"/>
              <w:spacing w:before="27"/>
              <w:ind w:left="106"/>
              <w:rPr>
                <w:b/>
                <w:sz w:val="22"/>
              </w:rPr>
            </w:pPr>
            <w:r>
              <w:rPr>
                <w:b/>
                <w:spacing w:val="-5"/>
                <w:sz w:val="22"/>
              </w:rPr>
              <w:t>NPV</w:t>
            </w:r>
          </w:p>
        </w:tc>
        <w:tc>
          <w:tcPr>
            <w:tcW w:w="1395" w:type="dxa"/>
          </w:tcPr>
          <w:p>
            <w:pPr>
              <w:pStyle w:val="TableParagraph"/>
              <w:spacing w:before="27"/>
              <w:ind w:left="106" w:right="284"/>
              <w:rPr>
                <w:b/>
                <w:sz w:val="22"/>
              </w:rPr>
            </w:pPr>
            <w:r>
              <w:rPr>
                <w:b/>
                <w:spacing w:val="-2"/>
                <w:sz w:val="22"/>
              </w:rPr>
              <w:t>Benefit/ </w:t>
            </w:r>
            <w:r>
              <w:rPr>
                <w:b/>
                <w:sz w:val="22"/>
              </w:rPr>
              <w:t>cost</w:t>
            </w:r>
            <w:r>
              <w:rPr>
                <w:b/>
                <w:spacing w:val="-16"/>
                <w:sz w:val="22"/>
              </w:rPr>
              <w:t> </w:t>
            </w:r>
            <w:r>
              <w:rPr>
                <w:b/>
                <w:sz w:val="22"/>
              </w:rPr>
              <w:t>ratio</w:t>
            </w:r>
          </w:p>
        </w:tc>
      </w:tr>
      <w:tr>
        <w:trPr>
          <w:trHeight w:val="561" w:hRule="atLeast"/>
        </w:trPr>
        <w:tc>
          <w:tcPr>
            <w:tcW w:w="2160" w:type="dxa"/>
          </w:tcPr>
          <w:p>
            <w:pPr>
              <w:pStyle w:val="TableParagraph"/>
              <w:spacing w:before="27"/>
              <w:ind w:left="107" w:right="45"/>
              <w:rPr>
                <w:b/>
                <w:sz w:val="22"/>
              </w:rPr>
            </w:pPr>
            <w:r>
              <w:rPr>
                <w:b/>
                <w:sz w:val="22"/>
              </w:rPr>
              <w:t>Base case with 11%</w:t>
            </w:r>
            <w:r>
              <w:rPr>
                <w:b/>
                <w:spacing w:val="-16"/>
                <w:sz w:val="22"/>
              </w:rPr>
              <w:t> </w:t>
            </w:r>
            <w:r>
              <w:rPr>
                <w:b/>
                <w:sz w:val="22"/>
              </w:rPr>
              <w:t>discount</w:t>
            </w:r>
            <w:r>
              <w:rPr>
                <w:b/>
                <w:spacing w:val="-15"/>
                <w:sz w:val="22"/>
              </w:rPr>
              <w:t> </w:t>
            </w:r>
            <w:r>
              <w:rPr>
                <w:b/>
                <w:sz w:val="22"/>
              </w:rPr>
              <w:t>rate</w:t>
            </w:r>
          </w:p>
        </w:tc>
        <w:tc>
          <w:tcPr>
            <w:tcW w:w="1576" w:type="dxa"/>
          </w:tcPr>
          <w:p>
            <w:pPr>
              <w:pStyle w:val="TableParagraph"/>
              <w:spacing w:before="152"/>
              <w:ind w:right="97"/>
              <w:jc w:val="right"/>
              <w:rPr>
                <w:sz w:val="22"/>
              </w:rPr>
            </w:pPr>
            <w:r>
              <w:rPr>
                <w:spacing w:val="-5"/>
                <w:sz w:val="22"/>
              </w:rPr>
              <w:t>4.5</w:t>
            </w:r>
          </w:p>
        </w:tc>
        <w:tc>
          <w:tcPr>
            <w:tcW w:w="1575" w:type="dxa"/>
          </w:tcPr>
          <w:p>
            <w:pPr>
              <w:pStyle w:val="TableParagraph"/>
              <w:spacing w:before="152"/>
              <w:ind w:right="97"/>
              <w:jc w:val="right"/>
              <w:rPr>
                <w:sz w:val="22"/>
              </w:rPr>
            </w:pPr>
            <w:r>
              <w:rPr>
                <w:spacing w:val="-5"/>
                <w:sz w:val="22"/>
              </w:rPr>
              <w:t>5.5</w:t>
            </w:r>
          </w:p>
        </w:tc>
        <w:tc>
          <w:tcPr>
            <w:tcW w:w="1576" w:type="dxa"/>
          </w:tcPr>
          <w:p>
            <w:pPr>
              <w:pStyle w:val="TableParagraph"/>
              <w:spacing w:before="152"/>
              <w:ind w:right="98"/>
              <w:jc w:val="right"/>
              <w:rPr>
                <w:sz w:val="22"/>
              </w:rPr>
            </w:pPr>
            <w:r>
              <w:rPr>
                <w:w w:val="95"/>
                <w:sz w:val="22"/>
              </w:rPr>
              <w:t>-</w:t>
            </w:r>
            <w:r>
              <w:rPr>
                <w:spacing w:val="-10"/>
                <w:w w:val="95"/>
                <w:sz w:val="22"/>
              </w:rPr>
              <w:t>1</w:t>
            </w:r>
          </w:p>
        </w:tc>
        <w:tc>
          <w:tcPr>
            <w:tcW w:w="1395" w:type="dxa"/>
          </w:tcPr>
          <w:p>
            <w:pPr>
              <w:pStyle w:val="TableParagraph"/>
              <w:spacing w:before="152"/>
              <w:ind w:left="389"/>
              <w:rPr>
                <w:sz w:val="22"/>
              </w:rPr>
            </w:pPr>
            <w:r>
              <w:rPr>
                <w:spacing w:val="-2"/>
                <w:sz w:val="22"/>
              </w:rPr>
              <w:t>0.82:1</w:t>
            </w:r>
          </w:p>
        </w:tc>
      </w:tr>
      <w:tr>
        <w:trPr>
          <w:trHeight w:val="562" w:hRule="atLeast"/>
        </w:trPr>
        <w:tc>
          <w:tcPr>
            <w:tcW w:w="2160" w:type="dxa"/>
          </w:tcPr>
          <w:p>
            <w:pPr>
              <w:pStyle w:val="TableParagraph"/>
              <w:spacing w:before="27"/>
              <w:ind w:left="107"/>
              <w:rPr>
                <w:b/>
                <w:sz w:val="22"/>
              </w:rPr>
            </w:pPr>
            <w:r>
              <w:rPr>
                <w:b/>
                <w:sz w:val="22"/>
              </w:rPr>
              <w:t>Optimistic</w:t>
            </w:r>
            <w:r>
              <w:rPr>
                <w:b/>
                <w:spacing w:val="-16"/>
                <w:sz w:val="22"/>
              </w:rPr>
              <w:t> </w:t>
            </w:r>
            <w:r>
              <w:rPr>
                <w:b/>
                <w:sz w:val="22"/>
              </w:rPr>
              <w:t>benefit </w:t>
            </w:r>
            <w:r>
              <w:rPr>
                <w:b/>
                <w:spacing w:val="-2"/>
                <w:sz w:val="22"/>
              </w:rPr>
              <w:t>assumptions</w:t>
            </w:r>
          </w:p>
        </w:tc>
        <w:tc>
          <w:tcPr>
            <w:tcW w:w="1576" w:type="dxa"/>
          </w:tcPr>
          <w:p>
            <w:pPr>
              <w:pStyle w:val="TableParagraph"/>
              <w:spacing w:before="152"/>
              <w:ind w:right="97"/>
              <w:jc w:val="right"/>
              <w:rPr>
                <w:sz w:val="22"/>
              </w:rPr>
            </w:pPr>
            <w:r>
              <w:rPr>
                <w:spacing w:val="-5"/>
                <w:sz w:val="22"/>
              </w:rPr>
              <w:t>10</w:t>
            </w:r>
          </w:p>
        </w:tc>
        <w:tc>
          <w:tcPr>
            <w:tcW w:w="1575" w:type="dxa"/>
          </w:tcPr>
          <w:p>
            <w:pPr>
              <w:pStyle w:val="TableParagraph"/>
              <w:spacing w:before="152"/>
              <w:ind w:right="97"/>
              <w:jc w:val="right"/>
              <w:rPr>
                <w:sz w:val="22"/>
              </w:rPr>
            </w:pPr>
            <w:r>
              <w:rPr>
                <w:spacing w:val="-5"/>
                <w:sz w:val="22"/>
              </w:rPr>
              <w:t>6.9</w:t>
            </w:r>
          </w:p>
        </w:tc>
        <w:tc>
          <w:tcPr>
            <w:tcW w:w="1576" w:type="dxa"/>
          </w:tcPr>
          <w:p>
            <w:pPr>
              <w:pStyle w:val="TableParagraph"/>
              <w:spacing w:before="152"/>
              <w:ind w:right="99"/>
              <w:jc w:val="right"/>
              <w:rPr>
                <w:sz w:val="22"/>
              </w:rPr>
            </w:pPr>
            <w:r>
              <w:rPr>
                <w:spacing w:val="-5"/>
                <w:sz w:val="22"/>
              </w:rPr>
              <w:t>3.1</w:t>
            </w:r>
          </w:p>
        </w:tc>
        <w:tc>
          <w:tcPr>
            <w:tcW w:w="1395" w:type="dxa"/>
          </w:tcPr>
          <w:p>
            <w:pPr>
              <w:pStyle w:val="TableParagraph"/>
              <w:spacing w:before="152"/>
              <w:ind w:left="389"/>
              <w:rPr>
                <w:sz w:val="22"/>
              </w:rPr>
            </w:pPr>
            <w:r>
              <w:rPr>
                <w:spacing w:val="-2"/>
                <w:sz w:val="22"/>
              </w:rPr>
              <w:t>1.45:1</w:t>
            </w:r>
          </w:p>
        </w:tc>
      </w:tr>
      <w:tr>
        <w:trPr>
          <w:trHeight w:val="814" w:hRule="atLeast"/>
        </w:trPr>
        <w:tc>
          <w:tcPr>
            <w:tcW w:w="2160" w:type="dxa"/>
          </w:tcPr>
          <w:p>
            <w:pPr>
              <w:pStyle w:val="TableParagraph"/>
              <w:spacing w:before="27"/>
              <w:ind w:left="107" w:right="385"/>
              <w:rPr>
                <w:b/>
                <w:sz w:val="22"/>
              </w:rPr>
            </w:pPr>
            <w:r>
              <w:rPr>
                <w:b/>
                <w:spacing w:val="-2"/>
                <w:sz w:val="22"/>
              </w:rPr>
              <w:t>Pessimistic benefit assumptions</w:t>
            </w:r>
          </w:p>
        </w:tc>
        <w:tc>
          <w:tcPr>
            <w:tcW w:w="1576" w:type="dxa"/>
          </w:tcPr>
          <w:p>
            <w:pPr>
              <w:pStyle w:val="TableParagraph"/>
              <w:spacing w:before="2"/>
              <w:rPr>
                <w:b/>
                <w:sz w:val="24"/>
              </w:rPr>
            </w:pPr>
          </w:p>
          <w:p>
            <w:pPr>
              <w:pStyle w:val="TableParagraph"/>
              <w:ind w:right="97"/>
              <w:jc w:val="right"/>
              <w:rPr>
                <w:sz w:val="22"/>
              </w:rPr>
            </w:pPr>
            <w:r>
              <w:rPr>
                <w:spacing w:val="-5"/>
                <w:sz w:val="22"/>
              </w:rPr>
              <w:t>3.5</w:t>
            </w:r>
          </w:p>
        </w:tc>
        <w:tc>
          <w:tcPr>
            <w:tcW w:w="1575" w:type="dxa"/>
          </w:tcPr>
          <w:p>
            <w:pPr>
              <w:pStyle w:val="TableParagraph"/>
              <w:spacing w:before="2"/>
              <w:rPr>
                <w:b/>
                <w:sz w:val="24"/>
              </w:rPr>
            </w:pPr>
          </w:p>
          <w:p>
            <w:pPr>
              <w:pStyle w:val="TableParagraph"/>
              <w:ind w:right="97"/>
              <w:jc w:val="right"/>
              <w:rPr>
                <w:sz w:val="22"/>
              </w:rPr>
            </w:pPr>
            <w:r>
              <w:rPr>
                <w:spacing w:val="-5"/>
                <w:sz w:val="22"/>
              </w:rPr>
              <w:t>6.9</w:t>
            </w:r>
          </w:p>
        </w:tc>
        <w:tc>
          <w:tcPr>
            <w:tcW w:w="1576" w:type="dxa"/>
          </w:tcPr>
          <w:p>
            <w:pPr>
              <w:pStyle w:val="TableParagraph"/>
              <w:spacing w:before="2"/>
              <w:rPr>
                <w:b/>
                <w:sz w:val="24"/>
              </w:rPr>
            </w:pPr>
          </w:p>
          <w:p>
            <w:pPr>
              <w:pStyle w:val="TableParagraph"/>
              <w:ind w:right="98"/>
              <w:jc w:val="right"/>
              <w:rPr>
                <w:sz w:val="22"/>
              </w:rPr>
            </w:pPr>
            <w:r>
              <w:rPr>
                <w:sz w:val="22"/>
              </w:rPr>
              <w:t>-</w:t>
            </w:r>
            <w:r>
              <w:rPr>
                <w:spacing w:val="-1"/>
                <w:sz w:val="22"/>
              </w:rPr>
              <w:t> </w:t>
            </w:r>
            <w:r>
              <w:rPr>
                <w:spacing w:val="-5"/>
                <w:sz w:val="22"/>
              </w:rPr>
              <w:t>3.4</w:t>
            </w:r>
          </w:p>
        </w:tc>
        <w:tc>
          <w:tcPr>
            <w:tcW w:w="1395" w:type="dxa"/>
          </w:tcPr>
          <w:p>
            <w:pPr>
              <w:pStyle w:val="TableParagraph"/>
              <w:spacing w:before="2"/>
              <w:rPr>
                <w:b/>
                <w:sz w:val="24"/>
              </w:rPr>
            </w:pPr>
          </w:p>
          <w:p>
            <w:pPr>
              <w:pStyle w:val="TableParagraph"/>
              <w:ind w:left="389"/>
              <w:rPr>
                <w:sz w:val="22"/>
              </w:rPr>
            </w:pPr>
            <w:r>
              <w:rPr>
                <w:spacing w:val="-2"/>
                <w:sz w:val="22"/>
              </w:rPr>
              <w:t>0.51:1</w:t>
            </w:r>
          </w:p>
        </w:tc>
      </w:tr>
      <w:tr>
        <w:trPr>
          <w:trHeight w:val="815" w:hRule="atLeast"/>
        </w:trPr>
        <w:tc>
          <w:tcPr>
            <w:tcW w:w="2160" w:type="dxa"/>
          </w:tcPr>
          <w:p>
            <w:pPr>
              <w:pStyle w:val="TableParagraph"/>
              <w:spacing w:before="27"/>
              <w:ind w:left="107" w:right="167"/>
              <w:rPr>
                <w:b/>
                <w:sz w:val="22"/>
              </w:rPr>
            </w:pPr>
            <w:r>
              <w:rPr>
                <w:b/>
                <w:sz w:val="22"/>
              </w:rPr>
              <w:t>1% loss of NLA with</w:t>
            </w:r>
            <w:r>
              <w:rPr>
                <w:b/>
                <w:spacing w:val="-16"/>
                <w:sz w:val="22"/>
              </w:rPr>
              <w:t> </w:t>
            </w:r>
            <w:r>
              <w:rPr>
                <w:b/>
                <w:sz w:val="22"/>
              </w:rPr>
              <w:t>4%</w:t>
            </w:r>
            <w:r>
              <w:rPr>
                <w:b/>
                <w:spacing w:val="-15"/>
                <w:sz w:val="22"/>
              </w:rPr>
              <w:t> </w:t>
            </w:r>
            <w:r>
              <w:rPr>
                <w:b/>
                <w:sz w:val="22"/>
              </w:rPr>
              <w:t>discount </w:t>
            </w:r>
            <w:r>
              <w:rPr>
                <w:b/>
                <w:spacing w:val="-4"/>
                <w:sz w:val="22"/>
              </w:rPr>
              <w:t>rate</w:t>
            </w:r>
          </w:p>
        </w:tc>
        <w:tc>
          <w:tcPr>
            <w:tcW w:w="1576" w:type="dxa"/>
          </w:tcPr>
          <w:p>
            <w:pPr>
              <w:pStyle w:val="TableParagraph"/>
              <w:spacing w:before="2"/>
              <w:rPr>
                <w:b/>
                <w:sz w:val="24"/>
              </w:rPr>
            </w:pPr>
          </w:p>
          <w:p>
            <w:pPr>
              <w:pStyle w:val="TableParagraph"/>
              <w:ind w:right="97"/>
              <w:jc w:val="right"/>
              <w:rPr>
                <w:sz w:val="22"/>
              </w:rPr>
            </w:pPr>
            <w:r>
              <w:rPr>
                <w:spacing w:val="-4"/>
                <w:sz w:val="22"/>
              </w:rPr>
              <w:t>11.4</w:t>
            </w:r>
          </w:p>
        </w:tc>
        <w:tc>
          <w:tcPr>
            <w:tcW w:w="1575" w:type="dxa"/>
          </w:tcPr>
          <w:p>
            <w:pPr>
              <w:pStyle w:val="TableParagraph"/>
              <w:spacing w:before="2"/>
              <w:rPr>
                <w:b/>
                <w:sz w:val="24"/>
              </w:rPr>
            </w:pPr>
          </w:p>
          <w:p>
            <w:pPr>
              <w:pStyle w:val="TableParagraph"/>
              <w:ind w:right="97"/>
              <w:jc w:val="right"/>
              <w:rPr>
                <w:sz w:val="22"/>
              </w:rPr>
            </w:pPr>
            <w:r>
              <w:rPr>
                <w:spacing w:val="-5"/>
                <w:sz w:val="22"/>
              </w:rPr>
              <w:t>7.9</w:t>
            </w:r>
          </w:p>
        </w:tc>
        <w:tc>
          <w:tcPr>
            <w:tcW w:w="1576" w:type="dxa"/>
          </w:tcPr>
          <w:p>
            <w:pPr>
              <w:pStyle w:val="TableParagraph"/>
              <w:spacing w:before="2"/>
              <w:rPr>
                <w:b/>
                <w:sz w:val="24"/>
              </w:rPr>
            </w:pPr>
          </w:p>
          <w:p>
            <w:pPr>
              <w:pStyle w:val="TableParagraph"/>
              <w:ind w:right="99"/>
              <w:jc w:val="right"/>
              <w:rPr>
                <w:sz w:val="22"/>
              </w:rPr>
            </w:pPr>
            <w:r>
              <w:rPr>
                <w:spacing w:val="-5"/>
                <w:sz w:val="22"/>
              </w:rPr>
              <w:t>3.5</w:t>
            </w:r>
          </w:p>
        </w:tc>
        <w:tc>
          <w:tcPr>
            <w:tcW w:w="1395" w:type="dxa"/>
          </w:tcPr>
          <w:p>
            <w:pPr>
              <w:pStyle w:val="TableParagraph"/>
              <w:spacing w:before="2"/>
              <w:rPr>
                <w:b/>
                <w:sz w:val="24"/>
              </w:rPr>
            </w:pPr>
          </w:p>
          <w:p>
            <w:pPr>
              <w:pStyle w:val="TableParagraph"/>
              <w:ind w:left="389"/>
              <w:rPr>
                <w:sz w:val="22"/>
              </w:rPr>
            </w:pPr>
            <w:r>
              <w:rPr>
                <w:spacing w:val="-2"/>
                <w:sz w:val="22"/>
              </w:rPr>
              <w:t>1.44:1</w:t>
            </w:r>
          </w:p>
        </w:tc>
      </w:tr>
      <w:tr>
        <w:trPr>
          <w:trHeight w:val="814" w:hRule="atLeast"/>
        </w:trPr>
        <w:tc>
          <w:tcPr>
            <w:tcW w:w="2160" w:type="dxa"/>
          </w:tcPr>
          <w:p>
            <w:pPr>
              <w:pStyle w:val="TableParagraph"/>
              <w:spacing w:before="27"/>
              <w:ind w:left="107" w:right="167"/>
              <w:rPr>
                <w:b/>
                <w:sz w:val="22"/>
              </w:rPr>
            </w:pPr>
            <w:r>
              <w:rPr>
                <w:b/>
                <w:sz w:val="22"/>
              </w:rPr>
              <w:t>1% loss of NLA with</w:t>
            </w:r>
            <w:r>
              <w:rPr>
                <w:b/>
                <w:spacing w:val="-16"/>
                <w:sz w:val="22"/>
              </w:rPr>
              <w:t> </w:t>
            </w:r>
            <w:r>
              <w:rPr>
                <w:b/>
                <w:sz w:val="22"/>
              </w:rPr>
              <w:t>7%</w:t>
            </w:r>
            <w:r>
              <w:rPr>
                <w:b/>
                <w:spacing w:val="-15"/>
                <w:sz w:val="22"/>
              </w:rPr>
              <w:t> </w:t>
            </w:r>
            <w:r>
              <w:rPr>
                <w:b/>
                <w:sz w:val="22"/>
              </w:rPr>
              <w:t>discount </w:t>
            </w:r>
            <w:r>
              <w:rPr>
                <w:b/>
                <w:spacing w:val="-4"/>
                <w:sz w:val="22"/>
              </w:rPr>
              <w:t>rate</w:t>
            </w:r>
          </w:p>
        </w:tc>
        <w:tc>
          <w:tcPr>
            <w:tcW w:w="1576" w:type="dxa"/>
          </w:tcPr>
          <w:p>
            <w:pPr>
              <w:pStyle w:val="TableParagraph"/>
              <w:spacing w:before="2"/>
              <w:rPr>
                <w:b/>
                <w:sz w:val="24"/>
              </w:rPr>
            </w:pPr>
          </w:p>
          <w:p>
            <w:pPr>
              <w:pStyle w:val="TableParagraph"/>
              <w:ind w:right="97"/>
              <w:jc w:val="right"/>
              <w:rPr>
                <w:sz w:val="22"/>
              </w:rPr>
            </w:pPr>
            <w:r>
              <w:rPr>
                <w:spacing w:val="-5"/>
                <w:sz w:val="22"/>
              </w:rPr>
              <w:t>7.3</w:t>
            </w:r>
          </w:p>
        </w:tc>
        <w:tc>
          <w:tcPr>
            <w:tcW w:w="1575" w:type="dxa"/>
          </w:tcPr>
          <w:p>
            <w:pPr>
              <w:pStyle w:val="TableParagraph"/>
              <w:spacing w:before="2"/>
              <w:rPr>
                <w:b/>
                <w:sz w:val="24"/>
              </w:rPr>
            </w:pPr>
          </w:p>
          <w:p>
            <w:pPr>
              <w:pStyle w:val="TableParagraph"/>
              <w:ind w:right="97"/>
              <w:jc w:val="right"/>
              <w:rPr>
                <w:sz w:val="22"/>
              </w:rPr>
            </w:pPr>
            <w:r>
              <w:rPr>
                <w:spacing w:val="-5"/>
                <w:sz w:val="22"/>
              </w:rPr>
              <w:t>6.0</w:t>
            </w:r>
          </w:p>
        </w:tc>
        <w:tc>
          <w:tcPr>
            <w:tcW w:w="1576" w:type="dxa"/>
          </w:tcPr>
          <w:p>
            <w:pPr>
              <w:pStyle w:val="TableParagraph"/>
              <w:spacing w:before="2"/>
              <w:rPr>
                <w:b/>
                <w:sz w:val="24"/>
              </w:rPr>
            </w:pPr>
          </w:p>
          <w:p>
            <w:pPr>
              <w:pStyle w:val="TableParagraph"/>
              <w:ind w:right="99"/>
              <w:jc w:val="right"/>
              <w:rPr>
                <w:sz w:val="22"/>
              </w:rPr>
            </w:pPr>
            <w:r>
              <w:rPr>
                <w:spacing w:val="-5"/>
                <w:sz w:val="22"/>
              </w:rPr>
              <w:t>1.3</w:t>
            </w:r>
          </w:p>
        </w:tc>
        <w:tc>
          <w:tcPr>
            <w:tcW w:w="1395" w:type="dxa"/>
          </w:tcPr>
          <w:p>
            <w:pPr>
              <w:pStyle w:val="TableParagraph"/>
              <w:spacing w:before="2"/>
              <w:rPr>
                <w:b/>
                <w:sz w:val="24"/>
              </w:rPr>
            </w:pPr>
          </w:p>
          <w:p>
            <w:pPr>
              <w:pStyle w:val="TableParagraph"/>
              <w:ind w:left="389"/>
              <w:rPr>
                <w:sz w:val="22"/>
              </w:rPr>
            </w:pPr>
            <w:r>
              <w:rPr>
                <w:spacing w:val="-2"/>
                <w:sz w:val="22"/>
              </w:rPr>
              <w:t>1.21:1</w:t>
            </w:r>
          </w:p>
        </w:tc>
      </w:tr>
      <w:tr>
        <w:trPr>
          <w:trHeight w:val="815" w:hRule="atLeast"/>
        </w:trPr>
        <w:tc>
          <w:tcPr>
            <w:tcW w:w="2160" w:type="dxa"/>
          </w:tcPr>
          <w:p>
            <w:pPr>
              <w:pStyle w:val="TableParagraph"/>
              <w:spacing w:before="27"/>
              <w:ind w:left="107" w:right="167"/>
              <w:rPr>
                <w:b/>
                <w:sz w:val="22"/>
              </w:rPr>
            </w:pPr>
            <w:r>
              <w:rPr>
                <w:b/>
                <w:sz w:val="22"/>
              </w:rPr>
              <w:t>4% loss of NLA with</w:t>
            </w:r>
            <w:r>
              <w:rPr>
                <w:b/>
                <w:spacing w:val="-16"/>
                <w:sz w:val="22"/>
              </w:rPr>
              <w:t> </w:t>
            </w:r>
            <w:r>
              <w:rPr>
                <w:b/>
                <w:sz w:val="22"/>
              </w:rPr>
              <w:t>4%</w:t>
            </w:r>
            <w:r>
              <w:rPr>
                <w:b/>
                <w:spacing w:val="-15"/>
                <w:sz w:val="22"/>
              </w:rPr>
              <w:t> </w:t>
            </w:r>
            <w:r>
              <w:rPr>
                <w:b/>
                <w:sz w:val="22"/>
              </w:rPr>
              <w:t>discount </w:t>
            </w:r>
            <w:r>
              <w:rPr>
                <w:b/>
                <w:spacing w:val="-4"/>
                <w:sz w:val="22"/>
              </w:rPr>
              <w:t>rate</w:t>
            </w:r>
          </w:p>
        </w:tc>
        <w:tc>
          <w:tcPr>
            <w:tcW w:w="1576" w:type="dxa"/>
          </w:tcPr>
          <w:p>
            <w:pPr>
              <w:pStyle w:val="TableParagraph"/>
              <w:spacing w:before="2"/>
              <w:rPr>
                <w:b/>
                <w:sz w:val="24"/>
              </w:rPr>
            </w:pPr>
          </w:p>
          <w:p>
            <w:pPr>
              <w:pStyle w:val="TableParagraph"/>
              <w:ind w:right="97"/>
              <w:jc w:val="right"/>
              <w:rPr>
                <w:sz w:val="22"/>
              </w:rPr>
            </w:pPr>
            <w:r>
              <w:rPr>
                <w:spacing w:val="-4"/>
                <w:sz w:val="22"/>
              </w:rPr>
              <w:t>11.4</w:t>
            </w:r>
          </w:p>
        </w:tc>
        <w:tc>
          <w:tcPr>
            <w:tcW w:w="1575" w:type="dxa"/>
          </w:tcPr>
          <w:p>
            <w:pPr>
              <w:pStyle w:val="TableParagraph"/>
              <w:spacing w:before="2"/>
              <w:rPr>
                <w:b/>
                <w:sz w:val="24"/>
              </w:rPr>
            </w:pPr>
          </w:p>
          <w:p>
            <w:pPr>
              <w:pStyle w:val="TableParagraph"/>
              <w:ind w:right="97"/>
              <w:jc w:val="right"/>
              <w:rPr>
                <w:sz w:val="22"/>
              </w:rPr>
            </w:pPr>
            <w:r>
              <w:rPr>
                <w:spacing w:val="-4"/>
                <w:sz w:val="22"/>
              </w:rPr>
              <w:t>11.9</w:t>
            </w:r>
          </w:p>
        </w:tc>
        <w:tc>
          <w:tcPr>
            <w:tcW w:w="1576" w:type="dxa"/>
          </w:tcPr>
          <w:p>
            <w:pPr>
              <w:pStyle w:val="TableParagraph"/>
              <w:spacing w:before="2"/>
              <w:rPr>
                <w:b/>
                <w:sz w:val="24"/>
              </w:rPr>
            </w:pPr>
          </w:p>
          <w:p>
            <w:pPr>
              <w:pStyle w:val="TableParagraph"/>
              <w:ind w:right="99"/>
              <w:jc w:val="right"/>
              <w:rPr>
                <w:sz w:val="22"/>
              </w:rPr>
            </w:pPr>
            <w:r>
              <w:rPr>
                <w:w w:val="95"/>
                <w:sz w:val="22"/>
              </w:rPr>
              <w:t>-</w:t>
            </w:r>
            <w:r>
              <w:rPr>
                <w:spacing w:val="-5"/>
                <w:sz w:val="22"/>
              </w:rPr>
              <w:t>0.5</w:t>
            </w:r>
          </w:p>
        </w:tc>
        <w:tc>
          <w:tcPr>
            <w:tcW w:w="1395" w:type="dxa"/>
          </w:tcPr>
          <w:p>
            <w:pPr>
              <w:pStyle w:val="TableParagraph"/>
              <w:spacing w:before="2"/>
              <w:rPr>
                <w:b/>
                <w:sz w:val="24"/>
              </w:rPr>
            </w:pPr>
          </w:p>
          <w:p>
            <w:pPr>
              <w:pStyle w:val="TableParagraph"/>
              <w:ind w:left="389"/>
              <w:rPr>
                <w:sz w:val="22"/>
              </w:rPr>
            </w:pPr>
            <w:r>
              <w:rPr>
                <w:spacing w:val="-2"/>
                <w:sz w:val="22"/>
              </w:rPr>
              <w:t>0.95:1</w:t>
            </w:r>
          </w:p>
        </w:tc>
      </w:tr>
      <w:tr>
        <w:trPr>
          <w:trHeight w:val="814" w:hRule="atLeast"/>
        </w:trPr>
        <w:tc>
          <w:tcPr>
            <w:tcW w:w="2160" w:type="dxa"/>
          </w:tcPr>
          <w:p>
            <w:pPr>
              <w:pStyle w:val="TableParagraph"/>
              <w:spacing w:before="27"/>
              <w:ind w:left="107" w:right="167"/>
              <w:rPr>
                <w:b/>
                <w:sz w:val="22"/>
              </w:rPr>
            </w:pPr>
            <w:r>
              <w:rPr>
                <w:b/>
                <w:sz w:val="22"/>
              </w:rPr>
              <w:t>4% loss of NLA with</w:t>
            </w:r>
            <w:r>
              <w:rPr>
                <w:b/>
                <w:spacing w:val="-16"/>
                <w:sz w:val="22"/>
              </w:rPr>
              <w:t> </w:t>
            </w:r>
            <w:r>
              <w:rPr>
                <w:b/>
                <w:sz w:val="22"/>
              </w:rPr>
              <w:t>7%</w:t>
            </w:r>
            <w:r>
              <w:rPr>
                <w:b/>
                <w:spacing w:val="-15"/>
                <w:sz w:val="22"/>
              </w:rPr>
              <w:t> </w:t>
            </w:r>
            <w:r>
              <w:rPr>
                <w:b/>
                <w:sz w:val="22"/>
              </w:rPr>
              <w:t>discount </w:t>
            </w:r>
            <w:r>
              <w:rPr>
                <w:b/>
                <w:spacing w:val="-4"/>
                <w:sz w:val="22"/>
              </w:rPr>
              <w:t>rate</w:t>
            </w:r>
          </w:p>
        </w:tc>
        <w:tc>
          <w:tcPr>
            <w:tcW w:w="1576" w:type="dxa"/>
          </w:tcPr>
          <w:p>
            <w:pPr>
              <w:pStyle w:val="TableParagraph"/>
              <w:spacing w:before="2"/>
              <w:rPr>
                <w:b/>
                <w:sz w:val="24"/>
              </w:rPr>
            </w:pPr>
          </w:p>
          <w:p>
            <w:pPr>
              <w:pStyle w:val="TableParagraph"/>
              <w:ind w:right="97"/>
              <w:jc w:val="right"/>
              <w:rPr>
                <w:sz w:val="22"/>
              </w:rPr>
            </w:pPr>
            <w:r>
              <w:rPr>
                <w:spacing w:val="-5"/>
                <w:sz w:val="22"/>
              </w:rPr>
              <w:t>7.3</w:t>
            </w:r>
          </w:p>
        </w:tc>
        <w:tc>
          <w:tcPr>
            <w:tcW w:w="1575" w:type="dxa"/>
          </w:tcPr>
          <w:p>
            <w:pPr>
              <w:pStyle w:val="TableParagraph"/>
              <w:spacing w:before="2"/>
              <w:rPr>
                <w:b/>
                <w:sz w:val="24"/>
              </w:rPr>
            </w:pPr>
          </w:p>
          <w:p>
            <w:pPr>
              <w:pStyle w:val="TableParagraph"/>
              <w:ind w:right="97"/>
              <w:jc w:val="right"/>
              <w:rPr>
                <w:sz w:val="22"/>
              </w:rPr>
            </w:pPr>
            <w:r>
              <w:rPr>
                <w:spacing w:val="-5"/>
                <w:sz w:val="22"/>
              </w:rPr>
              <w:t>8.9</w:t>
            </w:r>
          </w:p>
        </w:tc>
        <w:tc>
          <w:tcPr>
            <w:tcW w:w="1576" w:type="dxa"/>
          </w:tcPr>
          <w:p>
            <w:pPr>
              <w:pStyle w:val="TableParagraph"/>
              <w:spacing w:before="2"/>
              <w:rPr>
                <w:b/>
                <w:sz w:val="24"/>
              </w:rPr>
            </w:pPr>
          </w:p>
          <w:p>
            <w:pPr>
              <w:pStyle w:val="TableParagraph"/>
              <w:ind w:right="98"/>
              <w:jc w:val="right"/>
              <w:rPr>
                <w:sz w:val="22"/>
              </w:rPr>
            </w:pPr>
            <w:r>
              <w:rPr>
                <w:w w:val="95"/>
                <w:sz w:val="22"/>
              </w:rPr>
              <w:t>-</w:t>
            </w:r>
            <w:r>
              <w:rPr>
                <w:spacing w:val="-5"/>
                <w:sz w:val="22"/>
              </w:rPr>
              <w:t>1.6</w:t>
            </w:r>
          </w:p>
        </w:tc>
        <w:tc>
          <w:tcPr>
            <w:tcW w:w="1395" w:type="dxa"/>
          </w:tcPr>
          <w:p>
            <w:pPr>
              <w:pStyle w:val="TableParagraph"/>
              <w:spacing w:before="2"/>
              <w:rPr>
                <w:b/>
                <w:sz w:val="24"/>
              </w:rPr>
            </w:pPr>
          </w:p>
          <w:p>
            <w:pPr>
              <w:pStyle w:val="TableParagraph"/>
              <w:ind w:left="389"/>
              <w:rPr>
                <w:sz w:val="22"/>
              </w:rPr>
            </w:pPr>
            <w:r>
              <w:rPr>
                <w:spacing w:val="-2"/>
                <w:sz w:val="22"/>
              </w:rPr>
              <w:t>0.82:1</w:t>
            </w:r>
          </w:p>
        </w:tc>
      </w:tr>
    </w:tbl>
    <w:p>
      <w:pPr>
        <w:pStyle w:val="BodyText"/>
        <w:spacing w:before="10"/>
        <w:rPr>
          <w:b/>
          <w:sz w:val="15"/>
        </w:rPr>
      </w:pPr>
    </w:p>
    <w:p>
      <w:pPr>
        <w:pStyle w:val="BodyText"/>
        <w:spacing w:before="92"/>
        <w:ind w:left="419" w:right="811"/>
        <w:jc w:val="both"/>
      </w:pPr>
      <w:r>
        <w:rPr/>
        <w:t>Table 16 demonstrates that the results of the sensitivity testing undertaken, although</w:t>
      </w:r>
      <w:r>
        <w:rPr>
          <w:spacing w:val="-2"/>
        </w:rPr>
        <w:t> </w:t>
      </w:r>
      <w:r>
        <w:rPr/>
        <w:t>somewhat</w:t>
      </w:r>
      <w:r>
        <w:rPr>
          <w:spacing w:val="-2"/>
        </w:rPr>
        <w:t> </w:t>
      </w:r>
      <w:r>
        <w:rPr/>
        <w:t>varied,</w:t>
      </w:r>
      <w:r>
        <w:rPr>
          <w:spacing w:val="-2"/>
        </w:rPr>
        <w:t> </w:t>
      </w:r>
      <w:r>
        <w:rPr/>
        <w:t>suggest</w:t>
      </w:r>
      <w:r>
        <w:rPr>
          <w:spacing w:val="-2"/>
        </w:rPr>
        <w:t> </w:t>
      </w:r>
      <w:r>
        <w:rPr/>
        <w:t>that</w:t>
      </w:r>
      <w:r>
        <w:rPr>
          <w:spacing w:val="-2"/>
        </w:rPr>
        <w:t> </w:t>
      </w:r>
      <w:r>
        <w:rPr/>
        <w:t>a</w:t>
      </w:r>
      <w:r>
        <w:rPr>
          <w:spacing w:val="-2"/>
        </w:rPr>
        <w:t> </w:t>
      </w:r>
      <w:r>
        <w:rPr/>
        <w:t>relatively</w:t>
      </w:r>
      <w:r>
        <w:rPr>
          <w:spacing w:val="-2"/>
        </w:rPr>
        <w:t> </w:t>
      </w:r>
      <w:r>
        <w:rPr/>
        <w:t>high</w:t>
      </w:r>
      <w:r>
        <w:rPr>
          <w:spacing w:val="-2"/>
        </w:rPr>
        <w:t> </w:t>
      </w:r>
      <w:r>
        <w:rPr/>
        <w:t>level</w:t>
      </w:r>
      <w:r>
        <w:rPr>
          <w:spacing w:val="-1"/>
        </w:rPr>
        <w:t> </w:t>
      </w:r>
      <w:r>
        <w:rPr/>
        <w:t>of</w:t>
      </w:r>
      <w:r>
        <w:rPr>
          <w:spacing w:val="-1"/>
        </w:rPr>
        <w:t> </w:t>
      </w:r>
      <w:r>
        <w:rPr/>
        <w:t>confidence</w:t>
      </w:r>
      <w:r>
        <w:rPr>
          <w:spacing w:val="-1"/>
        </w:rPr>
        <w:t> </w:t>
      </w:r>
      <w:r>
        <w:rPr/>
        <w:t>in the outcome of the quantified benefit cost analysis is justified. It is acknowledged that the pessimistic benefit analysis shows a negative NPV however this is a worst case scenario whereby there are no economic</w:t>
      </w:r>
      <w:r>
        <w:rPr>
          <w:spacing w:val="40"/>
        </w:rPr>
        <w:t> </w:t>
      </w:r>
      <w:r>
        <w:rPr/>
        <w:t>benefits to the proposal.</w:t>
      </w:r>
      <w:r>
        <w:rPr>
          <w:spacing w:val="40"/>
        </w:rPr>
        <w:t> </w:t>
      </w:r>
      <w:r>
        <w:rPr/>
        <w:t>Moreover, it must again be emphasised that a substantial part of the rationale for the adoption of the Premises Standards relates to benefits which, while extremely important, have not been able to be quantified as part of the current analysis.</w:t>
      </w:r>
    </w:p>
    <w:p>
      <w:pPr>
        <w:pStyle w:val="BodyText"/>
        <w:rPr>
          <w:sz w:val="26"/>
        </w:rPr>
      </w:pPr>
    </w:p>
    <w:p>
      <w:pPr>
        <w:pStyle w:val="Heading2"/>
        <w:numPr>
          <w:ilvl w:val="1"/>
          <w:numId w:val="25"/>
        </w:numPr>
        <w:tabs>
          <w:tab w:pos="1140" w:val="left" w:leader="none"/>
        </w:tabs>
        <w:spacing w:line="240" w:lineRule="auto" w:before="219" w:after="0"/>
        <w:ind w:left="1139" w:right="1227" w:hanging="720"/>
        <w:jc w:val="left"/>
      </w:pPr>
      <w:bookmarkStart w:name="_TOC_250011" w:id="123"/>
      <w:bookmarkStart w:name="10.5 Comparison of the proposed Premises" w:id="124"/>
      <w:r>
        <w:rPr>
          <w:i/>
        </w:rPr>
        <w:t>Comparison</w:t>
      </w:r>
      <w:r>
        <w:rPr>
          <w:i/>
          <w:spacing w:val="-7"/>
        </w:rPr>
        <w:t> </w:t>
      </w:r>
      <w:r>
        <w:rPr>
          <w:i/>
        </w:rPr>
        <w:t>of</w:t>
      </w:r>
      <w:r>
        <w:rPr>
          <w:i/>
          <w:spacing w:val="-7"/>
        </w:rPr>
        <w:t> </w:t>
      </w:r>
      <w:r>
        <w:rPr>
          <w:i/>
        </w:rPr>
        <w:t>the</w:t>
      </w:r>
      <w:r>
        <w:rPr>
          <w:i/>
          <w:spacing w:val="-7"/>
        </w:rPr>
        <w:t> </w:t>
      </w:r>
      <w:r>
        <w:rPr>
          <w:i/>
        </w:rPr>
        <w:t>proposed</w:t>
      </w:r>
      <w:r>
        <w:rPr>
          <w:i/>
          <w:spacing w:val="-7"/>
        </w:rPr>
        <w:t> </w:t>
      </w:r>
      <w:r>
        <w:rPr>
          <w:i/>
        </w:rPr>
        <w:t>Premises</w:t>
      </w:r>
      <w:r>
        <w:rPr>
          <w:i/>
          <w:spacing w:val="-7"/>
        </w:rPr>
        <w:t> </w:t>
      </w:r>
      <w:r>
        <w:rPr>
          <w:i/>
        </w:rPr>
        <w:t>Standards</w:t>
      </w:r>
      <w:r>
        <w:rPr>
          <w:i/>
          <w:spacing w:val="-7"/>
        </w:rPr>
        <w:t> </w:t>
      </w:r>
      <w:r>
        <w:rPr>
          <w:i/>
        </w:rPr>
        <w:t>and</w:t>
      </w:r>
      <w:bookmarkEnd w:id="123"/>
      <w:r>
        <w:rPr/>
        <w:t> identified alternatives</w:t>
      </w:r>
    </w:p>
    <w:p>
      <w:pPr>
        <w:pStyle w:val="BodyText"/>
        <w:spacing w:before="1"/>
        <w:rPr>
          <w:b/>
          <w:i/>
          <w:sz w:val="29"/>
        </w:rPr>
      </w:pPr>
    </w:p>
    <w:p>
      <w:pPr>
        <w:pStyle w:val="BodyText"/>
        <w:ind w:left="419" w:right="810"/>
        <w:jc w:val="both"/>
      </w:pPr>
      <w:r>
        <w:rPr/>
        <w:t>The draft RIS identified and assessed two specific alternatives to the</w:t>
      </w:r>
      <w:r>
        <w:rPr>
          <w:spacing w:val="40"/>
        </w:rPr>
        <w:t> </w:t>
      </w:r>
      <w:r>
        <w:rPr/>
        <w:t>proposed regulatory approach of adopting a Premises Standards that is harmonised with the BCA.</w:t>
      </w:r>
      <w:r>
        <w:rPr>
          <w:spacing w:val="40"/>
        </w:rPr>
        <w:t> </w:t>
      </w:r>
      <w:r>
        <w:rPr/>
        <w:t>This final RIS also identifies</w:t>
      </w:r>
      <w:r>
        <w:rPr>
          <w:spacing w:val="-1"/>
        </w:rPr>
        <w:t> </w:t>
      </w:r>
      <w:r>
        <w:rPr/>
        <w:t>and</w:t>
      </w:r>
      <w:r>
        <w:rPr>
          <w:spacing w:val="-1"/>
        </w:rPr>
        <w:t> </w:t>
      </w:r>
      <w:r>
        <w:rPr/>
        <w:t>assesses</w:t>
      </w:r>
      <w:r>
        <w:rPr>
          <w:spacing w:val="-1"/>
        </w:rPr>
        <w:t> </w:t>
      </w:r>
      <w:r>
        <w:rPr/>
        <w:t>another specific alternative in relation to the application of the proposed Premises </w:t>
      </w:r>
      <w:r>
        <w:rPr>
          <w:spacing w:val="-2"/>
        </w:rPr>
        <w:t>Standards.</w:t>
      </w:r>
    </w:p>
    <w:p>
      <w:pPr>
        <w:pStyle w:val="BodyText"/>
      </w:pPr>
    </w:p>
    <w:p>
      <w:pPr>
        <w:pStyle w:val="BodyText"/>
        <w:ind w:left="419" w:right="812"/>
        <w:jc w:val="both"/>
      </w:pPr>
      <w:r>
        <w:rPr/>
        <w:t>The alternatives identified and analysed in Section 9.2 have been assessed predominantly in a qualitative manner.</w:t>
      </w:r>
      <w:r>
        <w:rPr>
          <w:spacing w:val="40"/>
        </w:rPr>
        <w:t> </w:t>
      </w:r>
      <w:r>
        <w:rPr/>
        <w:t>However, it is clear that the benefits and</w:t>
      </w:r>
      <w:r>
        <w:rPr>
          <w:spacing w:val="-2"/>
        </w:rPr>
        <w:t> </w:t>
      </w:r>
      <w:r>
        <w:rPr/>
        <w:t>costs</w:t>
      </w:r>
      <w:r>
        <w:rPr>
          <w:spacing w:val="-2"/>
        </w:rPr>
        <w:t> </w:t>
      </w:r>
      <w:r>
        <w:rPr/>
        <w:t>would</w:t>
      </w:r>
      <w:r>
        <w:rPr>
          <w:spacing w:val="-2"/>
        </w:rPr>
        <w:t> </w:t>
      </w:r>
      <w:r>
        <w:rPr/>
        <w:t>be</w:t>
      </w:r>
      <w:r>
        <w:rPr>
          <w:spacing w:val="-2"/>
        </w:rPr>
        <w:t> </w:t>
      </w:r>
      <w:r>
        <w:rPr/>
        <w:t>of</w:t>
      </w:r>
      <w:r>
        <w:rPr>
          <w:spacing w:val="-2"/>
        </w:rPr>
        <w:t> </w:t>
      </w:r>
      <w:r>
        <w:rPr/>
        <w:t>a</w:t>
      </w:r>
      <w:r>
        <w:rPr>
          <w:spacing w:val="-2"/>
        </w:rPr>
        <w:t> </w:t>
      </w:r>
      <w:r>
        <w:rPr/>
        <w:t>broadly</w:t>
      </w:r>
      <w:r>
        <w:rPr>
          <w:spacing w:val="-2"/>
        </w:rPr>
        <w:t> </w:t>
      </w:r>
      <w:r>
        <w:rPr/>
        <w:t>similar</w:t>
      </w:r>
      <w:r>
        <w:rPr>
          <w:spacing w:val="-2"/>
        </w:rPr>
        <w:t> </w:t>
      </w:r>
      <w:r>
        <w:rPr/>
        <w:t>order</w:t>
      </w:r>
      <w:r>
        <w:rPr>
          <w:spacing w:val="-2"/>
        </w:rPr>
        <w:t> </w:t>
      </w:r>
      <w:r>
        <w:rPr/>
        <w:t>of</w:t>
      </w:r>
      <w:r>
        <w:rPr>
          <w:spacing w:val="-2"/>
        </w:rPr>
        <w:t> </w:t>
      </w:r>
      <w:r>
        <w:rPr/>
        <w:t>magnitude</w:t>
      </w:r>
      <w:r>
        <w:rPr>
          <w:spacing w:val="-2"/>
        </w:rPr>
        <w:t> </w:t>
      </w:r>
      <w:r>
        <w:rPr/>
        <w:t>to</w:t>
      </w:r>
      <w:r>
        <w:rPr>
          <w:spacing w:val="-2"/>
        </w:rPr>
        <w:t> </w:t>
      </w:r>
      <w:r>
        <w:rPr/>
        <w:t>those</w:t>
      </w:r>
      <w:r>
        <w:rPr>
          <w:spacing w:val="-2"/>
        </w:rPr>
        <w:t> </w:t>
      </w:r>
      <w:r>
        <w:rPr/>
        <w:t>implied</w:t>
      </w:r>
      <w:r>
        <w:rPr>
          <w:spacing w:val="-2"/>
        </w:rPr>
        <w:t> </w:t>
      </w:r>
      <w:r>
        <w:rPr/>
        <w:t>by the Premises Standards.</w:t>
      </w:r>
    </w:p>
    <w:p>
      <w:pPr>
        <w:pStyle w:val="BodyText"/>
      </w:pPr>
    </w:p>
    <w:p>
      <w:pPr>
        <w:pStyle w:val="BodyText"/>
        <w:spacing w:before="1"/>
        <w:ind w:left="419" w:right="811"/>
        <w:jc w:val="both"/>
      </w:pPr>
      <w:r>
        <w:rPr/>
        <w:t>Alternative 2 is extremely similar to the current regulatory proposal and varies only in that it would continue to reference the 2001 edition of AS 1428.1, rather</w:t>
      </w:r>
      <w:r>
        <w:rPr>
          <w:spacing w:val="23"/>
        </w:rPr>
        <w:t> </w:t>
      </w:r>
      <w:r>
        <w:rPr/>
        <w:t>than</w:t>
      </w:r>
      <w:r>
        <w:rPr>
          <w:spacing w:val="23"/>
        </w:rPr>
        <w:t> </w:t>
      </w:r>
      <w:r>
        <w:rPr/>
        <w:t>adopting</w:t>
      </w:r>
      <w:r>
        <w:rPr>
          <w:spacing w:val="23"/>
        </w:rPr>
        <w:t> </w:t>
      </w:r>
      <w:r>
        <w:rPr/>
        <w:t>90th</w:t>
      </w:r>
      <w:r>
        <w:rPr>
          <w:spacing w:val="22"/>
        </w:rPr>
        <w:t> </w:t>
      </w:r>
      <w:r>
        <w:rPr/>
        <w:t>percentile</w:t>
      </w:r>
      <w:r>
        <w:rPr>
          <w:spacing w:val="22"/>
        </w:rPr>
        <w:t> </w:t>
      </w:r>
      <w:r>
        <w:rPr/>
        <w:t>dimensions</w:t>
      </w:r>
      <w:r>
        <w:rPr>
          <w:spacing w:val="22"/>
        </w:rPr>
        <w:t> </w:t>
      </w:r>
      <w:r>
        <w:rPr/>
        <w:t>in</w:t>
      </w:r>
      <w:r>
        <w:rPr>
          <w:spacing w:val="22"/>
        </w:rPr>
        <w:t> </w:t>
      </w:r>
      <w:r>
        <w:rPr/>
        <w:t>certain</w:t>
      </w:r>
      <w:r>
        <w:rPr>
          <w:spacing w:val="22"/>
        </w:rPr>
        <w:t> </w:t>
      </w:r>
      <w:r>
        <w:rPr/>
        <w:t>key</w:t>
      </w:r>
      <w:r>
        <w:rPr>
          <w:spacing w:val="22"/>
        </w:rPr>
        <w:t> </w:t>
      </w:r>
      <w:r>
        <w:rPr/>
        <w:t>areas,</w:t>
      </w:r>
      <w:r>
        <w:rPr>
          <w:spacing w:val="22"/>
        </w:rPr>
        <w:t> </w:t>
      </w:r>
      <w:r>
        <w:rPr/>
        <w:t>as</w:t>
      </w:r>
      <w:r>
        <w:rPr>
          <w:spacing w:val="22"/>
        </w:rPr>
        <w:t> </w:t>
      </w:r>
      <w:r>
        <w:rPr/>
        <w:t>per</w:t>
      </w:r>
    </w:p>
    <w:p>
      <w:pPr>
        <w:spacing w:after="0"/>
        <w:jc w:val="both"/>
        <w:sectPr>
          <w:type w:val="continuous"/>
          <w:pgSz w:w="11900" w:h="16840"/>
          <w:pgMar w:header="0" w:footer="1130" w:top="1080" w:bottom="1320" w:left="1380" w:right="980"/>
        </w:sectPr>
      </w:pPr>
    </w:p>
    <w:p>
      <w:pPr>
        <w:pStyle w:val="BodyText"/>
        <w:spacing w:before="75"/>
        <w:ind w:left="420" w:right="814"/>
        <w:jc w:val="both"/>
      </w:pPr>
      <w:r>
        <w:rPr/>
        <w:t>the proposed Premises Standards.</w:t>
      </w:r>
      <w:r>
        <w:rPr>
          <w:spacing w:val="40"/>
        </w:rPr>
        <w:t> </w:t>
      </w:r>
      <w:r>
        <w:rPr/>
        <w:t>It was estimated that the cost savings associated with this alternative would be small, probably being of the order of</w:t>
      </w:r>
    </w:p>
    <w:p>
      <w:pPr>
        <w:pStyle w:val="BodyText"/>
        <w:ind w:left="419" w:right="810"/>
        <w:jc w:val="both"/>
      </w:pPr>
      <w:r>
        <w:rPr/>
        <w:t>$20 - $30 million per annum.</w:t>
      </w:r>
      <w:r>
        <w:rPr>
          <w:spacing w:val="80"/>
        </w:rPr>
        <w:t> </w:t>
      </w:r>
      <w:r>
        <w:rPr/>
        <w:t>On the other hand, this alternative would be likely to substantially reduce accessibility standards for significant numbers of wheelchair users, particularly those with the most severe disabilities.</w:t>
      </w:r>
      <w:r>
        <w:rPr>
          <w:spacing w:val="40"/>
        </w:rPr>
        <w:t> </w:t>
      </w:r>
      <w:r>
        <w:rPr/>
        <w:t>Thus, this alternative is considered to be less preferred than the adoption of the proposed Premises Standards.</w:t>
      </w:r>
    </w:p>
    <w:p>
      <w:pPr>
        <w:pStyle w:val="BodyText"/>
      </w:pPr>
    </w:p>
    <w:p>
      <w:pPr>
        <w:pStyle w:val="BodyText"/>
        <w:spacing w:before="1"/>
        <w:ind w:left="419" w:right="811"/>
        <w:jc w:val="both"/>
      </w:pPr>
      <w:r>
        <w:rPr/>
        <w:t>Alternative 1 would involve adopting the proposed Premises Standards under the DDA but not undertaking any efforts to align the building regulatory structure with the DDA through amendment of the BCA.</w:t>
      </w:r>
      <w:r>
        <w:rPr>
          <w:spacing w:val="80"/>
        </w:rPr>
        <w:t> </w:t>
      </w:r>
      <w:r>
        <w:rPr/>
        <w:t>The main advantages of this approach would be that the processes involved in amending and updating the Standards over time would be simpler and more flexible and that the Standards could more easily incorporate matters beyond the ambit of the BCA.</w:t>
      </w:r>
      <w:r>
        <w:rPr>
          <w:spacing w:val="40"/>
        </w:rPr>
        <w:t> </w:t>
      </w:r>
      <w:r>
        <w:rPr/>
        <w:t>However, the costs of this alternative are such that considerable room for uncertainty as to compliance with the DDA would persist and consequently it is likely that actual compliance levels would be lower than if the Premises Standards and the BCA were aligned.</w:t>
      </w:r>
    </w:p>
    <w:p>
      <w:pPr>
        <w:pStyle w:val="BodyText"/>
      </w:pPr>
    </w:p>
    <w:p>
      <w:pPr>
        <w:pStyle w:val="BodyText"/>
        <w:ind w:left="420" w:right="811"/>
        <w:jc w:val="both"/>
      </w:pPr>
      <w:r>
        <w:rPr/>
        <w:t>On balance, it is considered that the proposed adoption of the Premises Standards, including changes to AS 1428.1 90</w:t>
      </w:r>
      <w:r>
        <w:rPr>
          <w:vertAlign w:val="superscript"/>
        </w:rPr>
        <w:t>th</w:t>
      </w:r>
      <w:r>
        <w:rPr>
          <w:vertAlign w:val="baseline"/>
        </w:rPr>
        <w:t> percentile dimensions in key areas and incorporating equivalent amendments to the BCA would have net benefits that are likely to be greater than those of the two alternatives identified</w:t>
      </w:r>
      <w:r>
        <w:rPr>
          <w:spacing w:val="-3"/>
          <w:vertAlign w:val="baseline"/>
        </w:rPr>
        <w:t> </w:t>
      </w:r>
      <w:r>
        <w:rPr>
          <w:vertAlign w:val="baseline"/>
        </w:rPr>
        <w:t>and</w:t>
      </w:r>
      <w:r>
        <w:rPr>
          <w:spacing w:val="-3"/>
          <w:vertAlign w:val="baseline"/>
        </w:rPr>
        <w:t> </w:t>
      </w:r>
      <w:r>
        <w:rPr>
          <w:vertAlign w:val="baseline"/>
        </w:rPr>
        <w:t>analysed.</w:t>
      </w:r>
      <w:r>
        <w:rPr>
          <w:spacing w:val="40"/>
          <w:vertAlign w:val="baseline"/>
        </w:rPr>
        <w:t> </w:t>
      </w:r>
      <w:r>
        <w:rPr>
          <w:vertAlign w:val="baseline"/>
        </w:rPr>
        <w:t>In</w:t>
      </w:r>
      <w:r>
        <w:rPr>
          <w:spacing w:val="-2"/>
          <w:vertAlign w:val="baseline"/>
        </w:rPr>
        <w:t> </w:t>
      </w:r>
      <w:r>
        <w:rPr>
          <w:vertAlign w:val="baseline"/>
        </w:rPr>
        <w:t>this</w:t>
      </w:r>
      <w:r>
        <w:rPr>
          <w:spacing w:val="-3"/>
          <w:vertAlign w:val="baseline"/>
        </w:rPr>
        <w:t> </w:t>
      </w:r>
      <w:r>
        <w:rPr>
          <w:vertAlign w:val="baseline"/>
        </w:rPr>
        <w:t>context,</w:t>
      </w:r>
      <w:r>
        <w:rPr>
          <w:spacing w:val="-3"/>
          <w:vertAlign w:val="baseline"/>
        </w:rPr>
        <w:t> </w:t>
      </w:r>
      <w:r>
        <w:rPr>
          <w:vertAlign w:val="baseline"/>
        </w:rPr>
        <w:t>it</w:t>
      </w:r>
      <w:r>
        <w:rPr>
          <w:spacing w:val="-3"/>
          <w:vertAlign w:val="baseline"/>
        </w:rPr>
        <w:t> </w:t>
      </w:r>
      <w:r>
        <w:rPr>
          <w:vertAlign w:val="baseline"/>
        </w:rPr>
        <w:t>is</w:t>
      </w:r>
      <w:r>
        <w:rPr>
          <w:spacing w:val="-3"/>
          <w:vertAlign w:val="baseline"/>
        </w:rPr>
        <w:t> </w:t>
      </w:r>
      <w:r>
        <w:rPr>
          <w:vertAlign w:val="baseline"/>
        </w:rPr>
        <w:t>noted</w:t>
      </w:r>
      <w:r>
        <w:rPr>
          <w:spacing w:val="-3"/>
          <w:vertAlign w:val="baseline"/>
        </w:rPr>
        <w:t> </w:t>
      </w:r>
      <w:r>
        <w:rPr>
          <w:vertAlign w:val="baseline"/>
        </w:rPr>
        <w:t>that</w:t>
      </w:r>
      <w:r>
        <w:rPr>
          <w:spacing w:val="-3"/>
          <w:vertAlign w:val="baseline"/>
        </w:rPr>
        <w:t> </w:t>
      </w:r>
      <w:r>
        <w:rPr>
          <w:vertAlign w:val="baseline"/>
        </w:rPr>
        <w:t>the</w:t>
      </w:r>
      <w:r>
        <w:rPr>
          <w:spacing w:val="-3"/>
          <w:vertAlign w:val="baseline"/>
        </w:rPr>
        <w:t> </w:t>
      </w:r>
      <w:r>
        <w:rPr>
          <w:vertAlign w:val="baseline"/>
        </w:rPr>
        <w:t>proposed</w:t>
      </w:r>
      <w:r>
        <w:rPr>
          <w:spacing w:val="-3"/>
          <w:vertAlign w:val="baseline"/>
        </w:rPr>
        <w:t> </w:t>
      </w:r>
      <w:r>
        <w:rPr>
          <w:vertAlign w:val="baseline"/>
        </w:rPr>
        <w:t>Premises Standards</w:t>
      </w:r>
      <w:r>
        <w:rPr>
          <w:spacing w:val="-2"/>
          <w:vertAlign w:val="baseline"/>
        </w:rPr>
        <w:t> </w:t>
      </w:r>
      <w:r>
        <w:rPr>
          <w:vertAlign w:val="baseline"/>
        </w:rPr>
        <w:t>is</w:t>
      </w:r>
      <w:r>
        <w:rPr>
          <w:spacing w:val="-2"/>
          <w:vertAlign w:val="baseline"/>
        </w:rPr>
        <w:t> </w:t>
      </w:r>
      <w:r>
        <w:rPr>
          <w:vertAlign w:val="baseline"/>
        </w:rPr>
        <w:t>consistent</w:t>
      </w:r>
      <w:r>
        <w:rPr>
          <w:spacing w:val="-2"/>
          <w:vertAlign w:val="baseline"/>
        </w:rPr>
        <w:t> </w:t>
      </w:r>
      <w:r>
        <w:rPr>
          <w:vertAlign w:val="baseline"/>
        </w:rPr>
        <w:t>in</w:t>
      </w:r>
      <w:r>
        <w:rPr>
          <w:spacing w:val="-2"/>
          <w:vertAlign w:val="baseline"/>
        </w:rPr>
        <w:t> </w:t>
      </w:r>
      <w:r>
        <w:rPr>
          <w:vertAlign w:val="baseline"/>
        </w:rPr>
        <w:t>its</w:t>
      </w:r>
      <w:r>
        <w:rPr>
          <w:spacing w:val="-2"/>
          <w:vertAlign w:val="baseline"/>
        </w:rPr>
        <w:t> </w:t>
      </w:r>
      <w:r>
        <w:rPr>
          <w:vertAlign w:val="baseline"/>
        </w:rPr>
        <w:t>essentials,</w:t>
      </w:r>
      <w:r>
        <w:rPr>
          <w:spacing w:val="-1"/>
          <w:vertAlign w:val="baseline"/>
        </w:rPr>
        <w:t> </w:t>
      </w:r>
      <w:r>
        <w:rPr>
          <w:vertAlign w:val="baseline"/>
        </w:rPr>
        <w:t>with</w:t>
      </w:r>
      <w:r>
        <w:rPr>
          <w:spacing w:val="-1"/>
          <w:vertAlign w:val="baseline"/>
        </w:rPr>
        <w:t> </w:t>
      </w:r>
      <w:r>
        <w:rPr>
          <w:vertAlign w:val="baseline"/>
        </w:rPr>
        <w:t>legislative</w:t>
      </w:r>
      <w:r>
        <w:rPr>
          <w:spacing w:val="-1"/>
          <w:vertAlign w:val="baseline"/>
        </w:rPr>
        <w:t> </w:t>
      </w:r>
      <w:r>
        <w:rPr>
          <w:vertAlign w:val="baseline"/>
        </w:rPr>
        <w:t>measures</w:t>
      </w:r>
      <w:r>
        <w:rPr>
          <w:spacing w:val="-2"/>
          <w:vertAlign w:val="baseline"/>
        </w:rPr>
        <w:t> </w:t>
      </w:r>
      <w:r>
        <w:rPr>
          <w:vertAlign w:val="baseline"/>
        </w:rPr>
        <w:t>being</w:t>
      </w:r>
      <w:r>
        <w:rPr>
          <w:spacing w:val="-2"/>
          <w:vertAlign w:val="baseline"/>
        </w:rPr>
        <w:t> </w:t>
      </w:r>
      <w:r>
        <w:rPr>
          <w:vertAlign w:val="baseline"/>
        </w:rPr>
        <w:t>taken in a number of other Western countries aimed at reducing barriers to participation, achieving greater integration of people with a disability into society generally, and ensuring better access to employment, cultural, social and leisure opportunities.</w:t>
      </w:r>
    </w:p>
    <w:p>
      <w:pPr>
        <w:pStyle w:val="BodyText"/>
      </w:pPr>
    </w:p>
    <w:p>
      <w:pPr>
        <w:pStyle w:val="BodyText"/>
        <w:ind w:left="420" w:right="812"/>
        <w:jc w:val="both"/>
      </w:pPr>
      <w:r>
        <w:rPr/>
        <w:t>The other alternative previously considered was the application of the Standards only to new buildings (Option 2). Following the most recent House of</w:t>
      </w:r>
      <w:r>
        <w:rPr/>
        <w:t> Representatives</w:t>
      </w:r>
      <w:r>
        <w:rPr/>
        <w:t> Committee</w:t>
      </w:r>
      <w:r>
        <w:rPr/>
        <w:t> review</w:t>
      </w:r>
      <w:r>
        <w:rPr/>
        <w:t> of</w:t>
      </w:r>
      <w:r>
        <w:rPr/>
        <w:t> the</w:t>
      </w:r>
      <w:r>
        <w:rPr/>
        <w:t> proposal</w:t>
      </w:r>
      <w:r>
        <w:rPr/>
        <w:t> the</w:t>
      </w:r>
      <w:r>
        <w:rPr/>
        <w:t> option</w:t>
      </w:r>
      <w:r>
        <w:rPr/>
        <w:t> was subsequently ruled out.</w:t>
      </w:r>
    </w:p>
    <w:p>
      <w:pPr>
        <w:pStyle w:val="BodyText"/>
        <w:spacing w:before="10"/>
        <w:rPr>
          <w:sz w:val="23"/>
        </w:rPr>
      </w:pPr>
    </w:p>
    <w:p>
      <w:pPr>
        <w:pStyle w:val="BodyText"/>
        <w:ind w:left="420" w:right="812"/>
        <w:jc w:val="both"/>
      </w:pPr>
      <w:r>
        <w:rPr/>
        <w:t>Table 17 summarises the relative impacts of this alternative and the proposed Standards in quantitative terms.</w:t>
      </w:r>
    </w:p>
    <w:p>
      <w:pPr>
        <w:pStyle w:val="BodyText"/>
        <w:spacing w:before="2"/>
      </w:pPr>
    </w:p>
    <w:p>
      <w:pPr>
        <w:pStyle w:val="Heading4"/>
        <w:ind w:right="811"/>
        <w:jc w:val="left"/>
        <w:rPr>
          <w:u w:val="none"/>
        </w:rPr>
      </w:pPr>
      <w:r>
        <w:rPr>
          <w:u w:val="single"/>
        </w:rPr>
        <w:t>Table</w:t>
      </w:r>
      <w:r>
        <w:rPr>
          <w:spacing w:val="-4"/>
          <w:u w:val="single"/>
        </w:rPr>
        <w:t> </w:t>
      </w:r>
      <w:r>
        <w:rPr>
          <w:u w:val="single"/>
        </w:rPr>
        <w:t>17:</w:t>
      </w:r>
      <w:r>
        <w:rPr>
          <w:spacing w:val="-5"/>
          <w:u w:val="single"/>
        </w:rPr>
        <w:t> </w:t>
      </w:r>
      <w:r>
        <w:rPr>
          <w:u w:val="single"/>
        </w:rPr>
        <w:t>Comparison</w:t>
      </w:r>
      <w:r>
        <w:rPr>
          <w:spacing w:val="-5"/>
          <w:u w:val="single"/>
        </w:rPr>
        <w:t> </w:t>
      </w:r>
      <w:r>
        <w:rPr>
          <w:u w:val="single"/>
        </w:rPr>
        <w:t>of</w:t>
      </w:r>
      <w:r>
        <w:rPr>
          <w:spacing w:val="-5"/>
          <w:u w:val="single"/>
        </w:rPr>
        <w:t> </w:t>
      </w:r>
      <w:r>
        <w:rPr>
          <w:u w:val="single"/>
        </w:rPr>
        <w:t>proposed</w:t>
      </w:r>
      <w:r>
        <w:rPr>
          <w:spacing w:val="-5"/>
          <w:u w:val="single"/>
        </w:rPr>
        <w:t> </w:t>
      </w:r>
      <w:r>
        <w:rPr>
          <w:u w:val="single"/>
        </w:rPr>
        <w:t>Standards</w:t>
      </w:r>
      <w:r>
        <w:rPr>
          <w:spacing w:val="-5"/>
          <w:u w:val="single"/>
        </w:rPr>
        <w:t> </w:t>
      </w:r>
      <w:r>
        <w:rPr>
          <w:u w:val="single"/>
        </w:rPr>
        <w:t>and</w:t>
      </w:r>
      <w:r>
        <w:rPr>
          <w:spacing w:val="-5"/>
          <w:u w:val="single"/>
        </w:rPr>
        <w:t> </w:t>
      </w:r>
      <w:r>
        <w:rPr>
          <w:u w:val="single"/>
        </w:rPr>
        <w:t>alternative</w:t>
      </w:r>
      <w:r>
        <w:rPr>
          <w:spacing w:val="-5"/>
          <w:u w:val="single"/>
        </w:rPr>
        <w:t> </w:t>
      </w:r>
      <w:r>
        <w:rPr>
          <w:u w:val="single"/>
        </w:rPr>
        <w:t>in</w:t>
      </w:r>
      <w:r>
        <w:rPr>
          <w:spacing w:val="-5"/>
          <w:u w:val="single"/>
        </w:rPr>
        <w:t> </w:t>
      </w:r>
      <w:r>
        <w:rPr>
          <w:u w:val="single"/>
        </w:rPr>
        <w:t>relation</w:t>
      </w:r>
      <w:r>
        <w:rPr>
          <w:u w:val="none"/>
        </w:rPr>
        <w:t> </w:t>
      </w:r>
      <w:r>
        <w:rPr>
          <w:u w:val="single"/>
        </w:rPr>
        <w:t>to the application of the Standards ($billion)</w:t>
      </w:r>
    </w:p>
    <w:p>
      <w:pPr>
        <w:pStyle w:val="BodyText"/>
        <w:spacing w:before="2"/>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2916"/>
        <w:gridCol w:w="2916"/>
      </w:tblGrid>
      <w:tr>
        <w:trPr>
          <w:trHeight w:val="562" w:hRule="atLeast"/>
        </w:trPr>
        <w:tc>
          <w:tcPr>
            <w:tcW w:w="2448" w:type="dxa"/>
          </w:tcPr>
          <w:p>
            <w:pPr>
              <w:pStyle w:val="TableParagraph"/>
              <w:rPr>
                <w:rFonts w:ascii="Times New Roman"/>
                <w:sz w:val="22"/>
              </w:rPr>
            </w:pPr>
          </w:p>
        </w:tc>
        <w:tc>
          <w:tcPr>
            <w:tcW w:w="2916" w:type="dxa"/>
          </w:tcPr>
          <w:p>
            <w:pPr>
              <w:pStyle w:val="TableParagraph"/>
              <w:spacing w:before="27"/>
              <w:ind w:left="107" w:right="643"/>
              <w:rPr>
                <w:b/>
                <w:sz w:val="22"/>
              </w:rPr>
            </w:pPr>
            <w:r>
              <w:rPr>
                <w:b/>
                <w:sz w:val="22"/>
              </w:rPr>
              <w:t>Proposed</w:t>
            </w:r>
            <w:r>
              <w:rPr>
                <w:b/>
                <w:spacing w:val="-16"/>
                <w:sz w:val="22"/>
              </w:rPr>
              <w:t> </w:t>
            </w:r>
            <w:r>
              <w:rPr>
                <w:b/>
                <w:sz w:val="22"/>
              </w:rPr>
              <w:t>Standards </w:t>
            </w:r>
            <w:r>
              <w:rPr>
                <w:b/>
                <w:spacing w:val="-2"/>
                <w:sz w:val="22"/>
              </w:rPr>
              <w:t>($bn)</w:t>
            </w:r>
          </w:p>
        </w:tc>
        <w:tc>
          <w:tcPr>
            <w:tcW w:w="2916" w:type="dxa"/>
          </w:tcPr>
          <w:p>
            <w:pPr>
              <w:pStyle w:val="TableParagraph"/>
              <w:spacing w:before="27"/>
              <w:ind w:left="107"/>
              <w:rPr>
                <w:b/>
                <w:sz w:val="22"/>
              </w:rPr>
            </w:pPr>
            <w:r>
              <w:rPr>
                <w:b/>
                <w:sz w:val="22"/>
              </w:rPr>
              <w:t>Option</w:t>
            </w:r>
            <w:r>
              <w:rPr>
                <w:b/>
                <w:spacing w:val="-13"/>
                <w:sz w:val="22"/>
              </w:rPr>
              <w:t> </w:t>
            </w:r>
            <w:r>
              <w:rPr>
                <w:b/>
                <w:sz w:val="22"/>
              </w:rPr>
              <w:t>2</w:t>
            </w:r>
            <w:r>
              <w:rPr>
                <w:b/>
                <w:spacing w:val="-13"/>
                <w:sz w:val="22"/>
              </w:rPr>
              <w:t> </w:t>
            </w:r>
            <w:r>
              <w:rPr>
                <w:b/>
                <w:sz w:val="22"/>
              </w:rPr>
              <w:t>(New</w:t>
            </w:r>
            <w:r>
              <w:rPr>
                <w:b/>
                <w:spacing w:val="-13"/>
                <w:sz w:val="22"/>
              </w:rPr>
              <w:t> </w:t>
            </w:r>
            <w:r>
              <w:rPr>
                <w:b/>
                <w:sz w:val="22"/>
              </w:rPr>
              <w:t>buildings only) ($bn)</w:t>
            </w:r>
          </w:p>
        </w:tc>
      </w:tr>
      <w:tr>
        <w:trPr>
          <w:trHeight w:val="607" w:hRule="atLeast"/>
        </w:trPr>
        <w:tc>
          <w:tcPr>
            <w:tcW w:w="2448" w:type="dxa"/>
          </w:tcPr>
          <w:p>
            <w:pPr>
              <w:pStyle w:val="TableParagraph"/>
              <w:spacing w:before="50"/>
              <w:ind w:left="107" w:right="183"/>
              <w:rPr>
                <w:b/>
                <w:sz w:val="22"/>
              </w:rPr>
            </w:pPr>
            <w:r>
              <w:rPr>
                <w:b/>
                <w:sz w:val="22"/>
              </w:rPr>
              <w:t>PV</w:t>
            </w:r>
            <w:r>
              <w:rPr>
                <w:b/>
                <w:spacing w:val="-16"/>
                <w:sz w:val="22"/>
              </w:rPr>
              <w:t> </w:t>
            </w:r>
            <w:r>
              <w:rPr>
                <w:b/>
                <w:sz w:val="22"/>
              </w:rPr>
              <w:t>of</w:t>
            </w:r>
            <w:r>
              <w:rPr>
                <w:b/>
                <w:spacing w:val="-15"/>
                <w:sz w:val="22"/>
              </w:rPr>
              <w:t> </w:t>
            </w:r>
            <w:r>
              <w:rPr>
                <w:b/>
                <w:sz w:val="22"/>
              </w:rPr>
              <w:t>Benefits </w:t>
            </w:r>
            <w:r>
              <w:rPr>
                <w:b/>
                <w:spacing w:val="-2"/>
                <w:sz w:val="22"/>
              </w:rPr>
              <w:t>(30yrs)</w:t>
            </w:r>
          </w:p>
        </w:tc>
        <w:tc>
          <w:tcPr>
            <w:tcW w:w="2916" w:type="dxa"/>
          </w:tcPr>
          <w:p>
            <w:pPr>
              <w:pStyle w:val="TableParagraph"/>
              <w:spacing w:before="25"/>
              <w:ind w:right="96"/>
              <w:jc w:val="right"/>
              <w:rPr>
                <w:sz w:val="24"/>
              </w:rPr>
            </w:pPr>
            <w:r>
              <w:rPr>
                <w:spacing w:val="-4"/>
                <w:sz w:val="24"/>
              </w:rPr>
              <w:t>11.4</w:t>
            </w:r>
          </w:p>
          <w:p>
            <w:pPr>
              <w:pStyle w:val="TableParagraph"/>
              <w:spacing w:before="1"/>
              <w:ind w:right="95"/>
              <w:jc w:val="right"/>
              <w:rPr>
                <w:i/>
                <w:sz w:val="24"/>
              </w:rPr>
            </w:pPr>
            <w:r>
              <w:rPr>
                <w:i/>
                <w:spacing w:val="-5"/>
                <w:sz w:val="24"/>
              </w:rPr>
              <w:t>7.3</w:t>
            </w:r>
          </w:p>
        </w:tc>
        <w:tc>
          <w:tcPr>
            <w:tcW w:w="2916" w:type="dxa"/>
          </w:tcPr>
          <w:p>
            <w:pPr>
              <w:pStyle w:val="TableParagraph"/>
              <w:spacing w:before="25"/>
              <w:ind w:right="95"/>
              <w:jc w:val="right"/>
              <w:rPr>
                <w:sz w:val="24"/>
              </w:rPr>
            </w:pPr>
            <w:r>
              <w:rPr>
                <w:spacing w:val="-5"/>
                <w:sz w:val="24"/>
              </w:rPr>
              <w:t>7.6</w:t>
            </w:r>
          </w:p>
          <w:p>
            <w:pPr>
              <w:pStyle w:val="TableParagraph"/>
              <w:spacing w:before="1"/>
              <w:ind w:right="95"/>
              <w:jc w:val="right"/>
              <w:rPr>
                <w:i/>
                <w:sz w:val="24"/>
              </w:rPr>
            </w:pPr>
            <w:r>
              <w:rPr>
                <w:i/>
                <w:spacing w:val="-5"/>
                <w:sz w:val="24"/>
              </w:rPr>
              <w:t>4.9</w:t>
            </w:r>
          </w:p>
        </w:tc>
      </w:tr>
      <w:tr>
        <w:trPr>
          <w:trHeight w:val="608" w:hRule="atLeast"/>
        </w:trPr>
        <w:tc>
          <w:tcPr>
            <w:tcW w:w="2448" w:type="dxa"/>
          </w:tcPr>
          <w:p>
            <w:pPr>
              <w:pStyle w:val="TableParagraph"/>
              <w:spacing w:before="176"/>
              <w:ind w:left="107"/>
              <w:rPr>
                <w:b/>
                <w:sz w:val="22"/>
              </w:rPr>
            </w:pPr>
            <w:r>
              <w:rPr>
                <w:b/>
                <w:sz w:val="22"/>
              </w:rPr>
              <w:t>PV</w:t>
            </w:r>
            <w:r>
              <w:rPr>
                <w:b/>
                <w:spacing w:val="-4"/>
                <w:sz w:val="22"/>
              </w:rPr>
              <w:t> </w:t>
            </w:r>
            <w:r>
              <w:rPr>
                <w:b/>
                <w:sz w:val="22"/>
              </w:rPr>
              <w:t>of</w:t>
            </w:r>
            <w:r>
              <w:rPr>
                <w:b/>
                <w:spacing w:val="-3"/>
                <w:sz w:val="22"/>
              </w:rPr>
              <w:t> </w:t>
            </w:r>
            <w:r>
              <w:rPr>
                <w:b/>
                <w:sz w:val="22"/>
              </w:rPr>
              <w:t>Cost</w:t>
            </w:r>
            <w:r>
              <w:rPr>
                <w:b/>
                <w:spacing w:val="-2"/>
                <w:sz w:val="22"/>
              </w:rPr>
              <w:t> </w:t>
            </w:r>
            <w:r>
              <w:rPr>
                <w:b/>
                <w:sz w:val="22"/>
              </w:rPr>
              <w:t>(30</w:t>
            </w:r>
            <w:r>
              <w:rPr>
                <w:b/>
                <w:spacing w:val="-3"/>
                <w:sz w:val="22"/>
              </w:rPr>
              <w:t> </w:t>
            </w:r>
            <w:r>
              <w:rPr>
                <w:b/>
                <w:spacing w:val="-4"/>
                <w:sz w:val="22"/>
              </w:rPr>
              <w:t>yrs)</w:t>
            </w:r>
          </w:p>
        </w:tc>
        <w:tc>
          <w:tcPr>
            <w:tcW w:w="2916" w:type="dxa"/>
          </w:tcPr>
          <w:p>
            <w:pPr>
              <w:pStyle w:val="TableParagraph"/>
              <w:spacing w:before="25"/>
              <w:ind w:right="95"/>
              <w:jc w:val="right"/>
              <w:rPr>
                <w:sz w:val="24"/>
              </w:rPr>
            </w:pPr>
            <w:r>
              <w:rPr>
                <w:spacing w:val="-5"/>
                <w:sz w:val="24"/>
              </w:rPr>
              <w:t>9.3</w:t>
            </w:r>
          </w:p>
          <w:p>
            <w:pPr>
              <w:pStyle w:val="TableParagraph"/>
              <w:spacing w:before="1"/>
              <w:ind w:right="95"/>
              <w:jc w:val="right"/>
              <w:rPr>
                <w:i/>
                <w:sz w:val="24"/>
              </w:rPr>
            </w:pPr>
            <w:r>
              <w:rPr>
                <w:i/>
                <w:spacing w:val="-5"/>
                <w:sz w:val="24"/>
              </w:rPr>
              <w:t>6.9</w:t>
            </w:r>
          </w:p>
        </w:tc>
        <w:tc>
          <w:tcPr>
            <w:tcW w:w="2916" w:type="dxa"/>
          </w:tcPr>
          <w:p>
            <w:pPr>
              <w:pStyle w:val="TableParagraph"/>
              <w:spacing w:before="25"/>
              <w:ind w:right="95"/>
              <w:jc w:val="right"/>
              <w:rPr>
                <w:sz w:val="24"/>
              </w:rPr>
            </w:pPr>
            <w:r>
              <w:rPr>
                <w:spacing w:val="-5"/>
                <w:sz w:val="24"/>
              </w:rPr>
              <w:t>2.9</w:t>
            </w:r>
          </w:p>
          <w:p>
            <w:pPr>
              <w:pStyle w:val="TableParagraph"/>
              <w:spacing w:before="1"/>
              <w:ind w:right="95"/>
              <w:jc w:val="right"/>
              <w:rPr>
                <w:i/>
                <w:sz w:val="24"/>
              </w:rPr>
            </w:pPr>
            <w:r>
              <w:rPr>
                <w:i/>
                <w:spacing w:val="-5"/>
                <w:sz w:val="24"/>
              </w:rPr>
              <w:t>2.1</w:t>
            </w:r>
          </w:p>
        </w:tc>
      </w:tr>
      <w:tr>
        <w:trPr>
          <w:trHeight w:val="607" w:hRule="atLeast"/>
        </w:trPr>
        <w:tc>
          <w:tcPr>
            <w:tcW w:w="2448" w:type="dxa"/>
          </w:tcPr>
          <w:p>
            <w:pPr>
              <w:pStyle w:val="TableParagraph"/>
              <w:spacing w:before="176"/>
              <w:ind w:left="107"/>
              <w:rPr>
                <w:b/>
                <w:sz w:val="22"/>
              </w:rPr>
            </w:pPr>
            <w:r>
              <w:rPr>
                <w:b/>
                <w:sz w:val="22"/>
              </w:rPr>
              <w:t>NPV</w:t>
            </w:r>
            <w:r>
              <w:rPr>
                <w:b/>
                <w:spacing w:val="-6"/>
                <w:sz w:val="22"/>
              </w:rPr>
              <w:t> </w:t>
            </w:r>
            <w:r>
              <w:rPr>
                <w:b/>
                <w:sz w:val="22"/>
              </w:rPr>
              <w:t>(30</w:t>
            </w:r>
            <w:r>
              <w:rPr>
                <w:b/>
                <w:spacing w:val="-5"/>
                <w:sz w:val="22"/>
              </w:rPr>
              <w:t> </w:t>
            </w:r>
            <w:r>
              <w:rPr>
                <w:b/>
                <w:spacing w:val="-4"/>
                <w:sz w:val="22"/>
              </w:rPr>
              <w:t>yrs)</w:t>
            </w:r>
          </w:p>
        </w:tc>
        <w:tc>
          <w:tcPr>
            <w:tcW w:w="2916" w:type="dxa"/>
          </w:tcPr>
          <w:p>
            <w:pPr>
              <w:pStyle w:val="TableParagraph"/>
              <w:spacing w:before="25"/>
              <w:ind w:right="95"/>
              <w:jc w:val="right"/>
              <w:rPr>
                <w:sz w:val="24"/>
              </w:rPr>
            </w:pPr>
            <w:r>
              <w:rPr>
                <w:spacing w:val="-5"/>
                <w:sz w:val="24"/>
              </w:rPr>
              <w:t>2.1</w:t>
            </w:r>
          </w:p>
          <w:p>
            <w:pPr>
              <w:pStyle w:val="TableParagraph"/>
              <w:spacing w:before="1"/>
              <w:ind w:right="95"/>
              <w:jc w:val="right"/>
              <w:rPr>
                <w:i/>
                <w:sz w:val="24"/>
              </w:rPr>
            </w:pPr>
            <w:r>
              <w:rPr>
                <w:i/>
                <w:spacing w:val="-5"/>
                <w:sz w:val="24"/>
              </w:rPr>
              <w:t>0.4</w:t>
            </w:r>
          </w:p>
        </w:tc>
        <w:tc>
          <w:tcPr>
            <w:tcW w:w="2916" w:type="dxa"/>
          </w:tcPr>
          <w:p>
            <w:pPr>
              <w:pStyle w:val="TableParagraph"/>
              <w:spacing w:before="25"/>
              <w:ind w:right="95"/>
              <w:jc w:val="right"/>
              <w:rPr>
                <w:sz w:val="24"/>
              </w:rPr>
            </w:pPr>
            <w:r>
              <w:rPr>
                <w:spacing w:val="-5"/>
                <w:sz w:val="24"/>
              </w:rPr>
              <w:t>4.7</w:t>
            </w:r>
          </w:p>
          <w:p>
            <w:pPr>
              <w:pStyle w:val="TableParagraph"/>
              <w:spacing w:before="1"/>
              <w:ind w:right="95"/>
              <w:jc w:val="right"/>
              <w:rPr>
                <w:i/>
                <w:sz w:val="24"/>
              </w:rPr>
            </w:pPr>
            <w:r>
              <w:rPr>
                <w:i/>
                <w:spacing w:val="-5"/>
                <w:sz w:val="24"/>
              </w:rPr>
              <w:t>2.8</w:t>
            </w:r>
          </w:p>
        </w:tc>
      </w:tr>
      <w:tr>
        <w:trPr>
          <w:trHeight w:val="331" w:hRule="atLeast"/>
        </w:trPr>
        <w:tc>
          <w:tcPr>
            <w:tcW w:w="2448" w:type="dxa"/>
          </w:tcPr>
          <w:p>
            <w:pPr>
              <w:pStyle w:val="TableParagraph"/>
              <w:spacing w:before="38"/>
              <w:ind w:left="107"/>
              <w:rPr>
                <w:b/>
                <w:sz w:val="22"/>
              </w:rPr>
            </w:pPr>
            <w:r>
              <w:rPr>
                <w:b/>
                <w:sz w:val="22"/>
              </w:rPr>
              <w:t>Benefit/cost</w:t>
            </w:r>
            <w:r>
              <w:rPr>
                <w:b/>
                <w:spacing w:val="-13"/>
                <w:sz w:val="22"/>
              </w:rPr>
              <w:t> </w:t>
            </w:r>
            <w:r>
              <w:rPr>
                <w:b/>
                <w:spacing w:val="-2"/>
                <w:sz w:val="22"/>
              </w:rPr>
              <w:t>ratio</w:t>
            </w:r>
          </w:p>
        </w:tc>
        <w:tc>
          <w:tcPr>
            <w:tcW w:w="2916" w:type="dxa"/>
          </w:tcPr>
          <w:p>
            <w:pPr>
              <w:pStyle w:val="TableParagraph"/>
              <w:spacing w:before="25"/>
              <w:ind w:left="1080" w:right="1071"/>
              <w:jc w:val="center"/>
              <w:rPr>
                <w:sz w:val="24"/>
              </w:rPr>
            </w:pPr>
            <w:r>
              <w:rPr>
                <w:spacing w:val="-2"/>
                <w:sz w:val="24"/>
              </w:rPr>
              <w:t>1.23:1</w:t>
            </w:r>
          </w:p>
        </w:tc>
        <w:tc>
          <w:tcPr>
            <w:tcW w:w="2916" w:type="dxa"/>
          </w:tcPr>
          <w:p>
            <w:pPr>
              <w:pStyle w:val="TableParagraph"/>
              <w:spacing w:before="25"/>
              <w:ind w:left="1080" w:right="1071"/>
              <w:jc w:val="center"/>
              <w:rPr>
                <w:sz w:val="24"/>
              </w:rPr>
            </w:pPr>
            <w:r>
              <w:rPr>
                <w:sz w:val="24"/>
              </w:rPr>
              <w:t>2.62:</w:t>
            </w:r>
            <w:r>
              <w:rPr>
                <w:spacing w:val="-9"/>
                <w:sz w:val="24"/>
              </w:rPr>
              <w:t> </w:t>
            </w:r>
            <w:r>
              <w:rPr>
                <w:spacing w:val="-10"/>
                <w:sz w:val="24"/>
              </w:rPr>
              <w:t>1</w:t>
            </w:r>
          </w:p>
        </w:tc>
      </w:tr>
    </w:tbl>
    <w:p>
      <w:pPr>
        <w:spacing w:after="0"/>
        <w:jc w:val="center"/>
        <w:rPr>
          <w:sz w:val="24"/>
        </w:rPr>
        <w:sectPr>
          <w:pgSz w:w="11900" w:h="16840"/>
          <w:pgMar w:header="0" w:footer="1130" w:top="1000" w:bottom="1505"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2916"/>
        <w:gridCol w:w="2916"/>
      </w:tblGrid>
      <w:tr>
        <w:trPr>
          <w:trHeight w:val="332" w:hRule="atLeast"/>
        </w:trPr>
        <w:tc>
          <w:tcPr>
            <w:tcW w:w="2448" w:type="dxa"/>
          </w:tcPr>
          <w:p>
            <w:pPr>
              <w:pStyle w:val="TableParagraph"/>
              <w:rPr>
                <w:rFonts w:ascii="Times New Roman"/>
                <w:sz w:val="24"/>
              </w:rPr>
            </w:pPr>
          </w:p>
        </w:tc>
        <w:tc>
          <w:tcPr>
            <w:tcW w:w="2916" w:type="dxa"/>
          </w:tcPr>
          <w:p>
            <w:pPr>
              <w:pStyle w:val="TableParagraph"/>
              <w:spacing w:before="26"/>
              <w:ind w:left="1080" w:right="1071"/>
              <w:jc w:val="center"/>
              <w:rPr>
                <w:i/>
                <w:sz w:val="24"/>
              </w:rPr>
            </w:pPr>
            <w:r>
              <w:rPr>
                <w:i/>
                <w:spacing w:val="-2"/>
                <w:sz w:val="24"/>
              </w:rPr>
              <w:t>1.05:1</w:t>
            </w:r>
          </w:p>
        </w:tc>
        <w:tc>
          <w:tcPr>
            <w:tcW w:w="2916" w:type="dxa"/>
          </w:tcPr>
          <w:p>
            <w:pPr>
              <w:pStyle w:val="TableParagraph"/>
              <w:spacing w:before="26"/>
              <w:ind w:left="1080" w:right="1071"/>
              <w:jc w:val="center"/>
              <w:rPr>
                <w:i/>
                <w:sz w:val="24"/>
              </w:rPr>
            </w:pPr>
            <w:r>
              <w:rPr>
                <w:i/>
                <w:spacing w:val="-2"/>
                <w:sz w:val="24"/>
              </w:rPr>
              <w:t>2.36:1</w:t>
            </w:r>
          </w:p>
        </w:tc>
      </w:tr>
    </w:tbl>
    <w:p>
      <w:pPr>
        <w:pStyle w:val="BodyText"/>
        <w:spacing w:before="6"/>
        <w:rPr>
          <w:b/>
          <w:sz w:val="15"/>
        </w:rPr>
      </w:pPr>
    </w:p>
    <w:p>
      <w:pPr>
        <w:pStyle w:val="BodyText"/>
        <w:spacing w:before="92"/>
        <w:ind w:left="419" w:right="811"/>
        <w:jc w:val="both"/>
      </w:pPr>
      <w:r>
        <w:rPr/>
        <w:t>Option 2 (applying the Premises Standards only to new buildings) has the highest NPV of all the options considered, at approximately $4.7 ($2.8) billion over 30 years.</w:t>
      </w:r>
      <w:r>
        <w:rPr>
          <w:spacing w:val="40"/>
        </w:rPr>
        <w:t> </w:t>
      </w:r>
      <w:r>
        <w:rPr/>
        <w:t>It is also the most cost-effective alternative, with a benefit cost ratio</w:t>
      </w:r>
      <w:r>
        <w:rPr>
          <w:spacing w:val="-2"/>
        </w:rPr>
        <w:t> </w:t>
      </w:r>
      <w:r>
        <w:rPr/>
        <w:t>of</w:t>
      </w:r>
      <w:r>
        <w:rPr>
          <w:spacing w:val="-2"/>
        </w:rPr>
        <w:t> </w:t>
      </w:r>
      <w:r>
        <w:rPr/>
        <w:t>2.62:1</w:t>
      </w:r>
      <w:r>
        <w:rPr>
          <w:spacing w:val="-2"/>
        </w:rPr>
        <w:t> </w:t>
      </w:r>
      <w:r>
        <w:rPr/>
        <w:t>(2.36:1).</w:t>
      </w:r>
      <w:r>
        <w:rPr>
          <w:spacing w:val="40"/>
        </w:rPr>
        <w:t> </w:t>
      </w:r>
      <w:r>
        <w:rPr/>
        <w:t>However,</w:t>
      </w:r>
      <w:r>
        <w:rPr>
          <w:spacing w:val="-2"/>
        </w:rPr>
        <w:t> </w:t>
      </w:r>
      <w:r>
        <w:rPr/>
        <w:t>this</w:t>
      </w:r>
      <w:r>
        <w:rPr>
          <w:spacing w:val="-2"/>
        </w:rPr>
        <w:t> </w:t>
      </w:r>
      <w:r>
        <w:rPr/>
        <w:t>alternative</w:t>
      </w:r>
      <w:r>
        <w:rPr>
          <w:spacing w:val="-2"/>
        </w:rPr>
        <w:t> </w:t>
      </w:r>
      <w:r>
        <w:rPr/>
        <w:t>would</w:t>
      </w:r>
      <w:r>
        <w:rPr>
          <w:spacing w:val="-2"/>
        </w:rPr>
        <w:t> </w:t>
      </w:r>
      <w:r>
        <w:rPr/>
        <w:t>involve</w:t>
      </w:r>
      <w:r>
        <w:rPr>
          <w:spacing w:val="-1"/>
        </w:rPr>
        <w:t> </w:t>
      </w:r>
      <w:r>
        <w:rPr/>
        <w:t>a</w:t>
      </w:r>
      <w:r>
        <w:rPr>
          <w:spacing w:val="-1"/>
        </w:rPr>
        <w:t> </w:t>
      </w:r>
      <w:r>
        <w:rPr/>
        <w:t>substantially slower rate of improvement in the degree of accessibility of the built environment.</w:t>
      </w:r>
      <w:r>
        <w:rPr>
          <w:spacing w:val="40"/>
        </w:rPr>
        <w:t> </w:t>
      </w:r>
      <w:r>
        <w:rPr/>
        <w:t>It is arguable that the need for timely action to improve the accessibility of the built environment is sufficiently pressing to require that the proposed Standards be adopted, notwithstanding that it is less cost effective than</w:t>
      </w:r>
      <w:r>
        <w:rPr>
          <w:spacing w:val="-3"/>
        </w:rPr>
        <w:t> </w:t>
      </w:r>
      <w:r>
        <w:rPr/>
        <w:t>this</w:t>
      </w:r>
      <w:r>
        <w:rPr>
          <w:spacing w:val="-3"/>
        </w:rPr>
        <w:t> </w:t>
      </w:r>
      <w:r>
        <w:rPr/>
        <w:t>alternative.</w:t>
      </w:r>
      <w:r>
        <w:rPr>
          <w:spacing w:val="40"/>
        </w:rPr>
        <w:t> </w:t>
      </w:r>
      <w:r>
        <w:rPr/>
        <w:t>In</w:t>
      </w:r>
      <w:r>
        <w:rPr>
          <w:spacing w:val="-3"/>
        </w:rPr>
        <w:t> </w:t>
      </w:r>
      <w:r>
        <w:rPr/>
        <w:t>addition,</w:t>
      </w:r>
      <w:r>
        <w:rPr>
          <w:spacing w:val="-3"/>
        </w:rPr>
        <w:t> </w:t>
      </w:r>
      <w:r>
        <w:rPr/>
        <w:t>the</w:t>
      </w:r>
      <w:r>
        <w:rPr>
          <w:spacing w:val="-3"/>
        </w:rPr>
        <w:t> </w:t>
      </w:r>
      <w:r>
        <w:rPr/>
        <w:t>proposed</w:t>
      </w:r>
      <w:r>
        <w:rPr>
          <w:spacing w:val="-3"/>
        </w:rPr>
        <w:t> </w:t>
      </w:r>
      <w:r>
        <w:rPr/>
        <w:t>Standards</w:t>
      </w:r>
      <w:r>
        <w:rPr>
          <w:spacing w:val="-3"/>
        </w:rPr>
        <w:t> </w:t>
      </w:r>
      <w:r>
        <w:rPr/>
        <w:t>generates</w:t>
      </w:r>
      <w:r>
        <w:rPr>
          <w:spacing w:val="-3"/>
        </w:rPr>
        <w:t> </w:t>
      </w:r>
      <w:r>
        <w:rPr/>
        <w:t>a</w:t>
      </w:r>
      <w:r>
        <w:rPr>
          <w:spacing w:val="-3"/>
        </w:rPr>
        <w:t> </w:t>
      </w:r>
      <w:r>
        <w:rPr/>
        <w:t>positive NPV even without reference to the substantial unquantifiable benefits that the Premises Standards entails.</w:t>
      </w:r>
    </w:p>
    <w:p>
      <w:pPr>
        <w:spacing w:after="0"/>
        <w:jc w:val="both"/>
        <w:sectPr>
          <w:type w:val="continuous"/>
          <w:pgSz w:w="11900" w:h="16840"/>
          <w:pgMar w:header="0" w:footer="1130" w:top="1080" w:bottom="1320" w:left="1380" w:right="980"/>
        </w:sectPr>
      </w:pPr>
    </w:p>
    <w:p>
      <w:pPr>
        <w:pStyle w:val="Heading1"/>
        <w:numPr>
          <w:ilvl w:val="0"/>
          <w:numId w:val="25"/>
        </w:numPr>
        <w:tabs>
          <w:tab w:pos="1139" w:val="left" w:leader="none"/>
          <w:tab w:pos="1140" w:val="left" w:leader="none"/>
        </w:tabs>
        <w:spacing w:line="240" w:lineRule="auto" w:before="77" w:after="0"/>
        <w:ind w:left="1139" w:right="0" w:hanging="720"/>
        <w:jc w:val="left"/>
      </w:pPr>
      <w:bookmarkStart w:name="_TOC_250010" w:id="125"/>
      <w:bookmarkStart w:name=" 11 Consultation" w:id="126"/>
      <w:r>
        <w:rPr>
          <w:spacing w:val="-2"/>
        </w:rPr>
        <w:t>Consul</w:t>
      </w:r>
      <w:bookmarkEnd w:id="125"/>
      <w:r>
        <w:rPr>
          <w:spacing w:val="-2"/>
        </w:rPr>
        <w:t>tation</w:t>
      </w:r>
    </w:p>
    <w:p>
      <w:pPr>
        <w:pStyle w:val="BodyText"/>
        <w:spacing w:before="239"/>
        <w:ind w:left="420" w:right="811"/>
        <w:jc w:val="both"/>
      </w:pPr>
      <w:r>
        <w:rPr/>
        <w:t>Consultation on the development of the draft Premises Standards has been extensive</w:t>
      </w:r>
      <w:r>
        <w:rPr/>
        <w:t> and</w:t>
      </w:r>
      <w:r>
        <w:rPr/>
        <w:t> has</w:t>
      </w:r>
      <w:r>
        <w:rPr/>
        <w:t> taken</w:t>
      </w:r>
      <w:r>
        <w:rPr/>
        <w:t> several</w:t>
      </w:r>
      <w:r>
        <w:rPr/>
        <w:t> forms</w:t>
      </w:r>
      <w:r>
        <w:rPr/>
        <w:t> over</w:t>
      </w:r>
      <w:r>
        <w:rPr/>
        <w:t> several</w:t>
      </w:r>
      <w:r>
        <w:rPr/>
        <w:t> years.</w:t>
      </w:r>
      <w:r>
        <w:rPr/>
        <w:t> This chapter discusses the main processes undertaken, including:</w:t>
      </w:r>
    </w:p>
    <w:p>
      <w:pPr>
        <w:pStyle w:val="BodyText"/>
      </w:pPr>
    </w:p>
    <w:p>
      <w:pPr>
        <w:pStyle w:val="ListParagraph"/>
        <w:numPr>
          <w:ilvl w:val="0"/>
          <w:numId w:val="40"/>
        </w:numPr>
        <w:tabs>
          <w:tab w:pos="1139" w:val="left" w:leader="none"/>
          <w:tab w:pos="1140" w:val="left" w:leader="none"/>
        </w:tabs>
        <w:spacing w:line="240" w:lineRule="auto" w:before="1" w:after="0"/>
        <w:ind w:left="1140" w:right="0" w:hanging="360"/>
        <w:jc w:val="left"/>
        <w:rPr>
          <w:sz w:val="24"/>
        </w:rPr>
      </w:pPr>
      <w:r>
        <w:rPr>
          <w:sz w:val="24"/>
        </w:rPr>
        <w:t>The</w:t>
      </w:r>
      <w:r>
        <w:rPr>
          <w:spacing w:val="-6"/>
          <w:sz w:val="24"/>
        </w:rPr>
        <w:t> </w:t>
      </w:r>
      <w:r>
        <w:rPr>
          <w:sz w:val="24"/>
        </w:rPr>
        <w:t>2004</w:t>
      </w:r>
      <w:r>
        <w:rPr>
          <w:spacing w:val="-6"/>
          <w:sz w:val="24"/>
        </w:rPr>
        <w:t> </w:t>
      </w:r>
      <w:r>
        <w:rPr>
          <w:sz w:val="24"/>
        </w:rPr>
        <w:t>public</w:t>
      </w:r>
      <w:r>
        <w:rPr>
          <w:spacing w:val="-6"/>
          <w:sz w:val="24"/>
        </w:rPr>
        <w:t> </w:t>
      </w:r>
      <w:r>
        <w:rPr>
          <w:sz w:val="24"/>
        </w:rPr>
        <w:t>consultation</w:t>
      </w:r>
      <w:r>
        <w:rPr>
          <w:spacing w:val="-5"/>
          <w:sz w:val="24"/>
        </w:rPr>
        <w:t> </w:t>
      </w:r>
      <w:r>
        <w:rPr>
          <w:sz w:val="24"/>
        </w:rPr>
        <w:t>and</w:t>
      </w:r>
      <w:r>
        <w:rPr>
          <w:spacing w:val="-6"/>
          <w:sz w:val="24"/>
        </w:rPr>
        <w:t> </w:t>
      </w:r>
      <w:r>
        <w:rPr>
          <w:sz w:val="24"/>
        </w:rPr>
        <w:t>awareness</w:t>
      </w:r>
      <w:r>
        <w:rPr>
          <w:spacing w:val="-6"/>
          <w:sz w:val="24"/>
        </w:rPr>
        <w:t> </w:t>
      </w:r>
      <w:r>
        <w:rPr>
          <w:spacing w:val="-2"/>
          <w:sz w:val="24"/>
        </w:rPr>
        <w:t>sessions;</w:t>
      </w:r>
    </w:p>
    <w:p>
      <w:pPr>
        <w:pStyle w:val="ListParagraph"/>
        <w:numPr>
          <w:ilvl w:val="0"/>
          <w:numId w:val="40"/>
        </w:numPr>
        <w:tabs>
          <w:tab w:pos="1139" w:val="left" w:leader="none"/>
          <w:tab w:pos="1141" w:val="left" w:leader="none"/>
        </w:tabs>
        <w:spacing w:line="240" w:lineRule="auto" w:before="117" w:after="0"/>
        <w:ind w:left="1140" w:right="0" w:hanging="361"/>
        <w:jc w:val="left"/>
        <w:rPr>
          <w:sz w:val="24"/>
        </w:rPr>
      </w:pPr>
      <w:r>
        <w:rPr>
          <w:sz w:val="24"/>
        </w:rPr>
        <w:t>The</w:t>
      </w:r>
      <w:r>
        <w:rPr>
          <w:spacing w:val="-6"/>
          <w:sz w:val="24"/>
        </w:rPr>
        <w:t> </w:t>
      </w:r>
      <w:r>
        <w:rPr>
          <w:sz w:val="24"/>
        </w:rPr>
        <w:t>Disability</w:t>
      </w:r>
      <w:r>
        <w:rPr>
          <w:spacing w:val="-6"/>
          <w:sz w:val="24"/>
        </w:rPr>
        <w:t> </w:t>
      </w:r>
      <w:r>
        <w:rPr>
          <w:sz w:val="24"/>
        </w:rPr>
        <w:t>Access</w:t>
      </w:r>
      <w:r>
        <w:rPr>
          <w:spacing w:val="-6"/>
          <w:sz w:val="24"/>
        </w:rPr>
        <w:t> </w:t>
      </w:r>
      <w:r>
        <w:rPr>
          <w:sz w:val="24"/>
        </w:rPr>
        <w:t>Reference</w:t>
      </w:r>
      <w:r>
        <w:rPr>
          <w:spacing w:val="-6"/>
          <w:sz w:val="24"/>
        </w:rPr>
        <w:t> </w:t>
      </w:r>
      <w:r>
        <w:rPr>
          <w:spacing w:val="-2"/>
          <w:sz w:val="24"/>
        </w:rPr>
        <w:t>Group;</w:t>
      </w:r>
    </w:p>
    <w:p>
      <w:pPr>
        <w:pStyle w:val="ListParagraph"/>
        <w:numPr>
          <w:ilvl w:val="0"/>
          <w:numId w:val="40"/>
        </w:numPr>
        <w:tabs>
          <w:tab w:pos="1139" w:val="left" w:leader="none"/>
          <w:tab w:pos="1141" w:val="left" w:leader="none"/>
        </w:tabs>
        <w:spacing w:line="237" w:lineRule="auto" w:before="121" w:after="0"/>
        <w:ind w:left="1140" w:right="813" w:hanging="360"/>
        <w:jc w:val="left"/>
        <w:rPr>
          <w:sz w:val="24"/>
        </w:rPr>
      </w:pPr>
      <w:r>
        <w:rPr>
          <w:sz w:val="24"/>
        </w:rPr>
        <w:t>The</w:t>
      </w:r>
      <w:r>
        <w:rPr>
          <w:spacing w:val="40"/>
          <w:sz w:val="24"/>
        </w:rPr>
        <w:t> </w:t>
      </w:r>
      <w:r>
        <w:rPr>
          <w:sz w:val="24"/>
        </w:rPr>
        <w:t>House</w:t>
      </w:r>
      <w:r>
        <w:rPr>
          <w:spacing w:val="40"/>
          <w:sz w:val="24"/>
        </w:rPr>
        <w:t> </w:t>
      </w:r>
      <w:r>
        <w:rPr>
          <w:sz w:val="24"/>
        </w:rPr>
        <w:t>of</w:t>
      </w:r>
      <w:r>
        <w:rPr>
          <w:spacing w:val="40"/>
          <w:sz w:val="24"/>
        </w:rPr>
        <w:t> </w:t>
      </w:r>
      <w:r>
        <w:rPr>
          <w:sz w:val="24"/>
        </w:rPr>
        <w:t>Representatives</w:t>
      </w:r>
      <w:r>
        <w:rPr>
          <w:spacing w:val="40"/>
          <w:sz w:val="24"/>
        </w:rPr>
        <w:t> </w:t>
      </w:r>
      <w:r>
        <w:rPr>
          <w:sz w:val="24"/>
        </w:rPr>
        <w:t>Standing</w:t>
      </w:r>
      <w:r>
        <w:rPr>
          <w:spacing w:val="40"/>
          <w:sz w:val="24"/>
        </w:rPr>
        <w:t> </w:t>
      </w:r>
      <w:r>
        <w:rPr>
          <w:sz w:val="24"/>
        </w:rPr>
        <w:t>Committee</w:t>
      </w:r>
      <w:r>
        <w:rPr>
          <w:spacing w:val="40"/>
          <w:sz w:val="24"/>
        </w:rPr>
        <w:t> </w:t>
      </w:r>
      <w:r>
        <w:rPr>
          <w:sz w:val="24"/>
        </w:rPr>
        <w:t>on</w:t>
      </w:r>
      <w:r>
        <w:rPr>
          <w:spacing w:val="40"/>
          <w:sz w:val="24"/>
        </w:rPr>
        <w:t> </w:t>
      </w:r>
      <w:r>
        <w:rPr>
          <w:sz w:val="24"/>
        </w:rPr>
        <w:t>Legal</w:t>
      </w:r>
      <w:r>
        <w:rPr>
          <w:spacing w:val="40"/>
          <w:sz w:val="24"/>
        </w:rPr>
        <w:t> </w:t>
      </w:r>
      <w:r>
        <w:rPr>
          <w:sz w:val="24"/>
        </w:rPr>
        <w:t>and</w:t>
      </w:r>
      <w:r>
        <w:rPr>
          <w:spacing w:val="80"/>
          <w:sz w:val="24"/>
        </w:rPr>
        <w:t> </w:t>
      </w:r>
      <w:r>
        <w:rPr>
          <w:sz w:val="24"/>
        </w:rPr>
        <w:t>Constitutional Affairs (HRSCLCA) 2009; and</w:t>
      </w:r>
    </w:p>
    <w:p>
      <w:pPr>
        <w:pStyle w:val="ListParagraph"/>
        <w:numPr>
          <w:ilvl w:val="0"/>
          <w:numId w:val="40"/>
        </w:numPr>
        <w:tabs>
          <w:tab w:pos="1139" w:val="left" w:leader="none"/>
          <w:tab w:pos="1141" w:val="left" w:leader="none"/>
        </w:tabs>
        <w:spacing w:line="240" w:lineRule="auto" w:before="121" w:after="0"/>
        <w:ind w:left="1140" w:right="0" w:hanging="361"/>
        <w:jc w:val="left"/>
        <w:rPr>
          <w:sz w:val="24"/>
        </w:rPr>
      </w:pPr>
      <w:r>
        <w:rPr>
          <w:sz w:val="24"/>
        </w:rPr>
        <w:t>Post</w:t>
      </w:r>
      <w:r>
        <w:rPr>
          <w:spacing w:val="-6"/>
          <w:sz w:val="24"/>
        </w:rPr>
        <w:t> </w:t>
      </w:r>
      <w:r>
        <w:rPr>
          <w:sz w:val="24"/>
        </w:rPr>
        <w:t>HRSCLCA</w:t>
      </w:r>
      <w:r>
        <w:rPr>
          <w:spacing w:val="-6"/>
          <w:sz w:val="24"/>
        </w:rPr>
        <w:t> </w:t>
      </w:r>
      <w:r>
        <w:rPr>
          <w:spacing w:val="-2"/>
          <w:sz w:val="24"/>
        </w:rPr>
        <w:t>consultation.</w:t>
      </w:r>
    </w:p>
    <w:p>
      <w:pPr>
        <w:pStyle w:val="BodyText"/>
        <w:rPr>
          <w:sz w:val="28"/>
        </w:rPr>
      </w:pPr>
    </w:p>
    <w:p>
      <w:pPr>
        <w:pStyle w:val="BodyText"/>
        <w:spacing w:before="4"/>
        <w:rPr>
          <w:sz w:val="27"/>
        </w:rPr>
      </w:pPr>
    </w:p>
    <w:p>
      <w:pPr>
        <w:pStyle w:val="Heading2"/>
        <w:numPr>
          <w:ilvl w:val="1"/>
          <w:numId w:val="25"/>
        </w:numPr>
        <w:tabs>
          <w:tab w:pos="1043" w:val="left" w:leader="none"/>
        </w:tabs>
        <w:spacing w:line="240" w:lineRule="auto" w:before="0" w:after="0"/>
        <w:ind w:left="1042" w:right="0" w:hanging="623"/>
        <w:jc w:val="left"/>
        <w:rPr>
          <w:i/>
        </w:rPr>
      </w:pPr>
      <w:bookmarkStart w:name="_TOC_250009" w:id="127"/>
      <w:bookmarkStart w:name="11.1 Public Consultation" w:id="128"/>
      <w:r>
        <w:rPr>
          <w:i/>
        </w:rPr>
        <w:t>Public</w:t>
      </w:r>
      <w:r>
        <w:rPr>
          <w:i/>
          <w:spacing w:val="-9"/>
        </w:rPr>
        <w:t> </w:t>
      </w:r>
      <w:bookmarkEnd w:id="127"/>
      <w:r>
        <w:rPr>
          <w:i/>
          <w:spacing w:val="-2"/>
        </w:rPr>
        <w:t>Consultation</w:t>
      </w:r>
    </w:p>
    <w:p>
      <w:pPr>
        <w:pStyle w:val="BodyText"/>
        <w:rPr>
          <w:b/>
          <w:i/>
          <w:sz w:val="29"/>
        </w:rPr>
      </w:pPr>
    </w:p>
    <w:p>
      <w:pPr>
        <w:pStyle w:val="BodyText"/>
        <w:ind w:left="420" w:right="811"/>
        <w:jc w:val="both"/>
      </w:pPr>
      <w:r>
        <w:rPr/>
        <w:t>The development of the draft Premises Standards proposal was an inclusive process to which all stakeholder groups have been able to contribute.</w:t>
      </w:r>
      <w:r>
        <w:rPr>
          <w:spacing w:val="40"/>
        </w:rPr>
        <w:t> </w:t>
      </w:r>
      <w:r>
        <w:rPr/>
        <w:t>The involvement</w:t>
      </w:r>
      <w:r>
        <w:rPr>
          <w:spacing w:val="-1"/>
        </w:rPr>
        <w:t> </w:t>
      </w:r>
      <w:r>
        <w:rPr/>
        <w:t>of</w:t>
      </w:r>
      <w:r>
        <w:rPr>
          <w:spacing w:val="-1"/>
        </w:rPr>
        <w:t> </w:t>
      </w:r>
      <w:r>
        <w:rPr/>
        <w:t>these</w:t>
      </w:r>
      <w:r>
        <w:rPr>
          <w:spacing w:val="-1"/>
        </w:rPr>
        <w:t> </w:t>
      </w:r>
      <w:r>
        <w:rPr/>
        <w:t>stakeholders</w:t>
      </w:r>
      <w:r>
        <w:rPr>
          <w:spacing w:val="-1"/>
        </w:rPr>
        <w:t> </w:t>
      </w:r>
      <w:r>
        <w:rPr/>
        <w:t>has</w:t>
      </w:r>
      <w:r>
        <w:rPr>
          <w:spacing w:val="-1"/>
        </w:rPr>
        <w:t> </w:t>
      </w:r>
      <w:r>
        <w:rPr/>
        <w:t>continued in the process of refining the draft Premises Standards proposal and developing it into its current form.</w:t>
      </w:r>
    </w:p>
    <w:p>
      <w:pPr>
        <w:pStyle w:val="BodyText"/>
      </w:pPr>
    </w:p>
    <w:p>
      <w:pPr>
        <w:pStyle w:val="BodyText"/>
        <w:ind w:left="420" w:right="810"/>
        <w:jc w:val="both"/>
      </w:pPr>
      <w:r>
        <w:rPr/>
        <w:t>In February 2004, the public consultation draft of the Premises Standards and the draft RIS were released for a three month comment period.</w:t>
      </w:r>
      <w:r>
        <w:rPr>
          <w:spacing w:val="40"/>
        </w:rPr>
        <w:t> </w:t>
      </w:r>
      <w:r>
        <w:rPr/>
        <w:t>In addition, awareness sessions were conducted in all States and Territories on the draft Premises Standards, draft RIS and associated documents.</w:t>
      </w:r>
    </w:p>
    <w:p>
      <w:pPr>
        <w:pStyle w:val="BodyText"/>
      </w:pPr>
    </w:p>
    <w:p>
      <w:pPr>
        <w:pStyle w:val="BodyText"/>
        <w:ind w:left="420" w:right="812"/>
        <w:jc w:val="both"/>
      </w:pPr>
      <w:r>
        <w:rPr/>
        <w:t>A total of 274 submissions on the Premises Standards, and 77 submissions on the RIS, were received. Table 18 summarises the sources of the submissions received.</w:t>
      </w:r>
    </w:p>
    <w:p>
      <w:pPr>
        <w:pStyle w:val="BodyText"/>
        <w:spacing w:before="1"/>
      </w:pPr>
    </w:p>
    <w:p>
      <w:pPr>
        <w:pStyle w:val="Heading4"/>
        <w:spacing w:before="1"/>
        <w:ind w:right="812"/>
        <w:rPr>
          <w:b w:val="0"/>
          <w:u w:val="none"/>
        </w:rPr>
      </w:pPr>
      <w:r>
        <w:rPr>
          <w:u w:val="single"/>
        </w:rPr>
        <w:t>Table 18:</w:t>
      </w:r>
      <w:r>
        <w:rPr>
          <w:spacing w:val="40"/>
          <w:u w:val="single"/>
        </w:rPr>
        <w:t> </w:t>
      </w:r>
      <w:r>
        <w:rPr>
          <w:u w:val="single"/>
        </w:rPr>
        <w:t>Summary</w:t>
      </w:r>
      <w:r>
        <w:rPr>
          <w:u w:val="single"/>
        </w:rPr>
        <w:t> of</w:t>
      </w:r>
      <w:r>
        <w:rPr>
          <w:u w:val="single"/>
        </w:rPr>
        <w:t> submissions</w:t>
      </w:r>
      <w:r>
        <w:rPr>
          <w:u w:val="single"/>
        </w:rPr>
        <w:t> received</w:t>
      </w:r>
      <w:r>
        <w:rPr>
          <w:u w:val="single"/>
        </w:rPr>
        <w:t> in</w:t>
      </w:r>
      <w:r>
        <w:rPr>
          <w:u w:val="single"/>
        </w:rPr>
        <w:t> response</w:t>
      </w:r>
      <w:r>
        <w:rPr>
          <w:u w:val="single"/>
        </w:rPr>
        <w:t> to</w:t>
      </w:r>
      <w:r>
        <w:rPr>
          <w:u w:val="single"/>
        </w:rPr>
        <w:t> the</w:t>
      </w:r>
      <w:r>
        <w:rPr>
          <w:u w:val="single"/>
        </w:rPr>
        <w:t> draft</w:t>
      </w:r>
      <w:r>
        <w:rPr>
          <w:u w:val="none"/>
        </w:rPr>
        <w:t> </w:t>
      </w:r>
      <w:r>
        <w:rPr>
          <w:u w:val="single"/>
        </w:rPr>
        <w:t>Premises Standards and the draft Regulation Impact Statement</w:t>
      </w:r>
      <w:r>
        <w:rPr>
          <w:b w:val="0"/>
          <w:u w:val="none"/>
        </w:rPr>
        <w:t>:</w:t>
      </w:r>
    </w:p>
    <w:p>
      <w:pPr>
        <w:pStyle w:val="BodyText"/>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1"/>
        <w:gridCol w:w="1586"/>
        <w:gridCol w:w="1591"/>
        <w:gridCol w:w="1587"/>
        <w:gridCol w:w="1443"/>
      </w:tblGrid>
      <w:tr>
        <w:trPr>
          <w:trHeight w:val="516" w:hRule="atLeast"/>
        </w:trPr>
        <w:tc>
          <w:tcPr>
            <w:tcW w:w="2071" w:type="dxa"/>
            <w:vMerge w:val="restart"/>
          </w:tcPr>
          <w:p>
            <w:pPr>
              <w:pStyle w:val="TableParagraph"/>
              <w:rPr>
                <w:sz w:val="26"/>
              </w:rPr>
            </w:pPr>
          </w:p>
          <w:p>
            <w:pPr>
              <w:pStyle w:val="TableParagraph"/>
              <w:rPr>
                <w:sz w:val="26"/>
              </w:rPr>
            </w:pPr>
          </w:p>
          <w:p>
            <w:pPr>
              <w:pStyle w:val="TableParagraph"/>
              <w:spacing w:before="1"/>
              <w:rPr>
                <w:sz w:val="27"/>
              </w:rPr>
            </w:pPr>
          </w:p>
          <w:p>
            <w:pPr>
              <w:pStyle w:val="TableParagraph"/>
              <w:ind w:left="107"/>
              <w:rPr>
                <w:b/>
                <w:sz w:val="24"/>
              </w:rPr>
            </w:pPr>
            <w:r>
              <w:rPr>
                <w:b/>
                <w:spacing w:val="-2"/>
                <w:sz w:val="24"/>
              </w:rPr>
              <w:t>Sector</w:t>
            </w:r>
          </w:p>
        </w:tc>
        <w:tc>
          <w:tcPr>
            <w:tcW w:w="3177" w:type="dxa"/>
            <w:gridSpan w:val="2"/>
          </w:tcPr>
          <w:p>
            <w:pPr>
              <w:pStyle w:val="TableParagraph"/>
              <w:spacing w:before="118"/>
              <w:ind w:left="108"/>
              <w:rPr>
                <w:b/>
                <w:sz w:val="24"/>
              </w:rPr>
            </w:pPr>
            <w:r>
              <w:rPr>
                <w:b/>
                <w:sz w:val="24"/>
              </w:rPr>
              <w:t>Premises</w:t>
            </w:r>
            <w:r>
              <w:rPr>
                <w:b/>
                <w:spacing w:val="-7"/>
                <w:sz w:val="24"/>
              </w:rPr>
              <w:t> </w:t>
            </w:r>
            <w:r>
              <w:rPr>
                <w:b/>
                <w:spacing w:val="-2"/>
                <w:sz w:val="24"/>
              </w:rPr>
              <w:t>Standards</w:t>
            </w:r>
          </w:p>
        </w:tc>
        <w:tc>
          <w:tcPr>
            <w:tcW w:w="3030" w:type="dxa"/>
            <w:gridSpan w:val="2"/>
          </w:tcPr>
          <w:p>
            <w:pPr>
              <w:pStyle w:val="TableParagraph"/>
              <w:spacing w:before="118"/>
              <w:ind w:left="108"/>
              <w:rPr>
                <w:b/>
                <w:sz w:val="24"/>
              </w:rPr>
            </w:pPr>
            <w:r>
              <w:rPr>
                <w:b/>
                <w:spacing w:val="-5"/>
                <w:sz w:val="24"/>
              </w:rPr>
              <w:t>RIS</w:t>
            </w:r>
          </w:p>
        </w:tc>
      </w:tr>
      <w:tr>
        <w:trPr>
          <w:trHeight w:val="791" w:hRule="atLeast"/>
        </w:trPr>
        <w:tc>
          <w:tcPr>
            <w:tcW w:w="2071" w:type="dxa"/>
            <w:vMerge/>
            <w:tcBorders>
              <w:top w:val="nil"/>
            </w:tcBorders>
          </w:tcPr>
          <w:p>
            <w:pPr>
              <w:rPr>
                <w:sz w:val="2"/>
                <w:szCs w:val="2"/>
              </w:rPr>
            </w:pPr>
          </w:p>
        </w:tc>
        <w:tc>
          <w:tcPr>
            <w:tcW w:w="1586" w:type="dxa"/>
          </w:tcPr>
          <w:p>
            <w:pPr>
              <w:pStyle w:val="TableParagraph"/>
              <w:spacing w:before="116"/>
              <w:ind w:left="108"/>
              <w:rPr>
                <w:sz w:val="24"/>
              </w:rPr>
            </w:pPr>
            <w:r>
              <w:rPr>
                <w:sz w:val="24"/>
              </w:rPr>
              <w:t>Number of </w:t>
            </w:r>
            <w:r>
              <w:rPr>
                <w:spacing w:val="-2"/>
                <w:sz w:val="24"/>
              </w:rPr>
              <w:t>submissions</w:t>
            </w:r>
          </w:p>
        </w:tc>
        <w:tc>
          <w:tcPr>
            <w:tcW w:w="1591" w:type="dxa"/>
          </w:tcPr>
          <w:p>
            <w:pPr>
              <w:pStyle w:val="TableParagraph"/>
              <w:spacing w:before="116"/>
              <w:ind w:left="108" w:right="85"/>
              <w:rPr>
                <w:sz w:val="24"/>
              </w:rPr>
            </w:pPr>
            <w:r>
              <w:rPr>
                <w:spacing w:val="-2"/>
                <w:sz w:val="24"/>
              </w:rPr>
              <w:t>Percentage </w:t>
            </w:r>
            <w:r>
              <w:rPr>
                <w:sz w:val="24"/>
              </w:rPr>
              <w:t>of total</w:t>
            </w:r>
          </w:p>
        </w:tc>
        <w:tc>
          <w:tcPr>
            <w:tcW w:w="1587" w:type="dxa"/>
          </w:tcPr>
          <w:p>
            <w:pPr>
              <w:pStyle w:val="TableParagraph"/>
              <w:spacing w:before="116"/>
              <w:ind w:left="108"/>
              <w:rPr>
                <w:sz w:val="24"/>
              </w:rPr>
            </w:pPr>
            <w:r>
              <w:rPr>
                <w:sz w:val="24"/>
              </w:rPr>
              <w:t>Number of </w:t>
            </w:r>
            <w:r>
              <w:rPr>
                <w:spacing w:val="-2"/>
                <w:sz w:val="24"/>
              </w:rPr>
              <w:t>submissions</w:t>
            </w:r>
          </w:p>
        </w:tc>
        <w:tc>
          <w:tcPr>
            <w:tcW w:w="1443" w:type="dxa"/>
          </w:tcPr>
          <w:p>
            <w:pPr>
              <w:pStyle w:val="TableParagraph"/>
              <w:spacing w:before="116"/>
              <w:ind w:left="109"/>
              <w:rPr>
                <w:sz w:val="24"/>
              </w:rPr>
            </w:pPr>
            <w:r>
              <w:rPr>
                <w:spacing w:val="-2"/>
                <w:sz w:val="24"/>
              </w:rPr>
              <w:t>Percentage </w:t>
            </w:r>
            <w:r>
              <w:rPr>
                <w:sz w:val="24"/>
              </w:rPr>
              <w:t>of total</w:t>
            </w:r>
          </w:p>
        </w:tc>
      </w:tr>
      <w:tr>
        <w:trPr>
          <w:trHeight w:val="515" w:hRule="atLeast"/>
        </w:trPr>
        <w:tc>
          <w:tcPr>
            <w:tcW w:w="2071" w:type="dxa"/>
          </w:tcPr>
          <w:p>
            <w:pPr>
              <w:pStyle w:val="TableParagraph"/>
              <w:spacing w:before="116"/>
              <w:ind w:left="107"/>
              <w:rPr>
                <w:sz w:val="24"/>
              </w:rPr>
            </w:pPr>
            <w:r>
              <w:rPr>
                <w:spacing w:val="-2"/>
                <w:sz w:val="24"/>
              </w:rPr>
              <w:t>Disability</w:t>
            </w:r>
            <w:r>
              <w:rPr>
                <w:sz w:val="24"/>
              </w:rPr>
              <w:t> </w:t>
            </w:r>
            <w:r>
              <w:rPr>
                <w:spacing w:val="-2"/>
                <w:sz w:val="24"/>
              </w:rPr>
              <w:t>sector</w:t>
            </w:r>
          </w:p>
        </w:tc>
        <w:tc>
          <w:tcPr>
            <w:tcW w:w="1586" w:type="dxa"/>
          </w:tcPr>
          <w:p>
            <w:pPr>
              <w:pStyle w:val="TableParagraph"/>
              <w:spacing w:before="116"/>
              <w:ind w:left="532" w:right="524"/>
              <w:jc w:val="center"/>
              <w:rPr>
                <w:sz w:val="24"/>
              </w:rPr>
            </w:pPr>
            <w:r>
              <w:rPr>
                <w:spacing w:val="-5"/>
                <w:sz w:val="24"/>
              </w:rPr>
              <w:t>105</w:t>
            </w:r>
          </w:p>
        </w:tc>
        <w:tc>
          <w:tcPr>
            <w:tcW w:w="1591" w:type="dxa"/>
          </w:tcPr>
          <w:p>
            <w:pPr>
              <w:pStyle w:val="TableParagraph"/>
              <w:spacing w:before="116"/>
              <w:ind w:left="474" w:right="466"/>
              <w:jc w:val="center"/>
              <w:rPr>
                <w:sz w:val="24"/>
              </w:rPr>
            </w:pPr>
            <w:r>
              <w:rPr>
                <w:spacing w:val="-5"/>
                <w:sz w:val="24"/>
              </w:rPr>
              <w:t>38%</w:t>
            </w:r>
          </w:p>
        </w:tc>
        <w:tc>
          <w:tcPr>
            <w:tcW w:w="1587" w:type="dxa"/>
          </w:tcPr>
          <w:p>
            <w:pPr>
              <w:pStyle w:val="TableParagraph"/>
              <w:spacing w:before="116"/>
              <w:ind w:left="599" w:right="591"/>
              <w:jc w:val="center"/>
              <w:rPr>
                <w:sz w:val="24"/>
              </w:rPr>
            </w:pPr>
            <w:r>
              <w:rPr>
                <w:spacing w:val="-5"/>
                <w:sz w:val="24"/>
              </w:rPr>
              <w:t>18</w:t>
            </w:r>
          </w:p>
        </w:tc>
        <w:tc>
          <w:tcPr>
            <w:tcW w:w="1443" w:type="dxa"/>
          </w:tcPr>
          <w:p>
            <w:pPr>
              <w:pStyle w:val="TableParagraph"/>
              <w:spacing w:before="116"/>
              <w:ind w:left="402" w:right="392"/>
              <w:jc w:val="center"/>
              <w:rPr>
                <w:sz w:val="24"/>
              </w:rPr>
            </w:pPr>
            <w:r>
              <w:rPr>
                <w:spacing w:val="-5"/>
                <w:sz w:val="24"/>
              </w:rPr>
              <w:t>23%</w:t>
            </w:r>
          </w:p>
        </w:tc>
      </w:tr>
      <w:tr>
        <w:trPr>
          <w:trHeight w:val="516" w:hRule="atLeast"/>
        </w:trPr>
        <w:tc>
          <w:tcPr>
            <w:tcW w:w="2071" w:type="dxa"/>
          </w:tcPr>
          <w:p>
            <w:pPr>
              <w:pStyle w:val="TableParagraph"/>
              <w:spacing w:before="116"/>
              <w:ind w:left="107"/>
              <w:rPr>
                <w:sz w:val="24"/>
              </w:rPr>
            </w:pPr>
            <w:r>
              <w:rPr>
                <w:spacing w:val="-2"/>
                <w:sz w:val="24"/>
              </w:rPr>
              <w:t>Industry</w:t>
            </w:r>
          </w:p>
        </w:tc>
        <w:tc>
          <w:tcPr>
            <w:tcW w:w="1586" w:type="dxa"/>
          </w:tcPr>
          <w:p>
            <w:pPr>
              <w:pStyle w:val="TableParagraph"/>
              <w:spacing w:before="116"/>
              <w:ind w:left="531" w:right="524"/>
              <w:jc w:val="center"/>
              <w:rPr>
                <w:sz w:val="24"/>
              </w:rPr>
            </w:pPr>
            <w:r>
              <w:rPr>
                <w:spacing w:val="-5"/>
                <w:sz w:val="24"/>
              </w:rPr>
              <w:t>84</w:t>
            </w:r>
          </w:p>
        </w:tc>
        <w:tc>
          <w:tcPr>
            <w:tcW w:w="1591" w:type="dxa"/>
          </w:tcPr>
          <w:p>
            <w:pPr>
              <w:pStyle w:val="TableParagraph"/>
              <w:spacing w:before="116"/>
              <w:ind w:left="474" w:right="466"/>
              <w:jc w:val="center"/>
              <w:rPr>
                <w:sz w:val="24"/>
              </w:rPr>
            </w:pPr>
            <w:r>
              <w:rPr>
                <w:spacing w:val="-5"/>
                <w:sz w:val="24"/>
              </w:rPr>
              <w:t>31%</w:t>
            </w:r>
          </w:p>
        </w:tc>
        <w:tc>
          <w:tcPr>
            <w:tcW w:w="1587" w:type="dxa"/>
          </w:tcPr>
          <w:p>
            <w:pPr>
              <w:pStyle w:val="TableParagraph"/>
              <w:spacing w:before="116"/>
              <w:ind w:left="599" w:right="591"/>
              <w:jc w:val="center"/>
              <w:rPr>
                <w:sz w:val="24"/>
              </w:rPr>
            </w:pPr>
            <w:r>
              <w:rPr>
                <w:spacing w:val="-5"/>
                <w:sz w:val="24"/>
              </w:rPr>
              <w:t>31</w:t>
            </w:r>
          </w:p>
        </w:tc>
        <w:tc>
          <w:tcPr>
            <w:tcW w:w="1443" w:type="dxa"/>
          </w:tcPr>
          <w:p>
            <w:pPr>
              <w:pStyle w:val="TableParagraph"/>
              <w:spacing w:before="116"/>
              <w:ind w:left="402" w:right="392"/>
              <w:jc w:val="center"/>
              <w:rPr>
                <w:sz w:val="24"/>
              </w:rPr>
            </w:pPr>
            <w:r>
              <w:rPr>
                <w:spacing w:val="-5"/>
                <w:sz w:val="24"/>
              </w:rPr>
              <w:t>40%</w:t>
            </w:r>
          </w:p>
        </w:tc>
      </w:tr>
      <w:tr>
        <w:trPr>
          <w:trHeight w:val="515" w:hRule="atLeast"/>
        </w:trPr>
        <w:tc>
          <w:tcPr>
            <w:tcW w:w="2071" w:type="dxa"/>
          </w:tcPr>
          <w:p>
            <w:pPr>
              <w:pStyle w:val="TableParagraph"/>
              <w:spacing w:before="116"/>
              <w:ind w:left="107"/>
              <w:rPr>
                <w:sz w:val="24"/>
              </w:rPr>
            </w:pPr>
            <w:r>
              <w:rPr>
                <w:spacing w:val="-2"/>
                <w:sz w:val="24"/>
              </w:rPr>
              <w:t>Government</w:t>
            </w:r>
          </w:p>
        </w:tc>
        <w:tc>
          <w:tcPr>
            <w:tcW w:w="1586" w:type="dxa"/>
          </w:tcPr>
          <w:p>
            <w:pPr>
              <w:pStyle w:val="TableParagraph"/>
              <w:spacing w:before="116"/>
              <w:ind w:left="531" w:right="524"/>
              <w:jc w:val="center"/>
              <w:rPr>
                <w:sz w:val="24"/>
              </w:rPr>
            </w:pPr>
            <w:r>
              <w:rPr>
                <w:spacing w:val="-5"/>
                <w:sz w:val="24"/>
              </w:rPr>
              <w:t>50</w:t>
            </w:r>
          </w:p>
        </w:tc>
        <w:tc>
          <w:tcPr>
            <w:tcW w:w="1591" w:type="dxa"/>
          </w:tcPr>
          <w:p>
            <w:pPr>
              <w:pStyle w:val="TableParagraph"/>
              <w:spacing w:before="116"/>
              <w:ind w:left="474" w:right="466"/>
              <w:jc w:val="center"/>
              <w:rPr>
                <w:sz w:val="24"/>
              </w:rPr>
            </w:pPr>
            <w:r>
              <w:rPr>
                <w:spacing w:val="-5"/>
                <w:sz w:val="24"/>
              </w:rPr>
              <w:t>18%</w:t>
            </w:r>
          </w:p>
        </w:tc>
        <w:tc>
          <w:tcPr>
            <w:tcW w:w="1587" w:type="dxa"/>
          </w:tcPr>
          <w:p>
            <w:pPr>
              <w:pStyle w:val="TableParagraph"/>
              <w:spacing w:before="116"/>
              <w:ind w:left="599" w:right="591"/>
              <w:jc w:val="center"/>
              <w:rPr>
                <w:sz w:val="24"/>
              </w:rPr>
            </w:pPr>
            <w:r>
              <w:rPr>
                <w:spacing w:val="-5"/>
                <w:sz w:val="24"/>
              </w:rPr>
              <w:t>13</w:t>
            </w:r>
          </w:p>
        </w:tc>
        <w:tc>
          <w:tcPr>
            <w:tcW w:w="1443" w:type="dxa"/>
          </w:tcPr>
          <w:p>
            <w:pPr>
              <w:pStyle w:val="TableParagraph"/>
              <w:spacing w:before="116"/>
              <w:ind w:left="402" w:right="392"/>
              <w:jc w:val="center"/>
              <w:rPr>
                <w:sz w:val="24"/>
              </w:rPr>
            </w:pPr>
            <w:r>
              <w:rPr>
                <w:spacing w:val="-5"/>
                <w:sz w:val="24"/>
              </w:rPr>
              <w:t>17%</w:t>
            </w:r>
          </w:p>
        </w:tc>
      </w:tr>
      <w:tr>
        <w:trPr>
          <w:trHeight w:val="515" w:hRule="atLeast"/>
        </w:trPr>
        <w:tc>
          <w:tcPr>
            <w:tcW w:w="2071" w:type="dxa"/>
          </w:tcPr>
          <w:p>
            <w:pPr>
              <w:pStyle w:val="TableParagraph"/>
              <w:spacing w:before="116"/>
              <w:ind w:left="107"/>
              <w:rPr>
                <w:sz w:val="24"/>
              </w:rPr>
            </w:pPr>
            <w:r>
              <w:rPr>
                <w:spacing w:val="-2"/>
                <w:sz w:val="24"/>
              </w:rPr>
              <w:t>Individuals</w:t>
            </w:r>
          </w:p>
        </w:tc>
        <w:tc>
          <w:tcPr>
            <w:tcW w:w="1586" w:type="dxa"/>
          </w:tcPr>
          <w:p>
            <w:pPr>
              <w:pStyle w:val="TableParagraph"/>
              <w:spacing w:before="116"/>
              <w:ind w:left="533" w:right="524"/>
              <w:jc w:val="center"/>
              <w:rPr>
                <w:sz w:val="24"/>
              </w:rPr>
            </w:pPr>
            <w:r>
              <w:rPr>
                <w:spacing w:val="-5"/>
                <w:sz w:val="24"/>
              </w:rPr>
              <w:t>35</w:t>
            </w:r>
          </w:p>
        </w:tc>
        <w:tc>
          <w:tcPr>
            <w:tcW w:w="1591" w:type="dxa"/>
          </w:tcPr>
          <w:p>
            <w:pPr>
              <w:pStyle w:val="TableParagraph"/>
              <w:spacing w:before="116"/>
              <w:ind w:left="476" w:right="466"/>
              <w:jc w:val="center"/>
              <w:rPr>
                <w:sz w:val="24"/>
              </w:rPr>
            </w:pPr>
            <w:r>
              <w:rPr>
                <w:spacing w:val="-5"/>
                <w:sz w:val="24"/>
              </w:rPr>
              <w:t>13%</w:t>
            </w:r>
          </w:p>
        </w:tc>
        <w:tc>
          <w:tcPr>
            <w:tcW w:w="1587" w:type="dxa"/>
          </w:tcPr>
          <w:p>
            <w:pPr>
              <w:pStyle w:val="TableParagraph"/>
              <w:spacing w:before="116"/>
              <w:ind w:left="599" w:right="589"/>
              <w:jc w:val="center"/>
              <w:rPr>
                <w:sz w:val="24"/>
              </w:rPr>
            </w:pPr>
            <w:r>
              <w:rPr>
                <w:spacing w:val="-5"/>
                <w:sz w:val="24"/>
              </w:rPr>
              <w:t>15</w:t>
            </w:r>
          </w:p>
        </w:tc>
        <w:tc>
          <w:tcPr>
            <w:tcW w:w="1443" w:type="dxa"/>
          </w:tcPr>
          <w:p>
            <w:pPr>
              <w:pStyle w:val="TableParagraph"/>
              <w:spacing w:before="116"/>
              <w:ind w:left="403" w:right="392"/>
              <w:jc w:val="center"/>
              <w:rPr>
                <w:sz w:val="24"/>
              </w:rPr>
            </w:pPr>
            <w:r>
              <w:rPr>
                <w:spacing w:val="-5"/>
                <w:sz w:val="24"/>
              </w:rPr>
              <w:t>20%</w:t>
            </w:r>
          </w:p>
        </w:tc>
      </w:tr>
      <w:tr>
        <w:trPr>
          <w:trHeight w:val="516" w:hRule="atLeast"/>
        </w:trPr>
        <w:tc>
          <w:tcPr>
            <w:tcW w:w="2071" w:type="dxa"/>
          </w:tcPr>
          <w:p>
            <w:pPr>
              <w:pStyle w:val="TableParagraph"/>
              <w:spacing w:before="118"/>
              <w:ind w:left="107"/>
              <w:rPr>
                <w:b/>
                <w:sz w:val="24"/>
              </w:rPr>
            </w:pPr>
            <w:r>
              <w:rPr>
                <w:b/>
                <w:spacing w:val="-2"/>
                <w:sz w:val="24"/>
              </w:rPr>
              <w:t>Total</w:t>
            </w:r>
          </w:p>
        </w:tc>
        <w:tc>
          <w:tcPr>
            <w:tcW w:w="1586" w:type="dxa"/>
          </w:tcPr>
          <w:p>
            <w:pPr>
              <w:pStyle w:val="TableParagraph"/>
              <w:spacing w:before="118"/>
              <w:ind w:left="533" w:right="524"/>
              <w:jc w:val="center"/>
              <w:rPr>
                <w:b/>
                <w:sz w:val="24"/>
              </w:rPr>
            </w:pPr>
            <w:r>
              <w:rPr>
                <w:b/>
                <w:spacing w:val="-4"/>
                <w:sz w:val="24"/>
              </w:rPr>
              <w:t>274*</w:t>
            </w:r>
          </w:p>
        </w:tc>
        <w:tc>
          <w:tcPr>
            <w:tcW w:w="1591" w:type="dxa"/>
          </w:tcPr>
          <w:p>
            <w:pPr>
              <w:pStyle w:val="TableParagraph"/>
              <w:spacing w:before="118"/>
              <w:ind w:left="477" w:right="466"/>
              <w:jc w:val="center"/>
              <w:rPr>
                <w:b/>
                <w:sz w:val="24"/>
              </w:rPr>
            </w:pPr>
            <w:r>
              <w:rPr>
                <w:b/>
                <w:spacing w:val="-4"/>
                <w:sz w:val="24"/>
              </w:rPr>
              <w:t>100%</w:t>
            </w:r>
          </w:p>
        </w:tc>
        <w:tc>
          <w:tcPr>
            <w:tcW w:w="1587" w:type="dxa"/>
          </w:tcPr>
          <w:p>
            <w:pPr>
              <w:pStyle w:val="TableParagraph"/>
              <w:spacing w:before="118"/>
              <w:ind w:left="599" w:right="592"/>
              <w:jc w:val="center"/>
              <w:rPr>
                <w:b/>
                <w:sz w:val="24"/>
              </w:rPr>
            </w:pPr>
            <w:r>
              <w:rPr>
                <w:b/>
                <w:spacing w:val="-5"/>
                <w:sz w:val="24"/>
              </w:rPr>
              <w:t>77*</w:t>
            </w:r>
          </w:p>
        </w:tc>
        <w:tc>
          <w:tcPr>
            <w:tcW w:w="1443" w:type="dxa"/>
          </w:tcPr>
          <w:p>
            <w:pPr>
              <w:pStyle w:val="TableParagraph"/>
              <w:spacing w:before="118"/>
              <w:ind w:left="403" w:right="392"/>
              <w:jc w:val="center"/>
              <w:rPr>
                <w:b/>
                <w:sz w:val="24"/>
              </w:rPr>
            </w:pPr>
            <w:r>
              <w:rPr>
                <w:b/>
                <w:spacing w:val="-4"/>
                <w:sz w:val="24"/>
              </w:rPr>
              <w:t>100%</w:t>
            </w:r>
          </w:p>
        </w:tc>
      </w:tr>
    </w:tbl>
    <w:p>
      <w:pPr>
        <w:pStyle w:val="ListParagraph"/>
        <w:numPr>
          <w:ilvl w:val="0"/>
          <w:numId w:val="41"/>
        </w:numPr>
        <w:tabs>
          <w:tab w:pos="554" w:val="left" w:leader="none"/>
        </w:tabs>
        <w:spacing w:line="240" w:lineRule="auto" w:before="121" w:after="0"/>
        <w:ind w:left="553" w:right="0" w:hanging="134"/>
        <w:jc w:val="both"/>
        <w:rPr>
          <w:sz w:val="20"/>
        </w:rPr>
      </w:pPr>
      <w:r>
        <w:rPr>
          <w:sz w:val="20"/>
        </w:rPr>
        <w:t>Some</w:t>
      </w:r>
      <w:r>
        <w:rPr>
          <w:spacing w:val="-3"/>
          <w:sz w:val="20"/>
        </w:rPr>
        <w:t> </w:t>
      </w:r>
      <w:r>
        <w:rPr>
          <w:sz w:val="20"/>
        </w:rPr>
        <w:t>respondents</w:t>
      </w:r>
      <w:r>
        <w:rPr>
          <w:spacing w:val="-3"/>
          <w:sz w:val="20"/>
        </w:rPr>
        <w:t> </w:t>
      </w:r>
      <w:r>
        <w:rPr>
          <w:sz w:val="20"/>
        </w:rPr>
        <w:t>made</w:t>
      </w:r>
      <w:r>
        <w:rPr>
          <w:spacing w:val="-4"/>
          <w:sz w:val="20"/>
        </w:rPr>
        <w:t> </w:t>
      </w:r>
      <w:r>
        <w:rPr>
          <w:sz w:val="20"/>
        </w:rPr>
        <w:t>submissions</w:t>
      </w:r>
      <w:r>
        <w:rPr>
          <w:spacing w:val="-4"/>
          <w:sz w:val="20"/>
        </w:rPr>
        <w:t> </w:t>
      </w:r>
      <w:r>
        <w:rPr>
          <w:sz w:val="20"/>
        </w:rPr>
        <w:t>on</w:t>
      </w:r>
      <w:r>
        <w:rPr>
          <w:spacing w:val="-3"/>
          <w:sz w:val="20"/>
        </w:rPr>
        <w:t> </w:t>
      </w:r>
      <w:r>
        <w:rPr>
          <w:sz w:val="20"/>
        </w:rPr>
        <w:t>both</w:t>
      </w:r>
      <w:r>
        <w:rPr>
          <w:spacing w:val="-2"/>
          <w:sz w:val="20"/>
        </w:rPr>
        <w:t> documents.</w:t>
      </w:r>
    </w:p>
    <w:p>
      <w:pPr>
        <w:spacing w:after="0" w:line="240" w:lineRule="auto"/>
        <w:jc w:val="both"/>
        <w:rPr>
          <w:sz w:val="20"/>
        </w:rPr>
        <w:sectPr>
          <w:pgSz w:w="11900" w:h="16840"/>
          <w:pgMar w:header="0" w:footer="1130" w:top="1240" w:bottom="1320" w:left="1380" w:right="980"/>
        </w:sectPr>
      </w:pPr>
    </w:p>
    <w:p>
      <w:pPr>
        <w:pStyle w:val="BodyText"/>
        <w:spacing w:before="71"/>
        <w:ind w:left="420" w:right="810"/>
        <w:jc w:val="both"/>
      </w:pPr>
      <w:r>
        <w:rPr/>
        <w:t>Since the completion of the initial public consultation period, the following additional consultation has been undertaken:</w:t>
      </w:r>
    </w:p>
    <w:p>
      <w:pPr>
        <w:pStyle w:val="BodyText"/>
        <w:spacing w:before="1"/>
      </w:pPr>
    </w:p>
    <w:p>
      <w:pPr>
        <w:pStyle w:val="ListParagraph"/>
        <w:numPr>
          <w:ilvl w:val="1"/>
          <w:numId w:val="41"/>
        </w:numPr>
        <w:tabs>
          <w:tab w:pos="1140" w:val="left" w:leader="none"/>
          <w:tab w:pos="1141" w:val="left" w:leader="none"/>
        </w:tabs>
        <w:spacing w:line="240" w:lineRule="auto" w:before="0" w:after="0"/>
        <w:ind w:left="1140" w:right="812" w:hanging="360"/>
        <w:jc w:val="left"/>
        <w:rPr>
          <w:sz w:val="24"/>
        </w:rPr>
      </w:pPr>
      <w:r>
        <w:rPr>
          <w:sz w:val="24"/>
        </w:rPr>
        <w:t>Targeted</w:t>
      </w:r>
      <w:r>
        <w:rPr>
          <w:spacing w:val="40"/>
          <w:sz w:val="24"/>
        </w:rPr>
        <w:t> </w:t>
      </w:r>
      <w:r>
        <w:rPr>
          <w:sz w:val="24"/>
        </w:rPr>
        <w:t>consultation</w:t>
      </w:r>
      <w:r>
        <w:rPr>
          <w:spacing w:val="40"/>
          <w:sz w:val="24"/>
        </w:rPr>
        <w:t> </w:t>
      </w:r>
      <w:r>
        <w:rPr>
          <w:sz w:val="24"/>
        </w:rPr>
        <w:t>in</w:t>
      </w:r>
      <w:r>
        <w:rPr>
          <w:spacing w:val="40"/>
          <w:sz w:val="24"/>
        </w:rPr>
        <w:t> </w:t>
      </w:r>
      <w:r>
        <w:rPr>
          <w:sz w:val="24"/>
        </w:rPr>
        <w:t>late</w:t>
      </w:r>
      <w:r>
        <w:rPr>
          <w:spacing w:val="40"/>
          <w:sz w:val="24"/>
        </w:rPr>
        <w:t> </w:t>
      </w:r>
      <w:r>
        <w:rPr>
          <w:sz w:val="24"/>
        </w:rPr>
        <w:t>2004</w:t>
      </w:r>
      <w:r>
        <w:rPr>
          <w:spacing w:val="40"/>
          <w:sz w:val="24"/>
        </w:rPr>
        <w:t> </w:t>
      </w:r>
      <w:r>
        <w:rPr>
          <w:sz w:val="24"/>
        </w:rPr>
        <w:t>with</w:t>
      </w:r>
      <w:r>
        <w:rPr>
          <w:spacing w:val="40"/>
          <w:sz w:val="24"/>
        </w:rPr>
        <w:t> </w:t>
      </w:r>
      <w:r>
        <w:rPr>
          <w:sz w:val="24"/>
        </w:rPr>
        <w:t>organisations</w:t>
      </w:r>
      <w:r>
        <w:rPr>
          <w:spacing w:val="40"/>
          <w:sz w:val="24"/>
        </w:rPr>
        <w:t> </w:t>
      </w:r>
      <w:r>
        <w:rPr>
          <w:sz w:val="24"/>
        </w:rPr>
        <w:t>that</w:t>
      </w:r>
      <w:r>
        <w:rPr>
          <w:spacing w:val="40"/>
          <w:sz w:val="24"/>
        </w:rPr>
        <w:t> </w:t>
      </w:r>
      <w:r>
        <w:rPr>
          <w:sz w:val="24"/>
        </w:rPr>
        <w:t>submitted significant comment during the public consultation period; and</w:t>
      </w:r>
    </w:p>
    <w:p>
      <w:pPr>
        <w:pStyle w:val="ListParagraph"/>
        <w:numPr>
          <w:ilvl w:val="1"/>
          <w:numId w:val="41"/>
        </w:numPr>
        <w:tabs>
          <w:tab w:pos="1139" w:val="left" w:leader="none"/>
          <w:tab w:pos="1141" w:val="left" w:leader="none"/>
        </w:tabs>
        <w:spacing w:line="237" w:lineRule="auto" w:before="121" w:after="0"/>
        <w:ind w:left="1133" w:right="814" w:hanging="357"/>
        <w:jc w:val="left"/>
        <w:rPr>
          <w:sz w:val="24"/>
        </w:rPr>
      </w:pPr>
      <w:r>
        <w:rPr>
          <w:sz w:val="24"/>
        </w:rPr>
        <w:t>Consultation</w:t>
      </w:r>
      <w:r>
        <w:rPr>
          <w:spacing w:val="34"/>
          <w:sz w:val="24"/>
        </w:rPr>
        <w:t> </w:t>
      </w:r>
      <w:r>
        <w:rPr>
          <w:sz w:val="24"/>
        </w:rPr>
        <w:t>with</w:t>
      </w:r>
      <w:r>
        <w:rPr>
          <w:spacing w:val="34"/>
          <w:sz w:val="24"/>
        </w:rPr>
        <w:t> </w:t>
      </w:r>
      <w:r>
        <w:rPr>
          <w:sz w:val="24"/>
        </w:rPr>
        <w:t>Government</w:t>
      </w:r>
      <w:r>
        <w:rPr>
          <w:spacing w:val="34"/>
          <w:sz w:val="24"/>
        </w:rPr>
        <w:t> </w:t>
      </w:r>
      <w:r>
        <w:rPr>
          <w:sz w:val="24"/>
        </w:rPr>
        <w:t>Departments</w:t>
      </w:r>
      <w:r>
        <w:rPr>
          <w:spacing w:val="34"/>
          <w:sz w:val="24"/>
        </w:rPr>
        <w:t> </w:t>
      </w:r>
      <w:r>
        <w:rPr>
          <w:sz w:val="24"/>
        </w:rPr>
        <w:t>responsible</w:t>
      </w:r>
      <w:r>
        <w:rPr>
          <w:spacing w:val="34"/>
          <w:sz w:val="24"/>
        </w:rPr>
        <w:t> </w:t>
      </w:r>
      <w:r>
        <w:rPr>
          <w:sz w:val="24"/>
        </w:rPr>
        <w:t>for</w:t>
      </w:r>
      <w:r>
        <w:rPr>
          <w:spacing w:val="34"/>
          <w:sz w:val="24"/>
        </w:rPr>
        <w:t> </w:t>
      </w:r>
      <w:r>
        <w:rPr>
          <w:sz w:val="24"/>
        </w:rPr>
        <w:t>the</w:t>
      </w:r>
      <w:r>
        <w:rPr>
          <w:spacing w:val="34"/>
          <w:sz w:val="24"/>
        </w:rPr>
        <w:t> </w:t>
      </w:r>
      <w:r>
        <w:rPr>
          <w:sz w:val="24"/>
        </w:rPr>
        <w:t>other disability standards under the DDA.</w:t>
      </w:r>
    </w:p>
    <w:p>
      <w:pPr>
        <w:pStyle w:val="BodyText"/>
      </w:pPr>
    </w:p>
    <w:p>
      <w:pPr>
        <w:pStyle w:val="BodyText"/>
        <w:spacing w:before="1"/>
        <w:ind w:left="420" w:right="813"/>
        <w:jc w:val="both"/>
      </w:pPr>
      <w:r>
        <w:rPr/>
        <w:t>All public comment received during the consultation phase was considered by the BAPC and changes to the proposal were made accordingly.</w:t>
      </w:r>
    </w:p>
    <w:p>
      <w:pPr>
        <w:pStyle w:val="BodyText"/>
        <w:rPr>
          <w:sz w:val="26"/>
        </w:rPr>
      </w:pPr>
    </w:p>
    <w:p>
      <w:pPr>
        <w:pStyle w:val="Heading3"/>
        <w:numPr>
          <w:ilvl w:val="2"/>
          <w:numId w:val="42"/>
        </w:numPr>
        <w:tabs>
          <w:tab w:pos="1860" w:val="left" w:leader="none"/>
        </w:tabs>
        <w:spacing w:line="240" w:lineRule="auto" w:before="219" w:after="0"/>
        <w:ind w:left="1859" w:right="0" w:hanging="1440"/>
        <w:jc w:val="both"/>
      </w:pPr>
      <w:bookmarkStart w:name="11.1.1 Overview of public comment receiv" w:id="129"/>
      <w:bookmarkEnd w:id="129"/>
      <w:r>
        <w:rPr/>
        <w:t>Ove</w:t>
      </w:r>
      <w:r>
        <w:rPr/>
        <w:t>rview</w:t>
      </w:r>
      <w:r>
        <w:rPr>
          <w:spacing w:val="-4"/>
        </w:rPr>
        <w:t> </w:t>
      </w:r>
      <w:r>
        <w:rPr/>
        <w:t>of</w:t>
      </w:r>
      <w:r>
        <w:rPr>
          <w:spacing w:val="-4"/>
        </w:rPr>
        <w:t> </w:t>
      </w:r>
      <w:r>
        <w:rPr/>
        <w:t>public</w:t>
      </w:r>
      <w:r>
        <w:rPr>
          <w:spacing w:val="-4"/>
        </w:rPr>
        <w:t> </w:t>
      </w:r>
      <w:r>
        <w:rPr/>
        <w:t>comment</w:t>
      </w:r>
      <w:r>
        <w:rPr>
          <w:spacing w:val="-3"/>
        </w:rPr>
        <w:t> </w:t>
      </w:r>
      <w:r>
        <w:rPr>
          <w:spacing w:val="-2"/>
        </w:rPr>
        <w:t>received</w:t>
      </w:r>
    </w:p>
    <w:p>
      <w:pPr>
        <w:pStyle w:val="BodyText"/>
        <w:spacing w:before="57"/>
        <w:ind w:left="419" w:right="811"/>
        <w:jc w:val="both"/>
      </w:pPr>
      <w:r>
        <w:rPr/>
        <w:t>In broad terms the submissions received from the disability sector express strong support for the proposed Premises Standards, while those received from industry favour the implementation of a Premises Standards in general terms, but believed that the proposal advanced was unduly onerous and must be replaced by one which is both less demanding in absolute terms and provides a longer compliance period.</w:t>
      </w:r>
    </w:p>
    <w:p>
      <w:pPr>
        <w:pStyle w:val="BodyText"/>
      </w:pPr>
    </w:p>
    <w:p>
      <w:pPr>
        <w:pStyle w:val="BodyText"/>
        <w:spacing w:before="1"/>
        <w:ind w:left="419" w:right="811"/>
        <w:jc w:val="both"/>
      </w:pPr>
      <w:r>
        <w:rPr/>
        <w:t>Within this framework, substantial reservations were expressed regarding the benefit/cost analysis contained in the draft RIS.</w:t>
      </w:r>
      <w:r>
        <w:rPr>
          <w:spacing w:val="40"/>
        </w:rPr>
        <w:t> </w:t>
      </w:r>
      <w:r>
        <w:rPr/>
        <w:t>The disability sector submissions generally argued that the discussion of benefits was inadequate in its scope, while also tending to believe that design changes and other responses to the changed regulatory environment would reduce the costs below the levels estimated.</w:t>
      </w:r>
      <w:r>
        <w:rPr>
          <w:spacing w:val="40"/>
        </w:rPr>
        <w:t> </w:t>
      </w:r>
      <w:r>
        <w:rPr/>
        <w:t>The industry submissions, by contrast, argue in many cases that the RIS costings constitute under-estimates.</w:t>
      </w:r>
      <w:r>
        <w:rPr>
          <w:spacing w:val="40"/>
        </w:rPr>
        <w:t> </w:t>
      </w:r>
      <w:r>
        <w:rPr/>
        <w:t>The industry submissions also question the size of the benefits that would be attained, particularly those that are quantified.</w:t>
      </w:r>
    </w:p>
    <w:p>
      <w:pPr>
        <w:pStyle w:val="BodyText"/>
      </w:pPr>
    </w:p>
    <w:p>
      <w:pPr>
        <w:pStyle w:val="BodyText"/>
        <w:ind w:left="420" w:right="808"/>
        <w:jc w:val="both"/>
      </w:pPr>
      <w:r>
        <w:rPr/>
        <w:t>A</w:t>
      </w:r>
      <w:r>
        <w:rPr>
          <w:spacing w:val="-2"/>
        </w:rPr>
        <w:t> </w:t>
      </w:r>
      <w:r>
        <w:rPr/>
        <w:t>more</w:t>
      </w:r>
      <w:r>
        <w:rPr>
          <w:spacing w:val="-2"/>
        </w:rPr>
        <w:t> </w:t>
      </w:r>
      <w:r>
        <w:rPr/>
        <w:t>fundamental</w:t>
      </w:r>
      <w:r>
        <w:rPr>
          <w:spacing w:val="-2"/>
        </w:rPr>
        <w:t> </w:t>
      </w:r>
      <w:r>
        <w:rPr/>
        <w:t>point</w:t>
      </w:r>
      <w:r>
        <w:rPr>
          <w:spacing w:val="-2"/>
        </w:rPr>
        <w:t> </w:t>
      </w:r>
      <w:r>
        <w:rPr/>
        <w:t>of</w:t>
      </w:r>
      <w:r>
        <w:rPr>
          <w:spacing w:val="-2"/>
        </w:rPr>
        <w:t> </w:t>
      </w:r>
      <w:r>
        <w:rPr/>
        <w:t>difference</w:t>
      </w:r>
      <w:r>
        <w:rPr>
          <w:spacing w:val="-1"/>
        </w:rPr>
        <w:t> </w:t>
      </w:r>
      <w:r>
        <w:rPr/>
        <w:t>evident</w:t>
      </w:r>
      <w:r>
        <w:rPr>
          <w:spacing w:val="-2"/>
        </w:rPr>
        <w:t> </w:t>
      </w:r>
      <w:r>
        <w:rPr/>
        <w:t>between</w:t>
      </w:r>
      <w:r>
        <w:rPr>
          <w:spacing w:val="-2"/>
        </w:rPr>
        <w:t> </w:t>
      </w:r>
      <w:r>
        <w:rPr/>
        <w:t>the</w:t>
      </w:r>
      <w:r>
        <w:rPr>
          <w:spacing w:val="-2"/>
        </w:rPr>
        <w:t> </w:t>
      </w:r>
      <w:r>
        <w:rPr/>
        <w:t>submissions</w:t>
      </w:r>
      <w:r>
        <w:rPr>
          <w:spacing w:val="-1"/>
        </w:rPr>
        <w:t> </w:t>
      </w:r>
      <w:r>
        <w:rPr/>
        <w:t>from different sectors is that industry tends to argue that the benefits sought via the Premises Standards are effectively “amenity benefits”, while the disability sector sees them as being far more fundamental, both in terms of their importance to people with disabilities and to society as a whole.</w:t>
      </w:r>
      <w:r>
        <w:rPr>
          <w:spacing w:val="40"/>
        </w:rPr>
        <w:t> </w:t>
      </w:r>
      <w:r>
        <w:rPr/>
        <w:t>This difference in perspective clearly informs their relative views as to the appropriate extent of Premises Standards provisions.</w:t>
      </w:r>
    </w:p>
    <w:p>
      <w:pPr>
        <w:pStyle w:val="BodyText"/>
      </w:pPr>
    </w:p>
    <w:p>
      <w:pPr>
        <w:pStyle w:val="BodyText"/>
        <w:ind w:left="419" w:right="810"/>
        <w:jc w:val="both"/>
      </w:pPr>
      <w:r>
        <w:rPr/>
        <w:t>As well, there are differing views of the current “state of play” under the DDA. The disability sector tends to argue that the general non-discrimination requirement established under the DDA means that it is currently necessary</w:t>
      </w:r>
      <w:r>
        <w:rPr>
          <w:spacing w:val="80"/>
        </w:rPr>
        <w:t> </w:t>
      </w:r>
      <w:r>
        <w:rPr/>
        <w:t>to ensure that all new buildings are fully accessible and that a high level of access is provided in renovated buildings.</w:t>
      </w:r>
      <w:r>
        <w:rPr>
          <w:spacing w:val="40"/>
        </w:rPr>
        <w:t> </w:t>
      </w:r>
      <w:r>
        <w:rPr/>
        <w:t>Consequently, they argue that the codification of a Premises Standards to a compromise standard effectively provides derogations from the existing rights of people with disabilities and that this is acceptable only because of the greater certainty and effective compliance that can thereby be achieved.</w:t>
      </w:r>
    </w:p>
    <w:p>
      <w:pPr>
        <w:pStyle w:val="BodyText"/>
        <w:spacing w:before="10"/>
        <w:rPr>
          <w:sz w:val="23"/>
        </w:rPr>
      </w:pPr>
    </w:p>
    <w:p>
      <w:pPr>
        <w:pStyle w:val="BodyText"/>
        <w:spacing w:before="1"/>
        <w:ind w:left="419" w:right="812"/>
        <w:jc w:val="both"/>
      </w:pPr>
      <w:r>
        <w:rPr/>
        <w:t>By contrast, the industry submissions focus on the low level of effective access</w:t>
      </w:r>
      <w:r>
        <w:rPr>
          <w:spacing w:val="30"/>
        </w:rPr>
        <w:t> </w:t>
      </w:r>
      <w:r>
        <w:rPr/>
        <w:t>currently</w:t>
      </w:r>
      <w:r>
        <w:rPr>
          <w:spacing w:val="31"/>
        </w:rPr>
        <w:t> </w:t>
      </w:r>
      <w:r>
        <w:rPr/>
        <w:t>provided.</w:t>
      </w:r>
      <w:r>
        <w:rPr>
          <w:spacing w:val="31"/>
        </w:rPr>
        <w:t>  </w:t>
      </w:r>
      <w:r>
        <w:rPr/>
        <w:t>In</w:t>
      </w:r>
      <w:r>
        <w:rPr>
          <w:spacing w:val="32"/>
        </w:rPr>
        <w:t> </w:t>
      </w:r>
      <w:r>
        <w:rPr/>
        <w:t>this</w:t>
      </w:r>
      <w:r>
        <w:rPr>
          <w:spacing w:val="31"/>
        </w:rPr>
        <w:t> </w:t>
      </w:r>
      <w:r>
        <w:rPr/>
        <w:t>view,</w:t>
      </w:r>
      <w:r>
        <w:rPr>
          <w:spacing w:val="31"/>
        </w:rPr>
        <w:t> </w:t>
      </w:r>
      <w:r>
        <w:rPr/>
        <w:t>even</w:t>
      </w:r>
      <w:r>
        <w:rPr>
          <w:spacing w:val="30"/>
        </w:rPr>
        <w:t> </w:t>
      </w:r>
      <w:r>
        <w:rPr/>
        <w:t>a</w:t>
      </w:r>
      <w:r>
        <w:rPr>
          <w:spacing w:val="31"/>
        </w:rPr>
        <w:t> </w:t>
      </w:r>
      <w:r>
        <w:rPr/>
        <w:t>Premises</w:t>
      </w:r>
      <w:r>
        <w:rPr>
          <w:spacing w:val="31"/>
        </w:rPr>
        <w:t> </w:t>
      </w:r>
      <w:r>
        <w:rPr/>
        <w:t>Standards</w:t>
      </w:r>
      <w:r>
        <w:rPr>
          <w:spacing w:val="31"/>
        </w:rPr>
        <w:t> </w:t>
      </w:r>
      <w:r>
        <w:rPr/>
        <w:t>that</w:t>
      </w:r>
      <w:r>
        <w:rPr>
          <w:spacing w:val="31"/>
        </w:rPr>
        <w:t> </w:t>
      </w:r>
      <w:r>
        <w:rPr>
          <w:spacing w:val="-5"/>
        </w:rPr>
        <w:t>is</w:t>
      </w:r>
    </w:p>
    <w:p>
      <w:pPr>
        <w:spacing w:after="0"/>
        <w:jc w:val="both"/>
        <w:sectPr>
          <w:pgSz w:w="11900" w:h="16840"/>
          <w:pgMar w:header="0" w:footer="1130" w:top="1280" w:bottom="1320" w:left="1380" w:right="980"/>
        </w:sectPr>
      </w:pPr>
    </w:p>
    <w:p>
      <w:pPr>
        <w:pStyle w:val="BodyText"/>
        <w:spacing w:before="75"/>
        <w:ind w:left="420" w:right="810"/>
        <w:jc w:val="both"/>
      </w:pPr>
      <w:r>
        <w:rPr/>
        <w:t>substantially less far-reaching than the current proposal entails substantial gains for people with disabilities.</w:t>
      </w:r>
      <w:r>
        <w:rPr>
          <w:spacing w:val="40"/>
        </w:rPr>
        <w:t> </w:t>
      </w:r>
      <w:r>
        <w:rPr/>
        <w:t>Moreover, industry focuses on the unjustifiable hardship exemptions provided under the DDA to argue that the current proposals risk going further than the DDA, to the substantial disadvantage of industry and consumers more generally.</w:t>
      </w:r>
    </w:p>
    <w:p>
      <w:pPr>
        <w:pStyle w:val="BodyText"/>
      </w:pPr>
    </w:p>
    <w:p>
      <w:pPr>
        <w:pStyle w:val="BodyText"/>
        <w:spacing w:before="1"/>
        <w:ind w:left="420" w:right="812"/>
        <w:jc w:val="both"/>
      </w:pPr>
      <w:r>
        <w:rPr/>
        <w:t>While the draft RIS’ analysis of benefits and costs was quite heavily criticised, the submissions contained little that would assist in improving the quantitative analysis.</w:t>
      </w:r>
      <w:r>
        <w:rPr>
          <w:spacing w:val="40"/>
        </w:rPr>
        <w:t> </w:t>
      </w:r>
      <w:r>
        <w:rPr/>
        <w:t>Substantial work was undertaken by one respondent, who provides alternative costings for each of the case studies analysed in the RIS and derives an alternative global estimate of quantified costs that is around 120% higher than the RIS estimates.</w:t>
      </w:r>
      <w:r>
        <w:rPr>
          <w:spacing w:val="40"/>
        </w:rPr>
        <w:t> </w:t>
      </w:r>
      <w:r>
        <w:rPr/>
        <w:t>Unfortunately, this analysis is not sufficiently transparent to allow a detailed comparison and reconciliation of the two sets</w:t>
      </w:r>
      <w:r>
        <w:rPr>
          <w:spacing w:val="40"/>
        </w:rPr>
        <w:t> </w:t>
      </w:r>
      <w:r>
        <w:rPr/>
        <w:t>of cost estimates.</w:t>
      </w:r>
      <w:r>
        <w:rPr>
          <w:spacing w:val="40"/>
        </w:rPr>
        <w:t> </w:t>
      </w:r>
      <w:r>
        <w:rPr/>
        <w:t>Targeted follow-up, requesting additional information to allow for a detailed analysis of these alternative costings did not yield usable </w:t>
      </w:r>
      <w:r>
        <w:rPr>
          <w:spacing w:val="-2"/>
        </w:rPr>
        <w:t>information.</w:t>
      </w:r>
    </w:p>
    <w:p>
      <w:pPr>
        <w:pStyle w:val="BodyText"/>
      </w:pPr>
    </w:p>
    <w:p>
      <w:pPr>
        <w:pStyle w:val="BodyText"/>
        <w:ind w:left="420" w:right="810"/>
        <w:jc w:val="both"/>
      </w:pPr>
      <w:r>
        <w:rPr/>
        <w:t>Similarly, there were few opportunities for carrying forward the RIS analysis of benefits.</w:t>
      </w:r>
      <w:r>
        <w:rPr>
          <w:spacing w:val="40"/>
        </w:rPr>
        <w:t> </w:t>
      </w:r>
      <w:r>
        <w:rPr/>
        <w:t>Many of the claimed exclusions from the benefit analysis were, in fact, already contained in the draft RIS, albeit that they may not have the prominence in the discussion that some submissions believe that they merit. More importantly, there have been no references to other literature that provides a basis for taking the quantitative analysis of benefits further than</w:t>
      </w:r>
      <w:r>
        <w:rPr>
          <w:spacing w:val="40"/>
        </w:rPr>
        <w:t> </w:t>
      </w:r>
      <w:r>
        <w:rPr/>
        <w:t>has</w:t>
      </w:r>
      <w:r>
        <w:rPr>
          <w:spacing w:val="-3"/>
        </w:rPr>
        <w:t> </w:t>
      </w:r>
      <w:r>
        <w:rPr/>
        <w:t>been</w:t>
      </w:r>
      <w:r>
        <w:rPr>
          <w:spacing w:val="-3"/>
        </w:rPr>
        <w:t> </w:t>
      </w:r>
      <w:r>
        <w:rPr/>
        <w:t>the</w:t>
      </w:r>
      <w:r>
        <w:rPr>
          <w:spacing w:val="-3"/>
        </w:rPr>
        <w:t> </w:t>
      </w:r>
      <w:r>
        <w:rPr/>
        <w:t>case.</w:t>
      </w:r>
      <w:r>
        <w:rPr>
          <w:spacing w:val="40"/>
        </w:rPr>
        <w:t> </w:t>
      </w:r>
      <w:r>
        <w:rPr/>
        <w:t>Neither</w:t>
      </w:r>
      <w:r>
        <w:rPr>
          <w:spacing w:val="-3"/>
        </w:rPr>
        <w:t> </w:t>
      </w:r>
      <w:r>
        <w:rPr/>
        <w:t>has</w:t>
      </w:r>
      <w:r>
        <w:rPr>
          <w:spacing w:val="-3"/>
        </w:rPr>
        <w:t> </w:t>
      </w:r>
      <w:r>
        <w:rPr/>
        <w:t>there</w:t>
      </w:r>
      <w:r>
        <w:rPr>
          <w:spacing w:val="-4"/>
        </w:rPr>
        <w:t> </w:t>
      </w:r>
      <w:r>
        <w:rPr/>
        <w:t>been</w:t>
      </w:r>
      <w:r>
        <w:rPr>
          <w:spacing w:val="-3"/>
        </w:rPr>
        <w:t> </w:t>
      </w:r>
      <w:r>
        <w:rPr/>
        <w:t>any</w:t>
      </w:r>
      <w:r>
        <w:rPr>
          <w:spacing w:val="-3"/>
        </w:rPr>
        <w:t> </w:t>
      </w:r>
      <w:r>
        <w:rPr/>
        <w:t>substantive</w:t>
      </w:r>
      <w:r>
        <w:rPr>
          <w:spacing w:val="-2"/>
        </w:rPr>
        <w:t> </w:t>
      </w:r>
      <w:r>
        <w:rPr/>
        <w:t>questioning</w:t>
      </w:r>
      <w:r>
        <w:rPr>
          <w:spacing w:val="-3"/>
        </w:rPr>
        <w:t> </w:t>
      </w:r>
      <w:r>
        <w:rPr/>
        <w:t>of</w:t>
      </w:r>
      <w:r>
        <w:rPr>
          <w:spacing w:val="-3"/>
        </w:rPr>
        <w:t> </w:t>
      </w:r>
      <w:r>
        <w:rPr/>
        <w:t>the estimates currently contained in the draft RIS.</w:t>
      </w:r>
    </w:p>
    <w:p>
      <w:pPr>
        <w:pStyle w:val="BodyText"/>
      </w:pPr>
    </w:p>
    <w:p>
      <w:pPr>
        <w:pStyle w:val="BodyText"/>
        <w:ind w:left="420" w:right="812"/>
        <w:jc w:val="both"/>
      </w:pPr>
      <w:r>
        <w:rPr/>
        <w:t>In</w:t>
      </w:r>
      <w:r>
        <w:rPr>
          <w:spacing w:val="-1"/>
        </w:rPr>
        <w:t> </w:t>
      </w:r>
      <w:r>
        <w:rPr/>
        <w:t>addition</w:t>
      </w:r>
      <w:r>
        <w:rPr>
          <w:spacing w:val="-1"/>
        </w:rPr>
        <w:t> </w:t>
      </w:r>
      <w:r>
        <w:rPr/>
        <w:t>to</w:t>
      </w:r>
      <w:r>
        <w:rPr>
          <w:spacing w:val="-1"/>
        </w:rPr>
        <w:t> </w:t>
      </w:r>
      <w:r>
        <w:rPr/>
        <w:t>the</w:t>
      </w:r>
      <w:r>
        <w:rPr>
          <w:spacing w:val="-1"/>
        </w:rPr>
        <w:t> </w:t>
      </w:r>
      <w:r>
        <w:rPr/>
        <w:t>above</w:t>
      </w:r>
      <w:r>
        <w:rPr>
          <w:spacing w:val="-1"/>
        </w:rPr>
        <w:t> </w:t>
      </w:r>
      <w:r>
        <w:rPr/>
        <w:t>impediments</w:t>
      </w:r>
      <w:r>
        <w:rPr>
          <w:spacing w:val="-1"/>
        </w:rPr>
        <w:t> </w:t>
      </w:r>
      <w:r>
        <w:rPr/>
        <w:t>to further</w:t>
      </w:r>
      <w:r>
        <w:rPr>
          <w:spacing w:val="-1"/>
        </w:rPr>
        <w:t> </w:t>
      </w:r>
      <w:r>
        <w:rPr/>
        <w:t>improving</w:t>
      </w:r>
      <w:r>
        <w:rPr>
          <w:spacing w:val="-2"/>
        </w:rPr>
        <w:t> </w:t>
      </w:r>
      <w:r>
        <w:rPr/>
        <w:t>the</w:t>
      </w:r>
      <w:r>
        <w:rPr>
          <w:spacing w:val="-1"/>
        </w:rPr>
        <w:t> </w:t>
      </w:r>
      <w:r>
        <w:rPr/>
        <w:t>RIS’</w:t>
      </w:r>
      <w:r>
        <w:rPr>
          <w:spacing w:val="-1"/>
        </w:rPr>
        <w:t> </w:t>
      </w:r>
      <w:r>
        <w:rPr/>
        <w:t>benefit/cost analysis, the polarisation of stakeholder views, as well as the nature of the views expressed, suggests substantial doubt as to whether such additional analysis would yield major gains in terms of increased acceptance of the RIS conclusions by stakeholders.</w:t>
      </w:r>
    </w:p>
    <w:p>
      <w:pPr>
        <w:pStyle w:val="BodyText"/>
        <w:rPr>
          <w:sz w:val="26"/>
        </w:rPr>
      </w:pPr>
    </w:p>
    <w:p>
      <w:pPr>
        <w:pStyle w:val="Heading3"/>
        <w:numPr>
          <w:ilvl w:val="2"/>
          <w:numId w:val="42"/>
        </w:numPr>
        <w:tabs>
          <w:tab w:pos="1862" w:val="left" w:leader="none"/>
        </w:tabs>
        <w:spacing w:line="240" w:lineRule="auto" w:before="220" w:after="0"/>
        <w:ind w:left="419" w:right="812" w:firstLine="0"/>
        <w:jc w:val="both"/>
      </w:pPr>
      <w:bookmarkStart w:name="11.1.2 Key elements of the Standards in " w:id="130"/>
      <w:bookmarkEnd w:id="130"/>
      <w:r>
        <w:rPr/>
        <w:t>Key</w:t>
      </w:r>
      <w:r>
        <w:rPr/>
        <w:t> elements of the Standards in respect of which comment was received and responses to comments</w:t>
      </w:r>
    </w:p>
    <w:p>
      <w:pPr>
        <w:pStyle w:val="BodyText"/>
        <w:spacing w:before="57"/>
        <w:ind w:left="420" w:right="811"/>
        <w:jc w:val="both"/>
      </w:pPr>
      <w:r>
        <w:rPr/>
        <w:t>The following sets out those aspects of the proposed Standards that were cited as being of particular concern in submissions received through public and industry comment, together with the responses made to those concerns.</w:t>
      </w:r>
    </w:p>
    <w:p>
      <w:pPr>
        <w:pStyle w:val="BodyText"/>
      </w:pPr>
    </w:p>
    <w:p>
      <w:pPr>
        <w:pStyle w:val="BodyText"/>
        <w:ind w:left="420" w:right="811"/>
        <w:jc w:val="both"/>
      </w:pPr>
      <w:r>
        <w:rPr/>
        <w:t>The specific issues that were the subject of the most extensive comments from stakeholders were the following:</w:t>
      </w:r>
    </w:p>
    <w:p>
      <w:pPr>
        <w:pStyle w:val="BodyText"/>
      </w:pPr>
    </w:p>
    <w:p>
      <w:pPr>
        <w:pStyle w:val="ListParagraph"/>
        <w:numPr>
          <w:ilvl w:val="3"/>
          <w:numId w:val="42"/>
        </w:numPr>
        <w:tabs>
          <w:tab w:pos="1139" w:val="left" w:leader="none"/>
          <w:tab w:pos="1141" w:val="left" w:leader="none"/>
        </w:tabs>
        <w:spacing w:line="240" w:lineRule="auto" w:before="1" w:after="0"/>
        <w:ind w:left="1140" w:right="0" w:hanging="361"/>
        <w:jc w:val="left"/>
        <w:rPr>
          <w:sz w:val="24"/>
        </w:rPr>
      </w:pPr>
      <w:r>
        <w:rPr>
          <w:sz w:val="24"/>
        </w:rPr>
        <w:t>Accessible</w:t>
      </w:r>
      <w:r>
        <w:rPr>
          <w:spacing w:val="-6"/>
          <w:sz w:val="24"/>
        </w:rPr>
        <w:t> </w:t>
      </w:r>
      <w:r>
        <w:rPr>
          <w:sz w:val="24"/>
        </w:rPr>
        <w:t>Class</w:t>
      </w:r>
      <w:r>
        <w:rPr>
          <w:spacing w:val="-6"/>
          <w:sz w:val="24"/>
        </w:rPr>
        <w:t> </w:t>
      </w:r>
      <w:r>
        <w:rPr>
          <w:sz w:val="24"/>
        </w:rPr>
        <w:t>1b</w:t>
      </w:r>
      <w:r>
        <w:rPr>
          <w:spacing w:val="-5"/>
          <w:sz w:val="24"/>
        </w:rPr>
        <w:t> </w:t>
      </w:r>
      <w:r>
        <w:rPr>
          <w:sz w:val="24"/>
        </w:rPr>
        <w:t>holiday</w:t>
      </w:r>
      <w:r>
        <w:rPr>
          <w:spacing w:val="-6"/>
          <w:sz w:val="24"/>
        </w:rPr>
        <w:t> </w:t>
      </w:r>
      <w:r>
        <w:rPr>
          <w:spacing w:val="-2"/>
          <w:sz w:val="24"/>
        </w:rPr>
        <w:t>accommodation;</w:t>
      </w:r>
    </w:p>
    <w:p>
      <w:pPr>
        <w:pStyle w:val="ListParagraph"/>
        <w:numPr>
          <w:ilvl w:val="3"/>
          <w:numId w:val="42"/>
        </w:numPr>
        <w:tabs>
          <w:tab w:pos="1139" w:val="left" w:leader="none"/>
          <w:tab w:pos="1141" w:val="left" w:leader="none"/>
        </w:tabs>
        <w:spacing w:line="240" w:lineRule="auto" w:before="117" w:after="0"/>
        <w:ind w:left="1140" w:right="0" w:hanging="361"/>
        <w:jc w:val="left"/>
        <w:rPr>
          <w:sz w:val="24"/>
        </w:rPr>
      </w:pPr>
      <w:r>
        <w:rPr>
          <w:sz w:val="24"/>
        </w:rPr>
        <w:t>80th</w:t>
      </w:r>
      <w:r>
        <w:rPr>
          <w:spacing w:val="-7"/>
          <w:sz w:val="24"/>
        </w:rPr>
        <w:t> </w:t>
      </w:r>
      <w:r>
        <w:rPr>
          <w:sz w:val="24"/>
        </w:rPr>
        <w:t>vs</w:t>
      </w:r>
      <w:r>
        <w:rPr>
          <w:spacing w:val="-6"/>
          <w:sz w:val="24"/>
        </w:rPr>
        <w:t> </w:t>
      </w:r>
      <w:r>
        <w:rPr>
          <w:sz w:val="24"/>
        </w:rPr>
        <w:t>90th</w:t>
      </w:r>
      <w:r>
        <w:rPr>
          <w:spacing w:val="-6"/>
          <w:sz w:val="24"/>
        </w:rPr>
        <w:t> </w:t>
      </w:r>
      <w:r>
        <w:rPr>
          <w:sz w:val="24"/>
        </w:rPr>
        <w:t>percentile</w:t>
      </w:r>
      <w:r>
        <w:rPr>
          <w:spacing w:val="-7"/>
          <w:sz w:val="24"/>
        </w:rPr>
        <w:t> </w:t>
      </w:r>
      <w:r>
        <w:rPr>
          <w:spacing w:val="-2"/>
          <w:sz w:val="24"/>
        </w:rPr>
        <w:t>dimensions;</w:t>
      </w:r>
    </w:p>
    <w:p>
      <w:pPr>
        <w:pStyle w:val="ListParagraph"/>
        <w:numPr>
          <w:ilvl w:val="3"/>
          <w:numId w:val="42"/>
        </w:numPr>
        <w:tabs>
          <w:tab w:pos="1139" w:val="left" w:leader="none"/>
          <w:tab w:pos="1141" w:val="left" w:leader="none"/>
        </w:tabs>
        <w:spacing w:line="240" w:lineRule="auto" w:before="119" w:after="0"/>
        <w:ind w:left="1140" w:right="0" w:hanging="361"/>
        <w:jc w:val="left"/>
        <w:rPr>
          <w:sz w:val="24"/>
        </w:rPr>
      </w:pPr>
      <w:r>
        <w:rPr>
          <w:sz w:val="24"/>
        </w:rPr>
        <w:t>Small</w:t>
      </w:r>
      <w:r>
        <w:rPr>
          <w:spacing w:val="-4"/>
          <w:sz w:val="24"/>
        </w:rPr>
        <w:t> </w:t>
      </w:r>
      <w:r>
        <w:rPr>
          <w:spacing w:val="-2"/>
          <w:sz w:val="24"/>
        </w:rPr>
        <w:t>buildings;</w:t>
      </w:r>
    </w:p>
    <w:p>
      <w:pPr>
        <w:pStyle w:val="ListParagraph"/>
        <w:numPr>
          <w:ilvl w:val="3"/>
          <w:numId w:val="42"/>
        </w:numPr>
        <w:tabs>
          <w:tab w:pos="1139" w:val="left" w:leader="none"/>
          <w:tab w:pos="1140" w:val="left" w:leader="none"/>
        </w:tabs>
        <w:spacing w:line="240" w:lineRule="auto" w:before="118" w:after="0"/>
        <w:ind w:left="1139" w:right="0" w:hanging="360"/>
        <w:jc w:val="left"/>
        <w:rPr>
          <w:sz w:val="24"/>
        </w:rPr>
      </w:pPr>
      <w:r>
        <w:rPr>
          <w:sz w:val="24"/>
        </w:rPr>
        <w:t>Number</w:t>
      </w:r>
      <w:r>
        <w:rPr>
          <w:spacing w:val="-5"/>
          <w:sz w:val="24"/>
        </w:rPr>
        <w:t> </w:t>
      </w:r>
      <w:r>
        <w:rPr>
          <w:sz w:val="24"/>
        </w:rPr>
        <w:t>of</w:t>
      </w:r>
      <w:r>
        <w:rPr>
          <w:spacing w:val="-5"/>
          <w:sz w:val="24"/>
        </w:rPr>
        <w:t> </w:t>
      </w:r>
      <w:r>
        <w:rPr>
          <w:sz w:val="24"/>
        </w:rPr>
        <w:t>accessible</w:t>
      </w:r>
      <w:r>
        <w:rPr>
          <w:spacing w:val="-5"/>
          <w:sz w:val="24"/>
        </w:rPr>
        <w:t> </w:t>
      </w:r>
      <w:r>
        <w:rPr>
          <w:sz w:val="24"/>
        </w:rPr>
        <w:t>motel</w:t>
      </w:r>
      <w:r>
        <w:rPr>
          <w:spacing w:val="-4"/>
          <w:sz w:val="24"/>
        </w:rPr>
        <w:t> </w:t>
      </w:r>
      <w:r>
        <w:rPr>
          <w:spacing w:val="-2"/>
          <w:sz w:val="24"/>
        </w:rPr>
        <w:t>rooms;</w:t>
      </w:r>
    </w:p>
    <w:p>
      <w:pPr>
        <w:pStyle w:val="ListParagraph"/>
        <w:numPr>
          <w:ilvl w:val="3"/>
          <w:numId w:val="42"/>
        </w:numPr>
        <w:tabs>
          <w:tab w:pos="1139" w:val="left" w:leader="none"/>
          <w:tab w:pos="1141" w:val="left" w:leader="none"/>
        </w:tabs>
        <w:spacing w:line="240" w:lineRule="auto" w:before="118" w:after="0"/>
        <w:ind w:left="1140" w:right="0" w:hanging="361"/>
        <w:jc w:val="left"/>
        <w:rPr>
          <w:sz w:val="24"/>
        </w:rPr>
      </w:pPr>
      <w:r>
        <w:rPr>
          <w:sz w:val="24"/>
        </w:rPr>
        <w:t>Access</w:t>
      </w:r>
      <w:r>
        <w:rPr>
          <w:spacing w:val="-2"/>
          <w:sz w:val="24"/>
        </w:rPr>
        <w:t> </w:t>
      </w:r>
      <w:r>
        <w:rPr>
          <w:sz w:val="24"/>
        </w:rPr>
        <w:t>to</w:t>
      </w:r>
      <w:r>
        <w:rPr>
          <w:spacing w:val="-1"/>
          <w:sz w:val="24"/>
        </w:rPr>
        <w:t> </w:t>
      </w:r>
      <w:r>
        <w:rPr>
          <w:sz w:val="24"/>
        </w:rPr>
        <w:t>upper</w:t>
      </w:r>
      <w:r>
        <w:rPr>
          <w:spacing w:val="-1"/>
          <w:sz w:val="24"/>
        </w:rPr>
        <w:t> </w:t>
      </w:r>
      <w:r>
        <w:rPr>
          <w:spacing w:val="-2"/>
          <w:sz w:val="24"/>
        </w:rPr>
        <w:t>levels;</w:t>
      </w:r>
    </w:p>
    <w:p>
      <w:pPr>
        <w:pStyle w:val="ListParagraph"/>
        <w:numPr>
          <w:ilvl w:val="3"/>
          <w:numId w:val="42"/>
        </w:numPr>
        <w:tabs>
          <w:tab w:pos="1139" w:val="left" w:leader="none"/>
          <w:tab w:pos="1141" w:val="left" w:leader="none"/>
        </w:tabs>
        <w:spacing w:line="240" w:lineRule="auto" w:before="118" w:after="0"/>
        <w:ind w:left="1140" w:right="0" w:hanging="361"/>
        <w:jc w:val="left"/>
        <w:rPr>
          <w:sz w:val="24"/>
        </w:rPr>
      </w:pPr>
      <w:r>
        <w:rPr>
          <w:sz w:val="24"/>
        </w:rPr>
        <w:t>Building </w:t>
      </w:r>
      <w:r>
        <w:rPr>
          <w:spacing w:val="-2"/>
          <w:sz w:val="24"/>
        </w:rPr>
        <w:t>entrances;</w:t>
      </w:r>
    </w:p>
    <w:p>
      <w:pPr>
        <w:spacing w:after="0" w:line="240" w:lineRule="auto"/>
        <w:jc w:val="left"/>
        <w:rPr>
          <w:sz w:val="24"/>
        </w:rPr>
        <w:sectPr>
          <w:pgSz w:w="11900" w:h="16840"/>
          <w:pgMar w:header="0" w:footer="1130" w:top="1000" w:bottom="1320" w:left="1380" w:right="980"/>
        </w:sectPr>
      </w:pPr>
    </w:p>
    <w:p>
      <w:pPr>
        <w:pStyle w:val="ListParagraph"/>
        <w:numPr>
          <w:ilvl w:val="3"/>
          <w:numId w:val="42"/>
        </w:numPr>
        <w:tabs>
          <w:tab w:pos="1139" w:val="left" w:leader="none"/>
          <w:tab w:pos="1141" w:val="left" w:leader="none"/>
        </w:tabs>
        <w:spacing w:line="240" w:lineRule="auto" w:before="76" w:after="0"/>
        <w:ind w:left="1140" w:right="0" w:hanging="362"/>
        <w:jc w:val="left"/>
        <w:rPr>
          <w:sz w:val="24"/>
        </w:rPr>
      </w:pPr>
      <w:r>
        <w:rPr>
          <w:sz w:val="24"/>
        </w:rPr>
        <w:t>Lift</w:t>
      </w:r>
      <w:r>
        <w:rPr>
          <w:spacing w:val="-4"/>
          <w:sz w:val="24"/>
        </w:rPr>
        <w:t> </w:t>
      </w:r>
      <w:r>
        <w:rPr>
          <w:sz w:val="24"/>
        </w:rPr>
        <w:t>sizes</w:t>
      </w:r>
      <w:r>
        <w:rPr>
          <w:spacing w:val="-3"/>
          <w:sz w:val="24"/>
        </w:rPr>
        <w:t> </w:t>
      </w:r>
      <w:r>
        <w:rPr>
          <w:sz w:val="24"/>
        </w:rPr>
        <w:t>and</w:t>
      </w:r>
      <w:r>
        <w:rPr>
          <w:spacing w:val="-3"/>
          <w:sz w:val="24"/>
        </w:rPr>
        <w:t> </w:t>
      </w:r>
      <w:r>
        <w:rPr>
          <w:sz w:val="24"/>
        </w:rPr>
        <w:t>features;</w:t>
      </w:r>
      <w:r>
        <w:rPr>
          <w:spacing w:val="-3"/>
          <w:sz w:val="24"/>
        </w:rPr>
        <w:t> </w:t>
      </w:r>
      <w:r>
        <w:rPr>
          <w:spacing w:val="-5"/>
          <w:sz w:val="24"/>
        </w:rPr>
        <w:t>and</w:t>
      </w:r>
    </w:p>
    <w:p>
      <w:pPr>
        <w:pStyle w:val="ListParagraph"/>
        <w:numPr>
          <w:ilvl w:val="3"/>
          <w:numId w:val="42"/>
        </w:numPr>
        <w:tabs>
          <w:tab w:pos="1139" w:val="left" w:leader="none"/>
          <w:tab w:pos="1141" w:val="left" w:leader="none"/>
        </w:tabs>
        <w:spacing w:line="240" w:lineRule="auto" w:before="119" w:after="0"/>
        <w:ind w:left="1140" w:right="0" w:hanging="362"/>
        <w:jc w:val="left"/>
        <w:rPr>
          <w:sz w:val="24"/>
        </w:rPr>
      </w:pPr>
      <w:r>
        <w:rPr>
          <w:sz w:val="24"/>
        </w:rPr>
        <w:t>Ratio</w:t>
      </w:r>
      <w:r>
        <w:rPr>
          <w:spacing w:val="-4"/>
          <w:sz w:val="24"/>
        </w:rPr>
        <w:t> </w:t>
      </w:r>
      <w:r>
        <w:rPr>
          <w:sz w:val="24"/>
        </w:rPr>
        <w:t>of</w:t>
      </w:r>
      <w:r>
        <w:rPr>
          <w:spacing w:val="-4"/>
          <w:sz w:val="24"/>
        </w:rPr>
        <w:t> </w:t>
      </w:r>
      <w:r>
        <w:rPr>
          <w:sz w:val="24"/>
        </w:rPr>
        <w:t>and</w:t>
      </w:r>
      <w:r>
        <w:rPr>
          <w:spacing w:val="-3"/>
          <w:sz w:val="24"/>
        </w:rPr>
        <w:t> </w:t>
      </w:r>
      <w:r>
        <w:rPr>
          <w:sz w:val="24"/>
        </w:rPr>
        <w:t>location</w:t>
      </w:r>
      <w:r>
        <w:rPr>
          <w:spacing w:val="-4"/>
          <w:sz w:val="24"/>
        </w:rPr>
        <w:t> </w:t>
      </w:r>
      <w:r>
        <w:rPr>
          <w:sz w:val="24"/>
        </w:rPr>
        <w:t>of</w:t>
      </w:r>
      <w:r>
        <w:rPr>
          <w:spacing w:val="-4"/>
          <w:sz w:val="24"/>
        </w:rPr>
        <w:t> </w:t>
      </w:r>
      <w:r>
        <w:rPr>
          <w:sz w:val="24"/>
        </w:rPr>
        <w:t>sanitary</w:t>
      </w:r>
      <w:r>
        <w:rPr>
          <w:spacing w:val="-3"/>
          <w:sz w:val="24"/>
        </w:rPr>
        <w:t> </w:t>
      </w:r>
      <w:r>
        <w:rPr>
          <w:spacing w:val="-2"/>
          <w:sz w:val="24"/>
        </w:rPr>
        <w:t>facilities.</w:t>
      </w:r>
    </w:p>
    <w:p>
      <w:pPr>
        <w:pStyle w:val="Heading3"/>
        <w:numPr>
          <w:ilvl w:val="3"/>
          <w:numId w:val="43"/>
        </w:numPr>
        <w:tabs>
          <w:tab w:pos="1432" w:val="left" w:leader="none"/>
        </w:tabs>
        <w:spacing w:line="240" w:lineRule="auto" w:before="240" w:after="0"/>
        <w:ind w:left="1431" w:right="0" w:hanging="1012"/>
        <w:jc w:val="both"/>
      </w:pPr>
      <w:bookmarkStart w:name="11.1.2.1 Class 1b holiday accommodation" w:id="131"/>
      <w:bookmarkEnd w:id="131"/>
      <w:r>
        <w:rPr/>
        <w:t>Class</w:t>
      </w:r>
      <w:r>
        <w:rPr>
          <w:spacing w:val="-2"/>
        </w:rPr>
        <w:t> </w:t>
      </w:r>
      <w:r>
        <w:rPr/>
        <w:t>1b</w:t>
      </w:r>
      <w:r>
        <w:rPr>
          <w:spacing w:val="-2"/>
        </w:rPr>
        <w:t> </w:t>
      </w:r>
      <w:r>
        <w:rPr/>
        <w:t>holiday</w:t>
      </w:r>
      <w:r>
        <w:rPr>
          <w:spacing w:val="-3"/>
        </w:rPr>
        <w:t> </w:t>
      </w:r>
      <w:r>
        <w:rPr>
          <w:spacing w:val="-2"/>
        </w:rPr>
        <w:t>accommodation</w:t>
      </w:r>
    </w:p>
    <w:p>
      <w:pPr>
        <w:pStyle w:val="BodyText"/>
        <w:spacing w:before="57"/>
        <w:ind w:left="420" w:right="811"/>
        <w:jc w:val="both"/>
      </w:pPr>
      <w:r>
        <w:rPr/>
        <w:t>The proposals contain access requirements for Class</w:t>
      </w:r>
      <w:r>
        <w:rPr/>
        <w:t> 1b</w:t>
      </w:r>
      <w:r>
        <w:rPr/>
        <w:t> holiday accommodation (including caravan/tourist parks, bed and breakfasts (B&amp;Bs), cabins and home stays) for the first time.</w:t>
      </w:r>
      <w:r>
        <w:rPr>
          <w:spacing w:val="40"/>
        </w:rPr>
        <w:t> </w:t>
      </w:r>
      <w:r>
        <w:rPr/>
        <w:t>In recognition of the preponderance of small businesses involved, and the low-turnover nature of much of this accommodation, a “threshold” was proposed of three units or bedrooms available for hire.</w:t>
      </w:r>
    </w:p>
    <w:p>
      <w:pPr>
        <w:pStyle w:val="BodyText"/>
      </w:pPr>
    </w:p>
    <w:p>
      <w:pPr>
        <w:pStyle w:val="BodyText"/>
        <w:ind w:left="420" w:right="811"/>
        <w:jc w:val="both"/>
      </w:pPr>
      <w:r>
        <w:rPr/>
        <w:t>The draft RIS found that there would be very substantial cost increases (more than 40%) for two of three case studies analysed in respect of Class 1b </w:t>
      </w:r>
      <w:r>
        <w:rPr>
          <w:spacing w:val="-2"/>
        </w:rPr>
        <w:t>buildings.</w:t>
      </w:r>
    </w:p>
    <w:p>
      <w:pPr>
        <w:pStyle w:val="BodyText"/>
        <w:spacing w:before="1"/>
      </w:pPr>
    </w:p>
    <w:p>
      <w:pPr>
        <w:spacing w:line="275" w:lineRule="exact" w:before="0"/>
        <w:ind w:left="420" w:right="0" w:firstLine="0"/>
        <w:jc w:val="both"/>
        <w:rPr>
          <w:i/>
          <w:sz w:val="24"/>
        </w:rPr>
      </w:pPr>
      <w:bookmarkStart w:name="Comment received" w:id="132"/>
      <w:bookmarkEnd w:id="132"/>
      <w:r>
        <w:rPr/>
      </w:r>
      <w:r>
        <w:rPr>
          <w:i/>
          <w:spacing w:val="-2"/>
          <w:sz w:val="24"/>
          <w:u w:val="single"/>
        </w:rPr>
        <w:t>Comment</w:t>
      </w:r>
      <w:r>
        <w:rPr>
          <w:i/>
          <w:spacing w:val="-4"/>
          <w:sz w:val="24"/>
          <w:u w:val="single"/>
        </w:rPr>
        <w:t> </w:t>
      </w:r>
      <w:r>
        <w:rPr>
          <w:i/>
          <w:spacing w:val="-2"/>
          <w:sz w:val="24"/>
          <w:u w:val="single"/>
        </w:rPr>
        <w:t>received</w:t>
      </w:r>
    </w:p>
    <w:p>
      <w:pPr>
        <w:pStyle w:val="BodyText"/>
        <w:ind w:left="419" w:right="812"/>
        <w:jc w:val="both"/>
      </w:pPr>
      <w:r>
        <w:rPr/>
        <w:t>One industry respondent argued that the cost increases involved would be substantially higher again.</w:t>
      </w:r>
      <w:r>
        <w:rPr>
          <w:spacing w:val="40"/>
        </w:rPr>
        <w:t> </w:t>
      </w:r>
      <w:r>
        <w:rPr/>
        <w:t>A high level of concern was expressed in submissions about the impacts of the proposals on small business operators and the tourism industry.</w:t>
      </w:r>
      <w:r>
        <w:rPr>
          <w:spacing w:val="40"/>
        </w:rPr>
        <w:t> </w:t>
      </w:r>
      <w:r>
        <w:rPr/>
        <w:t>Tourism organisations and operators were of the view that Class</w:t>
      </w:r>
      <w:r>
        <w:rPr/>
        <w:t> 1b</w:t>
      </w:r>
      <w:r>
        <w:rPr/>
        <w:t> buildings</w:t>
      </w:r>
      <w:r>
        <w:rPr/>
        <w:t> should</w:t>
      </w:r>
      <w:r>
        <w:rPr/>
        <w:t> not</w:t>
      </w:r>
      <w:r>
        <w:rPr/>
        <w:t> be</w:t>
      </w:r>
      <w:r>
        <w:rPr/>
        <w:t> required</w:t>
      </w:r>
      <w:r>
        <w:rPr/>
        <w:t> to</w:t>
      </w:r>
      <w:r>
        <w:rPr/>
        <w:t> be</w:t>
      </w:r>
      <w:r>
        <w:rPr/>
        <w:t> accessible</w:t>
      </w:r>
      <w:r>
        <w:rPr/>
        <w:t> at</w:t>
      </w:r>
      <w:r>
        <w:rPr/>
        <w:t> all, particularly B&amp;B accommodation, due to the problems associated with converting a Class 1a to a Class 1b building.</w:t>
      </w:r>
      <w:r>
        <w:rPr>
          <w:spacing w:val="80"/>
        </w:rPr>
        <w:t> </w:t>
      </w:r>
      <w:r>
        <w:rPr/>
        <w:t>The view was expressed that the proposed requirements would create an anti-competitive environment by restricting new entrants to the market due to the cost of providing accessible facilities.</w:t>
      </w:r>
      <w:r>
        <w:rPr>
          <w:spacing w:val="40"/>
        </w:rPr>
        <w:t> </w:t>
      </w:r>
      <w:r>
        <w:rPr/>
        <w:t>Some respondents questioned why wheelchair accessible cabins need to be provided at a ratio of 5% when less than 1% of the population use a wheelchair.</w:t>
      </w:r>
    </w:p>
    <w:p>
      <w:pPr>
        <w:pStyle w:val="BodyText"/>
      </w:pPr>
    </w:p>
    <w:p>
      <w:pPr>
        <w:pStyle w:val="BodyText"/>
        <w:ind w:left="419" w:right="811"/>
        <w:jc w:val="both"/>
      </w:pPr>
      <w:r>
        <w:rPr/>
        <w:t>Some disability sector respondents were of the view that there should be no exemption threshold for this sector, while a number of industry respondents proposed an alternative for B&amp;B-type establishments whereby the requirements should only apply to properties with 5 or more bedrooms for</w:t>
      </w:r>
      <w:r>
        <w:rPr>
          <w:spacing w:val="40"/>
        </w:rPr>
        <w:t> </w:t>
      </w:r>
      <w:r>
        <w:rPr/>
        <w:t>rent, in order to delineate B&amp;B/home-stay establishments from purpose-built boarding houses and guesthouses.</w:t>
      </w:r>
    </w:p>
    <w:p>
      <w:pPr>
        <w:pStyle w:val="BodyText"/>
        <w:spacing w:before="1"/>
      </w:pPr>
    </w:p>
    <w:p>
      <w:pPr>
        <w:spacing w:line="275" w:lineRule="exact" w:before="0"/>
        <w:ind w:left="419" w:right="0" w:firstLine="0"/>
        <w:jc w:val="both"/>
        <w:rPr>
          <w:i/>
          <w:sz w:val="24"/>
        </w:rPr>
      </w:pPr>
      <w:bookmarkStart w:name="Response to comment" w:id="133"/>
      <w:bookmarkEnd w:id="133"/>
      <w:r>
        <w:rPr/>
      </w:r>
      <w:r>
        <w:rPr>
          <w:i/>
          <w:sz w:val="24"/>
          <w:u w:val="single"/>
        </w:rPr>
        <w:t>Response</w:t>
      </w:r>
      <w:r>
        <w:rPr>
          <w:i/>
          <w:spacing w:val="-11"/>
          <w:sz w:val="24"/>
          <w:u w:val="single"/>
        </w:rPr>
        <w:t> </w:t>
      </w:r>
      <w:r>
        <w:rPr>
          <w:i/>
          <w:sz w:val="24"/>
          <w:u w:val="single"/>
        </w:rPr>
        <w:t>to</w:t>
      </w:r>
      <w:r>
        <w:rPr>
          <w:i/>
          <w:spacing w:val="-10"/>
          <w:sz w:val="24"/>
          <w:u w:val="single"/>
        </w:rPr>
        <w:t> </w:t>
      </w:r>
      <w:r>
        <w:rPr>
          <w:i/>
          <w:spacing w:val="-2"/>
          <w:sz w:val="24"/>
          <w:u w:val="single"/>
        </w:rPr>
        <w:t>comment</w:t>
      </w:r>
    </w:p>
    <w:p>
      <w:pPr>
        <w:pStyle w:val="BodyText"/>
        <w:ind w:left="419" w:right="811"/>
        <w:jc w:val="both"/>
      </w:pPr>
      <w:r>
        <w:rPr/>
        <w:t>The threshold for application of the requirements of the Standards has been increased from three to four rooms available for rent.</w:t>
      </w:r>
      <w:r>
        <w:rPr>
          <w:spacing w:val="80"/>
        </w:rPr>
        <w:t> </w:t>
      </w:r>
      <w:r>
        <w:rPr/>
        <w:t>This was considered</w:t>
      </w:r>
      <w:r>
        <w:rPr>
          <w:spacing w:val="40"/>
        </w:rPr>
        <w:t> </w:t>
      </w:r>
      <w:r>
        <w:rPr/>
        <w:t>the most appropriate means of distinguishing significant businesses from B&amp;B/home-stay type establishments.</w:t>
      </w:r>
      <w:r>
        <w:rPr>
          <w:spacing w:val="80"/>
        </w:rPr>
        <w:t> </w:t>
      </w:r>
      <w:r>
        <w:rPr/>
        <w:t>Revisions to the case studies also led</w:t>
      </w:r>
      <w:r>
        <w:rPr>
          <w:spacing w:val="40"/>
        </w:rPr>
        <w:t> </w:t>
      </w:r>
      <w:r>
        <w:rPr/>
        <w:t>to</w:t>
      </w:r>
      <w:r>
        <w:rPr/>
        <w:t> the</w:t>
      </w:r>
      <w:r>
        <w:rPr/>
        <w:t> conclusion</w:t>
      </w:r>
      <w:r>
        <w:rPr/>
        <w:t> that</w:t>
      </w:r>
      <w:r>
        <w:rPr/>
        <w:t> cost</w:t>
      </w:r>
      <w:r>
        <w:rPr/>
        <w:t> impacts</w:t>
      </w:r>
      <w:r>
        <w:rPr/>
        <w:t> would</w:t>
      </w:r>
      <w:r>
        <w:rPr/>
        <w:t> generally</w:t>
      </w:r>
      <w:r>
        <w:rPr/>
        <w:t> be</w:t>
      </w:r>
      <w:r>
        <w:rPr/>
        <w:t> below</w:t>
      </w:r>
      <w:r>
        <w:rPr/>
        <w:t> those</w:t>
      </w:r>
      <w:r>
        <w:rPr/>
        <w:t> initially estimated due to different assumptions adopted as to means of compliance.</w:t>
      </w:r>
    </w:p>
    <w:p>
      <w:pPr>
        <w:pStyle w:val="BodyText"/>
        <w:rPr>
          <w:sz w:val="21"/>
        </w:rPr>
      </w:pPr>
    </w:p>
    <w:p>
      <w:pPr>
        <w:pStyle w:val="Heading3"/>
        <w:numPr>
          <w:ilvl w:val="3"/>
          <w:numId w:val="43"/>
        </w:numPr>
        <w:tabs>
          <w:tab w:pos="1432" w:val="left" w:leader="none"/>
        </w:tabs>
        <w:spacing w:line="240" w:lineRule="auto" w:before="0" w:after="0"/>
        <w:ind w:left="1431" w:right="0" w:hanging="1012"/>
        <w:jc w:val="both"/>
      </w:pPr>
      <w:bookmarkStart w:name="11.1.2.2 80th vs 90th percentile dimensi" w:id="134"/>
      <w:bookmarkEnd w:id="134"/>
      <w:r>
        <w:rPr/>
        <w:t>80th</w:t>
      </w:r>
      <w:r>
        <w:rPr>
          <w:spacing w:val="-4"/>
        </w:rPr>
        <w:t> </w:t>
      </w:r>
      <w:r>
        <w:rPr/>
        <w:t>vs</w:t>
      </w:r>
      <w:r>
        <w:rPr>
          <w:spacing w:val="-3"/>
        </w:rPr>
        <w:t> </w:t>
      </w:r>
      <w:r>
        <w:rPr/>
        <w:t>90th</w:t>
      </w:r>
      <w:r>
        <w:rPr>
          <w:spacing w:val="-3"/>
        </w:rPr>
        <w:t> </w:t>
      </w:r>
      <w:r>
        <w:rPr/>
        <w:t>percentile</w:t>
      </w:r>
      <w:r>
        <w:rPr>
          <w:spacing w:val="-3"/>
        </w:rPr>
        <w:t> </w:t>
      </w:r>
      <w:r>
        <w:rPr>
          <w:spacing w:val="-2"/>
        </w:rPr>
        <w:t>dimensions</w:t>
      </w:r>
    </w:p>
    <w:p>
      <w:pPr>
        <w:pStyle w:val="BodyText"/>
        <w:spacing w:before="58"/>
        <w:ind w:left="420" w:right="811"/>
        <w:jc w:val="both"/>
      </w:pPr>
      <w:r>
        <w:rPr/>
        <w:t>The</w:t>
      </w:r>
      <w:r>
        <w:rPr>
          <w:spacing w:val="-2"/>
        </w:rPr>
        <w:t> </w:t>
      </w:r>
      <w:r>
        <w:rPr/>
        <w:t>current</w:t>
      </w:r>
      <w:r>
        <w:rPr>
          <w:spacing w:val="-2"/>
        </w:rPr>
        <w:t> </w:t>
      </w:r>
      <w:r>
        <w:rPr/>
        <w:t>BCA</w:t>
      </w:r>
      <w:r>
        <w:rPr>
          <w:spacing w:val="-2"/>
        </w:rPr>
        <w:t> </w:t>
      </w:r>
      <w:r>
        <w:rPr/>
        <w:t>access</w:t>
      </w:r>
      <w:r>
        <w:rPr>
          <w:spacing w:val="-2"/>
        </w:rPr>
        <w:t> </w:t>
      </w:r>
      <w:r>
        <w:rPr/>
        <w:t>provisions</w:t>
      </w:r>
      <w:r>
        <w:rPr>
          <w:spacing w:val="-2"/>
        </w:rPr>
        <w:t> </w:t>
      </w:r>
      <w:r>
        <w:rPr/>
        <w:t>determine</w:t>
      </w:r>
      <w:r>
        <w:rPr>
          <w:spacing w:val="-2"/>
        </w:rPr>
        <w:t> </w:t>
      </w:r>
      <w:r>
        <w:rPr/>
        <w:t>spatial</w:t>
      </w:r>
      <w:r>
        <w:rPr>
          <w:spacing w:val="-2"/>
        </w:rPr>
        <w:t> </w:t>
      </w:r>
      <w:r>
        <w:rPr/>
        <w:t>dimensions on</w:t>
      </w:r>
      <w:r>
        <w:rPr>
          <w:spacing w:val="-2"/>
        </w:rPr>
        <w:t> </w:t>
      </w:r>
      <w:r>
        <w:rPr/>
        <w:t>the</w:t>
      </w:r>
      <w:r>
        <w:rPr>
          <w:spacing w:val="-1"/>
        </w:rPr>
        <w:t> </w:t>
      </w:r>
      <w:r>
        <w:rPr/>
        <w:t>basis of</w:t>
      </w:r>
      <w:r>
        <w:rPr/>
        <w:t> the</w:t>
      </w:r>
      <w:r>
        <w:rPr/>
        <w:t> 80</w:t>
      </w:r>
      <w:r>
        <w:rPr>
          <w:vertAlign w:val="superscript"/>
        </w:rPr>
        <w:t>th</w:t>
      </w:r>
      <w:r>
        <w:rPr>
          <w:vertAlign w:val="baseline"/>
        </w:rPr>
        <w:t> percentile wheelchair dimensions. The proposed Standards increased spatial dimensions to 90</w:t>
      </w:r>
      <w:r>
        <w:rPr>
          <w:vertAlign w:val="superscript"/>
        </w:rPr>
        <w:t>th</w:t>
      </w:r>
      <w:r>
        <w:rPr>
          <w:vertAlign w:val="baseline"/>
        </w:rPr>
        <w:t> percentile values in critical areas, to</w:t>
      </w:r>
      <w:r>
        <w:rPr>
          <w:spacing w:val="40"/>
          <w:vertAlign w:val="baseline"/>
        </w:rPr>
        <w:t> </w:t>
      </w:r>
      <w:r>
        <w:rPr>
          <w:vertAlign w:val="baseline"/>
        </w:rPr>
        <w:t>make features and facilities available to a larger number of wheelchair users.</w:t>
      </w:r>
    </w:p>
    <w:p>
      <w:pPr>
        <w:spacing w:after="0"/>
        <w:jc w:val="both"/>
        <w:sectPr>
          <w:pgSz w:w="11900" w:h="16840"/>
          <w:pgMar w:header="0" w:footer="1130" w:top="1000" w:bottom="1320" w:left="1380" w:right="980"/>
        </w:sectPr>
      </w:pPr>
    </w:p>
    <w:p>
      <w:pPr>
        <w:spacing w:line="275" w:lineRule="exact" w:before="77"/>
        <w:ind w:left="420" w:right="0" w:firstLine="0"/>
        <w:jc w:val="both"/>
        <w:rPr>
          <w:i/>
          <w:sz w:val="24"/>
        </w:rPr>
      </w:pPr>
      <w:bookmarkStart w:name="Comment received" w:id="135"/>
      <w:bookmarkEnd w:id="135"/>
      <w:r>
        <w:rPr/>
      </w:r>
      <w:r>
        <w:rPr>
          <w:i/>
          <w:spacing w:val="-2"/>
          <w:sz w:val="24"/>
          <w:u w:val="single"/>
        </w:rPr>
        <w:t>Comment</w:t>
      </w:r>
      <w:r>
        <w:rPr>
          <w:i/>
          <w:spacing w:val="-4"/>
          <w:sz w:val="24"/>
          <w:u w:val="single"/>
        </w:rPr>
        <w:t> </w:t>
      </w:r>
      <w:r>
        <w:rPr>
          <w:i/>
          <w:spacing w:val="-2"/>
          <w:sz w:val="24"/>
          <w:u w:val="single"/>
        </w:rPr>
        <w:t>received</w:t>
      </w:r>
    </w:p>
    <w:p>
      <w:pPr>
        <w:pStyle w:val="BodyText"/>
        <w:ind w:left="420" w:right="811"/>
        <w:jc w:val="both"/>
      </w:pPr>
      <w:r>
        <w:rPr/>
        <w:t>The move from 80</w:t>
      </w:r>
      <w:r>
        <w:rPr>
          <w:vertAlign w:val="superscript"/>
        </w:rPr>
        <w:t>th</w:t>
      </w:r>
      <w:r>
        <w:rPr>
          <w:vertAlign w:val="baseline"/>
        </w:rPr>
        <w:t> to 90</w:t>
      </w:r>
      <w:r>
        <w:rPr>
          <w:vertAlign w:val="superscript"/>
        </w:rPr>
        <w:t>th</w:t>
      </w:r>
      <w:r>
        <w:rPr>
          <w:vertAlign w:val="baseline"/>
        </w:rPr>
        <w:t> percentile dimensions was generally supported by the disability sector, however, some respondents believed that greater inclusiveness should be required, e.g. 95</w:t>
      </w:r>
      <w:r>
        <w:rPr>
          <w:vertAlign w:val="superscript"/>
        </w:rPr>
        <w:t>th</w:t>
      </w:r>
      <w:r>
        <w:rPr>
          <w:vertAlign w:val="baseline"/>
        </w:rPr>
        <w:t> percentile, and some questioned the validity of the 90</w:t>
      </w:r>
      <w:r>
        <w:rPr>
          <w:vertAlign w:val="superscript"/>
        </w:rPr>
        <w:t>th</w:t>
      </w:r>
      <w:r>
        <w:rPr>
          <w:vertAlign w:val="baseline"/>
        </w:rPr>
        <w:t> percentile dimensions being used.</w:t>
      </w:r>
      <w:r>
        <w:rPr>
          <w:spacing w:val="40"/>
          <w:vertAlign w:val="baseline"/>
        </w:rPr>
        <w:t> </w:t>
      </w:r>
      <w:r>
        <w:rPr>
          <w:vertAlign w:val="baseline"/>
        </w:rPr>
        <w:t>Respondents who supported remaining with the 80</w:t>
      </w:r>
      <w:r>
        <w:rPr>
          <w:vertAlign w:val="superscript"/>
        </w:rPr>
        <w:t>th</w:t>
      </w:r>
      <w:r>
        <w:rPr>
          <w:vertAlign w:val="baseline"/>
        </w:rPr>
        <w:t> percentile dimensions were generally of the view that insufficient justification had been given for the change and no evidence was available to suggest that 80</w:t>
      </w:r>
      <w:r>
        <w:rPr>
          <w:vertAlign w:val="superscript"/>
        </w:rPr>
        <w:t>th</w:t>
      </w:r>
      <w:r>
        <w:rPr>
          <w:vertAlign w:val="baseline"/>
        </w:rPr>
        <w:t> percentile dimensions meant that buildings were inaccessible or that features such as accessible sanitary were not able to be used.</w:t>
      </w:r>
    </w:p>
    <w:p>
      <w:pPr>
        <w:pStyle w:val="BodyText"/>
        <w:spacing w:before="11"/>
        <w:rPr>
          <w:sz w:val="23"/>
        </w:rPr>
      </w:pPr>
    </w:p>
    <w:p>
      <w:pPr>
        <w:pStyle w:val="BodyText"/>
        <w:ind w:left="419" w:right="810"/>
        <w:jc w:val="both"/>
      </w:pPr>
      <w:r>
        <w:rPr/>
        <w:t>The move to 90</w:t>
      </w:r>
      <w:r>
        <w:rPr>
          <w:vertAlign w:val="superscript"/>
        </w:rPr>
        <w:t>th</w:t>
      </w:r>
      <w:r>
        <w:rPr>
          <w:vertAlign w:val="baseline"/>
        </w:rPr>
        <w:t> percentile dimensions was seen as particularly problematic for existing buildings with complying features such as accessible doorways, lifts, sanitary facilities and the like, which would be rendered unsuitable under the proposals and may need to be replaced during future renovations.</w:t>
      </w:r>
      <w:r>
        <w:rPr>
          <w:spacing w:val="40"/>
          <w:vertAlign w:val="baseline"/>
        </w:rPr>
        <w:t> </w:t>
      </w:r>
      <w:r>
        <w:rPr>
          <w:vertAlign w:val="baseline"/>
        </w:rPr>
        <w:t>The move to 90</w:t>
      </w:r>
      <w:r>
        <w:rPr>
          <w:vertAlign w:val="superscript"/>
        </w:rPr>
        <w:t>th</w:t>
      </w:r>
      <w:r>
        <w:rPr>
          <w:vertAlign w:val="baseline"/>
        </w:rPr>
        <w:t> percentile dimensions is problematic for existing buildings undergoing refurbishment, particularly in respect of constrained features such as toilets and lifts.</w:t>
      </w:r>
    </w:p>
    <w:p>
      <w:pPr>
        <w:pStyle w:val="BodyText"/>
        <w:spacing w:before="1"/>
      </w:pPr>
    </w:p>
    <w:p>
      <w:pPr>
        <w:spacing w:line="275" w:lineRule="exact" w:before="0"/>
        <w:ind w:left="420" w:right="0" w:firstLine="0"/>
        <w:jc w:val="both"/>
        <w:rPr>
          <w:i/>
          <w:sz w:val="24"/>
        </w:rPr>
      </w:pPr>
      <w:r>
        <w:rPr>
          <w:i/>
          <w:sz w:val="24"/>
          <w:u w:val="single"/>
        </w:rPr>
        <w:t>Response</w:t>
      </w:r>
      <w:r>
        <w:rPr>
          <w:i/>
          <w:spacing w:val="-11"/>
          <w:sz w:val="24"/>
          <w:u w:val="single"/>
        </w:rPr>
        <w:t> </w:t>
      </w:r>
      <w:r>
        <w:rPr>
          <w:i/>
          <w:sz w:val="24"/>
          <w:u w:val="single"/>
        </w:rPr>
        <w:t>to</w:t>
      </w:r>
      <w:r>
        <w:rPr>
          <w:i/>
          <w:spacing w:val="-10"/>
          <w:sz w:val="24"/>
          <w:u w:val="single"/>
        </w:rPr>
        <w:t> </w:t>
      </w:r>
      <w:r>
        <w:rPr>
          <w:i/>
          <w:spacing w:val="-2"/>
          <w:sz w:val="24"/>
          <w:u w:val="single"/>
        </w:rPr>
        <w:t>comment</w:t>
      </w:r>
    </w:p>
    <w:p>
      <w:pPr>
        <w:pStyle w:val="BodyText"/>
        <w:ind w:left="419" w:right="812"/>
        <w:jc w:val="both"/>
      </w:pPr>
      <w:r>
        <w:rPr/>
        <w:t>The revised Standard adopts a combination of 80</w:t>
      </w:r>
      <w:r>
        <w:rPr>
          <w:vertAlign w:val="superscript"/>
        </w:rPr>
        <w:t>th</w:t>
      </w:r>
      <w:r>
        <w:rPr>
          <w:vertAlign w:val="baseline"/>
        </w:rPr>
        <w:t> and 90</w:t>
      </w:r>
      <w:r>
        <w:rPr>
          <w:vertAlign w:val="superscript"/>
        </w:rPr>
        <w:t>th</w:t>
      </w:r>
      <w:r>
        <w:rPr>
          <w:vertAlign w:val="baseline"/>
        </w:rPr>
        <w:t> percentile dimensions in an attempt to provide the best possible balance between enhanced</w:t>
      </w:r>
      <w:r>
        <w:rPr>
          <w:spacing w:val="-1"/>
          <w:vertAlign w:val="baseline"/>
        </w:rPr>
        <w:t> </w:t>
      </w:r>
      <w:r>
        <w:rPr>
          <w:vertAlign w:val="baseline"/>
        </w:rPr>
        <w:t>access</w:t>
      </w:r>
      <w:r>
        <w:rPr>
          <w:spacing w:val="-1"/>
          <w:vertAlign w:val="baseline"/>
        </w:rPr>
        <w:t> </w:t>
      </w:r>
      <w:r>
        <w:rPr>
          <w:vertAlign w:val="baseline"/>
        </w:rPr>
        <w:t>and</w:t>
      </w:r>
      <w:r>
        <w:rPr>
          <w:spacing w:val="-1"/>
          <w:vertAlign w:val="baseline"/>
        </w:rPr>
        <w:t> </w:t>
      </w:r>
      <w:r>
        <w:rPr>
          <w:vertAlign w:val="baseline"/>
        </w:rPr>
        <w:t>cost-minimisation.</w:t>
      </w:r>
      <w:r>
        <w:rPr>
          <w:spacing w:val="40"/>
          <w:vertAlign w:val="baseline"/>
        </w:rPr>
        <w:t> </w:t>
      </w:r>
      <w:r>
        <w:rPr>
          <w:vertAlign w:val="baseline"/>
        </w:rPr>
        <w:t>To</w:t>
      </w:r>
      <w:r>
        <w:rPr>
          <w:spacing w:val="-1"/>
          <w:vertAlign w:val="baseline"/>
        </w:rPr>
        <w:t> </w:t>
      </w:r>
      <w:r>
        <w:rPr>
          <w:vertAlign w:val="baseline"/>
        </w:rPr>
        <w:t>this</w:t>
      </w:r>
      <w:r>
        <w:rPr>
          <w:spacing w:val="-1"/>
          <w:vertAlign w:val="baseline"/>
        </w:rPr>
        <w:t> </w:t>
      </w:r>
      <w:r>
        <w:rPr>
          <w:vertAlign w:val="baseline"/>
        </w:rPr>
        <w:t>end,</w:t>
      </w:r>
      <w:r>
        <w:rPr>
          <w:spacing w:val="-2"/>
          <w:vertAlign w:val="baseline"/>
        </w:rPr>
        <w:t> </w:t>
      </w:r>
      <w:r>
        <w:rPr>
          <w:vertAlign w:val="baseline"/>
        </w:rPr>
        <w:t>the</w:t>
      </w:r>
      <w:r>
        <w:rPr>
          <w:spacing w:val="-1"/>
          <w:vertAlign w:val="baseline"/>
        </w:rPr>
        <w:t> </w:t>
      </w:r>
      <w:r>
        <w:rPr>
          <w:vertAlign w:val="baseline"/>
        </w:rPr>
        <w:t>requirement</w:t>
      </w:r>
      <w:r>
        <w:rPr>
          <w:spacing w:val="-1"/>
          <w:vertAlign w:val="baseline"/>
        </w:rPr>
        <w:t> </w:t>
      </w:r>
      <w:r>
        <w:rPr>
          <w:vertAlign w:val="baseline"/>
        </w:rPr>
        <w:t>for</w:t>
      </w:r>
      <w:r>
        <w:rPr>
          <w:spacing w:val="-1"/>
          <w:vertAlign w:val="baseline"/>
        </w:rPr>
        <w:t> </w:t>
      </w:r>
      <w:r>
        <w:rPr>
          <w:vertAlign w:val="baseline"/>
        </w:rPr>
        <w:t>90</w:t>
      </w:r>
      <w:r>
        <w:rPr>
          <w:vertAlign w:val="superscript"/>
        </w:rPr>
        <w:t>th</w:t>
      </w:r>
      <w:r>
        <w:rPr>
          <w:vertAlign w:val="baseline"/>
        </w:rPr>
        <w:t> percentile dimensions has been confined to those areas in which enhanced access has been identified by the disability sector as being most important, notably unisex accessible sanitary facilities, doorways and associated circulation spaces and on accessways at locations where there is a turn of more than 60 degrees.</w:t>
      </w:r>
    </w:p>
    <w:p>
      <w:pPr>
        <w:pStyle w:val="BodyText"/>
        <w:spacing w:before="1"/>
        <w:rPr>
          <w:sz w:val="21"/>
        </w:rPr>
      </w:pPr>
    </w:p>
    <w:p>
      <w:pPr>
        <w:pStyle w:val="Heading3"/>
        <w:numPr>
          <w:ilvl w:val="3"/>
          <w:numId w:val="43"/>
        </w:numPr>
        <w:tabs>
          <w:tab w:pos="1432" w:val="left" w:leader="none"/>
        </w:tabs>
        <w:spacing w:line="240" w:lineRule="auto" w:before="0" w:after="0"/>
        <w:ind w:left="1431" w:right="0" w:hanging="1012"/>
        <w:jc w:val="both"/>
      </w:pPr>
      <w:bookmarkStart w:name="11.1.2.3 Small buildings" w:id="136"/>
      <w:bookmarkEnd w:id="136"/>
      <w:r>
        <w:rPr/>
        <w:t>Smal</w:t>
      </w:r>
      <w:r>
        <w:rPr/>
        <w:t>l</w:t>
      </w:r>
      <w:r>
        <w:rPr>
          <w:spacing w:val="-5"/>
        </w:rPr>
        <w:t> </w:t>
      </w:r>
      <w:r>
        <w:rPr>
          <w:spacing w:val="-2"/>
        </w:rPr>
        <w:t>buildings</w:t>
      </w:r>
    </w:p>
    <w:p>
      <w:pPr>
        <w:pStyle w:val="BodyText"/>
        <w:spacing w:before="57"/>
        <w:ind w:left="420" w:right="810"/>
        <w:jc w:val="both"/>
      </w:pPr>
      <w:r>
        <w:rPr/>
        <w:t>The 2004 draft proposal included requirements for the upper floors of most buildings to be made accessible.</w:t>
      </w:r>
      <w:r>
        <w:rPr>
          <w:spacing w:val="80"/>
        </w:rPr>
        <w:t> </w:t>
      </w:r>
      <w:r>
        <w:rPr/>
        <w:t>The draft RIS identified the fact that the costs of providing such access would be particularly high in relation to smaller buildings, which are more likely to be owned or occupied by the small business sector.</w:t>
      </w:r>
    </w:p>
    <w:p>
      <w:pPr>
        <w:pStyle w:val="BodyText"/>
        <w:spacing w:before="1"/>
      </w:pPr>
    </w:p>
    <w:p>
      <w:pPr>
        <w:spacing w:line="275" w:lineRule="exact" w:before="0"/>
        <w:ind w:left="420" w:right="0" w:firstLine="0"/>
        <w:jc w:val="both"/>
        <w:rPr>
          <w:i/>
          <w:sz w:val="24"/>
        </w:rPr>
      </w:pPr>
      <w:bookmarkStart w:name="Comment received" w:id="137"/>
      <w:bookmarkEnd w:id="137"/>
      <w:r>
        <w:rPr/>
      </w:r>
      <w:r>
        <w:rPr>
          <w:i/>
          <w:spacing w:val="-2"/>
          <w:sz w:val="24"/>
          <w:u w:val="single"/>
        </w:rPr>
        <w:t>Comment</w:t>
      </w:r>
      <w:r>
        <w:rPr>
          <w:i/>
          <w:spacing w:val="-4"/>
          <w:sz w:val="24"/>
          <w:u w:val="single"/>
        </w:rPr>
        <w:t> </w:t>
      </w:r>
      <w:r>
        <w:rPr>
          <w:i/>
          <w:spacing w:val="-2"/>
          <w:sz w:val="24"/>
          <w:u w:val="single"/>
        </w:rPr>
        <w:t>received</w:t>
      </w:r>
    </w:p>
    <w:p>
      <w:pPr>
        <w:pStyle w:val="BodyText"/>
        <w:ind w:left="420" w:right="812"/>
        <w:jc w:val="both"/>
      </w:pPr>
      <w:r>
        <w:rPr/>
        <w:t>The</w:t>
      </w:r>
      <w:r>
        <w:rPr>
          <w:spacing w:val="-3"/>
        </w:rPr>
        <w:t> </w:t>
      </w:r>
      <w:r>
        <w:rPr/>
        <w:t>effect</w:t>
      </w:r>
      <w:r>
        <w:rPr>
          <w:spacing w:val="-3"/>
        </w:rPr>
        <w:t> </w:t>
      </w:r>
      <w:r>
        <w:rPr/>
        <w:t>of</w:t>
      </w:r>
      <w:r>
        <w:rPr>
          <w:spacing w:val="-3"/>
        </w:rPr>
        <w:t> </w:t>
      </w:r>
      <w:r>
        <w:rPr/>
        <w:t>the</w:t>
      </w:r>
      <w:r>
        <w:rPr>
          <w:spacing w:val="-3"/>
        </w:rPr>
        <w:t> </w:t>
      </w:r>
      <w:r>
        <w:rPr/>
        <w:t>proposals</w:t>
      </w:r>
      <w:r>
        <w:rPr>
          <w:spacing w:val="-3"/>
        </w:rPr>
        <w:t> </w:t>
      </w:r>
      <w:r>
        <w:rPr/>
        <w:t>on</w:t>
      </w:r>
      <w:r>
        <w:rPr>
          <w:spacing w:val="-3"/>
        </w:rPr>
        <w:t> </w:t>
      </w:r>
      <w:r>
        <w:rPr/>
        <w:t>small</w:t>
      </w:r>
      <w:r>
        <w:rPr>
          <w:spacing w:val="-3"/>
        </w:rPr>
        <w:t> </w:t>
      </w:r>
      <w:r>
        <w:rPr/>
        <w:t>buildings</w:t>
      </w:r>
      <w:r>
        <w:rPr>
          <w:spacing w:val="-3"/>
        </w:rPr>
        <w:t> </w:t>
      </w:r>
      <w:r>
        <w:rPr/>
        <w:t>attracted</w:t>
      </w:r>
      <w:r>
        <w:rPr>
          <w:spacing w:val="-3"/>
        </w:rPr>
        <w:t> </w:t>
      </w:r>
      <w:r>
        <w:rPr/>
        <w:t>a</w:t>
      </w:r>
      <w:r>
        <w:rPr>
          <w:spacing w:val="-3"/>
        </w:rPr>
        <w:t> </w:t>
      </w:r>
      <w:r>
        <w:rPr/>
        <w:t>significant</w:t>
      </w:r>
      <w:r>
        <w:rPr>
          <w:spacing w:val="-3"/>
        </w:rPr>
        <w:t> </w:t>
      </w:r>
      <w:r>
        <w:rPr/>
        <w:t>number</w:t>
      </w:r>
      <w:r>
        <w:rPr>
          <w:spacing w:val="-3"/>
        </w:rPr>
        <w:t> </w:t>
      </w:r>
      <w:r>
        <w:rPr/>
        <w:t>of comments.</w:t>
      </w:r>
      <w:r>
        <w:rPr>
          <w:spacing w:val="40"/>
        </w:rPr>
        <w:t> </w:t>
      </w:r>
      <w:r>
        <w:rPr/>
        <w:t>Some respondents suggested that buildings under a certain size (suggested thresholds ranging from 500 m</w:t>
      </w:r>
      <w:r>
        <w:rPr>
          <w:vertAlign w:val="superscript"/>
        </w:rPr>
        <w:t>2</w:t>
      </w:r>
      <w:r>
        <w:rPr>
          <w:vertAlign w:val="baseline"/>
        </w:rPr>
        <w:t> to 4000 m</w:t>
      </w:r>
      <w:r>
        <w:rPr>
          <w:vertAlign w:val="superscript"/>
        </w:rPr>
        <w:t>2</w:t>
      </w:r>
      <w:r>
        <w:rPr>
          <w:vertAlign w:val="baseline"/>
        </w:rPr>
        <w:t>) should be exempted from any upper floor access requirements in order to avoid disproportionate cost impacts being incurred.</w:t>
      </w:r>
    </w:p>
    <w:p>
      <w:pPr>
        <w:pStyle w:val="BodyText"/>
      </w:pPr>
    </w:p>
    <w:p>
      <w:pPr>
        <w:pStyle w:val="BodyText"/>
        <w:ind w:left="420" w:right="812"/>
        <w:jc w:val="both"/>
      </w:pPr>
      <w:r>
        <w:rPr/>
        <w:t>The New Zealand regulations, where lifts are not required in buildings that are two storey where the upper floor area is less than 400m</w:t>
      </w:r>
      <w:r>
        <w:rPr>
          <w:vertAlign w:val="superscript"/>
        </w:rPr>
        <w:t>2</w:t>
      </w:r>
      <w:r>
        <w:rPr>
          <w:vertAlign w:val="baseline"/>
        </w:rPr>
        <w:t>, or three storey where the combined area of the upper floors is less than 500 m</w:t>
      </w:r>
      <w:r>
        <w:rPr>
          <w:vertAlign w:val="superscript"/>
        </w:rPr>
        <w:t>2</w:t>
      </w:r>
      <w:r>
        <w:rPr>
          <w:vertAlign w:val="baseline"/>
        </w:rPr>
        <w:t>, were also cited.</w:t>
      </w:r>
      <w:r>
        <w:rPr>
          <w:spacing w:val="80"/>
          <w:vertAlign w:val="baseline"/>
        </w:rPr>
        <w:t> </w:t>
      </w:r>
      <w:r>
        <w:rPr>
          <w:vertAlign w:val="baseline"/>
        </w:rPr>
        <w:t>These regulations do however require access to the upper floors of such buildings where they are intended for use as banks, government offices or agencies, hospital or healthcare services, public libraries, etc.</w:t>
      </w:r>
    </w:p>
    <w:p>
      <w:pPr>
        <w:spacing w:after="0"/>
        <w:jc w:val="both"/>
        <w:sectPr>
          <w:pgSz w:w="11900" w:h="16840"/>
          <w:pgMar w:header="0" w:footer="1130" w:top="1000" w:bottom="1320" w:left="1380" w:right="980"/>
        </w:sectPr>
      </w:pPr>
    </w:p>
    <w:p>
      <w:pPr>
        <w:pStyle w:val="BodyText"/>
        <w:spacing w:before="75"/>
        <w:ind w:left="420" w:right="811"/>
        <w:jc w:val="both"/>
      </w:pPr>
      <w:r>
        <w:rPr/>
        <w:t>Others suggested that one option to make small buildings as accessible as possible while keeping costs down, would be to make them accessible for ambulant people with a mobility disability, for the blind and vision impaired</w:t>
      </w:r>
      <w:r>
        <w:rPr>
          <w:spacing w:val="40"/>
        </w:rPr>
        <w:t> </w:t>
      </w:r>
      <w:r>
        <w:rPr/>
        <w:t>and for the deaf or hearing impaired (where appropriate), but not for wheelchair users.</w:t>
      </w:r>
    </w:p>
    <w:p>
      <w:pPr>
        <w:pStyle w:val="BodyText"/>
      </w:pPr>
    </w:p>
    <w:p>
      <w:pPr>
        <w:pStyle w:val="BodyText"/>
        <w:spacing w:before="1"/>
        <w:ind w:left="419" w:right="810"/>
        <w:jc w:val="both"/>
      </w:pPr>
      <w:r>
        <w:rPr/>
        <w:t>Some respondents believed the requirement to make 100% of the floor area</w:t>
      </w:r>
      <w:r>
        <w:rPr>
          <w:spacing w:val="40"/>
        </w:rPr>
        <w:t> </w:t>
      </w:r>
      <w:r>
        <w:rPr/>
        <w:t>in restaurants accessible is too onerous, given that the current requirements only apply to 30% of the floor area.</w:t>
      </w:r>
      <w:r>
        <w:rPr>
          <w:spacing w:val="40"/>
        </w:rPr>
        <w:t> </w:t>
      </w:r>
      <w:r>
        <w:rPr/>
        <w:t>Many restaurants are established by a change</w:t>
      </w:r>
      <w:r>
        <w:rPr>
          <w:spacing w:val="-1"/>
        </w:rPr>
        <w:t> </w:t>
      </w:r>
      <w:r>
        <w:rPr/>
        <w:t>of</w:t>
      </w:r>
      <w:r>
        <w:rPr>
          <w:spacing w:val="-2"/>
        </w:rPr>
        <w:t> </w:t>
      </w:r>
      <w:r>
        <w:rPr/>
        <w:t>use</w:t>
      </w:r>
      <w:r>
        <w:rPr>
          <w:spacing w:val="-1"/>
        </w:rPr>
        <w:t> </w:t>
      </w:r>
      <w:r>
        <w:rPr/>
        <w:t>in</w:t>
      </w:r>
      <w:r>
        <w:rPr>
          <w:spacing w:val="-2"/>
        </w:rPr>
        <w:t> </w:t>
      </w:r>
      <w:r>
        <w:rPr/>
        <w:t>an</w:t>
      </w:r>
      <w:r>
        <w:rPr>
          <w:spacing w:val="-1"/>
        </w:rPr>
        <w:t> </w:t>
      </w:r>
      <w:r>
        <w:rPr/>
        <w:t>existing</w:t>
      </w:r>
      <w:r>
        <w:rPr>
          <w:spacing w:val="-2"/>
        </w:rPr>
        <w:t> </w:t>
      </w:r>
      <w:r>
        <w:rPr/>
        <w:t>building</w:t>
      </w:r>
      <w:r>
        <w:rPr>
          <w:spacing w:val="-1"/>
        </w:rPr>
        <w:t> </w:t>
      </w:r>
      <w:r>
        <w:rPr/>
        <w:t>and,</w:t>
      </w:r>
      <w:r>
        <w:rPr>
          <w:spacing w:val="-2"/>
        </w:rPr>
        <w:t> </w:t>
      </w:r>
      <w:r>
        <w:rPr/>
        <w:t>as</w:t>
      </w:r>
      <w:r>
        <w:rPr>
          <w:spacing w:val="-1"/>
        </w:rPr>
        <w:t> </w:t>
      </w:r>
      <w:r>
        <w:rPr/>
        <w:t>a</w:t>
      </w:r>
      <w:r>
        <w:rPr>
          <w:spacing w:val="-2"/>
        </w:rPr>
        <w:t> </w:t>
      </w:r>
      <w:r>
        <w:rPr/>
        <w:t>result,</w:t>
      </w:r>
      <w:r>
        <w:rPr>
          <w:spacing w:val="-1"/>
        </w:rPr>
        <w:t> </w:t>
      </w:r>
      <w:r>
        <w:rPr/>
        <w:t>are</w:t>
      </w:r>
      <w:r>
        <w:rPr>
          <w:spacing w:val="-2"/>
        </w:rPr>
        <w:t> </w:t>
      </w:r>
      <w:r>
        <w:rPr/>
        <w:t>subject</w:t>
      </w:r>
      <w:r>
        <w:rPr>
          <w:spacing w:val="-1"/>
        </w:rPr>
        <w:t> </w:t>
      </w:r>
      <w:r>
        <w:rPr/>
        <w:t>to</w:t>
      </w:r>
      <w:r>
        <w:rPr>
          <w:spacing w:val="-2"/>
        </w:rPr>
        <w:t> </w:t>
      </w:r>
      <w:r>
        <w:rPr/>
        <w:t>limitations on how the restaurant can be configured.</w:t>
      </w:r>
      <w:r>
        <w:rPr>
          <w:spacing w:val="80"/>
        </w:rPr>
        <w:t> </w:t>
      </w:r>
      <w:r>
        <w:rPr/>
        <w:t>Only a specific proportion of the floor area should be required to be accessible.</w:t>
      </w:r>
    </w:p>
    <w:p>
      <w:pPr>
        <w:pStyle w:val="BodyText"/>
        <w:spacing w:before="1"/>
      </w:pPr>
    </w:p>
    <w:p>
      <w:pPr>
        <w:spacing w:line="275" w:lineRule="exact" w:before="0"/>
        <w:ind w:left="419" w:right="0" w:firstLine="0"/>
        <w:jc w:val="both"/>
        <w:rPr>
          <w:i/>
          <w:sz w:val="24"/>
        </w:rPr>
      </w:pPr>
      <w:r>
        <w:rPr>
          <w:i/>
          <w:sz w:val="24"/>
          <w:u w:val="single"/>
        </w:rPr>
        <w:t>Response</w:t>
      </w:r>
      <w:r>
        <w:rPr>
          <w:i/>
          <w:spacing w:val="-11"/>
          <w:sz w:val="24"/>
          <w:u w:val="single"/>
        </w:rPr>
        <w:t> </w:t>
      </w:r>
      <w:r>
        <w:rPr>
          <w:i/>
          <w:sz w:val="24"/>
          <w:u w:val="single"/>
        </w:rPr>
        <w:t>to</w:t>
      </w:r>
      <w:r>
        <w:rPr>
          <w:i/>
          <w:spacing w:val="-10"/>
          <w:sz w:val="24"/>
          <w:u w:val="single"/>
        </w:rPr>
        <w:t> </w:t>
      </w:r>
      <w:r>
        <w:rPr>
          <w:i/>
          <w:spacing w:val="-2"/>
          <w:sz w:val="24"/>
          <w:u w:val="single"/>
        </w:rPr>
        <w:t>comment</w:t>
      </w:r>
    </w:p>
    <w:p>
      <w:pPr>
        <w:pStyle w:val="BodyText"/>
        <w:ind w:left="420" w:right="810"/>
        <w:jc w:val="both"/>
      </w:pPr>
      <w:r>
        <w:rPr/>
        <w:t>The comments received confirmed the results of the draft RIS case study analysis, which indicated that disproportionately large costs would be incurred in</w:t>
      </w:r>
      <w:r>
        <w:rPr>
          <w:spacing w:val="-3"/>
        </w:rPr>
        <w:t> </w:t>
      </w:r>
      <w:r>
        <w:rPr/>
        <w:t>providing</w:t>
      </w:r>
      <w:r>
        <w:rPr>
          <w:spacing w:val="-3"/>
        </w:rPr>
        <w:t> </w:t>
      </w:r>
      <w:r>
        <w:rPr/>
        <w:t>access</w:t>
      </w:r>
      <w:r>
        <w:rPr>
          <w:spacing w:val="-3"/>
        </w:rPr>
        <w:t> </w:t>
      </w:r>
      <w:r>
        <w:rPr/>
        <w:t>in</w:t>
      </w:r>
      <w:r>
        <w:rPr>
          <w:spacing w:val="-3"/>
        </w:rPr>
        <w:t> </w:t>
      </w:r>
      <w:r>
        <w:rPr/>
        <w:t>many</w:t>
      </w:r>
      <w:r>
        <w:rPr>
          <w:spacing w:val="-3"/>
        </w:rPr>
        <w:t> </w:t>
      </w:r>
      <w:r>
        <w:rPr/>
        <w:t>small</w:t>
      </w:r>
      <w:r>
        <w:rPr>
          <w:spacing w:val="-3"/>
        </w:rPr>
        <w:t> </w:t>
      </w:r>
      <w:r>
        <w:rPr/>
        <w:t>building</w:t>
      </w:r>
      <w:r>
        <w:rPr>
          <w:spacing w:val="-3"/>
        </w:rPr>
        <w:t> </w:t>
      </w:r>
      <w:r>
        <w:rPr/>
        <w:t>contexts.</w:t>
      </w:r>
      <w:r>
        <w:rPr>
          <w:spacing w:val="40"/>
        </w:rPr>
        <w:t> </w:t>
      </w:r>
      <w:r>
        <w:rPr/>
        <w:t>As</w:t>
      </w:r>
      <w:r>
        <w:rPr>
          <w:spacing w:val="-3"/>
        </w:rPr>
        <w:t> </w:t>
      </w:r>
      <w:r>
        <w:rPr/>
        <w:t>a</w:t>
      </w:r>
      <w:r>
        <w:rPr>
          <w:spacing w:val="-3"/>
        </w:rPr>
        <w:t> </w:t>
      </w:r>
      <w:r>
        <w:rPr/>
        <w:t>result,</w:t>
      </w:r>
      <w:r>
        <w:rPr>
          <w:spacing w:val="-3"/>
        </w:rPr>
        <w:t> </w:t>
      </w:r>
      <w:r>
        <w:rPr/>
        <w:t>the</w:t>
      </w:r>
      <w:r>
        <w:rPr>
          <w:spacing w:val="-3"/>
        </w:rPr>
        <w:t> </w:t>
      </w:r>
      <w:r>
        <w:rPr/>
        <w:t>proposed Standards have been modified to provide an exemption for buildings of 3 storeys or less, which have a floor area for each storey of not more than 200m</w:t>
      </w:r>
      <w:r>
        <w:rPr>
          <w:vertAlign w:val="superscript"/>
        </w:rPr>
        <w:t>2</w:t>
      </w:r>
      <w:r>
        <w:rPr>
          <w:vertAlign w:val="baseline"/>
        </w:rPr>
        <w:t> (not including the entrance storey). This concession effectively</w:t>
      </w:r>
      <w:r>
        <w:rPr>
          <w:spacing w:val="40"/>
          <w:vertAlign w:val="baseline"/>
        </w:rPr>
        <w:t> </w:t>
      </w:r>
      <w:r>
        <w:rPr>
          <w:vertAlign w:val="baseline"/>
        </w:rPr>
        <w:t>exempts the upper levels of such buildings from the access requirements. Further 2009 changes related to this issue are discussed in Appendix 4.</w:t>
      </w:r>
    </w:p>
    <w:p>
      <w:pPr>
        <w:pStyle w:val="BodyText"/>
        <w:spacing w:before="1"/>
        <w:rPr>
          <w:sz w:val="21"/>
        </w:rPr>
      </w:pPr>
    </w:p>
    <w:p>
      <w:pPr>
        <w:pStyle w:val="Heading3"/>
        <w:numPr>
          <w:ilvl w:val="3"/>
          <w:numId w:val="43"/>
        </w:numPr>
        <w:tabs>
          <w:tab w:pos="1432" w:val="left" w:leader="none"/>
        </w:tabs>
        <w:spacing w:line="240" w:lineRule="auto" w:before="0" w:after="0"/>
        <w:ind w:left="1431" w:right="0" w:hanging="1012"/>
        <w:jc w:val="both"/>
      </w:pPr>
      <w:bookmarkStart w:name="11.1.2.4 Number of accessible hotel/mote" w:id="138"/>
      <w:bookmarkEnd w:id="138"/>
      <w:r>
        <w:rPr/>
        <w:t>Nu</w:t>
      </w:r>
      <w:r>
        <w:rPr/>
        <w:t>mber</w:t>
      </w:r>
      <w:r>
        <w:rPr>
          <w:spacing w:val="-3"/>
        </w:rPr>
        <w:t> </w:t>
      </w:r>
      <w:r>
        <w:rPr/>
        <w:t>of</w:t>
      </w:r>
      <w:r>
        <w:rPr>
          <w:spacing w:val="-3"/>
        </w:rPr>
        <w:t> </w:t>
      </w:r>
      <w:r>
        <w:rPr/>
        <w:t>accessible</w:t>
      </w:r>
      <w:r>
        <w:rPr>
          <w:spacing w:val="-3"/>
        </w:rPr>
        <w:t> </w:t>
      </w:r>
      <w:r>
        <w:rPr/>
        <w:t>hotel/motel</w:t>
      </w:r>
      <w:r>
        <w:rPr>
          <w:spacing w:val="-3"/>
        </w:rPr>
        <w:t> </w:t>
      </w:r>
      <w:r>
        <w:rPr>
          <w:spacing w:val="-2"/>
        </w:rPr>
        <w:t>rooms</w:t>
      </w:r>
    </w:p>
    <w:p>
      <w:pPr>
        <w:pStyle w:val="BodyText"/>
        <w:spacing w:before="57"/>
        <w:ind w:left="420" w:right="811"/>
        <w:jc w:val="both"/>
      </w:pPr>
      <w:r>
        <w:rPr/>
        <w:t>The BCA</w:t>
      </w:r>
      <w:r>
        <w:rPr/>
        <w:t> currently</w:t>
      </w:r>
      <w:r>
        <w:rPr/>
        <w:t> requires</w:t>
      </w:r>
      <w:r>
        <w:rPr/>
        <w:t> accessible</w:t>
      </w:r>
      <w:r>
        <w:rPr/>
        <w:t> hotel/motel rooms (Class 3) to be provided at a reducing percentage rate of total rooms, with the percentage ranging from 5% for small hotels/motels to around 3% for large hotels/motels. The draft Premises Standards retained the “sliding rate” structure, but increased</w:t>
      </w:r>
      <w:r>
        <w:rPr>
          <w:spacing w:val="-1"/>
        </w:rPr>
        <w:t> </w:t>
      </w:r>
      <w:r>
        <w:rPr/>
        <w:t>the</w:t>
      </w:r>
      <w:r>
        <w:rPr>
          <w:spacing w:val="-1"/>
        </w:rPr>
        <w:t> </w:t>
      </w:r>
      <w:r>
        <w:rPr/>
        <w:t>percentage</w:t>
      </w:r>
      <w:r>
        <w:rPr>
          <w:spacing w:val="-1"/>
        </w:rPr>
        <w:t> </w:t>
      </w:r>
      <w:r>
        <w:rPr/>
        <w:t>ranging</w:t>
      </w:r>
      <w:r>
        <w:rPr>
          <w:spacing w:val="-1"/>
        </w:rPr>
        <w:t> </w:t>
      </w:r>
      <w:r>
        <w:rPr/>
        <w:t>to</w:t>
      </w:r>
      <w:r>
        <w:rPr>
          <w:spacing w:val="-1"/>
        </w:rPr>
        <w:t> </w:t>
      </w:r>
      <w:r>
        <w:rPr/>
        <w:t>10% for small motels, reducing to around 4% for large hotels/motels.</w:t>
      </w:r>
    </w:p>
    <w:p>
      <w:pPr>
        <w:pStyle w:val="BodyText"/>
        <w:spacing w:before="1"/>
      </w:pPr>
    </w:p>
    <w:p>
      <w:pPr>
        <w:spacing w:line="275" w:lineRule="exact" w:before="0"/>
        <w:ind w:left="420" w:right="0" w:firstLine="0"/>
        <w:jc w:val="both"/>
        <w:rPr>
          <w:i/>
          <w:sz w:val="24"/>
        </w:rPr>
      </w:pPr>
      <w:bookmarkStart w:name="Comment received" w:id="139"/>
      <w:bookmarkEnd w:id="139"/>
      <w:r>
        <w:rPr/>
      </w:r>
      <w:r>
        <w:rPr>
          <w:i/>
          <w:spacing w:val="-2"/>
          <w:sz w:val="24"/>
          <w:u w:val="single"/>
        </w:rPr>
        <w:t>Comment</w:t>
      </w:r>
      <w:r>
        <w:rPr>
          <w:i/>
          <w:spacing w:val="-4"/>
          <w:sz w:val="24"/>
          <w:u w:val="single"/>
        </w:rPr>
        <w:t> </w:t>
      </w:r>
      <w:r>
        <w:rPr>
          <w:i/>
          <w:spacing w:val="-2"/>
          <w:sz w:val="24"/>
          <w:u w:val="single"/>
        </w:rPr>
        <w:t>received</w:t>
      </w:r>
    </w:p>
    <w:p>
      <w:pPr>
        <w:pStyle w:val="BodyText"/>
        <w:ind w:left="419" w:right="812"/>
        <w:jc w:val="both"/>
      </w:pPr>
      <w:r>
        <w:rPr/>
        <w:t>Some</w:t>
      </w:r>
      <w:r>
        <w:rPr>
          <w:spacing w:val="-2"/>
        </w:rPr>
        <w:t> </w:t>
      </w:r>
      <w:r>
        <w:rPr/>
        <w:t>disability</w:t>
      </w:r>
      <w:r>
        <w:rPr>
          <w:spacing w:val="-2"/>
        </w:rPr>
        <w:t> </w:t>
      </w:r>
      <w:r>
        <w:rPr/>
        <w:t>sector</w:t>
      </w:r>
      <w:r>
        <w:rPr>
          <w:spacing w:val="-2"/>
        </w:rPr>
        <w:t> </w:t>
      </w:r>
      <w:r>
        <w:rPr/>
        <w:t>respondents</w:t>
      </w:r>
      <w:r>
        <w:rPr>
          <w:spacing w:val="-2"/>
        </w:rPr>
        <w:t> </w:t>
      </w:r>
      <w:r>
        <w:rPr/>
        <w:t>argued</w:t>
      </w:r>
      <w:r>
        <w:rPr>
          <w:spacing w:val="-1"/>
        </w:rPr>
        <w:t> </w:t>
      </w:r>
      <w:r>
        <w:rPr/>
        <w:t>that</w:t>
      </w:r>
      <w:r>
        <w:rPr>
          <w:spacing w:val="-2"/>
        </w:rPr>
        <w:t> </w:t>
      </w:r>
      <w:r>
        <w:rPr/>
        <w:t>a</w:t>
      </w:r>
      <w:r>
        <w:rPr>
          <w:spacing w:val="-2"/>
        </w:rPr>
        <w:t> </w:t>
      </w:r>
      <w:r>
        <w:rPr/>
        <w:t>minimum</w:t>
      </w:r>
      <w:r>
        <w:rPr>
          <w:spacing w:val="-2"/>
        </w:rPr>
        <w:t> </w:t>
      </w:r>
      <w:r>
        <w:rPr/>
        <w:t>of</w:t>
      </w:r>
      <w:r>
        <w:rPr>
          <w:spacing w:val="-2"/>
        </w:rPr>
        <w:t> </w:t>
      </w:r>
      <w:r>
        <w:rPr/>
        <w:t>10%</w:t>
      </w:r>
      <w:r>
        <w:rPr>
          <w:spacing w:val="-2"/>
        </w:rPr>
        <w:t> </w:t>
      </w:r>
      <w:r>
        <w:rPr/>
        <w:t>of</w:t>
      </w:r>
      <w:r>
        <w:rPr>
          <w:spacing w:val="-2"/>
        </w:rPr>
        <w:t> </w:t>
      </w:r>
      <w:r>
        <w:rPr/>
        <w:t>all</w:t>
      </w:r>
      <w:r>
        <w:rPr>
          <w:spacing w:val="-2"/>
        </w:rPr>
        <w:t> </w:t>
      </w:r>
      <w:r>
        <w:rPr/>
        <w:t>motel rooms should be accessible.</w:t>
      </w:r>
      <w:r>
        <w:rPr>
          <w:spacing w:val="40"/>
        </w:rPr>
        <w:t> </w:t>
      </w:r>
      <w:r>
        <w:rPr/>
        <w:t>On the other hand, a hotel and motel industry organisation submitted the results of a survey across 19 different hotels which revealed that the number of rooms currently provided had never been filled in any of the respondent hotels.</w:t>
      </w:r>
      <w:r>
        <w:rPr>
          <w:spacing w:val="40"/>
        </w:rPr>
        <w:t> </w:t>
      </w:r>
      <w:r>
        <w:rPr/>
        <w:t>Based on this information, the hotel and motel industry have questioned whether there is a demonstrated need to increase the ratio of accessible rooms.</w:t>
      </w:r>
    </w:p>
    <w:p>
      <w:pPr>
        <w:pStyle w:val="BodyText"/>
      </w:pPr>
    </w:p>
    <w:p>
      <w:pPr>
        <w:pStyle w:val="BodyText"/>
        <w:ind w:left="420" w:right="811"/>
        <w:jc w:val="both"/>
      </w:pPr>
      <w:r>
        <w:rPr/>
        <w:t>The hotel and motel industry reported that, what is seen by customers as the ‘hospital type environment’ of accessible rooms, is the largest source of guest complaints.</w:t>
      </w:r>
      <w:r>
        <w:rPr>
          <w:spacing w:val="40"/>
        </w:rPr>
        <w:t> </w:t>
      </w:r>
      <w:r>
        <w:rPr/>
        <w:t>Room</w:t>
      </w:r>
      <w:r>
        <w:rPr/>
        <w:t> rates</w:t>
      </w:r>
      <w:r>
        <w:rPr/>
        <w:t> are</w:t>
      </w:r>
      <w:r>
        <w:rPr/>
        <w:t> often</w:t>
      </w:r>
      <w:r>
        <w:rPr/>
        <w:t> lowered</w:t>
      </w:r>
      <w:r>
        <w:rPr/>
        <w:t> for</w:t>
      </w:r>
      <w:r>
        <w:rPr/>
        <w:t> these</w:t>
      </w:r>
      <w:r>
        <w:rPr/>
        <w:t> rooms.</w:t>
      </w:r>
      <w:r>
        <w:rPr>
          <w:spacing w:val="40"/>
        </w:rPr>
        <w:t> </w:t>
      </w:r>
      <w:r>
        <w:rPr/>
        <w:t>A number of submissions suggested that hotel/motel rooms should be required to be adaptable rather than accessible.</w:t>
      </w:r>
    </w:p>
    <w:p>
      <w:pPr>
        <w:pStyle w:val="BodyText"/>
      </w:pPr>
    </w:p>
    <w:p>
      <w:pPr>
        <w:spacing w:line="275" w:lineRule="exact" w:before="0"/>
        <w:ind w:left="420" w:right="0" w:firstLine="0"/>
        <w:jc w:val="both"/>
        <w:rPr>
          <w:i/>
          <w:sz w:val="24"/>
        </w:rPr>
      </w:pPr>
      <w:r>
        <w:rPr>
          <w:i/>
          <w:sz w:val="24"/>
          <w:u w:val="single"/>
        </w:rPr>
        <w:t>Response</w:t>
      </w:r>
      <w:r>
        <w:rPr>
          <w:i/>
          <w:spacing w:val="-11"/>
          <w:sz w:val="24"/>
          <w:u w:val="single"/>
        </w:rPr>
        <w:t> </w:t>
      </w:r>
      <w:r>
        <w:rPr>
          <w:i/>
          <w:sz w:val="24"/>
          <w:u w:val="single"/>
        </w:rPr>
        <w:t>to</w:t>
      </w:r>
      <w:r>
        <w:rPr>
          <w:i/>
          <w:spacing w:val="-10"/>
          <w:sz w:val="24"/>
          <w:u w:val="single"/>
        </w:rPr>
        <w:t> </w:t>
      </w:r>
      <w:r>
        <w:rPr>
          <w:i/>
          <w:spacing w:val="-2"/>
          <w:sz w:val="24"/>
          <w:u w:val="single"/>
        </w:rPr>
        <w:t>comment</w:t>
      </w:r>
    </w:p>
    <w:p>
      <w:pPr>
        <w:pStyle w:val="BodyText"/>
        <w:ind w:left="419" w:right="812"/>
        <w:jc w:val="both"/>
      </w:pPr>
      <w:r>
        <w:rPr/>
        <w:t>No change has been made to the initial proposal.</w:t>
      </w:r>
      <w:r>
        <w:rPr>
          <w:spacing w:val="40"/>
        </w:rPr>
        <w:t> </w:t>
      </w:r>
      <w:r>
        <w:rPr/>
        <w:t>The case study analysis indicated that the costs involved in making additional rooms accessible were relatively small and were considered to be commensurate with the benefits </w:t>
      </w:r>
      <w:r>
        <w:rPr>
          <w:spacing w:val="-2"/>
        </w:rPr>
        <w:t>sought.</w:t>
      </w:r>
    </w:p>
    <w:p>
      <w:pPr>
        <w:spacing w:after="0"/>
        <w:jc w:val="both"/>
        <w:sectPr>
          <w:pgSz w:w="11900" w:h="16840"/>
          <w:pgMar w:header="0" w:footer="1130" w:top="1000" w:bottom="1320" w:left="1380" w:right="980"/>
        </w:sectPr>
      </w:pPr>
    </w:p>
    <w:p>
      <w:pPr>
        <w:pStyle w:val="Heading3"/>
        <w:numPr>
          <w:ilvl w:val="3"/>
          <w:numId w:val="43"/>
        </w:numPr>
        <w:tabs>
          <w:tab w:pos="1432" w:val="left" w:leader="none"/>
        </w:tabs>
        <w:spacing w:line="240" w:lineRule="auto" w:before="78" w:after="0"/>
        <w:ind w:left="1431" w:right="0" w:hanging="1012"/>
        <w:jc w:val="both"/>
      </w:pPr>
      <w:bookmarkStart w:name="11.1.2.5 Building entrances" w:id="140"/>
      <w:bookmarkEnd w:id="140"/>
      <w:r>
        <w:rPr/>
        <w:t>Building</w:t>
      </w:r>
      <w:r>
        <w:rPr>
          <w:spacing w:val="-1"/>
        </w:rPr>
        <w:t> </w:t>
      </w:r>
      <w:r>
        <w:rPr>
          <w:spacing w:val="-2"/>
        </w:rPr>
        <w:t>entrances</w:t>
      </w:r>
    </w:p>
    <w:p>
      <w:pPr>
        <w:pStyle w:val="BodyText"/>
        <w:spacing w:before="57"/>
        <w:ind w:left="420" w:right="812"/>
        <w:jc w:val="both"/>
      </w:pPr>
      <w:r>
        <w:rPr/>
        <w:t>The current BCA</w:t>
      </w:r>
      <w:r>
        <w:rPr/>
        <w:t> only</w:t>
      </w:r>
      <w:r>
        <w:rPr/>
        <w:t> requires</w:t>
      </w:r>
      <w:r>
        <w:rPr/>
        <w:t> the</w:t>
      </w:r>
      <w:r>
        <w:rPr/>
        <w:t> principal</w:t>
      </w:r>
      <w:r>
        <w:rPr/>
        <w:t> pedestrian</w:t>
      </w:r>
      <w:r>
        <w:rPr/>
        <w:t> entrance</w:t>
      </w:r>
      <w:r>
        <w:rPr/>
        <w:t> to</w:t>
      </w:r>
      <w:r>
        <w:rPr/>
        <w:t> be accessible.</w:t>
      </w:r>
      <w:r>
        <w:rPr>
          <w:spacing w:val="40"/>
        </w:rPr>
        <w:t> </w:t>
      </w:r>
      <w:r>
        <w:rPr/>
        <w:t>The original Premises Standards proposed that all pedestrian entrances in buildings greater than 500 m</w:t>
      </w:r>
      <w:r>
        <w:rPr>
          <w:vertAlign w:val="superscript"/>
        </w:rPr>
        <w:t>2</w:t>
      </w:r>
      <w:r>
        <w:rPr>
          <w:vertAlign w:val="baseline"/>
        </w:rPr>
        <w:t> be accessible and not less than 50% of pedestrian entrances in buildings up to 500 m</w:t>
      </w:r>
      <w:r>
        <w:rPr>
          <w:vertAlign w:val="superscript"/>
        </w:rPr>
        <w:t>2</w:t>
      </w:r>
      <w:r>
        <w:rPr>
          <w:vertAlign w:val="baseline"/>
        </w:rPr>
        <w:t> be accessible.</w:t>
      </w:r>
    </w:p>
    <w:p>
      <w:pPr>
        <w:pStyle w:val="BodyText"/>
        <w:spacing w:before="1"/>
      </w:pPr>
    </w:p>
    <w:p>
      <w:pPr>
        <w:spacing w:line="275" w:lineRule="exact" w:before="1"/>
        <w:ind w:left="419" w:right="0" w:firstLine="0"/>
        <w:jc w:val="both"/>
        <w:rPr>
          <w:i/>
          <w:sz w:val="24"/>
        </w:rPr>
      </w:pPr>
      <w:r>
        <w:rPr>
          <w:i/>
          <w:spacing w:val="-2"/>
          <w:sz w:val="24"/>
          <w:u w:val="single"/>
        </w:rPr>
        <w:t>Comment</w:t>
      </w:r>
      <w:r>
        <w:rPr>
          <w:i/>
          <w:spacing w:val="-4"/>
          <w:sz w:val="24"/>
          <w:u w:val="single"/>
        </w:rPr>
        <w:t> </w:t>
      </w:r>
      <w:r>
        <w:rPr>
          <w:i/>
          <w:spacing w:val="-2"/>
          <w:sz w:val="24"/>
          <w:u w:val="single"/>
        </w:rPr>
        <w:t>received</w:t>
      </w:r>
    </w:p>
    <w:p>
      <w:pPr>
        <w:pStyle w:val="BodyText"/>
        <w:ind w:left="420" w:right="812"/>
        <w:jc w:val="both"/>
      </w:pPr>
      <w:r>
        <w:rPr/>
        <w:t>Some respondents argued that the exclusion of the impact of extreme site conditions meant that the RIS estimates of the costs of this requirement were substantially lower than would actually be the case.</w:t>
      </w:r>
      <w:r>
        <w:rPr>
          <w:spacing w:val="40"/>
        </w:rPr>
        <w:t> </w:t>
      </w:r>
      <w:r>
        <w:rPr/>
        <w:t>Many respondents believed that there would be significant problems in trying to make all entrances accessible for buildings on difficult sites or for existing buildings being refurbished.</w:t>
      </w:r>
      <w:r>
        <w:rPr>
          <w:spacing w:val="40"/>
        </w:rPr>
        <w:t> </w:t>
      </w:r>
      <w:r>
        <w:rPr/>
        <w:t>The cost to small building owners of making additional entrances accessible was also considered to be unreasonable.</w:t>
      </w:r>
    </w:p>
    <w:p>
      <w:pPr>
        <w:pStyle w:val="BodyText"/>
        <w:spacing w:before="10"/>
        <w:rPr>
          <w:sz w:val="23"/>
        </w:rPr>
      </w:pPr>
    </w:p>
    <w:p>
      <w:pPr>
        <w:pStyle w:val="BodyText"/>
        <w:spacing w:before="1"/>
        <w:ind w:left="419" w:right="812"/>
        <w:jc w:val="both"/>
      </w:pPr>
      <w:r>
        <w:rPr/>
        <w:t>It was held that, in Sydney, Hobart and to a lesser extent Brisbane and Melbourne, many of the larger hotels have multiple entrances and exits, some of which are historical, leading out onto back lanes and alleys.</w:t>
      </w:r>
      <w:r>
        <w:rPr>
          <w:spacing w:val="40"/>
        </w:rPr>
        <w:t> </w:t>
      </w:r>
      <w:r>
        <w:rPr/>
        <w:t>These lanes and alleys are unlikely to be accessible to people with ambulatory disabilities so making the entrances accessible will not assist in improving access. Similarly, entrances served by street footpaths with gradients greater than 1:14 should not have to be accessible.</w:t>
      </w:r>
    </w:p>
    <w:p>
      <w:pPr>
        <w:pStyle w:val="BodyText"/>
      </w:pPr>
    </w:p>
    <w:p>
      <w:pPr>
        <w:pStyle w:val="BodyText"/>
        <w:ind w:left="419" w:right="811"/>
        <w:jc w:val="both"/>
      </w:pPr>
      <w:r>
        <w:rPr/>
        <w:t>Some respondents suggested that the 50% rule should be applied to all buildings and not just those under the 500m</w:t>
      </w:r>
      <w:r>
        <w:rPr>
          <w:vertAlign w:val="superscript"/>
        </w:rPr>
        <w:t>2</w:t>
      </w:r>
      <w:r>
        <w:rPr>
          <w:vertAlign w:val="baseline"/>
        </w:rPr>
        <w:t> limitation, noting that the</w:t>
      </w:r>
      <w:r>
        <w:rPr>
          <w:spacing w:val="80"/>
          <w:vertAlign w:val="baseline"/>
        </w:rPr>
        <w:t> </w:t>
      </w:r>
      <w:r>
        <w:rPr>
          <w:vertAlign w:val="baseline"/>
        </w:rPr>
        <w:t>building will still be accessible if this occurs.</w:t>
      </w:r>
      <w:r>
        <w:rPr>
          <w:spacing w:val="80"/>
          <w:vertAlign w:val="baseline"/>
        </w:rPr>
        <w:t> </w:t>
      </w:r>
      <w:r>
        <w:rPr>
          <w:vertAlign w:val="baseline"/>
        </w:rPr>
        <w:t>It was noted that the entrances</w:t>
      </w:r>
      <w:r>
        <w:rPr>
          <w:spacing w:val="40"/>
          <w:vertAlign w:val="baseline"/>
        </w:rPr>
        <w:t> </w:t>
      </w:r>
      <w:r>
        <w:rPr>
          <w:vertAlign w:val="baseline"/>
        </w:rPr>
        <w:t>to the Brisbane Convention Centre, which had been modified following a complaint of discrimination, would not comply with the draft Premises Standards proposals in respect of accessible entrances.</w:t>
      </w:r>
    </w:p>
    <w:p>
      <w:pPr>
        <w:pStyle w:val="BodyText"/>
        <w:spacing w:before="1"/>
      </w:pPr>
    </w:p>
    <w:p>
      <w:pPr>
        <w:spacing w:line="275" w:lineRule="exact" w:before="0"/>
        <w:ind w:left="420" w:right="0" w:firstLine="0"/>
        <w:jc w:val="both"/>
        <w:rPr>
          <w:i/>
          <w:sz w:val="24"/>
        </w:rPr>
      </w:pPr>
      <w:r>
        <w:rPr>
          <w:i/>
          <w:sz w:val="24"/>
          <w:u w:val="single"/>
        </w:rPr>
        <w:t>Response</w:t>
      </w:r>
      <w:r>
        <w:rPr>
          <w:i/>
          <w:spacing w:val="-11"/>
          <w:sz w:val="24"/>
          <w:u w:val="single"/>
        </w:rPr>
        <w:t> </w:t>
      </w:r>
      <w:r>
        <w:rPr>
          <w:i/>
          <w:sz w:val="24"/>
          <w:u w:val="single"/>
        </w:rPr>
        <w:t>to</w:t>
      </w:r>
      <w:r>
        <w:rPr>
          <w:i/>
          <w:spacing w:val="-10"/>
          <w:sz w:val="24"/>
          <w:u w:val="single"/>
        </w:rPr>
        <w:t> </w:t>
      </w:r>
      <w:r>
        <w:rPr>
          <w:i/>
          <w:spacing w:val="-2"/>
          <w:sz w:val="24"/>
          <w:u w:val="single"/>
        </w:rPr>
        <w:t>comment</w:t>
      </w:r>
    </w:p>
    <w:p>
      <w:pPr>
        <w:pStyle w:val="BodyText"/>
        <w:ind w:left="420" w:right="811"/>
        <w:jc w:val="both"/>
      </w:pPr>
      <w:r>
        <w:rPr/>
        <w:t>The draft Standards has been modified to require that only 50% of entrances (including the principal entrance) must be accessible, provided that a non- accessible entrance must not be located more than 50m from an accessible entrance (where a building has an area of more than 500m2).</w:t>
      </w:r>
    </w:p>
    <w:p>
      <w:pPr>
        <w:pStyle w:val="BodyText"/>
        <w:spacing w:before="1"/>
        <w:rPr>
          <w:sz w:val="21"/>
        </w:rPr>
      </w:pPr>
    </w:p>
    <w:p>
      <w:pPr>
        <w:pStyle w:val="Heading3"/>
        <w:numPr>
          <w:ilvl w:val="3"/>
          <w:numId w:val="43"/>
        </w:numPr>
        <w:tabs>
          <w:tab w:pos="1433" w:val="left" w:leader="none"/>
        </w:tabs>
        <w:spacing w:line="240" w:lineRule="auto" w:before="0" w:after="0"/>
        <w:ind w:left="1432" w:right="0" w:hanging="1013"/>
        <w:jc w:val="both"/>
      </w:pPr>
      <w:bookmarkStart w:name="11.1.2.6 Lift sizes and features" w:id="141"/>
      <w:bookmarkEnd w:id="141"/>
      <w:r>
        <w:rPr/>
        <w:t>Lift</w:t>
      </w:r>
      <w:r>
        <w:rPr>
          <w:spacing w:val="-1"/>
        </w:rPr>
        <w:t> </w:t>
      </w:r>
      <w:r>
        <w:rPr/>
        <w:t>sizes</w:t>
      </w:r>
      <w:r>
        <w:rPr>
          <w:spacing w:val="-1"/>
        </w:rPr>
        <w:t> </w:t>
      </w:r>
      <w:r>
        <w:rPr/>
        <w:t>and</w:t>
      </w:r>
      <w:r>
        <w:rPr>
          <w:spacing w:val="-1"/>
        </w:rPr>
        <w:t> </w:t>
      </w:r>
      <w:r>
        <w:rPr>
          <w:spacing w:val="-2"/>
        </w:rPr>
        <w:t>features</w:t>
      </w:r>
    </w:p>
    <w:p>
      <w:pPr>
        <w:pStyle w:val="BodyText"/>
        <w:spacing w:before="57"/>
        <w:ind w:left="419" w:right="810"/>
        <w:jc w:val="both"/>
      </w:pPr>
      <w:r>
        <w:rPr/>
        <w:t>The draft Premises Standards proposed to recognise a number of lifting devices as being suitable for use by people with a disability, in addition to the traditional commercial-type lift.</w:t>
      </w:r>
      <w:r>
        <w:rPr>
          <w:spacing w:val="80"/>
        </w:rPr>
        <w:t> </w:t>
      </w:r>
      <w:r>
        <w:rPr/>
        <w:t>This move recognised that, with an increase</w:t>
      </w:r>
      <w:r>
        <w:rPr>
          <w:spacing w:val="40"/>
        </w:rPr>
        <w:t> </w:t>
      </w:r>
      <w:r>
        <w:rPr/>
        <w:t>in the types of buildings and areas within buildings required to be accessible, lifting devices that were more cost effective would be needed.</w:t>
      </w:r>
      <w:r>
        <w:rPr>
          <w:spacing w:val="40"/>
        </w:rPr>
        <w:t> </w:t>
      </w:r>
      <w:r>
        <w:rPr/>
        <w:t>The draft Premises Standards also specified a number of enhancements required to make lifting devices more suitable for use by people with a disability, and required that lifts be sized to accommodate 90</w:t>
      </w:r>
      <w:r>
        <w:rPr>
          <w:vertAlign w:val="superscript"/>
        </w:rPr>
        <w:t>th</w:t>
      </w:r>
      <w:r>
        <w:rPr>
          <w:vertAlign w:val="baseline"/>
        </w:rPr>
        <w:t> percentile wheelchair </w:t>
      </w:r>
      <w:r>
        <w:rPr>
          <w:spacing w:val="-2"/>
          <w:vertAlign w:val="baseline"/>
        </w:rPr>
        <w:t>dimensions.</w:t>
      </w:r>
    </w:p>
    <w:p>
      <w:pPr>
        <w:pStyle w:val="BodyText"/>
      </w:pPr>
    </w:p>
    <w:p>
      <w:pPr>
        <w:pStyle w:val="BodyText"/>
        <w:ind w:left="419" w:right="811"/>
        <w:jc w:val="both"/>
      </w:pPr>
      <w:r>
        <w:rPr/>
        <w:t>As noted in previous sections, the draft RIS assessed the cost impact of the provision of lifts as being very substantial, particularly for small buildings (eg. 84% of the total cost increase attributable to the Standards for a two storey office was attributable to the installation of a lift).</w:t>
      </w:r>
    </w:p>
    <w:p>
      <w:pPr>
        <w:spacing w:after="0"/>
        <w:jc w:val="both"/>
        <w:sectPr>
          <w:pgSz w:w="11900" w:h="16840"/>
          <w:pgMar w:header="0" w:footer="1130" w:top="1000" w:bottom="1320" w:left="1380" w:right="980"/>
        </w:sectPr>
      </w:pPr>
    </w:p>
    <w:p>
      <w:pPr>
        <w:pStyle w:val="BodyText"/>
        <w:spacing w:before="71"/>
        <w:ind w:left="420" w:right="812"/>
        <w:jc w:val="both"/>
      </w:pPr>
      <w:r>
        <w:rPr/>
        <w:t>The draft RIS also notes the uncertainty attached to the costing of passenger lifts due to proposed limitations on the use of more cost effective lifts. However, even if the cheaper lifts were permissible, the cost impost remains </w:t>
      </w:r>
      <w:r>
        <w:rPr>
          <w:spacing w:val="-2"/>
        </w:rPr>
        <w:t>substantial.</w:t>
      </w:r>
    </w:p>
    <w:p>
      <w:pPr>
        <w:pStyle w:val="BodyText"/>
      </w:pPr>
    </w:p>
    <w:p>
      <w:pPr>
        <w:pStyle w:val="BodyText"/>
        <w:ind w:left="420" w:right="812"/>
        <w:jc w:val="both"/>
      </w:pPr>
      <w:r>
        <w:rPr/>
        <w:t>The draft RIS expressed the view that the prescription of lift sizes and</w:t>
      </w:r>
      <w:r>
        <w:rPr>
          <w:spacing w:val="40"/>
        </w:rPr>
        <w:t> </w:t>
      </w:r>
      <w:r>
        <w:rPr/>
        <w:t>features would afford those complying with the BCA</w:t>
      </w:r>
      <w:r>
        <w:rPr/>
        <w:t> some</w:t>
      </w:r>
      <w:r>
        <w:rPr/>
        <w:t> certainty</w:t>
      </w:r>
      <w:r>
        <w:rPr/>
        <w:t> and perhaps more affordable options in some cases.</w:t>
      </w:r>
    </w:p>
    <w:p>
      <w:pPr>
        <w:pStyle w:val="BodyText"/>
        <w:spacing w:before="2"/>
      </w:pPr>
    </w:p>
    <w:p>
      <w:pPr>
        <w:spacing w:line="275" w:lineRule="exact" w:before="0"/>
        <w:ind w:left="420" w:right="0" w:firstLine="0"/>
        <w:jc w:val="both"/>
        <w:rPr>
          <w:i/>
          <w:sz w:val="24"/>
        </w:rPr>
      </w:pPr>
      <w:bookmarkStart w:name="Comment received" w:id="142"/>
      <w:bookmarkEnd w:id="142"/>
      <w:r>
        <w:rPr/>
      </w:r>
      <w:r>
        <w:rPr>
          <w:i/>
          <w:spacing w:val="-2"/>
          <w:sz w:val="24"/>
          <w:u w:val="single"/>
        </w:rPr>
        <w:t>Comment</w:t>
      </w:r>
      <w:r>
        <w:rPr>
          <w:i/>
          <w:spacing w:val="-4"/>
          <w:sz w:val="24"/>
          <w:u w:val="single"/>
        </w:rPr>
        <w:t> </w:t>
      </w:r>
      <w:r>
        <w:rPr>
          <w:i/>
          <w:spacing w:val="-2"/>
          <w:sz w:val="24"/>
          <w:u w:val="single"/>
        </w:rPr>
        <w:t>received</w:t>
      </w:r>
    </w:p>
    <w:p>
      <w:pPr>
        <w:pStyle w:val="BodyText"/>
        <w:ind w:left="420" w:right="811"/>
        <w:jc w:val="both"/>
      </w:pPr>
      <w:r>
        <w:rPr/>
        <w:t>AS 1735.16 lifts (automatically controlled, restricted use) were not included as an option in the proposals, but a number of respondents suggested that this type of lift should be an option.</w:t>
      </w:r>
      <w:r>
        <w:rPr>
          <w:spacing w:val="40"/>
        </w:rPr>
        <w:t> </w:t>
      </w:r>
      <w:r>
        <w:rPr/>
        <w:t>AS 1735.16 lifts provided in 2 or 3 level buildings can be manufactured and installed to meet present BCA access requirements for approximately 50% of the cost of an AS 1735 Part 2 or 3 lift. The</w:t>
      </w:r>
      <w:r>
        <w:rPr>
          <w:spacing w:val="27"/>
        </w:rPr>
        <w:t> </w:t>
      </w:r>
      <w:r>
        <w:rPr/>
        <w:t>typical</w:t>
      </w:r>
      <w:r>
        <w:rPr>
          <w:spacing w:val="27"/>
        </w:rPr>
        <w:t> </w:t>
      </w:r>
      <w:r>
        <w:rPr/>
        <w:t>cost</w:t>
      </w:r>
      <w:r>
        <w:rPr>
          <w:spacing w:val="27"/>
        </w:rPr>
        <w:t> </w:t>
      </w:r>
      <w:r>
        <w:rPr/>
        <w:t>of</w:t>
      </w:r>
      <w:r>
        <w:rPr>
          <w:spacing w:val="27"/>
        </w:rPr>
        <w:t> </w:t>
      </w:r>
      <w:r>
        <w:rPr/>
        <w:t>an</w:t>
      </w:r>
      <w:r>
        <w:rPr>
          <w:spacing w:val="27"/>
        </w:rPr>
        <w:t> </w:t>
      </w:r>
      <w:r>
        <w:rPr/>
        <w:t>AS</w:t>
      </w:r>
      <w:r>
        <w:rPr>
          <w:spacing w:val="28"/>
        </w:rPr>
        <w:t> </w:t>
      </w:r>
      <w:r>
        <w:rPr/>
        <w:t>1735.16</w:t>
      </w:r>
      <w:r>
        <w:rPr>
          <w:spacing w:val="27"/>
        </w:rPr>
        <w:t> </w:t>
      </w:r>
      <w:r>
        <w:rPr/>
        <w:t>lifts</w:t>
      </w:r>
      <w:r>
        <w:rPr>
          <w:spacing w:val="27"/>
        </w:rPr>
        <w:t> </w:t>
      </w:r>
      <w:r>
        <w:rPr/>
        <w:t>is</w:t>
      </w:r>
      <w:r>
        <w:rPr>
          <w:spacing w:val="27"/>
        </w:rPr>
        <w:t> </w:t>
      </w:r>
      <w:r>
        <w:rPr/>
        <w:t>$90,000-$100,000,</w:t>
      </w:r>
      <w:r>
        <w:rPr>
          <w:spacing w:val="27"/>
        </w:rPr>
        <w:t> </w:t>
      </w:r>
      <w:r>
        <w:rPr/>
        <w:t>compared</w:t>
      </w:r>
      <w:r>
        <w:rPr>
          <w:spacing w:val="28"/>
        </w:rPr>
        <w:t> </w:t>
      </w:r>
      <w:r>
        <w:rPr>
          <w:spacing w:val="-4"/>
        </w:rPr>
        <w:t>with</w:t>
      </w:r>
    </w:p>
    <w:p>
      <w:pPr>
        <w:pStyle w:val="BodyText"/>
        <w:ind w:left="420" w:right="810"/>
        <w:jc w:val="both"/>
      </w:pPr>
      <w:r>
        <w:rPr/>
        <w:t>$180,000-$200,000 for the commercial type lifts.</w:t>
      </w:r>
      <w:r>
        <w:rPr>
          <w:spacing w:val="40"/>
        </w:rPr>
        <w:t> </w:t>
      </w:r>
      <w:r>
        <w:rPr/>
        <w:t>Apart from commercial lifts, AS 1735.16 lifts have played a greater part than any other lift in providing public and private access for people with a disability.</w:t>
      </w:r>
    </w:p>
    <w:p>
      <w:pPr>
        <w:pStyle w:val="BodyText"/>
        <w:spacing w:before="11"/>
        <w:rPr>
          <w:sz w:val="23"/>
        </w:rPr>
      </w:pPr>
    </w:p>
    <w:p>
      <w:pPr>
        <w:pStyle w:val="BodyText"/>
        <w:ind w:left="420" w:right="810"/>
        <w:jc w:val="both"/>
      </w:pPr>
      <w:r>
        <w:rPr/>
        <w:t>Some respondents also pointed out that the correct size for lift floor dimensions to equate to 90</w:t>
      </w:r>
      <w:r>
        <w:rPr>
          <w:vertAlign w:val="superscript"/>
        </w:rPr>
        <w:t>th</w:t>
      </w:r>
      <w:r>
        <w:rPr>
          <w:vertAlign w:val="baseline"/>
        </w:rPr>
        <w:t> percentile is 1400mm x 1600mm and not 1400 x 1700</w:t>
      </w:r>
      <w:r>
        <w:rPr>
          <w:spacing w:val="-1"/>
          <w:vertAlign w:val="baseline"/>
        </w:rPr>
        <w:t> </w:t>
      </w:r>
      <w:r>
        <w:rPr>
          <w:vertAlign w:val="baseline"/>
        </w:rPr>
        <w:t>mm</w:t>
      </w:r>
      <w:r>
        <w:rPr>
          <w:spacing w:val="-1"/>
          <w:vertAlign w:val="baseline"/>
        </w:rPr>
        <w:t> </w:t>
      </w:r>
      <w:r>
        <w:rPr>
          <w:vertAlign w:val="baseline"/>
        </w:rPr>
        <w:t>as</w:t>
      </w:r>
      <w:r>
        <w:rPr>
          <w:spacing w:val="-1"/>
          <w:vertAlign w:val="baseline"/>
        </w:rPr>
        <w:t> </w:t>
      </w:r>
      <w:r>
        <w:rPr>
          <w:vertAlign w:val="baseline"/>
        </w:rPr>
        <w:t>stated</w:t>
      </w:r>
      <w:r>
        <w:rPr>
          <w:spacing w:val="-1"/>
          <w:vertAlign w:val="baseline"/>
        </w:rPr>
        <w:t> </w:t>
      </w:r>
      <w:r>
        <w:rPr>
          <w:vertAlign w:val="baseline"/>
        </w:rPr>
        <w:t>in</w:t>
      </w:r>
      <w:r>
        <w:rPr>
          <w:spacing w:val="-1"/>
          <w:vertAlign w:val="baseline"/>
        </w:rPr>
        <w:t> </w:t>
      </w:r>
      <w:r>
        <w:rPr>
          <w:vertAlign w:val="baseline"/>
        </w:rPr>
        <w:t>the draft proposal.</w:t>
      </w:r>
      <w:r>
        <w:rPr>
          <w:spacing w:val="40"/>
          <w:vertAlign w:val="baseline"/>
        </w:rPr>
        <w:t> </w:t>
      </w:r>
      <w:r>
        <w:rPr>
          <w:vertAlign w:val="baseline"/>
        </w:rPr>
        <w:t>The proposal to</w:t>
      </w:r>
      <w:r>
        <w:rPr>
          <w:spacing w:val="-1"/>
          <w:vertAlign w:val="baseline"/>
        </w:rPr>
        <w:t> </w:t>
      </w:r>
      <w:r>
        <w:rPr>
          <w:vertAlign w:val="baseline"/>
        </w:rPr>
        <w:t>prohibit</w:t>
      </w:r>
      <w:r>
        <w:rPr>
          <w:spacing w:val="-1"/>
          <w:vertAlign w:val="baseline"/>
        </w:rPr>
        <w:t> </w:t>
      </w:r>
      <w:r>
        <w:rPr>
          <w:vertAlign w:val="baseline"/>
        </w:rPr>
        <w:t>the use</w:t>
      </w:r>
      <w:r>
        <w:rPr>
          <w:spacing w:val="-1"/>
          <w:vertAlign w:val="baseline"/>
        </w:rPr>
        <w:t> </w:t>
      </w:r>
      <w:r>
        <w:rPr>
          <w:vertAlign w:val="baseline"/>
        </w:rPr>
        <w:t>of</w:t>
      </w:r>
      <w:r>
        <w:rPr>
          <w:spacing w:val="-1"/>
          <w:vertAlign w:val="baseline"/>
        </w:rPr>
        <w:t> </w:t>
      </w:r>
      <w:r>
        <w:rPr>
          <w:vertAlign w:val="baseline"/>
        </w:rPr>
        <w:t>a constant pressure device for Part 7, 8, 14 &amp; 15 type lifts was strongly resisted by the lift industry on safety grounds.</w:t>
      </w:r>
    </w:p>
    <w:p>
      <w:pPr>
        <w:pStyle w:val="BodyText"/>
      </w:pPr>
    </w:p>
    <w:p>
      <w:pPr>
        <w:pStyle w:val="BodyText"/>
        <w:ind w:left="420" w:right="810"/>
        <w:jc w:val="both"/>
      </w:pPr>
      <w:r>
        <w:rPr/>
        <w:t>Some respondents questioned the ability to incorporate more cost effective stair lifts in small commercial buildings.</w:t>
      </w:r>
      <w:r>
        <w:rPr>
          <w:spacing w:val="40"/>
        </w:rPr>
        <w:t> </w:t>
      </w:r>
      <w:r>
        <w:rPr/>
        <w:t>If rendered infeasible and higher cost lifts were included in the analysis, the costs for these provisions would increase substantially.</w:t>
      </w:r>
      <w:r>
        <w:rPr>
          <w:spacing w:val="40"/>
        </w:rPr>
        <w:t> </w:t>
      </w:r>
      <w:r>
        <w:rPr/>
        <w:t>Other respondents believe that the cost of increasing the size of lift shafts in existing buildings should be included in the analysis. The inclusion of such costs would also significantly increase the cost of these provisions in all existing buildings.</w:t>
      </w:r>
    </w:p>
    <w:p>
      <w:pPr>
        <w:pStyle w:val="BodyText"/>
        <w:spacing w:before="10"/>
        <w:rPr>
          <w:sz w:val="23"/>
        </w:rPr>
      </w:pPr>
    </w:p>
    <w:p>
      <w:pPr>
        <w:pStyle w:val="BodyText"/>
        <w:spacing w:before="1"/>
        <w:ind w:left="420" w:right="811"/>
        <w:jc w:val="both"/>
      </w:pPr>
      <w:r>
        <w:rPr/>
        <w:t>Most commercial lifts are imported or consist of a high level of imported components.</w:t>
      </w:r>
      <w:r>
        <w:rPr>
          <w:spacing w:val="40"/>
        </w:rPr>
        <w:t> </w:t>
      </w:r>
      <w:r>
        <w:rPr/>
        <w:t>As a consequence, it was reported that Australian-only sizes and features will have a large impact on the industry’s ability to source </w:t>
      </w:r>
      <w:r>
        <w:rPr>
          <w:spacing w:val="-2"/>
        </w:rPr>
        <w:t>product.</w:t>
      </w:r>
    </w:p>
    <w:p>
      <w:pPr>
        <w:pStyle w:val="BodyText"/>
        <w:spacing w:before="1"/>
      </w:pPr>
    </w:p>
    <w:p>
      <w:pPr>
        <w:spacing w:line="275" w:lineRule="exact" w:before="0"/>
        <w:ind w:left="420" w:right="0" w:firstLine="0"/>
        <w:jc w:val="both"/>
        <w:rPr>
          <w:i/>
          <w:sz w:val="24"/>
        </w:rPr>
      </w:pPr>
      <w:bookmarkStart w:name="Response to comment " w:id="143"/>
      <w:bookmarkEnd w:id="143"/>
      <w:r>
        <w:rPr/>
      </w:r>
      <w:r>
        <w:rPr>
          <w:i/>
          <w:sz w:val="24"/>
          <w:u w:val="single"/>
        </w:rPr>
        <w:t>Response</w:t>
      </w:r>
      <w:r>
        <w:rPr>
          <w:i/>
          <w:spacing w:val="-10"/>
          <w:sz w:val="24"/>
          <w:u w:val="single"/>
        </w:rPr>
        <w:t> </w:t>
      </w:r>
      <w:r>
        <w:rPr>
          <w:i/>
          <w:sz w:val="24"/>
          <w:u w:val="single"/>
        </w:rPr>
        <w:t>to</w:t>
      </w:r>
      <w:r>
        <w:rPr>
          <w:i/>
          <w:spacing w:val="-10"/>
          <w:sz w:val="24"/>
          <w:u w:val="single"/>
        </w:rPr>
        <w:t> </w:t>
      </w:r>
      <w:r>
        <w:rPr>
          <w:i/>
          <w:spacing w:val="-2"/>
          <w:sz w:val="24"/>
          <w:u w:val="single"/>
        </w:rPr>
        <w:t>comment</w:t>
      </w:r>
    </w:p>
    <w:p>
      <w:pPr>
        <w:pStyle w:val="BodyText"/>
        <w:ind w:left="419" w:right="811"/>
        <w:jc w:val="both"/>
      </w:pPr>
      <w:r>
        <w:rPr/>
        <w:t>The original proposal has been varied to allow lift floor plates accommodating the 80th percentile (current BCA) wheelchair size to be used in buildings with lifts that travel no more than 12 m (i.e. 2 and 3 storey buildings).</w:t>
      </w:r>
      <w:r>
        <w:rPr>
          <w:spacing w:val="40"/>
        </w:rPr>
        <w:t> </w:t>
      </w:r>
      <w:r>
        <w:rPr/>
        <w:t>Constant pressure devices and key locks will also be permitted.</w:t>
      </w:r>
    </w:p>
    <w:p>
      <w:pPr>
        <w:pStyle w:val="BodyText"/>
        <w:spacing w:before="11"/>
        <w:rPr>
          <w:sz w:val="23"/>
        </w:rPr>
      </w:pPr>
    </w:p>
    <w:p>
      <w:pPr>
        <w:pStyle w:val="BodyText"/>
        <w:ind w:left="420" w:right="813"/>
        <w:jc w:val="both"/>
      </w:pPr>
      <w:r>
        <w:rPr/>
        <w:t>A further change is that existing lifts in existing buildings which accommodate the 80th percentile wheelchair size will not be required to upgrade to lifts which accommodate the 90th percentile wheelchair size.</w:t>
      </w:r>
    </w:p>
    <w:p>
      <w:pPr>
        <w:spacing w:after="0"/>
        <w:jc w:val="both"/>
        <w:sectPr>
          <w:pgSz w:w="11900" w:h="16840"/>
          <w:pgMar w:header="0" w:footer="1130" w:top="1280" w:bottom="1320" w:left="1380" w:right="980"/>
        </w:sectPr>
      </w:pPr>
    </w:p>
    <w:p>
      <w:pPr>
        <w:pStyle w:val="BodyText"/>
        <w:spacing w:before="75"/>
        <w:ind w:left="420" w:right="809"/>
        <w:jc w:val="both"/>
      </w:pPr>
      <w:r>
        <w:rPr/>
        <w:t>Lift access is not required to the upper levels of car park buildings if there are no accessible car spaces on those levels.</w:t>
      </w:r>
    </w:p>
    <w:p>
      <w:pPr>
        <w:pStyle w:val="BodyText"/>
        <w:spacing w:before="2"/>
        <w:rPr>
          <w:sz w:val="21"/>
        </w:rPr>
      </w:pPr>
    </w:p>
    <w:p>
      <w:pPr>
        <w:pStyle w:val="Heading3"/>
        <w:numPr>
          <w:ilvl w:val="3"/>
          <w:numId w:val="43"/>
        </w:numPr>
        <w:tabs>
          <w:tab w:pos="1433" w:val="left" w:leader="none"/>
        </w:tabs>
        <w:spacing w:line="240" w:lineRule="auto" w:before="0" w:after="0"/>
        <w:ind w:left="1432" w:right="0" w:hanging="1013"/>
        <w:jc w:val="both"/>
      </w:pPr>
      <w:bookmarkStart w:name="11.1.2.7 Ratio of and location of access" w:id="144"/>
      <w:bookmarkEnd w:id="144"/>
      <w:r>
        <w:rPr/>
        <w:t>Rati</w:t>
      </w:r>
      <w:r>
        <w:rPr/>
        <w:t>o</w:t>
      </w:r>
      <w:r>
        <w:rPr>
          <w:spacing w:val="-6"/>
        </w:rPr>
        <w:t> </w:t>
      </w:r>
      <w:r>
        <w:rPr/>
        <w:t>of</w:t>
      </w:r>
      <w:r>
        <w:rPr>
          <w:spacing w:val="-5"/>
        </w:rPr>
        <w:t> </w:t>
      </w:r>
      <w:r>
        <w:rPr/>
        <w:t>and</w:t>
      </w:r>
      <w:r>
        <w:rPr>
          <w:spacing w:val="-6"/>
        </w:rPr>
        <w:t> </w:t>
      </w:r>
      <w:r>
        <w:rPr/>
        <w:t>location</w:t>
      </w:r>
      <w:r>
        <w:rPr>
          <w:spacing w:val="-5"/>
        </w:rPr>
        <w:t> </w:t>
      </w:r>
      <w:r>
        <w:rPr/>
        <w:t>of</w:t>
      </w:r>
      <w:r>
        <w:rPr>
          <w:spacing w:val="-7"/>
        </w:rPr>
        <w:t> </w:t>
      </w:r>
      <w:r>
        <w:rPr/>
        <w:t>accessible</w:t>
      </w:r>
      <w:r>
        <w:rPr>
          <w:spacing w:val="-6"/>
        </w:rPr>
        <w:t> </w:t>
      </w:r>
      <w:r>
        <w:rPr/>
        <w:t>sanitary</w:t>
      </w:r>
      <w:r>
        <w:rPr>
          <w:spacing w:val="-6"/>
        </w:rPr>
        <w:t> </w:t>
      </w:r>
      <w:r>
        <w:rPr>
          <w:spacing w:val="-2"/>
        </w:rPr>
        <w:t>facilities</w:t>
      </w:r>
    </w:p>
    <w:p>
      <w:pPr>
        <w:pStyle w:val="BodyText"/>
        <w:spacing w:before="57"/>
        <w:ind w:left="419" w:right="812"/>
        <w:jc w:val="both"/>
      </w:pPr>
      <w:r>
        <w:rPr/>
        <w:t>The BCA</w:t>
      </w:r>
      <w:r>
        <w:rPr/>
        <w:t> currently</w:t>
      </w:r>
      <w:r>
        <w:rPr/>
        <w:t> determines</w:t>
      </w:r>
      <w:r>
        <w:rPr/>
        <w:t> requirements</w:t>
      </w:r>
      <w:r>
        <w:rPr/>
        <w:t> for</w:t>
      </w:r>
      <w:r>
        <w:rPr/>
        <w:t> provision</w:t>
      </w:r>
      <w:r>
        <w:rPr/>
        <w:t> of</w:t>
      </w:r>
      <w:r>
        <w:rPr/>
        <w:t> accessible sanitary</w:t>
      </w:r>
      <w:r>
        <w:rPr/>
        <w:t> facilities</w:t>
      </w:r>
      <w:r>
        <w:rPr/>
        <w:t> simply</w:t>
      </w:r>
      <w:r>
        <w:rPr/>
        <w:t> as</w:t>
      </w:r>
      <w:r>
        <w:rPr/>
        <w:t> a</w:t>
      </w:r>
      <w:r>
        <w:rPr/>
        <w:t> percentage</w:t>
      </w:r>
      <w:r>
        <w:rPr/>
        <w:t> of</w:t>
      </w:r>
      <w:r>
        <w:rPr/>
        <w:t> the</w:t>
      </w:r>
      <w:r>
        <w:rPr/>
        <w:t> total</w:t>
      </w:r>
      <w:r>
        <w:rPr/>
        <w:t> number</w:t>
      </w:r>
      <w:r>
        <w:rPr/>
        <w:t> of</w:t>
      </w:r>
      <w:r>
        <w:rPr/>
        <w:t> facilities required for the building, without specifying their location.</w:t>
      </w:r>
      <w:r>
        <w:rPr>
          <w:spacing w:val="40"/>
        </w:rPr>
        <w:t> </w:t>
      </w:r>
      <w:r>
        <w:rPr/>
        <w:t>The draft Premises Standards proposed that accessible sanitary facilities be provided at each location where male and female sanitary facilities are provided.</w:t>
      </w:r>
    </w:p>
    <w:p>
      <w:pPr>
        <w:pStyle w:val="BodyText"/>
        <w:spacing w:before="1"/>
      </w:pPr>
    </w:p>
    <w:p>
      <w:pPr>
        <w:spacing w:line="275" w:lineRule="exact" w:before="0"/>
        <w:ind w:left="419" w:right="0" w:firstLine="0"/>
        <w:jc w:val="both"/>
        <w:rPr>
          <w:i/>
          <w:sz w:val="24"/>
        </w:rPr>
      </w:pPr>
      <w:bookmarkStart w:name="Comment received" w:id="145"/>
      <w:bookmarkEnd w:id="145"/>
      <w:r>
        <w:rPr/>
      </w:r>
      <w:r>
        <w:rPr>
          <w:i/>
          <w:spacing w:val="-2"/>
          <w:sz w:val="24"/>
          <w:u w:val="single"/>
        </w:rPr>
        <w:t>Comment</w:t>
      </w:r>
      <w:r>
        <w:rPr>
          <w:i/>
          <w:spacing w:val="-4"/>
          <w:sz w:val="24"/>
          <w:u w:val="single"/>
        </w:rPr>
        <w:t> </w:t>
      </w:r>
      <w:r>
        <w:rPr>
          <w:i/>
          <w:spacing w:val="-2"/>
          <w:sz w:val="24"/>
          <w:u w:val="single"/>
        </w:rPr>
        <w:t>received</w:t>
      </w:r>
    </w:p>
    <w:p>
      <w:pPr>
        <w:pStyle w:val="BodyText"/>
        <w:ind w:left="419" w:right="810"/>
        <w:jc w:val="both"/>
      </w:pPr>
      <w:r>
        <w:rPr/>
        <w:t>Many respondents expressed the view that the number of accessible toilets should be based on a ratio aligned with the number of persons with a disability.</w:t>
      </w:r>
      <w:r>
        <w:rPr>
          <w:spacing w:val="40"/>
        </w:rPr>
        <w:t> </w:t>
      </w:r>
      <w:r>
        <w:rPr/>
        <w:t>The provision of accessible toilets at each bank will result in a ratio significantly greater than required to serve the percentage of the population who need them.</w:t>
      </w:r>
      <w:r>
        <w:rPr>
          <w:spacing w:val="80"/>
        </w:rPr>
        <w:t> </w:t>
      </w:r>
      <w:r>
        <w:rPr/>
        <w:t>Whilst accessible sanitary facilities can be used by all building occupants, some disability sector respondents requested that the use of accessible sanitary facilities combined with other uses, such as baby change rooms, be prohibited to ensure they are available for those that truly need an accessible facility.</w:t>
      </w:r>
    </w:p>
    <w:p>
      <w:pPr>
        <w:pStyle w:val="BodyText"/>
      </w:pPr>
    </w:p>
    <w:p>
      <w:pPr>
        <w:pStyle w:val="BodyText"/>
        <w:ind w:left="419" w:right="810"/>
        <w:jc w:val="both"/>
      </w:pPr>
      <w:r>
        <w:rPr/>
        <w:t>The current ability for a unisex accessible sanitary facility to be counted once for each sex has a cost-moderating effect.</w:t>
      </w:r>
      <w:r>
        <w:rPr>
          <w:spacing w:val="40"/>
        </w:rPr>
        <w:t> </w:t>
      </w:r>
      <w:r>
        <w:rPr/>
        <w:t>However, consideration was given as to whether this provision is sustainable in the context of a much greater proportion of unisex facilities being provided.</w:t>
      </w:r>
      <w:r>
        <w:rPr>
          <w:spacing w:val="40"/>
        </w:rPr>
        <w:t> </w:t>
      </w:r>
      <w:r>
        <w:rPr/>
        <w:t>For example, it is likely that unisex facilities will entirely replace single sex facilities in some buildings and whilst there are efficiency-in-use gains because either sex can use the facility, these gains will be heavily outweighed by the halving of the total number of facilities provided.</w:t>
      </w:r>
      <w:r>
        <w:rPr>
          <w:spacing w:val="80"/>
        </w:rPr>
        <w:t> </w:t>
      </w:r>
      <w:r>
        <w:rPr/>
        <w:t>If counting unisex sanitary facilities once for each sex is</w:t>
      </w:r>
      <w:r>
        <w:rPr>
          <w:spacing w:val="40"/>
        </w:rPr>
        <w:t> </w:t>
      </w:r>
      <w:r>
        <w:rPr/>
        <w:t>not sustainable, the costs will be significantly more than estimated.</w:t>
      </w:r>
    </w:p>
    <w:p>
      <w:pPr>
        <w:pStyle w:val="BodyText"/>
        <w:spacing w:before="1"/>
      </w:pPr>
    </w:p>
    <w:p>
      <w:pPr>
        <w:spacing w:line="275" w:lineRule="exact" w:before="0"/>
        <w:ind w:left="419" w:right="0" w:firstLine="0"/>
        <w:jc w:val="both"/>
        <w:rPr>
          <w:i/>
          <w:sz w:val="24"/>
        </w:rPr>
      </w:pPr>
      <w:bookmarkStart w:name="Response to comment" w:id="146"/>
      <w:bookmarkEnd w:id="146"/>
      <w:r>
        <w:rPr/>
      </w:r>
      <w:r>
        <w:rPr>
          <w:i/>
          <w:sz w:val="24"/>
          <w:u w:val="single"/>
        </w:rPr>
        <w:t>Response</w:t>
      </w:r>
      <w:r>
        <w:rPr>
          <w:i/>
          <w:spacing w:val="-11"/>
          <w:sz w:val="24"/>
          <w:u w:val="single"/>
        </w:rPr>
        <w:t> </w:t>
      </w:r>
      <w:r>
        <w:rPr>
          <w:i/>
          <w:sz w:val="24"/>
          <w:u w:val="single"/>
        </w:rPr>
        <w:t>to</w:t>
      </w:r>
      <w:r>
        <w:rPr>
          <w:i/>
          <w:spacing w:val="-10"/>
          <w:sz w:val="24"/>
          <w:u w:val="single"/>
        </w:rPr>
        <w:t> </w:t>
      </w:r>
      <w:r>
        <w:rPr>
          <w:i/>
          <w:spacing w:val="-2"/>
          <w:sz w:val="24"/>
          <w:u w:val="single"/>
        </w:rPr>
        <w:t>comment</w:t>
      </w:r>
    </w:p>
    <w:p>
      <w:pPr>
        <w:pStyle w:val="BodyText"/>
        <w:ind w:left="419" w:right="811"/>
        <w:jc w:val="both"/>
      </w:pPr>
      <w:r>
        <w:rPr/>
        <w:t>Limited change has been made to the original proposal.</w:t>
      </w:r>
      <w:r>
        <w:rPr>
          <w:spacing w:val="80"/>
        </w:rPr>
        <w:t> </w:t>
      </w:r>
      <w:r>
        <w:rPr/>
        <w:t>In Class 5, 6, 7, 8, and 9 buildings, unisex accessible sanitary facilities will now be required on every</w:t>
      </w:r>
      <w:r>
        <w:rPr>
          <w:spacing w:val="-1"/>
        </w:rPr>
        <w:t> </w:t>
      </w:r>
      <w:r>
        <w:rPr/>
        <w:t>storey that contains sanitary compartments,</w:t>
      </w:r>
      <w:r>
        <w:rPr>
          <w:spacing w:val="-1"/>
        </w:rPr>
        <w:t> </w:t>
      </w:r>
      <w:r>
        <w:rPr/>
        <w:t>and</w:t>
      </w:r>
      <w:r>
        <w:rPr>
          <w:spacing w:val="-1"/>
        </w:rPr>
        <w:t> </w:t>
      </w:r>
      <w:r>
        <w:rPr/>
        <w:t>at not</w:t>
      </w:r>
      <w:r>
        <w:rPr>
          <w:spacing w:val="-1"/>
        </w:rPr>
        <w:t> </w:t>
      </w:r>
      <w:r>
        <w:rPr/>
        <w:t>less</w:t>
      </w:r>
      <w:r>
        <w:rPr>
          <w:spacing w:val="-1"/>
        </w:rPr>
        <w:t> </w:t>
      </w:r>
      <w:r>
        <w:rPr/>
        <w:t>than</w:t>
      </w:r>
      <w:r>
        <w:rPr>
          <w:spacing w:val="-1"/>
        </w:rPr>
        <w:t> </w:t>
      </w:r>
      <w:r>
        <w:rPr/>
        <w:t>50%</w:t>
      </w:r>
      <w:r>
        <w:rPr>
          <w:spacing w:val="-1"/>
        </w:rPr>
        <w:t> </w:t>
      </w:r>
      <w:r>
        <w:rPr/>
        <w:t>of the banks of toilets where more than 1 bank is provided on a storey.</w:t>
      </w:r>
      <w:r>
        <w:rPr>
          <w:spacing w:val="40"/>
        </w:rPr>
        <w:t> </w:t>
      </w:r>
      <w:r>
        <w:rPr/>
        <w:t>This will have the effect of reducing the required provision of sanitary facilities in very large buildings.</w:t>
      </w:r>
    </w:p>
    <w:p>
      <w:pPr>
        <w:pStyle w:val="BodyText"/>
        <w:spacing w:before="1"/>
        <w:rPr>
          <w:sz w:val="21"/>
        </w:rPr>
      </w:pPr>
    </w:p>
    <w:p>
      <w:pPr>
        <w:pStyle w:val="Heading3"/>
        <w:numPr>
          <w:ilvl w:val="3"/>
          <w:numId w:val="43"/>
        </w:numPr>
        <w:tabs>
          <w:tab w:pos="1433" w:val="left" w:leader="none"/>
        </w:tabs>
        <w:spacing w:line="240" w:lineRule="auto" w:before="0" w:after="0"/>
        <w:ind w:left="1432" w:right="0" w:hanging="1013"/>
        <w:jc w:val="both"/>
      </w:pPr>
      <w:bookmarkStart w:name="11.1.2.8 Impact on emergency egress" w:id="147"/>
      <w:bookmarkEnd w:id="147"/>
      <w:r>
        <w:rPr/>
        <w:t>I</w:t>
      </w:r>
      <w:r>
        <w:rPr/>
        <w:t>mpact</w:t>
      </w:r>
      <w:r>
        <w:rPr>
          <w:spacing w:val="-3"/>
        </w:rPr>
        <w:t> </w:t>
      </w:r>
      <w:r>
        <w:rPr/>
        <w:t>on</w:t>
      </w:r>
      <w:r>
        <w:rPr>
          <w:spacing w:val="-3"/>
        </w:rPr>
        <w:t> </w:t>
      </w:r>
      <w:r>
        <w:rPr/>
        <w:t>emergency</w:t>
      </w:r>
      <w:r>
        <w:rPr>
          <w:spacing w:val="-4"/>
        </w:rPr>
        <w:t> </w:t>
      </w:r>
      <w:r>
        <w:rPr>
          <w:spacing w:val="-2"/>
        </w:rPr>
        <w:t>egress</w:t>
      </w:r>
    </w:p>
    <w:p>
      <w:pPr>
        <w:pStyle w:val="BodyText"/>
        <w:spacing w:before="57"/>
        <w:ind w:left="419" w:right="812"/>
        <w:jc w:val="both"/>
      </w:pPr>
      <w:r>
        <w:rPr/>
        <w:t>The draft Premises Standards does not impose any new provisions with relation to emergency egress.</w:t>
      </w:r>
      <w:r>
        <w:rPr>
          <w:spacing w:val="40"/>
        </w:rPr>
        <w:t> </w:t>
      </w:r>
      <w:r>
        <w:rPr/>
        <w:t>However, one consultation comment received argued that one impact of the Standards would be to exacerbate some existing concerns in relation to emergency egress from buildings.</w:t>
      </w:r>
    </w:p>
    <w:p>
      <w:pPr>
        <w:pStyle w:val="BodyText"/>
        <w:spacing w:before="1"/>
      </w:pPr>
    </w:p>
    <w:p>
      <w:pPr>
        <w:spacing w:line="275" w:lineRule="exact" w:before="0"/>
        <w:ind w:left="419" w:right="0" w:firstLine="0"/>
        <w:jc w:val="both"/>
        <w:rPr>
          <w:i/>
          <w:sz w:val="24"/>
        </w:rPr>
      </w:pPr>
      <w:bookmarkStart w:name="Comment received" w:id="148"/>
      <w:bookmarkEnd w:id="148"/>
      <w:r>
        <w:rPr/>
      </w:r>
      <w:r>
        <w:rPr>
          <w:i/>
          <w:spacing w:val="-2"/>
          <w:sz w:val="24"/>
          <w:u w:val="single"/>
        </w:rPr>
        <w:t>Comment</w:t>
      </w:r>
      <w:r>
        <w:rPr>
          <w:i/>
          <w:spacing w:val="-4"/>
          <w:sz w:val="24"/>
          <w:u w:val="single"/>
        </w:rPr>
        <w:t> </w:t>
      </w:r>
      <w:r>
        <w:rPr>
          <w:i/>
          <w:spacing w:val="-2"/>
          <w:sz w:val="24"/>
          <w:u w:val="single"/>
        </w:rPr>
        <w:t>received</w:t>
      </w:r>
    </w:p>
    <w:p>
      <w:pPr>
        <w:pStyle w:val="BodyText"/>
        <w:ind w:left="420" w:right="813"/>
        <w:jc w:val="both"/>
      </w:pPr>
      <w:r>
        <w:rPr/>
        <w:t>The issue of emergency egress was mentioned by one industry body in consultation comments received in response to the draft RIS:</w:t>
      </w:r>
    </w:p>
    <w:p>
      <w:pPr>
        <w:spacing w:before="1"/>
        <w:ind w:left="780" w:right="812" w:firstLine="0"/>
        <w:jc w:val="both"/>
        <w:rPr>
          <w:i/>
          <w:sz w:val="24"/>
        </w:rPr>
      </w:pPr>
      <w:r>
        <w:rPr>
          <w:i/>
          <w:sz w:val="24"/>
        </w:rPr>
        <w:t>“… this objective, while aiming to get disabled people into more buildings</w:t>
      </w:r>
      <w:r>
        <w:rPr>
          <w:i/>
          <w:sz w:val="24"/>
        </w:rPr>
        <w:t> and into more areas of buildings, creates an issue for building owners and building</w:t>
      </w:r>
      <w:r>
        <w:rPr>
          <w:i/>
          <w:spacing w:val="66"/>
          <w:w w:val="150"/>
          <w:sz w:val="24"/>
        </w:rPr>
        <w:t> </w:t>
      </w:r>
      <w:r>
        <w:rPr>
          <w:i/>
          <w:sz w:val="24"/>
        </w:rPr>
        <w:t>managers</w:t>
      </w:r>
      <w:r>
        <w:rPr>
          <w:i/>
          <w:spacing w:val="66"/>
          <w:w w:val="150"/>
          <w:sz w:val="24"/>
        </w:rPr>
        <w:t> </w:t>
      </w:r>
      <w:r>
        <w:rPr>
          <w:i/>
          <w:sz w:val="24"/>
        </w:rPr>
        <w:t>with</w:t>
      </w:r>
      <w:r>
        <w:rPr>
          <w:i/>
          <w:spacing w:val="66"/>
          <w:w w:val="150"/>
          <w:sz w:val="24"/>
        </w:rPr>
        <w:t> </w:t>
      </w:r>
      <w:r>
        <w:rPr>
          <w:i/>
          <w:sz w:val="24"/>
        </w:rPr>
        <w:t>respect</w:t>
      </w:r>
      <w:r>
        <w:rPr>
          <w:i/>
          <w:spacing w:val="67"/>
          <w:w w:val="150"/>
          <w:sz w:val="24"/>
        </w:rPr>
        <w:t> </w:t>
      </w:r>
      <w:r>
        <w:rPr>
          <w:i/>
          <w:sz w:val="24"/>
        </w:rPr>
        <w:t>to</w:t>
      </w:r>
      <w:r>
        <w:rPr>
          <w:i/>
          <w:spacing w:val="66"/>
          <w:w w:val="150"/>
          <w:sz w:val="24"/>
        </w:rPr>
        <w:t> </w:t>
      </w:r>
      <w:r>
        <w:rPr>
          <w:i/>
          <w:sz w:val="24"/>
        </w:rPr>
        <w:t>effective</w:t>
      </w:r>
      <w:r>
        <w:rPr>
          <w:i/>
          <w:spacing w:val="66"/>
          <w:w w:val="150"/>
          <w:sz w:val="24"/>
        </w:rPr>
        <w:t> </w:t>
      </w:r>
      <w:r>
        <w:rPr>
          <w:i/>
          <w:sz w:val="24"/>
        </w:rPr>
        <w:t>solutions</w:t>
      </w:r>
      <w:r>
        <w:rPr>
          <w:i/>
          <w:spacing w:val="67"/>
          <w:w w:val="150"/>
          <w:sz w:val="24"/>
        </w:rPr>
        <w:t> </w:t>
      </w:r>
      <w:r>
        <w:rPr>
          <w:i/>
          <w:sz w:val="24"/>
        </w:rPr>
        <w:t>at</w:t>
      </w:r>
      <w:r>
        <w:rPr>
          <w:i/>
          <w:spacing w:val="66"/>
          <w:w w:val="150"/>
          <w:sz w:val="24"/>
        </w:rPr>
        <w:t> </w:t>
      </w:r>
      <w:r>
        <w:rPr>
          <w:i/>
          <w:sz w:val="24"/>
        </w:rPr>
        <w:t>present</w:t>
      </w:r>
      <w:r>
        <w:rPr>
          <w:i/>
          <w:spacing w:val="66"/>
          <w:w w:val="150"/>
          <w:sz w:val="24"/>
        </w:rPr>
        <w:t> </w:t>
      </w:r>
      <w:r>
        <w:rPr>
          <w:i/>
          <w:spacing w:val="-5"/>
          <w:sz w:val="24"/>
        </w:rPr>
        <w:t>for</w:t>
      </w:r>
    </w:p>
    <w:p>
      <w:pPr>
        <w:spacing w:after="0"/>
        <w:jc w:val="both"/>
        <w:rPr>
          <w:sz w:val="24"/>
        </w:rPr>
        <w:sectPr>
          <w:pgSz w:w="11900" w:h="16840"/>
          <w:pgMar w:header="0" w:footer="1130" w:top="1000" w:bottom="1320" w:left="1380" w:right="980"/>
        </w:sectPr>
      </w:pPr>
    </w:p>
    <w:p>
      <w:pPr>
        <w:spacing w:before="77"/>
        <w:ind w:left="779" w:right="812" w:firstLine="0"/>
        <w:jc w:val="both"/>
        <w:rPr>
          <w:i/>
          <w:sz w:val="24"/>
        </w:rPr>
      </w:pPr>
      <w:r>
        <w:rPr>
          <w:i/>
          <w:sz w:val="24"/>
        </w:rPr>
        <w:t>evacuating people with disabilities in the event of an emergency. This</w:t>
      </w:r>
      <w:r>
        <w:rPr>
          <w:i/>
          <w:sz w:val="24"/>
        </w:rPr>
        <w:t> proposal is regulating to put those who have disabilities in areas that could risk death or injury in the event of an emergency.”</w:t>
      </w:r>
    </w:p>
    <w:p>
      <w:pPr>
        <w:pStyle w:val="BodyText"/>
        <w:spacing w:before="11"/>
        <w:rPr>
          <w:i/>
          <w:sz w:val="23"/>
        </w:rPr>
      </w:pPr>
    </w:p>
    <w:p>
      <w:pPr>
        <w:spacing w:line="275" w:lineRule="exact" w:before="0"/>
        <w:ind w:left="419" w:right="0" w:firstLine="0"/>
        <w:jc w:val="both"/>
        <w:rPr>
          <w:i/>
          <w:sz w:val="24"/>
        </w:rPr>
      </w:pPr>
      <w:bookmarkStart w:name="Response to comment" w:id="149"/>
      <w:bookmarkEnd w:id="149"/>
      <w:r>
        <w:rPr/>
      </w:r>
      <w:r>
        <w:rPr>
          <w:i/>
          <w:sz w:val="24"/>
          <w:u w:val="single"/>
        </w:rPr>
        <w:t>Response</w:t>
      </w:r>
      <w:r>
        <w:rPr>
          <w:i/>
          <w:spacing w:val="-11"/>
          <w:sz w:val="24"/>
          <w:u w:val="single"/>
        </w:rPr>
        <w:t> </w:t>
      </w:r>
      <w:r>
        <w:rPr>
          <w:i/>
          <w:sz w:val="24"/>
          <w:u w:val="single"/>
        </w:rPr>
        <w:t>to</w:t>
      </w:r>
      <w:r>
        <w:rPr>
          <w:i/>
          <w:spacing w:val="-10"/>
          <w:sz w:val="24"/>
          <w:u w:val="single"/>
        </w:rPr>
        <w:t> </w:t>
      </w:r>
      <w:r>
        <w:rPr>
          <w:i/>
          <w:spacing w:val="-2"/>
          <w:sz w:val="24"/>
          <w:u w:val="single"/>
        </w:rPr>
        <w:t>comment</w:t>
      </w:r>
    </w:p>
    <w:p>
      <w:pPr>
        <w:pStyle w:val="BodyText"/>
        <w:ind w:left="420" w:right="808"/>
        <w:jc w:val="both"/>
      </w:pPr>
      <w:r>
        <w:rPr/>
        <w:t>The respondent correctly identifies the issue of providing adequate</w:t>
      </w:r>
      <w:r>
        <w:rPr>
          <w:spacing w:val="40"/>
        </w:rPr>
        <w:t> </w:t>
      </w:r>
      <w:r>
        <w:rPr/>
        <w:t>emergency</w:t>
      </w:r>
      <w:r>
        <w:rPr>
          <w:spacing w:val="-3"/>
        </w:rPr>
        <w:t> </w:t>
      </w:r>
      <w:r>
        <w:rPr/>
        <w:t>egress</w:t>
      </w:r>
      <w:r>
        <w:rPr>
          <w:spacing w:val="-3"/>
        </w:rPr>
        <w:t> </w:t>
      </w:r>
      <w:r>
        <w:rPr/>
        <w:t>for</w:t>
      </w:r>
      <w:r>
        <w:rPr>
          <w:spacing w:val="-3"/>
        </w:rPr>
        <w:t> </w:t>
      </w:r>
      <w:r>
        <w:rPr/>
        <w:t>people</w:t>
      </w:r>
      <w:r>
        <w:rPr>
          <w:spacing w:val="-3"/>
        </w:rPr>
        <w:t> </w:t>
      </w:r>
      <w:r>
        <w:rPr/>
        <w:t>with</w:t>
      </w:r>
      <w:r>
        <w:rPr>
          <w:spacing w:val="-3"/>
        </w:rPr>
        <w:t> </w:t>
      </w:r>
      <w:r>
        <w:rPr/>
        <w:t>a</w:t>
      </w:r>
      <w:r>
        <w:rPr>
          <w:spacing w:val="-3"/>
        </w:rPr>
        <w:t> </w:t>
      </w:r>
      <w:r>
        <w:rPr/>
        <w:t>disability.</w:t>
      </w:r>
      <w:r>
        <w:rPr>
          <w:spacing w:val="-2"/>
        </w:rPr>
        <w:t> </w:t>
      </w:r>
      <w:r>
        <w:rPr/>
        <w:t>This</w:t>
      </w:r>
      <w:r>
        <w:rPr>
          <w:spacing w:val="-3"/>
        </w:rPr>
        <w:t> </w:t>
      </w:r>
      <w:r>
        <w:rPr/>
        <w:t>issue</w:t>
      </w:r>
      <w:r>
        <w:rPr>
          <w:spacing w:val="-3"/>
        </w:rPr>
        <w:t> </w:t>
      </w:r>
      <w:r>
        <w:rPr/>
        <w:t>has</w:t>
      </w:r>
      <w:r>
        <w:rPr>
          <w:spacing w:val="-3"/>
        </w:rPr>
        <w:t> </w:t>
      </w:r>
      <w:r>
        <w:rPr/>
        <w:t>been</w:t>
      </w:r>
      <w:r>
        <w:rPr>
          <w:spacing w:val="-3"/>
        </w:rPr>
        <w:t> </w:t>
      </w:r>
      <w:r>
        <w:rPr/>
        <w:t>recognised at least since the inclusion of the first provisions relating to access for people with disabilities in the BCA several years ago.</w:t>
      </w:r>
      <w:r>
        <w:rPr>
          <w:spacing w:val="80"/>
        </w:rPr>
        <w:t> </w:t>
      </w:r>
      <w:r>
        <w:rPr/>
        <w:t>It is expected that this issue</w:t>
      </w:r>
      <w:r>
        <w:rPr>
          <w:spacing w:val="40"/>
        </w:rPr>
        <w:t> </w:t>
      </w:r>
      <w:r>
        <w:rPr/>
        <w:t>will</w:t>
      </w:r>
      <w:r>
        <w:rPr>
          <w:spacing w:val="-2"/>
        </w:rPr>
        <w:t> </w:t>
      </w:r>
      <w:r>
        <w:rPr/>
        <w:t>continue</w:t>
      </w:r>
      <w:r>
        <w:rPr>
          <w:spacing w:val="-2"/>
        </w:rPr>
        <w:t> </w:t>
      </w:r>
      <w:r>
        <w:rPr/>
        <w:t>to</w:t>
      </w:r>
      <w:r>
        <w:rPr>
          <w:spacing w:val="-2"/>
        </w:rPr>
        <w:t> </w:t>
      </w:r>
      <w:r>
        <w:rPr/>
        <w:t>be</w:t>
      </w:r>
      <w:r>
        <w:rPr>
          <w:spacing w:val="-2"/>
        </w:rPr>
        <w:t> </w:t>
      </w:r>
      <w:r>
        <w:rPr/>
        <w:t>the</w:t>
      </w:r>
      <w:r>
        <w:rPr>
          <w:spacing w:val="-2"/>
        </w:rPr>
        <w:t> </w:t>
      </w:r>
      <w:r>
        <w:rPr/>
        <w:t>subject</w:t>
      </w:r>
      <w:r>
        <w:rPr>
          <w:spacing w:val="-2"/>
        </w:rPr>
        <w:t> </w:t>
      </w:r>
      <w:r>
        <w:rPr/>
        <w:t>of</w:t>
      </w:r>
      <w:r>
        <w:rPr>
          <w:spacing w:val="-2"/>
        </w:rPr>
        <w:t> </w:t>
      </w:r>
      <w:r>
        <w:rPr/>
        <w:t>policy</w:t>
      </w:r>
      <w:r>
        <w:rPr>
          <w:spacing w:val="-2"/>
        </w:rPr>
        <w:t> </w:t>
      </w:r>
      <w:r>
        <w:rPr/>
        <w:t>action</w:t>
      </w:r>
      <w:r>
        <w:rPr>
          <w:spacing w:val="-2"/>
        </w:rPr>
        <w:t> </w:t>
      </w:r>
      <w:r>
        <w:rPr/>
        <w:t>in</w:t>
      </w:r>
      <w:r>
        <w:rPr>
          <w:spacing w:val="-2"/>
        </w:rPr>
        <w:t> </w:t>
      </w:r>
      <w:r>
        <w:rPr/>
        <w:t>the</w:t>
      </w:r>
      <w:r>
        <w:rPr>
          <w:spacing w:val="-2"/>
        </w:rPr>
        <w:t> </w:t>
      </w:r>
      <w:r>
        <w:rPr/>
        <w:t>future.</w:t>
      </w:r>
      <w:r>
        <w:rPr>
          <w:spacing w:val="40"/>
        </w:rPr>
        <w:t> </w:t>
      </w:r>
      <w:r>
        <w:rPr/>
        <w:t>However,</w:t>
      </w:r>
      <w:r>
        <w:rPr>
          <w:spacing w:val="-2"/>
        </w:rPr>
        <w:t> </w:t>
      </w:r>
      <w:r>
        <w:rPr/>
        <w:t>it</w:t>
      </w:r>
      <w:r>
        <w:rPr>
          <w:spacing w:val="-2"/>
        </w:rPr>
        <w:t> </w:t>
      </w:r>
      <w:r>
        <w:rPr/>
        <w:t>should be noted that the proposal does not impose any new provisions in relation to emergency egress.</w:t>
      </w:r>
      <w:r>
        <w:rPr>
          <w:spacing w:val="40"/>
        </w:rPr>
        <w:t> </w:t>
      </w:r>
      <w:r>
        <w:rPr/>
        <w:t>The proposal does not hinder emergency egress, nor does it alter the likely cost and/or difficulty of providing emergency egress.</w:t>
      </w:r>
    </w:p>
    <w:p>
      <w:pPr>
        <w:pStyle w:val="BodyText"/>
        <w:spacing w:before="5"/>
        <w:rPr>
          <w:sz w:val="34"/>
        </w:rPr>
      </w:pPr>
    </w:p>
    <w:p>
      <w:pPr>
        <w:pStyle w:val="BodyText"/>
        <w:ind w:left="420" w:right="811"/>
      </w:pPr>
      <w:r>
        <w:rPr/>
        <w:t>Moreover, in practice, the regulated building design and construction features are often supported by procedures such as:</w:t>
      </w:r>
    </w:p>
    <w:p>
      <w:pPr>
        <w:pStyle w:val="ListParagraph"/>
        <w:numPr>
          <w:ilvl w:val="0"/>
          <w:numId w:val="44"/>
        </w:numPr>
        <w:tabs>
          <w:tab w:pos="1139" w:val="left" w:leader="none"/>
          <w:tab w:pos="1141" w:val="left" w:leader="none"/>
        </w:tabs>
        <w:spacing w:line="240" w:lineRule="auto" w:before="120" w:after="0"/>
        <w:ind w:left="1140" w:right="0" w:hanging="361"/>
        <w:jc w:val="left"/>
        <w:rPr>
          <w:sz w:val="24"/>
        </w:rPr>
      </w:pPr>
      <w:r>
        <w:rPr>
          <w:sz w:val="24"/>
        </w:rPr>
        <w:t>Fire management </w:t>
      </w:r>
      <w:r>
        <w:rPr>
          <w:spacing w:val="-2"/>
          <w:sz w:val="24"/>
        </w:rPr>
        <w:t>plans;</w:t>
      </w:r>
    </w:p>
    <w:p>
      <w:pPr>
        <w:pStyle w:val="ListParagraph"/>
        <w:numPr>
          <w:ilvl w:val="0"/>
          <w:numId w:val="44"/>
        </w:numPr>
        <w:tabs>
          <w:tab w:pos="1139" w:val="left" w:leader="none"/>
          <w:tab w:pos="1141" w:val="left" w:leader="none"/>
        </w:tabs>
        <w:spacing w:line="240" w:lineRule="auto" w:before="118" w:after="0"/>
        <w:ind w:left="1140" w:right="0" w:hanging="361"/>
        <w:jc w:val="left"/>
        <w:rPr>
          <w:sz w:val="24"/>
        </w:rPr>
      </w:pPr>
      <w:r>
        <w:rPr>
          <w:sz w:val="24"/>
        </w:rPr>
        <w:t>Warden</w:t>
      </w:r>
      <w:r>
        <w:rPr>
          <w:spacing w:val="-5"/>
          <w:sz w:val="24"/>
        </w:rPr>
        <w:t> </w:t>
      </w:r>
      <w:r>
        <w:rPr>
          <w:sz w:val="24"/>
        </w:rPr>
        <w:t>and/or</w:t>
      </w:r>
      <w:r>
        <w:rPr>
          <w:spacing w:val="-5"/>
          <w:sz w:val="24"/>
        </w:rPr>
        <w:t> </w:t>
      </w:r>
      <w:r>
        <w:rPr>
          <w:sz w:val="24"/>
        </w:rPr>
        <w:t>fire</w:t>
      </w:r>
      <w:r>
        <w:rPr>
          <w:spacing w:val="-5"/>
          <w:sz w:val="24"/>
        </w:rPr>
        <w:t> </w:t>
      </w:r>
      <w:r>
        <w:rPr>
          <w:sz w:val="24"/>
        </w:rPr>
        <w:t>brigade</w:t>
      </w:r>
      <w:r>
        <w:rPr>
          <w:spacing w:val="-4"/>
          <w:sz w:val="24"/>
        </w:rPr>
        <w:t> </w:t>
      </w:r>
      <w:r>
        <w:rPr>
          <w:spacing w:val="-2"/>
          <w:sz w:val="24"/>
        </w:rPr>
        <w:t>assistance;</w:t>
      </w:r>
    </w:p>
    <w:p>
      <w:pPr>
        <w:pStyle w:val="ListParagraph"/>
        <w:numPr>
          <w:ilvl w:val="0"/>
          <w:numId w:val="44"/>
        </w:numPr>
        <w:tabs>
          <w:tab w:pos="1139" w:val="left" w:leader="none"/>
          <w:tab w:pos="1141" w:val="left" w:leader="none"/>
        </w:tabs>
        <w:spacing w:line="240" w:lineRule="auto" w:before="119" w:after="0"/>
        <w:ind w:left="1140" w:right="0" w:hanging="361"/>
        <w:jc w:val="left"/>
        <w:rPr>
          <w:sz w:val="24"/>
        </w:rPr>
      </w:pPr>
      <w:r>
        <w:rPr>
          <w:sz w:val="24"/>
        </w:rPr>
        <w:t>Buddy systems; </w:t>
      </w:r>
      <w:r>
        <w:rPr>
          <w:spacing w:val="-5"/>
          <w:sz w:val="24"/>
        </w:rPr>
        <w:t>and</w:t>
      </w:r>
    </w:p>
    <w:p>
      <w:pPr>
        <w:pStyle w:val="ListParagraph"/>
        <w:numPr>
          <w:ilvl w:val="0"/>
          <w:numId w:val="44"/>
        </w:numPr>
        <w:tabs>
          <w:tab w:pos="1139" w:val="left" w:leader="none"/>
          <w:tab w:pos="1141" w:val="left" w:leader="none"/>
        </w:tabs>
        <w:spacing w:line="240" w:lineRule="auto" w:before="117" w:after="0"/>
        <w:ind w:left="1140" w:right="0" w:hanging="361"/>
        <w:jc w:val="left"/>
        <w:rPr>
          <w:sz w:val="24"/>
        </w:rPr>
      </w:pPr>
      <w:r>
        <w:rPr>
          <w:sz w:val="24"/>
        </w:rPr>
        <w:t>Staged</w:t>
      </w:r>
      <w:r>
        <w:rPr>
          <w:spacing w:val="-7"/>
          <w:sz w:val="24"/>
        </w:rPr>
        <w:t> </w:t>
      </w:r>
      <w:r>
        <w:rPr>
          <w:sz w:val="24"/>
        </w:rPr>
        <w:t>evacuation</w:t>
      </w:r>
      <w:r>
        <w:rPr>
          <w:spacing w:val="-7"/>
          <w:sz w:val="24"/>
        </w:rPr>
        <w:t> </w:t>
      </w:r>
      <w:r>
        <w:rPr>
          <w:spacing w:val="-2"/>
          <w:sz w:val="24"/>
        </w:rPr>
        <w:t>procedures.</w:t>
      </w:r>
    </w:p>
    <w:p>
      <w:pPr>
        <w:pStyle w:val="BodyText"/>
        <w:rPr>
          <w:sz w:val="28"/>
        </w:rPr>
      </w:pPr>
    </w:p>
    <w:p>
      <w:pPr>
        <w:pStyle w:val="BodyText"/>
        <w:spacing w:before="193"/>
        <w:ind w:left="420" w:right="811"/>
        <w:jc w:val="both"/>
      </w:pPr>
      <w:r>
        <w:rPr/>
        <w:t>All of these constitute means by which effective emergency egress arrangements can be identified and facilitated.</w:t>
      </w:r>
      <w:r>
        <w:rPr>
          <w:spacing w:val="80"/>
        </w:rPr>
        <w:t> </w:t>
      </w:r>
      <w:r>
        <w:rPr/>
        <w:t>The proposal does not alter the risk, in the event of an emergency, faced by people with a disability.</w:t>
      </w:r>
      <w:r>
        <w:rPr>
          <w:spacing w:val="80"/>
        </w:rPr>
        <w:t> </w:t>
      </w:r>
      <w:r>
        <w:rPr/>
        <w:t>Whilst the number of people with a disability in a building may increase, existing emergency egress arrangements can apply regardless.</w:t>
      </w:r>
    </w:p>
    <w:p>
      <w:pPr>
        <w:pStyle w:val="BodyText"/>
        <w:rPr>
          <w:sz w:val="26"/>
        </w:rPr>
      </w:pPr>
    </w:p>
    <w:p>
      <w:pPr>
        <w:pStyle w:val="Heading2"/>
        <w:numPr>
          <w:ilvl w:val="1"/>
          <w:numId w:val="45"/>
        </w:numPr>
        <w:tabs>
          <w:tab w:pos="1043" w:val="left" w:leader="none"/>
        </w:tabs>
        <w:spacing w:line="240" w:lineRule="auto" w:before="219" w:after="0"/>
        <w:ind w:left="1042" w:right="0" w:hanging="623"/>
        <w:jc w:val="left"/>
        <w:rPr>
          <w:i/>
        </w:rPr>
      </w:pPr>
      <w:bookmarkStart w:name="_TOC_250008" w:id="150"/>
      <w:bookmarkStart w:name="11.2 Disability Access Reference Group" w:id="151"/>
      <w:r>
        <w:rPr>
          <w:i/>
        </w:rPr>
        <w:t>Disability</w:t>
      </w:r>
      <w:r>
        <w:rPr>
          <w:i/>
          <w:spacing w:val="-12"/>
        </w:rPr>
        <w:t> </w:t>
      </w:r>
      <w:r>
        <w:rPr>
          <w:i/>
        </w:rPr>
        <w:t>Access</w:t>
      </w:r>
      <w:r>
        <w:rPr>
          <w:i/>
          <w:spacing w:val="-12"/>
        </w:rPr>
        <w:t> </w:t>
      </w:r>
      <w:r>
        <w:rPr>
          <w:i/>
        </w:rPr>
        <w:t>Reference</w:t>
      </w:r>
      <w:r>
        <w:rPr>
          <w:i/>
          <w:spacing w:val="-12"/>
        </w:rPr>
        <w:t> </w:t>
      </w:r>
      <w:bookmarkEnd w:id="150"/>
      <w:r>
        <w:rPr>
          <w:i/>
          <w:spacing w:val="-2"/>
        </w:rPr>
        <w:t>Group</w:t>
      </w:r>
    </w:p>
    <w:p>
      <w:pPr>
        <w:pStyle w:val="BodyText"/>
        <w:rPr>
          <w:b/>
          <w:i/>
          <w:sz w:val="29"/>
        </w:rPr>
      </w:pPr>
    </w:p>
    <w:p>
      <w:pPr>
        <w:pStyle w:val="BodyText"/>
        <w:ind w:left="420" w:right="811"/>
        <w:jc w:val="both"/>
      </w:pPr>
      <w:r>
        <w:rPr/>
        <w:t>Additional consideration of the proposal was undertaken in 2008 by Government agencies, industry and the disability sector (established and referred to as the Disability Access Reference Group). The Disability Access Reference Group (DARG) was established in late 2007 to inform Ministers on a number of unresolved issues relating to the proposed Premises Standards.</w:t>
      </w:r>
    </w:p>
    <w:p>
      <w:pPr>
        <w:pStyle w:val="BodyText"/>
      </w:pPr>
    </w:p>
    <w:p>
      <w:pPr>
        <w:pStyle w:val="BodyText"/>
        <w:ind w:left="420" w:right="810"/>
        <w:jc w:val="both"/>
      </w:pPr>
      <w:r>
        <w:rPr/>
        <w:t>Membership of the DARG included the Attorney-General's Department; the Department of Innovation, Industry, Science and Research; the ABCB; the Australian Human Rights Commission (formerly the Human Rights and Equal Opportunity Commission); and representatives from industry and the disability </w:t>
      </w:r>
      <w:r>
        <w:rPr>
          <w:spacing w:val="-2"/>
        </w:rPr>
        <w:t>community.</w:t>
      </w:r>
    </w:p>
    <w:p>
      <w:pPr>
        <w:pStyle w:val="BodyText"/>
      </w:pPr>
    </w:p>
    <w:p>
      <w:pPr>
        <w:pStyle w:val="BodyText"/>
        <w:ind w:left="420" w:right="811"/>
        <w:jc w:val="both"/>
      </w:pPr>
      <w:r>
        <w:rPr/>
        <w:t>The DARG reached agreement on most of the issues referred to it and made several recommendations on the issues that had previously not been agreed by</w:t>
      </w:r>
      <w:r>
        <w:rPr/>
        <w:t> stakeholders.</w:t>
      </w:r>
      <w:r>
        <w:rPr>
          <w:spacing w:val="40"/>
        </w:rPr>
        <w:t> </w:t>
      </w:r>
      <w:r>
        <w:rPr/>
        <w:t>The recommendations affect not only the content and implementation of the Premises Standards, but also the BCA and its administration by the States and Territories.</w:t>
      </w:r>
    </w:p>
    <w:p>
      <w:pPr>
        <w:spacing w:after="0"/>
        <w:jc w:val="both"/>
        <w:sectPr>
          <w:pgSz w:w="11900" w:h="16840"/>
          <w:pgMar w:header="0" w:footer="1130" w:top="1000" w:bottom="1320" w:left="1380" w:right="980"/>
        </w:sectPr>
      </w:pPr>
    </w:p>
    <w:p>
      <w:pPr>
        <w:pStyle w:val="BodyText"/>
        <w:spacing w:before="75"/>
        <w:ind w:left="420"/>
        <w:jc w:val="both"/>
      </w:pPr>
      <w:r>
        <w:rPr/>
        <w:t>The</w:t>
      </w:r>
      <w:r>
        <w:rPr>
          <w:spacing w:val="-9"/>
        </w:rPr>
        <w:t> </w:t>
      </w:r>
      <w:r>
        <w:rPr/>
        <w:t>DARG</w:t>
      </w:r>
      <w:r>
        <w:rPr>
          <w:spacing w:val="-7"/>
        </w:rPr>
        <w:t> </w:t>
      </w:r>
      <w:r>
        <w:rPr/>
        <w:t>delivered</w:t>
      </w:r>
      <w:r>
        <w:rPr>
          <w:spacing w:val="-9"/>
        </w:rPr>
        <w:t> </w:t>
      </w:r>
      <w:r>
        <w:rPr/>
        <w:t>its</w:t>
      </w:r>
      <w:r>
        <w:rPr>
          <w:spacing w:val="-9"/>
        </w:rPr>
        <w:t> </w:t>
      </w:r>
      <w:r>
        <w:rPr/>
        <w:t>final</w:t>
      </w:r>
      <w:r>
        <w:rPr>
          <w:spacing w:val="-9"/>
        </w:rPr>
        <w:t> </w:t>
      </w:r>
      <w:r>
        <w:rPr/>
        <w:t>report</w:t>
      </w:r>
      <w:r>
        <w:rPr>
          <w:spacing w:val="-9"/>
        </w:rPr>
        <w:t> </w:t>
      </w:r>
      <w:r>
        <w:rPr/>
        <w:t>to</w:t>
      </w:r>
      <w:r>
        <w:rPr>
          <w:spacing w:val="-9"/>
        </w:rPr>
        <w:t> </w:t>
      </w:r>
      <w:r>
        <w:rPr/>
        <w:t>Ministers</w:t>
      </w:r>
      <w:r>
        <w:rPr>
          <w:spacing w:val="-9"/>
        </w:rPr>
        <w:t> </w:t>
      </w:r>
      <w:r>
        <w:rPr/>
        <w:t>in</w:t>
      </w:r>
      <w:r>
        <w:rPr>
          <w:spacing w:val="-9"/>
        </w:rPr>
        <w:t> </w:t>
      </w:r>
      <w:r>
        <w:rPr/>
        <w:t>June</w:t>
      </w:r>
      <w:r>
        <w:rPr>
          <w:spacing w:val="-9"/>
        </w:rPr>
        <w:t> </w:t>
      </w:r>
      <w:r>
        <w:rPr>
          <w:spacing w:val="-2"/>
        </w:rPr>
        <w:t>2008.</w:t>
      </w:r>
    </w:p>
    <w:p>
      <w:pPr>
        <w:pStyle w:val="BodyText"/>
        <w:rPr>
          <w:sz w:val="26"/>
        </w:rPr>
      </w:pPr>
    </w:p>
    <w:p>
      <w:pPr>
        <w:pStyle w:val="Heading2"/>
        <w:numPr>
          <w:ilvl w:val="1"/>
          <w:numId w:val="45"/>
        </w:numPr>
        <w:tabs>
          <w:tab w:pos="1074" w:val="left" w:leader="none"/>
        </w:tabs>
        <w:spacing w:line="240" w:lineRule="auto" w:before="220" w:after="0"/>
        <w:ind w:left="420" w:right="809" w:firstLine="0"/>
        <w:jc w:val="left"/>
      </w:pPr>
      <w:bookmarkStart w:name="_TOC_250007" w:id="152"/>
      <w:bookmarkStart w:name="11.3 House of Representatives Standing C" w:id="153"/>
      <w:r>
        <w:rPr>
          <w:i/>
        </w:rPr>
        <w:t>House</w:t>
      </w:r>
      <w:r>
        <w:rPr>
          <w:i/>
        </w:rPr>
        <w:t> of Representatives Standing Committee on Legal</w:t>
      </w:r>
      <w:bookmarkEnd w:id="152"/>
      <w:r>
        <w:rPr/>
        <w:t> and Constitutional Affairs</w:t>
      </w:r>
    </w:p>
    <w:p>
      <w:pPr>
        <w:pStyle w:val="BodyText"/>
        <w:rPr>
          <w:b/>
          <w:i/>
          <w:sz w:val="29"/>
        </w:rPr>
      </w:pPr>
    </w:p>
    <w:p>
      <w:pPr>
        <w:pStyle w:val="BodyText"/>
        <w:ind w:left="419" w:right="811"/>
        <w:jc w:val="both"/>
      </w:pPr>
      <w:r>
        <w:rPr/>
        <w:t>On 3 December 2008 the Commonwealth Attorney-General and Minister for Innovation, Industry, Science and Research referred the Draft Disability (Access to Premises – Buildings) Standards to the House of Representatives Standing Committee on Legal and Constitutional Affairs (HRSCLCA).</w:t>
      </w:r>
    </w:p>
    <w:p>
      <w:pPr>
        <w:pStyle w:val="BodyText"/>
      </w:pPr>
    </w:p>
    <w:p>
      <w:pPr>
        <w:pStyle w:val="BodyText"/>
        <w:spacing w:before="1"/>
        <w:ind w:left="419"/>
        <w:jc w:val="both"/>
      </w:pPr>
      <w:r>
        <w:rPr/>
        <w:t>The</w:t>
      </w:r>
      <w:r>
        <w:rPr>
          <w:spacing w:val="-9"/>
        </w:rPr>
        <w:t> </w:t>
      </w:r>
      <w:r>
        <w:rPr/>
        <w:t>Committee</w:t>
      </w:r>
      <w:r>
        <w:rPr>
          <w:spacing w:val="-9"/>
        </w:rPr>
        <w:t> </w:t>
      </w:r>
      <w:r>
        <w:rPr/>
        <w:t>was</w:t>
      </w:r>
      <w:r>
        <w:rPr>
          <w:spacing w:val="-10"/>
        </w:rPr>
        <w:t> </w:t>
      </w:r>
      <w:r>
        <w:rPr/>
        <w:t>asked</w:t>
      </w:r>
      <w:r>
        <w:rPr>
          <w:spacing w:val="-9"/>
        </w:rPr>
        <w:t> </w:t>
      </w:r>
      <w:r>
        <w:rPr/>
        <w:t>to</w:t>
      </w:r>
      <w:r>
        <w:rPr>
          <w:spacing w:val="-9"/>
        </w:rPr>
        <w:t> </w:t>
      </w:r>
      <w:r>
        <w:rPr/>
        <w:t>inquire</w:t>
      </w:r>
      <w:r>
        <w:rPr>
          <w:spacing w:val="-10"/>
        </w:rPr>
        <w:t> </w:t>
      </w:r>
      <w:r>
        <w:rPr/>
        <w:t>into</w:t>
      </w:r>
      <w:r>
        <w:rPr>
          <w:spacing w:val="-9"/>
        </w:rPr>
        <w:t> </w:t>
      </w:r>
      <w:r>
        <w:rPr/>
        <w:t>and</w:t>
      </w:r>
      <w:r>
        <w:rPr>
          <w:spacing w:val="-9"/>
        </w:rPr>
        <w:t> </w:t>
      </w:r>
      <w:r>
        <w:rPr/>
        <w:t>report</w:t>
      </w:r>
      <w:r>
        <w:rPr>
          <w:spacing w:val="-9"/>
        </w:rPr>
        <w:t> </w:t>
      </w:r>
      <w:r>
        <w:rPr>
          <w:spacing w:val="-5"/>
        </w:rPr>
        <w:t>on:</w:t>
      </w:r>
    </w:p>
    <w:p>
      <w:pPr>
        <w:pStyle w:val="ListParagraph"/>
        <w:numPr>
          <w:ilvl w:val="2"/>
          <w:numId w:val="45"/>
        </w:numPr>
        <w:tabs>
          <w:tab w:pos="1141" w:val="left" w:leader="none"/>
        </w:tabs>
        <w:spacing w:line="237" w:lineRule="auto" w:before="3" w:after="0"/>
        <w:ind w:left="1133" w:right="812" w:hanging="357"/>
        <w:jc w:val="both"/>
        <w:rPr>
          <w:sz w:val="24"/>
        </w:rPr>
      </w:pPr>
      <w:r>
        <w:rPr>
          <w:sz w:val="24"/>
        </w:rPr>
        <w:t>The appropriateness and effectiveness of the Proposed Premises Standards in achieving their objectives;</w:t>
      </w:r>
    </w:p>
    <w:p>
      <w:pPr>
        <w:pStyle w:val="ListParagraph"/>
        <w:numPr>
          <w:ilvl w:val="2"/>
          <w:numId w:val="45"/>
        </w:numPr>
        <w:tabs>
          <w:tab w:pos="1141" w:val="left" w:leader="none"/>
        </w:tabs>
        <w:spacing w:line="240" w:lineRule="auto" w:before="120" w:after="0"/>
        <w:ind w:left="1133" w:right="812" w:hanging="357"/>
        <w:jc w:val="both"/>
        <w:rPr>
          <w:sz w:val="24"/>
        </w:rPr>
      </w:pPr>
      <w:r>
        <w:rPr>
          <w:sz w:val="24"/>
        </w:rPr>
        <w:t>The interaction between the Premises Standards and existing regulatory schemes operating in State and Territory jurisdictions, including the appropriateness and effectiveness of the proposed Model Process to Administer Building Access for People with a Disability;</w:t>
      </w:r>
    </w:p>
    <w:p>
      <w:pPr>
        <w:pStyle w:val="ListParagraph"/>
        <w:numPr>
          <w:ilvl w:val="2"/>
          <w:numId w:val="45"/>
        </w:numPr>
        <w:tabs>
          <w:tab w:pos="1141" w:val="left" w:leader="none"/>
        </w:tabs>
        <w:spacing w:line="240" w:lineRule="auto" w:before="118" w:after="0"/>
        <w:ind w:left="1133" w:right="812" w:hanging="357"/>
        <w:jc w:val="both"/>
        <w:rPr>
          <w:sz w:val="24"/>
        </w:rPr>
      </w:pPr>
      <w:r>
        <w:rPr>
          <w:sz w:val="24"/>
        </w:rPr>
        <w:t>Whether the Premises Standards will have an unjustifiable impact on any particular sector or group within a sector; and</w:t>
      </w:r>
    </w:p>
    <w:p>
      <w:pPr>
        <w:pStyle w:val="ListParagraph"/>
        <w:numPr>
          <w:ilvl w:val="2"/>
          <w:numId w:val="45"/>
        </w:numPr>
        <w:tabs>
          <w:tab w:pos="1141" w:val="left" w:leader="none"/>
        </w:tabs>
        <w:spacing w:line="240" w:lineRule="auto" w:before="119" w:after="0"/>
        <w:ind w:left="1140" w:right="0" w:hanging="364"/>
        <w:jc w:val="both"/>
        <w:rPr>
          <w:sz w:val="24"/>
        </w:rPr>
      </w:pPr>
      <w:r>
        <w:rPr>
          <w:sz w:val="24"/>
        </w:rPr>
        <w:t>Any related </w:t>
      </w:r>
      <w:r>
        <w:rPr>
          <w:spacing w:val="-2"/>
          <w:sz w:val="24"/>
        </w:rPr>
        <w:t>matters.</w:t>
      </w:r>
    </w:p>
    <w:p>
      <w:pPr>
        <w:pStyle w:val="BodyText"/>
        <w:spacing w:before="117"/>
        <w:ind w:left="419" w:right="811"/>
        <w:jc w:val="both"/>
      </w:pPr>
      <w:r>
        <w:rPr/>
        <w:t>The committee sought submissions from government, business and individuals, receiving a total of 146 and 12 supplementary. The outcomes are as reported in Access All Areas – Report of the Inquiry into Draft Disability (Access to Premises – Buildings) Standards. Additionally, most submissions received</w:t>
      </w:r>
      <w:r>
        <w:rPr>
          <w:spacing w:val="-2"/>
        </w:rPr>
        <w:t> </w:t>
      </w:r>
      <w:r>
        <w:rPr/>
        <w:t>–</w:t>
      </w:r>
      <w:r>
        <w:rPr>
          <w:spacing w:val="-2"/>
        </w:rPr>
        <w:t> </w:t>
      </w:r>
      <w:r>
        <w:rPr/>
        <w:t>and</w:t>
      </w:r>
      <w:r>
        <w:rPr>
          <w:spacing w:val="-2"/>
        </w:rPr>
        <w:t> </w:t>
      </w:r>
      <w:r>
        <w:rPr/>
        <w:t>all</w:t>
      </w:r>
      <w:r>
        <w:rPr>
          <w:spacing w:val="-2"/>
        </w:rPr>
        <w:t> </w:t>
      </w:r>
      <w:r>
        <w:rPr/>
        <w:t>hearings</w:t>
      </w:r>
      <w:r>
        <w:rPr>
          <w:spacing w:val="-2"/>
        </w:rPr>
        <w:t> </w:t>
      </w:r>
      <w:r>
        <w:rPr/>
        <w:t>–</w:t>
      </w:r>
      <w:r>
        <w:rPr>
          <w:spacing w:val="-2"/>
        </w:rPr>
        <w:t> </w:t>
      </w:r>
      <w:r>
        <w:rPr/>
        <w:t>were</w:t>
      </w:r>
      <w:r>
        <w:rPr>
          <w:spacing w:val="-2"/>
        </w:rPr>
        <w:t> </w:t>
      </w:r>
      <w:r>
        <w:rPr/>
        <w:t>made</w:t>
      </w:r>
      <w:r>
        <w:rPr>
          <w:spacing w:val="-2"/>
        </w:rPr>
        <w:t> </w:t>
      </w:r>
      <w:r>
        <w:rPr/>
        <w:t>public</w:t>
      </w:r>
      <w:r>
        <w:rPr>
          <w:spacing w:val="-2"/>
        </w:rPr>
        <w:t> </w:t>
      </w:r>
      <w:r>
        <w:rPr/>
        <w:t>and</w:t>
      </w:r>
      <w:r>
        <w:rPr>
          <w:spacing w:val="-2"/>
        </w:rPr>
        <w:t> </w:t>
      </w:r>
      <w:r>
        <w:rPr/>
        <w:t>are</w:t>
      </w:r>
      <w:r>
        <w:rPr>
          <w:spacing w:val="-2"/>
        </w:rPr>
        <w:t> </w:t>
      </w:r>
      <w:r>
        <w:rPr/>
        <w:t>available</w:t>
      </w:r>
      <w:r>
        <w:rPr>
          <w:spacing w:val="-2"/>
        </w:rPr>
        <w:t> </w:t>
      </w:r>
      <w:r>
        <w:rPr/>
        <w:t>on</w:t>
      </w:r>
      <w:r>
        <w:rPr>
          <w:spacing w:val="-2"/>
        </w:rPr>
        <w:t> </w:t>
      </w:r>
      <w:r>
        <w:rPr/>
        <w:t>or</w:t>
      </w:r>
      <w:r>
        <w:rPr>
          <w:spacing w:val="-2"/>
        </w:rPr>
        <w:t> </w:t>
      </w:r>
      <w:r>
        <w:rPr/>
        <w:t>via</w:t>
      </w:r>
      <w:r>
        <w:rPr>
          <w:spacing w:val="-2"/>
        </w:rPr>
        <w:t> </w:t>
      </w:r>
      <w:r>
        <w:rPr/>
        <w:t>the Committee website. The Recommendations of the report can be found in Appendix E. A summary of the main change proposals and an analysis of</w:t>
      </w:r>
      <w:r>
        <w:rPr>
          <w:spacing w:val="40"/>
        </w:rPr>
        <w:t> </w:t>
      </w:r>
      <w:r>
        <w:rPr/>
        <w:t>their anticipated costs and benefits is located in Appendix D.</w:t>
      </w:r>
    </w:p>
    <w:p>
      <w:pPr>
        <w:pStyle w:val="BodyText"/>
      </w:pPr>
    </w:p>
    <w:p>
      <w:pPr>
        <w:pStyle w:val="BodyText"/>
        <w:ind w:left="419" w:right="811"/>
        <w:jc w:val="both"/>
      </w:pPr>
      <w:r>
        <w:rPr/>
        <w:t>There was significant response from stakeholders to the final Report</w:t>
      </w:r>
      <w:r>
        <w:rPr/>
        <w:t> which</w:t>
      </w:r>
      <w:r>
        <w:rPr>
          <w:spacing w:val="40"/>
        </w:rPr>
        <w:t> </w:t>
      </w:r>
      <w:r>
        <w:rPr/>
        <w:t>led to further discussions with peak bodies</w:t>
      </w:r>
      <w:r>
        <w:rPr/>
        <w:t> on main issues. This process is discussed in the following section. It should also be noted that seventeen</w:t>
      </w:r>
      <w:r>
        <w:rPr>
          <w:spacing w:val="40"/>
        </w:rPr>
        <w:t> </w:t>
      </w:r>
      <w:r>
        <w:rPr/>
        <w:t>peak disability representative organisations wrote to the Australian Government in a joint statement strongly endorsing the key recommendations of the Committee and urging that the standards be finalised as soon as possible.</w:t>
      </w:r>
      <w:r>
        <w:rPr>
          <w:spacing w:val="40"/>
        </w:rPr>
        <w:t> </w:t>
      </w:r>
      <w:r>
        <w:rPr/>
        <w:t>Similarly, there were numerous letters to Ministers from individuals and other disability associations largely expressing full support for the</w:t>
      </w:r>
      <w:r>
        <w:rPr>
          <w:spacing w:val="40"/>
        </w:rPr>
        <w:t> </w:t>
      </w:r>
      <w:r>
        <w:rPr/>
        <w:t>Report’s recommendations.</w:t>
      </w:r>
    </w:p>
    <w:p>
      <w:pPr>
        <w:pStyle w:val="BodyText"/>
        <w:rPr>
          <w:sz w:val="26"/>
        </w:rPr>
      </w:pPr>
    </w:p>
    <w:p>
      <w:pPr>
        <w:pStyle w:val="Heading2"/>
        <w:numPr>
          <w:ilvl w:val="1"/>
          <w:numId w:val="45"/>
        </w:numPr>
        <w:tabs>
          <w:tab w:pos="1043" w:val="left" w:leader="none"/>
        </w:tabs>
        <w:spacing w:line="240" w:lineRule="auto" w:before="219" w:after="0"/>
        <w:ind w:left="1042" w:right="0" w:hanging="623"/>
        <w:jc w:val="left"/>
        <w:rPr>
          <w:i/>
        </w:rPr>
      </w:pPr>
      <w:bookmarkStart w:name="_TOC_250006" w:id="154"/>
      <w:bookmarkStart w:name="11.4 Post HRSCLCA consultation" w:id="155"/>
      <w:r>
        <w:rPr>
          <w:i/>
        </w:rPr>
        <w:t>Post</w:t>
      </w:r>
      <w:r>
        <w:rPr>
          <w:i/>
          <w:spacing w:val="-10"/>
        </w:rPr>
        <w:t> </w:t>
      </w:r>
      <w:r>
        <w:rPr>
          <w:i/>
        </w:rPr>
        <w:t>HRSCLCA</w:t>
      </w:r>
      <w:r>
        <w:rPr>
          <w:i/>
          <w:spacing w:val="-10"/>
        </w:rPr>
        <w:t> </w:t>
      </w:r>
      <w:bookmarkEnd w:id="154"/>
      <w:r>
        <w:rPr>
          <w:i/>
          <w:spacing w:val="-2"/>
        </w:rPr>
        <w:t>consultation</w:t>
      </w:r>
    </w:p>
    <w:p>
      <w:pPr>
        <w:pStyle w:val="BodyText"/>
        <w:rPr>
          <w:b/>
          <w:i/>
          <w:sz w:val="29"/>
        </w:rPr>
      </w:pPr>
    </w:p>
    <w:p>
      <w:pPr>
        <w:pStyle w:val="BodyText"/>
        <w:ind w:left="419" w:right="810"/>
        <w:jc w:val="both"/>
      </w:pPr>
      <w:r>
        <w:rPr/>
        <w:t>Subsequent to the issue of the Access All Areas Report discussions have been conducted by officers of the Attorney-General's Department and the Department of Innovation, Industry Science and Research with:</w:t>
      </w:r>
    </w:p>
    <w:p>
      <w:pPr>
        <w:pStyle w:val="BodyText"/>
        <w:rPr>
          <w:sz w:val="26"/>
        </w:rPr>
      </w:pPr>
    </w:p>
    <w:p>
      <w:pPr>
        <w:pStyle w:val="ListParagraph"/>
        <w:numPr>
          <w:ilvl w:val="2"/>
          <w:numId w:val="45"/>
        </w:numPr>
        <w:tabs>
          <w:tab w:pos="1141" w:val="left" w:leader="none"/>
        </w:tabs>
        <w:spacing w:line="240" w:lineRule="auto" w:before="218" w:after="0"/>
        <w:ind w:left="1140" w:right="0" w:hanging="364"/>
        <w:jc w:val="both"/>
        <w:rPr>
          <w:sz w:val="24"/>
        </w:rPr>
      </w:pPr>
      <w:r>
        <w:rPr>
          <w:sz w:val="24"/>
        </w:rPr>
        <w:t>the</w:t>
      </w:r>
      <w:r>
        <w:rPr>
          <w:spacing w:val="-4"/>
          <w:sz w:val="24"/>
        </w:rPr>
        <w:t> </w:t>
      </w:r>
      <w:r>
        <w:rPr>
          <w:sz w:val="24"/>
        </w:rPr>
        <w:t>Housing</w:t>
      </w:r>
      <w:r>
        <w:rPr>
          <w:spacing w:val="-3"/>
          <w:sz w:val="24"/>
        </w:rPr>
        <w:t> </w:t>
      </w:r>
      <w:r>
        <w:rPr>
          <w:sz w:val="24"/>
        </w:rPr>
        <w:t>Industry</w:t>
      </w:r>
      <w:r>
        <w:rPr>
          <w:spacing w:val="-4"/>
          <w:sz w:val="24"/>
        </w:rPr>
        <w:t> </w:t>
      </w:r>
      <w:r>
        <w:rPr>
          <w:sz w:val="24"/>
        </w:rPr>
        <w:t>Association</w:t>
      </w:r>
      <w:r>
        <w:rPr>
          <w:spacing w:val="-3"/>
          <w:sz w:val="24"/>
        </w:rPr>
        <w:t> </w:t>
      </w:r>
      <w:r>
        <w:rPr>
          <w:spacing w:val="-2"/>
          <w:sz w:val="24"/>
        </w:rPr>
        <w:t>(HIA);</w:t>
      </w:r>
    </w:p>
    <w:p>
      <w:pPr>
        <w:spacing w:after="0" w:line="240" w:lineRule="auto"/>
        <w:jc w:val="both"/>
        <w:rPr>
          <w:sz w:val="24"/>
        </w:rPr>
        <w:sectPr>
          <w:pgSz w:w="11900" w:h="16840"/>
          <w:pgMar w:header="0" w:footer="1130" w:top="1000" w:bottom="1320" w:left="1380" w:right="980"/>
        </w:sectPr>
      </w:pPr>
    </w:p>
    <w:p>
      <w:pPr>
        <w:pStyle w:val="ListParagraph"/>
        <w:numPr>
          <w:ilvl w:val="2"/>
          <w:numId w:val="45"/>
        </w:numPr>
        <w:tabs>
          <w:tab w:pos="1139" w:val="left" w:leader="none"/>
          <w:tab w:pos="1140" w:val="left" w:leader="none"/>
        </w:tabs>
        <w:spacing w:line="240" w:lineRule="auto" w:before="76" w:after="0"/>
        <w:ind w:left="1139" w:right="0" w:hanging="363"/>
        <w:jc w:val="left"/>
        <w:rPr>
          <w:sz w:val="24"/>
        </w:rPr>
      </w:pPr>
      <w:r>
        <w:rPr>
          <w:sz w:val="24"/>
        </w:rPr>
        <w:t>Master Builders Australia </w:t>
      </w:r>
      <w:r>
        <w:rPr>
          <w:spacing w:val="-2"/>
          <w:sz w:val="24"/>
        </w:rPr>
        <w:t>(MBA);</w:t>
      </w:r>
    </w:p>
    <w:p>
      <w:pPr>
        <w:pStyle w:val="ListParagraph"/>
        <w:numPr>
          <w:ilvl w:val="2"/>
          <w:numId w:val="45"/>
        </w:numPr>
        <w:tabs>
          <w:tab w:pos="1139" w:val="left" w:leader="none"/>
          <w:tab w:pos="1141" w:val="left" w:leader="none"/>
        </w:tabs>
        <w:spacing w:line="240" w:lineRule="auto" w:before="119" w:after="0"/>
        <w:ind w:left="1140" w:right="0" w:hanging="364"/>
        <w:jc w:val="left"/>
        <w:rPr>
          <w:sz w:val="24"/>
        </w:rPr>
      </w:pPr>
      <w:r>
        <w:rPr>
          <w:sz w:val="24"/>
        </w:rPr>
        <w:t>the</w:t>
      </w:r>
      <w:r>
        <w:rPr>
          <w:spacing w:val="-2"/>
          <w:sz w:val="24"/>
        </w:rPr>
        <w:t> </w:t>
      </w:r>
      <w:r>
        <w:rPr>
          <w:sz w:val="24"/>
        </w:rPr>
        <w:t>Real</w:t>
      </w:r>
      <w:r>
        <w:rPr>
          <w:spacing w:val="-1"/>
          <w:sz w:val="24"/>
        </w:rPr>
        <w:t> </w:t>
      </w:r>
      <w:r>
        <w:rPr>
          <w:sz w:val="24"/>
        </w:rPr>
        <w:t>Estate</w:t>
      </w:r>
      <w:r>
        <w:rPr>
          <w:spacing w:val="-1"/>
          <w:sz w:val="24"/>
        </w:rPr>
        <w:t> </w:t>
      </w:r>
      <w:r>
        <w:rPr>
          <w:sz w:val="24"/>
        </w:rPr>
        <w:t>Institute</w:t>
      </w:r>
      <w:r>
        <w:rPr>
          <w:spacing w:val="-1"/>
          <w:sz w:val="24"/>
        </w:rPr>
        <w:t> </w:t>
      </w:r>
      <w:r>
        <w:rPr>
          <w:sz w:val="24"/>
        </w:rPr>
        <w:t>of</w:t>
      </w:r>
      <w:r>
        <w:rPr>
          <w:spacing w:val="-1"/>
          <w:sz w:val="24"/>
        </w:rPr>
        <w:t> </w:t>
      </w:r>
      <w:r>
        <w:rPr>
          <w:sz w:val="24"/>
        </w:rPr>
        <w:t>Australia</w:t>
      </w:r>
      <w:r>
        <w:rPr>
          <w:spacing w:val="-1"/>
          <w:sz w:val="24"/>
        </w:rPr>
        <w:t> </w:t>
      </w:r>
      <w:r>
        <w:rPr>
          <w:spacing w:val="-2"/>
          <w:sz w:val="24"/>
        </w:rPr>
        <w:t>(REIA);</w:t>
      </w:r>
    </w:p>
    <w:p>
      <w:pPr>
        <w:pStyle w:val="ListParagraph"/>
        <w:numPr>
          <w:ilvl w:val="2"/>
          <w:numId w:val="45"/>
        </w:numPr>
        <w:tabs>
          <w:tab w:pos="1139" w:val="left" w:leader="none"/>
          <w:tab w:pos="1141" w:val="left" w:leader="none"/>
        </w:tabs>
        <w:spacing w:line="240" w:lineRule="auto" w:before="117" w:after="0"/>
        <w:ind w:left="1140" w:right="0" w:hanging="364"/>
        <w:jc w:val="left"/>
        <w:rPr>
          <w:sz w:val="24"/>
        </w:rPr>
      </w:pPr>
      <w:r>
        <w:rPr>
          <w:sz w:val="24"/>
        </w:rPr>
        <w:t>the</w:t>
      </w:r>
      <w:r>
        <w:rPr>
          <w:spacing w:val="-7"/>
          <w:sz w:val="24"/>
        </w:rPr>
        <w:t> </w:t>
      </w:r>
      <w:r>
        <w:rPr>
          <w:sz w:val="24"/>
        </w:rPr>
        <w:t>Australasian</w:t>
      </w:r>
      <w:r>
        <w:rPr>
          <w:spacing w:val="-7"/>
          <w:sz w:val="24"/>
        </w:rPr>
        <w:t> </w:t>
      </w:r>
      <w:r>
        <w:rPr>
          <w:sz w:val="24"/>
        </w:rPr>
        <w:t>Railways</w:t>
      </w:r>
      <w:r>
        <w:rPr>
          <w:spacing w:val="-7"/>
          <w:sz w:val="24"/>
        </w:rPr>
        <w:t> </w:t>
      </w:r>
      <w:r>
        <w:rPr>
          <w:sz w:val="24"/>
        </w:rPr>
        <w:t>Association</w:t>
      </w:r>
      <w:r>
        <w:rPr>
          <w:spacing w:val="-7"/>
          <w:sz w:val="24"/>
        </w:rPr>
        <w:t> </w:t>
      </w:r>
      <w:r>
        <w:rPr>
          <w:spacing w:val="-2"/>
          <w:sz w:val="24"/>
        </w:rPr>
        <w:t>(ARA);</w:t>
      </w:r>
    </w:p>
    <w:p>
      <w:pPr>
        <w:pStyle w:val="ListParagraph"/>
        <w:numPr>
          <w:ilvl w:val="2"/>
          <w:numId w:val="45"/>
        </w:numPr>
        <w:tabs>
          <w:tab w:pos="1139" w:val="left" w:leader="none"/>
          <w:tab w:pos="1141" w:val="left" w:leader="none"/>
        </w:tabs>
        <w:spacing w:line="240" w:lineRule="auto" w:before="119" w:after="0"/>
        <w:ind w:left="1140" w:right="0" w:hanging="364"/>
        <w:jc w:val="left"/>
        <w:rPr>
          <w:sz w:val="24"/>
        </w:rPr>
      </w:pPr>
      <w:r>
        <w:rPr>
          <w:sz w:val="24"/>
        </w:rPr>
        <w:t>the</w:t>
      </w:r>
      <w:r>
        <w:rPr>
          <w:spacing w:val="-5"/>
          <w:sz w:val="24"/>
        </w:rPr>
        <w:t> </w:t>
      </w:r>
      <w:r>
        <w:rPr>
          <w:sz w:val="24"/>
        </w:rPr>
        <w:t>National</w:t>
      </w:r>
      <w:r>
        <w:rPr>
          <w:spacing w:val="-5"/>
          <w:sz w:val="24"/>
        </w:rPr>
        <w:t> </w:t>
      </w:r>
      <w:r>
        <w:rPr>
          <w:sz w:val="24"/>
        </w:rPr>
        <w:t>Community</w:t>
      </w:r>
      <w:r>
        <w:rPr>
          <w:spacing w:val="-5"/>
          <w:sz w:val="24"/>
        </w:rPr>
        <w:t> </w:t>
      </w:r>
      <w:r>
        <w:rPr>
          <w:sz w:val="24"/>
        </w:rPr>
        <w:t>Title</w:t>
      </w:r>
      <w:r>
        <w:rPr>
          <w:spacing w:val="-4"/>
          <w:sz w:val="24"/>
        </w:rPr>
        <w:t> </w:t>
      </w:r>
      <w:r>
        <w:rPr>
          <w:spacing w:val="-2"/>
          <w:sz w:val="24"/>
        </w:rPr>
        <w:t>Institute;</w:t>
      </w:r>
    </w:p>
    <w:p>
      <w:pPr>
        <w:pStyle w:val="ListParagraph"/>
        <w:numPr>
          <w:ilvl w:val="2"/>
          <w:numId w:val="45"/>
        </w:numPr>
        <w:tabs>
          <w:tab w:pos="1139" w:val="left" w:leader="none"/>
          <w:tab w:pos="1141" w:val="left" w:leader="none"/>
        </w:tabs>
        <w:spacing w:line="240" w:lineRule="auto" w:before="118" w:after="0"/>
        <w:ind w:left="1140" w:right="0" w:hanging="364"/>
        <w:jc w:val="left"/>
        <w:rPr>
          <w:sz w:val="24"/>
        </w:rPr>
      </w:pPr>
      <w:r>
        <w:rPr>
          <w:sz w:val="24"/>
        </w:rPr>
        <w:t>the</w:t>
      </w:r>
      <w:r>
        <w:rPr>
          <w:spacing w:val="-6"/>
          <w:sz w:val="24"/>
        </w:rPr>
        <w:t> </w:t>
      </w:r>
      <w:r>
        <w:rPr>
          <w:sz w:val="24"/>
        </w:rPr>
        <w:t>Australian</w:t>
      </w:r>
      <w:r>
        <w:rPr>
          <w:spacing w:val="-6"/>
          <w:sz w:val="24"/>
        </w:rPr>
        <w:t> </w:t>
      </w:r>
      <w:r>
        <w:rPr>
          <w:sz w:val="24"/>
        </w:rPr>
        <w:t>Hotels</w:t>
      </w:r>
      <w:r>
        <w:rPr>
          <w:spacing w:val="-6"/>
          <w:sz w:val="24"/>
        </w:rPr>
        <w:t> </w:t>
      </w:r>
      <w:r>
        <w:rPr>
          <w:sz w:val="24"/>
        </w:rPr>
        <w:t>Association</w:t>
      </w:r>
      <w:r>
        <w:rPr>
          <w:spacing w:val="-6"/>
          <w:sz w:val="24"/>
        </w:rPr>
        <w:t> </w:t>
      </w:r>
      <w:r>
        <w:rPr>
          <w:sz w:val="24"/>
        </w:rPr>
        <w:t>(AHA);</w:t>
      </w:r>
      <w:r>
        <w:rPr>
          <w:spacing w:val="-5"/>
          <w:sz w:val="24"/>
        </w:rPr>
        <w:t> and</w:t>
      </w:r>
    </w:p>
    <w:p>
      <w:pPr>
        <w:pStyle w:val="ListParagraph"/>
        <w:numPr>
          <w:ilvl w:val="2"/>
          <w:numId w:val="45"/>
        </w:numPr>
        <w:tabs>
          <w:tab w:pos="1139" w:val="left" w:leader="none"/>
          <w:tab w:pos="1141" w:val="left" w:leader="none"/>
        </w:tabs>
        <w:spacing w:line="240" w:lineRule="auto" w:before="117" w:after="0"/>
        <w:ind w:left="1140" w:right="0" w:hanging="364"/>
        <w:jc w:val="left"/>
        <w:rPr>
          <w:sz w:val="24"/>
        </w:rPr>
      </w:pPr>
      <w:r>
        <w:rPr>
          <w:sz w:val="24"/>
        </w:rPr>
        <w:t>the</w:t>
      </w:r>
      <w:r>
        <w:rPr>
          <w:spacing w:val="-6"/>
          <w:sz w:val="24"/>
        </w:rPr>
        <w:t> </w:t>
      </w:r>
      <w:r>
        <w:rPr>
          <w:sz w:val="24"/>
        </w:rPr>
        <w:t>Standards</w:t>
      </w:r>
      <w:r>
        <w:rPr>
          <w:spacing w:val="-6"/>
          <w:sz w:val="24"/>
        </w:rPr>
        <w:t> </w:t>
      </w:r>
      <w:r>
        <w:rPr>
          <w:sz w:val="24"/>
        </w:rPr>
        <w:t>Australia</w:t>
      </w:r>
      <w:r>
        <w:rPr>
          <w:spacing w:val="-5"/>
          <w:sz w:val="24"/>
        </w:rPr>
        <w:t> </w:t>
      </w:r>
      <w:r>
        <w:rPr>
          <w:sz w:val="24"/>
        </w:rPr>
        <w:t>committee</w:t>
      </w:r>
      <w:r>
        <w:rPr>
          <w:spacing w:val="-6"/>
          <w:sz w:val="24"/>
        </w:rPr>
        <w:t> </w:t>
      </w:r>
      <w:r>
        <w:rPr>
          <w:sz w:val="24"/>
        </w:rPr>
        <w:t>responsible</w:t>
      </w:r>
      <w:r>
        <w:rPr>
          <w:spacing w:val="-6"/>
          <w:sz w:val="24"/>
        </w:rPr>
        <w:t> </w:t>
      </w:r>
      <w:r>
        <w:rPr>
          <w:sz w:val="24"/>
        </w:rPr>
        <w:t>for</w:t>
      </w:r>
      <w:r>
        <w:rPr>
          <w:spacing w:val="-5"/>
          <w:sz w:val="24"/>
        </w:rPr>
        <w:t> </w:t>
      </w:r>
      <w:r>
        <w:rPr>
          <w:spacing w:val="-2"/>
          <w:sz w:val="24"/>
        </w:rPr>
        <w:t>AS1428.1.</w:t>
      </w:r>
    </w:p>
    <w:p>
      <w:pPr>
        <w:pStyle w:val="BodyText"/>
        <w:rPr>
          <w:sz w:val="28"/>
        </w:rPr>
      </w:pPr>
    </w:p>
    <w:p>
      <w:pPr>
        <w:pStyle w:val="BodyText"/>
        <w:spacing w:before="192"/>
        <w:ind w:left="420" w:right="812"/>
        <w:jc w:val="both"/>
      </w:pPr>
      <w:r>
        <w:rPr/>
        <w:t>Post Report consultation focussed predominantly on these major industry organisations, to discuss their main areas of concern. Disability groups expressed overwhelming support for the recommendations so further consultation with these groups was limited.</w:t>
      </w:r>
    </w:p>
    <w:p>
      <w:pPr>
        <w:pStyle w:val="BodyText"/>
      </w:pPr>
    </w:p>
    <w:p>
      <w:pPr>
        <w:pStyle w:val="BodyText"/>
        <w:spacing w:before="1"/>
        <w:ind w:left="420" w:right="811"/>
        <w:jc w:val="both"/>
      </w:pPr>
      <w:r>
        <w:rPr/>
        <w:t>The primary focus with industry involved concerns raised regarding the recommendation to include Class</w:t>
      </w:r>
      <w:r>
        <w:rPr/>
        <w:t> 2 buildings. The MBA, HIA and REIA expressed considerable concern about the possible impact and likely administration in relation to modifications of existing Class 2 buildings.</w:t>
      </w:r>
      <w:r>
        <w:rPr>
          <w:spacing w:val="40"/>
        </w:rPr>
        <w:t> </w:t>
      </w:r>
      <w:r>
        <w:rPr/>
        <w:t>They consider</w:t>
      </w:r>
      <w:r>
        <w:rPr>
          <w:spacing w:val="-2"/>
        </w:rPr>
        <w:t> </w:t>
      </w:r>
      <w:r>
        <w:rPr/>
        <w:t>that</w:t>
      </w:r>
      <w:r>
        <w:rPr>
          <w:spacing w:val="-2"/>
        </w:rPr>
        <w:t> </w:t>
      </w:r>
      <w:r>
        <w:rPr/>
        <w:t>the</w:t>
      </w:r>
      <w:r>
        <w:rPr>
          <w:spacing w:val="-2"/>
        </w:rPr>
        <w:t> </w:t>
      </w:r>
      <w:r>
        <w:rPr/>
        <w:t>costs</w:t>
      </w:r>
      <w:r>
        <w:rPr>
          <w:spacing w:val="-2"/>
        </w:rPr>
        <w:t> </w:t>
      </w:r>
      <w:r>
        <w:rPr/>
        <w:t>would</w:t>
      </w:r>
      <w:r>
        <w:rPr>
          <w:spacing w:val="-2"/>
        </w:rPr>
        <w:t> </w:t>
      </w:r>
      <w:r>
        <w:rPr/>
        <w:t>be</w:t>
      </w:r>
      <w:r>
        <w:rPr>
          <w:spacing w:val="-2"/>
        </w:rPr>
        <w:t> </w:t>
      </w:r>
      <w:r>
        <w:rPr/>
        <w:t>too</w:t>
      </w:r>
      <w:r>
        <w:rPr>
          <w:spacing w:val="-1"/>
        </w:rPr>
        <w:t> </w:t>
      </w:r>
      <w:r>
        <w:rPr/>
        <w:t>great</w:t>
      </w:r>
      <w:r>
        <w:rPr>
          <w:spacing w:val="-2"/>
        </w:rPr>
        <w:t> </w:t>
      </w:r>
      <w:r>
        <w:rPr/>
        <w:t>and</w:t>
      </w:r>
      <w:r>
        <w:rPr>
          <w:spacing w:val="-1"/>
        </w:rPr>
        <w:t> </w:t>
      </w:r>
      <w:r>
        <w:rPr/>
        <w:t>will</w:t>
      </w:r>
      <w:r>
        <w:rPr>
          <w:spacing w:val="-2"/>
        </w:rPr>
        <w:t> </w:t>
      </w:r>
      <w:r>
        <w:rPr/>
        <w:t>particularly</w:t>
      </w:r>
      <w:r>
        <w:rPr>
          <w:spacing w:val="-2"/>
        </w:rPr>
        <w:t> </w:t>
      </w:r>
      <w:r>
        <w:rPr/>
        <w:t>adversely</w:t>
      </w:r>
      <w:r>
        <w:rPr>
          <w:spacing w:val="-2"/>
        </w:rPr>
        <w:t> </w:t>
      </w:r>
      <w:r>
        <w:rPr/>
        <w:t>affect Class 2 buildings with a small owner base.</w:t>
      </w:r>
      <w:r>
        <w:rPr>
          <w:spacing w:val="80"/>
        </w:rPr>
        <w:t> </w:t>
      </w:r>
      <w:r>
        <w:rPr/>
        <w:t>Concerns were also raised that the inclusion of Class 2 buildings in the Premises Standards could be used to leverage further regulation in the housing sector more broadly.</w:t>
      </w:r>
    </w:p>
    <w:p>
      <w:pPr>
        <w:pStyle w:val="BodyText"/>
      </w:pPr>
    </w:p>
    <w:p>
      <w:pPr>
        <w:pStyle w:val="BodyText"/>
        <w:ind w:left="420" w:right="812"/>
        <w:jc w:val="both"/>
      </w:pPr>
      <w:r>
        <w:rPr/>
        <w:t>Additionally there were general concerns that the upgrade requirements may be misread or applied more extensively by local councils, and that existing arrangements for requiring full building code upgrades will continue to be applied.</w:t>
      </w:r>
      <w:r>
        <w:rPr>
          <w:spacing w:val="80"/>
        </w:rPr>
        <w:t> </w:t>
      </w:r>
      <w:r>
        <w:rPr/>
        <w:t>None of the groups mounted a strong case opposing the extension</w:t>
      </w:r>
      <w:r>
        <w:rPr>
          <w:spacing w:val="40"/>
        </w:rPr>
        <w:t> </w:t>
      </w:r>
      <w:r>
        <w:rPr/>
        <w:t>of the standards to new Class 2 buildings.</w:t>
      </w:r>
    </w:p>
    <w:p>
      <w:pPr>
        <w:pStyle w:val="BodyText"/>
        <w:spacing w:before="10"/>
        <w:rPr>
          <w:sz w:val="23"/>
        </w:rPr>
      </w:pPr>
    </w:p>
    <w:p>
      <w:pPr>
        <w:pStyle w:val="BodyText"/>
        <w:ind w:left="420" w:right="812"/>
        <w:jc w:val="both"/>
      </w:pPr>
      <w:r>
        <w:rPr/>
        <w:t>The proposal</w:t>
      </w:r>
      <w:r>
        <w:rPr>
          <w:spacing w:val="-1"/>
        </w:rPr>
        <w:t> </w:t>
      </w:r>
      <w:r>
        <w:rPr/>
        <w:t>regarding Class 2 buildings as it now stands applies only to new buildings, which is seen as a major cost saving decision. Further details and an analysis of the impacts can be found in Appendix D.</w:t>
      </w:r>
    </w:p>
    <w:p>
      <w:pPr>
        <w:pStyle w:val="BodyText"/>
      </w:pPr>
    </w:p>
    <w:p>
      <w:pPr>
        <w:pStyle w:val="BodyText"/>
        <w:ind w:left="420" w:right="811"/>
        <w:jc w:val="both"/>
      </w:pPr>
      <w:r>
        <w:rPr/>
        <w:t>Further, unrelated issues discussed included a number of minor concerns regarding conflicts between the transport and building standards. It was determined that these could be largely overcome through drafting changes to the proposal. Also, discussions with the AS1428.1 committee resulted in a better understanding of issues concerning the provision of access to fire isolated stairs. It was recognised that the provision of access to fire isolated stairs requires a more considered response, although there was no strong opposition to the provision of luminance contrast on stair nosing, which was considered to be a low cost, highly beneficial solution.</w:t>
      </w:r>
    </w:p>
    <w:p>
      <w:pPr>
        <w:spacing w:after="0"/>
        <w:jc w:val="both"/>
        <w:sectPr>
          <w:pgSz w:w="11900" w:h="16840"/>
          <w:pgMar w:header="0" w:footer="1130" w:top="1000" w:bottom="1320" w:left="1380" w:right="980"/>
        </w:sectPr>
      </w:pPr>
    </w:p>
    <w:p>
      <w:pPr>
        <w:pStyle w:val="Heading1"/>
        <w:numPr>
          <w:ilvl w:val="0"/>
          <w:numId w:val="25"/>
        </w:numPr>
        <w:tabs>
          <w:tab w:pos="1139" w:val="left" w:leader="none"/>
          <w:tab w:pos="1140" w:val="left" w:leader="none"/>
        </w:tabs>
        <w:spacing w:line="240" w:lineRule="auto" w:before="77" w:after="0"/>
        <w:ind w:left="420" w:right="2546" w:firstLine="0"/>
        <w:jc w:val="left"/>
      </w:pPr>
      <w:bookmarkStart w:name="_TOC_250005" w:id="156"/>
      <w:bookmarkStart w:name=" 12 Statement of compliance with Nationa" w:id="157"/>
      <w:r>
        <w:rPr/>
        <w:t>S</w:t>
      </w:r>
      <w:r>
        <w:rPr/>
        <w:t>tatement</w:t>
      </w:r>
      <w:r>
        <w:rPr>
          <w:spacing w:val="-14"/>
        </w:rPr>
        <w:t> </w:t>
      </w:r>
      <w:r>
        <w:rPr/>
        <w:t>of</w:t>
      </w:r>
      <w:r>
        <w:rPr>
          <w:spacing w:val="-14"/>
        </w:rPr>
        <w:t> </w:t>
      </w:r>
      <w:r>
        <w:rPr/>
        <w:t>compliance</w:t>
      </w:r>
      <w:r>
        <w:rPr>
          <w:spacing w:val="-14"/>
        </w:rPr>
        <w:t> </w:t>
      </w:r>
      <w:r>
        <w:rPr/>
        <w:t>with</w:t>
      </w:r>
      <w:r>
        <w:rPr>
          <w:spacing w:val="-14"/>
        </w:rPr>
        <w:t> </w:t>
      </w:r>
      <w:bookmarkEnd w:id="156"/>
      <w:r>
        <w:rPr/>
        <w:t>National Competition Policy</w:t>
      </w:r>
    </w:p>
    <w:p>
      <w:pPr>
        <w:pStyle w:val="BodyText"/>
        <w:spacing w:before="238"/>
        <w:ind w:left="419" w:right="811"/>
        <w:jc w:val="both"/>
      </w:pPr>
      <w:r>
        <w:rPr/>
        <w:t>The National</w:t>
      </w:r>
      <w:r>
        <w:rPr/>
        <w:t> Competition</w:t>
      </w:r>
      <w:r>
        <w:rPr/>
        <w:t> Policy</w:t>
      </w:r>
      <w:r>
        <w:rPr/>
        <w:t> Agreements</w:t>
      </w:r>
      <w:r>
        <w:rPr/>
        <w:t> set</w:t>
      </w:r>
      <w:r>
        <w:rPr/>
        <w:t> out</w:t>
      </w:r>
      <w:r>
        <w:rPr/>
        <w:t> specific</w:t>
      </w:r>
      <w:r>
        <w:rPr/>
        <w:t> </w:t>
      </w:r>
      <w:r>
        <w:rPr/>
        <w:t>requirements with regard to all new legislation adopted by jurisdictions that are party to the agreements.</w:t>
      </w:r>
      <w:r>
        <w:rPr>
          <w:spacing w:val="80"/>
        </w:rPr>
        <w:t> </w:t>
      </w:r>
      <w:r>
        <w:rPr/>
        <w:t>Clause 5(1) of the Competition Principles Agreement sets out the basic principle that must be applied to both existing legislation, under the legislative review process, and to proposed legislation:</w:t>
      </w:r>
    </w:p>
    <w:p>
      <w:pPr>
        <w:spacing w:before="202"/>
        <w:ind w:left="1139" w:right="811" w:firstLine="0"/>
        <w:jc w:val="both"/>
        <w:rPr>
          <w:i/>
          <w:sz w:val="24"/>
        </w:rPr>
      </w:pPr>
      <w:r>
        <w:rPr>
          <w:i/>
          <w:sz w:val="24"/>
        </w:rPr>
        <w:t>The guiding principle is that legislation (including Acts, enactments,</w:t>
      </w:r>
      <w:r>
        <w:rPr>
          <w:i/>
          <w:sz w:val="24"/>
        </w:rPr>
        <w:t> Ordinances</w:t>
      </w:r>
      <w:r>
        <w:rPr>
          <w:i/>
          <w:spacing w:val="-2"/>
          <w:sz w:val="24"/>
        </w:rPr>
        <w:t> </w:t>
      </w:r>
      <w:r>
        <w:rPr>
          <w:i/>
          <w:sz w:val="24"/>
        </w:rPr>
        <w:t>or</w:t>
      </w:r>
      <w:r>
        <w:rPr>
          <w:i/>
          <w:spacing w:val="-3"/>
          <w:sz w:val="24"/>
        </w:rPr>
        <w:t> </w:t>
      </w:r>
      <w:r>
        <w:rPr>
          <w:i/>
          <w:sz w:val="24"/>
        </w:rPr>
        <w:t>Regulations)</w:t>
      </w:r>
      <w:r>
        <w:rPr>
          <w:i/>
          <w:spacing w:val="-4"/>
          <w:sz w:val="24"/>
        </w:rPr>
        <w:t> </w:t>
      </w:r>
      <w:r>
        <w:rPr>
          <w:i/>
          <w:sz w:val="24"/>
        </w:rPr>
        <w:t>should</w:t>
      </w:r>
      <w:r>
        <w:rPr>
          <w:i/>
          <w:spacing w:val="-4"/>
          <w:sz w:val="24"/>
        </w:rPr>
        <w:t> </w:t>
      </w:r>
      <w:r>
        <w:rPr>
          <w:i/>
          <w:sz w:val="24"/>
        </w:rPr>
        <w:t>not</w:t>
      </w:r>
      <w:r>
        <w:rPr>
          <w:i/>
          <w:spacing w:val="-5"/>
          <w:sz w:val="24"/>
        </w:rPr>
        <w:t> </w:t>
      </w:r>
      <w:r>
        <w:rPr>
          <w:i/>
          <w:sz w:val="24"/>
        </w:rPr>
        <w:t>restrict</w:t>
      </w:r>
      <w:r>
        <w:rPr>
          <w:i/>
          <w:spacing w:val="-3"/>
          <w:sz w:val="24"/>
        </w:rPr>
        <w:t> </w:t>
      </w:r>
      <w:r>
        <w:rPr>
          <w:i/>
          <w:sz w:val="24"/>
        </w:rPr>
        <w:t>competition</w:t>
      </w:r>
      <w:r>
        <w:rPr>
          <w:i/>
          <w:spacing w:val="-4"/>
          <w:sz w:val="24"/>
        </w:rPr>
        <w:t> </w:t>
      </w:r>
      <w:r>
        <w:rPr>
          <w:i/>
          <w:sz w:val="24"/>
        </w:rPr>
        <w:t>unless</w:t>
      </w:r>
      <w:r>
        <w:rPr>
          <w:i/>
          <w:spacing w:val="-4"/>
          <w:sz w:val="24"/>
        </w:rPr>
        <w:t> </w:t>
      </w:r>
      <w:r>
        <w:rPr>
          <w:i/>
          <w:sz w:val="24"/>
        </w:rPr>
        <w:t>it</w:t>
      </w:r>
      <w:r>
        <w:rPr>
          <w:i/>
          <w:spacing w:val="-4"/>
          <w:sz w:val="24"/>
        </w:rPr>
        <w:t> </w:t>
      </w:r>
      <w:r>
        <w:rPr>
          <w:i/>
          <w:sz w:val="24"/>
        </w:rPr>
        <w:t>can be demonstrated that:</w:t>
      </w:r>
    </w:p>
    <w:p>
      <w:pPr>
        <w:pStyle w:val="ListParagraph"/>
        <w:numPr>
          <w:ilvl w:val="0"/>
          <w:numId w:val="46"/>
        </w:numPr>
        <w:tabs>
          <w:tab w:pos="1860" w:val="left" w:leader="none"/>
          <w:tab w:pos="1861" w:val="left" w:leader="none"/>
        </w:tabs>
        <w:spacing w:line="240" w:lineRule="auto" w:before="200" w:after="0"/>
        <w:ind w:left="1139" w:right="811" w:firstLine="0"/>
        <w:jc w:val="left"/>
        <w:rPr>
          <w:i/>
          <w:sz w:val="24"/>
        </w:rPr>
      </w:pPr>
      <w:r>
        <w:rPr>
          <w:i/>
          <w:sz w:val="24"/>
        </w:rPr>
        <w:t>The</w:t>
      </w:r>
      <w:r>
        <w:rPr>
          <w:i/>
          <w:spacing w:val="40"/>
          <w:sz w:val="24"/>
        </w:rPr>
        <w:t> </w:t>
      </w:r>
      <w:r>
        <w:rPr>
          <w:i/>
          <w:sz w:val="24"/>
        </w:rPr>
        <w:t>benefits</w:t>
      </w:r>
      <w:r>
        <w:rPr>
          <w:i/>
          <w:spacing w:val="40"/>
          <w:sz w:val="24"/>
        </w:rPr>
        <w:t> </w:t>
      </w:r>
      <w:r>
        <w:rPr>
          <w:i/>
          <w:sz w:val="24"/>
        </w:rPr>
        <w:t>of</w:t>
      </w:r>
      <w:r>
        <w:rPr>
          <w:i/>
          <w:spacing w:val="40"/>
          <w:sz w:val="24"/>
        </w:rPr>
        <w:t> </w:t>
      </w:r>
      <w:r>
        <w:rPr>
          <w:i/>
          <w:sz w:val="24"/>
        </w:rPr>
        <w:t>the</w:t>
      </w:r>
      <w:r>
        <w:rPr>
          <w:i/>
          <w:spacing w:val="40"/>
          <w:sz w:val="24"/>
        </w:rPr>
        <w:t> </w:t>
      </w:r>
      <w:r>
        <w:rPr>
          <w:i/>
          <w:sz w:val="24"/>
        </w:rPr>
        <w:t>restriction</w:t>
      </w:r>
      <w:r>
        <w:rPr>
          <w:i/>
          <w:spacing w:val="40"/>
          <w:sz w:val="24"/>
        </w:rPr>
        <w:t> </w:t>
      </w:r>
      <w:r>
        <w:rPr>
          <w:i/>
          <w:sz w:val="24"/>
        </w:rPr>
        <w:t>to</w:t>
      </w:r>
      <w:r>
        <w:rPr>
          <w:i/>
          <w:spacing w:val="40"/>
          <w:sz w:val="24"/>
        </w:rPr>
        <w:t> </w:t>
      </w:r>
      <w:r>
        <w:rPr>
          <w:i/>
          <w:sz w:val="24"/>
        </w:rPr>
        <w:t>the</w:t>
      </w:r>
      <w:r>
        <w:rPr>
          <w:i/>
          <w:spacing w:val="40"/>
          <w:sz w:val="24"/>
        </w:rPr>
        <w:t> </w:t>
      </w:r>
      <w:r>
        <w:rPr>
          <w:i/>
          <w:sz w:val="24"/>
        </w:rPr>
        <w:t>community</w:t>
      </w:r>
      <w:r>
        <w:rPr>
          <w:i/>
          <w:spacing w:val="40"/>
          <w:sz w:val="24"/>
        </w:rPr>
        <w:t> </w:t>
      </w:r>
      <w:r>
        <w:rPr>
          <w:i/>
          <w:sz w:val="24"/>
        </w:rPr>
        <w:t>as</w:t>
      </w:r>
      <w:r>
        <w:rPr>
          <w:i/>
          <w:spacing w:val="40"/>
          <w:sz w:val="24"/>
        </w:rPr>
        <w:t> </w:t>
      </w:r>
      <w:r>
        <w:rPr>
          <w:i/>
          <w:sz w:val="24"/>
        </w:rPr>
        <w:t>a</w:t>
      </w:r>
      <w:r>
        <w:rPr>
          <w:i/>
          <w:spacing w:val="40"/>
          <w:sz w:val="24"/>
        </w:rPr>
        <w:t> </w:t>
      </w:r>
      <w:r>
        <w:rPr>
          <w:i/>
          <w:sz w:val="24"/>
        </w:rPr>
        <w:t>whole</w:t>
      </w:r>
      <w:r>
        <w:rPr>
          <w:i/>
          <w:spacing w:val="40"/>
          <w:sz w:val="24"/>
        </w:rPr>
        <w:t> </w:t>
      </w:r>
      <w:r>
        <w:rPr>
          <w:i/>
          <w:sz w:val="24"/>
        </w:rPr>
        <w:t>outweigh the costs; and</w:t>
      </w:r>
    </w:p>
    <w:p>
      <w:pPr>
        <w:pStyle w:val="ListParagraph"/>
        <w:numPr>
          <w:ilvl w:val="0"/>
          <w:numId w:val="46"/>
        </w:numPr>
        <w:tabs>
          <w:tab w:pos="1860" w:val="left" w:leader="none"/>
          <w:tab w:pos="1861" w:val="left" w:leader="none"/>
        </w:tabs>
        <w:spacing w:line="240" w:lineRule="auto" w:before="120" w:after="0"/>
        <w:ind w:left="1139" w:right="814" w:firstLine="0"/>
        <w:jc w:val="left"/>
        <w:rPr>
          <w:i/>
          <w:sz w:val="24"/>
        </w:rPr>
      </w:pPr>
      <w:r>
        <w:rPr>
          <w:i/>
          <w:sz w:val="24"/>
        </w:rPr>
        <w:t>The</w:t>
      </w:r>
      <w:r>
        <w:rPr>
          <w:i/>
          <w:spacing w:val="80"/>
          <w:sz w:val="24"/>
        </w:rPr>
        <w:t> </w:t>
      </w:r>
      <w:r>
        <w:rPr>
          <w:i/>
          <w:sz w:val="24"/>
        </w:rPr>
        <w:t>objectives</w:t>
      </w:r>
      <w:r>
        <w:rPr>
          <w:i/>
          <w:spacing w:val="80"/>
          <w:sz w:val="24"/>
        </w:rPr>
        <w:t> </w:t>
      </w:r>
      <w:r>
        <w:rPr>
          <w:i/>
          <w:sz w:val="24"/>
        </w:rPr>
        <w:t>of</w:t>
      </w:r>
      <w:r>
        <w:rPr>
          <w:i/>
          <w:spacing w:val="80"/>
          <w:sz w:val="24"/>
        </w:rPr>
        <w:t> </w:t>
      </w:r>
      <w:r>
        <w:rPr>
          <w:i/>
          <w:sz w:val="24"/>
        </w:rPr>
        <w:t>the</w:t>
      </w:r>
      <w:r>
        <w:rPr>
          <w:i/>
          <w:spacing w:val="80"/>
          <w:sz w:val="24"/>
        </w:rPr>
        <w:t> </w:t>
      </w:r>
      <w:r>
        <w:rPr>
          <w:i/>
          <w:sz w:val="24"/>
        </w:rPr>
        <w:t>regulation</w:t>
      </w:r>
      <w:r>
        <w:rPr>
          <w:i/>
          <w:spacing w:val="80"/>
          <w:sz w:val="24"/>
        </w:rPr>
        <w:t> </w:t>
      </w:r>
      <w:r>
        <w:rPr>
          <w:i/>
          <w:sz w:val="24"/>
        </w:rPr>
        <w:t>can</w:t>
      </w:r>
      <w:r>
        <w:rPr>
          <w:i/>
          <w:spacing w:val="80"/>
          <w:sz w:val="24"/>
        </w:rPr>
        <w:t> </w:t>
      </w:r>
      <w:r>
        <w:rPr>
          <w:i/>
          <w:sz w:val="24"/>
        </w:rPr>
        <w:t>only</w:t>
      </w:r>
      <w:r>
        <w:rPr>
          <w:i/>
          <w:spacing w:val="80"/>
          <w:sz w:val="24"/>
        </w:rPr>
        <w:t> </w:t>
      </w:r>
      <w:r>
        <w:rPr>
          <w:i/>
          <w:sz w:val="24"/>
        </w:rPr>
        <w:t>be</w:t>
      </w:r>
      <w:r>
        <w:rPr>
          <w:i/>
          <w:spacing w:val="80"/>
          <w:sz w:val="24"/>
        </w:rPr>
        <w:t> </w:t>
      </w:r>
      <w:r>
        <w:rPr>
          <w:i/>
          <w:sz w:val="24"/>
        </w:rPr>
        <w:t>achieved</w:t>
      </w:r>
      <w:r>
        <w:rPr>
          <w:i/>
          <w:spacing w:val="80"/>
          <w:sz w:val="24"/>
        </w:rPr>
        <w:t> </w:t>
      </w:r>
      <w:r>
        <w:rPr>
          <w:i/>
          <w:sz w:val="24"/>
        </w:rPr>
        <w:t>by</w:t>
      </w:r>
      <w:r>
        <w:rPr>
          <w:i/>
          <w:sz w:val="24"/>
        </w:rPr>
        <w:t> restricting competition.</w:t>
      </w:r>
    </w:p>
    <w:p>
      <w:pPr>
        <w:pStyle w:val="BodyText"/>
        <w:spacing w:before="9"/>
        <w:rPr>
          <w:i/>
          <w:sz w:val="20"/>
        </w:rPr>
      </w:pPr>
    </w:p>
    <w:p>
      <w:pPr>
        <w:pStyle w:val="BodyText"/>
        <w:ind w:left="419" w:right="813"/>
        <w:jc w:val="both"/>
      </w:pPr>
      <w:r>
        <w:rPr/>
        <w:t>Clause</w:t>
      </w:r>
      <w:r>
        <w:rPr/>
        <w:t> 5(5) provides a specific obligation on parties to the agreement with regard to newly proposed legislation:</w:t>
      </w:r>
    </w:p>
    <w:p>
      <w:pPr>
        <w:spacing w:before="121"/>
        <w:ind w:left="1139" w:right="811" w:firstLine="0"/>
        <w:jc w:val="both"/>
        <w:rPr>
          <w:i/>
          <w:sz w:val="24"/>
        </w:rPr>
      </w:pPr>
      <w:r>
        <w:rPr>
          <w:i/>
          <w:sz w:val="24"/>
        </w:rPr>
        <w:t>Each party will require proposals for new legislation that restricts</w:t>
      </w:r>
      <w:r>
        <w:rPr>
          <w:i/>
          <w:sz w:val="24"/>
        </w:rPr>
        <w:t> competition to be accompanied by evidence that the restriction is consistent with the principle set out in sub-clause (1).</w:t>
      </w:r>
      <w:r>
        <w:rPr>
          <w:i/>
          <w:sz w:val="24"/>
          <w:vertAlign w:val="superscript"/>
        </w:rPr>
        <w:t>77</w:t>
      </w:r>
    </w:p>
    <w:p>
      <w:pPr>
        <w:pStyle w:val="BodyText"/>
        <w:spacing w:before="238"/>
        <w:ind w:left="419" w:right="811"/>
        <w:jc w:val="both"/>
      </w:pPr>
      <w:r>
        <w:rPr/>
        <w:t>Therefore, all RISs must include a section providing evidence that the proposed regulatory instrument is consistent with these National Competition Policy obligations.</w:t>
      </w:r>
    </w:p>
    <w:p>
      <w:pPr>
        <w:pStyle w:val="BodyText"/>
        <w:spacing w:before="10"/>
        <w:rPr>
          <w:sz w:val="20"/>
        </w:rPr>
      </w:pPr>
    </w:p>
    <w:p>
      <w:pPr>
        <w:pStyle w:val="BodyText"/>
        <w:ind w:left="420" w:right="810"/>
        <w:jc w:val="both"/>
      </w:pPr>
      <w:r>
        <w:rPr/>
        <w:t>One arguable impact of the proposed Premises Standards in relation to competition is that, by increasing the construction cost of new buildings, they provide a degree of competitive</w:t>
      </w:r>
      <w:r>
        <w:rPr>
          <w:spacing w:val="-1"/>
        </w:rPr>
        <w:t> </w:t>
      </w:r>
      <w:r>
        <w:rPr/>
        <w:t>advantage</w:t>
      </w:r>
      <w:r>
        <w:rPr>
          <w:spacing w:val="-1"/>
        </w:rPr>
        <w:t> </w:t>
      </w:r>
      <w:r>
        <w:rPr/>
        <w:t>to</w:t>
      </w:r>
      <w:r>
        <w:rPr>
          <w:spacing w:val="-1"/>
        </w:rPr>
        <w:t> </w:t>
      </w:r>
      <w:r>
        <w:rPr/>
        <w:t>existing</w:t>
      </w:r>
      <w:r>
        <w:rPr>
          <w:spacing w:val="-1"/>
        </w:rPr>
        <w:t> </w:t>
      </w:r>
      <w:r>
        <w:rPr/>
        <w:t>buildings</w:t>
      </w:r>
      <w:r>
        <w:rPr>
          <w:spacing w:val="-1"/>
        </w:rPr>
        <w:t> </w:t>
      </w:r>
      <w:r>
        <w:rPr/>
        <w:t>(which are</w:t>
      </w:r>
      <w:r>
        <w:rPr>
          <w:spacing w:val="-1"/>
        </w:rPr>
        <w:t> </w:t>
      </w:r>
      <w:r>
        <w:rPr/>
        <w:t>not captured by the requirements unless they are being upgraded).</w:t>
      </w:r>
      <w:r>
        <w:rPr>
          <w:spacing w:val="40"/>
        </w:rPr>
        <w:t> </w:t>
      </w:r>
      <w:r>
        <w:rPr/>
        <w:t>However, the size of this impact is relatively small, as indicated by the percentage cost estimates provided above, while the objectives of the regulation, insofar as they relate to the need to codify the existing DDA duties and achieve consistency between the DDA and the building law, cannot be achieved in</w:t>
      </w:r>
      <w:r>
        <w:rPr>
          <w:spacing w:val="40"/>
        </w:rPr>
        <w:t> </w:t>
      </w:r>
      <w:r>
        <w:rPr/>
        <w:t>any other manner which does not restrict competition.</w:t>
      </w:r>
      <w:r>
        <w:rPr>
          <w:spacing w:val="40"/>
        </w:rPr>
        <w:t> </w:t>
      </w:r>
      <w:r>
        <w:rPr/>
        <w:t>Moreover, this RIS argues that there is a net public benefit associated with the proposed Premises Standards, provided intangible as well as tangible impacts are properly weighed.</w:t>
      </w:r>
      <w:r>
        <w:rPr>
          <w:spacing w:val="80"/>
        </w:rPr>
        <w:t> </w:t>
      </w:r>
      <w:r>
        <w:rPr/>
        <w:t>Crucially, the proposed Premises Standards would have</w:t>
      </w:r>
      <w:r>
        <w:rPr>
          <w:spacing w:val="40"/>
        </w:rPr>
        <w:t> </w:t>
      </w:r>
      <w:r>
        <w:rPr/>
        <w:t>no adverse impact on competition within the building industry as a whole, although it would, necessarily, affect the relative prices of different building types.</w:t>
      </w:r>
      <w:r>
        <w:rPr>
          <w:spacing w:val="80"/>
        </w:rPr>
        <w:t> </w:t>
      </w:r>
      <w:r>
        <w:rPr/>
        <w:t>Therefore, the proposed Premises Standards is considered to be fully compliant with the National Competition Policy.</w:t>
      </w:r>
    </w:p>
    <w:p>
      <w:pPr>
        <w:pStyle w:val="BodyText"/>
        <w:rPr>
          <w:sz w:val="20"/>
        </w:rPr>
      </w:pPr>
    </w:p>
    <w:p>
      <w:pPr>
        <w:pStyle w:val="BodyText"/>
        <w:rPr>
          <w:sz w:val="20"/>
        </w:rPr>
      </w:pPr>
    </w:p>
    <w:p>
      <w:pPr>
        <w:pStyle w:val="BodyText"/>
        <w:spacing w:before="3"/>
        <w:rPr>
          <w:sz w:val="22"/>
        </w:rPr>
      </w:pPr>
      <w:r>
        <w:rPr/>
        <w:pict>
          <v:rect style="position:absolute;margin-left:90pt;margin-top:14.039219pt;width:144pt;height:.6pt;mso-position-horizontal-relative:page;mso-position-vertical-relative:paragraph;z-index:-15696384;mso-wrap-distance-left:0;mso-wrap-distance-right:0" id="docshape78" filled="true" fillcolor="#000000" stroked="false">
            <v:fill type="solid"/>
            <w10:wrap type="topAndBottom"/>
          </v:rect>
        </w:pict>
      </w:r>
    </w:p>
    <w:p>
      <w:pPr>
        <w:pStyle w:val="BodyText"/>
        <w:spacing w:before="6"/>
        <w:rPr>
          <w:sz w:val="18"/>
        </w:rPr>
      </w:pPr>
    </w:p>
    <w:p>
      <w:pPr>
        <w:spacing w:before="130"/>
        <w:ind w:left="420" w:right="0" w:firstLine="0"/>
        <w:jc w:val="left"/>
        <w:rPr>
          <w:sz w:val="20"/>
        </w:rPr>
      </w:pPr>
      <w:r>
        <w:rPr>
          <w:sz w:val="20"/>
          <w:vertAlign w:val="superscript"/>
        </w:rPr>
        <w:t>77</w:t>
      </w:r>
      <w:r>
        <w:rPr>
          <w:spacing w:val="-4"/>
          <w:sz w:val="20"/>
          <w:vertAlign w:val="baseline"/>
        </w:rPr>
        <w:t> </w:t>
      </w:r>
      <w:r>
        <w:rPr>
          <w:i/>
          <w:sz w:val="20"/>
          <w:vertAlign w:val="baseline"/>
        </w:rPr>
        <w:t>Competition</w:t>
      </w:r>
      <w:r>
        <w:rPr>
          <w:i/>
          <w:spacing w:val="-3"/>
          <w:sz w:val="20"/>
          <w:vertAlign w:val="baseline"/>
        </w:rPr>
        <w:t> </w:t>
      </w:r>
      <w:r>
        <w:rPr>
          <w:i/>
          <w:sz w:val="20"/>
          <w:vertAlign w:val="baseline"/>
        </w:rPr>
        <w:t>Principles</w:t>
      </w:r>
      <w:r>
        <w:rPr>
          <w:i/>
          <w:spacing w:val="-2"/>
          <w:sz w:val="20"/>
          <w:vertAlign w:val="baseline"/>
        </w:rPr>
        <w:t> </w:t>
      </w:r>
      <w:r>
        <w:rPr>
          <w:i/>
          <w:sz w:val="20"/>
          <w:vertAlign w:val="baseline"/>
        </w:rPr>
        <w:t>Agreement</w:t>
      </w:r>
      <w:r>
        <w:rPr>
          <w:sz w:val="20"/>
          <w:vertAlign w:val="baseline"/>
        </w:rPr>
        <w:t>,</w:t>
      </w:r>
      <w:r>
        <w:rPr>
          <w:spacing w:val="-3"/>
          <w:sz w:val="20"/>
          <w:vertAlign w:val="baseline"/>
        </w:rPr>
        <w:t> </w:t>
      </w:r>
      <w:r>
        <w:rPr>
          <w:sz w:val="20"/>
          <w:vertAlign w:val="baseline"/>
        </w:rPr>
        <w:t>Clause</w:t>
      </w:r>
      <w:r>
        <w:rPr>
          <w:spacing w:val="-4"/>
          <w:sz w:val="20"/>
          <w:vertAlign w:val="baseline"/>
        </w:rPr>
        <w:t> </w:t>
      </w:r>
      <w:r>
        <w:rPr>
          <w:sz w:val="20"/>
          <w:vertAlign w:val="baseline"/>
        </w:rPr>
        <w:t>5.</w:t>
      </w:r>
      <w:r>
        <w:rPr>
          <w:spacing w:val="50"/>
          <w:sz w:val="20"/>
          <w:vertAlign w:val="baseline"/>
        </w:rPr>
        <w:t> </w:t>
      </w:r>
      <w:r>
        <w:rPr>
          <w:sz w:val="20"/>
          <w:vertAlign w:val="baseline"/>
        </w:rPr>
        <w:t>1995.</w:t>
      </w:r>
      <w:r>
        <w:rPr>
          <w:spacing w:val="50"/>
          <w:sz w:val="20"/>
          <w:vertAlign w:val="baseline"/>
        </w:rPr>
        <w:t> </w:t>
      </w:r>
      <w:r>
        <w:rPr>
          <w:sz w:val="20"/>
          <w:vertAlign w:val="baseline"/>
        </w:rPr>
        <w:t>See:</w:t>
      </w:r>
      <w:r>
        <w:rPr>
          <w:spacing w:val="51"/>
          <w:sz w:val="20"/>
          <w:vertAlign w:val="baseline"/>
        </w:rPr>
        <w:t> </w:t>
      </w:r>
      <w:hyperlink r:id="rId24">
        <w:r>
          <w:rPr>
            <w:color w:val="0000FF"/>
            <w:spacing w:val="-2"/>
            <w:sz w:val="20"/>
            <w:u w:val="single" w:color="0000FF"/>
            <w:vertAlign w:val="baseline"/>
          </w:rPr>
          <w:t>www.ncc.gov.au</w:t>
        </w:r>
      </w:hyperlink>
    </w:p>
    <w:p>
      <w:pPr>
        <w:spacing w:after="0"/>
        <w:jc w:val="left"/>
        <w:rPr>
          <w:sz w:val="20"/>
        </w:rPr>
        <w:sectPr>
          <w:pgSz w:w="11900" w:h="16840"/>
          <w:pgMar w:header="0" w:footer="1130" w:top="1240" w:bottom="1320" w:left="1380" w:right="980"/>
        </w:sectPr>
      </w:pPr>
    </w:p>
    <w:p>
      <w:pPr>
        <w:pStyle w:val="Heading1"/>
      </w:pPr>
      <w:bookmarkStart w:name="_TOC_250004" w:id="158"/>
      <w:bookmarkStart w:name="Glossary" w:id="159"/>
      <w:r>
        <w:rPr>
          <w:b w:val="0"/>
        </w:rPr>
      </w:r>
      <w:bookmarkEnd w:id="158"/>
      <w:r>
        <w:rPr>
          <w:spacing w:val="-2"/>
        </w:rPr>
        <w:t>Glossary</w:t>
      </w:r>
    </w:p>
    <w:p>
      <w:pPr>
        <w:pStyle w:val="BodyText"/>
        <w:spacing w:before="2"/>
        <w:rPr>
          <w:b/>
          <w:sz w:val="23"/>
        </w:rPr>
      </w:pPr>
    </w:p>
    <w:p>
      <w:pPr>
        <w:spacing w:after="0"/>
        <w:rPr>
          <w:sz w:val="23"/>
        </w:rPr>
        <w:sectPr>
          <w:pgSz w:w="11900" w:h="16840"/>
          <w:pgMar w:header="0" w:footer="1130" w:top="1000" w:bottom="1320" w:left="1380" w:right="980"/>
        </w:sectPr>
      </w:pPr>
    </w:p>
    <w:p>
      <w:pPr>
        <w:pStyle w:val="BodyText"/>
        <w:spacing w:line="343" w:lineRule="auto" w:before="92"/>
        <w:ind w:left="420" w:right="35"/>
      </w:pPr>
      <w:r>
        <w:rPr>
          <w:spacing w:val="-4"/>
        </w:rPr>
        <w:t>ABCB ABS ADA AHRC </w:t>
      </w:r>
      <w:r>
        <w:rPr>
          <w:spacing w:val="-6"/>
        </w:rPr>
        <w:t>AS </w:t>
      </w:r>
      <w:r>
        <w:rPr>
          <w:spacing w:val="-4"/>
        </w:rPr>
        <w:t>APCC BAPC BCA DDA DTS NLA NPV OBPR </w:t>
      </w:r>
      <w:r>
        <w:rPr>
          <w:spacing w:val="-6"/>
        </w:rPr>
        <w:t>PV </w:t>
      </w:r>
      <w:r>
        <w:rPr>
          <w:spacing w:val="-4"/>
        </w:rPr>
        <w:t>RIS TWG UJH </w:t>
      </w:r>
      <w:r>
        <w:rPr>
          <w:spacing w:val="-6"/>
        </w:rPr>
        <w:t>US </w:t>
      </w:r>
      <w:r>
        <w:rPr>
          <w:spacing w:val="-4"/>
        </w:rPr>
        <w:t>VBC</w:t>
      </w:r>
    </w:p>
    <w:p>
      <w:pPr>
        <w:pStyle w:val="BodyText"/>
        <w:spacing w:line="343" w:lineRule="auto" w:before="92"/>
        <w:ind w:left="420" w:right="3270"/>
      </w:pPr>
      <w:r>
        <w:rPr/>
        <w:br w:type="column"/>
      </w:r>
      <w:r>
        <w:rPr/>
        <w:t>Australian Building Codes Board Australian Bureau of Statistics Americans with Disabilities Act Australian</w:t>
      </w:r>
      <w:r>
        <w:rPr>
          <w:spacing w:val="-14"/>
        </w:rPr>
        <w:t> </w:t>
      </w:r>
      <w:r>
        <w:rPr/>
        <w:t>Human</w:t>
      </w:r>
      <w:r>
        <w:rPr>
          <w:spacing w:val="-14"/>
        </w:rPr>
        <w:t> </w:t>
      </w:r>
      <w:r>
        <w:rPr/>
        <w:t>Rights</w:t>
      </w:r>
      <w:r>
        <w:rPr>
          <w:spacing w:val="-14"/>
        </w:rPr>
        <w:t> </w:t>
      </w:r>
      <w:r>
        <w:rPr/>
        <w:t>Commission Australian Standards</w:t>
      </w:r>
    </w:p>
    <w:p>
      <w:pPr>
        <w:pStyle w:val="BodyText"/>
        <w:spacing w:line="343" w:lineRule="auto" w:before="7"/>
        <w:ind w:left="420" w:right="1523"/>
      </w:pPr>
      <w:r>
        <w:rPr/>
        <w:t>Australian</w:t>
      </w:r>
      <w:r>
        <w:rPr>
          <w:spacing w:val="-10"/>
        </w:rPr>
        <w:t> </w:t>
      </w:r>
      <w:r>
        <w:rPr/>
        <w:t>Procurement</w:t>
      </w:r>
      <w:r>
        <w:rPr>
          <w:spacing w:val="-10"/>
        </w:rPr>
        <w:t> </w:t>
      </w:r>
      <w:r>
        <w:rPr/>
        <w:t>and</w:t>
      </w:r>
      <w:r>
        <w:rPr>
          <w:spacing w:val="-11"/>
        </w:rPr>
        <w:t> </w:t>
      </w:r>
      <w:r>
        <w:rPr/>
        <w:t>Construction</w:t>
      </w:r>
      <w:r>
        <w:rPr>
          <w:spacing w:val="-10"/>
        </w:rPr>
        <w:t> </w:t>
      </w:r>
      <w:r>
        <w:rPr/>
        <w:t>Council Building Access Policy Committee</w:t>
      </w:r>
    </w:p>
    <w:p>
      <w:pPr>
        <w:pStyle w:val="BodyText"/>
        <w:spacing w:line="343" w:lineRule="auto" w:before="3"/>
        <w:ind w:left="420" w:right="4623"/>
      </w:pPr>
      <w:r>
        <w:rPr/>
        <w:t>Building Code of Australia Disability</w:t>
      </w:r>
      <w:r>
        <w:rPr>
          <w:spacing w:val="-17"/>
        </w:rPr>
        <w:t> </w:t>
      </w:r>
      <w:r>
        <w:rPr/>
        <w:t>Discrimination</w:t>
      </w:r>
      <w:r>
        <w:rPr>
          <w:spacing w:val="-17"/>
        </w:rPr>
        <w:t> </w:t>
      </w:r>
      <w:r>
        <w:rPr/>
        <w:t>Act </w:t>
      </w:r>
      <w:r>
        <w:rPr>
          <w:spacing w:val="-2"/>
        </w:rPr>
        <w:t>Deemed-to-Satisfy</w:t>
      </w:r>
    </w:p>
    <w:p>
      <w:pPr>
        <w:pStyle w:val="BodyText"/>
        <w:spacing w:line="343" w:lineRule="auto" w:before="4"/>
        <w:ind w:left="420" w:right="5350"/>
      </w:pPr>
      <w:r>
        <w:rPr/>
        <w:t>Net Lettable Area Net</w:t>
      </w:r>
      <w:r>
        <w:rPr>
          <w:spacing w:val="-17"/>
        </w:rPr>
        <w:t> </w:t>
      </w:r>
      <w:r>
        <w:rPr/>
        <w:t>Present</w:t>
      </w:r>
      <w:r>
        <w:rPr>
          <w:spacing w:val="-17"/>
        </w:rPr>
        <w:t> </w:t>
      </w:r>
      <w:r>
        <w:rPr/>
        <w:t>Value</w:t>
      </w:r>
    </w:p>
    <w:p>
      <w:pPr>
        <w:pStyle w:val="BodyText"/>
        <w:spacing w:line="343" w:lineRule="auto" w:before="3"/>
        <w:ind w:left="420" w:right="3270"/>
      </w:pPr>
      <w:r>
        <w:rPr/>
        <w:t>Office</w:t>
      </w:r>
      <w:r>
        <w:rPr>
          <w:spacing w:val="-9"/>
        </w:rPr>
        <w:t> </w:t>
      </w:r>
      <w:r>
        <w:rPr/>
        <w:t>of</w:t>
      </w:r>
      <w:r>
        <w:rPr>
          <w:spacing w:val="-9"/>
        </w:rPr>
        <w:t> </w:t>
      </w:r>
      <w:r>
        <w:rPr/>
        <w:t>Best</w:t>
      </w:r>
      <w:r>
        <w:rPr>
          <w:spacing w:val="-9"/>
        </w:rPr>
        <w:t> </w:t>
      </w:r>
      <w:r>
        <w:rPr/>
        <w:t>Practice</w:t>
      </w:r>
      <w:r>
        <w:rPr>
          <w:spacing w:val="-9"/>
        </w:rPr>
        <w:t> </w:t>
      </w:r>
      <w:r>
        <w:rPr/>
        <w:t>Regulation Present Value</w:t>
      </w:r>
    </w:p>
    <w:p>
      <w:pPr>
        <w:pStyle w:val="BodyText"/>
        <w:spacing w:line="343" w:lineRule="auto" w:before="2"/>
        <w:ind w:left="420" w:right="3576"/>
      </w:pPr>
      <w:r>
        <w:rPr/>
        <w:t>Regulation</w:t>
      </w:r>
      <w:r>
        <w:rPr>
          <w:spacing w:val="-17"/>
        </w:rPr>
        <w:t> </w:t>
      </w:r>
      <w:r>
        <w:rPr/>
        <w:t>Impact</w:t>
      </w:r>
      <w:r>
        <w:rPr>
          <w:spacing w:val="-17"/>
        </w:rPr>
        <w:t> </w:t>
      </w:r>
      <w:r>
        <w:rPr/>
        <w:t>Statement Technical Working Group Unjustifiable Hardship</w:t>
      </w:r>
    </w:p>
    <w:p>
      <w:pPr>
        <w:pStyle w:val="BodyText"/>
        <w:spacing w:before="3"/>
        <w:ind w:left="420"/>
      </w:pPr>
      <w:r>
        <w:rPr/>
        <w:t>United</w:t>
      </w:r>
      <w:r>
        <w:rPr>
          <w:spacing w:val="-13"/>
        </w:rPr>
        <w:t> </w:t>
      </w:r>
      <w:r>
        <w:rPr>
          <w:spacing w:val="-2"/>
        </w:rPr>
        <w:t>States</w:t>
      </w:r>
    </w:p>
    <w:p>
      <w:pPr>
        <w:pStyle w:val="BodyText"/>
        <w:spacing w:before="120"/>
        <w:ind w:left="420"/>
      </w:pPr>
      <w:r>
        <w:rPr/>
        <w:t>Victorian</w:t>
      </w:r>
      <w:r>
        <w:rPr>
          <w:spacing w:val="-8"/>
        </w:rPr>
        <w:t> </w:t>
      </w:r>
      <w:r>
        <w:rPr/>
        <w:t>Building</w:t>
      </w:r>
      <w:r>
        <w:rPr>
          <w:spacing w:val="-7"/>
        </w:rPr>
        <w:t> </w:t>
      </w:r>
      <w:r>
        <w:rPr>
          <w:spacing w:val="-2"/>
        </w:rPr>
        <w:t>Commission</w:t>
      </w:r>
    </w:p>
    <w:p>
      <w:pPr>
        <w:spacing w:after="0"/>
        <w:sectPr>
          <w:type w:val="continuous"/>
          <w:pgSz w:w="11900" w:h="16840"/>
          <w:pgMar w:header="0" w:footer="1130" w:top="1500" w:bottom="280" w:left="1380" w:right="980"/>
          <w:cols w:num="2" w:equalWidth="0">
            <w:col w:w="1140" w:space="408"/>
            <w:col w:w="7992"/>
          </w:cols>
        </w:sectPr>
      </w:pPr>
    </w:p>
    <w:p>
      <w:pPr>
        <w:pStyle w:val="Heading1"/>
        <w:jc w:val="both"/>
      </w:pPr>
      <w:bookmarkStart w:name="_TOC_250003" w:id="160"/>
      <w:bookmarkStart w:name=" Appendix A: Description of RIS Costing " w:id="161"/>
      <w:r>
        <w:rPr>
          <w:b w:val="0"/>
        </w:rPr>
      </w:r>
      <w:r>
        <w:rPr/>
        <w:t>Appendix</w:t>
      </w:r>
      <w:r>
        <w:rPr>
          <w:spacing w:val="-16"/>
        </w:rPr>
        <w:t> </w:t>
      </w:r>
      <w:r>
        <w:rPr/>
        <w:t>A:</w:t>
      </w:r>
      <w:r>
        <w:rPr>
          <w:spacing w:val="49"/>
        </w:rPr>
        <w:t>  </w:t>
      </w:r>
      <w:r>
        <w:rPr/>
        <w:t>Description</w:t>
      </w:r>
      <w:r>
        <w:rPr>
          <w:spacing w:val="-4"/>
        </w:rPr>
        <w:t> </w:t>
      </w:r>
      <w:r>
        <w:rPr/>
        <w:t>of</w:t>
      </w:r>
      <w:r>
        <w:rPr>
          <w:spacing w:val="-5"/>
        </w:rPr>
        <w:t> </w:t>
      </w:r>
      <w:r>
        <w:rPr/>
        <w:t>RIS</w:t>
      </w:r>
      <w:r>
        <w:rPr>
          <w:spacing w:val="-4"/>
        </w:rPr>
        <w:t> </w:t>
      </w:r>
      <w:r>
        <w:rPr/>
        <w:t>Costing</w:t>
      </w:r>
      <w:r>
        <w:rPr>
          <w:spacing w:val="-4"/>
        </w:rPr>
        <w:t> </w:t>
      </w:r>
      <w:bookmarkEnd w:id="160"/>
      <w:r>
        <w:rPr>
          <w:spacing w:val="-2"/>
        </w:rPr>
        <w:t>Methodology</w:t>
      </w:r>
    </w:p>
    <w:p>
      <w:pPr>
        <w:pStyle w:val="BodyText"/>
        <w:spacing w:before="239"/>
        <w:ind w:left="420" w:right="811"/>
        <w:jc w:val="both"/>
      </w:pPr>
      <w:r>
        <w:rPr/>
        <w:t>In determining standards, the BCA incorporates a hierarchy of regulatory provisions, commencing with an explicit statement of objectives and then becoming</w:t>
      </w:r>
      <w:r>
        <w:rPr>
          <w:spacing w:val="-2"/>
        </w:rPr>
        <w:t> </w:t>
      </w:r>
      <w:r>
        <w:rPr/>
        <w:t>increasingly specific</w:t>
      </w:r>
      <w:r>
        <w:rPr>
          <w:spacing w:val="-1"/>
        </w:rPr>
        <w:t> </w:t>
      </w:r>
      <w:r>
        <w:rPr/>
        <w:t>in</w:t>
      </w:r>
      <w:r>
        <w:rPr>
          <w:spacing w:val="-2"/>
        </w:rPr>
        <w:t> </w:t>
      </w:r>
      <w:r>
        <w:rPr/>
        <w:t>terms</w:t>
      </w:r>
      <w:r>
        <w:rPr>
          <w:spacing w:val="-1"/>
        </w:rPr>
        <w:t> </w:t>
      </w:r>
      <w:r>
        <w:rPr/>
        <w:t>of the</w:t>
      </w:r>
      <w:r>
        <w:rPr>
          <w:spacing w:val="-2"/>
        </w:rPr>
        <w:t> </w:t>
      </w:r>
      <w:r>
        <w:rPr/>
        <w:t>implementation of</w:t>
      </w:r>
      <w:r>
        <w:rPr>
          <w:spacing w:val="-1"/>
        </w:rPr>
        <w:t> </w:t>
      </w:r>
      <w:r>
        <w:rPr/>
        <w:t>that</w:t>
      </w:r>
      <w:r>
        <w:rPr>
          <w:spacing w:val="-1"/>
        </w:rPr>
        <w:t> </w:t>
      </w:r>
      <w:r>
        <w:rPr/>
        <w:t>objective in</w:t>
      </w:r>
      <w:r>
        <w:rPr>
          <w:spacing w:val="-2"/>
        </w:rPr>
        <w:t> </w:t>
      </w:r>
      <w:r>
        <w:rPr/>
        <w:t>practice.</w:t>
      </w:r>
      <w:r>
        <w:rPr>
          <w:spacing w:val="40"/>
        </w:rPr>
        <w:t> </w:t>
      </w:r>
      <w:r>
        <w:rPr/>
        <w:t>A</w:t>
      </w:r>
      <w:r>
        <w:rPr>
          <w:spacing w:val="-2"/>
        </w:rPr>
        <w:t> </w:t>
      </w:r>
      <w:r>
        <w:rPr/>
        <w:t>set</w:t>
      </w:r>
      <w:r>
        <w:rPr>
          <w:spacing w:val="-2"/>
        </w:rPr>
        <w:t> </w:t>
      </w:r>
      <w:r>
        <w:rPr/>
        <w:t>of</w:t>
      </w:r>
      <w:r>
        <w:rPr>
          <w:spacing w:val="-2"/>
        </w:rPr>
        <w:t> </w:t>
      </w:r>
      <w:r>
        <w:rPr/>
        <w:t>detailed,</w:t>
      </w:r>
      <w:r>
        <w:rPr>
          <w:spacing w:val="-2"/>
        </w:rPr>
        <w:t> </w:t>
      </w:r>
      <w:r>
        <w:rPr/>
        <w:t>prescriptive</w:t>
      </w:r>
      <w:r>
        <w:rPr>
          <w:spacing w:val="-1"/>
        </w:rPr>
        <w:t> </w:t>
      </w:r>
      <w:r>
        <w:rPr/>
        <w:t>DTS</w:t>
      </w:r>
      <w:r>
        <w:rPr>
          <w:spacing w:val="-2"/>
        </w:rPr>
        <w:t> </w:t>
      </w:r>
      <w:r>
        <w:rPr/>
        <w:t>requirements</w:t>
      </w:r>
      <w:r>
        <w:rPr>
          <w:spacing w:val="-2"/>
        </w:rPr>
        <w:t> </w:t>
      </w:r>
      <w:r>
        <w:rPr/>
        <w:t>is</w:t>
      </w:r>
      <w:r>
        <w:rPr>
          <w:spacing w:val="-2"/>
        </w:rPr>
        <w:t> </w:t>
      </w:r>
      <w:r>
        <w:rPr/>
        <w:t>provided</w:t>
      </w:r>
      <w:r>
        <w:rPr>
          <w:spacing w:val="-2"/>
        </w:rPr>
        <w:t> </w:t>
      </w:r>
      <w:r>
        <w:rPr/>
        <w:t>at</w:t>
      </w:r>
      <w:r>
        <w:rPr>
          <w:spacing w:val="-2"/>
        </w:rPr>
        <w:t> </w:t>
      </w:r>
      <w:r>
        <w:rPr/>
        <w:t>the base</w:t>
      </w:r>
      <w:r>
        <w:rPr>
          <w:spacing w:val="-2"/>
        </w:rPr>
        <w:t> </w:t>
      </w:r>
      <w:r>
        <w:rPr/>
        <w:t>of</w:t>
      </w:r>
      <w:r>
        <w:rPr>
          <w:spacing w:val="-2"/>
        </w:rPr>
        <w:t> </w:t>
      </w:r>
      <w:r>
        <w:rPr/>
        <w:t>this</w:t>
      </w:r>
      <w:r>
        <w:rPr>
          <w:spacing w:val="-2"/>
        </w:rPr>
        <w:t> </w:t>
      </w:r>
      <w:r>
        <w:rPr/>
        <w:t>hierarchy,</w:t>
      </w:r>
      <w:r>
        <w:rPr>
          <w:spacing w:val="-1"/>
        </w:rPr>
        <w:t> </w:t>
      </w:r>
      <w:r>
        <w:rPr/>
        <w:t>with</w:t>
      </w:r>
      <w:r>
        <w:rPr>
          <w:spacing w:val="-2"/>
        </w:rPr>
        <w:t> </w:t>
      </w:r>
      <w:r>
        <w:rPr/>
        <w:t>the</w:t>
      </w:r>
      <w:r>
        <w:rPr>
          <w:spacing w:val="-2"/>
        </w:rPr>
        <w:t> </w:t>
      </w:r>
      <w:r>
        <w:rPr/>
        <w:t>purpose</w:t>
      </w:r>
      <w:r>
        <w:rPr>
          <w:spacing w:val="-2"/>
        </w:rPr>
        <w:t> </w:t>
      </w:r>
      <w:r>
        <w:rPr/>
        <w:t>of providing</w:t>
      </w:r>
      <w:r>
        <w:rPr>
          <w:spacing w:val="-2"/>
        </w:rPr>
        <w:t> </w:t>
      </w:r>
      <w:r>
        <w:rPr/>
        <w:t>certainty</w:t>
      </w:r>
      <w:r>
        <w:rPr>
          <w:spacing w:val="-2"/>
        </w:rPr>
        <w:t> </w:t>
      </w:r>
      <w:r>
        <w:rPr/>
        <w:t>that</w:t>
      </w:r>
      <w:r>
        <w:rPr>
          <w:spacing w:val="-2"/>
        </w:rPr>
        <w:t> </w:t>
      </w:r>
      <w:r>
        <w:rPr/>
        <w:t>designs</w:t>
      </w:r>
      <w:r>
        <w:rPr>
          <w:spacing w:val="-2"/>
        </w:rPr>
        <w:t> </w:t>
      </w:r>
      <w:r>
        <w:rPr/>
        <w:t>that conform to these provisions will conform with the regulatory requirements.</w:t>
      </w:r>
    </w:p>
    <w:p>
      <w:pPr>
        <w:pStyle w:val="BodyText"/>
      </w:pPr>
    </w:p>
    <w:p>
      <w:pPr>
        <w:pStyle w:val="BodyText"/>
        <w:ind w:left="420" w:right="811"/>
        <w:jc w:val="both"/>
      </w:pPr>
      <w:r>
        <w:rPr/>
        <w:t>This overall approach reflects the fact that widely recognised regulatory best practice is to specify performance standards which allow those who must comply with regulation maximum flexibility in meeting the </w:t>
      </w:r>
      <w:r>
        <w:rPr/>
        <w:t>underlying</w:t>
      </w:r>
      <w:r>
        <w:rPr>
          <w:spacing w:val="40"/>
        </w:rPr>
        <w:t> </w:t>
      </w:r>
      <w:r>
        <w:rPr/>
        <w:t>regulatory standard.</w:t>
      </w:r>
      <w:r>
        <w:rPr>
          <w:spacing w:val="40"/>
        </w:rPr>
        <w:t> </w:t>
      </w:r>
      <w:r>
        <w:rPr/>
        <w:t>A particular benefit of performance based regulation is that it does not lock in a particular means of meeting a standard when technology and accepted practice may offer lower cost or more appropriate approaches in the future.</w:t>
      </w:r>
    </w:p>
    <w:p>
      <w:pPr>
        <w:pStyle w:val="BodyText"/>
      </w:pPr>
    </w:p>
    <w:p>
      <w:pPr>
        <w:pStyle w:val="BodyText"/>
        <w:ind w:left="420" w:right="810"/>
        <w:jc w:val="both"/>
      </w:pPr>
      <w:r>
        <w:rPr/>
        <w:t>The use of DTS provisions reflects the need in many regulatory contexts to provide clear guidance as to specific actions that would be held to satisfy the performance standards.</w:t>
      </w:r>
      <w:r>
        <w:rPr>
          <w:spacing w:val="80"/>
        </w:rPr>
        <w:t> </w:t>
      </w:r>
      <w:r>
        <w:rPr/>
        <w:t>Such guidance assists in allowing regulatory certainty to be maintained, by eliminating the need for small business and other groups with relatively limited resources, in particular, to interpret the performance standards in order to determine the specific regulatory compliance requirements that apply to them.</w:t>
      </w:r>
    </w:p>
    <w:p>
      <w:pPr>
        <w:pStyle w:val="BodyText"/>
        <w:spacing w:before="10"/>
        <w:rPr>
          <w:sz w:val="23"/>
        </w:rPr>
      </w:pPr>
    </w:p>
    <w:p>
      <w:pPr>
        <w:pStyle w:val="BodyText"/>
        <w:spacing w:before="1"/>
        <w:ind w:left="420" w:right="811"/>
        <w:jc w:val="both"/>
      </w:pPr>
      <w:r>
        <w:rPr/>
        <w:t>In this context, compliance with the DTS specification represents, by</w:t>
      </w:r>
      <w:r>
        <w:rPr>
          <w:spacing w:val="40"/>
        </w:rPr>
        <w:t> </w:t>
      </w:r>
      <w:r>
        <w:rPr/>
        <w:t>definition, the upper bound limit of the range of possible compliance costs attached to the performance based regulatory standard.</w:t>
      </w:r>
      <w:r>
        <w:rPr>
          <w:spacing w:val="80"/>
        </w:rPr>
        <w:t> </w:t>
      </w:r>
      <w:r>
        <w:rPr/>
        <w:t>This is because those who must comply remain free to offer an alternative approach which may be less expensive in their particular circumstances.</w:t>
      </w:r>
    </w:p>
    <w:p>
      <w:pPr>
        <w:pStyle w:val="BodyText"/>
      </w:pPr>
    </w:p>
    <w:p>
      <w:pPr>
        <w:pStyle w:val="BodyText"/>
        <w:ind w:left="420" w:right="811"/>
        <w:jc w:val="both"/>
      </w:pPr>
      <w:r>
        <w:rPr/>
        <w:t>The DTS provisions of the BCA – which are also contained in the Premises Standards – necessarily forms the basis of the cost analysis to be undertaken for this proposal.</w:t>
      </w:r>
      <w:r>
        <w:rPr>
          <w:spacing w:val="40"/>
        </w:rPr>
        <w:t> </w:t>
      </w:r>
      <w:r>
        <w:rPr/>
        <w:t>This is a normal practice in estimating the costs of performance based regulation, since the DTS provisions provide the only detailed basis on which to construct cost estimates.</w:t>
      </w:r>
      <w:r>
        <w:rPr>
          <w:spacing w:val="40"/>
        </w:rPr>
        <w:t> </w:t>
      </w:r>
      <w:r>
        <w:rPr/>
        <w:t>While other options may offer lower costs in particular cases, these different means of complying cannot be inferred in advance of the adoption of the regulations.</w:t>
      </w:r>
    </w:p>
    <w:p>
      <w:pPr>
        <w:pStyle w:val="BodyText"/>
      </w:pPr>
    </w:p>
    <w:p>
      <w:pPr>
        <w:pStyle w:val="BodyText"/>
        <w:ind w:left="420" w:right="811"/>
        <w:jc w:val="both"/>
      </w:pPr>
      <w:r>
        <w:rPr/>
        <w:t>Thus, it must be noted at the outset that the cost estimates made, based on the DTS requirements, will necessarily tend to be over-estimates of the true costs that will be incurred, to some degree.</w:t>
      </w:r>
      <w:r>
        <w:rPr>
          <w:spacing w:val="40"/>
        </w:rPr>
        <w:t> </w:t>
      </w:r>
      <w:r>
        <w:rPr/>
        <w:t>The extent of any such over- estimation in practice is determined by the frequency with which alternative, less</w:t>
      </w:r>
      <w:r>
        <w:rPr>
          <w:spacing w:val="-4"/>
        </w:rPr>
        <w:t> </w:t>
      </w:r>
      <w:r>
        <w:rPr/>
        <w:t>costly,</w:t>
      </w:r>
      <w:r>
        <w:rPr>
          <w:spacing w:val="-2"/>
        </w:rPr>
        <w:t> </w:t>
      </w:r>
      <w:r>
        <w:rPr/>
        <w:t>solutions</w:t>
      </w:r>
      <w:r>
        <w:rPr>
          <w:spacing w:val="-4"/>
        </w:rPr>
        <w:t> </w:t>
      </w:r>
      <w:r>
        <w:rPr/>
        <w:t>are</w:t>
      </w:r>
      <w:r>
        <w:rPr>
          <w:spacing w:val="-4"/>
        </w:rPr>
        <w:t> </w:t>
      </w:r>
      <w:r>
        <w:rPr/>
        <w:t>developed</w:t>
      </w:r>
      <w:r>
        <w:rPr>
          <w:spacing w:val="-4"/>
        </w:rPr>
        <w:t> </w:t>
      </w:r>
      <w:r>
        <w:rPr/>
        <w:t>to</w:t>
      </w:r>
      <w:r>
        <w:rPr>
          <w:spacing w:val="-3"/>
        </w:rPr>
        <w:t> </w:t>
      </w:r>
      <w:r>
        <w:rPr/>
        <w:t>reach</w:t>
      </w:r>
      <w:r>
        <w:rPr>
          <w:spacing w:val="-4"/>
        </w:rPr>
        <w:t> </w:t>
      </w:r>
      <w:r>
        <w:rPr/>
        <w:t>compliance</w:t>
      </w:r>
      <w:r>
        <w:rPr>
          <w:spacing w:val="-4"/>
        </w:rPr>
        <w:t> </w:t>
      </w:r>
      <w:r>
        <w:rPr/>
        <w:t>with</w:t>
      </w:r>
      <w:r>
        <w:rPr>
          <w:spacing w:val="-4"/>
        </w:rPr>
        <w:t> </w:t>
      </w:r>
      <w:r>
        <w:rPr/>
        <w:t>the</w:t>
      </w:r>
      <w:r>
        <w:rPr>
          <w:spacing w:val="-4"/>
        </w:rPr>
        <w:t> </w:t>
      </w:r>
      <w:r>
        <w:rPr/>
        <w:t>performance </w:t>
      </w:r>
      <w:r>
        <w:rPr>
          <w:spacing w:val="-2"/>
        </w:rPr>
        <w:t>requirements.</w:t>
      </w:r>
    </w:p>
    <w:p>
      <w:pPr>
        <w:pStyle w:val="BodyText"/>
      </w:pPr>
    </w:p>
    <w:p>
      <w:pPr>
        <w:pStyle w:val="BodyText"/>
        <w:ind w:left="420" w:right="812"/>
        <w:jc w:val="both"/>
      </w:pPr>
      <w:r>
        <w:rPr/>
        <w:t>In employing this approach, the costs are treated as non-compensable. That is, no offsetting (economic) gains are allocated to them.</w:t>
      </w:r>
      <w:r>
        <w:rPr>
          <w:spacing w:val="40"/>
        </w:rPr>
        <w:t> </w:t>
      </w:r>
      <w:r>
        <w:rPr/>
        <w:t>This is a necessary simplifying assumption.</w:t>
      </w:r>
      <w:r>
        <w:rPr>
          <w:spacing w:val="40"/>
        </w:rPr>
        <w:t> </w:t>
      </w:r>
      <w:r>
        <w:rPr/>
        <w:t>Although the gains would not measure up to the builder/customer’s estimate of the costs (or regulation would normally be unnecessary) some gains to parties other than people with a disability can be</w:t>
      </w:r>
    </w:p>
    <w:p>
      <w:pPr>
        <w:spacing w:after="0"/>
        <w:jc w:val="both"/>
        <w:sectPr>
          <w:pgSz w:w="11900" w:h="16840"/>
          <w:pgMar w:header="0" w:footer="1130" w:top="1120" w:bottom="1320" w:left="1380" w:right="980"/>
        </w:sectPr>
      </w:pPr>
    </w:p>
    <w:p>
      <w:pPr>
        <w:pStyle w:val="BodyText"/>
        <w:spacing w:before="75"/>
        <w:ind w:left="420" w:right="810"/>
        <w:jc w:val="both"/>
      </w:pPr>
      <w:r>
        <w:rPr/>
        <w:t>expected to result from implementation of the Premises Standards.</w:t>
      </w:r>
      <w:r>
        <w:rPr>
          <w:spacing w:val="40"/>
        </w:rPr>
        <w:t> </w:t>
      </w:r>
      <w:r>
        <w:rPr/>
        <w:t>These would derive from better design, improved flow, better facilities for people with children or those with only a slight disability and so on.</w:t>
      </w:r>
      <w:r>
        <w:rPr>
          <w:spacing w:val="40"/>
        </w:rPr>
        <w:t> </w:t>
      </w:r>
      <w:r>
        <w:rPr/>
        <w:t>These gains are not quantified in the RIS.</w:t>
      </w:r>
    </w:p>
    <w:p>
      <w:pPr>
        <w:pStyle w:val="BodyText"/>
      </w:pPr>
    </w:p>
    <w:p>
      <w:pPr>
        <w:pStyle w:val="BodyText"/>
        <w:ind w:left="420" w:right="811"/>
        <w:jc w:val="both"/>
      </w:pPr>
      <w:r>
        <w:rPr/>
        <w:t>A third assumption is that buildings are currently built only to the standard required by the BCA.</w:t>
      </w:r>
      <w:r>
        <w:rPr>
          <w:spacing w:val="40"/>
        </w:rPr>
        <w:t> </w:t>
      </w:r>
      <w:r>
        <w:rPr/>
        <w:t>That is, it is assumed that building designers are not varying their designs to take account of the general DDA obligations that already exist in respect of access to premises, other than where the BCA creates specific requirements. Again, this is a necessary simplifying assumption, given that adequate information on the extent to which buildings are already incorporating higher standards of access is not available.</w:t>
      </w:r>
    </w:p>
    <w:p>
      <w:pPr>
        <w:pStyle w:val="BodyText"/>
      </w:pPr>
    </w:p>
    <w:p>
      <w:pPr>
        <w:pStyle w:val="BodyText"/>
        <w:spacing w:before="1"/>
        <w:ind w:left="420" w:right="811"/>
        <w:jc w:val="both"/>
      </w:pPr>
      <w:r>
        <w:rPr/>
        <w:t>Again, the effect of this simplifying assumption will be to over-estimate the costs of compliance with the Premises Standards to some degree.</w:t>
      </w:r>
      <w:r>
        <w:rPr>
          <w:spacing w:val="40"/>
        </w:rPr>
        <w:t> </w:t>
      </w:r>
      <w:r>
        <w:rPr/>
        <w:t>This will occur to the degree that the standards are simply codifying existing practice. There is an increased likelihood of this to the degree that the industry regards the current non-specific requirements under the DDA as standards to be met</w:t>
      </w:r>
      <w:r>
        <w:rPr>
          <w:vertAlign w:val="superscript"/>
        </w:rPr>
        <w:t>78</w:t>
      </w:r>
      <w:r>
        <w:rPr>
          <w:vertAlign w:val="baseline"/>
        </w:rPr>
        <w:t>.</w:t>
      </w:r>
      <w:r>
        <w:rPr>
          <w:spacing w:val="80"/>
          <w:vertAlign w:val="baseline"/>
        </w:rPr>
        <w:t> </w:t>
      </w:r>
      <w:r>
        <w:rPr>
          <w:vertAlign w:val="baseline"/>
        </w:rPr>
        <w:t>Clearly, some facilities are abiding by a higher standard in some</w:t>
      </w:r>
      <w:r>
        <w:rPr>
          <w:spacing w:val="40"/>
          <w:vertAlign w:val="baseline"/>
        </w:rPr>
        <w:t> </w:t>
      </w:r>
      <w:r>
        <w:rPr>
          <w:vertAlign w:val="baseline"/>
        </w:rPr>
        <w:t>areas, e.g. “wheelchair” friendliness, and promoting themselves as such for commercial and other reasons.</w:t>
      </w:r>
    </w:p>
    <w:p>
      <w:pPr>
        <w:pStyle w:val="BodyText"/>
      </w:pPr>
    </w:p>
    <w:p>
      <w:pPr>
        <w:pStyle w:val="BodyText"/>
        <w:ind w:left="419" w:right="811"/>
        <w:jc w:val="both"/>
      </w:pPr>
      <w:r>
        <w:rPr/>
        <w:t>However, discussions with property industry stakeholders have not supported the notion that there is currently a widespread “voluntary” adoption of the higher standards where significant cost penalties are involved.</w:t>
      </w:r>
      <w:r>
        <w:rPr>
          <w:spacing w:val="40"/>
        </w:rPr>
        <w:t> </w:t>
      </w:r>
      <w:r>
        <w:rPr/>
        <w:t>They argue that commercially the case for doing so is weak in view of the small percentage of people with a disability needing the services provided in exchange for these additional costs. If this view accurately represents existing practice, the extent of any over-estimation of the costs of the Premises Standards resulting from this simplifying assumption will be small.</w:t>
      </w:r>
    </w:p>
    <w:p>
      <w:pPr>
        <w:pStyle w:val="BodyText"/>
        <w:spacing w:before="1"/>
        <w:rPr>
          <w:sz w:val="21"/>
        </w:rPr>
      </w:pPr>
    </w:p>
    <w:p>
      <w:pPr>
        <w:pStyle w:val="Heading3"/>
      </w:pPr>
      <w:bookmarkStart w:name="Use of Case Studies to Illuminate Cost I" w:id="162"/>
      <w:bookmarkEnd w:id="162"/>
      <w:r>
        <w:rPr>
          <w:b w:val="0"/>
        </w:rPr>
      </w:r>
      <w:r>
        <w:rPr/>
        <w:t>Use</w:t>
      </w:r>
      <w:r>
        <w:rPr>
          <w:spacing w:val="-7"/>
        </w:rPr>
        <w:t> </w:t>
      </w:r>
      <w:r>
        <w:rPr/>
        <w:t>of</w:t>
      </w:r>
      <w:r>
        <w:rPr>
          <w:spacing w:val="-5"/>
        </w:rPr>
        <w:t> </w:t>
      </w:r>
      <w:r>
        <w:rPr/>
        <w:t>Case</w:t>
      </w:r>
      <w:r>
        <w:rPr>
          <w:spacing w:val="-5"/>
        </w:rPr>
        <w:t> </w:t>
      </w:r>
      <w:r>
        <w:rPr/>
        <w:t>Studies</w:t>
      </w:r>
      <w:r>
        <w:rPr>
          <w:spacing w:val="-5"/>
        </w:rPr>
        <w:t> </w:t>
      </w:r>
      <w:r>
        <w:rPr/>
        <w:t>to</w:t>
      </w:r>
      <w:r>
        <w:rPr>
          <w:spacing w:val="-5"/>
        </w:rPr>
        <w:t> </w:t>
      </w:r>
      <w:r>
        <w:rPr/>
        <w:t>Illuminate</w:t>
      </w:r>
      <w:r>
        <w:rPr>
          <w:spacing w:val="-5"/>
        </w:rPr>
        <w:t> </w:t>
      </w:r>
      <w:r>
        <w:rPr/>
        <w:t>Cost</w:t>
      </w:r>
      <w:r>
        <w:rPr>
          <w:spacing w:val="-4"/>
        </w:rPr>
        <w:t> </w:t>
      </w:r>
      <w:r>
        <w:rPr>
          <w:spacing w:val="-2"/>
        </w:rPr>
        <w:t>Implications</w:t>
      </w:r>
    </w:p>
    <w:p>
      <w:pPr>
        <w:pStyle w:val="BodyText"/>
        <w:spacing w:before="57"/>
        <w:ind w:left="419" w:right="812"/>
        <w:jc w:val="both"/>
      </w:pPr>
      <w:r>
        <w:rPr/>
        <w:t>Accurately modelling the specific impacts of the Premises Standards would require an almost infinite number of permutations to be costed.</w:t>
      </w:r>
      <w:r>
        <w:rPr>
          <w:spacing w:val="40"/>
        </w:rPr>
        <w:t> </w:t>
      </w:r>
      <w:r>
        <w:rPr/>
        <w:t>As this is clearly infeasible, the approach taken to cost estimation has been developed based on necessarily-stylised “standard buildings”, for which the costs of applying the Premises Standards are estimated.</w:t>
      </w:r>
      <w:r>
        <w:rPr>
          <w:spacing w:val="40"/>
        </w:rPr>
        <w:t> </w:t>
      </w:r>
      <w:r>
        <w:rPr/>
        <w:t>The task involved identifying “case studies” in respect of both new and altered/refurbished buildings.</w:t>
      </w:r>
      <w:r>
        <w:rPr>
          <w:spacing w:val="40"/>
        </w:rPr>
        <w:t> </w:t>
      </w:r>
      <w:r>
        <w:rPr/>
        <w:t>The development of case studies was undertaken by the RIS Steering Committee appointed by the Building Access Policy Committee.</w:t>
      </w:r>
    </w:p>
    <w:p>
      <w:pPr>
        <w:pStyle w:val="BodyText"/>
      </w:pPr>
    </w:p>
    <w:p>
      <w:pPr>
        <w:pStyle w:val="BodyText"/>
        <w:spacing w:before="1"/>
        <w:ind w:left="420" w:right="810"/>
        <w:jc w:val="both"/>
      </w:pPr>
      <w:r>
        <w:rPr/>
        <w:t>A total of 46 case studies were developed.</w:t>
      </w:r>
      <w:r>
        <w:rPr>
          <w:spacing w:val="40"/>
        </w:rPr>
        <w:t> </w:t>
      </w:r>
      <w:r>
        <w:rPr/>
        <w:t>These case studies were then reviewed by the RIS consultants and, in particular, the expert quantity surveyors included on the team</w:t>
      </w:r>
      <w:r>
        <w:rPr>
          <w:vertAlign w:val="superscript"/>
        </w:rPr>
        <w:t>79</w:t>
      </w:r>
      <w:r>
        <w:rPr>
          <w:vertAlign w:val="baseline"/>
        </w:rPr>
        <w:t> to ensure that they were appropriate and representative of building activity overall.</w:t>
      </w:r>
    </w:p>
    <w:p>
      <w:pPr>
        <w:pStyle w:val="BodyText"/>
        <w:rPr>
          <w:sz w:val="20"/>
        </w:rPr>
      </w:pPr>
    </w:p>
    <w:p>
      <w:pPr>
        <w:pStyle w:val="BodyText"/>
        <w:rPr>
          <w:sz w:val="20"/>
        </w:rPr>
      </w:pPr>
    </w:p>
    <w:p>
      <w:pPr>
        <w:pStyle w:val="BodyText"/>
        <w:spacing w:before="6"/>
        <w:rPr>
          <w:sz w:val="16"/>
        </w:rPr>
      </w:pPr>
      <w:r>
        <w:rPr/>
        <w:pict>
          <v:rect style="position:absolute;margin-left:90pt;margin-top:10.699638pt;width:144pt;height:.6pt;mso-position-horizontal-relative:page;mso-position-vertical-relative:paragraph;z-index:-15695872;mso-wrap-distance-left:0;mso-wrap-distance-right:0" id="docshape79" filled="true" fillcolor="#000000" stroked="false">
            <v:fill type="solid"/>
            <w10:wrap type="topAndBottom"/>
          </v:rect>
        </w:pict>
      </w:r>
    </w:p>
    <w:p>
      <w:pPr>
        <w:pStyle w:val="BodyText"/>
        <w:spacing w:before="1"/>
        <w:rPr>
          <w:sz w:val="8"/>
        </w:rPr>
      </w:pPr>
    </w:p>
    <w:p>
      <w:pPr>
        <w:spacing w:before="130"/>
        <w:ind w:left="419" w:right="811" w:firstLine="0"/>
        <w:jc w:val="left"/>
        <w:rPr>
          <w:sz w:val="20"/>
        </w:rPr>
      </w:pPr>
      <w:r>
        <w:rPr>
          <w:sz w:val="20"/>
          <w:vertAlign w:val="superscript"/>
        </w:rPr>
        <w:t>78</w:t>
      </w:r>
      <w:r>
        <w:rPr>
          <w:spacing w:val="-3"/>
          <w:sz w:val="20"/>
          <w:vertAlign w:val="baseline"/>
        </w:rPr>
        <w:t> </w:t>
      </w:r>
      <w:r>
        <w:rPr>
          <w:sz w:val="20"/>
          <w:vertAlign w:val="baseline"/>
        </w:rPr>
        <w:t>Similarly,</w:t>
      </w:r>
      <w:r>
        <w:rPr>
          <w:spacing w:val="-3"/>
          <w:sz w:val="20"/>
          <w:vertAlign w:val="baseline"/>
        </w:rPr>
        <w:t> </w:t>
      </w:r>
      <w:r>
        <w:rPr>
          <w:sz w:val="20"/>
          <w:vertAlign w:val="baseline"/>
        </w:rPr>
        <w:t>such</w:t>
      </w:r>
      <w:r>
        <w:rPr>
          <w:spacing w:val="-3"/>
          <w:sz w:val="20"/>
          <w:vertAlign w:val="baseline"/>
        </w:rPr>
        <w:t> </w:t>
      </w:r>
      <w:r>
        <w:rPr>
          <w:sz w:val="20"/>
          <w:vertAlign w:val="baseline"/>
        </w:rPr>
        <w:t>existing</w:t>
      </w:r>
      <w:r>
        <w:rPr>
          <w:spacing w:val="-3"/>
          <w:sz w:val="20"/>
          <w:vertAlign w:val="baseline"/>
        </w:rPr>
        <w:t> </w:t>
      </w:r>
      <w:r>
        <w:rPr>
          <w:sz w:val="20"/>
          <w:vertAlign w:val="baseline"/>
        </w:rPr>
        <w:t>compliance</w:t>
      </w:r>
      <w:r>
        <w:rPr>
          <w:spacing w:val="-3"/>
          <w:sz w:val="20"/>
          <w:vertAlign w:val="baseline"/>
        </w:rPr>
        <w:t> </w:t>
      </w:r>
      <w:r>
        <w:rPr>
          <w:sz w:val="20"/>
          <w:vertAlign w:val="baseline"/>
        </w:rPr>
        <w:t>will</w:t>
      </w:r>
      <w:r>
        <w:rPr>
          <w:spacing w:val="-4"/>
          <w:sz w:val="20"/>
          <w:vertAlign w:val="baseline"/>
        </w:rPr>
        <w:t> </w:t>
      </w:r>
      <w:r>
        <w:rPr>
          <w:sz w:val="20"/>
          <w:vertAlign w:val="baseline"/>
        </w:rPr>
        <w:t>tend</w:t>
      </w:r>
      <w:r>
        <w:rPr>
          <w:spacing w:val="-2"/>
          <w:sz w:val="20"/>
          <w:vertAlign w:val="baseline"/>
        </w:rPr>
        <w:t> </w:t>
      </w:r>
      <w:r>
        <w:rPr>
          <w:sz w:val="20"/>
          <w:vertAlign w:val="baseline"/>
        </w:rPr>
        <w:t>to</w:t>
      </w:r>
      <w:r>
        <w:rPr>
          <w:spacing w:val="-3"/>
          <w:sz w:val="20"/>
          <w:vertAlign w:val="baseline"/>
        </w:rPr>
        <w:t> </w:t>
      </w:r>
      <w:r>
        <w:rPr>
          <w:sz w:val="20"/>
          <w:vertAlign w:val="baseline"/>
        </w:rPr>
        <w:t>reduce</w:t>
      </w:r>
      <w:r>
        <w:rPr>
          <w:spacing w:val="-3"/>
          <w:sz w:val="20"/>
          <w:vertAlign w:val="baseline"/>
        </w:rPr>
        <w:t> </w:t>
      </w:r>
      <w:r>
        <w:rPr>
          <w:sz w:val="20"/>
          <w:vertAlign w:val="baseline"/>
        </w:rPr>
        <w:t>the</w:t>
      </w:r>
      <w:r>
        <w:rPr>
          <w:spacing w:val="-3"/>
          <w:sz w:val="20"/>
          <w:vertAlign w:val="baseline"/>
        </w:rPr>
        <w:t> </w:t>
      </w:r>
      <w:r>
        <w:rPr>
          <w:sz w:val="20"/>
          <w:vertAlign w:val="baseline"/>
        </w:rPr>
        <w:t>potential</w:t>
      </w:r>
      <w:r>
        <w:rPr>
          <w:spacing w:val="-3"/>
          <w:sz w:val="20"/>
          <w:vertAlign w:val="baseline"/>
        </w:rPr>
        <w:t> </w:t>
      </w:r>
      <w:r>
        <w:rPr>
          <w:sz w:val="20"/>
          <w:vertAlign w:val="baseline"/>
        </w:rPr>
        <w:t>benefits</w:t>
      </w:r>
      <w:r>
        <w:rPr>
          <w:spacing w:val="-3"/>
          <w:sz w:val="20"/>
          <w:vertAlign w:val="baseline"/>
        </w:rPr>
        <w:t> </w:t>
      </w:r>
      <w:r>
        <w:rPr>
          <w:sz w:val="20"/>
          <w:vertAlign w:val="baseline"/>
        </w:rPr>
        <w:t>associated</w:t>
      </w:r>
      <w:r>
        <w:rPr>
          <w:spacing w:val="-3"/>
          <w:sz w:val="20"/>
          <w:vertAlign w:val="baseline"/>
        </w:rPr>
        <w:t> </w:t>
      </w:r>
      <w:r>
        <w:rPr>
          <w:sz w:val="20"/>
          <w:vertAlign w:val="baseline"/>
        </w:rPr>
        <w:t>with the adoption of the Premises Standard.</w:t>
      </w:r>
    </w:p>
    <w:p>
      <w:pPr>
        <w:spacing w:before="119"/>
        <w:ind w:left="420" w:right="0" w:firstLine="0"/>
        <w:jc w:val="left"/>
        <w:rPr>
          <w:sz w:val="20"/>
        </w:rPr>
      </w:pPr>
      <w:r>
        <w:rPr>
          <w:sz w:val="20"/>
          <w:vertAlign w:val="superscript"/>
        </w:rPr>
        <w:t>79</w:t>
      </w:r>
      <w:r>
        <w:rPr>
          <w:spacing w:val="-6"/>
          <w:sz w:val="20"/>
          <w:vertAlign w:val="baseline"/>
        </w:rPr>
        <w:t> </w:t>
      </w:r>
      <w:r>
        <w:rPr>
          <w:sz w:val="20"/>
          <w:vertAlign w:val="baseline"/>
        </w:rPr>
        <w:t>The</w:t>
      </w:r>
      <w:r>
        <w:rPr>
          <w:spacing w:val="-5"/>
          <w:sz w:val="20"/>
          <w:vertAlign w:val="baseline"/>
        </w:rPr>
        <w:t> </w:t>
      </w:r>
      <w:r>
        <w:rPr>
          <w:sz w:val="20"/>
          <w:vertAlign w:val="baseline"/>
        </w:rPr>
        <w:t>Rawlinsons</w:t>
      </w:r>
      <w:r>
        <w:rPr>
          <w:spacing w:val="-5"/>
          <w:sz w:val="20"/>
          <w:vertAlign w:val="baseline"/>
        </w:rPr>
        <w:t> </w:t>
      </w:r>
      <w:r>
        <w:rPr>
          <w:sz w:val="20"/>
          <w:vertAlign w:val="baseline"/>
        </w:rPr>
        <w:t>Group:</w:t>
      </w:r>
      <w:r>
        <w:rPr>
          <w:spacing w:val="-5"/>
          <w:sz w:val="20"/>
          <w:vertAlign w:val="baseline"/>
        </w:rPr>
        <w:t> </w:t>
      </w:r>
      <w:r>
        <w:rPr>
          <w:sz w:val="20"/>
          <w:vertAlign w:val="baseline"/>
        </w:rPr>
        <w:t>In</w:t>
      </w:r>
      <w:r>
        <w:rPr>
          <w:spacing w:val="-6"/>
          <w:sz w:val="20"/>
          <w:vertAlign w:val="baseline"/>
        </w:rPr>
        <w:t> </w:t>
      </w:r>
      <w:r>
        <w:rPr>
          <w:sz w:val="20"/>
          <w:vertAlign w:val="baseline"/>
        </w:rPr>
        <w:t>particular,</w:t>
      </w:r>
      <w:r>
        <w:rPr>
          <w:spacing w:val="-5"/>
          <w:sz w:val="20"/>
          <w:vertAlign w:val="baseline"/>
        </w:rPr>
        <w:t> </w:t>
      </w:r>
      <w:r>
        <w:rPr>
          <w:sz w:val="20"/>
          <w:vertAlign w:val="baseline"/>
        </w:rPr>
        <w:t>Mr</w:t>
      </w:r>
      <w:r>
        <w:rPr>
          <w:spacing w:val="-5"/>
          <w:sz w:val="20"/>
          <w:vertAlign w:val="baseline"/>
        </w:rPr>
        <w:t> </w:t>
      </w:r>
      <w:r>
        <w:rPr>
          <w:sz w:val="20"/>
          <w:vertAlign w:val="baseline"/>
        </w:rPr>
        <w:t>Steven</w:t>
      </w:r>
      <w:r>
        <w:rPr>
          <w:spacing w:val="-5"/>
          <w:sz w:val="20"/>
          <w:vertAlign w:val="baseline"/>
        </w:rPr>
        <w:t> </w:t>
      </w:r>
      <w:r>
        <w:rPr>
          <w:sz w:val="20"/>
          <w:vertAlign w:val="baseline"/>
        </w:rPr>
        <w:t>O’Neill</w:t>
      </w:r>
      <w:r>
        <w:rPr>
          <w:spacing w:val="-5"/>
          <w:sz w:val="20"/>
          <w:vertAlign w:val="baseline"/>
        </w:rPr>
        <w:t> </w:t>
      </w:r>
      <w:r>
        <w:rPr>
          <w:sz w:val="20"/>
          <w:vertAlign w:val="baseline"/>
        </w:rPr>
        <w:t>and</w:t>
      </w:r>
      <w:r>
        <w:rPr>
          <w:spacing w:val="-6"/>
          <w:sz w:val="20"/>
          <w:vertAlign w:val="baseline"/>
        </w:rPr>
        <w:t> </w:t>
      </w:r>
      <w:r>
        <w:rPr>
          <w:sz w:val="20"/>
          <w:vertAlign w:val="baseline"/>
        </w:rPr>
        <w:t>Mr</w:t>
      </w:r>
      <w:r>
        <w:rPr>
          <w:spacing w:val="-5"/>
          <w:sz w:val="20"/>
          <w:vertAlign w:val="baseline"/>
        </w:rPr>
        <w:t> </w:t>
      </w:r>
      <w:r>
        <w:rPr>
          <w:sz w:val="20"/>
          <w:vertAlign w:val="baseline"/>
        </w:rPr>
        <w:t>Ian</w:t>
      </w:r>
      <w:r>
        <w:rPr>
          <w:spacing w:val="-6"/>
          <w:sz w:val="20"/>
          <w:vertAlign w:val="baseline"/>
        </w:rPr>
        <w:t> </w:t>
      </w:r>
      <w:r>
        <w:rPr>
          <w:spacing w:val="-2"/>
          <w:sz w:val="20"/>
          <w:vertAlign w:val="baseline"/>
        </w:rPr>
        <w:t>Jamieson.</w:t>
      </w:r>
    </w:p>
    <w:p>
      <w:pPr>
        <w:spacing w:after="0"/>
        <w:jc w:val="left"/>
        <w:rPr>
          <w:sz w:val="20"/>
        </w:rPr>
        <w:sectPr>
          <w:pgSz w:w="11900" w:h="16840"/>
          <w:pgMar w:header="0" w:footer="1130" w:top="1000" w:bottom="1320" w:left="1380" w:right="980"/>
        </w:sectPr>
      </w:pPr>
    </w:p>
    <w:p>
      <w:pPr>
        <w:pStyle w:val="BodyText"/>
        <w:spacing w:before="75"/>
        <w:ind w:left="419" w:right="812"/>
        <w:jc w:val="both"/>
      </w:pPr>
      <w:r>
        <w:rPr/>
        <w:t>For new buildings, twenty different case studies were identified.</w:t>
      </w:r>
      <w:r>
        <w:rPr>
          <w:spacing w:val="40"/>
        </w:rPr>
        <w:t> </w:t>
      </w:r>
      <w:r>
        <w:rPr/>
        <w:t>These were designed to offer insights into the most common types of buildings and also to assess cost for some buildings that are less common but which might provide particular problems and thereby enrich the study.</w:t>
      </w:r>
    </w:p>
    <w:p>
      <w:pPr>
        <w:pStyle w:val="BodyText"/>
      </w:pPr>
    </w:p>
    <w:p>
      <w:pPr>
        <w:pStyle w:val="BodyText"/>
        <w:ind w:left="419"/>
      </w:pPr>
      <w:r>
        <w:rPr/>
        <w:t>The</w:t>
      </w:r>
      <w:r>
        <w:rPr>
          <w:spacing w:val="-8"/>
        </w:rPr>
        <w:t> </w:t>
      </w:r>
      <w:r>
        <w:rPr/>
        <w:t>new</w:t>
      </w:r>
      <w:r>
        <w:rPr>
          <w:spacing w:val="-7"/>
        </w:rPr>
        <w:t> </w:t>
      </w:r>
      <w:r>
        <w:rPr/>
        <w:t>buildings</w:t>
      </w:r>
      <w:r>
        <w:rPr>
          <w:spacing w:val="-8"/>
        </w:rPr>
        <w:t> </w:t>
      </w:r>
      <w:r>
        <w:rPr/>
        <w:t>included:</w:t>
      </w:r>
      <w:r>
        <w:rPr>
          <w:spacing w:val="-7"/>
        </w:rPr>
        <w:t> </w:t>
      </w:r>
      <w:r>
        <w:rPr/>
        <w:t>(BCA</w:t>
      </w:r>
      <w:r>
        <w:rPr>
          <w:spacing w:val="-8"/>
        </w:rPr>
        <w:t> </w:t>
      </w:r>
      <w:r>
        <w:rPr/>
        <w:t>Classification</w:t>
      </w:r>
      <w:r>
        <w:rPr>
          <w:spacing w:val="-8"/>
        </w:rPr>
        <w:t> </w:t>
      </w:r>
      <w:r>
        <w:rPr/>
        <w:t>in</w:t>
      </w:r>
      <w:r>
        <w:rPr>
          <w:spacing w:val="-8"/>
        </w:rPr>
        <w:t> </w:t>
      </w:r>
      <w:r>
        <w:rPr>
          <w:spacing w:val="-2"/>
        </w:rPr>
        <w:t>brackets)</w:t>
      </w:r>
    </w:p>
    <w:p>
      <w:pPr>
        <w:pStyle w:val="ListParagraph"/>
        <w:numPr>
          <w:ilvl w:val="0"/>
          <w:numId w:val="47"/>
        </w:numPr>
        <w:tabs>
          <w:tab w:pos="1139" w:val="left" w:leader="none"/>
          <w:tab w:pos="1141" w:val="left" w:leader="none"/>
        </w:tabs>
        <w:spacing w:line="240" w:lineRule="auto" w:before="121" w:after="0"/>
        <w:ind w:left="1140" w:right="0" w:hanging="362"/>
        <w:jc w:val="left"/>
        <w:rPr>
          <w:sz w:val="24"/>
        </w:rPr>
      </w:pPr>
      <w:r>
        <w:rPr>
          <w:sz w:val="24"/>
        </w:rPr>
        <w:t>holiday</w:t>
      </w:r>
      <w:r>
        <w:rPr>
          <w:spacing w:val="-5"/>
          <w:sz w:val="24"/>
        </w:rPr>
        <w:t> </w:t>
      </w:r>
      <w:r>
        <w:rPr>
          <w:sz w:val="24"/>
        </w:rPr>
        <w:t>accommodation</w:t>
      </w:r>
      <w:r>
        <w:rPr>
          <w:spacing w:val="-5"/>
          <w:sz w:val="24"/>
        </w:rPr>
        <w:t> </w:t>
      </w:r>
      <w:r>
        <w:rPr>
          <w:sz w:val="24"/>
        </w:rPr>
        <w:t>–</w:t>
      </w:r>
      <w:r>
        <w:rPr>
          <w:spacing w:val="-5"/>
          <w:sz w:val="24"/>
        </w:rPr>
        <w:t> </w:t>
      </w:r>
      <w:r>
        <w:rPr>
          <w:sz w:val="24"/>
        </w:rPr>
        <w:t>single</w:t>
      </w:r>
      <w:r>
        <w:rPr>
          <w:spacing w:val="-5"/>
          <w:sz w:val="24"/>
        </w:rPr>
        <w:t> </w:t>
      </w:r>
      <w:r>
        <w:rPr>
          <w:sz w:val="24"/>
        </w:rPr>
        <w:t>storey</w:t>
      </w:r>
      <w:r>
        <w:rPr>
          <w:spacing w:val="-5"/>
          <w:sz w:val="24"/>
        </w:rPr>
        <w:t> </w:t>
      </w:r>
      <w:r>
        <w:rPr>
          <w:spacing w:val="-4"/>
          <w:sz w:val="24"/>
        </w:rPr>
        <w:t>(1b)</w:t>
      </w:r>
    </w:p>
    <w:p>
      <w:pPr>
        <w:pStyle w:val="ListParagraph"/>
        <w:numPr>
          <w:ilvl w:val="0"/>
          <w:numId w:val="47"/>
        </w:numPr>
        <w:tabs>
          <w:tab w:pos="1139" w:val="left" w:leader="none"/>
          <w:tab w:pos="1141" w:val="left" w:leader="none"/>
        </w:tabs>
        <w:spacing w:line="240" w:lineRule="auto" w:before="119" w:after="0"/>
        <w:ind w:left="1140" w:right="0" w:hanging="362"/>
        <w:jc w:val="left"/>
        <w:rPr>
          <w:sz w:val="24"/>
        </w:rPr>
      </w:pPr>
      <w:r>
        <w:rPr>
          <w:sz w:val="24"/>
        </w:rPr>
        <w:t>accommodation</w:t>
      </w:r>
      <w:r>
        <w:rPr>
          <w:spacing w:val="-6"/>
          <w:sz w:val="24"/>
        </w:rPr>
        <w:t> </w:t>
      </w:r>
      <w:r>
        <w:rPr>
          <w:sz w:val="24"/>
        </w:rPr>
        <w:t>–</w:t>
      </w:r>
      <w:r>
        <w:rPr>
          <w:spacing w:val="-4"/>
          <w:sz w:val="24"/>
        </w:rPr>
        <w:t> </w:t>
      </w:r>
      <w:r>
        <w:rPr>
          <w:sz w:val="24"/>
        </w:rPr>
        <w:t>no</w:t>
      </w:r>
      <w:r>
        <w:rPr>
          <w:spacing w:val="-3"/>
          <w:sz w:val="24"/>
        </w:rPr>
        <w:t> </w:t>
      </w:r>
      <w:r>
        <w:rPr>
          <w:sz w:val="24"/>
        </w:rPr>
        <w:t>lift</w:t>
      </w:r>
      <w:r>
        <w:rPr>
          <w:spacing w:val="-4"/>
          <w:sz w:val="24"/>
        </w:rPr>
        <w:t> </w:t>
      </w:r>
      <w:r>
        <w:rPr>
          <w:sz w:val="24"/>
        </w:rPr>
        <w:t>–</w:t>
      </w:r>
      <w:r>
        <w:rPr>
          <w:spacing w:val="-3"/>
          <w:sz w:val="24"/>
        </w:rPr>
        <w:t> </w:t>
      </w:r>
      <w:r>
        <w:rPr>
          <w:sz w:val="24"/>
        </w:rPr>
        <w:t>3</w:t>
      </w:r>
      <w:r>
        <w:rPr>
          <w:spacing w:val="-4"/>
          <w:sz w:val="24"/>
        </w:rPr>
        <w:t> </w:t>
      </w:r>
      <w:r>
        <w:rPr>
          <w:sz w:val="24"/>
        </w:rPr>
        <w:t>storey</w:t>
      </w:r>
      <w:r>
        <w:rPr>
          <w:spacing w:val="-3"/>
          <w:sz w:val="24"/>
        </w:rPr>
        <w:t> </w:t>
      </w:r>
      <w:r>
        <w:rPr>
          <w:spacing w:val="-2"/>
          <w:sz w:val="24"/>
        </w:rPr>
        <w:t>(2)**</w:t>
      </w:r>
    </w:p>
    <w:p>
      <w:pPr>
        <w:pStyle w:val="ListParagraph"/>
        <w:numPr>
          <w:ilvl w:val="0"/>
          <w:numId w:val="47"/>
        </w:numPr>
        <w:tabs>
          <w:tab w:pos="1140" w:val="left" w:leader="none"/>
          <w:tab w:pos="1141" w:val="left" w:leader="none"/>
        </w:tabs>
        <w:spacing w:line="240" w:lineRule="auto" w:before="117" w:after="0"/>
        <w:ind w:left="1140" w:right="0" w:hanging="362"/>
        <w:jc w:val="left"/>
        <w:rPr>
          <w:sz w:val="24"/>
        </w:rPr>
      </w:pPr>
      <w:r>
        <w:rPr>
          <w:sz w:val="24"/>
        </w:rPr>
        <w:t>accommodation</w:t>
      </w:r>
      <w:r>
        <w:rPr>
          <w:spacing w:val="-4"/>
          <w:sz w:val="24"/>
        </w:rPr>
        <w:t> </w:t>
      </w:r>
      <w:r>
        <w:rPr>
          <w:sz w:val="24"/>
        </w:rPr>
        <w:t>–</w:t>
      </w:r>
      <w:r>
        <w:rPr>
          <w:spacing w:val="-3"/>
          <w:sz w:val="24"/>
        </w:rPr>
        <w:t> </w:t>
      </w:r>
      <w:r>
        <w:rPr>
          <w:sz w:val="24"/>
        </w:rPr>
        <w:t>with</w:t>
      </w:r>
      <w:r>
        <w:rPr>
          <w:spacing w:val="-4"/>
          <w:sz w:val="24"/>
        </w:rPr>
        <w:t> </w:t>
      </w:r>
      <w:r>
        <w:rPr>
          <w:sz w:val="24"/>
        </w:rPr>
        <w:t>lift</w:t>
      </w:r>
      <w:r>
        <w:rPr>
          <w:spacing w:val="-3"/>
          <w:sz w:val="24"/>
        </w:rPr>
        <w:t> </w:t>
      </w:r>
      <w:r>
        <w:rPr>
          <w:sz w:val="24"/>
        </w:rPr>
        <w:t>–</w:t>
      </w:r>
      <w:r>
        <w:rPr>
          <w:spacing w:val="60"/>
          <w:sz w:val="24"/>
        </w:rPr>
        <w:t> </w:t>
      </w:r>
      <w:r>
        <w:rPr>
          <w:sz w:val="24"/>
        </w:rPr>
        <w:t>7</w:t>
      </w:r>
      <w:r>
        <w:rPr>
          <w:spacing w:val="-3"/>
          <w:sz w:val="24"/>
        </w:rPr>
        <w:t> </w:t>
      </w:r>
      <w:r>
        <w:rPr>
          <w:sz w:val="24"/>
        </w:rPr>
        <w:t>storey</w:t>
      </w:r>
      <w:r>
        <w:rPr>
          <w:spacing w:val="-4"/>
          <w:sz w:val="24"/>
        </w:rPr>
        <w:t> </w:t>
      </w:r>
      <w:r>
        <w:rPr>
          <w:spacing w:val="-2"/>
          <w:sz w:val="24"/>
        </w:rPr>
        <w:t>(2)**</w:t>
      </w:r>
    </w:p>
    <w:p>
      <w:pPr>
        <w:pStyle w:val="ListParagraph"/>
        <w:numPr>
          <w:ilvl w:val="0"/>
          <w:numId w:val="47"/>
        </w:numPr>
        <w:tabs>
          <w:tab w:pos="1140" w:val="left" w:leader="none"/>
          <w:tab w:pos="1141" w:val="left" w:leader="none"/>
        </w:tabs>
        <w:spacing w:line="240" w:lineRule="auto" w:before="118" w:after="0"/>
        <w:ind w:left="1140" w:right="0" w:hanging="362"/>
        <w:jc w:val="left"/>
        <w:rPr>
          <w:sz w:val="24"/>
        </w:rPr>
      </w:pPr>
      <w:r>
        <w:rPr>
          <w:sz w:val="24"/>
        </w:rPr>
        <w:t>hotel/motel</w:t>
      </w:r>
      <w:r>
        <w:rPr>
          <w:spacing w:val="-6"/>
          <w:sz w:val="24"/>
        </w:rPr>
        <w:t> </w:t>
      </w:r>
      <w:r>
        <w:rPr>
          <w:sz w:val="24"/>
        </w:rPr>
        <w:t>–</w:t>
      </w:r>
      <w:r>
        <w:rPr>
          <w:spacing w:val="-3"/>
          <w:sz w:val="24"/>
        </w:rPr>
        <w:t> </w:t>
      </w:r>
      <w:r>
        <w:rPr>
          <w:sz w:val="24"/>
        </w:rPr>
        <w:t>no</w:t>
      </w:r>
      <w:r>
        <w:rPr>
          <w:spacing w:val="-3"/>
          <w:sz w:val="24"/>
        </w:rPr>
        <w:t> </w:t>
      </w:r>
      <w:r>
        <w:rPr>
          <w:sz w:val="24"/>
        </w:rPr>
        <w:t>lift</w:t>
      </w:r>
      <w:r>
        <w:rPr>
          <w:spacing w:val="-4"/>
          <w:sz w:val="24"/>
        </w:rPr>
        <w:t> </w:t>
      </w:r>
      <w:r>
        <w:rPr>
          <w:sz w:val="24"/>
        </w:rPr>
        <w:t>–</w:t>
      </w:r>
      <w:r>
        <w:rPr>
          <w:spacing w:val="-3"/>
          <w:sz w:val="24"/>
        </w:rPr>
        <w:t> </w:t>
      </w:r>
      <w:r>
        <w:rPr>
          <w:sz w:val="24"/>
        </w:rPr>
        <w:t>2</w:t>
      </w:r>
      <w:r>
        <w:rPr>
          <w:spacing w:val="-3"/>
          <w:sz w:val="24"/>
        </w:rPr>
        <w:t> </w:t>
      </w:r>
      <w:r>
        <w:rPr>
          <w:sz w:val="24"/>
        </w:rPr>
        <w:t>storey</w:t>
      </w:r>
      <w:r>
        <w:rPr>
          <w:spacing w:val="-3"/>
          <w:sz w:val="24"/>
        </w:rPr>
        <w:t> </w:t>
      </w:r>
      <w:r>
        <w:rPr>
          <w:spacing w:val="-5"/>
          <w:sz w:val="24"/>
        </w:rPr>
        <w:t>(3)</w:t>
      </w:r>
    </w:p>
    <w:p>
      <w:pPr>
        <w:pStyle w:val="ListParagraph"/>
        <w:numPr>
          <w:ilvl w:val="0"/>
          <w:numId w:val="47"/>
        </w:numPr>
        <w:tabs>
          <w:tab w:pos="1139" w:val="left" w:leader="none"/>
          <w:tab w:pos="1141" w:val="left" w:leader="none"/>
        </w:tabs>
        <w:spacing w:line="240" w:lineRule="auto" w:before="119" w:after="0"/>
        <w:ind w:left="1140" w:right="0" w:hanging="362"/>
        <w:jc w:val="left"/>
        <w:rPr>
          <w:sz w:val="24"/>
        </w:rPr>
      </w:pPr>
      <w:r>
        <w:rPr>
          <w:sz w:val="24"/>
        </w:rPr>
        <w:t>hotel</w:t>
      </w:r>
      <w:r>
        <w:rPr>
          <w:spacing w:val="-4"/>
          <w:sz w:val="24"/>
        </w:rPr>
        <w:t> </w:t>
      </w:r>
      <w:r>
        <w:rPr>
          <w:sz w:val="24"/>
        </w:rPr>
        <w:t>–</w:t>
      </w:r>
      <w:r>
        <w:rPr>
          <w:spacing w:val="-3"/>
          <w:sz w:val="24"/>
        </w:rPr>
        <w:t> </w:t>
      </w:r>
      <w:r>
        <w:rPr>
          <w:sz w:val="24"/>
        </w:rPr>
        <w:t>with</w:t>
      </w:r>
      <w:r>
        <w:rPr>
          <w:spacing w:val="-4"/>
          <w:sz w:val="24"/>
        </w:rPr>
        <w:t> </w:t>
      </w:r>
      <w:r>
        <w:rPr>
          <w:sz w:val="24"/>
        </w:rPr>
        <w:t>lift</w:t>
      </w:r>
      <w:r>
        <w:rPr>
          <w:spacing w:val="-3"/>
          <w:sz w:val="24"/>
        </w:rPr>
        <w:t> </w:t>
      </w:r>
      <w:r>
        <w:rPr>
          <w:sz w:val="24"/>
        </w:rPr>
        <w:t>–</w:t>
      </w:r>
      <w:r>
        <w:rPr>
          <w:spacing w:val="-3"/>
          <w:sz w:val="24"/>
        </w:rPr>
        <w:t> </w:t>
      </w:r>
      <w:r>
        <w:rPr>
          <w:sz w:val="24"/>
        </w:rPr>
        <w:t>3+</w:t>
      </w:r>
      <w:r>
        <w:rPr>
          <w:spacing w:val="-4"/>
          <w:sz w:val="24"/>
        </w:rPr>
        <w:t> </w:t>
      </w:r>
      <w:r>
        <w:rPr>
          <w:sz w:val="24"/>
        </w:rPr>
        <w:t>storey</w:t>
      </w:r>
      <w:r>
        <w:rPr>
          <w:spacing w:val="-3"/>
          <w:sz w:val="24"/>
        </w:rPr>
        <w:t> </w:t>
      </w:r>
      <w:r>
        <w:rPr>
          <w:sz w:val="24"/>
        </w:rPr>
        <w:t>200</w:t>
      </w:r>
      <w:r>
        <w:rPr>
          <w:spacing w:val="-4"/>
          <w:sz w:val="24"/>
        </w:rPr>
        <w:t> </w:t>
      </w:r>
      <w:r>
        <w:rPr>
          <w:sz w:val="24"/>
        </w:rPr>
        <w:t>room</w:t>
      </w:r>
      <w:r>
        <w:rPr>
          <w:spacing w:val="-3"/>
          <w:sz w:val="24"/>
        </w:rPr>
        <w:t> </w:t>
      </w:r>
      <w:r>
        <w:rPr>
          <w:spacing w:val="-5"/>
          <w:sz w:val="24"/>
        </w:rPr>
        <w:t>(3)</w:t>
      </w:r>
    </w:p>
    <w:p>
      <w:pPr>
        <w:pStyle w:val="ListParagraph"/>
        <w:numPr>
          <w:ilvl w:val="0"/>
          <w:numId w:val="47"/>
        </w:numPr>
        <w:tabs>
          <w:tab w:pos="1139" w:val="left" w:leader="none"/>
          <w:tab w:pos="1141" w:val="left" w:leader="none"/>
        </w:tabs>
        <w:spacing w:line="240" w:lineRule="auto" w:before="117" w:after="0"/>
        <w:ind w:left="1140" w:right="0" w:hanging="362"/>
        <w:jc w:val="left"/>
        <w:rPr>
          <w:sz w:val="24"/>
        </w:rPr>
      </w:pPr>
      <w:r>
        <w:rPr>
          <w:sz w:val="24"/>
        </w:rPr>
        <w:t>hotel</w:t>
      </w:r>
      <w:r>
        <w:rPr>
          <w:spacing w:val="-3"/>
          <w:sz w:val="24"/>
        </w:rPr>
        <w:t> </w:t>
      </w:r>
      <w:r>
        <w:rPr>
          <w:sz w:val="24"/>
        </w:rPr>
        <w:t>–</w:t>
      </w:r>
      <w:r>
        <w:rPr>
          <w:spacing w:val="-2"/>
          <w:sz w:val="24"/>
        </w:rPr>
        <w:t> </w:t>
      </w:r>
      <w:r>
        <w:rPr>
          <w:sz w:val="24"/>
        </w:rPr>
        <w:t>with</w:t>
      </w:r>
      <w:r>
        <w:rPr>
          <w:spacing w:val="-2"/>
          <w:sz w:val="24"/>
        </w:rPr>
        <w:t> </w:t>
      </w:r>
      <w:r>
        <w:rPr>
          <w:sz w:val="24"/>
        </w:rPr>
        <w:t>lifts</w:t>
      </w:r>
      <w:r>
        <w:rPr>
          <w:spacing w:val="-3"/>
          <w:sz w:val="24"/>
        </w:rPr>
        <w:t> </w:t>
      </w:r>
      <w:r>
        <w:rPr>
          <w:sz w:val="24"/>
        </w:rPr>
        <w:t>–</w:t>
      </w:r>
      <w:r>
        <w:rPr>
          <w:spacing w:val="-2"/>
          <w:sz w:val="24"/>
        </w:rPr>
        <w:t> </w:t>
      </w:r>
      <w:r>
        <w:rPr>
          <w:sz w:val="24"/>
        </w:rPr>
        <w:t>3+</w:t>
      </w:r>
      <w:r>
        <w:rPr>
          <w:spacing w:val="-2"/>
          <w:sz w:val="24"/>
        </w:rPr>
        <w:t> </w:t>
      </w:r>
      <w:r>
        <w:rPr>
          <w:sz w:val="24"/>
        </w:rPr>
        <w:t>storey</w:t>
      </w:r>
      <w:r>
        <w:rPr>
          <w:spacing w:val="-2"/>
          <w:sz w:val="24"/>
        </w:rPr>
        <w:t> </w:t>
      </w:r>
      <w:r>
        <w:rPr>
          <w:sz w:val="24"/>
        </w:rPr>
        <w:t>350</w:t>
      </w:r>
      <w:r>
        <w:rPr>
          <w:spacing w:val="-3"/>
          <w:sz w:val="24"/>
        </w:rPr>
        <w:t> </w:t>
      </w:r>
      <w:r>
        <w:rPr>
          <w:sz w:val="24"/>
        </w:rPr>
        <w:t>room</w:t>
      </w:r>
      <w:r>
        <w:rPr>
          <w:spacing w:val="-2"/>
          <w:sz w:val="24"/>
        </w:rPr>
        <w:t> </w:t>
      </w:r>
      <w:r>
        <w:rPr>
          <w:spacing w:val="-5"/>
          <w:sz w:val="24"/>
        </w:rPr>
        <w:t>(3)</w:t>
      </w:r>
    </w:p>
    <w:p>
      <w:pPr>
        <w:pStyle w:val="ListParagraph"/>
        <w:numPr>
          <w:ilvl w:val="0"/>
          <w:numId w:val="47"/>
        </w:numPr>
        <w:tabs>
          <w:tab w:pos="1139" w:val="left" w:leader="none"/>
          <w:tab w:pos="1141" w:val="left" w:leader="none"/>
        </w:tabs>
        <w:spacing w:line="240" w:lineRule="auto" w:before="119" w:after="0"/>
        <w:ind w:left="1140" w:right="0" w:hanging="362"/>
        <w:jc w:val="left"/>
        <w:rPr>
          <w:sz w:val="24"/>
        </w:rPr>
      </w:pPr>
      <w:r>
        <w:rPr>
          <w:sz w:val="24"/>
        </w:rPr>
        <w:t>office</w:t>
      </w:r>
      <w:r>
        <w:rPr>
          <w:spacing w:val="-6"/>
          <w:sz w:val="24"/>
        </w:rPr>
        <w:t> </w:t>
      </w:r>
      <w:r>
        <w:rPr>
          <w:sz w:val="24"/>
        </w:rPr>
        <w:t>–</w:t>
      </w:r>
      <w:r>
        <w:rPr>
          <w:spacing w:val="-3"/>
          <w:sz w:val="24"/>
        </w:rPr>
        <w:t> </w:t>
      </w:r>
      <w:r>
        <w:rPr>
          <w:sz w:val="24"/>
        </w:rPr>
        <w:t>dwelling</w:t>
      </w:r>
      <w:r>
        <w:rPr>
          <w:spacing w:val="-4"/>
          <w:sz w:val="24"/>
        </w:rPr>
        <w:t> </w:t>
      </w:r>
      <w:r>
        <w:rPr>
          <w:sz w:val="24"/>
        </w:rPr>
        <w:t>size</w:t>
      </w:r>
      <w:r>
        <w:rPr>
          <w:spacing w:val="-3"/>
          <w:sz w:val="24"/>
        </w:rPr>
        <w:t> </w:t>
      </w:r>
      <w:r>
        <w:rPr>
          <w:sz w:val="24"/>
        </w:rPr>
        <w:t>–</w:t>
      </w:r>
      <w:r>
        <w:rPr>
          <w:spacing w:val="-4"/>
          <w:sz w:val="24"/>
        </w:rPr>
        <w:t> </w:t>
      </w:r>
      <w:r>
        <w:rPr>
          <w:sz w:val="24"/>
        </w:rPr>
        <w:t>2</w:t>
      </w:r>
      <w:r>
        <w:rPr>
          <w:spacing w:val="-3"/>
          <w:sz w:val="24"/>
        </w:rPr>
        <w:t> </w:t>
      </w:r>
      <w:r>
        <w:rPr>
          <w:sz w:val="24"/>
        </w:rPr>
        <w:t>storey</w:t>
      </w:r>
      <w:r>
        <w:rPr>
          <w:spacing w:val="-3"/>
          <w:sz w:val="24"/>
        </w:rPr>
        <w:t> </w:t>
      </w:r>
      <w:r>
        <w:rPr>
          <w:spacing w:val="-4"/>
          <w:sz w:val="24"/>
        </w:rPr>
        <w:t>(5)*</w:t>
      </w:r>
    </w:p>
    <w:p>
      <w:pPr>
        <w:pStyle w:val="ListParagraph"/>
        <w:numPr>
          <w:ilvl w:val="0"/>
          <w:numId w:val="47"/>
        </w:numPr>
        <w:tabs>
          <w:tab w:pos="1139" w:val="left" w:leader="none"/>
          <w:tab w:pos="1141" w:val="left" w:leader="none"/>
        </w:tabs>
        <w:spacing w:line="240" w:lineRule="auto" w:before="118" w:after="0"/>
        <w:ind w:left="1140" w:right="0" w:hanging="362"/>
        <w:jc w:val="left"/>
        <w:rPr>
          <w:sz w:val="24"/>
        </w:rPr>
      </w:pPr>
      <w:r>
        <w:rPr>
          <w:sz w:val="24"/>
        </w:rPr>
        <w:t>office</w:t>
      </w:r>
      <w:r>
        <w:rPr>
          <w:spacing w:val="-2"/>
          <w:sz w:val="24"/>
        </w:rPr>
        <w:t> </w:t>
      </w:r>
      <w:r>
        <w:rPr>
          <w:sz w:val="24"/>
        </w:rPr>
        <w:t>–</w:t>
      </w:r>
      <w:r>
        <w:rPr>
          <w:spacing w:val="-2"/>
          <w:sz w:val="24"/>
        </w:rPr>
        <w:t> </w:t>
      </w:r>
      <w:r>
        <w:rPr>
          <w:sz w:val="24"/>
        </w:rPr>
        <w:t>7</w:t>
      </w:r>
      <w:r>
        <w:rPr>
          <w:spacing w:val="-2"/>
          <w:sz w:val="24"/>
        </w:rPr>
        <w:t> </w:t>
      </w:r>
      <w:r>
        <w:rPr>
          <w:sz w:val="24"/>
        </w:rPr>
        <w:t>storey</w:t>
      </w:r>
      <w:r>
        <w:rPr>
          <w:spacing w:val="-2"/>
          <w:sz w:val="24"/>
        </w:rPr>
        <w:t> </w:t>
      </w:r>
      <w:r>
        <w:rPr>
          <w:spacing w:val="-5"/>
          <w:sz w:val="24"/>
        </w:rPr>
        <w:t>(5)</w:t>
      </w:r>
    </w:p>
    <w:p>
      <w:pPr>
        <w:pStyle w:val="ListParagraph"/>
        <w:numPr>
          <w:ilvl w:val="0"/>
          <w:numId w:val="47"/>
        </w:numPr>
        <w:tabs>
          <w:tab w:pos="1139" w:val="left" w:leader="none"/>
          <w:tab w:pos="1141" w:val="left" w:leader="none"/>
        </w:tabs>
        <w:spacing w:line="240" w:lineRule="auto" w:before="119" w:after="0"/>
        <w:ind w:left="1140" w:right="0" w:hanging="362"/>
        <w:jc w:val="left"/>
        <w:rPr>
          <w:sz w:val="24"/>
        </w:rPr>
      </w:pPr>
      <w:r>
        <w:rPr>
          <w:sz w:val="24"/>
        </w:rPr>
        <w:t>office</w:t>
      </w:r>
      <w:r>
        <w:rPr>
          <w:spacing w:val="-4"/>
          <w:sz w:val="24"/>
        </w:rPr>
        <w:t> </w:t>
      </w:r>
      <w:r>
        <w:rPr>
          <w:sz w:val="24"/>
        </w:rPr>
        <w:t>–</w:t>
      </w:r>
      <w:r>
        <w:rPr>
          <w:spacing w:val="-4"/>
          <w:sz w:val="24"/>
        </w:rPr>
        <w:t> </w:t>
      </w:r>
      <w:r>
        <w:rPr>
          <w:sz w:val="24"/>
        </w:rPr>
        <w:t>(av.</w:t>
      </w:r>
      <w:r>
        <w:rPr>
          <w:spacing w:val="-3"/>
          <w:sz w:val="24"/>
        </w:rPr>
        <w:t> </w:t>
      </w:r>
      <w:r>
        <w:rPr>
          <w:sz w:val="24"/>
        </w:rPr>
        <w:t>floor</w:t>
      </w:r>
      <w:r>
        <w:rPr>
          <w:spacing w:val="-4"/>
          <w:sz w:val="24"/>
        </w:rPr>
        <w:t> </w:t>
      </w:r>
      <w:r>
        <w:rPr>
          <w:sz w:val="24"/>
        </w:rPr>
        <w:t>plate</w:t>
      </w:r>
      <w:r>
        <w:rPr>
          <w:spacing w:val="-4"/>
          <w:sz w:val="24"/>
        </w:rPr>
        <w:t> </w:t>
      </w:r>
      <w:r>
        <w:rPr>
          <w:sz w:val="24"/>
        </w:rPr>
        <w:t>of</w:t>
      </w:r>
      <w:r>
        <w:rPr>
          <w:spacing w:val="-3"/>
          <w:sz w:val="24"/>
        </w:rPr>
        <w:t> </w:t>
      </w:r>
      <w:r>
        <w:rPr>
          <w:sz w:val="24"/>
        </w:rPr>
        <w:t>900m</w:t>
      </w:r>
      <w:r>
        <w:rPr>
          <w:sz w:val="24"/>
          <w:vertAlign w:val="superscript"/>
        </w:rPr>
        <w:t>2</w:t>
      </w:r>
      <w:r>
        <w:rPr>
          <w:sz w:val="24"/>
          <w:vertAlign w:val="baseline"/>
        </w:rPr>
        <w:t>)</w:t>
      </w:r>
      <w:r>
        <w:rPr>
          <w:spacing w:val="-5"/>
          <w:sz w:val="24"/>
          <w:vertAlign w:val="baseline"/>
        </w:rPr>
        <w:t> </w:t>
      </w:r>
      <w:r>
        <w:rPr>
          <w:sz w:val="24"/>
          <w:vertAlign w:val="baseline"/>
        </w:rPr>
        <w:t>20</w:t>
      </w:r>
      <w:r>
        <w:rPr>
          <w:spacing w:val="-3"/>
          <w:sz w:val="24"/>
          <w:vertAlign w:val="baseline"/>
        </w:rPr>
        <w:t> </w:t>
      </w:r>
      <w:r>
        <w:rPr>
          <w:sz w:val="24"/>
          <w:vertAlign w:val="baseline"/>
        </w:rPr>
        <w:t>storey</w:t>
      </w:r>
      <w:r>
        <w:rPr>
          <w:spacing w:val="-4"/>
          <w:sz w:val="24"/>
          <w:vertAlign w:val="baseline"/>
        </w:rPr>
        <w:t> </w:t>
      </w:r>
      <w:r>
        <w:rPr>
          <w:spacing w:val="-5"/>
          <w:sz w:val="24"/>
          <w:vertAlign w:val="baseline"/>
        </w:rPr>
        <w:t>(5)</w:t>
      </w:r>
    </w:p>
    <w:p>
      <w:pPr>
        <w:pStyle w:val="ListParagraph"/>
        <w:numPr>
          <w:ilvl w:val="0"/>
          <w:numId w:val="47"/>
        </w:numPr>
        <w:tabs>
          <w:tab w:pos="1139" w:val="left" w:leader="none"/>
          <w:tab w:pos="1141" w:val="left" w:leader="none"/>
        </w:tabs>
        <w:spacing w:line="240" w:lineRule="auto" w:before="117" w:after="0"/>
        <w:ind w:left="1140" w:right="0" w:hanging="361"/>
        <w:jc w:val="left"/>
        <w:rPr>
          <w:sz w:val="24"/>
        </w:rPr>
      </w:pPr>
      <w:r>
        <w:rPr>
          <w:sz w:val="24"/>
        </w:rPr>
        <w:t>shopping</w:t>
      </w:r>
      <w:r>
        <w:rPr>
          <w:spacing w:val="-6"/>
          <w:sz w:val="24"/>
        </w:rPr>
        <w:t> </w:t>
      </w:r>
      <w:r>
        <w:rPr>
          <w:sz w:val="24"/>
        </w:rPr>
        <w:t>centre</w:t>
      </w:r>
      <w:r>
        <w:rPr>
          <w:spacing w:val="-5"/>
          <w:sz w:val="24"/>
        </w:rPr>
        <w:t> </w:t>
      </w:r>
      <w:r>
        <w:rPr>
          <w:sz w:val="24"/>
        </w:rPr>
        <w:t>–</w:t>
      </w:r>
      <w:r>
        <w:rPr>
          <w:spacing w:val="-5"/>
          <w:sz w:val="24"/>
        </w:rPr>
        <w:t> </w:t>
      </w:r>
      <w:r>
        <w:rPr>
          <w:sz w:val="24"/>
        </w:rPr>
        <w:t>large</w:t>
      </w:r>
      <w:r>
        <w:rPr>
          <w:spacing w:val="-5"/>
          <w:sz w:val="24"/>
        </w:rPr>
        <w:t> </w:t>
      </w:r>
      <w:r>
        <w:rPr>
          <w:sz w:val="24"/>
        </w:rPr>
        <w:t>horizontal</w:t>
      </w:r>
      <w:r>
        <w:rPr>
          <w:spacing w:val="-6"/>
          <w:sz w:val="24"/>
        </w:rPr>
        <w:t> </w:t>
      </w:r>
      <w:r>
        <w:rPr>
          <w:sz w:val="24"/>
        </w:rPr>
        <w:t>spread</w:t>
      </w:r>
      <w:r>
        <w:rPr>
          <w:spacing w:val="-5"/>
          <w:sz w:val="24"/>
        </w:rPr>
        <w:t> (6)</w:t>
      </w:r>
    </w:p>
    <w:p>
      <w:pPr>
        <w:pStyle w:val="ListParagraph"/>
        <w:numPr>
          <w:ilvl w:val="0"/>
          <w:numId w:val="47"/>
        </w:numPr>
        <w:tabs>
          <w:tab w:pos="1139" w:val="left" w:leader="none"/>
          <w:tab w:pos="1141" w:val="left" w:leader="none"/>
        </w:tabs>
        <w:spacing w:line="240" w:lineRule="auto" w:before="119" w:after="0"/>
        <w:ind w:left="1140" w:right="0" w:hanging="361"/>
        <w:jc w:val="left"/>
        <w:rPr>
          <w:sz w:val="24"/>
        </w:rPr>
      </w:pPr>
      <w:r>
        <w:rPr>
          <w:sz w:val="24"/>
        </w:rPr>
        <w:t>restaurant(s)</w:t>
      </w:r>
      <w:r>
        <w:rPr>
          <w:spacing w:val="-5"/>
          <w:sz w:val="24"/>
        </w:rPr>
        <w:t> </w:t>
      </w:r>
      <w:r>
        <w:rPr>
          <w:sz w:val="24"/>
        </w:rPr>
        <w:t>–</w:t>
      </w:r>
      <w:r>
        <w:rPr>
          <w:spacing w:val="-5"/>
          <w:sz w:val="24"/>
        </w:rPr>
        <w:t> </w:t>
      </w:r>
      <w:r>
        <w:rPr>
          <w:sz w:val="24"/>
        </w:rPr>
        <w:t>2</w:t>
      </w:r>
      <w:r>
        <w:rPr>
          <w:spacing w:val="-5"/>
          <w:sz w:val="24"/>
        </w:rPr>
        <w:t> </w:t>
      </w:r>
      <w:r>
        <w:rPr>
          <w:sz w:val="24"/>
        </w:rPr>
        <w:t>storey</w:t>
      </w:r>
      <w:r>
        <w:rPr>
          <w:spacing w:val="-5"/>
          <w:sz w:val="24"/>
        </w:rPr>
        <w:t> </w:t>
      </w:r>
      <w:r>
        <w:rPr>
          <w:spacing w:val="-4"/>
          <w:sz w:val="24"/>
        </w:rPr>
        <w:t>(6)*</w:t>
      </w:r>
    </w:p>
    <w:p>
      <w:pPr>
        <w:pStyle w:val="ListParagraph"/>
        <w:numPr>
          <w:ilvl w:val="0"/>
          <w:numId w:val="47"/>
        </w:numPr>
        <w:tabs>
          <w:tab w:pos="1139" w:val="left" w:leader="none"/>
          <w:tab w:pos="1140" w:val="left" w:leader="none"/>
        </w:tabs>
        <w:spacing w:line="240" w:lineRule="auto" w:before="117" w:after="0"/>
        <w:ind w:left="1139" w:right="0" w:hanging="360"/>
        <w:jc w:val="left"/>
        <w:rPr>
          <w:sz w:val="24"/>
        </w:rPr>
      </w:pPr>
      <w:r>
        <w:rPr>
          <w:sz w:val="24"/>
        </w:rPr>
        <w:t>carpark</w:t>
      </w:r>
      <w:r>
        <w:rPr>
          <w:spacing w:val="-4"/>
          <w:sz w:val="24"/>
        </w:rPr>
        <w:t> </w:t>
      </w:r>
      <w:r>
        <w:rPr>
          <w:sz w:val="24"/>
        </w:rPr>
        <w:t>–</w:t>
      </w:r>
      <w:r>
        <w:rPr>
          <w:spacing w:val="-3"/>
          <w:sz w:val="24"/>
        </w:rPr>
        <w:t> </w:t>
      </w:r>
      <w:r>
        <w:rPr>
          <w:sz w:val="24"/>
        </w:rPr>
        <w:t>7</w:t>
      </w:r>
      <w:r>
        <w:rPr>
          <w:spacing w:val="-4"/>
          <w:sz w:val="24"/>
        </w:rPr>
        <w:t> </w:t>
      </w:r>
      <w:r>
        <w:rPr>
          <w:sz w:val="24"/>
        </w:rPr>
        <w:t>storey</w:t>
      </w:r>
      <w:r>
        <w:rPr>
          <w:spacing w:val="-3"/>
          <w:sz w:val="24"/>
        </w:rPr>
        <w:t> </w:t>
      </w:r>
      <w:r>
        <w:rPr>
          <w:spacing w:val="-4"/>
          <w:sz w:val="24"/>
        </w:rPr>
        <w:t>(7a)</w:t>
      </w:r>
    </w:p>
    <w:p>
      <w:pPr>
        <w:pStyle w:val="ListParagraph"/>
        <w:numPr>
          <w:ilvl w:val="0"/>
          <w:numId w:val="47"/>
        </w:numPr>
        <w:tabs>
          <w:tab w:pos="1139" w:val="left" w:leader="none"/>
          <w:tab w:pos="1141" w:val="left" w:leader="none"/>
        </w:tabs>
        <w:spacing w:line="240" w:lineRule="auto" w:before="119" w:after="0"/>
        <w:ind w:left="1140" w:right="0" w:hanging="361"/>
        <w:jc w:val="left"/>
        <w:rPr>
          <w:sz w:val="24"/>
        </w:rPr>
      </w:pPr>
      <w:r>
        <w:rPr>
          <w:sz w:val="24"/>
        </w:rPr>
        <w:t>storage</w:t>
      </w:r>
      <w:r>
        <w:rPr>
          <w:spacing w:val="-2"/>
          <w:sz w:val="24"/>
        </w:rPr>
        <w:t> </w:t>
      </w:r>
      <w:r>
        <w:rPr>
          <w:sz w:val="24"/>
        </w:rPr>
        <w:t>/</w:t>
      </w:r>
      <w:r>
        <w:rPr>
          <w:spacing w:val="-1"/>
          <w:sz w:val="24"/>
        </w:rPr>
        <w:t> </w:t>
      </w:r>
      <w:r>
        <w:rPr>
          <w:sz w:val="24"/>
        </w:rPr>
        <w:t>warehouse</w:t>
      </w:r>
      <w:r>
        <w:rPr>
          <w:spacing w:val="64"/>
          <w:sz w:val="24"/>
        </w:rPr>
        <w:t> </w:t>
      </w:r>
      <w:r>
        <w:rPr>
          <w:sz w:val="24"/>
        </w:rPr>
        <w:t>–</w:t>
      </w:r>
      <w:r>
        <w:rPr>
          <w:spacing w:val="64"/>
          <w:sz w:val="24"/>
        </w:rPr>
        <w:t> </w:t>
      </w:r>
      <w:r>
        <w:rPr>
          <w:sz w:val="24"/>
        </w:rPr>
        <w:t>2</w:t>
      </w:r>
      <w:r>
        <w:rPr>
          <w:spacing w:val="-1"/>
          <w:sz w:val="24"/>
        </w:rPr>
        <w:t> </w:t>
      </w:r>
      <w:r>
        <w:rPr>
          <w:sz w:val="24"/>
        </w:rPr>
        <w:t>storey</w:t>
      </w:r>
      <w:r>
        <w:rPr>
          <w:spacing w:val="-2"/>
          <w:sz w:val="24"/>
        </w:rPr>
        <w:t> (7b)*</w:t>
      </w:r>
    </w:p>
    <w:p>
      <w:pPr>
        <w:pStyle w:val="ListParagraph"/>
        <w:numPr>
          <w:ilvl w:val="0"/>
          <w:numId w:val="47"/>
        </w:numPr>
        <w:tabs>
          <w:tab w:pos="1140" w:val="left" w:leader="none"/>
          <w:tab w:pos="1141" w:val="left" w:leader="none"/>
        </w:tabs>
        <w:spacing w:line="240" w:lineRule="auto" w:before="118" w:after="0"/>
        <w:ind w:left="1140" w:right="0" w:hanging="361"/>
        <w:jc w:val="left"/>
        <w:rPr>
          <w:sz w:val="24"/>
        </w:rPr>
      </w:pPr>
      <w:r>
        <w:rPr>
          <w:sz w:val="24"/>
        </w:rPr>
        <w:t>lab</w:t>
      </w:r>
      <w:r>
        <w:rPr>
          <w:spacing w:val="-6"/>
          <w:sz w:val="24"/>
        </w:rPr>
        <w:t> </w:t>
      </w:r>
      <w:r>
        <w:rPr>
          <w:sz w:val="24"/>
        </w:rPr>
        <w:t>/</w:t>
      </w:r>
      <w:r>
        <w:rPr>
          <w:spacing w:val="-3"/>
          <w:sz w:val="24"/>
        </w:rPr>
        <w:t> </w:t>
      </w:r>
      <w:r>
        <w:rPr>
          <w:sz w:val="24"/>
        </w:rPr>
        <w:t>factory</w:t>
      </w:r>
      <w:r>
        <w:rPr>
          <w:spacing w:val="-3"/>
          <w:sz w:val="24"/>
        </w:rPr>
        <w:t> </w:t>
      </w:r>
      <w:r>
        <w:rPr>
          <w:sz w:val="24"/>
        </w:rPr>
        <w:t>–</w:t>
      </w:r>
      <w:r>
        <w:rPr>
          <w:spacing w:val="-3"/>
          <w:sz w:val="24"/>
        </w:rPr>
        <w:t> </w:t>
      </w:r>
      <w:r>
        <w:rPr>
          <w:sz w:val="24"/>
        </w:rPr>
        <w:t>500m2</w:t>
      </w:r>
      <w:r>
        <w:rPr>
          <w:spacing w:val="-4"/>
          <w:sz w:val="24"/>
        </w:rPr>
        <w:t> </w:t>
      </w:r>
      <w:r>
        <w:rPr>
          <w:sz w:val="24"/>
        </w:rPr>
        <w:t>–</w:t>
      </w:r>
      <w:r>
        <w:rPr>
          <w:spacing w:val="-3"/>
          <w:sz w:val="24"/>
        </w:rPr>
        <w:t> </w:t>
      </w:r>
      <w:r>
        <w:rPr>
          <w:sz w:val="24"/>
        </w:rPr>
        <w:t>single</w:t>
      </w:r>
      <w:r>
        <w:rPr>
          <w:spacing w:val="-3"/>
          <w:sz w:val="24"/>
        </w:rPr>
        <w:t> </w:t>
      </w:r>
      <w:r>
        <w:rPr>
          <w:sz w:val="24"/>
        </w:rPr>
        <w:t>storey</w:t>
      </w:r>
      <w:r>
        <w:rPr>
          <w:spacing w:val="-3"/>
          <w:sz w:val="24"/>
        </w:rPr>
        <w:t> </w:t>
      </w:r>
      <w:r>
        <w:rPr>
          <w:spacing w:val="-5"/>
          <w:sz w:val="24"/>
        </w:rPr>
        <w:t>(8)</w:t>
      </w:r>
    </w:p>
    <w:p>
      <w:pPr>
        <w:pStyle w:val="ListParagraph"/>
        <w:numPr>
          <w:ilvl w:val="0"/>
          <w:numId w:val="47"/>
        </w:numPr>
        <w:tabs>
          <w:tab w:pos="1139" w:val="left" w:leader="none"/>
          <w:tab w:pos="1141" w:val="left" w:leader="none"/>
        </w:tabs>
        <w:spacing w:line="240" w:lineRule="auto" w:before="117" w:after="0"/>
        <w:ind w:left="1140" w:right="0" w:hanging="361"/>
        <w:jc w:val="left"/>
        <w:rPr>
          <w:sz w:val="24"/>
        </w:rPr>
      </w:pPr>
      <w:r>
        <w:rPr>
          <w:sz w:val="24"/>
        </w:rPr>
        <w:t>hospital</w:t>
      </w:r>
      <w:r>
        <w:rPr>
          <w:spacing w:val="-8"/>
          <w:sz w:val="24"/>
        </w:rPr>
        <w:t> </w:t>
      </w:r>
      <w:r>
        <w:rPr>
          <w:sz w:val="24"/>
        </w:rPr>
        <w:t>building</w:t>
      </w:r>
      <w:r>
        <w:rPr>
          <w:spacing w:val="-5"/>
          <w:sz w:val="24"/>
        </w:rPr>
        <w:t> </w:t>
      </w:r>
      <w:r>
        <w:rPr>
          <w:sz w:val="24"/>
        </w:rPr>
        <w:t>–</w:t>
      </w:r>
      <w:r>
        <w:rPr>
          <w:spacing w:val="-4"/>
          <w:sz w:val="24"/>
        </w:rPr>
        <w:t> </w:t>
      </w:r>
      <w:r>
        <w:rPr>
          <w:sz w:val="24"/>
        </w:rPr>
        <w:t>3</w:t>
      </w:r>
      <w:r>
        <w:rPr>
          <w:spacing w:val="-5"/>
          <w:sz w:val="24"/>
        </w:rPr>
        <w:t> </w:t>
      </w:r>
      <w:r>
        <w:rPr>
          <w:sz w:val="24"/>
        </w:rPr>
        <w:t>storey</w:t>
      </w:r>
      <w:r>
        <w:rPr>
          <w:spacing w:val="-29"/>
          <w:sz w:val="24"/>
        </w:rPr>
        <w:t> </w:t>
      </w:r>
      <w:r>
        <w:rPr>
          <w:spacing w:val="-4"/>
          <w:sz w:val="24"/>
        </w:rPr>
        <w:t>(9a)</w:t>
      </w:r>
    </w:p>
    <w:p>
      <w:pPr>
        <w:pStyle w:val="ListParagraph"/>
        <w:numPr>
          <w:ilvl w:val="0"/>
          <w:numId w:val="47"/>
        </w:numPr>
        <w:tabs>
          <w:tab w:pos="1139" w:val="left" w:leader="none"/>
          <w:tab w:pos="1141" w:val="left" w:leader="none"/>
        </w:tabs>
        <w:spacing w:line="240" w:lineRule="auto" w:before="119" w:after="0"/>
        <w:ind w:left="1140" w:right="0" w:hanging="361"/>
        <w:jc w:val="left"/>
        <w:rPr>
          <w:sz w:val="24"/>
        </w:rPr>
      </w:pPr>
      <w:r>
        <w:rPr>
          <w:sz w:val="24"/>
        </w:rPr>
        <w:t>theatre</w:t>
      </w:r>
      <w:r>
        <w:rPr>
          <w:spacing w:val="-3"/>
          <w:sz w:val="24"/>
        </w:rPr>
        <w:t> </w:t>
      </w:r>
      <w:r>
        <w:rPr>
          <w:sz w:val="24"/>
        </w:rPr>
        <w:t>–</w:t>
      </w:r>
      <w:r>
        <w:rPr>
          <w:spacing w:val="-3"/>
          <w:sz w:val="24"/>
        </w:rPr>
        <w:t> </w:t>
      </w:r>
      <w:r>
        <w:rPr>
          <w:sz w:val="24"/>
        </w:rPr>
        <w:t>500</w:t>
      </w:r>
      <w:r>
        <w:rPr>
          <w:spacing w:val="-2"/>
          <w:sz w:val="24"/>
        </w:rPr>
        <w:t> </w:t>
      </w:r>
      <w:r>
        <w:rPr>
          <w:sz w:val="24"/>
        </w:rPr>
        <w:t>seat</w:t>
      </w:r>
      <w:r>
        <w:rPr>
          <w:spacing w:val="-3"/>
          <w:sz w:val="24"/>
        </w:rPr>
        <w:t> </w:t>
      </w:r>
      <w:r>
        <w:rPr>
          <w:spacing w:val="-4"/>
          <w:sz w:val="24"/>
        </w:rPr>
        <w:t>(9b)</w:t>
      </w:r>
    </w:p>
    <w:p>
      <w:pPr>
        <w:pStyle w:val="ListParagraph"/>
        <w:numPr>
          <w:ilvl w:val="0"/>
          <w:numId w:val="47"/>
        </w:numPr>
        <w:tabs>
          <w:tab w:pos="1139" w:val="left" w:leader="none"/>
          <w:tab w:pos="1141" w:val="left" w:leader="none"/>
        </w:tabs>
        <w:spacing w:line="240" w:lineRule="auto" w:before="118" w:after="0"/>
        <w:ind w:left="1140" w:right="0" w:hanging="361"/>
        <w:jc w:val="left"/>
        <w:rPr>
          <w:sz w:val="24"/>
        </w:rPr>
      </w:pPr>
      <w:r>
        <w:rPr>
          <w:sz w:val="24"/>
        </w:rPr>
        <w:t>theatre</w:t>
      </w:r>
      <w:r>
        <w:rPr>
          <w:spacing w:val="61"/>
          <w:sz w:val="24"/>
        </w:rPr>
        <w:t> </w:t>
      </w:r>
      <w:r>
        <w:rPr>
          <w:sz w:val="24"/>
        </w:rPr>
        <w:t>–</w:t>
      </w:r>
      <w:r>
        <w:rPr>
          <w:spacing w:val="-2"/>
          <w:sz w:val="24"/>
        </w:rPr>
        <w:t> </w:t>
      </w:r>
      <w:r>
        <w:rPr>
          <w:sz w:val="24"/>
        </w:rPr>
        <w:t>1200</w:t>
      </w:r>
      <w:r>
        <w:rPr>
          <w:spacing w:val="-3"/>
          <w:sz w:val="24"/>
        </w:rPr>
        <w:t> </w:t>
      </w:r>
      <w:r>
        <w:rPr>
          <w:sz w:val="24"/>
        </w:rPr>
        <w:t>seat</w:t>
      </w:r>
      <w:r>
        <w:rPr>
          <w:spacing w:val="-2"/>
          <w:sz w:val="24"/>
        </w:rPr>
        <w:t> </w:t>
      </w:r>
      <w:r>
        <w:rPr>
          <w:spacing w:val="-4"/>
          <w:sz w:val="24"/>
        </w:rPr>
        <w:t>(9b)</w:t>
      </w:r>
    </w:p>
    <w:p>
      <w:pPr>
        <w:pStyle w:val="ListParagraph"/>
        <w:numPr>
          <w:ilvl w:val="0"/>
          <w:numId w:val="47"/>
        </w:numPr>
        <w:tabs>
          <w:tab w:pos="1139" w:val="left" w:leader="none"/>
          <w:tab w:pos="1141" w:val="left" w:leader="none"/>
        </w:tabs>
        <w:spacing w:line="240" w:lineRule="auto" w:before="119" w:after="0"/>
        <w:ind w:left="1140" w:right="0" w:hanging="361"/>
        <w:jc w:val="left"/>
        <w:rPr>
          <w:sz w:val="24"/>
        </w:rPr>
      </w:pPr>
      <w:r>
        <w:rPr>
          <w:sz w:val="24"/>
        </w:rPr>
        <w:t>school</w:t>
      </w:r>
      <w:r>
        <w:rPr>
          <w:spacing w:val="-4"/>
          <w:sz w:val="24"/>
        </w:rPr>
        <w:t> </w:t>
      </w:r>
      <w:r>
        <w:rPr>
          <w:sz w:val="24"/>
        </w:rPr>
        <w:t>building</w:t>
      </w:r>
      <w:r>
        <w:rPr>
          <w:spacing w:val="-4"/>
          <w:sz w:val="24"/>
        </w:rPr>
        <w:t> </w:t>
      </w:r>
      <w:r>
        <w:rPr>
          <w:sz w:val="24"/>
        </w:rPr>
        <w:t>–</w:t>
      </w:r>
      <w:r>
        <w:rPr>
          <w:spacing w:val="-4"/>
          <w:sz w:val="24"/>
        </w:rPr>
        <w:t> </w:t>
      </w:r>
      <w:r>
        <w:rPr>
          <w:sz w:val="24"/>
        </w:rPr>
        <w:t>2</w:t>
      </w:r>
      <w:r>
        <w:rPr>
          <w:spacing w:val="-4"/>
          <w:sz w:val="24"/>
        </w:rPr>
        <w:t> </w:t>
      </w:r>
      <w:r>
        <w:rPr>
          <w:sz w:val="24"/>
        </w:rPr>
        <w:t>storey</w:t>
      </w:r>
      <w:r>
        <w:rPr>
          <w:spacing w:val="-4"/>
          <w:sz w:val="24"/>
        </w:rPr>
        <w:t> (9b)</w:t>
      </w:r>
    </w:p>
    <w:p>
      <w:pPr>
        <w:pStyle w:val="ListParagraph"/>
        <w:numPr>
          <w:ilvl w:val="0"/>
          <w:numId w:val="47"/>
        </w:numPr>
        <w:tabs>
          <w:tab w:pos="1139" w:val="left" w:leader="none"/>
          <w:tab w:pos="1141" w:val="left" w:leader="none"/>
        </w:tabs>
        <w:spacing w:line="240" w:lineRule="auto" w:before="117" w:after="0"/>
        <w:ind w:left="1140" w:right="0" w:hanging="361"/>
        <w:jc w:val="left"/>
        <w:rPr>
          <w:sz w:val="24"/>
        </w:rPr>
      </w:pPr>
      <w:r>
        <w:rPr>
          <w:sz w:val="24"/>
        </w:rPr>
        <w:t>community</w:t>
      </w:r>
      <w:r>
        <w:rPr>
          <w:spacing w:val="-5"/>
          <w:sz w:val="24"/>
        </w:rPr>
        <w:t> </w:t>
      </w:r>
      <w:r>
        <w:rPr>
          <w:sz w:val="24"/>
        </w:rPr>
        <w:t>hall</w:t>
      </w:r>
      <w:r>
        <w:rPr>
          <w:spacing w:val="-4"/>
          <w:sz w:val="24"/>
        </w:rPr>
        <w:t> </w:t>
      </w:r>
      <w:r>
        <w:rPr>
          <w:sz w:val="24"/>
        </w:rPr>
        <w:t>–</w:t>
      </w:r>
      <w:r>
        <w:rPr>
          <w:spacing w:val="-5"/>
          <w:sz w:val="24"/>
        </w:rPr>
        <w:t> </w:t>
      </w:r>
      <w:r>
        <w:rPr>
          <w:sz w:val="24"/>
        </w:rPr>
        <w:t>single</w:t>
      </w:r>
      <w:r>
        <w:rPr>
          <w:spacing w:val="-4"/>
          <w:sz w:val="24"/>
        </w:rPr>
        <w:t> </w:t>
      </w:r>
      <w:r>
        <w:rPr>
          <w:sz w:val="24"/>
        </w:rPr>
        <w:t>storey</w:t>
      </w:r>
      <w:r>
        <w:rPr>
          <w:spacing w:val="-5"/>
          <w:sz w:val="24"/>
        </w:rPr>
        <w:t> </w:t>
      </w:r>
      <w:r>
        <w:rPr>
          <w:spacing w:val="-4"/>
          <w:sz w:val="24"/>
        </w:rPr>
        <w:t>(9b)</w:t>
      </w:r>
    </w:p>
    <w:p>
      <w:pPr>
        <w:pStyle w:val="ListParagraph"/>
        <w:numPr>
          <w:ilvl w:val="0"/>
          <w:numId w:val="47"/>
        </w:numPr>
        <w:tabs>
          <w:tab w:pos="1139" w:val="left" w:leader="none"/>
          <w:tab w:pos="1141" w:val="left" w:leader="none"/>
        </w:tabs>
        <w:spacing w:line="240" w:lineRule="auto" w:before="119" w:after="0"/>
        <w:ind w:left="1140" w:right="0" w:hanging="361"/>
        <w:jc w:val="left"/>
        <w:rPr>
          <w:sz w:val="24"/>
        </w:rPr>
      </w:pPr>
      <w:r>
        <w:rPr>
          <w:sz w:val="24"/>
        </w:rPr>
        <w:t>stadium</w:t>
      </w:r>
      <w:r>
        <w:rPr>
          <w:spacing w:val="-6"/>
          <w:sz w:val="24"/>
        </w:rPr>
        <w:t> </w:t>
      </w:r>
      <w:r>
        <w:rPr>
          <w:sz w:val="24"/>
        </w:rPr>
        <w:t>–</w:t>
      </w:r>
      <w:r>
        <w:rPr>
          <w:spacing w:val="-5"/>
          <w:sz w:val="24"/>
        </w:rPr>
        <w:t> </w:t>
      </w:r>
      <w:r>
        <w:rPr>
          <w:sz w:val="24"/>
        </w:rPr>
        <w:t>10</w:t>
      </w:r>
      <w:r>
        <w:rPr>
          <w:spacing w:val="-6"/>
          <w:sz w:val="24"/>
        </w:rPr>
        <w:t> </w:t>
      </w:r>
      <w:r>
        <w:rPr>
          <w:sz w:val="24"/>
        </w:rPr>
        <w:t>000-15</w:t>
      </w:r>
      <w:r>
        <w:rPr>
          <w:spacing w:val="-5"/>
          <w:sz w:val="24"/>
        </w:rPr>
        <w:t> </w:t>
      </w:r>
      <w:r>
        <w:rPr>
          <w:sz w:val="24"/>
        </w:rPr>
        <w:t>000</w:t>
      </w:r>
      <w:r>
        <w:rPr>
          <w:spacing w:val="-6"/>
          <w:sz w:val="24"/>
        </w:rPr>
        <w:t> </w:t>
      </w:r>
      <w:r>
        <w:rPr>
          <w:sz w:val="24"/>
        </w:rPr>
        <w:t>seat</w:t>
      </w:r>
      <w:r>
        <w:rPr>
          <w:spacing w:val="-5"/>
          <w:sz w:val="24"/>
        </w:rPr>
        <w:t> </w:t>
      </w:r>
      <w:r>
        <w:rPr>
          <w:spacing w:val="-4"/>
          <w:sz w:val="24"/>
        </w:rPr>
        <w:t>(9b)</w:t>
      </w:r>
    </w:p>
    <w:p>
      <w:pPr>
        <w:pStyle w:val="BodyText"/>
        <w:spacing w:before="8"/>
        <w:rPr>
          <w:sz w:val="23"/>
        </w:rPr>
      </w:pPr>
    </w:p>
    <w:p>
      <w:pPr>
        <w:pStyle w:val="ListParagraph"/>
        <w:numPr>
          <w:ilvl w:val="0"/>
          <w:numId w:val="48"/>
        </w:numPr>
        <w:tabs>
          <w:tab w:pos="640" w:val="left" w:leader="none"/>
        </w:tabs>
        <w:spacing w:line="240" w:lineRule="auto" w:before="0" w:after="0"/>
        <w:ind w:left="420" w:right="810" w:firstLine="0"/>
        <w:jc w:val="both"/>
        <w:rPr>
          <w:sz w:val="24"/>
        </w:rPr>
      </w:pPr>
      <w:r>
        <w:rPr>
          <w:sz w:val="24"/>
        </w:rPr>
        <w:t>Additional case studies have been included to reflect the impact of the exemption for small 2-3 storey buildings, by allowing a comparison to be</w:t>
      </w:r>
      <w:r>
        <w:rPr>
          <w:spacing w:val="40"/>
          <w:sz w:val="24"/>
        </w:rPr>
        <w:t> </w:t>
      </w:r>
      <w:r>
        <w:rPr>
          <w:sz w:val="24"/>
        </w:rPr>
        <w:t>made between buildings that would fall below the exemption threshold and those that would not.</w:t>
      </w:r>
    </w:p>
    <w:p>
      <w:pPr>
        <w:pStyle w:val="BodyText"/>
      </w:pPr>
    </w:p>
    <w:p>
      <w:pPr>
        <w:pStyle w:val="BodyText"/>
        <w:ind w:left="420" w:right="811"/>
        <w:jc w:val="both"/>
      </w:pPr>
      <w:r>
        <w:rPr/>
        <w:t>For existing buildings the assessment involved estimation of the costs associated with 18 “full” and 8 “partial” upgrades.</w:t>
      </w:r>
      <w:r>
        <w:rPr>
          <w:spacing w:val="40"/>
        </w:rPr>
        <w:t> </w:t>
      </w:r>
      <w:r>
        <w:rPr/>
        <w:t>The case studies therefore comprised: (BCA classification in brackets)</w:t>
      </w:r>
    </w:p>
    <w:p>
      <w:pPr>
        <w:pStyle w:val="BodyText"/>
        <w:spacing w:before="1"/>
      </w:pPr>
    </w:p>
    <w:p>
      <w:pPr>
        <w:pStyle w:val="ListParagraph"/>
        <w:numPr>
          <w:ilvl w:val="1"/>
          <w:numId w:val="48"/>
        </w:numPr>
        <w:tabs>
          <w:tab w:pos="1139" w:val="left" w:leader="none"/>
          <w:tab w:pos="1141" w:val="left" w:leader="none"/>
        </w:tabs>
        <w:spacing w:line="240" w:lineRule="auto" w:before="0" w:after="0"/>
        <w:ind w:left="1140" w:right="0" w:hanging="359"/>
        <w:jc w:val="left"/>
        <w:rPr>
          <w:sz w:val="24"/>
        </w:rPr>
      </w:pPr>
      <w:r>
        <w:rPr>
          <w:sz w:val="24"/>
        </w:rPr>
        <w:t>Full</w:t>
      </w:r>
      <w:r>
        <w:rPr>
          <w:spacing w:val="-3"/>
          <w:sz w:val="24"/>
        </w:rPr>
        <w:t> </w:t>
      </w:r>
      <w:r>
        <w:rPr>
          <w:spacing w:val="-2"/>
          <w:sz w:val="24"/>
        </w:rPr>
        <w:t>Upgrade</w:t>
      </w:r>
    </w:p>
    <w:p>
      <w:pPr>
        <w:pStyle w:val="ListParagraph"/>
        <w:numPr>
          <w:ilvl w:val="2"/>
          <w:numId w:val="48"/>
        </w:numPr>
        <w:tabs>
          <w:tab w:pos="1859" w:val="left" w:leader="none"/>
          <w:tab w:pos="1861" w:val="left" w:leader="none"/>
        </w:tabs>
        <w:spacing w:line="240" w:lineRule="auto" w:before="118" w:after="0"/>
        <w:ind w:left="1860" w:right="0" w:hanging="361"/>
        <w:jc w:val="left"/>
        <w:rPr>
          <w:sz w:val="24"/>
        </w:rPr>
      </w:pPr>
      <w:r>
        <w:rPr>
          <w:sz w:val="24"/>
        </w:rPr>
        <w:t>holiday</w:t>
      </w:r>
      <w:r>
        <w:rPr>
          <w:spacing w:val="-5"/>
          <w:sz w:val="24"/>
        </w:rPr>
        <w:t> </w:t>
      </w:r>
      <w:r>
        <w:rPr>
          <w:sz w:val="24"/>
        </w:rPr>
        <w:t>accommodation</w:t>
      </w:r>
      <w:r>
        <w:rPr>
          <w:spacing w:val="-5"/>
          <w:sz w:val="24"/>
        </w:rPr>
        <w:t> </w:t>
      </w:r>
      <w:r>
        <w:rPr>
          <w:sz w:val="24"/>
        </w:rPr>
        <w:t>–</w:t>
      </w:r>
      <w:r>
        <w:rPr>
          <w:spacing w:val="-5"/>
          <w:sz w:val="24"/>
        </w:rPr>
        <w:t> </w:t>
      </w:r>
      <w:r>
        <w:rPr>
          <w:sz w:val="24"/>
        </w:rPr>
        <w:t>single</w:t>
      </w:r>
      <w:r>
        <w:rPr>
          <w:spacing w:val="-5"/>
          <w:sz w:val="24"/>
        </w:rPr>
        <w:t> </w:t>
      </w:r>
      <w:r>
        <w:rPr>
          <w:sz w:val="24"/>
        </w:rPr>
        <w:t>storey</w:t>
      </w:r>
      <w:r>
        <w:rPr>
          <w:spacing w:val="-5"/>
          <w:sz w:val="24"/>
        </w:rPr>
        <w:t> </w:t>
      </w:r>
      <w:r>
        <w:rPr>
          <w:spacing w:val="-4"/>
          <w:sz w:val="24"/>
        </w:rPr>
        <w:t>(1b)</w:t>
      </w:r>
    </w:p>
    <w:p>
      <w:pPr>
        <w:pStyle w:val="ListParagraph"/>
        <w:numPr>
          <w:ilvl w:val="2"/>
          <w:numId w:val="48"/>
        </w:numPr>
        <w:tabs>
          <w:tab w:pos="1859" w:val="left" w:leader="none"/>
          <w:tab w:pos="1861" w:val="left" w:leader="none"/>
        </w:tabs>
        <w:spacing w:line="240" w:lineRule="auto" w:before="119" w:after="0"/>
        <w:ind w:left="1860" w:right="0" w:hanging="361"/>
        <w:jc w:val="left"/>
        <w:rPr>
          <w:sz w:val="24"/>
        </w:rPr>
      </w:pPr>
      <w:r>
        <w:rPr>
          <w:sz w:val="24"/>
        </w:rPr>
        <w:t>bed</w:t>
      </w:r>
      <w:r>
        <w:rPr>
          <w:spacing w:val="-4"/>
          <w:sz w:val="24"/>
        </w:rPr>
        <w:t> </w:t>
      </w:r>
      <w:r>
        <w:rPr>
          <w:sz w:val="24"/>
        </w:rPr>
        <w:t>and</w:t>
      </w:r>
      <w:r>
        <w:rPr>
          <w:spacing w:val="-3"/>
          <w:sz w:val="24"/>
        </w:rPr>
        <w:t> </w:t>
      </w:r>
      <w:r>
        <w:rPr>
          <w:sz w:val="24"/>
        </w:rPr>
        <w:t>breakfast</w:t>
      </w:r>
      <w:r>
        <w:rPr>
          <w:spacing w:val="-3"/>
          <w:sz w:val="24"/>
        </w:rPr>
        <w:t> </w:t>
      </w:r>
      <w:r>
        <w:rPr>
          <w:sz w:val="24"/>
        </w:rPr>
        <w:t>-</w:t>
      </w:r>
      <w:r>
        <w:rPr>
          <w:spacing w:val="-3"/>
          <w:sz w:val="24"/>
        </w:rPr>
        <w:t> </w:t>
      </w:r>
      <w:r>
        <w:rPr>
          <w:sz w:val="24"/>
        </w:rPr>
        <w:t>2</w:t>
      </w:r>
      <w:r>
        <w:rPr>
          <w:spacing w:val="-3"/>
          <w:sz w:val="24"/>
        </w:rPr>
        <w:t> </w:t>
      </w:r>
      <w:r>
        <w:rPr>
          <w:sz w:val="24"/>
        </w:rPr>
        <w:t>storey</w:t>
      </w:r>
      <w:r>
        <w:rPr>
          <w:spacing w:val="-3"/>
          <w:sz w:val="24"/>
        </w:rPr>
        <w:t> </w:t>
      </w:r>
      <w:r>
        <w:rPr>
          <w:spacing w:val="-4"/>
          <w:sz w:val="24"/>
        </w:rPr>
        <w:t>(1b)</w:t>
      </w:r>
    </w:p>
    <w:p>
      <w:pPr>
        <w:pStyle w:val="ListParagraph"/>
        <w:numPr>
          <w:ilvl w:val="2"/>
          <w:numId w:val="48"/>
        </w:numPr>
        <w:tabs>
          <w:tab w:pos="1860" w:val="left" w:leader="none"/>
          <w:tab w:pos="1861" w:val="left" w:leader="none"/>
        </w:tabs>
        <w:spacing w:line="240" w:lineRule="auto" w:before="117" w:after="0"/>
        <w:ind w:left="1860" w:right="0" w:hanging="361"/>
        <w:jc w:val="left"/>
        <w:rPr>
          <w:sz w:val="24"/>
        </w:rPr>
      </w:pPr>
      <w:r>
        <w:rPr>
          <w:sz w:val="24"/>
        </w:rPr>
        <w:t>hotel</w:t>
      </w:r>
      <w:r>
        <w:rPr>
          <w:spacing w:val="-5"/>
          <w:sz w:val="24"/>
        </w:rPr>
        <w:t> </w:t>
      </w:r>
      <w:r>
        <w:rPr>
          <w:sz w:val="24"/>
        </w:rPr>
        <w:t>/</w:t>
      </w:r>
      <w:r>
        <w:rPr>
          <w:spacing w:val="-2"/>
          <w:sz w:val="24"/>
        </w:rPr>
        <w:t> </w:t>
      </w:r>
      <w:r>
        <w:rPr>
          <w:sz w:val="24"/>
        </w:rPr>
        <w:t>motel</w:t>
      </w:r>
      <w:r>
        <w:rPr>
          <w:spacing w:val="-2"/>
          <w:sz w:val="24"/>
        </w:rPr>
        <w:t> </w:t>
      </w:r>
      <w:r>
        <w:rPr>
          <w:sz w:val="24"/>
        </w:rPr>
        <w:t>–</w:t>
      </w:r>
      <w:r>
        <w:rPr>
          <w:spacing w:val="-3"/>
          <w:sz w:val="24"/>
        </w:rPr>
        <w:t> </w:t>
      </w:r>
      <w:r>
        <w:rPr>
          <w:sz w:val="24"/>
        </w:rPr>
        <w:t>no</w:t>
      </w:r>
      <w:r>
        <w:rPr>
          <w:spacing w:val="-2"/>
          <w:sz w:val="24"/>
        </w:rPr>
        <w:t> </w:t>
      </w:r>
      <w:r>
        <w:rPr>
          <w:sz w:val="24"/>
        </w:rPr>
        <w:t>lift</w:t>
      </w:r>
      <w:r>
        <w:rPr>
          <w:spacing w:val="-2"/>
          <w:sz w:val="24"/>
        </w:rPr>
        <w:t> </w:t>
      </w:r>
      <w:r>
        <w:rPr>
          <w:sz w:val="24"/>
        </w:rPr>
        <w:t>–</w:t>
      </w:r>
      <w:r>
        <w:rPr>
          <w:spacing w:val="-3"/>
          <w:sz w:val="24"/>
        </w:rPr>
        <w:t> </w:t>
      </w:r>
      <w:r>
        <w:rPr>
          <w:sz w:val="24"/>
        </w:rPr>
        <w:t>2</w:t>
      </w:r>
      <w:r>
        <w:rPr>
          <w:spacing w:val="-2"/>
          <w:sz w:val="24"/>
        </w:rPr>
        <w:t> </w:t>
      </w:r>
      <w:r>
        <w:rPr>
          <w:sz w:val="24"/>
        </w:rPr>
        <w:t>storey</w:t>
      </w:r>
      <w:r>
        <w:rPr>
          <w:spacing w:val="-2"/>
          <w:sz w:val="24"/>
        </w:rPr>
        <w:t> </w:t>
      </w:r>
      <w:r>
        <w:rPr>
          <w:spacing w:val="-5"/>
          <w:sz w:val="24"/>
        </w:rPr>
        <w:t>(3)</w:t>
      </w:r>
    </w:p>
    <w:p>
      <w:pPr>
        <w:spacing w:after="0" w:line="240" w:lineRule="auto"/>
        <w:jc w:val="left"/>
        <w:rPr>
          <w:sz w:val="24"/>
        </w:rPr>
        <w:sectPr>
          <w:pgSz w:w="11900" w:h="16840"/>
          <w:pgMar w:header="0" w:footer="1130" w:top="1000" w:bottom="1320" w:left="1380" w:right="980"/>
        </w:sectPr>
      </w:pPr>
    </w:p>
    <w:p>
      <w:pPr>
        <w:pStyle w:val="ListParagraph"/>
        <w:numPr>
          <w:ilvl w:val="2"/>
          <w:numId w:val="48"/>
        </w:numPr>
        <w:tabs>
          <w:tab w:pos="1859" w:val="left" w:leader="none"/>
          <w:tab w:pos="1861" w:val="left" w:leader="none"/>
        </w:tabs>
        <w:spacing w:line="240" w:lineRule="auto" w:before="76" w:after="0"/>
        <w:ind w:left="1860" w:right="0" w:hanging="362"/>
        <w:jc w:val="left"/>
        <w:rPr>
          <w:sz w:val="24"/>
        </w:rPr>
      </w:pPr>
      <w:r>
        <w:rPr>
          <w:sz w:val="24"/>
        </w:rPr>
        <w:t>hotel</w:t>
      </w:r>
      <w:r>
        <w:rPr>
          <w:spacing w:val="-3"/>
          <w:sz w:val="24"/>
        </w:rPr>
        <w:t> </w:t>
      </w:r>
      <w:r>
        <w:rPr>
          <w:sz w:val="24"/>
        </w:rPr>
        <w:t>–</w:t>
      </w:r>
      <w:r>
        <w:rPr>
          <w:spacing w:val="-2"/>
          <w:sz w:val="24"/>
        </w:rPr>
        <w:t> </w:t>
      </w:r>
      <w:r>
        <w:rPr>
          <w:sz w:val="24"/>
        </w:rPr>
        <w:t>with</w:t>
      </w:r>
      <w:r>
        <w:rPr>
          <w:spacing w:val="-2"/>
          <w:sz w:val="24"/>
        </w:rPr>
        <w:t> </w:t>
      </w:r>
      <w:r>
        <w:rPr>
          <w:sz w:val="24"/>
        </w:rPr>
        <w:t>lift</w:t>
      </w:r>
      <w:r>
        <w:rPr>
          <w:spacing w:val="-2"/>
          <w:sz w:val="24"/>
        </w:rPr>
        <w:t> </w:t>
      </w:r>
      <w:r>
        <w:rPr>
          <w:sz w:val="24"/>
        </w:rPr>
        <w:t>–</w:t>
      </w:r>
      <w:r>
        <w:rPr>
          <w:spacing w:val="-2"/>
          <w:sz w:val="24"/>
        </w:rPr>
        <w:t> </w:t>
      </w:r>
      <w:r>
        <w:rPr>
          <w:sz w:val="24"/>
        </w:rPr>
        <w:t>3+</w:t>
      </w:r>
      <w:r>
        <w:rPr>
          <w:spacing w:val="-2"/>
          <w:sz w:val="24"/>
        </w:rPr>
        <w:t> </w:t>
      </w:r>
      <w:r>
        <w:rPr>
          <w:sz w:val="24"/>
        </w:rPr>
        <w:t>storey</w:t>
      </w:r>
      <w:r>
        <w:rPr>
          <w:spacing w:val="-3"/>
          <w:sz w:val="24"/>
        </w:rPr>
        <w:t> </w:t>
      </w:r>
      <w:r>
        <w:rPr>
          <w:sz w:val="24"/>
        </w:rPr>
        <w:t>200</w:t>
      </w:r>
      <w:r>
        <w:rPr>
          <w:spacing w:val="-2"/>
          <w:sz w:val="24"/>
        </w:rPr>
        <w:t> </w:t>
      </w:r>
      <w:r>
        <w:rPr>
          <w:sz w:val="24"/>
        </w:rPr>
        <w:t>room</w:t>
      </w:r>
      <w:r>
        <w:rPr>
          <w:spacing w:val="-2"/>
          <w:sz w:val="24"/>
        </w:rPr>
        <w:t> </w:t>
      </w:r>
      <w:r>
        <w:rPr>
          <w:spacing w:val="-5"/>
          <w:sz w:val="24"/>
        </w:rPr>
        <w:t>(3)</w:t>
      </w:r>
    </w:p>
    <w:p>
      <w:pPr>
        <w:pStyle w:val="ListParagraph"/>
        <w:numPr>
          <w:ilvl w:val="2"/>
          <w:numId w:val="48"/>
        </w:numPr>
        <w:tabs>
          <w:tab w:pos="1859" w:val="left" w:leader="none"/>
          <w:tab w:pos="1861" w:val="left" w:leader="none"/>
        </w:tabs>
        <w:spacing w:line="240" w:lineRule="auto" w:before="119" w:after="0"/>
        <w:ind w:left="1860" w:right="0" w:hanging="362"/>
        <w:jc w:val="left"/>
        <w:rPr>
          <w:sz w:val="24"/>
        </w:rPr>
      </w:pPr>
      <w:r>
        <w:rPr>
          <w:sz w:val="24"/>
        </w:rPr>
        <w:t>hotel</w:t>
      </w:r>
      <w:r>
        <w:rPr>
          <w:spacing w:val="-3"/>
          <w:sz w:val="24"/>
        </w:rPr>
        <w:t> </w:t>
      </w:r>
      <w:r>
        <w:rPr>
          <w:sz w:val="24"/>
        </w:rPr>
        <w:t>–</w:t>
      </w:r>
      <w:r>
        <w:rPr>
          <w:spacing w:val="-2"/>
          <w:sz w:val="24"/>
        </w:rPr>
        <w:t> </w:t>
      </w:r>
      <w:r>
        <w:rPr>
          <w:sz w:val="24"/>
        </w:rPr>
        <w:t>with</w:t>
      </w:r>
      <w:r>
        <w:rPr>
          <w:spacing w:val="-2"/>
          <w:sz w:val="24"/>
        </w:rPr>
        <w:t> </w:t>
      </w:r>
      <w:r>
        <w:rPr>
          <w:sz w:val="24"/>
        </w:rPr>
        <w:t>lifts</w:t>
      </w:r>
      <w:r>
        <w:rPr>
          <w:spacing w:val="-3"/>
          <w:sz w:val="24"/>
        </w:rPr>
        <w:t> </w:t>
      </w:r>
      <w:r>
        <w:rPr>
          <w:sz w:val="24"/>
        </w:rPr>
        <w:t>–</w:t>
      </w:r>
      <w:r>
        <w:rPr>
          <w:spacing w:val="-2"/>
          <w:sz w:val="24"/>
        </w:rPr>
        <w:t> </w:t>
      </w:r>
      <w:r>
        <w:rPr>
          <w:sz w:val="24"/>
        </w:rPr>
        <w:t>3+</w:t>
      </w:r>
      <w:r>
        <w:rPr>
          <w:spacing w:val="-2"/>
          <w:sz w:val="24"/>
        </w:rPr>
        <w:t> </w:t>
      </w:r>
      <w:r>
        <w:rPr>
          <w:sz w:val="24"/>
        </w:rPr>
        <w:t>storey,</w:t>
      </w:r>
      <w:r>
        <w:rPr>
          <w:spacing w:val="-2"/>
          <w:sz w:val="24"/>
        </w:rPr>
        <w:t> </w:t>
      </w:r>
      <w:r>
        <w:rPr>
          <w:sz w:val="24"/>
        </w:rPr>
        <w:t>350</w:t>
      </w:r>
      <w:r>
        <w:rPr>
          <w:spacing w:val="-3"/>
          <w:sz w:val="24"/>
        </w:rPr>
        <w:t> </w:t>
      </w:r>
      <w:r>
        <w:rPr>
          <w:sz w:val="24"/>
        </w:rPr>
        <w:t>room</w:t>
      </w:r>
      <w:r>
        <w:rPr>
          <w:spacing w:val="-2"/>
          <w:sz w:val="24"/>
        </w:rPr>
        <w:t> </w:t>
      </w:r>
      <w:r>
        <w:rPr>
          <w:spacing w:val="-5"/>
          <w:sz w:val="24"/>
        </w:rPr>
        <w:t>(3)</w:t>
      </w:r>
    </w:p>
    <w:p>
      <w:pPr>
        <w:pStyle w:val="ListParagraph"/>
        <w:numPr>
          <w:ilvl w:val="2"/>
          <w:numId w:val="48"/>
        </w:numPr>
        <w:tabs>
          <w:tab w:pos="1859" w:val="left" w:leader="none"/>
          <w:tab w:pos="1861" w:val="left" w:leader="none"/>
        </w:tabs>
        <w:spacing w:line="240" w:lineRule="auto" w:before="117" w:after="0"/>
        <w:ind w:left="1860" w:right="0" w:hanging="362"/>
        <w:jc w:val="left"/>
        <w:rPr>
          <w:sz w:val="24"/>
        </w:rPr>
      </w:pPr>
      <w:r>
        <w:rPr>
          <w:sz w:val="24"/>
        </w:rPr>
        <w:t>office</w:t>
      </w:r>
      <w:r>
        <w:rPr>
          <w:spacing w:val="-6"/>
          <w:sz w:val="24"/>
        </w:rPr>
        <w:t> </w:t>
      </w:r>
      <w:r>
        <w:rPr>
          <w:sz w:val="24"/>
        </w:rPr>
        <w:t>–</w:t>
      </w:r>
      <w:r>
        <w:rPr>
          <w:spacing w:val="-3"/>
          <w:sz w:val="24"/>
        </w:rPr>
        <w:t> </w:t>
      </w:r>
      <w:r>
        <w:rPr>
          <w:sz w:val="24"/>
        </w:rPr>
        <w:t>dwelling</w:t>
      </w:r>
      <w:r>
        <w:rPr>
          <w:spacing w:val="-4"/>
          <w:sz w:val="24"/>
        </w:rPr>
        <w:t> </w:t>
      </w:r>
      <w:r>
        <w:rPr>
          <w:sz w:val="24"/>
        </w:rPr>
        <w:t>size</w:t>
      </w:r>
      <w:r>
        <w:rPr>
          <w:spacing w:val="-3"/>
          <w:sz w:val="24"/>
        </w:rPr>
        <w:t> </w:t>
      </w:r>
      <w:r>
        <w:rPr>
          <w:sz w:val="24"/>
        </w:rPr>
        <w:t>–</w:t>
      </w:r>
      <w:r>
        <w:rPr>
          <w:spacing w:val="-4"/>
          <w:sz w:val="24"/>
        </w:rPr>
        <w:t> </w:t>
      </w:r>
      <w:r>
        <w:rPr>
          <w:sz w:val="24"/>
        </w:rPr>
        <w:t>2</w:t>
      </w:r>
      <w:r>
        <w:rPr>
          <w:spacing w:val="-3"/>
          <w:sz w:val="24"/>
        </w:rPr>
        <w:t> </w:t>
      </w:r>
      <w:r>
        <w:rPr>
          <w:sz w:val="24"/>
        </w:rPr>
        <w:t>storey</w:t>
      </w:r>
      <w:r>
        <w:rPr>
          <w:spacing w:val="-3"/>
          <w:sz w:val="24"/>
        </w:rPr>
        <w:t> </w:t>
      </w:r>
      <w:r>
        <w:rPr>
          <w:spacing w:val="-4"/>
          <w:sz w:val="24"/>
        </w:rPr>
        <w:t>(5)*</w:t>
      </w:r>
    </w:p>
    <w:p>
      <w:pPr>
        <w:pStyle w:val="ListParagraph"/>
        <w:numPr>
          <w:ilvl w:val="2"/>
          <w:numId w:val="48"/>
        </w:numPr>
        <w:tabs>
          <w:tab w:pos="1859" w:val="left" w:leader="none"/>
          <w:tab w:pos="1861" w:val="left" w:leader="none"/>
        </w:tabs>
        <w:spacing w:line="240" w:lineRule="auto" w:before="119" w:after="0"/>
        <w:ind w:left="1860" w:right="0" w:hanging="362"/>
        <w:jc w:val="left"/>
        <w:rPr>
          <w:sz w:val="24"/>
        </w:rPr>
      </w:pPr>
      <w:r>
        <w:rPr>
          <w:sz w:val="24"/>
        </w:rPr>
        <w:t>office</w:t>
      </w:r>
      <w:r>
        <w:rPr>
          <w:spacing w:val="-2"/>
          <w:sz w:val="24"/>
        </w:rPr>
        <w:t> </w:t>
      </w:r>
      <w:r>
        <w:rPr>
          <w:sz w:val="24"/>
        </w:rPr>
        <w:t>–</w:t>
      </w:r>
      <w:r>
        <w:rPr>
          <w:spacing w:val="-2"/>
          <w:sz w:val="24"/>
        </w:rPr>
        <w:t> </w:t>
      </w:r>
      <w:r>
        <w:rPr>
          <w:sz w:val="24"/>
        </w:rPr>
        <w:t>7</w:t>
      </w:r>
      <w:r>
        <w:rPr>
          <w:spacing w:val="-2"/>
          <w:sz w:val="24"/>
        </w:rPr>
        <w:t> </w:t>
      </w:r>
      <w:r>
        <w:rPr>
          <w:sz w:val="24"/>
        </w:rPr>
        <w:t>storey</w:t>
      </w:r>
      <w:r>
        <w:rPr>
          <w:spacing w:val="-2"/>
          <w:sz w:val="24"/>
        </w:rPr>
        <w:t> </w:t>
      </w:r>
      <w:r>
        <w:rPr>
          <w:spacing w:val="-5"/>
          <w:sz w:val="24"/>
        </w:rPr>
        <w:t>(5)</w:t>
      </w:r>
    </w:p>
    <w:p>
      <w:pPr>
        <w:pStyle w:val="ListParagraph"/>
        <w:numPr>
          <w:ilvl w:val="2"/>
          <w:numId w:val="48"/>
        </w:numPr>
        <w:tabs>
          <w:tab w:pos="1860" w:val="left" w:leader="none"/>
          <w:tab w:pos="1861" w:val="left" w:leader="none"/>
        </w:tabs>
        <w:spacing w:line="240" w:lineRule="auto" w:before="118" w:after="0"/>
        <w:ind w:left="1860" w:right="0" w:hanging="362"/>
        <w:jc w:val="left"/>
        <w:rPr>
          <w:sz w:val="24"/>
        </w:rPr>
      </w:pPr>
      <w:r>
        <w:rPr>
          <w:sz w:val="24"/>
        </w:rPr>
        <w:t>office</w:t>
      </w:r>
      <w:r>
        <w:rPr>
          <w:spacing w:val="-3"/>
          <w:sz w:val="24"/>
        </w:rPr>
        <w:t> </w:t>
      </w:r>
      <w:r>
        <w:rPr>
          <w:sz w:val="24"/>
        </w:rPr>
        <w:t>(av.</w:t>
      </w:r>
      <w:r>
        <w:rPr>
          <w:spacing w:val="-2"/>
          <w:sz w:val="24"/>
        </w:rPr>
        <w:t> </w:t>
      </w:r>
      <w:r>
        <w:rPr>
          <w:sz w:val="24"/>
        </w:rPr>
        <w:t>floor</w:t>
      </w:r>
      <w:r>
        <w:rPr>
          <w:spacing w:val="-3"/>
          <w:sz w:val="24"/>
        </w:rPr>
        <w:t> </w:t>
      </w:r>
      <w:r>
        <w:rPr>
          <w:sz w:val="24"/>
        </w:rPr>
        <w:t>plate</w:t>
      </w:r>
      <w:r>
        <w:rPr>
          <w:spacing w:val="-2"/>
          <w:sz w:val="24"/>
        </w:rPr>
        <w:t> </w:t>
      </w:r>
      <w:r>
        <w:rPr>
          <w:sz w:val="24"/>
        </w:rPr>
        <w:t>of</w:t>
      </w:r>
      <w:r>
        <w:rPr>
          <w:spacing w:val="-3"/>
          <w:sz w:val="24"/>
        </w:rPr>
        <w:t> </w:t>
      </w:r>
      <w:r>
        <w:rPr>
          <w:sz w:val="24"/>
        </w:rPr>
        <w:t>900m2)</w:t>
      </w:r>
      <w:r>
        <w:rPr>
          <w:spacing w:val="-2"/>
          <w:sz w:val="24"/>
        </w:rPr>
        <w:t> </w:t>
      </w:r>
      <w:r>
        <w:rPr>
          <w:sz w:val="24"/>
        </w:rPr>
        <w:t>–</w:t>
      </w:r>
      <w:r>
        <w:rPr>
          <w:spacing w:val="-3"/>
          <w:sz w:val="24"/>
        </w:rPr>
        <w:t> </w:t>
      </w:r>
      <w:r>
        <w:rPr>
          <w:sz w:val="24"/>
        </w:rPr>
        <w:t>20</w:t>
      </w:r>
      <w:r>
        <w:rPr>
          <w:spacing w:val="-2"/>
          <w:sz w:val="24"/>
        </w:rPr>
        <w:t> </w:t>
      </w:r>
      <w:r>
        <w:rPr>
          <w:sz w:val="24"/>
        </w:rPr>
        <w:t>storey</w:t>
      </w:r>
      <w:r>
        <w:rPr>
          <w:spacing w:val="-3"/>
          <w:sz w:val="24"/>
        </w:rPr>
        <w:t> </w:t>
      </w:r>
      <w:r>
        <w:rPr>
          <w:spacing w:val="-5"/>
          <w:sz w:val="24"/>
        </w:rPr>
        <w:t>(5)</w:t>
      </w:r>
    </w:p>
    <w:p>
      <w:pPr>
        <w:pStyle w:val="ListParagraph"/>
        <w:numPr>
          <w:ilvl w:val="2"/>
          <w:numId w:val="48"/>
        </w:numPr>
        <w:tabs>
          <w:tab w:pos="1859" w:val="left" w:leader="none"/>
          <w:tab w:pos="1861" w:val="left" w:leader="none"/>
        </w:tabs>
        <w:spacing w:line="240" w:lineRule="auto" w:before="117" w:after="0"/>
        <w:ind w:left="1860" w:right="0" w:hanging="362"/>
        <w:jc w:val="left"/>
        <w:rPr>
          <w:sz w:val="24"/>
        </w:rPr>
      </w:pPr>
      <w:r>
        <w:rPr>
          <w:sz w:val="24"/>
        </w:rPr>
        <w:t>shop</w:t>
      </w:r>
      <w:r>
        <w:rPr>
          <w:spacing w:val="-4"/>
          <w:sz w:val="24"/>
        </w:rPr>
        <w:t> </w:t>
      </w:r>
      <w:r>
        <w:rPr>
          <w:sz w:val="24"/>
        </w:rPr>
        <w:t>–</w:t>
      </w:r>
      <w:r>
        <w:rPr>
          <w:spacing w:val="-4"/>
          <w:sz w:val="24"/>
        </w:rPr>
        <w:t> </w:t>
      </w:r>
      <w:r>
        <w:rPr>
          <w:sz w:val="24"/>
        </w:rPr>
        <w:t>small</w:t>
      </w:r>
      <w:r>
        <w:rPr>
          <w:spacing w:val="-3"/>
          <w:sz w:val="24"/>
        </w:rPr>
        <w:t> </w:t>
      </w:r>
      <w:r>
        <w:rPr>
          <w:sz w:val="24"/>
        </w:rPr>
        <w:t>single</w:t>
      </w:r>
      <w:r>
        <w:rPr>
          <w:spacing w:val="-4"/>
          <w:sz w:val="24"/>
        </w:rPr>
        <w:t> </w:t>
      </w:r>
      <w:r>
        <w:rPr>
          <w:sz w:val="24"/>
        </w:rPr>
        <w:t>storey</w:t>
      </w:r>
      <w:r>
        <w:rPr>
          <w:spacing w:val="-4"/>
          <w:sz w:val="24"/>
        </w:rPr>
        <w:t> </w:t>
      </w:r>
      <w:r>
        <w:rPr>
          <w:spacing w:val="-5"/>
          <w:sz w:val="24"/>
        </w:rPr>
        <w:t>(6)</w:t>
      </w:r>
    </w:p>
    <w:p>
      <w:pPr>
        <w:pStyle w:val="ListParagraph"/>
        <w:numPr>
          <w:ilvl w:val="2"/>
          <w:numId w:val="48"/>
        </w:numPr>
        <w:tabs>
          <w:tab w:pos="1859" w:val="left" w:leader="none"/>
          <w:tab w:pos="1861" w:val="left" w:leader="none"/>
        </w:tabs>
        <w:spacing w:line="240" w:lineRule="auto" w:before="119" w:after="0"/>
        <w:ind w:left="1860" w:right="0" w:hanging="362"/>
        <w:jc w:val="left"/>
        <w:rPr>
          <w:sz w:val="24"/>
        </w:rPr>
      </w:pPr>
      <w:r>
        <w:rPr>
          <w:sz w:val="24"/>
        </w:rPr>
        <w:t>shopping</w:t>
      </w:r>
      <w:r>
        <w:rPr>
          <w:spacing w:val="-6"/>
          <w:sz w:val="24"/>
        </w:rPr>
        <w:t> </w:t>
      </w:r>
      <w:r>
        <w:rPr>
          <w:sz w:val="24"/>
        </w:rPr>
        <w:t>centre</w:t>
      </w:r>
      <w:r>
        <w:rPr>
          <w:spacing w:val="-5"/>
          <w:sz w:val="24"/>
        </w:rPr>
        <w:t> </w:t>
      </w:r>
      <w:r>
        <w:rPr>
          <w:sz w:val="24"/>
        </w:rPr>
        <w:t>–</w:t>
      </w:r>
      <w:r>
        <w:rPr>
          <w:spacing w:val="-5"/>
          <w:sz w:val="24"/>
        </w:rPr>
        <w:t> </w:t>
      </w:r>
      <w:r>
        <w:rPr>
          <w:sz w:val="24"/>
        </w:rPr>
        <w:t>large</w:t>
      </w:r>
      <w:r>
        <w:rPr>
          <w:spacing w:val="-5"/>
          <w:sz w:val="24"/>
        </w:rPr>
        <w:t> </w:t>
      </w:r>
      <w:r>
        <w:rPr>
          <w:sz w:val="24"/>
        </w:rPr>
        <w:t>horizontal</w:t>
      </w:r>
      <w:r>
        <w:rPr>
          <w:spacing w:val="-6"/>
          <w:sz w:val="24"/>
        </w:rPr>
        <w:t> </w:t>
      </w:r>
      <w:r>
        <w:rPr>
          <w:sz w:val="24"/>
        </w:rPr>
        <w:t>spread</w:t>
      </w:r>
      <w:r>
        <w:rPr>
          <w:spacing w:val="-5"/>
          <w:sz w:val="24"/>
        </w:rPr>
        <w:t> (6)</w:t>
      </w:r>
    </w:p>
    <w:p>
      <w:pPr>
        <w:pStyle w:val="ListParagraph"/>
        <w:numPr>
          <w:ilvl w:val="2"/>
          <w:numId w:val="48"/>
        </w:numPr>
        <w:tabs>
          <w:tab w:pos="1859" w:val="left" w:leader="none"/>
          <w:tab w:pos="1861" w:val="left" w:leader="none"/>
        </w:tabs>
        <w:spacing w:line="240" w:lineRule="auto" w:before="118" w:after="0"/>
        <w:ind w:left="1860" w:right="0" w:hanging="362"/>
        <w:jc w:val="left"/>
        <w:rPr>
          <w:sz w:val="24"/>
        </w:rPr>
      </w:pPr>
      <w:r>
        <w:rPr>
          <w:sz w:val="24"/>
        </w:rPr>
        <w:t>restaurant(s)</w:t>
      </w:r>
      <w:r>
        <w:rPr>
          <w:spacing w:val="-5"/>
          <w:sz w:val="24"/>
        </w:rPr>
        <w:t> </w:t>
      </w:r>
      <w:r>
        <w:rPr>
          <w:sz w:val="24"/>
        </w:rPr>
        <w:t>–</w:t>
      </w:r>
      <w:r>
        <w:rPr>
          <w:spacing w:val="-5"/>
          <w:sz w:val="24"/>
        </w:rPr>
        <w:t> </w:t>
      </w:r>
      <w:r>
        <w:rPr>
          <w:sz w:val="24"/>
        </w:rPr>
        <w:t>2</w:t>
      </w:r>
      <w:r>
        <w:rPr>
          <w:spacing w:val="-5"/>
          <w:sz w:val="24"/>
        </w:rPr>
        <w:t> </w:t>
      </w:r>
      <w:r>
        <w:rPr>
          <w:sz w:val="24"/>
        </w:rPr>
        <w:t>storey</w:t>
      </w:r>
      <w:r>
        <w:rPr>
          <w:spacing w:val="-5"/>
          <w:sz w:val="24"/>
        </w:rPr>
        <w:t> </w:t>
      </w:r>
      <w:r>
        <w:rPr>
          <w:spacing w:val="-4"/>
          <w:sz w:val="24"/>
        </w:rPr>
        <w:t>(6)*</w:t>
      </w:r>
    </w:p>
    <w:p>
      <w:pPr>
        <w:pStyle w:val="ListParagraph"/>
        <w:numPr>
          <w:ilvl w:val="2"/>
          <w:numId w:val="48"/>
        </w:numPr>
        <w:tabs>
          <w:tab w:pos="1859" w:val="left" w:leader="none"/>
          <w:tab w:pos="1861" w:val="left" w:leader="none"/>
        </w:tabs>
        <w:spacing w:line="240" w:lineRule="auto" w:before="118" w:after="0"/>
        <w:ind w:left="1860" w:right="0" w:hanging="362"/>
        <w:jc w:val="left"/>
        <w:rPr>
          <w:sz w:val="24"/>
        </w:rPr>
      </w:pPr>
      <w:r>
        <w:rPr>
          <w:sz w:val="24"/>
        </w:rPr>
        <w:t>theatre</w:t>
      </w:r>
      <w:r>
        <w:rPr>
          <w:spacing w:val="-3"/>
          <w:sz w:val="24"/>
        </w:rPr>
        <w:t> </w:t>
      </w:r>
      <w:r>
        <w:rPr>
          <w:sz w:val="24"/>
        </w:rPr>
        <w:t>–</w:t>
      </w:r>
      <w:r>
        <w:rPr>
          <w:spacing w:val="-3"/>
          <w:sz w:val="24"/>
        </w:rPr>
        <w:t> </w:t>
      </w:r>
      <w:r>
        <w:rPr>
          <w:sz w:val="24"/>
        </w:rPr>
        <w:t>500</w:t>
      </w:r>
      <w:r>
        <w:rPr>
          <w:spacing w:val="-2"/>
          <w:sz w:val="24"/>
        </w:rPr>
        <w:t> </w:t>
      </w:r>
      <w:r>
        <w:rPr>
          <w:sz w:val="24"/>
        </w:rPr>
        <w:t>seat</w:t>
      </w:r>
      <w:r>
        <w:rPr>
          <w:spacing w:val="-3"/>
          <w:sz w:val="24"/>
        </w:rPr>
        <w:t> </w:t>
      </w:r>
      <w:r>
        <w:rPr>
          <w:spacing w:val="-4"/>
          <w:sz w:val="24"/>
        </w:rPr>
        <w:t>(9b)</w:t>
      </w:r>
    </w:p>
    <w:p>
      <w:pPr>
        <w:pStyle w:val="ListParagraph"/>
        <w:numPr>
          <w:ilvl w:val="2"/>
          <w:numId w:val="48"/>
        </w:numPr>
        <w:tabs>
          <w:tab w:pos="1859" w:val="left" w:leader="none"/>
          <w:tab w:pos="1861" w:val="left" w:leader="none"/>
        </w:tabs>
        <w:spacing w:line="240" w:lineRule="auto" w:before="118" w:after="0"/>
        <w:ind w:left="1860" w:right="0" w:hanging="362"/>
        <w:jc w:val="left"/>
        <w:rPr>
          <w:sz w:val="24"/>
        </w:rPr>
      </w:pPr>
      <w:r>
        <w:rPr>
          <w:sz w:val="24"/>
        </w:rPr>
        <w:t>theatre</w:t>
      </w:r>
      <w:r>
        <w:rPr>
          <w:spacing w:val="-4"/>
          <w:sz w:val="24"/>
        </w:rPr>
        <w:t> </w:t>
      </w:r>
      <w:r>
        <w:rPr>
          <w:sz w:val="24"/>
        </w:rPr>
        <w:t>–</w:t>
      </w:r>
      <w:r>
        <w:rPr>
          <w:spacing w:val="-3"/>
          <w:sz w:val="24"/>
        </w:rPr>
        <w:t> </w:t>
      </w:r>
      <w:r>
        <w:rPr>
          <w:sz w:val="24"/>
        </w:rPr>
        <w:t>1200</w:t>
      </w:r>
      <w:r>
        <w:rPr>
          <w:spacing w:val="-3"/>
          <w:sz w:val="24"/>
        </w:rPr>
        <w:t> </w:t>
      </w:r>
      <w:r>
        <w:rPr>
          <w:sz w:val="24"/>
        </w:rPr>
        <w:t>seat</w:t>
      </w:r>
      <w:r>
        <w:rPr>
          <w:spacing w:val="-3"/>
          <w:sz w:val="24"/>
        </w:rPr>
        <w:t> </w:t>
      </w:r>
      <w:r>
        <w:rPr>
          <w:spacing w:val="-4"/>
          <w:sz w:val="24"/>
        </w:rPr>
        <w:t>(9b)</w:t>
      </w:r>
    </w:p>
    <w:p>
      <w:pPr>
        <w:pStyle w:val="ListParagraph"/>
        <w:numPr>
          <w:ilvl w:val="2"/>
          <w:numId w:val="48"/>
        </w:numPr>
        <w:tabs>
          <w:tab w:pos="1859" w:val="left" w:leader="none"/>
          <w:tab w:pos="1861" w:val="left" w:leader="none"/>
        </w:tabs>
        <w:spacing w:line="240" w:lineRule="auto" w:before="119" w:after="0"/>
        <w:ind w:left="1860" w:right="0" w:hanging="362"/>
        <w:jc w:val="left"/>
        <w:rPr>
          <w:sz w:val="24"/>
        </w:rPr>
      </w:pPr>
      <w:r>
        <w:rPr>
          <w:sz w:val="24"/>
        </w:rPr>
        <w:t>school</w:t>
      </w:r>
      <w:r>
        <w:rPr>
          <w:spacing w:val="-4"/>
          <w:sz w:val="24"/>
        </w:rPr>
        <w:t> </w:t>
      </w:r>
      <w:r>
        <w:rPr>
          <w:sz w:val="24"/>
        </w:rPr>
        <w:t>building</w:t>
      </w:r>
      <w:r>
        <w:rPr>
          <w:spacing w:val="-4"/>
          <w:sz w:val="24"/>
        </w:rPr>
        <w:t> </w:t>
      </w:r>
      <w:r>
        <w:rPr>
          <w:sz w:val="24"/>
        </w:rPr>
        <w:t>–</w:t>
      </w:r>
      <w:r>
        <w:rPr>
          <w:spacing w:val="-4"/>
          <w:sz w:val="24"/>
        </w:rPr>
        <w:t> </w:t>
      </w:r>
      <w:r>
        <w:rPr>
          <w:sz w:val="24"/>
        </w:rPr>
        <w:t>2</w:t>
      </w:r>
      <w:r>
        <w:rPr>
          <w:spacing w:val="-4"/>
          <w:sz w:val="24"/>
        </w:rPr>
        <w:t> </w:t>
      </w:r>
      <w:r>
        <w:rPr>
          <w:sz w:val="24"/>
        </w:rPr>
        <w:t>storey</w:t>
      </w:r>
      <w:r>
        <w:rPr>
          <w:spacing w:val="-4"/>
          <w:sz w:val="24"/>
        </w:rPr>
        <w:t> (9b)</w:t>
      </w:r>
    </w:p>
    <w:p>
      <w:pPr>
        <w:pStyle w:val="ListParagraph"/>
        <w:numPr>
          <w:ilvl w:val="2"/>
          <w:numId w:val="48"/>
        </w:numPr>
        <w:tabs>
          <w:tab w:pos="1859" w:val="left" w:leader="none"/>
          <w:tab w:pos="1861" w:val="left" w:leader="none"/>
        </w:tabs>
        <w:spacing w:line="240" w:lineRule="auto" w:before="117" w:after="0"/>
        <w:ind w:left="1860" w:right="0" w:hanging="362"/>
        <w:jc w:val="left"/>
        <w:rPr>
          <w:sz w:val="24"/>
        </w:rPr>
      </w:pPr>
      <w:r>
        <w:rPr>
          <w:sz w:val="24"/>
        </w:rPr>
        <w:t>community</w:t>
      </w:r>
      <w:r>
        <w:rPr>
          <w:spacing w:val="-5"/>
          <w:sz w:val="24"/>
        </w:rPr>
        <w:t> </w:t>
      </w:r>
      <w:r>
        <w:rPr>
          <w:sz w:val="24"/>
        </w:rPr>
        <w:t>hall</w:t>
      </w:r>
      <w:r>
        <w:rPr>
          <w:spacing w:val="-4"/>
          <w:sz w:val="24"/>
        </w:rPr>
        <w:t> </w:t>
      </w:r>
      <w:r>
        <w:rPr>
          <w:sz w:val="24"/>
        </w:rPr>
        <w:t>–</w:t>
      </w:r>
      <w:r>
        <w:rPr>
          <w:spacing w:val="-5"/>
          <w:sz w:val="24"/>
        </w:rPr>
        <w:t> </w:t>
      </w:r>
      <w:r>
        <w:rPr>
          <w:sz w:val="24"/>
        </w:rPr>
        <w:t>single</w:t>
      </w:r>
      <w:r>
        <w:rPr>
          <w:spacing w:val="-4"/>
          <w:sz w:val="24"/>
        </w:rPr>
        <w:t> </w:t>
      </w:r>
      <w:r>
        <w:rPr>
          <w:sz w:val="24"/>
        </w:rPr>
        <w:t>storey</w:t>
      </w:r>
      <w:r>
        <w:rPr>
          <w:spacing w:val="-5"/>
          <w:sz w:val="24"/>
        </w:rPr>
        <w:t> </w:t>
      </w:r>
      <w:r>
        <w:rPr>
          <w:spacing w:val="-4"/>
          <w:sz w:val="24"/>
        </w:rPr>
        <w:t>(9b)</w:t>
      </w:r>
    </w:p>
    <w:p>
      <w:pPr>
        <w:pStyle w:val="ListParagraph"/>
        <w:numPr>
          <w:ilvl w:val="2"/>
          <w:numId w:val="48"/>
        </w:numPr>
        <w:tabs>
          <w:tab w:pos="1859" w:val="left" w:leader="none"/>
          <w:tab w:pos="1861" w:val="left" w:leader="none"/>
        </w:tabs>
        <w:spacing w:line="240" w:lineRule="auto" w:before="119" w:after="0"/>
        <w:ind w:left="1860" w:right="0" w:hanging="362"/>
        <w:jc w:val="left"/>
        <w:rPr>
          <w:sz w:val="24"/>
        </w:rPr>
      </w:pPr>
      <w:r>
        <w:rPr>
          <w:sz w:val="24"/>
        </w:rPr>
        <w:t>10m</w:t>
      </w:r>
      <w:r>
        <w:rPr>
          <w:spacing w:val="-4"/>
          <w:sz w:val="24"/>
        </w:rPr>
        <w:t> </w:t>
      </w:r>
      <w:r>
        <w:rPr>
          <w:sz w:val="24"/>
        </w:rPr>
        <w:t>lap</w:t>
      </w:r>
      <w:r>
        <w:rPr>
          <w:spacing w:val="-3"/>
          <w:sz w:val="24"/>
        </w:rPr>
        <w:t> </w:t>
      </w:r>
      <w:r>
        <w:rPr>
          <w:sz w:val="24"/>
        </w:rPr>
        <w:t>pool</w:t>
      </w:r>
      <w:r>
        <w:rPr>
          <w:spacing w:val="-3"/>
          <w:sz w:val="24"/>
        </w:rPr>
        <w:t> </w:t>
      </w:r>
      <w:r>
        <w:rPr>
          <w:spacing w:val="-2"/>
          <w:sz w:val="24"/>
        </w:rPr>
        <w:t>(10b)**</w:t>
      </w:r>
    </w:p>
    <w:p>
      <w:pPr>
        <w:pStyle w:val="ListParagraph"/>
        <w:numPr>
          <w:ilvl w:val="2"/>
          <w:numId w:val="48"/>
        </w:numPr>
        <w:tabs>
          <w:tab w:pos="1859" w:val="left" w:leader="none"/>
          <w:tab w:pos="1861" w:val="left" w:leader="none"/>
        </w:tabs>
        <w:spacing w:line="240" w:lineRule="auto" w:before="118" w:after="0"/>
        <w:ind w:left="1860" w:right="0" w:hanging="362"/>
        <w:jc w:val="left"/>
        <w:rPr>
          <w:sz w:val="24"/>
        </w:rPr>
      </w:pPr>
      <w:r>
        <w:rPr>
          <w:sz w:val="24"/>
        </w:rPr>
        <w:t>50m</w:t>
      </w:r>
      <w:r>
        <w:rPr>
          <w:spacing w:val="-6"/>
          <w:sz w:val="24"/>
        </w:rPr>
        <w:t> </w:t>
      </w:r>
      <w:r>
        <w:rPr>
          <w:sz w:val="24"/>
        </w:rPr>
        <w:t>swimming</w:t>
      </w:r>
      <w:r>
        <w:rPr>
          <w:spacing w:val="-3"/>
          <w:sz w:val="24"/>
        </w:rPr>
        <w:t> </w:t>
      </w:r>
      <w:r>
        <w:rPr>
          <w:sz w:val="24"/>
        </w:rPr>
        <w:t>pool</w:t>
      </w:r>
      <w:r>
        <w:rPr>
          <w:spacing w:val="-4"/>
          <w:sz w:val="24"/>
        </w:rPr>
        <w:t> </w:t>
      </w:r>
      <w:r>
        <w:rPr>
          <w:sz w:val="24"/>
        </w:rPr>
        <w:t>-</w:t>
      </w:r>
      <w:r>
        <w:rPr>
          <w:spacing w:val="-3"/>
          <w:sz w:val="24"/>
        </w:rPr>
        <w:t> </w:t>
      </w:r>
      <w:r>
        <w:rPr>
          <w:sz w:val="24"/>
        </w:rPr>
        <w:t>6</w:t>
      </w:r>
      <w:r>
        <w:rPr>
          <w:spacing w:val="-4"/>
          <w:sz w:val="24"/>
        </w:rPr>
        <w:t> </w:t>
      </w:r>
      <w:r>
        <w:rPr>
          <w:sz w:val="24"/>
        </w:rPr>
        <w:t>lane</w:t>
      </w:r>
      <w:r>
        <w:rPr>
          <w:spacing w:val="-3"/>
          <w:sz w:val="24"/>
        </w:rPr>
        <w:t> </w:t>
      </w:r>
      <w:r>
        <w:rPr>
          <w:spacing w:val="-2"/>
          <w:sz w:val="24"/>
        </w:rPr>
        <w:t>(10b)</w:t>
      </w:r>
    </w:p>
    <w:p>
      <w:pPr>
        <w:pStyle w:val="ListParagraph"/>
        <w:numPr>
          <w:ilvl w:val="2"/>
          <w:numId w:val="48"/>
        </w:numPr>
        <w:tabs>
          <w:tab w:pos="1859" w:val="left" w:leader="none"/>
          <w:tab w:pos="1861" w:val="left" w:leader="none"/>
        </w:tabs>
        <w:spacing w:line="240" w:lineRule="auto" w:before="118" w:after="0"/>
        <w:ind w:left="1860" w:right="0" w:hanging="362"/>
        <w:jc w:val="left"/>
        <w:rPr>
          <w:sz w:val="24"/>
        </w:rPr>
      </w:pPr>
      <w:r>
        <w:rPr>
          <w:sz w:val="24"/>
        </w:rPr>
        <w:t>Spa</w:t>
      </w:r>
      <w:r>
        <w:rPr>
          <w:spacing w:val="-3"/>
          <w:sz w:val="24"/>
        </w:rPr>
        <w:t> </w:t>
      </w:r>
      <w:r>
        <w:rPr>
          <w:sz w:val="24"/>
        </w:rPr>
        <w:t>pool</w:t>
      </w:r>
      <w:r>
        <w:rPr>
          <w:spacing w:val="-2"/>
          <w:sz w:val="24"/>
        </w:rPr>
        <w:t> (10b)**</w:t>
      </w:r>
    </w:p>
    <w:p>
      <w:pPr>
        <w:pStyle w:val="BodyText"/>
        <w:spacing w:before="2"/>
        <w:rPr>
          <w:sz w:val="34"/>
        </w:rPr>
      </w:pPr>
    </w:p>
    <w:p>
      <w:pPr>
        <w:pStyle w:val="ListParagraph"/>
        <w:numPr>
          <w:ilvl w:val="0"/>
          <w:numId w:val="48"/>
        </w:numPr>
        <w:tabs>
          <w:tab w:pos="640" w:val="left" w:leader="none"/>
        </w:tabs>
        <w:spacing w:line="240" w:lineRule="auto" w:before="0" w:after="0"/>
        <w:ind w:left="419" w:right="810" w:firstLine="0"/>
        <w:jc w:val="both"/>
        <w:rPr>
          <w:sz w:val="24"/>
        </w:rPr>
      </w:pPr>
      <w:r>
        <w:rPr>
          <w:sz w:val="24"/>
        </w:rPr>
        <w:t>Additional case studies have been included to reflect the impact of the exemption for small 2-3 storey buildings, by allowing a comparison to be</w:t>
      </w:r>
      <w:r>
        <w:rPr>
          <w:spacing w:val="40"/>
          <w:sz w:val="24"/>
        </w:rPr>
        <w:t> </w:t>
      </w:r>
      <w:r>
        <w:rPr>
          <w:sz w:val="24"/>
        </w:rPr>
        <w:t>made between buildings that would fall below the exemption threshold and those that would not.</w:t>
      </w:r>
    </w:p>
    <w:p>
      <w:pPr>
        <w:pStyle w:val="BodyText"/>
      </w:pPr>
    </w:p>
    <w:p>
      <w:pPr>
        <w:pStyle w:val="BodyText"/>
        <w:spacing w:before="1"/>
        <w:ind w:left="419" w:right="814"/>
        <w:jc w:val="both"/>
      </w:pPr>
      <w:r>
        <w:rPr/>
        <w:t>**</w:t>
      </w:r>
      <w:r>
        <w:rPr>
          <w:spacing w:val="-2"/>
        </w:rPr>
        <w:t> </w:t>
      </w:r>
      <w:r>
        <w:rPr/>
        <w:t>The</w:t>
      </w:r>
      <w:r>
        <w:rPr>
          <w:spacing w:val="-2"/>
        </w:rPr>
        <w:t> </w:t>
      </w:r>
      <w:r>
        <w:rPr/>
        <w:t>case</w:t>
      </w:r>
      <w:r>
        <w:rPr>
          <w:spacing w:val="-2"/>
        </w:rPr>
        <w:t> </w:t>
      </w:r>
      <w:r>
        <w:rPr/>
        <w:t>studies</w:t>
      </w:r>
      <w:r>
        <w:rPr>
          <w:spacing w:val="-2"/>
        </w:rPr>
        <w:t> </w:t>
      </w:r>
      <w:r>
        <w:rPr/>
        <w:t>relating</w:t>
      </w:r>
      <w:r>
        <w:rPr>
          <w:spacing w:val="-2"/>
        </w:rPr>
        <w:t> </w:t>
      </w:r>
      <w:r>
        <w:rPr/>
        <w:t>to</w:t>
      </w:r>
      <w:r>
        <w:rPr>
          <w:spacing w:val="-2"/>
        </w:rPr>
        <w:t> </w:t>
      </w:r>
      <w:r>
        <w:rPr/>
        <w:t>Class</w:t>
      </w:r>
      <w:r>
        <w:rPr>
          <w:spacing w:val="-2"/>
        </w:rPr>
        <w:t> </w:t>
      </w:r>
      <w:r>
        <w:rPr/>
        <w:t>2</w:t>
      </w:r>
      <w:r>
        <w:rPr>
          <w:spacing w:val="-2"/>
        </w:rPr>
        <w:t> </w:t>
      </w:r>
      <w:r>
        <w:rPr/>
        <w:t>upgrades</w:t>
      </w:r>
      <w:r>
        <w:rPr>
          <w:spacing w:val="-2"/>
        </w:rPr>
        <w:t> </w:t>
      </w:r>
      <w:r>
        <w:rPr/>
        <w:t>have</w:t>
      </w:r>
      <w:r>
        <w:rPr>
          <w:spacing w:val="-2"/>
        </w:rPr>
        <w:t> </w:t>
      </w:r>
      <w:r>
        <w:rPr/>
        <w:t>been</w:t>
      </w:r>
      <w:r>
        <w:rPr>
          <w:spacing w:val="-2"/>
        </w:rPr>
        <w:t> </w:t>
      </w:r>
      <w:r>
        <w:rPr/>
        <w:t>excluded</w:t>
      </w:r>
      <w:r>
        <w:rPr>
          <w:spacing w:val="-2"/>
        </w:rPr>
        <w:t> </w:t>
      </w:r>
      <w:r>
        <w:rPr/>
        <w:t>from</w:t>
      </w:r>
      <w:r>
        <w:rPr>
          <w:spacing w:val="-2"/>
        </w:rPr>
        <w:t> </w:t>
      </w:r>
      <w:r>
        <w:rPr/>
        <w:t>the final RIS. Case studies relating to new Class 2 buildings can be found in Appendix D.</w:t>
      </w:r>
    </w:p>
    <w:p>
      <w:pPr>
        <w:pStyle w:val="BodyText"/>
        <w:spacing w:before="5"/>
        <w:rPr>
          <w:sz w:val="34"/>
        </w:rPr>
      </w:pPr>
    </w:p>
    <w:p>
      <w:pPr>
        <w:pStyle w:val="ListParagraph"/>
        <w:numPr>
          <w:ilvl w:val="1"/>
          <w:numId w:val="48"/>
        </w:numPr>
        <w:tabs>
          <w:tab w:pos="1139" w:val="left" w:leader="none"/>
          <w:tab w:pos="1141" w:val="left" w:leader="none"/>
        </w:tabs>
        <w:spacing w:line="240" w:lineRule="auto" w:before="0" w:after="0"/>
        <w:ind w:left="1140" w:right="0" w:hanging="359"/>
        <w:jc w:val="left"/>
        <w:rPr>
          <w:sz w:val="24"/>
        </w:rPr>
      </w:pPr>
      <w:r>
        <w:rPr>
          <w:sz w:val="24"/>
        </w:rPr>
        <w:t>Partial</w:t>
      </w:r>
      <w:r>
        <w:rPr>
          <w:spacing w:val="-6"/>
          <w:sz w:val="24"/>
        </w:rPr>
        <w:t> </w:t>
      </w:r>
      <w:r>
        <w:rPr>
          <w:spacing w:val="-2"/>
          <w:sz w:val="24"/>
        </w:rPr>
        <w:t>Upgrade</w:t>
      </w:r>
    </w:p>
    <w:p>
      <w:pPr>
        <w:pStyle w:val="ListParagraph"/>
        <w:numPr>
          <w:ilvl w:val="2"/>
          <w:numId w:val="48"/>
        </w:numPr>
        <w:tabs>
          <w:tab w:pos="1859" w:val="left" w:leader="none"/>
          <w:tab w:pos="1860" w:val="left" w:leader="none"/>
        </w:tabs>
        <w:spacing w:line="240" w:lineRule="auto" w:before="118" w:after="0"/>
        <w:ind w:left="1859" w:right="0" w:hanging="361"/>
        <w:jc w:val="left"/>
        <w:rPr>
          <w:sz w:val="24"/>
        </w:rPr>
      </w:pPr>
      <w:r>
        <w:rPr>
          <w:sz w:val="24"/>
        </w:rPr>
        <w:t>accommodation</w:t>
      </w:r>
      <w:r>
        <w:rPr>
          <w:spacing w:val="-6"/>
          <w:sz w:val="24"/>
        </w:rPr>
        <w:t> </w:t>
      </w:r>
      <w:r>
        <w:rPr>
          <w:sz w:val="24"/>
        </w:rPr>
        <w:t>–</w:t>
      </w:r>
      <w:r>
        <w:rPr>
          <w:spacing w:val="-3"/>
          <w:sz w:val="24"/>
        </w:rPr>
        <w:t> </w:t>
      </w:r>
      <w:r>
        <w:rPr>
          <w:sz w:val="24"/>
        </w:rPr>
        <w:t>no</w:t>
      </w:r>
      <w:r>
        <w:rPr>
          <w:spacing w:val="-3"/>
          <w:sz w:val="24"/>
        </w:rPr>
        <w:t> </w:t>
      </w:r>
      <w:r>
        <w:rPr>
          <w:sz w:val="24"/>
        </w:rPr>
        <w:t>lift</w:t>
      </w:r>
      <w:r>
        <w:rPr>
          <w:spacing w:val="-3"/>
          <w:sz w:val="24"/>
        </w:rPr>
        <w:t> </w:t>
      </w:r>
      <w:r>
        <w:rPr>
          <w:sz w:val="24"/>
        </w:rPr>
        <w:t>(common</w:t>
      </w:r>
      <w:r>
        <w:rPr>
          <w:spacing w:val="-4"/>
          <w:sz w:val="24"/>
        </w:rPr>
        <w:t> </w:t>
      </w:r>
      <w:r>
        <w:rPr>
          <w:sz w:val="24"/>
        </w:rPr>
        <w:t>areas)</w:t>
      </w:r>
      <w:r>
        <w:rPr>
          <w:spacing w:val="-3"/>
          <w:sz w:val="24"/>
        </w:rPr>
        <w:t> </w:t>
      </w:r>
      <w:r>
        <w:rPr>
          <w:sz w:val="24"/>
        </w:rPr>
        <w:t>–</w:t>
      </w:r>
      <w:r>
        <w:rPr>
          <w:spacing w:val="-3"/>
          <w:sz w:val="24"/>
        </w:rPr>
        <w:t> </w:t>
      </w:r>
      <w:r>
        <w:rPr>
          <w:sz w:val="24"/>
        </w:rPr>
        <w:t>3</w:t>
      </w:r>
      <w:r>
        <w:rPr>
          <w:spacing w:val="-3"/>
          <w:sz w:val="24"/>
        </w:rPr>
        <w:t> </w:t>
      </w:r>
      <w:r>
        <w:rPr>
          <w:sz w:val="24"/>
        </w:rPr>
        <w:t>storey</w:t>
      </w:r>
      <w:r>
        <w:rPr>
          <w:spacing w:val="-3"/>
          <w:sz w:val="24"/>
        </w:rPr>
        <w:t> </w:t>
      </w:r>
      <w:r>
        <w:rPr>
          <w:spacing w:val="-2"/>
          <w:sz w:val="24"/>
        </w:rPr>
        <w:t>(2)**</w:t>
      </w:r>
    </w:p>
    <w:p>
      <w:pPr>
        <w:pStyle w:val="ListParagraph"/>
        <w:numPr>
          <w:ilvl w:val="2"/>
          <w:numId w:val="48"/>
        </w:numPr>
        <w:tabs>
          <w:tab w:pos="1859" w:val="left" w:leader="none"/>
          <w:tab w:pos="1861" w:val="left" w:leader="none"/>
        </w:tabs>
        <w:spacing w:line="240" w:lineRule="auto" w:before="119" w:after="0"/>
        <w:ind w:left="1860" w:right="0" w:hanging="362"/>
        <w:jc w:val="left"/>
        <w:rPr>
          <w:sz w:val="24"/>
        </w:rPr>
      </w:pPr>
      <w:r>
        <w:rPr>
          <w:sz w:val="24"/>
        </w:rPr>
        <w:t>accommodation</w:t>
      </w:r>
      <w:r>
        <w:rPr>
          <w:spacing w:val="-6"/>
          <w:sz w:val="24"/>
        </w:rPr>
        <w:t> </w:t>
      </w:r>
      <w:r>
        <w:rPr>
          <w:sz w:val="24"/>
        </w:rPr>
        <w:t>–</w:t>
      </w:r>
      <w:r>
        <w:rPr>
          <w:spacing w:val="-4"/>
          <w:sz w:val="24"/>
        </w:rPr>
        <w:t> </w:t>
      </w:r>
      <w:r>
        <w:rPr>
          <w:sz w:val="24"/>
        </w:rPr>
        <w:t>with</w:t>
      </w:r>
      <w:r>
        <w:rPr>
          <w:spacing w:val="-4"/>
          <w:sz w:val="24"/>
        </w:rPr>
        <w:t> </w:t>
      </w:r>
      <w:r>
        <w:rPr>
          <w:sz w:val="24"/>
        </w:rPr>
        <w:t>lift</w:t>
      </w:r>
      <w:r>
        <w:rPr>
          <w:spacing w:val="-4"/>
          <w:sz w:val="24"/>
        </w:rPr>
        <w:t> </w:t>
      </w:r>
      <w:r>
        <w:rPr>
          <w:sz w:val="24"/>
        </w:rPr>
        <w:t>(common</w:t>
      </w:r>
      <w:r>
        <w:rPr>
          <w:spacing w:val="-4"/>
          <w:sz w:val="24"/>
        </w:rPr>
        <w:t> </w:t>
      </w:r>
      <w:r>
        <w:rPr>
          <w:sz w:val="24"/>
        </w:rPr>
        <w:t>areas)</w:t>
      </w:r>
      <w:r>
        <w:rPr>
          <w:spacing w:val="-4"/>
          <w:sz w:val="24"/>
        </w:rPr>
        <w:t> </w:t>
      </w:r>
      <w:r>
        <w:rPr>
          <w:sz w:val="24"/>
        </w:rPr>
        <w:t>–</w:t>
      </w:r>
      <w:r>
        <w:rPr>
          <w:spacing w:val="-4"/>
          <w:sz w:val="24"/>
        </w:rPr>
        <w:t> </w:t>
      </w:r>
      <w:r>
        <w:rPr>
          <w:sz w:val="24"/>
        </w:rPr>
        <w:t>7</w:t>
      </w:r>
      <w:r>
        <w:rPr>
          <w:spacing w:val="-4"/>
          <w:sz w:val="24"/>
        </w:rPr>
        <w:t> </w:t>
      </w:r>
      <w:r>
        <w:rPr>
          <w:sz w:val="24"/>
        </w:rPr>
        <w:t>storey</w:t>
      </w:r>
      <w:r>
        <w:rPr>
          <w:spacing w:val="-3"/>
          <w:sz w:val="24"/>
        </w:rPr>
        <w:t> </w:t>
      </w:r>
      <w:r>
        <w:rPr>
          <w:spacing w:val="-2"/>
          <w:sz w:val="24"/>
        </w:rPr>
        <w:t>(2)**</w:t>
      </w:r>
    </w:p>
    <w:p>
      <w:pPr>
        <w:pStyle w:val="ListParagraph"/>
        <w:numPr>
          <w:ilvl w:val="2"/>
          <w:numId w:val="48"/>
        </w:numPr>
        <w:tabs>
          <w:tab w:pos="1859" w:val="left" w:leader="none"/>
          <w:tab w:pos="1861" w:val="left" w:leader="none"/>
        </w:tabs>
        <w:spacing w:line="240" w:lineRule="auto" w:before="117" w:after="0"/>
        <w:ind w:left="1860" w:right="0" w:hanging="362"/>
        <w:jc w:val="left"/>
        <w:rPr>
          <w:sz w:val="24"/>
        </w:rPr>
      </w:pPr>
      <w:r>
        <w:rPr>
          <w:sz w:val="24"/>
        </w:rPr>
        <w:t>office</w:t>
      </w:r>
      <w:r>
        <w:rPr>
          <w:spacing w:val="-7"/>
          <w:sz w:val="24"/>
        </w:rPr>
        <w:t> </w:t>
      </w:r>
      <w:r>
        <w:rPr>
          <w:sz w:val="24"/>
        </w:rPr>
        <w:t>–</w:t>
      </w:r>
      <w:r>
        <w:rPr>
          <w:spacing w:val="-3"/>
          <w:sz w:val="24"/>
        </w:rPr>
        <w:t> </w:t>
      </w:r>
      <w:r>
        <w:rPr>
          <w:sz w:val="24"/>
        </w:rPr>
        <w:t>dwelling</w:t>
      </w:r>
      <w:r>
        <w:rPr>
          <w:spacing w:val="-3"/>
          <w:sz w:val="24"/>
        </w:rPr>
        <w:t> </w:t>
      </w:r>
      <w:r>
        <w:rPr>
          <w:sz w:val="24"/>
        </w:rPr>
        <w:t>size</w:t>
      </w:r>
      <w:r>
        <w:rPr>
          <w:spacing w:val="62"/>
          <w:sz w:val="24"/>
        </w:rPr>
        <w:t> </w:t>
      </w:r>
      <w:r>
        <w:rPr>
          <w:sz w:val="24"/>
        </w:rPr>
        <w:t>(half</w:t>
      </w:r>
      <w:r>
        <w:rPr>
          <w:spacing w:val="-3"/>
          <w:sz w:val="24"/>
        </w:rPr>
        <w:t> </w:t>
      </w:r>
      <w:r>
        <w:rPr>
          <w:sz w:val="24"/>
        </w:rPr>
        <w:t>one</w:t>
      </w:r>
      <w:r>
        <w:rPr>
          <w:spacing w:val="-3"/>
          <w:sz w:val="24"/>
        </w:rPr>
        <w:t> </w:t>
      </w:r>
      <w:r>
        <w:rPr>
          <w:sz w:val="24"/>
        </w:rPr>
        <w:t>floor)</w:t>
      </w:r>
      <w:r>
        <w:rPr>
          <w:spacing w:val="-3"/>
          <w:sz w:val="24"/>
        </w:rPr>
        <w:t> </w:t>
      </w:r>
      <w:r>
        <w:rPr>
          <w:sz w:val="24"/>
        </w:rPr>
        <w:t>–</w:t>
      </w:r>
      <w:r>
        <w:rPr>
          <w:spacing w:val="-3"/>
          <w:sz w:val="24"/>
        </w:rPr>
        <w:t> </w:t>
      </w:r>
      <w:r>
        <w:rPr>
          <w:sz w:val="24"/>
        </w:rPr>
        <w:t>2</w:t>
      </w:r>
      <w:r>
        <w:rPr>
          <w:spacing w:val="-2"/>
          <w:sz w:val="24"/>
        </w:rPr>
        <w:t> </w:t>
      </w:r>
      <w:r>
        <w:rPr>
          <w:sz w:val="24"/>
        </w:rPr>
        <w:t>storey</w:t>
      </w:r>
      <w:r>
        <w:rPr>
          <w:spacing w:val="-30"/>
          <w:sz w:val="24"/>
        </w:rPr>
        <w:t> </w:t>
      </w:r>
      <w:r>
        <w:rPr>
          <w:spacing w:val="-5"/>
          <w:sz w:val="24"/>
        </w:rPr>
        <w:t>(5)</w:t>
      </w:r>
    </w:p>
    <w:p>
      <w:pPr>
        <w:pStyle w:val="ListParagraph"/>
        <w:numPr>
          <w:ilvl w:val="2"/>
          <w:numId w:val="48"/>
        </w:numPr>
        <w:tabs>
          <w:tab w:pos="1860" w:val="left" w:leader="none"/>
          <w:tab w:pos="1861" w:val="left" w:leader="none"/>
        </w:tabs>
        <w:spacing w:line="240" w:lineRule="auto" w:before="119" w:after="0"/>
        <w:ind w:left="1860" w:right="0" w:hanging="362"/>
        <w:jc w:val="left"/>
        <w:rPr>
          <w:sz w:val="24"/>
        </w:rPr>
      </w:pPr>
      <w:r>
        <w:rPr>
          <w:sz w:val="24"/>
        </w:rPr>
        <w:t>office</w:t>
      </w:r>
      <w:r>
        <w:rPr>
          <w:spacing w:val="-3"/>
          <w:sz w:val="24"/>
        </w:rPr>
        <w:t> </w:t>
      </w:r>
      <w:r>
        <w:rPr>
          <w:sz w:val="24"/>
        </w:rPr>
        <w:t>(one</w:t>
      </w:r>
      <w:r>
        <w:rPr>
          <w:spacing w:val="-2"/>
          <w:sz w:val="24"/>
        </w:rPr>
        <w:t> </w:t>
      </w:r>
      <w:r>
        <w:rPr>
          <w:sz w:val="24"/>
        </w:rPr>
        <w:t>floor)</w:t>
      </w:r>
      <w:r>
        <w:rPr>
          <w:spacing w:val="62"/>
          <w:sz w:val="24"/>
        </w:rPr>
        <w:t> </w:t>
      </w:r>
      <w:r>
        <w:rPr>
          <w:sz w:val="24"/>
        </w:rPr>
        <w:t>–</w:t>
      </w:r>
      <w:r>
        <w:rPr>
          <w:spacing w:val="-2"/>
          <w:sz w:val="24"/>
        </w:rPr>
        <w:t> </w:t>
      </w:r>
      <w:r>
        <w:rPr>
          <w:sz w:val="24"/>
        </w:rPr>
        <w:t>7</w:t>
      </w:r>
      <w:r>
        <w:rPr>
          <w:spacing w:val="-2"/>
          <w:sz w:val="24"/>
        </w:rPr>
        <w:t> </w:t>
      </w:r>
      <w:r>
        <w:rPr>
          <w:sz w:val="24"/>
        </w:rPr>
        <w:t>storey</w:t>
      </w:r>
      <w:r>
        <w:rPr>
          <w:spacing w:val="-2"/>
          <w:sz w:val="24"/>
        </w:rPr>
        <w:t> </w:t>
      </w:r>
      <w:r>
        <w:rPr>
          <w:spacing w:val="-5"/>
          <w:sz w:val="24"/>
        </w:rPr>
        <w:t>(5)</w:t>
      </w:r>
    </w:p>
    <w:p>
      <w:pPr>
        <w:pStyle w:val="ListParagraph"/>
        <w:numPr>
          <w:ilvl w:val="2"/>
          <w:numId w:val="48"/>
        </w:numPr>
        <w:tabs>
          <w:tab w:pos="1859" w:val="left" w:leader="none"/>
          <w:tab w:pos="1861" w:val="left" w:leader="none"/>
        </w:tabs>
        <w:spacing w:line="240" w:lineRule="auto" w:before="118" w:after="0"/>
        <w:ind w:left="1860" w:right="0" w:hanging="362"/>
        <w:jc w:val="left"/>
        <w:rPr>
          <w:sz w:val="24"/>
        </w:rPr>
      </w:pPr>
      <w:r>
        <w:rPr>
          <w:sz w:val="24"/>
        </w:rPr>
        <w:t>office</w:t>
      </w:r>
      <w:r>
        <w:rPr>
          <w:spacing w:val="-3"/>
          <w:sz w:val="24"/>
        </w:rPr>
        <w:t> </w:t>
      </w:r>
      <w:r>
        <w:rPr>
          <w:sz w:val="24"/>
        </w:rPr>
        <w:t>(av.</w:t>
      </w:r>
      <w:r>
        <w:rPr>
          <w:spacing w:val="-3"/>
          <w:sz w:val="24"/>
        </w:rPr>
        <w:t> </w:t>
      </w:r>
      <w:r>
        <w:rPr>
          <w:sz w:val="24"/>
        </w:rPr>
        <w:t>floor</w:t>
      </w:r>
      <w:r>
        <w:rPr>
          <w:spacing w:val="-3"/>
          <w:sz w:val="24"/>
        </w:rPr>
        <w:t> </w:t>
      </w:r>
      <w:r>
        <w:rPr>
          <w:sz w:val="24"/>
        </w:rPr>
        <w:t>plate</w:t>
      </w:r>
      <w:r>
        <w:rPr>
          <w:spacing w:val="-3"/>
          <w:sz w:val="24"/>
        </w:rPr>
        <w:t> </w:t>
      </w:r>
      <w:r>
        <w:rPr>
          <w:sz w:val="24"/>
        </w:rPr>
        <w:t>of</w:t>
      </w:r>
      <w:r>
        <w:rPr>
          <w:spacing w:val="-2"/>
          <w:sz w:val="24"/>
        </w:rPr>
        <w:t> </w:t>
      </w:r>
      <w:r>
        <w:rPr>
          <w:sz w:val="24"/>
        </w:rPr>
        <w:t>900m2)</w:t>
      </w:r>
      <w:r>
        <w:rPr>
          <w:spacing w:val="61"/>
          <w:sz w:val="24"/>
        </w:rPr>
        <w:t> </w:t>
      </w:r>
      <w:r>
        <w:rPr>
          <w:sz w:val="24"/>
        </w:rPr>
        <w:t>(three</w:t>
      </w:r>
      <w:r>
        <w:rPr>
          <w:spacing w:val="-3"/>
          <w:sz w:val="24"/>
        </w:rPr>
        <w:t> </w:t>
      </w:r>
      <w:r>
        <w:rPr>
          <w:sz w:val="24"/>
        </w:rPr>
        <w:t>floors)</w:t>
      </w:r>
      <w:r>
        <w:rPr>
          <w:spacing w:val="-2"/>
          <w:sz w:val="24"/>
        </w:rPr>
        <w:t> </w:t>
      </w:r>
      <w:r>
        <w:rPr>
          <w:sz w:val="24"/>
        </w:rPr>
        <w:t>–</w:t>
      </w:r>
      <w:r>
        <w:rPr>
          <w:spacing w:val="-3"/>
          <w:sz w:val="24"/>
        </w:rPr>
        <w:t> </w:t>
      </w:r>
      <w:r>
        <w:rPr>
          <w:sz w:val="24"/>
        </w:rPr>
        <w:t>20</w:t>
      </w:r>
      <w:r>
        <w:rPr>
          <w:spacing w:val="-3"/>
          <w:sz w:val="24"/>
        </w:rPr>
        <w:t> </w:t>
      </w:r>
      <w:r>
        <w:rPr>
          <w:sz w:val="24"/>
        </w:rPr>
        <w:t>storey</w:t>
      </w:r>
      <w:r>
        <w:rPr>
          <w:spacing w:val="-3"/>
          <w:sz w:val="24"/>
        </w:rPr>
        <w:t> </w:t>
      </w:r>
      <w:r>
        <w:rPr>
          <w:spacing w:val="-5"/>
          <w:sz w:val="24"/>
        </w:rPr>
        <w:t>(5)</w:t>
      </w:r>
    </w:p>
    <w:p>
      <w:pPr>
        <w:pStyle w:val="ListParagraph"/>
        <w:numPr>
          <w:ilvl w:val="2"/>
          <w:numId w:val="48"/>
        </w:numPr>
        <w:tabs>
          <w:tab w:pos="1860" w:val="left" w:leader="none"/>
          <w:tab w:pos="1861" w:val="left" w:leader="none"/>
          <w:tab w:pos="3847" w:val="left" w:leader="none"/>
        </w:tabs>
        <w:spacing w:line="240" w:lineRule="auto" w:before="118" w:after="0"/>
        <w:ind w:left="1860" w:right="0" w:hanging="362"/>
        <w:jc w:val="left"/>
        <w:rPr>
          <w:sz w:val="24"/>
        </w:rPr>
      </w:pPr>
      <w:r>
        <w:rPr>
          <w:sz w:val="24"/>
        </w:rPr>
        <w:t>hospital</w:t>
      </w:r>
      <w:r>
        <w:rPr>
          <w:spacing w:val="-7"/>
          <w:sz w:val="24"/>
        </w:rPr>
        <w:t> </w:t>
      </w:r>
      <w:r>
        <w:rPr>
          <w:spacing w:val="-2"/>
          <w:sz w:val="24"/>
        </w:rPr>
        <w:t>building</w:t>
      </w:r>
      <w:r>
        <w:rPr>
          <w:sz w:val="24"/>
        </w:rPr>
        <w:tab/>
        <w:t>–</w:t>
      </w:r>
      <w:r>
        <w:rPr>
          <w:spacing w:val="63"/>
          <w:sz w:val="24"/>
        </w:rPr>
        <w:t> </w:t>
      </w:r>
      <w:r>
        <w:rPr>
          <w:sz w:val="24"/>
        </w:rPr>
        <w:t>3</w:t>
      </w:r>
      <w:r>
        <w:rPr>
          <w:spacing w:val="-2"/>
          <w:sz w:val="24"/>
        </w:rPr>
        <w:t> </w:t>
      </w:r>
      <w:r>
        <w:rPr>
          <w:sz w:val="24"/>
        </w:rPr>
        <w:t>storey</w:t>
      </w:r>
      <w:r>
        <w:rPr>
          <w:spacing w:val="-2"/>
          <w:sz w:val="24"/>
        </w:rPr>
        <w:t> </w:t>
      </w:r>
      <w:r>
        <w:rPr>
          <w:sz w:val="24"/>
        </w:rPr>
        <w:t>(10%</w:t>
      </w:r>
      <w:r>
        <w:rPr>
          <w:spacing w:val="-2"/>
          <w:sz w:val="24"/>
        </w:rPr>
        <w:t> </w:t>
      </w:r>
      <w:r>
        <w:rPr>
          <w:sz w:val="24"/>
        </w:rPr>
        <w:t>floor</w:t>
      </w:r>
      <w:r>
        <w:rPr>
          <w:spacing w:val="-1"/>
          <w:sz w:val="24"/>
        </w:rPr>
        <w:t> </w:t>
      </w:r>
      <w:r>
        <w:rPr>
          <w:sz w:val="24"/>
        </w:rPr>
        <w:t>area)</w:t>
      </w:r>
      <w:r>
        <w:rPr>
          <w:spacing w:val="-2"/>
          <w:sz w:val="24"/>
        </w:rPr>
        <w:t> </w:t>
      </w:r>
      <w:r>
        <w:rPr>
          <w:spacing w:val="-4"/>
          <w:sz w:val="24"/>
        </w:rPr>
        <w:t>(9a)</w:t>
      </w:r>
    </w:p>
    <w:p>
      <w:pPr>
        <w:pStyle w:val="ListParagraph"/>
        <w:numPr>
          <w:ilvl w:val="2"/>
          <w:numId w:val="48"/>
        </w:numPr>
        <w:tabs>
          <w:tab w:pos="1859" w:val="left" w:leader="none"/>
          <w:tab w:pos="1861" w:val="left" w:leader="none"/>
        </w:tabs>
        <w:spacing w:line="240" w:lineRule="auto" w:before="118" w:after="0"/>
        <w:ind w:left="1860" w:right="0" w:hanging="361"/>
        <w:jc w:val="left"/>
        <w:rPr>
          <w:sz w:val="24"/>
        </w:rPr>
      </w:pPr>
      <w:r>
        <w:rPr>
          <w:sz w:val="24"/>
        </w:rPr>
        <w:t>shopping</w:t>
      </w:r>
      <w:r>
        <w:rPr>
          <w:spacing w:val="-4"/>
          <w:sz w:val="24"/>
        </w:rPr>
        <w:t> </w:t>
      </w:r>
      <w:r>
        <w:rPr>
          <w:sz w:val="24"/>
        </w:rPr>
        <w:t>centre</w:t>
      </w:r>
      <w:r>
        <w:rPr>
          <w:spacing w:val="-4"/>
          <w:sz w:val="24"/>
        </w:rPr>
        <w:t> </w:t>
      </w:r>
      <w:r>
        <w:rPr>
          <w:sz w:val="24"/>
        </w:rPr>
        <w:t>–</w:t>
      </w:r>
      <w:r>
        <w:rPr>
          <w:spacing w:val="-4"/>
          <w:sz w:val="24"/>
        </w:rPr>
        <w:t> </w:t>
      </w:r>
      <w:r>
        <w:rPr>
          <w:sz w:val="24"/>
        </w:rPr>
        <w:t>large</w:t>
      </w:r>
      <w:r>
        <w:rPr>
          <w:spacing w:val="-4"/>
          <w:sz w:val="24"/>
        </w:rPr>
        <w:t> </w:t>
      </w:r>
      <w:r>
        <w:rPr>
          <w:sz w:val="24"/>
        </w:rPr>
        <w:t>horizontal</w:t>
      </w:r>
      <w:r>
        <w:rPr>
          <w:spacing w:val="-4"/>
          <w:sz w:val="24"/>
        </w:rPr>
        <w:t> </w:t>
      </w:r>
      <w:r>
        <w:rPr>
          <w:sz w:val="24"/>
        </w:rPr>
        <w:t>spread</w:t>
      </w:r>
      <w:r>
        <w:rPr>
          <w:spacing w:val="-4"/>
          <w:sz w:val="24"/>
        </w:rPr>
        <w:t> </w:t>
      </w:r>
      <w:r>
        <w:rPr>
          <w:sz w:val="24"/>
        </w:rPr>
        <w:t>(10%</w:t>
      </w:r>
      <w:r>
        <w:rPr>
          <w:spacing w:val="-4"/>
          <w:sz w:val="24"/>
        </w:rPr>
        <w:t> </w:t>
      </w:r>
      <w:r>
        <w:rPr>
          <w:sz w:val="24"/>
        </w:rPr>
        <w:t>floor</w:t>
      </w:r>
      <w:r>
        <w:rPr>
          <w:spacing w:val="-4"/>
          <w:sz w:val="24"/>
        </w:rPr>
        <w:t> </w:t>
      </w:r>
      <w:r>
        <w:rPr>
          <w:sz w:val="24"/>
        </w:rPr>
        <w:t>area)</w:t>
      </w:r>
      <w:r>
        <w:rPr>
          <w:spacing w:val="-4"/>
          <w:sz w:val="24"/>
        </w:rPr>
        <w:t> (9b)</w:t>
      </w:r>
    </w:p>
    <w:p>
      <w:pPr>
        <w:pStyle w:val="ListParagraph"/>
        <w:numPr>
          <w:ilvl w:val="2"/>
          <w:numId w:val="48"/>
        </w:numPr>
        <w:tabs>
          <w:tab w:pos="1859" w:val="left" w:leader="none"/>
          <w:tab w:pos="1861" w:val="left" w:leader="none"/>
          <w:tab w:pos="2901" w:val="left" w:leader="none"/>
        </w:tabs>
        <w:spacing w:line="240" w:lineRule="auto" w:before="118" w:after="0"/>
        <w:ind w:left="1860" w:right="0" w:hanging="362"/>
        <w:jc w:val="left"/>
        <w:rPr>
          <w:sz w:val="24"/>
        </w:rPr>
      </w:pPr>
      <w:r>
        <w:rPr>
          <w:spacing w:val="-2"/>
          <w:sz w:val="24"/>
        </w:rPr>
        <w:t>stadium</w:t>
      </w:r>
      <w:r>
        <w:rPr>
          <w:sz w:val="24"/>
        </w:rPr>
        <w:tab/>
        <w:t>–</w:t>
      </w:r>
      <w:r>
        <w:rPr>
          <w:spacing w:val="-4"/>
          <w:sz w:val="24"/>
        </w:rPr>
        <w:t> </w:t>
      </w:r>
      <w:r>
        <w:rPr>
          <w:sz w:val="24"/>
        </w:rPr>
        <w:t>40</w:t>
      </w:r>
      <w:r>
        <w:rPr>
          <w:spacing w:val="-4"/>
          <w:sz w:val="24"/>
        </w:rPr>
        <w:t> </w:t>
      </w:r>
      <w:r>
        <w:rPr>
          <w:sz w:val="24"/>
        </w:rPr>
        <w:t>000</w:t>
      </w:r>
      <w:r>
        <w:rPr>
          <w:spacing w:val="-4"/>
          <w:sz w:val="24"/>
        </w:rPr>
        <w:t> </w:t>
      </w:r>
      <w:r>
        <w:rPr>
          <w:sz w:val="24"/>
        </w:rPr>
        <w:t>seat</w:t>
      </w:r>
      <w:r>
        <w:rPr>
          <w:spacing w:val="-5"/>
          <w:sz w:val="24"/>
        </w:rPr>
        <w:t> </w:t>
      </w:r>
      <w:r>
        <w:rPr>
          <w:sz w:val="24"/>
        </w:rPr>
        <w:t>(10%</w:t>
      </w:r>
      <w:r>
        <w:rPr>
          <w:spacing w:val="-5"/>
          <w:sz w:val="24"/>
        </w:rPr>
        <w:t> </w:t>
      </w:r>
      <w:r>
        <w:rPr>
          <w:sz w:val="24"/>
        </w:rPr>
        <w:t>floor</w:t>
      </w:r>
      <w:r>
        <w:rPr>
          <w:spacing w:val="-4"/>
          <w:sz w:val="24"/>
        </w:rPr>
        <w:t> </w:t>
      </w:r>
      <w:r>
        <w:rPr>
          <w:sz w:val="24"/>
        </w:rPr>
        <w:t>area)</w:t>
      </w:r>
      <w:r>
        <w:rPr>
          <w:spacing w:val="-5"/>
          <w:sz w:val="24"/>
        </w:rPr>
        <w:t> </w:t>
      </w:r>
      <w:r>
        <w:rPr>
          <w:spacing w:val="-4"/>
          <w:sz w:val="24"/>
        </w:rPr>
        <w:t>(9b)</w:t>
      </w:r>
    </w:p>
    <w:p>
      <w:pPr>
        <w:pStyle w:val="BodyText"/>
        <w:spacing w:before="118"/>
        <w:ind w:left="419" w:right="811"/>
        <w:jc w:val="both"/>
      </w:pPr>
      <w:r>
        <w:rPr/>
        <w:t>As noted above, in the 2004 proposal there were also case studies developed using Class 2 buildings. These were subsequently removed as part of the 2008</w:t>
      </w:r>
      <w:r>
        <w:rPr>
          <w:spacing w:val="-3"/>
        </w:rPr>
        <w:t> </w:t>
      </w:r>
      <w:r>
        <w:rPr/>
        <w:t>proposal</w:t>
      </w:r>
      <w:r>
        <w:rPr>
          <w:spacing w:val="-3"/>
        </w:rPr>
        <w:t> </w:t>
      </w:r>
      <w:r>
        <w:rPr/>
        <w:t>but</w:t>
      </w:r>
      <w:r>
        <w:rPr>
          <w:spacing w:val="-3"/>
        </w:rPr>
        <w:t> </w:t>
      </w:r>
      <w:r>
        <w:rPr/>
        <w:t>those</w:t>
      </w:r>
      <w:r>
        <w:rPr>
          <w:spacing w:val="-3"/>
        </w:rPr>
        <w:t> </w:t>
      </w:r>
      <w:r>
        <w:rPr/>
        <w:t>for</w:t>
      </w:r>
      <w:r>
        <w:rPr>
          <w:spacing w:val="-3"/>
        </w:rPr>
        <w:t> </w:t>
      </w:r>
      <w:r>
        <w:rPr/>
        <w:t>new</w:t>
      </w:r>
      <w:r>
        <w:rPr>
          <w:spacing w:val="-3"/>
        </w:rPr>
        <w:t> </w:t>
      </w:r>
      <w:r>
        <w:rPr/>
        <w:t>Class</w:t>
      </w:r>
      <w:r>
        <w:rPr>
          <w:spacing w:val="-3"/>
        </w:rPr>
        <w:t> </w:t>
      </w:r>
      <w:r>
        <w:rPr/>
        <w:t>2</w:t>
      </w:r>
      <w:r>
        <w:rPr>
          <w:spacing w:val="-3"/>
        </w:rPr>
        <w:t> </w:t>
      </w:r>
      <w:r>
        <w:rPr/>
        <w:t>buildings</w:t>
      </w:r>
      <w:r>
        <w:rPr>
          <w:spacing w:val="-3"/>
        </w:rPr>
        <w:t> </w:t>
      </w:r>
      <w:r>
        <w:rPr/>
        <w:t>have</w:t>
      </w:r>
      <w:r>
        <w:rPr>
          <w:spacing w:val="-3"/>
        </w:rPr>
        <w:t> </w:t>
      </w:r>
      <w:r>
        <w:rPr/>
        <w:t>been</w:t>
      </w:r>
      <w:r>
        <w:rPr>
          <w:spacing w:val="-3"/>
        </w:rPr>
        <w:t> </w:t>
      </w:r>
      <w:r>
        <w:rPr/>
        <w:t>reinstated</w:t>
      </w:r>
      <w:r>
        <w:rPr>
          <w:spacing w:val="-3"/>
        </w:rPr>
        <w:t> </w:t>
      </w:r>
      <w:r>
        <w:rPr/>
        <w:t>under the 2009 amendment proposal and can be found in Appendix D.</w:t>
      </w:r>
    </w:p>
    <w:p>
      <w:pPr>
        <w:spacing w:after="0"/>
        <w:jc w:val="both"/>
        <w:sectPr>
          <w:pgSz w:w="11900" w:h="16840"/>
          <w:pgMar w:header="0" w:footer="1130" w:top="1000" w:bottom="1320" w:left="1380" w:right="980"/>
        </w:sectPr>
      </w:pPr>
    </w:p>
    <w:p>
      <w:pPr>
        <w:pStyle w:val="Heading3"/>
        <w:spacing w:before="78"/>
      </w:pPr>
      <w:bookmarkStart w:name="Estimating costs for each case study" w:id="163"/>
      <w:bookmarkEnd w:id="163"/>
      <w:r>
        <w:rPr>
          <w:b w:val="0"/>
        </w:rPr>
      </w:r>
      <w:r>
        <w:rPr/>
        <w:t>Estimating</w:t>
      </w:r>
      <w:r>
        <w:rPr>
          <w:spacing w:val="-4"/>
        </w:rPr>
        <w:t> </w:t>
      </w:r>
      <w:r>
        <w:rPr/>
        <w:t>costs</w:t>
      </w:r>
      <w:r>
        <w:rPr>
          <w:spacing w:val="-4"/>
        </w:rPr>
        <w:t> </w:t>
      </w:r>
      <w:r>
        <w:rPr/>
        <w:t>for</w:t>
      </w:r>
      <w:r>
        <w:rPr>
          <w:spacing w:val="-4"/>
        </w:rPr>
        <w:t> </w:t>
      </w:r>
      <w:r>
        <w:rPr/>
        <w:t>each</w:t>
      </w:r>
      <w:r>
        <w:rPr>
          <w:spacing w:val="-4"/>
        </w:rPr>
        <w:t> </w:t>
      </w:r>
      <w:r>
        <w:rPr/>
        <w:t>case</w:t>
      </w:r>
      <w:r>
        <w:rPr>
          <w:spacing w:val="-4"/>
        </w:rPr>
        <w:t> </w:t>
      </w:r>
      <w:r>
        <w:rPr>
          <w:spacing w:val="-2"/>
        </w:rPr>
        <w:t>study</w:t>
      </w:r>
    </w:p>
    <w:p>
      <w:pPr>
        <w:pStyle w:val="BodyText"/>
        <w:spacing w:before="57"/>
        <w:ind w:left="420" w:right="810"/>
        <w:jc w:val="both"/>
      </w:pPr>
      <w:r>
        <w:rPr/>
        <w:t>The analysis of the cost impacts of each case study comprised three steps. First, the requirements of the Premises Standards with respect to the specific building type set out in the case study were determined and compared with the</w:t>
      </w:r>
      <w:r>
        <w:rPr>
          <w:spacing w:val="-2"/>
        </w:rPr>
        <w:t> </w:t>
      </w:r>
      <w:r>
        <w:rPr/>
        <w:t>current</w:t>
      </w:r>
      <w:r>
        <w:rPr>
          <w:spacing w:val="-2"/>
        </w:rPr>
        <w:t> </w:t>
      </w:r>
      <w:r>
        <w:rPr/>
        <w:t>BCA</w:t>
      </w:r>
      <w:r>
        <w:rPr>
          <w:spacing w:val="-2"/>
        </w:rPr>
        <w:t> </w:t>
      </w:r>
      <w:r>
        <w:rPr/>
        <w:t>requirements.</w:t>
      </w:r>
      <w:r>
        <w:rPr>
          <w:spacing w:val="40"/>
        </w:rPr>
        <w:t> </w:t>
      </w:r>
      <w:r>
        <w:rPr/>
        <w:t>Where</w:t>
      </w:r>
      <w:r>
        <w:rPr>
          <w:spacing w:val="-2"/>
        </w:rPr>
        <w:t> </w:t>
      </w:r>
      <w:r>
        <w:rPr/>
        <w:t>no</w:t>
      </w:r>
      <w:r>
        <w:rPr>
          <w:spacing w:val="-2"/>
        </w:rPr>
        <w:t> </w:t>
      </w:r>
      <w:r>
        <w:rPr/>
        <w:t>specific</w:t>
      </w:r>
      <w:r>
        <w:rPr>
          <w:spacing w:val="-2"/>
        </w:rPr>
        <w:t> </w:t>
      </w:r>
      <w:r>
        <w:rPr/>
        <w:t>BCA</w:t>
      </w:r>
      <w:r>
        <w:rPr>
          <w:spacing w:val="-2"/>
        </w:rPr>
        <w:t> </w:t>
      </w:r>
      <w:r>
        <w:rPr/>
        <w:t>requirements</w:t>
      </w:r>
      <w:r>
        <w:rPr>
          <w:spacing w:val="-2"/>
        </w:rPr>
        <w:t> </w:t>
      </w:r>
      <w:r>
        <w:rPr/>
        <w:t>could</w:t>
      </w:r>
      <w:r>
        <w:rPr>
          <w:spacing w:val="-2"/>
        </w:rPr>
        <w:t> </w:t>
      </w:r>
      <w:r>
        <w:rPr/>
        <w:t>be identified, standard industry practice was used as a baseline.</w:t>
      </w:r>
      <w:r>
        <w:rPr>
          <w:spacing w:val="40"/>
        </w:rPr>
        <w:t> </w:t>
      </w:r>
      <w:r>
        <w:rPr/>
        <w:t>Comparison of the</w:t>
      </w:r>
      <w:r>
        <w:rPr>
          <w:spacing w:val="-3"/>
        </w:rPr>
        <w:t> </w:t>
      </w:r>
      <w:r>
        <w:rPr/>
        <w:t>Premises</w:t>
      </w:r>
      <w:r>
        <w:rPr>
          <w:spacing w:val="-3"/>
        </w:rPr>
        <w:t> </w:t>
      </w:r>
      <w:r>
        <w:rPr/>
        <w:t>Standards</w:t>
      </w:r>
      <w:r>
        <w:rPr>
          <w:spacing w:val="-3"/>
        </w:rPr>
        <w:t> </w:t>
      </w:r>
      <w:r>
        <w:rPr/>
        <w:t>and</w:t>
      </w:r>
      <w:r>
        <w:rPr>
          <w:spacing w:val="-3"/>
        </w:rPr>
        <w:t> </w:t>
      </w:r>
      <w:r>
        <w:rPr/>
        <w:t>the</w:t>
      </w:r>
      <w:r>
        <w:rPr>
          <w:spacing w:val="-3"/>
        </w:rPr>
        <w:t> </w:t>
      </w:r>
      <w:r>
        <w:rPr/>
        <w:t>existing</w:t>
      </w:r>
      <w:r>
        <w:rPr>
          <w:spacing w:val="-3"/>
        </w:rPr>
        <w:t> </w:t>
      </w:r>
      <w:r>
        <w:rPr/>
        <w:t>requirements</w:t>
      </w:r>
      <w:r>
        <w:rPr>
          <w:spacing w:val="-3"/>
        </w:rPr>
        <w:t> </w:t>
      </w:r>
      <w:r>
        <w:rPr/>
        <w:t>yielded</w:t>
      </w:r>
      <w:r>
        <w:rPr>
          <w:spacing w:val="-3"/>
        </w:rPr>
        <w:t> </w:t>
      </w:r>
      <w:r>
        <w:rPr/>
        <w:t>a</w:t>
      </w:r>
      <w:r>
        <w:rPr>
          <w:spacing w:val="-3"/>
        </w:rPr>
        <w:t> </w:t>
      </w:r>
      <w:r>
        <w:rPr/>
        <w:t>list</w:t>
      </w:r>
      <w:r>
        <w:rPr>
          <w:spacing w:val="-3"/>
        </w:rPr>
        <w:t> </w:t>
      </w:r>
      <w:r>
        <w:rPr/>
        <w:t>of</w:t>
      </w:r>
      <w:r>
        <w:rPr>
          <w:spacing w:val="-3"/>
        </w:rPr>
        <w:t> </w:t>
      </w:r>
      <w:r>
        <w:rPr/>
        <w:t>specific additional requirements in each case.</w:t>
      </w:r>
    </w:p>
    <w:p>
      <w:pPr>
        <w:pStyle w:val="BodyText"/>
      </w:pPr>
    </w:p>
    <w:p>
      <w:pPr>
        <w:pStyle w:val="BodyText"/>
        <w:ind w:left="419" w:right="812"/>
        <w:jc w:val="both"/>
      </w:pPr>
      <w:r>
        <w:rPr/>
        <w:t>The second step involved determining the cost of each of these additional requirements.</w:t>
      </w:r>
      <w:r>
        <w:rPr>
          <w:spacing w:val="40"/>
        </w:rPr>
        <w:t> </w:t>
      </w:r>
      <w:r>
        <w:rPr/>
        <w:t>This was done with reference to standard construction cost manuals</w:t>
      </w:r>
      <w:r>
        <w:rPr>
          <w:vertAlign w:val="superscript"/>
        </w:rPr>
        <w:t>80</w:t>
      </w:r>
      <w:r>
        <w:rPr>
          <w:vertAlign w:val="baseline"/>
        </w:rPr>
        <w:t> and, where required, was estimated via the expert knowledge of</w:t>
      </w:r>
      <w:r>
        <w:rPr>
          <w:spacing w:val="40"/>
          <w:vertAlign w:val="baseline"/>
        </w:rPr>
        <w:t> </w:t>
      </w:r>
      <w:r>
        <w:rPr>
          <w:vertAlign w:val="baseline"/>
        </w:rPr>
        <w:t>the quantity surveyors involved in the project.</w:t>
      </w:r>
      <w:r>
        <w:rPr>
          <w:spacing w:val="40"/>
          <w:vertAlign w:val="baseline"/>
        </w:rPr>
        <w:t> </w:t>
      </w:r>
      <w:r>
        <w:rPr>
          <w:vertAlign w:val="baseline"/>
        </w:rPr>
        <w:t>Standard construction cost estimates for Melbourne were used as the basis for estimation</w:t>
      </w:r>
      <w:r>
        <w:rPr>
          <w:vertAlign w:val="superscript"/>
        </w:rPr>
        <w:t>81</w:t>
      </w:r>
      <w:r>
        <w:rPr>
          <w:vertAlign w:val="baseline"/>
        </w:rPr>
        <w:t>. The estimated value of each of the major cost items is reproduced in Appendix B.</w:t>
      </w:r>
    </w:p>
    <w:p>
      <w:pPr>
        <w:pStyle w:val="BodyText"/>
      </w:pPr>
    </w:p>
    <w:p>
      <w:pPr>
        <w:pStyle w:val="BodyText"/>
        <w:spacing w:before="1"/>
        <w:ind w:left="419" w:right="809"/>
        <w:jc w:val="both"/>
      </w:pPr>
      <w:r>
        <w:rPr/>
        <w:t>Third, the cost of each of the individual requirements for each case study was summed to obtain the aggregate cost estimate for that case study.</w:t>
      </w:r>
      <w:r>
        <w:rPr>
          <w:spacing w:val="40"/>
        </w:rPr>
        <w:t> </w:t>
      </w:r>
      <w:r>
        <w:rPr/>
        <w:t>Additional details on the methodology applied in costing the case studies are contained in Appendix B.</w:t>
      </w:r>
      <w:r>
        <w:rPr>
          <w:spacing w:val="40"/>
        </w:rPr>
        <w:t> </w:t>
      </w:r>
      <w:r>
        <w:rPr/>
        <w:t>In particular, it should be noted that the analysis assumes existing buildings being upgraded comply with current BCA requirements. While this will not be the case in many circumstances, it is necessary to abstract from the costs implicit in bringing buildings up to current BCA standard in the context of renovation activity, in order to ensure that only the costs directly attributable to the Premises Standards are estimated for the present purposes</w:t>
      </w:r>
      <w:r>
        <w:rPr>
          <w:vertAlign w:val="superscript"/>
        </w:rPr>
        <w:t>82</w:t>
      </w:r>
      <w:r>
        <w:rPr>
          <w:vertAlign w:val="baseline"/>
        </w:rPr>
        <w:t>.</w:t>
      </w:r>
    </w:p>
    <w:p>
      <w:pPr>
        <w:pStyle w:val="BodyText"/>
      </w:pPr>
    </w:p>
    <w:p>
      <w:pPr>
        <w:pStyle w:val="BodyText"/>
        <w:ind w:left="419" w:right="810"/>
        <w:jc w:val="both"/>
      </w:pPr>
      <w:r>
        <w:rPr/>
        <w:t>Finally, an indicative construction cost for each of the case study buildings</w:t>
      </w:r>
      <w:r>
        <w:rPr>
          <w:spacing w:val="80"/>
        </w:rPr>
        <w:t> </w:t>
      </w:r>
      <w:r>
        <w:rPr/>
        <w:t>has been estimated.</w:t>
      </w:r>
      <w:r>
        <w:rPr>
          <w:spacing w:val="40"/>
        </w:rPr>
        <w:t> </w:t>
      </w:r>
      <w:r>
        <w:rPr/>
        <w:t>This allows the cost of applying the Premises Standards to be expressed in proportionate terms in each case.</w:t>
      </w:r>
      <w:r>
        <w:rPr>
          <w:spacing w:val="40"/>
        </w:rPr>
        <w:t> </w:t>
      </w:r>
      <w:r>
        <w:rPr/>
        <w:t>That is, a percentage cost</w:t>
      </w:r>
      <w:r>
        <w:rPr>
          <w:spacing w:val="-3"/>
        </w:rPr>
        <w:t> </w:t>
      </w:r>
      <w:r>
        <w:rPr/>
        <w:t>increase</w:t>
      </w:r>
      <w:r>
        <w:rPr>
          <w:spacing w:val="-3"/>
        </w:rPr>
        <w:t> </w:t>
      </w:r>
      <w:r>
        <w:rPr/>
        <w:t>associated</w:t>
      </w:r>
      <w:r>
        <w:rPr>
          <w:spacing w:val="-3"/>
        </w:rPr>
        <w:t> </w:t>
      </w:r>
      <w:r>
        <w:rPr/>
        <w:t>with</w:t>
      </w:r>
      <w:r>
        <w:rPr>
          <w:spacing w:val="-3"/>
        </w:rPr>
        <w:t> </w:t>
      </w:r>
      <w:r>
        <w:rPr/>
        <w:t>applying the</w:t>
      </w:r>
      <w:r>
        <w:rPr>
          <w:spacing w:val="-2"/>
        </w:rPr>
        <w:t> </w:t>
      </w:r>
      <w:r>
        <w:rPr/>
        <w:t>Premises</w:t>
      </w:r>
      <w:r>
        <w:rPr>
          <w:spacing w:val="-2"/>
        </w:rPr>
        <w:t> </w:t>
      </w:r>
      <w:r>
        <w:rPr/>
        <w:t>Standards</w:t>
      </w:r>
      <w:r>
        <w:rPr>
          <w:spacing w:val="-2"/>
        </w:rPr>
        <w:t> </w:t>
      </w:r>
      <w:r>
        <w:rPr/>
        <w:t>is</w:t>
      </w:r>
      <w:r>
        <w:rPr>
          <w:spacing w:val="-2"/>
        </w:rPr>
        <w:t> </w:t>
      </w:r>
      <w:r>
        <w:rPr/>
        <w:t>provided</w:t>
      </w:r>
      <w:r>
        <w:rPr>
          <w:spacing w:val="-2"/>
        </w:rPr>
        <w:t> </w:t>
      </w:r>
      <w:r>
        <w:rPr/>
        <w:t>for each case study.</w:t>
      </w:r>
      <w:r>
        <w:rPr>
          <w:spacing w:val="40"/>
        </w:rPr>
        <w:t> </w:t>
      </w:r>
      <w:r>
        <w:rPr/>
        <w:t>The purpose of this step is twofold.</w:t>
      </w:r>
      <w:r>
        <w:rPr>
          <w:spacing w:val="40"/>
        </w:rPr>
        <w:t> </w:t>
      </w:r>
      <w:r>
        <w:rPr/>
        <w:t>First, it provides an improved</w:t>
      </w:r>
      <w:r>
        <w:rPr>
          <w:spacing w:val="11"/>
        </w:rPr>
        <w:t> </w:t>
      </w:r>
      <w:r>
        <w:rPr/>
        <w:t>indication</w:t>
      </w:r>
      <w:r>
        <w:rPr>
          <w:spacing w:val="12"/>
        </w:rPr>
        <w:t> </w:t>
      </w:r>
      <w:r>
        <w:rPr/>
        <w:t>of</w:t>
      </w:r>
      <w:r>
        <w:rPr>
          <w:spacing w:val="12"/>
        </w:rPr>
        <w:t> </w:t>
      </w:r>
      <w:r>
        <w:rPr/>
        <w:t>the</w:t>
      </w:r>
      <w:r>
        <w:rPr>
          <w:spacing w:val="13"/>
        </w:rPr>
        <w:t> </w:t>
      </w:r>
      <w:r>
        <w:rPr/>
        <w:t>relative</w:t>
      </w:r>
      <w:r>
        <w:rPr>
          <w:spacing w:val="12"/>
        </w:rPr>
        <w:t> </w:t>
      </w:r>
      <w:r>
        <w:rPr/>
        <w:t>importance</w:t>
      </w:r>
      <w:r>
        <w:rPr>
          <w:spacing w:val="12"/>
        </w:rPr>
        <w:t> </w:t>
      </w:r>
      <w:r>
        <w:rPr/>
        <w:t>of</w:t>
      </w:r>
      <w:r>
        <w:rPr>
          <w:spacing w:val="12"/>
        </w:rPr>
        <w:t> </w:t>
      </w:r>
      <w:r>
        <w:rPr/>
        <w:t>the</w:t>
      </w:r>
      <w:r>
        <w:rPr>
          <w:spacing w:val="13"/>
        </w:rPr>
        <w:t> </w:t>
      </w:r>
      <w:r>
        <w:rPr/>
        <w:t>costs</w:t>
      </w:r>
      <w:r>
        <w:rPr>
          <w:spacing w:val="13"/>
        </w:rPr>
        <w:t> </w:t>
      </w:r>
      <w:r>
        <w:rPr/>
        <w:t>incurred.</w:t>
      </w:r>
      <w:r>
        <w:rPr>
          <w:spacing w:val="57"/>
          <w:w w:val="150"/>
        </w:rPr>
        <w:t> </w:t>
      </w:r>
      <w:r>
        <w:rPr>
          <w:spacing w:val="-2"/>
        </w:rPr>
        <w:t>Second,</w:t>
      </w:r>
    </w:p>
    <w:p>
      <w:pPr>
        <w:pStyle w:val="BodyText"/>
        <w:rPr>
          <w:sz w:val="20"/>
        </w:rPr>
      </w:pPr>
    </w:p>
    <w:p>
      <w:pPr>
        <w:pStyle w:val="BodyText"/>
        <w:rPr>
          <w:sz w:val="20"/>
        </w:rPr>
      </w:pPr>
    </w:p>
    <w:p>
      <w:pPr>
        <w:pStyle w:val="BodyText"/>
        <w:spacing w:before="3"/>
        <w:rPr>
          <w:sz w:val="22"/>
        </w:rPr>
      </w:pPr>
      <w:r>
        <w:rPr/>
        <w:pict>
          <v:rect style="position:absolute;margin-left:90pt;margin-top:14.010723pt;width:144pt;height:.6pt;mso-position-horizontal-relative:page;mso-position-vertical-relative:paragraph;z-index:-15695360;mso-wrap-distance-left:0;mso-wrap-distance-right:0" id="docshape80" filled="true" fillcolor="#000000" stroked="false">
            <v:fill type="solid"/>
            <w10:wrap type="topAndBottom"/>
          </v:rect>
        </w:pict>
      </w:r>
    </w:p>
    <w:p>
      <w:pPr>
        <w:pStyle w:val="BodyText"/>
        <w:spacing w:before="1"/>
        <w:rPr>
          <w:sz w:val="8"/>
        </w:rPr>
      </w:pPr>
    </w:p>
    <w:p>
      <w:pPr>
        <w:spacing w:before="130"/>
        <w:ind w:left="420" w:right="0" w:firstLine="0"/>
        <w:jc w:val="both"/>
        <w:rPr>
          <w:sz w:val="20"/>
        </w:rPr>
      </w:pPr>
      <w:r>
        <w:rPr>
          <w:sz w:val="20"/>
          <w:vertAlign w:val="superscript"/>
        </w:rPr>
        <w:t>80</w:t>
      </w:r>
      <w:r>
        <w:rPr>
          <w:spacing w:val="-5"/>
          <w:sz w:val="20"/>
          <w:vertAlign w:val="baseline"/>
        </w:rPr>
        <w:t> </w:t>
      </w:r>
      <w:r>
        <w:rPr>
          <w:sz w:val="20"/>
          <w:vertAlign w:val="baseline"/>
        </w:rPr>
        <w:t>See</w:t>
      </w:r>
      <w:r>
        <w:rPr>
          <w:spacing w:val="-4"/>
          <w:sz w:val="20"/>
          <w:vertAlign w:val="baseline"/>
        </w:rPr>
        <w:t> </w:t>
      </w:r>
      <w:r>
        <w:rPr>
          <w:i/>
          <w:sz w:val="20"/>
          <w:vertAlign w:val="baseline"/>
        </w:rPr>
        <w:t>Rawlinsons</w:t>
      </w:r>
      <w:r>
        <w:rPr>
          <w:i/>
          <w:spacing w:val="-4"/>
          <w:sz w:val="20"/>
          <w:vertAlign w:val="baseline"/>
        </w:rPr>
        <w:t> </w:t>
      </w:r>
      <w:r>
        <w:rPr>
          <w:i/>
          <w:sz w:val="20"/>
          <w:vertAlign w:val="baseline"/>
        </w:rPr>
        <w:t>Australian</w:t>
      </w:r>
      <w:r>
        <w:rPr>
          <w:i/>
          <w:spacing w:val="-4"/>
          <w:sz w:val="20"/>
          <w:vertAlign w:val="baseline"/>
        </w:rPr>
        <w:t> </w:t>
      </w:r>
      <w:r>
        <w:rPr>
          <w:i/>
          <w:sz w:val="20"/>
          <w:vertAlign w:val="baseline"/>
        </w:rPr>
        <w:t>Construction</w:t>
      </w:r>
      <w:r>
        <w:rPr>
          <w:i/>
          <w:spacing w:val="-4"/>
          <w:sz w:val="20"/>
          <w:vertAlign w:val="baseline"/>
        </w:rPr>
        <w:t> </w:t>
      </w:r>
      <w:r>
        <w:rPr>
          <w:i/>
          <w:sz w:val="20"/>
          <w:vertAlign w:val="baseline"/>
        </w:rPr>
        <w:t>Handbook</w:t>
      </w:r>
      <w:r>
        <w:rPr>
          <w:i/>
          <w:spacing w:val="-3"/>
          <w:sz w:val="20"/>
          <w:vertAlign w:val="baseline"/>
        </w:rPr>
        <w:t> </w:t>
      </w:r>
      <w:r>
        <w:rPr>
          <w:sz w:val="20"/>
          <w:vertAlign w:val="baseline"/>
        </w:rPr>
        <w:t>-</w:t>
      </w:r>
      <w:r>
        <w:rPr>
          <w:spacing w:val="-4"/>
          <w:sz w:val="20"/>
          <w:vertAlign w:val="baseline"/>
        </w:rPr>
        <w:t> </w:t>
      </w:r>
      <w:r>
        <w:rPr>
          <w:sz w:val="20"/>
          <w:vertAlign w:val="baseline"/>
        </w:rPr>
        <w:t>edition</w:t>
      </w:r>
      <w:r>
        <w:rPr>
          <w:spacing w:val="-5"/>
          <w:sz w:val="20"/>
          <w:vertAlign w:val="baseline"/>
        </w:rPr>
        <w:t> </w:t>
      </w:r>
      <w:r>
        <w:rPr>
          <w:sz w:val="20"/>
          <w:vertAlign w:val="baseline"/>
        </w:rPr>
        <w:t>21,</w:t>
      </w:r>
      <w:r>
        <w:rPr>
          <w:spacing w:val="-4"/>
          <w:sz w:val="20"/>
          <w:vertAlign w:val="baseline"/>
        </w:rPr>
        <w:t> </w:t>
      </w:r>
      <w:r>
        <w:rPr>
          <w:spacing w:val="-2"/>
          <w:sz w:val="20"/>
          <w:vertAlign w:val="baseline"/>
        </w:rPr>
        <w:t>2003.</w:t>
      </w:r>
    </w:p>
    <w:p>
      <w:pPr>
        <w:spacing w:before="0"/>
        <w:ind w:left="419" w:right="811" w:firstLine="0"/>
        <w:jc w:val="both"/>
        <w:rPr>
          <w:sz w:val="20"/>
        </w:rPr>
      </w:pPr>
      <w:r>
        <w:rPr>
          <w:sz w:val="20"/>
          <w:vertAlign w:val="superscript"/>
        </w:rPr>
        <w:t>81</w:t>
      </w:r>
      <w:r>
        <w:rPr>
          <w:sz w:val="20"/>
          <w:vertAlign w:val="baseline"/>
        </w:rPr>
        <w:t> As noted in section 5, above, the original Premises Standard proposal included a requirement that, where more than 50% of the floor area of a building was being upgraded within a three year period, the entire floor area of the building would need to be made compliant with the Standard.</w:t>
      </w:r>
      <w:r>
        <w:rPr>
          <w:spacing w:val="40"/>
          <w:sz w:val="20"/>
          <w:vertAlign w:val="baseline"/>
        </w:rPr>
        <w:t> </w:t>
      </w:r>
      <w:r>
        <w:rPr>
          <w:sz w:val="20"/>
          <w:vertAlign w:val="baseline"/>
        </w:rPr>
        <w:t>Removal of this "trigger" from the modified Premises Standard proposal has contributed to the reduction in the expected costs of applying the Standard in relation to full building upgrades.</w:t>
      </w:r>
    </w:p>
    <w:p>
      <w:pPr>
        <w:spacing w:before="0"/>
        <w:ind w:left="419" w:right="810" w:firstLine="0"/>
        <w:jc w:val="both"/>
        <w:rPr>
          <w:sz w:val="20"/>
        </w:rPr>
      </w:pPr>
      <w:r>
        <w:rPr>
          <w:sz w:val="20"/>
          <w:vertAlign w:val="superscript"/>
        </w:rPr>
        <w:t>82</w:t>
      </w:r>
      <w:r>
        <w:rPr>
          <w:sz w:val="20"/>
          <w:vertAlign w:val="baseline"/>
        </w:rPr>
        <w:t> It has been suggested that, in circumstances in which work is also required to upgrade buildings</w:t>
      </w:r>
      <w:r>
        <w:rPr>
          <w:spacing w:val="-1"/>
          <w:sz w:val="20"/>
          <w:vertAlign w:val="baseline"/>
        </w:rPr>
        <w:t> </w:t>
      </w:r>
      <w:r>
        <w:rPr>
          <w:sz w:val="20"/>
          <w:vertAlign w:val="baseline"/>
        </w:rPr>
        <w:t>to</w:t>
      </w:r>
      <w:r>
        <w:rPr>
          <w:spacing w:val="-3"/>
          <w:sz w:val="20"/>
          <w:vertAlign w:val="baseline"/>
        </w:rPr>
        <w:t> </w:t>
      </w:r>
      <w:r>
        <w:rPr>
          <w:sz w:val="20"/>
          <w:vertAlign w:val="baseline"/>
        </w:rPr>
        <w:t>current</w:t>
      </w:r>
      <w:r>
        <w:rPr>
          <w:spacing w:val="-2"/>
          <w:sz w:val="20"/>
          <w:vertAlign w:val="baseline"/>
        </w:rPr>
        <w:t> </w:t>
      </w:r>
      <w:r>
        <w:rPr>
          <w:sz w:val="20"/>
          <w:vertAlign w:val="baseline"/>
        </w:rPr>
        <w:t>BCA</w:t>
      </w:r>
      <w:r>
        <w:rPr>
          <w:spacing w:val="-3"/>
          <w:sz w:val="20"/>
          <w:vertAlign w:val="baseline"/>
        </w:rPr>
        <w:t> </w:t>
      </w:r>
      <w:r>
        <w:rPr>
          <w:sz w:val="20"/>
          <w:vertAlign w:val="baseline"/>
        </w:rPr>
        <w:t>compliance,</w:t>
      </w:r>
      <w:r>
        <w:rPr>
          <w:spacing w:val="-2"/>
          <w:sz w:val="20"/>
          <w:vertAlign w:val="baseline"/>
        </w:rPr>
        <w:t> </w:t>
      </w:r>
      <w:r>
        <w:rPr>
          <w:sz w:val="20"/>
          <w:vertAlign w:val="baseline"/>
        </w:rPr>
        <w:t>the</w:t>
      </w:r>
      <w:r>
        <w:rPr>
          <w:spacing w:val="-2"/>
          <w:sz w:val="20"/>
          <w:vertAlign w:val="baseline"/>
        </w:rPr>
        <w:t> </w:t>
      </w:r>
      <w:r>
        <w:rPr>
          <w:sz w:val="20"/>
          <w:vertAlign w:val="baseline"/>
        </w:rPr>
        <w:t>costs</w:t>
      </w:r>
      <w:r>
        <w:rPr>
          <w:spacing w:val="-5"/>
          <w:sz w:val="20"/>
          <w:vertAlign w:val="baseline"/>
        </w:rPr>
        <w:t> </w:t>
      </w:r>
      <w:r>
        <w:rPr>
          <w:sz w:val="20"/>
          <w:vertAlign w:val="baseline"/>
        </w:rPr>
        <w:t>of</w:t>
      </w:r>
      <w:r>
        <w:rPr>
          <w:spacing w:val="-2"/>
          <w:sz w:val="20"/>
          <w:vertAlign w:val="baseline"/>
        </w:rPr>
        <w:t> </w:t>
      </w:r>
      <w:r>
        <w:rPr>
          <w:sz w:val="20"/>
          <w:vertAlign w:val="baseline"/>
        </w:rPr>
        <w:t>going</w:t>
      </w:r>
      <w:r>
        <w:rPr>
          <w:spacing w:val="-2"/>
          <w:sz w:val="20"/>
          <w:vertAlign w:val="baseline"/>
        </w:rPr>
        <w:t> </w:t>
      </w:r>
      <w:r>
        <w:rPr>
          <w:sz w:val="20"/>
          <w:vertAlign w:val="baseline"/>
        </w:rPr>
        <w:t>further</w:t>
      </w:r>
      <w:r>
        <w:rPr>
          <w:spacing w:val="-2"/>
          <w:sz w:val="20"/>
          <w:vertAlign w:val="baseline"/>
        </w:rPr>
        <w:t> </w:t>
      </w:r>
      <w:r>
        <w:rPr>
          <w:sz w:val="20"/>
          <w:vertAlign w:val="baseline"/>
        </w:rPr>
        <w:t>–</w:t>
      </w:r>
      <w:r>
        <w:rPr>
          <w:spacing w:val="-2"/>
          <w:sz w:val="20"/>
          <w:vertAlign w:val="baseline"/>
        </w:rPr>
        <w:t> </w:t>
      </w:r>
      <w:r>
        <w:rPr>
          <w:sz w:val="20"/>
          <w:vertAlign w:val="baseline"/>
        </w:rPr>
        <w:t>to</w:t>
      </w:r>
      <w:r>
        <w:rPr>
          <w:spacing w:val="-2"/>
          <w:sz w:val="20"/>
          <w:vertAlign w:val="baseline"/>
        </w:rPr>
        <w:t> </w:t>
      </w:r>
      <w:r>
        <w:rPr>
          <w:sz w:val="20"/>
          <w:vertAlign w:val="baseline"/>
        </w:rPr>
        <w:t>reach</w:t>
      </w:r>
      <w:r>
        <w:rPr>
          <w:spacing w:val="-3"/>
          <w:sz w:val="20"/>
          <w:vertAlign w:val="baseline"/>
        </w:rPr>
        <w:t> </w:t>
      </w:r>
      <w:r>
        <w:rPr>
          <w:sz w:val="20"/>
          <w:vertAlign w:val="baseline"/>
        </w:rPr>
        <w:t>compliance</w:t>
      </w:r>
      <w:r>
        <w:rPr>
          <w:spacing w:val="-2"/>
          <w:sz w:val="20"/>
          <w:vertAlign w:val="baseline"/>
        </w:rPr>
        <w:t> </w:t>
      </w:r>
      <w:r>
        <w:rPr>
          <w:sz w:val="20"/>
          <w:vertAlign w:val="baseline"/>
        </w:rPr>
        <w:t>with</w:t>
      </w:r>
      <w:r>
        <w:rPr>
          <w:spacing w:val="-2"/>
          <w:sz w:val="20"/>
          <w:vertAlign w:val="baseline"/>
        </w:rPr>
        <w:t> </w:t>
      </w:r>
      <w:r>
        <w:rPr>
          <w:sz w:val="20"/>
          <w:vertAlign w:val="baseline"/>
        </w:rPr>
        <w:t>the Premises Standard – would be less than estimated via this method.</w:t>
      </w:r>
      <w:r>
        <w:rPr>
          <w:spacing w:val="40"/>
          <w:sz w:val="20"/>
          <w:vertAlign w:val="baseline"/>
        </w:rPr>
        <w:t> </w:t>
      </w:r>
      <w:r>
        <w:rPr>
          <w:sz w:val="20"/>
          <w:vertAlign w:val="baseline"/>
        </w:rPr>
        <w:t>This may be the case where specific items are already required under BCA but are required to be provided at a higher level under the Standard (e.g. door widening to differing standards).</w:t>
      </w:r>
      <w:r>
        <w:rPr>
          <w:spacing w:val="40"/>
          <w:sz w:val="20"/>
          <w:vertAlign w:val="baseline"/>
        </w:rPr>
        <w:t> </w:t>
      </w:r>
      <w:r>
        <w:rPr>
          <w:sz w:val="20"/>
          <w:vertAlign w:val="baseline"/>
        </w:rPr>
        <w:t>However, in circumstances where the Standard imposes a new requirement not covered by BCA at present, no such cost reduction is likely to arise.</w:t>
      </w:r>
      <w:r>
        <w:rPr>
          <w:spacing w:val="77"/>
          <w:sz w:val="20"/>
          <w:vertAlign w:val="baseline"/>
        </w:rPr>
        <w:t> </w:t>
      </w:r>
      <w:r>
        <w:rPr>
          <w:sz w:val="20"/>
          <w:vertAlign w:val="baseline"/>
        </w:rPr>
        <w:t>This analysis has necessarily been unable</w:t>
      </w:r>
      <w:r>
        <w:rPr>
          <w:spacing w:val="40"/>
          <w:sz w:val="20"/>
          <w:vertAlign w:val="baseline"/>
        </w:rPr>
        <w:t> </w:t>
      </w:r>
      <w:r>
        <w:rPr>
          <w:sz w:val="20"/>
          <w:vertAlign w:val="baseline"/>
        </w:rPr>
        <w:t>to address any potential cost reductions of this type in quantitative terms.</w:t>
      </w:r>
      <w:r>
        <w:rPr>
          <w:spacing w:val="40"/>
          <w:sz w:val="20"/>
          <w:vertAlign w:val="baseline"/>
        </w:rPr>
        <w:t> </w:t>
      </w:r>
      <w:r>
        <w:rPr>
          <w:sz w:val="20"/>
          <w:vertAlign w:val="baseline"/>
        </w:rPr>
        <w:t>However, the potential for this to occur appears to be very limited, as most of the requirements of the Standard are additional measures, rather than increases in the stringency of existing </w:t>
      </w:r>
      <w:r>
        <w:rPr>
          <w:spacing w:val="-2"/>
          <w:sz w:val="20"/>
          <w:vertAlign w:val="baseline"/>
        </w:rPr>
        <w:t>measures.</w:t>
      </w:r>
    </w:p>
    <w:p>
      <w:pPr>
        <w:spacing w:after="0"/>
        <w:jc w:val="both"/>
        <w:rPr>
          <w:sz w:val="20"/>
        </w:rPr>
        <w:sectPr>
          <w:pgSz w:w="11900" w:h="16840"/>
          <w:pgMar w:header="0" w:footer="1130" w:top="1000" w:bottom="1320" w:left="1380" w:right="980"/>
        </w:sectPr>
      </w:pPr>
    </w:p>
    <w:p>
      <w:pPr>
        <w:pStyle w:val="BodyText"/>
        <w:spacing w:before="75"/>
        <w:ind w:left="420" w:right="815"/>
        <w:jc w:val="both"/>
      </w:pPr>
      <w:r>
        <w:rPr/>
        <w:t>it provides the basis on which aggregate cost estimates are derived, as discussed below.</w:t>
      </w:r>
    </w:p>
    <w:p>
      <w:pPr>
        <w:pStyle w:val="BodyText"/>
        <w:spacing w:before="2"/>
        <w:rPr>
          <w:sz w:val="21"/>
        </w:rPr>
      </w:pPr>
    </w:p>
    <w:p>
      <w:pPr>
        <w:pStyle w:val="Heading3"/>
      </w:pPr>
      <w:bookmarkStart w:name="Obtaining Data on Economy-Wide Building " w:id="164"/>
      <w:bookmarkEnd w:id="164"/>
      <w:r>
        <w:rPr>
          <w:b w:val="0"/>
        </w:rPr>
      </w:r>
      <w:r>
        <w:rPr/>
        <w:t>Obtaining</w:t>
      </w:r>
      <w:r>
        <w:rPr>
          <w:spacing w:val="-5"/>
        </w:rPr>
        <w:t> </w:t>
      </w:r>
      <w:r>
        <w:rPr/>
        <w:t>Data</w:t>
      </w:r>
      <w:r>
        <w:rPr>
          <w:spacing w:val="-3"/>
        </w:rPr>
        <w:t> </w:t>
      </w:r>
      <w:r>
        <w:rPr/>
        <w:t>on</w:t>
      </w:r>
      <w:r>
        <w:rPr>
          <w:spacing w:val="-3"/>
        </w:rPr>
        <w:t> </w:t>
      </w:r>
      <w:r>
        <w:rPr/>
        <w:t>Economy-Wide</w:t>
      </w:r>
      <w:r>
        <w:rPr>
          <w:spacing w:val="-3"/>
        </w:rPr>
        <w:t> </w:t>
      </w:r>
      <w:r>
        <w:rPr/>
        <w:t>Building</w:t>
      </w:r>
      <w:r>
        <w:rPr>
          <w:spacing w:val="-2"/>
        </w:rPr>
        <w:t> Costs</w:t>
      </w:r>
    </w:p>
    <w:p>
      <w:pPr>
        <w:pStyle w:val="BodyText"/>
        <w:spacing w:before="57"/>
        <w:ind w:left="420" w:right="810"/>
        <w:jc w:val="both"/>
      </w:pPr>
      <w:r>
        <w:rPr/>
        <w:t>National</w:t>
      </w:r>
      <w:r>
        <w:rPr>
          <w:spacing w:val="-1"/>
        </w:rPr>
        <w:t> </w:t>
      </w:r>
      <w:r>
        <w:rPr/>
        <w:t>aggregate</w:t>
      </w:r>
      <w:r>
        <w:rPr>
          <w:spacing w:val="-2"/>
        </w:rPr>
        <w:t> </w:t>
      </w:r>
      <w:r>
        <w:rPr/>
        <w:t>cost</w:t>
      </w:r>
      <w:r>
        <w:rPr>
          <w:spacing w:val="-1"/>
        </w:rPr>
        <w:t> </w:t>
      </w:r>
      <w:r>
        <w:rPr/>
        <w:t>estimates</w:t>
      </w:r>
      <w:r>
        <w:rPr>
          <w:spacing w:val="-2"/>
        </w:rPr>
        <w:t> </w:t>
      </w:r>
      <w:r>
        <w:rPr/>
        <w:t>were derived</w:t>
      </w:r>
      <w:r>
        <w:rPr>
          <w:spacing w:val="-1"/>
        </w:rPr>
        <w:t> </w:t>
      </w:r>
      <w:r>
        <w:rPr/>
        <w:t>by taking</w:t>
      </w:r>
      <w:r>
        <w:rPr>
          <w:spacing w:val="-1"/>
        </w:rPr>
        <w:t> </w:t>
      </w:r>
      <w:r>
        <w:rPr/>
        <w:t>detailed</w:t>
      </w:r>
      <w:r>
        <w:rPr>
          <w:spacing w:val="-1"/>
        </w:rPr>
        <w:t> </w:t>
      </w:r>
      <w:r>
        <w:rPr/>
        <w:t>permit</w:t>
      </w:r>
      <w:r>
        <w:rPr>
          <w:spacing w:val="-1"/>
        </w:rPr>
        <w:t> </w:t>
      </w:r>
      <w:r>
        <w:rPr/>
        <w:t>data from ABS and Victorian Building Commission (VBC) and allocating the total value</w:t>
      </w:r>
      <w:r>
        <w:rPr/>
        <w:t> of</w:t>
      </w:r>
      <w:r>
        <w:rPr/>
        <w:t> these</w:t>
      </w:r>
      <w:r>
        <w:rPr/>
        <w:t> permits</w:t>
      </w:r>
      <w:r>
        <w:rPr/>
        <w:t> to</w:t>
      </w:r>
      <w:r>
        <w:rPr/>
        <w:t> categories</w:t>
      </w:r>
      <w:r>
        <w:rPr/>
        <w:t> broadly</w:t>
      </w:r>
      <w:r>
        <w:rPr/>
        <w:t> consistent</w:t>
      </w:r>
      <w:r>
        <w:rPr/>
        <w:t> with</w:t>
      </w:r>
      <w:r>
        <w:rPr/>
        <w:t> the</w:t>
      </w:r>
      <w:r>
        <w:rPr/>
        <w:t> types</w:t>
      </w:r>
      <w:r>
        <w:rPr/>
        <w:t> of building</w:t>
      </w:r>
      <w:r>
        <w:rPr/>
        <w:t> chosen</w:t>
      </w:r>
      <w:r>
        <w:rPr/>
        <w:t> on</w:t>
      </w:r>
      <w:r>
        <w:rPr/>
        <w:t> the</w:t>
      </w:r>
      <w:r>
        <w:rPr/>
        <w:t> case</w:t>
      </w:r>
      <w:r>
        <w:rPr/>
        <w:t> studies.</w:t>
      </w:r>
      <w:r>
        <w:rPr>
          <w:spacing w:val="40"/>
        </w:rPr>
        <w:t> </w:t>
      </w:r>
      <w:r>
        <w:rPr/>
        <w:t>By necessity, a large number of attribution assumptions based on VBC data sit behind the allocations.</w:t>
      </w:r>
      <w:r>
        <w:rPr>
          <w:spacing w:val="40"/>
        </w:rPr>
        <w:t> </w:t>
      </w:r>
      <w:r>
        <w:rPr/>
        <w:t>The proportionate cost increases for the case studies were then applied to the permit values to determine national estimates for each category, which were then summed to an economy wide estimate.</w:t>
      </w:r>
    </w:p>
    <w:p>
      <w:pPr>
        <w:pStyle w:val="BodyText"/>
      </w:pPr>
    </w:p>
    <w:p>
      <w:pPr>
        <w:pStyle w:val="BodyText"/>
        <w:ind w:left="419" w:right="810"/>
        <w:jc w:val="both"/>
      </w:pPr>
      <w:r>
        <w:rPr/>
        <w:t>Estimation of the economy-wide costs of adopting the Premises Standards is rendered difficult by data inadequacies.</w:t>
      </w:r>
      <w:r>
        <w:rPr>
          <w:spacing w:val="40"/>
        </w:rPr>
        <w:t> </w:t>
      </w:r>
      <w:r>
        <w:rPr/>
        <w:t>In particular, the official ABS building activity data includes only broad categories of building type that do not conform closely with the BCA building classifications or the matrix of case studies discussed above.</w:t>
      </w:r>
      <w:r>
        <w:rPr>
          <w:spacing w:val="40"/>
        </w:rPr>
        <w:t> </w:t>
      </w:r>
      <w:r>
        <w:rPr/>
        <w:t>The ABS data divides building activity into the following categories</w:t>
      </w:r>
      <w:r>
        <w:rPr>
          <w:vertAlign w:val="superscript"/>
        </w:rPr>
        <w:t>83</w:t>
      </w:r>
      <w:r>
        <w:rPr>
          <w:vertAlign w:val="baseline"/>
        </w:rPr>
        <w:t>:</w:t>
      </w:r>
    </w:p>
    <w:p>
      <w:pPr>
        <w:pStyle w:val="BodyText"/>
        <w:spacing w:before="1"/>
      </w:pPr>
    </w:p>
    <w:p>
      <w:pPr>
        <w:pStyle w:val="ListParagraph"/>
        <w:numPr>
          <w:ilvl w:val="1"/>
          <w:numId w:val="48"/>
        </w:numPr>
        <w:tabs>
          <w:tab w:pos="1139" w:val="left" w:leader="none"/>
          <w:tab w:pos="1141" w:val="left" w:leader="none"/>
        </w:tabs>
        <w:spacing w:line="240" w:lineRule="auto" w:before="0" w:after="0"/>
        <w:ind w:left="1140" w:right="0" w:hanging="364"/>
        <w:jc w:val="left"/>
        <w:rPr>
          <w:sz w:val="24"/>
        </w:rPr>
      </w:pPr>
      <w:r>
        <w:rPr>
          <w:sz w:val="24"/>
        </w:rPr>
        <w:t>Other</w:t>
      </w:r>
      <w:r>
        <w:rPr>
          <w:spacing w:val="-4"/>
          <w:sz w:val="24"/>
        </w:rPr>
        <w:t> </w:t>
      </w:r>
      <w:r>
        <w:rPr>
          <w:sz w:val="24"/>
        </w:rPr>
        <w:t>non-residential</w:t>
      </w:r>
      <w:r>
        <w:rPr>
          <w:spacing w:val="-4"/>
          <w:sz w:val="24"/>
        </w:rPr>
        <w:t> </w:t>
      </w:r>
      <w:r>
        <w:rPr>
          <w:sz w:val="24"/>
        </w:rPr>
        <w:t>(i.e.</w:t>
      </w:r>
      <w:r>
        <w:rPr>
          <w:spacing w:val="-3"/>
          <w:sz w:val="24"/>
        </w:rPr>
        <w:t> </w:t>
      </w:r>
      <w:r>
        <w:rPr>
          <w:sz w:val="24"/>
        </w:rPr>
        <w:t>flats</w:t>
      </w:r>
      <w:r>
        <w:rPr>
          <w:spacing w:val="-4"/>
          <w:sz w:val="24"/>
        </w:rPr>
        <w:t> </w:t>
      </w:r>
      <w:r>
        <w:rPr>
          <w:sz w:val="24"/>
        </w:rPr>
        <w:t>and</w:t>
      </w:r>
      <w:r>
        <w:rPr>
          <w:spacing w:val="-3"/>
          <w:sz w:val="24"/>
        </w:rPr>
        <w:t> </w:t>
      </w:r>
      <w:r>
        <w:rPr>
          <w:spacing w:val="-2"/>
          <w:sz w:val="24"/>
        </w:rPr>
        <w:t>apartments);</w:t>
      </w:r>
    </w:p>
    <w:p>
      <w:pPr>
        <w:pStyle w:val="ListParagraph"/>
        <w:numPr>
          <w:ilvl w:val="1"/>
          <w:numId w:val="48"/>
        </w:numPr>
        <w:tabs>
          <w:tab w:pos="1139" w:val="left" w:leader="none"/>
          <w:tab w:pos="1141" w:val="left" w:leader="none"/>
        </w:tabs>
        <w:spacing w:line="240" w:lineRule="auto" w:before="117" w:after="0"/>
        <w:ind w:left="1140" w:right="0" w:hanging="364"/>
        <w:jc w:val="left"/>
        <w:rPr>
          <w:sz w:val="24"/>
        </w:rPr>
      </w:pPr>
      <w:r>
        <w:rPr>
          <w:sz w:val="24"/>
        </w:rPr>
        <w:t>Hotels,</w:t>
      </w:r>
      <w:r>
        <w:rPr>
          <w:spacing w:val="-6"/>
          <w:sz w:val="24"/>
        </w:rPr>
        <w:t> </w:t>
      </w:r>
      <w:r>
        <w:rPr>
          <w:spacing w:val="-2"/>
          <w:sz w:val="24"/>
        </w:rPr>
        <w:t>Motels;</w:t>
      </w:r>
    </w:p>
    <w:p>
      <w:pPr>
        <w:pStyle w:val="ListParagraph"/>
        <w:numPr>
          <w:ilvl w:val="1"/>
          <w:numId w:val="48"/>
        </w:numPr>
        <w:tabs>
          <w:tab w:pos="1139" w:val="left" w:leader="none"/>
          <w:tab w:pos="1141" w:val="left" w:leader="none"/>
        </w:tabs>
        <w:spacing w:line="240" w:lineRule="auto" w:before="119" w:after="0"/>
        <w:ind w:left="1140" w:right="0" w:hanging="364"/>
        <w:jc w:val="left"/>
        <w:rPr>
          <w:sz w:val="24"/>
        </w:rPr>
      </w:pPr>
      <w:r>
        <w:rPr>
          <w:spacing w:val="-2"/>
          <w:sz w:val="24"/>
        </w:rPr>
        <w:t>Shops;</w:t>
      </w:r>
    </w:p>
    <w:p>
      <w:pPr>
        <w:pStyle w:val="ListParagraph"/>
        <w:numPr>
          <w:ilvl w:val="1"/>
          <w:numId w:val="48"/>
        </w:numPr>
        <w:tabs>
          <w:tab w:pos="1139" w:val="left" w:leader="none"/>
          <w:tab w:pos="1141" w:val="left" w:leader="none"/>
        </w:tabs>
        <w:spacing w:line="240" w:lineRule="auto" w:before="118" w:after="0"/>
        <w:ind w:left="1140" w:right="0" w:hanging="364"/>
        <w:jc w:val="left"/>
        <w:rPr>
          <w:sz w:val="24"/>
        </w:rPr>
      </w:pPr>
      <w:r>
        <w:rPr>
          <w:spacing w:val="-2"/>
          <w:sz w:val="24"/>
        </w:rPr>
        <w:t>Factories;</w:t>
      </w:r>
    </w:p>
    <w:p>
      <w:pPr>
        <w:pStyle w:val="ListParagraph"/>
        <w:numPr>
          <w:ilvl w:val="1"/>
          <w:numId w:val="48"/>
        </w:numPr>
        <w:tabs>
          <w:tab w:pos="1139" w:val="left" w:leader="none"/>
          <w:tab w:pos="1141" w:val="left" w:leader="none"/>
        </w:tabs>
        <w:spacing w:line="240" w:lineRule="auto" w:before="118" w:after="0"/>
        <w:ind w:left="1140" w:right="0" w:hanging="364"/>
        <w:jc w:val="left"/>
        <w:rPr>
          <w:sz w:val="24"/>
        </w:rPr>
      </w:pPr>
      <w:r>
        <w:rPr>
          <w:spacing w:val="-2"/>
          <w:sz w:val="24"/>
        </w:rPr>
        <w:t>Offices;</w:t>
      </w:r>
    </w:p>
    <w:p>
      <w:pPr>
        <w:pStyle w:val="ListParagraph"/>
        <w:numPr>
          <w:ilvl w:val="1"/>
          <w:numId w:val="48"/>
        </w:numPr>
        <w:tabs>
          <w:tab w:pos="1139" w:val="left" w:leader="none"/>
          <w:tab w:pos="1141" w:val="left" w:leader="none"/>
        </w:tabs>
        <w:spacing w:line="240" w:lineRule="auto" w:before="118" w:after="0"/>
        <w:ind w:left="1140" w:right="0" w:hanging="364"/>
        <w:jc w:val="left"/>
        <w:rPr>
          <w:sz w:val="24"/>
        </w:rPr>
      </w:pPr>
      <w:r>
        <w:rPr>
          <w:sz w:val="24"/>
        </w:rPr>
        <w:t>Other</w:t>
      </w:r>
      <w:r>
        <w:rPr>
          <w:spacing w:val="-4"/>
          <w:sz w:val="24"/>
        </w:rPr>
        <w:t> </w:t>
      </w:r>
      <w:r>
        <w:rPr>
          <w:sz w:val="24"/>
        </w:rPr>
        <w:t>business</w:t>
      </w:r>
      <w:r>
        <w:rPr>
          <w:spacing w:val="-3"/>
          <w:sz w:val="24"/>
        </w:rPr>
        <w:t> </w:t>
      </w:r>
      <w:r>
        <w:rPr>
          <w:spacing w:val="-2"/>
          <w:sz w:val="24"/>
        </w:rPr>
        <w:t>premises;</w:t>
      </w:r>
    </w:p>
    <w:p>
      <w:pPr>
        <w:pStyle w:val="ListParagraph"/>
        <w:numPr>
          <w:ilvl w:val="1"/>
          <w:numId w:val="48"/>
        </w:numPr>
        <w:tabs>
          <w:tab w:pos="1139" w:val="left" w:leader="none"/>
          <w:tab w:pos="1141" w:val="left" w:leader="none"/>
        </w:tabs>
        <w:spacing w:line="240" w:lineRule="auto" w:before="119" w:after="0"/>
        <w:ind w:left="1140" w:right="0" w:hanging="364"/>
        <w:jc w:val="left"/>
        <w:rPr>
          <w:sz w:val="24"/>
        </w:rPr>
      </w:pPr>
      <w:r>
        <w:rPr>
          <w:spacing w:val="-2"/>
          <w:sz w:val="24"/>
        </w:rPr>
        <w:t>Educational;</w:t>
      </w:r>
    </w:p>
    <w:p>
      <w:pPr>
        <w:pStyle w:val="ListParagraph"/>
        <w:numPr>
          <w:ilvl w:val="1"/>
          <w:numId w:val="48"/>
        </w:numPr>
        <w:tabs>
          <w:tab w:pos="1139" w:val="left" w:leader="none"/>
          <w:tab w:pos="1141" w:val="left" w:leader="none"/>
        </w:tabs>
        <w:spacing w:line="240" w:lineRule="auto" w:before="117" w:after="0"/>
        <w:ind w:left="1140" w:right="0" w:hanging="364"/>
        <w:jc w:val="left"/>
        <w:rPr>
          <w:sz w:val="24"/>
        </w:rPr>
      </w:pPr>
      <w:r>
        <w:rPr>
          <w:spacing w:val="-2"/>
          <w:sz w:val="24"/>
        </w:rPr>
        <w:t>Religious;</w:t>
      </w:r>
    </w:p>
    <w:p>
      <w:pPr>
        <w:pStyle w:val="ListParagraph"/>
        <w:numPr>
          <w:ilvl w:val="1"/>
          <w:numId w:val="48"/>
        </w:numPr>
        <w:tabs>
          <w:tab w:pos="1139" w:val="left" w:leader="none"/>
          <w:tab w:pos="1141" w:val="left" w:leader="none"/>
        </w:tabs>
        <w:spacing w:line="240" w:lineRule="auto" w:before="119" w:after="0"/>
        <w:ind w:left="1140" w:right="0" w:hanging="364"/>
        <w:jc w:val="left"/>
        <w:rPr>
          <w:sz w:val="24"/>
        </w:rPr>
      </w:pPr>
      <w:r>
        <w:rPr>
          <w:spacing w:val="-2"/>
          <w:sz w:val="24"/>
        </w:rPr>
        <w:t>Health;</w:t>
      </w:r>
    </w:p>
    <w:p>
      <w:pPr>
        <w:pStyle w:val="ListParagraph"/>
        <w:numPr>
          <w:ilvl w:val="1"/>
          <w:numId w:val="48"/>
        </w:numPr>
        <w:tabs>
          <w:tab w:pos="1139" w:val="left" w:leader="none"/>
          <w:tab w:pos="1141" w:val="left" w:leader="none"/>
        </w:tabs>
        <w:spacing w:line="240" w:lineRule="auto" w:before="118" w:after="0"/>
        <w:ind w:left="1140" w:right="0" w:hanging="364"/>
        <w:jc w:val="left"/>
        <w:rPr>
          <w:sz w:val="24"/>
        </w:rPr>
      </w:pPr>
      <w:r>
        <w:rPr>
          <w:sz w:val="24"/>
        </w:rPr>
        <w:t>Entertainment</w:t>
      </w:r>
      <w:r>
        <w:rPr>
          <w:spacing w:val="-9"/>
          <w:sz w:val="24"/>
        </w:rPr>
        <w:t> </w:t>
      </w:r>
      <w:r>
        <w:rPr>
          <w:sz w:val="24"/>
        </w:rPr>
        <w:t>and</w:t>
      </w:r>
      <w:r>
        <w:rPr>
          <w:spacing w:val="-9"/>
          <w:sz w:val="24"/>
        </w:rPr>
        <w:t> </w:t>
      </w:r>
      <w:r>
        <w:rPr>
          <w:sz w:val="24"/>
        </w:rPr>
        <w:t>Recreational;</w:t>
      </w:r>
      <w:r>
        <w:rPr>
          <w:spacing w:val="-8"/>
          <w:sz w:val="24"/>
        </w:rPr>
        <w:t> </w:t>
      </w:r>
      <w:r>
        <w:rPr>
          <w:spacing w:val="-5"/>
          <w:sz w:val="24"/>
        </w:rPr>
        <w:t>and</w:t>
      </w:r>
    </w:p>
    <w:p>
      <w:pPr>
        <w:pStyle w:val="ListParagraph"/>
        <w:numPr>
          <w:ilvl w:val="1"/>
          <w:numId w:val="48"/>
        </w:numPr>
        <w:tabs>
          <w:tab w:pos="1139" w:val="left" w:leader="none"/>
          <w:tab w:pos="1141" w:val="left" w:leader="none"/>
        </w:tabs>
        <w:spacing w:line="240" w:lineRule="auto" w:before="119" w:after="0"/>
        <w:ind w:left="1140" w:right="0" w:hanging="362"/>
        <w:jc w:val="left"/>
        <w:rPr>
          <w:sz w:val="24"/>
        </w:rPr>
      </w:pPr>
      <w:r>
        <w:rPr>
          <w:spacing w:val="-2"/>
          <w:sz w:val="24"/>
        </w:rPr>
        <w:t>Miscellaneous.</w:t>
      </w:r>
    </w:p>
    <w:p>
      <w:pPr>
        <w:pStyle w:val="BodyText"/>
        <w:spacing w:before="8"/>
        <w:rPr>
          <w:sz w:val="23"/>
        </w:rPr>
      </w:pPr>
    </w:p>
    <w:p>
      <w:pPr>
        <w:pStyle w:val="BodyText"/>
        <w:ind w:left="419" w:right="812"/>
        <w:jc w:val="both"/>
      </w:pPr>
      <w:r>
        <w:rPr/>
        <w:t>It is clear that a potentially vast diversity of buildings would be found within each of these categories, particularly with respect to the size and the number of storeys of the buildings.</w:t>
      </w:r>
    </w:p>
    <w:p>
      <w:pPr>
        <w:pStyle w:val="BodyText"/>
      </w:pPr>
    </w:p>
    <w:p>
      <w:pPr>
        <w:pStyle w:val="BodyText"/>
        <w:ind w:left="419" w:right="810"/>
        <w:jc w:val="both"/>
      </w:pPr>
      <w:r>
        <w:rPr/>
        <w:t>Given these data issues, the ABS data was supplemented by analysis of equivalent, but more detailed data provided by the VBC.</w:t>
      </w:r>
      <w:r>
        <w:rPr>
          <w:spacing w:val="40"/>
        </w:rPr>
        <w:t> </w:t>
      </w:r>
      <w:r>
        <w:rPr/>
        <w:t>It is possible to use the VBC data to gain some insights into the relative significance of some of the sub-categories and to assist in providing a more reliable estimate of the economy-wide effect of the proposals.</w:t>
      </w:r>
      <w:r>
        <w:rPr>
          <w:spacing w:val="80"/>
        </w:rPr>
        <w:t> </w:t>
      </w:r>
      <w:r>
        <w:rPr/>
        <w:t>However there were limits to the</w:t>
      </w:r>
      <w:r>
        <w:rPr>
          <w:spacing w:val="40"/>
        </w:rPr>
        <w:t> </w:t>
      </w:r>
      <w:r>
        <w:rPr/>
        <w:t>extent to which ABS data could be assigned to the more analytically useful VBC</w:t>
      </w:r>
      <w:r>
        <w:rPr>
          <w:spacing w:val="20"/>
        </w:rPr>
        <w:t> </w:t>
      </w:r>
      <w:r>
        <w:rPr/>
        <w:t>classes.</w:t>
      </w:r>
      <w:r>
        <w:rPr>
          <w:spacing w:val="80"/>
        </w:rPr>
        <w:t> </w:t>
      </w:r>
      <w:r>
        <w:rPr/>
        <w:t>There</w:t>
      </w:r>
      <w:r>
        <w:rPr>
          <w:spacing w:val="20"/>
        </w:rPr>
        <w:t> </w:t>
      </w:r>
      <w:r>
        <w:rPr/>
        <w:t>was</w:t>
      </w:r>
      <w:r>
        <w:rPr>
          <w:spacing w:val="20"/>
        </w:rPr>
        <w:t> </w:t>
      </w:r>
      <w:r>
        <w:rPr/>
        <w:t>also</w:t>
      </w:r>
      <w:r>
        <w:rPr>
          <w:spacing w:val="20"/>
        </w:rPr>
        <w:t> </w:t>
      </w:r>
      <w:r>
        <w:rPr/>
        <w:t>considerably</w:t>
      </w:r>
      <w:r>
        <w:rPr>
          <w:spacing w:val="21"/>
        </w:rPr>
        <w:t> </w:t>
      </w:r>
      <w:r>
        <w:rPr/>
        <w:t>greater</w:t>
      </w:r>
      <w:r>
        <w:rPr>
          <w:spacing w:val="20"/>
        </w:rPr>
        <w:t> </w:t>
      </w:r>
      <w:r>
        <w:rPr/>
        <w:t>difficulty</w:t>
      </w:r>
      <w:r>
        <w:rPr>
          <w:spacing w:val="20"/>
        </w:rPr>
        <w:t> </w:t>
      </w:r>
      <w:r>
        <w:rPr/>
        <w:t>in</w:t>
      </w:r>
      <w:r>
        <w:rPr>
          <w:spacing w:val="20"/>
        </w:rPr>
        <w:t> </w:t>
      </w:r>
      <w:r>
        <w:rPr/>
        <w:t>developing</w:t>
      </w:r>
      <w:r>
        <w:rPr>
          <w:spacing w:val="21"/>
        </w:rPr>
        <w:t> </w:t>
      </w:r>
      <w:r>
        <w:rPr/>
        <w:t>a</w:t>
      </w:r>
    </w:p>
    <w:p>
      <w:pPr>
        <w:pStyle w:val="BodyText"/>
        <w:spacing w:before="8"/>
      </w:pPr>
      <w:r>
        <w:rPr/>
        <w:pict>
          <v:rect style="position:absolute;margin-left:90pt;margin-top:15.424512pt;width:144pt;height:.6pt;mso-position-horizontal-relative:page;mso-position-vertical-relative:paragraph;z-index:-15694848;mso-wrap-distance-left:0;mso-wrap-distance-right:0" id="docshape81" filled="true" fillcolor="#000000" stroked="false">
            <v:fill type="solid"/>
            <w10:wrap type="topAndBottom"/>
          </v:rect>
        </w:pict>
      </w:r>
    </w:p>
    <w:p>
      <w:pPr>
        <w:pStyle w:val="BodyText"/>
        <w:spacing w:before="6"/>
        <w:rPr>
          <w:sz w:val="18"/>
        </w:rPr>
      </w:pPr>
    </w:p>
    <w:p>
      <w:pPr>
        <w:spacing w:before="130"/>
        <w:ind w:left="420" w:right="0" w:firstLine="0"/>
        <w:jc w:val="left"/>
        <w:rPr>
          <w:sz w:val="20"/>
        </w:rPr>
      </w:pPr>
      <w:r>
        <w:rPr>
          <w:sz w:val="20"/>
          <w:vertAlign w:val="superscript"/>
        </w:rPr>
        <w:t>83</w:t>
      </w:r>
      <w:r>
        <w:rPr>
          <w:spacing w:val="-4"/>
          <w:sz w:val="20"/>
          <w:vertAlign w:val="baseline"/>
        </w:rPr>
        <w:t> </w:t>
      </w:r>
      <w:r>
        <w:rPr>
          <w:sz w:val="20"/>
          <w:vertAlign w:val="baseline"/>
        </w:rPr>
        <w:t>Note</w:t>
      </w:r>
      <w:r>
        <w:rPr>
          <w:spacing w:val="-3"/>
          <w:sz w:val="20"/>
          <w:vertAlign w:val="baseline"/>
        </w:rPr>
        <w:t> </w:t>
      </w:r>
      <w:r>
        <w:rPr>
          <w:sz w:val="20"/>
          <w:vertAlign w:val="baseline"/>
        </w:rPr>
        <w:t>–</w:t>
      </w:r>
      <w:r>
        <w:rPr>
          <w:spacing w:val="-4"/>
          <w:sz w:val="20"/>
          <w:vertAlign w:val="baseline"/>
        </w:rPr>
        <w:t> </w:t>
      </w:r>
      <w:r>
        <w:rPr>
          <w:sz w:val="20"/>
          <w:vertAlign w:val="baseline"/>
        </w:rPr>
        <w:t>domestic</w:t>
      </w:r>
      <w:r>
        <w:rPr>
          <w:spacing w:val="-3"/>
          <w:sz w:val="20"/>
          <w:vertAlign w:val="baseline"/>
        </w:rPr>
        <w:t> </w:t>
      </w:r>
      <w:r>
        <w:rPr>
          <w:sz w:val="20"/>
          <w:vertAlign w:val="baseline"/>
        </w:rPr>
        <w:t>building,</w:t>
      </w:r>
      <w:r>
        <w:rPr>
          <w:spacing w:val="-4"/>
          <w:sz w:val="20"/>
          <w:vertAlign w:val="baseline"/>
        </w:rPr>
        <w:t> </w:t>
      </w:r>
      <w:r>
        <w:rPr>
          <w:sz w:val="20"/>
          <w:vertAlign w:val="baseline"/>
        </w:rPr>
        <w:t>which</w:t>
      </w:r>
      <w:r>
        <w:rPr>
          <w:spacing w:val="-4"/>
          <w:sz w:val="20"/>
          <w:vertAlign w:val="baseline"/>
        </w:rPr>
        <w:t> </w:t>
      </w:r>
      <w:r>
        <w:rPr>
          <w:sz w:val="20"/>
          <w:vertAlign w:val="baseline"/>
        </w:rPr>
        <w:t>comprises</w:t>
      </w:r>
      <w:r>
        <w:rPr>
          <w:spacing w:val="-3"/>
          <w:sz w:val="20"/>
          <w:vertAlign w:val="baseline"/>
        </w:rPr>
        <w:t> </w:t>
      </w:r>
      <w:r>
        <w:rPr>
          <w:sz w:val="20"/>
          <w:vertAlign w:val="baseline"/>
        </w:rPr>
        <w:t>Class</w:t>
      </w:r>
      <w:r>
        <w:rPr>
          <w:spacing w:val="-3"/>
          <w:sz w:val="20"/>
          <w:vertAlign w:val="baseline"/>
        </w:rPr>
        <w:t> </w:t>
      </w:r>
      <w:r>
        <w:rPr>
          <w:sz w:val="20"/>
          <w:vertAlign w:val="baseline"/>
        </w:rPr>
        <w:t>1</w:t>
      </w:r>
      <w:r>
        <w:rPr>
          <w:spacing w:val="-4"/>
          <w:sz w:val="20"/>
          <w:vertAlign w:val="baseline"/>
        </w:rPr>
        <w:t> </w:t>
      </w:r>
      <w:r>
        <w:rPr>
          <w:sz w:val="20"/>
          <w:vertAlign w:val="baseline"/>
        </w:rPr>
        <w:t>buildings</w:t>
      </w:r>
      <w:r>
        <w:rPr>
          <w:spacing w:val="-2"/>
          <w:sz w:val="20"/>
          <w:vertAlign w:val="baseline"/>
        </w:rPr>
        <w:t> </w:t>
      </w:r>
      <w:r>
        <w:rPr>
          <w:sz w:val="20"/>
          <w:vertAlign w:val="baseline"/>
        </w:rPr>
        <w:t>(houses)</w:t>
      </w:r>
      <w:r>
        <w:rPr>
          <w:spacing w:val="-3"/>
          <w:sz w:val="20"/>
          <w:vertAlign w:val="baseline"/>
        </w:rPr>
        <w:t> </w:t>
      </w:r>
      <w:r>
        <w:rPr>
          <w:sz w:val="20"/>
          <w:vertAlign w:val="baseline"/>
        </w:rPr>
        <w:t>is</w:t>
      </w:r>
      <w:r>
        <w:rPr>
          <w:spacing w:val="-5"/>
          <w:sz w:val="20"/>
          <w:vertAlign w:val="baseline"/>
        </w:rPr>
        <w:t> </w:t>
      </w:r>
      <w:r>
        <w:rPr>
          <w:sz w:val="20"/>
          <w:vertAlign w:val="baseline"/>
        </w:rPr>
        <w:t>excluded</w:t>
      </w:r>
      <w:r>
        <w:rPr>
          <w:spacing w:val="-3"/>
          <w:sz w:val="20"/>
          <w:vertAlign w:val="baseline"/>
        </w:rPr>
        <w:t> </w:t>
      </w:r>
      <w:r>
        <w:rPr>
          <w:spacing w:val="-2"/>
          <w:sz w:val="20"/>
          <w:vertAlign w:val="baseline"/>
        </w:rPr>
        <w:t>here.</w:t>
      </w:r>
    </w:p>
    <w:p>
      <w:pPr>
        <w:spacing w:after="0"/>
        <w:jc w:val="left"/>
        <w:rPr>
          <w:sz w:val="20"/>
        </w:rPr>
        <w:sectPr>
          <w:pgSz w:w="11900" w:h="16840"/>
          <w:pgMar w:header="0" w:footer="1130" w:top="1000" w:bottom="1320" w:left="1380" w:right="980"/>
        </w:sectPr>
      </w:pPr>
    </w:p>
    <w:p>
      <w:pPr>
        <w:pStyle w:val="BodyText"/>
        <w:spacing w:before="75"/>
        <w:ind w:left="420" w:right="814"/>
        <w:jc w:val="both"/>
      </w:pPr>
      <w:r>
        <w:rPr/>
        <w:t>concordance between the different sub-classes of buildings developed for costing purposes and the official data on building costs.</w:t>
      </w:r>
    </w:p>
    <w:p>
      <w:pPr>
        <w:pStyle w:val="BodyText"/>
      </w:pPr>
    </w:p>
    <w:p>
      <w:pPr>
        <w:pStyle w:val="BodyText"/>
        <w:ind w:left="420" w:right="812"/>
        <w:jc w:val="both"/>
      </w:pPr>
      <w:r>
        <w:rPr/>
        <w:t>Given</w:t>
      </w:r>
      <w:r>
        <w:rPr>
          <w:spacing w:val="-2"/>
        </w:rPr>
        <w:t> </w:t>
      </w:r>
      <w:r>
        <w:rPr/>
        <w:t>these</w:t>
      </w:r>
      <w:r>
        <w:rPr>
          <w:spacing w:val="-2"/>
        </w:rPr>
        <w:t> </w:t>
      </w:r>
      <w:r>
        <w:rPr/>
        <w:t>factors,</w:t>
      </w:r>
      <w:r>
        <w:rPr>
          <w:spacing w:val="-2"/>
        </w:rPr>
        <w:t> </w:t>
      </w:r>
      <w:r>
        <w:rPr/>
        <w:t>there</w:t>
      </w:r>
      <w:r>
        <w:rPr>
          <w:spacing w:val="-2"/>
        </w:rPr>
        <w:t> </w:t>
      </w:r>
      <w:r>
        <w:rPr/>
        <w:t>is</w:t>
      </w:r>
      <w:r>
        <w:rPr>
          <w:spacing w:val="-2"/>
        </w:rPr>
        <w:t> </w:t>
      </w:r>
      <w:r>
        <w:rPr/>
        <w:t>necessarily</w:t>
      </w:r>
      <w:r>
        <w:rPr>
          <w:spacing w:val="-1"/>
        </w:rPr>
        <w:t> </w:t>
      </w:r>
      <w:r>
        <w:rPr/>
        <w:t>a</w:t>
      </w:r>
      <w:r>
        <w:rPr>
          <w:spacing w:val="-2"/>
        </w:rPr>
        <w:t> </w:t>
      </w:r>
      <w:r>
        <w:rPr/>
        <w:t>substantial</w:t>
      </w:r>
      <w:r>
        <w:rPr>
          <w:spacing w:val="-2"/>
        </w:rPr>
        <w:t> </w:t>
      </w:r>
      <w:r>
        <w:rPr/>
        <w:t>degree</w:t>
      </w:r>
      <w:r>
        <w:rPr>
          <w:spacing w:val="-2"/>
        </w:rPr>
        <w:t> </w:t>
      </w:r>
      <w:r>
        <w:rPr/>
        <w:t>of</w:t>
      </w:r>
      <w:r>
        <w:rPr>
          <w:spacing w:val="-2"/>
        </w:rPr>
        <w:t> </w:t>
      </w:r>
      <w:r>
        <w:rPr/>
        <w:t>imprecision</w:t>
      </w:r>
      <w:r>
        <w:rPr>
          <w:spacing w:val="-2"/>
        </w:rPr>
        <w:t> </w:t>
      </w:r>
      <w:r>
        <w:rPr/>
        <w:t>in the aggregate (economy-wide) estimates contained in the RIS.</w:t>
      </w:r>
    </w:p>
    <w:p>
      <w:pPr>
        <w:pStyle w:val="BodyText"/>
        <w:spacing w:before="2"/>
        <w:rPr>
          <w:sz w:val="21"/>
        </w:rPr>
      </w:pPr>
    </w:p>
    <w:p>
      <w:pPr>
        <w:pStyle w:val="Heading3"/>
        <w:ind w:left="419" w:right="811"/>
      </w:pPr>
      <w:bookmarkStart w:name="Adjusting benefit and cost estimates to " w:id="165"/>
      <w:bookmarkEnd w:id="165"/>
      <w:r>
        <w:rPr>
          <w:b w:val="0"/>
        </w:rPr>
      </w:r>
      <w:r>
        <w:rPr/>
        <w:t>Adjusting benefit and cost estimates to account for price movements since the publication of the draft RIS</w:t>
      </w:r>
    </w:p>
    <w:p>
      <w:pPr>
        <w:pStyle w:val="BodyText"/>
        <w:spacing w:before="57"/>
        <w:ind w:left="420" w:right="812"/>
        <w:jc w:val="both"/>
      </w:pPr>
      <w:r>
        <w:rPr/>
        <w:t>The following work was undertaken to adjust the benefit and cost estimates made in the draft RIS to update them to better reflect current dollar terms:</w:t>
      </w:r>
    </w:p>
    <w:p>
      <w:pPr>
        <w:pStyle w:val="ListParagraph"/>
        <w:numPr>
          <w:ilvl w:val="1"/>
          <w:numId w:val="48"/>
        </w:numPr>
        <w:tabs>
          <w:tab w:pos="1140" w:val="left" w:leader="none"/>
        </w:tabs>
        <w:spacing w:line="240" w:lineRule="auto" w:before="120" w:after="0"/>
        <w:ind w:left="1139" w:right="810" w:hanging="360"/>
        <w:jc w:val="both"/>
        <w:rPr>
          <w:sz w:val="24"/>
        </w:rPr>
      </w:pPr>
      <w:r>
        <w:rPr>
          <w:b/>
          <w:i/>
          <w:sz w:val="24"/>
        </w:rPr>
        <w:t>Benefit </w:t>
      </w:r>
      <w:r>
        <w:rPr>
          <w:sz w:val="24"/>
        </w:rPr>
        <w:t>estimates have been adjusted by applying a CPI based adjustment of 4.25% to all quantified benefit estimates.</w:t>
      </w:r>
      <w:r>
        <w:rPr>
          <w:spacing w:val="40"/>
          <w:sz w:val="24"/>
        </w:rPr>
        <w:t> </w:t>
      </w:r>
      <w:r>
        <w:rPr>
          <w:sz w:val="24"/>
        </w:rPr>
        <w:t>The choice of the CPI as an index for adjusting this data reflects the fact that the substantial majority of the quantified benefits identified accrued in</w:t>
      </w:r>
      <w:r>
        <w:rPr>
          <w:spacing w:val="40"/>
          <w:sz w:val="24"/>
        </w:rPr>
        <w:t> </w:t>
      </w:r>
      <w:r>
        <w:rPr>
          <w:sz w:val="24"/>
        </w:rPr>
        <w:t>terms of reduced costs of living.</w:t>
      </w:r>
      <w:r>
        <w:rPr>
          <w:spacing w:val="40"/>
          <w:sz w:val="24"/>
        </w:rPr>
        <w:t> </w:t>
      </w:r>
      <w:r>
        <w:rPr>
          <w:sz w:val="24"/>
        </w:rPr>
        <w:t>That is, they derived from a reduced need to purchase goods or services to assist in living with a disability from day to day.</w:t>
      </w:r>
      <w:r>
        <w:rPr>
          <w:spacing w:val="40"/>
          <w:sz w:val="24"/>
        </w:rPr>
        <w:t> </w:t>
      </w:r>
      <w:r>
        <w:rPr>
          <w:sz w:val="24"/>
        </w:rPr>
        <w:t>It follows that the general rate of price inflation for goods and services over the intervening period should be adopted.</w:t>
      </w:r>
    </w:p>
    <w:p>
      <w:pPr>
        <w:pStyle w:val="ListParagraph"/>
        <w:numPr>
          <w:ilvl w:val="1"/>
          <w:numId w:val="48"/>
        </w:numPr>
        <w:tabs>
          <w:tab w:pos="1140" w:val="left" w:leader="none"/>
        </w:tabs>
        <w:spacing w:line="240" w:lineRule="auto" w:before="119" w:after="0"/>
        <w:ind w:left="1139" w:right="811" w:hanging="360"/>
        <w:jc w:val="both"/>
        <w:rPr>
          <w:sz w:val="24"/>
        </w:rPr>
      </w:pPr>
      <w:r>
        <w:rPr>
          <w:b/>
          <w:i/>
          <w:sz w:val="24"/>
        </w:rPr>
        <w:t>Cost </w:t>
      </w:r>
      <w:r>
        <w:rPr>
          <w:sz w:val="24"/>
        </w:rPr>
        <w:t>estimates have been revised by quantity surveyors Turner and Townsend Rawlinsons based on their standard industry costing reference.</w:t>
      </w:r>
      <w:r>
        <w:rPr>
          <w:spacing w:val="80"/>
          <w:sz w:val="24"/>
        </w:rPr>
        <w:t> </w:t>
      </w:r>
      <w:r>
        <w:rPr>
          <w:sz w:val="24"/>
        </w:rPr>
        <w:t>This has meant that some costs have increased by as</w:t>
      </w:r>
      <w:r>
        <w:rPr>
          <w:spacing w:val="40"/>
          <w:sz w:val="24"/>
        </w:rPr>
        <w:t> </w:t>
      </w:r>
      <w:r>
        <w:rPr>
          <w:sz w:val="24"/>
        </w:rPr>
        <w:t>much as 10%, although some others have changed by significantly smaller amounts.</w:t>
      </w:r>
      <w:r>
        <w:rPr>
          <w:spacing w:val="80"/>
          <w:sz w:val="24"/>
        </w:rPr>
        <w:t> </w:t>
      </w:r>
      <w:r>
        <w:rPr>
          <w:sz w:val="24"/>
        </w:rPr>
        <w:t>It should also be noted that significant changes made to parts of the Standards have made numerous cost recalculations necessary.</w:t>
      </w:r>
      <w:r>
        <w:rPr>
          <w:spacing w:val="40"/>
          <w:sz w:val="24"/>
        </w:rPr>
        <w:t> </w:t>
      </w:r>
      <w:r>
        <w:rPr>
          <w:sz w:val="24"/>
        </w:rPr>
        <w:t>As well, stakeholder feedback and further consideration of the likely practical impact of the Standards on various case study buildings have led to additional changes.</w:t>
      </w:r>
    </w:p>
    <w:p>
      <w:pPr>
        <w:pStyle w:val="BodyText"/>
        <w:spacing w:before="10"/>
        <w:rPr>
          <w:sz w:val="20"/>
        </w:rPr>
      </w:pPr>
    </w:p>
    <w:p>
      <w:pPr>
        <w:pStyle w:val="Heading3"/>
      </w:pPr>
      <w:bookmarkStart w:name="Developing long-run cost and benefit est" w:id="166"/>
      <w:bookmarkEnd w:id="166"/>
      <w:r>
        <w:rPr>
          <w:b w:val="0"/>
        </w:rPr>
      </w:r>
      <w:r>
        <w:rPr/>
        <w:t>Developing</w:t>
      </w:r>
      <w:r>
        <w:rPr>
          <w:spacing w:val="-6"/>
        </w:rPr>
        <w:t> </w:t>
      </w:r>
      <w:r>
        <w:rPr/>
        <w:t>long-run</w:t>
      </w:r>
      <w:r>
        <w:rPr>
          <w:spacing w:val="-3"/>
        </w:rPr>
        <w:t> </w:t>
      </w:r>
      <w:r>
        <w:rPr/>
        <w:t>cost</w:t>
      </w:r>
      <w:r>
        <w:rPr>
          <w:spacing w:val="-3"/>
        </w:rPr>
        <w:t> </w:t>
      </w:r>
      <w:r>
        <w:rPr/>
        <w:t>and</w:t>
      </w:r>
      <w:r>
        <w:rPr>
          <w:spacing w:val="-3"/>
        </w:rPr>
        <w:t> </w:t>
      </w:r>
      <w:r>
        <w:rPr/>
        <w:t>benefit</w:t>
      </w:r>
      <w:r>
        <w:rPr>
          <w:spacing w:val="-3"/>
        </w:rPr>
        <w:t> </w:t>
      </w:r>
      <w:r>
        <w:rPr>
          <w:spacing w:val="-2"/>
        </w:rPr>
        <w:t>estimates</w:t>
      </w:r>
    </w:p>
    <w:p>
      <w:pPr>
        <w:pStyle w:val="BodyText"/>
        <w:spacing w:before="57"/>
        <w:ind w:left="420" w:right="811"/>
        <w:jc w:val="both"/>
      </w:pPr>
      <w:r>
        <w:rPr/>
        <w:t>NPV</w:t>
      </w:r>
      <w:r>
        <w:rPr/>
        <w:t> estimates</w:t>
      </w:r>
      <w:r>
        <w:rPr/>
        <w:t> have</w:t>
      </w:r>
      <w:r>
        <w:rPr/>
        <w:t> been</w:t>
      </w:r>
      <w:r>
        <w:rPr/>
        <w:t> developed</w:t>
      </w:r>
      <w:r>
        <w:rPr/>
        <w:t> based</w:t>
      </w:r>
      <w:r>
        <w:rPr/>
        <w:t> on</w:t>
      </w:r>
      <w:r>
        <w:rPr/>
        <w:t> a</w:t>
      </w:r>
      <w:r>
        <w:rPr/>
        <w:t> 30 year time horizon. However, the year by year cost (and benefit) data on which these PV calculations are based reflect current year estimates.</w:t>
      </w:r>
      <w:r>
        <w:rPr>
          <w:spacing w:val="40"/>
        </w:rPr>
        <w:t> </w:t>
      </w:r>
      <w:r>
        <w:rPr/>
        <w:t>That is, no estimated growth rates have been included in respect of either the value of total annual building</w:t>
      </w:r>
      <w:r>
        <w:rPr>
          <w:spacing w:val="-1"/>
        </w:rPr>
        <w:t> </w:t>
      </w:r>
      <w:r>
        <w:rPr/>
        <w:t>activity</w:t>
      </w:r>
      <w:r>
        <w:rPr>
          <w:spacing w:val="-1"/>
        </w:rPr>
        <w:t> </w:t>
      </w:r>
      <w:r>
        <w:rPr/>
        <w:t>or</w:t>
      </w:r>
      <w:r>
        <w:rPr>
          <w:spacing w:val="-1"/>
        </w:rPr>
        <w:t> </w:t>
      </w:r>
      <w:r>
        <w:rPr/>
        <w:t>the</w:t>
      </w:r>
      <w:r>
        <w:rPr>
          <w:spacing w:val="-1"/>
        </w:rPr>
        <w:t> </w:t>
      </w:r>
      <w:r>
        <w:rPr/>
        <w:t>value</w:t>
      </w:r>
      <w:r>
        <w:rPr>
          <w:spacing w:val="-1"/>
        </w:rPr>
        <w:t> </w:t>
      </w:r>
      <w:r>
        <w:rPr/>
        <w:t>of</w:t>
      </w:r>
      <w:r>
        <w:rPr>
          <w:spacing w:val="-1"/>
        </w:rPr>
        <w:t> </w:t>
      </w:r>
      <w:r>
        <w:rPr/>
        <w:t>the benefits</w:t>
      </w:r>
      <w:r>
        <w:rPr>
          <w:spacing w:val="-1"/>
        </w:rPr>
        <w:t> </w:t>
      </w:r>
      <w:r>
        <w:rPr/>
        <w:t>received</w:t>
      </w:r>
      <w:r>
        <w:rPr>
          <w:spacing w:val="-1"/>
        </w:rPr>
        <w:t> </w:t>
      </w:r>
      <w:r>
        <w:rPr/>
        <w:t>by</w:t>
      </w:r>
      <w:r>
        <w:rPr>
          <w:spacing w:val="-1"/>
        </w:rPr>
        <w:t> </w:t>
      </w:r>
      <w:r>
        <w:rPr/>
        <w:t>people</w:t>
      </w:r>
      <w:r>
        <w:rPr>
          <w:spacing w:val="-2"/>
        </w:rPr>
        <w:t> </w:t>
      </w:r>
      <w:r>
        <w:rPr/>
        <w:t>with</w:t>
      </w:r>
      <w:r>
        <w:rPr>
          <w:spacing w:val="-1"/>
        </w:rPr>
        <w:t> </w:t>
      </w:r>
      <w:r>
        <w:rPr/>
        <w:t>disabilities as a result of the implementation of the proposed Standards.</w:t>
      </w:r>
    </w:p>
    <w:p>
      <w:pPr>
        <w:pStyle w:val="BodyText"/>
      </w:pPr>
    </w:p>
    <w:p>
      <w:pPr>
        <w:pStyle w:val="BodyText"/>
        <w:ind w:left="420" w:right="811"/>
        <w:jc w:val="both"/>
      </w:pPr>
      <w:r>
        <w:rPr/>
        <w:t>This clearly represents a methodological simplification.</w:t>
      </w:r>
      <w:r>
        <w:rPr>
          <w:spacing w:val="40"/>
        </w:rPr>
        <w:t> </w:t>
      </w:r>
      <w:r>
        <w:rPr/>
        <w:t>It has been adopted for several reasons.</w:t>
      </w:r>
      <w:r>
        <w:rPr>
          <w:spacing w:val="40"/>
        </w:rPr>
        <w:t> </w:t>
      </w:r>
      <w:r>
        <w:rPr/>
        <w:t>One reason is that the $22.8 billion figure used for the annual value of building expenditures was considered likely to represent an “above trend” value. This being so, the projection of an estimated growth</w:t>
      </w:r>
      <w:r>
        <w:rPr>
          <w:spacing w:val="40"/>
        </w:rPr>
        <w:t> </w:t>
      </w:r>
      <w:r>
        <w:rPr/>
        <w:t>trend onto this value would be misleading.</w:t>
      </w:r>
    </w:p>
    <w:p>
      <w:pPr>
        <w:pStyle w:val="BodyText"/>
      </w:pPr>
    </w:p>
    <w:p>
      <w:pPr>
        <w:pStyle w:val="BodyText"/>
        <w:spacing w:before="1"/>
        <w:ind w:left="420" w:right="811"/>
        <w:jc w:val="both"/>
      </w:pPr>
      <w:r>
        <w:rPr/>
        <w:t>Second, ABS does not produce projections of future disability rates, which would be needed in order to produce benefit estimates on an equivalent</w:t>
      </w:r>
      <w:r>
        <w:rPr>
          <w:spacing w:val="80"/>
        </w:rPr>
        <w:t> </w:t>
      </w:r>
      <w:r>
        <w:rPr>
          <w:spacing w:val="-2"/>
        </w:rPr>
        <w:t>basis.</w:t>
      </w:r>
    </w:p>
    <w:p>
      <w:pPr>
        <w:pStyle w:val="BodyText"/>
        <w:spacing w:before="11"/>
        <w:rPr>
          <w:sz w:val="23"/>
        </w:rPr>
      </w:pPr>
    </w:p>
    <w:p>
      <w:pPr>
        <w:pStyle w:val="BodyText"/>
        <w:ind w:left="420" w:right="811"/>
        <w:jc w:val="both"/>
      </w:pPr>
      <w:r>
        <w:rPr/>
        <w:t>Moreover,</w:t>
      </w:r>
      <w:r>
        <w:rPr>
          <w:spacing w:val="-1"/>
        </w:rPr>
        <w:t> </w:t>
      </w:r>
      <w:r>
        <w:rPr/>
        <w:t>adding</w:t>
      </w:r>
      <w:r>
        <w:rPr>
          <w:spacing w:val="-1"/>
        </w:rPr>
        <w:t> </w:t>
      </w:r>
      <w:r>
        <w:rPr/>
        <w:t>growth</w:t>
      </w:r>
      <w:r>
        <w:rPr>
          <w:spacing w:val="-2"/>
        </w:rPr>
        <w:t> </w:t>
      </w:r>
      <w:r>
        <w:rPr/>
        <w:t>rates</w:t>
      </w:r>
      <w:r>
        <w:rPr>
          <w:spacing w:val="-1"/>
        </w:rPr>
        <w:t> </w:t>
      </w:r>
      <w:r>
        <w:rPr/>
        <w:t>for</w:t>
      </w:r>
      <w:r>
        <w:rPr>
          <w:spacing w:val="-1"/>
        </w:rPr>
        <w:t> </w:t>
      </w:r>
      <w:r>
        <w:rPr/>
        <w:t>benefits</w:t>
      </w:r>
      <w:r>
        <w:rPr>
          <w:spacing w:val="-1"/>
        </w:rPr>
        <w:t> </w:t>
      </w:r>
      <w:r>
        <w:rPr/>
        <w:t>and</w:t>
      </w:r>
      <w:r>
        <w:rPr>
          <w:spacing w:val="-1"/>
        </w:rPr>
        <w:t> </w:t>
      </w:r>
      <w:r>
        <w:rPr/>
        <w:t>costs</w:t>
      </w:r>
      <w:r>
        <w:rPr>
          <w:spacing w:val="-1"/>
        </w:rPr>
        <w:t> </w:t>
      </w:r>
      <w:r>
        <w:rPr/>
        <w:t>would</w:t>
      </w:r>
      <w:r>
        <w:rPr>
          <w:spacing w:val="-1"/>
        </w:rPr>
        <w:t> </w:t>
      </w:r>
      <w:r>
        <w:rPr/>
        <w:t>have</w:t>
      </w:r>
      <w:r>
        <w:rPr>
          <w:spacing w:val="-1"/>
        </w:rPr>
        <w:t> </w:t>
      </w:r>
      <w:r>
        <w:rPr/>
        <w:t>substantially complicated an already complex analysis.</w:t>
      </w:r>
      <w:r>
        <w:rPr>
          <w:spacing w:val="40"/>
        </w:rPr>
        <w:t> </w:t>
      </w:r>
      <w:r>
        <w:rPr/>
        <w:t>It was not clear that this additional complexity would have yielded any real enhancements in the likely accuracy</w:t>
      </w:r>
    </w:p>
    <w:p>
      <w:pPr>
        <w:spacing w:after="0"/>
        <w:jc w:val="both"/>
        <w:sectPr>
          <w:pgSz w:w="11900" w:h="16840"/>
          <w:pgMar w:header="0" w:footer="1130" w:top="1000" w:bottom="1320" w:left="1380" w:right="980"/>
        </w:sectPr>
      </w:pPr>
    </w:p>
    <w:p>
      <w:pPr>
        <w:pStyle w:val="BodyText"/>
        <w:spacing w:before="75"/>
        <w:ind w:left="419" w:right="814"/>
        <w:jc w:val="both"/>
      </w:pPr>
      <w:r>
        <w:rPr/>
        <w:t>of the estimates used, given the necessarily substantial degree of uncertainty that would attach to the values used.</w:t>
      </w:r>
    </w:p>
    <w:p>
      <w:pPr>
        <w:pStyle w:val="BodyText"/>
      </w:pPr>
    </w:p>
    <w:p>
      <w:pPr>
        <w:pStyle w:val="BodyText"/>
        <w:ind w:left="419" w:right="811"/>
        <w:jc w:val="both"/>
      </w:pPr>
      <w:r>
        <w:rPr/>
        <w:t>However, it can be speculated that the overall impact of applying growth rates to both sides of the analysis is more likely to increase both net benefits and the benefit/cost ratio than the converse.</w:t>
      </w:r>
      <w:r>
        <w:rPr>
          <w:spacing w:val="40"/>
        </w:rPr>
        <w:t> </w:t>
      </w:r>
      <w:r>
        <w:rPr/>
        <w:t>If disability rates rise over the life of the Standards, as is commonly predicted, the proportion of the populace benefiting from the given expenditures on accessibility rises and the benefits will almost certainly rise more quickly than the costs.</w:t>
      </w:r>
    </w:p>
    <w:p>
      <w:pPr>
        <w:pStyle w:val="BodyText"/>
      </w:pPr>
    </w:p>
    <w:p>
      <w:pPr>
        <w:pStyle w:val="BodyText"/>
        <w:spacing w:before="1"/>
        <w:ind w:left="419" w:right="811"/>
        <w:jc w:val="both"/>
      </w:pPr>
      <w:r>
        <w:rPr/>
        <w:t>In</w:t>
      </w:r>
      <w:r>
        <w:rPr>
          <w:spacing w:val="-2"/>
        </w:rPr>
        <w:t> </w:t>
      </w:r>
      <w:r>
        <w:rPr/>
        <w:t>sum,</w:t>
      </w:r>
      <w:r>
        <w:rPr>
          <w:spacing w:val="-2"/>
        </w:rPr>
        <w:t> </w:t>
      </w:r>
      <w:r>
        <w:rPr/>
        <w:t>the</w:t>
      </w:r>
      <w:r>
        <w:rPr>
          <w:spacing w:val="-2"/>
        </w:rPr>
        <w:t> </w:t>
      </w:r>
      <w:r>
        <w:rPr/>
        <w:t>exclusion</w:t>
      </w:r>
      <w:r>
        <w:rPr>
          <w:spacing w:val="-2"/>
        </w:rPr>
        <w:t> </w:t>
      </w:r>
      <w:r>
        <w:rPr/>
        <w:t>of</w:t>
      </w:r>
      <w:r>
        <w:rPr>
          <w:spacing w:val="-2"/>
        </w:rPr>
        <w:t> </w:t>
      </w:r>
      <w:r>
        <w:rPr/>
        <w:t>growth</w:t>
      </w:r>
      <w:r>
        <w:rPr>
          <w:spacing w:val="-2"/>
        </w:rPr>
        <w:t> </w:t>
      </w:r>
      <w:r>
        <w:rPr/>
        <w:t>rates from</w:t>
      </w:r>
      <w:r>
        <w:rPr>
          <w:spacing w:val="-2"/>
        </w:rPr>
        <w:t> </w:t>
      </w:r>
      <w:r>
        <w:rPr/>
        <w:t>the</w:t>
      </w:r>
      <w:r>
        <w:rPr>
          <w:spacing w:val="-2"/>
        </w:rPr>
        <w:t> </w:t>
      </w:r>
      <w:r>
        <w:rPr/>
        <w:t>NPV</w:t>
      </w:r>
      <w:r>
        <w:rPr>
          <w:spacing w:val="-2"/>
        </w:rPr>
        <w:t> </w:t>
      </w:r>
      <w:r>
        <w:rPr/>
        <w:t>analysis</w:t>
      </w:r>
      <w:r>
        <w:rPr>
          <w:spacing w:val="-1"/>
        </w:rPr>
        <w:t> </w:t>
      </w:r>
      <w:r>
        <w:rPr/>
        <w:t>implies</w:t>
      </w:r>
      <w:r>
        <w:rPr>
          <w:spacing w:val="-2"/>
        </w:rPr>
        <w:t> </w:t>
      </w:r>
      <w:r>
        <w:rPr/>
        <w:t>that</w:t>
      </w:r>
      <w:r>
        <w:rPr>
          <w:spacing w:val="-2"/>
        </w:rPr>
        <w:t> </w:t>
      </w:r>
      <w:r>
        <w:rPr/>
        <w:t>these estimates will under-estimate the true PV of both the benefits and costs of the Standards.</w:t>
      </w:r>
      <w:r>
        <w:rPr>
          <w:spacing w:val="40"/>
        </w:rPr>
        <w:t> </w:t>
      </w:r>
      <w:r>
        <w:rPr/>
        <w:t>This under-estimate will be quite substantial, given the 30 year time horizon used.</w:t>
      </w:r>
      <w:r>
        <w:rPr>
          <w:spacing w:val="40"/>
        </w:rPr>
        <w:t> </w:t>
      </w:r>
      <w:r>
        <w:rPr/>
        <w:t>However, the expected benefits are likely to be under- estimated by a larger amount than will be the costs. Thus, it can be</w:t>
      </w:r>
      <w:r>
        <w:rPr>
          <w:spacing w:val="40"/>
        </w:rPr>
        <w:t> </w:t>
      </w:r>
      <w:r>
        <w:rPr/>
        <w:t>speculated that the inclusion of growth rates would increase both the NPV of the Standards and the benefit/cost ratio attached to it.</w:t>
      </w:r>
    </w:p>
    <w:p>
      <w:pPr>
        <w:pStyle w:val="BodyText"/>
        <w:spacing w:before="1"/>
        <w:rPr>
          <w:sz w:val="21"/>
        </w:rPr>
      </w:pPr>
    </w:p>
    <w:p>
      <w:pPr>
        <w:pStyle w:val="Heading3"/>
      </w:pPr>
      <w:bookmarkStart w:name="Use of 2002 building activity data" w:id="167"/>
      <w:bookmarkEnd w:id="167"/>
      <w:r>
        <w:rPr>
          <w:b w:val="0"/>
        </w:rPr>
      </w:r>
      <w:r>
        <w:rPr/>
        <w:t>Use</w:t>
      </w:r>
      <w:r>
        <w:rPr>
          <w:spacing w:val="-1"/>
        </w:rPr>
        <w:t> </w:t>
      </w:r>
      <w:r>
        <w:rPr/>
        <w:t>of</w:t>
      </w:r>
      <w:r>
        <w:rPr>
          <w:spacing w:val="-2"/>
        </w:rPr>
        <w:t> </w:t>
      </w:r>
      <w:r>
        <w:rPr/>
        <w:t>2002</w:t>
      </w:r>
      <w:r>
        <w:rPr>
          <w:spacing w:val="-1"/>
        </w:rPr>
        <w:t> </w:t>
      </w:r>
      <w:r>
        <w:rPr/>
        <w:t>building</w:t>
      </w:r>
      <w:r>
        <w:rPr>
          <w:spacing w:val="-1"/>
        </w:rPr>
        <w:t> </w:t>
      </w:r>
      <w:r>
        <w:rPr/>
        <w:t>activity</w:t>
      </w:r>
      <w:r>
        <w:rPr>
          <w:spacing w:val="-2"/>
        </w:rPr>
        <w:t> </w:t>
      </w:r>
      <w:r>
        <w:rPr>
          <w:spacing w:val="-4"/>
        </w:rPr>
        <w:t>data</w:t>
      </w:r>
    </w:p>
    <w:p>
      <w:pPr>
        <w:pStyle w:val="BodyText"/>
        <w:spacing w:before="57"/>
        <w:ind w:left="420" w:right="813"/>
        <w:jc w:val="both"/>
      </w:pPr>
      <w:r>
        <w:rPr/>
        <w:t>Building activity data for 2002 constituted the most recent available data in 2003 when regulatory impact analysis work on the proposed Premises Standards was commenced. The draft RIS on the 2004 draft proposal was published in February 2004.</w:t>
      </w:r>
    </w:p>
    <w:p>
      <w:pPr>
        <w:pStyle w:val="BodyText"/>
      </w:pPr>
    </w:p>
    <w:p>
      <w:pPr>
        <w:pStyle w:val="BodyText"/>
        <w:ind w:left="420" w:right="810"/>
        <w:jc w:val="both"/>
      </w:pPr>
      <w:r>
        <w:rPr/>
        <w:t>In</w:t>
      </w:r>
      <w:r>
        <w:rPr>
          <w:spacing w:val="-1"/>
        </w:rPr>
        <w:t> </w:t>
      </w:r>
      <w:r>
        <w:rPr/>
        <w:t>developing</w:t>
      </w:r>
      <w:r>
        <w:rPr>
          <w:spacing w:val="-1"/>
        </w:rPr>
        <w:t> </w:t>
      </w:r>
      <w:r>
        <w:rPr/>
        <w:t>the</w:t>
      </w:r>
      <w:r>
        <w:rPr>
          <w:spacing w:val="-1"/>
        </w:rPr>
        <w:t> </w:t>
      </w:r>
      <w:r>
        <w:rPr/>
        <w:t>final</w:t>
      </w:r>
      <w:r>
        <w:rPr>
          <w:spacing w:val="-1"/>
        </w:rPr>
        <w:t> </w:t>
      </w:r>
      <w:r>
        <w:rPr/>
        <w:t>RIS, it</w:t>
      </w:r>
      <w:r>
        <w:rPr>
          <w:spacing w:val="-1"/>
        </w:rPr>
        <w:t> </w:t>
      </w:r>
      <w:r>
        <w:rPr/>
        <w:t>was necessary</w:t>
      </w:r>
      <w:r>
        <w:rPr>
          <w:spacing w:val="-1"/>
        </w:rPr>
        <w:t> </w:t>
      </w:r>
      <w:r>
        <w:rPr/>
        <w:t>to</w:t>
      </w:r>
      <w:r>
        <w:rPr>
          <w:spacing w:val="-1"/>
        </w:rPr>
        <w:t> </w:t>
      </w:r>
      <w:r>
        <w:rPr/>
        <w:t>determine</w:t>
      </w:r>
      <w:r>
        <w:rPr>
          <w:spacing w:val="-1"/>
        </w:rPr>
        <w:t> </w:t>
      </w:r>
      <w:r>
        <w:rPr/>
        <w:t>whether to</w:t>
      </w:r>
      <w:r>
        <w:rPr>
          <w:spacing w:val="-1"/>
        </w:rPr>
        <w:t> </w:t>
      </w:r>
      <w:r>
        <w:rPr/>
        <w:t>continue to base the analysis on the 2002 building activity data or to update this to the latest available building activity data. The 2002 data has been retained as the basis for the analysis for a number of reasons, discussed below:</w:t>
      </w:r>
    </w:p>
    <w:p>
      <w:pPr>
        <w:pStyle w:val="BodyText"/>
      </w:pPr>
    </w:p>
    <w:p>
      <w:pPr>
        <w:pStyle w:val="BodyText"/>
        <w:ind w:left="420" w:right="811"/>
        <w:jc w:val="both"/>
      </w:pPr>
      <w:r>
        <w:rPr/>
        <w:t>First, this approach maximises the degree of comparability between the draft RIS and the final RIS, thus allowing the reader to develop a better understanding of the impact of the various changes made to the proposed </w:t>
      </w:r>
      <w:r>
        <w:rPr>
          <w:spacing w:val="-2"/>
        </w:rPr>
        <w:t>Standards.</w:t>
      </w:r>
    </w:p>
    <w:p>
      <w:pPr>
        <w:pStyle w:val="BodyText"/>
      </w:pPr>
    </w:p>
    <w:p>
      <w:pPr>
        <w:pStyle w:val="BodyText"/>
        <w:ind w:left="419" w:right="812"/>
        <w:jc w:val="both"/>
      </w:pPr>
      <w:r>
        <w:rPr/>
        <w:t>Second, the most accurate understanding of the long-term impacts of the proposed Premises Standards will be obtained if the data from which the cost estimates are derived reflects an average, or representative year. That is, costs are best modelled against a level of building activity that is reflective of the likely average over the period during which the Standards will be </w:t>
      </w:r>
      <w:r>
        <w:rPr>
          <w:spacing w:val="-2"/>
        </w:rPr>
        <w:t>implemented.</w:t>
      </w:r>
    </w:p>
    <w:p>
      <w:pPr>
        <w:pStyle w:val="BodyText"/>
      </w:pPr>
    </w:p>
    <w:p>
      <w:pPr>
        <w:pStyle w:val="BodyText"/>
        <w:spacing w:before="1"/>
        <w:ind w:left="419" w:right="810"/>
        <w:jc w:val="both"/>
      </w:pPr>
      <w:r>
        <w:rPr/>
        <w:t>Building activity levels in recent years cannot be said to fit this criterion. Rather, building activity has been running at extremely high levels. Thus, adopting</w:t>
      </w:r>
      <w:r>
        <w:rPr>
          <w:spacing w:val="-3"/>
        </w:rPr>
        <w:t> </w:t>
      </w:r>
      <w:r>
        <w:rPr/>
        <w:t>new</w:t>
      </w:r>
      <w:r>
        <w:rPr>
          <w:spacing w:val="-3"/>
        </w:rPr>
        <w:t> </w:t>
      </w:r>
      <w:r>
        <w:rPr/>
        <w:t>data</w:t>
      </w:r>
      <w:r>
        <w:rPr>
          <w:spacing w:val="-3"/>
        </w:rPr>
        <w:t> </w:t>
      </w:r>
      <w:r>
        <w:rPr/>
        <w:t>and</w:t>
      </w:r>
      <w:r>
        <w:rPr>
          <w:spacing w:val="-3"/>
        </w:rPr>
        <w:t> </w:t>
      </w:r>
      <w:r>
        <w:rPr/>
        <w:t>effectively</w:t>
      </w:r>
      <w:r>
        <w:rPr>
          <w:spacing w:val="-3"/>
        </w:rPr>
        <w:t> </w:t>
      </w:r>
      <w:r>
        <w:rPr/>
        <w:t>extrapolating</w:t>
      </w:r>
      <w:r>
        <w:rPr>
          <w:spacing w:val="-3"/>
        </w:rPr>
        <w:t> </w:t>
      </w:r>
      <w:r>
        <w:rPr/>
        <w:t>this</w:t>
      </w:r>
      <w:r>
        <w:rPr>
          <w:spacing w:val="-3"/>
        </w:rPr>
        <w:t> </w:t>
      </w:r>
      <w:r>
        <w:rPr/>
        <w:t>forward</w:t>
      </w:r>
      <w:r>
        <w:rPr>
          <w:spacing w:val="-3"/>
        </w:rPr>
        <w:t> </w:t>
      </w:r>
      <w:r>
        <w:rPr/>
        <w:t>over</w:t>
      </w:r>
      <w:r>
        <w:rPr>
          <w:spacing w:val="-3"/>
        </w:rPr>
        <w:t> </w:t>
      </w:r>
      <w:r>
        <w:rPr/>
        <w:t>the</w:t>
      </w:r>
      <w:r>
        <w:rPr>
          <w:spacing w:val="-3"/>
        </w:rPr>
        <w:t> </w:t>
      </w:r>
      <w:r>
        <w:rPr/>
        <w:t>projected life</w:t>
      </w:r>
      <w:r>
        <w:rPr>
          <w:spacing w:val="-1"/>
        </w:rPr>
        <w:t> </w:t>
      </w:r>
      <w:r>
        <w:rPr/>
        <w:t>of</w:t>
      </w:r>
      <w:r>
        <w:rPr>
          <w:spacing w:val="-1"/>
        </w:rPr>
        <w:t> </w:t>
      </w:r>
      <w:r>
        <w:rPr/>
        <w:t>the</w:t>
      </w:r>
      <w:r>
        <w:rPr>
          <w:spacing w:val="-1"/>
        </w:rPr>
        <w:t> </w:t>
      </w:r>
      <w:r>
        <w:rPr/>
        <w:t>Standards</w:t>
      </w:r>
      <w:r>
        <w:rPr>
          <w:spacing w:val="-1"/>
        </w:rPr>
        <w:t> </w:t>
      </w:r>
      <w:r>
        <w:rPr/>
        <w:t>would have the impact of substantially overestimating the likely cost impact. The inappropriateness of using current data is further illustrated when the current global financial crisis is taken into consideration, as this is predicted to result in a slow-down correction of activity in the commercial building sector over the next few years. By contrast, it is considered that the 2002 building data is more reflective of the average level of activity across the whole building cycle.</w:t>
      </w:r>
    </w:p>
    <w:p>
      <w:pPr>
        <w:spacing w:after="0"/>
        <w:jc w:val="both"/>
        <w:sectPr>
          <w:pgSz w:w="11900" w:h="16840"/>
          <w:pgMar w:header="0" w:footer="1130" w:top="1000" w:bottom="1320" w:left="1380" w:right="980"/>
        </w:sectPr>
      </w:pPr>
    </w:p>
    <w:p>
      <w:pPr>
        <w:pStyle w:val="BodyText"/>
        <w:spacing w:before="75"/>
        <w:ind w:left="420" w:right="812"/>
        <w:jc w:val="both"/>
      </w:pPr>
      <w:r>
        <w:rPr/>
        <w:t>Finally, it should be noted that, consistent with the decision to continue to use the 2002 building activity data, the data and assumptions used in benefit estimation have also remained unchanged from the draft RIS. This ensures that consistency is retained with regard to both sides of the analysis.</w:t>
      </w:r>
    </w:p>
    <w:p>
      <w:pPr>
        <w:spacing w:after="0"/>
        <w:jc w:val="both"/>
        <w:sectPr>
          <w:pgSz w:w="11900" w:h="16840"/>
          <w:pgMar w:header="0" w:footer="1130" w:top="1000" w:bottom="1320" w:left="1380" w:right="980"/>
        </w:sectPr>
      </w:pPr>
    </w:p>
    <w:p>
      <w:pPr>
        <w:pStyle w:val="Heading1"/>
        <w:ind w:right="1498"/>
        <w:jc w:val="both"/>
      </w:pPr>
      <w:bookmarkStart w:name="_TOC_250002" w:id="168"/>
      <w:bookmarkStart w:name=" Appendix B: Cost estimates – individual" w:id="169"/>
      <w:r>
        <w:rPr>
          <w:b w:val="0"/>
        </w:rPr>
      </w:r>
      <w:r>
        <w:rPr/>
        <w:t>Appendix</w:t>
      </w:r>
      <w:r>
        <w:rPr>
          <w:spacing w:val="-5"/>
        </w:rPr>
        <w:t> </w:t>
      </w:r>
      <w:r>
        <w:rPr/>
        <w:t>B:</w:t>
      </w:r>
      <w:r>
        <w:rPr>
          <w:spacing w:val="80"/>
        </w:rPr>
        <w:t> </w:t>
      </w:r>
      <w:r>
        <w:rPr/>
        <w:t>Cost</w:t>
      </w:r>
      <w:r>
        <w:rPr>
          <w:spacing w:val="-5"/>
        </w:rPr>
        <w:t> </w:t>
      </w:r>
      <w:r>
        <w:rPr/>
        <w:t>estimates</w:t>
      </w:r>
      <w:r>
        <w:rPr>
          <w:spacing w:val="-5"/>
        </w:rPr>
        <w:t> </w:t>
      </w:r>
      <w:r>
        <w:rPr/>
        <w:t>–</w:t>
      </w:r>
      <w:r>
        <w:rPr>
          <w:spacing w:val="-5"/>
        </w:rPr>
        <w:t> </w:t>
      </w:r>
      <w:r>
        <w:rPr/>
        <w:t>individual</w:t>
      </w:r>
      <w:r>
        <w:rPr>
          <w:spacing w:val="-4"/>
        </w:rPr>
        <w:t> </w:t>
      </w:r>
      <w:bookmarkEnd w:id="168"/>
      <w:r>
        <w:rPr/>
        <w:t>building upgrade items</w:t>
      </w:r>
    </w:p>
    <w:p>
      <w:pPr>
        <w:pStyle w:val="Heading4"/>
        <w:spacing w:before="239"/>
        <w:rPr>
          <w:u w:val="none"/>
        </w:rPr>
      </w:pPr>
      <w:bookmarkStart w:name="General Notes" w:id="170"/>
      <w:bookmarkEnd w:id="170"/>
      <w:r>
        <w:rPr>
          <w:b w:val="0"/>
          <w:u w:val="none"/>
        </w:rPr>
      </w:r>
      <w:r>
        <w:rPr>
          <w:u w:val="none"/>
        </w:rPr>
        <w:t>General</w:t>
      </w:r>
      <w:r>
        <w:rPr>
          <w:spacing w:val="-6"/>
          <w:u w:val="none"/>
        </w:rPr>
        <w:t> </w:t>
      </w:r>
      <w:r>
        <w:rPr>
          <w:spacing w:val="-2"/>
          <w:u w:val="none"/>
        </w:rPr>
        <w:t>Notes</w:t>
      </w:r>
    </w:p>
    <w:p>
      <w:pPr>
        <w:pStyle w:val="ListParagraph"/>
        <w:numPr>
          <w:ilvl w:val="0"/>
          <w:numId w:val="49"/>
        </w:numPr>
        <w:tabs>
          <w:tab w:pos="961" w:val="left" w:leader="none"/>
        </w:tabs>
        <w:spacing w:line="240" w:lineRule="auto" w:before="119" w:after="0"/>
        <w:ind w:left="960" w:right="811" w:hanging="540"/>
        <w:jc w:val="both"/>
        <w:rPr>
          <w:sz w:val="24"/>
        </w:rPr>
      </w:pPr>
      <w:r>
        <w:rPr>
          <w:sz w:val="24"/>
        </w:rPr>
        <w:t>The costs are based on an assessment of the impact of moving from the minimum requirements of the existing BCA to those of the Draft Access Code for Buildings October 2008.</w:t>
      </w:r>
    </w:p>
    <w:p>
      <w:pPr>
        <w:pStyle w:val="ListParagraph"/>
        <w:numPr>
          <w:ilvl w:val="0"/>
          <w:numId w:val="49"/>
        </w:numPr>
        <w:tabs>
          <w:tab w:pos="961" w:val="left" w:leader="none"/>
        </w:tabs>
        <w:spacing w:line="240" w:lineRule="auto" w:before="120" w:after="0"/>
        <w:ind w:left="960" w:right="812" w:hanging="540"/>
        <w:jc w:val="both"/>
        <w:rPr>
          <w:i/>
          <w:sz w:val="24"/>
        </w:rPr>
      </w:pPr>
      <w:r>
        <w:rPr>
          <w:sz w:val="24"/>
        </w:rPr>
        <w:t>The costs adopted are based on construction costs for the Melbourne area.</w:t>
      </w:r>
      <w:r>
        <w:rPr>
          <w:spacing w:val="40"/>
          <w:sz w:val="24"/>
        </w:rPr>
        <w:t> </w:t>
      </w:r>
      <w:r>
        <w:rPr>
          <w:sz w:val="24"/>
        </w:rPr>
        <w:t>Costings are generally drawn from </w:t>
      </w:r>
      <w:r>
        <w:rPr>
          <w:i/>
          <w:sz w:val="24"/>
        </w:rPr>
        <w:t>Rawlinsons Australian</w:t>
      </w:r>
      <w:r>
        <w:rPr>
          <w:i/>
          <w:sz w:val="24"/>
        </w:rPr>
        <w:t> Construction Handbook </w:t>
      </w:r>
      <w:r>
        <w:rPr>
          <w:sz w:val="24"/>
        </w:rPr>
        <w:t>(Edition 23, 2005)</w:t>
      </w:r>
      <w:r>
        <w:rPr>
          <w:i/>
          <w:sz w:val="24"/>
        </w:rPr>
        <w:t>.</w:t>
      </w:r>
    </w:p>
    <w:p>
      <w:pPr>
        <w:pStyle w:val="ListParagraph"/>
        <w:numPr>
          <w:ilvl w:val="0"/>
          <w:numId w:val="49"/>
        </w:numPr>
        <w:tabs>
          <w:tab w:pos="961" w:val="left" w:leader="none"/>
        </w:tabs>
        <w:spacing w:line="240" w:lineRule="auto" w:before="120" w:after="0"/>
        <w:ind w:left="960" w:right="810" w:hanging="540"/>
        <w:jc w:val="both"/>
        <w:rPr>
          <w:sz w:val="24"/>
        </w:rPr>
      </w:pPr>
      <w:r>
        <w:rPr>
          <w:sz w:val="24"/>
        </w:rPr>
        <w:t>Costs do not generally allow for cases in which current building design makes allowances for the Disability Discrimination Act.</w:t>
      </w:r>
      <w:r>
        <w:rPr>
          <w:spacing w:val="80"/>
          <w:sz w:val="24"/>
        </w:rPr>
        <w:t> </w:t>
      </w:r>
      <w:r>
        <w:rPr>
          <w:sz w:val="24"/>
        </w:rPr>
        <w:t>To the extent</w:t>
      </w:r>
      <w:r>
        <w:rPr>
          <w:spacing w:val="40"/>
          <w:sz w:val="24"/>
        </w:rPr>
        <w:t> </w:t>
      </w:r>
      <w:r>
        <w:rPr>
          <w:sz w:val="24"/>
        </w:rPr>
        <w:t>that such allowance is currently made, this will tend to reduce the incremental costs of adopting the Premises Standards, while also reducing the benefits.</w:t>
      </w:r>
    </w:p>
    <w:p>
      <w:pPr>
        <w:pStyle w:val="ListParagraph"/>
        <w:numPr>
          <w:ilvl w:val="0"/>
          <w:numId w:val="49"/>
        </w:numPr>
        <w:tabs>
          <w:tab w:pos="961" w:val="left" w:leader="none"/>
        </w:tabs>
        <w:spacing w:line="240" w:lineRule="auto" w:before="120" w:after="0"/>
        <w:ind w:left="960" w:right="810" w:hanging="540"/>
        <w:jc w:val="both"/>
        <w:rPr>
          <w:sz w:val="24"/>
        </w:rPr>
      </w:pPr>
      <w:r>
        <w:rPr>
          <w:sz w:val="24"/>
        </w:rPr>
        <w:t>Costs for new buildings include allowance for the cost of building additional area to provide additional floor space for turning and passing spaces, accessible sanitary facilities, wheelchair seating spaces and the like</w:t>
      </w:r>
      <w:r>
        <w:rPr>
          <w:i/>
          <w:sz w:val="24"/>
        </w:rPr>
        <w:t>.</w:t>
      </w:r>
      <w:r>
        <w:rPr>
          <w:i/>
          <w:spacing w:val="40"/>
          <w:sz w:val="24"/>
        </w:rPr>
        <w:t> </w:t>
      </w:r>
      <w:r>
        <w:rPr>
          <w:sz w:val="24"/>
        </w:rPr>
        <w:t>This allowance has been made by estimating the additional space required on a "no other changes" basis.</w:t>
      </w:r>
      <w:r>
        <w:rPr>
          <w:spacing w:val="40"/>
          <w:sz w:val="24"/>
        </w:rPr>
        <w:t> </w:t>
      </w:r>
      <w:r>
        <w:rPr>
          <w:sz w:val="24"/>
        </w:rPr>
        <w:t>However, some stakeholders argue that the required space can often be provided with little or no addition to net building size,</w:t>
      </w:r>
      <w:r>
        <w:rPr>
          <w:spacing w:val="-3"/>
          <w:sz w:val="24"/>
        </w:rPr>
        <w:t> </w:t>
      </w:r>
      <w:r>
        <w:rPr>
          <w:sz w:val="24"/>
        </w:rPr>
        <w:t>through adoption of more efficient building design</w:t>
      </w:r>
      <w:r>
        <w:rPr>
          <w:i/>
          <w:sz w:val="24"/>
        </w:rPr>
        <w:t>. </w:t>
      </w:r>
      <w:r>
        <w:rPr>
          <w:sz w:val="24"/>
        </w:rPr>
        <w:t>It is acknowledged that, for some building types and locations, site and planning constraints could mean that the additional required space could not be built and that the net result would be a reduction in lettable area.</w:t>
      </w:r>
      <w:r>
        <w:rPr>
          <w:spacing w:val="40"/>
          <w:sz w:val="24"/>
        </w:rPr>
        <w:t> </w:t>
      </w:r>
      <w:r>
        <w:rPr>
          <w:sz w:val="24"/>
        </w:rPr>
        <w:t>However, the cost implications of this outcome are conceptually similar to those of building additional space.</w:t>
      </w:r>
    </w:p>
    <w:p>
      <w:pPr>
        <w:pStyle w:val="ListParagraph"/>
        <w:numPr>
          <w:ilvl w:val="0"/>
          <w:numId w:val="49"/>
        </w:numPr>
        <w:tabs>
          <w:tab w:pos="961" w:val="left" w:leader="none"/>
        </w:tabs>
        <w:spacing w:line="240" w:lineRule="auto" w:before="121" w:after="0"/>
        <w:ind w:left="960" w:right="811" w:hanging="540"/>
        <w:jc w:val="both"/>
        <w:rPr>
          <w:sz w:val="24"/>
        </w:rPr>
      </w:pPr>
      <w:r>
        <w:rPr>
          <w:sz w:val="24"/>
        </w:rPr>
        <w:t>For upgrade case studies, it has been assumed that it would generally</w:t>
      </w:r>
      <w:r>
        <w:rPr>
          <w:spacing w:val="40"/>
          <w:sz w:val="24"/>
        </w:rPr>
        <w:t> </w:t>
      </w:r>
      <w:r>
        <w:rPr>
          <w:sz w:val="24"/>
        </w:rPr>
        <w:t>be impractical to build such additional floor space.</w:t>
      </w:r>
      <w:r>
        <w:rPr>
          <w:spacing w:val="40"/>
          <w:sz w:val="24"/>
        </w:rPr>
        <w:t> </w:t>
      </w:r>
      <w:r>
        <w:rPr>
          <w:sz w:val="24"/>
        </w:rPr>
        <w:t>The requirements would instead be provided by alterations to internal wall layouts, which would be likely to result in</w:t>
      </w:r>
      <w:r>
        <w:rPr>
          <w:spacing w:val="-2"/>
          <w:sz w:val="24"/>
        </w:rPr>
        <w:t> </w:t>
      </w:r>
      <w:r>
        <w:rPr>
          <w:sz w:val="24"/>
        </w:rPr>
        <w:t>some loss of lettable area.</w:t>
      </w:r>
      <w:r>
        <w:rPr>
          <w:spacing w:val="40"/>
          <w:sz w:val="24"/>
        </w:rPr>
        <w:t> </w:t>
      </w:r>
      <w:r>
        <w:rPr>
          <w:sz w:val="24"/>
        </w:rPr>
        <w:t>The analysis assumes a 2% loss of Net Lettable Area on average for upgraded </w:t>
      </w:r>
      <w:r>
        <w:rPr>
          <w:spacing w:val="-2"/>
          <w:sz w:val="24"/>
        </w:rPr>
        <w:t>buildings.</w:t>
      </w:r>
    </w:p>
    <w:p>
      <w:pPr>
        <w:pStyle w:val="ListParagraph"/>
        <w:numPr>
          <w:ilvl w:val="0"/>
          <w:numId w:val="49"/>
        </w:numPr>
        <w:tabs>
          <w:tab w:pos="961" w:val="left" w:leader="none"/>
        </w:tabs>
        <w:spacing w:line="240" w:lineRule="auto" w:before="120" w:after="0"/>
        <w:ind w:left="960" w:right="812" w:hanging="540"/>
        <w:jc w:val="both"/>
        <w:rPr>
          <w:sz w:val="24"/>
        </w:rPr>
      </w:pPr>
      <w:r>
        <w:rPr>
          <w:sz w:val="24"/>
        </w:rPr>
        <w:t>Major specific assumptions employed in generating the cost estimates are set out below.</w:t>
      </w:r>
      <w:r>
        <w:rPr>
          <w:spacing w:val="40"/>
          <w:sz w:val="24"/>
        </w:rPr>
        <w:t> </w:t>
      </w:r>
      <w:r>
        <w:rPr>
          <w:sz w:val="24"/>
        </w:rPr>
        <w:t>Where the use of these necessary assumptions is likely to under or over-estimate costs systematically, the direction of these biases (and their likely importance) is indicated in parentheses.</w:t>
      </w:r>
    </w:p>
    <w:p>
      <w:pPr>
        <w:pStyle w:val="ListParagraph"/>
        <w:numPr>
          <w:ilvl w:val="0"/>
          <w:numId w:val="49"/>
        </w:numPr>
        <w:tabs>
          <w:tab w:pos="961" w:val="left" w:leader="none"/>
        </w:tabs>
        <w:spacing w:line="240" w:lineRule="auto" w:before="120" w:after="0"/>
        <w:ind w:left="960" w:right="809" w:hanging="540"/>
        <w:jc w:val="both"/>
        <w:rPr>
          <w:sz w:val="24"/>
        </w:rPr>
      </w:pPr>
      <w:r>
        <w:rPr>
          <w:sz w:val="24"/>
        </w:rPr>
        <w:t>All cost estimates, assumptions and exclusions contained in the draft</w:t>
      </w:r>
      <w:r>
        <w:rPr>
          <w:spacing w:val="40"/>
          <w:sz w:val="24"/>
        </w:rPr>
        <w:t> </w:t>
      </w:r>
      <w:r>
        <w:rPr>
          <w:sz w:val="24"/>
        </w:rPr>
        <w:t>RIS</w:t>
      </w:r>
      <w:r>
        <w:rPr>
          <w:spacing w:val="-1"/>
          <w:sz w:val="24"/>
        </w:rPr>
        <w:t> </w:t>
      </w:r>
      <w:r>
        <w:rPr>
          <w:sz w:val="24"/>
        </w:rPr>
        <w:t>have</w:t>
      </w:r>
      <w:r>
        <w:rPr>
          <w:spacing w:val="-1"/>
          <w:sz w:val="24"/>
        </w:rPr>
        <w:t> </w:t>
      </w:r>
      <w:r>
        <w:rPr>
          <w:sz w:val="24"/>
        </w:rPr>
        <w:t>been</w:t>
      </w:r>
      <w:r>
        <w:rPr>
          <w:spacing w:val="-1"/>
          <w:sz w:val="24"/>
        </w:rPr>
        <w:t> </w:t>
      </w:r>
      <w:r>
        <w:rPr>
          <w:sz w:val="24"/>
        </w:rPr>
        <w:t>reviewed.</w:t>
      </w:r>
      <w:r>
        <w:rPr>
          <w:spacing w:val="40"/>
          <w:sz w:val="24"/>
        </w:rPr>
        <w:t> </w:t>
      </w:r>
      <w:r>
        <w:rPr>
          <w:sz w:val="24"/>
        </w:rPr>
        <w:t>The exercise was undertaken to verify that the information presented regarding costs is accurate and appropriate.</w:t>
      </w:r>
      <w:r>
        <w:rPr>
          <w:spacing w:val="40"/>
          <w:sz w:val="24"/>
        </w:rPr>
        <w:t> </w:t>
      </w:r>
      <w:r>
        <w:rPr>
          <w:sz w:val="24"/>
        </w:rPr>
        <w:t>As a result, some revisions have been made in this final RIS.</w:t>
      </w:r>
    </w:p>
    <w:p>
      <w:pPr>
        <w:spacing w:after="0" w:line="240" w:lineRule="auto"/>
        <w:jc w:val="both"/>
        <w:rPr>
          <w:sz w:val="24"/>
        </w:rPr>
        <w:sectPr>
          <w:pgSz w:w="11900" w:h="16840"/>
          <w:pgMar w:header="0" w:footer="1130" w:top="1240" w:bottom="1320" w:left="1380" w:right="980"/>
        </w:sectPr>
      </w:pPr>
    </w:p>
    <w:p>
      <w:pPr>
        <w:pStyle w:val="Heading4"/>
        <w:spacing w:before="77"/>
        <w:jc w:val="left"/>
        <w:rPr>
          <w:u w:val="none"/>
        </w:rPr>
      </w:pPr>
      <w:r>
        <w:rPr>
          <w:spacing w:val="-2"/>
          <w:u w:val="none"/>
        </w:rPr>
        <w:t>Assumptions</w:t>
      </w:r>
    </w:p>
    <w:p>
      <w:pPr>
        <w:pStyle w:val="BodyText"/>
        <w:spacing w:before="9"/>
        <w:rPr>
          <w:b/>
          <w:sz w:val="20"/>
        </w:rPr>
      </w:pPr>
    </w:p>
    <w:p>
      <w:pPr>
        <w:pStyle w:val="ListParagraph"/>
        <w:numPr>
          <w:ilvl w:val="1"/>
          <w:numId w:val="49"/>
        </w:numPr>
        <w:tabs>
          <w:tab w:pos="1141" w:val="left" w:leader="none"/>
        </w:tabs>
        <w:spacing w:line="240" w:lineRule="auto" w:before="0" w:after="0"/>
        <w:ind w:left="1139" w:right="812" w:hanging="360"/>
        <w:jc w:val="both"/>
        <w:rPr>
          <w:sz w:val="24"/>
        </w:rPr>
      </w:pPr>
      <w:r>
        <w:rPr>
          <w:sz w:val="24"/>
        </w:rPr>
        <w:t>Buildings to be upgraded comply with current BCA requirements.</w:t>
      </w:r>
      <w:r>
        <w:rPr>
          <w:spacing w:val="40"/>
          <w:sz w:val="24"/>
        </w:rPr>
        <w:t> </w:t>
      </w:r>
      <w:r>
        <w:rPr>
          <w:sz w:val="24"/>
        </w:rPr>
        <w:t>To the extent that larger costs are incurred due to upgrades of non- compliant buildings, these are not conceptually attributable to the Access Code.</w:t>
      </w:r>
    </w:p>
    <w:p>
      <w:pPr>
        <w:pStyle w:val="ListParagraph"/>
        <w:numPr>
          <w:ilvl w:val="1"/>
          <w:numId w:val="49"/>
        </w:numPr>
        <w:tabs>
          <w:tab w:pos="1141" w:val="left" w:leader="none"/>
        </w:tabs>
        <w:spacing w:line="237" w:lineRule="auto" w:before="121" w:after="0"/>
        <w:ind w:left="1139" w:right="812" w:hanging="360"/>
        <w:jc w:val="both"/>
        <w:rPr>
          <w:sz w:val="24"/>
        </w:rPr>
      </w:pPr>
      <w:r>
        <w:rPr>
          <w:sz w:val="24"/>
        </w:rPr>
        <w:t>The required accessible sole-occupancy units in 2-storey hotel/motel buildings and rooms/facilities in 2-storey B&amp;B’s could be provided on the ground level, as representative of the standard unit in the building.</w:t>
      </w:r>
    </w:p>
    <w:p>
      <w:pPr>
        <w:pStyle w:val="ListParagraph"/>
        <w:numPr>
          <w:ilvl w:val="1"/>
          <w:numId w:val="49"/>
        </w:numPr>
        <w:tabs>
          <w:tab w:pos="1141" w:val="left" w:leader="none"/>
        </w:tabs>
        <w:spacing w:line="240" w:lineRule="auto" w:before="124" w:after="0"/>
        <w:ind w:left="1140" w:right="0" w:hanging="361"/>
        <w:jc w:val="both"/>
        <w:rPr>
          <w:sz w:val="24"/>
        </w:rPr>
      </w:pPr>
      <w:r>
        <w:rPr>
          <w:sz w:val="24"/>
        </w:rPr>
        <w:t>New</w:t>
      </w:r>
      <w:r>
        <w:rPr>
          <w:spacing w:val="-7"/>
          <w:sz w:val="24"/>
        </w:rPr>
        <w:t> </w:t>
      </w:r>
      <w:r>
        <w:rPr>
          <w:sz w:val="24"/>
        </w:rPr>
        <w:t>hotels</w:t>
      </w:r>
      <w:r>
        <w:rPr>
          <w:spacing w:val="-3"/>
          <w:sz w:val="24"/>
        </w:rPr>
        <w:t> </w:t>
      </w:r>
      <w:r>
        <w:rPr>
          <w:sz w:val="24"/>
        </w:rPr>
        <w:t>and</w:t>
      </w:r>
      <w:r>
        <w:rPr>
          <w:spacing w:val="-4"/>
          <w:sz w:val="24"/>
        </w:rPr>
        <w:t> </w:t>
      </w:r>
      <w:r>
        <w:rPr>
          <w:sz w:val="24"/>
        </w:rPr>
        <w:t>major</w:t>
      </w:r>
      <w:r>
        <w:rPr>
          <w:spacing w:val="-4"/>
          <w:sz w:val="24"/>
        </w:rPr>
        <w:t> </w:t>
      </w:r>
      <w:r>
        <w:rPr>
          <w:sz w:val="24"/>
        </w:rPr>
        <w:t>office</w:t>
      </w:r>
      <w:r>
        <w:rPr>
          <w:spacing w:val="-4"/>
          <w:sz w:val="24"/>
        </w:rPr>
        <w:t> </w:t>
      </w:r>
      <w:r>
        <w:rPr>
          <w:sz w:val="24"/>
        </w:rPr>
        <w:t>buildings</w:t>
      </w:r>
      <w:r>
        <w:rPr>
          <w:spacing w:val="-3"/>
          <w:sz w:val="24"/>
        </w:rPr>
        <w:t> </w:t>
      </w:r>
      <w:r>
        <w:rPr>
          <w:sz w:val="24"/>
        </w:rPr>
        <w:t>built</w:t>
      </w:r>
      <w:r>
        <w:rPr>
          <w:spacing w:val="-4"/>
          <w:sz w:val="24"/>
        </w:rPr>
        <w:t> </w:t>
      </w:r>
      <w:r>
        <w:rPr>
          <w:sz w:val="24"/>
        </w:rPr>
        <w:t>with</w:t>
      </w:r>
      <w:r>
        <w:rPr>
          <w:spacing w:val="-4"/>
          <w:sz w:val="24"/>
        </w:rPr>
        <w:t> </w:t>
      </w:r>
      <w:r>
        <w:rPr>
          <w:sz w:val="24"/>
        </w:rPr>
        <w:t>entrances</w:t>
      </w:r>
      <w:r>
        <w:rPr>
          <w:spacing w:val="-4"/>
          <w:sz w:val="24"/>
        </w:rPr>
        <w:t> </w:t>
      </w:r>
      <w:r>
        <w:rPr>
          <w:sz w:val="24"/>
        </w:rPr>
        <w:t>at</w:t>
      </w:r>
      <w:r>
        <w:rPr>
          <w:spacing w:val="-4"/>
          <w:sz w:val="24"/>
        </w:rPr>
        <w:t> </w:t>
      </w:r>
      <w:r>
        <w:rPr>
          <w:spacing w:val="-2"/>
          <w:sz w:val="24"/>
        </w:rPr>
        <w:t>grade.</w:t>
      </w:r>
    </w:p>
    <w:p>
      <w:pPr>
        <w:pStyle w:val="ListParagraph"/>
        <w:numPr>
          <w:ilvl w:val="1"/>
          <w:numId w:val="49"/>
        </w:numPr>
        <w:tabs>
          <w:tab w:pos="1141" w:val="left" w:leader="none"/>
        </w:tabs>
        <w:spacing w:line="240" w:lineRule="auto" w:before="118" w:after="0"/>
        <w:ind w:left="1140" w:right="811" w:hanging="360"/>
        <w:jc w:val="both"/>
        <w:rPr>
          <w:sz w:val="24"/>
        </w:rPr>
      </w:pPr>
      <w:r>
        <w:rPr>
          <w:sz w:val="24"/>
        </w:rPr>
        <w:t>Large shopping centres would not be affected by lift or circulation requirements, as such features would normally be provided.</w:t>
      </w:r>
    </w:p>
    <w:p>
      <w:pPr>
        <w:pStyle w:val="ListParagraph"/>
        <w:numPr>
          <w:ilvl w:val="1"/>
          <w:numId w:val="49"/>
        </w:numPr>
        <w:tabs>
          <w:tab w:pos="1141" w:val="left" w:leader="none"/>
        </w:tabs>
        <w:spacing w:line="240" w:lineRule="auto" w:before="118" w:after="0"/>
        <w:ind w:left="1140" w:right="809" w:hanging="360"/>
        <w:jc w:val="both"/>
        <w:rPr>
          <w:sz w:val="24"/>
        </w:rPr>
      </w:pPr>
      <w:r>
        <w:rPr>
          <w:sz w:val="24"/>
        </w:rPr>
        <w:t>Costs related to revised requirements for car parking spaces are those associated with line marking and installation of bollards.</w:t>
      </w:r>
      <w:r>
        <w:rPr>
          <w:spacing w:val="40"/>
          <w:sz w:val="24"/>
        </w:rPr>
        <w:t> </w:t>
      </w:r>
      <w:r>
        <w:rPr>
          <w:sz w:val="24"/>
        </w:rPr>
        <w:t>No additional space is required by the proposal, except in day surgery or clinic carparks containing 50 or more car spaces. [This will slightly underestimate costs, however it is expected these specific instances will, in practice, be rare.]</w:t>
      </w:r>
    </w:p>
    <w:p>
      <w:pPr>
        <w:pStyle w:val="ListParagraph"/>
        <w:numPr>
          <w:ilvl w:val="1"/>
          <w:numId w:val="49"/>
        </w:numPr>
        <w:tabs>
          <w:tab w:pos="1141" w:val="left" w:leader="none"/>
        </w:tabs>
        <w:spacing w:line="240" w:lineRule="auto" w:before="118" w:after="0"/>
        <w:ind w:left="1140" w:right="811" w:hanging="360"/>
        <w:jc w:val="both"/>
        <w:rPr>
          <w:sz w:val="24"/>
        </w:rPr>
      </w:pPr>
      <w:r>
        <w:rPr>
          <w:sz w:val="24"/>
        </w:rPr>
        <w:t>Class 10b costs relate to swimming pools (with a perimeter of 40m or more) only and exclude related buildings or enclosures.</w:t>
      </w:r>
    </w:p>
    <w:p>
      <w:pPr>
        <w:pStyle w:val="ListParagraph"/>
        <w:numPr>
          <w:ilvl w:val="1"/>
          <w:numId w:val="49"/>
        </w:numPr>
        <w:tabs>
          <w:tab w:pos="1141" w:val="left" w:leader="none"/>
        </w:tabs>
        <w:spacing w:line="237" w:lineRule="auto" w:before="121" w:after="0"/>
        <w:ind w:left="1140" w:right="811" w:hanging="360"/>
        <w:jc w:val="both"/>
        <w:rPr>
          <w:sz w:val="24"/>
        </w:rPr>
      </w:pPr>
      <w:r>
        <w:rPr>
          <w:sz w:val="24"/>
        </w:rPr>
        <w:t>The cost of provision of additional wheelchair seating spaces in Class 9b buildings is based on additional floor area only and that access to such spaces would be able to be provided at no additional cost.</w:t>
      </w:r>
    </w:p>
    <w:p>
      <w:pPr>
        <w:pStyle w:val="ListParagraph"/>
        <w:numPr>
          <w:ilvl w:val="1"/>
          <w:numId w:val="49"/>
        </w:numPr>
        <w:tabs>
          <w:tab w:pos="1141" w:val="left" w:leader="none"/>
        </w:tabs>
        <w:spacing w:line="240" w:lineRule="auto" w:before="124" w:after="0"/>
        <w:ind w:left="1140" w:right="811" w:hanging="360"/>
        <w:jc w:val="both"/>
        <w:rPr>
          <w:sz w:val="24"/>
        </w:rPr>
      </w:pPr>
      <w:r>
        <w:rPr>
          <w:sz w:val="24"/>
        </w:rPr>
        <w:t>Extra costs for provision of accessible sanitary facilities in lieu of standard facilities in upgrade case studies assume that the standard facility is provided as part of proposed upgrade works.</w:t>
      </w:r>
    </w:p>
    <w:p>
      <w:pPr>
        <w:pStyle w:val="ListParagraph"/>
        <w:numPr>
          <w:ilvl w:val="1"/>
          <w:numId w:val="49"/>
        </w:numPr>
        <w:tabs>
          <w:tab w:pos="1141" w:val="left" w:leader="none"/>
        </w:tabs>
        <w:spacing w:line="240" w:lineRule="auto" w:before="118" w:after="0"/>
        <w:ind w:left="1140" w:right="812" w:hanging="360"/>
        <w:jc w:val="both"/>
        <w:rPr>
          <w:sz w:val="24"/>
        </w:rPr>
      </w:pPr>
      <w:r>
        <w:rPr>
          <w:sz w:val="24"/>
        </w:rPr>
        <w:t>Extension of hearing augmentation to large stadia is based on a simple extension of a radio transmission system.</w:t>
      </w:r>
    </w:p>
    <w:p>
      <w:pPr>
        <w:pStyle w:val="BodyText"/>
        <w:rPr>
          <w:sz w:val="26"/>
        </w:rPr>
      </w:pPr>
    </w:p>
    <w:p>
      <w:pPr>
        <w:pStyle w:val="Heading4"/>
        <w:spacing w:before="216"/>
        <w:jc w:val="left"/>
        <w:rPr>
          <w:u w:val="none"/>
        </w:rPr>
      </w:pPr>
      <w:r>
        <w:rPr>
          <w:spacing w:val="-2"/>
          <w:u w:val="none"/>
        </w:rPr>
        <w:t>Exclusions</w:t>
      </w:r>
    </w:p>
    <w:p>
      <w:pPr>
        <w:pStyle w:val="BodyText"/>
        <w:spacing w:before="9"/>
        <w:rPr>
          <w:b/>
          <w:sz w:val="20"/>
        </w:rPr>
      </w:pPr>
    </w:p>
    <w:p>
      <w:pPr>
        <w:pStyle w:val="ListParagraph"/>
        <w:numPr>
          <w:ilvl w:val="1"/>
          <w:numId w:val="49"/>
        </w:numPr>
        <w:tabs>
          <w:tab w:pos="1141" w:val="left" w:leader="none"/>
        </w:tabs>
        <w:spacing w:line="240" w:lineRule="auto" w:before="0" w:after="0"/>
        <w:ind w:left="1140" w:right="811" w:hanging="360"/>
        <w:jc w:val="both"/>
        <w:rPr>
          <w:sz w:val="24"/>
        </w:rPr>
      </w:pPr>
      <w:r>
        <w:rPr>
          <w:sz w:val="24"/>
        </w:rPr>
        <w:t>Impact of extreme site conditions such as level changes.</w:t>
      </w:r>
      <w:r>
        <w:rPr>
          <w:spacing w:val="40"/>
          <w:sz w:val="24"/>
        </w:rPr>
        <w:t> </w:t>
      </w:r>
      <w:r>
        <w:rPr>
          <w:sz w:val="24"/>
        </w:rPr>
        <w:t>While there will be some cases in which the requirements will be very difficult to accommodate as a result of site conditions, it is not possible to</w:t>
      </w:r>
      <w:r>
        <w:rPr>
          <w:spacing w:val="40"/>
          <w:sz w:val="24"/>
        </w:rPr>
        <w:t> </w:t>
      </w:r>
      <w:r>
        <w:rPr>
          <w:sz w:val="24"/>
        </w:rPr>
        <w:t>estimate the aggregate impact of such costs</w:t>
      </w:r>
      <w:r>
        <w:rPr>
          <w:sz w:val="24"/>
          <w:vertAlign w:val="superscript"/>
        </w:rPr>
        <w:t>84</w:t>
      </w:r>
      <w:r>
        <w:rPr>
          <w:sz w:val="24"/>
          <w:vertAlign w:val="baseline"/>
        </w:rPr>
        <w:t>.</w:t>
      </w:r>
    </w:p>
    <w:p>
      <w:pPr>
        <w:pStyle w:val="ListParagraph"/>
        <w:numPr>
          <w:ilvl w:val="1"/>
          <w:numId w:val="49"/>
        </w:numPr>
        <w:tabs>
          <w:tab w:pos="1141" w:val="left" w:leader="none"/>
        </w:tabs>
        <w:spacing w:line="240" w:lineRule="auto" w:before="118" w:after="0"/>
        <w:ind w:left="1139" w:right="811" w:hanging="360"/>
        <w:jc w:val="both"/>
        <w:rPr>
          <w:sz w:val="24"/>
        </w:rPr>
      </w:pPr>
      <w:r>
        <w:rPr>
          <w:sz w:val="24"/>
        </w:rPr>
        <w:t>Links between buildings (all case studies have been treated as single buildings).</w:t>
      </w:r>
      <w:r>
        <w:rPr>
          <w:spacing w:val="40"/>
          <w:sz w:val="24"/>
        </w:rPr>
        <w:t> </w:t>
      </w:r>
      <w:r>
        <w:rPr>
          <w:sz w:val="24"/>
        </w:rPr>
        <w:t>Clearly, such links where they exist would involve some additional costs and may not be feasible in some circumstances.</w:t>
      </w:r>
    </w:p>
    <w:p>
      <w:pPr>
        <w:pStyle w:val="BodyText"/>
        <w:rPr>
          <w:sz w:val="20"/>
        </w:rPr>
      </w:pPr>
    </w:p>
    <w:p>
      <w:pPr>
        <w:pStyle w:val="BodyText"/>
        <w:rPr>
          <w:sz w:val="20"/>
        </w:rPr>
      </w:pPr>
    </w:p>
    <w:p>
      <w:pPr>
        <w:pStyle w:val="BodyText"/>
        <w:rPr>
          <w:sz w:val="20"/>
        </w:rPr>
      </w:pPr>
    </w:p>
    <w:p>
      <w:pPr>
        <w:pStyle w:val="BodyText"/>
        <w:spacing w:before="9"/>
        <w:rPr>
          <w:sz w:val="14"/>
        </w:rPr>
      </w:pPr>
      <w:r>
        <w:rPr/>
        <w:pict>
          <v:rect style="position:absolute;margin-left:90pt;margin-top:9.747363pt;width:144pt;height:.6pt;mso-position-horizontal-relative:page;mso-position-vertical-relative:paragraph;z-index:-15694336;mso-wrap-distance-left:0;mso-wrap-distance-right:0" id="docshape82" filled="true" fillcolor="#000000" stroked="false">
            <v:fill type="solid"/>
            <w10:wrap type="topAndBottom"/>
          </v:rect>
        </w:pict>
      </w:r>
    </w:p>
    <w:p>
      <w:pPr>
        <w:pStyle w:val="BodyText"/>
        <w:spacing w:before="1"/>
        <w:rPr>
          <w:sz w:val="9"/>
        </w:rPr>
      </w:pPr>
    </w:p>
    <w:p>
      <w:pPr>
        <w:spacing w:before="118"/>
        <w:ind w:left="419" w:right="918" w:firstLine="0"/>
        <w:jc w:val="left"/>
        <w:rPr>
          <w:sz w:val="20"/>
        </w:rPr>
      </w:pPr>
      <w:r>
        <w:rPr>
          <w:rFonts w:ascii="Times New Roman"/>
          <w:sz w:val="20"/>
          <w:vertAlign w:val="superscript"/>
        </w:rPr>
        <w:t>84</w:t>
      </w:r>
      <w:r>
        <w:rPr>
          <w:rFonts w:ascii="Times New Roman"/>
          <w:sz w:val="20"/>
          <w:vertAlign w:val="baseline"/>
        </w:rPr>
        <w:t> </w:t>
      </w:r>
      <w:r>
        <w:rPr>
          <w:sz w:val="20"/>
          <w:vertAlign w:val="baseline"/>
        </w:rPr>
        <w:t>Such issues may be especially important in hilly areas of CBDs where the provision of increased entrances suitable for persons with a disability could be impracticable and the attempt to do so (or the alternative of closing off existing entrances to remove the need to have</w:t>
      </w:r>
      <w:r>
        <w:rPr>
          <w:spacing w:val="-3"/>
          <w:sz w:val="20"/>
          <w:vertAlign w:val="baseline"/>
        </w:rPr>
        <w:t> </w:t>
      </w:r>
      <w:r>
        <w:rPr>
          <w:sz w:val="20"/>
          <w:vertAlign w:val="baseline"/>
        </w:rPr>
        <w:t>additional</w:t>
      </w:r>
      <w:r>
        <w:rPr>
          <w:spacing w:val="-3"/>
          <w:sz w:val="20"/>
          <w:vertAlign w:val="baseline"/>
        </w:rPr>
        <w:t> </w:t>
      </w:r>
      <w:r>
        <w:rPr>
          <w:sz w:val="20"/>
          <w:vertAlign w:val="baseline"/>
        </w:rPr>
        <w:t>facilities)</w:t>
      </w:r>
      <w:r>
        <w:rPr>
          <w:spacing w:val="-3"/>
          <w:sz w:val="20"/>
          <w:vertAlign w:val="baseline"/>
        </w:rPr>
        <w:t> </w:t>
      </w:r>
      <w:r>
        <w:rPr>
          <w:sz w:val="20"/>
          <w:vertAlign w:val="baseline"/>
        </w:rPr>
        <w:t>can</w:t>
      </w:r>
      <w:r>
        <w:rPr>
          <w:spacing w:val="-3"/>
          <w:sz w:val="20"/>
          <w:vertAlign w:val="baseline"/>
        </w:rPr>
        <w:t> </w:t>
      </w:r>
      <w:r>
        <w:rPr>
          <w:sz w:val="20"/>
          <w:vertAlign w:val="baseline"/>
        </w:rPr>
        <w:t>adversely</w:t>
      </w:r>
      <w:r>
        <w:rPr>
          <w:spacing w:val="-4"/>
          <w:sz w:val="20"/>
          <w:vertAlign w:val="baseline"/>
        </w:rPr>
        <w:t> </w:t>
      </w:r>
      <w:r>
        <w:rPr>
          <w:sz w:val="20"/>
          <w:vertAlign w:val="baseline"/>
        </w:rPr>
        <w:t>effect</w:t>
      </w:r>
      <w:r>
        <w:rPr>
          <w:spacing w:val="-3"/>
          <w:sz w:val="20"/>
          <w:vertAlign w:val="baseline"/>
        </w:rPr>
        <w:t> </w:t>
      </w:r>
      <w:r>
        <w:rPr>
          <w:sz w:val="20"/>
          <w:vertAlign w:val="baseline"/>
        </w:rPr>
        <w:t>circulation</w:t>
      </w:r>
      <w:r>
        <w:rPr>
          <w:spacing w:val="-3"/>
          <w:sz w:val="20"/>
          <w:vertAlign w:val="baseline"/>
        </w:rPr>
        <w:t> </w:t>
      </w:r>
      <w:r>
        <w:rPr>
          <w:sz w:val="20"/>
          <w:vertAlign w:val="baseline"/>
        </w:rPr>
        <w:t>within</w:t>
      </w:r>
      <w:r>
        <w:rPr>
          <w:spacing w:val="-3"/>
          <w:sz w:val="20"/>
          <w:vertAlign w:val="baseline"/>
        </w:rPr>
        <w:t> </w:t>
      </w:r>
      <w:r>
        <w:rPr>
          <w:sz w:val="20"/>
          <w:vertAlign w:val="baseline"/>
        </w:rPr>
        <w:t>the</w:t>
      </w:r>
      <w:r>
        <w:rPr>
          <w:spacing w:val="-4"/>
          <w:sz w:val="20"/>
          <w:vertAlign w:val="baseline"/>
        </w:rPr>
        <w:t> </w:t>
      </w:r>
      <w:r>
        <w:rPr>
          <w:sz w:val="20"/>
          <w:vertAlign w:val="baseline"/>
        </w:rPr>
        <w:t>area,</w:t>
      </w:r>
      <w:r>
        <w:rPr>
          <w:spacing w:val="-3"/>
          <w:sz w:val="20"/>
          <w:vertAlign w:val="baseline"/>
        </w:rPr>
        <w:t> </w:t>
      </w:r>
      <w:r>
        <w:rPr>
          <w:sz w:val="20"/>
          <w:vertAlign w:val="baseline"/>
        </w:rPr>
        <w:t>thereby</w:t>
      </w:r>
      <w:r>
        <w:rPr>
          <w:spacing w:val="-5"/>
          <w:sz w:val="20"/>
          <w:vertAlign w:val="baseline"/>
        </w:rPr>
        <w:t> </w:t>
      </w:r>
      <w:r>
        <w:rPr>
          <w:sz w:val="20"/>
          <w:vertAlign w:val="baseline"/>
        </w:rPr>
        <w:t>reducing</w:t>
      </w:r>
      <w:r>
        <w:rPr>
          <w:spacing w:val="-3"/>
          <w:sz w:val="20"/>
          <w:vertAlign w:val="baseline"/>
        </w:rPr>
        <w:t> </w:t>
      </w:r>
      <w:r>
        <w:rPr>
          <w:sz w:val="20"/>
          <w:vertAlign w:val="baseline"/>
        </w:rPr>
        <w:t>its </w:t>
      </w:r>
      <w:r>
        <w:rPr>
          <w:spacing w:val="-2"/>
          <w:sz w:val="20"/>
          <w:vertAlign w:val="baseline"/>
        </w:rPr>
        <w:t>value.</w:t>
      </w:r>
    </w:p>
    <w:p>
      <w:pPr>
        <w:spacing w:after="0"/>
        <w:jc w:val="left"/>
        <w:rPr>
          <w:sz w:val="20"/>
        </w:rPr>
        <w:sectPr>
          <w:pgSz w:w="11900" w:h="16840"/>
          <w:pgMar w:header="0" w:footer="1130" w:top="1000" w:bottom="1320" w:left="1380" w:right="980"/>
        </w:sectPr>
      </w:pPr>
    </w:p>
    <w:p>
      <w:pPr>
        <w:pStyle w:val="ListParagraph"/>
        <w:numPr>
          <w:ilvl w:val="1"/>
          <w:numId w:val="49"/>
        </w:numPr>
        <w:tabs>
          <w:tab w:pos="1140" w:val="left" w:leader="none"/>
        </w:tabs>
        <w:spacing w:line="240" w:lineRule="auto" w:before="76" w:after="0"/>
        <w:ind w:left="1139" w:right="811" w:hanging="360"/>
        <w:jc w:val="both"/>
        <w:rPr>
          <w:sz w:val="24"/>
        </w:rPr>
      </w:pPr>
      <w:r>
        <w:rPr>
          <w:sz w:val="24"/>
        </w:rPr>
        <w:t>Regional costs. No information has been found to suggest that Australia-wide costs diverge substantially from the Victorian-based costs used in the estimations contained in the RIS.</w:t>
      </w:r>
      <w:r>
        <w:rPr>
          <w:spacing w:val="40"/>
          <w:sz w:val="24"/>
        </w:rPr>
        <w:t> </w:t>
      </w:r>
      <w:r>
        <w:rPr>
          <w:sz w:val="24"/>
        </w:rPr>
        <w:t>Nor is there any information to suggest particularly substantial cost variations in any specific regional centre(s).</w:t>
      </w:r>
    </w:p>
    <w:p>
      <w:pPr>
        <w:pStyle w:val="ListParagraph"/>
        <w:numPr>
          <w:ilvl w:val="1"/>
          <w:numId w:val="49"/>
        </w:numPr>
        <w:tabs>
          <w:tab w:pos="1141" w:val="left" w:leader="none"/>
        </w:tabs>
        <w:spacing w:line="237" w:lineRule="auto" w:before="121" w:after="0"/>
        <w:ind w:left="1139" w:right="814" w:hanging="360"/>
        <w:jc w:val="both"/>
        <w:rPr>
          <w:sz w:val="24"/>
        </w:rPr>
      </w:pPr>
      <w:r>
        <w:rPr>
          <w:sz w:val="24"/>
        </w:rPr>
        <w:t>Design and documentation fees.</w:t>
      </w:r>
      <w:r>
        <w:rPr>
          <w:spacing w:val="40"/>
          <w:sz w:val="24"/>
        </w:rPr>
        <w:t> </w:t>
      </w:r>
      <w:r>
        <w:rPr>
          <w:sz w:val="24"/>
        </w:rPr>
        <w:t>These costs are implicitly included within aggregate costs.</w:t>
      </w:r>
    </w:p>
    <w:p>
      <w:pPr>
        <w:pStyle w:val="ListParagraph"/>
        <w:numPr>
          <w:ilvl w:val="1"/>
          <w:numId w:val="49"/>
        </w:numPr>
        <w:tabs>
          <w:tab w:pos="1141" w:val="left" w:leader="none"/>
        </w:tabs>
        <w:spacing w:line="240" w:lineRule="auto" w:before="121" w:after="0"/>
        <w:ind w:left="1140" w:right="0" w:hanging="362"/>
        <w:jc w:val="both"/>
        <w:rPr>
          <w:sz w:val="24"/>
        </w:rPr>
      </w:pPr>
      <w:r>
        <w:rPr>
          <w:sz w:val="24"/>
        </w:rPr>
        <w:t>GST.</w:t>
      </w:r>
      <w:r>
        <w:rPr>
          <w:spacing w:val="63"/>
          <w:sz w:val="24"/>
        </w:rPr>
        <w:t> </w:t>
      </w:r>
      <w:r>
        <w:rPr>
          <w:sz w:val="24"/>
        </w:rPr>
        <w:t>This</w:t>
      </w:r>
      <w:r>
        <w:rPr>
          <w:spacing w:val="-1"/>
          <w:sz w:val="24"/>
        </w:rPr>
        <w:t> </w:t>
      </w:r>
      <w:r>
        <w:rPr>
          <w:sz w:val="24"/>
        </w:rPr>
        <w:t>is</w:t>
      </w:r>
      <w:r>
        <w:rPr>
          <w:spacing w:val="-2"/>
          <w:sz w:val="24"/>
        </w:rPr>
        <w:t> </w:t>
      </w:r>
      <w:r>
        <w:rPr>
          <w:sz w:val="24"/>
        </w:rPr>
        <w:t>a</w:t>
      </w:r>
      <w:r>
        <w:rPr>
          <w:spacing w:val="-1"/>
          <w:sz w:val="24"/>
        </w:rPr>
        <w:t> </w:t>
      </w:r>
      <w:r>
        <w:rPr>
          <w:sz w:val="24"/>
        </w:rPr>
        <w:t>transfer,</w:t>
      </w:r>
      <w:r>
        <w:rPr>
          <w:spacing w:val="-4"/>
          <w:sz w:val="24"/>
        </w:rPr>
        <w:t> </w:t>
      </w:r>
      <w:r>
        <w:rPr>
          <w:sz w:val="24"/>
        </w:rPr>
        <w:t>rather</w:t>
      </w:r>
      <w:r>
        <w:rPr>
          <w:spacing w:val="-1"/>
          <w:sz w:val="24"/>
        </w:rPr>
        <w:t> </w:t>
      </w:r>
      <w:r>
        <w:rPr>
          <w:sz w:val="24"/>
        </w:rPr>
        <w:t>than</w:t>
      </w:r>
      <w:r>
        <w:rPr>
          <w:spacing w:val="-2"/>
          <w:sz w:val="24"/>
        </w:rPr>
        <w:t> </w:t>
      </w:r>
      <w:r>
        <w:rPr>
          <w:sz w:val="24"/>
        </w:rPr>
        <w:t>an</w:t>
      </w:r>
      <w:r>
        <w:rPr>
          <w:spacing w:val="-1"/>
          <w:sz w:val="24"/>
        </w:rPr>
        <w:t> </w:t>
      </w:r>
      <w:r>
        <w:rPr>
          <w:sz w:val="24"/>
        </w:rPr>
        <w:t>economic</w:t>
      </w:r>
      <w:r>
        <w:rPr>
          <w:spacing w:val="-2"/>
          <w:sz w:val="24"/>
        </w:rPr>
        <w:t> cost.</w:t>
      </w:r>
    </w:p>
    <w:p>
      <w:pPr>
        <w:pStyle w:val="BodyText"/>
        <w:rPr>
          <w:sz w:val="28"/>
        </w:rPr>
      </w:pPr>
    </w:p>
    <w:p>
      <w:pPr>
        <w:pStyle w:val="Heading4"/>
        <w:spacing w:before="170"/>
        <w:jc w:val="left"/>
        <w:rPr>
          <w:u w:val="none"/>
        </w:rPr>
      </w:pPr>
      <w:r>
        <w:rPr>
          <w:u w:val="none"/>
        </w:rPr>
        <w:t>STANDARD</w:t>
      </w:r>
      <w:r>
        <w:rPr>
          <w:spacing w:val="-8"/>
          <w:u w:val="none"/>
        </w:rPr>
        <w:t> </w:t>
      </w:r>
      <w:r>
        <w:rPr>
          <w:u w:val="none"/>
        </w:rPr>
        <w:t>RATES</w:t>
      </w:r>
      <w:r>
        <w:rPr>
          <w:spacing w:val="-8"/>
          <w:u w:val="none"/>
        </w:rPr>
        <w:t> </w:t>
      </w:r>
      <w:r>
        <w:rPr>
          <w:u w:val="none"/>
        </w:rPr>
        <w:t>ADOPTED</w:t>
      </w:r>
      <w:r>
        <w:rPr>
          <w:spacing w:val="-7"/>
          <w:u w:val="none"/>
        </w:rPr>
        <w:t> </w:t>
      </w:r>
      <w:r>
        <w:rPr>
          <w:u w:val="none"/>
        </w:rPr>
        <w:t>FOR</w:t>
      </w:r>
      <w:r>
        <w:rPr>
          <w:spacing w:val="-8"/>
          <w:u w:val="none"/>
        </w:rPr>
        <w:t> </w:t>
      </w:r>
      <w:r>
        <w:rPr>
          <w:u w:val="none"/>
        </w:rPr>
        <w:t>CASE</w:t>
      </w:r>
      <w:r>
        <w:rPr>
          <w:spacing w:val="-8"/>
          <w:u w:val="none"/>
        </w:rPr>
        <w:t> </w:t>
      </w:r>
      <w:r>
        <w:rPr>
          <w:spacing w:val="-2"/>
          <w:u w:val="none"/>
        </w:rPr>
        <w:t>STUDIES</w:t>
      </w:r>
    </w:p>
    <w:p>
      <w:pPr>
        <w:pStyle w:val="BodyText"/>
        <w:spacing w:before="6" w:after="1"/>
        <w:rPr>
          <w:b/>
          <w:sz w:val="10"/>
        </w:rPr>
      </w:pPr>
    </w:p>
    <w:tbl>
      <w:tblPr>
        <w:tblW w:w="0" w:type="auto"/>
        <w:jc w:val="left"/>
        <w:tblInd w:w="3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050"/>
        <w:gridCol w:w="1440"/>
      </w:tblGrid>
      <w:tr>
        <w:trPr>
          <w:trHeight w:val="515" w:hRule="atLeast"/>
        </w:trPr>
        <w:tc>
          <w:tcPr>
            <w:tcW w:w="7050" w:type="dxa"/>
            <w:tcBorders>
              <w:bottom w:val="single" w:sz="6" w:space="0" w:color="000000"/>
            </w:tcBorders>
          </w:tcPr>
          <w:p>
            <w:pPr>
              <w:pStyle w:val="TableParagraph"/>
              <w:spacing w:before="118"/>
              <w:ind w:left="3391" w:right="3135"/>
              <w:jc w:val="center"/>
              <w:rPr>
                <w:b/>
                <w:i/>
                <w:sz w:val="24"/>
              </w:rPr>
            </w:pPr>
            <w:r>
              <w:rPr>
                <w:b/>
                <w:i/>
                <w:spacing w:val="-4"/>
                <w:sz w:val="24"/>
              </w:rPr>
              <w:t>Item</w:t>
            </w:r>
          </w:p>
        </w:tc>
        <w:tc>
          <w:tcPr>
            <w:tcW w:w="1440" w:type="dxa"/>
            <w:tcBorders>
              <w:bottom w:val="single" w:sz="6" w:space="0" w:color="000000"/>
            </w:tcBorders>
          </w:tcPr>
          <w:p>
            <w:pPr>
              <w:pStyle w:val="TableParagraph"/>
              <w:spacing w:before="118"/>
              <w:ind w:left="212"/>
              <w:rPr>
                <w:b/>
                <w:i/>
                <w:sz w:val="24"/>
              </w:rPr>
            </w:pPr>
            <w:r>
              <w:rPr>
                <w:b/>
                <w:i/>
                <w:sz w:val="24"/>
              </w:rPr>
              <w:t>$</w:t>
            </w:r>
            <w:r>
              <w:rPr>
                <w:b/>
                <w:i/>
                <w:spacing w:val="-1"/>
                <w:sz w:val="24"/>
              </w:rPr>
              <w:t> </w:t>
            </w:r>
            <w:r>
              <w:rPr>
                <w:b/>
                <w:i/>
                <w:sz w:val="24"/>
              </w:rPr>
              <w:t>/</w:t>
            </w:r>
            <w:r>
              <w:rPr>
                <w:b/>
                <w:i/>
                <w:spacing w:val="-1"/>
                <w:sz w:val="24"/>
              </w:rPr>
              <w:t> </w:t>
            </w:r>
            <w:r>
              <w:rPr>
                <w:b/>
                <w:i/>
                <w:spacing w:val="-4"/>
                <w:sz w:val="24"/>
              </w:rPr>
              <w:t>EACH</w:t>
            </w:r>
          </w:p>
        </w:tc>
      </w:tr>
      <w:tr>
        <w:trPr>
          <w:trHeight w:val="516" w:hRule="atLeast"/>
        </w:trPr>
        <w:tc>
          <w:tcPr>
            <w:tcW w:w="7050" w:type="dxa"/>
            <w:tcBorders>
              <w:top w:val="single" w:sz="6" w:space="0" w:color="000000"/>
            </w:tcBorders>
          </w:tcPr>
          <w:p>
            <w:pPr>
              <w:pStyle w:val="TableParagraph"/>
              <w:spacing w:before="119"/>
              <w:ind w:left="29"/>
              <w:rPr>
                <w:i/>
                <w:sz w:val="24"/>
              </w:rPr>
            </w:pPr>
            <w:r>
              <w:rPr>
                <w:i/>
                <w:sz w:val="24"/>
              </w:rPr>
              <w:t>Accessway</w:t>
            </w:r>
            <w:r>
              <w:rPr>
                <w:i/>
                <w:spacing w:val="-6"/>
                <w:sz w:val="24"/>
              </w:rPr>
              <w:t> </w:t>
            </w:r>
            <w:r>
              <w:rPr>
                <w:i/>
                <w:sz w:val="24"/>
              </w:rPr>
              <w:t>Requirements</w:t>
            </w:r>
            <w:r>
              <w:rPr>
                <w:i/>
                <w:spacing w:val="-6"/>
                <w:sz w:val="24"/>
              </w:rPr>
              <w:t> </w:t>
            </w:r>
            <w:r>
              <w:rPr>
                <w:i/>
                <w:sz w:val="24"/>
              </w:rPr>
              <w:t>-</w:t>
            </w:r>
            <w:r>
              <w:rPr>
                <w:i/>
                <w:spacing w:val="-6"/>
                <w:sz w:val="24"/>
              </w:rPr>
              <w:t> </w:t>
            </w:r>
            <w:r>
              <w:rPr>
                <w:i/>
                <w:spacing w:val="-2"/>
                <w:sz w:val="24"/>
              </w:rPr>
              <w:t>Ramps</w:t>
            </w:r>
          </w:p>
        </w:tc>
        <w:tc>
          <w:tcPr>
            <w:tcW w:w="1440" w:type="dxa"/>
            <w:tcBorders>
              <w:top w:val="single" w:sz="6" w:space="0" w:color="000000"/>
            </w:tcBorders>
          </w:tcPr>
          <w:p>
            <w:pPr>
              <w:pStyle w:val="TableParagraph"/>
              <w:rPr>
                <w:rFonts w:ascii="Times New Roman"/>
                <w:sz w:val="24"/>
              </w:rPr>
            </w:pPr>
          </w:p>
        </w:tc>
      </w:tr>
      <w:tr>
        <w:trPr>
          <w:trHeight w:val="791" w:hRule="atLeast"/>
        </w:trPr>
        <w:tc>
          <w:tcPr>
            <w:tcW w:w="7050" w:type="dxa"/>
          </w:tcPr>
          <w:p>
            <w:pPr>
              <w:pStyle w:val="TableParagraph"/>
              <w:spacing w:before="118"/>
              <w:ind w:left="284"/>
              <w:rPr>
                <w:i/>
                <w:sz w:val="24"/>
              </w:rPr>
            </w:pPr>
            <w:r>
              <w:rPr>
                <w:i/>
                <w:sz w:val="24"/>
              </w:rPr>
              <w:t>Typical</w:t>
            </w:r>
            <w:r>
              <w:rPr>
                <w:i/>
                <w:spacing w:val="-6"/>
                <w:sz w:val="24"/>
              </w:rPr>
              <w:t> </w:t>
            </w:r>
            <w:r>
              <w:rPr>
                <w:i/>
                <w:sz w:val="24"/>
              </w:rPr>
              <w:t>Ramps</w:t>
            </w:r>
            <w:r>
              <w:rPr>
                <w:i/>
                <w:spacing w:val="-7"/>
                <w:sz w:val="24"/>
              </w:rPr>
              <w:t> </w:t>
            </w:r>
            <w:r>
              <w:rPr>
                <w:i/>
                <w:sz w:val="24"/>
              </w:rPr>
              <w:t>to</w:t>
            </w:r>
            <w:r>
              <w:rPr>
                <w:i/>
                <w:spacing w:val="-7"/>
                <w:sz w:val="24"/>
              </w:rPr>
              <w:t> </w:t>
            </w:r>
            <w:r>
              <w:rPr>
                <w:i/>
                <w:sz w:val="24"/>
              </w:rPr>
              <w:t>entries,</w:t>
            </w:r>
            <w:r>
              <w:rPr>
                <w:i/>
                <w:spacing w:val="-6"/>
                <w:sz w:val="24"/>
              </w:rPr>
              <w:t> </w:t>
            </w:r>
            <w:r>
              <w:rPr>
                <w:i/>
                <w:sz w:val="24"/>
              </w:rPr>
              <w:t>including</w:t>
            </w:r>
            <w:r>
              <w:rPr>
                <w:i/>
                <w:spacing w:val="-6"/>
                <w:sz w:val="24"/>
              </w:rPr>
              <w:t> </w:t>
            </w:r>
            <w:r>
              <w:rPr>
                <w:i/>
                <w:sz w:val="24"/>
              </w:rPr>
              <w:t>landings,</w:t>
            </w:r>
            <w:r>
              <w:rPr>
                <w:i/>
                <w:spacing w:val="-6"/>
                <w:sz w:val="24"/>
              </w:rPr>
              <w:t> </w:t>
            </w:r>
            <w:r>
              <w:rPr>
                <w:i/>
                <w:sz w:val="24"/>
              </w:rPr>
              <w:t>kerbs,</w:t>
            </w:r>
            <w:r>
              <w:rPr>
                <w:i/>
                <w:spacing w:val="-6"/>
                <w:sz w:val="24"/>
              </w:rPr>
              <w:t> </w:t>
            </w:r>
            <w:r>
              <w:rPr>
                <w:i/>
                <w:sz w:val="24"/>
              </w:rPr>
              <w:t>handrails</w:t>
            </w:r>
            <w:r>
              <w:rPr>
                <w:i/>
                <w:sz w:val="24"/>
              </w:rPr>
              <w:t> and tactile paving (Base rates):</w:t>
            </w:r>
          </w:p>
        </w:tc>
        <w:tc>
          <w:tcPr>
            <w:tcW w:w="1440" w:type="dxa"/>
          </w:tcPr>
          <w:p>
            <w:pPr>
              <w:pStyle w:val="TableParagraph"/>
              <w:rPr>
                <w:rFonts w:ascii="Times New Roman"/>
                <w:sz w:val="24"/>
              </w:rPr>
            </w:pPr>
          </w:p>
        </w:tc>
      </w:tr>
      <w:tr>
        <w:trPr>
          <w:trHeight w:val="515" w:hRule="atLeast"/>
        </w:trPr>
        <w:tc>
          <w:tcPr>
            <w:tcW w:w="7050" w:type="dxa"/>
          </w:tcPr>
          <w:p>
            <w:pPr>
              <w:pStyle w:val="TableParagraph"/>
              <w:spacing w:before="116"/>
              <w:ind w:left="284"/>
              <w:rPr>
                <w:sz w:val="24"/>
              </w:rPr>
            </w:pPr>
            <w:r>
              <w:rPr>
                <w:sz w:val="24"/>
              </w:rPr>
              <w:t>Ramps</w:t>
            </w:r>
            <w:r>
              <w:rPr>
                <w:spacing w:val="-8"/>
                <w:sz w:val="24"/>
              </w:rPr>
              <w:t> </w:t>
            </w:r>
            <w:r>
              <w:rPr>
                <w:sz w:val="24"/>
              </w:rPr>
              <w:t>to</w:t>
            </w:r>
            <w:r>
              <w:rPr>
                <w:spacing w:val="-8"/>
                <w:sz w:val="24"/>
              </w:rPr>
              <w:t> </w:t>
            </w:r>
            <w:r>
              <w:rPr>
                <w:sz w:val="24"/>
              </w:rPr>
              <w:t>Class</w:t>
            </w:r>
            <w:r>
              <w:rPr>
                <w:spacing w:val="-8"/>
                <w:sz w:val="24"/>
              </w:rPr>
              <w:t> </w:t>
            </w:r>
            <w:r>
              <w:rPr>
                <w:sz w:val="24"/>
              </w:rPr>
              <w:t>1b</w:t>
            </w:r>
            <w:r>
              <w:rPr>
                <w:spacing w:val="-7"/>
                <w:sz w:val="24"/>
              </w:rPr>
              <w:t> </w:t>
            </w:r>
            <w:r>
              <w:rPr>
                <w:spacing w:val="-2"/>
                <w:sz w:val="24"/>
              </w:rPr>
              <w:t>(new)</w:t>
            </w:r>
          </w:p>
        </w:tc>
        <w:tc>
          <w:tcPr>
            <w:tcW w:w="1440" w:type="dxa"/>
          </w:tcPr>
          <w:p>
            <w:pPr>
              <w:pStyle w:val="TableParagraph"/>
              <w:spacing w:before="116"/>
              <w:ind w:right="23"/>
              <w:jc w:val="right"/>
              <w:rPr>
                <w:sz w:val="24"/>
              </w:rPr>
            </w:pPr>
            <w:r>
              <w:rPr>
                <w:spacing w:val="-2"/>
                <w:sz w:val="24"/>
              </w:rPr>
              <w:t>2,200</w:t>
            </w:r>
          </w:p>
        </w:tc>
      </w:tr>
      <w:tr>
        <w:trPr>
          <w:trHeight w:val="515" w:hRule="atLeast"/>
        </w:trPr>
        <w:tc>
          <w:tcPr>
            <w:tcW w:w="7050" w:type="dxa"/>
          </w:tcPr>
          <w:p>
            <w:pPr>
              <w:pStyle w:val="TableParagraph"/>
              <w:spacing w:before="116"/>
              <w:ind w:left="284"/>
              <w:rPr>
                <w:sz w:val="24"/>
              </w:rPr>
            </w:pPr>
            <w:r>
              <w:rPr>
                <w:sz w:val="24"/>
              </w:rPr>
              <w:t>Ramps</w:t>
            </w:r>
            <w:r>
              <w:rPr>
                <w:spacing w:val="-8"/>
                <w:sz w:val="24"/>
              </w:rPr>
              <w:t> </w:t>
            </w:r>
            <w:r>
              <w:rPr>
                <w:sz w:val="24"/>
              </w:rPr>
              <w:t>to</w:t>
            </w:r>
            <w:r>
              <w:rPr>
                <w:spacing w:val="-8"/>
                <w:sz w:val="24"/>
              </w:rPr>
              <w:t> </w:t>
            </w:r>
            <w:r>
              <w:rPr>
                <w:sz w:val="24"/>
              </w:rPr>
              <w:t>Class</w:t>
            </w:r>
            <w:r>
              <w:rPr>
                <w:spacing w:val="-8"/>
                <w:sz w:val="24"/>
              </w:rPr>
              <w:t> </w:t>
            </w:r>
            <w:r>
              <w:rPr>
                <w:sz w:val="24"/>
              </w:rPr>
              <w:t>1b</w:t>
            </w:r>
            <w:r>
              <w:rPr>
                <w:spacing w:val="-7"/>
                <w:sz w:val="24"/>
              </w:rPr>
              <w:t> </w:t>
            </w:r>
            <w:r>
              <w:rPr>
                <w:spacing w:val="-2"/>
                <w:sz w:val="24"/>
              </w:rPr>
              <w:t>(upgrade)</w:t>
            </w:r>
          </w:p>
        </w:tc>
        <w:tc>
          <w:tcPr>
            <w:tcW w:w="1440" w:type="dxa"/>
          </w:tcPr>
          <w:p>
            <w:pPr>
              <w:pStyle w:val="TableParagraph"/>
              <w:spacing w:before="116"/>
              <w:ind w:right="23"/>
              <w:jc w:val="right"/>
              <w:rPr>
                <w:sz w:val="24"/>
              </w:rPr>
            </w:pPr>
            <w:r>
              <w:rPr>
                <w:spacing w:val="-2"/>
                <w:sz w:val="24"/>
              </w:rPr>
              <w:t>2,000</w:t>
            </w:r>
          </w:p>
        </w:tc>
      </w:tr>
      <w:tr>
        <w:trPr>
          <w:trHeight w:val="515" w:hRule="atLeast"/>
        </w:trPr>
        <w:tc>
          <w:tcPr>
            <w:tcW w:w="7050" w:type="dxa"/>
          </w:tcPr>
          <w:p>
            <w:pPr>
              <w:pStyle w:val="TableParagraph"/>
              <w:spacing w:before="116"/>
              <w:ind w:left="284"/>
              <w:rPr>
                <w:sz w:val="24"/>
              </w:rPr>
            </w:pPr>
            <w:r>
              <w:rPr>
                <w:sz w:val="24"/>
              </w:rPr>
              <w:t>Ramps</w:t>
            </w:r>
            <w:r>
              <w:rPr>
                <w:spacing w:val="-11"/>
                <w:sz w:val="24"/>
              </w:rPr>
              <w:t> </w:t>
            </w:r>
            <w:r>
              <w:rPr>
                <w:sz w:val="24"/>
              </w:rPr>
              <w:t>to</w:t>
            </w:r>
            <w:r>
              <w:rPr>
                <w:spacing w:val="-10"/>
                <w:sz w:val="24"/>
              </w:rPr>
              <w:t> </w:t>
            </w:r>
            <w:r>
              <w:rPr>
                <w:sz w:val="24"/>
              </w:rPr>
              <w:t>Class</w:t>
            </w:r>
            <w:r>
              <w:rPr>
                <w:spacing w:val="-11"/>
                <w:sz w:val="24"/>
              </w:rPr>
              <w:t> </w:t>
            </w:r>
            <w:r>
              <w:rPr>
                <w:sz w:val="24"/>
              </w:rPr>
              <w:t>5,6,7b,8</w:t>
            </w:r>
            <w:r>
              <w:rPr>
                <w:spacing w:val="-10"/>
                <w:sz w:val="24"/>
              </w:rPr>
              <w:t> </w:t>
            </w:r>
            <w:r>
              <w:rPr>
                <w:spacing w:val="-2"/>
                <w:sz w:val="24"/>
              </w:rPr>
              <w:t>(new)</w:t>
            </w:r>
          </w:p>
        </w:tc>
        <w:tc>
          <w:tcPr>
            <w:tcW w:w="1440" w:type="dxa"/>
          </w:tcPr>
          <w:p>
            <w:pPr>
              <w:pStyle w:val="TableParagraph"/>
              <w:spacing w:before="116"/>
              <w:ind w:right="23"/>
              <w:jc w:val="right"/>
              <w:rPr>
                <w:sz w:val="24"/>
              </w:rPr>
            </w:pPr>
            <w:r>
              <w:rPr>
                <w:spacing w:val="-2"/>
                <w:sz w:val="24"/>
              </w:rPr>
              <w:t>6,000</w:t>
            </w:r>
          </w:p>
        </w:tc>
      </w:tr>
      <w:tr>
        <w:trPr>
          <w:trHeight w:val="517" w:hRule="atLeast"/>
        </w:trPr>
        <w:tc>
          <w:tcPr>
            <w:tcW w:w="7050" w:type="dxa"/>
          </w:tcPr>
          <w:p>
            <w:pPr>
              <w:pStyle w:val="TableParagraph"/>
              <w:spacing w:before="118"/>
              <w:ind w:left="29"/>
              <w:rPr>
                <w:i/>
                <w:sz w:val="24"/>
              </w:rPr>
            </w:pPr>
            <w:r>
              <w:rPr>
                <w:i/>
                <w:sz w:val="24"/>
              </w:rPr>
              <w:t>Accessway</w:t>
            </w:r>
            <w:r>
              <w:rPr>
                <w:i/>
                <w:spacing w:val="-6"/>
                <w:sz w:val="24"/>
              </w:rPr>
              <w:t> </w:t>
            </w:r>
            <w:r>
              <w:rPr>
                <w:i/>
                <w:sz w:val="24"/>
              </w:rPr>
              <w:t>Requirements</w:t>
            </w:r>
            <w:r>
              <w:rPr>
                <w:i/>
                <w:spacing w:val="-6"/>
                <w:sz w:val="24"/>
              </w:rPr>
              <w:t> </w:t>
            </w:r>
            <w:r>
              <w:rPr>
                <w:i/>
                <w:sz w:val="24"/>
              </w:rPr>
              <w:t>-</w:t>
            </w:r>
            <w:r>
              <w:rPr>
                <w:i/>
                <w:spacing w:val="-6"/>
                <w:sz w:val="24"/>
              </w:rPr>
              <w:t> </w:t>
            </w:r>
            <w:r>
              <w:rPr>
                <w:i/>
                <w:spacing w:val="-2"/>
                <w:sz w:val="24"/>
              </w:rPr>
              <w:t>General</w:t>
            </w:r>
          </w:p>
        </w:tc>
        <w:tc>
          <w:tcPr>
            <w:tcW w:w="1440" w:type="dxa"/>
          </w:tcPr>
          <w:p>
            <w:pPr>
              <w:pStyle w:val="TableParagraph"/>
              <w:rPr>
                <w:rFonts w:ascii="Times New Roman"/>
                <w:sz w:val="24"/>
              </w:rPr>
            </w:pPr>
          </w:p>
        </w:tc>
      </w:tr>
      <w:tr>
        <w:trPr>
          <w:trHeight w:val="791" w:hRule="atLeast"/>
        </w:trPr>
        <w:tc>
          <w:tcPr>
            <w:tcW w:w="7050" w:type="dxa"/>
          </w:tcPr>
          <w:p>
            <w:pPr>
              <w:pStyle w:val="TableParagraph"/>
              <w:spacing w:before="116"/>
              <w:ind w:left="284" w:right="112"/>
              <w:rPr>
                <w:sz w:val="24"/>
              </w:rPr>
            </w:pPr>
            <w:r>
              <w:rPr>
                <w:sz w:val="24"/>
              </w:rPr>
              <w:t>Doorway</w:t>
            </w:r>
            <w:r>
              <w:rPr>
                <w:spacing w:val="-4"/>
                <w:sz w:val="24"/>
              </w:rPr>
              <w:t> </w:t>
            </w:r>
            <w:r>
              <w:rPr>
                <w:sz w:val="24"/>
              </w:rPr>
              <w:t>widths</w:t>
            </w:r>
            <w:r>
              <w:rPr>
                <w:spacing w:val="-4"/>
                <w:sz w:val="24"/>
              </w:rPr>
              <w:t> </w:t>
            </w:r>
            <w:r>
              <w:rPr>
                <w:sz w:val="24"/>
              </w:rPr>
              <w:t>-</w:t>
            </w:r>
            <w:r>
              <w:rPr>
                <w:spacing w:val="-4"/>
                <w:sz w:val="24"/>
              </w:rPr>
              <w:t> </w:t>
            </w:r>
            <w:r>
              <w:rPr>
                <w:sz w:val="24"/>
              </w:rPr>
              <w:t>extra</w:t>
            </w:r>
            <w:r>
              <w:rPr>
                <w:spacing w:val="-4"/>
                <w:sz w:val="24"/>
              </w:rPr>
              <w:t> </w:t>
            </w:r>
            <w:r>
              <w:rPr>
                <w:sz w:val="24"/>
              </w:rPr>
              <w:t>over</w:t>
            </w:r>
            <w:r>
              <w:rPr>
                <w:spacing w:val="-4"/>
                <w:sz w:val="24"/>
              </w:rPr>
              <w:t> </w:t>
            </w:r>
            <w:r>
              <w:rPr>
                <w:sz w:val="24"/>
              </w:rPr>
              <w:t>cost</w:t>
            </w:r>
            <w:r>
              <w:rPr>
                <w:spacing w:val="-4"/>
                <w:sz w:val="24"/>
              </w:rPr>
              <w:t> </w:t>
            </w:r>
            <w:r>
              <w:rPr>
                <w:sz w:val="24"/>
              </w:rPr>
              <w:t>of</w:t>
            </w:r>
            <w:r>
              <w:rPr>
                <w:spacing w:val="-4"/>
                <w:sz w:val="24"/>
              </w:rPr>
              <w:t> </w:t>
            </w:r>
            <w:r>
              <w:rPr>
                <w:sz w:val="24"/>
              </w:rPr>
              <w:t>standard</w:t>
            </w:r>
            <w:r>
              <w:rPr>
                <w:spacing w:val="-4"/>
                <w:sz w:val="24"/>
              </w:rPr>
              <w:t> </w:t>
            </w:r>
            <w:r>
              <w:rPr>
                <w:sz w:val="24"/>
              </w:rPr>
              <w:t>door</w:t>
            </w:r>
            <w:r>
              <w:rPr>
                <w:spacing w:val="-4"/>
                <w:sz w:val="24"/>
              </w:rPr>
              <w:t> </w:t>
            </w:r>
            <w:r>
              <w:rPr>
                <w:sz w:val="24"/>
              </w:rPr>
              <w:t>for</w:t>
            </w:r>
            <w:r>
              <w:rPr>
                <w:spacing w:val="-4"/>
                <w:sz w:val="24"/>
              </w:rPr>
              <w:t> </w:t>
            </w:r>
            <w:r>
              <w:rPr>
                <w:sz w:val="24"/>
              </w:rPr>
              <w:t>wider door leaf and frame on accessways (new building)</w:t>
            </w:r>
          </w:p>
        </w:tc>
        <w:tc>
          <w:tcPr>
            <w:tcW w:w="1440" w:type="dxa"/>
          </w:tcPr>
          <w:p>
            <w:pPr>
              <w:pStyle w:val="TableParagraph"/>
              <w:spacing w:before="1"/>
              <w:rPr>
                <w:b/>
                <w:sz w:val="22"/>
              </w:rPr>
            </w:pPr>
          </w:p>
          <w:p>
            <w:pPr>
              <w:pStyle w:val="TableParagraph"/>
              <w:ind w:right="23"/>
              <w:jc w:val="right"/>
              <w:rPr>
                <w:sz w:val="24"/>
              </w:rPr>
            </w:pPr>
            <w:r>
              <w:rPr>
                <w:spacing w:val="-5"/>
                <w:sz w:val="24"/>
              </w:rPr>
              <w:t>100</w:t>
            </w:r>
          </w:p>
        </w:tc>
      </w:tr>
      <w:tr>
        <w:trPr>
          <w:trHeight w:val="791" w:hRule="atLeast"/>
        </w:trPr>
        <w:tc>
          <w:tcPr>
            <w:tcW w:w="7050" w:type="dxa"/>
          </w:tcPr>
          <w:p>
            <w:pPr>
              <w:pStyle w:val="TableParagraph"/>
              <w:spacing w:before="116"/>
              <w:ind w:left="284"/>
              <w:rPr>
                <w:sz w:val="24"/>
              </w:rPr>
            </w:pPr>
            <w:r>
              <w:rPr>
                <w:sz w:val="24"/>
              </w:rPr>
              <w:t>Doorway</w:t>
            </w:r>
            <w:r>
              <w:rPr>
                <w:spacing w:val="-5"/>
                <w:sz w:val="24"/>
              </w:rPr>
              <w:t> </w:t>
            </w:r>
            <w:r>
              <w:rPr>
                <w:sz w:val="24"/>
              </w:rPr>
              <w:t>widths</w:t>
            </w:r>
            <w:r>
              <w:rPr>
                <w:spacing w:val="-5"/>
                <w:sz w:val="24"/>
              </w:rPr>
              <w:t> </w:t>
            </w:r>
            <w:r>
              <w:rPr>
                <w:sz w:val="24"/>
              </w:rPr>
              <w:t>-</w:t>
            </w:r>
            <w:r>
              <w:rPr>
                <w:spacing w:val="-5"/>
                <w:sz w:val="24"/>
              </w:rPr>
              <w:t> </w:t>
            </w:r>
            <w:r>
              <w:rPr>
                <w:sz w:val="24"/>
              </w:rPr>
              <w:t>remove</w:t>
            </w:r>
            <w:r>
              <w:rPr>
                <w:spacing w:val="-5"/>
                <w:sz w:val="24"/>
              </w:rPr>
              <w:t> </w:t>
            </w:r>
            <w:r>
              <w:rPr>
                <w:sz w:val="24"/>
              </w:rPr>
              <w:t>standard</w:t>
            </w:r>
            <w:r>
              <w:rPr>
                <w:spacing w:val="-5"/>
                <w:sz w:val="24"/>
              </w:rPr>
              <w:t> </w:t>
            </w:r>
            <w:r>
              <w:rPr>
                <w:sz w:val="24"/>
              </w:rPr>
              <w:t>door</w:t>
            </w:r>
            <w:r>
              <w:rPr>
                <w:spacing w:val="-5"/>
                <w:sz w:val="24"/>
              </w:rPr>
              <w:t> </w:t>
            </w:r>
            <w:r>
              <w:rPr>
                <w:sz w:val="24"/>
              </w:rPr>
              <w:t>and</w:t>
            </w:r>
            <w:r>
              <w:rPr>
                <w:spacing w:val="-5"/>
                <w:sz w:val="24"/>
              </w:rPr>
              <w:t> </w:t>
            </w:r>
            <w:r>
              <w:rPr>
                <w:sz w:val="24"/>
              </w:rPr>
              <w:t>replace</w:t>
            </w:r>
            <w:r>
              <w:rPr>
                <w:spacing w:val="-5"/>
                <w:sz w:val="24"/>
              </w:rPr>
              <w:t> </w:t>
            </w:r>
            <w:r>
              <w:rPr>
                <w:sz w:val="24"/>
              </w:rPr>
              <w:t>with</w:t>
            </w:r>
            <w:r>
              <w:rPr>
                <w:spacing w:val="-5"/>
                <w:sz w:val="24"/>
              </w:rPr>
              <w:t> </w:t>
            </w:r>
            <w:r>
              <w:rPr>
                <w:sz w:val="24"/>
              </w:rPr>
              <w:t>wider door leaf and frame on accessways (upgrade - class 1b)</w:t>
            </w:r>
          </w:p>
        </w:tc>
        <w:tc>
          <w:tcPr>
            <w:tcW w:w="1440" w:type="dxa"/>
          </w:tcPr>
          <w:p>
            <w:pPr>
              <w:pStyle w:val="TableParagraph"/>
              <w:spacing w:before="1"/>
              <w:rPr>
                <w:b/>
                <w:sz w:val="22"/>
              </w:rPr>
            </w:pPr>
          </w:p>
          <w:p>
            <w:pPr>
              <w:pStyle w:val="TableParagraph"/>
              <w:ind w:right="23"/>
              <w:jc w:val="right"/>
              <w:rPr>
                <w:sz w:val="24"/>
              </w:rPr>
            </w:pPr>
            <w:r>
              <w:rPr>
                <w:spacing w:val="-5"/>
                <w:sz w:val="24"/>
              </w:rPr>
              <w:t>900</w:t>
            </w:r>
          </w:p>
        </w:tc>
      </w:tr>
      <w:tr>
        <w:trPr>
          <w:trHeight w:val="791" w:hRule="atLeast"/>
        </w:trPr>
        <w:tc>
          <w:tcPr>
            <w:tcW w:w="7050" w:type="dxa"/>
          </w:tcPr>
          <w:p>
            <w:pPr>
              <w:pStyle w:val="TableParagraph"/>
              <w:spacing w:before="116"/>
              <w:ind w:left="284"/>
              <w:rPr>
                <w:sz w:val="24"/>
              </w:rPr>
            </w:pPr>
            <w:r>
              <w:rPr>
                <w:sz w:val="24"/>
              </w:rPr>
              <w:t>Doorway</w:t>
            </w:r>
            <w:r>
              <w:rPr>
                <w:spacing w:val="-5"/>
                <w:sz w:val="24"/>
              </w:rPr>
              <w:t> </w:t>
            </w:r>
            <w:r>
              <w:rPr>
                <w:sz w:val="24"/>
              </w:rPr>
              <w:t>widths</w:t>
            </w:r>
            <w:r>
              <w:rPr>
                <w:spacing w:val="-5"/>
                <w:sz w:val="24"/>
              </w:rPr>
              <w:t> </w:t>
            </w:r>
            <w:r>
              <w:rPr>
                <w:sz w:val="24"/>
              </w:rPr>
              <w:t>-</w:t>
            </w:r>
            <w:r>
              <w:rPr>
                <w:spacing w:val="-5"/>
                <w:sz w:val="24"/>
              </w:rPr>
              <w:t> </w:t>
            </w:r>
            <w:r>
              <w:rPr>
                <w:sz w:val="24"/>
              </w:rPr>
              <w:t>remove</w:t>
            </w:r>
            <w:r>
              <w:rPr>
                <w:spacing w:val="-5"/>
                <w:sz w:val="24"/>
              </w:rPr>
              <w:t> </w:t>
            </w:r>
            <w:r>
              <w:rPr>
                <w:sz w:val="24"/>
              </w:rPr>
              <w:t>standard</w:t>
            </w:r>
            <w:r>
              <w:rPr>
                <w:spacing w:val="-5"/>
                <w:sz w:val="24"/>
              </w:rPr>
              <w:t> </w:t>
            </w:r>
            <w:r>
              <w:rPr>
                <w:sz w:val="24"/>
              </w:rPr>
              <w:t>door</w:t>
            </w:r>
            <w:r>
              <w:rPr>
                <w:spacing w:val="-5"/>
                <w:sz w:val="24"/>
              </w:rPr>
              <w:t> </w:t>
            </w:r>
            <w:r>
              <w:rPr>
                <w:sz w:val="24"/>
              </w:rPr>
              <w:t>and</w:t>
            </w:r>
            <w:r>
              <w:rPr>
                <w:spacing w:val="-5"/>
                <w:sz w:val="24"/>
              </w:rPr>
              <w:t> </w:t>
            </w:r>
            <w:r>
              <w:rPr>
                <w:sz w:val="24"/>
              </w:rPr>
              <w:t>replace</w:t>
            </w:r>
            <w:r>
              <w:rPr>
                <w:spacing w:val="-5"/>
                <w:sz w:val="24"/>
              </w:rPr>
              <w:t> </w:t>
            </w:r>
            <w:r>
              <w:rPr>
                <w:sz w:val="24"/>
              </w:rPr>
              <w:t>with</w:t>
            </w:r>
            <w:r>
              <w:rPr>
                <w:spacing w:val="-5"/>
                <w:sz w:val="24"/>
              </w:rPr>
              <w:t> </w:t>
            </w:r>
            <w:r>
              <w:rPr>
                <w:sz w:val="24"/>
              </w:rPr>
              <w:t>wider door leaf and frame on accessways (upgrade - class 3)</w:t>
            </w:r>
          </w:p>
        </w:tc>
        <w:tc>
          <w:tcPr>
            <w:tcW w:w="1440" w:type="dxa"/>
          </w:tcPr>
          <w:p>
            <w:pPr>
              <w:pStyle w:val="TableParagraph"/>
              <w:spacing w:before="1"/>
              <w:rPr>
                <w:b/>
                <w:sz w:val="22"/>
              </w:rPr>
            </w:pPr>
          </w:p>
          <w:p>
            <w:pPr>
              <w:pStyle w:val="TableParagraph"/>
              <w:ind w:right="23"/>
              <w:jc w:val="right"/>
              <w:rPr>
                <w:sz w:val="24"/>
              </w:rPr>
            </w:pPr>
            <w:r>
              <w:rPr>
                <w:spacing w:val="-2"/>
                <w:sz w:val="24"/>
              </w:rPr>
              <w:t>1,500</w:t>
            </w:r>
          </w:p>
        </w:tc>
      </w:tr>
      <w:tr>
        <w:trPr>
          <w:trHeight w:val="791" w:hRule="atLeast"/>
        </w:trPr>
        <w:tc>
          <w:tcPr>
            <w:tcW w:w="7050" w:type="dxa"/>
          </w:tcPr>
          <w:p>
            <w:pPr>
              <w:pStyle w:val="TableParagraph"/>
              <w:spacing w:before="116"/>
              <w:ind w:left="284"/>
              <w:rPr>
                <w:sz w:val="24"/>
              </w:rPr>
            </w:pPr>
            <w:r>
              <w:rPr>
                <w:sz w:val="24"/>
              </w:rPr>
              <w:t>Doorway</w:t>
            </w:r>
            <w:r>
              <w:rPr>
                <w:spacing w:val="-5"/>
                <w:sz w:val="24"/>
              </w:rPr>
              <w:t> </w:t>
            </w:r>
            <w:r>
              <w:rPr>
                <w:sz w:val="24"/>
              </w:rPr>
              <w:t>widths</w:t>
            </w:r>
            <w:r>
              <w:rPr>
                <w:spacing w:val="-5"/>
                <w:sz w:val="24"/>
              </w:rPr>
              <w:t> </w:t>
            </w:r>
            <w:r>
              <w:rPr>
                <w:sz w:val="24"/>
              </w:rPr>
              <w:t>-</w:t>
            </w:r>
            <w:r>
              <w:rPr>
                <w:spacing w:val="-5"/>
                <w:sz w:val="24"/>
              </w:rPr>
              <w:t> </w:t>
            </w:r>
            <w:r>
              <w:rPr>
                <w:sz w:val="24"/>
              </w:rPr>
              <w:t>remove</w:t>
            </w:r>
            <w:r>
              <w:rPr>
                <w:spacing w:val="-5"/>
                <w:sz w:val="24"/>
              </w:rPr>
              <w:t> </w:t>
            </w:r>
            <w:r>
              <w:rPr>
                <w:sz w:val="24"/>
              </w:rPr>
              <w:t>standard</w:t>
            </w:r>
            <w:r>
              <w:rPr>
                <w:spacing w:val="-5"/>
                <w:sz w:val="24"/>
              </w:rPr>
              <w:t> </w:t>
            </w:r>
            <w:r>
              <w:rPr>
                <w:sz w:val="24"/>
              </w:rPr>
              <w:t>door</w:t>
            </w:r>
            <w:r>
              <w:rPr>
                <w:spacing w:val="-5"/>
                <w:sz w:val="24"/>
              </w:rPr>
              <w:t> </w:t>
            </w:r>
            <w:r>
              <w:rPr>
                <w:sz w:val="24"/>
              </w:rPr>
              <w:t>and</w:t>
            </w:r>
            <w:r>
              <w:rPr>
                <w:spacing w:val="-5"/>
                <w:sz w:val="24"/>
              </w:rPr>
              <w:t> </w:t>
            </w:r>
            <w:r>
              <w:rPr>
                <w:sz w:val="24"/>
              </w:rPr>
              <w:t>replace</w:t>
            </w:r>
            <w:r>
              <w:rPr>
                <w:spacing w:val="-5"/>
                <w:sz w:val="24"/>
              </w:rPr>
              <w:t> </w:t>
            </w:r>
            <w:r>
              <w:rPr>
                <w:sz w:val="24"/>
              </w:rPr>
              <w:t>with</w:t>
            </w:r>
            <w:r>
              <w:rPr>
                <w:spacing w:val="-5"/>
                <w:sz w:val="24"/>
              </w:rPr>
              <w:t> </w:t>
            </w:r>
            <w:r>
              <w:rPr>
                <w:sz w:val="24"/>
              </w:rPr>
              <w:t>wider door leaf and frame on accessways (upgrade - class 5,6,7b,8)</w:t>
            </w:r>
          </w:p>
        </w:tc>
        <w:tc>
          <w:tcPr>
            <w:tcW w:w="1440" w:type="dxa"/>
          </w:tcPr>
          <w:p>
            <w:pPr>
              <w:pStyle w:val="TableParagraph"/>
              <w:spacing w:before="1"/>
              <w:rPr>
                <w:b/>
                <w:sz w:val="22"/>
              </w:rPr>
            </w:pPr>
          </w:p>
          <w:p>
            <w:pPr>
              <w:pStyle w:val="TableParagraph"/>
              <w:ind w:right="23"/>
              <w:jc w:val="right"/>
              <w:rPr>
                <w:sz w:val="24"/>
              </w:rPr>
            </w:pPr>
            <w:r>
              <w:rPr>
                <w:spacing w:val="-2"/>
                <w:sz w:val="24"/>
              </w:rPr>
              <w:t>1,250</w:t>
            </w:r>
          </w:p>
        </w:tc>
      </w:tr>
      <w:tr>
        <w:trPr>
          <w:trHeight w:val="515" w:hRule="atLeast"/>
        </w:trPr>
        <w:tc>
          <w:tcPr>
            <w:tcW w:w="7050" w:type="dxa"/>
          </w:tcPr>
          <w:p>
            <w:pPr>
              <w:pStyle w:val="TableParagraph"/>
              <w:spacing w:before="116"/>
              <w:ind w:left="284"/>
              <w:rPr>
                <w:sz w:val="24"/>
              </w:rPr>
            </w:pPr>
            <w:r>
              <w:rPr>
                <w:sz w:val="24"/>
              </w:rPr>
              <w:t>Markings</w:t>
            </w:r>
            <w:r>
              <w:rPr>
                <w:spacing w:val="-5"/>
                <w:sz w:val="24"/>
              </w:rPr>
              <w:t> </w:t>
            </w:r>
            <w:r>
              <w:rPr>
                <w:sz w:val="24"/>
              </w:rPr>
              <w:t>to</w:t>
            </w:r>
            <w:r>
              <w:rPr>
                <w:spacing w:val="-4"/>
                <w:sz w:val="24"/>
              </w:rPr>
              <w:t> </w:t>
            </w:r>
            <w:r>
              <w:rPr>
                <w:sz w:val="24"/>
              </w:rPr>
              <w:t>full</w:t>
            </w:r>
            <w:r>
              <w:rPr>
                <w:spacing w:val="-4"/>
                <w:sz w:val="24"/>
              </w:rPr>
              <w:t> </w:t>
            </w:r>
            <w:r>
              <w:rPr>
                <w:sz w:val="24"/>
              </w:rPr>
              <w:t>height</w:t>
            </w:r>
            <w:r>
              <w:rPr>
                <w:spacing w:val="-2"/>
                <w:sz w:val="24"/>
              </w:rPr>
              <w:t> </w:t>
            </w:r>
            <w:r>
              <w:rPr>
                <w:sz w:val="24"/>
              </w:rPr>
              <w:t>glazing</w:t>
            </w:r>
            <w:r>
              <w:rPr>
                <w:spacing w:val="-6"/>
                <w:sz w:val="24"/>
              </w:rPr>
              <w:t> </w:t>
            </w:r>
            <w:r>
              <w:rPr>
                <w:sz w:val="24"/>
              </w:rPr>
              <w:t>on</w:t>
            </w:r>
            <w:r>
              <w:rPr>
                <w:spacing w:val="-4"/>
                <w:sz w:val="24"/>
              </w:rPr>
              <w:t> </w:t>
            </w:r>
            <w:r>
              <w:rPr>
                <w:sz w:val="24"/>
              </w:rPr>
              <w:t>accessways</w:t>
            </w:r>
            <w:r>
              <w:rPr>
                <w:spacing w:val="-4"/>
                <w:sz w:val="24"/>
              </w:rPr>
              <w:t> </w:t>
            </w:r>
            <w:r>
              <w:rPr>
                <w:sz w:val="24"/>
              </w:rPr>
              <w:t>(per</w:t>
            </w:r>
            <w:r>
              <w:rPr>
                <w:spacing w:val="-4"/>
                <w:sz w:val="24"/>
              </w:rPr>
              <w:t> </w:t>
            </w:r>
            <w:r>
              <w:rPr>
                <w:spacing w:val="-2"/>
                <w:sz w:val="24"/>
              </w:rPr>
              <w:t>accessway)</w:t>
            </w:r>
          </w:p>
        </w:tc>
        <w:tc>
          <w:tcPr>
            <w:tcW w:w="1440" w:type="dxa"/>
          </w:tcPr>
          <w:p>
            <w:pPr>
              <w:pStyle w:val="TableParagraph"/>
              <w:spacing w:before="116"/>
              <w:ind w:right="23"/>
              <w:jc w:val="right"/>
              <w:rPr>
                <w:sz w:val="24"/>
              </w:rPr>
            </w:pPr>
            <w:r>
              <w:rPr>
                <w:spacing w:val="-5"/>
                <w:sz w:val="24"/>
              </w:rPr>
              <w:t>400</w:t>
            </w:r>
          </w:p>
        </w:tc>
      </w:tr>
      <w:tr>
        <w:trPr>
          <w:trHeight w:val="791" w:hRule="atLeast"/>
        </w:trPr>
        <w:tc>
          <w:tcPr>
            <w:tcW w:w="7050" w:type="dxa"/>
          </w:tcPr>
          <w:p>
            <w:pPr>
              <w:pStyle w:val="TableParagraph"/>
              <w:spacing w:before="116"/>
              <w:ind w:left="284"/>
              <w:rPr>
                <w:sz w:val="24"/>
              </w:rPr>
            </w:pPr>
            <w:r>
              <w:rPr>
                <w:sz w:val="24"/>
              </w:rPr>
              <w:t>Allowance</w:t>
            </w:r>
            <w:r>
              <w:rPr>
                <w:spacing w:val="-5"/>
                <w:sz w:val="24"/>
              </w:rPr>
              <w:t> </w:t>
            </w:r>
            <w:r>
              <w:rPr>
                <w:sz w:val="24"/>
              </w:rPr>
              <w:t>for</w:t>
            </w:r>
            <w:r>
              <w:rPr>
                <w:spacing w:val="-5"/>
                <w:sz w:val="24"/>
              </w:rPr>
              <w:t> </w:t>
            </w:r>
            <w:r>
              <w:rPr>
                <w:sz w:val="24"/>
              </w:rPr>
              <w:t>additional</w:t>
            </w:r>
            <w:r>
              <w:rPr>
                <w:spacing w:val="-5"/>
                <w:sz w:val="24"/>
              </w:rPr>
              <w:t> </w:t>
            </w:r>
            <w:r>
              <w:rPr>
                <w:sz w:val="24"/>
              </w:rPr>
              <w:t>1</w:t>
            </w:r>
            <w:r>
              <w:rPr>
                <w:spacing w:val="-5"/>
                <w:sz w:val="24"/>
              </w:rPr>
              <w:t> </w:t>
            </w:r>
            <w:r>
              <w:rPr>
                <w:sz w:val="24"/>
              </w:rPr>
              <w:t>m2</w:t>
            </w:r>
            <w:r>
              <w:rPr>
                <w:spacing w:val="-5"/>
                <w:sz w:val="24"/>
              </w:rPr>
              <w:t> </w:t>
            </w:r>
            <w:r>
              <w:rPr>
                <w:sz w:val="24"/>
              </w:rPr>
              <w:t>(average)</w:t>
            </w:r>
            <w:r>
              <w:rPr>
                <w:spacing w:val="-5"/>
                <w:sz w:val="24"/>
              </w:rPr>
              <w:t> </w:t>
            </w:r>
            <w:r>
              <w:rPr>
                <w:sz w:val="24"/>
              </w:rPr>
              <w:t>circulation</w:t>
            </w:r>
            <w:r>
              <w:rPr>
                <w:spacing w:val="-5"/>
                <w:sz w:val="24"/>
              </w:rPr>
              <w:t> </w:t>
            </w:r>
            <w:r>
              <w:rPr>
                <w:sz w:val="24"/>
              </w:rPr>
              <w:t>area</w:t>
            </w:r>
            <w:r>
              <w:rPr>
                <w:spacing w:val="-5"/>
                <w:sz w:val="24"/>
              </w:rPr>
              <w:t> </w:t>
            </w:r>
            <w:r>
              <w:rPr>
                <w:sz w:val="24"/>
              </w:rPr>
              <w:t>per passing / turning space</w:t>
            </w:r>
          </w:p>
        </w:tc>
        <w:tc>
          <w:tcPr>
            <w:tcW w:w="1440" w:type="dxa"/>
          </w:tcPr>
          <w:p>
            <w:pPr>
              <w:pStyle w:val="TableParagraph"/>
              <w:spacing w:before="1"/>
              <w:rPr>
                <w:b/>
                <w:sz w:val="22"/>
              </w:rPr>
            </w:pPr>
          </w:p>
          <w:p>
            <w:pPr>
              <w:pStyle w:val="TableParagraph"/>
              <w:ind w:right="23"/>
              <w:jc w:val="right"/>
              <w:rPr>
                <w:sz w:val="24"/>
              </w:rPr>
            </w:pPr>
            <w:r>
              <w:rPr>
                <w:spacing w:val="-2"/>
                <w:sz w:val="24"/>
              </w:rPr>
              <w:t>1,250</w:t>
            </w:r>
          </w:p>
        </w:tc>
      </w:tr>
      <w:tr>
        <w:trPr>
          <w:trHeight w:val="516" w:hRule="atLeast"/>
        </w:trPr>
        <w:tc>
          <w:tcPr>
            <w:tcW w:w="7050" w:type="dxa"/>
          </w:tcPr>
          <w:p>
            <w:pPr>
              <w:pStyle w:val="TableParagraph"/>
              <w:spacing w:before="116"/>
              <w:ind w:left="284"/>
              <w:rPr>
                <w:sz w:val="24"/>
              </w:rPr>
            </w:pPr>
            <w:r>
              <w:rPr>
                <w:sz w:val="24"/>
              </w:rPr>
              <w:t>Tactile</w:t>
            </w:r>
            <w:r>
              <w:rPr>
                <w:spacing w:val="-8"/>
                <w:sz w:val="24"/>
              </w:rPr>
              <w:t> </w:t>
            </w:r>
            <w:r>
              <w:rPr>
                <w:sz w:val="24"/>
              </w:rPr>
              <w:t>directional</w:t>
            </w:r>
            <w:r>
              <w:rPr>
                <w:spacing w:val="-8"/>
                <w:sz w:val="24"/>
              </w:rPr>
              <w:t> </w:t>
            </w:r>
            <w:r>
              <w:rPr>
                <w:spacing w:val="-2"/>
                <w:sz w:val="24"/>
              </w:rPr>
              <w:t>signs</w:t>
            </w:r>
          </w:p>
        </w:tc>
        <w:tc>
          <w:tcPr>
            <w:tcW w:w="1440" w:type="dxa"/>
          </w:tcPr>
          <w:p>
            <w:pPr>
              <w:pStyle w:val="TableParagraph"/>
              <w:spacing w:before="116"/>
              <w:ind w:right="22"/>
              <w:jc w:val="right"/>
              <w:rPr>
                <w:sz w:val="24"/>
              </w:rPr>
            </w:pPr>
            <w:r>
              <w:rPr>
                <w:spacing w:val="-5"/>
                <w:sz w:val="24"/>
              </w:rPr>
              <w:t>200</w:t>
            </w:r>
          </w:p>
        </w:tc>
      </w:tr>
      <w:tr>
        <w:trPr>
          <w:trHeight w:val="515" w:hRule="atLeast"/>
        </w:trPr>
        <w:tc>
          <w:tcPr>
            <w:tcW w:w="7050" w:type="dxa"/>
          </w:tcPr>
          <w:p>
            <w:pPr>
              <w:pStyle w:val="TableParagraph"/>
              <w:spacing w:before="118"/>
              <w:ind w:left="29"/>
              <w:rPr>
                <w:i/>
                <w:sz w:val="24"/>
              </w:rPr>
            </w:pPr>
            <w:r>
              <w:rPr>
                <w:i/>
                <w:sz w:val="24"/>
              </w:rPr>
              <w:t>Accessible</w:t>
            </w:r>
            <w:r>
              <w:rPr>
                <w:i/>
                <w:spacing w:val="-8"/>
                <w:sz w:val="24"/>
              </w:rPr>
              <w:t> </w:t>
            </w:r>
            <w:r>
              <w:rPr>
                <w:i/>
                <w:sz w:val="24"/>
              </w:rPr>
              <w:t>sanitary</w:t>
            </w:r>
            <w:r>
              <w:rPr>
                <w:i/>
                <w:spacing w:val="-7"/>
                <w:sz w:val="24"/>
              </w:rPr>
              <w:t> </w:t>
            </w:r>
            <w:r>
              <w:rPr>
                <w:i/>
                <w:spacing w:val="-2"/>
                <w:sz w:val="24"/>
              </w:rPr>
              <w:t>facilities</w:t>
            </w:r>
          </w:p>
        </w:tc>
        <w:tc>
          <w:tcPr>
            <w:tcW w:w="1440" w:type="dxa"/>
          </w:tcPr>
          <w:p>
            <w:pPr>
              <w:pStyle w:val="TableParagraph"/>
              <w:rPr>
                <w:rFonts w:ascii="Times New Roman"/>
                <w:sz w:val="24"/>
              </w:rPr>
            </w:pPr>
          </w:p>
        </w:tc>
      </w:tr>
      <w:tr>
        <w:trPr>
          <w:trHeight w:val="515" w:hRule="atLeast"/>
        </w:trPr>
        <w:tc>
          <w:tcPr>
            <w:tcW w:w="7050" w:type="dxa"/>
          </w:tcPr>
          <w:p>
            <w:pPr>
              <w:pStyle w:val="TableParagraph"/>
              <w:spacing w:before="118"/>
              <w:ind w:left="284"/>
              <w:rPr>
                <w:i/>
                <w:sz w:val="24"/>
              </w:rPr>
            </w:pPr>
            <w:r>
              <w:rPr>
                <w:i/>
                <w:sz w:val="24"/>
              </w:rPr>
              <w:t>Extra</w:t>
            </w:r>
            <w:r>
              <w:rPr>
                <w:i/>
                <w:spacing w:val="-5"/>
                <w:sz w:val="24"/>
              </w:rPr>
              <w:t> </w:t>
            </w:r>
            <w:r>
              <w:rPr>
                <w:i/>
                <w:sz w:val="24"/>
              </w:rPr>
              <w:t>Over</w:t>
            </w:r>
            <w:r>
              <w:rPr>
                <w:i/>
                <w:spacing w:val="-4"/>
                <w:sz w:val="24"/>
              </w:rPr>
              <w:t> </w:t>
            </w:r>
            <w:r>
              <w:rPr>
                <w:i/>
                <w:sz w:val="24"/>
              </w:rPr>
              <w:t>Standard</w:t>
            </w:r>
            <w:r>
              <w:rPr>
                <w:i/>
                <w:spacing w:val="-4"/>
                <w:sz w:val="24"/>
              </w:rPr>
              <w:t> </w:t>
            </w:r>
            <w:r>
              <w:rPr>
                <w:i/>
                <w:sz w:val="24"/>
              </w:rPr>
              <w:t>bathroom</w:t>
            </w:r>
            <w:r>
              <w:rPr>
                <w:i/>
                <w:spacing w:val="-6"/>
                <w:sz w:val="24"/>
              </w:rPr>
              <w:t> </w:t>
            </w:r>
            <w:r>
              <w:rPr>
                <w:i/>
                <w:sz w:val="24"/>
              </w:rPr>
              <w:t>/</w:t>
            </w:r>
            <w:r>
              <w:rPr>
                <w:i/>
                <w:spacing w:val="-4"/>
                <w:sz w:val="24"/>
              </w:rPr>
              <w:t> </w:t>
            </w:r>
            <w:r>
              <w:rPr>
                <w:i/>
                <w:spacing w:val="-2"/>
                <w:sz w:val="24"/>
              </w:rPr>
              <w:t>toilet:</w:t>
            </w:r>
          </w:p>
        </w:tc>
        <w:tc>
          <w:tcPr>
            <w:tcW w:w="1440" w:type="dxa"/>
          </w:tcPr>
          <w:p>
            <w:pPr>
              <w:pStyle w:val="TableParagraph"/>
              <w:rPr>
                <w:rFonts w:ascii="Times New Roman"/>
                <w:sz w:val="24"/>
              </w:rPr>
            </w:pPr>
          </w:p>
        </w:tc>
      </w:tr>
      <w:tr>
        <w:trPr>
          <w:trHeight w:val="791" w:hRule="atLeast"/>
        </w:trPr>
        <w:tc>
          <w:tcPr>
            <w:tcW w:w="7050" w:type="dxa"/>
          </w:tcPr>
          <w:p>
            <w:pPr>
              <w:pStyle w:val="TableParagraph"/>
              <w:spacing w:before="116"/>
              <w:ind w:left="284"/>
              <w:rPr>
                <w:sz w:val="24"/>
              </w:rPr>
            </w:pPr>
            <w:r>
              <w:rPr>
                <w:sz w:val="24"/>
              </w:rPr>
              <w:t>Accessible</w:t>
            </w:r>
            <w:r>
              <w:rPr>
                <w:spacing w:val="-4"/>
                <w:sz w:val="24"/>
              </w:rPr>
              <w:t> </w:t>
            </w:r>
            <w:r>
              <w:rPr>
                <w:sz w:val="24"/>
              </w:rPr>
              <w:t>sanitary</w:t>
            </w:r>
            <w:r>
              <w:rPr>
                <w:spacing w:val="-4"/>
                <w:sz w:val="24"/>
              </w:rPr>
              <w:t> </w:t>
            </w:r>
            <w:r>
              <w:rPr>
                <w:sz w:val="24"/>
              </w:rPr>
              <w:t>facilities</w:t>
            </w:r>
            <w:r>
              <w:rPr>
                <w:spacing w:val="-4"/>
                <w:sz w:val="24"/>
              </w:rPr>
              <w:t> </w:t>
            </w:r>
            <w:r>
              <w:rPr>
                <w:sz w:val="24"/>
              </w:rPr>
              <w:t>to</w:t>
            </w:r>
            <w:r>
              <w:rPr>
                <w:spacing w:val="-6"/>
                <w:sz w:val="24"/>
              </w:rPr>
              <w:t> </w:t>
            </w:r>
            <w:r>
              <w:rPr>
                <w:sz w:val="24"/>
              </w:rPr>
              <w:t>class</w:t>
            </w:r>
            <w:r>
              <w:rPr>
                <w:spacing w:val="-4"/>
                <w:sz w:val="24"/>
              </w:rPr>
              <w:t> </w:t>
            </w:r>
            <w:r>
              <w:rPr>
                <w:sz w:val="24"/>
              </w:rPr>
              <w:t>1b</w:t>
            </w:r>
            <w:r>
              <w:rPr>
                <w:spacing w:val="-4"/>
                <w:sz w:val="24"/>
              </w:rPr>
              <w:t> </w:t>
            </w:r>
            <w:r>
              <w:rPr>
                <w:sz w:val="24"/>
              </w:rPr>
              <w:t>-</w:t>
            </w:r>
            <w:r>
              <w:rPr>
                <w:spacing w:val="-4"/>
                <w:sz w:val="24"/>
              </w:rPr>
              <w:t> </w:t>
            </w:r>
            <w:r>
              <w:rPr>
                <w:sz w:val="24"/>
              </w:rPr>
              <w:t>new</w:t>
            </w:r>
            <w:r>
              <w:rPr>
                <w:spacing w:val="-4"/>
                <w:sz w:val="24"/>
              </w:rPr>
              <w:t> </w:t>
            </w:r>
            <w:r>
              <w:rPr>
                <w:sz w:val="24"/>
              </w:rPr>
              <w:t>build</w:t>
            </w:r>
            <w:r>
              <w:rPr>
                <w:spacing w:val="-4"/>
                <w:sz w:val="24"/>
              </w:rPr>
              <w:t> </w:t>
            </w:r>
            <w:r>
              <w:rPr>
                <w:sz w:val="24"/>
              </w:rPr>
              <w:t>(including provision of additional floor space)</w:t>
            </w:r>
          </w:p>
        </w:tc>
        <w:tc>
          <w:tcPr>
            <w:tcW w:w="1440" w:type="dxa"/>
          </w:tcPr>
          <w:p>
            <w:pPr>
              <w:pStyle w:val="TableParagraph"/>
              <w:spacing w:before="1"/>
              <w:rPr>
                <w:b/>
                <w:sz w:val="22"/>
              </w:rPr>
            </w:pPr>
          </w:p>
          <w:p>
            <w:pPr>
              <w:pStyle w:val="TableParagraph"/>
              <w:ind w:right="23"/>
              <w:jc w:val="right"/>
              <w:rPr>
                <w:sz w:val="24"/>
              </w:rPr>
            </w:pPr>
            <w:r>
              <w:rPr>
                <w:spacing w:val="-2"/>
                <w:sz w:val="24"/>
              </w:rPr>
              <w:t>4,800</w:t>
            </w:r>
          </w:p>
        </w:tc>
      </w:tr>
    </w:tbl>
    <w:p>
      <w:pPr>
        <w:spacing w:after="0"/>
        <w:jc w:val="right"/>
        <w:rPr>
          <w:sz w:val="24"/>
        </w:rPr>
        <w:sectPr>
          <w:pgSz w:w="11900" w:h="16840"/>
          <w:pgMar w:header="0" w:footer="1130" w:top="1000" w:bottom="1320" w:left="1380" w:right="980"/>
        </w:sectPr>
      </w:pPr>
    </w:p>
    <w:tbl>
      <w:tblPr>
        <w:tblW w:w="0" w:type="auto"/>
        <w:jc w:val="left"/>
        <w:tblInd w:w="3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050"/>
        <w:gridCol w:w="1440"/>
      </w:tblGrid>
      <w:tr>
        <w:trPr>
          <w:trHeight w:val="515" w:hRule="atLeast"/>
        </w:trPr>
        <w:tc>
          <w:tcPr>
            <w:tcW w:w="7050" w:type="dxa"/>
            <w:tcBorders>
              <w:bottom w:val="single" w:sz="6" w:space="0" w:color="000000"/>
            </w:tcBorders>
          </w:tcPr>
          <w:p>
            <w:pPr>
              <w:pStyle w:val="TableParagraph"/>
              <w:spacing w:before="118"/>
              <w:ind w:left="3391" w:right="3135"/>
              <w:jc w:val="center"/>
              <w:rPr>
                <w:b/>
                <w:i/>
                <w:sz w:val="24"/>
              </w:rPr>
            </w:pPr>
            <w:r>
              <w:rPr>
                <w:b/>
                <w:i/>
                <w:spacing w:val="-4"/>
                <w:sz w:val="24"/>
              </w:rPr>
              <w:t>Item</w:t>
            </w:r>
          </w:p>
        </w:tc>
        <w:tc>
          <w:tcPr>
            <w:tcW w:w="1440" w:type="dxa"/>
            <w:tcBorders>
              <w:bottom w:val="single" w:sz="6" w:space="0" w:color="000000"/>
            </w:tcBorders>
          </w:tcPr>
          <w:p>
            <w:pPr>
              <w:pStyle w:val="TableParagraph"/>
              <w:spacing w:before="118"/>
              <w:ind w:left="212"/>
              <w:rPr>
                <w:b/>
                <w:i/>
                <w:sz w:val="24"/>
              </w:rPr>
            </w:pPr>
            <w:r>
              <w:rPr>
                <w:b/>
                <w:i/>
                <w:sz w:val="24"/>
              </w:rPr>
              <w:t>$</w:t>
            </w:r>
            <w:r>
              <w:rPr>
                <w:b/>
                <w:i/>
                <w:spacing w:val="-1"/>
                <w:sz w:val="24"/>
              </w:rPr>
              <w:t> </w:t>
            </w:r>
            <w:r>
              <w:rPr>
                <w:b/>
                <w:i/>
                <w:sz w:val="24"/>
              </w:rPr>
              <w:t>/</w:t>
            </w:r>
            <w:r>
              <w:rPr>
                <w:b/>
                <w:i/>
                <w:spacing w:val="-1"/>
                <w:sz w:val="24"/>
              </w:rPr>
              <w:t> </w:t>
            </w:r>
            <w:r>
              <w:rPr>
                <w:b/>
                <w:i/>
                <w:spacing w:val="-4"/>
                <w:sz w:val="24"/>
              </w:rPr>
              <w:t>EACH</w:t>
            </w:r>
          </w:p>
        </w:tc>
      </w:tr>
      <w:tr>
        <w:trPr>
          <w:trHeight w:val="516" w:hRule="atLeast"/>
        </w:trPr>
        <w:tc>
          <w:tcPr>
            <w:tcW w:w="7050" w:type="dxa"/>
            <w:tcBorders>
              <w:top w:val="single" w:sz="6" w:space="0" w:color="000000"/>
            </w:tcBorders>
          </w:tcPr>
          <w:p>
            <w:pPr>
              <w:pStyle w:val="TableParagraph"/>
              <w:spacing w:before="117"/>
              <w:ind w:left="284"/>
              <w:rPr>
                <w:sz w:val="24"/>
              </w:rPr>
            </w:pPr>
            <w:r>
              <w:rPr>
                <w:sz w:val="24"/>
              </w:rPr>
              <w:t>Accessible</w:t>
            </w:r>
            <w:r>
              <w:rPr>
                <w:spacing w:val="-5"/>
                <w:sz w:val="24"/>
              </w:rPr>
              <w:t> </w:t>
            </w:r>
            <w:r>
              <w:rPr>
                <w:sz w:val="24"/>
              </w:rPr>
              <w:t>sanitary</w:t>
            </w:r>
            <w:r>
              <w:rPr>
                <w:spacing w:val="-5"/>
                <w:sz w:val="24"/>
              </w:rPr>
              <w:t> </w:t>
            </w:r>
            <w:r>
              <w:rPr>
                <w:sz w:val="24"/>
              </w:rPr>
              <w:t>facilities</w:t>
            </w:r>
            <w:r>
              <w:rPr>
                <w:spacing w:val="-4"/>
                <w:sz w:val="24"/>
              </w:rPr>
              <w:t> </w:t>
            </w:r>
            <w:r>
              <w:rPr>
                <w:sz w:val="24"/>
              </w:rPr>
              <w:t>to</w:t>
            </w:r>
            <w:r>
              <w:rPr>
                <w:spacing w:val="-5"/>
                <w:sz w:val="24"/>
              </w:rPr>
              <w:t> </w:t>
            </w:r>
            <w:r>
              <w:rPr>
                <w:sz w:val="24"/>
              </w:rPr>
              <w:t>class</w:t>
            </w:r>
            <w:r>
              <w:rPr>
                <w:spacing w:val="-5"/>
                <w:sz w:val="24"/>
              </w:rPr>
              <w:t> </w:t>
            </w:r>
            <w:r>
              <w:rPr>
                <w:sz w:val="24"/>
              </w:rPr>
              <w:t>1b</w:t>
            </w:r>
            <w:r>
              <w:rPr>
                <w:spacing w:val="-4"/>
                <w:sz w:val="24"/>
              </w:rPr>
              <w:t> </w:t>
            </w:r>
            <w:r>
              <w:rPr>
                <w:sz w:val="24"/>
              </w:rPr>
              <w:t>-</w:t>
            </w:r>
            <w:r>
              <w:rPr>
                <w:spacing w:val="-5"/>
                <w:sz w:val="24"/>
              </w:rPr>
              <w:t> </w:t>
            </w:r>
            <w:r>
              <w:rPr>
                <w:spacing w:val="-2"/>
                <w:sz w:val="24"/>
              </w:rPr>
              <w:t>upgrade</w:t>
            </w:r>
          </w:p>
        </w:tc>
        <w:tc>
          <w:tcPr>
            <w:tcW w:w="1440" w:type="dxa"/>
            <w:tcBorders>
              <w:top w:val="single" w:sz="6" w:space="0" w:color="000000"/>
            </w:tcBorders>
          </w:tcPr>
          <w:p>
            <w:pPr>
              <w:pStyle w:val="TableParagraph"/>
              <w:spacing w:before="117"/>
              <w:ind w:right="21"/>
              <w:jc w:val="right"/>
              <w:rPr>
                <w:sz w:val="24"/>
              </w:rPr>
            </w:pPr>
            <w:r>
              <w:rPr>
                <w:spacing w:val="-2"/>
                <w:sz w:val="24"/>
              </w:rPr>
              <w:t>6,500</w:t>
            </w:r>
          </w:p>
        </w:tc>
      </w:tr>
      <w:tr>
        <w:trPr>
          <w:trHeight w:val="791" w:hRule="atLeast"/>
        </w:trPr>
        <w:tc>
          <w:tcPr>
            <w:tcW w:w="7050" w:type="dxa"/>
          </w:tcPr>
          <w:p>
            <w:pPr>
              <w:pStyle w:val="TableParagraph"/>
              <w:spacing w:before="116"/>
              <w:ind w:left="284"/>
              <w:rPr>
                <w:sz w:val="24"/>
              </w:rPr>
            </w:pPr>
            <w:r>
              <w:rPr>
                <w:sz w:val="24"/>
              </w:rPr>
              <w:t>Accessible</w:t>
            </w:r>
            <w:r>
              <w:rPr>
                <w:spacing w:val="-5"/>
                <w:sz w:val="24"/>
              </w:rPr>
              <w:t> </w:t>
            </w:r>
            <w:r>
              <w:rPr>
                <w:sz w:val="24"/>
              </w:rPr>
              <w:t>sanitary</w:t>
            </w:r>
            <w:r>
              <w:rPr>
                <w:spacing w:val="-5"/>
                <w:sz w:val="24"/>
              </w:rPr>
              <w:t> </w:t>
            </w:r>
            <w:r>
              <w:rPr>
                <w:sz w:val="24"/>
              </w:rPr>
              <w:t>facilities</w:t>
            </w:r>
            <w:r>
              <w:rPr>
                <w:spacing w:val="-5"/>
                <w:sz w:val="24"/>
              </w:rPr>
              <w:t> </w:t>
            </w:r>
            <w:r>
              <w:rPr>
                <w:sz w:val="24"/>
              </w:rPr>
              <w:t>to</w:t>
            </w:r>
            <w:r>
              <w:rPr>
                <w:spacing w:val="-7"/>
                <w:sz w:val="24"/>
              </w:rPr>
              <w:t> </w:t>
            </w:r>
            <w:r>
              <w:rPr>
                <w:sz w:val="24"/>
              </w:rPr>
              <w:t>class</w:t>
            </w:r>
            <w:r>
              <w:rPr>
                <w:spacing w:val="-5"/>
                <w:sz w:val="24"/>
              </w:rPr>
              <w:t> </w:t>
            </w:r>
            <w:r>
              <w:rPr>
                <w:sz w:val="24"/>
              </w:rPr>
              <w:t>3,5,6,7b,8</w:t>
            </w:r>
            <w:r>
              <w:rPr>
                <w:spacing w:val="-5"/>
                <w:sz w:val="24"/>
              </w:rPr>
              <w:t> </w:t>
            </w:r>
            <w:r>
              <w:rPr>
                <w:sz w:val="24"/>
              </w:rPr>
              <w:t>-</w:t>
            </w:r>
            <w:r>
              <w:rPr>
                <w:spacing w:val="-5"/>
                <w:sz w:val="24"/>
              </w:rPr>
              <w:t> </w:t>
            </w:r>
            <w:r>
              <w:rPr>
                <w:sz w:val="24"/>
              </w:rPr>
              <w:t>new</w:t>
            </w:r>
            <w:r>
              <w:rPr>
                <w:spacing w:val="-5"/>
                <w:sz w:val="24"/>
              </w:rPr>
              <w:t> </w:t>
            </w:r>
            <w:r>
              <w:rPr>
                <w:sz w:val="24"/>
              </w:rPr>
              <w:t>build (including provision of additional floor space)</w:t>
            </w:r>
          </w:p>
        </w:tc>
        <w:tc>
          <w:tcPr>
            <w:tcW w:w="1440" w:type="dxa"/>
          </w:tcPr>
          <w:p>
            <w:pPr>
              <w:pStyle w:val="TableParagraph"/>
              <w:spacing w:before="1"/>
              <w:rPr>
                <w:b/>
                <w:sz w:val="22"/>
              </w:rPr>
            </w:pPr>
          </w:p>
          <w:p>
            <w:pPr>
              <w:pStyle w:val="TableParagraph"/>
              <w:ind w:right="23"/>
              <w:jc w:val="right"/>
              <w:rPr>
                <w:sz w:val="24"/>
              </w:rPr>
            </w:pPr>
            <w:r>
              <w:rPr>
                <w:spacing w:val="-2"/>
                <w:sz w:val="24"/>
              </w:rPr>
              <w:t>6,000</w:t>
            </w:r>
          </w:p>
        </w:tc>
      </w:tr>
      <w:tr>
        <w:trPr>
          <w:trHeight w:val="515" w:hRule="atLeast"/>
        </w:trPr>
        <w:tc>
          <w:tcPr>
            <w:tcW w:w="7050" w:type="dxa"/>
          </w:tcPr>
          <w:p>
            <w:pPr>
              <w:pStyle w:val="TableParagraph"/>
              <w:spacing w:before="116"/>
              <w:ind w:left="284"/>
              <w:rPr>
                <w:sz w:val="24"/>
              </w:rPr>
            </w:pPr>
            <w:r>
              <w:rPr>
                <w:sz w:val="24"/>
              </w:rPr>
              <w:t>Accessible</w:t>
            </w:r>
            <w:r>
              <w:rPr>
                <w:spacing w:val="-5"/>
                <w:sz w:val="24"/>
              </w:rPr>
              <w:t> </w:t>
            </w:r>
            <w:r>
              <w:rPr>
                <w:sz w:val="24"/>
              </w:rPr>
              <w:t>sanitary</w:t>
            </w:r>
            <w:r>
              <w:rPr>
                <w:spacing w:val="-4"/>
                <w:sz w:val="24"/>
              </w:rPr>
              <w:t> </w:t>
            </w:r>
            <w:r>
              <w:rPr>
                <w:sz w:val="24"/>
              </w:rPr>
              <w:t>facilities</w:t>
            </w:r>
            <w:r>
              <w:rPr>
                <w:spacing w:val="-4"/>
                <w:sz w:val="24"/>
              </w:rPr>
              <w:t> </w:t>
            </w:r>
            <w:r>
              <w:rPr>
                <w:sz w:val="24"/>
              </w:rPr>
              <w:t>to</w:t>
            </w:r>
            <w:r>
              <w:rPr>
                <w:spacing w:val="-5"/>
                <w:sz w:val="24"/>
              </w:rPr>
              <w:t> </w:t>
            </w:r>
            <w:r>
              <w:rPr>
                <w:sz w:val="24"/>
              </w:rPr>
              <w:t>class</w:t>
            </w:r>
            <w:r>
              <w:rPr>
                <w:spacing w:val="-4"/>
                <w:sz w:val="24"/>
              </w:rPr>
              <w:t> </w:t>
            </w:r>
            <w:r>
              <w:rPr>
                <w:sz w:val="24"/>
              </w:rPr>
              <w:t>3</w:t>
            </w:r>
            <w:r>
              <w:rPr>
                <w:spacing w:val="-4"/>
                <w:sz w:val="24"/>
              </w:rPr>
              <w:t> </w:t>
            </w:r>
            <w:r>
              <w:rPr>
                <w:sz w:val="24"/>
              </w:rPr>
              <w:t>-</w:t>
            </w:r>
            <w:r>
              <w:rPr>
                <w:spacing w:val="-5"/>
                <w:sz w:val="24"/>
              </w:rPr>
              <w:t> </w:t>
            </w:r>
            <w:r>
              <w:rPr>
                <w:spacing w:val="-2"/>
                <w:sz w:val="24"/>
              </w:rPr>
              <w:t>upgrade</w:t>
            </w:r>
          </w:p>
        </w:tc>
        <w:tc>
          <w:tcPr>
            <w:tcW w:w="1440" w:type="dxa"/>
          </w:tcPr>
          <w:p>
            <w:pPr>
              <w:pStyle w:val="TableParagraph"/>
              <w:spacing w:before="116"/>
              <w:ind w:right="21"/>
              <w:jc w:val="right"/>
              <w:rPr>
                <w:sz w:val="24"/>
              </w:rPr>
            </w:pPr>
            <w:r>
              <w:rPr>
                <w:spacing w:val="-2"/>
                <w:sz w:val="24"/>
              </w:rPr>
              <w:t>8,500</w:t>
            </w:r>
          </w:p>
        </w:tc>
      </w:tr>
      <w:tr>
        <w:trPr>
          <w:trHeight w:val="791" w:hRule="atLeast"/>
        </w:trPr>
        <w:tc>
          <w:tcPr>
            <w:tcW w:w="7050" w:type="dxa"/>
          </w:tcPr>
          <w:p>
            <w:pPr>
              <w:pStyle w:val="TableParagraph"/>
              <w:spacing w:before="118"/>
              <w:ind w:left="284"/>
              <w:rPr>
                <w:i/>
                <w:sz w:val="24"/>
              </w:rPr>
            </w:pPr>
            <w:r>
              <w:rPr>
                <w:i/>
                <w:sz w:val="24"/>
              </w:rPr>
              <w:t>Full</w:t>
            </w:r>
            <w:r>
              <w:rPr>
                <w:i/>
                <w:spacing w:val="-6"/>
                <w:sz w:val="24"/>
              </w:rPr>
              <w:t> </w:t>
            </w:r>
            <w:r>
              <w:rPr>
                <w:i/>
                <w:sz w:val="24"/>
              </w:rPr>
              <w:t>cost,</w:t>
            </w:r>
            <w:r>
              <w:rPr>
                <w:i/>
                <w:spacing w:val="-6"/>
                <w:sz w:val="24"/>
              </w:rPr>
              <w:t> </w:t>
            </w:r>
            <w:r>
              <w:rPr>
                <w:i/>
                <w:sz w:val="24"/>
              </w:rPr>
              <w:t>including</w:t>
            </w:r>
            <w:r>
              <w:rPr>
                <w:i/>
                <w:spacing w:val="-6"/>
                <w:sz w:val="24"/>
              </w:rPr>
              <w:t> </w:t>
            </w:r>
            <w:r>
              <w:rPr>
                <w:i/>
                <w:sz w:val="24"/>
              </w:rPr>
              <w:t>structure,</w:t>
            </w:r>
            <w:r>
              <w:rPr>
                <w:i/>
                <w:spacing w:val="-6"/>
                <w:sz w:val="24"/>
              </w:rPr>
              <w:t> </w:t>
            </w:r>
            <w:r>
              <w:rPr>
                <w:i/>
                <w:sz w:val="24"/>
              </w:rPr>
              <w:t>finishes,</w:t>
            </w:r>
            <w:r>
              <w:rPr>
                <w:i/>
                <w:spacing w:val="-6"/>
                <w:sz w:val="24"/>
              </w:rPr>
              <w:t> </w:t>
            </w:r>
            <w:r>
              <w:rPr>
                <w:i/>
                <w:sz w:val="24"/>
              </w:rPr>
              <w:t>services,</w:t>
            </w:r>
            <w:r>
              <w:rPr>
                <w:i/>
                <w:spacing w:val="-6"/>
                <w:sz w:val="24"/>
              </w:rPr>
              <w:t> </w:t>
            </w:r>
            <w:r>
              <w:rPr>
                <w:i/>
                <w:sz w:val="24"/>
              </w:rPr>
              <w:t>fixtures</w:t>
            </w:r>
            <w:r>
              <w:rPr>
                <w:i/>
                <w:spacing w:val="-6"/>
                <w:sz w:val="24"/>
              </w:rPr>
              <w:t> </w:t>
            </w:r>
            <w:r>
              <w:rPr>
                <w:i/>
                <w:sz w:val="24"/>
              </w:rPr>
              <w:t>and</w:t>
            </w:r>
            <w:r>
              <w:rPr>
                <w:i/>
                <w:sz w:val="24"/>
              </w:rPr>
              <w:t> </w:t>
            </w:r>
            <w:r>
              <w:rPr>
                <w:i/>
                <w:spacing w:val="-2"/>
                <w:sz w:val="24"/>
              </w:rPr>
              <w:t>fittings</w:t>
            </w:r>
          </w:p>
        </w:tc>
        <w:tc>
          <w:tcPr>
            <w:tcW w:w="1440" w:type="dxa"/>
          </w:tcPr>
          <w:p>
            <w:pPr>
              <w:pStyle w:val="TableParagraph"/>
              <w:rPr>
                <w:rFonts w:ascii="Times New Roman"/>
                <w:sz w:val="22"/>
              </w:rPr>
            </w:pPr>
          </w:p>
        </w:tc>
      </w:tr>
      <w:tr>
        <w:trPr>
          <w:trHeight w:val="515" w:hRule="atLeast"/>
        </w:trPr>
        <w:tc>
          <w:tcPr>
            <w:tcW w:w="7050" w:type="dxa"/>
          </w:tcPr>
          <w:p>
            <w:pPr>
              <w:pStyle w:val="TableParagraph"/>
              <w:spacing w:before="116"/>
              <w:ind w:left="284"/>
              <w:rPr>
                <w:sz w:val="24"/>
              </w:rPr>
            </w:pPr>
            <w:r>
              <w:rPr>
                <w:sz w:val="24"/>
              </w:rPr>
              <w:t>Additional</w:t>
            </w:r>
            <w:r>
              <w:rPr>
                <w:spacing w:val="-6"/>
                <w:sz w:val="24"/>
              </w:rPr>
              <w:t> </w:t>
            </w:r>
            <w:r>
              <w:rPr>
                <w:sz w:val="24"/>
              </w:rPr>
              <w:t>accessible</w:t>
            </w:r>
            <w:r>
              <w:rPr>
                <w:spacing w:val="-5"/>
                <w:sz w:val="24"/>
              </w:rPr>
              <w:t> </w:t>
            </w:r>
            <w:r>
              <w:rPr>
                <w:sz w:val="24"/>
              </w:rPr>
              <w:t>sanitary</w:t>
            </w:r>
            <w:r>
              <w:rPr>
                <w:spacing w:val="-5"/>
                <w:sz w:val="24"/>
              </w:rPr>
              <w:t> </w:t>
            </w:r>
            <w:r>
              <w:rPr>
                <w:sz w:val="24"/>
              </w:rPr>
              <w:t>facility</w:t>
            </w:r>
            <w:r>
              <w:rPr>
                <w:spacing w:val="-6"/>
                <w:sz w:val="24"/>
              </w:rPr>
              <w:t> </w:t>
            </w:r>
            <w:r>
              <w:rPr>
                <w:sz w:val="24"/>
              </w:rPr>
              <w:t>-</w:t>
            </w:r>
            <w:r>
              <w:rPr>
                <w:spacing w:val="-5"/>
                <w:sz w:val="24"/>
              </w:rPr>
              <w:t> </w:t>
            </w:r>
            <w:r>
              <w:rPr>
                <w:sz w:val="24"/>
              </w:rPr>
              <w:t>new</w:t>
            </w:r>
            <w:r>
              <w:rPr>
                <w:spacing w:val="-5"/>
                <w:sz w:val="24"/>
              </w:rPr>
              <w:t> </w:t>
            </w:r>
            <w:r>
              <w:rPr>
                <w:spacing w:val="-2"/>
                <w:sz w:val="24"/>
              </w:rPr>
              <w:t>build</w:t>
            </w:r>
          </w:p>
        </w:tc>
        <w:tc>
          <w:tcPr>
            <w:tcW w:w="1440" w:type="dxa"/>
          </w:tcPr>
          <w:p>
            <w:pPr>
              <w:pStyle w:val="TableParagraph"/>
              <w:spacing w:before="116"/>
              <w:ind w:right="22"/>
              <w:jc w:val="right"/>
              <w:rPr>
                <w:sz w:val="24"/>
              </w:rPr>
            </w:pPr>
            <w:r>
              <w:rPr>
                <w:spacing w:val="-2"/>
                <w:sz w:val="24"/>
              </w:rPr>
              <w:t>15,500</w:t>
            </w:r>
          </w:p>
        </w:tc>
      </w:tr>
      <w:tr>
        <w:trPr>
          <w:trHeight w:val="515" w:hRule="atLeast"/>
        </w:trPr>
        <w:tc>
          <w:tcPr>
            <w:tcW w:w="7050" w:type="dxa"/>
          </w:tcPr>
          <w:p>
            <w:pPr>
              <w:pStyle w:val="TableParagraph"/>
              <w:spacing w:before="116"/>
              <w:ind w:left="284"/>
              <w:rPr>
                <w:sz w:val="24"/>
              </w:rPr>
            </w:pPr>
            <w:r>
              <w:rPr>
                <w:sz w:val="24"/>
              </w:rPr>
              <w:t>Additional</w:t>
            </w:r>
            <w:r>
              <w:rPr>
                <w:spacing w:val="-7"/>
                <w:sz w:val="24"/>
              </w:rPr>
              <w:t> </w:t>
            </w:r>
            <w:r>
              <w:rPr>
                <w:sz w:val="24"/>
              </w:rPr>
              <w:t>accessible</w:t>
            </w:r>
            <w:r>
              <w:rPr>
                <w:spacing w:val="-5"/>
                <w:sz w:val="24"/>
              </w:rPr>
              <w:t> </w:t>
            </w:r>
            <w:r>
              <w:rPr>
                <w:sz w:val="24"/>
              </w:rPr>
              <w:t>sanitary</w:t>
            </w:r>
            <w:r>
              <w:rPr>
                <w:spacing w:val="-5"/>
                <w:sz w:val="24"/>
              </w:rPr>
              <w:t> </w:t>
            </w:r>
            <w:r>
              <w:rPr>
                <w:sz w:val="24"/>
              </w:rPr>
              <w:t>facility</w:t>
            </w:r>
            <w:r>
              <w:rPr>
                <w:spacing w:val="-5"/>
                <w:sz w:val="24"/>
              </w:rPr>
              <w:t> </w:t>
            </w:r>
            <w:r>
              <w:rPr>
                <w:sz w:val="24"/>
              </w:rPr>
              <w:t>with</w:t>
            </w:r>
            <w:r>
              <w:rPr>
                <w:spacing w:val="-5"/>
                <w:sz w:val="24"/>
              </w:rPr>
              <w:t> </w:t>
            </w:r>
            <w:r>
              <w:rPr>
                <w:sz w:val="24"/>
              </w:rPr>
              <w:t>shower</w:t>
            </w:r>
            <w:r>
              <w:rPr>
                <w:spacing w:val="-5"/>
                <w:sz w:val="24"/>
              </w:rPr>
              <w:t> </w:t>
            </w:r>
            <w:r>
              <w:rPr>
                <w:sz w:val="24"/>
              </w:rPr>
              <w:t>-</w:t>
            </w:r>
            <w:r>
              <w:rPr>
                <w:spacing w:val="-5"/>
                <w:sz w:val="24"/>
              </w:rPr>
              <w:t> </w:t>
            </w:r>
            <w:r>
              <w:rPr>
                <w:sz w:val="24"/>
              </w:rPr>
              <w:t>new</w:t>
            </w:r>
            <w:r>
              <w:rPr>
                <w:spacing w:val="-4"/>
                <w:sz w:val="24"/>
              </w:rPr>
              <w:t> </w:t>
            </w:r>
            <w:r>
              <w:rPr>
                <w:spacing w:val="-2"/>
                <w:sz w:val="24"/>
              </w:rPr>
              <w:t>build</w:t>
            </w:r>
          </w:p>
        </w:tc>
        <w:tc>
          <w:tcPr>
            <w:tcW w:w="1440" w:type="dxa"/>
          </w:tcPr>
          <w:p>
            <w:pPr>
              <w:pStyle w:val="TableParagraph"/>
              <w:spacing w:before="116"/>
              <w:ind w:right="22"/>
              <w:jc w:val="right"/>
              <w:rPr>
                <w:sz w:val="24"/>
              </w:rPr>
            </w:pPr>
            <w:r>
              <w:rPr>
                <w:spacing w:val="-2"/>
                <w:sz w:val="24"/>
              </w:rPr>
              <w:t>19,700</w:t>
            </w:r>
          </w:p>
        </w:tc>
      </w:tr>
      <w:tr>
        <w:trPr>
          <w:trHeight w:val="792" w:hRule="atLeast"/>
        </w:trPr>
        <w:tc>
          <w:tcPr>
            <w:tcW w:w="7050" w:type="dxa"/>
          </w:tcPr>
          <w:p>
            <w:pPr>
              <w:pStyle w:val="TableParagraph"/>
              <w:spacing w:before="118"/>
              <w:ind w:left="284"/>
              <w:rPr>
                <w:i/>
                <w:sz w:val="24"/>
              </w:rPr>
            </w:pPr>
            <w:r>
              <w:rPr>
                <w:i/>
                <w:sz w:val="24"/>
              </w:rPr>
              <w:t>Full</w:t>
            </w:r>
            <w:r>
              <w:rPr>
                <w:i/>
                <w:spacing w:val="-6"/>
                <w:sz w:val="24"/>
              </w:rPr>
              <w:t> </w:t>
            </w:r>
            <w:r>
              <w:rPr>
                <w:i/>
                <w:sz w:val="24"/>
              </w:rPr>
              <w:t>cost,</w:t>
            </w:r>
            <w:r>
              <w:rPr>
                <w:i/>
                <w:spacing w:val="-6"/>
                <w:sz w:val="24"/>
              </w:rPr>
              <w:t> </w:t>
            </w:r>
            <w:r>
              <w:rPr>
                <w:i/>
                <w:sz w:val="24"/>
              </w:rPr>
              <w:t>including</w:t>
            </w:r>
            <w:r>
              <w:rPr>
                <w:i/>
                <w:spacing w:val="-6"/>
                <w:sz w:val="24"/>
              </w:rPr>
              <w:t> </w:t>
            </w:r>
            <w:r>
              <w:rPr>
                <w:i/>
                <w:sz w:val="24"/>
              </w:rPr>
              <w:t>alterations,</w:t>
            </w:r>
            <w:r>
              <w:rPr>
                <w:i/>
                <w:spacing w:val="-6"/>
                <w:sz w:val="24"/>
              </w:rPr>
              <w:t> </w:t>
            </w:r>
            <w:r>
              <w:rPr>
                <w:i/>
                <w:sz w:val="24"/>
              </w:rPr>
              <w:t>finishes,</w:t>
            </w:r>
            <w:r>
              <w:rPr>
                <w:i/>
                <w:spacing w:val="-6"/>
                <w:sz w:val="24"/>
              </w:rPr>
              <w:t> </w:t>
            </w:r>
            <w:r>
              <w:rPr>
                <w:i/>
                <w:sz w:val="24"/>
              </w:rPr>
              <w:t>services,</w:t>
            </w:r>
            <w:r>
              <w:rPr>
                <w:i/>
                <w:spacing w:val="-6"/>
                <w:sz w:val="24"/>
              </w:rPr>
              <w:t> </w:t>
            </w:r>
            <w:r>
              <w:rPr>
                <w:i/>
                <w:sz w:val="24"/>
              </w:rPr>
              <w:t>fixtures</w:t>
            </w:r>
            <w:r>
              <w:rPr>
                <w:i/>
                <w:spacing w:val="-6"/>
                <w:sz w:val="24"/>
              </w:rPr>
              <w:t> </w:t>
            </w:r>
            <w:r>
              <w:rPr>
                <w:i/>
                <w:sz w:val="24"/>
              </w:rPr>
              <w:t>and</w:t>
            </w:r>
            <w:r>
              <w:rPr>
                <w:i/>
                <w:sz w:val="24"/>
              </w:rPr>
              <w:t> </w:t>
            </w:r>
            <w:r>
              <w:rPr>
                <w:i/>
                <w:spacing w:val="-2"/>
                <w:sz w:val="24"/>
              </w:rPr>
              <w:t>fittings</w:t>
            </w:r>
          </w:p>
        </w:tc>
        <w:tc>
          <w:tcPr>
            <w:tcW w:w="1440" w:type="dxa"/>
          </w:tcPr>
          <w:p>
            <w:pPr>
              <w:pStyle w:val="TableParagraph"/>
              <w:rPr>
                <w:rFonts w:ascii="Times New Roman"/>
                <w:sz w:val="22"/>
              </w:rPr>
            </w:pPr>
          </w:p>
        </w:tc>
      </w:tr>
      <w:tr>
        <w:trPr>
          <w:trHeight w:val="515" w:hRule="atLeast"/>
        </w:trPr>
        <w:tc>
          <w:tcPr>
            <w:tcW w:w="7050" w:type="dxa"/>
          </w:tcPr>
          <w:p>
            <w:pPr>
              <w:pStyle w:val="TableParagraph"/>
              <w:spacing w:before="116"/>
              <w:ind w:left="284"/>
              <w:rPr>
                <w:sz w:val="24"/>
              </w:rPr>
            </w:pPr>
            <w:r>
              <w:rPr>
                <w:sz w:val="24"/>
              </w:rPr>
              <w:t>Additional</w:t>
            </w:r>
            <w:r>
              <w:rPr>
                <w:spacing w:val="-6"/>
                <w:sz w:val="24"/>
              </w:rPr>
              <w:t> </w:t>
            </w:r>
            <w:r>
              <w:rPr>
                <w:sz w:val="24"/>
              </w:rPr>
              <w:t>accessible</w:t>
            </w:r>
            <w:r>
              <w:rPr>
                <w:spacing w:val="-6"/>
                <w:sz w:val="24"/>
              </w:rPr>
              <w:t> </w:t>
            </w:r>
            <w:r>
              <w:rPr>
                <w:sz w:val="24"/>
              </w:rPr>
              <w:t>sanitary</w:t>
            </w:r>
            <w:r>
              <w:rPr>
                <w:spacing w:val="-6"/>
                <w:sz w:val="24"/>
              </w:rPr>
              <w:t> </w:t>
            </w:r>
            <w:r>
              <w:rPr>
                <w:sz w:val="24"/>
              </w:rPr>
              <w:t>facility</w:t>
            </w:r>
            <w:r>
              <w:rPr>
                <w:spacing w:val="-6"/>
                <w:sz w:val="24"/>
              </w:rPr>
              <w:t> </w:t>
            </w:r>
            <w:r>
              <w:rPr>
                <w:sz w:val="24"/>
              </w:rPr>
              <w:t>-</w:t>
            </w:r>
            <w:r>
              <w:rPr>
                <w:spacing w:val="-6"/>
                <w:sz w:val="24"/>
              </w:rPr>
              <w:t> </w:t>
            </w:r>
            <w:r>
              <w:rPr>
                <w:spacing w:val="-2"/>
                <w:sz w:val="24"/>
              </w:rPr>
              <w:t>upgrade</w:t>
            </w:r>
          </w:p>
        </w:tc>
        <w:tc>
          <w:tcPr>
            <w:tcW w:w="1440" w:type="dxa"/>
          </w:tcPr>
          <w:p>
            <w:pPr>
              <w:pStyle w:val="TableParagraph"/>
              <w:spacing w:before="116"/>
              <w:ind w:right="22"/>
              <w:jc w:val="right"/>
              <w:rPr>
                <w:sz w:val="24"/>
              </w:rPr>
            </w:pPr>
            <w:r>
              <w:rPr>
                <w:spacing w:val="-2"/>
                <w:sz w:val="24"/>
              </w:rPr>
              <w:t>13,400</w:t>
            </w:r>
          </w:p>
        </w:tc>
      </w:tr>
      <w:tr>
        <w:trPr>
          <w:trHeight w:val="515" w:hRule="atLeast"/>
        </w:trPr>
        <w:tc>
          <w:tcPr>
            <w:tcW w:w="7050" w:type="dxa"/>
          </w:tcPr>
          <w:p>
            <w:pPr>
              <w:pStyle w:val="TableParagraph"/>
              <w:spacing w:before="116"/>
              <w:ind w:left="284"/>
              <w:rPr>
                <w:sz w:val="24"/>
              </w:rPr>
            </w:pPr>
            <w:r>
              <w:rPr>
                <w:sz w:val="24"/>
              </w:rPr>
              <w:t>Additional</w:t>
            </w:r>
            <w:r>
              <w:rPr>
                <w:spacing w:val="-6"/>
                <w:sz w:val="24"/>
              </w:rPr>
              <w:t> </w:t>
            </w:r>
            <w:r>
              <w:rPr>
                <w:sz w:val="24"/>
              </w:rPr>
              <w:t>accessible</w:t>
            </w:r>
            <w:r>
              <w:rPr>
                <w:spacing w:val="-5"/>
                <w:sz w:val="24"/>
              </w:rPr>
              <w:t> </w:t>
            </w:r>
            <w:r>
              <w:rPr>
                <w:sz w:val="24"/>
              </w:rPr>
              <w:t>sanitary</w:t>
            </w:r>
            <w:r>
              <w:rPr>
                <w:spacing w:val="-5"/>
                <w:sz w:val="24"/>
              </w:rPr>
              <w:t> </w:t>
            </w:r>
            <w:r>
              <w:rPr>
                <w:sz w:val="24"/>
              </w:rPr>
              <w:t>facility</w:t>
            </w:r>
            <w:r>
              <w:rPr>
                <w:spacing w:val="-6"/>
                <w:sz w:val="24"/>
              </w:rPr>
              <w:t> </w:t>
            </w:r>
            <w:r>
              <w:rPr>
                <w:sz w:val="24"/>
              </w:rPr>
              <w:t>with</w:t>
            </w:r>
            <w:r>
              <w:rPr>
                <w:spacing w:val="-5"/>
                <w:sz w:val="24"/>
              </w:rPr>
              <w:t> </w:t>
            </w:r>
            <w:r>
              <w:rPr>
                <w:sz w:val="24"/>
              </w:rPr>
              <w:t>shower</w:t>
            </w:r>
            <w:r>
              <w:rPr>
                <w:spacing w:val="-5"/>
                <w:sz w:val="24"/>
              </w:rPr>
              <w:t> </w:t>
            </w:r>
            <w:r>
              <w:rPr>
                <w:sz w:val="24"/>
              </w:rPr>
              <w:t>-</w:t>
            </w:r>
            <w:r>
              <w:rPr>
                <w:spacing w:val="-5"/>
                <w:sz w:val="24"/>
              </w:rPr>
              <w:t> </w:t>
            </w:r>
            <w:r>
              <w:rPr>
                <w:spacing w:val="-2"/>
                <w:sz w:val="24"/>
              </w:rPr>
              <w:t>upgrade</w:t>
            </w:r>
          </w:p>
        </w:tc>
        <w:tc>
          <w:tcPr>
            <w:tcW w:w="1440" w:type="dxa"/>
          </w:tcPr>
          <w:p>
            <w:pPr>
              <w:pStyle w:val="TableParagraph"/>
              <w:spacing w:before="116"/>
              <w:ind w:right="23"/>
              <w:jc w:val="right"/>
              <w:rPr>
                <w:sz w:val="24"/>
              </w:rPr>
            </w:pPr>
            <w:r>
              <w:rPr>
                <w:spacing w:val="-2"/>
                <w:sz w:val="24"/>
              </w:rPr>
              <w:t>15,800</w:t>
            </w:r>
          </w:p>
        </w:tc>
      </w:tr>
      <w:tr>
        <w:trPr>
          <w:trHeight w:val="515" w:hRule="atLeast"/>
        </w:trPr>
        <w:tc>
          <w:tcPr>
            <w:tcW w:w="7050" w:type="dxa"/>
          </w:tcPr>
          <w:p>
            <w:pPr>
              <w:pStyle w:val="TableParagraph"/>
              <w:spacing w:before="118"/>
              <w:ind w:left="29"/>
              <w:rPr>
                <w:i/>
                <w:sz w:val="24"/>
              </w:rPr>
            </w:pPr>
            <w:r>
              <w:rPr>
                <w:i/>
                <w:sz w:val="24"/>
              </w:rPr>
              <w:t>Extra</w:t>
            </w:r>
            <w:r>
              <w:rPr>
                <w:i/>
                <w:spacing w:val="-6"/>
                <w:sz w:val="24"/>
              </w:rPr>
              <w:t> </w:t>
            </w:r>
            <w:r>
              <w:rPr>
                <w:i/>
                <w:sz w:val="24"/>
              </w:rPr>
              <w:t>Over</w:t>
            </w:r>
            <w:r>
              <w:rPr>
                <w:i/>
                <w:spacing w:val="-5"/>
                <w:sz w:val="24"/>
              </w:rPr>
              <w:t> </w:t>
            </w:r>
            <w:r>
              <w:rPr>
                <w:i/>
                <w:sz w:val="24"/>
              </w:rPr>
              <w:t>Standard</w:t>
            </w:r>
            <w:r>
              <w:rPr>
                <w:i/>
                <w:spacing w:val="-5"/>
                <w:sz w:val="24"/>
              </w:rPr>
              <w:t> </w:t>
            </w:r>
            <w:r>
              <w:rPr>
                <w:i/>
                <w:sz w:val="24"/>
              </w:rPr>
              <w:t>Sanitary</w:t>
            </w:r>
            <w:r>
              <w:rPr>
                <w:i/>
                <w:spacing w:val="-5"/>
                <w:sz w:val="24"/>
              </w:rPr>
              <w:t> </w:t>
            </w:r>
            <w:r>
              <w:rPr>
                <w:i/>
                <w:spacing w:val="-2"/>
                <w:sz w:val="24"/>
              </w:rPr>
              <w:t>Compartment:</w:t>
            </w:r>
          </w:p>
        </w:tc>
        <w:tc>
          <w:tcPr>
            <w:tcW w:w="1440" w:type="dxa"/>
          </w:tcPr>
          <w:p>
            <w:pPr>
              <w:pStyle w:val="TableParagraph"/>
              <w:rPr>
                <w:rFonts w:ascii="Times New Roman"/>
                <w:sz w:val="22"/>
              </w:rPr>
            </w:pPr>
          </w:p>
        </w:tc>
      </w:tr>
      <w:tr>
        <w:trPr>
          <w:trHeight w:val="1067" w:hRule="atLeast"/>
        </w:trPr>
        <w:tc>
          <w:tcPr>
            <w:tcW w:w="7050" w:type="dxa"/>
          </w:tcPr>
          <w:p>
            <w:pPr>
              <w:pStyle w:val="TableParagraph"/>
              <w:spacing w:before="116"/>
              <w:ind w:left="284"/>
              <w:rPr>
                <w:sz w:val="24"/>
              </w:rPr>
            </w:pPr>
            <w:r>
              <w:rPr>
                <w:sz w:val="24"/>
              </w:rPr>
              <w:t>Extra for sanitary compartments suitable for ambulant disabilities</w:t>
            </w:r>
            <w:r>
              <w:rPr>
                <w:spacing w:val="-5"/>
                <w:sz w:val="24"/>
              </w:rPr>
              <w:t> </w:t>
            </w:r>
            <w:r>
              <w:rPr>
                <w:sz w:val="24"/>
              </w:rPr>
              <w:t>-</w:t>
            </w:r>
            <w:r>
              <w:rPr>
                <w:spacing w:val="-5"/>
                <w:sz w:val="24"/>
              </w:rPr>
              <w:t> </w:t>
            </w:r>
            <w:r>
              <w:rPr>
                <w:sz w:val="24"/>
              </w:rPr>
              <w:t>new</w:t>
            </w:r>
            <w:r>
              <w:rPr>
                <w:spacing w:val="-5"/>
                <w:sz w:val="24"/>
              </w:rPr>
              <w:t> </w:t>
            </w:r>
            <w:r>
              <w:rPr>
                <w:sz w:val="24"/>
              </w:rPr>
              <w:t>build</w:t>
            </w:r>
            <w:r>
              <w:rPr>
                <w:spacing w:val="-5"/>
                <w:sz w:val="24"/>
              </w:rPr>
              <w:t> </w:t>
            </w:r>
            <w:r>
              <w:rPr>
                <w:sz w:val="24"/>
              </w:rPr>
              <w:t>(including</w:t>
            </w:r>
            <w:r>
              <w:rPr>
                <w:spacing w:val="-5"/>
                <w:sz w:val="24"/>
              </w:rPr>
              <w:t> </w:t>
            </w:r>
            <w:r>
              <w:rPr>
                <w:sz w:val="24"/>
              </w:rPr>
              <w:t>provision</w:t>
            </w:r>
            <w:r>
              <w:rPr>
                <w:spacing w:val="-5"/>
                <w:sz w:val="24"/>
              </w:rPr>
              <w:t> </w:t>
            </w:r>
            <w:r>
              <w:rPr>
                <w:sz w:val="24"/>
              </w:rPr>
              <w:t>of</w:t>
            </w:r>
            <w:r>
              <w:rPr>
                <w:spacing w:val="-5"/>
                <w:sz w:val="24"/>
              </w:rPr>
              <w:t> </w:t>
            </w:r>
            <w:r>
              <w:rPr>
                <w:sz w:val="24"/>
              </w:rPr>
              <w:t>additional</w:t>
            </w:r>
            <w:r>
              <w:rPr>
                <w:spacing w:val="-5"/>
                <w:sz w:val="24"/>
              </w:rPr>
              <w:t> </w:t>
            </w:r>
            <w:r>
              <w:rPr>
                <w:sz w:val="24"/>
              </w:rPr>
              <w:t>floor </w:t>
            </w:r>
            <w:r>
              <w:rPr>
                <w:spacing w:val="-2"/>
                <w:sz w:val="24"/>
              </w:rPr>
              <w:t>space)</w:t>
            </w:r>
          </w:p>
        </w:tc>
        <w:tc>
          <w:tcPr>
            <w:tcW w:w="1440" w:type="dxa"/>
          </w:tcPr>
          <w:p>
            <w:pPr>
              <w:pStyle w:val="TableParagraph"/>
              <w:spacing w:before="1"/>
              <w:rPr>
                <w:b/>
                <w:sz w:val="34"/>
              </w:rPr>
            </w:pPr>
          </w:p>
          <w:p>
            <w:pPr>
              <w:pStyle w:val="TableParagraph"/>
              <w:spacing w:before="1"/>
              <w:ind w:right="23"/>
              <w:jc w:val="right"/>
              <w:rPr>
                <w:sz w:val="24"/>
              </w:rPr>
            </w:pPr>
            <w:r>
              <w:rPr>
                <w:spacing w:val="-2"/>
                <w:sz w:val="24"/>
              </w:rPr>
              <w:t>2,500</w:t>
            </w:r>
          </w:p>
        </w:tc>
      </w:tr>
      <w:tr>
        <w:trPr>
          <w:trHeight w:val="791" w:hRule="atLeast"/>
        </w:trPr>
        <w:tc>
          <w:tcPr>
            <w:tcW w:w="7050" w:type="dxa"/>
          </w:tcPr>
          <w:p>
            <w:pPr>
              <w:pStyle w:val="TableParagraph"/>
              <w:spacing w:before="116"/>
              <w:ind w:left="284" w:right="112"/>
              <w:rPr>
                <w:sz w:val="24"/>
              </w:rPr>
            </w:pPr>
            <w:r>
              <w:rPr>
                <w:sz w:val="24"/>
              </w:rPr>
              <w:t>Extra</w:t>
            </w:r>
            <w:r>
              <w:rPr>
                <w:spacing w:val="-7"/>
                <w:sz w:val="24"/>
              </w:rPr>
              <w:t> </w:t>
            </w:r>
            <w:r>
              <w:rPr>
                <w:sz w:val="24"/>
              </w:rPr>
              <w:t>for</w:t>
            </w:r>
            <w:r>
              <w:rPr>
                <w:spacing w:val="-7"/>
                <w:sz w:val="24"/>
              </w:rPr>
              <w:t> </w:t>
            </w:r>
            <w:r>
              <w:rPr>
                <w:sz w:val="24"/>
              </w:rPr>
              <w:t>sanitary</w:t>
            </w:r>
            <w:r>
              <w:rPr>
                <w:spacing w:val="-7"/>
                <w:sz w:val="24"/>
              </w:rPr>
              <w:t> </w:t>
            </w:r>
            <w:r>
              <w:rPr>
                <w:sz w:val="24"/>
              </w:rPr>
              <w:t>compartments</w:t>
            </w:r>
            <w:r>
              <w:rPr>
                <w:spacing w:val="-7"/>
                <w:sz w:val="24"/>
              </w:rPr>
              <w:t> </w:t>
            </w:r>
            <w:r>
              <w:rPr>
                <w:sz w:val="24"/>
              </w:rPr>
              <w:t>suitable</w:t>
            </w:r>
            <w:r>
              <w:rPr>
                <w:spacing w:val="-7"/>
                <w:sz w:val="24"/>
              </w:rPr>
              <w:t> </w:t>
            </w:r>
            <w:r>
              <w:rPr>
                <w:sz w:val="24"/>
              </w:rPr>
              <w:t>for</w:t>
            </w:r>
            <w:r>
              <w:rPr>
                <w:spacing w:val="-7"/>
                <w:sz w:val="24"/>
              </w:rPr>
              <w:t> </w:t>
            </w:r>
            <w:r>
              <w:rPr>
                <w:sz w:val="24"/>
              </w:rPr>
              <w:t>ambulant disabilities - upgrade</w:t>
            </w:r>
          </w:p>
        </w:tc>
        <w:tc>
          <w:tcPr>
            <w:tcW w:w="1440" w:type="dxa"/>
          </w:tcPr>
          <w:p>
            <w:pPr>
              <w:pStyle w:val="TableParagraph"/>
              <w:spacing w:before="1"/>
              <w:rPr>
                <w:b/>
                <w:sz w:val="22"/>
              </w:rPr>
            </w:pPr>
          </w:p>
          <w:p>
            <w:pPr>
              <w:pStyle w:val="TableParagraph"/>
              <w:ind w:right="23"/>
              <w:jc w:val="right"/>
              <w:rPr>
                <w:sz w:val="24"/>
              </w:rPr>
            </w:pPr>
            <w:r>
              <w:rPr>
                <w:spacing w:val="-2"/>
                <w:sz w:val="24"/>
              </w:rPr>
              <w:t>1,500</w:t>
            </w:r>
          </w:p>
        </w:tc>
      </w:tr>
      <w:tr>
        <w:trPr>
          <w:trHeight w:val="515" w:hRule="atLeast"/>
        </w:trPr>
        <w:tc>
          <w:tcPr>
            <w:tcW w:w="7050" w:type="dxa"/>
          </w:tcPr>
          <w:p>
            <w:pPr>
              <w:pStyle w:val="TableParagraph"/>
              <w:spacing w:before="118"/>
              <w:ind w:left="29"/>
              <w:rPr>
                <w:i/>
                <w:sz w:val="24"/>
              </w:rPr>
            </w:pPr>
            <w:r>
              <w:rPr>
                <w:i/>
                <w:sz w:val="24"/>
              </w:rPr>
              <w:t>Wheelchair</w:t>
            </w:r>
            <w:r>
              <w:rPr>
                <w:i/>
                <w:spacing w:val="-6"/>
                <w:sz w:val="24"/>
              </w:rPr>
              <w:t> </w:t>
            </w:r>
            <w:r>
              <w:rPr>
                <w:i/>
                <w:sz w:val="24"/>
              </w:rPr>
              <w:t>seating</w:t>
            </w:r>
            <w:r>
              <w:rPr>
                <w:i/>
                <w:spacing w:val="-5"/>
                <w:sz w:val="24"/>
              </w:rPr>
              <w:t> </w:t>
            </w:r>
            <w:r>
              <w:rPr>
                <w:i/>
                <w:sz w:val="24"/>
              </w:rPr>
              <w:t>spaces</w:t>
            </w:r>
            <w:r>
              <w:rPr>
                <w:i/>
                <w:spacing w:val="-5"/>
                <w:sz w:val="24"/>
              </w:rPr>
              <w:t> </w:t>
            </w:r>
            <w:r>
              <w:rPr>
                <w:i/>
                <w:sz w:val="24"/>
              </w:rPr>
              <w:t>in</w:t>
            </w:r>
            <w:r>
              <w:rPr>
                <w:i/>
                <w:spacing w:val="-5"/>
                <w:sz w:val="24"/>
              </w:rPr>
              <w:t> </w:t>
            </w:r>
            <w:r>
              <w:rPr>
                <w:i/>
                <w:spacing w:val="-2"/>
                <w:sz w:val="24"/>
              </w:rPr>
              <w:t>auditoria</w:t>
            </w:r>
          </w:p>
        </w:tc>
        <w:tc>
          <w:tcPr>
            <w:tcW w:w="1440" w:type="dxa"/>
          </w:tcPr>
          <w:p>
            <w:pPr>
              <w:pStyle w:val="TableParagraph"/>
              <w:rPr>
                <w:rFonts w:ascii="Times New Roman"/>
                <w:sz w:val="22"/>
              </w:rPr>
            </w:pPr>
          </w:p>
        </w:tc>
      </w:tr>
      <w:tr>
        <w:trPr>
          <w:trHeight w:val="517" w:hRule="atLeast"/>
        </w:trPr>
        <w:tc>
          <w:tcPr>
            <w:tcW w:w="7050" w:type="dxa"/>
          </w:tcPr>
          <w:p>
            <w:pPr>
              <w:pStyle w:val="TableParagraph"/>
              <w:spacing w:before="116"/>
              <w:ind w:left="284"/>
              <w:rPr>
                <w:sz w:val="24"/>
              </w:rPr>
            </w:pPr>
            <w:r>
              <w:rPr>
                <w:sz w:val="24"/>
              </w:rPr>
              <w:t>Allowance</w:t>
            </w:r>
            <w:r>
              <w:rPr>
                <w:spacing w:val="-5"/>
                <w:sz w:val="24"/>
              </w:rPr>
              <w:t> </w:t>
            </w:r>
            <w:r>
              <w:rPr>
                <w:sz w:val="24"/>
              </w:rPr>
              <w:t>for</w:t>
            </w:r>
            <w:r>
              <w:rPr>
                <w:spacing w:val="-4"/>
                <w:sz w:val="24"/>
              </w:rPr>
              <w:t> </w:t>
            </w:r>
            <w:r>
              <w:rPr>
                <w:sz w:val="24"/>
              </w:rPr>
              <w:t>additional</w:t>
            </w:r>
            <w:r>
              <w:rPr>
                <w:spacing w:val="-4"/>
                <w:sz w:val="24"/>
              </w:rPr>
              <w:t> </w:t>
            </w:r>
            <w:r>
              <w:rPr>
                <w:sz w:val="24"/>
              </w:rPr>
              <w:t>floor</w:t>
            </w:r>
            <w:r>
              <w:rPr>
                <w:spacing w:val="-6"/>
                <w:sz w:val="24"/>
              </w:rPr>
              <w:t> </w:t>
            </w:r>
            <w:r>
              <w:rPr>
                <w:sz w:val="24"/>
              </w:rPr>
              <w:t>area</w:t>
            </w:r>
            <w:r>
              <w:rPr>
                <w:spacing w:val="-4"/>
                <w:sz w:val="24"/>
              </w:rPr>
              <w:t> </w:t>
            </w:r>
            <w:r>
              <w:rPr>
                <w:sz w:val="24"/>
              </w:rPr>
              <w:t>requirement</w:t>
            </w:r>
            <w:r>
              <w:rPr>
                <w:spacing w:val="-4"/>
                <w:sz w:val="24"/>
              </w:rPr>
              <w:t> </w:t>
            </w:r>
            <w:r>
              <w:rPr>
                <w:sz w:val="24"/>
              </w:rPr>
              <w:t>per</w:t>
            </w:r>
            <w:r>
              <w:rPr>
                <w:spacing w:val="-4"/>
                <w:sz w:val="24"/>
              </w:rPr>
              <w:t> seat</w:t>
            </w:r>
          </w:p>
        </w:tc>
        <w:tc>
          <w:tcPr>
            <w:tcW w:w="1440" w:type="dxa"/>
          </w:tcPr>
          <w:p>
            <w:pPr>
              <w:pStyle w:val="TableParagraph"/>
              <w:spacing w:before="116"/>
              <w:ind w:right="22"/>
              <w:jc w:val="right"/>
              <w:rPr>
                <w:sz w:val="24"/>
              </w:rPr>
            </w:pPr>
            <w:r>
              <w:rPr>
                <w:spacing w:val="-2"/>
                <w:sz w:val="24"/>
              </w:rPr>
              <w:t>2,400</w:t>
            </w:r>
          </w:p>
        </w:tc>
      </w:tr>
      <w:tr>
        <w:trPr>
          <w:trHeight w:val="515" w:hRule="atLeast"/>
        </w:trPr>
        <w:tc>
          <w:tcPr>
            <w:tcW w:w="7050" w:type="dxa"/>
          </w:tcPr>
          <w:p>
            <w:pPr>
              <w:pStyle w:val="TableParagraph"/>
              <w:spacing w:before="118"/>
              <w:ind w:left="29"/>
              <w:rPr>
                <w:i/>
                <w:sz w:val="24"/>
              </w:rPr>
            </w:pPr>
            <w:r>
              <w:rPr>
                <w:i/>
                <w:spacing w:val="-2"/>
                <w:sz w:val="24"/>
              </w:rPr>
              <w:t>Lifts</w:t>
            </w:r>
          </w:p>
        </w:tc>
        <w:tc>
          <w:tcPr>
            <w:tcW w:w="1440" w:type="dxa"/>
          </w:tcPr>
          <w:p>
            <w:pPr>
              <w:pStyle w:val="TableParagraph"/>
              <w:rPr>
                <w:rFonts w:ascii="Times New Roman"/>
                <w:sz w:val="22"/>
              </w:rPr>
            </w:pPr>
          </w:p>
        </w:tc>
      </w:tr>
      <w:tr>
        <w:trPr>
          <w:trHeight w:val="515" w:hRule="atLeast"/>
        </w:trPr>
        <w:tc>
          <w:tcPr>
            <w:tcW w:w="7050" w:type="dxa"/>
          </w:tcPr>
          <w:p>
            <w:pPr>
              <w:pStyle w:val="TableParagraph"/>
              <w:spacing w:before="116"/>
              <w:ind w:left="284"/>
              <w:rPr>
                <w:sz w:val="24"/>
              </w:rPr>
            </w:pPr>
            <w:r>
              <w:rPr>
                <w:sz w:val="24"/>
              </w:rPr>
              <w:t>Extra</w:t>
            </w:r>
            <w:r>
              <w:rPr>
                <w:spacing w:val="-7"/>
                <w:sz w:val="24"/>
              </w:rPr>
              <w:t> </w:t>
            </w:r>
            <w:r>
              <w:rPr>
                <w:sz w:val="24"/>
              </w:rPr>
              <w:t>over</w:t>
            </w:r>
            <w:r>
              <w:rPr>
                <w:spacing w:val="-4"/>
                <w:sz w:val="24"/>
              </w:rPr>
              <w:t> </w:t>
            </w:r>
            <w:r>
              <w:rPr>
                <w:sz w:val="24"/>
              </w:rPr>
              <w:t>standard</w:t>
            </w:r>
            <w:r>
              <w:rPr>
                <w:spacing w:val="-5"/>
                <w:sz w:val="24"/>
              </w:rPr>
              <w:t> </w:t>
            </w:r>
            <w:r>
              <w:rPr>
                <w:sz w:val="24"/>
              </w:rPr>
              <w:t>lift</w:t>
            </w:r>
            <w:r>
              <w:rPr>
                <w:spacing w:val="-4"/>
                <w:sz w:val="24"/>
              </w:rPr>
              <w:t> </w:t>
            </w:r>
            <w:r>
              <w:rPr>
                <w:sz w:val="24"/>
              </w:rPr>
              <w:t>for</w:t>
            </w:r>
            <w:r>
              <w:rPr>
                <w:spacing w:val="-4"/>
                <w:sz w:val="24"/>
              </w:rPr>
              <w:t> </w:t>
            </w:r>
            <w:r>
              <w:rPr>
                <w:sz w:val="24"/>
              </w:rPr>
              <w:t>90</w:t>
            </w:r>
            <w:r>
              <w:rPr>
                <w:sz w:val="24"/>
                <w:vertAlign w:val="superscript"/>
              </w:rPr>
              <w:t>th</w:t>
            </w:r>
            <w:r>
              <w:rPr>
                <w:spacing w:val="-5"/>
                <w:sz w:val="24"/>
                <w:vertAlign w:val="baseline"/>
              </w:rPr>
              <w:t> </w:t>
            </w:r>
            <w:r>
              <w:rPr>
                <w:sz w:val="24"/>
                <w:vertAlign w:val="baseline"/>
              </w:rPr>
              <w:t>percentile</w:t>
            </w:r>
            <w:r>
              <w:rPr>
                <w:spacing w:val="-4"/>
                <w:sz w:val="24"/>
                <w:vertAlign w:val="baseline"/>
              </w:rPr>
              <w:t> </w:t>
            </w:r>
            <w:r>
              <w:rPr>
                <w:sz w:val="24"/>
                <w:vertAlign w:val="baseline"/>
              </w:rPr>
              <w:t>car</w:t>
            </w:r>
            <w:r>
              <w:rPr>
                <w:spacing w:val="-4"/>
                <w:sz w:val="24"/>
                <w:vertAlign w:val="baseline"/>
              </w:rPr>
              <w:t> size</w:t>
            </w:r>
          </w:p>
        </w:tc>
        <w:tc>
          <w:tcPr>
            <w:tcW w:w="1440" w:type="dxa"/>
          </w:tcPr>
          <w:p>
            <w:pPr>
              <w:pStyle w:val="TableParagraph"/>
              <w:spacing w:before="116"/>
              <w:ind w:right="22"/>
              <w:jc w:val="right"/>
              <w:rPr>
                <w:sz w:val="24"/>
              </w:rPr>
            </w:pPr>
            <w:r>
              <w:rPr>
                <w:spacing w:val="-2"/>
                <w:sz w:val="24"/>
              </w:rPr>
              <w:t>5,000</w:t>
            </w:r>
          </w:p>
        </w:tc>
      </w:tr>
      <w:tr>
        <w:trPr>
          <w:trHeight w:val="515" w:hRule="atLeast"/>
        </w:trPr>
        <w:tc>
          <w:tcPr>
            <w:tcW w:w="7050" w:type="dxa"/>
          </w:tcPr>
          <w:p>
            <w:pPr>
              <w:pStyle w:val="TableParagraph"/>
              <w:spacing w:before="116"/>
              <w:ind w:left="284"/>
              <w:rPr>
                <w:sz w:val="24"/>
              </w:rPr>
            </w:pPr>
            <w:r>
              <w:rPr>
                <w:sz w:val="24"/>
              </w:rPr>
              <w:t>Extra</w:t>
            </w:r>
            <w:r>
              <w:rPr>
                <w:spacing w:val="-6"/>
                <w:sz w:val="24"/>
              </w:rPr>
              <w:t> </w:t>
            </w:r>
            <w:r>
              <w:rPr>
                <w:sz w:val="24"/>
              </w:rPr>
              <w:t>over</w:t>
            </w:r>
            <w:r>
              <w:rPr>
                <w:spacing w:val="-6"/>
                <w:sz w:val="24"/>
              </w:rPr>
              <w:t> </w:t>
            </w:r>
            <w:r>
              <w:rPr>
                <w:sz w:val="24"/>
              </w:rPr>
              <w:t>standard</w:t>
            </w:r>
            <w:r>
              <w:rPr>
                <w:spacing w:val="-6"/>
                <w:sz w:val="24"/>
              </w:rPr>
              <w:t> </w:t>
            </w:r>
            <w:r>
              <w:rPr>
                <w:sz w:val="24"/>
              </w:rPr>
              <w:t>lift</w:t>
            </w:r>
            <w:r>
              <w:rPr>
                <w:spacing w:val="-5"/>
                <w:sz w:val="24"/>
              </w:rPr>
              <w:t> </w:t>
            </w:r>
            <w:r>
              <w:rPr>
                <w:sz w:val="24"/>
              </w:rPr>
              <w:t>for</w:t>
            </w:r>
            <w:r>
              <w:rPr>
                <w:spacing w:val="-6"/>
                <w:sz w:val="24"/>
              </w:rPr>
              <w:t> </w:t>
            </w:r>
            <w:r>
              <w:rPr>
                <w:sz w:val="24"/>
              </w:rPr>
              <w:t>additional</w:t>
            </w:r>
            <w:r>
              <w:rPr>
                <w:spacing w:val="-6"/>
                <w:sz w:val="24"/>
              </w:rPr>
              <w:t> </w:t>
            </w:r>
            <w:r>
              <w:rPr>
                <w:sz w:val="24"/>
              </w:rPr>
              <w:t>accessibility</w:t>
            </w:r>
            <w:r>
              <w:rPr>
                <w:spacing w:val="-5"/>
                <w:sz w:val="24"/>
              </w:rPr>
              <w:t> </w:t>
            </w:r>
            <w:r>
              <w:rPr>
                <w:spacing w:val="-2"/>
                <w:sz w:val="24"/>
              </w:rPr>
              <w:t>features</w:t>
            </w:r>
          </w:p>
        </w:tc>
        <w:tc>
          <w:tcPr>
            <w:tcW w:w="1440" w:type="dxa"/>
          </w:tcPr>
          <w:p>
            <w:pPr>
              <w:pStyle w:val="TableParagraph"/>
              <w:spacing w:before="116"/>
              <w:ind w:right="22"/>
              <w:jc w:val="right"/>
              <w:rPr>
                <w:sz w:val="24"/>
              </w:rPr>
            </w:pPr>
            <w:r>
              <w:rPr>
                <w:spacing w:val="-2"/>
                <w:sz w:val="24"/>
              </w:rPr>
              <w:t>6,000</w:t>
            </w:r>
          </w:p>
        </w:tc>
      </w:tr>
      <w:tr>
        <w:trPr>
          <w:trHeight w:val="515" w:hRule="atLeast"/>
        </w:trPr>
        <w:tc>
          <w:tcPr>
            <w:tcW w:w="7050" w:type="dxa"/>
          </w:tcPr>
          <w:p>
            <w:pPr>
              <w:pStyle w:val="TableParagraph"/>
              <w:spacing w:before="116"/>
              <w:ind w:left="284"/>
              <w:rPr>
                <w:sz w:val="24"/>
              </w:rPr>
            </w:pPr>
            <w:r>
              <w:rPr>
                <w:sz w:val="24"/>
              </w:rPr>
              <w:t>Retrofit</w:t>
            </w:r>
            <w:r>
              <w:rPr>
                <w:spacing w:val="-15"/>
                <w:sz w:val="24"/>
              </w:rPr>
              <w:t> </w:t>
            </w:r>
            <w:r>
              <w:rPr>
                <w:sz w:val="24"/>
              </w:rPr>
              <w:t>accessibility</w:t>
            </w:r>
            <w:r>
              <w:rPr>
                <w:spacing w:val="-15"/>
                <w:sz w:val="24"/>
              </w:rPr>
              <w:t> </w:t>
            </w:r>
            <w:r>
              <w:rPr>
                <w:sz w:val="24"/>
              </w:rPr>
              <w:t>features</w:t>
            </w:r>
            <w:r>
              <w:rPr>
                <w:spacing w:val="-15"/>
                <w:sz w:val="24"/>
              </w:rPr>
              <w:t> </w:t>
            </w:r>
            <w:r>
              <w:rPr>
                <w:sz w:val="24"/>
              </w:rPr>
              <w:t>to</w:t>
            </w:r>
            <w:r>
              <w:rPr>
                <w:spacing w:val="-14"/>
                <w:sz w:val="24"/>
              </w:rPr>
              <w:t> </w:t>
            </w:r>
            <w:r>
              <w:rPr>
                <w:sz w:val="24"/>
              </w:rPr>
              <w:t>existing</w:t>
            </w:r>
            <w:r>
              <w:rPr>
                <w:spacing w:val="-15"/>
                <w:sz w:val="24"/>
              </w:rPr>
              <w:t> </w:t>
            </w:r>
            <w:r>
              <w:rPr>
                <w:spacing w:val="-4"/>
                <w:sz w:val="24"/>
              </w:rPr>
              <w:t>lift</w:t>
            </w:r>
          </w:p>
        </w:tc>
        <w:tc>
          <w:tcPr>
            <w:tcW w:w="1440" w:type="dxa"/>
          </w:tcPr>
          <w:p>
            <w:pPr>
              <w:pStyle w:val="TableParagraph"/>
              <w:spacing w:before="116"/>
              <w:ind w:right="22"/>
              <w:jc w:val="right"/>
              <w:rPr>
                <w:sz w:val="24"/>
              </w:rPr>
            </w:pPr>
            <w:r>
              <w:rPr>
                <w:spacing w:val="-2"/>
                <w:sz w:val="24"/>
              </w:rPr>
              <w:t>16,000</w:t>
            </w:r>
          </w:p>
        </w:tc>
      </w:tr>
      <w:tr>
        <w:trPr>
          <w:trHeight w:val="515" w:hRule="atLeast"/>
        </w:trPr>
        <w:tc>
          <w:tcPr>
            <w:tcW w:w="7050" w:type="dxa"/>
          </w:tcPr>
          <w:p>
            <w:pPr>
              <w:pStyle w:val="TableParagraph"/>
              <w:spacing w:before="116"/>
              <w:ind w:left="284"/>
              <w:rPr>
                <w:sz w:val="24"/>
              </w:rPr>
            </w:pPr>
            <w:r>
              <w:rPr>
                <w:sz w:val="24"/>
              </w:rPr>
              <w:t>Lift</w:t>
            </w:r>
            <w:r>
              <w:rPr>
                <w:spacing w:val="-5"/>
                <w:sz w:val="24"/>
              </w:rPr>
              <w:t> </w:t>
            </w:r>
            <w:r>
              <w:rPr>
                <w:sz w:val="24"/>
              </w:rPr>
              <w:t>in</w:t>
            </w:r>
            <w:r>
              <w:rPr>
                <w:spacing w:val="-5"/>
                <w:sz w:val="24"/>
              </w:rPr>
              <w:t> </w:t>
            </w:r>
            <w:r>
              <w:rPr>
                <w:sz w:val="24"/>
              </w:rPr>
              <w:t>two</w:t>
            </w:r>
            <w:r>
              <w:rPr>
                <w:spacing w:val="-4"/>
                <w:sz w:val="24"/>
              </w:rPr>
              <w:t> </w:t>
            </w:r>
            <w:r>
              <w:rPr>
                <w:sz w:val="24"/>
              </w:rPr>
              <w:t>storey</w:t>
            </w:r>
            <w:r>
              <w:rPr>
                <w:spacing w:val="-5"/>
                <w:sz w:val="24"/>
              </w:rPr>
              <w:t> </w:t>
            </w:r>
            <w:r>
              <w:rPr>
                <w:sz w:val="24"/>
              </w:rPr>
              <w:t>buildings,</w:t>
            </w:r>
            <w:r>
              <w:rPr>
                <w:spacing w:val="-4"/>
                <w:sz w:val="24"/>
              </w:rPr>
              <w:t> </w:t>
            </w:r>
            <w:r>
              <w:rPr>
                <w:sz w:val="24"/>
              </w:rPr>
              <w:t>where</w:t>
            </w:r>
            <w:r>
              <w:rPr>
                <w:spacing w:val="-5"/>
                <w:sz w:val="24"/>
              </w:rPr>
              <w:t> </w:t>
            </w:r>
            <w:r>
              <w:rPr>
                <w:sz w:val="24"/>
              </w:rPr>
              <w:t>not</w:t>
            </w:r>
            <w:r>
              <w:rPr>
                <w:spacing w:val="-4"/>
                <w:sz w:val="24"/>
              </w:rPr>
              <w:t> </w:t>
            </w:r>
            <w:r>
              <w:rPr>
                <w:sz w:val="24"/>
              </w:rPr>
              <w:t>currently</w:t>
            </w:r>
            <w:r>
              <w:rPr>
                <w:spacing w:val="-5"/>
                <w:sz w:val="24"/>
              </w:rPr>
              <w:t> </w:t>
            </w:r>
            <w:r>
              <w:rPr>
                <w:spacing w:val="-2"/>
                <w:sz w:val="24"/>
              </w:rPr>
              <w:t>provided</w:t>
            </w:r>
          </w:p>
        </w:tc>
        <w:tc>
          <w:tcPr>
            <w:tcW w:w="1440" w:type="dxa"/>
          </w:tcPr>
          <w:p>
            <w:pPr>
              <w:pStyle w:val="TableParagraph"/>
              <w:spacing w:before="116"/>
              <w:ind w:right="23"/>
              <w:jc w:val="right"/>
              <w:rPr>
                <w:sz w:val="24"/>
              </w:rPr>
            </w:pPr>
            <w:r>
              <w:rPr>
                <w:spacing w:val="-2"/>
                <w:sz w:val="24"/>
              </w:rPr>
              <w:t>100,000</w:t>
            </w:r>
          </w:p>
        </w:tc>
      </w:tr>
      <w:tr>
        <w:trPr>
          <w:trHeight w:val="515" w:hRule="atLeast"/>
        </w:trPr>
        <w:tc>
          <w:tcPr>
            <w:tcW w:w="7050" w:type="dxa"/>
          </w:tcPr>
          <w:p>
            <w:pPr>
              <w:pStyle w:val="TableParagraph"/>
              <w:spacing w:before="118"/>
              <w:ind w:left="29"/>
              <w:rPr>
                <w:i/>
                <w:sz w:val="24"/>
              </w:rPr>
            </w:pPr>
            <w:r>
              <w:rPr>
                <w:i/>
                <w:sz w:val="24"/>
              </w:rPr>
              <w:t>AS</w:t>
            </w:r>
            <w:r>
              <w:rPr>
                <w:i/>
                <w:spacing w:val="-1"/>
                <w:sz w:val="24"/>
              </w:rPr>
              <w:t> </w:t>
            </w:r>
            <w:r>
              <w:rPr>
                <w:i/>
                <w:spacing w:val="-4"/>
                <w:sz w:val="24"/>
              </w:rPr>
              <w:t>1428</w:t>
            </w:r>
          </w:p>
        </w:tc>
        <w:tc>
          <w:tcPr>
            <w:tcW w:w="1440" w:type="dxa"/>
          </w:tcPr>
          <w:p>
            <w:pPr>
              <w:pStyle w:val="TableParagraph"/>
              <w:rPr>
                <w:rFonts w:ascii="Times New Roman"/>
                <w:sz w:val="22"/>
              </w:rPr>
            </w:pPr>
          </w:p>
        </w:tc>
      </w:tr>
      <w:tr>
        <w:trPr>
          <w:trHeight w:val="793" w:hRule="atLeast"/>
        </w:trPr>
        <w:tc>
          <w:tcPr>
            <w:tcW w:w="7050" w:type="dxa"/>
          </w:tcPr>
          <w:p>
            <w:pPr>
              <w:pStyle w:val="TableParagraph"/>
              <w:spacing w:before="116"/>
              <w:ind w:left="284"/>
              <w:rPr>
                <w:sz w:val="24"/>
              </w:rPr>
            </w:pPr>
            <w:r>
              <w:rPr>
                <w:sz w:val="24"/>
              </w:rPr>
              <w:t>Allowance</w:t>
            </w:r>
            <w:r>
              <w:rPr>
                <w:spacing w:val="-7"/>
                <w:sz w:val="24"/>
              </w:rPr>
              <w:t> </w:t>
            </w:r>
            <w:r>
              <w:rPr>
                <w:sz w:val="24"/>
              </w:rPr>
              <w:t>for</w:t>
            </w:r>
            <w:r>
              <w:rPr>
                <w:spacing w:val="-7"/>
                <w:sz w:val="24"/>
              </w:rPr>
              <w:t> </w:t>
            </w:r>
            <w:r>
              <w:rPr>
                <w:sz w:val="24"/>
              </w:rPr>
              <w:t>additional</w:t>
            </w:r>
            <w:r>
              <w:rPr>
                <w:spacing w:val="-7"/>
                <w:sz w:val="24"/>
              </w:rPr>
              <w:t> </w:t>
            </w:r>
            <w:r>
              <w:rPr>
                <w:sz w:val="24"/>
              </w:rPr>
              <w:t>space</w:t>
            </w:r>
            <w:r>
              <w:rPr>
                <w:spacing w:val="-7"/>
                <w:sz w:val="24"/>
              </w:rPr>
              <w:t> </w:t>
            </w:r>
            <w:r>
              <w:rPr>
                <w:sz w:val="24"/>
              </w:rPr>
              <w:t>requirements</w:t>
            </w:r>
            <w:r>
              <w:rPr>
                <w:spacing w:val="-7"/>
                <w:sz w:val="24"/>
              </w:rPr>
              <w:t> </w:t>
            </w:r>
            <w:r>
              <w:rPr>
                <w:sz w:val="24"/>
              </w:rPr>
              <w:t>in</w:t>
            </w:r>
            <w:r>
              <w:rPr>
                <w:spacing w:val="-7"/>
                <w:sz w:val="24"/>
              </w:rPr>
              <w:t> </w:t>
            </w:r>
            <w:r>
              <w:rPr>
                <w:sz w:val="24"/>
              </w:rPr>
              <w:t>accessible sanitary facilities (per location)</w:t>
            </w:r>
          </w:p>
        </w:tc>
        <w:tc>
          <w:tcPr>
            <w:tcW w:w="1440" w:type="dxa"/>
          </w:tcPr>
          <w:p>
            <w:pPr>
              <w:pStyle w:val="TableParagraph"/>
              <w:spacing w:before="1"/>
              <w:rPr>
                <w:b/>
                <w:sz w:val="22"/>
              </w:rPr>
            </w:pPr>
          </w:p>
          <w:p>
            <w:pPr>
              <w:pStyle w:val="TableParagraph"/>
              <w:ind w:right="23"/>
              <w:jc w:val="right"/>
              <w:rPr>
                <w:sz w:val="24"/>
              </w:rPr>
            </w:pPr>
            <w:r>
              <w:rPr>
                <w:spacing w:val="-2"/>
                <w:sz w:val="24"/>
              </w:rPr>
              <w:t>1,200</w:t>
            </w:r>
          </w:p>
        </w:tc>
      </w:tr>
      <w:tr>
        <w:trPr>
          <w:trHeight w:val="791" w:hRule="atLeast"/>
        </w:trPr>
        <w:tc>
          <w:tcPr>
            <w:tcW w:w="7050" w:type="dxa"/>
          </w:tcPr>
          <w:p>
            <w:pPr>
              <w:pStyle w:val="TableParagraph"/>
              <w:spacing w:before="116"/>
              <w:ind w:left="284" w:right="112"/>
              <w:rPr>
                <w:sz w:val="24"/>
              </w:rPr>
            </w:pPr>
            <w:r>
              <w:rPr>
                <w:sz w:val="24"/>
              </w:rPr>
              <w:t>Allowance</w:t>
            </w:r>
            <w:r>
              <w:rPr>
                <w:spacing w:val="-7"/>
                <w:sz w:val="24"/>
              </w:rPr>
              <w:t> </w:t>
            </w:r>
            <w:r>
              <w:rPr>
                <w:sz w:val="24"/>
              </w:rPr>
              <w:t>for</w:t>
            </w:r>
            <w:r>
              <w:rPr>
                <w:spacing w:val="-7"/>
                <w:sz w:val="24"/>
              </w:rPr>
              <w:t> </w:t>
            </w:r>
            <w:r>
              <w:rPr>
                <w:sz w:val="24"/>
              </w:rPr>
              <w:t>additional</w:t>
            </w:r>
            <w:r>
              <w:rPr>
                <w:spacing w:val="-7"/>
                <w:sz w:val="24"/>
              </w:rPr>
              <w:t> </w:t>
            </w:r>
            <w:r>
              <w:rPr>
                <w:sz w:val="24"/>
              </w:rPr>
              <w:t>space</w:t>
            </w:r>
            <w:r>
              <w:rPr>
                <w:spacing w:val="-7"/>
                <w:sz w:val="24"/>
              </w:rPr>
              <w:t> </w:t>
            </w:r>
            <w:r>
              <w:rPr>
                <w:sz w:val="24"/>
              </w:rPr>
              <w:t>requirements</w:t>
            </w:r>
            <w:r>
              <w:rPr>
                <w:spacing w:val="-7"/>
                <w:sz w:val="24"/>
              </w:rPr>
              <w:t> </w:t>
            </w:r>
            <w:r>
              <w:rPr>
                <w:sz w:val="24"/>
              </w:rPr>
              <w:t>in</w:t>
            </w:r>
            <w:r>
              <w:rPr>
                <w:spacing w:val="-7"/>
                <w:sz w:val="24"/>
              </w:rPr>
              <w:t> </w:t>
            </w:r>
            <w:r>
              <w:rPr>
                <w:sz w:val="24"/>
              </w:rPr>
              <w:t>circulation areas (per location)</w:t>
            </w:r>
          </w:p>
        </w:tc>
        <w:tc>
          <w:tcPr>
            <w:tcW w:w="1440" w:type="dxa"/>
          </w:tcPr>
          <w:p>
            <w:pPr>
              <w:pStyle w:val="TableParagraph"/>
              <w:spacing w:before="1"/>
              <w:rPr>
                <w:b/>
                <w:sz w:val="22"/>
              </w:rPr>
            </w:pPr>
          </w:p>
          <w:p>
            <w:pPr>
              <w:pStyle w:val="TableParagraph"/>
              <w:ind w:right="23"/>
              <w:jc w:val="right"/>
              <w:rPr>
                <w:sz w:val="24"/>
              </w:rPr>
            </w:pPr>
            <w:r>
              <w:rPr>
                <w:spacing w:val="-2"/>
                <w:sz w:val="24"/>
              </w:rPr>
              <w:t>1,000</w:t>
            </w:r>
          </w:p>
        </w:tc>
      </w:tr>
    </w:tbl>
    <w:p>
      <w:pPr>
        <w:spacing w:after="0"/>
        <w:jc w:val="right"/>
        <w:rPr>
          <w:sz w:val="24"/>
        </w:rPr>
        <w:sectPr>
          <w:type w:val="continuous"/>
          <w:pgSz w:w="11900" w:h="16840"/>
          <w:pgMar w:header="0" w:footer="1130" w:top="1080" w:bottom="1320" w:left="1380" w:right="980"/>
        </w:sectPr>
      </w:pPr>
    </w:p>
    <w:p>
      <w:pPr>
        <w:spacing w:before="77"/>
        <w:ind w:left="420" w:right="811" w:firstLine="0"/>
        <w:jc w:val="left"/>
        <w:rPr>
          <w:b/>
          <w:sz w:val="24"/>
        </w:rPr>
      </w:pPr>
      <w:r>
        <w:rPr>
          <w:b/>
          <w:sz w:val="24"/>
        </w:rPr>
        <w:t>BASE</w:t>
      </w:r>
      <w:r>
        <w:rPr>
          <w:b/>
          <w:spacing w:val="-8"/>
          <w:sz w:val="24"/>
        </w:rPr>
        <w:t> </w:t>
      </w:r>
      <w:r>
        <w:rPr>
          <w:b/>
          <w:sz w:val="24"/>
        </w:rPr>
        <w:t>CONSTRUCTION</w:t>
      </w:r>
      <w:r>
        <w:rPr>
          <w:b/>
          <w:spacing w:val="-8"/>
          <w:sz w:val="24"/>
        </w:rPr>
        <w:t> </w:t>
      </w:r>
      <w:r>
        <w:rPr>
          <w:b/>
          <w:sz w:val="24"/>
        </w:rPr>
        <w:t>COST</w:t>
      </w:r>
      <w:r>
        <w:rPr>
          <w:b/>
          <w:spacing w:val="-8"/>
          <w:sz w:val="24"/>
        </w:rPr>
        <w:t> </w:t>
      </w:r>
      <w:r>
        <w:rPr>
          <w:b/>
          <w:sz w:val="24"/>
        </w:rPr>
        <w:t>(“GENERIC</w:t>
      </w:r>
      <w:r>
        <w:rPr>
          <w:b/>
          <w:spacing w:val="-8"/>
          <w:sz w:val="24"/>
        </w:rPr>
        <w:t> </w:t>
      </w:r>
      <w:r>
        <w:rPr>
          <w:b/>
          <w:sz w:val="24"/>
        </w:rPr>
        <w:t>BUILDING”</w:t>
      </w:r>
      <w:r>
        <w:rPr>
          <w:b/>
          <w:spacing w:val="-8"/>
          <w:sz w:val="24"/>
        </w:rPr>
        <w:t> </w:t>
      </w:r>
      <w:r>
        <w:rPr>
          <w:b/>
          <w:sz w:val="24"/>
        </w:rPr>
        <w:t>COST) </w:t>
      </w:r>
      <w:r>
        <w:rPr>
          <w:b/>
          <w:spacing w:val="-2"/>
          <w:sz w:val="24"/>
        </w:rPr>
        <w:t>METHODOLOGY</w:t>
      </w:r>
      <w:r>
        <w:rPr>
          <w:b/>
          <w:spacing w:val="-2"/>
          <w:sz w:val="24"/>
          <w:vertAlign w:val="superscript"/>
        </w:rPr>
        <w:t>85</w:t>
      </w:r>
    </w:p>
    <w:p>
      <w:pPr>
        <w:pStyle w:val="BodyText"/>
        <w:spacing w:before="6" w:after="1"/>
        <w:rPr>
          <w:b/>
          <w:sz w:val="10"/>
        </w:rPr>
      </w:pPr>
    </w:p>
    <w:tbl>
      <w:tblPr>
        <w:tblW w:w="0" w:type="auto"/>
        <w:jc w:val="left"/>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
        <w:gridCol w:w="2172"/>
        <w:gridCol w:w="2630"/>
        <w:gridCol w:w="1610"/>
        <w:gridCol w:w="1364"/>
      </w:tblGrid>
      <w:tr>
        <w:trPr>
          <w:trHeight w:val="1083" w:hRule="atLeast"/>
        </w:trPr>
        <w:tc>
          <w:tcPr>
            <w:tcW w:w="698" w:type="dxa"/>
          </w:tcPr>
          <w:p>
            <w:pPr>
              <w:pStyle w:val="TableParagraph"/>
              <w:rPr>
                <w:b/>
                <w:sz w:val="26"/>
              </w:rPr>
            </w:pPr>
          </w:p>
          <w:p>
            <w:pPr>
              <w:pStyle w:val="TableParagraph"/>
              <w:spacing w:before="7"/>
              <w:rPr>
                <w:b/>
                <w:sz w:val="33"/>
              </w:rPr>
            </w:pPr>
          </w:p>
          <w:p>
            <w:pPr>
              <w:pStyle w:val="TableParagraph"/>
              <w:ind w:left="14" w:right="3"/>
              <w:jc w:val="center"/>
              <w:rPr>
                <w:b/>
                <w:sz w:val="24"/>
              </w:rPr>
            </w:pPr>
            <w:r>
              <w:rPr>
                <w:b/>
                <w:spacing w:val="-2"/>
                <w:sz w:val="24"/>
              </w:rPr>
              <w:t>Class</w:t>
            </w:r>
          </w:p>
        </w:tc>
        <w:tc>
          <w:tcPr>
            <w:tcW w:w="2172" w:type="dxa"/>
          </w:tcPr>
          <w:p>
            <w:pPr>
              <w:pStyle w:val="TableParagraph"/>
              <w:spacing w:before="7"/>
              <w:rPr>
                <w:b/>
                <w:sz w:val="35"/>
              </w:rPr>
            </w:pPr>
          </w:p>
          <w:p>
            <w:pPr>
              <w:pStyle w:val="TableParagraph"/>
              <w:ind w:left="15" w:right="836"/>
              <w:rPr>
                <w:b/>
                <w:sz w:val="24"/>
              </w:rPr>
            </w:pPr>
            <w:r>
              <w:rPr>
                <w:b/>
                <w:sz w:val="24"/>
              </w:rPr>
              <w:t>Case</w:t>
            </w:r>
            <w:r>
              <w:rPr>
                <w:b/>
                <w:spacing w:val="-17"/>
                <w:sz w:val="24"/>
              </w:rPr>
              <w:t> </w:t>
            </w:r>
            <w:r>
              <w:rPr>
                <w:b/>
                <w:sz w:val="24"/>
              </w:rPr>
              <w:t>Study </w:t>
            </w:r>
            <w:r>
              <w:rPr>
                <w:b/>
                <w:spacing w:val="-2"/>
                <w:sz w:val="24"/>
              </w:rPr>
              <w:t>Building</w:t>
            </w:r>
          </w:p>
        </w:tc>
        <w:tc>
          <w:tcPr>
            <w:tcW w:w="2630" w:type="dxa"/>
          </w:tcPr>
          <w:p>
            <w:pPr>
              <w:pStyle w:val="TableParagraph"/>
              <w:rPr>
                <w:b/>
                <w:sz w:val="26"/>
              </w:rPr>
            </w:pPr>
          </w:p>
          <w:p>
            <w:pPr>
              <w:pStyle w:val="TableParagraph"/>
              <w:spacing w:before="7"/>
              <w:rPr>
                <w:b/>
                <w:sz w:val="33"/>
              </w:rPr>
            </w:pPr>
          </w:p>
          <w:p>
            <w:pPr>
              <w:pStyle w:val="TableParagraph"/>
              <w:ind w:left="15"/>
              <w:rPr>
                <w:b/>
                <w:sz w:val="24"/>
              </w:rPr>
            </w:pPr>
            <w:r>
              <w:rPr>
                <w:b/>
                <w:spacing w:val="-2"/>
                <w:sz w:val="24"/>
              </w:rPr>
              <w:t>Comments</w:t>
            </w:r>
          </w:p>
        </w:tc>
        <w:tc>
          <w:tcPr>
            <w:tcW w:w="1610" w:type="dxa"/>
          </w:tcPr>
          <w:p>
            <w:pPr>
              <w:pStyle w:val="TableParagraph"/>
              <w:spacing w:before="133"/>
              <w:ind w:left="15" w:right="194"/>
              <w:rPr>
                <w:b/>
                <w:sz w:val="24"/>
              </w:rPr>
            </w:pPr>
            <w:r>
              <w:rPr>
                <w:b/>
                <w:sz w:val="24"/>
              </w:rPr>
              <w:t>Base cost calculation</w:t>
            </w:r>
            <w:r>
              <w:rPr>
                <w:b/>
                <w:spacing w:val="-17"/>
                <w:sz w:val="24"/>
              </w:rPr>
              <w:t> </w:t>
            </w:r>
            <w:r>
              <w:rPr>
                <w:b/>
                <w:sz w:val="24"/>
              </w:rPr>
              <w:t>/ </w:t>
            </w:r>
            <w:r>
              <w:rPr>
                <w:b/>
                <w:spacing w:val="-2"/>
                <w:sz w:val="24"/>
              </w:rPr>
              <w:t>basis</w:t>
            </w:r>
          </w:p>
        </w:tc>
        <w:tc>
          <w:tcPr>
            <w:tcW w:w="1364" w:type="dxa"/>
          </w:tcPr>
          <w:p>
            <w:pPr>
              <w:pStyle w:val="TableParagraph"/>
              <w:spacing w:before="7"/>
              <w:rPr>
                <w:b/>
                <w:sz w:val="35"/>
              </w:rPr>
            </w:pPr>
          </w:p>
          <w:p>
            <w:pPr>
              <w:pStyle w:val="TableParagraph"/>
              <w:ind w:left="35" w:right="22" w:firstLine="80"/>
              <w:rPr>
                <w:b/>
                <w:sz w:val="24"/>
              </w:rPr>
            </w:pPr>
            <w:r>
              <w:rPr>
                <w:b/>
                <w:sz w:val="24"/>
              </w:rPr>
              <w:t>Base cost adopted</w:t>
            </w:r>
            <w:r>
              <w:rPr>
                <w:b/>
                <w:spacing w:val="-17"/>
                <w:sz w:val="24"/>
              </w:rPr>
              <w:t> </w:t>
            </w:r>
            <w:r>
              <w:rPr>
                <w:b/>
                <w:sz w:val="24"/>
              </w:rPr>
              <w:t>($)</w:t>
            </w:r>
          </w:p>
        </w:tc>
      </w:tr>
      <w:tr>
        <w:trPr>
          <w:trHeight w:val="520" w:hRule="atLeast"/>
        </w:trPr>
        <w:tc>
          <w:tcPr>
            <w:tcW w:w="8474" w:type="dxa"/>
            <w:gridSpan w:val="5"/>
          </w:tcPr>
          <w:p>
            <w:pPr>
              <w:pStyle w:val="TableParagraph"/>
              <w:spacing w:before="124"/>
              <w:ind w:left="15"/>
              <w:rPr>
                <w:i/>
                <w:sz w:val="24"/>
              </w:rPr>
            </w:pPr>
            <w:r>
              <w:rPr>
                <w:i/>
                <w:sz w:val="24"/>
              </w:rPr>
              <w:t>NEW</w:t>
            </w:r>
            <w:r>
              <w:rPr>
                <w:i/>
                <w:spacing w:val="-2"/>
                <w:sz w:val="24"/>
              </w:rPr>
              <w:t> BUILDINGS</w:t>
            </w:r>
          </w:p>
        </w:tc>
      </w:tr>
      <w:tr>
        <w:trPr>
          <w:trHeight w:val="1073" w:hRule="atLeast"/>
        </w:trPr>
        <w:tc>
          <w:tcPr>
            <w:tcW w:w="698" w:type="dxa"/>
          </w:tcPr>
          <w:p>
            <w:pPr>
              <w:pStyle w:val="TableParagraph"/>
              <w:spacing w:before="6"/>
              <w:rPr>
                <w:b/>
                <w:sz w:val="34"/>
              </w:rPr>
            </w:pPr>
          </w:p>
          <w:p>
            <w:pPr>
              <w:pStyle w:val="TableParagraph"/>
              <w:ind w:left="12" w:right="3"/>
              <w:jc w:val="center"/>
              <w:rPr>
                <w:sz w:val="24"/>
              </w:rPr>
            </w:pPr>
            <w:r>
              <w:rPr>
                <w:spacing w:val="-5"/>
                <w:sz w:val="24"/>
              </w:rPr>
              <w:t>1b</w:t>
            </w:r>
          </w:p>
        </w:tc>
        <w:tc>
          <w:tcPr>
            <w:tcW w:w="2172" w:type="dxa"/>
          </w:tcPr>
          <w:p>
            <w:pPr>
              <w:pStyle w:val="TableParagraph"/>
              <w:spacing w:before="122"/>
              <w:ind w:left="15"/>
              <w:rPr>
                <w:sz w:val="24"/>
              </w:rPr>
            </w:pPr>
            <w:r>
              <w:rPr>
                <w:sz w:val="24"/>
              </w:rPr>
              <w:t>Single storey – </w:t>
            </w:r>
            <w:r>
              <w:rPr>
                <w:spacing w:val="-2"/>
                <w:sz w:val="24"/>
              </w:rPr>
              <w:t>holiday accommodation</w:t>
            </w:r>
          </w:p>
        </w:tc>
        <w:tc>
          <w:tcPr>
            <w:tcW w:w="2630" w:type="dxa"/>
          </w:tcPr>
          <w:p>
            <w:pPr>
              <w:pStyle w:val="TableParagraph"/>
              <w:spacing w:before="122"/>
              <w:ind w:left="15"/>
              <w:rPr>
                <w:sz w:val="24"/>
              </w:rPr>
            </w:pPr>
            <w:r>
              <w:rPr>
                <w:sz w:val="24"/>
              </w:rPr>
              <w:t>Class 1b &lt;300m</w:t>
            </w:r>
            <w:r>
              <w:rPr>
                <w:sz w:val="24"/>
                <w:vertAlign w:val="superscript"/>
              </w:rPr>
              <w:t>2</w:t>
            </w:r>
            <w:r>
              <w:rPr>
                <w:sz w:val="24"/>
                <w:vertAlign w:val="baseline"/>
              </w:rPr>
              <w:t>, &lt;12 persons;</w:t>
            </w:r>
            <w:r>
              <w:rPr>
                <w:spacing w:val="-17"/>
                <w:sz w:val="24"/>
                <w:vertAlign w:val="baseline"/>
              </w:rPr>
              <w:t> </w:t>
            </w:r>
            <w:r>
              <w:rPr>
                <w:sz w:val="24"/>
                <w:vertAlign w:val="baseline"/>
              </w:rPr>
              <w:t>assume</w:t>
            </w:r>
            <w:r>
              <w:rPr>
                <w:spacing w:val="-17"/>
                <w:sz w:val="24"/>
                <w:vertAlign w:val="baseline"/>
              </w:rPr>
              <w:t> </w:t>
            </w:r>
            <w:r>
              <w:rPr>
                <w:sz w:val="24"/>
                <w:vertAlign w:val="baseline"/>
              </w:rPr>
              <w:t>single </w:t>
            </w:r>
            <w:r>
              <w:rPr>
                <w:spacing w:val="-4"/>
                <w:sz w:val="24"/>
                <w:vertAlign w:val="baseline"/>
              </w:rPr>
              <w:t>unit</w:t>
            </w:r>
          </w:p>
        </w:tc>
        <w:tc>
          <w:tcPr>
            <w:tcW w:w="1610" w:type="dxa"/>
          </w:tcPr>
          <w:p>
            <w:pPr>
              <w:pStyle w:val="TableParagraph"/>
              <w:spacing w:before="6"/>
              <w:rPr>
                <w:b/>
                <w:sz w:val="22"/>
              </w:rPr>
            </w:pPr>
          </w:p>
          <w:p>
            <w:pPr>
              <w:pStyle w:val="TableParagraph"/>
              <w:ind w:left="15" w:right="515"/>
              <w:rPr>
                <w:sz w:val="24"/>
              </w:rPr>
            </w:pPr>
            <w:r>
              <w:rPr>
                <w:spacing w:val="-2"/>
                <w:sz w:val="24"/>
              </w:rPr>
              <w:t>Average allowance</w:t>
            </w:r>
          </w:p>
        </w:tc>
        <w:tc>
          <w:tcPr>
            <w:tcW w:w="1364" w:type="dxa"/>
          </w:tcPr>
          <w:p>
            <w:pPr>
              <w:pStyle w:val="TableParagraph"/>
              <w:spacing w:before="6"/>
              <w:rPr>
                <w:b/>
                <w:sz w:val="34"/>
              </w:rPr>
            </w:pPr>
          </w:p>
          <w:p>
            <w:pPr>
              <w:pStyle w:val="TableParagraph"/>
              <w:ind w:right="1"/>
              <w:jc w:val="right"/>
              <w:rPr>
                <w:sz w:val="24"/>
              </w:rPr>
            </w:pPr>
            <w:r>
              <w:rPr>
                <w:spacing w:val="-2"/>
                <w:sz w:val="24"/>
              </w:rPr>
              <w:t>165,000</w:t>
            </w:r>
          </w:p>
        </w:tc>
      </w:tr>
      <w:tr>
        <w:trPr>
          <w:trHeight w:val="1072" w:hRule="atLeast"/>
        </w:trPr>
        <w:tc>
          <w:tcPr>
            <w:tcW w:w="698" w:type="dxa"/>
          </w:tcPr>
          <w:p>
            <w:pPr>
              <w:pStyle w:val="TableParagraph"/>
              <w:spacing w:before="6"/>
              <w:rPr>
                <w:b/>
                <w:sz w:val="34"/>
              </w:rPr>
            </w:pPr>
          </w:p>
          <w:p>
            <w:pPr>
              <w:pStyle w:val="TableParagraph"/>
              <w:ind w:left="11"/>
              <w:jc w:val="center"/>
              <w:rPr>
                <w:sz w:val="24"/>
              </w:rPr>
            </w:pPr>
            <w:r>
              <w:rPr>
                <w:w w:val="99"/>
                <w:sz w:val="24"/>
              </w:rPr>
              <w:t>3</w:t>
            </w:r>
          </w:p>
        </w:tc>
        <w:tc>
          <w:tcPr>
            <w:tcW w:w="2172" w:type="dxa"/>
          </w:tcPr>
          <w:p>
            <w:pPr>
              <w:pStyle w:val="TableParagraph"/>
              <w:spacing w:before="6"/>
              <w:rPr>
                <w:b/>
                <w:sz w:val="22"/>
              </w:rPr>
            </w:pPr>
          </w:p>
          <w:p>
            <w:pPr>
              <w:pStyle w:val="TableParagraph"/>
              <w:ind w:left="15"/>
              <w:rPr>
                <w:sz w:val="24"/>
              </w:rPr>
            </w:pPr>
            <w:r>
              <w:rPr>
                <w:sz w:val="24"/>
              </w:rPr>
              <w:t>2 storey – hotel/motel</w:t>
            </w:r>
            <w:r>
              <w:rPr>
                <w:spacing w:val="-13"/>
                <w:sz w:val="24"/>
              </w:rPr>
              <w:t> </w:t>
            </w:r>
            <w:r>
              <w:rPr>
                <w:sz w:val="24"/>
              </w:rPr>
              <w:t>–</w:t>
            </w:r>
            <w:r>
              <w:rPr>
                <w:spacing w:val="-13"/>
                <w:sz w:val="24"/>
              </w:rPr>
              <w:t> </w:t>
            </w:r>
            <w:r>
              <w:rPr>
                <w:sz w:val="24"/>
              </w:rPr>
              <w:t>no</w:t>
            </w:r>
            <w:r>
              <w:rPr>
                <w:spacing w:val="-13"/>
                <w:sz w:val="24"/>
              </w:rPr>
              <w:t> </w:t>
            </w:r>
            <w:r>
              <w:rPr>
                <w:sz w:val="24"/>
              </w:rPr>
              <w:t>lift</w:t>
            </w:r>
          </w:p>
        </w:tc>
        <w:tc>
          <w:tcPr>
            <w:tcW w:w="2630" w:type="dxa"/>
          </w:tcPr>
          <w:p>
            <w:pPr>
              <w:pStyle w:val="TableParagraph"/>
              <w:spacing w:before="122"/>
              <w:ind w:left="15"/>
              <w:rPr>
                <w:sz w:val="24"/>
              </w:rPr>
            </w:pPr>
            <w:r>
              <w:rPr>
                <w:sz w:val="24"/>
              </w:rPr>
              <w:t>assume 50 rooms - accessible</w:t>
            </w:r>
            <w:r>
              <w:rPr>
                <w:spacing w:val="-14"/>
                <w:sz w:val="24"/>
              </w:rPr>
              <w:t> </w:t>
            </w:r>
            <w:r>
              <w:rPr>
                <w:sz w:val="24"/>
              </w:rPr>
              <w:t>units</w:t>
            </w:r>
            <w:r>
              <w:rPr>
                <w:spacing w:val="-14"/>
                <w:sz w:val="24"/>
              </w:rPr>
              <w:t> </w:t>
            </w:r>
            <w:r>
              <w:rPr>
                <w:sz w:val="24"/>
              </w:rPr>
              <w:t>by</w:t>
            </w:r>
            <w:r>
              <w:rPr>
                <w:spacing w:val="-14"/>
                <w:sz w:val="24"/>
              </w:rPr>
              <w:t> </w:t>
            </w:r>
            <w:r>
              <w:rPr>
                <w:sz w:val="24"/>
              </w:rPr>
              <w:t>max 1 No.</w:t>
            </w:r>
          </w:p>
        </w:tc>
        <w:tc>
          <w:tcPr>
            <w:tcW w:w="1610" w:type="dxa"/>
          </w:tcPr>
          <w:p>
            <w:pPr>
              <w:pStyle w:val="TableParagraph"/>
              <w:spacing w:before="6"/>
              <w:rPr>
                <w:b/>
                <w:sz w:val="22"/>
              </w:rPr>
            </w:pPr>
          </w:p>
          <w:p>
            <w:pPr>
              <w:pStyle w:val="TableParagraph"/>
              <w:ind w:left="15"/>
              <w:rPr>
                <w:sz w:val="24"/>
              </w:rPr>
            </w:pPr>
            <w:r>
              <w:rPr>
                <w:sz w:val="24"/>
              </w:rPr>
              <w:t>50</w:t>
            </w:r>
            <w:r>
              <w:rPr>
                <w:spacing w:val="-5"/>
                <w:sz w:val="24"/>
              </w:rPr>
              <w:t> </w:t>
            </w:r>
            <w:r>
              <w:rPr>
                <w:sz w:val="24"/>
              </w:rPr>
              <w:t>rooms</w:t>
            </w:r>
            <w:r>
              <w:rPr>
                <w:spacing w:val="-5"/>
                <w:sz w:val="24"/>
              </w:rPr>
              <w:t> </w:t>
            </w:r>
            <w:r>
              <w:rPr>
                <w:spacing w:val="-10"/>
                <w:sz w:val="24"/>
              </w:rPr>
              <w:t>@</w:t>
            </w:r>
          </w:p>
          <w:p>
            <w:pPr>
              <w:pStyle w:val="TableParagraph"/>
              <w:ind w:left="15"/>
              <w:rPr>
                <w:sz w:val="24"/>
              </w:rPr>
            </w:pPr>
            <w:r>
              <w:rPr>
                <w:spacing w:val="-4"/>
                <w:sz w:val="24"/>
              </w:rPr>
              <w:t>$75k</w:t>
            </w:r>
          </w:p>
        </w:tc>
        <w:tc>
          <w:tcPr>
            <w:tcW w:w="1364" w:type="dxa"/>
          </w:tcPr>
          <w:p>
            <w:pPr>
              <w:pStyle w:val="TableParagraph"/>
              <w:spacing w:before="6"/>
              <w:rPr>
                <w:b/>
                <w:sz w:val="34"/>
              </w:rPr>
            </w:pPr>
          </w:p>
          <w:p>
            <w:pPr>
              <w:pStyle w:val="TableParagraph"/>
              <w:ind w:right="1"/>
              <w:jc w:val="right"/>
              <w:rPr>
                <w:sz w:val="24"/>
              </w:rPr>
            </w:pPr>
            <w:r>
              <w:rPr>
                <w:spacing w:val="-2"/>
                <w:sz w:val="24"/>
              </w:rPr>
              <w:t>3,750,000</w:t>
            </w:r>
          </w:p>
        </w:tc>
      </w:tr>
      <w:tr>
        <w:trPr>
          <w:trHeight w:val="797" w:hRule="atLeast"/>
        </w:trPr>
        <w:tc>
          <w:tcPr>
            <w:tcW w:w="698" w:type="dxa"/>
          </w:tcPr>
          <w:p>
            <w:pPr>
              <w:pStyle w:val="TableParagraph"/>
              <w:spacing w:before="6"/>
              <w:rPr>
                <w:b/>
                <w:sz w:val="22"/>
              </w:rPr>
            </w:pPr>
          </w:p>
          <w:p>
            <w:pPr>
              <w:pStyle w:val="TableParagraph"/>
              <w:ind w:left="11"/>
              <w:jc w:val="center"/>
              <w:rPr>
                <w:sz w:val="24"/>
              </w:rPr>
            </w:pPr>
            <w:r>
              <w:rPr>
                <w:w w:val="99"/>
                <w:sz w:val="24"/>
              </w:rPr>
              <w:t>3</w:t>
            </w:r>
          </w:p>
        </w:tc>
        <w:tc>
          <w:tcPr>
            <w:tcW w:w="2172" w:type="dxa"/>
          </w:tcPr>
          <w:p>
            <w:pPr>
              <w:pStyle w:val="TableParagraph"/>
              <w:spacing w:before="122"/>
              <w:ind w:left="15"/>
              <w:rPr>
                <w:sz w:val="24"/>
              </w:rPr>
            </w:pPr>
            <w:r>
              <w:rPr>
                <w:sz w:val="24"/>
              </w:rPr>
              <w:t>3+</w:t>
            </w:r>
            <w:r>
              <w:rPr>
                <w:spacing w:val="-5"/>
                <w:sz w:val="24"/>
              </w:rPr>
              <w:t> </w:t>
            </w:r>
            <w:r>
              <w:rPr>
                <w:sz w:val="24"/>
              </w:rPr>
              <w:t>storey</w:t>
            </w:r>
            <w:r>
              <w:rPr>
                <w:spacing w:val="-5"/>
                <w:sz w:val="24"/>
              </w:rPr>
              <w:t> </w:t>
            </w:r>
            <w:r>
              <w:rPr>
                <w:sz w:val="24"/>
              </w:rPr>
              <w:t>200</w:t>
            </w:r>
            <w:r>
              <w:rPr>
                <w:spacing w:val="-5"/>
                <w:sz w:val="24"/>
              </w:rPr>
              <w:t> </w:t>
            </w:r>
            <w:r>
              <w:rPr>
                <w:spacing w:val="-4"/>
                <w:sz w:val="24"/>
              </w:rPr>
              <w:t>room</w:t>
            </w:r>
          </w:p>
          <w:p>
            <w:pPr>
              <w:pStyle w:val="TableParagraph"/>
              <w:ind w:left="15"/>
              <w:rPr>
                <w:sz w:val="24"/>
              </w:rPr>
            </w:pPr>
            <w:r>
              <w:rPr>
                <w:sz w:val="24"/>
              </w:rPr>
              <w:t>–</w:t>
            </w:r>
            <w:r>
              <w:rPr>
                <w:spacing w:val="-3"/>
                <w:sz w:val="24"/>
              </w:rPr>
              <w:t> </w:t>
            </w:r>
            <w:r>
              <w:rPr>
                <w:sz w:val="24"/>
              </w:rPr>
              <w:t>hotel</w:t>
            </w:r>
            <w:r>
              <w:rPr>
                <w:spacing w:val="-2"/>
                <w:sz w:val="24"/>
              </w:rPr>
              <w:t> </w:t>
            </w:r>
            <w:r>
              <w:rPr>
                <w:sz w:val="24"/>
              </w:rPr>
              <w:t>–</w:t>
            </w:r>
            <w:r>
              <w:rPr>
                <w:spacing w:val="-3"/>
                <w:sz w:val="24"/>
              </w:rPr>
              <w:t> </w:t>
            </w:r>
            <w:r>
              <w:rPr>
                <w:sz w:val="24"/>
              </w:rPr>
              <w:t>with</w:t>
            </w:r>
            <w:r>
              <w:rPr>
                <w:spacing w:val="-2"/>
                <w:sz w:val="24"/>
              </w:rPr>
              <w:t> </w:t>
            </w:r>
            <w:r>
              <w:rPr>
                <w:spacing w:val="-4"/>
                <w:sz w:val="24"/>
              </w:rPr>
              <w:t>lift</w:t>
            </w:r>
          </w:p>
        </w:tc>
        <w:tc>
          <w:tcPr>
            <w:tcW w:w="2630" w:type="dxa"/>
          </w:tcPr>
          <w:p>
            <w:pPr>
              <w:pStyle w:val="TableParagraph"/>
              <w:rPr>
                <w:rFonts w:ascii="Times New Roman"/>
                <w:sz w:val="22"/>
              </w:rPr>
            </w:pPr>
          </w:p>
        </w:tc>
        <w:tc>
          <w:tcPr>
            <w:tcW w:w="1610" w:type="dxa"/>
          </w:tcPr>
          <w:p>
            <w:pPr>
              <w:pStyle w:val="TableParagraph"/>
              <w:spacing w:before="122"/>
              <w:ind w:left="15"/>
              <w:rPr>
                <w:sz w:val="24"/>
              </w:rPr>
            </w:pPr>
            <w:r>
              <w:rPr>
                <w:sz w:val="24"/>
              </w:rPr>
              <w:t>200</w:t>
            </w:r>
            <w:r>
              <w:rPr>
                <w:spacing w:val="-8"/>
                <w:sz w:val="24"/>
              </w:rPr>
              <w:t> </w:t>
            </w:r>
            <w:r>
              <w:rPr>
                <w:sz w:val="24"/>
              </w:rPr>
              <w:t>rooms</w:t>
            </w:r>
            <w:r>
              <w:rPr>
                <w:spacing w:val="-6"/>
                <w:sz w:val="24"/>
              </w:rPr>
              <w:t> </w:t>
            </w:r>
            <w:r>
              <w:rPr>
                <w:spacing w:val="-10"/>
                <w:sz w:val="24"/>
              </w:rPr>
              <w:t>@</w:t>
            </w:r>
          </w:p>
          <w:p>
            <w:pPr>
              <w:pStyle w:val="TableParagraph"/>
              <w:ind w:left="15"/>
              <w:rPr>
                <w:sz w:val="24"/>
              </w:rPr>
            </w:pPr>
            <w:r>
              <w:rPr>
                <w:spacing w:val="-2"/>
                <w:sz w:val="24"/>
              </w:rPr>
              <w:t>$130k</w:t>
            </w:r>
          </w:p>
        </w:tc>
        <w:tc>
          <w:tcPr>
            <w:tcW w:w="1364" w:type="dxa"/>
          </w:tcPr>
          <w:p>
            <w:pPr>
              <w:pStyle w:val="TableParagraph"/>
              <w:spacing w:before="6"/>
              <w:rPr>
                <w:b/>
                <w:sz w:val="22"/>
              </w:rPr>
            </w:pPr>
          </w:p>
          <w:p>
            <w:pPr>
              <w:pStyle w:val="TableParagraph"/>
              <w:ind w:right="2"/>
              <w:jc w:val="right"/>
              <w:rPr>
                <w:sz w:val="24"/>
              </w:rPr>
            </w:pPr>
            <w:r>
              <w:rPr>
                <w:spacing w:val="-2"/>
                <w:sz w:val="24"/>
              </w:rPr>
              <w:t>26,000,000</w:t>
            </w:r>
          </w:p>
        </w:tc>
      </w:tr>
      <w:tr>
        <w:trPr>
          <w:trHeight w:val="796" w:hRule="atLeast"/>
        </w:trPr>
        <w:tc>
          <w:tcPr>
            <w:tcW w:w="698" w:type="dxa"/>
          </w:tcPr>
          <w:p>
            <w:pPr>
              <w:pStyle w:val="TableParagraph"/>
              <w:spacing w:before="6"/>
              <w:rPr>
                <w:b/>
                <w:sz w:val="22"/>
              </w:rPr>
            </w:pPr>
          </w:p>
          <w:p>
            <w:pPr>
              <w:pStyle w:val="TableParagraph"/>
              <w:ind w:left="11"/>
              <w:jc w:val="center"/>
              <w:rPr>
                <w:sz w:val="24"/>
              </w:rPr>
            </w:pPr>
            <w:r>
              <w:rPr>
                <w:w w:val="99"/>
                <w:sz w:val="24"/>
              </w:rPr>
              <w:t>3</w:t>
            </w:r>
          </w:p>
        </w:tc>
        <w:tc>
          <w:tcPr>
            <w:tcW w:w="2172" w:type="dxa"/>
          </w:tcPr>
          <w:p>
            <w:pPr>
              <w:pStyle w:val="TableParagraph"/>
              <w:spacing w:before="122"/>
              <w:ind w:left="15"/>
              <w:rPr>
                <w:sz w:val="24"/>
              </w:rPr>
            </w:pPr>
            <w:r>
              <w:rPr>
                <w:sz w:val="24"/>
              </w:rPr>
              <w:t>3+</w:t>
            </w:r>
            <w:r>
              <w:rPr>
                <w:spacing w:val="-5"/>
                <w:sz w:val="24"/>
              </w:rPr>
              <w:t> </w:t>
            </w:r>
            <w:r>
              <w:rPr>
                <w:sz w:val="24"/>
              </w:rPr>
              <w:t>storey</w:t>
            </w:r>
            <w:r>
              <w:rPr>
                <w:spacing w:val="-5"/>
                <w:sz w:val="24"/>
              </w:rPr>
              <w:t> </w:t>
            </w:r>
            <w:r>
              <w:rPr>
                <w:sz w:val="24"/>
              </w:rPr>
              <w:t>350</w:t>
            </w:r>
            <w:r>
              <w:rPr>
                <w:spacing w:val="-5"/>
                <w:sz w:val="24"/>
              </w:rPr>
              <w:t> </w:t>
            </w:r>
            <w:r>
              <w:rPr>
                <w:spacing w:val="-4"/>
                <w:sz w:val="24"/>
              </w:rPr>
              <w:t>room</w:t>
            </w:r>
          </w:p>
          <w:p>
            <w:pPr>
              <w:pStyle w:val="TableParagraph"/>
              <w:ind w:left="15"/>
              <w:rPr>
                <w:sz w:val="24"/>
              </w:rPr>
            </w:pPr>
            <w:r>
              <w:rPr>
                <w:sz w:val="24"/>
              </w:rPr>
              <w:t>–</w:t>
            </w:r>
            <w:r>
              <w:rPr>
                <w:spacing w:val="-3"/>
                <w:sz w:val="24"/>
              </w:rPr>
              <w:t> </w:t>
            </w:r>
            <w:r>
              <w:rPr>
                <w:sz w:val="24"/>
              </w:rPr>
              <w:t>hotel</w:t>
            </w:r>
            <w:r>
              <w:rPr>
                <w:spacing w:val="-2"/>
                <w:sz w:val="24"/>
              </w:rPr>
              <w:t> </w:t>
            </w:r>
            <w:r>
              <w:rPr>
                <w:sz w:val="24"/>
              </w:rPr>
              <w:t>–</w:t>
            </w:r>
            <w:r>
              <w:rPr>
                <w:spacing w:val="-3"/>
                <w:sz w:val="24"/>
              </w:rPr>
              <w:t> </w:t>
            </w:r>
            <w:r>
              <w:rPr>
                <w:sz w:val="24"/>
              </w:rPr>
              <w:t>with</w:t>
            </w:r>
            <w:r>
              <w:rPr>
                <w:spacing w:val="-2"/>
                <w:sz w:val="24"/>
              </w:rPr>
              <w:t> lifts</w:t>
            </w:r>
          </w:p>
        </w:tc>
        <w:tc>
          <w:tcPr>
            <w:tcW w:w="2630" w:type="dxa"/>
          </w:tcPr>
          <w:p>
            <w:pPr>
              <w:pStyle w:val="TableParagraph"/>
              <w:rPr>
                <w:rFonts w:ascii="Times New Roman"/>
                <w:sz w:val="22"/>
              </w:rPr>
            </w:pPr>
          </w:p>
        </w:tc>
        <w:tc>
          <w:tcPr>
            <w:tcW w:w="1610" w:type="dxa"/>
          </w:tcPr>
          <w:p>
            <w:pPr>
              <w:pStyle w:val="TableParagraph"/>
              <w:spacing w:before="122"/>
              <w:ind w:left="15"/>
              <w:rPr>
                <w:sz w:val="24"/>
              </w:rPr>
            </w:pPr>
            <w:r>
              <w:rPr>
                <w:sz w:val="24"/>
              </w:rPr>
              <w:t>350</w:t>
            </w:r>
            <w:r>
              <w:rPr>
                <w:spacing w:val="-8"/>
                <w:sz w:val="24"/>
              </w:rPr>
              <w:t> </w:t>
            </w:r>
            <w:r>
              <w:rPr>
                <w:sz w:val="24"/>
              </w:rPr>
              <w:t>rooms</w:t>
            </w:r>
            <w:r>
              <w:rPr>
                <w:spacing w:val="-6"/>
                <w:sz w:val="24"/>
              </w:rPr>
              <w:t> </w:t>
            </w:r>
            <w:r>
              <w:rPr>
                <w:spacing w:val="-10"/>
                <w:sz w:val="24"/>
              </w:rPr>
              <w:t>@</w:t>
            </w:r>
          </w:p>
          <w:p>
            <w:pPr>
              <w:pStyle w:val="TableParagraph"/>
              <w:ind w:left="15"/>
              <w:rPr>
                <w:sz w:val="24"/>
              </w:rPr>
            </w:pPr>
            <w:r>
              <w:rPr>
                <w:spacing w:val="-2"/>
                <w:sz w:val="24"/>
              </w:rPr>
              <w:t>$320k</w:t>
            </w:r>
          </w:p>
        </w:tc>
        <w:tc>
          <w:tcPr>
            <w:tcW w:w="1364" w:type="dxa"/>
          </w:tcPr>
          <w:p>
            <w:pPr>
              <w:pStyle w:val="TableParagraph"/>
              <w:spacing w:before="6"/>
              <w:rPr>
                <w:b/>
                <w:sz w:val="22"/>
              </w:rPr>
            </w:pPr>
          </w:p>
          <w:p>
            <w:pPr>
              <w:pStyle w:val="TableParagraph"/>
              <w:jc w:val="right"/>
              <w:rPr>
                <w:sz w:val="24"/>
              </w:rPr>
            </w:pPr>
            <w:r>
              <w:rPr>
                <w:spacing w:val="-2"/>
                <w:sz w:val="24"/>
              </w:rPr>
              <w:t>112,000,000</w:t>
            </w:r>
          </w:p>
        </w:tc>
      </w:tr>
      <w:tr>
        <w:trPr>
          <w:trHeight w:val="1073" w:hRule="atLeast"/>
        </w:trPr>
        <w:tc>
          <w:tcPr>
            <w:tcW w:w="698" w:type="dxa"/>
          </w:tcPr>
          <w:p>
            <w:pPr>
              <w:pStyle w:val="TableParagraph"/>
              <w:spacing w:before="6"/>
              <w:rPr>
                <w:b/>
                <w:sz w:val="34"/>
              </w:rPr>
            </w:pPr>
          </w:p>
          <w:p>
            <w:pPr>
              <w:pStyle w:val="TableParagraph"/>
              <w:ind w:left="11"/>
              <w:jc w:val="center"/>
              <w:rPr>
                <w:sz w:val="24"/>
              </w:rPr>
            </w:pPr>
            <w:r>
              <w:rPr>
                <w:w w:val="99"/>
                <w:sz w:val="24"/>
              </w:rPr>
              <w:t>5</w:t>
            </w:r>
          </w:p>
        </w:tc>
        <w:tc>
          <w:tcPr>
            <w:tcW w:w="2172" w:type="dxa"/>
          </w:tcPr>
          <w:p>
            <w:pPr>
              <w:pStyle w:val="TableParagraph"/>
              <w:spacing w:before="122"/>
              <w:ind w:left="15" w:right="210"/>
              <w:jc w:val="both"/>
              <w:rPr>
                <w:sz w:val="24"/>
              </w:rPr>
            </w:pPr>
            <w:r>
              <w:rPr>
                <w:sz w:val="24"/>
              </w:rPr>
              <w:t>2 storey – office – dwelling</w:t>
            </w:r>
            <w:r>
              <w:rPr>
                <w:spacing w:val="-17"/>
                <w:sz w:val="24"/>
              </w:rPr>
              <w:t> </w:t>
            </w:r>
            <w:r>
              <w:rPr>
                <w:sz w:val="24"/>
              </w:rPr>
              <w:t>size</w:t>
            </w:r>
            <w:r>
              <w:rPr>
                <w:spacing w:val="-17"/>
                <w:sz w:val="24"/>
              </w:rPr>
              <w:t> </w:t>
            </w:r>
            <w:r>
              <w:rPr>
                <w:sz w:val="24"/>
              </w:rPr>
              <w:t>(with </w:t>
            </w:r>
            <w:r>
              <w:rPr>
                <w:spacing w:val="-2"/>
                <w:sz w:val="24"/>
              </w:rPr>
              <w:t>exemption)</w:t>
            </w:r>
          </w:p>
        </w:tc>
        <w:tc>
          <w:tcPr>
            <w:tcW w:w="2630" w:type="dxa"/>
          </w:tcPr>
          <w:p>
            <w:pPr>
              <w:pStyle w:val="TableParagraph"/>
              <w:spacing w:before="6"/>
              <w:rPr>
                <w:b/>
                <w:sz w:val="34"/>
              </w:rPr>
            </w:pPr>
          </w:p>
          <w:p>
            <w:pPr>
              <w:pStyle w:val="TableParagraph"/>
              <w:ind w:left="15"/>
              <w:rPr>
                <w:sz w:val="24"/>
              </w:rPr>
            </w:pPr>
            <w:r>
              <w:rPr>
                <w:sz w:val="24"/>
              </w:rPr>
              <w:t>assume</w:t>
            </w:r>
            <w:r>
              <w:rPr>
                <w:spacing w:val="-5"/>
                <w:sz w:val="24"/>
              </w:rPr>
              <w:t> </w:t>
            </w:r>
            <w:r>
              <w:rPr>
                <w:spacing w:val="-4"/>
                <w:sz w:val="24"/>
              </w:rPr>
              <w:t>200m</w:t>
            </w:r>
            <w:r>
              <w:rPr>
                <w:spacing w:val="-4"/>
                <w:sz w:val="24"/>
                <w:vertAlign w:val="superscript"/>
              </w:rPr>
              <w:t>2</w:t>
            </w:r>
          </w:p>
        </w:tc>
        <w:tc>
          <w:tcPr>
            <w:tcW w:w="1610" w:type="dxa"/>
          </w:tcPr>
          <w:p>
            <w:pPr>
              <w:pStyle w:val="TableParagraph"/>
              <w:spacing w:before="259"/>
              <w:ind w:left="15"/>
              <w:rPr>
                <w:sz w:val="24"/>
              </w:rPr>
            </w:pPr>
            <w:r>
              <w:rPr>
                <w:sz w:val="24"/>
              </w:rPr>
              <w:t>200m</w:t>
            </w:r>
            <w:r>
              <w:rPr>
                <w:sz w:val="24"/>
                <w:vertAlign w:val="superscript"/>
              </w:rPr>
              <w:t>2</w:t>
            </w:r>
            <w:r>
              <w:rPr>
                <w:spacing w:val="-10"/>
                <w:sz w:val="24"/>
                <w:vertAlign w:val="baseline"/>
              </w:rPr>
              <w:t> @</w:t>
            </w:r>
          </w:p>
          <w:p>
            <w:pPr>
              <w:pStyle w:val="TableParagraph"/>
              <w:ind w:left="15"/>
              <w:rPr>
                <w:sz w:val="24"/>
              </w:rPr>
            </w:pPr>
            <w:r>
              <w:rPr>
                <w:spacing w:val="-2"/>
                <w:sz w:val="24"/>
              </w:rPr>
              <w:t>$1650/m</w:t>
            </w:r>
            <w:r>
              <w:rPr>
                <w:spacing w:val="-2"/>
                <w:sz w:val="24"/>
                <w:vertAlign w:val="superscript"/>
              </w:rPr>
              <w:t>2</w:t>
            </w:r>
          </w:p>
        </w:tc>
        <w:tc>
          <w:tcPr>
            <w:tcW w:w="1364" w:type="dxa"/>
          </w:tcPr>
          <w:p>
            <w:pPr>
              <w:pStyle w:val="TableParagraph"/>
              <w:spacing w:before="6"/>
              <w:rPr>
                <w:b/>
                <w:sz w:val="34"/>
              </w:rPr>
            </w:pPr>
          </w:p>
          <w:p>
            <w:pPr>
              <w:pStyle w:val="TableParagraph"/>
              <w:ind w:right="1"/>
              <w:jc w:val="right"/>
              <w:rPr>
                <w:sz w:val="24"/>
              </w:rPr>
            </w:pPr>
            <w:r>
              <w:rPr>
                <w:spacing w:val="-2"/>
                <w:sz w:val="24"/>
              </w:rPr>
              <w:t>330,000</w:t>
            </w:r>
          </w:p>
        </w:tc>
      </w:tr>
      <w:tr>
        <w:trPr>
          <w:trHeight w:val="1082" w:hRule="atLeast"/>
        </w:trPr>
        <w:tc>
          <w:tcPr>
            <w:tcW w:w="698" w:type="dxa"/>
          </w:tcPr>
          <w:p>
            <w:pPr>
              <w:pStyle w:val="TableParagraph"/>
              <w:spacing w:before="5"/>
              <w:rPr>
                <w:b/>
                <w:sz w:val="35"/>
              </w:rPr>
            </w:pPr>
          </w:p>
          <w:p>
            <w:pPr>
              <w:pStyle w:val="TableParagraph"/>
              <w:spacing w:before="1"/>
              <w:ind w:left="11"/>
              <w:jc w:val="center"/>
              <w:rPr>
                <w:sz w:val="24"/>
              </w:rPr>
            </w:pPr>
            <w:r>
              <w:rPr>
                <w:w w:val="99"/>
                <w:sz w:val="24"/>
              </w:rPr>
              <w:t>5</w:t>
            </w:r>
          </w:p>
        </w:tc>
        <w:tc>
          <w:tcPr>
            <w:tcW w:w="2172" w:type="dxa"/>
          </w:tcPr>
          <w:p>
            <w:pPr>
              <w:pStyle w:val="TableParagraph"/>
              <w:spacing w:before="132"/>
              <w:ind w:left="15" w:right="49"/>
              <w:rPr>
                <w:sz w:val="24"/>
              </w:rPr>
            </w:pPr>
            <w:r>
              <w:rPr>
                <w:sz w:val="24"/>
              </w:rPr>
              <w:t>2 storey – office – dwelling size (without</w:t>
            </w:r>
            <w:r>
              <w:rPr>
                <w:spacing w:val="-17"/>
                <w:sz w:val="24"/>
              </w:rPr>
              <w:t> </w:t>
            </w:r>
            <w:r>
              <w:rPr>
                <w:sz w:val="24"/>
              </w:rPr>
              <w:t>exemption)</w:t>
            </w:r>
          </w:p>
        </w:tc>
        <w:tc>
          <w:tcPr>
            <w:tcW w:w="2630" w:type="dxa"/>
          </w:tcPr>
          <w:p>
            <w:pPr>
              <w:pStyle w:val="TableParagraph"/>
              <w:spacing w:before="5"/>
              <w:rPr>
                <w:b/>
                <w:sz w:val="35"/>
              </w:rPr>
            </w:pPr>
          </w:p>
          <w:p>
            <w:pPr>
              <w:pStyle w:val="TableParagraph"/>
              <w:spacing w:before="1"/>
              <w:ind w:left="15"/>
              <w:rPr>
                <w:sz w:val="24"/>
              </w:rPr>
            </w:pPr>
            <w:r>
              <w:rPr>
                <w:sz w:val="24"/>
              </w:rPr>
              <w:t>assume</w:t>
            </w:r>
            <w:r>
              <w:rPr>
                <w:spacing w:val="-5"/>
                <w:sz w:val="24"/>
              </w:rPr>
              <w:t> </w:t>
            </w:r>
            <w:r>
              <w:rPr>
                <w:spacing w:val="-2"/>
                <w:sz w:val="24"/>
              </w:rPr>
              <w:t>1200m</w:t>
            </w:r>
            <w:r>
              <w:rPr>
                <w:spacing w:val="-2"/>
                <w:sz w:val="24"/>
                <w:vertAlign w:val="superscript"/>
              </w:rPr>
              <w:t>2</w:t>
            </w:r>
          </w:p>
        </w:tc>
        <w:tc>
          <w:tcPr>
            <w:tcW w:w="1610" w:type="dxa"/>
          </w:tcPr>
          <w:p>
            <w:pPr>
              <w:pStyle w:val="TableParagraph"/>
              <w:spacing w:before="5"/>
              <w:rPr>
                <w:b/>
                <w:sz w:val="23"/>
              </w:rPr>
            </w:pPr>
          </w:p>
          <w:p>
            <w:pPr>
              <w:pStyle w:val="TableParagraph"/>
              <w:ind w:left="15"/>
              <w:rPr>
                <w:sz w:val="24"/>
              </w:rPr>
            </w:pPr>
            <w:r>
              <w:rPr>
                <w:sz w:val="24"/>
              </w:rPr>
              <w:t>1200m</w:t>
            </w:r>
            <w:r>
              <w:rPr>
                <w:sz w:val="24"/>
                <w:vertAlign w:val="superscript"/>
              </w:rPr>
              <w:t>2</w:t>
            </w:r>
            <w:r>
              <w:rPr>
                <w:spacing w:val="-13"/>
                <w:sz w:val="24"/>
                <w:vertAlign w:val="baseline"/>
              </w:rPr>
              <w:t> </w:t>
            </w:r>
            <w:r>
              <w:rPr>
                <w:spacing w:val="-10"/>
                <w:sz w:val="24"/>
                <w:vertAlign w:val="baseline"/>
              </w:rPr>
              <w:t>@</w:t>
            </w:r>
          </w:p>
          <w:p>
            <w:pPr>
              <w:pStyle w:val="TableParagraph"/>
              <w:spacing w:before="1"/>
              <w:ind w:left="15"/>
              <w:rPr>
                <w:sz w:val="24"/>
              </w:rPr>
            </w:pPr>
            <w:r>
              <w:rPr>
                <w:spacing w:val="-2"/>
                <w:sz w:val="24"/>
              </w:rPr>
              <w:t>$1550/m</w:t>
            </w:r>
            <w:r>
              <w:rPr>
                <w:spacing w:val="-2"/>
                <w:sz w:val="24"/>
                <w:vertAlign w:val="superscript"/>
              </w:rPr>
              <w:t>2</w:t>
            </w:r>
          </w:p>
        </w:tc>
        <w:tc>
          <w:tcPr>
            <w:tcW w:w="1364" w:type="dxa"/>
          </w:tcPr>
          <w:p>
            <w:pPr>
              <w:pStyle w:val="TableParagraph"/>
              <w:spacing w:before="5"/>
              <w:rPr>
                <w:b/>
                <w:sz w:val="35"/>
              </w:rPr>
            </w:pPr>
          </w:p>
          <w:p>
            <w:pPr>
              <w:pStyle w:val="TableParagraph"/>
              <w:spacing w:before="1"/>
              <w:ind w:right="1"/>
              <w:jc w:val="right"/>
              <w:rPr>
                <w:sz w:val="24"/>
              </w:rPr>
            </w:pPr>
            <w:r>
              <w:rPr>
                <w:spacing w:val="-2"/>
                <w:sz w:val="24"/>
              </w:rPr>
              <w:t>1,860,000</w:t>
            </w:r>
          </w:p>
        </w:tc>
      </w:tr>
      <w:tr>
        <w:trPr>
          <w:trHeight w:val="797" w:hRule="atLeast"/>
        </w:trPr>
        <w:tc>
          <w:tcPr>
            <w:tcW w:w="698" w:type="dxa"/>
          </w:tcPr>
          <w:p>
            <w:pPr>
              <w:pStyle w:val="TableParagraph"/>
              <w:spacing w:before="6"/>
              <w:rPr>
                <w:b/>
                <w:sz w:val="22"/>
              </w:rPr>
            </w:pPr>
          </w:p>
          <w:p>
            <w:pPr>
              <w:pStyle w:val="TableParagraph"/>
              <w:ind w:left="11"/>
              <w:jc w:val="center"/>
              <w:rPr>
                <w:sz w:val="24"/>
              </w:rPr>
            </w:pPr>
            <w:r>
              <w:rPr>
                <w:w w:val="99"/>
                <w:sz w:val="24"/>
              </w:rPr>
              <w:t>5</w:t>
            </w:r>
          </w:p>
        </w:tc>
        <w:tc>
          <w:tcPr>
            <w:tcW w:w="2172" w:type="dxa"/>
          </w:tcPr>
          <w:p>
            <w:pPr>
              <w:pStyle w:val="TableParagraph"/>
              <w:spacing w:before="6"/>
              <w:rPr>
                <w:b/>
                <w:sz w:val="22"/>
              </w:rPr>
            </w:pPr>
          </w:p>
          <w:p>
            <w:pPr>
              <w:pStyle w:val="TableParagraph"/>
              <w:ind w:left="16"/>
              <w:rPr>
                <w:sz w:val="24"/>
              </w:rPr>
            </w:pPr>
            <w:r>
              <w:rPr>
                <w:sz w:val="24"/>
              </w:rPr>
              <w:t>7</w:t>
            </w:r>
            <w:r>
              <w:rPr>
                <w:spacing w:val="-3"/>
                <w:sz w:val="24"/>
              </w:rPr>
              <w:t> </w:t>
            </w:r>
            <w:r>
              <w:rPr>
                <w:sz w:val="24"/>
              </w:rPr>
              <w:t>storey</w:t>
            </w:r>
            <w:r>
              <w:rPr>
                <w:spacing w:val="-3"/>
                <w:sz w:val="24"/>
              </w:rPr>
              <w:t> </w:t>
            </w:r>
            <w:r>
              <w:rPr>
                <w:sz w:val="24"/>
              </w:rPr>
              <w:t>–</w:t>
            </w:r>
            <w:r>
              <w:rPr>
                <w:spacing w:val="-2"/>
                <w:sz w:val="24"/>
              </w:rPr>
              <w:t> office</w:t>
            </w:r>
          </w:p>
        </w:tc>
        <w:tc>
          <w:tcPr>
            <w:tcW w:w="2630" w:type="dxa"/>
          </w:tcPr>
          <w:p>
            <w:pPr>
              <w:pStyle w:val="TableParagraph"/>
              <w:spacing w:before="122"/>
              <w:ind w:left="15" w:right="58"/>
              <w:rPr>
                <w:sz w:val="24"/>
              </w:rPr>
            </w:pPr>
            <w:r>
              <w:rPr>
                <w:sz w:val="24"/>
              </w:rPr>
              <w:t>assume</w:t>
            </w:r>
            <w:r>
              <w:rPr>
                <w:spacing w:val="-17"/>
                <w:sz w:val="24"/>
              </w:rPr>
              <w:t> </w:t>
            </w:r>
            <w:r>
              <w:rPr>
                <w:sz w:val="24"/>
              </w:rPr>
              <w:t>1200m</w:t>
            </w:r>
            <w:r>
              <w:rPr>
                <w:sz w:val="24"/>
                <w:vertAlign w:val="superscript"/>
              </w:rPr>
              <w:t>2</w:t>
            </w:r>
            <w:r>
              <w:rPr>
                <w:spacing w:val="-17"/>
                <w:sz w:val="24"/>
                <w:vertAlign w:val="baseline"/>
              </w:rPr>
              <w:t> </w:t>
            </w:r>
            <w:r>
              <w:rPr>
                <w:sz w:val="24"/>
                <w:vertAlign w:val="baseline"/>
              </w:rPr>
              <w:t>per </w:t>
            </w:r>
            <w:r>
              <w:rPr>
                <w:spacing w:val="-2"/>
                <w:sz w:val="24"/>
                <w:vertAlign w:val="baseline"/>
              </w:rPr>
              <w:t>floor</w:t>
            </w:r>
          </w:p>
        </w:tc>
        <w:tc>
          <w:tcPr>
            <w:tcW w:w="1610" w:type="dxa"/>
          </w:tcPr>
          <w:p>
            <w:pPr>
              <w:pStyle w:val="TableParagraph"/>
              <w:spacing w:before="122"/>
              <w:ind w:left="15"/>
              <w:rPr>
                <w:sz w:val="24"/>
              </w:rPr>
            </w:pPr>
            <w:r>
              <w:rPr>
                <w:sz w:val="24"/>
              </w:rPr>
              <w:t>8,400m2</w:t>
            </w:r>
            <w:r>
              <w:rPr>
                <w:spacing w:val="-16"/>
                <w:sz w:val="24"/>
              </w:rPr>
              <w:t> </w:t>
            </w:r>
            <w:r>
              <w:rPr>
                <w:spacing w:val="-10"/>
                <w:sz w:val="24"/>
              </w:rPr>
              <w:t>@</w:t>
            </w:r>
          </w:p>
          <w:p>
            <w:pPr>
              <w:pStyle w:val="TableParagraph"/>
              <w:ind w:left="15"/>
              <w:rPr>
                <w:sz w:val="24"/>
              </w:rPr>
            </w:pPr>
            <w:r>
              <w:rPr>
                <w:spacing w:val="-2"/>
                <w:sz w:val="24"/>
              </w:rPr>
              <w:t>$1980/m</w:t>
            </w:r>
            <w:r>
              <w:rPr>
                <w:spacing w:val="-2"/>
                <w:sz w:val="24"/>
                <w:vertAlign w:val="superscript"/>
              </w:rPr>
              <w:t>2</w:t>
            </w:r>
          </w:p>
        </w:tc>
        <w:tc>
          <w:tcPr>
            <w:tcW w:w="1364" w:type="dxa"/>
          </w:tcPr>
          <w:p>
            <w:pPr>
              <w:pStyle w:val="TableParagraph"/>
              <w:spacing w:before="6"/>
              <w:rPr>
                <w:b/>
                <w:sz w:val="22"/>
              </w:rPr>
            </w:pPr>
          </w:p>
          <w:p>
            <w:pPr>
              <w:pStyle w:val="TableParagraph"/>
              <w:ind w:right="2"/>
              <w:jc w:val="right"/>
              <w:rPr>
                <w:sz w:val="24"/>
              </w:rPr>
            </w:pPr>
            <w:r>
              <w:rPr>
                <w:spacing w:val="-2"/>
                <w:sz w:val="24"/>
              </w:rPr>
              <w:t>16,500,000</w:t>
            </w:r>
          </w:p>
        </w:tc>
      </w:tr>
      <w:tr>
        <w:trPr>
          <w:trHeight w:val="1072" w:hRule="atLeast"/>
        </w:trPr>
        <w:tc>
          <w:tcPr>
            <w:tcW w:w="698" w:type="dxa"/>
          </w:tcPr>
          <w:p>
            <w:pPr>
              <w:pStyle w:val="TableParagraph"/>
              <w:spacing w:before="6"/>
              <w:rPr>
                <w:b/>
                <w:sz w:val="34"/>
              </w:rPr>
            </w:pPr>
          </w:p>
          <w:p>
            <w:pPr>
              <w:pStyle w:val="TableParagraph"/>
              <w:ind w:left="11"/>
              <w:jc w:val="center"/>
              <w:rPr>
                <w:sz w:val="24"/>
              </w:rPr>
            </w:pPr>
            <w:r>
              <w:rPr>
                <w:w w:val="99"/>
                <w:sz w:val="24"/>
              </w:rPr>
              <w:t>5</w:t>
            </w:r>
          </w:p>
        </w:tc>
        <w:tc>
          <w:tcPr>
            <w:tcW w:w="2172" w:type="dxa"/>
          </w:tcPr>
          <w:p>
            <w:pPr>
              <w:pStyle w:val="TableParagraph"/>
              <w:spacing w:before="122"/>
              <w:ind w:left="15" w:right="317"/>
              <w:jc w:val="both"/>
              <w:rPr>
                <w:sz w:val="24"/>
              </w:rPr>
            </w:pPr>
            <w:r>
              <w:rPr>
                <w:sz w:val="24"/>
              </w:rPr>
              <w:t>20</w:t>
            </w:r>
            <w:r>
              <w:rPr>
                <w:spacing w:val="-13"/>
                <w:sz w:val="24"/>
              </w:rPr>
              <w:t> </w:t>
            </w:r>
            <w:r>
              <w:rPr>
                <w:sz w:val="24"/>
              </w:rPr>
              <w:t>storey</w:t>
            </w:r>
            <w:r>
              <w:rPr>
                <w:spacing w:val="-13"/>
                <w:sz w:val="24"/>
              </w:rPr>
              <w:t> </w:t>
            </w:r>
            <w:r>
              <w:rPr>
                <w:sz w:val="24"/>
              </w:rPr>
              <w:t>–</w:t>
            </w:r>
            <w:r>
              <w:rPr>
                <w:spacing w:val="-13"/>
                <w:sz w:val="24"/>
              </w:rPr>
              <w:t> </w:t>
            </w:r>
            <w:r>
              <w:rPr>
                <w:sz w:val="24"/>
              </w:rPr>
              <w:t>office (av. floor plate of </w:t>
            </w:r>
            <w:r>
              <w:rPr>
                <w:spacing w:val="-2"/>
                <w:sz w:val="24"/>
              </w:rPr>
              <w:t>900m</w:t>
            </w:r>
            <w:r>
              <w:rPr>
                <w:spacing w:val="-2"/>
                <w:sz w:val="24"/>
                <w:vertAlign w:val="superscript"/>
              </w:rPr>
              <w:t>2</w:t>
            </w:r>
            <w:r>
              <w:rPr>
                <w:spacing w:val="-2"/>
                <w:sz w:val="24"/>
                <w:vertAlign w:val="baseline"/>
              </w:rPr>
              <w:t>)</w:t>
            </w:r>
          </w:p>
        </w:tc>
        <w:tc>
          <w:tcPr>
            <w:tcW w:w="2630" w:type="dxa"/>
          </w:tcPr>
          <w:p>
            <w:pPr>
              <w:pStyle w:val="TableParagraph"/>
              <w:rPr>
                <w:rFonts w:ascii="Times New Roman"/>
                <w:sz w:val="22"/>
              </w:rPr>
            </w:pPr>
          </w:p>
        </w:tc>
        <w:tc>
          <w:tcPr>
            <w:tcW w:w="1610" w:type="dxa"/>
          </w:tcPr>
          <w:p>
            <w:pPr>
              <w:pStyle w:val="TableParagraph"/>
              <w:spacing w:before="259"/>
              <w:ind w:left="15"/>
              <w:rPr>
                <w:sz w:val="24"/>
              </w:rPr>
            </w:pPr>
            <w:r>
              <w:rPr>
                <w:sz w:val="24"/>
              </w:rPr>
              <w:t>18,000m</w:t>
            </w:r>
            <w:r>
              <w:rPr>
                <w:sz w:val="24"/>
                <w:vertAlign w:val="superscript"/>
              </w:rPr>
              <w:t>2</w:t>
            </w:r>
            <w:r>
              <w:rPr>
                <w:spacing w:val="-17"/>
                <w:sz w:val="24"/>
                <w:vertAlign w:val="baseline"/>
              </w:rPr>
              <w:t> </w:t>
            </w:r>
            <w:r>
              <w:rPr>
                <w:spacing w:val="-10"/>
                <w:sz w:val="24"/>
                <w:vertAlign w:val="baseline"/>
              </w:rPr>
              <w:t>@</w:t>
            </w:r>
          </w:p>
          <w:p>
            <w:pPr>
              <w:pStyle w:val="TableParagraph"/>
              <w:ind w:left="15"/>
              <w:rPr>
                <w:sz w:val="24"/>
              </w:rPr>
            </w:pPr>
            <w:r>
              <w:rPr>
                <w:spacing w:val="-2"/>
                <w:sz w:val="24"/>
              </w:rPr>
              <w:t>$2,640/m</w:t>
            </w:r>
            <w:r>
              <w:rPr>
                <w:spacing w:val="-2"/>
                <w:sz w:val="24"/>
                <w:vertAlign w:val="superscript"/>
              </w:rPr>
              <w:t>2</w:t>
            </w:r>
          </w:p>
        </w:tc>
        <w:tc>
          <w:tcPr>
            <w:tcW w:w="1364" w:type="dxa"/>
          </w:tcPr>
          <w:p>
            <w:pPr>
              <w:pStyle w:val="TableParagraph"/>
              <w:spacing w:before="6"/>
              <w:rPr>
                <w:b/>
                <w:sz w:val="34"/>
              </w:rPr>
            </w:pPr>
          </w:p>
          <w:p>
            <w:pPr>
              <w:pStyle w:val="TableParagraph"/>
              <w:ind w:right="2"/>
              <w:jc w:val="right"/>
              <w:rPr>
                <w:sz w:val="24"/>
              </w:rPr>
            </w:pPr>
            <w:r>
              <w:rPr>
                <w:spacing w:val="-2"/>
                <w:sz w:val="24"/>
              </w:rPr>
              <w:t>47,520,000</w:t>
            </w:r>
          </w:p>
        </w:tc>
      </w:tr>
      <w:tr>
        <w:trPr>
          <w:trHeight w:val="1349" w:hRule="atLeast"/>
        </w:trPr>
        <w:tc>
          <w:tcPr>
            <w:tcW w:w="698" w:type="dxa"/>
          </w:tcPr>
          <w:p>
            <w:pPr>
              <w:pStyle w:val="TableParagraph"/>
              <w:rPr>
                <w:b/>
                <w:sz w:val="26"/>
              </w:rPr>
            </w:pPr>
          </w:p>
          <w:p>
            <w:pPr>
              <w:pStyle w:val="TableParagraph"/>
              <w:spacing w:before="6"/>
              <w:rPr>
                <w:b/>
                <w:sz w:val="20"/>
              </w:rPr>
            </w:pPr>
          </w:p>
          <w:p>
            <w:pPr>
              <w:pStyle w:val="TableParagraph"/>
              <w:ind w:left="11"/>
              <w:jc w:val="center"/>
              <w:rPr>
                <w:sz w:val="24"/>
              </w:rPr>
            </w:pPr>
            <w:r>
              <w:rPr>
                <w:w w:val="99"/>
                <w:sz w:val="24"/>
              </w:rPr>
              <w:t>6</w:t>
            </w:r>
          </w:p>
        </w:tc>
        <w:tc>
          <w:tcPr>
            <w:tcW w:w="2172" w:type="dxa"/>
          </w:tcPr>
          <w:p>
            <w:pPr>
              <w:pStyle w:val="TableParagraph"/>
              <w:spacing w:before="6"/>
              <w:rPr>
                <w:b/>
                <w:sz w:val="22"/>
              </w:rPr>
            </w:pPr>
          </w:p>
          <w:p>
            <w:pPr>
              <w:pStyle w:val="TableParagraph"/>
              <w:ind w:left="15"/>
              <w:rPr>
                <w:sz w:val="24"/>
              </w:rPr>
            </w:pPr>
            <w:r>
              <w:rPr>
                <w:sz w:val="24"/>
              </w:rPr>
              <w:t>Large horizontal spread</w:t>
            </w:r>
            <w:r>
              <w:rPr>
                <w:spacing w:val="-17"/>
                <w:sz w:val="24"/>
              </w:rPr>
              <w:t> </w:t>
            </w:r>
            <w:r>
              <w:rPr>
                <w:sz w:val="24"/>
              </w:rPr>
              <w:t>–</w:t>
            </w:r>
            <w:r>
              <w:rPr>
                <w:spacing w:val="-17"/>
                <w:sz w:val="24"/>
              </w:rPr>
              <w:t> </w:t>
            </w:r>
            <w:r>
              <w:rPr>
                <w:sz w:val="24"/>
              </w:rPr>
              <w:t>shopping </w:t>
            </w:r>
            <w:r>
              <w:rPr>
                <w:spacing w:val="-2"/>
                <w:sz w:val="24"/>
              </w:rPr>
              <w:t>centre</w:t>
            </w:r>
          </w:p>
        </w:tc>
        <w:tc>
          <w:tcPr>
            <w:tcW w:w="2630" w:type="dxa"/>
          </w:tcPr>
          <w:p>
            <w:pPr>
              <w:pStyle w:val="TableParagraph"/>
              <w:spacing w:before="6"/>
              <w:rPr>
                <w:b/>
                <w:sz w:val="34"/>
              </w:rPr>
            </w:pPr>
          </w:p>
          <w:p>
            <w:pPr>
              <w:pStyle w:val="TableParagraph"/>
              <w:ind w:left="15" w:right="58"/>
              <w:rPr>
                <w:sz w:val="24"/>
              </w:rPr>
            </w:pPr>
            <w:r>
              <w:rPr>
                <w:sz w:val="24"/>
              </w:rPr>
              <w:t>assume</w:t>
            </w:r>
            <w:r>
              <w:rPr>
                <w:spacing w:val="-17"/>
                <w:sz w:val="24"/>
              </w:rPr>
              <w:t> </w:t>
            </w:r>
            <w:r>
              <w:rPr>
                <w:sz w:val="24"/>
              </w:rPr>
              <w:t>2No.</w:t>
            </w:r>
            <w:r>
              <w:rPr>
                <w:spacing w:val="-17"/>
                <w:sz w:val="24"/>
              </w:rPr>
              <w:t> </w:t>
            </w:r>
            <w:r>
              <w:rPr>
                <w:sz w:val="24"/>
              </w:rPr>
              <w:t>toilet </w:t>
            </w:r>
            <w:r>
              <w:rPr>
                <w:spacing w:val="-2"/>
                <w:sz w:val="24"/>
              </w:rPr>
              <w:t>blocks</w:t>
            </w:r>
          </w:p>
        </w:tc>
        <w:tc>
          <w:tcPr>
            <w:tcW w:w="1610" w:type="dxa"/>
          </w:tcPr>
          <w:p>
            <w:pPr>
              <w:pStyle w:val="TableParagraph"/>
              <w:spacing w:before="122"/>
              <w:ind w:left="15" w:right="261"/>
              <w:rPr>
                <w:sz w:val="24"/>
              </w:rPr>
            </w:pPr>
            <w:r>
              <w:rPr>
                <w:sz w:val="24"/>
              </w:rPr>
              <w:t>2003</w:t>
            </w:r>
            <w:r>
              <w:rPr>
                <w:spacing w:val="-17"/>
                <w:sz w:val="24"/>
              </w:rPr>
              <w:t> </w:t>
            </w:r>
            <w:r>
              <w:rPr>
                <w:sz w:val="24"/>
              </w:rPr>
              <w:t>project </w:t>
            </w:r>
            <w:r>
              <w:rPr>
                <w:spacing w:val="-2"/>
                <w:sz w:val="24"/>
              </w:rPr>
              <w:t>50,000m2,</w:t>
            </w:r>
          </w:p>
          <w:p>
            <w:pPr>
              <w:pStyle w:val="TableParagraph"/>
              <w:ind w:left="15"/>
              <w:rPr>
                <w:sz w:val="24"/>
              </w:rPr>
            </w:pPr>
            <w:r>
              <w:rPr>
                <w:sz w:val="24"/>
              </w:rPr>
              <w:t>constr </w:t>
            </w:r>
            <w:r>
              <w:rPr>
                <w:spacing w:val="-4"/>
                <w:sz w:val="24"/>
              </w:rPr>
              <w:t>cost</w:t>
            </w:r>
          </w:p>
          <w:p>
            <w:pPr>
              <w:pStyle w:val="TableParagraph"/>
              <w:ind w:left="15"/>
              <w:rPr>
                <w:sz w:val="24"/>
              </w:rPr>
            </w:pPr>
            <w:r>
              <w:rPr>
                <w:sz w:val="24"/>
              </w:rPr>
              <w:t>$85m</w:t>
            </w:r>
            <w:r>
              <w:rPr>
                <w:spacing w:val="-8"/>
                <w:sz w:val="24"/>
              </w:rPr>
              <w:t> </w:t>
            </w:r>
            <w:r>
              <w:rPr>
                <w:spacing w:val="-4"/>
                <w:sz w:val="24"/>
              </w:rPr>
              <w:t>+10%</w:t>
            </w:r>
          </w:p>
        </w:tc>
        <w:tc>
          <w:tcPr>
            <w:tcW w:w="1364" w:type="dxa"/>
          </w:tcPr>
          <w:p>
            <w:pPr>
              <w:pStyle w:val="TableParagraph"/>
              <w:rPr>
                <w:b/>
                <w:sz w:val="26"/>
              </w:rPr>
            </w:pPr>
          </w:p>
          <w:p>
            <w:pPr>
              <w:pStyle w:val="TableParagraph"/>
              <w:spacing w:before="6"/>
              <w:rPr>
                <w:b/>
                <w:sz w:val="20"/>
              </w:rPr>
            </w:pPr>
          </w:p>
          <w:p>
            <w:pPr>
              <w:pStyle w:val="TableParagraph"/>
              <w:ind w:right="2"/>
              <w:jc w:val="right"/>
              <w:rPr>
                <w:sz w:val="24"/>
              </w:rPr>
            </w:pPr>
            <w:r>
              <w:rPr>
                <w:spacing w:val="-2"/>
                <w:sz w:val="24"/>
              </w:rPr>
              <w:t>93,500,000</w:t>
            </w:r>
          </w:p>
        </w:tc>
      </w:tr>
      <w:tr>
        <w:trPr>
          <w:trHeight w:val="1072" w:hRule="atLeast"/>
        </w:trPr>
        <w:tc>
          <w:tcPr>
            <w:tcW w:w="698" w:type="dxa"/>
          </w:tcPr>
          <w:p>
            <w:pPr>
              <w:pStyle w:val="TableParagraph"/>
              <w:spacing w:before="6"/>
              <w:rPr>
                <w:b/>
                <w:sz w:val="34"/>
              </w:rPr>
            </w:pPr>
          </w:p>
          <w:p>
            <w:pPr>
              <w:pStyle w:val="TableParagraph"/>
              <w:ind w:left="11"/>
              <w:jc w:val="center"/>
              <w:rPr>
                <w:sz w:val="24"/>
              </w:rPr>
            </w:pPr>
            <w:r>
              <w:rPr>
                <w:w w:val="99"/>
                <w:sz w:val="24"/>
              </w:rPr>
              <w:t>6</w:t>
            </w:r>
          </w:p>
        </w:tc>
        <w:tc>
          <w:tcPr>
            <w:tcW w:w="2172" w:type="dxa"/>
          </w:tcPr>
          <w:p>
            <w:pPr>
              <w:pStyle w:val="TableParagraph"/>
              <w:spacing w:before="122"/>
              <w:ind w:left="15" w:right="383"/>
              <w:rPr>
                <w:sz w:val="24"/>
              </w:rPr>
            </w:pPr>
            <w:r>
              <w:rPr>
                <w:sz w:val="24"/>
              </w:rPr>
              <w:t>2 storey – </w:t>
            </w:r>
            <w:r>
              <w:rPr>
                <w:spacing w:val="-2"/>
                <w:sz w:val="24"/>
              </w:rPr>
              <w:t>restaurant(s) </w:t>
            </w:r>
            <w:r>
              <w:rPr>
                <w:sz w:val="24"/>
              </w:rPr>
              <w:t>(with</w:t>
            </w:r>
            <w:r>
              <w:rPr>
                <w:spacing w:val="-17"/>
                <w:sz w:val="24"/>
              </w:rPr>
              <w:t> </w:t>
            </w:r>
            <w:r>
              <w:rPr>
                <w:sz w:val="24"/>
              </w:rPr>
              <w:t>exemption)</w:t>
            </w:r>
          </w:p>
        </w:tc>
        <w:tc>
          <w:tcPr>
            <w:tcW w:w="2630" w:type="dxa"/>
          </w:tcPr>
          <w:p>
            <w:pPr>
              <w:pStyle w:val="TableParagraph"/>
              <w:spacing w:before="6"/>
              <w:rPr>
                <w:b/>
                <w:sz w:val="34"/>
              </w:rPr>
            </w:pPr>
          </w:p>
          <w:p>
            <w:pPr>
              <w:pStyle w:val="TableParagraph"/>
              <w:ind w:left="15"/>
              <w:rPr>
                <w:sz w:val="24"/>
              </w:rPr>
            </w:pPr>
            <w:r>
              <w:rPr>
                <w:sz w:val="24"/>
              </w:rPr>
              <w:t>assume</w:t>
            </w:r>
            <w:r>
              <w:rPr>
                <w:spacing w:val="-5"/>
                <w:sz w:val="24"/>
              </w:rPr>
              <w:t> </w:t>
            </w:r>
            <w:r>
              <w:rPr>
                <w:spacing w:val="-4"/>
                <w:sz w:val="24"/>
              </w:rPr>
              <w:t>200m</w:t>
            </w:r>
            <w:r>
              <w:rPr>
                <w:spacing w:val="-4"/>
                <w:sz w:val="24"/>
                <w:vertAlign w:val="superscript"/>
              </w:rPr>
              <w:t>2</w:t>
            </w:r>
          </w:p>
        </w:tc>
        <w:tc>
          <w:tcPr>
            <w:tcW w:w="1610" w:type="dxa"/>
          </w:tcPr>
          <w:p>
            <w:pPr>
              <w:pStyle w:val="TableParagraph"/>
              <w:spacing w:before="259"/>
              <w:ind w:left="15"/>
              <w:rPr>
                <w:sz w:val="24"/>
              </w:rPr>
            </w:pPr>
            <w:r>
              <w:rPr>
                <w:sz w:val="24"/>
              </w:rPr>
              <w:t>200m</w:t>
            </w:r>
            <w:r>
              <w:rPr>
                <w:sz w:val="24"/>
                <w:vertAlign w:val="superscript"/>
              </w:rPr>
              <w:t>2</w:t>
            </w:r>
            <w:r>
              <w:rPr>
                <w:spacing w:val="-10"/>
                <w:sz w:val="24"/>
                <w:vertAlign w:val="baseline"/>
              </w:rPr>
              <w:t> @</w:t>
            </w:r>
          </w:p>
          <w:p>
            <w:pPr>
              <w:pStyle w:val="TableParagraph"/>
              <w:ind w:left="15"/>
              <w:rPr>
                <w:sz w:val="24"/>
              </w:rPr>
            </w:pPr>
            <w:r>
              <w:rPr>
                <w:spacing w:val="-2"/>
                <w:sz w:val="24"/>
              </w:rPr>
              <w:t>$2750/m</w:t>
            </w:r>
            <w:r>
              <w:rPr>
                <w:spacing w:val="-2"/>
                <w:sz w:val="24"/>
                <w:vertAlign w:val="superscript"/>
              </w:rPr>
              <w:t>2</w:t>
            </w:r>
          </w:p>
        </w:tc>
        <w:tc>
          <w:tcPr>
            <w:tcW w:w="1364" w:type="dxa"/>
          </w:tcPr>
          <w:p>
            <w:pPr>
              <w:pStyle w:val="TableParagraph"/>
              <w:spacing w:before="6"/>
              <w:rPr>
                <w:b/>
                <w:sz w:val="34"/>
              </w:rPr>
            </w:pPr>
          </w:p>
          <w:p>
            <w:pPr>
              <w:pStyle w:val="TableParagraph"/>
              <w:ind w:right="1"/>
              <w:jc w:val="right"/>
              <w:rPr>
                <w:sz w:val="24"/>
              </w:rPr>
            </w:pPr>
            <w:r>
              <w:rPr>
                <w:spacing w:val="-2"/>
                <w:sz w:val="24"/>
              </w:rPr>
              <w:t>550,000</w:t>
            </w:r>
          </w:p>
        </w:tc>
      </w:tr>
      <w:tr>
        <w:trPr>
          <w:trHeight w:val="807" w:hRule="atLeast"/>
        </w:trPr>
        <w:tc>
          <w:tcPr>
            <w:tcW w:w="698" w:type="dxa"/>
          </w:tcPr>
          <w:p>
            <w:pPr>
              <w:pStyle w:val="TableParagraph"/>
              <w:spacing w:before="5"/>
              <w:rPr>
                <w:b/>
                <w:sz w:val="23"/>
              </w:rPr>
            </w:pPr>
          </w:p>
          <w:p>
            <w:pPr>
              <w:pStyle w:val="TableParagraph"/>
              <w:ind w:left="11"/>
              <w:jc w:val="center"/>
              <w:rPr>
                <w:sz w:val="24"/>
              </w:rPr>
            </w:pPr>
            <w:r>
              <w:rPr>
                <w:w w:val="99"/>
                <w:sz w:val="24"/>
              </w:rPr>
              <w:t>6</w:t>
            </w:r>
          </w:p>
        </w:tc>
        <w:tc>
          <w:tcPr>
            <w:tcW w:w="2172" w:type="dxa"/>
          </w:tcPr>
          <w:p>
            <w:pPr>
              <w:pStyle w:val="TableParagraph"/>
              <w:spacing w:before="192"/>
              <w:ind w:left="15"/>
              <w:rPr>
                <w:sz w:val="24"/>
              </w:rPr>
            </w:pPr>
            <w:r>
              <w:rPr>
                <w:sz w:val="24"/>
              </w:rPr>
              <w:t>2 storey – </w:t>
            </w:r>
            <w:r>
              <w:rPr>
                <w:spacing w:val="-2"/>
                <w:sz w:val="24"/>
              </w:rPr>
              <w:t>restaurant(s)</w:t>
            </w:r>
          </w:p>
        </w:tc>
        <w:tc>
          <w:tcPr>
            <w:tcW w:w="2630" w:type="dxa"/>
          </w:tcPr>
          <w:p>
            <w:pPr>
              <w:pStyle w:val="TableParagraph"/>
              <w:spacing w:before="5"/>
              <w:rPr>
                <w:b/>
                <w:sz w:val="23"/>
              </w:rPr>
            </w:pPr>
          </w:p>
          <w:p>
            <w:pPr>
              <w:pStyle w:val="TableParagraph"/>
              <w:ind w:left="15"/>
              <w:rPr>
                <w:sz w:val="24"/>
              </w:rPr>
            </w:pPr>
            <w:r>
              <w:rPr>
                <w:sz w:val="24"/>
              </w:rPr>
              <w:t>assume</w:t>
            </w:r>
            <w:r>
              <w:rPr>
                <w:spacing w:val="-5"/>
                <w:sz w:val="24"/>
              </w:rPr>
              <w:t> </w:t>
            </w:r>
            <w:r>
              <w:rPr>
                <w:spacing w:val="-2"/>
                <w:sz w:val="24"/>
              </w:rPr>
              <w:t>1200m</w:t>
            </w:r>
            <w:r>
              <w:rPr>
                <w:spacing w:val="-2"/>
                <w:sz w:val="24"/>
                <w:vertAlign w:val="superscript"/>
              </w:rPr>
              <w:t>2</w:t>
            </w:r>
          </w:p>
        </w:tc>
        <w:tc>
          <w:tcPr>
            <w:tcW w:w="1610" w:type="dxa"/>
          </w:tcPr>
          <w:p>
            <w:pPr>
              <w:pStyle w:val="TableParagraph"/>
              <w:spacing w:before="132"/>
              <w:ind w:left="15"/>
              <w:rPr>
                <w:sz w:val="24"/>
              </w:rPr>
            </w:pPr>
            <w:r>
              <w:rPr>
                <w:sz w:val="24"/>
              </w:rPr>
              <w:t>1200m</w:t>
            </w:r>
            <w:r>
              <w:rPr>
                <w:sz w:val="24"/>
                <w:vertAlign w:val="superscript"/>
              </w:rPr>
              <w:t>2</w:t>
            </w:r>
            <w:r>
              <w:rPr>
                <w:spacing w:val="-13"/>
                <w:sz w:val="24"/>
                <w:vertAlign w:val="baseline"/>
              </w:rPr>
              <w:t> </w:t>
            </w:r>
            <w:r>
              <w:rPr>
                <w:spacing w:val="-10"/>
                <w:sz w:val="24"/>
                <w:vertAlign w:val="baseline"/>
              </w:rPr>
              <w:t>@</w:t>
            </w:r>
          </w:p>
          <w:p>
            <w:pPr>
              <w:pStyle w:val="TableParagraph"/>
              <w:ind w:left="15"/>
              <w:rPr>
                <w:sz w:val="24"/>
              </w:rPr>
            </w:pPr>
            <w:r>
              <w:rPr>
                <w:spacing w:val="-2"/>
                <w:sz w:val="24"/>
              </w:rPr>
              <w:t>$2500/m</w:t>
            </w:r>
            <w:r>
              <w:rPr>
                <w:spacing w:val="-2"/>
                <w:sz w:val="24"/>
                <w:vertAlign w:val="superscript"/>
              </w:rPr>
              <w:t>2</w:t>
            </w:r>
          </w:p>
        </w:tc>
        <w:tc>
          <w:tcPr>
            <w:tcW w:w="1364" w:type="dxa"/>
          </w:tcPr>
          <w:p>
            <w:pPr>
              <w:pStyle w:val="TableParagraph"/>
              <w:spacing w:before="5"/>
              <w:rPr>
                <w:b/>
                <w:sz w:val="23"/>
              </w:rPr>
            </w:pPr>
          </w:p>
          <w:p>
            <w:pPr>
              <w:pStyle w:val="TableParagraph"/>
              <w:ind w:right="1"/>
              <w:jc w:val="right"/>
              <w:rPr>
                <w:sz w:val="24"/>
              </w:rPr>
            </w:pPr>
            <w:r>
              <w:rPr>
                <w:spacing w:val="-2"/>
                <w:sz w:val="24"/>
              </w:rPr>
              <w:t>3,000,000</w:t>
            </w:r>
          </w:p>
        </w:tc>
      </w:tr>
    </w:tbl>
    <w:p>
      <w:pPr>
        <w:pStyle w:val="BodyText"/>
        <w:rPr>
          <w:b/>
          <w:sz w:val="25"/>
        </w:rPr>
      </w:pPr>
      <w:r>
        <w:rPr/>
        <w:pict>
          <v:rect style="position:absolute;margin-left:90pt;margin-top:15.61pt;width:144pt;height:.6pt;mso-position-horizontal-relative:page;mso-position-vertical-relative:paragraph;z-index:-15693824;mso-wrap-distance-left:0;mso-wrap-distance-right:0" id="docshape83" filled="true" fillcolor="#000000" stroked="false">
            <v:fill type="solid"/>
            <w10:wrap type="topAndBottom"/>
          </v:rect>
        </w:pict>
      </w:r>
    </w:p>
    <w:p>
      <w:pPr>
        <w:spacing w:before="222"/>
        <w:ind w:left="420" w:right="0" w:firstLine="0"/>
        <w:jc w:val="left"/>
        <w:rPr>
          <w:sz w:val="20"/>
        </w:rPr>
      </w:pPr>
      <w:r>
        <w:rPr>
          <w:sz w:val="20"/>
          <w:vertAlign w:val="superscript"/>
        </w:rPr>
        <w:t>85</w:t>
      </w:r>
      <w:r>
        <w:rPr>
          <w:spacing w:val="-3"/>
          <w:sz w:val="20"/>
          <w:vertAlign w:val="baseline"/>
        </w:rPr>
        <w:t> </w:t>
      </w:r>
      <w:r>
        <w:rPr>
          <w:sz w:val="20"/>
          <w:vertAlign w:val="baseline"/>
        </w:rPr>
        <w:t>Additional</w:t>
      </w:r>
      <w:r>
        <w:rPr>
          <w:spacing w:val="-2"/>
          <w:sz w:val="20"/>
          <w:vertAlign w:val="baseline"/>
        </w:rPr>
        <w:t> </w:t>
      </w:r>
      <w:r>
        <w:rPr>
          <w:sz w:val="20"/>
          <w:vertAlign w:val="baseline"/>
        </w:rPr>
        <w:t>cost</w:t>
      </w:r>
      <w:r>
        <w:rPr>
          <w:spacing w:val="-3"/>
          <w:sz w:val="20"/>
          <w:vertAlign w:val="baseline"/>
        </w:rPr>
        <w:t> </w:t>
      </w:r>
      <w:r>
        <w:rPr>
          <w:sz w:val="20"/>
          <w:vertAlign w:val="baseline"/>
        </w:rPr>
        <w:t>bases</w:t>
      </w:r>
      <w:r>
        <w:rPr>
          <w:spacing w:val="-3"/>
          <w:sz w:val="20"/>
          <w:vertAlign w:val="baseline"/>
        </w:rPr>
        <w:t> </w:t>
      </w:r>
      <w:r>
        <w:rPr>
          <w:sz w:val="20"/>
          <w:vertAlign w:val="baseline"/>
        </w:rPr>
        <w:t>relating</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Class</w:t>
      </w:r>
      <w:r>
        <w:rPr>
          <w:spacing w:val="-2"/>
          <w:sz w:val="20"/>
          <w:vertAlign w:val="baseline"/>
        </w:rPr>
        <w:t> </w:t>
      </w:r>
      <w:r>
        <w:rPr>
          <w:sz w:val="20"/>
          <w:vertAlign w:val="baseline"/>
        </w:rPr>
        <w:t>2</w:t>
      </w:r>
      <w:r>
        <w:rPr>
          <w:spacing w:val="-3"/>
          <w:sz w:val="20"/>
          <w:vertAlign w:val="baseline"/>
        </w:rPr>
        <w:t> </w:t>
      </w:r>
      <w:r>
        <w:rPr>
          <w:sz w:val="20"/>
          <w:vertAlign w:val="baseline"/>
        </w:rPr>
        <w:t>2009</w:t>
      </w:r>
      <w:r>
        <w:rPr>
          <w:spacing w:val="-2"/>
          <w:sz w:val="20"/>
          <w:vertAlign w:val="baseline"/>
        </w:rPr>
        <w:t> </w:t>
      </w:r>
      <w:r>
        <w:rPr>
          <w:sz w:val="20"/>
          <w:vertAlign w:val="baseline"/>
        </w:rPr>
        <w:t>amendments</w:t>
      </w:r>
      <w:r>
        <w:rPr>
          <w:spacing w:val="-2"/>
          <w:sz w:val="20"/>
          <w:vertAlign w:val="baseline"/>
        </w:rPr>
        <w:t> </w:t>
      </w:r>
      <w:r>
        <w:rPr>
          <w:sz w:val="20"/>
          <w:vertAlign w:val="baseline"/>
        </w:rPr>
        <w:t>can</w:t>
      </w:r>
      <w:r>
        <w:rPr>
          <w:spacing w:val="-3"/>
          <w:sz w:val="20"/>
          <w:vertAlign w:val="baseline"/>
        </w:rPr>
        <w:t> </w:t>
      </w:r>
      <w:r>
        <w:rPr>
          <w:sz w:val="20"/>
          <w:vertAlign w:val="baseline"/>
        </w:rPr>
        <w:t>be</w:t>
      </w:r>
      <w:r>
        <w:rPr>
          <w:spacing w:val="-2"/>
          <w:sz w:val="20"/>
          <w:vertAlign w:val="baseline"/>
        </w:rPr>
        <w:t> </w:t>
      </w:r>
      <w:r>
        <w:rPr>
          <w:sz w:val="20"/>
          <w:vertAlign w:val="baseline"/>
        </w:rPr>
        <w:t>found</w:t>
      </w:r>
      <w:r>
        <w:rPr>
          <w:spacing w:val="-2"/>
          <w:sz w:val="20"/>
          <w:vertAlign w:val="baseline"/>
        </w:rPr>
        <w:t> </w:t>
      </w:r>
      <w:r>
        <w:rPr>
          <w:sz w:val="20"/>
          <w:vertAlign w:val="baseline"/>
        </w:rPr>
        <w:t>in</w:t>
      </w:r>
      <w:r>
        <w:rPr>
          <w:spacing w:val="-4"/>
          <w:sz w:val="20"/>
          <w:vertAlign w:val="baseline"/>
        </w:rPr>
        <w:t> </w:t>
      </w:r>
      <w:r>
        <w:rPr>
          <w:sz w:val="20"/>
          <w:vertAlign w:val="baseline"/>
        </w:rPr>
        <w:t>Appendix</w:t>
      </w:r>
      <w:r>
        <w:rPr>
          <w:spacing w:val="-2"/>
          <w:sz w:val="20"/>
          <w:vertAlign w:val="baseline"/>
        </w:rPr>
        <w:t> </w:t>
      </w:r>
      <w:r>
        <w:rPr>
          <w:spacing w:val="-10"/>
          <w:sz w:val="20"/>
          <w:vertAlign w:val="baseline"/>
        </w:rPr>
        <w:t>D</w:t>
      </w:r>
    </w:p>
    <w:p>
      <w:pPr>
        <w:spacing w:after="0"/>
        <w:jc w:val="left"/>
        <w:rPr>
          <w:sz w:val="20"/>
        </w:rPr>
        <w:sectPr>
          <w:pgSz w:w="11900" w:h="16840"/>
          <w:pgMar w:header="0" w:footer="1130" w:top="1000" w:bottom="1320" w:left="1380" w:right="980"/>
        </w:sectPr>
      </w:pPr>
    </w:p>
    <w:tbl>
      <w:tblPr>
        <w:tblW w:w="0" w:type="auto"/>
        <w:jc w:val="left"/>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
        <w:gridCol w:w="2172"/>
        <w:gridCol w:w="2630"/>
        <w:gridCol w:w="1610"/>
        <w:gridCol w:w="1364"/>
      </w:tblGrid>
      <w:tr>
        <w:trPr>
          <w:trHeight w:val="1083" w:hRule="atLeast"/>
        </w:trPr>
        <w:tc>
          <w:tcPr>
            <w:tcW w:w="698" w:type="dxa"/>
          </w:tcPr>
          <w:p>
            <w:pPr>
              <w:pStyle w:val="TableParagraph"/>
              <w:rPr>
                <w:sz w:val="26"/>
              </w:rPr>
            </w:pPr>
          </w:p>
          <w:p>
            <w:pPr>
              <w:pStyle w:val="TableParagraph"/>
              <w:spacing w:before="7"/>
              <w:rPr>
                <w:sz w:val="33"/>
              </w:rPr>
            </w:pPr>
          </w:p>
          <w:p>
            <w:pPr>
              <w:pStyle w:val="TableParagraph"/>
              <w:ind w:left="14" w:right="3"/>
              <w:jc w:val="center"/>
              <w:rPr>
                <w:b/>
                <w:sz w:val="24"/>
              </w:rPr>
            </w:pPr>
            <w:r>
              <w:rPr>
                <w:b/>
                <w:spacing w:val="-2"/>
                <w:sz w:val="24"/>
              </w:rPr>
              <w:t>Class</w:t>
            </w:r>
          </w:p>
        </w:tc>
        <w:tc>
          <w:tcPr>
            <w:tcW w:w="2172" w:type="dxa"/>
          </w:tcPr>
          <w:p>
            <w:pPr>
              <w:pStyle w:val="TableParagraph"/>
              <w:spacing w:before="7"/>
              <w:rPr>
                <w:sz w:val="35"/>
              </w:rPr>
            </w:pPr>
          </w:p>
          <w:p>
            <w:pPr>
              <w:pStyle w:val="TableParagraph"/>
              <w:ind w:left="15" w:right="836"/>
              <w:rPr>
                <w:b/>
                <w:sz w:val="24"/>
              </w:rPr>
            </w:pPr>
            <w:r>
              <w:rPr>
                <w:b/>
                <w:sz w:val="24"/>
              </w:rPr>
              <w:t>Case</w:t>
            </w:r>
            <w:r>
              <w:rPr>
                <w:b/>
                <w:spacing w:val="-17"/>
                <w:sz w:val="24"/>
              </w:rPr>
              <w:t> </w:t>
            </w:r>
            <w:r>
              <w:rPr>
                <w:b/>
                <w:sz w:val="24"/>
              </w:rPr>
              <w:t>Study </w:t>
            </w:r>
            <w:r>
              <w:rPr>
                <w:b/>
                <w:spacing w:val="-2"/>
                <w:sz w:val="24"/>
              </w:rPr>
              <w:t>Building</w:t>
            </w:r>
          </w:p>
        </w:tc>
        <w:tc>
          <w:tcPr>
            <w:tcW w:w="2630" w:type="dxa"/>
          </w:tcPr>
          <w:p>
            <w:pPr>
              <w:pStyle w:val="TableParagraph"/>
              <w:rPr>
                <w:sz w:val="26"/>
              </w:rPr>
            </w:pPr>
          </w:p>
          <w:p>
            <w:pPr>
              <w:pStyle w:val="TableParagraph"/>
              <w:spacing w:before="7"/>
              <w:rPr>
                <w:sz w:val="33"/>
              </w:rPr>
            </w:pPr>
          </w:p>
          <w:p>
            <w:pPr>
              <w:pStyle w:val="TableParagraph"/>
              <w:ind w:left="15"/>
              <w:rPr>
                <w:b/>
                <w:sz w:val="24"/>
              </w:rPr>
            </w:pPr>
            <w:r>
              <w:rPr>
                <w:b/>
                <w:spacing w:val="-2"/>
                <w:sz w:val="24"/>
              </w:rPr>
              <w:t>Comments</w:t>
            </w:r>
          </w:p>
        </w:tc>
        <w:tc>
          <w:tcPr>
            <w:tcW w:w="1610" w:type="dxa"/>
          </w:tcPr>
          <w:p>
            <w:pPr>
              <w:pStyle w:val="TableParagraph"/>
              <w:spacing w:before="133"/>
              <w:ind w:left="14" w:right="194"/>
              <w:rPr>
                <w:b/>
                <w:sz w:val="24"/>
              </w:rPr>
            </w:pPr>
            <w:r>
              <w:rPr>
                <w:b/>
                <w:sz w:val="24"/>
              </w:rPr>
              <w:t>Base cost calculation</w:t>
            </w:r>
            <w:r>
              <w:rPr>
                <w:b/>
                <w:spacing w:val="-17"/>
                <w:sz w:val="24"/>
              </w:rPr>
              <w:t> </w:t>
            </w:r>
            <w:r>
              <w:rPr>
                <w:b/>
                <w:sz w:val="24"/>
              </w:rPr>
              <w:t>/ </w:t>
            </w:r>
            <w:r>
              <w:rPr>
                <w:b/>
                <w:spacing w:val="-2"/>
                <w:sz w:val="24"/>
              </w:rPr>
              <w:t>basis</w:t>
            </w:r>
          </w:p>
        </w:tc>
        <w:tc>
          <w:tcPr>
            <w:tcW w:w="1364" w:type="dxa"/>
          </w:tcPr>
          <w:p>
            <w:pPr>
              <w:pStyle w:val="TableParagraph"/>
              <w:spacing w:before="7"/>
              <w:rPr>
                <w:sz w:val="35"/>
              </w:rPr>
            </w:pPr>
          </w:p>
          <w:p>
            <w:pPr>
              <w:pStyle w:val="TableParagraph"/>
              <w:ind w:left="35" w:right="22" w:firstLine="80"/>
              <w:rPr>
                <w:b/>
                <w:sz w:val="24"/>
              </w:rPr>
            </w:pPr>
            <w:r>
              <w:rPr>
                <w:b/>
                <w:sz w:val="24"/>
              </w:rPr>
              <w:t>Base cost adopted</w:t>
            </w:r>
            <w:r>
              <w:rPr>
                <w:b/>
                <w:spacing w:val="-17"/>
                <w:sz w:val="24"/>
              </w:rPr>
              <w:t> </w:t>
            </w:r>
            <w:r>
              <w:rPr>
                <w:b/>
                <w:sz w:val="24"/>
              </w:rPr>
              <w:t>($)</w:t>
            </w:r>
          </w:p>
        </w:tc>
      </w:tr>
      <w:tr>
        <w:trPr>
          <w:trHeight w:val="525" w:hRule="atLeast"/>
        </w:trPr>
        <w:tc>
          <w:tcPr>
            <w:tcW w:w="698" w:type="dxa"/>
          </w:tcPr>
          <w:p>
            <w:pPr>
              <w:pStyle w:val="TableParagraph"/>
              <w:rPr>
                <w:rFonts w:ascii="Times New Roman"/>
                <w:sz w:val="22"/>
              </w:rPr>
            </w:pPr>
          </w:p>
        </w:tc>
        <w:tc>
          <w:tcPr>
            <w:tcW w:w="2172" w:type="dxa"/>
          </w:tcPr>
          <w:p>
            <w:pPr>
              <w:pStyle w:val="TableParagraph"/>
              <w:spacing w:before="12"/>
              <w:ind w:left="15"/>
              <w:rPr>
                <w:sz w:val="24"/>
              </w:rPr>
            </w:pPr>
            <w:r>
              <w:rPr>
                <w:sz w:val="24"/>
              </w:rPr>
              <w:t>(without</w:t>
            </w:r>
            <w:r>
              <w:rPr>
                <w:spacing w:val="-7"/>
                <w:sz w:val="24"/>
              </w:rPr>
              <w:t> </w:t>
            </w:r>
            <w:r>
              <w:rPr>
                <w:spacing w:val="-2"/>
                <w:sz w:val="24"/>
              </w:rPr>
              <w:t>exemption)</w:t>
            </w:r>
          </w:p>
        </w:tc>
        <w:tc>
          <w:tcPr>
            <w:tcW w:w="2630" w:type="dxa"/>
          </w:tcPr>
          <w:p>
            <w:pPr>
              <w:pStyle w:val="TableParagraph"/>
              <w:rPr>
                <w:rFonts w:ascii="Times New Roman"/>
                <w:sz w:val="22"/>
              </w:rPr>
            </w:pPr>
          </w:p>
        </w:tc>
        <w:tc>
          <w:tcPr>
            <w:tcW w:w="1610" w:type="dxa"/>
          </w:tcPr>
          <w:p>
            <w:pPr>
              <w:pStyle w:val="TableParagraph"/>
              <w:rPr>
                <w:rFonts w:ascii="Times New Roman"/>
                <w:sz w:val="22"/>
              </w:rPr>
            </w:pPr>
          </w:p>
        </w:tc>
        <w:tc>
          <w:tcPr>
            <w:tcW w:w="1364" w:type="dxa"/>
          </w:tcPr>
          <w:p>
            <w:pPr>
              <w:pStyle w:val="TableParagraph"/>
              <w:rPr>
                <w:rFonts w:ascii="Times New Roman"/>
                <w:sz w:val="22"/>
              </w:rPr>
            </w:pPr>
          </w:p>
        </w:tc>
      </w:tr>
      <w:tr>
        <w:trPr>
          <w:trHeight w:val="796" w:hRule="atLeast"/>
        </w:trPr>
        <w:tc>
          <w:tcPr>
            <w:tcW w:w="698" w:type="dxa"/>
          </w:tcPr>
          <w:p>
            <w:pPr>
              <w:pStyle w:val="TableParagraph"/>
              <w:spacing w:before="6"/>
              <w:rPr>
                <w:sz w:val="22"/>
              </w:rPr>
            </w:pPr>
          </w:p>
          <w:p>
            <w:pPr>
              <w:pStyle w:val="TableParagraph"/>
              <w:ind w:left="13" w:right="3"/>
              <w:jc w:val="center"/>
              <w:rPr>
                <w:sz w:val="24"/>
              </w:rPr>
            </w:pPr>
            <w:r>
              <w:rPr>
                <w:spacing w:val="-5"/>
                <w:sz w:val="24"/>
              </w:rPr>
              <w:t>7a</w:t>
            </w:r>
          </w:p>
        </w:tc>
        <w:tc>
          <w:tcPr>
            <w:tcW w:w="2172" w:type="dxa"/>
          </w:tcPr>
          <w:p>
            <w:pPr>
              <w:pStyle w:val="TableParagraph"/>
              <w:spacing w:before="6"/>
              <w:rPr>
                <w:sz w:val="22"/>
              </w:rPr>
            </w:pPr>
          </w:p>
          <w:p>
            <w:pPr>
              <w:pStyle w:val="TableParagraph"/>
              <w:ind w:left="16"/>
              <w:rPr>
                <w:sz w:val="24"/>
              </w:rPr>
            </w:pPr>
            <w:r>
              <w:rPr>
                <w:sz w:val="24"/>
              </w:rPr>
              <w:t>7</w:t>
            </w:r>
            <w:r>
              <w:rPr>
                <w:spacing w:val="-3"/>
                <w:sz w:val="24"/>
              </w:rPr>
              <w:t> </w:t>
            </w:r>
            <w:r>
              <w:rPr>
                <w:sz w:val="24"/>
              </w:rPr>
              <w:t>storey</w:t>
            </w:r>
            <w:r>
              <w:rPr>
                <w:spacing w:val="-3"/>
                <w:sz w:val="24"/>
              </w:rPr>
              <w:t> </w:t>
            </w:r>
            <w:r>
              <w:rPr>
                <w:sz w:val="24"/>
              </w:rPr>
              <w:t>–</w:t>
            </w:r>
            <w:r>
              <w:rPr>
                <w:spacing w:val="-2"/>
                <w:sz w:val="24"/>
              </w:rPr>
              <w:t> carpark</w:t>
            </w:r>
          </w:p>
        </w:tc>
        <w:tc>
          <w:tcPr>
            <w:tcW w:w="2630" w:type="dxa"/>
          </w:tcPr>
          <w:p>
            <w:pPr>
              <w:pStyle w:val="TableParagraph"/>
              <w:spacing w:before="122"/>
              <w:ind w:left="15" w:right="58"/>
              <w:rPr>
                <w:sz w:val="24"/>
              </w:rPr>
            </w:pPr>
            <w:r>
              <w:rPr>
                <w:sz w:val="24"/>
              </w:rPr>
              <w:t>assume</w:t>
            </w:r>
            <w:r>
              <w:rPr>
                <w:spacing w:val="-17"/>
                <w:sz w:val="24"/>
              </w:rPr>
              <w:t> </w:t>
            </w:r>
            <w:r>
              <w:rPr>
                <w:sz w:val="24"/>
              </w:rPr>
              <w:t>1200m</w:t>
            </w:r>
            <w:r>
              <w:rPr>
                <w:sz w:val="24"/>
                <w:vertAlign w:val="superscript"/>
              </w:rPr>
              <w:t>2</w:t>
            </w:r>
            <w:r>
              <w:rPr>
                <w:spacing w:val="-17"/>
                <w:sz w:val="24"/>
                <w:vertAlign w:val="baseline"/>
              </w:rPr>
              <w:t> </w:t>
            </w:r>
            <w:r>
              <w:rPr>
                <w:sz w:val="24"/>
                <w:vertAlign w:val="baseline"/>
              </w:rPr>
              <w:t>per </w:t>
            </w:r>
            <w:r>
              <w:rPr>
                <w:spacing w:val="-2"/>
                <w:sz w:val="24"/>
                <w:vertAlign w:val="baseline"/>
              </w:rPr>
              <w:t>level</w:t>
            </w:r>
          </w:p>
        </w:tc>
        <w:tc>
          <w:tcPr>
            <w:tcW w:w="1610" w:type="dxa"/>
          </w:tcPr>
          <w:p>
            <w:pPr>
              <w:pStyle w:val="TableParagraph"/>
              <w:spacing w:before="122"/>
              <w:ind w:left="15"/>
              <w:rPr>
                <w:sz w:val="24"/>
              </w:rPr>
            </w:pPr>
            <w:r>
              <w:rPr>
                <w:sz w:val="24"/>
              </w:rPr>
              <w:t>8,400m</w:t>
            </w:r>
            <w:r>
              <w:rPr>
                <w:sz w:val="24"/>
                <w:vertAlign w:val="superscript"/>
              </w:rPr>
              <w:t>2</w:t>
            </w:r>
            <w:r>
              <w:rPr>
                <w:spacing w:val="-14"/>
                <w:sz w:val="24"/>
                <w:vertAlign w:val="baseline"/>
              </w:rPr>
              <w:t> </w:t>
            </w:r>
            <w:r>
              <w:rPr>
                <w:spacing w:val="-10"/>
                <w:sz w:val="24"/>
                <w:vertAlign w:val="baseline"/>
              </w:rPr>
              <w:t>@</w:t>
            </w:r>
          </w:p>
          <w:p>
            <w:pPr>
              <w:pStyle w:val="TableParagraph"/>
              <w:ind w:left="15"/>
              <w:rPr>
                <w:sz w:val="24"/>
              </w:rPr>
            </w:pPr>
            <w:r>
              <w:rPr>
                <w:spacing w:val="-2"/>
                <w:sz w:val="24"/>
              </w:rPr>
              <w:t>$750/m</w:t>
            </w:r>
            <w:r>
              <w:rPr>
                <w:spacing w:val="-2"/>
                <w:sz w:val="24"/>
                <w:vertAlign w:val="superscript"/>
              </w:rPr>
              <w:t>2</w:t>
            </w:r>
          </w:p>
        </w:tc>
        <w:tc>
          <w:tcPr>
            <w:tcW w:w="1364" w:type="dxa"/>
          </w:tcPr>
          <w:p>
            <w:pPr>
              <w:pStyle w:val="TableParagraph"/>
              <w:spacing w:before="6"/>
              <w:rPr>
                <w:sz w:val="22"/>
              </w:rPr>
            </w:pPr>
          </w:p>
          <w:p>
            <w:pPr>
              <w:pStyle w:val="TableParagraph"/>
              <w:ind w:right="1"/>
              <w:jc w:val="right"/>
              <w:rPr>
                <w:sz w:val="24"/>
              </w:rPr>
            </w:pPr>
            <w:r>
              <w:rPr>
                <w:spacing w:val="-2"/>
                <w:sz w:val="24"/>
              </w:rPr>
              <w:t>6,300,000</w:t>
            </w:r>
          </w:p>
        </w:tc>
      </w:tr>
      <w:tr>
        <w:trPr>
          <w:trHeight w:val="1073" w:hRule="atLeast"/>
        </w:trPr>
        <w:tc>
          <w:tcPr>
            <w:tcW w:w="698" w:type="dxa"/>
          </w:tcPr>
          <w:p>
            <w:pPr>
              <w:pStyle w:val="TableParagraph"/>
              <w:spacing w:before="6"/>
              <w:rPr>
                <w:sz w:val="34"/>
              </w:rPr>
            </w:pPr>
          </w:p>
          <w:p>
            <w:pPr>
              <w:pStyle w:val="TableParagraph"/>
              <w:ind w:left="12" w:right="3"/>
              <w:jc w:val="center"/>
              <w:rPr>
                <w:sz w:val="24"/>
              </w:rPr>
            </w:pPr>
            <w:r>
              <w:rPr>
                <w:spacing w:val="-5"/>
                <w:sz w:val="24"/>
              </w:rPr>
              <w:t>7b</w:t>
            </w:r>
          </w:p>
        </w:tc>
        <w:tc>
          <w:tcPr>
            <w:tcW w:w="2172" w:type="dxa"/>
          </w:tcPr>
          <w:p>
            <w:pPr>
              <w:pStyle w:val="TableParagraph"/>
              <w:spacing w:before="122"/>
              <w:ind w:left="15"/>
              <w:rPr>
                <w:sz w:val="24"/>
              </w:rPr>
            </w:pPr>
            <w:r>
              <w:rPr>
                <w:sz w:val="24"/>
              </w:rPr>
              <w:t>2</w:t>
            </w:r>
            <w:r>
              <w:rPr>
                <w:spacing w:val="-9"/>
                <w:sz w:val="24"/>
              </w:rPr>
              <w:t> </w:t>
            </w:r>
            <w:r>
              <w:rPr>
                <w:sz w:val="24"/>
              </w:rPr>
              <w:t>storey</w:t>
            </w:r>
            <w:r>
              <w:rPr>
                <w:spacing w:val="-9"/>
                <w:sz w:val="24"/>
              </w:rPr>
              <w:t> </w:t>
            </w:r>
            <w:r>
              <w:rPr>
                <w:sz w:val="24"/>
              </w:rPr>
              <w:t>–</w:t>
            </w:r>
            <w:r>
              <w:rPr>
                <w:spacing w:val="-9"/>
                <w:sz w:val="24"/>
              </w:rPr>
              <w:t> </w:t>
            </w:r>
            <w:r>
              <w:rPr>
                <w:sz w:val="24"/>
              </w:rPr>
              <w:t>storage</w:t>
            </w:r>
            <w:r>
              <w:rPr>
                <w:spacing w:val="-9"/>
                <w:sz w:val="24"/>
              </w:rPr>
              <w:t> </w:t>
            </w:r>
            <w:r>
              <w:rPr>
                <w:sz w:val="24"/>
              </w:rPr>
              <w:t>/ warehouse (with </w:t>
            </w:r>
            <w:r>
              <w:rPr>
                <w:spacing w:val="-2"/>
                <w:sz w:val="24"/>
              </w:rPr>
              <w:t>exemption)</w:t>
            </w:r>
          </w:p>
        </w:tc>
        <w:tc>
          <w:tcPr>
            <w:tcW w:w="2630" w:type="dxa"/>
          </w:tcPr>
          <w:p>
            <w:pPr>
              <w:pStyle w:val="TableParagraph"/>
              <w:spacing w:before="6"/>
              <w:rPr>
                <w:sz w:val="34"/>
              </w:rPr>
            </w:pPr>
          </w:p>
          <w:p>
            <w:pPr>
              <w:pStyle w:val="TableParagraph"/>
              <w:ind w:left="15"/>
              <w:rPr>
                <w:sz w:val="24"/>
              </w:rPr>
            </w:pPr>
            <w:r>
              <w:rPr>
                <w:sz w:val="24"/>
              </w:rPr>
              <w:t>assume</w:t>
            </w:r>
            <w:r>
              <w:rPr>
                <w:spacing w:val="-5"/>
                <w:sz w:val="24"/>
              </w:rPr>
              <w:t> </w:t>
            </w:r>
            <w:r>
              <w:rPr>
                <w:spacing w:val="-2"/>
                <w:sz w:val="24"/>
              </w:rPr>
              <w:t>5000m</w:t>
            </w:r>
            <w:r>
              <w:rPr>
                <w:spacing w:val="-2"/>
                <w:sz w:val="24"/>
                <w:vertAlign w:val="superscript"/>
              </w:rPr>
              <w:t>2</w:t>
            </w:r>
          </w:p>
        </w:tc>
        <w:tc>
          <w:tcPr>
            <w:tcW w:w="1610" w:type="dxa"/>
          </w:tcPr>
          <w:p>
            <w:pPr>
              <w:pStyle w:val="TableParagraph"/>
              <w:spacing w:before="259"/>
              <w:ind w:left="15"/>
              <w:rPr>
                <w:sz w:val="24"/>
              </w:rPr>
            </w:pPr>
            <w:r>
              <w:rPr>
                <w:sz w:val="24"/>
              </w:rPr>
              <w:t>5,000m</w:t>
            </w:r>
            <w:r>
              <w:rPr>
                <w:sz w:val="24"/>
                <w:vertAlign w:val="superscript"/>
              </w:rPr>
              <w:t>2</w:t>
            </w:r>
            <w:r>
              <w:rPr>
                <w:spacing w:val="-14"/>
                <w:sz w:val="24"/>
                <w:vertAlign w:val="baseline"/>
              </w:rPr>
              <w:t> </w:t>
            </w:r>
            <w:r>
              <w:rPr>
                <w:spacing w:val="-10"/>
                <w:sz w:val="24"/>
                <w:vertAlign w:val="baseline"/>
              </w:rPr>
              <w:t>@</w:t>
            </w:r>
          </w:p>
          <w:p>
            <w:pPr>
              <w:pStyle w:val="TableParagraph"/>
              <w:ind w:left="15"/>
              <w:rPr>
                <w:sz w:val="24"/>
              </w:rPr>
            </w:pPr>
            <w:r>
              <w:rPr>
                <w:spacing w:val="-2"/>
                <w:sz w:val="24"/>
              </w:rPr>
              <w:t>$850/m</w:t>
            </w:r>
            <w:r>
              <w:rPr>
                <w:spacing w:val="-2"/>
                <w:sz w:val="24"/>
                <w:vertAlign w:val="superscript"/>
              </w:rPr>
              <w:t>2</w:t>
            </w:r>
          </w:p>
        </w:tc>
        <w:tc>
          <w:tcPr>
            <w:tcW w:w="1364" w:type="dxa"/>
          </w:tcPr>
          <w:p>
            <w:pPr>
              <w:pStyle w:val="TableParagraph"/>
              <w:spacing w:before="6"/>
              <w:rPr>
                <w:sz w:val="34"/>
              </w:rPr>
            </w:pPr>
          </w:p>
          <w:p>
            <w:pPr>
              <w:pStyle w:val="TableParagraph"/>
              <w:ind w:right="1"/>
              <w:jc w:val="right"/>
              <w:rPr>
                <w:sz w:val="24"/>
              </w:rPr>
            </w:pPr>
            <w:r>
              <w:rPr>
                <w:spacing w:val="-2"/>
                <w:sz w:val="24"/>
              </w:rPr>
              <w:t>4,250,000</w:t>
            </w:r>
          </w:p>
        </w:tc>
      </w:tr>
      <w:tr>
        <w:trPr>
          <w:trHeight w:val="1082" w:hRule="atLeast"/>
        </w:trPr>
        <w:tc>
          <w:tcPr>
            <w:tcW w:w="698" w:type="dxa"/>
          </w:tcPr>
          <w:p>
            <w:pPr>
              <w:pStyle w:val="TableParagraph"/>
              <w:spacing w:before="5"/>
              <w:rPr>
                <w:sz w:val="35"/>
              </w:rPr>
            </w:pPr>
          </w:p>
          <w:p>
            <w:pPr>
              <w:pStyle w:val="TableParagraph"/>
              <w:spacing w:before="1"/>
              <w:ind w:left="12" w:right="3"/>
              <w:jc w:val="center"/>
              <w:rPr>
                <w:sz w:val="24"/>
              </w:rPr>
            </w:pPr>
            <w:r>
              <w:rPr>
                <w:spacing w:val="-5"/>
                <w:sz w:val="24"/>
              </w:rPr>
              <w:t>7b</w:t>
            </w:r>
          </w:p>
        </w:tc>
        <w:tc>
          <w:tcPr>
            <w:tcW w:w="2172" w:type="dxa"/>
          </w:tcPr>
          <w:p>
            <w:pPr>
              <w:pStyle w:val="TableParagraph"/>
              <w:spacing w:before="132"/>
              <w:ind w:left="15" w:right="63"/>
              <w:jc w:val="both"/>
              <w:rPr>
                <w:sz w:val="24"/>
              </w:rPr>
            </w:pPr>
            <w:r>
              <w:rPr>
                <w:sz w:val="24"/>
              </w:rPr>
              <w:t>2</w:t>
            </w:r>
            <w:r>
              <w:rPr>
                <w:spacing w:val="-3"/>
                <w:sz w:val="24"/>
              </w:rPr>
              <w:t> </w:t>
            </w:r>
            <w:r>
              <w:rPr>
                <w:sz w:val="24"/>
              </w:rPr>
              <w:t>storey</w:t>
            </w:r>
            <w:r>
              <w:rPr>
                <w:spacing w:val="-3"/>
                <w:sz w:val="24"/>
              </w:rPr>
              <w:t> </w:t>
            </w:r>
            <w:r>
              <w:rPr>
                <w:sz w:val="24"/>
              </w:rPr>
              <w:t>–</w:t>
            </w:r>
            <w:r>
              <w:rPr>
                <w:spacing w:val="-3"/>
                <w:sz w:val="24"/>
              </w:rPr>
              <w:t> </w:t>
            </w:r>
            <w:r>
              <w:rPr>
                <w:sz w:val="24"/>
              </w:rPr>
              <w:t>storage</w:t>
            </w:r>
            <w:r>
              <w:rPr>
                <w:spacing w:val="-3"/>
                <w:sz w:val="24"/>
              </w:rPr>
              <w:t> </w:t>
            </w:r>
            <w:r>
              <w:rPr>
                <w:sz w:val="24"/>
              </w:rPr>
              <w:t>/ warehouse</w:t>
            </w:r>
            <w:r>
              <w:rPr>
                <w:spacing w:val="-17"/>
                <w:sz w:val="24"/>
              </w:rPr>
              <w:t> </w:t>
            </w:r>
            <w:r>
              <w:rPr>
                <w:sz w:val="24"/>
              </w:rPr>
              <w:t>(without </w:t>
            </w:r>
            <w:r>
              <w:rPr>
                <w:spacing w:val="-2"/>
                <w:sz w:val="24"/>
              </w:rPr>
              <w:t>exemption)</w:t>
            </w:r>
          </w:p>
        </w:tc>
        <w:tc>
          <w:tcPr>
            <w:tcW w:w="2630" w:type="dxa"/>
          </w:tcPr>
          <w:p>
            <w:pPr>
              <w:pStyle w:val="TableParagraph"/>
              <w:spacing w:before="5"/>
              <w:rPr>
                <w:sz w:val="35"/>
              </w:rPr>
            </w:pPr>
          </w:p>
          <w:p>
            <w:pPr>
              <w:pStyle w:val="TableParagraph"/>
              <w:spacing w:before="1"/>
              <w:ind w:left="15"/>
              <w:rPr>
                <w:sz w:val="24"/>
              </w:rPr>
            </w:pPr>
            <w:r>
              <w:rPr>
                <w:sz w:val="24"/>
              </w:rPr>
              <w:t>assume</w:t>
            </w:r>
            <w:r>
              <w:rPr>
                <w:spacing w:val="-5"/>
                <w:sz w:val="24"/>
              </w:rPr>
              <w:t> </w:t>
            </w:r>
            <w:r>
              <w:rPr>
                <w:spacing w:val="-2"/>
                <w:sz w:val="24"/>
              </w:rPr>
              <w:t>6000m</w:t>
            </w:r>
            <w:r>
              <w:rPr>
                <w:spacing w:val="-2"/>
                <w:sz w:val="24"/>
                <w:vertAlign w:val="superscript"/>
              </w:rPr>
              <w:t>2</w:t>
            </w:r>
          </w:p>
        </w:tc>
        <w:tc>
          <w:tcPr>
            <w:tcW w:w="1610" w:type="dxa"/>
          </w:tcPr>
          <w:p>
            <w:pPr>
              <w:pStyle w:val="TableParagraph"/>
              <w:spacing w:before="5"/>
              <w:rPr>
                <w:sz w:val="23"/>
              </w:rPr>
            </w:pPr>
          </w:p>
          <w:p>
            <w:pPr>
              <w:pStyle w:val="TableParagraph"/>
              <w:ind w:left="15"/>
              <w:rPr>
                <w:sz w:val="24"/>
              </w:rPr>
            </w:pPr>
            <w:r>
              <w:rPr>
                <w:sz w:val="24"/>
              </w:rPr>
              <w:t>6000m</w:t>
            </w:r>
            <w:r>
              <w:rPr>
                <w:sz w:val="24"/>
                <w:vertAlign w:val="superscript"/>
              </w:rPr>
              <w:t>2</w:t>
            </w:r>
            <w:r>
              <w:rPr>
                <w:spacing w:val="-13"/>
                <w:sz w:val="24"/>
                <w:vertAlign w:val="baseline"/>
              </w:rPr>
              <w:t> </w:t>
            </w:r>
            <w:r>
              <w:rPr>
                <w:spacing w:val="-10"/>
                <w:sz w:val="24"/>
                <w:vertAlign w:val="baseline"/>
              </w:rPr>
              <w:t>@</w:t>
            </w:r>
          </w:p>
          <w:p>
            <w:pPr>
              <w:pStyle w:val="TableParagraph"/>
              <w:spacing w:before="1"/>
              <w:ind w:left="15"/>
              <w:rPr>
                <w:sz w:val="24"/>
              </w:rPr>
            </w:pPr>
            <w:r>
              <w:rPr>
                <w:spacing w:val="-2"/>
                <w:sz w:val="24"/>
              </w:rPr>
              <w:t>$850/m</w:t>
            </w:r>
            <w:r>
              <w:rPr>
                <w:spacing w:val="-2"/>
                <w:sz w:val="24"/>
                <w:vertAlign w:val="superscript"/>
              </w:rPr>
              <w:t>2</w:t>
            </w:r>
          </w:p>
        </w:tc>
        <w:tc>
          <w:tcPr>
            <w:tcW w:w="1364" w:type="dxa"/>
          </w:tcPr>
          <w:p>
            <w:pPr>
              <w:pStyle w:val="TableParagraph"/>
              <w:spacing w:before="5"/>
              <w:rPr>
                <w:sz w:val="35"/>
              </w:rPr>
            </w:pPr>
          </w:p>
          <w:p>
            <w:pPr>
              <w:pStyle w:val="TableParagraph"/>
              <w:spacing w:before="1"/>
              <w:ind w:right="1"/>
              <w:jc w:val="right"/>
              <w:rPr>
                <w:sz w:val="24"/>
              </w:rPr>
            </w:pPr>
            <w:r>
              <w:rPr>
                <w:spacing w:val="-2"/>
                <w:sz w:val="24"/>
              </w:rPr>
              <w:t>5,100,000</w:t>
            </w:r>
          </w:p>
        </w:tc>
      </w:tr>
      <w:tr>
        <w:trPr>
          <w:trHeight w:val="797" w:hRule="atLeast"/>
        </w:trPr>
        <w:tc>
          <w:tcPr>
            <w:tcW w:w="698" w:type="dxa"/>
          </w:tcPr>
          <w:p>
            <w:pPr>
              <w:pStyle w:val="TableParagraph"/>
              <w:spacing w:before="6"/>
              <w:rPr>
                <w:sz w:val="22"/>
              </w:rPr>
            </w:pPr>
          </w:p>
          <w:p>
            <w:pPr>
              <w:pStyle w:val="TableParagraph"/>
              <w:ind w:left="11"/>
              <w:jc w:val="center"/>
              <w:rPr>
                <w:sz w:val="24"/>
              </w:rPr>
            </w:pPr>
            <w:r>
              <w:rPr>
                <w:w w:val="99"/>
                <w:sz w:val="24"/>
              </w:rPr>
              <w:t>8</w:t>
            </w:r>
          </w:p>
        </w:tc>
        <w:tc>
          <w:tcPr>
            <w:tcW w:w="2172" w:type="dxa"/>
          </w:tcPr>
          <w:p>
            <w:pPr>
              <w:pStyle w:val="TableParagraph"/>
              <w:spacing w:before="122"/>
              <w:ind w:left="15"/>
              <w:rPr>
                <w:sz w:val="24"/>
              </w:rPr>
            </w:pPr>
            <w:r>
              <w:rPr>
                <w:sz w:val="24"/>
              </w:rPr>
              <w:t>Single</w:t>
            </w:r>
            <w:r>
              <w:rPr>
                <w:spacing w:val="-9"/>
                <w:sz w:val="24"/>
              </w:rPr>
              <w:t> </w:t>
            </w:r>
            <w:r>
              <w:rPr>
                <w:sz w:val="24"/>
              </w:rPr>
              <w:t>storey</w:t>
            </w:r>
            <w:r>
              <w:rPr>
                <w:spacing w:val="-9"/>
                <w:sz w:val="24"/>
              </w:rPr>
              <w:t> </w:t>
            </w:r>
            <w:r>
              <w:rPr>
                <w:sz w:val="24"/>
              </w:rPr>
              <w:t>–</w:t>
            </w:r>
            <w:r>
              <w:rPr>
                <w:spacing w:val="-9"/>
                <w:sz w:val="24"/>
              </w:rPr>
              <w:t> </w:t>
            </w:r>
            <w:r>
              <w:rPr>
                <w:sz w:val="24"/>
              </w:rPr>
              <w:t>lab</w:t>
            </w:r>
            <w:r>
              <w:rPr>
                <w:spacing w:val="-9"/>
                <w:sz w:val="24"/>
              </w:rPr>
              <w:t> </w:t>
            </w:r>
            <w:r>
              <w:rPr>
                <w:sz w:val="24"/>
              </w:rPr>
              <w:t>/ factory – 500m</w:t>
            </w:r>
            <w:r>
              <w:rPr>
                <w:sz w:val="24"/>
                <w:vertAlign w:val="superscript"/>
              </w:rPr>
              <w:t>2</w:t>
            </w:r>
          </w:p>
        </w:tc>
        <w:tc>
          <w:tcPr>
            <w:tcW w:w="2630" w:type="dxa"/>
          </w:tcPr>
          <w:p>
            <w:pPr>
              <w:pStyle w:val="TableParagraph"/>
              <w:rPr>
                <w:rFonts w:ascii="Times New Roman"/>
                <w:sz w:val="22"/>
              </w:rPr>
            </w:pPr>
          </w:p>
        </w:tc>
        <w:tc>
          <w:tcPr>
            <w:tcW w:w="1610" w:type="dxa"/>
          </w:tcPr>
          <w:p>
            <w:pPr>
              <w:pStyle w:val="TableParagraph"/>
              <w:spacing w:before="122"/>
              <w:ind w:left="15"/>
              <w:rPr>
                <w:sz w:val="24"/>
              </w:rPr>
            </w:pPr>
            <w:r>
              <w:rPr>
                <w:sz w:val="24"/>
              </w:rPr>
              <w:t>500m</w:t>
            </w:r>
            <w:r>
              <w:rPr>
                <w:sz w:val="24"/>
                <w:vertAlign w:val="superscript"/>
              </w:rPr>
              <w:t>2</w:t>
            </w:r>
            <w:r>
              <w:rPr>
                <w:spacing w:val="-10"/>
                <w:sz w:val="24"/>
                <w:vertAlign w:val="baseline"/>
              </w:rPr>
              <w:t> @</w:t>
            </w:r>
          </w:p>
          <w:p>
            <w:pPr>
              <w:pStyle w:val="TableParagraph"/>
              <w:ind w:left="15"/>
              <w:rPr>
                <w:sz w:val="24"/>
              </w:rPr>
            </w:pPr>
            <w:r>
              <w:rPr>
                <w:spacing w:val="-2"/>
                <w:sz w:val="24"/>
              </w:rPr>
              <w:t>$3,800/m</w:t>
            </w:r>
            <w:r>
              <w:rPr>
                <w:spacing w:val="-2"/>
                <w:sz w:val="24"/>
                <w:vertAlign w:val="superscript"/>
              </w:rPr>
              <w:t>2</w:t>
            </w:r>
          </w:p>
        </w:tc>
        <w:tc>
          <w:tcPr>
            <w:tcW w:w="1364" w:type="dxa"/>
          </w:tcPr>
          <w:p>
            <w:pPr>
              <w:pStyle w:val="TableParagraph"/>
              <w:spacing w:before="6"/>
              <w:rPr>
                <w:sz w:val="22"/>
              </w:rPr>
            </w:pPr>
          </w:p>
          <w:p>
            <w:pPr>
              <w:pStyle w:val="TableParagraph"/>
              <w:ind w:right="1"/>
              <w:jc w:val="right"/>
              <w:rPr>
                <w:sz w:val="24"/>
              </w:rPr>
            </w:pPr>
            <w:r>
              <w:rPr>
                <w:spacing w:val="-2"/>
                <w:sz w:val="24"/>
              </w:rPr>
              <w:t>1,900,000</w:t>
            </w:r>
          </w:p>
        </w:tc>
      </w:tr>
      <w:tr>
        <w:trPr>
          <w:trHeight w:val="796" w:hRule="atLeast"/>
        </w:trPr>
        <w:tc>
          <w:tcPr>
            <w:tcW w:w="698" w:type="dxa"/>
          </w:tcPr>
          <w:p>
            <w:pPr>
              <w:pStyle w:val="TableParagraph"/>
              <w:spacing w:before="6"/>
              <w:rPr>
                <w:sz w:val="22"/>
              </w:rPr>
            </w:pPr>
          </w:p>
          <w:p>
            <w:pPr>
              <w:pStyle w:val="TableParagraph"/>
              <w:ind w:left="12" w:right="3"/>
              <w:jc w:val="center"/>
              <w:rPr>
                <w:sz w:val="24"/>
              </w:rPr>
            </w:pPr>
            <w:r>
              <w:rPr>
                <w:spacing w:val="-5"/>
                <w:sz w:val="24"/>
              </w:rPr>
              <w:t>9a</w:t>
            </w:r>
          </w:p>
        </w:tc>
        <w:tc>
          <w:tcPr>
            <w:tcW w:w="2172" w:type="dxa"/>
          </w:tcPr>
          <w:p>
            <w:pPr>
              <w:pStyle w:val="TableParagraph"/>
              <w:spacing w:before="122"/>
              <w:ind w:left="15"/>
              <w:rPr>
                <w:sz w:val="24"/>
              </w:rPr>
            </w:pPr>
            <w:r>
              <w:rPr>
                <w:sz w:val="24"/>
              </w:rPr>
              <w:t>3</w:t>
            </w:r>
            <w:r>
              <w:rPr>
                <w:spacing w:val="-13"/>
                <w:sz w:val="24"/>
              </w:rPr>
              <w:t> </w:t>
            </w:r>
            <w:r>
              <w:rPr>
                <w:sz w:val="24"/>
              </w:rPr>
              <w:t>storey</w:t>
            </w:r>
            <w:r>
              <w:rPr>
                <w:spacing w:val="-13"/>
                <w:sz w:val="24"/>
              </w:rPr>
              <w:t> </w:t>
            </w:r>
            <w:r>
              <w:rPr>
                <w:sz w:val="24"/>
              </w:rPr>
              <w:t>–</w:t>
            </w:r>
            <w:r>
              <w:rPr>
                <w:spacing w:val="-13"/>
                <w:sz w:val="24"/>
              </w:rPr>
              <w:t> </w:t>
            </w:r>
            <w:r>
              <w:rPr>
                <w:sz w:val="24"/>
              </w:rPr>
              <w:t>hospital </w:t>
            </w:r>
            <w:r>
              <w:rPr>
                <w:spacing w:val="-2"/>
                <w:sz w:val="24"/>
              </w:rPr>
              <w:t>building</w:t>
            </w:r>
          </w:p>
        </w:tc>
        <w:tc>
          <w:tcPr>
            <w:tcW w:w="2630" w:type="dxa"/>
          </w:tcPr>
          <w:p>
            <w:pPr>
              <w:pStyle w:val="TableParagraph"/>
              <w:spacing w:before="259"/>
              <w:ind w:left="15"/>
              <w:rPr>
                <w:sz w:val="24"/>
              </w:rPr>
            </w:pPr>
            <w:r>
              <w:rPr>
                <w:sz w:val="24"/>
              </w:rPr>
              <w:t>assume</w:t>
            </w:r>
            <w:r>
              <w:rPr>
                <w:spacing w:val="-5"/>
                <w:sz w:val="24"/>
              </w:rPr>
              <w:t> </w:t>
            </w:r>
            <w:r>
              <w:rPr>
                <w:spacing w:val="-2"/>
                <w:sz w:val="24"/>
              </w:rPr>
              <w:t>2000m</w:t>
            </w:r>
            <w:r>
              <w:rPr>
                <w:spacing w:val="-2"/>
                <w:sz w:val="24"/>
                <w:vertAlign w:val="superscript"/>
              </w:rPr>
              <w:t>2</w:t>
            </w:r>
          </w:p>
        </w:tc>
        <w:tc>
          <w:tcPr>
            <w:tcW w:w="1610" w:type="dxa"/>
          </w:tcPr>
          <w:p>
            <w:pPr>
              <w:pStyle w:val="TableParagraph"/>
              <w:spacing w:before="122"/>
              <w:ind w:left="15"/>
              <w:rPr>
                <w:sz w:val="24"/>
              </w:rPr>
            </w:pPr>
            <w:r>
              <w:rPr>
                <w:sz w:val="24"/>
              </w:rPr>
              <w:t>2,000m</w:t>
            </w:r>
            <w:r>
              <w:rPr>
                <w:sz w:val="24"/>
                <w:vertAlign w:val="superscript"/>
              </w:rPr>
              <w:t>2</w:t>
            </w:r>
            <w:r>
              <w:rPr>
                <w:spacing w:val="-14"/>
                <w:sz w:val="24"/>
                <w:vertAlign w:val="baseline"/>
              </w:rPr>
              <w:t> </w:t>
            </w:r>
            <w:r>
              <w:rPr>
                <w:spacing w:val="-10"/>
                <w:sz w:val="24"/>
                <w:vertAlign w:val="baseline"/>
              </w:rPr>
              <w:t>@</w:t>
            </w:r>
          </w:p>
          <w:p>
            <w:pPr>
              <w:pStyle w:val="TableParagraph"/>
              <w:ind w:left="15"/>
              <w:rPr>
                <w:sz w:val="24"/>
              </w:rPr>
            </w:pPr>
            <w:r>
              <w:rPr>
                <w:spacing w:val="-2"/>
                <w:sz w:val="24"/>
              </w:rPr>
              <w:t>$3,300/m</w:t>
            </w:r>
            <w:r>
              <w:rPr>
                <w:spacing w:val="-2"/>
                <w:sz w:val="24"/>
                <w:vertAlign w:val="superscript"/>
              </w:rPr>
              <w:t>2</w:t>
            </w:r>
          </w:p>
        </w:tc>
        <w:tc>
          <w:tcPr>
            <w:tcW w:w="1364" w:type="dxa"/>
          </w:tcPr>
          <w:p>
            <w:pPr>
              <w:pStyle w:val="TableParagraph"/>
              <w:spacing w:before="6"/>
              <w:rPr>
                <w:sz w:val="22"/>
              </w:rPr>
            </w:pPr>
          </w:p>
          <w:p>
            <w:pPr>
              <w:pStyle w:val="TableParagraph"/>
              <w:ind w:right="1"/>
              <w:jc w:val="right"/>
              <w:rPr>
                <w:sz w:val="24"/>
              </w:rPr>
            </w:pPr>
            <w:r>
              <w:rPr>
                <w:spacing w:val="-2"/>
                <w:sz w:val="24"/>
              </w:rPr>
              <w:t>6,600,000</w:t>
            </w:r>
          </w:p>
        </w:tc>
      </w:tr>
      <w:tr>
        <w:trPr>
          <w:trHeight w:val="521" w:hRule="atLeast"/>
        </w:trPr>
        <w:tc>
          <w:tcPr>
            <w:tcW w:w="698" w:type="dxa"/>
          </w:tcPr>
          <w:p>
            <w:pPr>
              <w:pStyle w:val="TableParagraph"/>
              <w:spacing w:before="122"/>
              <w:ind w:left="13" w:right="3"/>
              <w:jc w:val="center"/>
              <w:rPr>
                <w:sz w:val="24"/>
              </w:rPr>
            </w:pPr>
            <w:r>
              <w:rPr>
                <w:spacing w:val="-5"/>
                <w:sz w:val="24"/>
              </w:rPr>
              <w:t>9b</w:t>
            </w:r>
          </w:p>
        </w:tc>
        <w:tc>
          <w:tcPr>
            <w:tcW w:w="2172" w:type="dxa"/>
          </w:tcPr>
          <w:p>
            <w:pPr>
              <w:pStyle w:val="TableParagraph"/>
              <w:spacing w:before="122"/>
              <w:ind w:left="16"/>
              <w:rPr>
                <w:sz w:val="24"/>
              </w:rPr>
            </w:pPr>
            <w:r>
              <w:rPr>
                <w:sz w:val="24"/>
              </w:rPr>
              <w:t>500</w:t>
            </w:r>
            <w:r>
              <w:rPr>
                <w:spacing w:val="-4"/>
                <w:sz w:val="24"/>
              </w:rPr>
              <w:t> </w:t>
            </w:r>
            <w:r>
              <w:rPr>
                <w:sz w:val="24"/>
              </w:rPr>
              <w:t>seat</w:t>
            </w:r>
            <w:r>
              <w:rPr>
                <w:spacing w:val="-3"/>
                <w:sz w:val="24"/>
              </w:rPr>
              <w:t> </w:t>
            </w:r>
            <w:r>
              <w:rPr>
                <w:sz w:val="24"/>
              </w:rPr>
              <w:t>–</w:t>
            </w:r>
            <w:r>
              <w:rPr>
                <w:spacing w:val="-4"/>
                <w:sz w:val="24"/>
              </w:rPr>
              <w:t> </w:t>
            </w:r>
            <w:r>
              <w:rPr>
                <w:spacing w:val="-2"/>
                <w:sz w:val="24"/>
              </w:rPr>
              <w:t>theatre</w:t>
            </w:r>
          </w:p>
        </w:tc>
        <w:tc>
          <w:tcPr>
            <w:tcW w:w="2630" w:type="dxa"/>
          </w:tcPr>
          <w:p>
            <w:pPr>
              <w:pStyle w:val="TableParagraph"/>
              <w:rPr>
                <w:rFonts w:ascii="Times New Roman"/>
                <w:sz w:val="22"/>
              </w:rPr>
            </w:pPr>
          </w:p>
        </w:tc>
        <w:tc>
          <w:tcPr>
            <w:tcW w:w="1610" w:type="dxa"/>
          </w:tcPr>
          <w:p>
            <w:pPr>
              <w:pStyle w:val="TableParagraph"/>
              <w:spacing w:before="122"/>
              <w:ind w:left="16"/>
              <w:rPr>
                <w:sz w:val="24"/>
              </w:rPr>
            </w:pPr>
            <w:r>
              <w:rPr>
                <w:spacing w:val="-2"/>
                <w:sz w:val="24"/>
              </w:rPr>
              <w:t>$9,600/seat</w:t>
            </w:r>
          </w:p>
        </w:tc>
        <w:tc>
          <w:tcPr>
            <w:tcW w:w="1364" w:type="dxa"/>
          </w:tcPr>
          <w:p>
            <w:pPr>
              <w:pStyle w:val="TableParagraph"/>
              <w:spacing w:before="122"/>
              <w:jc w:val="right"/>
              <w:rPr>
                <w:sz w:val="24"/>
              </w:rPr>
            </w:pPr>
            <w:r>
              <w:rPr>
                <w:spacing w:val="-2"/>
                <w:sz w:val="24"/>
              </w:rPr>
              <w:t>4,800,000</w:t>
            </w:r>
          </w:p>
        </w:tc>
      </w:tr>
      <w:tr>
        <w:trPr>
          <w:trHeight w:val="520" w:hRule="atLeast"/>
        </w:trPr>
        <w:tc>
          <w:tcPr>
            <w:tcW w:w="698" w:type="dxa"/>
          </w:tcPr>
          <w:p>
            <w:pPr>
              <w:pStyle w:val="TableParagraph"/>
              <w:spacing w:before="122"/>
              <w:ind w:left="13" w:right="3"/>
              <w:jc w:val="center"/>
              <w:rPr>
                <w:sz w:val="24"/>
              </w:rPr>
            </w:pPr>
            <w:r>
              <w:rPr>
                <w:spacing w:val="-5"/>
                <w:sz w:val="24"/>
              </w:rPr>
              <w:t>9b</w:t>
            </w:r>
          </w:p>
        </w:tc>
        <w:tc>
          <w:tcPr>
            <w:tcW w:w="2172" w:type="dxa"/>
          </w:tcPr>
          <w:p>
            <w:pPr>
              <w:pStyle w:val="TableParagraph"/>
              <w:spacing w:before="122"/>
              <w:ind w:left="16"/>
              <w:rPr>
                <w:sz w:val="24"/>
              </w:rPr>
            </w:pPr>
            <w:r>
              <w:rPr>
                <w:sz w:val="24"/>
              </w:rPr>
              <w:t>1200</w:t>
            </w:r>
            <w:r>
              <w:rPr>
                <w:spacing w:val="-5"/>
                <w:sz w:val="24"/>
              </w:rPr>
              <w:t> </w:t>
            </w:r>
            <w:r>
              <w:rPr>
                <w:sz w:val="24"/>
              </w:rPr>
              <w:t>seat</w:t>
            </w:r>
            <w:r>
              <w:rPr>
                <w:spacing w:val="-4"/>
                <w:sz w:val="24"/>
              </w:rPr>
              <w:t> </w:t>
            </w:r>
            <w:r>
              <w:rPr>
                <w:sz w:val="24"/>
              </w:rPr>
              <w:t>–</w:t>
            </w:r>
            <w:r>
              <w:rPr>
                <w:spacing w:val="-4"/>
                <w:sz w:val="24"/>
              </w:rPr>
              <w:t> </w:t>
            </w:r>
            <w:r>
              <w:rPr>
                <w:spacing w:val="-2"/>
                <w:sz w:val="24"/>
              </w:rPr>
              <w:t>theatre</w:t>
            </w:r>
          </w:p>
        </w:tc>
        <w:tc>
          <w:tcPr>
            <w:tcW w:w="2630" w:type="dxa"/>
          </w:tcPr>
          <w:p>
            <w:pPr>
              <w:pStyle w:val="TableParagraph"/>
              <w:rPr>
                <w:rFonts w:ascii="Times New Roman"/>
                <w:sz w:val="22"/>
              </w:rPr>
            </w:pPr>
          </w:p>
        </w:tc>
        <w:tc>
          <w:tcPr>
            <w:tcW w:w="1610" w:type="dxa"/>
          </w:tcPr>
          <w:p>
            <w:pPr>
              <w:pStyle w:val="TableParagraph"/>
              <w:spacing w:before="122"/>
              <w:ind w:left="15"/>
              <w:rPr>
                <w:sz w:val="24"/>
              </w:rPr>
            </w:pPr>
            <w:r>
              <w:rPr>
                <w:spacing w:val="-2"/>
                <w:sz w:val="24"/>
              </w:rPr>
              <w:t>$12,500/seat</w:t>
            </w:r>
          </w:p>
        </w:tc>
        <w:tc>
          <w:tcPr>
            <w:tcW w:w="1364" w:type="dxa"/>
          </w:tcPr>
          <w:p>
            <w:pPr>
              <w:pStyle w:val="TableParagraph"/>
              <w:spacing w:before="122"/>
              <w:ind w:right="2"/>
              <w:jc w:val="right"/>
              <w:rPr>
                <w:sz w:val="24"/>
              </w:rPr>
            </w:pPr>
            <w:r>
              <w:rPr>
                <w:spacing w:val="-2"/>
                <w:sz w:val="24"/>
              </w:rPr>
              <w:t>15,000,000</w:t>
            </w:r>
          </w:p>
        </w:tc>
      </w:tr>
      <w:tr>
        <w:trPr>
          <w:trHeight w:val="797" w:hRule="atLeast"/>
        </w:trPr>
        <w:tc>
          <w:tcPr>
            <w:tcW w:w="698" w:type="dxa"/>
          </w:tcPr>
          <w:p>
            <w:pPr>
              <w:pStyle w:val="TableParagraph"/>
              <w:spacing w:before="6"/>
              <w:rPr>
                <w:sz w:val="22"/>
              </w:rPr>
            </w:pPr>
          </w:p>
          <w:p>
            <w:pPr>
              <w:pStyle w:val="TableParagraph"/>
              <w:ind w:left="12" w:right="3"/>
              <w:jc w:val="center"/>
              <w:rPr>
                <w:sz w:val="24"/>
              </w:rPr>
            </w:pPr>
            <w:r>
              <w:rPr>
                <w:spacing w:val="-5"/>
                <w:sz w:val="24"/>
              </w:rPr>
              <w:t>9b</w:t>
            </w:r>
          </w:p>
        </w:tc>
        <w:tc>
          <w:tcPr>
            <w:tcW w:w="2172" w:type="dxa"/>
          </w:tcPr>
          <w:p>
            <w:pPr>
              <w:pStyle w:val="TableParagraph"/>
              <w:spacing w:before="122"/>
              <w:ind w:left="15"/>
              <w:rPr>
                <w:sz w:val="24"/>
              </w:rPr>
            </w:pPr>
            <w:r>
              <w:rPr>
                <w:sz w:val="24"/>
              </w:rPr>
              <w:t>2</w:t>
            </w:r>
            <w:r>
              <w:rPr>
                <w:spacing w:val="-13"/>
                <w:sz w:val="24"/>
              </w:rPr>
              <w:t> </w:t>
            </w:r>
            <w:r>
              <w:rPr>
                <w:sz w:val="24"/>
              </w:rPr>
              <w:t>storey</w:t>
            </w:r>
            <w:r>
              <w:rPr>
                <w:spacing w:val="-13"/>
                <w:sz w:val="24"/>
              </w:rPr>
              <w:t> </w:t>
            </w:r>
            <w:r>
              <w:rPr>
                <w:sz w:val="24"/>
              </w:rPr>
              <w:t>–</w:t>
            </w:r>
            <w:r>
              <w:rPr>
                <w:spacing w:val="-13"/>
                <w:sz w:val="24"/>
              </w:rPr>
              <w:t> </w:t>
            </w:r>
            <w:r>
              <w:rPr>
                <w:sz w:val="24"/>
              </w:rPr>
              <w:t>school </w:t>
            </w:r>
            <w:r>
              <w:rPr>
                <w:spacing w:val="-2"/>
                <w:sz w:val="24"/>
              </w:rPr>
              <w:t>building</w:t>
            </w:r>
          </w:p>
        </w:tc>
        <w:tc>
          <w:tcPr>
            <w:tcW w:w="2630" w:type="dxa"/>
          </w:tcPr>
          <w:p>
            <w:pPr>
              <w:pStyle w:val="TableParagraph"/>
              <w:spacing w:before="259"/>
              <w:ind w:left="15"/>
              <w:rPr>
                <w:sz w:val="24"/>
              </w:rPr>
            </w:pPr>
            <w:r>
              <w:rPr>
                <w:sz w:val="24"/>
              </w:rPr>
              <w:t>assume</w:t>
            </w:r>
            <w:r>
              <w:rPr>
                <w:spacing w:val="-5"/>
                <w:sz w:val="24"/>
              </w:rPr>
              <w:t> </w:t>
            </w:r>
            <w:r>
              <w:rPr>
                <w:spacing w:val="-2"/>
                <w:sz w:val="24"/>
              </w:rPr>
              <w:t>2,000m</w:t>
            </w:r>
            <w:r>
              <w:rPr>
                <w:spacing w:val="-2"/>
                <w:sz w:val="24"/>
                <w:vertAlign w:val="superscript"/>
              </w:rPr>
              <w:t>2</w:t>
            </w:r>
          </w:p>
        </w:tc>
        <w:tc>
          <w:tcPr>
            <w:tcW w:w="1610" w:type="dxa"/>
          </w:tcPr>
          <w:p>
            <w:pPr>
              <w:pStyle w:val="TableParagraph"/>
              <w:spacing w:before="122"/>
              <w:ind w:left="14"/>
              <w:rPr>
                <w:sz w:val="24"/>
              </w:rPr>
            </w:pPr>
            <w:r>
              <w:rPr>
                <w:sz w:val="24"/>
              </w:rPr>
              <w:t>2,000m</w:t>
            </w:r>
            <w:r>
              <w:rPr>
                <w:sz w:val="24"/>
                <w:vertAlign w:val="superscript"/>
              </w:rPr>
              <w:t>2</w:t>
            </w:r>
            <w:r>
              <w:rPr>
                <w:spacing w:val="-14"/>
                <w:sz w:val="24"/>
                <w:vertAlign w:val="baseline"/>
              </w:rPr>
              <w:t> </w:t>
            </w:r>
            <w:r>
              <w:rPr>
                <w:spacing w:val="-10"/>
                <w:sz w:val="24"/>
                <w:vertAlign w:val="baseline"/>
              </w:rPr>
              <w:t>@</w:t>
            </w:r>
          </w:p>
          <w:p>
            <w:pPr>
              <w:pStyle w:val="TableParagraph"/>
              <w:ind w:left="15"/>
              <w:rPr>
                <w:sz w:val="24"/>
              </w:rPr>
            </w:pPr>
            <w:r>
              <w:rPr>
                <w:spacing w:val="-2"/>
                <w:sz w:val="24"/>
              </w:rPr>
              <w:t>$1,650/m</w:t>
            </w:r>
            <w:r>
              <w:rPr>
                <w:spacing w:val="-2"/>
                <w:sz w:val="24"/>
                <w:vertAlign w:val="superscript"/>
              </w:rPr>
              <w:t>2</w:t>
            </w:r>
          </w:p>
        </w:tc>
        <w:tc>
          <w:tcPr>
            <w:tcW w:w="1364" w:type="dxa"/>
          </w:tcPr>
          <w:p>
            <w:pPr>
              <w:pStyle w:val="TableParagraph"/>
              <w:spacing w:before="6"/>
              <w:rPr>
                <w:sz w:val="22"/>
              </w:rPr>
            </w:pPr>
          </w:p>
          <w:p>
            <w:pPr>
              <w:pStyle w:val="TableParagraph"/>
              <w:ind w:right="1"/>
              <w:jc w:val="right"/>
              <w:rPr>
                <w:sz w:val="24"/>
              </w:rPr>
            </w:pPr>
            <w:r>
              <w:rPr>
                <w:spacing w:val="-2"/>
                <w:sz w:val="24"/>
              </w:rPr>
              <w:t>3,300,000</w:t>
            </w:r>
          </w:p>
        </w:tc>
      </w:tr>
      <w:tr>
        <w:trPr>
          <w:trHeight w:val="796" w:hRule="atLeast"/>
        </w:trPr>
        <w:tc>
          <w:tcPr>
            <w:tcW w:w="698" w:type="dxa"/>
          </w:tcPr>
          <w:p>
            <w:pPr>
              <w:pStyle w:val="TableParagraph"/>
              <w:spacing w:before="6"/>
              <w:rPr>
                <w:sz w:val="22"/>
              </w:rPr>
            </w:pPr>
          </w:p>
          <w:p>
            <w:pPr>
              <w:pStyle w:val="TableParagraph"/>
              <w:ind w:left="12" w:right="3"/>
              <w:jc w:val="center"/>
              <w:rPr>
                <w:sz w:val="24"/>
              </w:rPr>
            </w:pPr>
            <w:r>
              <w:rPr>
                <w:spacing w:val="-5"/>
                <w:sz w:val="24"/>
              </w:rPr>
              <w:t>9b</w:t>
            </w:r>
          </w:p>
        </w:tc>
        <w:tc>
          <w:tcPr>
            <w:tcW w:w="2172" w:type="dxa"/>
          </w:tcPr>
          <w:p>
            <w:pPr>
              <w:pStyle w:val="TableParagraph"/>
              <w:spacing w:before="122"/>
              <w:ind w:left="15"/>
              <w:rPr>
                <w:sz w:val="24"/>
              </w:rPr>
            </w:pPr>
            <w:r>
              <w:rPr>
                <w:sz w:val="24"/>
              </w:rPr>
              <w:t>Single</w:t>
            </w:r>
            <w:r>
              <w:rPr>
                <w:spacing w:val="-14"/>
                <w:sz w:val="24"/>
              </w:rPr>
              <w:t> </w:t>
            </w:r>
            <w:r>
              <w:rPr>
                <w:sz w:val="24"/>
              </w:rPr>
              <w:t>storey</w:t>
            </w:r>
            <w:r>
              <w:rPr>
                <w:spacing w:val="-14"/>
                <w:sz w:val="24"/>
              </w:rPr>
              <w:t> </w:t>
            </w:r>
            <w:r>
              <w:rPr>
                <w:sz w:val="24"/>
              </w:rPr>
              <w:t>– community</w:t>
            </w:r>
            <w:r>
              <w:rPr>
                <w:spacing w:val="-9"/>
                <w:sz w:val="24"/>
              </w:rPr>
              <w:t> </w:t>
            </w:r>
            <w:r>
              <w:rPr>
                <w:spacing w:val="-4"/>
                <w:sz w:val="24"/>
              </w:rPr>
              <w:t>hall</w:t>
            </w:r>
          </w:p>
        </w:tc>
        <w:tc>
          <w:tcPr>
            <w:tcW w:w="2630" w:type="dxa"/>
          </w:tcPr>
          <w:p>
            <w:pPr>
              <w:pStyle w:val="TableParagraph"/>
              <w:spacing w:before="122"/>
              <w:ind w:left="15"/>
              <w:rPr>
                <w:sz w:val="24"/>
              </w:rPr>
            </w:pPr>
            <w:r>
              <w:rPr>
                <w:sz w:val="24"/>
              </w:rPr>
              <w:t>assume</w:t>
            </w:r>
            <w:r>
              <w:rPr>
                <w:spacing w:val="-10"/>
                <w:sz w:val="24"/>
              </w:rPr>
              <w:t> </w:t>
            </w:r>
            <w:r>
              <w:rPr>
                <w:sz w:val="24"/>
              </w:rPr>
              <w:t>40</w:t>
            </w:r>
            <w:r>
              <w:rPr>
                <w:spacing w:val="-10"/>
                <w:sz w:val="24"/>
              </w:rPr>
              <w:t> </w:t>
            </w:r>
            <w:r>
              <w:rPr>
                <w:sz w:val="24"/>
              </w:rPr>
              <w:t>x</w:t>
            </w:r>
            <w:r>
              <w:rPr>
                <w:spacing w:val="-10"/>
                <w:sz w:val="24"/>
              </w:rPr>
              <w:t> </w:t>
            </w:r>
            <w:r>
              <w:rPr>
                <w:sz w:val="24"/>
              </w:rPr>
              <w:t>25m</w:t>
            </w:r>
            <w:r>
              <w:rPr>
                <w:spacing w:val="-10"/>
                <w:sz w:val="24"/>
              </w:rPr>
              <w:t> </w:t>
            </w:r>
            <w:r>
              <w:rPr>
                <w:sz w:val="24"/>
              </w:rPr>
              <w:t>= </w:t>
            </w:r>
            <w:r>
              <w:rPr>
                <w:spacing w:val="-2"/>
                <w:sz w:val="24"/>
              </w:rPr>
              <w:t>1,000m</w:t>
            </w:r>
            <w:r>
              <w:rPr>
                <w:spacing w:val="-2"/>
                <w:sz w:val="24"/>
                <w:vertAlign w:val="superscript"/>
              </w:rPr>
              <w:t>2</w:t>
            </w:r>
          </w:p>
        </w:tc>
        <w:tc>
          <w:tcPr>
            <w:tcW w:w="1610" w:type="dxa"/>
          </w:tcPr>
          <w:p>
            <w:pPr>
              <w:pStyle w:val="TableParagraph"/>
              <w:spacing w:before="122"/>
              <w:ind w:left="15"/>
              <w:rPr>
                <w:sz w:val="24"/>
              </w:rPr>
            </w:pPr>
            <w:r>
              <w:rPr>
                <w:sz w:val="24"/>
              </w:rPr>
              <w:t>1,000m</w:t>
            </w:r>
            <w:r>
              <w:rPr>
                <w:sz w:val="24"/>
                <w:vertAlign w:val="superscript"/>
              </w:rPr>
              <w:t>2</w:t>
            </w:r>
            <w:r>
              <w:rPr>
                <w:spacing w:val="-14"/>
                <w:sz w:val="24"/>
                <w:vertAlign w:val="baseline"/>
              </w:rPr>
              <w:t> </w:t>
            </w:r>
            <w:r>
              <w:rPr>
                <w:spacing w:val="-10"/>
                <w:sz w:val="24"/>
                <w:vertAlign w:val="baseline"/>
              </w:rPr>
              <w:t>@</w:t>
            </w:r>
          </w:p>
          <w:p>
            <w:pPr>
              <w:pStyle w:val="TableParagraph"/>
              <w:ind w:left="15"/>
              <w:rPr>
                <w:sz w:val="24"/>
              </w:rPr>
            </w:pPr>
            <w:r>
              <w:rPr>
                <w:spacing w:val="-2"/>
                <w:sz w:val="24"/>
              </w:rPr>
              <w:t>$1,300/m</w:t>
            </w:r>
            <w:r>
              <w:rPr>
                <w:spacing w:val="-2"/>
                <w:sz w:val="24"/>
                <w:vertAlign w:val="superscript"/>
              </w:rPr>
              <w:t>2</w:t>
            </w:r>
          </w:p>
        </w:tc>
        <w:tc>
          <w:tcPr>
            <w:tcW w:w="1364" w:type="dxa"/>
          </w:tcPr>
          <w:p>
            <w:pPr>
              <w:pStyle w:val="TableParagraph"/>
              <w:spacing w:before="6"/>
              <w:rPr>
                <w:sz w:val="22"/>
              </w:rPr>
            </w:pPr>
          </w:p>
          <w:p>
            <w:pPr>
              <w:pStyle w:val="TableParagraph"/>
              <w:ind w:right="1"/>
              <w:jc w:val="right"/>
              <w:rPr>
                <w:sz w:val="24"/>
              </w:rPr>
            </w:pPr>
            <w:r>
              <w:rPr>
                <w:spacing w:val="-2"/>
                <w:sz w:val="24"/>
              </w:rPr>
              <w:t>1,300,000</w:t>
            </w:r>
          </w:p>
        </w:tc>
      </w:tr>
      <w:tr>
        <w:trPr>
          <w:trHeight w:val="797" w:hRule="atLeast"/>
        </w:trPr>
        <w:tc>
          <w:tcPr>
            <w:tcW w:w="698" w:type="dxa"/>
          </w:tcPr>
          <w:p>
            <w:pPr>
              <w:pStyle w:val="TableParagraph"/>
              <w:spacing w:before="6"/>
              <w:rPr>
                <w:sz w:val="22"/>
              </w:rPr>
            </w:pPr>
          </w:p>
          <w:p>
            <w:pPr>
              <w:pStyle w:val="TableParagraph"/>
              <w:ind w:left="12" w:right="3"/>
              <w:jc w:val="center"/>
              <w:rPr>
                <w:sz w:val="24"/>
              </w:rPr>
            </w:pPr>
            <w:r>
              <w:rPr>
                <w:spacing w:val="-5"/>
                <w:sz w:val="24"/>
              </w:rPr>
              <w:t>9b</w:t>
            </w:r>
          </w:p>
        </w:tc>
        <w:tc>
          <w:tcPr>
            <w:tcW w:w="2172" w:type="dxa"/>
          </w:tcPr>
          <w:p>
            <w:pPr>
              <w:pStyle w:val="TableParagraph"/>
              <w:spacing w:before="122"/>
              <w:ind w:left="15"/>
              <w:rPr>
                <w:sz w:val="24"/>
              </w:rPr>
            </w:pPr>
            <w:r>
              <w:rPr>
                <w:sz w:val="24"/>
              </w:rPr>
              <w:t>10</w:t>
            </w:r>
            <w:r>
              <w:rPr>
                <w:spacing w:val="-8"/>
                <w:sz w:val="24"/>
              </w:rPr>
              <w:t> </w:t>
            </w:r>
            <w:r>
              <w:rPr>
                <w:sz w:val="24"/>
              </w:rPr>
              <w:t>000-15</w:t>
            </w:r>
            <w:r>
              <w:rPr>
                <w:spacing w:val="-7"/>
                <w:sz w:val="24"/>
              </w:rPr>
              <w:t> </w:t>
            </w:r>
            <w:r>
              <w:rPr>
                <w:sz w:val="24"/>
              </w:rPr>
              <w:t>000</w:t>
            </w:r>
            <w:r>
              <w:rPr>
                <w:spacing w:val="-8"/>
                <w:sz w:val="24"/>
              </w:rPr>
              <w:t> </w:t>
            </w:r>
            <w:r>
              <w:rPr>
                <w:spacing w:val="-4"/>
                <w:sz w:val="24"/>
              </w:rPr>
              <w:t>seat</w:t>
            </w:r>
          </w:p>
          <w:p>
            <w:pPr>
              <w:pStyle w:val="TableParagraph"/>
              <w:ind w:left="15"/>
              <w:rPr>
                <w:sz w:val="24"/>
              </w:rPr>
            </w:pPr>
            <w:r>
              <w:rPr>
                <w:sz w:val="24"/>
              </w:rPr>
              <w:t>–</w:t>
            </w:r>
            <w:r>
              <w:rPr>
                <w:spacing w:val="-2"/>
                <w:sz w:val="24"/>
              </w:rPr>
              <w:t> stadium</w:t>
            </w:r>
          </w:p>
        </w:tc>
        <w:tc>
          <w:tcPr>
            <w:tcW w:w="2630" w:type="dxa"/>
          </w:tcPr>
          <w:p>
            <w:pPr>
              <w:pStyle w:val="TableParagraph"/>
              <w:rPr>
                <w:rFonts w:ascii="Times New Roman"/>
                <w:sz w:val="22"/>
              </w:rPr>
            </w:pPr>
          </w:p>
        </w:tc>
        <w:tc>
          <w:tcPr>
            <w:tcW w:w="1610" w:type="dxa"/>
          </w:tcPr>
          <w:p>
            <w:pPr>
              <w:pStyle w:val="TableParagraph"/>
              <w:spacing w:before="6"/>
              <w:rPr>
                <w:sz w:val="22"/>
              </w:rPr>
            </w:pPr>
          </w:p>
          <w:p>
            <w:pPr>
              <w:pStyle w:val="TableParagraph"/>
              <w:ind w:left="15"/>
              <w:rPr>
                <w:sz w:val="24"/>
              </w:rPr>
            </w:pPr>
            <w:r>
              <w:rPr>
                <w:spacing w:val="-2"/>
                <w:sz w:val="24"/>
              </w:rPr>
              <w:t>$10,000/seat</w:t>
            </w:r>
          </w:p>
        </w:tc>
        <w:tc>
          <w:tcPr>
            <w:tcW w:w="1364" w:type="dxa"/>
          </w:tcPr>
          <w:p>
            <w:pPr>
              <w:pStyle w:val="TableParagraph"/>
              <w:spacing w:before="6"/>
              <w:rPr>
                <w:sz w:val="22"/>
              </w:rPr>
            </w:pPr>
          </w:p>
          <w:p>
            <w:pPr>
              <w:pStyle w:val="TableParagraph"/>
              <w:ind w:right="1"/>
              <w:jc w:val="right"/>
              <w:rPr>
                <w:sz w:val="24"/>
              </w:rPr>
            </w:pPr>
            <w:r>
              <w:rPr>
                <w:spacing w:val="-2"/>
                <w:sz w:val="24"/>
              </w:rPr>
              <w:t>150,000,000</w:t>
            </w:r>
          </w:p>
        </w:tc>
      </w:tr>
      <w:tr>
        <w:trPr>
          <w:trHeight w:val="520" w:hRule="atLeast"/>
        </w:trPr>
        <w:tc>
          <w:tcPr>
            <w:tcW w:w="8474" w:type="dxa"/>
            <w:gridSpan w:val="5"/>
          </w:tcPr>
          <w:p>
            <w:pPr>
              <w:pStyle w:val="TableParagraph"/>
              <w:spacing w:before="124"/>
              <w:ind w:left="15"/>
              <w:rPr>
                <w:i/>
                <w:sz w:val="24"/>
              </w:rPr>
            </w:pPr>
            <w:r>
              <w:rPr>
                <w:i/>
                <w:spacing w:val="-2"/>
                <w:sz w:val="24"/>
              </w:rPr>
              <w:t>BUILDING</w:t>
            </w:r>
            <w:r>
              <w:rPr>
                <w:i/>
                <w:spacing w:val="-5"/>
                <w:sz w:val="24"/>
              </w:rPr>
              <w:t> </w:t>
            </w:r>
            <w:r>
              <w:rPr>
                <w:i/>
                <w:spacing w:val="-2"/>
                <w:sz w:val="24"/>
              </w:rPr>
              <w:t>UPGRADES</w:t>
            </w:r>
          </w:p>
        </w:tc>
      </w:tr>
      <w:tr>
        <w:trPr>
          <w:trHeight w:val="797" w:hRule="atLeast"/>
        </w:trPr>
        <w:tc>
          <w:tcPr>
            <w:tcW w:w="698" w:type="dxa"/>
          </w:tcPr>
          <w:p>
            <w:pPr>
              <w:pStyle w:val="TableParagraph"/>
              <w:spacing w:before="6"/>
              <w:rPr>
                <w:sz w:val="22"/>
              </w:rPr>
            </w:pPr>
          </w:p>
          <w:p>
            <w:pPr>
              <w:pStyle w:val="TableParagraph"/>
              <w:ind w:left="12" w:right="3"/>
              <w:jc w:val="center"/>
              <w:rPr>
                <w:sz w:val="24"/>
              </w:rPr>
            </w:pPr>
            <w:r>
              <w:rPr>
                <w:spacing w:val="-5"/>
                <w:sz w:val="24"/>
              </w:rPr>
              <w:t>1b</w:t>
            </w:r>
          </w:p>
        </w:tc>
        <w:tc>
          <w:tcPr>
            <w:tcW w:w="2172" w:type="dxa"/>
          </w:tcPr>
          <w:p>
            <w:pPr>
              <w:pStyle w:val="TableParagraph"/>
              <w:spacing w:before="122"/>
              <w:ind w:left="15"/>
              <w:rPr>
                <w:sz w:val="24"/>
              </w:rPr>
            </w:pPr>
            <w:r>
              <w:rPr>
                <w:sz w:val="24"/>
              </w:rPr>
              <w:t>Single storey – holiday</w:t>
            </w:r>
            <w:r>
              <w:rPr>
                <w:spacing w:val="-17"/>
                <w:sz w:val="24"/>
              </w:rPr>
              <w:t> </w:t>
            </w:r>
            <w:r>
              <w:rPr>
                <w:sz w:val="24"/>
              </w:rPr>
              <w:t>accom'n</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45,000</w:t>
            </w:r>
          </w:p>
        </w:tc>
      </w:tr>
      <w:tr>
        <w:trPr>
          <w:trHeight w:val="796" w:hRule="atLeast"/>
        </w:trPr>
        <w:tc>
          <w:tcPr>
            <w:tcW w:w="698" w:type="dxa"/>
          </w:tcPr>
          <w:p>
            <w:pPr>
              <w:pStyle w:val="TableParagraph"/>
              <w:spacing w:before="6"/>
              <w:rPr>
                <w:sz w:val="22"/>
              </w:rPr>
            </w:pPr>
          </w:p>
          <w:p>
            <w:pPr>
              <w:pStyle w:val="TableParagraph"/>
              <w:ind w:left="13" w:right="3"/>
              <w:jc w:val="center"/>
              <w:rPr>
                <w:sz w:val="24"/>
              </w:rPr>
            </w:pPr>
            <w:r>
              <w:rPr>
                <w:spacing w:val="-5"/>
                <w:sz w:val="24"/>
              </w:rPr>
              <w:t>1b</w:t>
            </w:r>
          </w:p>
        </w:tc>
        <w:tc>
          <w:tcPr>
            <w:tcW w:w="2172" w:type="dxa"/>
          </w:tcPr>
          <w:p>
            <w:pPr>
              <w:pStyle w:val="TableParagraph"/>
              <w:spacing w:before="6"/>
              <w:rPr>
                <w:sz w:val="22"/>
              </w:rPr>
            </w:pPr>
          </w:p>
          <w:p>
            <w:pPr>
              <w:pStyle w:val="TableParagraph"/>
              <w:ind w:left="15"/>
              <w:rPr>
                <w:sz w:val="24"/>
              </w:rPr>
            </w:pPr>
            <w:r>
              <w:rPr>
                <w:sz w:val="24"/>
              </w:rPr>
              <w:t>2</w:t>
            </w:r>
            <w:r>
              <w:rPr>
                <w:spacing w:val="-2"/>
                <w:sz w:val="24"/>
              </w:rPr>
              <w:t> </w:t>
            </w:r>
            <w:r>
              <w:rPr>
                <w:sz w:val="24"/>
              </w:rPr>
              <w:t>storey</w:t>
            </w:r>
            <w:r>
              <w:rPr>
                <w:spacing w:val="-2"/>
                <w:sz w:val="24"/>
              </w:rPr>
              <w:t> </w:t>
            </w:r>
            <w:r>
              <w:rPr>
                <w:sz w:val="24"/>
              </w:rPr>
              <w:t>–</w:t>
            </w:r>
            <w:r>
              <w:rPr>
                <w:spacing w:val="-1"/>
                <w:sz w:val="24"/>
              </w:rPr>
              <w:t> </w:t>
            </w:r>
            <w:r>
              <w:rPr>
                <w:sz w:val="24"/>
              </w:rPr>
              <w:t>B</w:t>
            </w:r>
            <w:r>
              <w:rPr>
                <w:spacing w:val="-2"/>
                <w:sz w:val="24"/>
              </w:rPr>
              <w:t> </w:t>
            </w:r>
            <w:r>
              <w:rPr>
                <w:sz w:val="24"/>
              </w:rPr>
              <w:t>&amp;</w:t>
            </w:r>
            <w:r>
              <w:rPr>
                <w:spacing w:val="-1"/>
                <w:sz w:val="24"/>
              </w:rPr>
              <w:t> </w:t>
            </w:r>
            <w:r>
              <w:rPr>
                <w:spacing w:val="-10"/>
                <w:sz w:val="24"/>
              </w:rPr>
              <w:t>B</w:t>
            </w:r>
          </w:p>
        </w:tc>
        <w:tc>
          <w:tcPr>
            <w:tcW w:w="2630" w:type="dxa"/>
          </w:tcPr>
          <w:p>
            <w:pPr>
              <w:pStyle w:val="TableParagraph"/>
              <w:spacing w:before="122"/>
              <w:ind w:left="15"/>
              <w:rPr>
                <w:sz w:val="24"/>
              </w:rPr>
            </w:pPr>
            <w:r>
              <w:rPr>
                <w:sz w:val="24"/>
              </w:rPr>
              <w:t>Full</w:t>
            </w:r>
            <w:r>
              <w:rPr>
                <w:spacing w:val="-13"/>
                <w:sz w:val="24"/>
              </w:rPr>
              <w:t> </w:t>
            </w:r>
            <w:r>
              <w:rPr>
                <w:sz w:val="24"/>
              </w:rPr>
              <w:t>Upgrade</w:t>
            </w:r>
            <w:r>
              <w:rPr>
                <w:spacing w:val="-13"/>
                <w:sz w:val="24"/>
              </w:rPr>
              <w:t> </w:t>
            </w:r>
            <w:r>
              <w:rPr>
                <w:sz w:val="24"/>
              </w:rPr>
              <w:t>(change</w:t>
            </w:r>
            <w:r>
              <w:rPr>
                <w:spacing w:val="-13"/>
                <w:sz w:val="24"/>
              </w:rPr>
              <w:t> </w:t>
            </w:r>
            <w:r>
              <w:rPr>
                <w:sz w:val="24"/>
              </w:rPr>
              <w:t>of use from 1a)</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75,000</w:t>
            </w:r>
          </w:p>
        </w:tc>
      </w:tr>
      <w:tr>
        <w:trPr>
          <w:trHeight w:val="797" w:hRule="atLeast"/>
        </w:trPr>
        <w:tc>
          <w:tcPr>
            <w:tcW w:w="698" w:type="dxa"/>
          </w:tcPr>
          <w:p>
            <w:pPr>
              <w:pStyle w:val="TableParagraph"/>
              <w:spacing w:before="6"/>
              <w:rPr>
                <w:sz w:val="22"/>
              </w:rPr>
            </w:pPr>
          </w:p>
          <w:p>
            <w:pPr>
              <w:pStyle w:val="TableParagraph"/>
              <w:ind w:left="11"/>
              <w:jc w:val="center"/>
              <w:rPr>
                <w:sz w:val="24"/>
              </w:rPr>
            </w:pPr>
            <w:r>
              <w:rPr>
                <w:w w:val="99"/>
                <w:sz w:val="24"/>
              </w:rPr>
              <w:t>3</w:t>
            </w:r>
          </w:p>
        </w:tc>
        <w:tc>
          <w:tcPr>
            <w:tcW w:w="2172" w:type="dxa"/>
          </w:tcPr>
          <w:p>
            <w:pPr>
              <w:pStyle w:val="TableParagraph"/>
              <w:spacing w:before="122"/>
              <w:ind w:left="15"/>
              <w:rPr>
                <w:sz w:val="24"/>
              </w:rPr>
            </w:pPr>
            <w:r>
              <w:rPr>
                <w:sz w:val="24"/>
              </w:rPr>
              <w:t>2 storey – hotel/motel</w:t>
            </w:r>
            <w:r>
              <w:rPr>
                <w:spacing w:val="-13"/>
                <w:sz w:val="24"/>
              </w:rPr>
              <w:t> </w:t>
            </w:r>
            <w:r>
              <w:rPr>
                <w:sz w:val="24"/>
              </w:rPr>
              <w:t>–</w:t>
            </w:r>
            <w:r>
              <w:rPr>
                <w:spacing w:val="-13"/>
                <w:sz w:val="24"/>
              </w:rPr>
              <w:t> </w:t>
            </w:r>
            <w:r>
              <w:rPr>
                <w:sz w:val="24"/>
              </w:rPr>
              <w:t>no</w:t>
            </w:r>
            <w:r>
              <w:rPr>
                <w:spacing w:val="-13"/>
                <w:sz w:val="24"/>
              </w:rPr>
              <w:t> </w:t>
            </w:r>
            <w:r>
              <w:rPr>
                <w:sz w:val="24"/>
              </w:rPr>
              <w:t>lift</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1,100,000</w:t>
            </w:r>
          </w:p>
        </w:tc>
      </w:tr>
      <w:tr>
        <w:trPr>
          <w:trHeight w:val="796" w:hRule="atLeast"/>
        </w:trPr>
        <w:tc>
          <w:tcPr>
            <w:tcW w:w="698" w:type="dxa"/>
          </w:tcPr>
          <w:p>
            <w:pPr>
              <w:pStyle w:val="TableParagraph"/>
              <w:spacing w:before="6"/>
              <w:rPr>
                <w:sz w:val="22"/>
              </w:rPr>
            </w:pPr>
          </w:p>
          <w:p>
            <w:pPr>
              <w:pStyle w:val="TableParagraph"/>
              <w:ind w:left="11"/>
              <w:jc w:val="center"/>
              <w:rPr>
                <w:sz w:val="24"/>
              </w:rPr>
            </w:pPr>
            <w:r>
              <w:rPr>
                <w:w w:val="99"/>
                <w:sz w:val="24"/>
              </w:rPr>
              <w:t>3</w:t>
            </w:r>
          </w:p>
        </w:tc>
        <w:tc>
          <w:tcPr>
            <w:tcW w:w="2172" w:type="dxa"/>
          </w:tcPr>
          <w:p>
            <w:pPr>
              <w:pStyle w:val="TableParagraph"/>
              <w:spacing w:before="122"/>
              <w:ind w:left="15"/>
              <w:rPr>
                <w:sz w:val="24"/>
              </w:rPr>
            </w:pPr>
            <w:r>
              <w:rPr>
                <w:sz w:val="24"/>
              </w:rPr>
              <w:t>3+</w:t>
            </w:r>
            <w:r>
              <w:rPr>
                <w:spacing w:val="-5"/>
                <w:sz w:val="24"/>
              </w:rPr>
              <w:t> </w:t>
            </w:r>
            <w:r>
              <w:rPr>
                <w:sz w:val="24"/>
              </w:rPr>
              <w:t>storey</w:t>
            </w:r>
            <w:r>
              <w:rPr>
                <w:spacing w:val="-5"/>
                <w:sz w:val="24"/>
              </w:rPr>
              <w:t> </w:t>
            </w:r>
            <w:r>
              <w:rPr>
                <w:sz w:val="24"/>
              </w:rPr>
              <w:t>200</w:t>
            </w:r>
            <w:r>
              <w:rPr>
                <w:spacing w:val="-5"/>
                <w:sz w:val="24"/>
              </w:rPr>
              <w:t> </w:t>
            </w:r>
            <w:r>
              <w:rPr>
                <w:spacing w:val="-4"/>
                <w:sz w:val="24"/>
              </w:rPr>
              <w:t>room</w:t>
            </w:r>
          </w:p>
          <w:p>
            <w:pPr>
              <w:pStyle w:val="TableParagraph"/>
              <w:ind w:left="15"/>
              <w:rPr>
                <w:sz w:val="24"/>
              </w:rPr>
            </w:pPr>
            <w:r>
              <w:rPr>
                <w:sz w:val="24"/>
              </w:rPr>
              <w:t>–</w:t>
            </w:r>
            <w:r>
              <w:rPr>
                <w:spacing w:val="-3"/>
                <w:sz w:val="24"/>
              </w:rPr>
              <w:t> </w:t>
            </w:r>
            <w:r>
              <w:rPr>
                <w:sz w:val="24"/>
              </w:rPr>
              <w:t>hotel</w:t>
            </w:r>
            <w:r>
              <w:rPr>
                <w:spacing w:val="-2"/>
                <w:sz w:val="24"/>
              </w:rPr>
              <w:t> </w:t>
            </w:r>
            <w:r>
              <w:rPr>
                <w:sz w:val="24"/>
              </w:rPr>
              <w:t>–</w:t>
            </w:r>
            <w:r>
              <w:rPr>
                <w:spacing w:val="-3"/>
                <w:sz w:val="24"/>
              </w:rPr>
              <w:t> </w:t>
            </w:r>
            <w:r>
              <w:rPr>
                <w:sz w:val="24"/>
              </w:rPr>
              <w:t>with</w:t>
            </w:r>
            <w:r>
              <w:rPr>
                <w:spacing w:val="-2"/>
                <w:sz w:val="24"/>
              </w:rPr>
              <w:t> </w:t>
            </w:r>
            <w:r>
              <w:rPr>
                <w:spacing w:val="-4"/>
                <w:sz w:val="24"/>
              </w:rPr>
              <w:t>lift</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7,000,000</w:t>
            </w:r>
          </w:p>
        </w:tc>
      </w:tr>
      <w:tr>
        <w:trPr>
          <w:trHeight w:val="797" w:hRule="atLeast"/>
        </w:trPr>
        <w:tc>
          <w:tcPr>
            <w:tcW w:w="698" w:type="dxa"/>
          </w:tcPr>
          <w:p>
            <w:pPr>
              <w:pStyle w:val="TableParagraph"/>
              <w:spacing w:before="6"/>
              <w:rPr>
                <w:sz w:val="22"/>
              </w:rPr>
            </w:pPr>
          </w:p>
          <w:p>
            <w:pPr>
              <w:pStyle w:val="TableParagraph"/>
              <w:ind w:left="11"/>
              <w:jc w:val="center"/>
              <w:rPr>
                <w:sz w:val="24"/>
              </w:rPr>
            </w:pPr>
            <w:r>
              <w:rPr>
                <w:w w:val="99"/>
                <w:sz w:val="24"/>
              </w:rPr>
              <w:t>3</w:t>
            </w:r>
          </w:p>
        </w:tc>
        <w:tc>
          <w:tcPr>
            <w:tcW w:w="2172" w:type="dxa"/>
          </w:tcPr>
          <w:p>
            <w:pPr>
              <w:pStyle w:val="TableParagraph"/>
              <w:spacing w:before="122"/>
              <w:ind w:left="15"/>
              <w:rPr>
                <w:sz w:val="24"/>
              </w:rPr>
            </w:pPr>
            <w:r>
              <w:rPr>
                <w:sz w:val="24"/>
              </w:rPr>
              <w:t>3+</w:t>
            </w:r>
            <w:r>
              <w:rPr>
                <w:spacing w:val="-5"/>
                <w:sz w:val="24"/>
              </w:rPr>
              <w:t> </w:t>
            </w:r>
            <w:r>
              <w:rPr>
                <w:sz w:val="24"/>
              </w:rPr>
              <w:t>storey</w:t>
            </w:r>
            <w:r>
              <w:rPr>
                <w:spacing w:val="-5"/>
                <w:sz w:val="24"/>
              </w:rPr>
              <w:t> </w:t>
            </w:r>
            <w:r>
              <w:rPr>
                <w:sz w:val="24"/>
              </w:rPr>
              <w:t>350</w:t>
            </w:r>
            <w:r>
              <w:rPr>
                <w:spacing w:val="-5"/>
                <w:sz w:val="24"/>
              </w:rPr>
              <w:t> </w:t>
            </w:r>
            <w:r>
              <w:rPr>
                <w:spacing w:val="-4"/>
                <w:sz w:val="24"/>
              </w:rPr>
              <w:t>room</w:t>
            </w:r>
          </w:p>
          <w:p>
            <w:pPr>
              <w:pStyle w:val="TableParagraph"/>
              <w:ind w:left="15"/>
              <w:rPr>
                <w:sz w:val="24"/>
              </w:rPr>
            </w:pPr>
            <w:r>
              <w:rPr>
                <w:sz w:val="24"/>
              </w:rPr>
              <w:t>–</w:t>
            </w:r>
            <w:r>
              <w:rPr>
                <w:spacing w:val="-3"/>
                <w:sz w:val="24"/>
              </w:rPr>
              <w:t> </w:t>
            </w:r>
            <w:r>
              <w:rPr>
                <w:sz w:val="24"/>
              </w:rPr>
              <w:t>hotel</w:t>
            </w:r>
            <w:r>
              <w:rPr>
                <w:spacing w:val="-2"/>
                <w:sz w:val="24"/>
              </w:rPr>
              <w:t> </w:t>
            </w:r>
            <w:r>
              <w:rPr>
                <w:sz w:val="24"/>
              </w:rPr>
              <w:t>–</w:t>
            </w:r>
            <w:r>
              <w:rPr>
                <w:spacing w:val="-3"/>
                <w:sz w:val="24"/>
              </w:rPr>
              <w:t> </w:t>
            </w:r>
            <w:r>
              <w:rPr>
                <w:sz w:val="24"/>
              </w:rPr>
              <w:t>with</w:t>
            </w:r>
            <w:r>
              <w:rPr>
                <w:spacing w:val="-2"/>
                <w:sz w:val="24"/>
              </w:rPr>
              <w:t> lifts</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2"/>
              <w:jc w:val="right"/>
              <w:rPr>
                <w:sz w:val="24"/>
              </w:rPr>
            </w:pPr>
            <w:r>
              <w:rPr>
                <w:spacing w:val="-2"/>
                <w:sz w:val="24"/>
              </w:rPr>
              <w:t>10,000,000</w:t>
            </w:r>
          </w:p>
        </w:tc>
      </w:tr>
    </w:tbl>
    <w:p>
      <w:pPr>
        <w:spacing w:after="0"/>
        <w:jc w:val="right"/>
        <w:rPr>
          <w:sz w:val="24"/>
        </w:rPr>
        <w:sectPr>
          <w:pgSz w:w="11900" w:h="16840"/>
          <w:pgMar w:header="0" w:footer="1130" w:top="1080" w:bottom="1320" w:left="1380" w:right="980"/>
        </w:sectPr>
      </w:pPr>
    </w:p>
    <w:tbl>
      <w:tblPr>
        <w:tblW w:w="0" w:type="auto"/>
        <w:jc w:val="left"/>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
        <w:gridCol w:w="2172"/>
        <w:gridCol w:w="2630"/>
        <w:gridCol w:w="1610"/>
        <w:gridCol w:w="1364"/>
      </w:tblGrid>
      <w:tr>
        <w:trPr>
          <w:trHeight w:val="1083" w:hRule="atLeast"/>
        </w:trPr>
        <w:tc>
          <w:tcPr>
            <w:tcW w:w="698" w:type="dxa"/>
          </w:tcPr>
          <w:p>
            <w:pPr>
              <w:pStyle w:val="TableParagraph"/>
              <w:rPr>
                <w:sz w:val="26"/>
              </w:rPr>
            </w:pPr>
          </w:p>
          <w:p>
            <w:pPr>
              <w:pStyle w:val="TableParagraph"/>
              <w:spacing w:before="7"/>
              <w:rPr>
                <w:sz w:val="33"/>
              </w:rPr>
            </w:pPr>
          </w:p>
          <w:p>
            <w:pPr>
              <w:pStyle w:val="TableParagraph"/>
              <w:ind w:left="14" w:right="3"/>
              <w:jc w:val="center"/>
              <w:rPr>
                <w:b/>
                <w:sz w:val="24"/>
              </w:rPr>
            </w:pPr>
            <w:r>
              <w:rPr>
                <w:b/>
                <w:spacing w:val="-2"/>
                <w:sz w:val="24"/>
              </w:rPr>
              <w:t>Class</w:t>
            </w:r>
          </w:p>
        </w:tc>
        <w:tc>
          <w:tcPr>
            <w:tcW w:w="2172" w:type="dxa"/>
          </w:tcPr>
          <w:p>
            <w:pPr>
              <w:pStyle w:val="TableParagraph"/>
              <w:spacing w:before="7"/>
              <w:rPr>
                <w:sz w:val="35"/>
              </w:rPr>
            </w:pPr>
          </w:p>
          <w:p>
            <w:pPr>
              <w:pStyle w:val="TableParagraph"/>
              <w:ind w:left="15" w:right="836"/>
              <w:rPr>
                <w:b/>
                <w:sz w:val="24"/>
              </w:rPr>
            </w:pPr>
            <w:r>
              <w:rPr>
                <w:b/>
                <w:sz w:val="24"/>
              </w:rPr>
              <w:t>Case</w:t>
            </w:r>
            <w:r>
              <w:rPr>
                <w:b/>
                <w:spacing w:val="-17"/>
                <w:sz w:val="24"/>
              </w:rPr>
              <w:t> </w:t>
            </w:r>
            <w:r>
              <w:rPr>
                <w:b/>
                <w:sz w:val="24"/>
              </w:rPr>
              <w:t>Study </w:t>
            </w:r>
            <w:r>
              <w:rPr>
                <w:b/>
                <w:spacing w:val="-2"/>
                <w:sz w:val="24"/>
              </w:rPr>
              <w:t>Building</w:t>
            </w:r>
          </w:p>
        </w:tc>
        <w:tc>
          <w:tcPr>
            <w:tcW w:w="2630" w:type="dxa"/>
          </w:tcPr>
          <w:p>
            <w:pPr>
              <w:pStyle w:val="TableParagraph"/>
              <w:rPr>
                <w:sz w:val="26"/>
              </w:rPr>
            </w:pPr>
          </w:p>
          <w:p>
            <w:pPr>
              <w:pStyle w:val="TableParagraph"/>
              <w:spacing w:before="7"/>
              <w:rPr>
                <w:sz w:val="33"/>
              </w:rPr>
            </w:pPr>
          </w:p>
          <w:p>
            <w:pPr>
              <w:pStyle w:val="TableParagraph"/>
              <w:ind w:left="15"/>
              <w:rPr>
                <w:b/>
                <w:sz w:val="24"/>
              </w:rPr>
            </w:pPr>
            <w:r>
              <w:rPr>
                <w:b/>
                <w:spacing w:val="-2"/>
                <w:sz w:val="24"/>
              </w:rPr>
              <w:t>Comments</w:t>
            </w:r>
          </w:p>
        </w:tc>
        <w:tc>
          <w:tcPr>
            <w:tcW w:w="1610" w:type="dxa"/>
          </w:tcPr>
          <w:p>
            <w:pPr>
              <w:pStyle w:val="TableParagraph"/>
              <w:spacing w:before="133"/>
              <w:ind w:left="14" w:right="194"/>
              <w:rPr>
                <w:b/>
                <w:sz w:val="24"/>
              </w:rPr>
            </w:pPr>
            <w:r>
              <w:rPr>
                <w:b/>
                <w:sz w:val="24"/>
              </w:rPr>
              <w:t>Base cost calculation</w:t>
            </w:r>
            <w:r>
              <w:rPr>
                <w:b/>
                <w:spacing w:val="-17"/>
                <w:sz w:val="24"/>
              </w:rPr>
              <w:t> </w:t>
            </w:r>
            <w:r>
              <w:rPr>
                <w:b/>
                <w:sz w:val="24"/>
              </w:rPr>
              <w:t>/ </w:t>
            </w:r>
            <w:r>
              <w:rPr>
                <w:b/>
                <w:spacing w:val="-2"/>
                <w:sz w:val="24"/>
              </w:rPr>
              <w:t>basis</w:t>
            </w:r>
          </w:p>
        </w:tc>
        <w:tc>
          <w:tcPr>
            <w:tcW w:w="1364" w:type="dxa"/>
          </w:tcPr>
          <w:p>
            <w:pPr>
              <w:pStyle w:val="TableParagraph"/>
              <w:spacing w:before="7"/>
              <w:rPr>
                <w:sz w:val="35"/>
              </w:rPr>
            </w:pPr>
          </w:p>
          <w:p>
            <w:pPr>
              <w:pStyle w:val="TableParagraph"/>
              <w:ind w:left="35" w:right="22" w:firstLine="80"/>
              <w:rPr>
                <w:b/>
                <w:sz w:val="24"/>
              </w:rPr>
            </w:pPr>
            <w:r>
              <w:rPr>
                <w:b/>
                <w:sz w:val="24"/>
              </w:rPr>
              <w:t>Base cost adopted</w:t>
            </w:r>
            <w:r>
              <w:rPr>
                <w:b/>
                <w:spacing w:val="-17"/>
                <w:sz w:val="24"/>
              </w:rPr>
              <w:t> </w:t>
            </w:r>
            <w:r>
              <w:rPr>
                <w:b/>
                <w:sz w:val="24"/>
              </w:rPr>
              <w:t>($)</w:t>
            </w:r>
          </w:p>
        </w:tc>
      </w:tr>
      <w:tr>
        <w:trPr>
          <w:trHeight w:val="1072" w:hRule="atLeast"/>
        </w:trPr>
        <w:tc>
          <w:tcPr>
            <w:tcW w:w="698" w:type="dxa"/>
          </w:tcPr>
          <w:p>
            <w:pPr>
              <w:pStyle w:val="TableParagraph"/>
              <w:spacing w:before="6"/>
              <w:rPr>
                <w:sz w:val="34"/>
              </w:rPr>
            </w:pPr>
          </w:p>
          <w:p>
            <w:pPr>
              <w:pStyle w:val="TableParagraph"/>
              <w:ind w:left="11"/>
              <w:jc w:val="center"/>
              <w:rPr>
                <w:sz w:val="24"/>
              </w:rPr>
            </w:pPr>
            <w:r>
              <w:rPr>
                <w:w w:val="99"/>
                <w:sz w:val="24"/>
              </w:rPr>
              <w:t>5</w:t>
            </w:r>
          </w:p>
        </w:tc>
        <w:tc>
          <w:tcPr>
            <w:tcW w:w="2172" w:type="dxa"/>
          </w:tcPr>
          <w:p>
            <w:pPr>
              <w:pStyle w:val="TableParagraph"/>
              <w:spacing w:before="122"/>
              <w:ind w:left="15" w:right="210"/>
              <w:jc w:val="both"/>
              <w:rPr>
                <w:sz w:val="24"/>
              </w:rPr>
            </w:pPr>
            <w:r>
              <w:rPr>
                <w:sz w:val="24"/>
              </w:rPr>
              <w:t>2 storey – office – dwelling</w:t>
            </w:r>
            <w:r>
              <w:rPr>
                <w:spacing w:val="-17"/>
                <w:sz w:val="24"/>
              </w:rPr>
              <w:t> </w:t>
            </w:r>
            <w:r>
              <w:rPr>
                <w:sz w:val="24"/>
              </w:rPr>
              <w:t>size</w:t>
            </w:r>
            <w:r>
              <w:rPr>
                <w:spacing w:val="-17"/>
                <w:sz w:val="24"/>
              </w:rPr>
              <w:t> </w:t>
            </w:r>
            <w:r>
              <w:rPr>
                <w:sz w:val="24"/>
              </w:rPr>
              <w:t>(with </w:t>
            </w:r>
            <w:r>
              <w:rPr>
                <w:spacing w:val="-2"/>
                <w:sz w:val="24"/>
              </w:rPr>
              <w:t>exemption)</w:t>
            </w:r>
          </w:p>
        </w:tc>
        <w:tc>
          <w:tcPr>
            <w:tcW w:w="2630" w:type="dxa"/>
          </w:tcPr>
          <w:p>
            <w:pPr>
              <w:pStyle w:val="TableParagraph"/>
              <w:spacing w:before="6"/>
              <w:rPr>
                <w:sz w:val="22"/>
              </w:rPr>
            </w:pPr>
          </w:p>
          <w:p>
            <w:pPr>
              <w:pStyle w:val="TableParagraph"/>
              <w:ind w:left="15" w:right="58"/>
              <w:rPr>
                <w:sz w:val="24"/>
              </w:rPr>
            </w:pPr>
            <w:r>
              <w:rPr>
                <w:sz w:val="24"/>
              </w:rPr>
              <w:t>Partial</w:t>
            </w:r>
            <w:r>
              <w:rPr>
                <w:spacing w:val="-17"/>
                <w:sz w:val="24"/>
              </w:rPr>
              <w:t> </w:t>
            </w:r>
            <w:r>
              <w:rPr>
                <w:sz w:val="24"/>
              </w:rPr>
              <w:t>Upgrade</w:t>
            </w:r>
            <w:r>
              <w:rPr>
                <w:spacing w:val="-17"/>
                <w:sz w:val="24"/>
              </w:rPr>
              <w:t> </w:t>
            </w:r>
            <w:r>
              <w:rPr>
                <w:sz w:val="24"/>
              </w:rPr>
              <w:t>(half one floor only)</w:t>
            </w:r>
          </w:p>
        </w:tc>
        <w:tc>
          <w:tcPr>
            <w:tcW w:w="1610" w:type="dxa"/>
          </w:tcPr>
          <w:p>
            <w:pPr>
              <w:pStyle w:val="TableParagraph"/>
              <w:spacing w:before="6"/>
              <w:rPr>
                <w:sz w:val="22"/>
              </w:rPr>
            </w:pPr>
          </w:p>
          <w:p>
            <w:pPr>
              <w:pStyle w:val="TableParagraph"/>
              <w:ind w:left="15" w:right="515"/>
              <w:rPr>
                <w:sz w:val="24"/>
              </w:rPr>
            </w:pPr>
            <w:r>
              <w:rPr>
                <w:spacing w:val="-2"/>
                <w:sz w:val="24"/>
              </w:rPr>
              <w:t>Average allowance</w:t>
            </w:r>
          </w:p>
        </w:tc>
        <w:tc>
          <w:tcPr>
            <w:tcW w:w="1364" w:type="dxa"/>
          </w:tcPr>
          <w:p>
            <w:pPr>
              <w:pStyle w:val="TableParagraph"/>
              <w:spacing w:before="6"/>
              <w:rPr>
                <w:sz w:val="34"/>
              </w:rPr>
            </w:pPr>
          </w:p>
          <w:p>
            <w:pPr>
              <w:pStyle w:val="TableParagraph"/>
              <w:ind w:right="1"/>
              <w:jc w:val="right"/>
              <w:rPr>
                <w:sz w:val="24"/>
              </w:rPr>
            </w:pPr>
            <w:r>
              <w:rPr>
                <w:spacing w:val="-2"/>
                <w:sz w:val="24"/>
              </w:rPr>
              <w:t>45,000</w:t>
            </w:r>
          </w:p>
        </w:tc>
      </w:tr>
      <w:tr>
        <w:trPr>
          <w:trHeight w:val="1073" w:hRule="atLeast"/>
        </w:trPr>
        <w:tc>
          <w:tcPr>
            <w:tcW w:w="698" w:type="dxa"/>
          </w:tcPr>
          <w:p>
            <w:pPr>
              <w:pStyle w:val="TableParagraph"/>
              <w:spacing w:before="6"/>
              <w:rPr>
                <w:sz w:val="34"/>
              </w:rPr>
            </w:pPr>
          </w:p>
          <w:p>
            <w:pPr>
              <w:pStyle w:val="TableParagraph"/>
              <w:ind w:left="11"/>
              <w:jc w:val="center"/>
              <w:rPr>
                <w:sz w:val="24"/>
              </w:rPr>
            </w:pPr>
            <w:r>
              <w:rPr>
                <w:w w:val="99"/>
                <w:sz w:val="24"/>
              </w:rPr>
              <w:t>5</w:t>
            </w:r>
          </w:p>
        </w:tc>
        <w:tc>
          <w:tcPr>
            <w:tcW w:w="2172" w:type="dxa"/>
          </w:tcPr>
          <w:p>
            <w:pPr>
              <w:pStyle w:val="TableParagraph"/>
              <w:spacing w:before="122"/>
              <w:ind w:left="15" w:right="210"/>
              <w:jc w:val="both"/>
              <w:rPr>
                <w:sz w:val="24"/>
              </w:rPr>
            </w:pPr>
            <w:r>
              <w:rPr>
                <w:sz w:val="24"/>
              </w:rPr>
              <w:t>2 storey – office – dwelling</w:t>
            </w:r>
            <w:r>
              <w:rPr>
                <w:spacing w:val="-17"/>
                <w:sz w:val="24"/>
              </w:rPr>
              <w:t> </w:t>
            </w:r>
            <w:r>
              <w:rPr>
                <w:sz w:val="24"/>
              </w:rPr>
              <w:t>size</w:t>
            </w:r>
            <w:r>
              <w:rPr>
                <w:spacing w:val="-17"/>
                <w:sz w:val="24"/>
              </w:rPr>
              <w:t> </w:t>
            </w:r>
            <w:r>
              <w:rPr>
                <w:sz w:val="24"/>
              </w:rPr>
              <w:t>(with </w:t>
            </w:r>
            <w:r>
              <w:rPr>
                <w:spacing w:val="-2"/>
                <w:sz w:val="24"/>
              </w:rPr>
              <w:t>exemption)</w:t>
            </w:r>
          </w:p>
        </w:tc>
        <w:tc>
          <w:tcPr>
            <w:tcW w:w="2630" w:type="dxa"/>
          </w:tcPr>
          <w:p>
            <w:pPr>
              <w:pStyle w:val="TableParagraph"/>
              <w:spacing w:before="6"/>
              <w:rPr>
                <w:sz w:val="34"/>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582"/>
              <w:rPr>
                <w:sz w:val="24"/>
              </w:rPr>
            </w:pPr>
            <w:r>
              <w:rPr>
                <w:spacing w:val="-2"/>
                <w:sz w:val="24"/>
              </w:rPr>
              <w:t>assume </w:t>
            </w:r>
            <w:r>
              <w:rPr>
                <w:sz w:val="24"/>
              </w:rPr>
              <w:t>200m</w:t>
            </w:r>
            <w:r>
              <w:rPr>
                <w:sz w:val="24"/>
                <w:vertAlign w:val="superscript"/>
              </w:rPr>
              <w:t>2</w:t>
            </w:r>
            <w:r>
              <w:rPr>
                <w:spacing w:val="-17"/>
                <w:sz w:val="24"/>
                <w:vertAlign w:val="baseline"/>
              </w:rPr>
              <w:t> </w:t>
            </w:r>
            <w:r>
              <w:rPr>
                <w:sz w:val="24"/>
                <w:vertAlign w:val="baseline"/>
              </w:rPr>
              <w:t>@</w:t>
            </w:r>
          </w:p>
          <w:p>
            <w:pPr>
              <w:pStyle w:val="TableParagraph"/>
              <w:ind w:left="15"/>
              <w:rPr>
                <w:sz w:val="24"/>
              </w:rPr>
            </w:pPr>
            <w:r>
              <w:rPr>
                <w:spacing w:val="-4"/>
                <w:sz w:val="24"/>
              </w:rPr>
              <w:t>$550</w:t>
            </w:r>
          </w:p>
        </w:tc>
        <w:tc>
          <w:tcPr>
            <w:tcW w:w="1364" w:type="dxa"/>
          </w:tcPr>
          <w:p>
            <w:pPr>
              <w:pStyle w:val="TableParagraph"/>
              <w:spacing w:before="6"/>
              <w:rPr>
                <w:sz w:val="34"/>
              </w:rPr>
            </w:pPr>
          </w:p>
          <w:p>
            <w:pPr>
              <w:pStyle w:val="TableParagraph"/>
              <w:ind w:right="1"/>
              <w:jc w:val="right"/>
              <w:rPr>
                <w:sz w:val="24"/>
              </w:rPr>
            </w:pPr>
            <w:r>
              <w:rPr>
                <w:spacing w:val="-2"/>
                <w:sz w:val="24"/>
              </w:rPr>
              <w:t>110,000</w:t>
            </w:r>
          </w:p>
        </w:tc>
      </w:tr>
      <w:tr>
        <w:trPr>
          <w:trHeight w:val="1083" w:hRule="atLeast"/>
        </w:trPr>
        <w:tc>
          <w:tcPr>
            <w:tcW w:w="698" w:type="dxa"/>
          </w:tcPr>
          <w:p>
            <w:pPr>
              <w:pStyle w:val="TableParagraph"/>
              <w:spacing w:before="5"/>
              <w:rPr>
                <w:sz w:val="35"/>
              </w:rPr>
            </w:pPr>
          </w:p>
          <w:p>
            <w:pPr>
              <w:pStyle w:val="TableParagraph"/>
              <w:spacing w:before="1"/>
              <w:ind w:left="11"/>
              <w:jc w:val="center"/>
              <w:rPr>
                <w:sz w:val="24"/>
              </w:rPr>
            </w:pPr>
            <w:r>
              <w:rPr>
                <w:w w:val="99"/>
                <w:sz w:val="24"/>
              </w:rPr>
              <w:t>5</w:t>
            </w:r>
          </w:p>
        </w:tc>
        <w:tc>
          <w:tcPr>
            <w:tcW w:w="2172" w:type="dxa"/>
          </w:tcPr>
          <w:p>
            <w:pPr>
              <w:pStyle w:val="TableParagraph"/>
              <w:spacing w:before="132"/>
              <w:ind w:left="15" w:right="49"/>
              <w:rPr>
                <w:sz w:val="24"/>
              </w:rPr>
            </w:pPr>
            <w:r>
              <w:rPr>
                <w:sz w:val="24"/>
              </w:rPr>
              <w:t>2 storey – office – dwelling size (without</w:t>
            </w:r>
            <w:r>
              <w:rPr>
                <w:spacing w:val="-17"/>
                <w:sz w:val="24"/>
              </w:rPr>
              <w:t> </w:t>
            </w:r>
            <w:r>
              <w:rPr>
                <w:sz w:val="24"/>
              </w:rPr>
              <w:t>exemption)</w:t>
            </w:r>
          </w:p>
        </w:tc>
        <w:tc>
          <w:tcPr>
            <w:tcW w:w="2630" w:type="dxa"/>
          </w:tcPr>
          <w:p>
            <w:pPr>
              <w:pStyle w:val="TableParagraph"/>
              <w:spacing w:before="5"/>
              <w:rPr>
                <w:sz w:val="35"/>
              </w:rPr>
            </w:pPr>
          </w:p>
          <w:p>
            <w:pPr>
              <w:pStyle w:val="TableParagraph"/>
              <w:spacing w:before="1"/>
              <w:ind w:left="15"/>
              <w:rPr>
                <w:sz w:val="24"/>
              </w:rPr>
            </w:pPr>
            <w:r>
              <w:rPr>
                <w:sz w:val="24"/>
              </w:rPr>
              <w:t>Full</w:t>
            </w:r>
            <w:r>
              <w:rPr>
                <w:spacing w:val="-3"/>
                <w:sz w:val="24"/>
              </w:rPr>
              <w:t> </w:t>
            </w:r>
            <w:r>
              <w:rPr>
                <w:spacing w:val="-2"/>
                <w:sz w:val="24"/>
              </w:rPr>
              <w:t>Upgrade</w:t>
            </w:r>
          </w:p>
        </w:tc>
        <w:tc>
          <w:tcPr>
            <w:tcW w:w="1610" w:type="dxa"/>
          </w:tcPr>
          <w:p>
            <w:pPr>
              <w:pStyle w:val="TableParagraph"/>
              <w:spacing w:before="132"/>
              <w:ind w:left="15" w:right="448"/>
              <w:rPr>
                <w:sz w:val="24"/>
              </w:rPr>
            </w:pPr>
            <w:r>
              <w:rPr>
                <w:spacing w:val="-2"/>
                <w:sz w:val="24"/>
              </w:rPr>
              <w:t>assume </w:t>
            </w:r>
            <w:r>
              <w:rPr>
                <w:sz w:val="24"/>
              </w:rPr>
              <w:t>1200m</w:t>
            </w:r>
            <w:r>
              <w:rPr>
                <w:sz w:val="24"/>
                <w:vertAlign w:val="superscript"/>
              </w:rPr>
              <w:t>2</w:t>
            </w:r>
            <w:r>
              <w:rPr>
                <w:spacing w:val="-17"/>
                <w:sz w:val="24"/>
                <w:vertAlign w:val="baseline"/>
              </w:rPr>
              <w:t> </w:t>
            </w:r>
            <w:r>
              <w:rPr>
                <w:sz w:val="24"/>
                <w:vertAlign w:val="baseline"/>
              </w:rPr>
              <w:t>@</w:t>
            </w:r>
          </w:p>
          <w:p>
            <w:pPr>
              <w:pStyle w:val="TableParagraph"/>
              <w:ind w:left="15"/>
              <w:rPr>
                <w:sz w:val="24"/>
              </w:rPr>
            </w:pPr>
            <w:r>
              <w:rPr>
                <w:spacing w:val="-4"/>
                <w:sz w:val="24"/>
              </w:rPr>
              <w:t>$550</w:t>
            </w:r>
          </w:p>
        </w:tc>
        <w:tc>
          <w:tcPr>
            <w:tcW w:w="1364" w:type="dxa"/>
          </w:tcPr>
          <w:p>
            <w:pPr>
              <w:pStyle w:val="TableParagraph"/>
              <w:spacing w:before="5"/>
              <w:rPr>
                <w:sz w:val="35"/>
              </w:rPr>
            </w:pPr>
          </w:p>
          <w:p>
            <w:pPr>
              <w:pStyle w:val="TableParagraph"/>
              <w:spacing w:before="1"/>
              <w:ind w:right="1"/>
              <w:jc w:val="right"/>
              <w:rPr>
                <w:sz w:val="24"/>
              </w:rPr>
            </w:pPr>
            <w:r>
              <w:rPr>
                <w:spacing w:val="-2"/>
                <w:sz w:val="24"/>
              </w:rPr>
              <w:t>660,000</w:t>
            </w:r>
          </w:p>
        </w:tc>
      </w:tr>
      <w:tr>
        <w:trPr>
          <w:trHeight w:val="1082" w:hRule="atLeast"/>
        </w:trPr>
        <w:tc>
          <w:tcPr>
            <w:tcW w:w="698" w:type="dxa"/>
          </w:tcPr>
          <w:p>
            <w:pPr>
              <w:pStyle w:val="TableParagraph"/>
              <w:spacing w:before="5"/>
              <w:rPr>
                <w:sz w:val="35"/>
              </w:rPr>
            </w:pPr>
          </w:p>
          <w:p>
            <w:pPr>
              <w:pStyle w:val="TableParagraph"/>
              <w:spacing w:before="1"/>
              <w:ind w:left="11"/>
              <w:jc w:val="center"/>
              <w:rPr>
                <w:sz w:val="24"/>
              </w:rPr>
            </w:pPr>
            <w:r>
              <w:rPr>
                <w:w w:val="99"/>
                <w:sz w:val="24"/>
              </w:rPr>
              <w:t>5</w:t>
            </w:r>
          </w:p>
        </w:tc>
        <w:tc>
          <w:tcPr>
            <w:tcW w:w="2172" w:type="dxa"/>
          </w:tcPr>
          <w:p>
            <w:pPr>
              <w:pStyle w:val="TableParagraph"/>
              <w:spacing w:before="5"/>
              <w:rPr>
                <w:sz w:val="35"/>
              </w:rPr>
            </w:pPr>
          </w:p>
          <w:p>
            <w:pPr>
              <w:pStyle w:val="TableParagraph"/>
              <w:spacing w:before="1"/>
              <w:ind w:left="16"/>
              <w:rPr>
                <w:sz w:val="24"/>
              </w:rPr>
            </w:pPr>
            <w:r>
              <w:rPr>
                <w:sz w:val="24"/>
              </w:rPr>
              <w:t>7</w:t>
            </w:r>
            <w:r>
              <w:rPr>
                <w:spacing w:val="-3"/>
                <w:sz w:val="24"/>
              </w:rPr>
              <w:t> </w:t>
            </w:r>
            <w:r>
              <w:rPr>
                <w:sz w:val="24"/>
              </w:rPr>
              <w:t>storey</w:t>
            </w:r>
            <w:r>
              <w:rPr>
                <w:spacing w:val="-3"/>
                <w:sz w:val="24"/>
              </w:rPr>
              <w:t> </w:t>
            </w:r>
            <w:r>
              <w:rPr>
                <w:sz w:val="24"/>
              </w:rPr>
              <w:t>–</w:t>
            </w:r>
            <w:r>
              <w:rPr>
                <w:spacing w:val="-2"/>
                <w:sz w:val="24"/>
              </w:rPr>
              <w:t> office</w:t>
            </w:r>
          </w:p>
        </w:tc>
        <w:tc>
          <w:tcPr>
            <w:tcW w:w="2630" w:type="dxa"/>
          </w:tcPr>
          <w:p>
            <w:pPr>
              <w:pStyle w:val="TableParagraph"/>
              <w:spacing w:before="5"/>
              <w:rPr>
                <w:sz w:val="23"/>
              </w:rPr>
            </w:pPr>
          </w:p>
          <w:p>
            <w:pPr>
              <w:pStyle w:val="TableParagraph"/>
              <w:ind w:left="15"/>
              <w:rPr>
                <w:sz w:val="24"/>
              </w:rPr>
            </w:pPr>
            <w:r>
              <w:rPr>
                <w:sz w:val="24"/>
              </w:rPr>
              <w:t>Partial</w:t>
            </w:r>
            <w:r>
              <w:rPr>
                <w:spacing w:val="-17"/>
                <w:sz w:val="24"/>
              </w:rPr>
              <w:t> </w:t>
            </w:r>
            <w:r>
              <w:rPr>
                <w:sz w:val="24"/>
              </w:rPr>
              <w:t>Upgrade</w:t>
            </w:r>
            <w:r>
              <w:rPr>
                <w:spacing w:val="-17"/>
                <w:sz w:val="24"/>
              </w:rPr>
              <w:t> </w:t>
            </w:r>
            <w:r>
              <w:rPr>
                <w:sz w:val="24"/>
              </w:rPr>
              <w:t>(one floor only)</w:t>
            </w:r>
          </w:p>
        </w:tc>
        <w:tc>
          <w:tcPr>
            <w:tcW w:w="1610" w:type="dxa"/>
          </w:tcPr>
          <w:p>
            <w:pPr>
              <w:pStyle w:val="TableParagraph"/>
              <w:spacing w:before="132"/>
              <w:ind w:left="15" w:right="194"/>
              <w:rPr>
                <w:sz w:val="24"/>
              </w:rPr>
            </w:pPr>
            <w:r>
              <w:rPr>
                <w:sz w:val="24"/>
              </w:rPr>
              <w:t>assume</w:t>
            </w:r>
            <w:r>
              <w:rPr>
                <w:spacing w:val="-17"/>
                <w:sz w:val="24"/>
              </w:rPr>
              <w:t> </w:t>
            </w:r>
            <w:r>
              <w:rPr>
                <w:sz w:val="24"/>
              </w:rPr>
              <w:t>1</w:t>
            </w:r>
            <w:r>
              <w:rPr>
                <w:spacing w:val="-17"/>
                <w:sz w:val="24"/>
              </w:rPr>
              <w:t> </w:t>
            </w:r>
            <w:r>
              <w:rPr>
                <w:sz w:val="24"/>
              </w:rPr>
              <w:t>x 1200m</w:t>
            </w:r>
            <w:r>
              <w:rPr>
                <w:sz w:val="24"/>
                <w:vertAlign w:val="superscript"/>
              </w:rPr>
              <w:t>2</w:t>
            </w:r>
            <w:r>
              <w:rPr>
                <w:sz w:val="24"/>
                <w:vertAlign w:val="baseline"/>
              </w:rPr>
              <w:t> @</w:t>
            </w:r>
          </w:p>
          <w:p>
            <w:pPr>
              <w:pStyle w:val="TableParagraph"/>
              <w:ind w:left="15"/>
              <w:rPr>
                <w:sz w:val="24"/>
              </w:rPr>
            </w:pPr>
            <w:r>
              <w:rPr>
                <w:spacing w:val="-4"/>
                <w:sz w:val="24"/>
              </w:rPr>
              <w:t>$900</w:t>
            </w:r>
          </w:p>
        </w:tc>
        <w:tc>
          <w:tcPr>
            <w:tcW w:w="1364" w:type="dxa"/>
          </w:tcPr>
          <w:p>
            <w:pPr>
              <w:pStyle w:val="TableParagraph"/>
              <w:spacing w:before="5"/>
              <w:rPr>
                <w:sz w:val="35"/>
              </w:rPr>
            </w:pPr>
          </w:p>
          <w:p>
            <w:pPr>
              <w:pStyle w:val="TableParagraph"/>
              <w:spacing w:before="1"/>
              <w:ind w:right="1"/>
              <w:jc w:val="right"/>
              <w:rPr>
                <w:sz w:val="24"/>
              </w:rPr>
            </w:pPr>
            <w:r>
              <w:rPr>
                <w:spacing w:val="-2"/>
                <w:sz w:val="24"/>
              </w:rPr>
              <w:t>1,100,000</w:t>
            </w:r>
          </w:p>
        </w:tc>
      </w:tr>
      <w:tr>
        <w:trPr>
          <w:trHeight w:val="1073" w:hRule="atLeast"/>
        </w:trPr>
        <w:tc>
          <w:tcPr>
            <w:tcW w:w="698" w:type="dxa"/>
          </w:tcPr>
          <w:p>
            <w:pPr>
              <w:pStyle w:val="TableParagraph"/>
              <w:spacing w:before="6"/>
              <w:rPr>
                <w:sz w:val="34"/>
              </w:rPr>
            </w:pPr>
          </w:p>
          <w:p>
            <w:pPr>
              <w:pStyle w:val="TableParagraph"/>
              <w:ind w:left="11"/>
              <w:jc w:val="center"/>
              <w:rPr>
                <w:sz w:val="24"/>
              </w:rPr>
            </w:pPr>
            <w:r>
              <w:rPr>
                <w:w w:val="99"/>
                <w:sz w:val="24"/>
              </w:rPr>
              <w:t>5</w:t>
            </w:r>
          </w:p>
        </w:tc>
        <w:tc>
          <w:tcPr>
            <w:tcW w:w="2172" w:type="dxa"/>
          </w:tcPr>
          <w:p>
            <w:pPr>
              <w:pStyle w:val="TableParagraph"/>
              <w:spacing w:before="6"/>
              <w:rPr>
                <w:sz w:val="34"/>
              </w:rPr>
            </w:pPr>
          </w:p>
          <w:p>
            <w:pPr>
              <w:pStyle w:val="TableParagraph"/>
              <w:ind w:left="15"/>
              <w:rPr>
                <w:sz w:val="24"/>
              </w:rPr>
            </w:pPr>
            <w:r>
              <w:rPr>
                <w:sz w:val="24"/>
              </w:rPr>
              <w:t>7</w:t>
            </w:r>
            <w:r>
              <w:rPr>
                <w:spacing w:val="-3"/>
                <w:sz w:val="24"/>
              </w:rPr>
              <w:t> </w:t>
            </w:r>
            <w:r>
              <w:rPr>
                <w:sz w:val="24"/>
              </w:rPr>
              <w:t>storey</w:t>
            </w:r>
            <w:r>
              <w:rPr>
                <w:spacing w:val="-3"/>
                <w:sz w:val="24"/>
              </w:rPr>
              <w:t> </w:t>
            </w:r>
            <w:r>
              <w:rPr>
                <w:sz w:val="24"/>
              </w:rPr>
              <w:t>–</w:t>
            </w:r>
            <w:r>
              <w:rPr>
                <w:spacing w:val="-2"/>
                <w:sz w:val="24"/>
              </w:rPr>
              <w:t> office</w:t>
            </w:r>
          </w:p>
        </w:tc>
        <w:tc>
          <w:tcPr>
            <w:tcW w:w="2630" w:type="dxa"/>
          </w:tcPr>
          <w:p>
            <w:pPr>
              <w:pStyle w:val="TableParagraph"/>
              <w:spacing w:before="6"/>
              <w:rPr>
                <w:sz w:val="34"/>
              </w:rPr>
            </w:pPr>
          </w:p>
          <w:p>
            <w:pPr>
              <w:pStyle w:val="TableParagraph"/>
              <w:ind w:left="14"/>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194"/>
              <w:rPr>
                <w:sz w:val="24"/>
              </w:rPr>
            </w:pPr>
            <w:r>
              <w:rPr>
                <w:sz w:val="24"/>
              </w:rPr>
              <w:t>assume</w:t>
            </w:r>
            <w:r>
              <w:rPr>
                <w:spacing w:val="-17"/>
                <w:sz w:val="24"/>
              </w:rPr>
              <w:t> </w:t>
            </w:r>
            <w:r>
              <w:rPr>
                <w:sz w:val="24"/>
              </w:rPr>
              <w:t>7</w:t>
            </w:r>
            <w:r>
              <w:rPr>
                <w:spacing w:val="-17"/>
                <w:sz w:val="24"/>
              </w:rPr>
              <w:t> </w:t>
            </w:r>
            <w:r>
              <w:rPr>
                <w:sz w:val="24"/>
              </w:rPr>
              <w:t>x 1200m</w:t>
            </w:r>
            <w:r>
              <w:rPr>
                <w:sz w:val="24"/>
                <w:vertAlign w:val="superscript"/>
              </w:rPr>
              <w:t>2</w:t>
            </w:r>
            <w:r>
              <w:rPr>
                <w:sz w:val="24"/>
                <w:vertAlign w:val="baseline"/>
              </w:rPr>
              <w:t> @</w:t>
            </w:r>
          </w:p>
          <w:p>
            <w:pPr>
              <w:pStyle w:val="TableParagraph"/>
              <w:ind w:left="15"/>
              <w:rPr>
                <w:sz w:val="24"/>
              </w:rPr>
            </w:pPr>
            <w:r>
              <w:rPr>
                <w:spacing w:val="-4"/>
                <w:sz w:val="24"/>
              </w:rPr>
              <w:t>$900</w:t>
            </w:r>
          </w:p>
        </w:tc>
        <w:tc>
          <w:tcPr>
            <w:tcW w:w="1364" w:type="dxa"/>
          </w:tcPr>
          <w:p>
            <w:pPr>
              <w:pStyle w:val="TableParagraph"/>
              <w:spacing w:before="6"/>
              <w:rPr>
                <w:sz w:val="34"/>
              </w:rPr>
            </w:pPr>
          </w:p>
          <w:p>
            <w:pPr>
              <w:pStyle w:val="TableParagraph"/>
              <w:ind w:right="1"/>
              <w:jc w:val="right"/>
              <w:rPr>
                <w:sz w:val="24"/>
              </w:rPr>
            </w:pPr>
            <w:r>
              <w:rPr>
                <w:spacing w:val="-2"/>
                <w:sz w:val="24"/>
              </w:rPr>
              <w:t>7,500,000</w:t>
            </w:r>
          </w:p>
        </w:tc>
      </w:tr>
      <w:tr>
        <w:trPr>
          <w:trHeight w:val="1072" w:hRule="atLeast"/>
        </w:trPr>
        <w:tc>
          <w:tcPr>
            <w:tcW w:w="698" w:type="dxa"/>
          </w:tcPr>
          <w:p>
            <w:pPr>
              <w:pStyle w:val="TableParagraph"/>
              <w:spacing w:before="6"/>
              <w:rPr>
                <w:sz w:val="34"/>
              </w:rPr>
            </w:pPr>
          </w:p>
          <w:p>
            <w:pPr>
              <w:pStyle w:val="TableParagraph"/>
              <w:ind w:left="11"/>
              <w:jc w:val="center"/>
              <w:rPr>
                <w:sz w:val="24"/>
              </w:rPr>
            </w:pPr>
            <w:r>
              <w:rPr>
                <w:w w:val="99"/>
                <w:sz w:val="24"/>
              </w:rPr>
              <w:t>5</w:t>
            </w:r>
          </w:p>
        </w:tc>
        <w:tc>
          <w:tcPr>
            <w:tcW w:w="2172" w:type="dxa"/>
          </w:tcPr>
          <w:p>
            <w:pPr>
              <w:pStyle w:val="TableParagraph"/>
              <w:spacing w:before="122"/>
              <w:ind w:left="15" w:right="317"/>
              <w:jc w:val="both"/>
              <w:rPr>
                <w:sz w:val="24"/>
              </w:rPr>
            </w:pPr>
            <w:r>
              <w:rPr>
                <w:sz w:val="24"/>
              </w:rPr>
              <w:t>20</w:t>
            </w:r>
            <w:r>
              <w:rPr>
                <w:spacing w:val="-13"/>
                <w:sz w:val="24"/>
              </w:rPr>
              <w:t> </w:t>
            </w:r>
            <w:r>
              <w:rPr>
                <w:sz w:val="24"/>
              </w:rPr>
              <w:t>storey</w:t>
            </w:r>
            <w:r>
              <w:rPr>
                <w:spacing w:val="-13"/>
                <w:sz w:val="24"/>
              </w:rPr>
              <w:t> </w:t>
            </w:r>
            <w:r>
              <w:rPr>
                <w:sz w:val="24"/>
              </w:rPr>
              <w:t>–</w:t>
            </w:r>
            <w:r>
              <w:rPr>
                <w:spacing w:val="-13"/>
                <w:sz w:val="24"/>
              </w:rPr>
              <w:t> </w:t>
            </w:r>
            <w:r>
              <w:rPr>
                <w:sz w:val="24"/>
              </w:rPr>
              <w:t>office (av. floor plate of </w:t>
            </w:r>
            <w:r>
              <w:rPr>
                <w:spacing w:val="-2"/>
                <w:sz w:val="24"/>
              </w:rPr>
              <w:t>900m</w:t>
            </w:r>
            <w:r>
              <w:rPr>
                <w:spacing w:val="-2"/>
                <w:sz w:val="24"/>
                <w:vertAlign w:val="superscript"/>
              </w:rPr>
              <w:t>2</w:t>
            </w:r>
            <w:r>
              <w:rPr>
                <w:spacing w:val="-2"/>
                <w:sz w:val="24"/>
                <w:vertAlign w:val="baseline"/>
              </w:rPr>
              <w:t>)</w:t>
            </w:r>
          </w:p>
        </w:tc>
        <w:tc>
          <w:tcPr>
            <w:tcW w:w="2630" w:type="dxa"/>
          </w:tcPr>
          <w:p>
            <w:pPr>
              <w:pStyle w:val="TableParagraph"/>
              <w:spacing w:before="6"/>
              <w:rPr>
                <w:sz w:val="22"/>
              </w:rPr>
            </w:pPr>
          </w:p>
          <w:p>
            <w:pPr>
              <w:pStyle w:val="TableParagraph"/>
              <w:ind w:left="15"/>
              <w:rPr>
                <w:sz w:val="24"/>
              </w:rPr>
            </w:pPr>
            <w:r>
              <w:rPr>
                <w:sz w:val="24"/>
              </w:rPr>
              <w:t>Partial</w:t>
            </w:r>
            <w:r>
              <w:rPr>
                <w:spacing w:val="-17"/>
                <w:sz w:val="24"/>
              </w:rPr>
              <w:t> </w:t>
            </w:r>
            <w:r>
              <w:rPr>
                <w:sz w:val="24"/>
              </w:rPr>
              <w:t>Upgrade</w:t>
            </w:r>
            <w:r>
              <w:rPr>
                <w:spacing w:val="-17"/>
                <w:sz w:val="24"/>
              </w:rPr>
              <w:t> </w:t>
            </w:r>
            <w:r>
              <w:rPr>
                <w:sz w:val="24"/>
              </w:rPr>
              <w:t>(three floors only)</w:t>
            </w:r>
          </w:p>
        </w:tc>
        <w:tc>
          <w:tcPr>
            <w:tcW w:w="1610" w:type="dxa"/>
          </w:tcPr>
          <w:p>
            <w:pPr>
              <w:pStyle w:val="TableParagraph"/>
              <w:spacing w:before="122"/>
              <w:ind w:left="15" w:right="194"/>
              <w:rPr>
                <w:sz w:val="24"/>
              </w:rPr>
            </w:pPr>
            <w:r>
              <w:rPr>
                <w:sz w:val="24"/>
              </w:rPr>
              <w:t>assume</w:t>
            </w:r>
            <w:r>
              <w:rPr>
                <w:spacing w:val="-17"/>
                <w:sz w:val="24"/>
              </w:rPr>
              <w:t> </w:t>
            </w:r>
            <w:r>
              <w:rPr>
                <w:sz w:val="24"/>
              </w:rPr>
              <w:t>3</w:t>
            </w:r>
            <w:r>
              <w:rPr>
                <w:spacing w:val="-17"/>
                <w:sz w:val="24"/>
              </w:rPr>
              <w:t> </w:t>
            </w:r>
            <w:r>
              <w:rPr>
                <w:sz w:val="24"/>
              </w:rPr>
              <w:t>x 900m</w:t>
            </w:r>
            <w:r>
              <w:rPr>
                <w:sz w:val="24"/>
                <w:vertAlign w:val="superscript"/>
              </w:rPr>
              <w:t>2</w:t>
            </w:r>
            <w:r>
              <w:rPr>
                <w:sz w:val="24"/>
                <w:vertAlign w:val="baseline"/>
              </w:rPr>
              <w:t> @</w:t>
            </w:r>
          </w:p>
          <w:p>
            <w:pPr>
              <w:pStyle w:val="TableParagraph"/>
              <w:ind w:left="15"/>
              <w:rPr>
                <w:sz w:val="24"/>
              </w:rPr>
            </w:pPr>
            <w:r>
              <w:rPr>
                <w:spacing w:val="-2"/>
                <w:sz w:val="24"/>
              </w:rPr>
              <w:t>$1,100</w:t>
            </w:r>
          </w:p>
        </w:tc>
        <w:tc>
          <w:tcPr>
            <w:tcW w:w="1364" w:type="dxa"/>
          </w:tcPr>
          <w:p>
            <w:pPr>
              <w:pStyle w:val="TableParagraph"/>
              <w:spacing w:before="6"/>
              <w:rPr>
                <w:sz w:val="34"/>
              </w:rPr>
            </w:pPr>
          </w:p>
          <w:p>
            <w:pPr>
              <w:pStyle w:val="TableParagraph"/>
              <w:ind w:right="1"/>
              <w:jc w:val="right"/>
              <w:rPr>
                <w:sz w:val="24"/>
              </w:rPr>
            </w:pPr>
            <w:r>
              <w:rPr>
                <w:spacing w:val="-2"/>
                <w:sz w:val="24"/>
              </w:rPr>
              <w:t>3,000,000</w:t>
            </w:r>
          </w:p>
        </w:tc>
      </w:tr>
      <w:tr>
        <w:trPr>
          <w:trHeight w:val="1073" w:hRule="atLeast"/>
        </w:trPr>
        <w:tc>
          <w:tcPr>
            <w:tcW w:w="698" w:type="dxa"/>
          </w:tcPr>
          <w:p>
            <w:pPr>
              <w:pStyle w:val="TableParagraph"/>
              <w:spacing w:before="6"/>
              <w:rPr>
                <w:sz w:val="34"/>
              </w:rPr>
            </w:pPr>
          </w:p>
          <w:p>
            <w:pPr>
              <w:pStyle w:val="TableParagraph"/>
              <w:ind w:left="11"/>
              <w:jc w:val="center"/>
              <w:rPr>
                <w:sz w:val="24"/>
              </w:rPr>
            </w:pPr>
            <w:r>
              <w:rPr>
                <w:w w:val="99"/>
                <w:sz w:val="24"/>
              </w:rPr>
              <w:t>5</w:t>
            </w:r>
          </w:p>
        </w:tc>
        <w:tc>
          <w:tcPr>
            <w:tcW w:w="2172" w:type="dxa"/>
          </w:tcPr>
          <w:p>
            <w:pPr>
              <w:pStyle w:val="TableParagraph"/>
              <w:spacing w:before="122"/>
              <w:ind w:left="15" w:right="317"/>
              <w:jc w:val="both"/>
              <w:rPr>
                <w:sz w:val="24"/>
              </w:rPr>
            </w:pPr>
            <w:r>
              <w:rPr>
                <w:sz w:val="24"/>
              </w:rPr>
              <w:t>20</w:t>
            </w:r>
            <w:r>
              <w:rPr>
                <w:spacing w:val="-13"/>
                <w:sz w:val="24"/>
              </w:rPr>
              <w:t> </w:t>
            </w:r>
            <w:r>
              <w:rPr>
                <w:sz w:val="24"/>
              </w:rPr>
              <w:t>storey</w:t>
            </w:r>
            <w:r>
              <w:rPr>
                <w:spacing w:val="-13"/>
                <w:sz w:val="24"/>
              </w:rPr>
              <w:t> </w:t>
            </w:r>
            <w:r>
              <w:rPr>
                <w:sz w:val="24"/>
              </w:rPr>
              <w:t>–</w:t>
            </w:r>
            <w:r>
              <w:rPr>
                <w:spacing w:val="-13"/>
                <w:sz w:val="24"/>
              </w:rPr>
              <w:t> </w:t>
            </w:r>
            <w:r>
              <w:rPr>
                <w:sz w:val="24"/>
              </w:rPr>
              <w:t>office (av. floor plate of </w:t>
            </w:r>
            <w:r>
              <w:rPr>
                <w:spacing w:val="-2"/>
                <w:sz w:val="24"/>
              </w:rPr>
              <w:t>900m</w:t>
            </w:r>
            <w:r>
              <w:rPr>
                <w:spacing w:val="-2"/>
                <w:sz w:val="24"/>
                <w:vertAlign w:val="superscript"/>
              </w:rPr>
              <w:t>2</w:t>
            </w:r>
            <w:r>
              <w:rPr>
                <w:spacing w:val="-2"/>
                <w:sz w:val="24"/>
                <w:vertAlign w:val="baseline"/>
              </w:rPr>
              <w:t>)</w:t>
            </w:r>
          </w:p>
        </w:tc>
        <w:tc>
          <w:tcPr>
            <w:tcW w:w="2630" w:type="dxa"/>
          </w:tcPr>
          <w:p>
            <w:pPr>
              <w:pStyle w:val="TableParagraph"/>
              <w:spacing w:before="6"/>
              <w:rPr>
                <w:sz w:val="34"/>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194"/>
              <w:rPr>
                <w:sz w:val="24"/>
              </w:rPr>
            </w:pPr>
            <w:r>
              <w:rPr>
                <w:sz w:val="24"/>
              </w:rPr>
              <w:t>assume</w:t>
            </w:r>
            <w:r>
              <w:rPr>
                <w:spacing w:val="-17"/>
                <w:sz w:val="24"/>
              </w:rPr>
              <w:t> </w:t>
            </w:r>
            <w:r>
              <w:rPr>
                <w:sz w:val="24"/>
              </w:rPr>
              <w:t>20</w:t>
            </w:r>
            <w:r>
              <w:rPr>
                <w:spacing w:val="-17"/>
                <w:sz w:val="24"/>
              </w:rPr>
              <w:t> </w:t>
            </w:r>
            <w:r>
              <w:rPr>
                <w:sz w:val="24"/>
              </w:rPr>
              <w:t>x 900m</w:t>
            </w:r>
            <w:r>
              <w:rPr>
                <w:sz w:val="24"/>
                <w:vertAlign w:val="superscript"/>
              </w:rPr>
              <w:t>2</w:t>
            </w:r>
            <w:r>
              <w:rPr>
                <w:sz w:val="24"/>
                <w:vertAlign w:val="baseline"/>
              </w:rPr>
              <w:t> @</w:t>
            </w:r>
          </w:p>
          <w:p>
            <w:pPr>
              <w:pStyle w:val="TableParagraph"/>
              <w:ind w:left="15"/>
              <w:rPr>
                <w:sz w:val="24"/>
              </w:rPr>
            </w:pPr>
            <w:r>
              <w:rPr>
                <w:spacing w:val="-2"/>
                <w:sz w:val="24"/>
              </w:rPr>
              <w:t>$1,100</w:t>
            </w:r>
          </w:p>
        </w:tc>
        <w:tc>
          <w:tcPr>
            <w:tcW w:w="1364" w:type="dxa"/>
          </w:tcPr>
          <w:p>
            <w:pPr>
              <w:pStyle w:val="TableParagraph"/>
              <w:spacing w:before="6"/>
              <w:rPr>
                <w:sz w:val="34"/>
              </w:rPr>
            </w:pPr>
          </w:p>
          <w:p>
            <w:pPr>
              <w:pStyle w:val="TableParagraph"/>
              <w:ind w:right="2"/>
              <w:jc w:val="right"/>
              <w:rPr>
                <w:sz w:val="24"/>
              </w:rPr>
            </w:pPr>
            <w:r>
              <w:rPr>
                <w:spacing w:val="-2"/>
                <w:sz w:val="24"/>
              </w:rPr>
              <w:t>20,000,000</w:t>
            </w:r>
          </w:p>
        </w:tc>
      </w:tr>
      <w:tr>
        <w:trPr>
          <w:trHeight w:val="796" w:hRule="atLeast"/>
        </w:trPr>
        <w:tc>
          <w:tcPr>
            <w:tcW w:w="698" w:type="dxa"/>
          </w:tcPr>
          <w:p>
            <w:pPr>
              <w:pStyle w:val="TableParagraph"/>
              <w:spacing w:before="6"/>
              <w:rPr>
                <w:sz w:val="22"/>
              </w:rPr>
            </w:pPr>
          </w:p>
          <w:p>
            <w:pPr>
              <w:pStyle w:val="TableParagraph"/>
              <w:ind w:left="11"/>
              <w:jc w:val="center"/>
              <w:rPr>
                <w:sz w:val="24"/>
              </w:rPr>
            </w:pPr>
            <w:r>
              <w:rPr>
                <w:w w:val="99"/>
                <w:sz w:val="24"/>
              </w:rPr>
              <w:t>6</w:t>
            </w:r>
          </w:p>
        </w:tc>
        <w:tc>
          <w:tcPr>
            <w:tcW w:w="2172" w:type="dxa"/>
          </w:tcPr>
          <w:p>
            <w:pPr>
              <w:pStyle w:val="TableParagraph"/>
              <w:spacing w:before="122"/>
              <w:ind w:left="15"/>
              <w:rPr>
                <w:sz w:val="24"/>
              </w:rPr>
            </w:pPr>
            <w:r>
              <w:rPr>
                <w:sz w:val="24"/>
              </w:rPr>
              <w:t>Small</w:t>
            </w:r>
            <w:r>
              <w:rPr>
                <w:spacing w:val="-5"/>
                <w:sz w:val="24"/>
              </w:rPr>
              <w:t> </w:t>
            </w:r>
            <w:r>
              <w:rPr>
                <w:sz w:val="24"/>
              </w:rPr>
              <w:t>single</w:t>
            </w:r>
            <w:r>
              <w:rPr>
                <w:spacing w:val="-4"/>
                <w:sz w:val="24"/>
              </w:rPr>
              <w:t> </w:t>
            </w:r>
            <w:r>
              <w:rPr>
                <w:spacing w:val="-2"/>
                <w:sz w:val="24"/>
              </w:rPr>
              <w:t>storey</w:t>
            </w:r>
          </w:p>
          <w:p>
            <w:pPr>
              <w:pStyle w:val="TableParagraph"/>
              <w:ind w:left="15"/>
              <w:rPr>
                <w:sz w:val="24"/>
              </w:rPr>
            </w:pPr>
            <w:r>
              <w:rPr>
                <w:sz w:val="24"/>
              </w:rPr>
              <w:t>–</w:t>
            </w:r>
            <w:r>
              <w:rPr>
                <w:spacing w:val="-2"/>
                <w:sz w:val="24"/>
              </w:rPr>
              <w:t> </w:t>
            </w:r>
            <w:r>
              <w:rPr>
                <w:spacing w:val="-4"/>
                <w:sz w:val="24"/>
              </w:rPr>
              <w:t>shop</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35,000</w:t>
            </w:r>
          </w:p>
        </w:tc>
      </w:tr>
      <w:tr>
        <w:trPr>
          <w:trHeight w:val="1073" w:hRule="atLeast"/>
        </w:trPr>
        <w:tc>
          <w:tcPr>
            <w:tcW w:w="698" w:type="dxa"/>
          </w:tcPr>
          <w:p>
            <w:pPr>
              <w:pStyle w:val="TableParagraph"/>
              <w:spacing w:before="6"/>
              <w:rPr>
                <w:sz w:val="34"/>
              </w:rPr>
            </w:pPr>
          </w:p>
          <w:p>
            <w:pPr>
              <w:pStyle w:val="TableParagraph"/>
              <w:ind w:left="11"/>
              <w:jc w:val="center"/>
              <w:rPr>
                <w:sz w:val="24"/>
              </w:rPr>
            </w:pPr>
            <w:r>
              <w:rPr>
                <w:w w:val="99"/>
                <w:sz w:val="24"/>
              </w:rPr>
              <w:t>6</w:t>
            </w:r>
          </w:p>
        </w:tc>
        <w:tc>
          <w:tcPr>
            <w:tcW w:w="2172" w:type="dxa"/>
          </w:tcPr>
          <w:p>
            <w:pPr>
              <w:pStyle w:val="TableParagraph"/>
              <w:spacing w:before="122"/>
              <w:ind w:left="15"/>
              <w:rPr>
                <w:sz w:val="24"/>
              </w:rPr>
            </w:pPr>
            <w:r>
              <w:rPr>
                <w:sz w:val="24"/>
              </w:rPr>
              <w:t>Large horizontal spread</w:t>
            </w:r>
            <w:r>
              <w:rPr>
                <w:spacing w:val="-17"/>
                <w:sz w:val="24"/>
              </w:rPr>
              <w:t> </w:t>
            </w:r>
            <w:r>
              <w:rPr>
                <w:sz w:val="24"/>
              </w:rPr>
              <w:t>–</w:t>
            </w:r>
            <w:r>
              <w:rPr>
                <w:spacing w:val="-17"/>
                <w:sz w:val="24"/>
              </w:rPr>
              <w:t> </w:t>
            </w:r>
            <w:r>
              <w:rPr>
                <w:sz w:val="24"/>
              </w:rPr>
              <w:t>shopping </w:t>
            </w:r>
            <w:r>
              <w:rPr>
                <w:spacing w:val="-2"/>
                <w:sz w:val="24"/>
              </w:rPr>
              <w:t>centre</w:t>
            </w:r>
          </w:p>
        </w:tc>
        <w:tc>
          <w:tcPr>
            <w:tcW w:w="2630" w:type="dxa"/>
          </w:tcPr>
          <w:p>
            <w:pPr>
              <w:pStyle w:val="TableParagraph"/>
              <w:spacing w:before="6"/>
              <w:rPr>
                <w:sz w:val="22"/>
              </w:rPr>
            </w:pPr>
          </w:p>
          <w:p>
            <w:pPr>
              <w:pStyle w:val="TableParagraph"/>
              <w:ind w:left="15"/>
              <w:rPr>
                <w:sz w:val="24"/>
              </w:rPr>
            </w:pPr>
            <w:r>
              <w:rPr>
                <w:sz w:val="24"/>
              </w:rPr>
              <w:t>Partial</w:t>
            </w:r>
            <w:r>
              <w:rPr>
                <w:spacing w:val="-17"/>
                <w:sz w:val="24"/>
              </w:rPr>
              <w:t> </w:t>
            </w:r>
            <w:r>
              <w:rPr>
                <w:sz w:val="24"/>
              </w:rPr>
              <w:t>Upgrade</w:t>
            </w:r>
            <w:r>
              <w:rPr>
                <w:spacing w:val="-17"/>
                <w:sz w:val="24"/>
              </w:rPr>
              <w:t> </w:t>
            </w:r>
            <w:r>
              <w:rPr>
                <w:sz w:val="24"/>
              </w:rPr>
              <w:t>(10% floor area)</w:t>
            </w:r>
          </w:p>
        </w:tc>
        <w:tc>
          <w:tcPr>
            <w:tcW w:w="1610" w:type="dxa"/>
          </w:tcPr>
          <w:p>
            <w:pPr>
              <w:pStyle w:val="TableParagraph"/>
              <w:spacing w:before="122"/>
              <w:ind w:left="15" w:right="447"/>
              <w:rPr>
                <w:sz w:val="24"/>
              </w:rPr>
            </w:pPr>
            <w:r>
              <w:rPr>
                <w:spacing w:val="-2"/>
                <w:sz w:val="24"/>
              </w:rPr>
              <w:t>assume 5,000m</w:t>
            </w:r>
            <w:r>
              <w:rPr>
                <w:spacing w:val="-2"/>
                <w:sz w:val="24"/>
                <w:vertAlign w:val="superscript"/>
              </w:rPr>
              <w:t>2</w:t>
            </w:r>
            <w:r>
              <w:rPr>
                <w:spacing w:val="-2"/>
                <w:sz w:val="24"/>
                <w:vertAlign w:val="baseline"/>
              </w:rPr>
              <w:t>@</w:t>
            </w:r>
          </w:p>
          <w:p>
            <w:pPr>
              <w:pStyle w:val="TableParagraph"/>
              <w:ind w:left="15"/>
              <w:rPr>
                <w:sz w:val="24"/>
              </w:rPr>
            </w:pPr>
            <w:r>
              <w:rPr>
                <w:spacing w:val="-4"/>
                <w:sz w:val="24"/>
              </w:rPr>
              <w:t>$900</w:t>
            </w:r>
          </w:p>
        </w:tc>
        <w:tc>
          <w:tcPr>
            <w:tcW w:w="1364" w:type="dxa"/>
          </w:tcPr>
          <w:p>
            <w:pPr>
              <w:pStyle w:val="TableParagraph"/>
              <w:spacing w:before="6"/>
              <w:rPr>
                <w:sz w:val="34"/>
              </w:rPr>
            </w:pPr>
          </w:p>
          <w:p>
            <w:pPr>
              <w:pStyle w:val="TableParagraph"/>
              <w:ind w:right="1"/>
              <w:jc w:val="right"/>
              <w:rPr>
                <w:sz w:val="24"/>
              </w:rPr>
            </w:pPr>
            <w:r>
              <w:rPr>
                <w:spacing w:val="-2"/>
                <w:sz w:val="24"/>
              </w:rPr>
              <w:t>4,500,000</w:t>
            </w:r>
          </w:p>
        </w:tc>
      </w:tr>
      <w:tr>
        <w:trPr>
          <w:trHeight w:val="1072" w:hRule="atLeast"/>
        </w:trPr>
        <w:tc>
          <w:tcPr>
            <w:tcW w:w="698" w:type="dxa"/>
          </w:tcPr>
          <w:p>
            <w:pPr>
              <w:pStyle w:val="TableParagraph"/>
              <w:spacing w:before="6"/>
              <w:rPr>
                <w:sz w:val="34"/>
              </w:rPr>
            </w:pPr>
          </w:p>
          <w:p>
            <w:pPr>
              <w:pStyle w:val="TableParagraph"/>
              <w:ind w:left="11"/>
              <w:jc w:val="center"/>
              <w:rPr>
                <w:sz w:val="24"/>
              </w:rPr>
            </w:pPr>
            <w:r>
              <w:rPr>
                <w:w w:val="99"/>
                <w:sz w:val="24"/>
              </w:rPr>
              <w:t>6</w:t>
            </w:r>
          </w:p>
        </w:tc>
        <w:tc>
          <w:tcPr>
            <w:tcW w:w="2172" w:type="dxa"/>
          </w:tcPr>
          <w:p>
            <w:pPr>
              <w:pStyle w:val="TableParagraph"/>
              <w:spacing w:before="122"/>
              <w:ind w:left="15"/>
              <w:rPr>
                <w:sz w:val="24"/>
              </w:rPr>
            </w:pPr>
            <w:r>
              <w:rPr>
                <w:sz w:val="24"/>
              </w:rPr>
              <w:t>Large horizontal spread</w:t>
            </w:r>
            <w:r>
              <w:rPr>
                <w:spacing w:val="-17"/>
                <w:sz w:val="24"/>
              </w:rPr>
              <w:t> </w:t>
            </w:r>
            <w:r>
              <w:rPr>
                <w:sz w:val="24"/>
              </w:rPr>
              <w:t>–</w:t>
            </w:r>
            <w:r>
              <w:rPr>
                <w:spacing w:val="-17"/>
                <w:sz w:val="24"/>
              </w:rPr>
              <w:t> </w:t>
            </w:r>
            <w:r>
              <w:rPr>
                <w:sz w:val="24"/>
              </w:rPr>
              <w:t>shopping </w:t>
            </w:r>
            <w:r>
              <w:rPr>
                <w:spacing w:val="-2"/>
                <w:sz w:val="24"/>
              </w:rPr>
              <w:t>centre</w:t>
            </w:r>
          </w:p>
        </w:tc>
        <w:tc>
          <w:tcPr>
            <w:tcW w:w="2630" w:type="dxa"/>
          </w:tcPr>
          <w:p>
            <w:pPr>
              <w:pStyle w:val="TableParagraph"/>
              <w:spacing w:before="6"/>
              <w:rPr>
                <w:sz w:val="34"/>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259"/>
              <w:ind w:left="15"/>
              <w:rPr>
                <w:sz w:val="24"/>
              </w:rPr>
            </w:pPr>
            <w:r>
              <w:rPr>
                <w:sz w:val="24"/>
              </w:rPr>
              <w:t>50,000m</w:t>
            </w:r>
            <w:r>
              <w:rPr>
                <w:sz w:val="24"/>
                <w:vertAlign w:val="superscript"/>
              </w:rPr>
              <w:t>2</w:t>
            </w:r>
            <w:r>
              <w:rPr>
                <w:spacing w:val="-17"/>
                <w:sz w:val="24"/>
                <w:vertAlign w:val="baseline"/>
              </w:rPr>
              <w:t> </w:t>
            </w:r>
            <w:r>
              <w:rPr>
                <w:spacing w:val="-10"/>
                <w:sz w:val="24"/>
                <w:vertAlign w:val="baseline"/>
              </w:rPr>
              <w:t>@</w:t>
            </w:r>
          </w:p>
          <w:p>
            <w:pPr>
              <w:pStyle w:val="TableParagraph"/>
              <w:ind w:left="15"/>
              <w:rPr>
                <w:sz w:val="24"/>
              </w:rPr>
            </w:pPr>
            <w:r>
              <w:rPr>
                <w:spacing w:val="-4"/>
                <w:sz w:val="24"/>
              </w:rPr>
              <w:t>$600</w:t>
            </w:r>
          </w:p>
        </w:tc>
        <w:tc>
          <w:tcPr>
            <w:tcW w:w="1364" w:type="dxa"/>
          </w:tcPr>
          <w:p>
            <w:pPr>
              <w:pStyle w:val="TableParagraph"/>
              <w:spacing w:before="6"/>
              <w:rPr>
                <w:sz w:val="34"/>
              </w:rPr>
            </w:pPr>
          </w:p>
          <w:p>
            <w:pPr>
              <w:pStyle w:val="TableParagraph"/>
              <w:ind w:right="2"/>
              <w:jc w:val="right"/>
              <w:rPr>
                <w:sz w:val="24"/>
              </w:rPr>
            </w:pPr>
            <w:r>
              <w:rPr>
                <w:spacing w:val="-2"/>
                <w:sz w:val="24"/>
              </w:rPr>
              <w:t>30,000,000</w:t>
            </w:r>
          </w:p>
        </w:tc>
      </w:tr>
      <w:tr>
        <w:trPr>
          <w:trHeight w:val="1072" w:hRule="atLeast"/>
        </w:trPr>
        <w:tc>
          <w:tcPr>
            <w:tcW w:w="698" w:type="dxa"/>
          </w:tcPr>
          <w:p>
            <w:pPr>
              <w:pStyle w:val="TableParagraph"/>
              <w:spacing w:before="6"/>
              <w:rPr>
                <w:sz w:val="34"/>
              </w:rPr>
            </w:pPr>
          </w:p>
          <w:p>
            <w:pPr>
              <w:pStyle w:val="TableParagraph"/>
              <w:ind w:left="11"/>
              <w:jc w:val="center"/>
              <w:rPr>
                <w:sz w:val="24"/>
              </w:rPr>
            </w:pPr>
            <w:r>
              <w:rPr>
                <w:w w:val="99"/>
                <w:sz w:val="24"/>
              </w:rPr>
              <w:t>6</w:t>
            </w:r>
          </w:p>
        </w:tc>
        <w:tc>
          <w:tcPr>
            <w:tcW w:w="2172" w:type="dxa"/>
          </w:tcPr>
          <w:p>
            <w:pPr>
              <w:pStyle w:val="TableParagraph"/>
              <w:spacing w:before="122"/>
              <w:ind w:left="15" w:right="383"/>
              <w:rPr>
                <w:sz w:val="24"/>
              </w:rPr>
            </w:pPr>
            <w:r>
              <w:rPr>
                <w:sz w:val="24"/>
              </w:rPr>
              <w:t>2 storey – </w:t>
            </w:r>
            <w:r>
              <w:rPr>
                <w:spacing w:val="-2"/>
                <w:sz w:val="24"/>
              </w:rPr>
              <w:t>restaurant(s) </w:t>
            </w:r>
            <w:r>
              <w:rPr>
                <w:sz w:val="24"/>
              </w:rPr>
              <w:t>(with</w:t>
            </w:r>
            <w:r>
              <w:rPr>
                <w:spacing w:val="-17"/>
                <w:sz w:val="24"/>
              </w:rPr>
              <w:t> </w:t>
            </w:r>
            <w:r>
              <w:rPr>
                <w:sz w:val="24"/>
              </w:rPr>
              <w:t>exemption)</w:t>
            </w:r>
          </w:p>
        </w:tc>
        <w:tc>
          <w:tcPr>
            <w:tcW w:w="2630" w:type="dxa"/>
          </w:tcPr>
          <w:p>
            <w:pPr>
              <w:pStyle w:val="TableParagraph"/>
              <w:spacing w:before="6"/>
              <w:rPr>
                <w:sz w:val="34"/>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6"/>
              <w:rPr>
                <w:sz w:val="22"/>
              </w:rPr>
            </w:pPr>
          </w:p>
          <w:p>
            <w:pPr>
              <w:pStyle w:val="TableParagraph"/>
              <w:ind w:left="15" w:right="515"/>
              <w:rPr>
                <w:sz w:val="24"/>
              </w:rPr>
            </w:pPr>
            <w:r>
              <w:rPr>
                <w:spacing w:val="-2"/>
                <w:sz w:val="24"/>
              </w:rPr>
              <w:t>Average allowance</w:t>
            </w:r>
          </w:p>
        </w:tc>
        <w:tc>
          <w:tcPr>
            <w:tcW w:w="1364" w:type="dxa"/>
          </w:tcPr>
          <w:p>
            <w:pPr>
              <w:pStyle w:val="TableParagraph"/>
              <w:spacing w:before="6"/>
              <w:rPr>
                <w:sz w:val="34"/>
              </w:rPr>
            </w:pPr>
          </w:p>
          <w:p>
            <w:pPr>
              <w:pStyle w:val="TableParagraph"/>
              <w:ind w:right="1"/>
              <w:jc w:val="right"/>
              <w:rPr>
                <w:sz w:val="24"/>
              </w:rPr>
            </w:pPr>
            <w:r>
              <w:rPr>
                <w:spacing w:val="-2"/>
                <w:sz w:val="24"/>
              </w:rPr>
              <w:t>165,000</w:t>
            </w:r>
          </w:p>
        </w:tc>
      </w:tr>
      <w:tr>
        <w:trPr>
          <w:trHeight w:val="1073" w:hRule="atLeast"/>
        </w:trPr>
        <w:tc>
          <w:tcPr>
            <w:tcW w:w="698" w:type="dxa"/>
          </w:tcPr>
          <w:p>
            <w:pPr>
              <w:pStyle w:val="TableParagraph"/>
              <w:spacing w:before="6"/>
              <w:rPr>
                <w:sz w:val="34"/>
              </w:rPr>
            </w:pPr>
          </w:p>
          <w:p>
            <w:pPr>
              <w:pStyle w:val="TableParagraph"/>
              <w:ind w:left="11"/>
              <w:jc w:val="center"/>
              <w:rPr>
                <w:sz w:val="24"/>
              </w:rPr>
            </w:pPr>
            <w:r>
              <w:rPr>
                <w:w w:val="99"/>
                <w:sz w:val="24"/>
              </w:rPr>
              <w:t>6</w:t>
            </w:r>
          </w:p>
        </w:tc>
        <w:tc>
          <w:tcPr>
            <w:tcW w:w="2172" w:type="dxa"/>
          </w:tcPr>
          <w:p>
            <w:pPr>
              <w:pStyle w:val="TableParagraph"/>
              <w:spacing w:before="122"/>
              <w:ind w:left="15" w:right="49"/>
              <w:rPr>
                <w:sz w:val="24"/>
              </w:rPr>
            </w:pPr>
            <w:r>
              <w:rPr>
                <w:sz w:val="24"/>
              </w:rPr>
              <w:t>2 storey </w:t>
            </w:r>
            <w:r>
              <w:rPr>
                <w:spacing w:val="-2"/>
                <w:sz w:val="24"/>
              </w:rPr>
              <w:t>restaurant(s) </w:t>
            </w:r>
            <w:r>
              <w:rPr>
                <w:sz w:val="24"/>
              </w:rPr>
              <w:t>(without</w:t>
            </w:r>
            <w:r>
              <w:rPr>
                <w:spacing w:val="-17"/>
                <w:sz w:val="24"/>
              </w:rPr>
              <w:t> </w:t>
            </w:r>
            <w:r>
              <w:rPr>
                <w:sz w:val="24"/>
              </w:rPr>
              <w:t>exemption)</w:t>
            </w:r>
          </w:p>
        </w:tc>
        <w:tc>
          <w:tcPr>
            <w:tcW w:w="2630" w:type="dxa"/>
          </w:tcPr>
          <w:p>
            <w:pPr>
              <w:pStyle w:val="TableParagraph"/>
              <w:spacing w:before="6"/>
              <w:rPr>
                <w:sz w:val="34"/>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6"/>
              <w:rPr>
                <w:sz w:val="22"/>
              </w:rPr>
            </w:pPr>
          </w:p>
          <w:p>
            <w:pPr>
              <w:pStyle w:val="TableParagraph"/>
              <w:ind w:left="15" w:right="515"/>
              <w:rPr>
                <w:sz w:val="24"/>
              </w:rPr>
            </w:pPr>
            <w:r>
              <w:rPr>
                <w:spacing w:val="-2"/>
                <w:sz w:val="24"/>
              </w:rPr>
              <w:t>Average allowance</w:t>
            </w:r>
          </w:p>
        </w:tc>
        <w:tc>
          <w:tcPr>
            <w:tcW w:w="1364" w:type="dxa"/>
          </w:tcPr>
          <w:p>
            <w:pPr>
              <w:pStyle w:val="TableParagraph"/>
              <w:spacing w:before="6"/>
              <w:rPr>
                <w:sz w:val="34"/>
              </w:rPr>
            </w:pPr>
          </w:p>
          <w:p>
            <w:pPr>
              <w:pStyle w:val="TableParagraph"/>
              <w:ind w:right="1"/>
              <w:jc w:val="right"/>
              <w:rPr>
                <w:sz w:val="24"/>
              </w:rPr>
            </w:pPr>
            <w:r>
              <w:rPr>
                <w:spacing w:val="-2"/>
                <w:sz w:val="24"/>
              </w:rPr>
              <w:t>500,000</w:t>
            </w:r>
          </w:p>
        </w:tc>
      </w:tr>
    </w:tbl>
    <w:p>
      <w:pPr>
        <w:spacing w:after="0"/>
        <w:jc w:val="right"/>
        <w:rPr>
          <w:sz w:val="24"/>
        </w:rPr>
        <w:sectPr>
          <w:type w:val="continuous"/>
          <w:pgSz w:w="11900" w:h="16840"/>
          <w:pgMar w:header="0" w:footer="1130" w:top="1080" w:bottom="1320" w:left="1380" w:right="980"/>
        </w:sectPr>
      </w:pPr>
    </w:p>
    <w:tbl>
      <w:tblPr>
        <w:tblW w:w="0" w:type="auto"/>
        <w:jc w:val="left"/>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
        <w:gridCol w:w="2172"/>
        <w:gridCol w:w="2630"/>
        <w:gridCol w:w="1610"/>
        <w:gridCol w:w="1364"/>
      </w:tblGrid>
      <w:tr>
        <w:trPr>
          <w:trHeight w:val="1083" w:hRule="atLeast"/>
        </w:trPr>
        <w:tc>
          <w:tcPr>
            <w:tcW w:w="698" w:type="dxa"/>
          </w:tcPr>
          <w:p>
            <w:pPr>
              <w:pStyle w:val="TableParagraph"/>
              <w:rPr>
                <w:sz w:val="26"/>
              </w:rPr>
            </w:pPr>
          </w:p>
          <w:p>
            <w:pPr>
              <w:pStyle w:val="TableParagraph"/>
              <w:spacing w:before="7"/>
              <w:rPr>
                <w:sz w:val="33"/>
              </w:rPr>
            </w:pPr>
          </w:p>
          <w:p>
            <w:pPr>
              <w:pStyle w:val="TableParagraph"/>
              <w:ind w:left="14" w:right="3"/>
              <w:jc w:val="center"/>
              <w:rPr>
                <w:b/>
                <w:sz w:val="24"/>
              </w:rPr>
            </w:pPr>
            <w:r>
              <w:rPr>
                <w:b/>
                <w:spacing w:val="-2"/>
                <w:sz w:val="24"/>
              </w:rPr>
              <w:t>Class</w:t>
            </w:r>
          </w:p>
        </w:tc>
        <w:tc>
          <w:tcPr>
            <w:tcW w:w="2172" w:type="dxa"/>
          </w:tcPr>
          <w:p>
            <w:pPr>
              <w:pStyle w:val="TableParagraph"/>
              <w:spacing w:before="7"/>
              <w:rPr>
                <w:sz w:val="35"/>
              </w:rPr>
            </w:pPr>
          </w:p>
          <w:p>
            <w:pPr>
              <w:pStyle w:val="TableParagraph"/>
              <w:ind w:left="15" w:right="836"/>
              <w:rPr>
                <w:b/>
                <w:sz w:val="24"/>
              </w:rPr>
            </w:pPr>
            <w:r>
              <w:rPr>
                <w:b/>
                <w:sz w:val="24"/>
              </w:rPr>
              <w:t>Case</w:t>
            </w:r>
            <w:r>
              <w:rPr>
                <w:b/>
                <w:spacing w:val="-17"/>
                <w:sz w:val="24"/>
              </w:rPr>
              <w:t> </w:t>
            </w:r>
            <w:r>
              <w:rPr>
                <w:b/>
                <w:sz w:val="24"/>
              </w:rPr>
              <w:t>Study </w:t>
            </w:r>
            <w:r>
              <w:rPr>
                <w:b/>
                <w:spacing w:val="-2"/>
                <w:sz w:val="24"/>
              </w:rPr>
              <w:t>Building</w:t>
            </w:r>
          </w:p>
        </w:tc>
        <w:tc>
          <w:tcPr>
            <w:tcW w:w="2630" w:type="dxa"/>
          </w:tcPr>
          <w:p>
            <w:pPr>
              <w:pStyle w:val="TableParagraph"/>
              <w:rPr>
                <w:sz w:val="26"/>
              </w:rPr>
            </w:pPr>
          </w:p>
          <w:p>
            <w:pPr>
              <w:pStyle w:val="TableParagraph"/>
              <w:spacing w:before="7"/>
              <w:rPr>
                <w:sz w:val="33"/>
              </w:rPr>
            </w:pPr>
          </w:p>
          <w:p>
            <w:pPr>
              <w:pStyle w:val="TableParagraph"/>
              <w:ind w:left="15"/>
              <w:rPr>
                <w:b/>
                <w:sz w:val="24"/>
              </w:rPr>
            </w:pPr>
            <w:r>
              <w:rPr>
                <w:b/>
                <w:spacing w:val="-2"/>
                <w:sz w:val="24"/>
              </w:rPr>
              <w:t>Comments</w:t>
            </w:r>
          </w:p>
        </w:tc>
        <w:tc>
          <w:tcPr>
            <w:tcW w:w="1610" w:type="dxa"/>
          </w:tcPr>
          <w:p>
            <w:pPr>
              <w:pStyle w:val="TableParagraph"/>
              <w:spacing w:before="133"/>
              <w:ind w:left="14" w:right="194"/>
              <w:rPr>
                <w:b/>
                <w:sz w:val="24"/>
              </w:rPr>
            </w:pPr>
            <w:r>
              <w:rPr>
                <w:b/>
                <w:sz w:val="24"/>
              </w:rPr>
              <w:t>Base cost calculation</w:t>
            </w:r>
            <w:r>
              <w:rPr>
                <w:b/>
                <w:spacing w:val="-17"/>
                <w:sz w:val="24"/>
              </w:rPr>
              <w:t> </w:t>
            </w:r>
            <w:r>
              <w:rPr>
                <w:b/>
                <w:sz w:val="24"/>
              </w:rPr>
              <w:t>/ </w:t>
            </w:r>
            <w:r>
              <w:rPr>
                <w:b/>
                <w:spacing w:val="-2"/>
                <w:sz w:val="24"/>
              </w:rPr>
              <w:t>basis</w:t>
            </w:r>
          </w:p>
        </w:tc>
        <w:tc>
          <w:tcPr>
            <w:tcW w:w="1364" w:type="dxa"/>
          </w:tcPr>
          <w:p>
            <w:pPr>
              <w:pStyle w:val="TableParagraph"/>
              <w:spacing w:before="7"/>
              <w:rPr>
                <w:sz w:val="35"/>
              </w:rPr>
            </w:pPr>
          </w:p>
          <w:p>
            <w:pPr>
              <w:pStyle w:val="TableParagraph"/>
              <w:ind w:left="35" w:right="22" w:firstLine="80"/>
              <w:rPr>
                <w:b/>
                <w:sz w:val="24"/>
              </w:rPr>
            </w:pPr>
            <w:r>
              <w:rPr>
                <w:b/>
                <w:sz w:val="24"/>
              </w:rPr>
              <w:t>Base cost adopted</w:t>
            </w:r>
            <w:r>
              <w:rPr>
                <w:b/>
                <w:spacing w:val="-17"/>
                <w:sz w:val="24"/>
              </w:rPr>
              <w:t> </w:t>
            </w:r>
            <w:r>
              <w:rPr>
                <w:b/>
                <w:sz w:val="24"/>
              </w:rPr>
              <w:t>($)</w:t>
            </w:r>
          </w:p>
        </w:tc>
      </w:tr>
      <w:tr>
        <w:trPr>
          <w:trHeight w:val="796" w:hRule="atLeast"/>
        </w:trPr>
        <w:tc>
          <w:tcPr>
            <w:tcW w:w="698" w:type="dxa"/>
          </w:tcPr>
          <w:p>
            <w:pPr>
              <w:pStyle w:val="TableParagraph"/>
              <w:spacing w:before="6"/>
              <w:rPr>
                <w:sz w:val="22"/>
              </w:rPr>
            </w:pPr>
          </w:p>
          <w:p>
            <w:pPr>
              <w:pStyle w:val="TableParagraph"/>
              <w:ind w:left="12" w:right="3"/>
              <w:jc w:val="center"/>
              <w:rPr>
                <w:sz w:val="24"/>
              </w:rPr>
            </w:pPr>
            <w:r>
              <w:rPr>
                <w:spacing w:val="-5"/>
                <w:sz w:val="24"/>
              </w:rPr>
              <w:t>9a</w:t>
            </w:r>
          </w:p>
        </w:tc>
        <w:tc>
          <w:tcPr>
            <w:tcW w:w="2172" w:type="dxa"/>
          </w:tcPr>
          <w:p>
            <w:pPr>
              <w:pStyle w:val="TableParagraph"/>
              <w:spacing w:before="122"/>
              <w:ind w:left="15"/>
              <w:rPr>
                <w:sz w:val="24"/>
              </w:rPr>
            </w:pPr>
            <w:r>
              <w:rPr>
                <w:sz w:val="24"/>
              </w:rPr>
              <w:t>3</w:t>
            </w:r>
            <w:r>
              <w:rPr>
                <w:spacing w:val="-13"/>
                <w:sz w:val="24"/>
              </w:rPr>
              <w:t> </w:t>
            </w:r>
            <w:r>
              <w:rPr>
                <w:sz w:val="24"/>
              </w:rPr>
              <w:t>storey</w:t>
            </w:r>
            <w:r>
              <w:rPr>
                <w:spacing w:val="-13"/>
                <w:sz w:val="24"/>
              </w:rPr>
              <w:t> </w:t>
            </w:r>
            <w:r>
              <w:rPr>
                <w:sz w:val="24"/>
              </w:rPr>
              <w:t>–</w:t>
            </w:r>
            <w:r>
              <w:rPr>
                <w:spacing w:val="-13"/>
                <w:sz w:val="24"/>
              </w:rPr>
              <w:t> </w:t>
            </w:r>
            <w:r>
              <w:rPr>
                <w:sz w:val="24"/>
              </w:rPr>
              <w:t>hospital </w:t>
            </w:r>
            <w:r>
              <w:rPr>
                <w:spacing w:val="-2"/>
                <w:sz w:val="24"/>
              </w:rPr>
              <w:t>building</w:t>
            </w:r>
          </w:p>
        </w:tc>
        <w:tc>
          <w:tcPr>
            <w:tcW w:w="2630" w:type="dxa"/>
          </w:tcPr>
          <w:p>
            <w:pPr>
              <w:pStyle w:val="TableParagraph"/>
              <w:spacing w:before="122"/>
              <w:ind w:left="15"/>
              <w:rPr>
                <w:sz w:val="24"/>
              </w:rPr>
            </w:pPr>
            <w:r>
              <w:rPr>
                <w:sz w:val="24"/>
              </w:rPr>
              <w:t>Partial</w:t>
            </w:r>
            <w:r>
              <w:rPr>
                <w:spacing w:val="-17"/>
                <w:sz w:val="24"/>
              </w:rPr>
              <w:t> </w:t>
            </w:r>
            <w:r>
              <w:rPr>
                <w:sz w:val="24"/>
              </w:rPr>
              <w:t>Upgrade</w:t>
            </w:r>
            <w:r>
              <w:rPr>
                <w:spacing w:val="-17"/>
                <w:sz w:val="24"/>
              </w:rPr>
              <w:t> </w:t>
            </w:r>
            <w:r>
              <w:rPr>
                <w:sz w:val="24"/>
              </w:rPr>
              <w:t>(10% floor area)</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8,500,000</w:t>
            </w:r>
          </w:p>
        </w:tc>
      </w:tr>
      <w:tr>
        <w:trPr>
          <w:trHeight w:val="797" w:hRule="atLeast"/>
        </w:trPr>
        <w:tc>
          <w:tcPr>
            <w:tcW w:w="698" w:type="dxa"/>
          </w:tcPr>
          <w:p>
            <w:pPr>
              <w:pStyle w:val="TableParagraph"/>
              <w:spacing w:before="6"/>
              <w:rPr>
                <w:sz w:val="22"/>
              </w:rPr>
            </w:pPr>
          </w:p>
          <w:p>
            <w:pPr>
              <w:pStyle w:val="TableParagraph"/>
              <w:ind w:left="13" w:right="3"/>
              <w:jc w:val="center"/>
              <w:rPr>
                <w:sz w:val="24"/>
              </w:rPr>
            </w:pPr>
            <w:r>
              <w:rPr>
                <w:spacing w:val="-5"/>
                <w:sz w:val="24"/>
              </w:rPr>
              <w:t>9b</w:t>
            </w:r>
          </w:p>
        </w:tc>
        <w:tc>
          <w:tcPr>
            <w:tcW w:w="2172" w:type="dxa"/>
          </w:tcPr>
          <w:p>
            <w:pPr>
              <w:pStyle w:val="TableParagraph"/>
              <w:spacing w:before="6"/>
              <w:rPr>
                <w:sz w:val="22"/>
              </w:rPr>
            </w:pPr>
          </w:p>
          <w:p>
            <w:pPr>
              <w:pStyle w:val="TableParagraph"/>
              <w:ind w:left="16"/>
              <w:rPr>
                <w:sz w:val="24"/>
              </w:rPr>
            </w:pPr>
            <w:r>
              <w:rPr>
                <w:sz w:val="24"/>
              </w:rPr>
              <w:t>500</w:t>
            </w:r>
            <w:r>
              <w:rPr>
                <w:spacing w:val="-4"/>
                <w:sz w:val="24"/>
              </w:rPr>
              <w:t> </w:t>
            </w:r>
            <w:r>
              <w:rPr>
                <w:sz w:val="24"/>
              </w:rPr>
              <w:t>seat</w:t>
            </w:r>
            <w:r>
              <w:rPr>
                <w:spacing w:val="-3"/>
                <w:sz w:val="24"/>
              </w:rPr>
              <w:t> </w:t>
            </w:r>
            <w:r>
              <w:rPr>
                <w:sz w:val="24"/>
              </w:rPr>
              <w:t>–</w:t>
            </w:r>
            <w:r>
              <w:rPr>
                <w:spacing w:val="-4"/>
                <w:sz w:val="24"/>
              </w:rPr>
              <w:t> </w:t>
            </w:r>
            <w:r>
              <w:rPr>
                <w:spacing w:val="-2"/>
                <w:sz w:val="24"/>
              </w:rPr>
              <w:t>theatre</w:t>
            </w:r>
          </w:p>
        </w:tc>
        <w:tc>
          <w:tcPr>
            <w:tcW w:w="2630" w:type="dxa"/>
          </w:tcPr>
          <w:p>
            <w:pPr>
              <w:pStyle w:val="TableParagraph"/>
              <w:spacing w:before="6"/>
              <w:rPr>
                <w:sz w:val="22"/>
              </w:rPr>
            </w:pPr>
          </w:p>
          <w:p>
            <w:pPr>
              <w:pStyle w:val="TableParagraph"/>
              <w:ind w:left="16"/>
              <w:rPr>
                <w:sz w:val="24"/>
              </w:rPr>
            </w:pPr>
            <w:r>
              <w:rPr>
                <w:sz w:val="24"/>
              </w:rPr>
              <w:t>Full</w:t>
            </w:r>
            <w:r>
              <w:rPr>
                <w:spacing w:val="-3"/>
                <w:sz w:val="24"/>
              </w:rPr>
              <w:t> </w:t>
            </w:r>
            <w:r>
              <w:rPr>
                <w:spacing w:val="-2"/>
                <w:sz w:val="24"/>
              </w:rPr>
              <w:t>Upgrade</w:t>
            </w:r>
          </w:p>
        </w:tc>
        <w:tc>
          <w:tcPr>
            <w:tcW w:w="1610" w:type="dxa"/>
          </w:tcPr>
          <w:p>
            <w:pPr>
              <w:pStyle w:val="TableParagraph"/>
              <w:spacing w:before="122"/>
              <w:ind w:left="14" w:right="516"/>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2,200,000</w:t>
            </w:r>
          </w:p>
        </w:tc>
      </w:tr>
      <w:tr>
        <w:trPr>
          <w:trHeight w:val="796" w:hRule="atLeast"/>
        </w:trPr>
        <w:tc>
          <w:tcPr>
            <w:tcW w:w="698" w:type="dxa"/>
          </w:tcPr>
          <w:p>
            <w:pPr>
              <w:pStyle w:val="TableParagraph"/>
              <w:spacing w:before="6"/>
              <w:rPr>
                <w:sz w:val="22"/>
              </w:rPr>
            </w:pPr>
          </w:p>
          <w:p>
            <w:pPr>
              <w:pStyle w:val="TableParagraph"/>
              <w:ind w:left="13" w:right="3"/>
              <w:jc w:val="center"/>
              <w:rPr>
                <w:sz w:val="24"/>
              </w:rPr>
            </w:pPr>
            <w:r>
              <w:rPr>
                <w:spacing w:val="-5"/>
                <w:sz w:val="24"/>
              </w:rPr>
              <w:t>9b</w:t>
            </w:r>
          </w:p>
        </w:tc>
        <w:tc>
          <w:tcPr>
            <w:tcW w:w="2172" w:type="dxa"/>
          </w:tcPr>
          <w:p>
            <w:pPr>
              <w:pStyle w:val="TableParagraph"/>
              <w:spacing w:before="6"/>
              <w:rPr>
                <w:sz w:val="22"/>
              </w:rPr>
            </w:pPr>
          </w:p>
          <w:p>
            <w:pPr>
              <w:pStyle w:val="TableParagraph"/>
              <w:ind w:left="16"/>
              <w:rPr>
                <w:sz w:val="24"/>
              </w:rPr>
            </w:pPr>
            <w:r>
              <w:rPr>
                <w:sz w:val="24"/>
              </w:rPr>
              <w:t>1200</w:t>
            </w:r>
            <w:r>
              <w:rPr>
                <w:spacing w:val="-5"/>
                <w:sz w:val="24"/>
              </w:rPr>
              <w:t> </w:t>
            </w:r>
            <w:r>
              <w:rPr>
                <w:sz w:val="24"/>
              </w:rPr>
              <w:t>seat</w:t>
            </w:r>
            <w:r>
              <w:rPr>
                <w:spacing w:val="-4"/>
                <w:sz w:val="24"/>
              </w:rPr>
              <w:t> </w:t>
            </w:r>
            <w:r>
              <w:rPr>
                <w:sz w:val="24"/>
              </w:rPr>
              <w:t>–</w:t>
            </w:r>
            <w:r>
              <w:rPr>
                <w:spacing w:val="-4"/>
                <w:sz w:val="24"/>
              </w:rPr>
              <w:t> </w:t>
            </w:r>
            <w:r>
              <w:rPr>
                <w:spacing w:val="-2"/>
                <w:sz w:val="24"/>
              </w:rPr>
              <w:t>theatre</w:t>
            </w:r>
          </w:p>
        </w:tc>
        <w:tc>
          <w:tcPr>
            <w:tcW w:w="2630" w:type="dxa"/>
          </w:tcPr>
          <w:p>
            <w:pPr>
              <w:pStyle w:val="TableParagraph"/>
              <w:spacing w:before="6"/>
              <w:rPr>
                <w:sz w:val="22"/>
              </w:rPr>
            </w:pPr>
          </w:p>
          <w:p>
            <w:pPr>
              <w:pStyle w:val="TableParagraph"/>
              <w:ind w:left="16"/>
              <w:rPr>
                <w:sz w:val="24"/>
              </w:rPr>
            </w:pPr>
            <w:r>
              <w:rPr>
                <w:sz w:val="24"/>
              </w:rPr>
              <w:t>Full</w:t>
            </w:r>
            <w:r>
              <w:rPr>
                <w:spacing w:val="-3"/>
                <w:sz w:val="24"/>
              </w:rPr>
              <w:t> </w:t>
            </w:r>
            <w:r>
              <w:rPr>
                <w:spacing w:val="-2"/>
                <w:sz w:val="24"/>
              </w:rPr>
              <w:t>Upgrade</w:t>
            </w:r>
          </w:p>
        </w:tc>
        <w:tc>
          <w:tcPr>
            <w:tcW w:w="1610" w:type="dxa"/>
          </w:tcPr>
          <w:p>
            <w:pPr>
              <w:pStyle w:val="TableParagraph"/>
              <w:spacing w:before="122"/>
              <w:ind w:left="14" w:right="516"/>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6,600,000</w:t>
            </w:r>
          </w:p>
        </w:tc>
      </w:tr>
      <w:tr>
        <w:trPr>
          <w:trHeight w:val="797" w:hRule="atLeast"/>
        </w:trPr>
        <w:tc>
          <w:tcPr>
            <w:tcW w:w="698" w:type="dxa"/>
          </w:tcPr>
          <w:p>
            <w:pPr>
              <w:pStyle w:val="TableParagraph"/>
              <w:spacing w:before="6"/>
              <w:rPr>
                <w:sz w:val="22"/>
              </w:rPr>
            </w:pPr>
          </w:p>
          <w:p>
            <w:pPr>
              <w:pStyle w:val="TableParagraph"/>
              <w:ind w:left="12" w:right="3"/>
              <w:jc w:val="center"/>
              <w:rPr>
                <w:sz w:val="24"/>
              </w:rPr>
            </w:pPr>
            <w:r>
              <w:rPr>
                <w:spacing w:val="-5"/>
                <w:sz w:val="24"/>
              </w:rPr>
              <w:t>9b</w:t>
            </w:r>
          </w:p>
        </w:tc>
        <w:tc>
          <w:tcPr>
            <w:tcW w:w="2172" w:type="dxa"/>
          </w:tcPr>
          <w:p>
            <w:pPr>
              <w:pStyle w:val="TableParagraph"/>
              <w:spacing w:before="122"/>
              <w:ind w:left="15"/>
              <w:rPr>
                <w:sz w:val="24"/>
              </w:rPr>
            </w:pPr>
            <w:r>
              <w:rPr>
                <w:sz w:val="24"/>
              </w:rPr>
              <w:t>2</w:t>
            </w:r>
            <w:r>
              <w:rPr>
                <w:spacing w:val="-13"/>
                <w:sz w:val="24"/>
              </w:rPr>
              <w:t> </w:t>
            </w:r>
            <w:r>
              <w:rPr>
                <w:sz w:val="24"/>
              </w:rPr>
              <w:t>storey</w:t>
            </w:r>
            <w:r>
              <w:rPr>
                <w:spacing w:val="-13"/>
                <w:sz w:val="24"/>
              </w:rPr>
              <w:t> </w:t>
            </w:r>
            <w:r>
              <w:rPr>
                <w:sz w:val="24"/>
              </w:rPr>
              <w:t>–</w:t>
            </w:r>
            <w:r>
              <w:rPr>
                <w:spacing w:val="-13"/>
                <w:sz w:val="24"/>
              </w:rPr>
              <w:t> </w:t>
            </w:r>
            <w:r>
              <w:rPr>
                <w:sz w:val="24"/>
              </w:rPr>
              <w:t>school </w:t>
            </w:r>
            <w:r>
              <w:rPr>
                <w:spacing w:val="-2"/>
                <w:sz w:val="24"/>
              </w:rPr>
              <w:t>building</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Pr>
                <w:sz w:val="24"/>
              </w:rPr>
            </w:pPr>
            <w:r>
              <w:rPr>
                <w:sz w:val="24"/>
              </w:rPr>
              <w:t>2000m</w:t>
            </w:r>
            <w:r>
              <w:rPr>
                <w:sz w:val="24"/>
                <w:vertAlign w:val="superscript"/>
              </w:rPr>
              <w:t>2</w:t>
            </w:r>
            <w:r>
              <w:rPr>
                <w:spacing w:val="-13"/>
                <w:sz w:val="24"/>
                <w:vertAlign w:val="baseline"/>
              </w:rPr>
              <w:t> </w:t>
            </w:r>
            <w:r>
              <w:rPr>
                <w:spacing w:val="-10"/>
                <w:sz w:val="24"/>
                <w:vertAlign w:val="baseline"/>
              </w:rPr>
              <w:t>@</w:t>
            </w:r>
          </w:p>
          <w:p>
            <w:pPr>
              <w:pStyle w:val="TableParagraph"/>
              <w:ind w:left="15"/>
              <w:rPr>
                <w:sz w:val="24"/>
              </w:rPr>
            </w:pPr>
            <w:r>
              <w:rPr>
                <w:spacing w:val="-2"/>
                <w:sz w:val="24"/>
              </w:rPr>
              <w:t>$550/m</w:t>
            </w:r>
            <w:r>
              <w:rPr>
                <w:spacing w:val="-2"/>
                <w:sz w:val="24"/>
                <w:vertAlign w:val="superscript"/>
              </w:rPr>
              <w:t>2</w:t>
            </w:r>
          </w:p>
        </w:tc>
        <w:tc>
          <w:tcPr>
            <w:tcW w:w="1364" w:type="dxa"/>
          </w:tcPr>
          <w:p>
            <w:pPr>
              <w:pStyle w:val="TableParagraph"/>
              <w:spacing w:before="6"/>
              <w:rPr>
                <w:sz w:val="22"/>
              </w:rPr>
            </w:pPr>
          </w:p>
          <w:p>
            <w:pPr>
              <w:pStyle w:val="TableParagraph"/>
              <w:ind w:right="1"/>
              <w:jc w:val="right"/>
              <w:rPr>
                <w:sz w:val="24"/>
              </w:rPr>
            </w:pPr>
            <w:r>
              <w:rPr>
                <w:spacing w:val="-2"/>
                <w:sz w:val="24"/>
              </w:rPr>
              <w:t>1,100,000</w:t>
            </w:r>
          </w:p>
        </w:tc>
      </w:tr>
      <w:tr>
        <w:trPr>
          <w:trHeight w:val="796" w:hRule="atLeast"/>
        </w:trPr>
        <w:tc>
          <w:tcPr>
            <w:tcW w:w="698" w:type="dxa"/>
          </w:tcPr>
          <w:p>
            <w:pPr>
              <w:pStyle w:val="TableParagraph"/>
              <w:spacing w:before="6"/>
              <w:rPr>
                <w:sz w:val="22"/>
              </w:rPr>
            </w:pPr>
          </w:p>
          <w:p>
            <w:pPr>
              <w:pStyle w:val="TableParagraph"/>
              <w:ind w:left="12" w:right="3"/>
              <w:jc w:val="center"/>
              <w:rPr>
                <w:sz w:val="24"/>
              </w:rPr>
            </w:pPr>
            <w:r>
              <w:rPr>
                <w:spacing w:val="-5"/>
                <w:sz w:val="24"/>
              </w:rPr>
              <w:t>9b</w:t>
            </w:r>
          </w:p>
        </w:tc>
        <w:tc>
          <w:tcPr>
            <w:tcW w:w="2172" w:type="dxa"/>
          </w:tcPr>
          <w:p>
            <w:pPr>
              <w:pStyle w:val="TableParagraph"/>
              <w:spacing w:before="122"/>
              <w:ind w:left="15"/>
              <w:rPr>
                <w:sz w:val="24"/>
              </w:rPr>
            </w:pPr>
            <w:r>
              <w:rPr>
                <w:sz w:val="24"/>
              </w:rPr>
              <w:t>Single</w:t>
            </w:r>
            <w:r>
              <w:rPr>
                <w:spacing w:val="-14"/>
                <w:sz w:val="24"/>
              </w:rPr>
              <w:t> </w:t>
            </w:r>
            <w:r>
              <w:rPr>
                <w:sz w:val="24"/>
              </w:rPr>
              <w:t>storey</w:t>
            </w:r>
            <w:r>
              <w:rPr>
                <w:spacing w:val="-14"/>
                <w:sz w:val="24"/>
              </w:rPr>
              <w:t> </w:t>
            </w:r>
            <w:r>
              <w:rPr>
                <w:sz w:val="24"/>
              </w:rPr>
              <w:t>– community</w:t>
            </w:r>
            <w:r>
              <w:rPr>
                <w:spacing w:val="-9"/>
                <w:sz w:val="24"/>
              </w:rPr>
              <w:t> </w:t>
            </w:r>
            <w:r>
              <w:rPr>
                <w:spacing w:val="-4"/>
                <w:sz w:val="24"/>
              </w:rPr>
              <w:t>hall</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Pr>
                <w:sz w:val="24"/>
              </w:rPr>
            </w:pPr>
            <w:r>
              <w:rPr>
                <w:sz w:val="24"/>
              </w:rPr>
              <w:t>1000m</w:t>
            </w:r>
            <w:r>
              <w:rPr>
                <w:sz w:val="24"/>
                <w:vertAlign w:val="superscript"/>
              </w:rPr>
              <w:t>2</w:t>
            </w:r>
            <w:r>
              <w:rPr>
                <w:spacing w:val="-13"/>
                <w:sz w:val="24"/>
                <w:vertAlign w:val="baseline"/>
              </w:rPr>
              <w:t> </w:t>
            </w:r>
            <w:r>
              <w:rPr>
                <w:spacing w:val="-10"/>
                <w:sz w:val="24"/>
                <w:vertAlign w:val="baseline"/>
              </w:rPr>
              <w:t>@</w:t>
            </w:r>
          </w:p>
          <w:p>
            <w:pPr>
              <w:pStyle w:val="TableParagraph"/>
              <w:ind w:left="15"/>
              <w:rPr>
                <w:sz w:val="24"/>
              </w:rPr>
            </w:pPr>
            <w:r>
              <w:rPr>
                <w:spacing w:val="-2"/>
                <w:sz w:val="24"/>
              </w:rPr>
              <w:t>$450/m</w:t>
            </w:r>
            <w:r>
              <w:rPr>
                <w:spacing w:val="-2"/>
                <w:sz w:val="24"/>
                <w:vertAlign w:val="superscript"/>
              </w:rPr>
              <w:t>2</w:t>
            </w:r>
          </w:p>
        </w:tc>
        <w:tc>
          <w:tcPr>
            <w:tcW w:w="1364" w:type="dxa"/>
          </w:tcPr>
          <w:p>
            <w:pPr>
              <w:pStyle w:val="TableParagraph"/>
              <w:spacing w:before="6"/>
              <w:rPr>
                <w:sz w:val="22"/>
              </w:rPr>
            </w:pPr>
          </w:p>
          <w:p>
            <w:pPr>
              <w:pStyle w:val="TableParagraph"/>
              <w:ind w:right="1"/>
              <w:jc w:val="right"/>
              <w:rPr>
                <w:sz w:val="24"/>
              </w:rPr>
            </w:pPr>
            <w:r>
              <w:rPr>
                <w:spacing w:val="-2"/>
                <w:sz w:val="24"/>
              </w:rPr>
              <w:t>450,000</w:t>
            </w:r>
          </w:p>
        </w:tc>
      </w:tr>
      <w:tr>
        <w:trPr>
          <w:trHeight w:val="797" w:hRule="atLeast"/>
        </w:trPr>
        <w:tc>
          <w:tcPr>
            <w:tcW w:w="698" w:type="dxa"/>
          </w:tcPr>
          <w:p>
            <w:pPr>
              <w:pStyle w:val="TableParagraph"/>
              <w:spacing w:before="6"/>
              <w:rPr>
                <w:sz w:val="22"/>
              </w:rPr>
            </w:pPr>
          </w:p>
          <w:p>
            <w:pPr>
              <w:pStyle w:val="TableParagraph"/>
              <w:ind w:left="12" w:right="3"/>
              <w:jc w:val="center"/>
              <w:rPr>
                <w:sz w:val="24"/>
              </w:rPr>
            </w:pPr>
            <w:r>
              <w:rPr>
                <w:spacing w:val="-5"/>
                <w:sz w:val="24"/>
              </w:rPr>
              <w:t>9b</w:t>
            </w:r>
          </w:p>
        </w:tc>
        <w:tc>
          <w:tcPr>
            <w:tcW w:w="2172" w:type="dxa"/>
          </w:tcPr>
          <w:p>
            <w:pPr>
              <w:pStyle w:val="TableParagraph"/>
              <w:spacing w:before="122"/>
              <w:ind w:left="15"/>
              <w:rPr>
                <w:sz w:val="24"/>
              </w:rPr>
            </w:pPr>
            <w:r>
              <w:rPr>
                <w:sz w:val="24"/>
              </w:rPr>
              <w:t>40</w:t>
            </w:r>
            <w:r>
              <w:rPr>
                <w:spacing w:val="-12"/>
                <w:sz w:val="24"/>
              </w:rPr>
              <w:t> </w:t>
            </w:r>
            <w:r>
              <w:rPr>
                <w:sz w:val="24"/>
              </w:rPr>
              <w:t>000</w:t>
            </w:r>
            <w:r>
              <w:rPr>
                <w:spacing w:val="-12"/>
                <w:sz w:val="24"/>
              </w:rPr>
              <w:t> </w:t>
            </w:r>
            <w:r>
              <w:rPr>
                <w:sz w:val="24"/>
              </w:rPr>
              <w:t>seat</w:t>
            </w:r>
            <w:r>
              <w:rPr>
                <w:spacing w:val="-12"/>
                <w:sz w:val="24"/>
              </w:rPr>
              <w:t> </w:t>
            </w:r>
            <w:r>
              <w:rPr>
                <w:sz w:val="24"/>
              </w:rPr>
              <w:t>– </w:t>
            </w:r>
            <w:r>
              <w:rPr>
                <w:spacing w:val="-2"/>
                <w:sz w:val="24"/>
              </w:rPr>
              <w:t>stadium</w:t>
            </w:r>
          </w:p>
        </w:tc>
        <w:tc>
          <w:tcPr>
            <w:tcW w:w="2630" w:type="dxa"/>
          </w:tcPr>
          <w:p>
            <w:pPr>
              <w:pStyle w:val="TableParagraph"/>
              <w:spacing w:before="122"/>
              <w:ind w:left="15"/>
              <w:rPr>
                <w:sz w:val="24"/>
              </w:rPr>
            </w:pPr>
            <w:r>
              <w:rPr>
                <w:sz w:val="24"/>
              </w:rPr>
              <w:t>Partial</w:t>
            </w:r>
            <w:r>
              <w:rPr>
                <w:spacing w:val="-17"/>
                <w:sz w:val="24"/>
              </w:rPr>
              <w:t> </w:t>
            </w:r>
            <w:r>
              <w:rPr>
                <w:sz w:val="24"/>
              </w:rPr>
              <w:t>Upgrade</w:t>
            </w:r>
            <w:r>
              <w:rPr>
                <w:spacing w:val="-17"/>
                <w:sz w:val="24"/>
              </w:rPr>
              <w:t> </w:t>
            </w:r>
            <w:r>
              <w:rPr>
                <w:sz w:val="24"/>
              </w:rPr>
              <w:t>(10% floor area)</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2"/>
              <w:jc w:val="right"/>
              <w:rPr>
                <w:sz w:val="24"/>
              </w:rPr>
            </w:pPr>
            <w:r>
              <w:rPr>
                <w:spacing w:val="-2"/>
                <w:sz w:val="24"/>
              </w:rPr>
              <w:t>22,000,000</w:t>
            </w:r>
          </w:p>
        </w:tc>
      </w:tr>
      <w:tr>
        <w:trPr>
          <w:trHeight w:val="797" w:hRule="atLeast"/>
        </w:trPr>
        <w:tc>
          <w:tcPr>
            <w:tcW w:w="698" w:type="dxa"/>
          </w:tcPr>
          <w:p>
            <w:pPr>
              <w:pStyle w:val="TableParagraph"/>
              <w:spacing w:before="6"/>
              <w:rPr>
                <w:sz w:val="22"/>
              </w:rPr>
            </w:pPr>
          </w:p>
          <w:p>
            <w:pPr>
              <w:pStyle w:val="TableParagraph"/>
              <w:ind w:left="14" w:right="3"/>
              <w:jc w:val="center"/>
              <w:rPr>
                <w:sz w:val="24"/>
              </w:rPr>
            </w:pPr>
            <w:r>
              <w:rPr>
                <w:spacing w:val="-5"/>
                <w:sz w:val="24"/>
              </w:rPr>
              <w:t>10b</w:t>
            </w:r>
          </w:p>
        </w:tc>
        <w:tc>
          <w:tcPr>
            <w:tcW w:w="2172" w:type="dxa"/>
          </w:tcPr>
          <w:p>
            <w:pPr>
              <w:pStyle w:val="TableParagraph"/>
              <w:spacing w:before="122"/>
              <w:ind w:left="15"/>
              <w:rPr>
                <w:sz w:val="24"/>
              </w:rPr>
            </w:pPr>
            <w:r>
              <w:rPr>
                <w:sz w:val="24"/>
              </w:rPr>
              <w:t>50m</w:t>
            </w:r>
            <w:r>
              <w:rPr>
                <w:spacing w:val="-7"/>
                <w:sz w:val="24"/>
              </w:rPr>
              <w:t> </w:t>
            </w:r>
            <w:r>
              <w:rPr>
                <w:sz w:val="24"/>
              </w:rPr>
              <w:t>swimming</w:t>
            </w:r>
            <w:r>
              <w:rPr>
                <w:spacing w:val="-7"/>
                <w:sz w:val="24"/>
              </w:rPr>
              <w:t> </w:t>
            </w:r>
            <w:r>
              <w:rPr>
                <w:spacing w:val="-4"/>
                <w:sz w:val="24"/>
              </w:rPr>
              <w:t>pool</w:t>
            </w:r>
          </w:p>
          <w:p>
            <w:pPr>
              <w:pStyle w:val="TableParagraph"/>
              <w:ind w:left="15"/>
              <w:rPr>
                <w:sz w:val="24"/>
              </w:rPr>
            </w:pPr>
            <w:r>
              <w:rPr>
                <w:sz w:val="24"/>
              </w:rPr>
              <w:t>-</w:t>
            </w:r>
            <w:r>
              <w:rPr>
                <w:spacing w:val="-2"/>
                <w:sz w:val="24"/>
              </w:rPr>
              <w:t> </w:t>
            </w:r>
            <w:r>
              <w:rPr>
                <w:sz w:val="24"/>
              </w:rPr>
              <w:t>6</w:t>
            </w:r>
            <w:r>
              <w:rPr>
                <w:spacing w:val="-1"/>
                <w:sz w:val="24"/>
              </w:rPr>
              <w:t> </w:t>
            </w:r>
            <w:r>
              <w:rPr>
                <w:spacing w:val="-4"/>
                <w:sz w:val="24"/>
              </w:rPr>
              <w:t>lane</w:t>
            </w:r>
          </w:p>
        </w:tc>
        <w:tc>
          <w:tcPr>
            <w:tcW w:w="2630" w:type="dxa"/>
          </w:tcPr>
          <w:p>
            <w:pPr>
              <w:pStyle w:val="TableParagraph"/>
              <w:spacing w:before="6"/>
              <w:rPr>
                <w:sz w:val="22"/>
              </w:rPr>
            </w:pPr>
          </w:p>
          <w:p>
            <w:pPr>
              <w:pStyle w:val="TableParagraph"/>
              <w:ind w:left="15"/>
              <w:rPr>
                <w:sz w:val="24"/>
              </w:rPr>
            </w:pPr>
            <w:r>
              <w:rPr>
                <w:sz w:val="24"/>
              </w:rPr>
              <w:t>Full</w:t>
            </w:r>
            <w:r>
              <w:rPr>
                <w:spacing w:val="-3"/>
                <w:sz w:val="24"/>
              </w:rPr>
              <w:t> </w:t>
            </w:r>
            <w:r>
              <w:rPr>
                <w:spacing w:val="-2"/>
                <w:sz w:val="24"/>
              </w:rPr>
              <w:t>Upgrade</w:t>
            </w:r>
          </w:p>
        </w:tc>
        <w:tc>
          <w:tcPr>
            <w:tcW w:w="1610" w:type="dxa"/>
          </w:tcPr>
          <w:p>
            <w:pPr>
              <w:pStyle w:val="TableParagraph"/>
              <w:spacing w:before="122"/>
              <w:ind w:left="15" w:right="515"/>
              <w:rPr>
                <w:sz w:val="24"/>
              </w:rPr>
            </w:pPr>
            <w:r>
              <w:rPr>
                <w:spacing w:val="-2"/>
                <w:sz w:val="24"/>
              </w:rPr>
              <w:t>Average allowance</w:t>
            </w:r>
          </w:p>
        </w:tc>
        <w:tc>
          <w:tcPr>
            <w:tcW w:w="1364" w:type="dxa"/>
          </w:tcPr>
          <w:p>
            <w:pPr>
              <w:pStyle w:val="TableParagraph"/>
              <w:spacing w:before="6"/>
              <w:rPr>
                <w:sz w:val="22"/>
              </w:rPr>
            </w:pPr>
          </w:p>
          <w:p>
            <w:pPr>
              <w:pStyle w:val="TableParagraph"/>
              <w:ind w:right="1"/>
              <w:jc w:val="right"/>
              <w:rPr>
                <w:sz w:val="24"/>
              </w:rPr>
            </w:pPr>
            <w:r>
              <w:rPr>
                <w:spacing w:val="-2"/>
                <w:sz w:val="24"/>
              </w:rPr>
              <w:t>220,000</w:t>
            </w:r>
          </w:p>
        </w:tc>
      </w:tr>
    </w:tbl>
    <w:p>
      <w:pPr>
        <w:spacing w:after="0"/>
        <w:jc w:val="right"/>
        <w:rPr>
          <w:sz w:val="24"/>
        </w:rPr>
        <w:sectPr>
          <w:type w:val="continuous"/>
          <w:pgSz w:w="11900" w:h="16840"/>
          <w:pgMar w:header="0" w:footer="1130" w:top="1080" w:bottom="1320" w:left="1380" w:right="980"/>
        </w:sectPr>
      </w:pPr>
    </w:p>
    <w:p>
      <w:pPr>
        <w:pStyle w:val="Heading1"/>
        <w:tabs>
          <w:tab w:pos="2580" w:val="left" w:leader="none"/>
        </w:tabs>
      </w:pPr>
      <w:bookmarkStart w:name="_TOC_250001" w:id="171"/>
      <w:bookmarkStart w:name=" Appendix C: Matrix of building case stu" w:id="172"/>
      <w:r>
        <w:rPr>
          <w:b w:val="0"/>
        </w:rPr>
      </w:r>
      <w:r>
        <w:rPr/>
        <w:t>Appendix</w:t>
      </w:r>
      <w:r>
        <w:rPr>
          <w:spacing w:val="-8"/>
        </w:rPr>
        <w:t> </w:t>
      </w:r>
      <w:r>
        <w:rPr>
          <w:spacing w:val="-5"/>
        </w:rPr>
        <w:t>C:</w:t>
      </w:r>
      <w:r>
        <w:rPr/>
        <w:tab/>
        <w:t>Matrix</w:t>
      </w:r>
      <w:r>
        <w:rPr>
          <w:spacing w:val="-7"/>
        </w:rPr>
        <w:t> </w:t>
      </w:r>
      <w:r>
        <w:rPr/>
        <w:t>of</w:t>
      </w:r>
      <w:r>
        <w:rPr>
          <w:spacing w:val="-5"/>
        </w:rPr>
        <w:t> </w:t>
      </w:r>
      <w:r>
        <w:rPr/>
        <w:t>building</w:t>
      </w:r>
      <w:r>
        <w:rPr>
          <w:spacing w:val="-5"/>
        </w:rPr>
        <w:t> </w:t>
      </w:r>
      <w:r>
        <w:rPr/>
        <w:t>case</w:t>
      </w:r>
      <w:r>
        <w:rPr>
          <w:spacing w:val="-5"/>
        </w:rPr>
        <w:t> </w:t>
      </w:r>
      <w:bookmarkEnd w:id="171"/>
      <w:r>
        <w:rPr>
          <w:spacing w:val="-2"/>
        </w:rPr>
        <w:t>studies</w:t>
      </w:r>
    </w:p>
    <w:p>
      <w:pPr>
        <w:pStyle w:val="BodyText"/>
        <w:spacing w:before="239"/>
        <w:ind w:left="420" w:right="811"/>
      </w:pPr>
      <w:r>
        <w:rPr/>
        <w:t>An</w:t>
      </w:r>
      <w:r>
        <w:rPr>
          <w:spacing w:val="-4"/>
        </w:rPr>
        <w:t> </w:t>
      </w:r>
      <w:r>
        <w:rPr/>
        <w:t>Excel</w:t>
      </w:r>
      <w:r>
        <w:rPr>
          <w:spacing w:val="-4"/>
        </w:rPr>
        <w:t> </w:t>
      </w:r>
      <w:r>
        <w:rPr/>
        <w:t>worksheet</w:t>
      </w:r>
      <w:r>
        <w:rPr>
          <w:spacing w:val="-4"/>
        </w:rPr>
        <w:t> </w:t>
      </w:r>
      <w:r>
        <w:rPr/>
        <w:t>containing</w:t>
      </w:r>
      <w:r>
        <w:rPr>
          <w:spacing w:val="-4"/>
        </w:rPr>
        <w:t> </w:t>
      </w:r>
      <w:r>
        <w:rPr/>
        <w:t>a</w:t>
      </w:r>
      <w:r>
        <w:rPr>
          <w:spacing w:val="-4"/>
        </w:rPr>
        <w:t> </w:t>
      </w:r>
      <w:r>
        <w:rPr/>
        <w:t>matrix</w:t>
      </w:r>
      <w:r>
        <w:rPr>
          <w:spacing w:val="-5"/>
        </w:rPr>
        <w:t> </w:t>
      </w:r>
      <w:r>
        <w:rPr/>
        <w:t>of</w:t>
      </w:r>
      <w:r>
        <w:rPr>
          <w:spacing w:val="-4"/>
        </w:rPr>
        <w:t> </w:t>
      </w:r>
      <w:r>
        <w:rPr/>
        <w:t>building</w:t>
      </w:r>
      <w:r>
        <w:rPr>
          <w:spacing w:val="-4"/>
        </w:rPr>
        <w:t> </w:t>
      </w:r>
      <w:r>
        <w:rPr/>
        <w:t>case</w:t>
      </w:r>
      <w:r>
        <w:rPr>
          <w:spacing w:val="-4"/>
        </w:rPr>
        <w:t> </w:t>
      </w:r>
      <w:r>
        <w:rPr/>
        <w:t>studies</w:t>
      </w:r>
      <w:r>
        <w:rPr>
          <w:spacing w:val="-4"/>
        </w:rPr>
        <w:t> </w:t>
      </w:r>
      <w:r>
        <w:rPr/>
        <w:t>is</w:t>
      </w:r>
      <w:r>
        <w:rPr>
          <w:spacing w:val="-4"/>
        </w:rPr>
        <w:t> </w:t>
      </w:r>
      <w:r>
        <w:rPr/>
        <w:t>provided </w:t>
      </w:r>
      <w:r>
        <w:rPr>
          <w:spacing w:val="-2"/>
        </w:rPr>
        <w:t>herewith.</w:t>
      </w:r>
    </w:p>
    <w:p>
      <w:pPr>
        <w:spacing w:after="0"/>
        <w:sectPr>
          <w:pgSz w:w="11900" w:h="16840"/>
          <w:pgMar w:header="0" w:footer="1130" w:top="1120" w:bottom="1320" w:left="1380" w:right="980"/>
        </w:sectPr>
      </w:pPr>
    </w:p>
    <w:p>
      <w:pPr>
        <w:pStyle w:val="Heading1"/>
        <w:tabs>
          <w:tab w:pos="2579" w:val="left" w:leader="none"/>
        </w:tabs>
      </w:pPr>
      <w:bookmarkStart w:name="_TOC_250000" w:id="173"/>
      <w:bookmarkStart w:name=" Appendix D: 2009 Addendum to RIS 2008-0" w:id="174"/>
      <w:r>
        <w:rPr>
          <w:b w:val="0"/>
        </w:rPr>
      </w:r>
      <w:r>
        <w:rPr/>
        <w:t>Appendix</w:t>
      </w:r>
      <w:r>
        <w:rPr>
          <w:spacing w:val="-8"/>
        </w:rPr>
        <w:t> </w:t>
      </w:r>
      <w:r>
        <w:rPr>
          <w:spacing w:val="-5"/>
        </w:rPr>
        <w:t>D:</w:t>
      </w:r>
      <w:r>
        <w:rPr/>
        <w:tab/>
        <w:t>2009</w:t>
      </w:r>
      <w:r>
        <w:rPr>
          <w:spacing w:val="-19"/>
        </w:rPr>
        <w:t> </w:t>
      </w:r>
      <w:r>
        <w:rPr/>
        <w:t>Addendum</w:t>
      </w:r>
      <w:r>
        <w:rPr>
          <w:spacing w:val="-5"/>
        </w:rPr>
        <w:t> </w:t>
      </w:r>
      <w:r>
        <w:rPr/>
        <w:t>to</w:t>
      </w:r>
      <w:r>
        <w:rPr>
          <w:spacing w:val="-5"/>
        </w:rPr>
        <w:t> </w:t>
      </w:r>
      <w:r>
        <w:rPr/>
        <w:t>RIS</w:t>
      </w:r>
      <w:r>
        <w:rPr>
          <w:spacing w:val="-5"/>
        </w:rPr>
        <w:t> </w:t>
      </w:r>
      <w:r>
        <w:rPr/>
        <w:t>2008-</w:t>
      </w:r>
      <w:bookmarkEnd w:id="173"/>
      <w:r>
        <w:rPr>
          <w:spacing w:val="-5"/>
        </w:rPr>
        <w:t>02</w:t>
      </w:r>
    </w:p>
    <w:p>
      <w:pPr>
        <w:pStyle w:val="Heading3"/>
        <w:spacing w:before="242"/>
        <w:jc w:val="left"/>
      </w:pPr>
      <w:bookmarkStart w:name="Introduction" w:id="175"/>
      <w:bookmarkEnd w:id="175"/>
      <w:r>
        <w:rPr>
          <w:b w:val="0"/>
        </w:rPr>
      </w:r>
      <w:r>
        <w:rPr>
          <w:spacing w:val="-2"/>
        </w:rPr>
        <w:t>Introduction</w:t>
      </w:r>
    </w:p>
    <w:p>
      <w:pPr>
        <w:pStyle w:val="BodyText"/>
        <w:spacing w:before="57"/>
        <w:ind w:left="419" w:right="811"/>
        <w:jc w:val="both"/>
      </w:pPr>
      <w:r>
        <w:rPr/>
        <w:t>The purpose of this addendum is to update the Regulation Impact Statement (RIS)</w:t>
      </w:r>
      <w:r>
        <w:rPr/>
        <w:t> “Proposal</w:t>
      </w:r>
      <w:r>
        <w:rPr/>
        <w:t> to</w:t>
      </w:r>
      <w:r>
        <w:rPr/>
        <w:t> Formulate</w:t>
      </w:r>
      <w:r>
        <w:rPr/>
        <w:t> Disability</w:t>
      </w:r>
      <w:r>
        <w:rPr/>
        <w:t> (Access</w:t>
      </w:r>
      <w:r>
        <w:rPr/>
        <w:t> to</w:t>
      </w:r>
      <w:r>
        <w:rPr/>
        <w:t> Premises</w:t>
      </w:r>
      <w:r>
        <w:rPr/>
        <w:t> – Buildings) Standards</w:t>
      </w:r>
      <w:r>
        <w:rPr>
          <w:spacing w:val="-3"/>
        </w:rPr>
        <w:t> </w:t>
      </w:r>
      <w:r>
        <w:rPr/>
        <w:t>and</w:t>
      </w:r>
      <w:r>
        <w:rPr>
          <w:spacing w:val="-3"/>
        </w:rPr>
        <w:t> </w:t>
      </w:r>
      <w:r>
        <w:rPr/>
        <w:t>Amend</w:t>
      </w:r>
      <w:r>
        <w:rPr>
          <w:spacing w:val="-3"/>
        </w:rPr>
        <w:t> </w:t>
      </w:r>
      <w:r>
        <w:rPr/>
        <w:t>the</w:t>
      </w:r>
      <w:r>
        <w:rPr>
          <w:spacing w:val="-3"/>
        </w:rPr>
        <w:t> </w:t>
      </w:r>
      <w:r>
        <w:rPr/>
        <w:t>Access</w:t>
      </w:r>
      <w:r>
        <w:rPr>
          <w:spacing w:val="-3"/>
        </w:rPr>
        <w:t> </w:t>
      </w:r>
      <w:r>
        <w:rPr/>
        <w:t>Provisions</w:t>
      </w:r>
      <w:r>
        <w:rPr>
          <w:spacing w:val="-3"/>
        </w:rPr>
        <w:t> </w:t>
      </w:r>
      <w:r>
        <w:rPr/>
        <w:t>of</w:t>
      </w:r>
      <w:r>
        <w:rPr>
          <w:spacing w:val="-3"/>
        </w:rPr>
        <w:t> </w:t>
      </w:r>
      <w:r>
        <w:rPr/>
        <w:t>the</w:t>
      </w:r>
      <w:r>
        <w:rPr>
          <w:spacing w:val="-3"/>
        </w:rPr>
        <w:t> </w:t>
      </w:r>
      <w:r>
        <w:rPr/>
        <w:t>Building</w:t>
      </w:r>
      <w:r>
        <w:rPr>
          <w:spacing w:val="-3"/>
        </w:rPr>
        <w:t> </w:t>
      </w:r>
      <w:r>
        <w:rPr/>
        <w:t>Code</w:t>
      </w:r>
      <w:r>
        <w:rPr>
          <w:spacing w:val="-3"/>
        </w:rPr>
        <w:t> </w:t>
      </w:r>
      <w:r>
        <w:rPr/>
        <w:t>of</w:t>
      </w:r>
      <w:r>
        <w:rPr>
          <w:spacing w:val="-3"/>
        </w:rPr>
        <w:t> </w:t>
      </w:r>
      <w:r>
        <w:rPr/>
        <w:t>Australia (RIS2008-02) to reflect the Government’s response to the recommendations of the House of Representatives Legal and Constitutional Affairs Committee’s report, “</w:t>
      </w:r>
      <w:r>
        <w:rPr>
          <w:i/>
        </w:rPr>
        <w:t>Access All Areas</w:t>
      </w:r>
      <w:r>
        <w:rPr/>
        <w:t>”.</w:t>
      </w:r>
    </w:p>
    <w:p>
      <w:pPr>
        <w:pStyle w:val="BodyText"/>
        <w:spacing w:before="120"/>
        <w:ind w:left="420"/>
        <w:jc w:val="both"/>
      </w:pPr>
      <w:r>
        <w:rPr/>
        <w:t>The</w:t>
      </w:r>
      <w:r>
        <w:rPr>
          <w:spacing w:val="-6"/>
        </w:rPr>
        <w:t> </w:t>
      </w:r>
      <w:r>
        <w:rPr/>
        <w:t>changes</w:t>
      </w:r>
      <w:r>
        <w:rPr>
          <w:spacing w:val="-4"/>
        </w:rPr>
        <w:t> </w:t>
      </w:r>
      <w:r>
        <w:rPr/>
        <w:t>to</w:t>
      </w:r>
      <w:r>
        <w:rPr>
          <w:spacing w:val="-3"/>
        </w:rPr>
        <w:t> </w:t>
      </w:r>
      <w:r>
        <w:rPr/>
        <w:t>the</w:t>
      </w:r>
      <w:r>
        <w:rPr>
          <w:spacing w:val="-4"/>
        </w:rPr>
        <w:t> </w:t>
      </w:r>
      <w:r>
        <w:rPr/>
        <w:t>proposal</w:t>
      </w:r>
      <w:r>
        <w:rPr>
          <w:spacing w:val="-3"/>
        </w:rPr>
        <w:t> </w:t>
      </w:r>
      <w:r>
        <w:rPr/>
        <w:t>considered</w:t>
      </w:r>
      <w:r>
        <w:rPr>
          <w:spacing w:val="-4"/>
        </w:rPr>
        <w:t> </w:t>
      </w:r>
      <w:r>
        <w:rPr/>
        <w:t>in</w:t>
      </w:r>
      <w:r>
        <w:rPr>
          <w:spacing w:val="-3"/>
        </w:rPr>
        <w:t> </w:t>
      </w:r>
      <w:r>
        <w:rPr/>
        <w:t>this</w:t>
      </w:r>
      <w:r>
        <w:rPr>
          <w:spacing w:val="-4"/>
        </w:rPr>
        <w:t> </w:t>
      </w:r>
      <w:r>
        <w:rPr/>
        <w:t>addendum</w:t>
      </w:r>
      <w:r>
        <w:rPr>
          <w:spacing w:val="-3"/>
        </w:rPr>
        <w:t> </w:t>
      </w:r>
      <w:r>
        <w:rPr>
          <w:spacing w:val="-4"/>
        </w:rPr>
        <w:t>are:</w:t>
      </w:r>
    </w:p>
    <w:p>
      <w:pPr>
        <w:pStyle w:val="ListParagraph"/>
        <w:numPr>
          <w:ilvl w:val="1"/>
          <w:numId w:val="49"/>
        </w:numPr>
        <w:tabs>
          <w:tab w:pos="1141" w:val="left" w:leader="none"/>
        </w:tabs>
        <w:spacing w:line="237" w:lineRule="auto" w:before="123" w:after="0"/>
        <w:ind w:left="1140" w:right="814" w:hanging="360"/>
        <w:jc w:val="both"/>
        <w:rPr>
          <w:sz w:val="24"/>
        </w:rPr>
      </w:pPr>
      <w:r>
        <w:rPr>
          <w:sz w:val="24"/>
        </w:rPr>
        <w:t>All new and purpose-built Class 1b buildings regardless of the number of bedrooms be subject to accessibility requirements;</w:t>
      </w:r>
    </w:p>
    <w:p>
      <w:pPr>
        <w:pStyle w:val="ListParagraph"/>
        <w:numPr>
          <w:ilvl w:val="1"/>
          <w:numId w:val="49"/>
        </w:numPr>
        <w:tabs>
          <w:tab w:pos="1141" w:val="left" w:leader="none"/>
        </w:tabs>
        <w:spacing w:line="240" w:lineRule="auto" w:before="121" w:after="0"/>
        <w:ind w:left="1140" w:right="0" w:hanging="361"/>
        <w:jc w:val="both"/>
        <w:rPr>
          <w:sz w:val="24"/>
        </w:rPr>
      </w:pPr>
      <w:r>
        <w:rPr>
          <w:sz w:val="24"/>
        </w:rPr>
        <w:t>Access</w:t>
      </w:r>
      <w:r>
        <w:rPr>
          <w:spacing w:val="-3"/>
          <w:sz w:val="24"/>
        </w:rPr>
        <w:t> </w:t>
      </w:r>
      <w:r>
        <w:rPr>
          <w:sz w:val="24"/>
        </w:rPr>
        <w:t>to</w:t>
      </w:r>
      <w:r>
        <w:rPr>
          <w:spacing w:val="-2"/>
          <w:sz w:val="24"/>
        </w:rPr>
        <w:t> </w:t>
      </w:r>
      <w:r>
        <w:rPr>
          <w:sz w:val="24"/>
        </w:rPr>
        <w:t>be</w:t>
      </w:r>
      <w:r>
        <w:rPr>
          <w:spacing w:val="-2"/>
          <w:sz w:val="24"/>
        </w:rPr>
        <w:t> </w:t>
      </w:r>
      <w:r>
        <w:rPr>
          <w:sz w:val="24"/>
        </w:rPr>
        <w:t>provided</w:t>
      </w:r>
      <w:r>
        <w:rPr>
          <w:spacing w:val="-2"/>
          <w:sz w:val="24"/>
        </w:rPr>
        <w:t> </w:t>
      </w:r>
      <w:r>
        <w:rPr>
          <w:sz w:val="24"/>
        </w:rPr>
        <w:t>to</w:t>
      </w:r>
      <w:r>
        <w:rPr>
          <w:spacing w:val="-2"/>
          <w:sz w:val="24"/>
        </w:rPr>
        <w:t> </w:t>
      </w:r>
      <w:r>
        <w:rPr>
          <w:sz w:val="24"/>
        </w:rPr>
        <w:t>the</w:t>
      </w:r>
      <w:r>
        <w:rPr>
          <w:spacing w:val="-3"/>
          <w:sz w:val="24"/>
        </w:rPr>
        <w:t> </w:t>
      </w:r>
      <w:r>
        <w:rPr>
          <w:sz w:val="24"/>
        </w:rPr>
        <w:t>common</w:t>
      </w:r>
      <w:r>
        <w:rPr>
          <w:spacing w:val="-2"/>
          <w:sz w:val="24"/>
        </w:rPr>
        <w:t> </w:t>
      </w:r>
      <w:r>
        <w:rPr>
          <w:sz w:val="24"/>
        </w:rPr>
        <w:t>areas</w:t>
      </w:r>
      <w:r>
        <w:rPr>
          <w:spacing w:val="-2"/>
          <w:sz w:val="24"/>
        </w:rPr>
        <w:t> </w:t>
      </w:r>
      <w:r>
        <w:rPr>
          <w:sz w:val="24"/>
        </w:rPr>
        <w:t>of</w:t>
      </w:r>
      <w:r>
        <w:rPr>
          <w:spacing w:val="-2"/>
          <w:sz w:val="24"/>
        </w:rPr>
        <w:t> </w:t>
      </w:r>
      <w:r>
        <w:rPr>
          <w:sz w:val="24"/>
        </w:rPr>
        <w:t>new</w:t>
      </w:r>
      <w:r>
        <w:rPr>
          <w:spacing w:val="-2"/>
          <w:sz w:val="24"/>
        </w:rPr>
        <w:t> </w:t>
      </w:r>
      <w:r>
        <w:rPr>
          <w:sz w:val="24"/>
        </w:rPr>
        <w:t>Class</w:t>
      </w:r>
      <w:r>
        <w:rPr>
          <w:spacing w:val="-3"/>
          <w:sz w:val="24"/>
        </w:rPr>
        <w:t> </w:t>
      </w:r>
      <w:r>
        <w:rPr>
          <w:sz w:val="24"/>
        </w:rPr>
        <w:t>2</w:t>
      </w:r>
      <w:r>
        <w:rPr>
          <w:spacing w:val="-2"/>
          <w:sz w:val="24"/>
        </w:rPr>
        <w:t> buildings;</w:t>
      </w:r>
    </w:p>
    <w:p>
      <w:pPr>
        <w:pStyle w:val="ListParagraph"/>
        <w:numPr>
          <w:ilvl w:val="1"/>
          <w:numId w:val="49"/>
        </w:numPr>
        <w:tabs>
          <w:tab w:pos="1140" w:val="left" w:leader="none"/>
        </w:tabs>
        <w:spacing w:line="237" w:lineRule="auto" w:before="121" w:after="0"/>
        <w:ind w:left="1139" w:right="815" w:hanging="360"/>
        <w:jc w:val="both"/>
        <w:rPr>
          <w:sz w:val="24"/>
        </w:rPr>
      </w:pPr>
      <w:r>
        <w:rPr>
          <w:sz w:val="24"/>
        </w:rPr>
        <w:t>The small building concession limited to not requiring the provision of lift or ramp access between floors;</w:t>
      </w:r>
    </w:p>
    <w:p>
      <w:pPr>
        <w:pStyle w:val="ListParagraph"/>
        <w:numPr>
          <w:ilvl w:val="1"/>
          <w:numId w:val="49"/>
        </w:numPr>
        <w:tabs>
          <w:tab w:pos="1140" w:val="left" w:leader="none"/>
        </w:tabs>
        <w:spacing w:line="240" w:lineRule="auto" w:before="121" w:after="0"/>
        <w:ind w:left="1139" w:right="811" w:hanging="360"/>
        <w:jc w:val="both"/>
        <w:rPr>
          <w:sz w:val="24"/>
        </w:rPr>
      </w:pPr>
      <w:r>
        <w:rPr>
          <w:sz w:val="24"/>
        </w:rPr>
        <w:t>The current concession for fire-isolated stairs amended to require installation of contrasting strips on stair nosings; and</w:t>
      </w:r>
    </w:p>
    <w:p>
      <w:pPr>
        <w:pStyle w:val="ListParagraph"/>
        <w:numPr>
          <w:ilvl w:val="1"/>
          <w:numId w:val="49"/>
        </w:numPr>
        <w:tabs>
          <w:tab w:pos="1141" w:val="left" w:leader="none"/>
        </w:tabs>
        <w:spacing w:line="237" w:lineRule="auto" w:before="121" w:after="0"/>
        <w:ind w:left="1139" w:right="812" w:hanging="360"/>
        <w:jc w:val="both"/>
        <w:rPr>
          <w:sz w:val="24"/>
        </w:rPr>
      </w:pPr>
      <w:r>
        <w:rPr>
          <w:sz w:val="24"/>
        </w:rPr>
        <w:t>The replacement of prescribed exempted areas in D3.4 with a general exemption for areas to which provision of access would be </w:t>
      </w:r>
      <w:r>
        <w:rPr>
          <w:spacing w:val="-2"/>
          <w:sz w:val="24"/>
        </w:rPr>
        <w:t>inappropriate.</w:t>
      </w:r>
    </w:p>
    <w:p>
      <w:pPr>
        <w:pStyle w:val="BodyText"/>
        <w:spacing w:before="4"/>
        <w:rPr>
          <w:sz w:val="21"/>
        </w:rPr>
      </w:pPr>
    </w:p>
    <w:p>
      <w:pPr>
        <w:pStyle w:val="Heading3"/>
      </w:pPr>
      <w:bookmarkStart w:name="Overall impact of changes on benefit/cos" w:id="176"/>
      <w:bookmarkEnd w:id="176"/>
      <w:r>
        <w:rPr>
          <w:b w:val="0"/>
        </w:rPr>
      </w:r>
      <w:r>
        <w:rPr/>
        <w:t>Overall</w:t>
      </w:r>
      <w:r>
        <w:rPr>
          <w:spacing w:val="-6"/>
        </w:rPr>
        <w:t> </w:t>
      </w:r>
      <w:r>
        <w:rPr/>
        <w:t>impact</w:t>
      </w:r>
      <w:r>
        <w:rPr>
          <w:spacing w:val="-3"/>
        </w:rPr>
        <w:t> </w:t>
      </w:r>
      <w:r>
        <w:rPr/>
        <w:t>of</w:t>
      </w:r>
      <w:r>
        <w:rPr>
          <w:spacing w:val="-3"/>
        </w:rPr>
        <w:t> </w:t>
      </w:r>
      <w:r>
        <w:rPr/>
        <w:t>changes</w:t>
      </w:r>
      <w:r>
        <w:rPr>
          <w:spacing w:val="-4"/>
        </w:rPr>
        <w:t> </w:t>
      </w:r>
      <w:r>
        <w:rPr/>
        <w:t>on</w:t>
      </w:r>
      <w:r>
        <w:rPr>
          <w:spacing w:val="-3"/>
        </w:rPr>
        <w:t> </w:t>
      </w:r>
      <w:r>
        <w:rPr/>
        <w:t>benefit/cost</w:t>
      </w:r>
      <w:r>
        <w:rPr>
          <w:spacing w:val="-3"/>
        </w:rPr>
        <w:t> </w:t>
      </w:r>
      <w:r>
        <w:rPr>
          <w:spacing w:val="-2"/>
        </w:rPr>
        <w:t>ratio</w:t>
      </w:r>
    </w:p>
    <w:p>
      <w:pPr>
        <w:pStyle w:val="BodyText"/>
        <w:spacing w:before="117"/>
        <w:ind w:left="420" w:right="811"/>
        <w:jc w:val="both"/>
      </w:pPr>
      <w:r>
        <w:rPr/>
        <w:t>The RIS produced in October 2008 estimated a benefit/cost ratio of 1.23:1 for a 4% real discount rate and 1.05:1 for a 7% real discount rate, i.e. under both discount rates tested, the outcome was a positive benefit/cost ratio. The changes</w:t>
      </w:r>
      <w:r>
        <w:rPr>
          <w:spacing w:val="-1"/>
        </w:rPr>
        <w:t> </w:t>
      </w:r>
      <w:r>
        <w:rPr/>
        <w:t>to</w:t>
      </w:r>
      <w:r>
        <w:rPr>
          <w:spacing w:val="-1"/>
        </w:rPr>
        <w:t> </w:t>
      </w:r>
      <w:r>
        <w:rPr/>
        <w:t>the</w:t>
      </w:r>
      <w:r>
        <w:rPr>
          <w:spacing w:val="-1"/>
        </w:rPr>
        <w:t> </w:t>
      </w:r>
      <w:r>
        <w:rPr/>
        <w:t>proposal</w:t>
      </w:r>
      <w:r>
        <w:rPr>
          <w:spacing w:val="-1"/>
        </w:rPr>
        <w:t> </w:t>
      </w:r>
      <w:r>
        <w:rPr/>
        <w:t>described</w:t>
      </w:r>
      <w:r>
        <w:rPr>
          <w:spacing w:val="-1"/>
        </w:rPr>
        <w:t> </w:t>
      </w:r>
      <w:r>
        <w:rPr/>
        <w:t>above</w:t>
      </w:r>
      <w:r>
        <w:rPr>
          <w:spacing w:val="-1"/>
        </w:rPr>
        <w:t> </w:t>
      </w:r>
      <w:r>
        <w:rPr/>
        <w:t>will</w:t>
      </w:r>
      <w:r>
        <w:rPr>
          <w:spacing w:val="-1"/>
        </w:rPr>
        <w:t> </w:t>
      </w:r>
      <w:r>
        <w:rPr/>
        <w:t>impose</w:t>
      </w:r>
      <w:r>
        <w:rPr>
          <w:spacing w:val="-1"/>
        </w:rPr>
        <w:t> </w:t>
      </w:r>
      <w:r>
        <w:rPr/>
        <w:t>additional costs</w:t>
      </w:r>
      <w:r>
        <w:rPr>
          <w:spacing w:val="-1"/>
        </w:rPr>
        <w:t> </w:t>
      </w:r>
      <w:r>
        <w:rPr/>
        <w:t>but</w:t>
      </w:r>
      <w:r>
        <w:rPr>
          <w:spacing w:val="-1"/>
        </w:rPr>
        <w:t> </w:t>
      </w:r>
      <w:r>
        <w:rPr/>
        <w:t>they will also increase benefits.</w:t>
      </w:r>
    </w:p>
    <w:p>
      <w:pPr>
        <w:pStyle w:val="BodyText"/>
        <w:spacing w:before="121"/>
        <w:ind w:left="420" w:right="809"/>
        <w:jc w:val="both"/>
      </w:pPr>
      <w:r>
        <w:rPr/>
        <w:t>Given the aggregative nature of the benefit estimates employed in this RIS, it is clearly not possible to calculate directly the impact of the changes made in formulating the revised Standards on the initial estimates of total quantifiable benefits.</w:t>
      </w:r>
      <w:r>
        <w:rPr>
          <w:spacing w:val="40"/>
        </w:rPr>
        <w:t> </w:t>
      </w:r>
      <w:r>
        <w:rPr/>
        <w:t>Rather,</w:t>
      </w:r>
      <w:r>
        <w:rPr>
          <w:spacing w:val="-1"/>
        </w:rPr>
        <w:t> </w:t>
      </w:r>
      <w:r>
        <w:rPr/>
        <w:t>a</w:t>
      </w:r>
      <w:r>
        <w:rPr>
          <w:spacing w:val="-1"/>
        </w:rPr>
        <w:t> </w:t>
      </w:r>
      <w:r>
        <w:rPr/>
        <w:t>qualitative</w:t>
      </w:r>
      <w:r>
        <w:rPr>
          <w:spacing w:val="-1"/>
        </w:rPr>
        <w:t> </w:t>
      </w:r>
      <w:r>
        <w:rPr/>
        <w:t>judgment has</w:t>
      </w:r>
      <w:r>
        <w:rPr>
          <w:spacing w:val="-1"/>
        </w:rPr>
        <w:t> </w:t>
      </w:r>
      <w:r>
        <w:rPr/>
        <w:t>had</w:t>
      </w:r>
      <w:r>
        <w:rPr>
          <w:spacing w:val="-1"/>
        </w:rPr>
        <w:t> </w:t>
      </w:r>
      <w:r>
        <w:rPr/>
        <w:t>to</w:t>
      </w:r>
      <w:r>
        <w:rPr>
          <w:spacing w:val="-1"/>
        </w:rPr>
        <w:t> </w:t>
      </w:r>
      <w:r>
        <w:rPr/>
        <w:t>be</w:t>
      </w:r>
      <w:r>
        <w:rPr>
          <w:spacing w:val="-1"/>
        </w:rPr>
        <w:t> </w:t>
      </w:r>
      <w:r>
        <w:rPr/>
        <w:t>made</w:t>
      </w:r>
      <w:r>
        <w:rPr>
          <w:spacing w:val="-1"/>
        </w:rPr>
        <w:t> </w:t>
      </w:r>
      <w:r>
        <w:rPr/>
        <w:t>by</w:t>
      </w:r>
      <w:r>
        <w:rPr>
          <w:spacing w:val="-1"/>
        </w:rPr>
        <w:t> </w:t>
      </w:r>
      <w:r>
        <w:rPr/>
        <w:t>assessing</w:t>
      </w:r>
      <w:r>
        <w:rPr>
          <w:spacing w:val="-1"/>
        </w:rPr>
        <w:t> </w:t>
      </w:r>
      <w:r>
        <w:rPr/>
        <w:t>the perceived importance of the above changes, relative to the scope of the Premises Standards as a whole, and reflective of the stakeholder feedback which resulted from the most recent round of consultation. This approach is consistent with the analysis of expected benefits of the original and revised proposals detailed in Chapter 7.</w:t>
      </w:r>
    </w:p>
    <w:p>
      <w:pPr>
        <w:pStyle w:val="BodyText"/>
        <w:spacing w:before="120"/>
        <w:ind w:left="420" w:right="809"/>
        <w:jc w:val="both"/>
      </w:pPr>
      <w:r>
        <w:rPr/>
        <w:t>With regard to cost impacts, these in some instances can be quantified, as is detailed in the following individual change sections. The changes with the greatest cost impact will however also potentially generate the greatest level</w:t>
      </w:r>
      <w:r>
        <w:rPr>
          <w:spacing w:val="40"/>
        </w:rPr>
        <w:t> </w:t>
      </w:r>
      <w:r>
        <w:rPr/>
        <w:t>of</w:t>
      </w:r>
      <w:r>
        <w:rPr>
          <w:spacing w:val="-2"/>
        </w:rPr>
        <w:t> </w:t>
      </w:r>
      <w:r>
        <w:rPr/>
        <w:t>benefit.</w:t>
      </w:r>
      <w:r>
        <w:rPr>
          <w:spacing w:val="-2"/>
        </w:rPr>
        <w:t> </w:t>
      </w:r>
      <w:r>
        <w:rPr/>
        <w:t>This</w:t>
      </w:r>
      <w:r>
        <w:rPr>
          <w:spacing w:val="-2"/>
        </w:rPr>
        <w:t> </w:t>
      </w:r>
      <w:r>
        <w:rPr/>
        <w:t>statement</w:t>
      </w:r>
      <w:r>
        <w:rPr>
          <w:spacing w:val="-2"/>
        </w:rPr>
        <w:t> </w:t>
      </w:r>
      <w:r>
        <w:rPr/>
        <w:t>is</w:t>
      </w:r>
      <w:r>
        <w:rPr>
          <w:spacing w:val="-2"/>
        </w:rPr>
        <w:t> </w:t>
      </w:r>
      <w:r>
        <w:rPr/>
        <w:t>founded</w:t>
      </w:r>
      <w:r>
        <w:rPr>
          <w:spacing w:val="-2"/>
        </w:rPr>
        <w:t> </w:t>
      </w:r>
      <w:r>
        <w:rPr/>
        <w:t>on</w:t>
      </w:r>
      <w:r>
        <w:rPr>
          <w:spacing w:val="-2"/>
        </w:rPr>
        <w:t> </w:t>
      </w:r>
      <w:r>
        <w:rPr/>
        <w:t>the</w:t>
      </w:r>
      <w:r>
        <w:rPr>
          <w:spacing w:val="-2"/>
        </w:rPr>
        <w:t> </w:t>
      </w:r>
      <w:r>
        <w:rPr/>
        <w:t>fact</w:t>
      </w:r>
      <w:r>
        <w:rPr>
          <w:spacing w:val="-2"/>
        </w:rPr>
        <w:t> </w:t>
      </w:r>
      <w:r>
        <w:rPr/>
        <w:t>the</w:t>
      </w:r>
      <w:r>
        <w:rPr>
          <w:spacing w:val="-2"/>
        </w:rPr>
        <w:t> </w:t>
      </w:r>
      <w:r>
        <w:rPr/>
        <w:t>House</w:t>
      </w:r>
      <w:r>
        <w:rPr>
          <w:spacing w:val="-2"/>
        </w:rPr>
        <w:t> </w:t>
      </w:r>
      <w:r>
        <w:rPr/>
        <w:t>of</w:t>
      </w:r>
      <w:r>
        <w:rPr>
          <w:spacing w:val="-2"/>
        </w:rPr>
        <w:t> </w:t>
      </w:r>
      <w:r>
        <w:rPr/>
        <w:t>Representatives Legal</w:t>
      </w:r>
      <w:r>
        <w:rPr/>
        <w:t> and</w:t>
      </w:r>
      <w:r>
        <w:rPr/>
        <w:t> Constitutional</w:t>
      </w:r>
      <w:r>
        <w:rPr/>
        <w:t> Affairs</w:t>
      </w:r>
      <w:r>
        <w:rPr/>
        <w:t> Committee</w:t>
      </w:r>
      <w:r>
        <w:rPr/>
        <w:t> undertook</w:t>
      </w:r>
      <w:r>
        <w:rPr/>
        <w:t> to</w:t>
      </w:r>
      <w:r>
        <w:rPr/>
        <w:t> reduce</w:t>
      </w:r>
      <w:r>
        <w:rPr/>
        <w:t> costs wherever</w:t>
      </w:r>
      <w:r>
        <w:rPr/>
        <w:t> possible</w:t>
      </w:r>
      <w:r>
        <w:rPr/>
        <w:t> whilst</w:t>
      </w:r>
      <w:r>
        <w:rPr/>
        <w:t> still</w:t>
      </w:r>
      <w:r>
        <w:rPr/>
        <w:t> providing</w:t>
      </w:r>
      <w:r>
        <w:rPr/>
        <w:t> a</w:t>
      </w:r>
      <w:r>
        <w:rPr/>
        <w:t> much</w:t>
      </w:r>
      <w:r>
        <w:rPr/>
        <w:t> needed</w:t>
      </w:r>
      <w:r>
        <w:rPr/>
        <w:t> non-discriminatory approach to building access.</w:t>
      </w:r>
    </w:p>
    <w:p>
      <w:pPr>
        <w:pStyle w:val="BodyText"/>
        <w:spacing w:before="120"/>
        <w:ind w:left="420" w:right="811"/>
        <w:jc w:val="both"/>
      </w:pPr>
      <w:r>
        <w:rPr/>
        <w:t>Although the package of measures demonstrates a net benefit, there are</w:t>
      </w:r>
      <w:r>
        <w:rPr>
          <w:spacing w:val="40"/>
        </w:rPr>
        <w:t> </w:t>
      </w:r>
      <w:r>
        <w:rPr/>
        <w:t>likely to be substantial costs for some</w:t>
      </w:r>
      <w:r>
        <w:rPr>
          <w:spacing w:val="-1"/>
        </w:rPr>
        <w:t> </w:t>
      </w:r>
      <w:r>
        <w:rPr/>
        <w:t>types of</w:t>
      </w:r>
      <w:r>
        <w:rPr>
          <w:spacing w:val="-1"/>
        </w:rPr>
        <w:t> </w:t>
      </w:r>
      <w:r>
        <w:rPr/>
        <w:t>buildings,</w:t>
      </w:r>
      <w:r>
        <w:rPr>
          <w:spacing w:val="-1"/>
        </w:rPr>
        <w:t> </w:t>
      </w:r>
      <w:r>
        <w:rPr/>
        <w:t>such</w:t>
      </w:r>
      <w:r>
        <w:rPr>
          <w:spacing w:val="-1"/>
        </w:rPr>
        <w:t> </w:t>
      </w:r>
      <w:r>
        <w:rPr/>
        <w:t>as</w:t>
      </w:r>
      <w:r>
        <w:rPr>
          <w:spacing w:val="-1"/>
        </w:rPr>
        <w:t> </w:t>
      </w:r>
      <w:r>
        <w:rPr/>
        <w:t>for upgrades of Class 1b buildings. Therefore, alternative options could deliver lower costs.</w:t>
      </w:r>
    </w:p>
    <w:p>
      <w:pPr>
        <w:spacing w:after="0"/>
        <w:jc w:val="both"/>
        <w:sectPr>
          <w:pgSz w:w="11900" w:h="16840"/>
          <w:pgMar w:header="0" w:footer="1130" w:top="1120" w:bottom="1320" w:left="1380" w:right="980"/>
        </w:sectPr>
      </w:pPr>
    </w:p>
    <w:p>
      <w:pPr>
        <w:pStyle w:val="BodyText"/>
        <w:spacing w:before="75"/>
        <w:ind w:left="420" w:right="811"/>
        <w:jc w:val="both"/>
      </w:pPr>
      <w:r>
        <w:rPr/>
        <w:t>However, the uncertainty over the level of benefits does not permit assessment of which package of measures would deliver the greatest net </w:t>
      </w:r>
      <w:r>
        <w:rPr>
          <w:spacing w:val="-2"/>
        </w:rPr>
        <w:t>benefit.</w:t>
      </w:r>
    </w:p>
    <w:p>
      <w:pPr>
        <w:pStyle w:val="BodyText"/>
        <w:spacing w:before="120"/>
        <w:ind w:left="420" w:right="814"/>
        <w:jc w:val="both"/>
      </w:pPr>
      <w:r>
        <w:rPr/>
        <w:t>Changes to the costs and benefits, and the effect on the overall benefit/cost ratio are discussed further under the description of each change.</w:t>
      </w:r>
    </w:p>
    <w:p>
      <w:pPr>
        <w:pStyle w:val="BodyText"/>
        <w:spacing w:before="120"/>
        <w:ind w:left="419" w:right="812"/>
        <w:jc w:val="both"/>
      </w:pPr>
      <w:r>
        <w:rPr/>
        <w:t>The following Table 15 reproduced from Chapter 10 has been revised to reflect the inclusion of an additional $26 million per annum new building costs relating to Class 2 buildings. This results in an increase of 4.3%. To effect the proportional increase in benefit value the Present Value of benefits and outcomes have been revised accordingly. The end result is a minimal or nil </w:t>
      </w:r>
      <w:r>
        <w:rPr>
          <w:spacing w:val="-2"/>
        </w:rPr>
        <w:t>change.</w:t>
      </w:r>
    </w:p>
    <w:p>
      <w:pPr>
        <w:pStyle w:val="BodyText"/>
        <w:spacing w:before="7"/>
        <w:rPr>
          <w:sz w:val="34"/>
        </w:rPr>
      </w:pPr>
    </w:p>
    <w:p>
      <w:pPr>
        <w:pStyle w:val="Heading4"/>
        <w:ind w:right="1248"/>
        <w:rPr>
          <w:u w:val="none"/>
        </w:rPr>
      </w:pPr>
      <w:r>
        <w:rPr>
          <w:u w:val="single"/>
        </w:rPr>
        <w:t>Table 15a (REPRODUCED AND REVISED):</w:t>
      </w:r>
      <w:r>
        <w:rPr>
          <w:spacing w:val="40"/>
          <w:u w:val="single"/>
        </w:rPr>
        <w:t> </w:t>
      </w:r>
      <w:r>
        <w:rPr>
          <w:u w:val="single"/>
        </w:rPr>
        <w:t>Summary</w:t>
      </w:r>
      <w:r>
        <w:rPr>
          <w:spacing w:val="-1"/>
          <w:u w:val="single"/>
        </w:rPr>
        <w:t> </w:t>
      </w:r>
      <w:r>
        <w:rPr>
          <w:u w:val="single"/>
        </w:rPr>
        <w:t>of benefits and</w:t>
      </w:r>
      <w:r>
        <w:rPr>
          <w:u w:val="none"/>
        </w:rPr>
        <w:t> </w:t>
      </w:r>
      <w:r>
        <w:rPr>
          <w:u w:val="single"/>
        </w:rPr>
        <w:t>costs</w:t>
      </w:r>
      <w:r>
        <w:rPr>
          <w:spacing w:val="-4"/>
          <w:u w:val="single"/>
        </w:rPr>
        <w:t> </w:t>
      </w:r>
      <w:r>
        <w:rPr>
          <w:u w:val="single"/>
        </w:rPr>
        <w:t>of</w:t>
      </w:r>
      <w:r>
        <w:rPr>
          <w:spacing w:val="-4"/>
          <w:u w:val="single"/>
        </w:rPr>
        <w:t> </w:t>
      </w:r>
      <w:r>
        <w:rPr>
          <w:u w:val="single"/>
        </w:rPr>
        <w:t>proposed</w:t>
      </w:r>
      <w:r>
        <w:rPr>
          <w:spacing w:val="-4"/>
          <w:u w:val="single"/>
        </w:rPr>
        <w:t> </w:t>
      </w:r>
      <w:r>
        <w:rPr>
          <w:u w:val="single"/>
        </w:rPr>
        <w:t>Premises</w:t>
      </w:r>
      <w:r>
        <w:rPr>
          <w:spacing w:val="-4"/>
          <w:u w:val="single"/>
        </w:rPr>
        <w:t> </w:t>
      </w:r>
      <w:r>
        <w:rPr>
          <w:u w:val="single"/>
        </w:rPr>
        <w:t>Standards</w:t>
      </w:r>
      <w:r>
        <w:rPr>
          <w:spacing w:val="-4"/>
          <w:u w:val="single"/>
        </w:rPr>
        <w:t> </w:t>
      </w:r>
      <w:r>
        <w:rPr>
          <w:u w:val="single"/>
        </w:rPr>
        <w:t>based</w:t>
      </w:r>
      <w:r>
        <w:rPr>
          <w:spacing w:val="-4"/>
          <w:u w:val="single"/>
        </w:rPr>
        <w:t> </w:t>
      </w:r>
      <w:r>
        <w:rPr>
          <w:u w:val="single"/>
        </w:rPr>
        <w:t>on</w:t>
      </w:r>
      <w:r>
        <w:rPr>
          <w:spacing w:val="-4"/>
          <w:u w:val="single"/>
        </w:rPr>
        <w:t> </w:t>
      </w:r>
      <w:r>
        <w:rPr>
          <w:u w:val="single"/>
        </w:rPr>
        <w:t>the</w:t>
      </w:r>
      <w:r>
        <w:rPr>
          <w:spacing w:val="-4"/>
          <w:u w:val="single"/>
        </w:rPr>
        <w:t> </w:t>
      </w:r>
      <w:r>
        <w:rPr>
          <w:u w:val="single"/>
        </w:rPr>
        <w:t>2009</w:t>
      </w:r>
      <w:r>
        <w:rPr>
          <w:spacing w:val="-4"/>
          <w:u w:val="single"/>
        </w:rPr>
        <w:t> </w:t>
      </w:r>
      <w:r>
        <w:rPr>
          <w:u w:val="single"/>
        </w:rPr>
        <w:t>proposal</w:t>
      </w:r>
      <w:r>
        <w:rPr>
          <w:u w:val="single"/>
          <w:vertAlign w:val="superscript"/>
        </w:rPr>
        <w:t>86</w:t>
      </w:r>
      <w:r>
        <w:rPr>
          <w:u w:val="none"/>
          <w:vertAlign w:val="baseline"/>
        </w:rPr>
        <w:t> </w:t>
      </w:r>
      <w:r>
        <w:rPr>
          <w:u w:val="single"/>
          <w:vertAlign w:val="baseline"/>
        </w:rPr>
        <w:t>($million per annum)</w:t>
      </w:r>
    </w:p>
    <w:p>
      <w:pPr>
        <w:pStyle w:val="BodyText"/>
        <w:spacing w:before="2"/>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2040"/>
        <w:gridCol w:w="2040"/>
        <w:gridCol w:w="2040"/>
      </w:tblGrid>
      <w:tr>
        <w:trPr>
          <w:trHeight w:val="332" w:hRule="atLeast"/>
        </w:trPr>
        <w:tc>
          <w:tcPr>
            <w:tcW w:w="2160" w:type="dxa"/>
          </w:tcPr>
          <w:p>
            <w:pPr>
              <w:pStyle w:val="TableParagraph"/>
              <w:spacing w:before="26"/>
              <w:ind w:left="107"/>
              <w:rPr>
                <w:b/>
                <w:sz w:val="24"/>
              </w:rPr>
            </w:pPr>
            <w:r>
              <w:rPr>
                <w:b/>
                <w:sz w:val="24"/>
              </w:rPr>
              <w:t>Annual</w:t>
            </w:r>
            <w:r>
              <w:rPr>
                <w:b/>
                <w:spacing w:val="-9"/>
                <w:sz w:val="24"/>
              </w:rPr>
              <w:t> </w:t>
            </w:r>
            <w:r>
              <w:rPr>
                <w:b/>
                <w:spacing w:val="-2"/>
                <w:sz w:val="24"/>
              </w:rPr>
              <w:t>Benefits</w:t>
            </w:r>
          </w:p>
        </w:tc>
        <w:tc>
          <w:tcPr>
            <w:tcW w:w="2040" w:type="dxa"/>
          </w:tcPr>
          <w:p>
            <w:pPr>
              <w:pStyle w:val="TableParagraph"/>
              <w:spacing w:before="26"/>
              <w:ind w:left="443"/>
              <w:rPr>
                <w:b/>
                <w:sz w:val="24"/>
              </w:rPr>
            </w:pPr>
            <w:r>
              <w:rPr>
                <w:b/>
                <w:sz w:val="24"/>
              </w:rPr>
              <w:t>@</w:t>
            </w:r>
            <w:r>
              <w:rPr>
                <w:b/>
                <w:spacing w:val="-2"/>
                <w:sz w:val="24"/>
              </w:rPr>
              <w:t> </w:t>
            </w:r>
            <w:r>
              <w:rPr>
                <w:b/>
                <w:sz w:val="24"/>
              </w:rPr>
              <w:t>4%</w:t>
            </w:r>
            <w:r>
              <w:rPr>
                <w:b/>
                <w:spacing w:val="-7"/>
                <w:sz w:val="24"/>
              </w:rPr>
              <w:t> </w:t>
            </w:r>
            <w:r>
              <w:rPr>
                <w:b/>
                <w:spacing w:val="-4"/>
                <w:sz w:val="24"/>
              </w:rPr>
              <w:t>rate</w:t>
            </w:r>
          </w:p>
        </w:tc>
        <w:tc>
          <w:tcPr>
            <w:tcW w:w="2040" w:type="dxa"/>
          </w:tcPr>
          <w:p>
            <w:pPr>
              <w:pStyle w:val="TableParagraph"/>
              <w:spacing w:before="26"/>
              <w:ind w:left="408"/>
              <w:rPr>
                <w:b/>
                <w:sz w:val="24"/>
              </w:rPr>
            </w:pPr>
            <w:r>
              <w:rPr>
                <w:b/>
                <w:sz w:val="24"/>
              </w:rPr>
              <w:t>@</w:t>
            </w:r>
            <w:r>
              <w:rPr>
                <w:b/>
                <w:spacing w:val="-2"/>
                <w:sz w:val="24"/>
              </w:rPr>
              <w:t> </w:t>
            </w:r>
            <w:r>
              <w:rPr>
                <w:b/>
                <w:sz w:val="24"/>
              </w:rPr>
              <w:t>7</w:t>
            </w:r>
            <w:r>
              <w:rPr>
                <w:b/>
                <w:spacing w:val="-2"/>
                <w:sz w:val="24"/>
              </w:rPr>
              <w:t> </w:t>
            </w:r>
            <w:r>
              <w:rPr>
                <w:b/>
                <w:sz w:val="24"/>
              </w:rPr>
              <w:t>%</w:t>
            </w:r>
            <w:r>
              <w:rPr>
                <w:b/>
                <w:spacing w:val="-5"/>
                <w:sz w:val="24"/>
              </w:rPr>
              <w:t> </w:t>
            </w:r>
            <w:r>
              <w:rPr>
                <w:b/>
                <w:spacing w:val="-4"/>
                <w:sz w:val="24"/>
              </w:rPr>
              <w:t>rate</w:t>
            </w:r>
          </w:p>
        </w:tc>
        <w:tc>
          <w:tcPr>
            <w:tcW w:w="2040" w:type="dxa"/>
          </w:tcPr>
          <w:p>
            <w:pPr>
              <w:pStyle w:val="TableParagraph"/>
              <w:spacing w:before="26"/>
              <w:ind w:left="373"/>
              <w:rPr>
                <w:b/>
                <w:sz w:val="24"/>
              </w:rPr>
            </w:pPr>
            <w:r>
              <w:rPr>
                <w:b/>
                <w:sz w:val="24"/>
              </w:rPr>
              <w:t>@</w:t>
            </w:r>
            <w:r>
              <w:rPr>
                <w:b/>
                <w:spacing w:val="-3"/>
                <w:sz w:val="24"/>
              </w:rPr>
              <w:t> </w:t>
            </w:r>
            <w:r>
              <w:rPr>
                <w:b/>
                <w:sz w:val="24"/>
              </w:rPr>
              <w:t>11%</w:t>
            </w:r>
            <w:r>
              <w:rPr>
                <w:b/>
                <w:spacing w:val="-8"/>
                <w:sz w:val="24"/>
              </w:rPr>
              <w:t> </w:t>
            </w:r>
            <w:r>
              <w:rPr>
                <w:b/>
                <w:spacing w:val="-4"/>
                <w:sz w:val="24"/>
              </w:rPr>
              <w:t>rate</w:t>
            </w:r>
          </w:p>
        </w:tc>
      </w:tr>
      <w:tr>
        <w:trPr>
          <w:trHeight w:val="883" w:hRule="atLeast"/>
        </w:trPr>
        <w:tc>
          <w:tcPr>
            <w:tcW w:w="2160" w:type="dxa"/>
          </w:tcPr>
          <w:p>
            <w:pPr>
              <w:pStyle w:val="TableParagraph"/>
              <w:spacing w:before="25"/>
              <w:ind w:left="107"/>
              <w:rPr>
                <w:sz w:val="24"/>
              </w:rPr>
            </w:pPr>
            <w:r>
              <w:rPr>
                <w:spacing w:val="-2"/>
                <w:sz w:val="24"/>
              </w:rPr>
              <w:t>Increased employment participation</w:t>
            </w:r>
          </w:p>
        </w:tc>
        <w:tc>
          <w:tcPr>
            <w:tcW w:w="2040" w:type="dxa"/>
          </w:tcPr>
          <w:p>
            <w:pPr>
              <w:pStyle w:val="TableParagraph"/>
              <w:spacing w:before="2"/>
              <w:rPr>
                <w:b/>
                <w:sz w:val="26"/>
              </w:rPr>
            </w:pPr>
          </w:p>
          <w:p>
            <w:pPr>
              <w:pStyle w:val="TableParagraph"/>
              <w:ind w:right="96"/>
              <w:jc w:val="right"/>
              <w:rPr>
                <w:sz w:val="24"/>
              </w:rPr>
            </w:pPr>
            <w:r>
              <w:rPr>
                <w:spacing w:val="-5"/>
                <w:sz w:val="24"/>
              </w:rPr>
              <w:t>150</w:t>
            </w:r>
          </w:p>
        </w:tc>
        <w:tc>
          <w:tcPr>
            <w:tcW w:w="2040" w:type="dxa"/>
          </w:tcPr>
          <w:p>
            <w:pPr>
              <w:pStyle w:val="TableParagraph"/>
              <w:spacing w:before="2"/>
              <w:rPr>
                <w:b/>
                <w:sz w:val="26"/>
              </w:rPr>
            </w:pPr>
          </w:p>
          <w:p>
            <w:pPr>
              <w:pStyle w:val="TableParagraph"/>
              <w:ind w:right="96"/>
              <w:jc w:val="right"/>
              <w:rPr>
                <w:sz w:val="24"/>
              </w:rPr>
            </w:pPr>
            <w:r>
              <w:rPr>
                <w:spacing w:val="-5"/>
                <w:sz w:val="24"/>
              </w:rPr>
              <w:t>150</w:t>
            </w:r>
          </w:p>
        </w:tc>
        <w:tc>
          <w:tcPr>
            <w:tcW w:w="2040" w:type="dxa"/>
          </w:tcPr>
          <w:p>
            <w:pPr>
              <w:pStyle w:val="TableParagraph"/>
              <w:spacing w:before="2"/>
              <w:rPr>
                <w:b/>
                <w:sz w:val="26"/>
              </w:rPr>
            </w:pPr>
          </w:p>
          <w:p>
            <w:pPr>
              <w:pStyle w:val="TableParagraph"/>
              <w:ind w:right="96"/>
              <w:jc w:val="right"/>
              <w:rPr>
                <w:sz w:val="24"/>
              </w:rPr>
            </w:pPr>
            <w:r>
              <w:rPr>
                <w:spacing w:val="-5"/>
                <w:sz w:val="24"/>
              </w:rPr>
              <w:t>150</w:t>
            </w:r>
          </w:p>
        </w:tc>
      </w:tr>
      <w:tr>
        <w:trPr>
          <w:trHeight w:val="608" w:hRule="atLeast"/>
        </w:trPr>
        <w:tc>
          <w:tcPr>
            <w:tcW w:w="2160" w:type="dxa"/>
          </w:tcPr>
          <w:p>
            <w:pPr>
              <w:pStyle w:val="TableParagraph"/>
              <w:spacing w:before="25"/>
              <w:ind w:left="107" w:right="385"/>
              <w:rPr>
                <w:sz w:val="24"/>
              </w:rPr>
            </w:pPr>
            <w:r>
              <w:rPr>
                <w:sz w:val="24"/>
              </w:rPr>
              <w:t>Reduced</w:t>
            </w:r>
            <w:r>
              <w:rPr>
                <w:spacing w:val="-17"/>
                <w:sz w:val="24"/>
              </w:rPr>
              <w:t> </w:t>
            </w:r>
            <w:r>
              <w:rPr>
                <w:sz w:val="24"/>
              </w:rPr>
              <w:t>Living </w:t>
            </w:r>
            <w:r>
              <w:rPr>
                <w:spacing w:val="-2"/>
                <w:sz w:val="24"/>
              </w:rPr>
              <w:t>costs</w:t>
            </w:r>
          </w:p>
        </w:tc>
        <w:tc>
          <w:tcPr>
            <w:tcW w:w="2040" w:type="dxa"/>
          </w:tcPr>
          <w:p>
            <w:pPr>
              <w:pStyle w:val="TableParagraph"/>
              <w:spacing w:before="163"/>
              <w:ind w:right="96"/>
              <w:jc w:val="right"/>
              <w:rPr>
                <w:sz w:val="24"/>
              </w:rPr>
            </w:pPr>
            <w:r>
              <w:rPr>
                <w:spacing w:val="-5"/>
                <w:sz w:val="24"/>
              </w:rPr>
              <w:t>910</w:t>
            </w:r>
          </w:p>
        </w:tc>
        <w:tc>
          <w:tcPr>
            <w:tcW w:w="2040" w:type="dxa"/>
          </w:tcPr>
          <w:p>
            <w:pPr>
              <w:pStyle w:val="TableParagraph"/>
              <w:spacing w:before="163"/>
              <w:ind w:right="96"/>
              <w:jc w:val="right"/>
              <w:rPr>
                <w:sz w:val="24"/>
              </w:rPr>
            </w:pPr>
            <w:r>
              <w:rPr>
                <w:spacing w:val="-5"/>
                <w:sz w:val="24"/>
              </w:rPr>
              <w:t>910</w:t>
            </w:r>
          </w:p>
        </w:tc>
        <w:tc>
          <w:tcPr>
            <w:tcW w:w="2040" w:type="dxa"/>
          </w:tcPr>
          <w:p>
            <w:pPr>
              <w:pStyle w:val="TableParagraph"/>
              <w:spacing w:before="163"/>
              <w:ind w:right="96"/>
              <w:jc w:val="right"/>
              <w:rPr>
                <w:sz w:val="24"/>
              </w:rPr>
            </w:pPr>
            <w:r>
              <w:rPr>
                <w:spacing w:val="-5"/>
                <w:sz w:val="24"/>
              </w:rPr>
              <w:t>910</w:t>
            </w:r>
          </w:p>
        </w:tc>
      </w:tr>
      <w:tr>
        <w:trPr>
          <w:trHeight w:val="607" w:hRule="atLeast"/>
        </w:trPr>
        <w:tc>
          <w:tcPr>
            <w:tcW w:w="2160" w:type="dxa"/>
          </w:tcPr>
          <w:p>
            <w:pPr>
              <w:pStyle w:val="TableParagraph"/>
              <w:spacing w:before="25"/>
              <w:ind w:left="107" w:right="345"/>
              <w:rPr>
                <w:sz w:val="24"/>
              </w:rPr>
            </w:pPr>
            <w:r>
              <w:rPr>
                <w:spacing w:val="-2"/>
                <w:sz w:val="24"/>
              </w:rPr>
              <w:t>Proportional </w:t>
            </w:r>
            <w:r>
              <w:rPr>
                <w:sz w:val="24"/>
              </w:rPr>
              <w:t>benefit</w:t>
            </w:r>
            <w:r>
              <w:rPr>
                <w:spacing w:val="-17"/>
                <w:sz w:val="24"/>
              </w:rPr>
              <w:t> </w:t>
            </w:r>
            <w:r>
              <w:rPr>
                <w:sz w:val="24"/>
              </w:rPr>
              <w:t>increase</w:t>
            </w:r>
          </w:p>
        </w:tc>
        <w:tc>
          <w:tcPr>
            <w:tcW w:w="2040" w:type="dxa"/>
          </w:tcPr>
          <w:p>
            <w:pPr>
              <w:pStyle w:val="TableParagraph"/>
              <w:spacing w:before="163"/>
              <w:ind w:right="96"/>
              <w:jc w:val="right"/>
              <w:rPr>
                <w:sz w:val="24"/>
              </w:rPr>
            </w:pPr>
            <w:r>
              <w:rPr>
                <w:spacing w:val="-5"/>
                <w:sz w:val="24"/>
              </w:rPr>
              <w:t>45</w:t>
            </w:r>
          </w:p>
        </w:tc>
        <w:tc>
          <w:tcPr>
            <w:tcW w:w="2040" w:type="dxa"/>
          </w:tcPr>
          <w:p>
            <w:pPr>
              <w:pStyle w:val="TableParagraph"/>
              <w:spacing w:before="163"/>
              <w:ind w:right="96"/>
              <w:jc w:val="right"/>
              <w:rPr>
                <w:sz w:val="24"/>
              </w:rPr>
            </w:pPr>
            <w:r>
              <w:rPr>
                <w:spacing w:val="-5"/>
                <w:sz w:val="24"/>
              </w:rPr>
              <w:t>45</w:t>
            </w:r>
          </w:p>
        </w:tc>
        <w:tc>
          <w:tcPr>
            <w:tcW w:w="2040" w:type="dxa"/>
          </w:tcPr>
          <w:p>
            <w:pPr>
              <w:pStyle w:val="TableParagraph"/>
              <w:spacing w:before="163"/>
              <w:ind w:right="96"/>
              <w:jc w:val="right"/>
              <w:rPr>
                <w:sz w:val="24"/>
              </w:rPr>
            </w:pPr>
            <w:r>
              <w:rPr>
                <w:spacing w:val="-5"/>
                <w:sz w:val="24"/>
              </w:rPr>
              <w:t>45</w:t>
            </w:r>
          </w:p>
        </w:tc>
      </w:tr>
      <w:tr>
        <w:trPr>
          <w:trHeight w:val="332" w:hRule="atLeast"/>
        </w:trPr>
        <w:tc>
          <w:tcPr>
            <w:tcW w:w="2160" w:type="dxa"/>
          </w:tcPr>
          <w:p>
            <w:pPr>
              <w:pStyle w:val="TableParagraph"/>
              <w:spacing w:before="26"/>
              <w:ind w:left="107"/>
              <w:rPr>
                <w:b/>
                <w:sz w:val="24"/>
              </w:rPr>
            </w:pPr>
            <w:r>
              <w:rPr>
                <w:b/>
                <w:spacing w:val="-2"/>
                <w:sz w:val="24"/>
              </w:rPr>
              <w:t>Total</w:t>
            </w:r>
          </w:p>
        </w:tc>
        <w:tc>
          <w:tcPr>
            <w:tcW w:w="2040" w:type="dxa"/>
          </w:tcPr>
          <w:p>
            <w:pPr>
              <w:pStyle w:val="TableParagraph"/>
              <w:spacing w:before="25"/>
              <w:ind w:right="96"/>
              <w:jc w:val="right"/>
              <w:rPr>
                <w:sz w:val="24"/>
              </w:rPr>
            </w:pPr>
            <w:r>
              <w:rPr>
                <w:spacing w:val="-2"/>
                <w:sz w:val="24"/>
              </w:rPr>
              <w:t>1,105</w:t>
            </w:r>
          </w:p>
        </w:tc>
        <w:tc>
          <w:tcPr>
            <w:tcW w:w="2040" w:type="dxa"/>
          </w:tcPr>
          <w:p>
            <w:pPr>
              <w:pStyle w:val="TableParagraph"/>
              <w:spacing w:before="25"/>
              <w:ind w:right="96"/>
              <w:jc w:val="right"/>
              <w:rPr>
                <w:sz w:val="24"/>
              </w:rPr>
            </w:pPr>
            <w:r>
              <w:rPr>
                <w:spacing w:val="-2"/>
                <w:sz w:val="24"/>
              </w:rPr>
              <w:t>1,105</w:t>
            </w:r>
          </w:p>
        </w:tc>
        <w:tc>
          <w:tcPr>
            <w:tcW w:w="2040" w:type="dxa"/>
          </w:tcPr>
          <w:p>
            <w:pPr>
              <w:pStyle w:val="TableParagraph"/>
              <w:spacing w:before="25"/>
              <w:ind w:right="96"/>
              <w:jc w:val="right"/>
              <w:rPr>
                <w:sz w:val="24"/>
              </w:rPr>
            </w:pPr>
            <w:r>
              <w:rPr>
                <w:spacing w:val="-2"/>
                <w:sz w:val="24"/>
              </w:rPr>
              <w:t>1,105</w:t>
            </w:r>
          </w:p>
        </w:tc>
      </w:tr>
      <w:tr>
        <w:trPr>
          <w:trHeight w:val="331" w:hRule="atLeast"/>
        </w:trPr>
        <w:tc>
          <w:tcPr>
            <w:tcW w:w="2160" w:type="dxa"/>
          </w:tcPr>
          <w:p>
            <w:pPr>
              <w:pStyle w:val="TableParagraph"/>
              <w:spacing w:before="26"/>
              <w:ind w:left="107"/>
              <w:rPr>
                <w:b/>
                <w:sz w:val="24"/>
              </w:rPr>
            </w:pPr>
            <w:r>
              <w:rPr>
                <w:b/>
                <w:sz w:val="24"/>
              </w:rPr>
              <w:t>Annual</w:t>
            </w:r>
            <w:r>
              <w:rPr>
                <w:b/>
                <w:spacing w:val="-14"/>
                <w:sz w:val="24"/>
              </w:rPr>
              <w:t> </w:t>
            </w:r>
            <w:r>
              <w:rPr>
                <w:b/>
                <w:spacing w:val="-2"/>
                <w:sz w:val="24"/>
              </w:rPr>
              <w:t>Costs</w:t>
            </w:r>
          </w:p>
        </w:tc>
        <w:tc>
          <w:tcPr>
            <w:tcW w:w="2040" w:type="dxa"/>
          </w:tcPr>
          <w:p>
            <w:pPr>
              <w:pStyle w:val="TableParagraph"/>
              <w:rPr>
                <w:rFonts w:ascii="Times New Roman"/>
                <w:sz w:val="22"/>
              </w:rPr>
            </w:pPr>
          </w:p>
        </w:tc>
        <w:tc>
          <w:tcPr>
            <w:tcW w:w="2040" w:type="dxa"/>
          </w:tcPr>
          <w:p>
            <w:pPr>
              <w:pStyle w:val="TableParagraph"/>
              <w:rPr>
                <w:rFonts w:ascii="Times New Roman"/>
                <w:sz w:val="22"/>
              </w:rPr>
            </w:pPr>
          </w:p>
        </w:tc>
        <w:tc>
          <w:tcPr>
            <w:tcW w:w="2040" w:type="dxa"/>
          </w:tcPr>
          <w:p>
            <w:pPr>
              <w:pStyle w:val="TableParagraph"/>
              <w:rPr>
                <w:rFonts w:ascii="Times New Roman"/>
                <w:sz w:val="22"/>
              </w:rPr>
            </w:pPr>
          </w:p>
        </w:tc>
      </w:tr>
      <w:tr>
        <w:trPr>
          <w:trHeight w:val="332" w:hRule="atLeast"/>
        </w:trPr>
        <w:tc>
          <w:tcPr>
            <w:tcW w:w="2160" w:type="dxa"/>
          </w:tcPr>
          <w:p>
            <w:pPr>
              <w:pStyle w:val="TableParagraph"/>
              <w:spacing w:before="25"/>
              <w:ind w:left="107"/>
              <w:rPr>
                <w:sz w:val="24"/>
              </w:rPr>
            </w:pPr>
            <w:r>
              <w:rPr>
                <w:sz w:val="24"/>
              </w:rPr>
              <w:t>New</w:t>
            </w:r>
            <w:r>
              <w:rPr>
                <w:spacing w:val="-8"/>
                <w:sz w:val="24"/>
              </w:rPr>
              <w:t> </w:t>
            </w:r>
            <w:r>
              <w:rPr>
                <w:spacing w:val="-2"/>
                <w:sz w:val="24"/>
              </w:rPr>
              <w:t>Buildings</w:t>
            </w:r>
          </w:p>
        </w:tc>
        <w:tc>
          <w:tcPr>
            <w:tcW w:w="2040" w:type="dxa"/>
          </w:tcPr>
          <w:p>
            <w:pPr>
              <w:pStyle w:val="TableParagraph"/>
              <w:spacing w:before="25"/>
              <w:ind w:right="97"/>
              <w:jc w:val="right"/>
              <w:rPr>
                <w:sz w:val="24"/>
              </w:rPr>
            </w:pPr>
            <w:r>
              <w:rPr>
                <w:spacing w:val="-5"/>
                <w:sz w:val="24"/>
              </w:rPr>
              <w:t>185</w:t>
            </w:r>
          </w:p>
        </w:tc>
        <w:tc>
          <w:tcPr>
            <w:tcW w:w="2040" w:type="dxa"/>
          </w:tcPr>
          <w:p>
            <w:pPr>
              <w:pStyle w:val="TableParagraph"/>
              <w:spacing w:before="25"/>
              <w:ind w:right="97"/>
              <w:jc w:val="right"/>
              <w:rPr>
                <w:sz w:val="24"/>
              </w:rPr>
            </w:pPr>
            <w:r>
              <w:rPr>
                <w:spacing w:val="-5"/>
                <w:sz w:val="24"/>
              </w:rPr>
              <w:t>185</w:t>
            </w:r>
          </w:p>
        </w:tc>
        <w:tc>
          <w:tcPr>
            <w:tcW w:w="2040" w:type="dxa"/>
          </w:tcPr>
          <w:p>
            <w:pPr>
              <w:pStyle w:val="TableParagraph"/>
              <w:spacing w:before="25"/>
              <w:ind w:right="96"/>
              <w:jc w:val="right"/>
              <w:rPr>
                <w:sz w:val="24"/>
              </w:rPr>
            </w:pPr>
            <w:r>
              <w:rPr>
                <w:sz w:val="24"/>
              </w:rPr>
              <w:t>185</w:t>
            </w:r>
            <w:r>
              <w:rPr>
                <w:spacing w:val="-7"/>
                <w:sz w:val="24"/>
              </w:rPr>
              <w:t> </w:t>
            </w:r>
            <w:r>
              <w:rPr>
                <w:spacing w:val="-4"/>
                <w:sz w:val="22"/>
              </w:rPr>
              <w:t>p.a</w:t>
            </w:r>
            <w:r>
              <w:rPr>
                <w:spacing w:val="-4"/>
                <w:sz w:val="24"/>
              </w:rPr>
              <w:t>.</w:t>
            </w:r>
          </w:p>
        </w:tc>
      </w:tr>
      <w:tr>
        <w:trPr>
          <w:trHeight w:val="332" w:hRule="atLeast"/>
        </w:trPr>
        <w:tc>
          <w:tcPr>
            <w:tcW w:w="2160" w:type="dxa"/>
          </w:tcPr>
          <w:p>
            <w:pPr>
              <w:pStyle w:val="TableParagraph"/>
              <w:spacing w:before="25"/>
              <w:ind w:left="107"/>
              <w:rPr>
                <w:sz w:val="24"/>
              </w:rPr>
            </w:pPr>
            <w:r>
              <w:rPr>
                <w:sz w:val="24"/>
              </w:rPr>
              <w:t>Building</w:t>
            </w:r>
            <w:r>
              <w:rPr>
                <w:spacing w:val="-7"/>
                <w:sz w:val="24"/>
              </w:rPr>
              <w:t> </w:t>
            </w:r>
            <w:r>
              <w:rPr>
                <w:spacing w:val="-2"/>
                <w:sz w:val="24"/>
              </w:rPr>
              <w:t>upgrades</w:t>
            </w:r>
          </w:p>
        </w:tc>
        <w:tc>
          <w:tcPr>
            <w:tcW w:w="2040" w:type="dxa"/>
          </w:tcPr>
          <w:p>
            <w:pPr>
              <w:pStyle w:val="TableParagraph"/>
              <w:spacing w:before="25"/>
              <w:ind w:right="96"/>
              <w:jc w:val="right"/>
              <w:rPr>
                <w:sz w:val="24"/>
              </w:rPr>
            </w:pPr>
            <w:r>
              <w:rPr>
                <w:spacing w:val="-4"/>
                <w:sz w:val="24"/>
              </w:rPr>
              <w:t>292</w:t>
            </w:r>
            <w:r>
              <w:rPr>
                <w:spacing w:val="-4"/>
                <w:sz w:val="24"/>
                <w:vertAlign w:val="superscript"/>
              </w:rPr>
              <w:t>87</w:t>
            </w:r>
          </w:p>
        </w:tc>
        <w:tc>
          <w:tcPr>
            <w:tcW w:w="2040" w:type="dxa"/>
          </w:tcPr>
          <w:p>
            <w:pPr>
              <w:pStyle w:val="TableParagraph"/>
              <w:spacing w:before="25"/>
              <w:ind w:right="96"/>
              <w:jc w:val="right"/>
              <w:rPr>
                <w:sz w:val="24"/>
              </w:rPr>
            </w:pPr>
            <w:r>
              <w:rPr>
                <w:spacing w:val="-4"/>
                <w:sz w:val="24"/>
              </w:rPr>
              <w:t>292</w:t>
            </w:r>
            <w:r>
              <w:rPr>
                <w:spacing w:val="-4"/>
                <w:sz w:val="24"/>
                <w:vertAlign w:val="superscript"/>
              </w:rPr>
              <w:t>88</w:t>
            </w:r>
          </w:p>
        </w:tc>
        <w:tc>
          <w:tcPr>
            <w:tcW w:w="2040" w:type="dxa"/>
          </w:tcPr>
          <w:p>
            <w:pPr>
              <w:pStyle w:val="TableParagraph"/>
              <w:spacing w:before="25"/>
              <w:ind w:right="96"/>
              <w:jc w:val="right"/>
              <w:rPr>
                <w:sz w:val="24"/>
              </w:rPr>
            </w:pPr>
            <w:r>
              <w:rPr>
                <w:spacing w:val="-4"/>
                <w:sz w:val="24"/>
              </w:rPr>
              <w:t>292</w:t>
            </w:r>
            <w:r>
              <w:rPr>
                <w:spacing w:val="-4"/>
                <w:sz w:val="24"/>
                <w:vertAlign w:val="superscript"/>
              </w:rPr>
              <w:t>89</w:t>
            </w:r>
          </w:p>
        </w:tc>
      </w:tr>
      <w:tr>
        <w:trPr>
          <w:trHeight w:val="883" w:hRule="atLeast"/>
        </w:trPr>
        <w:tc>
          <w:tcPr>
            <w:tcW w:w="2160" w:type="dxa"/>
          </w:tcPr>
          <w:p>
            <w:pPr>
              <w:pStyle w:val="TableParagraph"/>
              <w:spacing w:before="25"/>
              <w:ind w:left="107" w:right="385"/>
              <w:rPr>
                <w:sz w:val="24"/>
              </w:rPr>
            </w:pPr>
            <w:r>
              <w:rPr>
                <w:sz w:val="24"/>
              </w:rPr>
              <w:t>Lost NLA </w:t>
            </w:r>
            <w:r>
              <w:rPr>
                <w:spacing w:val="-2"/>
                <w:sz w:val="24"/>
              </w:rPr>
              <w:t>(building upgrades)</w:t>
            </w:r>
          </w:p>
        </w:tc>
        <w:tc>
          <w:tcPr>
            <w:tcW w:w="2040" w:type="dxa"/>
          </w:tcPr>
          <w:p>
            <w:pPr>
              <w:pStyle w:val="TableParagraph"/>
              <w:spacing w:before="2"/>
              <w:rPr>
                <w:b/>
                <w:sz w:val="26"/>
              </w:rPr>
            </w:pPr>
          </w:p>
          <w:p>
            <w:pPr>
              <w:pStyle w:val="TableParagraph"/>
              <w:ind w:right="96"/>
              <w:jc w:val="right"/>
              <w:rPr>
                <w:sz w:val="24"/>
              </w:rPr>
            </w:pPr>
            <w:r>
              <w:rPr>
                <w:spacing w:val="-5"/>
                <w:sz w:val="24"/>
              </w:rPr>
              <w:t>156</w:t>
            </w:r>
          </w:p>
        </w:tc>
        <w:tc>
          <w:tcPr>
            <w:tcW w:w="2040" w:type="dxa"/>
          </w:tcPr>
          <w:p>
            <w:pPr>
              <w:pStyle w:val="TableParagraph"/>
              <w:spacing w:before="2"/>
              <w:rPr>
                <w:b/>
                <w:sz w:val="26"/>
              </w:rPr>
            </w:pPr>
          </w:p>
          <w:p>
            <w:pPr>
              <w:pStyle w:val="TableParagraph"/>
              <w:ind w:right="96"/>
              <w:jc w:val="right"/>
              <w:rPr>
                <w:sz w:val="24"/>
              </w:rPr>
            </w:pPr>
            <w:r>
              <w:rPr>
                <w:spacing w:val="-5"/>
                <w:sz w:val="24"/>
              </w:rPr>
              <w:t>156</w:t>
            </w:r>
          </w:p>
        </w:tc>
        <w:tc>
          <w:tcPr>
            <w:tcW w:w="2040" w:type="dxa"/>
          </w:tcPr>
          <w:p>
            <w:pPr>
              <w:pStyle w:val="TableParagraph"/>
              <w:spacing w:before="2"/>
              <w:rPr>
                <w:b/>
                <w:sz w:val="26"/>
              </w:rPr>
            </w:pPr>
          </w:p>
          <w:p>
            <w:pPr>
              <w:pStyle w:val="TableParagraph"/>
              <w:ind w:right="96"/>
              <w:jc w:val="right"/>
              <w:rPr>
                <w:sz w:val="24"/>
              </w:rPr>
            </w:pPr>
            <w:r>
              <w:rPr>
                <w:spacing w:val="-5"/>
                <w:sz w:val="24"/>
              </w:rPr>
              <w:t>156</w:t>
            </w:r>
          </w:p>
        </w:tc>
      </w:tr>
      <w:tr>
        <w:trPr>
          <w:trHeight w:val="331" w:hRule="atLeast"/>
        </w:trPr>
        <w:tc>
          <w:tcPr>
            <w:tcW w:w="2160" w:type="dxa"/>
          </w:tcPr>
          <w:p>
            <w:pPr>
              <w:pStyle w:val="TableParagraph"/>
              <w:spacing w:before="25"/>
              <w:ind w:left="107"/>
              <w:rPr>
                <w:sz w:val="24"/>
              </w:rPr>
            </w:pPr>
            <w:r>
              <w:rPr>
                <w:spacing w:val="-2"/>
                <w:sz w:val="24"/>
              </w:rPr>
              <w:t>Total</w:t>
            </w:r>
          </w:p>
        </w:tc>
        <w:tc>
          <w:tcPr>
            <w:tcW w:w="2040" w:type="dxa"/>
          </w:tcPr>
          <w:p>
            <w:pPr>
              <w:pStyle w:val="TableParagraph"/>
              <w:spacing w:before="25"/>
              <w:ind w:right="96"/>
              <w:jc w:val="right"/>
              <w:rPr>
                <w:sz w:val="24"/>
              </w:rPr>
            </w:pPr>
            <w:r>
              <w:rPr>
                <w:spacing w:val="-5"/>
                <w:sz w:val="24"/>
              </w:rPr>
              <w:t>633</w:t>
            </w:r>
          </w:p>
        </w:tc>
        <w:tc>
          <w:tcPr>
            <w:tcW w:w="2040" w:type="dxa"/>
          </w:tcPr>
          <w:p>
            <w:pPr>
              <w:pStyle w:val="TableParagraph"/>
              <w:spacing w:before="25"/>
              <w:ind w:right="96"/>
              <w:jc w:val="right"/>
              <w:rPr>
                <w:sz w:val="24"/>
              </w:rPr>
            </w:pPr>
            <w:r>
              <w:rPr>
                <w:spacing w:val="-5"/>
                <w:sz w:val="24"/>
              </w:rPr>
              <w:t>633</w:t>
            </w:r>
          </w:p>
        </w:tc>
        <w:tc>
          <w:tcPr>
            <w:tcW w:w="2040" w:type="dxa"/>
          </w:tcPr>
          <w:p>
            <w:pPr>
              <w:pStyle w:val="TableParagraph"/>
              <w:spacing w:before="25"/>
              <w:ind w:right="96"/>
              <w:jc w:val="right"/>
              <w:rPr>
                <w:sz w:val="24"/>
              </w:rPr>
            </w:pPr>
            <w:r>
              <w:rPr>
                <w:spacing w:val="-5"/>
                <w:sz w:val="24"/>
              </w:rPr>
              <w:t>633</w:t>
            </w:r>
          </w:p>
        </w:tc>
      </w:tr>
    </w:tbl>
    <w:p>
      <w:pPr>
        <w:pStyle w:val="BodyText"/>
        <w:rPr>
          <w:b/>
          <w:sz w:val="26"/>
        </w:rPr>
      </w:pPr>
    </w:p>
    <w:p>
      <w:pPr>
        <w:spacing w:before="219"/>
        <w:ind w:left="420" w:right="1248" w:firstLine="0"/>
        <w:jc w:val="both"/>
        <w:rPr>
          <w:b/>
          <w:sz w:val="24"/>
        </w:rPr>
      </w:pPr>
      <w:r>
        <w:rPr>
          <w:b/>
          <w:sz w:val="24"/>
          <w:u w:val="single"/>
        </w:rPr>
        <w:t>Table 15b (REPRODUCED AND REVISED):</w:t>
      </w:r>
      <w:r>
        <w:rPr>
          <w:b/>
          <w:spacing w:val="40"/>
          <w:sz w:val="24"/>
          <w:u w:val="single"/>
        </w:rPr>
        <w:t> </w:t>
      </w:r>
      <w:r>
        <w:rPr>
          <w:b/>
          <w:sz w:val="24"/>
          <w:u w:val="single"/>
        </w:rPr>
        <w:t>Summary</w:t>
      </w:r>
      <w:r>
        <w:rPr>
          <w:b/>
          <w:spacing w:val="-3"/>
          <w:sz w:val="24"/>
          <w:u w:val="single"/>
        </w:rPr>
        <w:t> </w:t>
      </w:r>
      <w:r>
        <w:rPr>
          <w:b/>
          <w:sz w:val="24"/>
          <w:u w:val="single"/>
        </w:rPr>
        <w:t>of benefits and</w:t>
      </w:r>
      <w:r>
        <w:rPr>
          <w:b/>
          <w:sz w:val="24"/>
        </w:rPr>
        <w:t> </w:t>
      </w:r>
      <w:r>
        <w:rPr>
          <w:b/>
          <w:sz w:val="24"/>
          <w:u w:val="single"/>
        </w:rPr>
        <w:t>costs</w:t>
      </w:r>
      <w:r>
        <w:rPr>
          <w:b/>
          <w:spacing w:val="-4"/>
          <w:sz w:val="24"/>
          <w:u w:val="single"/>
        </w:rPr>
        <w:t> </w:t>
      </w:r>
      <w:r>
        <w:rPr>
          <w:b/>
          <w:sz w:val="24"/>
          <w:u w:val="single"/>
        </w:rPr>
        <w:t>of</w:t>
      </w:r>
      <w:r>
        <w:rPr>
          <w:b/>
          <w:spacing w:val="-4"/>
          <w:sz w:val="24"/>
          <w:u w:val="single"/>
        </w:rPr>
        <w:t> </w:t>
      </w:r>
      <w:r>
        <w:rPr>
          <w:b/>
          <w:sz w:val="24"/>
          <w:u w:val="single"/>
        </w:rPr>
        <w:t>proposed</w:t>
      </w:r>
      <w:r>
        <w:rPr>
          <w:b/>
          <w:spacing w:val="-4"/>
          <w:sz w:val="24"/>
          <w:u w:val="single"/>
        </w:rPr>
        <w:t> </w:t>
      </w:r>
      <w:r>
        <w:rPr>
          <w:b/>
          <w:sz w:val="24"/>
          <w:u w:val="single"/>
        </w:rPr>
        <w:t>Premises</w:t>
      </w:r>
      <w:r>
        <w:rPr>
          <w:b/>
          <w:spacing w:val="-4"/>
          <w:sz w:val="24"/>
          <w:u w:val="single"/>
        </w:rPr>
        <w:t> </w:t>
      </w:r>
      <w:r>
        <w:rPr>
          <w:b/>
          <w:sz w:val="24"/>
          <w:u w:val="single"/>
        </w:rPr>
        <w:t>Standards</w:t>
      </w:r>
      <w:r>
        <w:rPr>
          <w:b/>
          <w:spacing w:val="-4"/>
          <w:sz w:val="24"/>
          <w:u w:val="single"/>
        </w:rPr>
        <w:t> </w:t>
      </w:r>
      <w:r>
        <w:rPr>
          <w:b/>
          <w:sz w:val="24"/>
          <w:u w:val="single"/>
        </w:rPr>
        <w:t>based</w:t>
      </w:r>
      <w:r>
        <w:rPr>
          <w:b/>
          <w:spacing w:val="-4"/>
          <w:sz w:val="24"/>
          <w:u w:val="single"/>
        </w:rPr>
        <w:t> </w:t>
      </w:r>
      <w:r>
        <w:rPr>
          <w:b/>
          <w:sz w:val="24"/>
          <w:u w:val="single"/>
        </w:rPr>
        <w:t>on</w:t>
      </w:r>
      <w:r>
        <w:rPr>
          <w:b/>
          <w:spacing w:val="-4"/>
          <w:sz w:val="24"/>
          <w:u w:val="single"/>
        </w:rPr>
        <w:t> </w:t>
      </w:r>
      <w:r>
        <w:rPr>
          <w:b/>
          <w:sz w:val="24"/>
          <w:u w:val="single"/>
        </w:rPr>
        <w:t>the</w:t>
      </w:r>
      <w:r>
        <w:rPr>
          <w:b/>
          <w:spacing w:val="-4"/>
          <w:sz w:val="24"/>
          <w:u w:val="single"/>
        </w:rPr>
        <w:t> </w:t>
      </w:r>
      <w:r>
        <w:rPr>
          <w:b/>
          <w:sz w:val="24"/>
          <w:u w:val="single"/>
        </w:rPr>
        <w:t>2009</w:t>
      </w:r>
      <w:r>
        <w:rPr>
          <w:b/>
          <w:spacing w:val="-4"/>
          <w:sz w:val="24"/>
          <w:u w:val="single"/>
        </w:rPr>
        <w:t> </w:t>
      </w:r>
      <w:r>
        <w:rPr>
          <w:b/>
          <w:sz w:val="24"/>
          <w:u w:val="single"/>
        </w:rPr>
        <w:t>proposal</w:t>
      </w:r>
      <w:r>
        <w:rPr>
          <w:b/>
          <w:sz w:val="24"/>
          <w:u w:val="single"/>
          <w:vertAlign w:val="superscript"/>
        </w:rPr>
        <w:t>90</w:t>
      </w:r>
      <w:r>
        <w:rPr>
          <w:b/>
          <w:sz w:val="24"/>
          <w:vertAlign w:val="baseline"/>
        </w:rPr>
        <w:t> </w:t>
      </w:r>
      <w:r>
        <w:rPr>
          <w:b/>
          <w:spacing w:val="-2"/>
          <w:sz w:val="24"/>
          <w:u w:val="single"/>
          <w:vertAlign w:val="baseline"/>
        </w:rPr>
        <w:t>($billion)</w:t>
      </w:r>
    </w:p>
    <w:p>
      <w:pPr>
        <w:pStyle w:val="BodyText"/>
        <w:rPr>
          <w:b/>
          <w:sz w:val="27"/>
        </w:rPr>
      </w:pPr>
      <w:r>
        <w:rPr/>
        <w:pict>
          <v:rect style="position:absolute;margin-left:90pt;margin-top:16.754786pt;width:144pt;height:.6pt;mso-position-horizontal-relative:page;mso-position-vertical-relative:paragraph;z-index:-15693312;mso-wrap-distance-left:0;mso-wrap-distance-right:0" id="docshape84" filled="true" fillcolor="#000000" stroked="false">
            <v:fill type="solid"/>
            <w10:wrap type="topAndBottom"/>
          </v:rect>
        </w:pict>
      </w:r>
    </w:p>
    <w:p>
      <w:pPr>
        <w:pStyle w:val="BodyText"/>
        <w:spacing w:before="1"/>
        <w:rPr>
          <w:b/>
          <w:sz w:val="8"/>
        </w:rPr>
      </w:pPr>
    </w:p>
    <w:p>
      <w:pPr>
        <w:spacing w:before="130"/>
        <w:ind w:left="419" w:right="810" w:firstLine="0"/>
        <w:jc w:val="both"/>
        <w:rPr>
          <w:sz w:val="20"/>
        </w:rPr>
      </w:pPr>
      <w:r>
        <w:rPr>
          <w:sz w:val="20"/>
          <w:vertAlign w:val="superscript"/>
        </w:rPr>
        <w:t>86</w:t>
      </w:r>
      <w:r>
        <w:rPr>
          <w:sz w:val="20"/>
          <w:vertAlign w:val="baseline"/>
        </w:rPr>
        <w:t> All annual figures contained in this table constitute “steady state” estimates – i.e. they</w:t>
      </w:r>
      <w:r>
        <w:rPr>
          <w:spacing w:val="40"/>
          <w:sz w:val="20"/>
          <w:vertAlign w:val="baseline"/>
        </w:rPr>
        <w:t> </w:t>
      </w:r>
      <w:r>
        <w:rPr>
          <w:sz w:val="20"/>
          <w:vertAlign w:val="baseline"/>
        </w:rPr>
        <w:t>reflect the situation after the full implementation of the Standard.</w:t>
      </w:r>
      <w:r>
        <w:rPr>
          <w:spacing w:val="40"/>
          <w:sz w:val="20"/>
          <w:vertAlign w:val="baseline"/>
        </w:rPr>
        <w:t> </w:t>
      </w:r>
      <w:r>
        <w:rPr>
          <w:sz w:val="20"/>
          <w:vertAlign w:val="baseline"/>
        </w:rPr>
        <w:t>In the case of the benefit estimates, they reflect the situation after the completion of the assumed 15 year renovation cycle and thus relate to a situation in which all buildings have been made accessible to the extent required by the Standard, at least in relation to building upgrade works.</w:t>
      </w:r>
    </w:p>
    <w:p>
      <w:pPr>
        <w:spacing w:before="0"/>
        <w:ind w:left="420" w:right="811" w:hanging="1"/>
        <w:jc w:val="left"/>
        <w:rPr>
          <w:sz w:val="20"/>
        </w:rPr>
      </w:pPr>
      <w:r>
        <w:rPr>
          <w:sz w:val="20"/>
          <w:vertAlign w:val="superscript"/>
        </w:rPr>
        <w:t>87</w:t>
      </w:r>
      <w:r>
        <w:rPr>
          <w:spacing w:val="-2"/>
          <w:sz w:val="20"/>
          <w:vertAlign w:val="baseline"/>
        </w:rPr>
        <w:t> </w:t>
      </w:r>
      <w:r>
        <w:rPr>
          <w:sz w:val="20"/>
          <w:vertAlign w:val="baseline"/>
        </w:rPr>
        <w:t>Gross</w:t>
      </w:r>
      <w:r>
        <w:rPr>
          <w:spacing w:val="-2"/>
          <w:sz w:val="20"/>
          <w:vertAlign w:val="baseline"/>
        </w:rPr>
        <w:t> </w:t>
      </w:r>
      <w:r>
        <w:rPr>
          <w:sz w:val="20"/>
          <w:vertAlign w:val="baseline"/>
        </w:rPr>
        <w:t>cost</w:t>
      </w:r>
      <w:r>
        <w:rPr>
          <w:spacing w:val="-2"/>
          <w:sz w:val="20"/>
          <w:vertAlign w:val="baseline"/>
        </w:rPr>
        <w:t> </w:t>
      </w:r>
      <w:r>
        <w:rPr>
          <w:sz w:val="20"/>
          <w:vertAlign w:val="baseline"/>
        </w:rPr>
        <w:t>estimate</w:t>
      </w:r>
      <w:r>
        <w:rPr>
          <w:spacing w:val="-2"/>
          <w:sz w:val="20"/>
          <w:vertAlign w:val="baseline"/>
        </w:rPr>
        <w:t> </w:t>
      </w:r>
      <w:r>
        <w:rPr>
          <w:sz w:val="20"/>
          <w:vertAlign w:val="baseline"/>
        </w:rPr>
        <w:t>of</w:t>
      </w:r>
      <w:r>
        <w:rPr>
          <w:spacing w:val="-2"/>
          <w:sz w:val="20"/>
          <w:vertAlign w:val="baseline"/>
        </w:rPr>
        <w:t> </w:t>
      </w:r>
      <w:r>
        <w:rPr>
          <w:sz w:val="20"/>
          <w:vertAlign w:val="baseline"/>
        </w:rPr>
        <w:t>$312</w:t>
      </w:r>
      <w:r>
        <w:rPr>
          <w:spacing w:val="-2"/>
          <w:sz w:val="20"/>
          <w:vertAlign w:val="baseline"/>
        </w:rPr>
        <w:t> </w:t>
      </w:r>
      <w:r>
        <w:rPr>
          <w:sz w:val="20"/>
          <w:vertAlign w:val="baseline"/>
        </w:rPr>
        <w:t>million</w:t>
      </w:r>
      <w:r>
        <w:rPr>
          <w:spacing w:val="-2"/>
          <w:sz w:val="20"/>
          <w:vertAlign w:val="baseline"/>
        </w:rPr>
        <w:t> </w:t>
      </w:r>
      <w:r>
        <w:rPr>
          <w:sz w:val="20"/>
          <w:vertAlign w:val="baseline"/>
        </w:rPr>
        <w:t>less</w:t>
      </w:r>
      <w:r>
        <w:rPr>
          <w:spacing w:val="-2"/>
          <w:sz w:val="20"/>
          <w:vertAlign w:val="baseline"/>
        </w:rPr>
        <w:t> </w:t>
      </w:r>
      <w:r>
        <w:rPr>
          <w:sz w:val="20"/>
          <w:vertAlign w:val="baseline"/>
        </w:rPr>
        <w:t>reduction</w:t>
      </w:r>
      <w:r>
        <w:rPr>
          <w:spacing w:val="-2"/>
          <w:sz w:val="20"/>
          <w:vertAlign w:val="baseline"/>
        </w:rPr>
        <w:t> </w:t>
      </w:r>
      <w:r>
        <w:rPr>
          <w:sz w:val="20"/>
          <w:vertAlign w:val="baseline"/>
        </w:rPr>
        <w:t>in</w:t>
      </w:r>
      <w:r>
        <w:rPr>
          <w:spacing w:val="-3"/>
          <w:sz w:val="20"/>
          <w:vertAlign w:val="baseline"/>
        </w:rPr>
        <w:t> </w:t>
      </w:r>
      <w:r>
        <w:rPr>
          <w:sz w:val="20"/>
          <w:vertAlign w:val="baseline"/>
        </w:rPr>
        <w:t>cost</w:t>
      </w:r>
      <w:r>
        <w:rPr>
          <w:spacing w:val="-2"/>
          <w:sz w:val="20"/>
          <w:vertAlign w:val="baseline"/>
        </w:rPr>
        <w:t> </w:t>
      </w:r>
      <w:r>
        <w:rPr>
          <w:sz w:val="20"/>
          <w:vertAlign w:val="baseline"/>
        </w:rPr>
        <w:t>of</w:t>
      </w:r>
      <w:r>
        <w:rPr>
          <w:spacing w:val="-2"/>
          <w:sz w:val="20"/>
          <w:vertAlign w:val="baseline"/>
        </w:rPr>
        <w:t> </w:t>
      </w:r>
      <w:r>
        <w:rPr>
          <w:sz w:val="20"/>
          <w:vertAlign w:val="baseline"/>
        </w:rPr>
        <w:t>$20</w:t>
      </w:r>
      <w:r>
        <w:rPr>
          <w:spacing w:val="-3"/>
          <w:sz w:val="20"/>
          <w:vertAlign w:val="baseline"/>
        </w:rPr>
        <w:t> </w:t>
      </w:r>
      <w:r>
        <w:rPr>
          <w:sz w:val="20"/>
          <w:vertAlign w:val="baseline"/>
        </w:rPr>
        <w:t>million</w:t>
      </w:r>
      <w:r>
        <w:rPr>
          <w:spacing w:val="-2"/>
          <w:sz w:val="20"/>
          <w:vertAlign w:val="baseline"/>
        </w:rPr>
        <w:t> </w:t>
      </w:r>
      <w:r>
        <w:rPr>
          <w:sz w:val="20"/>
          <w:vertAlign w:val="baseline"/>
        </w:rPr>
        <w:t>due</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operation of unjustifiable hardship provisions.</w:t>
      </w:r>
    </w:p>
    <w:p>
      <w:pPr>
        <w:spacing w:before="0"/>
        <w:ind w:left="420" w:right="811" w:hanging="1"/>
        <w:jc w:val="left"/>
        <w:rPr>
          <w:sz w:val="20"/>
        </w:rPr>
      </w:pPr>
      <w:r>
        <w:rPr>
          <w:sz w:val="20"/>
          <w:vertAlign w:val="superscript"/>
        </w:rPr>
        <w:t>88</w:t>
      </w:r>
      <w:r>
        <w:rPr>
          <w:spacing w:val="-2"/>
          <w:sz w:val="20"/>
          <w:vertAlign w:val="baseline"/>
        </w:rPr>
        <w:t> </w:t>
      </w:r>
      <w:r>
        <w:rPr>
          <w:sz w:val="20"/>
          <w:vertAlign w:val="baseline"/>
        </w:rPr>
        <w:t>Gross</w:t>
      </w:r>
      <w:r>
        <w:rPr>
          <w:spacing w:val="-2"/>
          <w:sz w:val="20"/>
          <w:vertAlign w:val="baseline"/>
        </w:rPr>
        <w:t> </w:t>
      </w:r>
      <w:r>
        <w:rPr>
          <w:sz w:val="20"/>
          <w:vertAlign w:val="baseline"/>
        </w:rPr>
        <w:t>cost</w:t>
      </w:r>
      <w:r>
        <w:rPr>
          <w:spacing w:val="-2"/>
          <w:sz w:val="20"/>
          <w:vertAlign w:val="baseline"/>
        </w:rPr>
        <w:t> </w:t>
      </w:r>
      <w:r>
        <w:rPr>
          <w:sz w:val="20"/>
          <w:vertAlign w:val="baseline"/>
        </w:rPr>
        <w:t>estimate</w:t>
      </w:r>
      <w:r>
        <w:rPr>
          <w:spacing w:val="-2"/>
          <w:sz w:val="20"/>
          <w:vertAlign w:val="baseline"/>
        </w:rPr>
        <w:t> </w:t>
      </w:r>
      <w:r>
        <w:rPr>
          <w:sz w:val="20"/>
          <w:vertAlign w:val="baseline"/>
        </w:rPr>
        <w:t>of</w:t>
      </w:r>
      <w:r>
        <w:rPr>
          <w:spacing w:val="-2"/>
          <w:sz w:val="20"/>
          <w:vertAlign w:val="baseline"/>
        </w:rPr>
        <w:t> </w:t>
      </w:r>
      <w:r>
        <w:rPr>
          <w:sz w:val="20"/>
          <w:vertAlign w:val="baseline"/>
        </w:rPr>
        <w:t>$312</w:t>
      </w:r>
      <w:r>
        <w:rPr>
          <w:spacing w:val="-2"/>
          <w:sz w:val="20"/>
          <w:vertAlign w:val="baseline"/>
        </w:rPr>
        <w:t> </w:t>
      </w:r>
      <w:r>
        <w:rPr>
          <w:sz w:val="20"/>
          <w:vertAlign w:val="baseline"/>
        </w:rPr>
        <w:t>million</w:t>
      </w:r>
      <w:r>
        <w:rPr>
          <w:spacing w:val="-2"/>
          <w:sz w:val="20"/>
          <w:vertAlign w:val="baseline"/>
        </w:rPr>
        <w:t> </w:t>
      </w:r>
      <w:r>
        <w:rPr>
          <w:sz w:val="20"/>
          <w:vertAlign w:val="baseline"/>
        </w:rPr>
        <w:t>less</w:t>
      </w:r>
      <w:r>
        <w:rPr>
          <w:spacing w:val="-2"/>
          <w:sz w:val="20"/>
          <w:vertAlign w:val="baseline"/>
        </w:rPr>
        <w:t> </w:t>
      </w:r>
      <w:r>
        <w:rPr>
          <w:sz w:val="20"/>
          <w:vertAlign w:val="baseline"/>
        </w:rPr>
        <w:t>reduction</w:t>
      </w:r>
      <w:r>
        <w:rPr>
          <w:spacing w:val="-2"/>
          <w:sz w:val="20"/>
          <w:vertAlign w:val="baseline"/>
        </w:rPr>
        <w:t> </w:t>
      </w:r>
      <w:r>
        <w:rPr>
          <w:sz w:val="20"/>
          <w:vertAlign w:val="baseline"/>
        </w:rPr>
        <w:t>in</w:t>
      </w:r>
      <w:r>
        <w:rPr>
          <w:spacing w:val="-3"/>
          <w:sz w:val="20"/>
          <w:vertAlign w:val="baseline"/>
        </w:rPr>
        <w:t> </w:t>
      </w:r>
      <w:r>
        <w:rPr>
          <w:sz w:val="20"/>
          <w:vertAlign w:val="baseline"/>
        </w:rPr>
        <w:t>cost</w:t>
      </w:r>
      <w:r>
        <w:rPr>
          <w:spacing w:val="-2"/>
          <w:sz w:val="20"/>
          <w:vertAlign w:val="baseline"/>
        </w:rPr>
        <w:t> </w:t>
      </w:r>
      <w:r>
        <w:rPr>
          <w:sz w:val="20"/>
          <w:vertAlign w:val="baseline"/>
        </w:rPr>
        <w:t>of</w:t>
      </w:r>
      <w:r>
        <w:rPr>
          <w:spacing w:val="-2"/>
          <w:sz w:val="20"/>
          <w:vertAlign w:val="baseline"/>
        </w:rPr>
        <w:t> </w:t>
      </w:r>
      <w:r>
        <w:rPr>
          <w:sz w:val="20"/>
          <w:vertAlign w:val="baseline"/>
        </w:rPr>
        <w:t>$20</w:t>
      </w:r>
      <w:r>
        <w:rPr>
          <w:spacing w:val="-3"/>
          <w:sz w:val="20"/>
          <w:vertAlign w:val="baseline"/>
        </w:rPr>
        <w:t> </w:t>
      </w:r>
      <w:r>
        <w:rPr>
          <w:sz w:val="20"/>
          <w:vertAlign w:val="baseline"/>
        </w:rPr>
        <w:t>million</w:t>
      </w:r>
      <w:r>
        <w:rPr>
          <w:spacing w:val="-2"/>
          <w:sz w:val="20"/>
          <w:vertAlign w:val="baseline"/>
        </w:rPr>
        <w:t> </w:t>
      </w:r>
      <w:r>
        <w:rPr>
          <w:sz w:val="20"/>
          <w:vertAlign w:val="baseline"/>
        </w:rPr>
        <w:t>due</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operation of unjustifiable hardship provisions.</w:t>
      </w:r>
    </w:p>
    <w:p>
      <w:pPr>
        <w:spacing w:before="0"/>
        <w:ind w:left="420" w:right="811" w:hanging="1"/>
        <w:jc w:val="left"/>
        <w:rPr>
          <w:sz w:val="20"/>
        </w:rPr>
      </w:pPr>
      <w:r>
        <w:rPr>
          <w:sz w:val="20"/>
          <w:vertAlign w:val="superscript"/>
        </w:rPr>
        <w:t>89</w:t>
      </w:r>
      <w:r>
        <w:rPr>
          <w:spacing w:val="-2"/>
          <w:sz w:val="20"/>
          <w:vertAlign w:val="baseline"/>
        </w:rPr>
        <w:t> </w:t>
      </w:r>
      <w:r>
        <w:rPr>
          <w:sz w:val="20"/>
          <w:vertAlign w:val="baseline"/>
        </w:rPr>
        <w:t>Gross</w:t>
      </w:r>
      <w:r>
        <w:rPr>
          <w:spacing w:val="-2"/>
          <w:sz w:val="20"/>
          <w:vertAlign w:val="baseline"/>
        </w:rPr>
        <w:t> </w:t>
      </w:r>
      <w:r>
        <w:rPr>
          <w:sz w:val="20"/>
          <w:vertAlign w:val="baseline"/>
        </w:rPr>
        <w:t>cost</w:t>
      </w:r>
      <w:r>
        <w:rPr>
          <w:spacing w:val="-2"/>
          <w:sz w:val="20"/>
          <w:vertAlign w:val="baseline"/>
        </w:rPr>
        <w:t> </w:t>
      </w:r>
      <w:r>
        <w:rPr>
          <w:sz w:val="20"/>
          <w:vertAlign w:val="baseline"/>
        </w:rPr>
        <w:t>estimate</w:t>
      </w:r>
      <w:r>
        <w:rPr>
          <w:spacing w:val="-2"/>
          <w:sz w:val="20"/>
          <w:vertAlign w:val="baseline"/>
        </w:rPr>
        <w:t> </w:t>
      </w:r>
      <w:r>
        <w:rPr>
          <w:sz w:val="20"/>
          <w:vertAlign w:val="baseline"/>
        </w:rPr>
        <w:t>of</w:t>
      </w:r>
      <w:r>
        <w:rPr>
          <w:spacing w:val="-2"/>
          <w:sz w:val="20"/>
          <w:vertAlign w:val="baseline"/>
        </w:rPr>
        <w:t> </w:t>
      </w:r>
      <w:r>
        <w:rPr>
          <w:sz w:val="20"/>
          <w:vertAlign w:val="baseline"/>
        </w:rPr>
        <w:t>$312</w:t>
      </w:r>
      <w:r>
        <w:rPr>
          <w:spacing w:val="-2"/>
          <w:sz w:val="20"/>
          <w:vertAlign w:val="baseline"/>
        </w:rPr>
        <w:t> </w:t>
      </w:r>
      <w:r>
        <w:rPr>
          <w:sz w:val="20"/>
          <w:vertAlign w:val="baseline"/>
        </w:rPr>
        <w:t>million</w:t>
      </w:r>
      <w:r>
        <w:rPr>
          <w:spacing w:val="-2"/>
          <w:sz w:val="20"/>
          <w:vertAlign w:val="baseline"/>
        </w:rPr>
        <w:t> </w:t>
      </w:r>
      <w:r>
        <w:rPr>
          <w:sz w:val="20"/>
          <w:vertAlign w:val="baseline"/>
        </w:rPr>
        <w:t>less</w:t>
      </w:r>
      <w:r>
        <w:rPr>
          <w:spacing w:val="-2"/>
          <w:sz w:val="20"/>
          <w:vertAlign w:val="baseline"/>
        </w:rPr>
        <w:t> </w:t>
      </w:r>
      <w:r>
        <w:rPr>
          <w:sz w:val="20"/>
          <w:vertAlign w:val="baseline"/>
        </w:rPr>
        <w:t>reduction</w:t>
      </w:r>
      <w:r>
        <w:rPr>
          <w:spacing w:val="-2"/>
          <w:sz w:val="20"/>
          <w:vertAlign w:val="baseline"/>
        </w:rPr>
        <w:t> </w:t>
      </w:r>
      <w:r>
        <w:rPr>
          <w:sz w:val="20"/>
          <w:vertAlign w:val="baseline"/>
        </w:rPr>
        <w:t>in</w:t>
      </w:r>
      <w:r>
        <w:rPr>
          <w:spacing w:val="-3"/>
          <w:sz w:val="20"/>
          <w:vertAlign w:val="baseline"/>
        </w:rPr>
        <w:t> </w:t>
      </w:r>
      <w:r>
        <w:rPr>
          <w:sz w:val="20"/>
          <w:vertAlign w:val="baseline"/>
        </w:rPr>
        <w:t>cost</w:t>
      </w:r>
      <w:r>
        <w:rPr>
          <w:spacing w:val="-2"/>
          <w:sz w:val="20"/>
          <w:vertAlign w:val="baseline"/>
        </w:rPr>
        <w:t> </w:t>
      </w:r>
      <w:r>
        <w:rPr>
          <w:sz w:val="20"/>
          <w:vertAlign w:val="baseline"/>
        </w:rPr>
        <w:t>of</w:t>
      </w:r>
      <w:r>
        <w:rPr>
          <w:spacing w:val="-2"/>
          <w:sz w:val="20"/>
          <w:vertAlign w:val="baseline"/>
        </w:rPr>
        <w:t> </w:t>
      </w:r>
      <w:r>
        <w:rPr>
          <w:sz w:val="20"/>
          <w:vertAlign w:val="baseline"/>
        </w:rPr>
        <w:t>$20</w:t>
      </w:r>
      <w:r>
        <w:rPr>
          <w:spacing w:val="-3"/>
          <w:sz w:val="20"/>
          <w:vertAlign w:val="baseline"/>
        </w:rPr>
        <w:t> </w:t>
      </w:r>
      <w:r>
        <w:rPr>
          <w:sz w:val="20"/>
          <w:vertAlign w:val="baseline"/>
        </w:rPr>
        <w:t>million</w:t>
      </w:r>
      <w:r>
        <w:rPr>
          <w:spacing w:val="-2"/>
          <w:sz w:val="20"/>
          <w:vertAlign w:val="baseline"/>
        </w:rPr>
        <w:t> </w:t>
      </w:r>
      <w:r>
        <w:rPr>
          <w:sz w:val="20"/>
          <w:vertAlign w:val="baseline"/>
        </w:rPr>
        <w:t>due</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operation of unjustifiable hardship provisions.</w:t>
      </w:r>
    </w:p>
    <w:p>
      <w:pPr>
        <w:spacing w:after="0"/>
        <w:jc w:val="left"/>
        <w:rPr>
          <w:sz w:val="20"/>
        </w:rPr>
        <w:sectPr>
          <w:pgSz w:w="11900" w:h="16840"/>
          <w:pgMar w:header="0" w:footer="1130" w:top="1000" w:bottom="132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2040"/>
        <w:gridCol w:w="2040"/>
        <w:gridCol w:w="2040"/>
      </w:tblGrid>
      <w:tr>
        <w:trPr>
          <w:trHeight w:val="608" w:hRule="atLeast"/>
        </w:trPr>
        <w:tc>
          <w:tcPr>
            <w:tcW w:w="2160" w:type="dxa"/>
          </w:tcPr>
          <w:p>
            <w:pPr>
              <w:pStyle w:val="TableParagraph"/>
              <w:spacing w:before="26"/>
              <w:ind w:left="107"/>
              <w:rPr>
                <w:b/>
                <w:sz w:val="24"/>
              </w:rPr>
            </w:pPr>
            <w:r>
              <w:rPr>
                <w:b/>
                <w:sz w:val="24"/>
              </w:rPr>
              <w:t>Present</w:t>
            </w:r>
            <w:r>
              <w:rPr>
                <w:b/>
                <w:spacing w:val="-17"/>
                <w:sz w:val="24"/>
              </w:rPr>
              <w:t> </w:t>
            </w:r>
            <w:r>
              <w:rPr>
                <w:b/>
                <w:sz w:val="24"/>
              </w:rPr>
              <w:t>Value</w:t>
            </w:r>
            <w:r>
              <w:rPr>
                <w:b/>
                <w:spacing w:val="-17"/>
                <w:sz w:val="24"/>
              </w:rPr>
              <w:t> </w:t>
            </w:r>
            <w:r>
              <w:rPr>
                <w:b/>
                <w:sz w:val="24"/>
              </w:rPr>
              <w:t>of Benefits</w:t>
            </w:r>
            <w:r>
              <w:rPr>
                <w:b/>
                <w:spacing w:val="-2"/>
                <w:sz w:val="24"/>
              </w:rPr>
              <w:t> </w:t>
            </w:r>
            <w:r>
              <w:rPr>
                <w:b/>
                <w:sz w:val="24"/>
              </w:rPr>
              <w:t>(30</w:t>
            </w:r>
            <w:r>
              <w:rPr>
                <w:b/>
                <w:spacing w:val="-2"/>
                <w:sz w:val="24"/>
              </w:rPr>
              <w:t> </w:t>
            </w:r>
            <w:r>
              <w:rPr>
                <w:b/>
                <w:spacing w:val="-4"/>
                <w:sz w:val="24"/>
              </w:rPr>
              <w:t>yrs)</w:t>
            </w:r>
          </w:p>
        </w:tc>
        <w:tc>
          <w:tcPr>
            <w:tcW w:w="2040" w:type="dxa"/>
          </w:tcPr>
          <w:p>
            <w:pPr>
              <w:pStyle w:val="TableParagraph"/>
              <w:spacing w:before="163"/>
              <w:ind w:right="95"/>
              <w:jc w:val="right"/>
              <w:rPr>
                <w:sz w:val="24"/>
              </w:rPr>
            </w:pPr>
            <w:r>
              <w:rPr>
                <w:spacing w:val="-4"/>
                <w:sz w:val="24"/>
              </w:rPr>
              <w:t>11.9</w:t>
            </w:r>
          </w:p>
        </w:tc>
        <w:tc>
          <w:tcPr>
            <w:tcW w:w="2040" w:type="dxa"/>
          </w:tcPr>
          <w:p>
            <w:pPr>
              <w:pStyle w:val="TableParagraph"/>
              <w:spacing w:before="163"/>
              <w:ind w:right="95"/>
              <w:jc w:val="right"/>
              <w:rPr>
                <w:sz w:val="24"/>
              </w:rPr>
            </w:pPr>
            <w:r>
              <w:rPr>
                <w:spacing w:val="-5"/>
                <w:sz w:val="24"/>
              </w:rPr>
              <w:t>7.6</w:t>
            </w:r>
          </w:p>
        </w:tc>
        <w:tc>
          <w:tcPr>
            <w:tcW w:w="2040" w:type="dxa"/>
          </w:tcPr>
          <w:p>
            <w:pPr>
              <w:pStyle w:val="TableParagraph"/>
              <w:spacing w:before="163"/>
              <w:ind w:right="95"/>
              <w:jc w:val="right"/>
              <w:rPr>
                <w:sz w:val="24"/>
              </w:rPr>
            </w:pPr>
            <w:r>
              <w:rPr>
                <w:spacing w:val="-5"/>
                <w:sz w:val="24"/>
              </w:rPr>
              <w:t>4.7</w:t>
            </w:r>
          </w:p>
        </w:tc>
      </w:tr>
      <w:tr>
        <w:trPr>
          <w:trHeight w:val="607" w:hRule="atLeast"/>
        </w:trPr>
        <w:tc>
          <w:tcPr>
            <w:tcW w:w="2160" w:type="dxa"/>
          </w:tcPr>
          <w:p>
            <w:pPr>
              <w:pStyle w:val="TableParagraph"/>
              <w:spacing w:before="26"/>
              <w:ind w:left="107"/>
              <w:rPr>
                <w:b/>
                <w:sz w:val="24"/>
              </w:rPr>
            </w:pPr>
            <w:r>
              <w:rPr>
                <w:b/>
                <w:sz w:val="24"/>
              </w:rPr>
              <w:t>Present</w:t>
            </w:r>
            <w:r>
              <w:rPr>
                <w:b/>
                <w:spacing w:val="-17"/>
                <w:sz w:val="24"/>
              </w:rPr>
              <w:t> </w:t>
            </w:r>
            <w:r>
              <w:rPr>
                <w:b/>
                <w:sz w:val="24"/>
              </w:rPr>
              <w:t>Value</w:t>
            </w:r>
            <w:r>
              <w:rPr>
                <w:b/>
                <w:spacing w:val="-17"/>
                <w:sz w:val="24"/>
              </w:rPr>
              <w:t> </w:t>
            </w:r>
            <w:r>
              <w:rPr>
                <w:b/>
                <w:sz w:val="24"/>
              </w:rPr>
              <w:t>of Costs</w:t>
            </w:r>
            <w:r>
              <w:rPr>
                <w:b/>
                <w:spacing w:val="-5"/>
                <w:sz w:val="24"/>
              </w:rPr>
              <w:t> </w:t>
            </w:r>
            <w:r>
              <w:rPr>
                <w:b/>
                <w:sz w:val="24"/>
              </w:rPr>
              <w:t>(30</w:t>
            </w:r>
            <w:r>
              <w:rPr>
                <w:b/>
                <w:spacing w:val="-5"/>
                <w:sz w:val="24"/>
              </w:rPr>
              <w:t> </w:t>
            </w:r>
            <w:r>
              <w:rPr>
                <w:b/>
                <w:spacing w:val="-2"/>
                <w:sz w:val="24"/>
              </w:rPr>
              <w:t>years)</w:t>
            </w:r>
          </w:p>
        </w:tc>
        <w:tc>
          <w:tcPr>
            <w:tcW w:w="2040" w:type="dxa"/>
          </w:tcPr>
          <w:p>
            <w:pPr>
              <w:pStyle w:val="TableParagraph"/>
              <w:spacing w:before="163"/>
              <w:ind w:right="95"/>
              <w:jc w:val="right"/>
              <w:rPr>
                <w:sz w:val="24"/>
              </w:rPr>
            </w:pPr>
            <w:r>
              <w:rPr>
                <w:spacing w:val="-5"/>
                <w:sz w:val="24"/>
              </w:rPr>
              <w:t>9.7</w:t>
            </w:r>
          </w:p>
        </w:tc>
        <w:tc>
          <w:tcPr>
            <w:tcW w:w="2040" w:type="dxa"/>
          </w:tcPr>
          <w:p>
            <w:pPr>
              <w:pStyle w:val="TableParagraph"/>
              <w:spacing w:before="163"/>
              <w:ind w:right="95"/>
              <w:jc w:val="right"/>
              <w:rPr>
                <w:sz w:val="24"/>
              </w:rPr>
            </w:pPr>
            <w:r>
              <w:rPr>
                <w:spacing w:val="-5"/>
                <w:sz w:val="24"/>
              </w:rPr>
              <w:t>7.2</w:t>
            </w:r>
          </w:p>
        </w:tc>
        <w:tc>
          <w:tcPr>
            <w:tcW w:w="2040" w:type="dxa"/>
          </w:tcPr>
          <w:p>
            <w:pPr>
              <w:pStyle w:val="TableParagraph"/>
              <w:spacing w:before="163"/>
              <w:ind w:right="95"/>
              <w:jc w:val="right"/>
              <w:rPr>
                <w:sz w:val="24"/>
              </w:rPr>
            </w:pPr>
            <w:r>
              <w:rPr>
                <w:spacing w:val="-5"/>
                <w:sz w:val="24"/>
              </w:rPr>
              <w:t>5.7</w:t>
            </w:r>
          </w:p>
        </w:tc>
      </w:tr>
      <w:tr>
        <w:trPr>
          <w:trHeight w:val="607" w:hRule="atLeast"/>
        </w:trPr>
        <w:tc>
          <w:tcPr>
            <w:tcW w:w="2160" w:type="dxa"/>
          </w:tcPr>
          <w:p>
            <w:pPr>
              <w:pStyle w:val="TableParagraph"/>
              <w:spacing w:before="26"/>
              <w:ind w:left="107" w:right="385"/>
              <w:rPr>
                <w:b/>
                <w:sz w:val="24"/>
              </w:rPr>
            </w:pPr>
            <w:r>
              <w:rPr>
                <w:b/>
                <w:sz w:val="24"/>
              </w:rPr>
              <w:t>Net</w:t>
            </w:r>
            <w:r>
              <w:rPr>
                <w:b/>
                <w:spacing w:val="-17"/>
                <w:sz w:val="24"/>
              </w:rPr>
              <w:t> </w:t>
            </w:r>
            <w:r>
              <w:rPr>
                <w:b/>
                <w:sz w:val="24"/>
              </w:rPr>
              <w:t>Present </w:t>
            </w:r>
            <w:r>
              <w:rPr>
                <w:b/>
                <w:spacing w:val="-2"/>
                <w:sz w:val="24"/>
              </w:rPr>
              <w:t>Value</w:t>
            </w:r>
          </w:p>
        </w:tc>
        <w:tc>
          <w:tcPr>
            <w:tcW w:w="2040" w:type="dxa"/>
          </w:tcPr>
          <w:p>
            <w:pPr>
              <w:pStyle w:val="TableParagraph"/>
              <w:spacing w:before="163"/>
              <w:ind w:right="95"/>
              <w:jc w:val="right"/>
              <w:rPr>
                <w:sz w:val="24"/>
              </w:rPr>
            </w:pPr>
            <w:r>
              <w:rPr>
                <w:spacing w:val="-5"/>
                <w:sz w:val="24"/>
              </w:rPr>
              <w:t>2.2</w:t>
            </w:r>
          </w:p>
        </w:tc>
        <w:tc>
          <w:tcPr>
            <w:tcW w:w="2040" w:type="dxa"/>
          </w:tcPr>
          <w:p>
            <w:pPr>
              <w:pStyle w:val="TableParagraph"/>
              <w:spacing w:before="163"/>
              <w:ind w:right="95"/>
              <w:jc w:val="right"/>
              <w:rPr>
                <w:sz w:val="24"/>
              </w:rPr>
            </w:pPr>
            <w:r>
              <w:rPr>
                <w:spacing w:val="-5"/>
                <w:sz w:val="24"/>
              </w:rPr>
              <w:t>0.4</w:t>
            </w:r>
          </w:p>
        </w:tc>
        <w:tc>
          <w:tcPr>
            <w:tcW w:w="2040" w:type="dxa"/>
          </w:tcPr>
          <w:p>
            <w:pPr>
              <w:pStyle w:val="TableParagraph"/>
              <w:spacing w:before="163"/>
              <w:ind w:right="95"/>
              <w:jc w:val="right"/>
              <w:rPr>
                <w:sz w:val="24"/>
              </w:rPr>
            </w:pPr>
            <w:r>
              <w:rPr>
                <w:w w:val="95"/>
                <w:sz w:val="24"/>
              </w:rPr>
              <w:t>-</w:t>
            </w:r>
            <w:r>
              <w:rPr>
                <w:spacing w:val="-5"/>
                <w:sz w:val="24"/>
              </w:rPr>
              <w:t>1.0</w:t>
            </w:r>
          </w:p>
        </w:tc>
      </w:tr>
      <w:tr>
        <w:trPr>
          <w:trHeight w:val="607" w:hRule="atLeast"/>
        </w:trPr>
        <w:tc>
          <w:tcPr>
            <w:tcW w:w="2160" w:type="dxa"/>
          </w:tcPr>
          <w:p>
            <w:pPr>
              <w:pStyle w:val="TableParagraph"/>
              <w:spacing w:before="26"/>
              <w:ind w:left="107" w:right="385"/>
              <w:rPr>
                <w:b/>
                <w:sz w:val="24"/>
              </w:rPr>
            </w:pPr>
            <w:r>
              <w:rPr>
                <w:b/>
                <w:spacing w:val="-2"/>
                <w:sz w:val="24"/>
              </w:rPr>
              <w:t>Benefit/cost Ratio</w:t>
            </w:r>
          </w:p>
        </w:tc>
        <w:tc>
          <w:tcPr>
            <w:tcW w:w="2040" w:type="dxa"/>
          </w:tcPr>
          <w:p>
            <w:pPr>
              <w:pStyle w:val="TableParagraph"/>
              <w:spacing w:before="163"/>
              <w:ind w:right="95"/>
              <w:jc w:val="right"/>
              <w:rPr>
                <w:sz w:val="24"/>
              </w:rPr>
            </w:pPr>
            <w:r>
              <w:rPr>
                <w:spacing w:val="-2"/>
                <w:sz w:val="24"/>
              </w:rPr>
              <w:t>1.23:1</w:t>
            </w:r>
          </w:p>
        </w:tc>
        <w:tc>
          <w:tcPr>
            <w:tcW w:w="2040" w:type="dxa"/>
          </w:tcPr>
          <w:p>
            <w:pPr>
              <w:pStyle w:val="TableParagraph"/>
              <w:spacing w:before="163"/>
              <w:ind w:right="96"/>
              <w:jc w:val="right"/>
              <w:rPr>
                <w:sz w:val="24"/>
              </w:rPr>
            </w:pPr>
            <w:r>
              <w:rPr>
                <w:spacing w:val="-2"/>
                <w:sz w:val="24"/>
              </w:rPr>
              <w:t>1.05:1</w:t>
            </w:r>
          </w:p>
        </w:tc>
        <w:tc>
          <w:tcPr>
            <w:tcW w:w="2040" w:type="dxa"/>
          </w:tcPr>
          <w:p>
            <w:pPr>
              <w:pStyle w:val="TableParagraph"/>
              <w:spacing w:before="163"/>
              <w:ind w:right="96"/>
              <w:jc w:val="right"/>
              <w:rPr>
                <w:sz w:val="24"/>
              </w:rPr>
            </w:pPr>
            <w:r>
              <w:rPr>
                <w:spacing w:val="-2"/>
                <w:sz w:val="24"/>
              </w:rPr>
              <w:t>0.82:1</w:t>
            </w:r>
          </w:p>
        </w:tc>
      </w:tr>
    </w:tbl>
    <w:p>
      <w:pPr>
        <w:pStyle w:val="BodyText"/>
        <w:spacing w:before="118"/>
        <w:ind w:left="420" w:right="812"/>
        <w:jc w:val="both"/>
      </w:pPr>
      <w:r>
        <w:rPr/>
        <w:t>Table S2, below, is reproduced from the Summary and also revised to reflect the Class 2 changes. Its purpose is to provide an updated comparison to the outcomes of the 2004 Draft proposal.</w:t>
      </w:r>
    </w:p>
    <w:p>
      <w:pPr>
        <w:pStyle w:val="BodyText"/>
        <w:rPr>
          <w:sz w:val="26"/>
        </w:rPr>
      </w:pPr>
    </w:p>
    <w:p>
      <w:pPr>
        <w:pStyle w:val="Heading4"/>
        <w:spacing w:before="218"/>
        <w:ind w:right="811"/>
        <w:jc w:val="left"/>
        <w:rPr>
          <w:u w:val="none"/>
        </w:rPr>
      </w:pPr>
      <w:r>
        <w:rPr>
          <w:u w:val="single"/>
        </w:rPr>
        <w:t>Table</w:t>
      </w:r>
      <w:r>
        <w:rPr>
          <w:spacing w:val="-5"/>
          <w:u w:val="single"/>
        </w:rPr>
        <w:t> </w:t>
      </w:r>
      <w:r>
        <w:rPr>
          <w:u w:val="single"/>
        </w:rPr>
        <w:t>S2:</w:t>
      </w:r>
      <w:r>
        <w:rPr>
          <w:spacing w:val="40"/>
          <w:u w:val="single"/>
        </w:rPr>
        <w:t> </w:t>
      </w:r>
      <w:r>
        <w:rPr>
          <w:u w:val="single"/>
        </w:rPr>
        <w:t>(REPRODUCED</w:t>
      </w:r>
      <w:r>
        <w:rPr>
          <w:spacing w:val="-5"/>
          <w:u w:val="single"/>
        </w:rPr>
        <w:t> </w:t>
      </w:r>
      <w:r>
        <w:rPr>
          <w:u w:val="single"/>
        </w:rPr>
        <w:t>AND</w:t>
      </w:r>
      <w:r>
        <w:rPr>
          <w:spacing w:val="-5"/>
          <w:u w:val="single"/>
        </w:rPr>
        <w:t> </w:t>
      </w:r>
      <w:r>
        <w:rPr>
          <w:u w:val="single"/>
        </w:rPr>
        <w:t>REVISED)</w:t>
      </w:r>
      <w:r>
        <w:rPr>
          <w:spacing w:val="-5"/>
          <w:u w:val="single"/>
        </w:rPr>
        <w:t> </w:t>
      </w:r>
      <w:r>
        <w:rPr>
          <w:u w:val="single"/>
        </w:rPr>
        <w:t>Comparison</w:t>
      </w:r>
      <w:r>
        <w:rPr>
          <w:spacing w:val="-5"/>
          <w:u w:val="single"/>
        </w:rPr>
        <w:t> </w:t>
      </w:r>
      <w:r>
        <w:rPr>
          <w:u w:val="single"/>
        </w:rPr>
        <w:t>of</w:t>
      </w:r>
      <w:r>
        <w:rPr>
          <w:spacing w:val="-5"/>
          <w:u w:val="single"/>
        </w:rPr>
        <w:t> </w:t>
      </w:r>
      <w:r>
        <w:rPr>
          <w:u w:val="single"/>
        </w:rPr>
        <w:t>proposed</w:t>
      </w:r>
      <w:r>
        <w:rPr>
          <w:u w:val="none"/>
        </w:rPr>
        <w:t> </w:t>
      </w:r>
      <w:r>
        <w:rPr>
          <w:u w:val="single"/>
        </w:rPr>
        <w:t>Premises Standards and identified feasible alternatives ($billion)</w:t>
      </w:r>
    </w:p>
    <w:p>
      <w:pPr>
        <w:pStyle w:val="BodyText"/>
        <w:spacing w:before="7"/>
        <w:rPr>
          <w:b/>
          <w:sz w:val="1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48"/>
        <w:gridCol w:w="2520"/>
        <w:gridCol w:w="2520"/>
      </w:tblGrid>
      <w:tr>
        <w:trPr>
          <w:trHeight w:val="552" w:hRule="atLeast"/>
        </w:trPr>
        <w:tc>
          <w:tcPr>
            <w:tcW w:w="3348" w:type="dxa"/>
          </w:tcPr>
          <w:p>
            <w:pPr>
              <w:pStyle w:val="TableParagraph"/>
              <w:rPr>
                <w:rFonts w:ascii="Times New Roman"/>
                <w:sz w:val="22"/>
              </w:rPr>
            </w:pPr>
          </w:p>
        </w:tc>
        <w:tc>
          <w:tcPr>
            <w:tcW w:w="2520" w:type="dxa"/>
          </w:tcPr>
          <w:p>
            <w:pPr>
              <w:pStyle w:val="TableParagraph"/>
              <w:spacing w:line="276" w:lineRule="exact"/>
              <w:ind w:left="632" w:hanging="485"/>
              <w:rPr>
                <w:b/>
                <w:sz w:val="24"/>
              </w:rPr>
            </w:pPr>
            <w:r>
              <w:rPr>
                <w:b/>
                <w:sz w:val="24"/>
              </w:rPr>
              <w:t>Option</w:t>
            </w:r>
            <w:r>
              <w:rPr>
                <w:b/>
                <w:spacing w:val="-17"/>
                <w:sz w:val="24"/>
              </w:rPr>
              <w:t> </w:t>
            </w:r>
            <w:r>
              <w:rPr>
                <w:b/>
                <w:sz w:val="24"/>
              </w:rPr>
              <w:t>1</w:t>
            </w:r>
            <w:r>
              <w:rPr>
                <w:b/>
                <w:spacing w:val="-17"/>
                <w:sz w:val="24"/>
              </w:rPr>
              <w:t> </w:t>
            </w:r>
            <w:r>
              <w:rPr>
                <w:b/>
                <w:sz w:val="24"/>
              </w:rPr>
              <w:t>(Proposed </w:t>
            </w:r>
            <w:r>
              <w:rPr>
                <w:b/>
                <w:spacing w:val="-2"/>
                <w:sz w:val="24"/>
              </w:rPr>
              <w:t>Standards)</w:t>
            </w:r>
          </w:p>
        </w:tc>
        <w:tc>
          <w:tcPr>
            <w:tcW w:w="2520" w:type="dxa"/>
          </w:tcPr>
          <w:p>
            <w:pPr>
              <w:pStyle w:val="TableParagraph"/>
              <w:spacing w:line="274" w:lineRule="exact"/>
              <w:ind w:right="127"/>
              <w:jc w:val="right"/>
              <w:rPr>
                <w:b/>
                <w:sz w:val="24"/>
              </w:rPr>
            </w:pPr>
            <w:r>
              <w:rPr>
                <w:b/>
                <w:sz w:val="24"/>
              </w:rPr>
              <w:t>2004</w:t>
            </w:r>
            <w:r>
              <w:rPr>
                <w:b/>
                <w:spacing w:val="-7"/>
                <w:sz w:val="24"/>
              </w:rPr>
              <w:t> </w:t>
            </w:r>
            <w:r>
              <w:rPr>
                <w:b/>
                <w:sz w:val="24"/>
              </w:rPr>
              <w:t>Draft</w:t>
            </w:r>
            <w:r>
              <w:rPr>
                <w:b/>
                <w:spacing w:val="-6"/>
                <w:sz w:val="24"/>
              </w:rPr>
              <w:t> </w:t>
            </w:r>
            <w:r>
              <w:rPr>
                <w:b/>
                <w:spacing w:val="-2"/>
                <w:sz w:val="24"/>
              </w:rPr>
              <w:t>proposal</w:t>
            </w:r>
          </w:p>
        </w:tc>
      </w:tr>
      <w:tr>
        <w:trPr>
          <w:trHeight w:val="551" w:hRule="atLeast"/>
        </w:trPr>
        <w:tc>
          <w:tcPr>
            <w:tcW w:w="3348" w:type="dxa"/>
          </w:tcPr>
          <w:p>
            <w:pPr>
              <w:pStyle w:val="TableParagraph"/>
              <w:spacing w:before="136"/>
              <w:ind w:left="107"/>
              <w:rPr>
                <w:b/>
                <w:sz w:val="24"/>
              </w:rPr>
            </w:pPr>
            <w:r>
              <w:rPr>
                <w:b/>
                <w:sz w:val="24"/>
              </w:rPr>
              <w:t>Benefits</w:t>
            </w:r>
            <w:r>
              <w:rPr>
                <w:b/>
                <w:spacing w:val="-9"/>
                <w:sz w:val="24"/>
              </w:rPr>
              <w:t> </w:t>
            </w:r>
            <w:r>
              <w:rPr>
                <w:b/>
                <w:sz w:val="24"/>
              </w:rPr>
              <w:t>(PV</w:t>
            </w:r>
            <w:r>
              <w:rPr>
                <w:b/>
                <w:spacing w:val="-8"/>
                <w:sz w:val="24"/>
              </w:rPr>
              <w:t> </w:t>
            </w:r>
            <w:r>
              <w:rPr>
                <w:b/>
                <w:sz w:val="24"/>
              </w:rPr>
              <w:t>over</w:t>
            </w:r>
            <w:r>
              <w:rPr>
                <w:b/>
                <w:spacing w:val="-9"/>
                <w:sz w:val="24"/>
              </w:rPr>
              <w:t> </w:t>
            </w:r>
            <w:r>
              <w:rPr>
                <w:b/>
                <w:sz w:val="24"/>
              </w:rPr>
              <w:t>30</w:t>
            </w:r>
            <w:r>
              <w:rPr>
                <w:b/>
                <w:spacing w:val="-8"/>
                <w:sz w:val="24"/>
              </w:rPr>
              <w:t> </w:t>
            </w:r>
            <w:r>
              <w:rPr>
                <w:b/>
                <w:spacing w:val="-2"/>
                <w:sz w:val="24"/>
              </w:rPr>
              <w:t>years)</w:t>
            </w:r>
          </w:p>
        </w:tc>
        <w:tc>
          <w:tcPr>
            <w:tcW w:w="2520" w:type="dxa"/>
          </w:tcPr>
          <w:p>
            <w:pPr>
              <w:pStyle w:val="TableParagraph"/>
              <w:spacing w:line="273" w:lineRule="exact"/>
              <w:ind w:right="96"/>
              <w:jc w:val="right"/>
              <w:rPr>
                <w:sz w:val="24"/>
              </w:rPr>
            </w:pPr>
            <w:r>
              <w:rPr>
                <w:spacing w:val="-4"/>
                <w:sz w:val="24"/>
              </w:rPr>
              <w:t>11.9</w:t>
            </w:r>
          </w:p>
          <w:p>
            <w:pPr>
              <w:pStyle w:val="TableParagraph"/>
              <w:spacing w:line="259" w:lineRule="exact"/>
              <w:ind w:right="95"/>
              <w:jc w:val="right"/>
              <w:rPr>
                <w:i/>
                <w:sz w:val="24"/>
              </w:rPr>
            </w:pPr>
            <w:r>
              <w:rPr>
                <w:i/>
                <w:spacing w:val="-5"/>
                <w:sz w:val="24"/>
              </w:rPr>
              <w:t>7.6</w:t>
            </w:r>
          </w:p>
        </w:tc>
        <w:tc>
          <w:tcPr>
            <w:tcW w:w="2520" w:type="dxa"/>
          </w:tcPr>
          <w:p>
            <w:pPr>
              <w:pStyle w:val="TableParagraph"/>
              <w:spacing w:before="134"/>
              <w:ind w:right="96"/>
              <w:jc w:val="right"/>
              <w:rPr>
                <w:sz w:val="24"/>
              </w:rPr>
            </w:pPr>
            <w:r>
              <w:rPr>
                <w:spacing w:val="-4"/>
                <w:sz w:val="24"/>
              </w:rPr>
              <w:t>13.0</w:t>
            </w:r>
          </w:p>
        </w:tc>
      </w:tr>
      <w:tr>
        <w:trPr>
          <w:trHeight w:val="551" w:hRule="atLeast"/>
        </w:trPr>
        <w:tc>
          <w:tcPr>
            <w:tcW w:w="3348" w:type="dxa"/>
          </w:tcPr>
          <w:p>
            <w:pPr>
              <w:pStyle w:val="TableParagraph"/>
              <w:spacing w:before="136"/>
              <w:ind w:left="107"/>
              <w:rPr>
                <w:b/>
                <w:sz w:val="24"/>
              </w:rPr>
            </w:pPr>
            <w:r>
              <w:rPr>
                <w:b/>
                <w:sz w:val="24"/>
              </w:rPr>
              <w:t>Costs</w:t>
            </w:r>
            <w:r>
              <w:rPr>
                <w:b/>
                <w:spacing w:val="-8"/>
                <w:sz w:val="24"/>
              </w:rPr>
              <w:t> </w:t>
            </w:r>
            <w:r>
              <w:rPr>
                <w:b/>
                <w:sz w:val="24"/>
              </w:rPr>
              <w:t>(PV</w:t>
            </w:r>
            <w:r>
              <w:rPr>
                <w:b/>
                <w:spacing w:val="-8"/>
                <w:sz w:val="24"/>
              </w:rPr>
              <w:t> </w:t>
            </w:r>
            <w:r>
              <w:rPr>
                <w:b/>
                <w:sz w:val="24"/>
              </w:rPr>
              <w:t>over</w:t>
            </w:r>
            <w:r>
              <w:rPr>
                <w:b/>
                <w:spacing w:val="-8"/>
                <w:sz w:val="24"/>
              </w:rPr>
              <w:t> </w:t>
            </w:r>
            <w:r>
              <w:rPr>
                <w:b/>
                <w:sz w:val="24"/>
              </w:rPr>
              <w:t>30</w:t>
            </w:r>
            <w:r>
              <w:rPr>
                <w:b/>
                <w:spacing w:val="-7"/>
                <w:sz w:val="24"/>
              </w:rPr>
              <w:t> </w:t>
            </w:r>
            <w:r>
              <w:rPr>
                <w:b/>
                <w:spacing w:val="-2"/>
                <w:sz w:val="24"/>
              </w:rPr>
              <w:t>years)</w:t>
            </w:r>
          </w:p>
        </w:tc>
        <w:tc>
          <w:tcPr>
            <w:tcW w:w="2520" w:type="dxa"/>
          </w:tcPr>
          <w:p>
            <w:pPr>
              <w:pStyle w:val="TableParagraph"/>
              <w:spacing w:line="273" w:lineRule="exact"/>
              <w:ind w:right="95"/>
              <w:jc w:val="right"/>
              <w:rPr>
                <w:sz w:val="24"/>
              </w:rPr>
            </w:pPr>
            <w:r>
              <w:rPr>
                <w:spacing w:val="-5"/>
                <w:sz w:val="24"/>
              </w:rPr>
              <w:t>9.7</w:t>
            </w:r>
          </w:p>
          <w:p>
            <w:pPr>
              <w:pStyle w:val="TableParagraph"/>
              <w:spacing w:line="258" w:lineRule="exact" w:before="1"/>
              <w:ind w:right="95"/>
              <w:jc w:val="right"/>
              <w:rPr>
                <w:i/>
                <w:sz w:val="24"/>
              </w:rPr>
            </w:pPr>
            <w:r>
              <w:rPr>
                <w:i/>
                <w:spacing w:val="-5"/>
                <w:sz w:val="24"/>
              </w:rPr>
              <w:t>7.2</w:t>
            </w:r>
          </w:p>
        </w:tc>
        <w:tc>
          <w:tcPr>
            <w:tcW w:w="2520" w:type="dxa"/>
          </w:tcPr>
          <w:p>
            <w:pPr>
              <w:pStyle w:val="TableParagraph"/>
              <w:spacing w:before="134"/>
              <w:ind w:right="96"/>
              <w:jc w:val="right"/>
              <w:rPr>
                <w:sz w:val="24"/>
              </w:rPr>
            </w:pPr>
            <w:r>
              <w:rPr>
                <w:spacing w:val="-4"/>
                <w:sz w:val="24"/>
              </w:rPr>
              <w:t>26.3</w:t>
            </w:r>
          </w:p>
        </w:tc>
      </w:tr>
      <w:tr>
        <w:trPr>
          <w:trHeight w:val="551" w:hRule="atLeast"/>
        </w:trPr>
        <w:tc>
          <w:tcPr>
            <w:tcW w:w="3348" w:type="dxa"/>
          </w:tcPr>
          <w:p>
            <w:pPr>
              <w:pStyle w:val="TableParagraph"/>
              <w:spacing w:before="136"/>
              <w:ind w:left="107"/>
              <w:rPr>
                <w:b/>
                <w:sz w:val="24"/>
              </w:rPr>
            </w:pPr>
            <w:r>
              <w:rPr>
                <w:b/>
                <w:sz w:val="24"/>
              </w:rPr>
              <w:t>Net</w:t>
            </w:r>
            <w:r>
              <w:rPr>
                <w:b/>
                <w:spacing w:val="-2"/>
                <w:sz w:val="24"/>
              </w:rPr>
              <w:t> </w:t>
            </w:r>
            <w:r>
              <w:rPr>
                <w:b/>
                <w:sz w:val="24"/>
              </w:rPr>
              <w:t>Present</w:t>
            </w:r>
            <w:r>
              <w:rPr>
                <w:b/>
                <w:spacing w:val="-2"/>
                <w:sz w:val="24"/>
              </w:rPr>
              <w:t> Value</w:t>
            </w:r>
          </w:p>
        </w:tc>
        <w:tc>
          <w:tcPr>
            <w:tcW w:w="2520" w:type="dxa"/>
          </w:tcPr>
          <w:p>
            <w:pPr>
              <w:pStyle w:val="TableParagraph"/>
              <w:spacing w:line="273" w:lineRule="exact"/>
              <w:ind w:right="95"/>
              <w:jc w:val="right"/>
              <w:rPr>
                <w:sz w:val="24"/>
              </w:rPr>
            </w:pPr>
            <w:r>
              <w:rPr>
                <w:spacing w:val="-5"/>
                <w:sz w:val="24"/>
              </w:rPr>
              <w:t>2.2</w:t>
            </w:r>
          </w:p>
          <w:p>
            <w:pPr>
              <w:pStyle w:val="TableParagraph"/>
              <w:spacing w:line="258" w:lineRule="exact" w:before="1"/>
              <w:ind w:right="95"/>
              <w:jc w:val="right"/>
              <w:rPr>
                <w:i/>
                <w:sz w:val="24"/>
              </w:rPr>
            </w:pPr>
            <w:r>
              <w:rPr>
                <w:i/>
                <w:spacing w:val="-5"/>
                <w:sz w:val="24"/>
              </w:rPr>
              <w:t>0.4</w:t>
            </w:r>
          </w:p>
        </w:tc>
        <w:tc>
          <w:tcPr>
            <w:tcW w:w="2520" w:type="dxa"/>
          </w:tcPr>
          <w:p>
            <w:pPr>
              <w:pStyle w:val="TableParagraph"/>
              <w:spacing w:before="134"/>
              <w:ind w:right="95"/>
              <w:jc w:val="right"/>
              <w:rPr>
                <w:sz w:val="24"/>
              </w:rPr>
            </w:pPr>
            <w:r>
              <w:rPr>
                <w:w w:val="95"/>
                <w:sz w:val="24"/>
              </w:rPr>
              <w:t>-</w:t>
            </w:r>
            <w:r>
              <w:rPr>
                <w:spacing w:val="-4"/>
                <w:sz w:val="24"/>
              </w:rPr>
              <w:t>13.3</w:t>
            </w:r>
          </w:p>
        </w:tc>
      </w:tr>
      <w:tr>
        <w:trPr>
          <w:trHeight w:val="552" w:hRule="atLeast"/>
        </w:trPr>
        <w:tc>
          <w:tcPr>
            <w:tcW w:w="3348" w:type="dxa"/>
          </w:tcPr>
          <w:p>
            <w:pPr>
              <w:pStyle w:val="TableParagraph"/>
              <w:spacing w:before="136"/>
              <w:ind w:left="107"/>
              <w:rPr>
                <w:b/>
                <w:sz w:val="24"/>
              </w:rPr>
            </w:pPr>
            <w:r>
              <w:rPr>
                <w:b/>
                <w:sz w:val="24"/>
              </w:rPr>
              <w:t>Benefit/cost </w:t>
            </w:r>
            <w:r>
              <w:rPr>
                <w:b/>
                <w:spacing w:val="-2"/>
                <w:sz w:val="24"/>
              </w:rPr>
              <w:t>ratio</w:t>
            </w:r>
          </w:p>
        </w:tc>
        <w:tc>
          <w:tcPr>
            <w:tcW w:w="2520" w:type="dxa"/>
          </w:tcPr>
          <w:p>
            <w:pPr>
              <w:pStyle w:val="TableParagraph"/>
              <w:spacing w:line="273" w:lineRule="exact"/>
              <w:ind w:right="95"/>
              <w:jc w:val="right"/>
              <w:rPr>
                <w:sz w:val="24"/>
              </w:rPr>
            </w:pPr>
            <w:r>
              <w:rPr>
                <w:spacing w:val="-2"/>
                <w:sz w:val="24"/>
              </w:rPr>
              <w:t>1.23:1</w:t>
            </w:r>
          </w:p>
          <w:p>
            <w:pPr>
              <w:pStyle w:val="TableParagraph"/>
              <w:spacing w:line="259" w:lineRule="exact" w:before="1"/>
              <w:ind w:right="95"/>
              <w:jc w:val="right"/>
              <w:rPr>
                <w:i/>
                <w:sz w:val="24"/>
              </w:rPr>
            </w:pPr>
            <w:r>
              <w:rPr>
                <w:i/>
                <w:spacing w:val="-2"/>
                <w:sz w:val="24"/>
              </w:rPr>
              <w:t>1.05:1</w:t>
            </w:r>
          </w:p>
        </w:tc>
        <w:tc>
          <w:tcPr>
            <w:tcW w:w="2520" w:type="dxa"/>
          </w:tcPr>
          <w:p>
            <w:pPr>
              <w:pStyle w:val="TableParagraph"/>
              <w:spacing w:before="134"/>
              <w:ind w:right="95"/>
              <w:jc w:val="right"/>
              <w:rPr>
                <w:sz w:val="24"/>
              </w:rPr>
            </w:pPr>
            <w:r>
              <w:rPr>
                <w:spacing w:val="-2"/>
                <w:sz w:val="24"/>
              </w:rPr>
              <w:t>0.49:1</w:t>
            </w:r>
          </w:p>
        </w:tc>
      </w:tr>
    </w:tbl>
    <w:p>
      <w:pPr>
        <w:spacing w:before="1"/>
        <w:ind w:left="420" w:right="918" w:firstLine="0"/>
        <w:jc w:val="left"/>
        <w:rPr>
          <w:i/>
          <w:sz w:val="20"/>
        </w:rPr>
      </w:pPr>
      <w:r>
        <w:rPr>
          <w:i/>
          <w:sz w:val="20"/>
        </w:rPr>
        <w:t>Note:</w:t>
      </w:r>
      <w:r>
        <w:rPr>
          <w:i/>
          <w:spacing w:val="-3"/>
          <w:sz w:val="20"/>
        </w:rPr>
        <w:t> </w:t>
      </w:r>
      <w:r>
        <w:rPr>
          <w:i/>
          <w:sz w:val="20"/>
        </w:rPr>
        <w:t>Non</w:t>
      </w:r>
      <w:r>
        <w:rPr>
          <w:i/>
          <w:spacing w:val="-3"/>
          <w:sz w:val="20"/>
        </w:rPr>
        <w:t> </w:t>
      </w:r>
      <w:r>
        <w:rPr>
          <w:i/>
          <w:sz w:val="20"/>
        </w:rPr>
        <w:t>italicised</w:t>
      </w:r>
      <w:r>
        <w:rPr>
          <w:i/>
          <w:spacing w:val="-3"/>
          <w:sz w:val="20"/>
        </w:rPr>
        <w:t> </w:t>
      </w:r>
      <w:r>
        <w:rPr>
          <w:i/>
          <w:sz w:val="20"/>
        </w:rPr>
        <w:t>text</w:t>
      </w:r>
      <w:r>
        <w:rPr>
          <w:i/>
          <w:spacing w:val="-3"/>
          <w:sz w:val="20"/>
        </w:rPr>
        <w:t> </w:t>
      </w:r>
      <w:r>
        <w:rPr>
          <w:i/>
          <w:sz w:val="20"/>
        </w:rPr>
        <w:t>assumes</w:t>
      </w:r>
      <w:r>
        <w:rPr>
          <w:i/>
          <w:spacing w:val="-3"/>
          <w:sz w:val="20"/>
        </w:rPr>
        <w:t> </w:t>
      </w:r>
      <w:r>
        <w:rPr>
          <w:i/>
          <w:sz w:val="20"/>
        </w:rPr>
        <w:t>real</w:t>
      </w:r>
      <w:r>
        <w:rPr>
          <w:i/>
          <w:spacing w:val="-3"/>
          <w:sz w:val="20"/>
        </w:rPr>
        <w:t> </w:t>
      </w:r>
      <w:r>
        <w:rPr>
          <w:i/>
          <w:sz w:val="20"/>
        </w:rPr>
        <w:t>discount</w:t>
      </w:r>
      <w:r>
        <w:rPr>
          <w:i/>
          <w:spacing w:val="-3"/>
          <w:sz w:val="20"/>
        </w:rPr>
        <w:t> </w:t>
      </w:r>
      <w:r>
        <w:rPr>
          <w:i/>
          <w:sz w:val="20"/>
        </w:rPr>
        <w:t>rate</w:t>
      </w:r>
      <w:r>
        <w:rPr>
          <w:i/>
          <w:spacing w:val="-3"/>
          <w:sz w:val="20"/>
        </w:rPr>
        <w:t> </w:t>
      </w:r>
      <w:r>
        <w:rPr>
          <w:i/>
          <w:sz w:val="20"/>
        </w:rPr>
        <w:t>of</w:t>
      </w:r>
      <w:r>
        <w:rPr>
          <w:i/>
          <w:spacing w:val="-4"/>
          <w:sz w:val="20"/>
        </w:rPr>
        <w:t> </w:t>
      </w:r>
      <w:r>
        <w:rPr>
          <w:i/>
          <w:sz w:val="20"/>
        </w:rPr>
        <w:t>4%,</w:t>
      </w:r>
      <w:r>
        <w:rPr>
          <w:i/>
          <w:spacing w:val="-3"/>
          <w:sz w:val="20"/>
        </w:rPr>
        <w:t> </w:t>
      </w:r>
      <w:r>
        <w:rPr>
          <w:i/>
          <w:sz w:val="20"/>
        </w:rPr>
        <w:t>italicised</w:t>
      </w:r>
      <w:r>
        <w:rPr>
          <w:i/>
          <w:spacing w:val="-4"/>
          <w:sz w:val="20"/>
        </w:rPr>
        <w:t> </w:t>
      </w:r>
      <w:r>
        <w:rPr>
          <w:i/>
          <w:sz w:val="20"/>
        </w:rPr>
        <w:t>text</w:t>
      </w:r>
      <w:r>
        <w:rPr>
          <w:i/>
          <w:spacing w:val="-3"/>
          <w:sz w:val="20"/>
        </w:rPr>
        <w:t> </w:t>
      </w:r>
      <w:r>
        <w:rPr>
          <w:i/>
          <w:sz w:val="20"/>
        </w:rPr>
        <w:t>assumes</w:t>
      </w:r>
      <w:r>
        <w:rPr>
          <w:i/>
          <w:spacing w:val="-3"/>
          <w:sz w:val="20"/>
        </w:rPr>
        <w:t> </w:t>
      </w:r>
      <w:r>
        <w:rPr>
          <w:i/>
          <w:sz w:val="20"/>
        </w:rPr>
        <w:t>a</w:t>
      </w:r>
      <w:r>
        <w:rPr>
          <w:i/>
          <w:spacing w:val="-3"/>
          <w:sz w:val="20"/>
        </w:rPr>
        <w:t> </w:t>
      </w:r>
      <w:r>
        <w:rPr>
          <w:i/>
          <w:sz w:val="20"/>
        </w:rPr>
        <w:t>rate</w:t>
      </w:r>
      <w:r>
        <w:rPr>
          <w:i/>
          <w:spacing w:val="-3"/>
          <w:sz w:val="20"/>
        </w:rPr>
        <w:t> </w:t>
      </w:r>
      <w:r>
        <w:rPr>
          <w:i/>
          <w:sz w:val="20"/>
        </w:rPr>
        <w:t>of</w:t>
      </w:r>
      <w:r>
        <w:rPr>
          <w:i/>
          <w:sz w:val="20"/>
        </w:rPr>
        <w:t> </w:t>
      </w:r>
      <w:r>
        <w:rPr>
          <w:i/>
          <w:spacing w:val="-4"/>
          <w:sz w:val="20"/>
        </w:rPr>
        <w:t>7%.</w:t>
      </w:r>
    </w:p>
    <w:p>
      <w:pPr>
        <w:pStyle w:val="BodyText"/>
        <w:rPr>
          <w:i/>
          <w:sz w:val="22"/>
        </w:rPr>
      </w:pPr>
    </w:p>
    <w:p>
      <w:pPr>
        <w:pStyle w:val="BodyText"/>
        <w:rPr>
          <w:i/>
          <w:sz w:val="19"/>
        </w:rPr>
      </w:pPr>
    </w:p>
    <w:p>
      <w:pPr>
        <w:pStyle w:val="Heading3"/>
        <w:jc w:val="left"/>
      </w:pPr>
      <w:bookmarkStart w:name="Class 1b buildings" w:id="177"/>
      <w:bookmarkEnd w:id="177"/>
      <w:r>
        <w:rPr>
          <w:b w:val="0"/>
        </w:rPr>
      </w:r>
      <w:r>
        <w:rPr/>
        <w:t>Class</w:t>
      </w:r>
      <w:r>
        <w:rPr>
          <w:spacing w:val="-2"/>
        </w:rPr>
        <w:t> </w:t>
      </w:r>
      <w:r>
        <w:rPr/>
        <w:t>1b</w:t>
      </w:r>
      <w:r>
        <w:rPr>
          <w:spacing w:val="-2"/>
        </w:rPr>
        <w:t> buildings</w:t>
      </w:r>
    </w:p>
    <w:p>
      <w:pPr>
        <w:spacing w:before="58"/>
        <w:ind w:left="420" w:right="0" w:firstLine="0"/>
        <w:jc w:val="left"/>
        <w:rPr>
          <w:i/>
          <w:sz w:val="24"/>
        </w:rPr>
      </w:pPr>
      <w:r>
        <w:rPr>
          <w:i/>
          <w:spacing w:val="-2"/>
          <w:sz w:val="24"/>
        </w:rPr>
        <w:t>Overview</w:t>
      </w:r>
    </w:p>
    <w:p>
      <w:pPr>
        <w:pStyle w:val="BodyText"/>
        <w:spacing w:before="119"/>
        <w:ind w:left="419" w:right="811"/>
        <w:jc w:val="both"/>
      </w:pPr>
      <w:r>
        <w:rPr/>
        <w:t>Accessibility of Class 1b buildings had already been addressed in the draft Premises Standards.</w:t>
      </w:r>
      <w:r>
        <w:rPr>
          <w:spacing w:val="40"/>
        </w:rPr>
        <w:t> </w:t>
      </w:r>
      <w:r>
        <w:rPr/>
        <w:t>A Class 1b building is a boarding house, guest house, hostel or the like with a floor area not more than 300</w:t>
      </w:r>
      <w:r>
        <w:rPr>
          <w:spacing w:val="-3"/>
        </w:rPr>
        <w:t> </w:t>
      </w:r>
      <w:r>
        <w:rPr/>
        <w:t>m2 and accommodating not more than 12 persons. It also includes Bed and Breakfast style accommodation and 4 or more cabins used for holiday accommodation on</w:t>
      </w:r>
      <w:r>
        <w:rPr>
          <w:spacing w:val="40"/>
        </w:rPr>
        <w:t> </w:t>
      </w:r>
      <w:r>
        <w:rPr/>
        <w:t>one allotment, such as those in caravan parks or eco-lodges.</w:t>
      </w:r>
    </w:p>
    <w:p>
      <w:pPr>
        <w:pStyle w:val="BodyText"/>
        <w:spacing w:before="120"/>
        <w:ind w:left="419" w:right="812"/>
        <w:jc w:val="both"/>
      </w:pPr>
      <w:r>
        <w:rPr/>
        <w:t>The changes to the draft Premises Standards propose to extend access requirement to all newly constructed and purpose-built Class</w:t>
      </w:r>
      <w:r>
        <w:rPr/>
        <w:t> 1b</w:t>
      </w:r>
      <w:r>
        <w:rPr/>
        <w:t> buildings (previously limited to those with 4 bedrooms or more).</w:t>
      </w:r>
      <w:r>
        <w:rPr>
          <w:spacing w:val="80"/>
        </w:rPr>
        <w:t> </w:t>
      </w:r>
      <w:r>
        <w:rPr/>
        <w:t>In a new single Class 1b building at least one bedroom, including sanitary facilities, and guest facilities such</w:t>
      </w:r>
      <w:r>
        <w:rPr>
          <w:spacing w:val="-1"/>
        </w:rPr>
        <w:t> </w:t>
      </w:r>
      <w:r>
        <w:rPr/>
        <w:t>as</w:t>
      </w:r>
      <w:r>
        <w:rPr>
          <w:spacing w:val="-1"/>
        </w:rPr>
        <w:t> </w:t>
      </w:r>
      <w:r>
        <w:rPr/>
        <w:t>an</w:t>
      </w:r>
      <w:r>
        <w:rPr>
          <w:spacing w:val="-1"/>
        </w:rPr>
        <w:t> </w:t>
      </w:r>
      <w:r>
        <w:rPr/>
        <w:t>eating</w:t>
      </w:r>
      <w:r>
        <w:rPr>
          <w:spacing w:val="-1"/>
        </w:rPr>
        <w:t> </w:t>
      </w:r>
      <w:r>
        <w:rPr/>
        <w:t>area</w:t>
      </w:r>
      <w:r>
        <w:rPr>
          <w:spacing w:val="-1"/>
        </w:rPr>
        <w:t> </w:t>
      </w:r>
      <w:r>
        <w:rPr/>
        <w:t>will</w:t>
      </w:r>
      <w:r>
        <w:rPr>
          <w:spacing w:val="-1"/>
        </w:rPr>
        <w:t> </w:t>
      </w:r>
      <w:r>
        <w:rPr/>
        <w:t>be required to be accessible regardless of the total number of bedrooms.</w:t>
      </w:r>
      <w:r>
        <w:rPr>
          <w:spacing w:val="79"/>
        </w:rPr>
        <w:t> </w:t>
      </w:r>
      <w:r>
        <w:rPr/>
        <w:t>The ratio of accessible dwellings, where there</w:t>
      </w:r>
    </w:p>
    <w:p>
      <w:pPr>
        <w:pStyle w:val="BodyText"/>
        <w:spacing w:before="9"/>
        <w:rPr>
          <w:sz w:val="29"/>
        </w:rPr>
      </w:pPr>
      <w:r>
        <w:rPr/>
        <w:pict>
          <v:rect style="position:absolute;margin-left:90pt;margin-top:18.365459pt;width:415.32pt;height:.6pt;mso-position-horizontal-relative:page;mso-position-vertical-relative:paragraph;z-index:-15692800;mso-wrap-distance-left:0;mso-wrap-distance-right:0" id="docshape85" filled="true" fillcolor="#000000" stroked="false">
            <v:fill type="solid"/>
            <w10:wrap type="topAndBottom"/>
          </v:rect>
        </w:pict>
      </w:r>
    </w:p>
    <w:p>
      <w:pPr>
        <w:pStyle w:val="BodyText"/>
        <w:spacing w:before="1"/>
        <w:rPr>
          <w:sz w:val="8"/>
        </w:rPr>
      </w:pPr>
    </w:p>
    <w:p>
      <w:pPr>
        <w:spacing w:before="130"/>
        <w:ind w:left="419" w:right="810" w:firstLine="0"/>
        <w:jc w:val="both"/>
        <w:rPr>
          <w:sz w:val="20"/>
        </w:rPr>
      </w:pPr>
      <w:r>
        <w:rPr>
          <w:sz w:val="20"/>
          <w:vertAlign w:val="superscript"/>
        </w:rPr>
        <w:t>90</w:t>
      </w:r>
      <w:r>
        <w:rPr>
          <w:sz w:val="20"/>
          <w:vertAlign w:val="baseline"/>
        </w:rPr>
        <w:t> All annual figures contained in this table constitute “steady state” estimates – i.e. they</w:t>
      </w:r>
      <w:r>
        <w:rPr>
          <w:spacing w:val="40"/>
          <w:sz w:val="20"/>
          <w:vertAlign w:val="baseline"/>
        </w:rPr>
        <w:t> </w:t>
      </w:r>
      <w:r>
        <w:rPr>
          <w:sz w:val="20"/>
          <w:vertAlign w:val="baseline"/>
        </w:rPr>
        <w:t>reflect the situation after the full implementation of the Standard.</w:t>
      </w:r>
      <w:r>
        <w:rPr>
          <w:spacing w:val="40"/>
          <w:sz w:val="20"/>
          <w:vertAlign w:val="baseline"/>
        </w:rPr>
        <w:t> </w:t>
      </w:r>
      <w:r>
        <w:rPr>
          <w:sz w:val="20"/>
          <w:vertAlign w:val="baseline"/>
        </w:rPr>
        <w:t>In the case of the benefit estimates, they reflect the situation after the completion of the assumed 15 year renovation cycle and thus relate to a situation in which all buildings have been made accessible to the extent required by the Standard, at least in relation to building upgrade works.</w:t>
      </w:r>
    </w:p>
    <w:p>
      <w:pPr>
        <w:spacing w:after="0"/>
        <w:jc w:val="both"/>
        <w:rPr>
          <w:sz w:val="20"/>
        </w:rPr>
        <w:sectPr>
          <w:pgSz w:w="11900" w:h="16840"/>
          <w:pgMar w:header="0" w:footer="1130" w:top="1080" w:bottom="1320" w:left="1380" w:right="980"/>
        </w:sectPr>
      </w:pPr>
    </w:p>
    <w:p>
      <w:pPr>
        <w:pStyle w:val="BodyText"/>
        <w:spacing w:before="75"/>
        <w:ind w:left="419" w:right="811"/>
      </w:pPr>
      <w:r>
        <w:rPr/>
        <w:t>are 4 or more Class 1b buildings used for holiday accommodation on a single allotment remains unchanged.</w:t>
      </w:r>
    </w:p>
    <w:p>
      <w:pPr>
        <w:pStyle w:val="BodyText"/>
        <w:spacing w:before="120"/>
        <w:ind w:left="420" w:right="811"/>
        <w:rPr>
          <w:rFonts w:ascii="Times New Roman"/>
        </w:rPr>
      </w:pPr>
      <w:r>
        <w:rPr/>
        <w:t>There</w:t>
      </w:r>
      <w:r>
        <w:rPr>
          <w:spacing w:val="35"/>
        </w:rPr>
        <w:t> </w:t>
      </w:r>
      <w:r>
        <w:rPr/>
        <w:t>are</w:t>
      </w:r>
      <w:r>
        <w:rPr>
          <w:spacing w:val="35"/>
        </w:rPr>
        <w:t> </w:t>
      </w:r>
      <w:r>
        <w:rPr/>
        <w:t>no</w:t>
      </w:r>
      <w:r>
        <w:rPr>
          <w:spacing w:val="35"/>
        </w:rPr>
        <w:t> </w:t>
      </w:r>
      <w:r>
        <w:rPr/>
        <w:t>changes</w:t>
      </w:r>
      <w:r>
        <w:rPr>
          <w:spacing w:val="35"/>
        </w:rPr>
        <w:t> </w:t>
      </w:r>
      <w:r>
        <w:rPr/>
        <w:t>to</w:t>
      </w:r>
      <w:r>
        <w:rPr>
          <w:spacing w:val="35"/>
        </w:rPr>
        <w:t> </w:t>
      </w:r>
      <w:r>
        <w:rPr/>
        <w:t>the</w:t>
      </w:r>
      <w:r>
        <w:rPr>
          <w:spacing w:val="34"/>
        </w:rPr>
        <w:t> </w:t>
      </w:r>
      <w:r>
        <w:rPr/>
        <w:t>treatment</w:t>
      </w:r>
      <w:r>
        <w:rPr>
          <w:spacing w:val="35"/>
        </w:rPr>
        <w:t> </w:t>
      </w:r>
      <w:r>
        <w:rPr/>
        <w:t>of</w:t>
      </w:r>
      <w:r>
        <w:rPr>
          <w:spacing w:val="35"/>
        </w:rPr>
        <w:t> </w:t>
      </w:r>
      <w:r>
        <w:rPr/>
        <w:t>existing</w:t>
      </w:r>
      <w:r>
        <w:rPr>
          <w:spacing w:val="34"/>
        </w:rPr>
        <w:t> </w:t>
      </w:r>
      <w:r>
        <w:rPr/>
        <w:t>buildings</w:t>
      </w:r>
      <w:r>
        <w:rPr>
          <w:spacing w:val="34"/>
        </w:rPr>
        <w:t> </w:t>
      </w:r>
      <w:r>
        <w:rPr/>
        <w:t>converted</w:t>
      </w:r>
      <w:r>
        <w:rPr>
          <w:spacing w:val="34"/>
        </w:rPr>
        <w:t> </w:t>
      </w:r>
      <w:r>
        <w:rPr/>
        <w:t>to</w:t>
      </w:r>
      <w:r>
        <w:rPr>
          <w:spacing w:val="34"/>
        </w:rPr>
        <w:t> </w:t>
      </w:r>
      <w:r>
        <w:rPr/>
        <w:t>a Class 1b use or existing Class 1b buildings being upgraded</w:t>
      </w:r>
      <w:r>
        <w:rPr>
          <w:rFonts w:ascii="Times New Roman"/>
        </w:rPr>
        <w:t>.</w:t>
      </w:r>
    </w:p>
    <w:p>
      <w:pPr>
        <w:spacing w:before="122"/>
        <w:ind w:left="420" w:right="0" w:firstLine="0"/>
        <w:jc w:val="left"/>
        <w:rPr>
          <w:i/>
          <w:sz w:val="24"/>
        </w:rPr>
      </w:pPr>
      <w:r>
        <w:rPr>
          <w:i/>
          <w:spacing w:val="-2"/>
          <w:sz w:val="24"/>
        </w:rPr>
        <w:t>Benefits</w:t>
      </w:r>
    </w:p>
    <w:p>
      <w:pPr>
        <w:pStyle w:val="BodyText"/>
        <w:spacing w:before="119"/>
        <w:ind w:left="419" w:right="810"/>
        <w:jc w:val="both"/>
      </w:pPr>
      <w:r>
        <w:rPr/>
        <w:t>The proposed requirement is expected to deliver a small increase in the number of Class</w:t>
      </w:r>
      <w:r>
        <w:rPr>
          <w:spacing w:val="-1"/>
        </w:rPr>
        <w:t> </w:t>
      </w:r>
      <w:r>
        <w:rPr/>
        <w:t>1b</w:t>
      </w:r>
      <w:r>
        <w:rPr>
          <w:spacing w:val="-1"/>
        </w:rPr>
        <w:t> </w:t>
      </w:r>
      <w:r>
        <w:rPr/>
        <w:t>buildings</w:t>
      </w:r>
      <w:r>
        <w:rPr>
          <w:spacing w:val="-1"/>
        </w:rPr>
        <w:t> </w:t>
      </w:r>
      <w:r>
        <w:rPr/>
        <w:t>required</w:t>
      </w:r>
      <w:r>
        <w:rPr>
          <w:spacing w:val="-1"/>
        </w:rPr>
        <w:t> </w:t>
      </w:r>
      <w:r>
        <w:rPr/>
        <w:t>to be</w:t>
      </w:r>
      <w:r>
        <w:rPr>
          <w:spacing w:val="-1"/>
        </w:rPr>
        <w:t> </w:t>
      </w:r>
      <w:r>
        <w:rPr/>
        <w:t>accessible</w:t>
      </w:r>
      <w:r>
        <w:rPr>
          <w:spacing w:val="-1"/>
        </w:rPr>
        <w:t> </w:t>
      </w:r>
      <w:r>
        <w:rPr/>
        <w:t>as</w:t>
      </w:r>
      <w:r>
        <w:rPr>
          <w:spacing w:val="-1"/>
        </w:rPr>
        <w:t> </w:t>
      </w:r>
      <w:r>
        <w:rPr/>
        <w:t>a</w:t>
      </w:r>
      <w:r>
        <w:rPr>
          <w:spacing w:val="-1"/>
        </w:rPr>
        <w:t> </w:t>
      </w:r>
      <w:r>
        <w:rPr/>
        <w:t>result</w:t>
      </w:r>
      <w:r>
        <w:rPr>
          <w:spacing w:val="-1"/>
        </w:rPr>
        <w:t> </w:t>
      </w:r>
      <w:r>
        <w:rPr/>
        <w:t>of</w:t>
      </w:r>
      <w:r>
        <w:rPr>
          <w:spacing w:val="-1"/>
        </w:rPr>
        <w:t> </w:t>
      </w:r>
      <w:r>
        <w:rPr/>
        <w:t>requiring all new Class 1b buildings to be accessible rather than only those with 4 or more bedrooms.</w:t>
      </w:r>
      <w:r>
        <w:rPr>
          <w:spacing w:val="40"/>
        </w:rPr>
        <w:t> </w:t>
      </w:r>
      <w:r>
        <w:rPr/>
        <w:t>Over a long period of time this can be expected to have a modest cumulative effect of delivering improved access for people with a disability on lower incomes, who might only be able to afford low cost accommodation options, for those who have a preference for this type of accommodation and for those visiting locations where this is the only form of accommodation available.</w:t>
      </w:r>
    </w:p>
    <w:p>
      <w:pPr>
        <w:pStyle w:val="BodyText"/>
        <w:spacing w:before="120"/>
        <w:ind w:left="419" w:right="811"/>
        <w:jc w:val="both"/>
      </w:pPr>
      <w:r>
        <w:rPr/>
        <w:t>The size of the benefit is considered to be small.</w:t>
      </w:r>
      <w:r>
        <w:rPr>
          <w:spacing w:val="40"/>
        </w:rPr>
        <w:t> </w:t>
      </w:r>
      <w:r>
        <w:rPr/>
        <w:t>However, since many such accommodation options would tend to be relatively modestly priced, the improved access to this sector may be particularly important given the low average levels of income found among people with a disability. That is, the effect of the change may be particularly important in expanding low-priced accommodation options for people with a disability.</w:t>
      </w:r>
    </w:p>
    <w:p>
      <w:pPr>
        <w:pStyle w:val="BodyText"/>
        <w:spacing w:before="120"/>
        <w:ind w:left="420" w:right="811"/>
        <w:jc w:val="both"/>
      </w:pPr>
      <w:r>
        <w:rPr/>
        <w:t>This change would also be expected to increase the potential market for operators of Class 1b facilities, to the extent that people with a disability who would not have been able to make use of the accommodation offered by</w:t>
      </w:r>
      <w:r>
        <w:rPr>
          <w:spacing w:val="40"/>
        </w:rPr>
        <w:t> </w:t>
      </w:r>
      <w:r>
        <w:rPr/>
        <w:t>these premises are now able to do so, resulting in the potential for additional </w:t>
      </w:r>
      <w:r>
        <w:rPr>
          <w:spacing w:val="-2"/>
        </w:rPr>
        <w:t>patronage.</w:t>
      </w:r>
    </w:p>
    <w:p>
      <w:pPr>
        <w:spacing w:before="121"/>
        <w:ind w:left="420" w:right="0" w:firstLine="0"/>
        <w:jc w:val="left"/>
        <w:rPr>
          <w:i/>
          <w:sz w:val="24"/>
        </w:rPr>
      </w:pPr>
      <w:bookmarkStart w:name="Costs" w:id="178"/>
      <w:bookmarkEnd w:id="178"/>
      <w:r>
        <w:rPr/>
      </w:r>
      <w:r>
        <w:rPr>
          <w:i/>
          <w:spacing w:val="-2"/>
          <w:sz w:val="24"/>
          <w:u w:val="single"/>
        </w:rPr>
        <w:t>Costs</w:t>
      </w:r>
    </w:p>
    <w:p>
      <w:pPr>
        <w:pStyle w:val="BodyText"/>
        <w:spacing w:before="119"/>
        <w:ind w:left="420" w:right="810"/>
        <w:jc w:val="both"/>
      </w:pPr>
      <w:r>
        <w:rPr/>
        <w:t>The RIS estimated the cost of making a new Class 1b building accessible to be $7600 or 4.6% of the generic building cost.</w:t>
      </w:r>
      <w:r>
        <w:rPr>
          <w:spacing w:val="40"/>
        </w:rPr>
        <w:t> </w:t>
      </w:r>
      <w:r>
        <w:rPr/>
        <w:t>The changes to the draft Premises Standards in respect of Class 1b buildings does not increase the cost of making a Class 1b building accessible, but those costs will be borne</w:t>
      </w:r>
      <w:r>
        <w:rPr>
          <w:spacing w:val="40"/>
        </w:rPr>
        <w:t> </w:t>
      </w:r>
      <w:r>
        <w:rPr/>
        <w:t>by a larger number (estimated to be an additional 60%) of newly constructed Class 1b buildings.</w:t>
      </w:r>
      <w:r>
        <w:rPr>
          <w:spacing w:val="40"/>
        </w:rPr>
        <w:t> </w:t>
      </w:r>
      <w:r>
        <w:rPr/>
        <w:t>It should be noted however, that newly constructed Class 1b buildings would only be a proportion of the total number of all Class 1b buildings affected by the change, i.e. existing buildings converted to a Class 1b use would still be subject to the 4 bedroom threshold.</w:t>
      </w:r>
      <w:r>
        <w:rPr>
          <w:spacing w:val="40"/>
        </w:rPr>
        <w:t> </w:t>
      </w:r>
      <w:r>
        <w:rPr/>
        <w:t>Some small tourism operators who choose to construct a new Class 1b building rather than convert an existing building will be affected.</w:t>
      </w:r>
      <w:r>
        <w:rPr>
          <w:spacing w:val="40"/>
        </w:rPr>
        <w:t> </w:t>
      </w:r>
      <w:r>
        <w:rPr/>
        <w:t>However, the change should not pose an additional barrier to new market entrants.</w:t>
      </w:r>
    </w:p>
    <w:p>
      <w:pPr>
        <w:spacing w:before="120"/>
        <w:ind w:left="420" w:right="0" w:firstLine="0"/>
        <w:jc w:val="both"/>
        <w:rPr>
          <w:i/>
          <w:sz w:val="24"/>
        </w:rPr>
      </w:pPr>
      <w:r>
        <w:rPr>
          <w:i/>
          <w:sz w:val="24"/>
          <w:u w:val="single"/>
        </w:rPr>
        <w:t>Benefit/Cost </w:t>
      </w:r>
      <w:r>
        <w:rPr>
          <w:i/>
          <w:spacing w:val="-2"/>
          <w:sz w:val="24"/>
          <w:u w:val="single"/>
        </w:rPr>
        <w:t>outcome</w:t>
      </w:r>
    </w:p>
    <w:p>
      <w:pPr>
        <w:pStyle w:val="BodyText"/>
        <w:spacing w:before="119"/>
        <w:ind w:left="419" w:right="813"/>
        <w:jc w:val="both"/>
      </w:pPr>
      <w:r>
        <w:rPr/>
        <w:t>The effect on the overall benefit/cost ratio of the Premises Standards is considered</w:t>
      </w:r>
      <w:r>
        <w:rPr>
          <w:spacing w:val="31"/>
        </w:rPr>
        <w:t> </w:t>
      </w:r>
      <w:r>
        <w:rPr/>
        <w:t>to</w:t>
      </w:r>
      <w:r>
        <w:rPr>
          <w:spacing w:val="31"/>
        </w:rPr>
        <w:t> </w:t>
      </w:r>
      <w:r>
        <w:rPr/>
        <w:t>be</w:t>
      </w:r>
      <w:r>
        <w:rPr>
          <w:spacing w:val="31"/>
        </w:rPr>
        <w:t> </w:t>
      </w:r>
      <w:r>
        <w:rPr/>
        <w:t>negligible</w:t>
      </w:r>
      <w:r>
        <w:rPr>
          <w:spacing w:val="32"/>
        </w:rPr>
        <w:t> </w:t>
      </w:r>
      <w:r>
        <w:rPr/>
        <w:t>due</w:t>
      </w:r>
      <w:r>
        <w:rPr>
          <w:spacing w:val="31"/>
        </w:rPr>
        <w:t> </w:t>
      </w:r>
      <w:r>
        <w:rPr/>
        <w:t>to</w:t>
      </w:r>
      <w:r>
        <w:rPr>
          <w:spacing w:val="31"/>
        </w:rPr>
        <w:t> </w:t>
      </w:r>
      <w:r>
        <w:rPr/>
        <w:t>the</w:t>
      </w:r>
      <w:r>
        <w:rPr>
          <w:spacing w:val="31"/>
        </w:rPr>
        <w:t> </w:t>
      </w:r>
      <w:r>
        <w:rPr/>
        <w:t>relatively</w:t>
      </w:r>
      <w:r>
        <w:rPr>
          <w:spacing w:val="31"/>
        </w:rPr>
        <w:t> </w:t>
      </w:r>
      <w:r>
        <w:rPr/>
        <w:t>small</w:t>
      </w:r>
      <w:r>
        <w:rPr>
          <w:spacing w:val="31"/>
        </w:rPr>
        <w:t> </w:t>
      </w:r>
      <w:r>
        <w:rPr/>
        <w:t>number</w:t>
      </w:r>
      <w:r>
        <w:rPr>
          <w:spacing w:val="31"/>
        </w:rPr>
        <w:t> </w:t>
      </w:r>
      <w:r>
        <w:rPr/>
        <w:t>and</w:t>
      </w:r>
      <w:r>
        <w:rPr>
          <w:spacing w:val="31"/>
        </w:rPr>
        <w:t> </w:t>
      </w:r>
      <w:r>
        <w:rPr/>
        <w:t>value</w:t>
      </w:r>
      <w:r>
        <w:rPr>
          <w:spacing w:val="31"/>
        </w:rPr>
        <w:t> </w:t>
      </w:r>
      <w:r>
        <w:rPr/>
        <w:t>of</w:t>
      </w:r>
    </w:p>
    <w:p>
      <w:pPr>
        <w:spacing w:after="0"/>
        <w:jc w:val="both"/>
        <w:sectPr>
          <w:pgSz w:w="11900" w:h="16840"/>
          <w:pgMar w:header="0" w:footer="1130" w:top="1000" w:bottom="1320" w:left="1380" w:right="980"/>
        </w:sectPr>
      </w:pPr>
    </w:p>
    <w:p>
      <w:pPr>
        <w:pStyle w:val="BodyText"/>
        <w:spacing w:before="115"/>
        <w:ind w:left="420" w:right="811"/>
      </w:pPr>
      <w:r>
        <w:rPr/>
        <w:t>new building work in this category </w:t>
      </w:r>
      <w:r>
        <w:rPr>
          <w:vertAlign w:val="superscript"/>
        </w:rPr>
        <w:t>91</w:t>
      </w:r>
      <w:r>
        <w:rPr>
          <w:vertAlign w:val="baseline"/>
        </w:rPr>
        <w:t>. Based on this assertion an increase in</w:t>
      </w:r>
      <w:r>
        <w:rPr>
          <w:spacing w:val="40"/>
          <w:vertAlign w:val="baseline"/>
        </w:rPr>
        <w:t> </w:t>
      </w:r>
      <w:r>
        <w:rPr>
          <w:vertAlign w:val="baseline"/>
        </w:rPr>
        <w:t>both benefits and costs can be summarised as follows:</w:t>
      </w:r>
    </w:p>
    <w:p>
      <w:pPr>
        <w:pStyle w:val="ListParagraph"/>
        <w:numPr>
          <w:ilvl w:val="1"/>
          <w:numId w:val="49"/>
        </w:numPr>
        <w:tabs>
          <w:tab w:pos="1139" w:val="left" w:leader="none"/>
          <w:tab w:pos="1141" w:val="left" w:leader="none"/>
        </w:tabs>
        <w:spacing w:line="240" w:lineRule="auto" w:before="121" w:after="0"/>
        <w:ind w:left="1140" w:right="0" w:hanging="361"/>
        <w:jc w:val="left"/>
        <w:rPr>
          <w:sz w:val="24"/>
        </w:rPr>
      </w:pPr>
      <w:r>
        <w:rPr>
          <w:sz w:val="24"/>
        </w:rPr>
        <w:t>An</w:t>
      </w:r>
      <w:r>
        <w:rPr>
          <w:spacing w:val="-4"/>
          <w:sz w:val="24"/>
        </w:rPr>
        <w:t> </w:t>
      </w:r>
      <w:r>
        <w:rPr>
          <w:sz w:val="24"/>
        </w:rPr>
        <w:t>increase</w:t>
      </w:r>
      <w:r>
        <w:rPr>
          <w:spacing w:val="-3"/>
          <w:sz w:val="24"/>
        </w:rPr>
        <w:t> </w:t>
      </w:r>
      <w:r>
        <w:rPr>
          <w:sz w:val="24"/>
        </w:rPr>
        <w:t>in</w:t>
      </w:r>
      <w:r>
        <w:rPr>
          <w:spacing w:val="-3"/>
          <w:sz w:val="24"/>
        </w:rPr>
        <w:t> </w:t>
      </w:r>
      <w:r>
        <w:rPr>
          <w:sz w:val="24"/>
        </w:rPr>
        <w:t>benefits</w:t>
      </w:r>
      <w:r>
        <w:rPr>
          <w:spacing w:val="-3"/>
          <w:sz w:val="24"/>
        </w:rPr>
        <w:t> </w:t>
      </w:r>
      <w:r>
        <w:rPr>
          <w:sz w:val="24"/>
        </w:rPr>
        <w:t>due</w:t>
      </w:r>
      <w:r>
        <w:rPr>
          <w:spacing w:val="-3"/>
          <w:sz w:val="24"/>
        </w:rPr>
        <w:t> </w:t>
      </w:r>
      <w:r>
        <w:rPr>
          <w:spacing w:val="-5"/>
          <w:sz w:val="24"/>
        </w:rPr>
        <w:t>to-</w:t>
      </w:r>
    </w:p>
    <w:p>
      <w:pPr>
        <w:pStyle w:val="ListParagraph"/>
        <w:numPr>
          <w:ilvl w:val="2"/>
          <w:numId w:val="49"/>
        </w:numPr>
        <w:tabs>
          <w:tab w:pos="1861" w:val="left" w:leader="none"/>
        </w:tabs>
        <w:spacing w:line="223" w:lineRule="auto" w:before="132" w:after="0"/>
        <w:ind w:left="1860" w:right="815" w:hanging="360"/>
        <w:jc w:val="left"/>
        <w:rPr>
          <w:sz w:val="24"/>
        </w:rPr>
      </w:pPr>
      <w:r>
        <w:rPr>
          <w:sz w:val="24"/>
        </w:rPr>
        <w:t>Additional</w:t>
      </w:r>
      <w:r>
        <w:rPr>
          <w:spacing w:val="-5"/>
          <w:sz w:val="24"/>
        </w:rPr>
        <w:t> </w:t>
      </w:r>
      <w:r>
        <w:rPr>
          <w:sz w:val="24"/>
        </w:rPr>
        <w:t>accessible</w:t>
      </w:r>
      <w:r>
        <w:rPr>
          <w:spacing w:val="-5"/>
          <w:sz w:val="24"/>
        </w:rPr>
        <w:t> </w:t>
      </w:r>
      <w:r>
        <w:rPr>
          <w:sz w:val="24"/>
        </w:rPr>
        <w:t>accommodation</w:t>
      </w:r>
      <w:r>
        <w:rPr>
          <w:spacing w:val="-6"/>
          <w:sz w:val="24"/>
        </w:rPr>
        <w:t> </w:t>
      </w:r>
      <w:r>
        <w:rPr>
          <w:sz w:val="24"/>
        </w:rPr>
        <w:t>options</w:t>
      </w:r>
      <w:r>
        <w:rPr>
          <w:spacing w:val="-6"/>
          <w:sz w:val="24"/>
        </w:rPr>
        <w:t> </w:t>
      </w:r>
      <w:r>
        <w:rPr>
          <w:sz w:val="24"/>
        </w:rPr>
        <w:t>being</w:t>
      </w:r>
      <w:r>
        <w:rPr>
          <w:spacing w:val="-6"/>
          <w:sz w:val="24"/>
        </w:rPr>
        <w:t> </w:t>
      </w:r>
      <w:r>
        <w:rPr>
          <w:sz w:val="24"/>
        </w:rPr>
        <w:t>available</w:t>
      </w:r>
      <w:r>
        <w:rPr>
          <w:spacing w:val="-6"/>
          <w:sz w:val="24"/>
        </w:rPr>
        <w:t> </w:t>
      </w:r>
      <w:r>
        <w:rPr>
          <w:sz w:val="24"/>
        </w:rPr>
        <w:t>for people with a disability.</w:t>
      </w:r>
    </w:p>
    <w:p>
      <w:pPr>
        <w:pStyle w:val="ListParagraph"/>
        <w:numPr>
          <w:ilvl w:val="2"/>
          <w:numId w:val="49"/>
        </w:numPr>
        <w:tabs>
          <w:tab w:pos="1861" w:val="left" w:leader="none"/>
        </w:tabs>
        <w:spacing w:line="223" w:lineRule="auto" w:before="138" w:after="0"/>
        <w:ind w:left="1860" w:right="811" w:hanging="360"/>
        <w:jc w:val="left"/>
        <w:rPr>
          <w:sz w:val="24"/>
        </w:rPr>
      </w:pPr>
      <w:r>
        <w:rPr>
          <w:sz w:val="24"/>
        </w:rPr>
        <w:t>Additional</w:t>
      </w:r>
      <w:r>
        <w:rPr>
          <w:spacing w:val="40"/>
          <w:sz w:val="24"/>
        </w:rPr>
        <w:t> </w:t>
      </w:r>
      <w:r>
        <w:rPr>
          <w:sz w:val="24"/>
        </w:rPr>
        <w:t>patronage</w:t>
      </w:r>
      <w:r>
        <w:rPr>
          <w:spacing w:val="40"/>
          <w:sz w:val="24"/>
        </w:rPr>
        <w:t> </w:t>
      </w:r>
      <w:r>
        <w:rPr>
          <w:sz w:val="24"/>
        </w:rPr>
        <w:t>for</w:t>
      </w:r>
      <w:r>
        <w:rPr>
          <w:spacing w:val="40"/>
          <w:sz w:val="24"/>
        </w:rPr>
        <w:t> </w:t>
      </w:r>
      <w:r>
        <w:rPr>
          <w:sz w:val="24"/>
        </w:rPr>
        <w:t>operators</w:t>
      </w:r>
      <w:r>
        <w:rPr>
          <w:spacing w:val="40"/>
          <w:sz w:val="24"/>
        </w:rPr>
        <w:t> </w:t>
      </w:r>
      <w:r>
        <w:rPr>
          <w:sz w:val="24"/>
        </w:rPr>
        <w:t>of</w:t>
      </w:r>
      <w:r>
        <w:rPr>
          <w:spacing w:val="40"/>
          <w:sz w:val="24"/>
        </w:rPr>
        <w:t> </w:t>
      </w:r>
      <w:r>
        <w:rPr>
          <w:sz w:val="24"/>
        </w:rPr>
        <w:t>newly</w:t>
      </w:r>
      <w:r>
        <w:rPr>
          <w:spacing w:val="40"/>
          <w:sz w:val="24"/>
        </w:rPr>
        <w:t> </w:t>
      </w:r>
      <w:r>
        <w:rPr>
          <w:sz w:val="24"/>
        </w:rPr>
        <w:t>constructed</w:t>
      </w:r>
      <w:r>
        <w:rPr>
          <w:spacing w:val="40"/>
          <w:sz w:val="24"/>
        </w:rPr>
        <w:t> </w:t>
      </w:r>
      <w:r>
        <w:rPr>
          <w:sz w:val="24"/>
        </w:rPr>
        <w:t>small </w:t>
      </w:r>
      <w:r>
        <w:rPr>
          <w:spacing w:val="-2"/>
          <w:sz w:val="24"/>
        </w:rPr>
        <w:t>establishments.</w:t>
      </w:r>
    </w:p>
    <w:p>
      <w:pPr>
        <w:pStyle w:val="ListParagraph"/>
        <w:numPr>
          <w:ilvl w:val="1"/>
          <w:numId w:val="49"/>
        </w:numPr>
        <w:tabs>
          <w:tab w:pos="1139" w:val="left" w:leader="none"/>
          <w:tab w:pos="1141" w:val="left" w:leader="none"/>
        </w:tabs>
        <w:spacing w:line="237" w:lineRule="auto" w:before="126" w:after="0"/>
        <w:ind w:left="1140" w:right="812" w:hanging="360"/>
        <w:jc w:val="left"/>
        <w:rPr>
          <w:sz w:val="24"/>
        </w:rPr>
      </w:pPr>
      <w:r>
        <w:rPr>
          <w:sz w:val="24"/>
        </w:rPr>
        <w:t>An</w:t>
      </w:r>
      <w:r>
        <w:rPr>
          <w:spacing w:val="30"/>
          <w:sz w:val="24"/>
        </w:rPr>
        <w:t> </w:t>
      </w:r>
      <w:r>
        <w:rPr>
          <w:sz w:val="24"/>
        </w:rPr>
        <w:t>increase</w:t>
      </w:r>
      <w:r>
        <w:rPr>
          <w:spacing w:val="30"/>
          <w:sz w:val="24"/>
        </w:rPr>
        <w:t> </w:t>
      </w:r>
      <w:r>
        <w:rPr>
          <w:sz w:val="24"/>
        </w:rPr>
        <w:t>in</w:t>
      </w:r>
      <w:r>
        <w:rPr>
          <w:spacing w:val="30"/>
          <w:sz w:val="24"/>
        </w:rPr>
        <w:t> </w:t>
      </w:r>
      <w:r>
        <w:rPr>
          <w:sz w:val="24"/>
        </w:rPr>
        <w:t>costs</w:t>
      </w:r>
      <w:r>
        <w:rPr>
          <w:spacing w:val="30"/>
          <w:sz w:val="24"/>
        </w:rPr>
        <w:t> </w:t>
      </w:r>
      <w:r>
        <w:rPr>
          <w:sz w:val="24"/>
        </w:rPr>
        <w:t>for</w:t>
      </w:r>
      <w:r>
        <w:rPr>
          <w:spacing w:val="30"/>
          <w:sz w:val="24"/>
        </w:rPr>
        <w:t> </w:t>
      </w:r>
      <w:r>
        <w:rPr>
          <w:sz w:val="24"/>
        </w:rPr>
        <w:t>a</w:t>
      </w:r>
      <w:r>
        <w:rPr>
          <w:spacing w:val="30"/>
          <w:sz w:val="24"/>
        </w:rPr>
        <w:t> </w:t>
      </w:r>
      <w:r>
        <w:rPr>
          <w:sz w:val="24"/>
        </w:rPr>
        <w:t>limited</w:t>
      </w:r>
      <w:r>
        <w:rPr>
          <w:spacing w:val="30"/>
          <w:sz w:val="24"/>
        </w:rPr>
        <w:t> </w:t>
      </w:r>
      <w:r>
        <w:rPr>
          <w:sz w:val="24"/>
        </w:rPr>
        <w:t>number</w:t>
      </w:r>
      <w:r>
        <w:rPr>
          <w:spacing w:val="29"/>
          <w:sz w:val="24"/>
        </w:rPr>
        <w:t> </w:t>
      </w:r>
      <w:r>
        <w:rPr>
          <w:sz w:val="24"/>
        </w:rPr>
        <w:t>of</w:t>
      </w:r>
      <w:r>
        <w:rPr>
          <w:spacing w:val="29"/>
          <w:sz w:val="24"/>
        </w:rPr>
        <w:t> </w:t>
      </w:r>
      <w:r>
        <w:rPr>
          <w:sz w:val="24"/>
        </w:rPr>
        <w:t>newly</w:t>
      </w:r>
      <w:r>
        <w:rPr>
          <w:spacing w:val="29"/>
          <w:sz w:val="24"/>
        </w:rPr>
        <w:t> </w:t>
      </w:r>
      <w:r>
        <w:rPr>
          <w:sz w:val="24"/>
        </w:rPr>
        <w:t>constructed</w:t>
      </w:r>
      <w:r>
        <w:rPr>
          <w:spacing w:val="30"/>
          <w:sz w:val="24"/>
        </w:rPr>
        <w:t> </w:t>
      </w:r>
      <w:r>
        <w:rPr>
          <w:sz w:val="24"/>
        </w:rPr>
        <w:t>small establishments of around $7600 or 4.6% of the generic building cost.</w:t>
      </w:r>
    </w:p>
    <w:p>
      <w:pPr>
        <w:pStyle w:val="BodyText"/>
        <w:rPr>
          <w:sz w:val="26"/>
        </w:rPr>
      </w:pPr>
    </w:p>
    <w:p>
      <w:pPr>
        <w:pStyle w:val="BodyText"/>
        <w:spacing w:before="7"/>
        <w:rPr>
          <w:sz w:val="25"/>
        </w:rPr>
      </w:pPr>
    </w:p>
    <w:p>
      <w:pPr>
        <w:pStyle w:val="Heading3"/>
        <w:jc w:val="left"/>
      </w:pPr>
      <w:bookmarkStart w:name="Class 2 Buildings" w:id="179"/>
      <w:bookmarkEnd w:id="179"/>
      <w:r>
        <w:rPr>
          <w:b w:val="0"/>
        </w:rPr>
      </w:r>
      <w:r>
        <w:rPr/>
        <w:t>Class</w:t>
      </w:r>
      <w:r>
        <w:rPr>
          <w:spacing w:val="-3"/>
        </w:rPr>
        <w:t> </w:t>
      </w:r>
      <w:r>
        <w:rPr/>
        <w:t>2</w:t>
      </w:r>
      <w:r>
        <w:rPr>
          <w:spacing w:val="-3"/>
        </w:rPr>
        <w:t> </w:t>
      </w:r>
      <w:r>
        <w:rPr>
          <w:spacing w:val="-2"/>
        </w:rPr>
        <w:t>Buildings</w:t>
      </w:r>
    </w:p>
    <w:p>
      <w:pPr>
        <w:spacing w:before="58"/>
        <w:ind w:left="420" w:right="0" w:firstLine="0"/>
        <w:jc w:val="left"/>
        <w:rPr>
          <w:i/>
          <w:sz w:val="24"/>
        </w:rPr>
      </w:pPr>
      <w:bookmarkStart w:name="Overview" w:id="180"/>
      <w:bookmarkEnd w:id="180"/>
      <w:r>
        <w:rPr/>
      </w:r>
      <w:r>
        <w:rPr>
          <w:i/>
          <w:spacing w:val="-2"/>
          <w:sz w:val="24"/>
          <w:u w:val="single"/>
        </w:rPr>
        <w:t>Overview</w:t>
      </w:r>
    </w:p>
    <w:p>
      <w:pPr>
        <w:pStyle w:val="BodyText"/>
        <w:spacing w:before="119"/>
        <w:ind w:left="419" w:right="811"/>
        <w:jc w:val="both"/>
      </w:pPr>
      <w:r>
        <w:rPr/>
        <w:t>Access requirements will be introduced for new Class 2 buildings for the first time.</w:t>
      </w:r>
      <w:r>
        <w:rPr>
          <w:spacing w:val="40"/>
        </w:rPr>
        <w:t> </w:t>
      </w:r>
      <w:r>
        <w:rPr/>
        <w:t>A Class 2 building is a building containing 2 or more sole-occupancy units,</w:t>
      </w:r>
      <w:r>
        <w:rPr>
          <w:spacing w:val="-1"/>
        </w:rPr>
        <w:t> </w:t>
      </w:r>
      <w:r>
        <w:rPr/>
        <w:t>each</w:t>
      </w:r>
      <w:r>
        <w:rPr>
          <w:spacing w:val="-1"/>
        </w:rPr>
        <w:t> </w:t>
      </w:r>
      <w:r>
        <w:rPr/>
        <w:t>being</w:t>
      </w:r>
      <w:r>
        <w:rPr>
          <w:spacing w:val="-1"/>
        </w:rPr>
        <w:t> </w:t>
      </w:r>
      <w:r>
        <w:rPr/>
        <w:t>a</w:t>
      </w:r>
      <w:r>
        <w:rPr>
          <w:spacing w:val="-1"/>
        </w:rPr>
        <w:t> </w:t>
      </w:r>
      <w:r>
        <w:rPr/>
        <w:t>separate</w:t>
      </w:r>
      <w:r>
        <w:rPr>
          <w:spacing w:val="-1"/>
        </w:rPr>
        <w:t> </w:t>
      </w:r>
      <w:r>
        <w:rPr/>
        <w:t>dwelling.</w:t>
      </w:r>
      <w:r>
        <w:rPr>
          <w:spacing w:val="40"/>
        </w:rPr>
        <w:t> </w:t>
      </w:r>
      <w:r>
        <w:rPr/>
        <w:t>Access</w:t>
      </w:r>
      <w:r>
        <w:rPr>
          <w:spacing w:val="-1"/>
        </w:rPr>
        <w:t> </w:t>
      </w:r>
      <w:r>
        <w:rPr/>
        <w:t>will</w:t>
      </w:r>
      <w:r>
        <w:rPr>
          <w:spacing w:val="-1"/>
        </w:rPr>
        <w:t> </w:t>
      </w:r>
      <w:r>
        <w:rPr/>
        <w:t>be</w:t>
      </w:r>
      <w:r>
        <w:rPr>
          <w:spacing w:val="-1"/>
        </w:rPr>
        <w:t> </w:t>
      </w:r>
      <w:r>
        <w:rPr/>
        <w:t>required</w:t>
      </w:r>
      <w:r>
        <w:rPr>
          <w:spacing w:val="-1"/>
        </w:rPr>
        <w:t> </w:t>
      </w:r>
      <w:r>
        <w:rPr/>
        <w:t>to</w:t>
      </w:r>
      <w:r>
        <w:rPr>
          <w:spacing w:val="-1"/>
        </w:rPr>
        <w:t> </w:t>
      </w:r>
      <w:r>
        <w:rPr/>
        <w:t>the</w:t>
      </w:r>
      <w:r>
        <w:rPr>
          <w:spacing w:val="-1"/>
        </w:rPr>
        <w:t> </w:t>
      </w:r>
      <w:r>
        <w:rPr/>
        <w:t>entrance level and any other levels to which access is provided by a lift or ramp for all new Class 2 buildings that are available for short-term rent.</w:t>
      </w:r>
      <w:r>
        <w:rPr>
          <w:spacing w:val="80"/>
        </w:rPr>
        <w:t> </w:t>
      </w:r>
      <w:r>
        <w:rPr/>
        <w:t>Access will also be required to at least one of each type of common facility provided for use by all occupants.</w:t>
      </w:r>
    </w:p>
    <w:p>
      <w:pPr>
        <w:pStyle w:val="BodyText"/>
        <w:spacing w:before="120"/>
        <w:ind w:left="420" w:right="811"/>
        <w:jc w:val="both"/>
      </w:pPr>
      <w:r>
        <w:rPr/>
        <w:t>Existing Class 2 buildings being upgraded or renovated, which formed part of the 2004 proposal and accounted for the majority of costs for all Class 2 building work, will not be subject to the Premises Standards. This was a carefully considered decision on the part of the Australian Government to reduce the overall costs of the proposal whilst still providing improved and</w:t>
      </w:r>
      <w:r>
        <w:rPr>
          <w:spacing w:val="40"/>
        </w:rPr>
        <w:t> </w:t>
      </w:r>
      <w:r>
        <w:rPr/>
        <w:t>less discriminatory access to Class 2 buildings in the longer term.</w:t>
      </w:r>
    </w:p>
    <w:p>
      <w:pPr>
        <w:spacing w:before="121"/>
        <w:ind w:left="420" w:right="0" w:firstLine="0"/>
        <w:jc w:val="left"/>
        <w:rPr>
          <w:i/>
          <w:sz w:val="24"/>
        </w:rPr>
      </w:pPr>
      <w:bookmarkStart w:name="Benefits" w:id="181"/>
      <w:bookmarkEnd w:id="181"/>
      <w:r>
        <w:rPr/>
      </w:r>
      <w:r>
        <w:rPr>
          <w:i/>
          <w:spacing w:val="-2"/>
          <w:sz w:val="24"/>
          <w:u w:val="single"/>
        </w:rPr>
        <w:t>Benefits</w:t>
      </w:r>
    </w:p>
    <w:p>
      <w:pPr>
        <w:pStyle w:val="BodyText"/>
        <w:spacing w:before="118"/>
        <w:ind w:left="420" w:right="812"/>
        <w:jc w:val="both"/>
      </w:pPr>
      <w:r>
        <w:rPr/>
        <w:t>In practice, the majority of Class 2 buildings currently being constructed are high-rise apartment blocks. However, this category also includes smaller, often 2 and 3 storey blocks of ‘walk up’ units.</w:t>
      </w:r>
    </w:p>
    <w:p>
      <w:pPr>
        <w:pStyle w:val="BodyText"/>
        <w:spacing w:before="120"/>
        <w:ind w:left="420" w:right="810"/>
        <w:jc w:val="both"/>
      </w:pPr>
      <w:r>
        <w:rPr/>
        <w:t>The expected benefits of these requirements result as a consequence of new Class 2 buildings with units used for short term rent typically also containing units that are owner-occupied or used for long term rent.</w:t>
      </w:r>
      <w:r>
        <w:rPr>
          <w:spacing w:val="40"/>
        </w:rPr>
        <w:t> </w:t>
      </w:r>
      <w:r>
        <w:rPr/>
        <w:t>These benefits are twofold.</w:t>
      </w:r>
      <w:r>
        <w:rPr>
          <w:spacing w:val="40"/>
        </w:rPr>
        <w:t> </w:t>
      </w:r>
      <w:r>
        <w:rPr/>
        <w:t>First, it is likely to widen the choice of accommodation options available to people with a disability by providing the opportunity for a person with a disability to modify a unit to make it accessible (i.e. given that access to the public areas of the building has been provided).</w:t>
      </w:r>
      <w:r>
        <w:rPr>
          <w:spacing w:val="80"/>
        </w:rPr>
        <w:t> </w:t>
      </w:r>
      <w:r>
        <w:rPr/>
        <w:t>Second, it will improve the ability of people with a disability to visit friends and associates who may live in Class 2 buildings.</w:t>
      </w:r>
    </w:p>
    <w:p>
      <w:pPr>
        <w:pStyle w:val="BodyText"/>
        <w:spacing w:before="121"/>
        <w:ind w:left="420" w:right="810"/>
        <w:jc w:val="both"/>
      </w:pPr>
      <w:r>
        <w:rPr/>
        <w:t>Again, given the low income status of many people with a disability, additional accommodation</w:t>
      </w:r>
      <w:r>
        <w:rPr>
          <w:spacing w:val="-2"/>
        </w:rPr>
        <w:t> </w:t>
      </w:r>
      <w:r>
        <w:rPr/>
        <w:t>options</w:t>
      </w:r>
      <w:r>
        <w:rPr>
          <w:spacing w:val="-2"/>
        </w:rPr>
        <w:t> </w:t>
      </w:r>
      <w:r>
        <w:rPr/>
        <w:t>in</w:t>
      </w:r>
      <w:r>
        <w:rPr>
          <w:spacing w:val="-2"/>
        </w:rPr>
        <w:t> </w:t>
      </w:r>
      <w:r>
        <w:rPr/>
        <w:t>the</w:t>
      </w:r>
      <w:r>
        <w:rPr>
          <w:spacing w:val="-1"/>
        </w:rPr>
        <w:t> </w:t>
      </w:r>
      <w:r>
        <w:rPr/>
        <w:t>area</w:t>
      </w:r>
      <w:r>
        <w:rPr>
          <w:spacing w:val="-1"/>
        </w:rPr>
        <w:t> </w:t>
      </w:r>
      <w:r>
        <w:rPr/>
        <w:t>of</w:t>
      </w:r>
      <w:r>
        <w:rPr>
          <w:spacing w:val="-1"/>
        </w:rPr>
        <w:t> </w:t>
      </w:r>
      <w:r>
        <w:rPr/>
        <w:t>flats</w:t>
      </w:r>
      <w:r>
        <w:rPr>
          <w:spacing w:val="-1"/>
        </w:rPr>
        <w:t> </w:t>
      </w:r>
      <w:r>
        <w:rPr/>
        <w:t>and</w:t>
      </w:r>
      <w:r>
        <w:rPr>
          <w:spacing w:val="-1"/>
        </w:rPr>
        <w:t> </w:t>
      </w:r>
      <w:r>
        <w:rPr/>
        <w:t>apartments</w:t>
      </w:r>
      <w:r>
        <w:rPr>
          <w:spacing w:val="-2"/>
        </w:rPr>
        <w:t> </w:t>
      </w:r>
      <w:r>
        <w:rPr/>
        <w:t>available</w:t>
      </w:r>
      <w:r>
        <w:rPr>
          <w:spacing w:val="-2"/>
        </w:rPr>
        <w:t> </w:t>
      </w:r>
      <w:r>
        <w:rPr/>
        <w:t>for</w:t>
      </w:r>
      <w:r>
        <w:rPr>
          <w:spacing w:val="-2"/>
        </w:rPr>
        <w:t> </w:t>
      </w:r>
      <w:r>
        <w:rPr/>
        <w:t>short-</w:t>
      </w:r>
    </w:p>
    <w:p>
      <w:pPr>
        <w:pStyle w:val="BodyText"/>
        <w:rPr>
          <w:sz w:val="20"/>
        </w:rPr>
      </w:pPr>
    </w:p>
    <w:p>
      <w:pPr>
        <w:pStyle w:val="BodyText"/>
        <w:spacing w:before="11"/>
        <w:rPr>
          <w:sz w:val="18"/>
        </w:rPr>
      </w:pPr>
      <w:r>
        <w:rPr/>
        <w:pict>
          <v:rect style="position:absolute;margin-left:90pt;margin-top:12.117158pt;width:144pt;height:.6pt;mso-position-horizontal-relative:page;mso-position-vertical-relative:paragraph;z-index:-15692288;mso-wrap-distance-left:0;mso-wrap-distance-right:0" id="docshape86" filled="true" fillcolor="#000000" stroked="false">
            <v:fill type="solid"/>
            <w10:wrap type="topAndBottom"/>
          </v:rect>
        </w:pict>
      </w:r>
    </w:p>
    <w:p>
      <w:pPr>
        <w:pStyle w:val="BodyText"/>
        <w:spacing w:before="6"/>
        <w:rPr>
          <w:sz w:val="18"/>
        </w:rPr>
      </w:pPr>
    </w:p>
    <w:p>
      <w:pPr>
        <w:spacing w:before="130"/>
        <w:ind w:left="419" w:right="1181" w:firstLine="0"/>
        <w:jc w:val="both"/>
        <w:rPr>
          <w:sz w:val="20"/>
        </w:rPr>
      </w:pPr>
      <w:r>
        <w:rPr>
          <w:sz w:val="20"/>
          <w:vertAlign w:val="superscript"/>
        </w:rPr>
        <w:t>91</w:t>
      </w:r>
      <w:r>
        <w:rPr>
          <w:spacing w:val="-3"/>
          <w:sz w:val="20"/>
          <w:vertAlign w:val="baseline"/>
        </w:rPr>
        <w:t> </w:t>
      </w:r>
      <w:r>
        <w:rPr>
          <w:sz w:val="20"/>
          <w:vertAlign w:val="baseline"/>
        </w:rPr>
        <w:t>Evidence</w:t>
      </w:r>
      <w:r>
        <w:rPr>
          <w:spacing w:val="-3"/>
          <w:sz w:val="20"/>
          <w:vertAlign w:val="baseline"/>
        </w:rPr>
        <w:t> </w:t>
      </w:r>
      <w:r>
        <w:rPr>
          <w:sz w:val="20"/>
          <w:vertAlign w:val="baseline"/>
        </w:rPr>
        <w:t>of</w:t>
      </w:r>
      <w:r>
        <w:rPr>
          <w:spacing w:val="-3"/>
          <w:sz w:val="20"/>
          <w:vertAlign w:val="baseline"/>
        </w:rPr>
        <w:t> </w:t>
      </w:r>
      <w:r>
        <w:rPr>
          <w:sz w:val="20"/>
          <w:vertAlign w:val="baseline"/>
        </w:rPr>
        <w:t>building</w:t>
      </w:r>
      <w:r>
        <w:rPr>
          <w:spacing w:val="-3"/>
          <w:sz w:val="20"/>
          <w:vertAlign w:val="baseline"/>
        </w:rPr>
        <w:t> </w:t>
      </w:r>
      <w:r>
        <w:rPr>
          <w:sz w:val="20"/>
          <w:vertAlign w:val="baseline"/>
        </w:rPr>
        <w:t>activity</w:t>
      </w:r>
      <w:r>
        <w:rPr>
          <w:spacing w:val="-3"/>
          <w:sz w:val="20"/>
          <w:vertAlign w:val="baseline"/>
        </w:rPr>
        <w:t> </w:t>
      </w:r>
      <w:r>
        <w:rPr>
          <w:sz w:val="20"/>
          <w:vertAlign w:val="baseline"/>
        </w:rPr>
        <w:t>on</w:t>
      </w:r>
      <w:r>
        <w:rPr>
          <w:spacing w:val="-3"/>
          <w:sz w:val="20"/>
          <w:vertAlign w:val="baseline"/>
        </w:rPr>
        <w:t> </w:t>
      </w:r>
      <w:r>
        <w:rPr>
          <w:sz w:val="20"/>
          <w:vertAlign w:val="baseline"/>
        </w:rPr>
        <w:t>this</w:t>
      </w:r>
      <w:r>
        <w:rPr>
          <w:spacing w:val="-3"/>
          <w:sz w:val="20"/>
          <w:vertAlign w:val="baseline"/>
        </w:rPr>
        <w:t> </w:t>
      </w:r>
      <w:r>
        <w:rPr>
          <w:sz w:val="20"/>
          <w:vertAlign w:val="baseline"/>
        </w:rPr>
        <w:t>particular</w:t>
      </w:r>
      <w:r>
        <w:rPr>
          <w:spacing w:val="-3"/>
          <w:sz w:val="20"/>
          <w:vertAlign w:val="baseline"/>
        </w:rPr>
        <w:t> </w:t>
      </w:r>
      <w:r>
        <w:rPr>
          <w:sz w:val="20"/>
          <w:vertAlign w:val="baseline"/>
        </w:rPr>
        <w:t>Class</w:t>
      </w:r>
      <w:r>
        <w:rPr>
          <w:spacing w:val="-3"/>
          <w:sz w:val="20"/>
          <w:vertAlign w:val="baseline"/>
        </w:rPr>
        <w:t> </w:t>
      </w:r>
      <w:r>
        <w:rPr>
          <w:sz w:val="20"/>
          <w:vertAlign w:val="baseline"/>
        </w:rPr>
        <w:t>of</w:t>
      </w:r>
      <w:r>
        <w:rPr>
          <w:spacing w:val="-3"/>
          <w:sz w:val="20"/>
          <w:vertAlign w:val="baseline"/>
        </w:rPr>
        <w:t> </w:t>
      </w:r>
      <w:r>
        <w:rPr>
          <w:sz w:val="20"/>
          <w:vertAlign w:val="baseline"/>
        </w:rPr>
        <w:t>building</w:t>
      </w:r>
      <w:r>
        <w:rPr>
          <w:spacing w:val="-3"/>
          <w:sz w:val="20"/>
          <w:vertAlign w:val="baseline"/>
        </w:rPr>
        <w:t> </w:t>
      </w:r>
      <w:r>
        <w:rPr>
          <w:sz w:val="20"/>
          <w:vertAlign w:val="baseline"/>
        </w:rPr>
        <w:t>is</w:t>
      </w:r>
      <w:r>
        <w:rPr>
          <w:spacing w:val="-3"/>
          <w:sz w:val="20"/>
          <w:vertAlign w:val="baseline"/>
        </w:rPr>
        <w:t> </w:t>
      </w:r>
      <w:r>
        <w:rPr>
          <w:sz w:val="20"/>
          <w:vertAlign w:val="baseline"/>
        </w:rPr>
        <w:t>anecdotal.</w:t>
      </w:r>
      <w:r>
        <w:rPr>
          <w:spacing w:val="-3"/>
          <w:sz w:val="20"/>
          <w:vertAlign w:val="baseline"/>
        </w:rPr>
        <w:t> </w:t>
      </w:r>
      <w:r>
        <w:rPr>
          <w:sz w:val="20"/>
          <w:vertAlign w:val="baseline"/>
        </w:rPr>
        <w:t>There</w:t>
      </w:r>
      <w:r>
        <w:rPr>
          <w:spacing w:val="-3"/>
          <w:sz w:val="20"/>
          <w:vertAlign w:val="baseline"/>
        </w:rPr>
        <w:t> </w:t>
      </w:r>
      <w:r>
        <w:rPr>
          <w:sz w:val="20"/>
          <w:vertAlign w:val="baseline"/>
        </w:rPr>
        <w:t>is</w:t>
      </w:r>
      <w:r>
        <w:rPr>
          <w:spacing w:val="-3"/>
          <w:sz w:val="20"/>
          <w:vertAlign w:val="baseline"/>
        </w:rPr>
        <w:t> </w:t>
      </w:r>
      <w:r>
        <w:rPr>
          <w:sz w:val="20"/>
          <w:vertAlign w:val="baseline"/>
        </w:rPr>
        <w:t>no ABS (or Victorian) building activity data available that more accurately defines the level of new building in this area.</w:t>
      </w:r>
    </w:p>
    <w:p>
      <w:pPr>
        <w:spacing w:after="0"/>
        <w:jc w:val="both"/>
        <w:rPr>
          <w:sz w:val="20"/>
        </w:rPr>
        <w:sectPr>
          <w:pgSz w:w="11900" w:h="16840"/>
          <w:pgMar w:header="0" w:footer="1130" w:top="960" w:bottom="1320" w:left="1380" w:right="980"/>
        </w:sectPr>
      </w:pPr>
    </w:p>
    <w:p>
      <w:pPr>
        <w:pStyle w:val="BodyText"/>
        <w:spacing w:before="75"/>
        <w:ind w:left="420" w:right="811"/>
        <w:jc w:val="both"/>
      </w:pPr>
      <w:r>
        <w:rPr/>
        <w:t>term rent may have important spillover benefits in terms of improved affordability of accommodation and the potential for reduced housing-related </w:t>
      </w:r>
      <w:r>
        <w:rPr>
          <w:spacing w:val="-2"/>
        </w:rPr>
        <w:t>poverty.</w:t>
      </w:r>
    </w:p>
    <w:p>
      <w:pPr>
        <w:pStyle w:val="BodyText"/>
        <w:rPr>
          <w:sz w:val="21"/>
        </w:rPr>
      </w:pPr>
    </w:p>
    <w:p>
      <w:pPr>
        <w:spacing w:before="1"/>
        <w:ind w:left="420" w:right="0" w:firstLine="0"/>
        <w:jc w:val="both"/>
        <w:rPr>
          <w:i/>
          <w:sz w:val="26"/>
        </w:rPr>
      </w:pPr>
      <w:bookmarkStart w:name="Sanitary facilities – Class 2 buildings " w:id="182"/>
      <w:bookmarkEnd w:id="182"/>
      <w:r>
        <w:rPr/>
      </w:r>
      <w:r>
        <w:rPr>
          <w:i/>
          <w:sz w:val="26"/>
        </w:rPr>
        <w:t>Sanitary</w:t>
      </w:r>
      <w:r>
        <w:rPr>
          <w:i/>
          <w:spacing w:val="-5"/>
          <w:sz w:val="26"/>
        </w:rPr>
        <w:t> </w:t>
      </w:r>
      <w:r>
        <w:rPr>
          <w:i/>
          <w:sz w:val="26"/>
        </w:rPr>
        <w:t>facilities</w:t>
      </w:r>
      <w:r>
        <w:rPr>
          <w:i/>
          <w:spacing w:val="-2"/>
          <w:sz w:val="26"/>
        </w:rPr>
        <w:t> </w:t>
      </w:r>
      <w:r>
        <w:rPr>
          <w:i/>
          <w:sz w:val="26"/>
        </w:rPr>
        <w:t>–</w:t>
      </w:r>
      <w:r>
        <w:rPr>
          <w:i/>
          <w:spacing w:val="-6"/>
          <w:sz w:val="26"/>
        </w:rPr>
        <w:t> </w:t>
      </w:r>
      <w:r>
        <w:rPr>
          <w:i/>
          <w:sz w:val="26"/>
        </w:rPr>
        <w:t>Class</w:t>
      </w:r>
      <w:r>
        <w:rPr>
          <w:i/>
          <w:spacing w:val="-2"/>
          <w:sz w:val="26"/>
        </w:rPr>
        <w:t> </w:t>
      </w:r>
      <w:r>
        <w:rPr>
          <w:i/>
          <w:sz w:val="26"/>
        </w:rPr>
        <w:t>2</w:t>
      </w:r>
      <w:r>
        <w:rPr>
          <w:i/>
          <w:spacing w:val="-2"/>
          <w:sz w:val="26"/>
        </w:rPr>
        <w:t> buildings</w:t>
      </w:r>
    </w:p>
    <w:p>
      <w:pPr>
        <w:pStyle w:val="BodyText"/>
        <w:spacing w:before="118"/>
        <w:ind w:left="420" w:right="811"/>
        <w:jc w:val="both"/>
      </w:pPr>
      <w:r>
        <w:rPr/>
        <w:t>In new Class 2 buildings (i.e. apartments and flats), it is proposed that where</w:t>
      </w:r>
      <w:r>
        <w:rPr>
          <w:spacing w:val="40"/>
        </w:rPr>
        <w:t> </w:t>
      </w:r>
      <w:r>
        <w:rPr/>
        <w:t>a sanitary facility is provided in a common area it must be an accessible unisex</w:t>
      </w:r>
      <w:r>
        <w:rPr>
          <w:spacing w:val="-3"/>
        </w:rPr>
        <w:t> </w:t>
      </w:r>
      <w:r>
        <w:rPr/>
        <w:t>facility.</w:t>
      </w:r>
      <w:r>
        <w:rPr>
          <w:spacing w:val="-3"/>
        </w:rPr>
        <w:t> </w:t>
      </w:r>
      <w:r>
        <w:rPr/>
        <w:t>There</w:t>
      </w:r>
      <w:r>
        <w:rPr>
          <w:spacing w:val="-3"/>
        </w:rPr>
        <w:t> </w:t>
      </w:r>
      <w:r>
        <w:rPr/>
        <w:t>is</w:t>
      </w:r>
      <w:r>
        <w:rPr>
          <w:spacing w:val="-3"/>
        </w:rPr>
        <w:t> </w:t>
      </w:r>
      <w:r>
        <w:rPr/>
        <w:t>no</w:t>
      </w:r>
      <w:r>
        <w:rPr>
          <w:spacing w:val="-3"/>
        </w:rPr>
        <w:t> </w:t>
      </w:r>
      <w:r>
        <w:rPr/>
        <w:t>current</w:t>
      </w:r>
      <w:r>
        <w:rPr>
          <w:spacing w:val="-3"/>
        </w:rPr>
        <w:t> </w:t>
      </w:r>
      <w:r>
        <w:rPr/>
        <w:t>accessibility</w:t>
      </w:r>
      <w:r>
        <w:rPr>
          <w:spacing w:val="-3"/>
        </w:rPr>
        <w:t> </w:t>
      </w:r>
      <w:r>
        <w:rPr/>
        <w:t>provision</w:t>
      </w:r>
      <w:r>
        <w:rPr>
          <w:spacing w:val="-2"/>
        </w:rPr>
        <w:t> </w:t>
      </w:r>
      <w:r>
        <w:rPr/>
        <w:t>in</w:t>
      </w:r>
      <w:r>
        <w:rPr>
          <w:spacing w:val="-3"/>
        </w:rPr>
        <w:t> </w:t>
      </w:r>
      <w:r>
        <w:rPr/>
        <w:t>this</w:t>
      </w:r>
      <w:r>
        <w:rPr>
          <w:spacing w:val="-2"/>
        </w:rPr>
        <w:t> </w:t>
      </w:r>
      <w:r>
        <w:rPr/>
        <w:t>respect.</w:t>
      </w:r>
      <w:r>
        <w:rPr>
          <w:spacing w:val="40"/>
        </w:rPr>
        <w:t> </w:t>
      </w:r>
      <w:r>
        <w:rPr/>
        <w:t>Class 2 buildings are not currently covered by access requirements in the Building Code of Australia.</w:t>
      </w:r>
    </w:p>
    <w:p>
      <w:pPr>
        <w:pStyle w:val="BodyText"/>
        <w:spacing w:before="120"/>
        <w:ind w:left="419" w:right="811"/>
        <w:jc w:val="both"/>
      </w:pPr>
      <w:r>
        <w:rPr/>
        <w:t>In developing the current regulatory proposal, the principle adopted in respect of Class 2 buildings was that at least one of each common facility for use by all the residents should be accessible. The proposal in respect of common area sanitary facilities clearly reflects this principle.</w:t>
      </w:r>
    </w:p>
    <w:p>
      <w:pPr>
        <w:pStyle w:val="BodyText"/>
        <w:spacing w:before="120"/>
        <w:ind w:left="420" w:right="811"/>
        <w:jc w:val="both"/>
      </w:pPr>
      <w:r>
        <w:rPr/>
        <w:t>The provision of accessible sanitary facilities in this context therefore represents an important element in the overall strategy of ensuring that Class 2 buildings are made reasonably accessible. It is not proposed, however, that the internal parts of sole occupancy units be required to be accessible.</w:t>
      </w:r>
    </w:p>
    <w:p>
      <w:pPr>
        <w:pStyle w:val="BodyText"/>
        <w:spacing w:before="120"/>
        <w:ind w:left="420"/>
        <w:jc w:val="both"/>
      </w:pPr>
      <w:r>
        <w:rPr/>
        <w:t>The</w:t>
      </w:r>
      <w:r>
        <w:rPr>
          <w:spacing w:val="-3"/>
        </w:rPr>
        <w:t> </w:t>
      </w:r>
      <w:r>
        <w:rPr/>
        <w:t>size</w:t>
      </w:r>
      <w:r>
        <w:rPr>
          <w:spacing w:val="-3"/>
        </w:rPr>
        <w:t> </w:t>
      </w:r>
      <w:r>
        <w:rPr/>
        <w:t>of</w:t>
      </w:r>
      <w:r>
        <w:rPr>
          <w:spacing w:val="-2"/>
        </w:rPr>
        <w:t> </w:t>
      </w:r>
      <w:r>
        <w:rPr/>
        <w:t>this</w:t>
      </w:r>
      <w:r>
        <w:rPr>
          <w:spacing w:val="-3"/>
        </w:rPr>
        <w:t> </w:t>
      </w:r>
      <w:r>
        <w:rPr/>
        <w:t>benefit</w:t>
      </w:r>
      <w:r>
        <w:rPr>
          <w:spacing w:val="-2"/>
        </w:rPr>
        <w:t> </w:t>
      </w:r>
      <w:r>
        <w:rPr/>
        <w:t>is</w:t>
      </w:r>
      <w:r>
        <w:rPr>
          <w:spacing w:val="-3"/>
        </w:rPr>
        <w:t> </w:t>
      </w:r>
      <w:r>
        <w:rPr/>
        <w:t>considered</w:t>
      </w:r>
      <w:r>
        <w:rPr>
          <w:spacing w:val="-2"/>
        </w:rPr>
        <w:t> </w:t>
      </w:r>
      <w:r>
        <w:rPr/>
        <w:t>to</w:t>
      </w:r>
      <w:r>
        <w:rPr>
          <w:spacing w:val="-3"/>
        </w:rPr>
        <w:t> </w:t>
      </w:r>
      <w:r>
        <w:rPr/>
        <w:t>be</w:t>
      </w:r>
      <w:r>
        <w:rPr>
          <w:spacing w:val="-2"/>
        </w:rPr>
        <w:t> moderate.</w:t>
      </w:r>
    </w:p>
    <w:p>
      <w:pPr>
        <w:spacing w:before="121"/>
        <w:ind w:left="420" w:right="0" w:firstLine="0"/>
        <w:jc w:val="left"/>
        <w:rPr>
          <w:i/>
          <w:sz w:val="24"/>
        </w:rPr>
      </w:pPr>
      <w:bookmarkStart w:name="Costs" w:id="183"/>
      <w:bookmarkEnd w:id="183"/>
      <w:r>
        <w:rPr/>
      </w:r>
      <w:r>
        <w:rPr>
          <w:i/>
          <w:spacing w:val="-2"/>
          <w:sz w:val="24"/>
          <w:u w:val="single"/>
        </w:rPr>
        <w:t>Costs</w:t>
      </w:r>
    </w:p>
    <w:p>
      <w:pPr>
        <w:pStyle w:val="BodyText"/>
        <w:spacing w:before="119"/>
        <w:ind w:left="419" w:right="812"/>
        <w:jc w:val="both"/>
      </w:pPr>
      <w:r>
        <w:rPr/>
        <w:t>New Class 2 buildings represent 84 per cent of market activity in this class, with 15 per cent of work going to alterations and additions (Table 2) that are not affected by this proposal.</w:t>
      </w:r>
    </w:p>
    <w:p>
      <w:pPr>
        <w:pStyle w:val="BodyText"/>
        <w:spacing w:before="120"/>
        <w:ind w:left="419" w:right="812"/>
        <w:jc w:val="both"/>
      </w:pPr>
      <w:r>
        <w:rPr/>
        <w:t>One and two-storey Class 2 buildings represent less than 6 per cent of total Class 2 activity (Table 2).</w:t>
      </w:r>
    </w:p>
    <w:p>
      <w:pPr>
        <w:pStyle w:val="BodyText"/>
        <w:spacing w:before="120"/>
        <w:ind w:left="419" w:right="811"/>
        <w:jc w:val="both"/>
      </w:pPr>
      <w:r>
        <w:rPr/>
        <w:t>There is no data on the number of Class 2 buildings available for short-term rent.</w:t>
      </w:r>
      <w:r>
        <w:rPr>
          <w:spacing w:val="40"/>
        </w:rPr>
        <w:t> </w:t>
      </w:r>
      <w:r>
        <w:rPr/>
        <w:t>Table D1 provides an indicative approximation using a lower bound figure, estimated at 40 per cent, and an upper bound figure of 100 per cent (using the assumption that all Class 2 buildings may have a unit or units that are let on a short term basis during the life of the building), the latter drawing data directly from the 2004 Draft RIS (Item 5.2.2).</w:t>
      </w:r>
    </w:p>
    <w:p>
      <w:pPr>
        <w:pStyle w:val="BodyText"/>
        <w:rPr>
          <w:sz w:val="26"/>
        </w:rPr>
      </w:pPr>
    </w:p>
    <w:p>
      <w:pPr>
        <w:pStyle w:val="Heading4"/>
        <w:tabs>
          <w:tab w:pos="2049" w:val="left" w:leader="none"/>
        </w:tabs>
        <w:spacing w:before="219"/>
        <w:ind w:right="811"/>
        <w:jc w:val="left"/>
        <w:rPr>
          <w:u w:val="none"/>
        </w:rPr>
      </w:pPr>
      <w:r>
        <w:rPr>
          <w:u w:val="single"/>
        </w:rPr>
        <w:t>TABLE</w:t>
      </w:r>
      <w:r>
        <w:rPr>
          <w:spacing w:val="40"/>
          <w:u w:val="single"/>
        </w:rPr>
        <w:t> </w:t>
      </w:r>
      <w:r>
        <w:rPr>
          <w:u w:val="single"/>
        </w:rPr>
        <w:t>D1:</w:t>
        <w:tab/>
        <w:t>Lower</w:t>
      </w:r>
      <w:r>
        <w:rPr>
          <w:spacing w:val="40"/>
          <w:u w:val="single"/>
        </w:rPr>
        <w:t> </w:t>
      </w:r>
      <w:r>
        <w:rPr>
          <w:u w:val="single"/>
        </w:rPr>
        <w:t>and</w:t>
      </w:r>
      <w:r>
        <w:rPr>
          <w:spacing w:val="40"/>
          <w:u w:val="single"/>
        </w:rPr>
        <w:t> </w:t>
      </w:r>
      <w:r>
        <w:rPr>
          <w:u w:val="single"/>
        </w:rPr>
        <w:t>upper</w:t>
      </w:r>
      <w:r>
        <w:rPr>
          <w:spacing w:val="40"/>
          <w:u w:val="single"/>
        </w:rPr>
        <w:t> </w:t>
      </w:r>
      <w:r>
        <w:rPr>
          <w:u w:val="single"/>
        </w:rPr>
        <w:t>bound</w:t>
      </w:r>
      <w:r>
        <w:rPr>
          <w:spacing w:val="40"/>
          <w:u w:val="single"/>
        </w:rPr>
        <w:t> </w:t>
      </w:r>
      <w:r>
        <w:rPr>
          <w:u w:val="single"/>
        </w:rPr>
        <w:t>figures</w:t>
      </w:r>
      <w:r>
        <w:rPr>
          <w:spacing w:val="40"/>
          <w:u w:val="single"/>
        </w:rPr>
        <w:t> </w:t>
      </w:r>
      <w:r>
        <w:rPr>
          <w:u w:val="single"/>
        </w:rPr>
        <w:t>for</w:t>
      </w:r>
      <w:r>
        <w:rPr>
          <w:spacing w:val="40"/>
          <w:u w:val="single"/>
        </w:rPr>
        <w:t> </w:t>
      </w:r>
      <w:r>
        <w:rPr>
          <w:u w:val="single"/>
        </w:rPr>
        <w:t>Class</w:t>
      </w:r>
      <w:r>
        <w:rPr>
          <w:spacing w:val="40"/>
          <w:u w:val="single"/>
        </w:rPr>
        <w:t> </w:t>
      </w:r>
      <w:r>
        <w:rPr>
          <w:u w:val="single"/>
        </w:rPr>
        <w:t>2</w:t>
      </w:r>
      <w:r>
        <w:rPr>
          <w:spacing w:val="40"/>
          <w:u w:val="single"/>
        </w:rPr>
        <w:t> </w:t>
      </w:r>
      <w:r>
        <w:rPr>
          <w:u w:val="single"/>
        </w:rPr>
        <w:t>buildings</w:t>
      </w:r>
      <w:r>
        <w:rPr>
          <w:spacing w:val="80"/>
          <w:u w:val="none"/>
        </w:rPr>
        <w:t> </w:t>
      </w:r>
      <w:r>
        <w:rPr>
          <w:u w:val="single"/>
        </w:rPr>
        <w:t>($million per annum)</w:t>
      </w:r>
    </w:p>
    <w:p>
      <w:pPr>
        <w:pStyle w:val="BodyText"/>
        <w:spacing w:before="2"/>
        <w:rPr>
          <w:b/>
          <w:sz w:val="23"/>
        </w:rPr>
      </w:pPr>
    </w:p>
    <w:tbl>
      <w:tblPr>
        <w:tblW w:w="0" w:type="auto"/>
        <w:jc w:val="left"/>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2520"/>
        <w:gridCol w:w="2520"/>
      </w:tblGrid>
      <w:tr>
        <w:trPr>
          <w:trHeight w:val="517" w:hRule="atLeast"/>
        </w:trPr>
        <w:tc>
          <w:tcPr>
            <w:tcW w:w="2448" w:type="dxa"/>
          </w:tcPr>
          <w:p>
            <w:pPr>
              <w:pStyle w:val="TableParagraph"/>
              <w:spacing w:before="118"/>
              <w:ind w:left="107"/>
              <w:rPr>
                <w:b/>
                <w:sz w:val="24"/>
              </w:rPr>
            </w:pPr>
            <w:r>
              <w:rPr>
                <w:b/>
                <w:sz w:val="24"/>
              </w:rPr>
              <w:t>Class</w:t>
            </w:r>
            <w:r>
              <w:rPr>
                <w:b/>
                <w:spacing w:val="-12"/>
                <w:sz w:val="24"/>
              </w:rPr>
              <w:t> </w:t>
            </w:r>
            <w:r>
              <w:rPr>
                <w:b/>
                <w:spacing w:val="-10"/>
                <w:sz w:val="24"/>
              </w:rPr>
              <w:t>2</w:t>
            </w:r>
          </w:p>
        </w:tc>
        <w:tc>
          <w:tcPr>
            <w:tcW w:w="2520" w:type="dxa"/>
          </w:tcPr>
          <w:p>
            <w:pPr>
              <w:pStyle w:val="TableParagraph"/>
              <w:spacing w:before="116"/>
              <w:ind w:left="400" w:right="391"/>
              <w:jc w:val="center"/>
              <w:rPr>
                <w:rFonts w:ascii="Times New Roman"/>
                <w:sz w:val="24"/>
              </w:rPr>
            </w:pPr>
            <w:r>
              <w:rPr>
                <w:b/>
                <w:sz w:val="24"/>
              </w:rPr>
              <w:t>Lower</w:t>
            </w:r>
            <w:r>
              <w:rPr>
                <w:b/>
                <w:spacing w:val="-1"/>
                <w:sz w:val="24"/>
              </w:rPr>
              <w:t> </w:t>
            </w:r>
            <w:r>
              <w:rPr>
                <w:b/>
                <w:spacing w:val="-2"/>
                <w:sz w:val="24"/>
              </w:rPr>
              <w:t>Bound</w:t>
            </w:r>
            <w:r>
              <w:rPr>
                <w:rFonts w:ascii="Times New Roman"/>
                <w:spacing w:val="-2"/>
                <w:sz w:val="24"/>
                <w:vertAlign w:val="superscript"/>
              </w:rPr>
              <w:t>92</w:t>
            </w:r>
          </w:p>
        </w:tc>
        <w:tc>
          <w:tcPr>
            <w:tcW w:w="2520" w:type="dxa"/>
          </w:tcPr>
          <w:p>
            <w:pPr>
              <w:pStyle w:val="TableParagraph"/>
              <w:spacing w:before="116"/>
              <w:ind w:left="399" w:right="391"/>
              <w:jc w:val="center"/>
              <w:rPr>
                <w:rFonts w:ascii="Times New Roman"/>
                <w:sz w:val="24"/>
              </w:rPr>
            </w:pPr>
            <w:r>
              <w:rPr>
                <w:b/>
                <w:sz w:val="24"/>
              </w:rPr>
              <w:t>Upper</w:t>
            </w:r>
            <w:r>
              <w:rPr>
                <w:b/>
                <w:spacing w:val="-12"/>
                <w:sz w:val="24"/>
              </w:rPr>
              <w:t> </w:t>
            </w:r>
            <w:r>
              <w:rPr>
                <w:b/>
                <w:spacing w:val="-2"/>
                <w:sz w:val="24"/>
              </w:rPr>
              <w:t>Bound</w:t>
            </w:r>
            <w:r>
              <w:rPr>
                <w:rFonts w:ascii="Times New Roman"/>
                <w:spacing w:val="-2"/>
                <w:sz w:val="24"/>
                <w:vertAlign w:val="superscript"/>
              </w:rPr>
              <w:t>93</w:t>
            </w:r>
          </w:p>
        </w:tc>
      </w:tr>
      <w:tr>
        <w:trPr>
          <w:trHeight w:val="515" w:hRule="atLeast"/>
        </w:trPr>
        <w:tc>
          <w:tcPr>
            <w:tcW w:w="2448" w:type="dxa"/>
          </w:tcPr>
          <w:p>
            <w:pPr>
              <w:pStyle w:val="TableParagraph"/>
              <w:spacing w:before="116"/>
              <w:ind w:left="107"/>
              <w:rPr>
                <w:sz w:val="24"/>
              </w:rPr>
            </w:pPr>
            <w:r>
              <w:rPr>
                <w:sz w:val="24"/>
              </w:rPr>
              <w:t>New</w:t>
            </w:r>
            <w:r>
              <w:rPr>
                <w:spacing w:val="-8"/>
                <w:sz w:val="24"/>
              </w:rPr>
              <w:t> </w:t>
            </w:r>
            <w:r>
              <w:rPr>
                <w:spacing w:val="-2"/>
                <w:sz w:val="24"/>
              </w:rPr>
              <w:t>Buildings</w:t>
            </w:r>
          </w:p>
        </w:tc>
        <w:tc>
          <w:tcPr>
            <w:tcW w:w="2520" w:type="dxa"/>
          </w:tcPr>
          <w:p>
            <w:pPr>
              <w:pStyle w:val="TableParagraph"/>
              <w:spacing w:before="116"/>
              <w:ind w:left="398" w:right="391"/>
              <w:jc w:val="center"/>
              <w:rPr>
                <w:sz w:val="24"/>
              </w:rPr>
            </w:pPr>
            <w:r>
              <w:rPr>
                <w:spacing w:val="-5"/>
                <w:sz w:val="24"/>
              </w:rPr>
              <w:t>10</w:t>
            </w:r>
          </w:p>
        </w:tc>
        <w:tc>
          <w:tcPr>
            <w:tcW w:w="2520" w:type="dxa"/>
          </w:tcPr>
          <w:p>
            <w:pPr>
              <w:pStyle w:val="TableParagraph"/>
              <w:spacing w:before="116"/>
              <w:ind w:left="398" w:right="391"/>
              <w:jc w:val="center"/>
              <w:rPr>
                <w:sz w:val="24"/>
              </w:rPr>
            </w:pPr>
            <w:r>
              <w:rPr>
                <w:spacing w:val="-5"/>
                <w:sz w:val="24"/>
              </w:rPr>
              <w:t>25</w:t>
            </w:r>
          </w:p>
        </w:tc>
      </w:tr>
    </w:tbl>
    <w:p>
      <w:pPr>
        <w:pStyle w:val="BodyText"/>
        <w:rPr>
          <w:b/>
          <w:sz w:val="20"/>
        </w:rPr>
      </w:pPr>
    </w:p>
    <w:p>
      <w:pPr>
        <w:pStyle w:val="BodyText"/>
        <w:rPr>
          <w:b/>
          <w:sz w:val="20"/>
        </w:rPr>
      </w:pPr>
    </w:p>
    <w:p>
      <w:pPr>
        <w:pStyle w:val="BodyText"/>
        <w:rPr>
          <w:b/>
          <w:sz w:val="20"/>
        </w:rPr>
      </w:pPr>
    </w:p>
    <w:p>
      <w:pPr>
        <w:pStyle w:val="BodyText"/>
        <w:spacing w:before="6"/>
        <w:rPr>
          <w:b/>
          <w:sz w:val="25"/>
        </w:rPr>
      </w:pPr>
      <w:r>
        <w:rPr/>
        <w:pict>
          <v:rect style="position:absolute;margin-left:90pt;margin-top:15.902929pt;width:144pt;height:.6pt;mso-position-horizontal-relative:page;mso-position-vertical-relative:paragraph;z-index:-15691776;mso-wrap-distance-left:0;mso-wrap-distance-right:0" id="docshape87" filled="true" fillcolor="#000000" stroked="false">
            <v:fill type="solid"/>
            <w10:wrap type="topAndBottom"/>
          </v:rect>
        </w:pict>
      </w:r>
    </w:p>
    <w:p>
      <w:pPr>
        <w:spacing w:before="222"/>
        <w:ind w:left="420" w:right="918" w:hanging="1"/>
        <w:jc w:val="left"/>
        <w:rPr>
          <w:sz w:val="20"/>
        </w:rPr>
      </w:pPr>
      <w:r>
        <w:rPr>
          <w:rFonts w:ascii="Times New Roman"/>
          <w:sz w:val="20"/>
          <w:vertAlign w:val="superscript"/>
        </w:rPr>
        <w:t>92</w:t>
      </w:r>
      <w:r>
        <w:rPr>
          <w:rFonts w:ascii="Times New Roman"/>
          <w:sz w:val="20"/>
          <w:vertAlign w:val="baseline"/>
        </w:rPr>
        <w:t> </w:t>
      </w:r>
      <w:r>
        <w:rPr>
          <w:sz w:val="20"/>
          <w:vertAlign w:val="baseline"/>
        </w:rPr>
        <w:t>Lower</w:t>
      </w:r>
      <w:r>
        <w:rPr>
          <w:spacing w:val="-2"/>
          <w:sz w:val="20"/>
          <w:vertAlign w:val="baseline"/>
        </w:rPr>
        <w:t> </w:t>
      </w:r>
      <w:r>
        <w:rPr>
          <w:sz w:val="20"/>
          <w:vertAlign w:val="baseline"/>
        </w:rPr>
        <w:t>bound</w:t>
      </w:r>
      <w:r>
        <w:rPr>
          <w:spacing w:val="-4"/>
          <w:sz w:val="20"/>
          <w:vertAlign w:val="baseline"/>
        </w:rPr>
        <w:t> </w:t>
      </w:r>
      <w:r>
        <w:rPr>
          <w:sz w:val="20"/>
          <w:vertAlign w:val="baseline"/>
        </w:rPr>
        <w:t>assumes</w:t>
      </w:r>
      <w:r>
        <w:rPr>
          <w:spacing w:val="-3"/>
          <w:sz w:val="20"/>
          <w:vertAlign w:val="baseline"/>
        </w:rPr>
        <w:t> </w:t>
      </w:r>
      <w:r>
        <w:rPr>
          <w:sz w:val="20"/>
          <w:vertAlign w:val="baseline"/>
        </w:rPr>
        <w:t>an</w:t>
      </w:r>
      <w:r>
        <w:rPr>
          <w:spacing w:val="-4"/>
          <w:sz w:val="20"/>
          <w:vertAlign w:val="baseline"/>
        </w:rPr>
        <w:t> </w:t>
      </w:r>
      <w:r>
        <w:rPr>
          <w:sz w:val="20"/>
          <w:vertAlign w:val="baseline"/>
        </w:rPr>
        <w:t>estimated</w:t>
      </w:r>
      <w:r>
        <w:rPr>
          <w:spacing w:val="-3"/>
          <w:sz w:val="20"/>
          <w:vertAlign w:val="baseline"/>
        </w:rPr>
        <w:t> </w:t>
      </w:r>
      <w:r>
        <w:rPr>
          <w:sz w:val="20"/>
          <w:vertAlign w:val="baseline"/>
        </w:rPr>
        <w:t>40</w:t>
      </w:r>
      <w:r>
        <w:rPr>
          <w:spacing w:val="-3"/>
          <w:sz w:val="20"/>
          <w:vertAlign w:val="baseline"/>
        </w:rPr>
        <w:t> </w:t>
      </w:r>
      <w:r>
        <w:rPr>
          <w:sz w:val="20"/>
          <w:vertAlign w:val="baseline"/>
        </w:rPr>
        <w:t>per</w:t>
      </w:r>
      <w:r>
        <w:rPr>
          <w:spacing w:val="-3"/>
          <w:sz w:val="20"/>
          <w:vertAlign w:val="baseline"/>
        </w:rPr>
        <w:t> </w:t>
      </w:r>
      <w:r>
        <w:rPr>
          <w:sz w:val="20"/>
          <w:vertAlign w:val="baseline"/>
        </w:rPr>
        <w:t>cent of</w:t>
      </w:r>
      <w:r>
        <w:rPr>
          <w:spacing w:val="-3"/>
          <w:sz w:val="20"/>
          <w:vertAlign w:val="baseline"/>
        </w:rPr>
        <w:t> </w:t>
      </w:r>
      <w:r>
        <w:rPr>
          <w:sz w:val="20"/>
          <w:vertAlign w:val="baseline"/>
        </w:rPr>
        <w:t>Class</w:t>
      </w:r>
      <w:r>
        <w:rPr>
          <w:spacing w:val="-3"/>
          <w:sz w:val="20"/>
          <w:vertAlign w:val="baseline"/>
        </w:rPr>
        <w:t> </w:t>
      </w:r>
      <w:r>
        <w:rPr>
          <w:sz w:val="20"/>
          <w:vertAlign w:val="baseline"/>
        </w:rPr>
        <w:t>2</w:t>
      </w:r>
      <w:r>
        <w:rPr>
          <w:spacing w:val="-3"/>
          <w:sz w:val="20"/>
          <w:vertAlign w:val="baseline"/>
        </w:rPr>
        <w:t> </w:t>
      </w:r>
      <w:r>
        <w:rPr>
          <w:sz w:val="20"/>
          <w:vertAlign w:val="baseline"/>
        </w:rPr>
        <w:t>buildings</w:t>
      </w:r>
      <w:r>
        <w:rPr>
          <w:spacing w:val="-2"/>
          <w:sz w:val="20"/>
          <w:vertAlign w:val="baseline"/>
        </w:rPr>
        <w:t> </w:t>
      </w:r>
      <w:r>
        <w:rPr>
          <w:sz w:val="20"/>
          <w:vertAlign w:val="baseline"/>
        </w:rPr>
        <w:t>have</w:t>
      </w:r>
      <w:r>
        <w:rPr>
          <w:spacing w:val="-3"/>
          <w:sz w:val="20"/>
          <w:vertAlign w:val="baseline"/>
        </w:rPr>
        <w:t> </w:t>
      </w:r>
      <w:r>
        <w:rPr>
          <w:sz w:val="20"/>
          <w:vertAlign w:val="baseline"/>
        </w:rPr>
        <w:t>units</w:t>
      </w:r>
      <w:r>
        <w:rPr>
          <w:spacing w:val="-2"/>
          <w:sz w:val="20"/>
          <w:vertAlign w:val="baseline"/>
        </w:rPr>
        <w:t> </w:t>
      </w:r>
      <w:r>
        <w:rPr>
          <w:sz w:val="20"/>
          <w:vertAlign w:val="baseline"/>
        </w:rPr>
        <w:t>available for short-term rent</w:t>
      </w:r>
    </w:p>
    <w:p>
      <w:pPr>
        <w:spacing w:before="120"/>
        <w:ind w:left="419" w:right="918" w:firstLine="0"/>
        <w:jc w:val="left"/>
        <w:rPr>
          <w:sz w:val="20"/>
        </w:rPr>
      </w:pPr>
      <w:r>
        <w:rPr>
          <w:rFonts w:ascii="Times New Roman"/>
          <w:sz w:val="20"/>
          <w:vertAlign w:val="superscript"/>
        </w:rPr>
        <w:t>93</w:t>
      </w:r>
      <w:r>
        <w:rPr>
          <w:rFonts w:ascii="Times New Roman"/>
          <w:sz w:val="20"/>
          <w:vertAlign w:val="baseline"/>
        </w:rPr>
        <w:t> </w:t>
      </w:r>
      <w:r>
        <w:rPr>
          <w:sz w:val="20"/>
          <w:vertAlign w:val="baseline"/>
        </w:rPr>
        <w:t>Upper</w:t>
      </w:r>
      <w:r>
        <w:rPr>
          <w:spacing w:val="-3"/>
          <w:sz w:val="20"/>
          <w:vertAlign w:val="baseline"/>
        </w:rPr>
        <w:t> </w:t>
      </w:r>
      <w:r>
        <w:rPr>
          <w:sz w:val="20"/>
          <w:vertAlign w:val="baseline"/>
        </w:rPr>
        <w:t>Bound</w:t>
      </w:r>
      <w:r>
        <w:rPr>
          <w:spacing w:val="-3"/>
          <w:sz w:val="20"/>
          <w:vertAlign w:val="baseline"/>
        </w:rPr>
        <w:t> </w:t>
      </w:r>
      <w:r>
        <w:rPr>
          <w:sz w:val="20"/>
          <w:vertAlign w:val="baseline"/>
        </w:rPr>
        <w:t>assumes</w:t>
      </w:r>
      <w:r>
        <w:rPr>
          <w:spacing w:val="-3"/>
          <w:sz w:val="20"/>
          <w:vertAlign w:val="baseline"/>
        </w:rPr>
        <w:t> </w:t>
      </w:r>
      <w:r>
        <w:rPr>
          <w:sz w:val="20"/>
          <w:vertAlign w:val="baseline"/>
        </w:rPr>
        <w:t>100</w:t>
      </w:r>
      <w:r>
        <w:rPr>
          <w:spacing w:val="-3"/>
          <w:sz w:val="20"/>
          <w:vertAlign w:val="baseline"/>
        </w:rPr>
        <w:t> </w:t>
      </w:r>
      <w:r>
        <w:rPr>
          <w:sz w:val="20"/>
          <w:vertAlign w:val="baseline"/>
        </w:rPr>
        <w:t>per</w:t>
      </w:r>
      <w:r>
        <w:rPr>
          <w:spacing w:val="-4"/>
          <w:sz w:val="20"/>
          <w:vertAlign w:val="baseline"/>
        </w:rPr>
        <w:t> </w:t>
      </w:r>
      <w:r>
        <w:rPr>
          <w:sz w:val="20"/>
          <w:vertAlign w:val="baseline"/>
        </w:rPr>
        <w:t>cent</w:t>
      </w:r>
      <w:r>
        <w:rPr>
          <w:spacing w:val="-3"/>
          <w:sz w:val="20"/>
          <w:vertAlign w:val="baseline"/>
        </w:rPr>
        <w:t> </w:t>
      </w:r>
      <w:r>
        <w:rPr>
          <w:sz w:val="20"/>
          <w:vertAlign w:val="baseline"/>
        </w:rPr>
        <w:t>of</w:t>
      </w:r>
      <w:r>
        <w:rPr>
          <w:spacing w:val="-5"/>
          <w:sz w:val="20"/>
          <w:vertAlign w:val="baseline"/>
        </w:rPr>
        <w:t> </w:t>
      </w:r>
      <w:r>
        <w:rPr>
          <w:sz w:val="20"/>
          <w:vertAlign w:val="baseline"/>
        </w:rPr>
        <w:t>buildings</w:t>
      </w:r>
      <w:r>
        <w:rPr>
          <w:spacing w:val="-2"/>
          <w:sz w:val="20"/>
          <w:vertAlign w:val="baseline"/>
        </w:rPr>
        <w:t> </w:t>
      </w:r>
      <w:r>
        <w:rPr>
          <w:sz w:val="20"/>
          <w:vertAlign w:val="baseline"/>
        </w:rPr>
        <w:t>will,</w:t>
      </w:r>
      <w:r>
        <w:rPr>
          <w:spacing w:val="-3"/>
          <w:sz w:val="20"/>
          <w:vertAlign w:val="baseline"/>
        </w:rPr>
        <w:t> </w:t>
      </w:r>
      <w:r>
        <w:rPr>
          <w:sz w:val="20"/>
          <w:vertAlign w:val="baseline"/>
        </w:rPr>
        <w:t>at</w:t>
      </w:r>
      <w:r>
        <w:rPr>
          <w:spacing w:val="-3"/>
          <w:sz w:val="20"/>
          <w:vertAlign w:val="baseline"/>
        </w:rPr>
        <w:t> </w:t>
      </w:r>
      <w:r>
        <w:rPr>
          <w:sz w:val="20"/>
          <w:vertAlign w:val="baseline"/>
        </w:rPr>
        <w:t>some</w:t>
      </w:r>
      <w:r>
        <w:rPr>
          <w:spacing w:val="-3"/>
          <w:sz w:val="20"/>
          <w:vertAlign w:val="baseline"/>
        </w:rPr>
        <w:t> </w:t>
      </w:r>
      <w:r>
        <w:rPr>
          <w:sz w:val="20"/>
          <w:vertAlign w:val="baseline"/>
        </w:rPr>
        <w:t>time,</w:t>
      </w:r>
      <w:r>
        <w:rPr>
          <w:spacing w:val="-3"/>
          <w:sz w:val="20"/>
          <w:vertAlign w:val="baseline"/>
        </w:rPr>
        <w:t> </w:t>
      </w:r>
      <w:r>
        <w:rPr>
          <w:sz w:val="20"/>
          <w:vertAlign w:val="baseline"/>
        </w:rPr>
        <w:t>have</w:t>
      </w:r>
      <w:r>
        <w:rPr>
          <w:spacing w:val="-3"/>
          <w:sz w:val="20"/>
          <w:vertAlign w:val="baseline"/>
        </w:rPr>
        <w:t> </w:t>
      </w:r>
      <w:r>
        <w:rPr>
          <w:sz w:val="20"/>
          <w:vertAlign w:val="baseline"/>
        </w:rPr>
        <w:t>units</w:t>
      </w:r>
      <w:r>
        <w:rPr>
          <w:spacing w:val="-4"/>
          <w:sz w:val="20"/>
          <w:vertAlign w:val="baseline"/>
        </w:rPr>
        <w:t> </w:t>
      </w:r>
      <w:r>
        <w:rPr>
          <w:sz w:val="20"/>
          <w:vertAlign w:val="baseline"/>
        </w:rPr>
        <w:t>available</w:t>
      </w:r>
      <w:r>
        <w:rPr>
          <w:spacing w:val="-3"/>
          <w:sz w:val="20"/>
          <w:vertAlign w:val="baseline"/>
        </w:rPr>
        <w:t> </w:t>
      </w:r>
      <w:r>
        <w:rPr>
          <w:sz w:val="20"/>
          <w:vertAlign w:val="baseline"/>
        </w:rPr>
        <w:t>for short-term rent</w:t>
      </w:r>
    </w:p>
    <w:p>
      <w:pPr>
        <w:spacing w:after="0"/>
        <w:jc w:val="left"/>
        <w:rPr>
          <w:sz w:val="20"/>
        </w:rPr>
        <w:sectPr>
          <w:pgSz w:w="11900" w:h="16840"/>
          <w:pgMar w:header="0" w:footer="1130" w:top="1000" w:bottom="1320" w:left="1380" w:right="980"/>
        </w:sectPr>
      </w:pPr>
    </w:p>
    <w:p>
      <w:pPr>
        <w:pStyle w:val="BodyText"/>
        <w:spacing w:before="75"/>
        <w:ind w:left="419" w:right="812"/>
        <w:jc w:val="both"/>
      </w:pPr>
      <w:r>
        <w:rPr/>
        <w:t>Table D2 (based on Item 8.4, Table7, of the revised 2004 Draft RIS) identifies the following value of new Class 2 building approvals in Australia with estimated costs of the proposed regulation, using the upper bound figures (amounts are in $M). The revised outcome when these values are included with other building types listed in Table 7 is an increase in total regulation costs of $26 million to $185 million (or 0.05% to 1.15%).</w:t>
      </w:r>
    </w:p>
    <w:p>
      <w:pPr>
        <w:pStyle w:val="BodyText"/>
        <w:rPr>
          <w:sz w:val="26"/>
        </w:rPr>
      </w:pPr>
    </w:p>
    <w:p>
      <w:pPr>
        <w:pStyle w:val="Heading4"/>
        <w:spacing w:before="219"/>
        <w:ind w:left="419" w:right="812"/>
        <w:rPr>
          <w:u w:val="none"/>
        </w:rPr>
      </w:pPr>
      <w:r>
        <w:rPr>
          <w:u w:val="single"/>
        </w:rPr>
        <w:t>TABLE</w:t>
      </w:r>
      <w:r>
        <w:rPr>
          <w:u w:val="single"/>
        </w:rPr>
        <w:t> D2:</w:t>
      </w:r>
      <w:r>
        <w:rPr>
          <w:u w:val="single"/>
        </w:rPr>
        <w:t> Value</w:t>
      </w:r>
      <w:r>
        <w:rPr>
          <w:u w:val="single"/>
        </w:rPr>
        <w:t> of</w:t>
      </w:r>
      <w:r>
        <w:rPr>
          <w:u w:val="single"/>
        </w:rPr>
        <w:t> new</w:t>
      </w:r>
      <w:r>
        <w:rPr>
          <w:u w:val="single"/>
        </w:rPr>
        <w:t> building</w:t>
      </w:r>
      <w:r>
        <w:rPr>
          <w:u w:val="single"/>
        </w:rPr>
        <w:t> approvals</w:t>
      </w:r>
      <w:r>
        <w:rPr>
          <w:u w:val="single"/>
        </w:rPr>
        <w:t> and</w:t>
      </w:r>
      <w:r>
        <w:rPr>
          <w:u w:val="single"/>
        </w:rPr>
        <w:t> estimated</w:t>
      </w:r>
      <w:r>
        <w:rPr>
          <w:u w:val="single"/>
        </w:rPr>
        <w:t> costs</w:t>
      </w:r>
      <w:r>
        <w:rPr>
          <w:u w:val="single"/>
        </w:rPr>
        <w:t> –</w:t>
      </w:r>
      <w:r>
        <w:rPr>
          <w:u w:val="none"/>
        </w:rPr>
        <w:t> </w:t>
      </w:r>
      <w:r>
        <w:rPr>
          <w:u w:val="single"/>
        </w:rPr>
        <w:t>Calendar year 2002 ($million)</w:t>
      </w:r>
    </w:p>
    <w:p>
      <w:pPr>
        <w:pStyle w:val="BodyText"/>
        <w:spacing w:before="2"/>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100"/>
        <w:gridCol w:w="2100"/>
        <w:gridCol w:w="2100"/>
      </w:tblGrid>
      <w:tr>
        <w:trPr>
          <w:trHeight w:val="551" w:hRule="atLeast"/>
        </w:trPr>
        <w:tc>
          <w:tcPr>
            <w:tcW w:w="1980" w:type="dxa"/>
          </w:tcPr>
          <w:p>
            <w:pPr>
              <w:pStyle w:val="TableParagraph"/>
              <w:rPr>
                <w:rFonts w:ascii="Times New Roman"/>
                <w:sz w:val="24"/>
              </w:rPr>
            </w:pPr>
          </w:p>
        </w:tc>
        <w:tc>
          <w:tcPr>
            <w:tcW w:w="2100" w:type="dxa"/>
          </w:tcPr>
          <w:p>
            <w:pPr>
              <w:pStyle w:val="TableParagraph"/>
              <w:rPr>
                <w:rFonts w:ascii="Times New Roman"/>
                <w:sz w:val="24"/>
              </w:rPr>
            </w:pPr>
          </w:p>
        </w:tc>
        <w:tc>
          <w:tcPr>
            <w:tcW w:w="2100" w:type="dxa"/>
          </w:tcPr>
          <w:p>
            <w:pPr>
              <w:pStyle w:val="TableParagraph"/>
              <w:spacing w:line="276" w:lineRule="exact"/>
              <w:ind w:left="107" w:right="126"/>
              <w:rPr>
                <w:b/>
                <w:sz w:val="24"/>
              </w:rPr>
            </w:pPr>
            <w:r>
              <w:rPr>
                <w:b/>
                <w:spacing w:val="-2"/>
                <w:sz w:val="24"/>
              </w:rPr>
              <w:t>Regulation Costs</w:t>
            </w:r>
          </w:p>
        </w:tc>
        <w:tc>
          <w:tcPr>
            <w:tcW w:w="2100" w:type="dxa"/>
          </w:tcPr>
          <w:p>
            <w:pPr>
              <w:pStyle w:val="TableParagraph"/>
              <w:spacing w:line="276" w:lineRule="exact"/>
              <w:ind w:left="107"/>
              <w:rPr>
                <w:b/>
                <w:sz w:val="24"/>
              </w:rPr>
            </w:pPr>
            <w:r>
              <w:rPr>
                <w:b/>
                <w:sz w:val="24"/>
              </w:rPr>
              <w:t>Regulation</w:t>
            </w:r>
            <w:r>
              <w:rPr>
                <w:b/>
                <w:spacing w:val="4"/>
                <w:sz w:val="24"/>
              </w:rPr>
              <w:t> </w:t>
            </w:r>
            <w:r>
              <w:rPr>
                <w:b/>
                <w:sz w:val="24"/>
              </w:rPr>
              <w:t>Cost Increase (%)</w:t>
            </w:r>
          </w:p>
        </w:tc>
      </w:tr>
      <w:tr>
        <w:trPr>
          <w:trHeight w:val="276" w:hRule="atLeast"/>
        </w:trPr>
        <w:tc>
          <w:tcPr>
            <w:tcW w:w="1980" w:type="dxa"/>
          </w:tcPr>
          <w:p>
            <w:pPr>
              <w:pStyle w:val="TableParagraph"/>
              <w:spacing w:line="256" w:lineRule="exact"/>
              <w:ind w:left="107"/>
              <w:rPr>
                <w:b/>
                <w:sz w:val="24"/>
              </w:rPr>
            </w:pPr>
            <w:r>
              <w:rPr>
                <w:b/>
                <w:sz w:val="24"/>
              </w:rPr>
              <w:t>Building</w:t>
            </w:r>
            <w:r>
              <w:rPr>
                <w:b/>
                <w:spacing w:val="-11"/>
                <w:sz w:val="24"/>
              </w:rPr>
              <w:t> </w:t>
            </w:r>
            <w:r>
              <w:rPr>
                <w:b/>
                <w:spacing w:val="-4"/>
                <w:sz w:val="24"/>
              </w:rPr>
              <w:t>Type</w:t>
            </w:r>
          </w:p>
        </w:tc>
        <w:tc>
          <w:tcPr>
            <w:tcW w:w="2100" w:type="dxa"/>
          </w:tcPr>
          <w:p>
            <w:pPr>
              <w:pStyle w:val="TableParagraph"/>
              <w:spacing w:line="256" w:lineRule="exact"/>
              <w:ind w:left="107"/>
              <w:rPr>
                <w:b/>
                <w:sz w:val="24"/>
              </w:rPr>
            </w:pPr>
            <w:r>
              <w:rPr>
                <w:b/>
                <w:sz w:val="24"/>
              </w:rPr>
              <w:t>New</w:t>
            </w:r>
            <w:r>
              <w:rPr>
                <w:b/>
                <w:spacing w:val="-4"/>
                <w:sz w:val="24"/>
              </w:rPr>
              <w:t> </w:t>
            </w:r>
            <w:r>
              <w:rPr>
                <w:b/>
                <w:spacing w:val="-2"/>
                <w:sz w:val="24"/>
              </w:rPr>
              <w:t>building</w:t>
            </w:r>
          </w:p>
        </w:tc>
        <w:tc>
          <w:tcPr>
            <w:tcW w:w="2100" w:type="dxa"/>
          </w:tcPr>
          <w:p>
            <w:pPr>
              <w:pStyle w:val="TableParagraph"/>
              <w:spacing w:line="256" w:lineRule="exact"/>
              <w:ind w:left="107"/>
              <w:rPr>
                <w:b/>
                <w:sz w:val="24"/>
              </w:rPr>
            </w:pPr>
            <w:r>
              <w:rPr>
                <w:b/>
                <w:sz w:val="24"/>
              </w:rPr>
              <w:t>New</w:t>
            </w:r>
            <w:r>
              <w:rPr>
                <w:b/>
                <w:spacing w:val="-4"/>
                <w:sz w:val="24"/>
              </w:rPr>
              <w:t> </w:t>
            </w:r>
            <w:r>
              <w:rPr>
                <w:b/>
                <w:spacing w:val="-2"/>
                <w:sz w:val="24"/>
              </w:rPr>
              <w:t>building</w:t>
            </w:r>
          </w:p>
        </w:tc>
        <w:tc>
          <w:tcPr>
            <w:tcW w:w="2100" w:type="dxa"/>
          </w:tcPr>
          <w:p>
            <w:pPr>
              <w:pStyle w:val="TableParagraph"/>
              <w:spacing w:line="256" w:lineRule="exact"/>
              <w:ind w:left="107"/>
              <w:rPr>
                <w:b/>
                <w:sz w:val="24"/>
              </w:rPr>
            </w:pPr>
            <w:r>
              <w:rPr>
                <w:b/>
                <w:sz w:val="24"/>
              </w:rPr>
              <w:t>New</w:t>
            </w:r>
            <w:r>
              <w:rPr>
                <w:b/>
                <w:spacing w:val="-4"/>
                <w:sz w:val="24"/>
              </w:rPr>
              <w:t> </w:t>
            </w:r>
            <w:r>
              <w:rPr>
                <w:b/>
                <w:spacing w:val="-2"/>
                <w:sz w:val="24"/>
              </w:rPr>
              <w:t>building</w:t>
            </w:r>
          </w:p>
        </w:tc>
      </w:tr>
      <w:tr>
        <w:trPr>
          <w:trHeight w:val="551" w:hRule="atLeast"/>
        </w:trPr>
        <w:tc>
          <w:tcPr>
            <w:tcW w:w="1980" w:type="dxa"/>
          </w:tcPr>
          <w:p>
            <w:pPr>
              <w:pStyle w:val="TableParagraph"/>
              <w:spacing w:line="276" w:lineRule="exact"/>
              <w:ind w:left="107"/>
              <w:rPr>
                <w:sz w:val="24"/>
              </w:rPr>
            </w:pPr>
            <w:r>
              <w:rPr>
                <w:sz w:val="24"/>
              </w:rPr>
              <w:t>Flats and </w:t>
            </w:r>
            <w:r>
              <w:rPr>
                <w:spacing w:val="-2"/>
                <w:sz w:val="24"/>
              </w:rPr>
              <w:t>Apartments</w:t>
            </w:r>
          </w:p>
        </w:tc>
        <w:tc>
          <w:tcPr>
            <w:tcW w:w="2100" w:type="dxa"/>
          </w:tcPr>
          <w:p>
            <w:pPr>
              <w:pStyle w:val="TableParagraph"/>
              <w:rPr>
                <w:rFonts w:ascii="Times New Roman"/>
                <w:sz w:val="24"/>
              </w:rPr>
            </w:pPr>
          </w:p>
        </w:tc>
        <w:tc>
          <w:tcPr>
            <w:tcW w:w="2100" w:type="dxa"/>
          </w:tcPr>
          <w:p>
            <w:pPr>
              <w:pStyle w:val="TableParagraph"/>
              <w:spacing w:before="134"/>
              <w:ind w:right="96"/>
              <w:jc w:val="right"/>
              <w:rPr>
                <w:sz w:val="24"/>
              </w:rPr>
            </w:pPr>
            <w:r>
              <w:rPr>
                <w:spacing w:val="-5"/>
                <w:sz w:val="24"/>
              </w:rPr>
              <w:t>25</w:t>
            </w:r>
          </w:p>
        </w:tc>
        <w:tc>
          <w:tcPr>
            <w:tcW w:w="2100" w:type="dxa"/>
          </w:tcPr>
          <w:p>
            <w:pPr>
              <w:pStyle w:val="TableParagraph"/>
              <w:spacing w:before="134"/>
              <w:ind w:right="97"/>
              <w:jc w:val="right"/>
              <w:rPr>
                <w:sz w:val="24"/>
              </w:rPr>
            </w:pPr>
            <w:r>
              <w:rPr>
                <w:spacing w:val="-4"/>
                <w:sz w:val="24"/>
              </w:rPr>
              <w:t>0.4%</w:t>
            </w:r>
          </w:p>
        </w:tc>
      </w:tr>
      <w:tr>
        <w:trPr>
          <w:trHeight w:val="515" w:hRule="atLeast"/>
        </w:trPr>
        <w:tc>
          <w:tcPr>
            <w:tcW w:w="1980" w:type="dxa"/>
          </w:tcPr>
          <w:p>
            <w:pPr>
              <w:pStyle w:val="TableParagraph"/>
              <w:spacing w:before="116"/>
              <w:ind w:left="107"/>
              <w:rPr>
                <w:sz w:val="24"/>
              </w:rPr>
            </w:pPr>
            <w:r>
              <w:rPr>
                <w:sz w:val="24"/>
              </w:rPr>
              <w:t>1</w:t>
            </w:r>
            <w:r>
              <w:rPr>
                <w:spacing w:val="-2"/>
                <w:sz w:val="24"/>
              </w:rPr>
              <w:t> </w:t>
            </w:r>
            <w:r>
              <w:rPr>
                <w:sz w:val="24"/>
              </w:rPr>
              <w:t>/2</w:t>
            </w:r>
            <w:r>
              <w:rPr>
                <w:spacing w:val="-1"/>
                <w:sz w:val="24"/>
              </w:rPr>
              <w:t> </w:t>
            </w:r>
            <w:r>
              <w:rPr>
                <w:spacing w:val="-2"/>
                <w:sz w:val="24"/>
              </w:rPr>
              <w:t>storeys</w:t>
            </w:r>
          </w:p>
        </w:tc>
        <w:tc>
          <w:tcPr>
            <w:tcW w:w="2100" w:type="dxa"/>
          </w:tcPr>
          <w:p>
            <w:pPr>
              <w:pStyle w:val="TableParagraph"/>
              <w:spacing w:before="116"/>
              <w:ind w:right="96"/>
              <w:jc w:val="right"/>
              <w:rPr>
                <w:sz w:val="24"/>
              </w:rPr>
            </w:pPr>
            <w:r>
              <w:rPr>
                <w:spacing w:val="-5"/>
                <w:sz w:val="24"/>
              </w:rPr>
              <w:t>318</w:t>
            </w:r>
          </w:p>
        </w:tc>
        <w:tc>
          <w:tcPr>
            <w:tcW w:w="2100" w:type="dxa"/>
          </w:tcPr>
          <w:p>
            <w:pPr>
              <w:pStyle w:val="TableParagraph"/>
              <w:rPr>
                <w:rFonts w:ascii="Times New Roman"/>
                <w:sz w:val="24"/>
              </w:rPr>
            </w:pPr>
          </w:p>
        </w:tc>
        <w:tc>
          <w:tcPr>
            <w:tcW w:w="2100" w:type="dxa"/>
          </w:tcPr>
          <w:p>
            <w:pPr>
              <w:pStyle w:val="TableParagraph"/>
              <w:rPr>
                <w:rFonts w:ascii="Times New Roman"/>
                <w:sz w:val="24"/>
              </w:rPr>
            </w:pPr>
          </w:p>
        </w:tc>
      </w:tr>
      <w:tr>
        <w:trPr>
          <w:trHeight w:val="516" w:hRule="atLeast"/>
        </w:trPr>
        <w:tc>
          <w:tcPr>
            <w:tcW w:w="1980" w:type="dxa"/>
          </w:tcPr>
          <w:p>
            <w:pPr>
              <w:pStyle w:val="TableParagraph"/>
              <w:spacing w:before="116"/>
              <w:ind w:left="107"/>
              <w:rPr>
                <w:sz w:val="24"/>
              </w:rPr>
            </w:pPr>
            <w:r>
              <w:rPr>
                <w:sz w:val="24"/>
              </w:rPr>
              <w:t>3</w:t>
            </w:r>
            <w:r>
              <w:rPr>
                <w:spacing w:val="-2"/>
                <w:sz w:val="24"/>
              </w:rPr>
              <w:t> storeys</w:t>
            </w:r>
          </w:p>
        </w:tc>
        <w:tc>
          <w:tcPr>
            <w:tcW w:w="2100" w:type="dxa"/>
          </w:tcPr>
          <w:p>
            <w:pPr>
              <w:pStyle w:val="TableParagraph"/>
              <w:spacing w:before="116"/>
              <w:ind w:right="96"/>
              <w:jc w:val="right"/>
              <w:rPr>
                <w:sz w:val="24"/>
              </w:rPr>
            </w:pPr>
            <w:r>
              <w:rPr>
                <w:spacing w:val="-5"/>
                <w:sz w:val="24"/>
              </w:rPr>
              <w:t>613</w:t>
            </w:r>
          </w:p>
        </w:tc>
        <w:tc>
          <w:tcPr>
            <w:tcW w:w="2100" w:type="dxa"/>
          </w:tcPr>
          <w:p>
            <w:pPr>
              <w:pStyle w:val="TableParagraph"/>
              <w:rPr>
                <w:rFonts w:ascii="Times New Roman"/>
                <w:sz w:val="24"/>
              </w:rPr>
            </w:pPr>
          </w:p>
        </w:tc>
        <w:tc>
          <w:tcPr>
            <w:tcW w:w="2100" w:type="dxa"/>
          </w:tcPr>
          <w:p>
            <w:pPr>
              <w:pStyle w:val="TableParagraph"/>
              <w:rPr>
                <w:rFonts w:ascii="Times New Roman"/>
                <w:sz w:val="24"/>
              </w:rPr>
            </w:pPr>
          </w:p>
        </w:tc>
      </w:tr>
      <w:tr>
        <w:trPr>
          <w:trHeight w:val="515" w:hRule="atLeast"/>
        </w:trPr>
        <w:tc>
          <w:tcPr>
            <w:tcW w:w="1980" w:type="dxa"/>
          </w:tcPr>
          <w:p>
            <w:pPr>
              <w:pStyle w:val="TableParagraph"/>
              <w:spacing w:before="116"/>
              <w:ind w:left="107"/>
              <w:rPr>
                <w:sz w:val="24"/>
              </w:rPr>
            </w:pPr>
            <w:r>
              <w:rPr>
                <w:sz w:val="24"/>
              </w:rPr>
              <w:t>4+</w:t>
            </w:r>
            <w:r>
              <w:rPr>
                <w:spacing w:val="-4"/>
                <w:sz w:val="24"/>
              </w:rPr>
              <w:t> </w:t>
            </w:r>
            <w:r>
              <w:rPr>
                <w:spacing w:val="-2"/>
                <w:sz w:val="24"/>
              </w:rPr>
              <w:t>storeys</w:t>
            </w:r>
          </w:p>
        </w:tc>
        <w:tc>
          <w:tcPr>
            <w:tcW w:w="2100" w:type="dxa"/>
          </w:tcPr>
          <w:p>
            <w:pPr>
              <w:pStyle w:val="TableParagraph"/>
              <w:spacing w:before="116"/>
              <w:ind w:right="96"/>
              <w:jc w:val="right"/>
              <w:rPr>
                <w:sz w:val="24"/>
              </w:rPr>
            </w:pPr>
            <w:r>
              <w:rPr>
                <w:spacing w:val="-2"/>
                <w:sz w:val="24"/>
              </w:rPr>
              <w:t>4,782</w:t>
            </w:r>
          </w:p>
        </w:tc>
        <w:tc>
          <w:tcPr>
            <w:tcW w:w="2100" w:type="dxa"/>
          </w:tcPr>
          <w:p>
            <w:pPr>
              <w:pStyle w:val="TableParagraph"/>
              <w:rPr>
                <w:rFonts w:ascii="Times New Roman"/>
                <w:sz w:val="24"/>
              </w:rPr>
            </w:pPr>
          </w:p>
        </w:tc>
        <w:tc>
          <w:tcPr>
            <w:tcW w:w="2100" w:type="dxa"/>
          </w:tcPr>
          <w:p>
            <w:pPr>
              <w:pStyle w:val="TableParagraph"/>
              <w:rPr>
                <w:rFonts w:ascii="Times New Roman"/>
                <w:sz w:val="24"/>
              </w:rPr>
            </w:pPr>
          </w:p>
        </w:tc>
      </w:tr>
    </w:tbl>
    <w:p>
      <w:pPr>
        <w:pStyle w:val="BodyText"/>
        <w:rPr>
          <w:b/>
          <w:sz w:val="26"/>
        </w:rPr>
      </w:pPr>
    </w:p>
    <w:p>
      <w:pPr>
        <w:pStyle w:val="BodyText"/>
        <w:spacing w:before="1"/>
        <w:rPr>
          <w:b/>
          <w:sz w:val="22"/>
        </w:rPr>
      </w:pPr>
    </w:p>
    <w:p>
      <w:pPr>
        <w:spacing w:before="0"/>
        <w:ind w:left="420" w:right="0" w:firstLine="0"/>
        <w:jc w:val="both"/>
        <w:rPr>
          <w:b/>
          <w:sz w:val="24"/>
        </w:rPr>
      </w:pPr>
      <w:r>
        <w:rPr>
          <w:b/>
          <w:sz w:val="24"/>
          <w:u w:val="single"/>
        </w:rPr>
        <w:t>TABLE</w:t>
      </w:r>
      <w:r>
        <w:rPr>
          <w:b/>
          <w:spacing w:val="-6"/>
          <w:sz w:val="24"/>
          <w:u w:val="single"/>
        </w:rPr>
        <w:t> </w:t>
      </w:r>
      <w:r>
        <w:rPr>
          <w:b/>
          <w:sz w:val="24"/>
          <w:u w:val="single"/>
        </w:rPr>
        <w:t>D3:</w:t>
      </w:r>
      <w:r>
        <w:rPr>
          <w:b/>
          <w:spacing w:val="-6"/>
          <w:sz w:val="24"/>
          <w:u w:val="single"/>
        </w:rPr>
        <w:t> </w:t>
      </w:r>
      <w:r>
        <w:rPr>
          <w:b/>
          <w:sz w:val="24"/>
          <w:u w:val="single"/>
        </w:rPr>
        <w:t>Class</w:t>
      </w:r>
      <w:r>
        <w:rPr>
          <w:b/>
          <w:spacing w:val="-6"/>
          <w:sz w:val="24"/>
          <w:u w:val="single"/>
        </w:rPr>
        <w:t> </w:t>
      </w:r>
      <w:r>
        <w:rPr>
          <w:b/>
          <w:sz w:val="24"/>
          <w:u w:val="single"/>
        </w:rPr>
        <w:t>2</w:t>
      </w:r>
      <w:r>
        <w:rPr>
          <w:b/>
          <w:spacing w:val="-5"/>
          <w:sz w:val="24"/>
          <w:u w:val="single"/>
        </w:rPr>
        <w:t> </w:t>
      </w:r>
      <w:r>
        <w:rPr>
          <w:b/>
          <w:sz w:val="24"/>
          <w:u w:val="single"/>
        </w:rPr>
        <w:t>case</w:t>
      </w:r>
      <w:r>
        <w:rPr>
          <w:b/>
          <w:spacing w:val="-5"/>
          <w:sz w:val="24"/>
          <w:u w:val="single"/>
        </w:rPr>
        <w:t> </w:t>
      </w:r>
      <w:r>
        <w:rPr>
          <w:b/>
          <w:sz w:val="24"/>
          <w:u w:val="single"/>
        </w:rPr>
        <w:t>studies</w:t>
      </w:r>
      <w:r>
        <w:rPr>
          <w:b/>
          <w:spacing w:val="-5"/>
          <w:sz w:val="24"/>
          <w:u w:val="single"/>
        </w:rPr>
        <w:t> </w:t>
      </w:r>
      <w:r>
        <w:rPr>
          <w:b/>
          <w:sz w:val="24"/>
          <w:u w:val="single"/>
        </w:rPr>
        <w:t>–</w:t>
      </w:r>
      <w:r>
        <w:rPr>
          <w:b/>
          <w:spacing w:val="-5"/>
          <w:sz w:val="24"/>
          <w:u w:val="single"/>
        </w:rPr>
        <w:t> </w:t>
      </w:r>
      <w:r>
        <w:rPr>
          <w:b/>
          <w:sz w:val="24"/>
          <w:u w:val="single"/>
        </w:rPr>
        <w:t>new</w:t>
      </w:r>
      <w:r>
        <w:rPr>
          <w:b/>
          <w:spacing w:val="-3"/>
          <w:sz w:val="24"/>
          <w:u w:val="single"/>
        </w:rPr>
        <w:t> </w:t>
      </w:r>
      <w:r>
        <w:rPr>
          <w:b/>
          <w:sz w:val="24"/>
          <w:u w:val="single"/>
        </w:rPr>
        <w:t>building</w:t>
      </w:r>
      <w:r>
        <w:rPr>
          <w:b/>
          <w:spacing w:val="-5"/>
          <w:sz w:val="24"/>
          <w:u w:val="single"/>
        </w:rPr>
        <w:t> ($)</w:t>
      </w:r>
    </w:p>
    <w:p>
      <w:pPr>
        <w:pStyle w:val="BodyText"/>
        <w:spacing w:before="2"/>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2880"/>
        <w:gridCol w:w="2880"/>
      </w:tblGrid>
      <w:tr>
        <w:trPr>
          <w:trHeight w:val="1067" w:hRule="atLeast"/>
        </w:trPr>
        <w:tc>
          <w:tcPr>
            <w:tcW w:w="2520" w:type="dxa"/>
          </w:tcPr>
          <w:p>
            <w:pPr>
              <w:pStyle w:val="TableParagraph"/>
              <w:spacing w:before="118"/>
              <w:ind w:left="107"/>
              <w:rPr>
                <w:b/>
                <w:sz w:val="24"/>
              </w:rPr>
            </w:pPr>
            <w:r>
              <w:rPr>
                <w:b/>
                <w:sz w:val="24"/>
              </w:rPr>
              <w:t>Class</w:t>
            </w:r>
            <w:r>
              <w:rPr>
                <w:b/>
                <w:spacing w:val="-8"/>
                <w:sz w:val="24"/>
              </w:rPr>
              <w:t> </w:t>
            </w:r>
            <w:r>
              <w:rPr>
                <w:b/>
                <w:sz w:val="24"/>
              </w:rPr>
              <w:t>2:</w:t>
            </w:r>
            <w:r>
              <w:rPr>
                <w:b/>
                <w:spacing w:val="-7"/>
                <w:sz w:val="24"/>
              </w:rPr>
              <w:t> </w:t>
            </w:r>
            <w:r>
              <w:rPr>
                <w:b/>
                <w:spacing w:val="-5"/>
                <w:sz w:val="24"/>
              </w:rPr>
              <w:t>New</w:t>
            </w:r>
          </w:p>
        </w:tc>
        <w:tc>
          <w:tcPr>
            <w:tcW w:w="2880" w:type="dxa"/>
          </w:tcPr>
          <w:p>
            <w:pPr>
              <w:pStyle w:val="TableParagraph"/>
              <w:spacing w:before="118"/>
              <w:ind w:left="107" w:right="139" w:firstLine="2"/>
              <w:rPr>
                <w:b/>
                <w:sz w:val="24"/>
              </w:rPr>
            </w:pPr>
            <w:r>
              <w:rPr>
                <w:b/>
                <w:sz w:val="24"/>
              </w:rPr>
              <w:t>3 storey accommodation</w:t>
            </w:r>
            <w:r>
              <w:rPr>
                <w:b/>
                <w:spacing w:val="-17"/>
                <w:sz w:val="24"/>
              </w:rPr>
              <w:t> </w:t>
            </w:r>
            <w:r>
              <w:rPr>
                <w:b/>
                <w:sz w:val="24"/>
              </w:rPr>
              <w:t>–</w:t>
            </w:r>
            <w:r>
              <w:rPr>
                <w:b/>
                <w:spacing w:val="-17"/>
                <w:sz w:val="24"/>
              </w:rPr>
              <w:t> </w:t>
            </w:r>
            <w:r>
              <w:rPr>
                <w:b/>
                <w:sz w:val="24"/>
              </w:rPr>
              <w:t>no </w:t>
            </w:r>
            <w:r>
              <w:rPr>
                <w:b/>
                <w:spacing w:val="-4"/>
                <w:sz w:val="24"/>
              </w:rPr>
              <w:t>lift</w:t>
            </w:r>
          </w:p>
        </w:tc>
        <w:tc>
          <w:tcPr>
            <w:tcW w:w="2880" w:type="dxa"/>
          </w:tcPr>
          <w:p>
            <w:pPr>
              <w:pStyle w:val="TableParagraph"/>
              <w:spacing w:before="118"/>
              <w:ind w:left="107" w:right="139"/>
              <w:rPr>
                <w:b/>
                <w:sz w:val="24"/>
              </w:rPr>
            </w:pPr>
            <w:r>
              <w:rPr>
                <w:b/>
                <w:sz w:val="24"/>
              </w:rPr>
              <w:t>7 storey accommodation</w:t>
            </w:r>
            <w:r>
              <w:rPr>
                <w:b/>
                <w:spacing w:val="-17"/>
                <w:sz w:val="24"/>
              </w:rPr>
              <w:t> </w:t>
            </w:r>
            <w:r>
              <w:rPr>
                <w:b/>
                <w:sz w:val="24"/>
              </w:rPr>
              <w:t>–</w:t>
            </w:r>
            <w:r>
              <w:rPr>
                <w:b/>
                <w:spacing w:val="-17"/>
                <w:sz w:val="24"/>
              </w:rPr>
              <w:t> </w:t>
            </w:r>
            <w:r>
              <w:rPr>
                <w:b/>
                <w:sz w:val="24"/>
              </w:rPr>
              <w:t>with </w:t>
            </w:r>
            <w:r>
              <w:rPr>
                <w:b/>
                <w:spacing w:val="-4"/>
                <w:sz w:val="24"/>
              </w:rPr>
              <w:t>lift</w:t>
            </w:r>
          </w:p>
        </w:tc>
      </w:tr>
      <w:tr>
        <w:trPr>
          <w:trHeight w:val="792" w:hRule="atLeast"/>
        </w:trPr>
        <w:tc>
          <w:tcPr>
            <w:tcW w:w="2520" w:type="dxa"/>
          </w:tcPr>
          <w:p>
            <w:pPr>
              <w:pStyle w:val="TableParagraph"/>
              <w:spacing w:before="116"/>
              <w:ind w:left="107" w:right="639"/>
              <w:rPr>
                <w:sz w:val="24"/>
              </w:rPr>
            </w:pPr>
            <w:r>
              <w:rPr>
                <w:sz w:val="24"/>
              </w:rPr>
              <w:t>Generic</w:t>
            </w:r>
            <w:r>
              <w:rPr>
                <w:spacing w:val="-17"/>
                <w:sz w:val="24"/>
              </w:rPr>
              <w:t> </w:t>
            </w:r>
            <w:r>
              <w:rPr>
                <w:sz w:val="24"/>
              </w:rPr>
              <w:t>Building </w:t>
            </w:r>
            <w:r>
              <w:rPr>
                <w:spacing w:val="-4"/>
                <w:sz w:val="24"/>
              </w:rPr>
              <w:t>Cost</w:t>
            </w:r>
          </w:p>
        </w:tc>
        <w:tc>
          <w:tcPr>
            <w:tcW w:w="2880" w:type="dxa"/>
          </w:tcPr>
          <w:p>
            <w:pPr>
              <w:pStyle w:val="TableParagraph"/>
              <w:spacing w:before="1"/>
              <w:rPr>
                <w:b/>
                <w:sz w:val="22"/>
              </w:rPr>
            </w:pPr>
          </w:p>
          <w:p>
            <w:pPr>
              <w:pStyle w:val="TableParagraph"/>
              <w:ind w:right="96"/>
              <w:jc w:val="right"/>
              <w:rPr>
                <w:sz w:val="24"/>
              </w:rPr>
            </w:pPr>
            <w:r>
              <w:rPr>
                <w:spacing w:val="-2"/>
                <w:sz w:val="24"/>
              </w:rPr>
              <w:t>4,800,000</w:t>
            </w:r>
          </w:p>
        </w:tc>
        <w:tc>
          <w:tcPr>
            <w:tcW w:w="2880" w:type="dxa"/>
          </w:tcPr>
          <w:p>
            <w:pPr>
              <w:pStyle w:val="TableParagraph"/>
              <w:spacing w:before="1"/>
              <w:rPr>
                <w:b/>
                <w:sz w:val="22"/>
              </w:rPr>
            </w:pPr>
          </w:p>
          <w:p>
            <w:pPr>
              <w:pStyle w:val="TableParagraph"/>
              <w:ind w:right="97"/>
              <w:jc w:val="right"/>
              <w:rPr>
                <w:sz w:val="24"/>
              </w:rPr>
            </w:pPr>
            <w:r>
              <w:rPr>
                <w:spacing w:val="-2"/>
                <w:sz w:val="24"/>
              </w:rPr>
              <w:t>14,400,000</w:t>
            </w:r>
          </w:p>
        </w:tc>
      </w:tr>
      <w:tr>
        <w:trPr>
          <w:trHeight w:val="515" w:hRule="atLeast"/>
        </w:trPr>
        <w:tc>
          <w:tcPr>
            <w:tcW w:w="2520" w:type="dxa"/>
          </w:tcPr>
          <w:p>
            <w:pPr>
              <w:pStyle w:val="TableParagraph"/>
              <w:spacing w:before="116"/>
              <w:ind w:left="107"/>
              <w:rPr>
                <w:sz w:val="24"/>
              </w:rPr>
            </w:pPr>
            <w:r>
              <w:rPr>
                <w:spacing w:val="-2"/>
                <w:sz w:val="24"/>
              </w:rPr>
              <w:t>Regulations’</w:t>
            </w:r>
            <w:r>
              <w:rPr>
                <w:spacing w:val="-1"/>
                <w:sz w:val="24"/>
              </w:rPr>
              <w:t> </w:t>
            </w:r>
            <w:r>
              <w:rPr>
                <w:spacing w:val="-2"/>
                <w:sz w:val="24"/>
              </w:rPr>
              <w:t>Costs</w:t>
            </w:r>
          </w:p>
        </w:tc>
        <w:tc>
          <w:tcPr>
            <w:tcW w:w="2880" w:type="dxa"/>
          </w:tcPr>
          <w:p>
            <w:pPr>
              <w:pStyle w:val="TableParagraph"/>
              <w:spacing w:before="116"/>
              <w:ind w:right="96"/>
              <w:jc w:val="right"/>
              <w:rPr>
                <w:sz w:val="24"/>
              </w:rPr>
            </w:pPr>
            <w:r>
              <w:rPr>
                <w:spacing w:val="-2"/>
                <w:sz w:val="24"/>
              </w:rPr>
              <w:t>24,000</w:t>
            </w:r>
          </w:p>
        </w:tc>
        <w:tc>
          <w:tcPr>
            <w:tcW w:w="2880" w:type="dxa"/>
          </w:tcPr>
          <w:p>
            <w:pPr>
              <w:pStyle w:val="TableParagraph"/>
              <w:spacing w:before="116"/>
              <w:ind w:right="96"/>
              <w:jc w:val="right"/>
              <w:rPr>
                <w:sz w:val="24"/>
              </w:rPr>
            </w:pPr>
            <w:r>
              <w:rPr>
                <w:spacing w:val="-2"/>
                <w:sz w:val="24"/>
              </w:rPr>
              <w:t>51,700</w:t>
            </w:r>
          </w:p>
        </w:tc>
      </w:tr>
      <w:tr>
        <w:trPr>
          <w:trHeight w:val="516" w:hRule="atLeast"/>
        </w:trPr>
        <w:tc>
          <w:tcPr>
            <w:tcW w:w="2520" w:type="dxa"/>
          </w:tcPr>
          <w:p>
            <w:pPr>
              <w:pStyle w:val="TableParagraph"/>
              <w:spacing w:before="116"/>
              <w:ind w:left="107"/>
              <w:rPr>
                <w:sz w:val="24"/>
              </w:rPr>
            </w:pPr>
            <w:r>
              <w:rPr>
                <w:sz w:val="24"/>
              </w:rPr>
              <w:t>Proportional</w:t>
            </w:r>
            <w:r>
              <w:rPr>
                <w:spacing w:val="-11"/>
                <w:sz w:val="24"/>
              </w:rPr>
              <w:t> </w:t>
            </w:r>
            <w:r>
              <w:rPr>
                <w:spacing w:val="-2"/>
                <w:sz w:val="24"/>
              </w:rPr>
              <w:t>Increase</w:t>
            </w:r>
          </w:p>
        </w:tc>
        <w:tc>
          <w:tcPr>
            <w:tcW w:w="2880" w:type="dxa"/>
          </w:tcPr>
          <w:p>
            <w:pPr>
              <w:pStyle w:val="TableParagraph"/>
              <w:spacing w:before="116"/>
              <w:ind w:right="96"/>
              <w:jc w:val="right"/>
              <w:rPr>
                <w:sz w:val="24"/>
              </w:rPr>
            </w:pPr>
            <w:r>
              <w:rPr>
                <w:spacing w:val="-4"/>
                <w:sz w:val="24"/>
              </w:rPr>
              <w:t>0.5%</w:t>
            </w:r>
          </w:p>
        </w:tc>
        <w:tc>
          <w:tcPr>
            <w:tcW w:w="2880" w:type="dxa"/>
          </w:tcPr>
          <w:p>
            <w:pPr>
              <w:pStyle w:val="TableParagraph"/>
              <w:spacing w:before="116"/>
              <w:ind w:right="96"/>
              <w:jc w:val="right"/>
              <w:rPr>
                <w:sz w:val="24"/>
              </w:rPr>
            </w:pPr>
            <w:r>
              <w:rPr>
                <w:spacing w:val="-4"/>
                <w:sz w:val="24"/>
              </w:rPr>
              <w:t>0.4%</w:t>
            </w:r>
          </w:p>
        </w:tc>
      </w:tr>
    </w:tbl>
    <w:p>
      <w:pPr>
        <w:pStyle w:val="BodyText"/>
        <w:rPr>
          <w:b/>
          <w:sz w:val="26"/>
        </w:rPr>
      </w:pPr>
    </w:p>
    <w:p>
      <w:pPr>
        <w:pStyle w:val="BodyText"/>
        <w:spacing w:before="216"/>
        <w:ind w:left="420" w:right="813"/>
        <w:jc w:val="both"/>
      </w:pPr>
      <w:r>
        <w:rPr/>
        <w:t>Details of the cost breakdown for each case study are identified in Table D4 for new buildings, below:</w:t>
      </w:r>
    </w:p>
    <w:p>
      <w:pPr>
        <w:pStyle w:val="BodyText"/>
        <w:spacing w:before="6"/>
        <w:rPr>
          <w:sz w:val="34"/>
        </w:rPr>
      </w:pPr>
    </w:p>
    <w:p>
      <w:pPr>
        <w:pStyle w:val="Heading4"/>
        <w:rPr>
          <w:u w:val="none"/>
        </w:rPr>
      </w:pPr>
      <w:r>
        <w:rPr>
          <w:u w:val="single"/>
        </w:rPr>
        <w:t>TABLE</w:t>
      </w:r>
      <w:r>
        <w:rPr>
          <w:spacing w:val="-8"/>
          <w:u w:val="single"/>
        </w:rPr>
        <w:t> </w:t>
      </w:r>
      <w:r>
        <w:rPr>
          <w:u w:val="single"/>
        </w:rPr>
        <w:t>D4:</w:t>
      </w:r>
      <w:r>
        <w:rPr>
          <w:spacing w:val="-7"/>
          <w:u w:val="single"/>
        </w:rPr>
        <w:t> </w:t>
      </w:r>
      <w:r>
        <w:rPr>
          <w:u w:val="single"/>
        </w:rPr>
        <w:t>Case</w:t>
      </w:r>
      <w:r>
        <w:rPr>
          <w:spacing w:val="-8"/>
          <w:u w:val="single"/>
        </w:rPr>
        <w:t> </w:t>
      </w:r>
      <w:r>
        <w:rPr>
          <w:u w:val="single"/>
        </w:rPr>
        <w:t>study</w:t>
      </w:r>
      <w:r>
        <w:rPr>
          <w:spacing w:val="-10"/>
          <w:u w:val="single"/>
        </w:rPr>
        <w:t> </w:t>
      </w:r>
      <w:r>
        <w:rPr>
          <w:u w:val="single"/>
        </w:rPr>
        <w:t>–</w:t>
      </w:r>
      <w:r>
        <w:rPr>
          <w:spacing w:val="-7"/>
          <w:u w:val="single"/>
        </w:rPr>
        <w:t> </w:t>
      </w:r>
      <w:r>
        <w:rPr>
          <w:u w:val="single"/>
        </w:rPr>
        <w:t>New</w:t>
      </w:r>
      <w:r>
        <w:rPr>
          <w:spacing w:val="-4"/>
          <w:u w:val="single"/>
        </w:rPr>
        <w:t> </w:t>
      </w:r>
      <w:r>
        <w:rPr>
          <w:u w:val="single"/>
        </w:rPr>
        <w:t>buildings</w:t>
      </w:r>
      <w:r>
        <w:rPr>
          <w:spacing w:val="-7"/>
          <w:u w:val="single"/>
        </w:rPr>
        <w:t> </w:t>
      </w:r>
      <w:r>
        <w:rPr>
          <w:spacing w:val="-5"/>
          <w:u w:val="single"/>
        </w:rPr>
        <w:t>($)</w:t>
      </w:r>
    </w:p>
    <w:p>
      <w:pPr>
        <w:pStyle w:val="BodyText"/>
        <w:spacing w:before="1"/>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0"/>
        <w:gridCol w:w="898"/>
        <w:gridCol w:w="603"/>
        <w:gridCol w:w="1561"/>
        <w:gridCol w:w="605"/>
        <w:gridCol w:w="1601"/>
      </w:tblGrid>
      <w:tr>
        <w:trPr>
          <w:trHeight w:val="792" w:hRule="atLeast"/>
        </w:trPr>
        <w:tc>
          <w:tcPr>
            <w:tcW w:w="3060" w:type="dxa"/>
          </w:tcPr>
          <w:p>
            <w:pPr>
              <w:pStyle w:val="TableParagraph"/>
              <w:spacing w:before="118"/>
              <w:ind w:left="107"/>
              <w:rPr>
                <w:b/>
                <w:sz w:val="24"/>
              </w:rPr>
            </w:pPr>
            <w:r>
              <w:rPr>
                <w:b/>
                <w:sz w:val="24"/>
              </w:rPr>
              <w:t>Case</w:t>
            </w:r>
            <w:r>
              <w:rPr>
                <w:b/>
                <w:spacing w:val="-14"/>
                <w:sz w:val="24"/>
              </w:rPr>
              <w:t> </w:t>
            </w:r>
            <w:r>
              <w:rPr>
                <w:b/>
                <w:sz w:val="24"/>
              </w:rPr>
              <w:t>Study</w:t>
            </w:r>
            <w:r>
              <w:rPr>
                <w:b/>
                <w:spacing w:val="-14"/>
                <w:sz w:val="24"/>
              </w:rPr>
              <w:t> </w:t>
            </w:r>
            <w:r>
              <w:rPr>
                <w:b/>
                <w:sz w:val="24"/>
              </w:rPr>
              <w:t>–</w:t>
            </w:r>
            <w:r>
              <w:rPr>
                <w:b/>
                <w:spacing w:val="-13"/>
                <w:sz w:val="24"/>
              </w:rPr>
              <w:t> </w:t>
            </w:r>
            <w:r>
              <w:rPr>
                <w:b/>
                <w:sz w:val="24"/>
              </w:rPr>
              <w:t>New </w:t>
            </w:r>
            <w:r>
              <w:rPr>
                <w:b/>
                <w:spacing w:val="-2"/>
                <w:sz w:val="24"/>
              </w:rPr>
              <w:t>buildings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7" w:hRule="atLeast"/>
        </w:trPr>
        <w:tc>
          <w:tcPr>
            <w:tcW w:w="3060" w:type="dxa"/>
          </w:tcPr>
          <w:p>
            <w:pPr>
              <w:pStyle w:val="TableParagraph"/>
              <w:spacing w:before="2"/>
              <w:rPr>
                <w:b/>
                <w:sz w:val="34"/>
              </w:rPr>
            </w:pPr>
          </w:p>
          <w:p>
            <w:pPr>
              <w:pStyle w:val="TableParagraph"/>
              <w:spacing w:before="1"/>
              <w:ind w:left="749" w:hanging="268"/>
              <w:rPr>
                <w:b/>
                <w:sz w:val="24"/>
              </w:rPr>
            </w:pPr>
            <w:r>
              <w:rPr>
                <w:b/>
                <w:sz w:val="24"/>
              </w:rPr>
              <w:t>Issue</w:t>
            </w:r>
            <w:r>
              <w:rPr>
                <w:b/>
                <w:spacing w:val="-17"/>
                <w:sz w:val="24"/>
              </w:rPr>
              <w:t> </w:t>
            </w:r>
            <w:r>
              <w:rPr>
                <w:b/>
                <w:sz w:val="24"/>
              </w:rPr>
              <w:t>/</w:t>
            </w:r>
            <w:r>
              <w:rPr>
                <w:b/>
                <w:spacing w:val="-17"/>
                <w:sz w:val="24"/>
              </w:rPr>
              <w:t> </w:t>
            </w:r>
            <w:r>
              <w:rPr>
                <w:b/>
                <w:sz w:val="24"/>
              </w:rPr>
              <w:t>Associated Building Cost</w:t>
            </w:r>
          </w:p>
        </w:tc>
        <w:tc>
          <w:tcPr>
            <w:tcW w:w="898" w:type="dxa"/>
          </w:tcPr>
          <w:p>
            <w:pPr>
              <w:pStyle w:val="TableParagraph"/>
              <w:spacing w:before="2"/>
              <w:rPr>
                <w:b/>
                <w:sz w:val="34"/>
              </w:rPr>
            </w:pPr>
          </w:p>
          <w:p>
            <w:pPr>
              <w:pStyle w:val="TableParagraph"/>
              <w:spacing w:before="1"/>
              <w:ind w:left="109" w:right="94" w:firstLine="205"/>
              <w:rPr>
                <w:b/>
                <w:sz w:val="24"/>
              </w:rPr>
            </w:pPr>
            <w:r>
              <w:rPr>
                <w:b/>
                <w:sz w:val="24"/>
              </w:rPr>
              <w:t>$ / </w:t>
            </w:r>
            <w:r>
              <w:rPr>
                <w:b/>
                <w:spacing w:val="-4"/>
                <w:sz w:val="24"/>
              </w:rPr>
              <w:t>EACH</w:t>
            </w:r>
          </w:p>
        </w:tc>
        <w:tc>
          <w:tcPr>
            <w:tcW w:w="603" w:type="dxa"/>
          </w:tcPr>
          <w:p>
            <w:pPr>
              <w:pStyle w:val="TableParagraph"/>
              <w:rPr>
                <w:b/>
                <w:sz w:val="26"/>
              </w:rPr>
            </w:pPr>
          </w:p>
          <w:p>
            <w:pPr>
              <w:pStyle w:val="TableParagraph"/>
              <w:spacing w:before="2"/>
              <w:rPr>
                <w:b/>
                <w:sz w:val="32"/>
              </w:rPr>
            </w:pPr>
          </w:p>
          <w:p>
            <w:pPr>
              <w:pStyle w:val="TableParagraph"/>
              <w:spacing w:before="1"/>
              <w:ind w:left="107"/>
              <w:rPr>
                <w:b/>
                <w:sz w:val="24"/>
              </w:rPr>
            </w:pPr>
            <w:r>
              <w:rPr>
                <w:b/>
                <w:spacing w:val="-5"/>
                <w:sz w:val="24"/>
              </w:rPr>
              <w:t>No.</w:t>
            </w:r>
          </w:p>
        </w:tc>
        <w:tc>
          <w:tcPr>
            <w:tcW w:w="1561" w:type="dxa"/>
          </w:tcPr>
          <w:p>
            <w:pPr>
              <w:pStyle w:val="TableParagraph"/>
              <w:spacing w:before="118"/>
              <w:ind w:left="265" w:right="256" w:firstLine="54"/>
              <w:jc w:val="both"/>
              <w:rPr>
                <w:b/>
                <w:sz w:val="24"/>
              </w:rPr>
            </w:pPr>
            <w:r>
              <w:rPr>
                <w:b/>
                <w:sz w:val="24"/>
              </w:rPr>
              <w:t>3 storey accom.</w:t>
            </w:r>
            <w:r>
              <w:rPr>
                <w:b/>
                <w:spacing w:val="-17"/>
                <w:sz w:val="24"/>
              </w:rPr>
              <w:t> </w:t>
            </w:r>
            <w:r>
              <w:rPr>
                <w:b/>
                <w:sz w:val="24"/>
              </w:rPr>
              <w:t>–</w:t>
            </w:r>
            <w:r>
              <w:rPr>
                <w:b/>
                <w:sz w:val="24"/>
              </w:rPr>
              <w:t> no lift </w:t>
            </w:r>
            <w:r>
              <w:rPr>
                <w:b/>
                <w:spacing w:val="-5"/>
                <w:sz w:val="24"/>
              </w:rPr>
              <w:t>($)</w:t>
            </w:r>
          </w:p>
        </w:tc>
        <w:tc>
          <w:tcPr>
            <w:tcW w:w="605" w:type="dxa"/>
          </w:tcPr>
          <w:p>
            <w:pPr>
              <w:pStyle w:val="TableParagraph"/>
              <w:rPr>
                <w:b/>
                <w:sz w:val="26"/>
              </w:rPr>
            </w:pPr>
          </w:p>
          <w:p>
            <w:pPr>
              <w:pStyle w:val="TableParagraph"/>
              <w:spacing w:before="2"/>
              <w:rPr>
                <w:b/>
                <w:sz w:val="32"/>
              </w:rPr>
            </w:pPr>
          </w:p>
          <w:p>
            <w:pPr>
              <w:pStyle w:val="TableParagraph"/>
              <w:spacing w:before="1"/>
              <w:ind w:left="106"/>
              <w:rPr>
                <w:b/>
                <w:sz w:val="24"/>
              </w:rPr>
            </w:pPr>
            <w:r>
              <w:rPr>
                <w:b/>
                <w:spacing w:val="-5"/>
                <w:sz w:val="24"/>
              </w:rPr>
              <w:t>No.</w:t>
            </w:r>
          </w:p>
        </w:tc>
        <w:tc>
          <w:tcPr>
            <w:tcW w:w="1601" w:type="dxa"/>
          </w:tcPr>
          <w:p>
            <w:pPr>
              <w:pStyle w:val="TableParagraph"/>
              <w:spacing w:before="118"/>
              <w:ind w:left="195" w:right="192" w:firstLine="140"/>
              <w:jc w:val="both"/>
              <w:rPr>
                <w:b/>
                <w:sz w:val="24"/>
              </w:rPr>
            </w:pPr>
            <w:r>
              <w:rPr>
                <w:b/>
                <w:sz w:val="24"/>
              </w:rPr>
              <w:t>7 storey accom. – with</w:t>
            </w:r>
            <w:r>
              <w:rPr>
                <w:b/>
                <w:spacing w:val="-1"/>
                <w:sz w:val="24"/>
              </w:rPr>
              <w:t> </w:t>
            </w:r>
            <w:r>
              <w:rPr>
                <w:b/>
                <w:sz w:val="24"/>
              </w:rPr>
              <w:t>lift </w:t>
            </w:r>
            <w:r>
              <w:rPr>
                <w:b/>
                <w:spacing w:val="-5"/>
                <w:sz w:val="24"/>
              </w:rPr>
              <w:t>($)</w:t>
            </w:r>
          </w:p>
        </w:tc>
      </w:tr>
    </w:tbl>
    <w:p>
      <w:pPr>
        <w:spacing w:after="0"/>
        <w:jc w:val="both"/>
        <w:rPr>
          <w:sz w:val="24"/>
        </w:rPr>
        <w:sectPr>
          <w:pgSz w:w="11900" w:h="16840"/>
          <w:pgMar w:header="0" w:footer="1130" w:top="1000" w:bottom="132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288"/>
        <w:gridCol w:w="2244"/>
        <w:gridCol w:w="898"/>
        <w:gridCol w:w="603"/>
        <w:gridCol w:w="1561"/>
        <w:gridCol w:w="605"/>
        <w:gridCol w:w="1601"/>
      </w:tblGrid>
      <w:tr>
        <w:trPr>
          <w:trHeight w:val="791" w:hRule="atLeast"/>
        </w:trPr>
        <w:tc>
          <w:tcPr>
            <w:tcW w:w="3060" w:type="dxa"/>
            <w:gridSpan w:val="3"/>
          </w:tcPr>
          <w:p>
            <w:pPr>
              <w:pStyle w:val="TableParagraph"/>
              <w:spacing w:before="118"/>
              <w:ind w:left="107"/>
              <w:rPr>
                <w:b/>
                <w:sz w:val="24"/>
              </w:rPr>
            </w:pPr>
            <w:r>
              <w:rPr>
                <w:b/>
                <w:sz w:val="24"/>
              </w:rPr>
              <w:t>Case</w:t>
            </w:r>
            <w:r>
              <w:rPr>
                <w:b/>
                <w:spacing w:val="-14"/>
                <w:sz w:val="24"/>
              </w:rPr>
              <w:t> </w:t>
            </w:r>
            <w:r>
              <w:rPr>
                <w:b/>
                <w:sz w:val="24"/>
              </w:rPr>
              <w:t>Study</w:t>
            </w:r>
            <w:r>
              <w:rPr>
                <w:b/>
                <w:spacing w:val="-14"/>
                <w:sz w:val="24"/>
              </w:rPr>
              <w:t> </w:t>
            </w:r>
            <w:r>
              <w:rPr>
                <w:b/>
                <w:sz w:val="24"/>
              </w:rPr>
              <w:t>–</w:t>
            </w:r>
            <w:r>
              <w:rPr>
                <w:b/>
                <w:spacing w:val="-13"/>
                <w:sz w:val="24"/>
              </w:rPr>
              <w:t> </w:t>
            </w:r>
            <w:r>
              <w:rPr>
                <w:b/>
                <w:sz w:val="24"/>
              </w:rPr>
              <w:t>New </w:t>
            </w:r>
            <w:r>
              <w:rPr>
                <w:b/>
                <w:spacing w:val="-2"/>
                <w:sz w:val="24"/>
              </w:rPr>
              <w:t>buildings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8" w:hRule="atLeast"/>
        </w:trPr>
        <w:tc>
          <w:tcPr>
            <w:tcW w:w="3060" w:type="dxa"/>
            <w:gridSpan w:val="3"/>
          </w:tcPr>
          <w:p>
            <w:pPr>
              <w:pStyle w:val="TableParagraph"/>
              <w:spacing w:before="2"/>
              <w:rPr>
                <w:b/>
                <w:sz w:val="34"/>
              </w:rPr>
            </w:pPr>
          </w:p>
          <w:p>
            <w:pPr>
              <w:pStyle w:val="TableParagraph"/>
              <w:spacing w:before="1"/>
              <w:ind w:left="749" w:hanging="268"/>
              <w:rPr>
                <w:b/>
                <w:sz w:val="24"/>
              </w:rPr>
            </w:pPr>
            <w:r>
              <w:rPr>
                <w:b/>
                <w:sz w:val="24"/>
              </w:rPr>
              <w:t>Issue</w:t>
            </w:r>
            <w:r>
              <w:rPr>
                <w:b/>
                <w:spacing w:val="-17"/>
                <w:sz w:val="24"/>
              </w:rPr>
              <w:t> </w:t>
            </w:r>
            <w:r>
              <w:rPr>
                <w:b/>
                <w:sz w:val="24"/>
              </w:rPr>
              <w:t>/</w:t>
            </w:r>
            <w:r>
              <w:rPr>
                <w:b/>
                <w:spacing w:val="-17"/>
                <w:sz w:val="24"/>
              </w:rPr>
              <w:t> </w:t>
            </w:r>
            <w:r>
              <w:rPr>
                <w:b/>
                <w:sz w:val="24"/>
              </w:rPr>
              <w:t>Associated Building Cost</w:t>
            </w:r>
          </w:p>
        </w:tc>
        <w:tc>
          <w:tcPr>
            <w:tcW w:w="898" w:type="dxa"/>
          </w:tcPr>
          <w:p>
            <w:pPr>
              <w:pStyle w:val="TableParagraph"/>
              <w:spacing w:before="2"/>
              <w:rPr>
                <w:b/>
                <w:sz w:val="34"/>
              </w:rPr>
            </w:pPr>
          </w:p>
          <w:p>
            <w:pPr>
              <w:pStyle w:val="TableParagraph"/>
              <w:spacing w:before="1"/>
              <w:ind w:left="109" w:right="94" w:firstLine="205"/>
              <w:rPr>
                <w:b/>
                <w:sz w:val="24"/>
              </w:rPr>
            </w:pPr>
            <w:r>
              <w:rPr>
                <w:b/>
                <w:sz w:val="24"/>
              </w:rPr>
              <w:t>$ / </w:t>
            </w:r>
            <w:r>
              <w:rPr>
                <w:b/>
                <w:spacing w:val="-4"/>
                <w:sz w:val="24"/>
              </w:rPr>
              <w:t>EACH</w:t>
            </w:r>
          </w:p>
        </w:tc>
        <w:tc>
          <w:tcPr>
            <w:tcW w:w="603" w:type="dxa"/>
          </w:tcPr>
          <w:p>
            <w:pPr>
              <w:pStyle w:val="TableParagraph"/>
              <w:rPr>
                <w:b/>
                <w:sz w:val="26"/>
              </w:rPr>
            </w:pPr>
          </w:p>
          <w:p>
            <w:pPr>
              <w:pStyle w:val="TableParagraph"/>
              <w:spacing w:before="2"/>
              <w:rPr>
                <w:b/>
                <w:sz w:val="32"/>
              </w:rPr>
            </w:pPr>
          </w:p>
          <w:p>
            <w:pPr>
              <w:pStyle w:val="TableParagraph"/>
              <w:spacing w:before="1"/>
              <w:ind w:right="97"/>
              <w:jc w:val="right"/>
              <w:rPr>
                <w:b/>
                <w:sz w:val="24"/>
              </w:rPr>
            </w:pPr>
            <w:r>
              <w:rPr>
                <w:b/>
                <w:spacing w:val="-5"/>
                <w:sz w:val="24"/>
              </w:rPr>
              <w:t>No.</w:t>
            </w:r>
          </w:p>
        </w:tc>
        <w:tc>
          <w:tcPr>
            <w:tcW w:w="1561" w:type="dxa"/>
          </w:tcPr>
          <w:p>
            <w:pPr>
              <w:pStyle w:val="TableParagraph"/>
              <w:spacing w:before="118"/>
              <w:ind w:left="265" w:right="256" w:firstLine="54"/>
              <w:jc w:val="both"/>
              <w:rPr>
                <w:b/>
                <w:sz w:val="24"/>
              </w:rPr>
            </w:pPr>
            <w:r>
              <w:rPr>
                <w:b/>
                <w:sz w:val="24"/>
              </w:rPr>
              <w:t>3 storey accom.</w:t>
            </w:r>
            <w:r>
              <w:rPr>
                <w:b/>
                <w:spacing w:val="-17"/>
                <w:sz w:val="24"/>
              </w:rPr>
              <w:t> </w:t>
            </w:r>
            <w:r>
              <w:rPr>
                <w:b/>
                <w:sz w:val="24"/>
              </w:rPr>
              <w:t>–</w:t>
            </w:r>
            <w:r>
              <w:rPr>
                <w:b/>
                <w:sz w:val="24"/>
              </w:rPr>
              <w:t> no lift </w:t>
            </w:r>
            <w:r>
              <w:rPr>
                <w:b/>
                <w:spacing w:val="-5"/>
                <w:sz w:val="24"/>
              </w:rPr>
              <w:t>($)</w:t>
            </w:r>
          </w:p>
        </w:tc>
        <w:tc>
          <w:tcPr>
            <w:tcW w:w="605" w:type="dxa"/>
          </w:tcPr>
          <w:p>
            <w:pPr>
              <w:pStyle w:val="TableParagraph"/>
              <w:rPr>
                <w:b/>
                <w:sz w:val="26"/>
              </w:rPr>
            </w:pPr>
          </w:p>
          <w:p>
            <w:pPr>
              <w:pStyle w:val="TableParagraph"/>
              <w:spacing w:before="2"/>
              <w:rPr>
                <w:b/>
                <w:sz w:val="32"/>
              </w:rPr>
            </w:pPr>
          </w:p>
          <w:p>
            <w:pPr>
              <w:pStyle w:val="TableParagraph"/>
              <w:spacing w:before="1"/>
              <w:ind w:right="99"/>
              <w:jc w:val="right"/>
              <w:rPr>
                <w:b/>
                <w:sz w:val="24"/>
              </w:rPr>
            </w:pPr>
            <w:r>
              <w:rPr>
                <w:b/>
                <w:spacing w:val="-5"/>
                <w:sz w:val="24"/>
              </w:rPr>
              <w:t>No.</w:t>
            </w:r>
          </w:p>
        </w:tc>
        <w:tc>
          <w:tcPr>
            <w:tcW w:w="1601" w:type="dxa"/>
          </w:tcPr>
          <w:p>
            <w:pPr>
              <w:pStyle w:val="TableParagraph"/>
              <w:spacing w:before="118"/>
              <w:ind w:left="195" w:right="192" w:firstLine="140"/>
              <w:jc w:val="both"/>
              <w:rPr>
                <w:b/>
                <w:sz w:val="24"/>
              </w:rPr>
            </w:pPr>
            <w:r>
              <w:rPr>
                <w:b/>
                <w:sz w:val="24"/>
              </w:rPr>
              <w:t>7 storey accom. – with</w:t>
            </w:r>
            <w:r>
              <w:rPr>
                <w:b/>
                <w:spacing w:val="-1"/>
                <w:sz w:val="24"/>
              </w:rPr>
              <w:t> </w:t>
            </w:r>
            <w:r>
              <w:rPr>
                <w:b/>
                <w:sz w:val="24"/>
              </w:rPr>
              <w:t>lift </w:t>
            </w:r>
            <w:r>
              <w:rPr>
                <w:b/>
                <w:spacing w:val="-5"/>
                <w:sz w:val="24"/>
              </w:rPr>
              <w:t>($)</w:t>
            </w:r>
          </w:p>
        </w:tc>
      </w:tr>
      <w:tr>
        <w:trPr>
          <w:trHeight w:val="515"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8"/>
              <w:ind w:left="107"/>
              <w:rPr>
                <w:b/>
                <w:sz w:val="24"/>
              </w:rPr>
            </w:pPr>
            <w:r>
              <w:rPr>
                <w:b/>
                <w:spacing w:val="-2"/>
                <w:sz w:val="24"/>
              </w:rPr>
              <w:t>Class: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spacing w:before="118"/>
              <w:ind w:left="5"/>
              <w:jc w:val="center"/>
              <w:rPr>
                <w:b/>
                <w:sz w:val="24"/>
              </w:rPr>
            </w:pPr>
            <w:r>
              <w:rPr>
                <w:b/>
                <w:w w:val="99"/>
                <w:sz w:val="24"/>
              </w:rPr>
              <w:t>2</w:t>
            </w:r>
          </w:p>
        </w:tc>
        <w:tc>
          <w:tcPr>
            <w:tcW w:w="605" w:type="dxa"/>
          </w:tcPr>
          <w:p>
            <w:pPr>
              <w:pStyle w:val="TableParagraph"/>
              <w:rPr>
                <w:rFonts w:ascii="Times New Roman"/>
                <w:sz w:val="24"/>
              </w:rPr>
            </w:pPr>
          </w:p>
        </w:tc>
        <w:tc>
          <w:tcPr>
            <w:tcW w:w="1601" w:type="dxa"/>
          </w:tcPr>
          <w:p>
            <w:pPr>
              <w:pStyle w:val="TableParagraph"/>
              <w:spacing w:before="118"/>
              <w:ind w:left="1"/>
              <w:jc w:val="center"/>
              <w:rPr>
                <w:b/>
                <w:sz w:val="24"/>
              </w:rPr>
            </w:pPr>
            <w:r>
              <w:rPr>
                <w:b/>
                <w:w w:val="99"/>
                <w:sz w:val="24"/>
              </w:rPr>
              <w:t>2</w:t>
            </w:r>
          </w:p>
        </w:tc>
      </w:tr>
      <w:tr>
        <w:trPr>
          <w:trHeight w:val="515" w:hRule="atLeast"/>
        </w:trPr>
        <w:tc>
          <w:tcPr>
            <w:tcW w:w="528" w:type="dxa"/>
          </w:tcPr>
          <w:p>
            <w:pPr>
              <w:pStyle w:val="TableParagraph"/>
              <w:spacing w:before="116"/>
              <w:ind w:left="107"/>
              <w:rPr>
                <w:sz w:val="24"/>
              </w:rPr>
            </w:pPr>
            <w:r>
              <w:rPr>
                <w:w w:val="99"/>
                <w:sz w:val="24"/>
              </w:rPr>
              <w:t>1</w:t>
            </w:r>
          </w:p>
        </w:tc>
        <w:tc>
          <w:tcPr>
            <w:tcW w:w="2532" w:type="dxa"/>
            <w:gridSpan w:val="2"/>
          </w:tcPr>
          <w:p>
            <w:pPr>
              <w:pStyle w:val="TableParagraph"/>
              <w:spacing w:before="116"/>
              <w:ind w:left="107"/>
              <w:rPr>
                <w:sz w:val="24"/>
              </w:rPr>
            </w:pPr>
            <w:r>
              <w:rPr>
                <w:sz w:val="24"/>
              </w:rPr>
              <w:t>Access</w:t>
            </w:r>
            <w:r>
              <w:rPr>
                <w:spacing w:val="-4"/>
                <w:sz w:val="24"/>
              </w:rPr>
              <w:t> </w:t>
            </w:r>
            <w:r>
              <w:rPr>
                <w:sz w:val="24"/>
              </w:rPr>
              <w:t>to</w:t>
            </w:r>
            <w:r>
              <w:rPr>
                <w:spacing w:val="-3"/>
                <w:sz w:val="24"/>
              </w:rPr>
              <w:t> </w:t>
            </w:r>
            <w:r>
              <w:rPr>
                <w:sz w:val="24"/>
              </w:rPr>
              <w:t>Class</w:t>
            </w:r>
            <w:r>
              <w:rPr>
                <w:spacing w:val="-3"/>
                <w:sz w:val="24"/>
              </w:rPr>
              <w:t> </w:t>
            </w:r>
            <w:r>
              <w:rPr>
                <w:spacing w:val="-5"/>
                <w:sz w:val="24"/>
              </w:rPr>
              <w:t>1b</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6" w:hRule="atLeast"/>
        </w:trPr>
        <w:tc>
          <w:tcPr>
            <w:tcW w:w="528" w:type="dxa"/>
          </w:tcPr>
          <w:p>
            <w:pPr>
              <w:pStyle w:val="TableParagraph"/>
              <w:spacing w:before="116"/>
              <w:ind w:left="107"/>
              <w:rPr>
                <w:sz w:val="24"/>
              </w:rPr>
            </w:pPr>
            <w:r>
              <w:rPr>
                <w:w w:val="99"/>
                <w:sz w:val="24"/>
              </w:rPr>
              <w:t>2</w:t>
            </w:r>
          </w:p>
        </w:tc>
        <w:tc>
          <w:tcPr>
            <w:tcW w:w="2532" w:type="dxa"/>
            <w:gridSpan w:val="2"/>
          </w:tcPr>
          <w:p>
            <w:pPr>
              <w:pStyle w:val="TableParagraph"/>
              <w:spacing w:before="116"/>
              <w:ind w:left="242"/>
              <w:rPr>
                <w:sz w:val="24"/>
              </w:rPr>
            </w:pPr>
            <w:r>
              <w:rPr>
                <w:sz w:val="24"/>
              </w:rPr>
              <w:t>-</w:t>
            </w:r>
            <w:r>
              <w:rPr>
                <w:spacing w:val="-2"/>
                <w:sz w:val="24"/>
              </w:rPr>
              <w:t> Deleted</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5" w:hRule="atLeast"/>
        </w:trPr>
        <w:tc>
          <w:tcPr>
            <w:tcW w:w="528" w:type="dxa"/>
          </w:tcPr>
          <w:p>
            <w:pPr>
              <w:pStyle w:val="TableParagraph"/>
              <w:spacing w:before="116"/>
              <w:ind w:left="107"/>
              <w:rPr>
                <w:sz w:val="24"/>
              </w:rPr>
            </w:pPr>
            <w:r>
              <w:rPr>
                <w:w w:val="99"/>
                <w:sz w:val="24"/>
              </w:rPr>
              <w:t>3</w:t>
            </w:r>
          </w:p>
        </w:tc>
        <w:tc>
          <w:tcPr>
            <w:tcW w:w="2532" w:type="dxa"/>
            <w:gridSpan w:val="2"/>
          </w:tcPr>
          <w:p>
            <w:pPr>
              <w:pStyle w:val="TableParagraph"/>
              <w:spacing w:before="116"/>
              <w:ind w:left="107"/>
              <w:rPr>
                <w:sz w:val="24"/>
              </w:rPr>
            </w:pPr>
            <w:r>
              <w:rPr>
                <w:sz w:val="24"/>
              </w:rPr>
              <w:t>Access</w:t>
            </w:r>
            <w:r>
              <w:rPr>
                <w:spacing w:val="-4"/>
                <w:sz w:val="24"/>
              </w:rPr>
              <w:t> </w:t>
            </w:r>
            <w:r>
              <w:rPr>
                <w:sz w:val="24"/>
              </w:rPr>
              <w:t>to</w:t>
            </w:r>
            <w:r>
              <w:rPr>
                <w:spacing w:val="-3"/>
                <w:sz w:val="24"/>
              </w:rPr>
              <w:t> </w:t>
            </w:r>
            <w:r>
              <w:rPr>
                <w:sz w:val="24"/>
              </w:rPr>
              <w:t>Class</w:t>
            </w:r>
            <w:r>
              <w:rPr>
                <w:spacing w:val="-3"/>
                <w:sz w:val="24"/>
              </w:rPr>
              <w:t> </w:t>
            </w:r>
            <w:r>
              <w:rPr>
                <w:spacing w:val="-10"/>
                <w:sz w:val="24"/>
              </w:rPr>
              <w:t>2</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5"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pacing w:val="-2"/>
                <w:sz w:val="24"/>
              </w:rPr>
              <w:t>Ramps</w:t>
            </w:r>
          </w:p>
        </w:tc>
        <w:tc>
          <w:tcPr>
            <w:tcW w:w="898" w:type="dxa"/>
          </w:tcPr>
          <w:p>
            <w:pPr>
              <w:pStyle w:val="TableParagraph"/>
              <w:spacing w:before="116"/>
              <w:ind w:right="96"/>
              <w:jc w:val="right"/>
              <w:rPr>
                <w:sz w:val="24"/>
              </w:rPr>
            </w:pPr>
            <w:r>
              <w:rPr>
                <w:spacing w:val="-4"/>
                <w:sz w:val="24"/>
              </w:rPr>
              <w:t>7500</w:t>
            </w:r>
          </w:p>
        </w:tc>
        <w:tc>
          <w:tcPr>
            <w:tcW w:w="603" w:type="dxa"/>
          </w:tcPr>
          <w:p>
            <w:pPr>
              <w:pStyle w:val="TableParagraph"/>
              <w:spacing w:before="116"/>
              <w:ind w:right="95"/>
              <w:jc w:val="right"/>
              <w:rPr>
                <w:sz w:val="24"/>
              </w:rPr>
            </w:pPr>
            <w:r>
              <w:rPr>
                <w:w w:val="99"/>
                <w:sz w:val="24"/>
              </w:rPr>
              <w:t>2</w:t>
            </w:r>
          </w:p>
        </w:tc>
        <w:tc>
          <w:tcPr>
            <w:tcW w:w="1561" w:type="dxa"/>
          </w:tcPr>
          <w:p>
            <w:pPr>
              <w:pStyle w:val="TableParagraph"/>
              <w:spacing w:before="116"/>
              <w:ind w:right="98"/>
              <w:jc w:val="right"/>
              <w:rPr>
                <w:sz w:val="24"/>
              </w:rPr>
            </w:pPr>
            <w:r>
              <w:rPr>
                <w:spacing w:val="-2"/>
                <w:sz w:val="24"/>
              </w:rPr>
              <w:t>15,000</w:t>
            </w:r>
          </w:p>
        </w:tc>
        <w:tc>
          <w:tcPr>
            <w:tcW w:w="605" w:type="dxa"/>
          </w:tcPr>
          <w:p>
            <w:pPr>
              <w:pStyle w:val="TableParagraph"/>
              <w:spacing w:before="116"/>
              <w:ind w:right="100"/>
              <w:jc w:val="right"/>
              <w:rPr>
                <w:sz w:val="24"/>
              </w:rPr>
            </w:pPr>
            <w:r>
              <w:rPr>
                <w:w w:val="99"/>
                <w:sz w:val="24"/>
              </w:rPr>
              <w:t>2</w:t>
            </w:r>
          </w:p>
        </w:tc>
        <w:tc>
          <w:tcPr>
            <w:tcW w:w="1601" w:type="dxa"/>
          </w:tcPr>
          <w:p>
            <w:pPr>
              <w:pStyle w:val="TableParagraph"/>
              <w:spacing w:before="116"/>
              <w:ind w:right="102"/>
              <w:jc w:val="right"/>
              <w:rPr>
                <w:sz w:val="24"/>
              </w:rPr>
            </w:pPr>
            <w:r>
              <w:rPr>
                <w:spacing w:val="-2"/>
                <w:sz w:val="24"/>
              </w:rPr>
              <w:t>15,000</w:t>
            </w:r>
          </w:p>
        </w:tc>
      </w:tr>
      <w:tr>
        <w:trPr>
          <w:trHeight w:val="516"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Doorway</w:t>
            </w:r>
            <w:r>
              <w:rPr>
                <w:spacing w:val="-17"/>
                <w:sz w:val="24"/>
              </w:rPr>
              <w:t> </w:t>
            </w:r>
            <w:r>
              <w:rPr>
                <w:spacing w:val="-2"/>
                <w:sz w:val="24"/>
              </w:rPr>
              <w:t>widths</w:t>
            </w:r>
          </w:p>
        </w:tc>
        <w:tc>
          <w:tcPr>
            <w:tcW w:w="898" w:type="dxa"/>
          </w:tcPr>
          <w:p>
            <w:pPr>
              <w:pStyle w:val="TableParagraph"/>
              <w:spacing w:before="116"/>
              <w:ind w:right="97"/>
              <w:jc w:val="right"/>
              <w:rPr>
                <w:sz w:val="24"/>
              </w:rPr>
            </w:pPr>
            <w:r>
              <w:rPr>
                <w:spacing w:val="-5"/>
                <w:sz w:val="24"/>
              </w:rPr>
              <w:t>100</w:t>
            </w:r>
          </w:p>
        </w:tc>
        <w:tc>
          <w:tcPr>
            <w:tcW w:w="603" w:type="dxa"/>
          </w:tcPr>
          <w:p>
            <w:pPr>
              <w:pStyle w:val="TableParagraph"/>
              <w:spacing w:before="116"/>
              <w:ind w:right="97"/>
              <w:jc w:val="right"/>
              <w:rPr>
                <w:sz w:val="24"/>
              </w:rPr>
            </w:pPr>
            <w:r>
              <w:rPr>
                <w:w w:val="99"/>
                <w:sz w:val="24"/>
              </w:rPr>
              <w:t>5</w:t>
            </w:r>
          </w:p>
        </w:tc>
        <w:tc>
          <w:tcPr>
            <w:tcW w:w="1561" w:type="dxa"/>
          </w:tcPr>
          <w:p>
            <w:pPr>
              <w:pStyle w:val="TableParagraph"/>
              <w:spacing w:before="116"/>
              <w:ind w:right="99"/>
              <w:jc w:val="right"/>
              <w:rPr>
                <w:sz w:val="24"/>
              </w:rPr>
            </w:pPr>
            <w:r>
              <w:rPr>
                <w:spacing w:val="-5"/>
                <w:sz w:val="24"/>
              </w:rPr>
              <w:t>500</w:t>
            </w:r>
          </w:p>
        </w:tc>
        <w:tc>
          <w:tcPr>
            <w:tcW w:w="605" w:type="dxa"/>
          </w:tcPr>
          <w:p>
            <w:pPr>
              <w:pStyle w:val="TableParagraph"/>
              <w:spacing w:before="116"/>
              <w:ind w:right="101"/>
              <w:jc w:val="right"/>
              <w:rPr>
                <w:sz w:val="24"/>
              </w:rPr>
            </w:pPr>
            <w:r>
              <w:rPr>
                <w:spacing w:val="-5"/>
                <w:sz w:val="24"/>
              </w:rPr>
              <w:t>10</w:t>
            </w:r>
          </w:p>
        </w:tc>
        <w:tc>
          <w:tcPr>
            <w:tcW w:w="1601" w:type="dxa"/>
          </w:tcPr>
          <w:p>
            <w:pPr>
              <w:pStyle w:val="TableParagraph"/>
              <w:spacing w:before="116"/>
              <w:ind w:right="102"/>
              <w:jc w:val="right"/>
              <w:rPr>
                <w:sz w:val="24"/>
              </w:rPr>
            </w:pPr>
            <w:r>
              <w:rPr>
                <w:spacing w:val="-2"/>
                <w:sz w:val="24"/>
              </w:rPr>
              <w:t>1,000</w:t>
            </w:r>
          </w:p>
        </w:tc>
      </w:tr>
      <w:tr>
        <w:trPr>
          <w:trHeight w:val="1067"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109"/>
              <w:rPr>
                <w:sz w:val="24"/>
              </w:rPr>
            </w:pPr>
            <w:r>
              <w:rPr>
                <w:spacing w:val="-2"/>
                <w:sz w:val="24"/>
              </w:rPr>
              <w:t>Accessible</w:t>
            </w:r>
            <w:r>
              <w:rPr>
                <w:spacing w:val="40"/>
                <w:sz w:val="24"/>
              </w:rPr>
              <w:t> </w:t>
            </w:r>
            <w:r>
              <w:rPr>
                <w:sz w:val="24"/>
              </w:rPr>
              <w:t>sanitary</w:t>
            </w:r>
            <w:r>
              <w:rPr>
                <w:spacing w:val="-17"/>
                <w:sz w:val="24"/>
              </w:rPr>
              <w:t> </w:t>
            </w:r>
            <w:r>
              <w:rPr>
                <w:sz w:val="24"/>
              </w:rPr>
              <w:t>facilities</w:t>
            </w:r>
            <w:r>
              <w:rPr>
                <w:spacing w:val="-17"/>
                <w:sz w:val="24"/>
              </w:rPr>
              <w:t> </w:t>
            </w:r>
            <w:r>
              <w:rPr>
                <w:sz w:val="24"/>
              </w:rPr>
              <w:t>in common areas</w:t>
            </w:r>
          </w:p>
        </w:tc>
        <w:tc>
          <w:tcPr>
            <w:tcW w:w="898" w:type="dxa"/>
          </w:tcPr>
          <w:p>
            <w:pPr>
              <w:pStyle w:val="TableParagraph"/>
              <w:rPr>
                <w:rFonts w:ascii="Times New Roman"/>
                <w:sz w:val="24"/>
              </w:rPr>
            </w:pPr>
          </w:p>
        </w:tc>
        <w:tc>
          <w:tcPr>
            <w:tcW w:w="603" w:type="dxa"/>
          </w:tcPr>
          <w:p>
            <w:pPr>
              <w:pStyle w:val="TableParagraph"/>
              <w:rPr>
                <w:b/>
                <w:sz w:val="26"/>
              </w:rPr>
            </w:pPr>
          </w:p>
          <w:p>
            <w:pPr>
              <w:pStyle w:val="TableParagraph"/>
              <w:spacing w:before="1"/>
              <w:rPr>
                <w:b/>
                <w:sz w:val="32"/>
              </w:rPr>
            </w:pPr>
          </w:p>
          <w:p>
            <w:pPr>
              <w:pStyle w:val="TableParagraph"/>
              <w:ind w:right="96"/>
              <w:jc w:val="right"/>
              <w:rPr>
                <w:sz w:val="24"/>
              </w:rPr>
            </w:pPr>
            <w:r>
              <w:rPr>
                <w:w w:val="99"/>
                <w:sz w:val="24"/>
              </w:rPr>
              <w:t>1</w:t>
            </w:r>
          </w:p>
        </w:tc>
        <w:tc>
          <w:tcPr>
            <w:tcW w:w="1561" w:type="dxa"/>
          </w:tcPr>
          <w:p>
            <w:pPr>
              <w:pStyle w:val="TableParagraph"/>
              <w:rPr>
                <w:b/>
                <w:sz w:val="26"/>
              </w:rPr>
            </w:pPr>
          </w:p>
          <w:p>
            <w:pPr>
              <w:pStyle w:val="TableParagraph"/>
              <w:spacing w:before="1"/>
              <w:rPr>
                <w:b/>
                <w:sz w:val="32"/>
              </w:rPr>
            </w:pPr>
          </w:p>
          <w:p>
            <w:pPr>
              <w:pStyle w:val="TableParagraph"/>
              <w:ind w:right="98"/>
              <w:jc w:val="right"/>
              <w:rPr>
                <w:sz w:val="24"/>
              </w:rPr>
            </w:pPr>
            <w:r>
              <w:rPr>
                <w:sz w:val="24"/>
              </w:rPr>
              <w:t>incl</w:t>
            </w:r>
            <w:r>
              <w:rPr>
                <w:spacing w:val="-3"/>
                <w:sz w:val="24"/>
              </w:rPr>
              <w:t> </w:t>
            </w:r>
            <w:r>
              <w:rPr>
                <w:spacing w:val="-2"/>
                <w:sz w:val="24"/>
              </w:rPr>
              <w:t>below</w:t>
            </w:r>
          </w:p>
        </w:tc>
        <w:tc>
          <w:tcPr>
            <w:tcW w:w="605" w:type="dxa"/>
          </w:tcPr>
          <w:p>
            <w:pPr>
              <w:pStyle w:val="TableParagraph"/>
              <w:rPr>
                <w:rFonts w:ascii="Times New Roman"/>
                <w:sz w:val="24"/>
              </w:rPr>
            </w:pPr>
          </w:p>
        </w:tc>
        <w:tc>
          <w:tcPr>
            <w:tcW w:w="1601" w:type="dxa"/>
          </w:tcPr>
          <w:p>
            <w:pPr>
              <w:pStyle w:val="TableParagraph"/>
              <w:rPr>
                <w:b/>
                <w:sz w:val="26"/>
              </w:rPr>
            </w:pPr>
          </w:p>
          <w:p>
            <w:pPr>
              <w:pStyle w:val="TableParagraph"/>
              <w:spacing w:before="1"/>
              <w:rPr>
                <w:b/>
                <w:sz w:val="32"/>
              </w:rPr>
            </w:pPr>
          </w:p>
          <w:p>
            <w:pPr>
              <w:pStyle w:val="TableParagraph"/>
              <w:ind w:right="101"/>
              <w:jc w:val="right"/>
              <w:rPr>
                <w:sz w:val="24"/>
              </w:rPr>
            </w:pPr>
            <w:r>
              <w:rPr>
                <w:sz w:val="24"/>
              </w:rPr>
              <w:t>incl</w:t>
            </w:r>
            <w:r>
              <w:rPr>
                <w:spacing w:val="-3"/>
                <w:sz w:val="24"/>
              </w:rPr>
              <w:t> </w:t>
            </w:r>
            <w:r>
              <w:rPr>
                <w:spacing w:val="-2"/>
                <w:sz w:val="24"/>
              </w:rPr>
              <w:t>below</w:t>
            </w:r>
          </w:p>
        </w:tc>
      </w:tr>
      <w:tr>
        <w:trPr>
          <w:trHeight w:val="515" w:hRule="atLeast"/>
        </w:trPr>
        <w:tc>
          <w:tcPr>
            <w:tcW w:w="528" w:type="dxa"/>
          </w:tcPr>
          <w:p>
            <w:pPr>
              <w:pStyle w:val="TableParagraph"/>
              <w:spacing w:before="116"/>
              <w:ind w:left="107"/>
              <w:rPr>
                <w:sz w:val="24"/>
              </w:rPr>
            </w:pPr>
            <w:r>
              <w:rPr>
                <w:w w:val="99"/>
                <w:sz w:val="24"/>
              </w:rPr>
              <w:t>4</w:t>
            </w:r>
          </w:p>
        </w:tc>
        <w:tc>
          <w:tcPr>
            <w:tcW w:w="2532" w:type="dxa"/>
            <w:gridSpan w:val="2"/>
          </w:tcPr>
          <w:p>
            <w:pPr>
              <w:pStyle w:val="TableParagraph"/>
              <w:spacing w:before="116"/>
              <w:ind w:left="107"/>
              <w:rPr>
                <w:sz w:val="24"/>
              </w:rPr>
            </w:pPr>
            <w:r>
              <w:rPr>
                <w:sz w:val="24"/>
              </w:rPr>
              <w:t>Access</w:t>
            </w:r>
            <w:r>
              <w:rPr>
                <w:spacing w:val="-4"/>
                <w:sz w:val="24"/>
              </w:rPr>
              <w:t> </w:t>
            </w:r>
            <w:r>
              <w:rPr>
                <w:sz w:val="24"/>
              </w:rPr>
              <w:t>to</w:t>
            </w:r>
            <w:r>
              <w:rPr>
                <w:spacing w:val="-3"/>
                <w:sz w:val="24"/>
              </w:rPr>
              <w:t> </w:t>
            </w:r>
            <w:r>
              <w:rPr>
                <w:sz w:val="24"/>
              </w:rPr>
              <w:t>Class</w:t>
            </w:r>
            <w:r>
              <w:rPr>
                <w:spacing w:val="-3"/>
                <w:sz w:val="24"/>
              </w:rPr>
              <w:t> </w:t>
            </w:r>
            <w:r>
              <w:rPr>
                <w:spacing w:val="-10"/>
                <w:sz w:val="24"/>
              </w:rPr>
              <w:t>3</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2" w:hRule="atLeast"/>
        </w:trPr>
        <w:tc>
          <w:tcPr>
            <w:tcW w:w="528" w:type="dxa"/>
          </w:tcPr>
          <w:p>
            <w:pPr>
              <w:pStyle w:val="TableParagraph"/>
              <w:spacing w:before="116"/>
              <w:ind w:left="107"/>
              <w:rPr>
                <w:sz w:val="24"/>
              </w:rPr>
            </w:pPr>
            <w:r>
              <w:rPr>
                <w:w w:val="99"/>
                <w:sz w:val="24"/>
              </w:rPr>
              <w:t>5</w:t>
            </w:r>
          </w:p>
        </w:tc>
        <w:tc>
          <w:tcPr>
            <w:tcW w:w="2532" w:type="dxa"/>
            <w:gridSpan w:val="2"/>
          </w:tcPr>
          <w:p>
            <w:pPr>
              <w:pStyle w:val="TableParagraph"/>
              <w:spacing w:before="116"/>
              <w:ind w:left="108"/>
              <w:rPr>
                <w:sz w:val="24"/>
              </w:rPr>
            </w:pPr>
            <w:r>
              <w:rPr>
                <w:sz w:val="24"/>
              </w:rPr>
              <w:t>Access</w:t>
            </w:r>
            <w:r>
              <w:rPr>
                <w:spacing w:val="-3"/>
                <w:sz w:val="24"/>
              </w:rPr>
              <w:t> </w:t>
            </w:r>
            <w:r>
              <w:rPr>
                <w:sz w:val="24"/>
              </w:rPr>
              <w:t>to</w:t>
            </w:r>
            <w:r>
              <w:rPr>
                <w:spacing w:val="-2"/>
                <w:sz w:val="24"/>
              </w:rPr>
              <w:t> </w:t>
            </w:r>
            <w:r>
              <w:rPr>
                <w:sz w:val="24"/>
              </w:rPr>
              <w:t>Class</w:t>
            </w:r>
            <w:r>
              <w:rPr>
                <w:spacing w:val="-3"/>
                <w:sz w:val="24"/>
              </w:rPr>
              <w:t> </w:t>
            </w:r>
            <w:r>
              <w:rPr>
                <w:sz w:val="24"/>
              </w:rPr>
              <w:t>5,</w:t>
            </w:r>
            <w:r>
              <w:rPr>
                <w:spacing w:val="-2"/>
                <w:sz w:val="24"/>
              </w:rPr>
              <w:t> </w:t>
            </w:r>
            <w:r>
              <w:rPr>
                <w:spacing w:val="-5"/>
                <w:sz w:val="24"/>
              </w:rPr>
              <w:t>6,</w:t>
            </w:r>
          </w:p>
          <w:p>
            <w:pPr>
              <w:pStyle w:val="TableParagraph"/>
              <w:ind w:left="107"/>
              <w:rPr>
                <w:sz w:val="24"/>
              </w:rPr>
            </w:pPr>
            <w:r>
              <w:rPr>
                <w:sz w:val="24"/>
              </w:rPr>
              <w:t>7b,</w:t>
            </w:r>
            <w:r>
              <w:rPr>
                <w:spacing w:val="-2"/>
                <w:sz w:val="24"/>
              </w:rPr>
              <w:t> </w:t>
            </w:r>
            <w:r>
              <w:rPr>
                <w:spacing w:val="-10"/>
                <w:sz w:val="24"/>
              </w:rPr>
              <w:t>8</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1" w:hRule="atLeast"/>
        </w:trPr>
        <w:tc>
          <w:tcPr>
            <w:tcW w:w="528" w:type="dxa"/>
          </w:tcPr>
          <w:p>
            <w:pPr>
              <w:pStyle w:val="TableParagraph"/>
              <w:spacing w:before="116"/>
              <w:ind w:left="107"/>
              <w:rPr>
                <w:sz w:val="24"/>
              </w:rPr>
            </w:pPr>
            <w:r>
              <w:rPr>
                <w:w w:val="99"/>
                <w:sz w:val="24"/>
              </w:rPr>
              <w:t>6</w:t>
            </w:r>
          </w:p>
        </w:tc>
        <w:tc>
          <w:tcPr>
            <w:tcW w:w="2532" w:type="dxa"/>
            <w:gridSpan w:val="2"/>
          </w:tcPr>
          <w:p>
            <w:pPr>
              <w:pStyle w:val="TableParagraph"/>
              <w:spacing w:before="116"/>
              <w:ind w:left="107"/>
              <w:rPr>
                <w:sz w:val="24"/>
              </w:rPr>
            </w:pPr>
            <w:r>
              <w:rPr>
                <w:sz w:val="24"/>
              </w:rPr>
              <w:t>Number</w:t>
            </w:r>
            <w:r>
              <w:rPr>
                <w:spacing w:val="-17"/>
                <w:sz w:val="24"/>
              </w:rPr>
              <w:t> </w:t>
            </w:r>
            <w:r>
              <w:rPr>
                <w:sz w:val="24"/>
              </w:rPr>
              <w:t>of</w:t>
            </w:r>
            <w:r>
              <w:rPr>
                <w:spacing w:val="-17"/>
                <w:sz w:val="24"/>
              </w:rPr>
              <w:t> </w:t>
            </w:r>
            <w:r>
              <w:rPr>
                <w:sz w:val="24"/>
              </w:rPr>
              <w:t>accessible </w:t>
            </w:r>
            <w:r>
              <w:rPr>
                <w:spacing w:val="-2"/>
                <w:sz w:val="24"/>
              </w:rPr>
              <w:t>entrances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7"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109"/>
              <w:rPr>
                <w:sz w:val="24"/>
              </w:rPr>
            </w:pPr>
            <w:r>
              <w:rPr>
                <w:spacing w:val="-2"/>
                <w:sz w:val="24"/>
              </w:rPr>
              <w:t>Additional </w:t>
            </w:r>
            <w:r>
              <w:rPr>
                <w:sz w:val="24"/>
              </w:rPr>
              <w:t>entrances</w:t>
            </w:r>
            <w:r>
              <w:rPr>
                <w:spacing w:val="-17"/>
                <w:sz w:val="24"/>
              </w:rPr>
              <w:t> </w:t>
            </w:r>
            <w:r>
              <w:rPr>
                <w:sz w:val="24"/>
              </w:rPr>
              <w:t>to</w:t>
            </w:r>
            <w:r>
              <w:rPr>
                <w:spacing w:val="-17"/>
                <w:sz w:val="24"/>
              </w:rPr>
              <w:t> </w:t>
            </w:r>
            <w:r>
              <w:rPr>
                <w:sz w:val="24"/>
              </w:rPr>
              <w:t>be </w:t>
            </w:r>
            <w:r>
              <w:rPr>
                <w:spacing w:val="-2"/>
                <w:sz w:val="24"/>
              </w:rPr>
              <w:t>accessible</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b/>
                <w:sz w:val="26"/>
              </w:rPr>
            </w:pPr>
          </w:p>
          <w:p>
            <w:pPr>
              <w:pStyle w:val="TableParagraph"/>
              <w:spacing w:before="1"/>
              <w:rPr>
                <w:b/>
                <w:sz w:val="32"/>
              </w:rPr>
            </w:pPr>
          </w:p>
          <w:p>
            <w:pPr>
              <w:pStyle w:val="TableParagraph"/>
              <w:ind w:right="98"/>
              <w:jc w:val="right"/>
              <w:rPr>
                <w:sz w:val="24"/>
              </w:rPr>
            </w:pPr>
            <w:r>
              <w:rPr>
                <w:spacing w:val="-4"/>
                <w:sz w:val="24"/>
              </w:rPr>
              <w:t>incl</w:t>
            </w:r>
          </w:p>
        </w:tc>
        <w:tc>
          <w:tcPr>
            <w:tcW w:w="605" w:type="dxa"/>
          </w:tcPr>
          <w:p>
            <w:pPr>
              <w:pStyle w:val="TableParagraph"/>
              <w:rPr>
                <w:rFonts w:ascii="Times New Roman"/>
                <w:sz w:val="24"/>
              </w:rPr>
            </w:pPr>
          </w:p>
        </w:tc>
        <w:tc>
          <w:tcPr>
            <w:tcW w:w="1601" w:type="dxa"/>
          </w:tcPr>
          <w:p>
            <w:pPr>
              <w:pStyle w:val="TableParagraph"/>
              <w:rPr>
                <w:b/>
                <w:sz w:val="26"/>
              </w:rPr>
            </w:pPr>
          </w:p>
          <w:p>
            <w:pPr>
              <w:pStyle w:val="TableParagraph"/>
              <w:spacing w:before="1"/>
              <w:rPr>
                <w:b/>
                <w:sz w:val="32"/>
              </w:rPr>
            </w:pPr>
          </w:p>
          <w:p>
            <w:pPr>
              <w:pStyle w:val="TableParagraph"/>
              <w:ind w:right="101"/>
              <w:jc w:val="right"/>
              <w:rPr>
                <w:sz w:val="24"/>
              </w:rPr>
            </w:pPr>
            <w:r>
              <w:rPr>
                <w:spacing w:val="-4"/>
                <w:sz w:val="24"/>
              </w:rPr>
              <w:t>incl</w:t>
            </w:r>
          </w:p>
        </w:tc>
      </w:tr>
      <w:tr>
        <w:trPr>
          <w:trHeight w:val="791" w:hRule="atLeast"/>
        </w:trPr>
        <w:tc>
          <w:tcPr>
            <w:tcW w:w="528" w:type="dxa"/>
          </w:tcPr>
          <w:p>
            <w:pPr>
              <w:pStyle w:val="TableParagraph"/>
              <w:spacing w:before="116"/>
              <w:ind w:left="107"/>
              <w:rPr>
                <w:sz w:val="24"/>
              </w:rPr>
            </w:pPr>
            <w:r>
              <w:rPr>
                <w:w w:val="99"/>
                <w:sz w:val="24"/>
              </w:rPr>
              <w:t>7</w:t>
            </w:r>
          </w:p>
        </w:tc>
        <w:tc>
          <w:tcPr>
            <w:tcW w:w="2532" w:type="dxa"/>
            <w:gridSpan w:val="2"/>
          </w:tcPr>
          <w:p>
            <w:pPr>
              <w:pStyle w:val="TableParagraph"/>
              <w:spacing w:before="116"/>
              <w:ind w:left="107"/>
              <w:rPr>
                <w:sz w:val="24"/>
              </w:rPr>
            </w:pPr>
            <w:r>
              <w:rPr>
                <w:sz w:val="24"/>
              </w:rPr>
              <w:t>Passing</w:t>
            </w:r>
            <w:r>
              <w:rPr>
                <w:spacing w:val="-17"/>
                <w:sz w:val="24"/>
              </w:rPr>
              <w:t> </w:t>
            </w:r>
            <w:r>
              <w:rPr>
                <w:sz w:val="24"/>
              </w:rPr>
              <w:t>and</w:t>
            </w:r>
            <w:r>
              <w:rPr>
                <w:spacing w:val="-17"/>
                <w:sz w:val="24"/>
              </w:rPr>
              <w:t> </w:t>
            </w:r>
            <w:r>
              <w:rPr>
                <w:sz w:val="24"/>
              </w:rPr>
              <w:t>Turning </w:t>
            </w:r>
            <w:r>
              <w:rPr>
                <w:spacing w:val="-2"/>
                <w:sz w:val="24"/>
              </w:rPr>
              <w:t>spaces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2"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496"/>
              <w:rPr>
                <w:sz w:val="24"/>
              </w:rPr>
            </w:pPr>
            <w:r>
              <w:rPr>
                <w:spacing w:val="-2"/>
                <w:sz w:val="24"/>
              </w:rPr>
              <w:t>Additional </w:t>
            </w:r>
            <w:r>
              <w:rPr>
                <w:sz w:val="24"/>
              </w:rPr>
              <w:t>circulation</w:t>
            </w:r>
            <w:r>
              <w:rPr>
                <w:spacing w:val="-17"/>
                <w:sz w:val="24"/>
              </w:rPr>
              <w:t> </w:t>
            </w:r>
            <w:r>
              <w:rPr>
                <w:sz w:val="24"/>
              </w:rPr>
              <w:t>area</w:t>
            </w:r>
          </w:p>
        </w:tc>
        <w:tc>
          <w:tcPr>
            <w:tcW w:w="898" w:type="dxa"/>
          </w:tcPr>
          <w:p>
            <w:pPr>
              <w:pStyle w:val="TableParagraph"/>
              <w:spacing w:before="1"/>
              <w:rPr>
                <w:b/>
                <w:sz w:val="34"/>
              </w:rPr>
            </w:pPr>
          </w:p>
          <w:p>
            <w:pPr>
              <w:pStyle w:val="TableParagraph"/>
              <w:ind w:right="97"/>
              <w:jc w:val="right"/>
              <w:rPr>
                <w:sz w:val="24"/>
              </w:rPr>
            </w:pPr>
            <w:r>
              <w:rPr>
                <w:spacing w:val="-4"/>
                <w:sz w:val="24"/>
              </w:rPr>
              <w:t>1250</w:t>
            </w:r>
          </w:p>
        </w:tc>
        <w:tc>
          <w:tcPr>
            <w:tcW w:w="603" w:type="dxa"/>
          </w:tcPr>
          <w:p>
            <w:pPr>
              <w:pStyle w:val="TableParagraph"/>
              <w:spacing w:before="1"/>
              <w:rPr>
                <w:b/>
                <w:sz w:val="34"/>
              </w:rPr>
            </w:pPr>
          </w:p>
          <w:p>
            <w:pPr>
              <w:pStyle w:val="TableParagraph"/>
              <w:ind w:right="96"/>
              <w:jc w:val="right"/>
              <w:rPr>
                <w:sz w:val="24"/>
              </w:rPr>
            </w:pPr>
            <w:r>
              <w:rPr>
                <w:w w:val="99"/>
                <w:sz w:val="24"/>
              </w:rPr>
              <w:t>2</w:t>
            </w:r>
          </w:p>
        </w:tc>
        <w:tc>
          <w:tcPr>
            <w:tcW w:w="1561" w:type="dxa"/>
          </w:tcPr>
          <w:p>
            <w:pPr>
              <w:pStyle w:val="TableParagraph"/>
              <w:spacing w:before="1"/>
              <w:rPr>
                <w:b/>
                <w:sz w:val="34"/>
              </w:rPr>
            </w:pPr>
          </w:p>
          <w:p>
            <w:pPr>
              <w:pStyle w:val="TableParagraph"/>
              <w:ind w:right="99"/>
              <w:jc w:val="right"/>
              <w:rPr>
                <w:sz w:val="24"/>
              </w:rPr>
            </w:pPr>
            <w:r>
              <w:rPr>
                <w:spacing w:val="-2"/>
                <w:sz w:val="24"/>
              </w:rPr>
              <w:t>2,500</w:t>
            </w:r>
          </w:p>
        </w:tc>
        <w:tc>
          <w:tcPr>
            <w:tcW w:w="605" w:type="dxa"/>
          </w:tcPr>
          <w:p>
            <w:pPr>
              <w:pStyle w:val="TableParagraph"/>
              <w:spacing w:before="1"/>
              <w:rPr>
                <w:b/>
                <w:sz w:val="34"/>
              </w:rPr>
            </w:pPr>
          </w:p>
          <w:p>
            <w:pPr>
              <w:pStyle w:val="TableParagraph"/>
              <w:ind w:right="101"/>
              <w:jc w:val="right"/>
              <w:rPr>
                <w:sz w:val="24"/>
              </w:rPr>
            </w:pPr>
            <w:r>
              <w:rPr>
                <w:w w:val="99"/>
                <w:sz w:val="24"/>
              </w:rPr>
              <w:t>6</w:t>
            </w:r>
          </w:p>
        </w:tc>
        <w:tc>
          <w:tcPr>
            <w:tcW w:w="1601" w:type="dxa"/>
          </w:tcPr>
          <w:p>
            <w:pPr>
              <w:pStyle w:val="TableParagraph"/>
              <w:spacing w:before="1"/>
              <w:rPr>
                <w:b/>
                <w:sz w:val="34"/>
              </w:rPr>
            </w:pPr>
          </w:p>
          <w:p>
            <w:pPr>
              <w:pStyle w:val="TableParagraph"/>
              <w:ind w:right="102"/>
              <w:jc w:val="right"/>
              <w:rPr>
                <w:sz w:val="24"/>
              </w:rPr>
            </w:pPr>
            <w:r>
              <w:rPr>
                <w:spacing w:val="-2"/>
                <w:sz w:val="24"/>
              </w:rPr>
              <w:t>7,500</w:t>
            </w:r>
          </w:p>
        </w:tc>
      </w:tr>
      <w:tr>
        <w:trPr>
          <w:trHeight w:val="515" w:hRule="atLeast"/>
        </w:trPr>
        <w:tc>
          <w:tcPr>
            <w:tcW w:w="528" w:type="dxa"/>
          </w:tcPr>
          <w:p>
            <w:pPr>
              <w:pStyle w:val="TableParagraph"/>
              <w:spacing w:before="116"/>
              <w:ind w:left="107"/>
              <w:rPr>
                <w:sz w:val="24"/>
              </w:rPr>
            </w:pPr>
            <w:r>
              <w:rPr>
                <w:w w:val="99"/>
                <w:sz w:val="24"/>
              </w:rPr>
              <w:t>8</w:t>
            </w:r>
          </w:p>
        </w:tc>
        <w:tc>
          <w:tcPr>
            <w:tcW w:w="2532" w:type="dxa"/>
            <w:gridSpan w:val="2"/>
          </w:tcPr>
          <w:p>
            <w:pPr>
              <w:pStyle w:val="TableParagraph"/>
              <w:spacing w:before="116"/>
              <w:ind w:left="108"/>
              <w:rPr>
                <w:sz w:val="24"/>
              </w:rPr>
            </w:pPr>
            <w:r>
              <w:rPr>
                <w:spacing w:val="-2"/>
                <w:sz w:val="24"/>
              </w:rPr>
              <w:t>Exemptions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1"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Nil</w:t>
            </w:r>
            <w:r>
              <w:rPr>
                <w:spacing w:val="-17"/>
                <w:sz w:val="24"/>
              </w:rPr>
              <w:t> </w:t>
            </w:r>
            <w:r>
              <w:rPr>
                <w:sz w:val="24"/>
              </w:rPr>
              <w:t>-</w:t>
            </w:r>
            <w:r>
              <w:rPr>
                <w:spacing w:val="-17"/>
                <w:sz w:val="24"/>
              </w:rPr>
              <w:t> </w:t>
            </w:r>
            <w:r>
              <w:rPr>
                <w:sz w:val="24"/>
              </w:rPr>
              <w:t>included </w:t>
            </w:r>
            <w:r>
              <w:rPr>
                <w:spacing w:val="-2"/>
                <w:sz w:val="24"/>
              </w:rPr>
              <w:t>elsewhere</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spacing w:before="1"/>
              <w:rPr>
                <w:b/>
                <w:sz w:val="34"/>
              </w:rPr>
            </w:pPr>
          </w:p>
          <w:p>
            <w:pPr>
              <w:pStyle w:val="TableParagraph"/>
              <w:ind w:right="98"/>
              <w:jc w:val="right"/>
              <w:rPr>
                <w:sz w:val="24"/>
              </w:rPr>
            </w:pPr>
            <w:r>
              <w:rPr>
                <w:w w:val="99"/>
                <w:sz w:val="24"/>
              </w:rPr>
              <w:t>0</w:t>
            </w:r>
          </w:p>
        </w:tc>
        <w:tc>
          <w:tcPr>
            <w:tcW w:w="605" w:type="dxa"/>
          </w:tcPr>
          <w:p>
            <w:pPr>
              <w:pStyle w:val="TableParagraph"/>
              <w:rPr>
                <w:rFonts w:ascii="Times New Roman"/>
                <w:sz w:val="24"/>
              </w:rPr>
            </w:pPr>
          </w:p>
        </w:tc>
        <w:tc>
          <w:tcPr>
            <w:tcW w:w="1601" w:type="dxa"/>
          </w:tcPr>
          <w:p>
            <w:pPr>
              <w:pStyle w:val="TableParagraph"/>
              <w:spacing w:before="1"/>
              <w:rPr>
                <w:b/>
                <w:sz w:val="34"/>
              </w:rPr>
            </w:pPr>
          </w:p>
          <w:p>
            <w:pPr>
              <w:pStyle w:val="TableParagraph"/>
              <w:ind w:right="101"/>
              <w:jc w:val="right"/>
              <w:rPr>
                <w:sz w:val="24"/>
              </w:rPr>
            </w:pPr>
            <w:r>
              <w:rPr>
                <w:w w:val="99"/>
                <w:sz w:val="24"/>
              </w:rPr>
              <w:t>0</w:t>
            </w:r>
          </w:p>
        </w:tc>
      </w:tr>
      <w:tr>
        <w:trPr>
          <w:trHeight w:val="516" w:hRule="atLeast"/>
        </w:trPr>
        <w:tc>
          <w:tcPr>
            <w:tcW w:w="528" w:type="dxa"/>
          </w:tcPr>
          <w:p>
            <w:pPr>
              <w:pStyle w:val="TableParagraph"/>
              <w:spacing w:before="116"/>
              <w:ind w:left="107"/>
              <w:rPr>
                <w:sz w:val="24"/>
              </w:rPr>
            </w:pPr>
            <w:r>
              <w:rPr>
                <w:w w:val="99"/>
                <w:sz w:val="24"/>
              </w:rPr>
              <w:t>9</w:t>
            </w:r>
          </w:p>
        </w:tc>
        <w:tc>
          <w:tcPr>
            <w:tcW w:w="2532" w:type="dxa"/>
            <w:gridSpan w:val="2"/>
          </w:tcPr>
          <w:p>
            <w:pPr>
              <w:pStyle w:val="TableParagraph"/>
              <w:spacing w:before="116"/>
              <w:ind w:left="108"/>
              <w:rPr>
                <w:sz w:val="24"/>
              </w:rPr>
            </w:pPr>
            <w:r>
              <w:rPr>
                <w:sz w:val="24"/>
              </w:rPr>
              <w:t>Car</w:t>
            </w:r>
            <w:r>
              <w:rPr>
                <w:spacing w:val="-6"/>
                <w:sz w:val="24"/>
              </w:rPr>
              <w:t> </w:t>
            </w:r>
            <w:r>
              <w:rPr>
                <w:spacing w:val="-2"/>
                <w:sz w:val="24"/>
              </w:rPr>
              <w:t>parking</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343"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Up to double number</w:t>
            </w:r>
            <w:r>
              <w:rPr>
                <w:spacing w:val="-17"/>
                <w:sz w:val="24"/>
              </w:rPr>
              <w:t> </w:t>
            </w:r>
            <w:r>
              <w:rPr>
                <w:sz w:val="24"/>
              </w:rPr>
              <w:t>of</w:t>
            </w:r>
            <w:r>
              <w:rPr>
                <w:spacing w:val="-17"/>
                <w:sz w:val="24"/>
              </w:rPr>
              <w:t> </w:t>
            </w:r>
            <w:r>
              <w:rPr>
                <w:sz w:val="24"/>
              </w:rPr>
              <w:t>spaces for people with </w:t>
            </w:r>
            <w:r>
              <w:rPr>
                <w:spacing w:val="-2"/>
                <w:sz w:val="24"/>
              </w:rPr>
              <w:t>disabilities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bl>
    <w:p>
      <w:pPr>
        <w:spacing w:after="0"/>
        <w:rPr>
          <w:rFonts w:ascii="Times New Roman"/>
          <w:sz w:val="24"/>
        </w:rPr>
        <w:sectPr>
          <w:type w:val="continuous"/>
          <w:pgSz w:w="11900" w:h="16840"/>
          <w:pgMar w:header="0" w:footer="1130" w:top="1080" w:bottom="132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288"/>
        <w:gridCol w:w="2244"/>
        <w:gridCol w:w="898"/>
        <w:gridCol w:w="603"/>
        <w:gridCol w:w="1561"/>
        <w:gridCol w:w="605"/>
        <w:gridCol w:w="1601"/>
      </w:tblGrid>
      <w:tr>
        <w:trPr>
          <w:trHeight w:val="791" w:hRule="atLeast"/>
        </w:trPr>
        <w:tc>
          <w:tcPr>
            <w:tcW w:w="3060" w:type="dxa"/>
            <w:gridSpan w:val="3"/>
          </w:tcPr>
          <w:p>
            <w:pPr>
              <w:pStyle w:val="TableParagraph"/>
              <w:spacing w:before="118"/>
              <w:ind w:left="107"/>
              <w:rPr>
                <w:b/>
                <w:sz w:val="24"/>
              </w:rPr>
            </w:pPr>
            <w:r>
              <w:rPr>
                <w:b/>
                <w:sz w:val="24"/>
              </w:rPr>
              <w:t>Case</w:t>
            </w:r>
            <w:r>
              <w:rPr>
                <w:b/>
                <w:spacing w:val="-14"/>
                <w:sz w:val="24"/>
              </w:rPr>
              <w:t> </w:t>
            </w:r>
            <w:r>
              <w:rPr>
                <w:b/>
                <w:sz w:val="24"/>
              </w:rPr>
              <w:t>Study</w:t>
            </w:r>
            <w:r>
              <w:rPr>
                <w:b/>
                <w:spacing w:val="-14"/>
                <w:sz w:val="24"/>
              </w:rPr>
              <w:t> </w:t>
            </w:r>
            <w:r>
              <w:rPr>
                <w:b/>
                <w:sz w:val="24"/>
              </w:rPr>
              <w:t>–</w:t>
            </w:r>
            <w:r>
              <w:rPr>
                <w:b/>
                <w:spacing w:val="-13"/>
                <w:sz w:val="24"/>
              </w:rPr>
              <w:t> </w:t>
            </w:r>
            <w:r>
              <w:rPr>
                <w:b/>
                <w:sz w:val="24"/>
              </w:rPr>
              <w:t>New </w:t>
            </w:r>
            <w:r>
              <w:rPr>
                <w:b/>
                <w:spacing w:val="-2"/>
                <w:sz w:val="24"/>
              </w:rPr>
              <w:t>buildings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8" w:hRule="atLeast"/>
        </w:trPr>
        <w:tc>
          <w:tcPr>
            <w:tcW w:w="3060" w:type="dxa"/>
            <w:gridSpan w:val="3"/>
          </w:tcPr>
          <w:p>
            <w:pPr>
              <w:pStyle w:val="TableParagraph"/>
              <w:spacing w:before="2"/>
              <w:rPr>
                <w:b/>
                <w:sz w:val="34"/>
              </w:rPr>
            </w:pPr>
          </w:p>
          <w:p>
            <w:pPr>
              <w:pStyle w:val="TableParagraph"/>
              <w:spacing w:before="1"/>
              <w:ind w:left="749" w:hanging="268"/>
              <w:rPr>
                <w:b/>
                <w:sz w:val="24"/>
              </w:rPr>
            </w:pPr>
            <w:r>
              <w:rPr>
                <w:b/>
                <w:sz w:val="24"/>
              </w:rPr>
              <w:t>Issue</w:t>
            </w:r>
            <w:r>
              <w:rPr>
                <w:b/>
                <w:spacing w:val="-17"/>
                <w:sz w:val="24"/>
              </w:rPr>
              <w:t> </w:t>
            </w:r>
            <w:r>
              <w:rPr>
                <w:b/>
                <w:sz w:val="24"/>
              </w:rPr>
              <w:t>/</w:t>
            </w:r>
            <w:r>
              <w:rPr>
                <w:b/>
                <w:spacing w:val="-17"/>
                <w:sz w:val="24"/>
              </w:rPr>
              <w:t> </w:t>
            </w:r>
            <w:r>
              <w:rPr>
                <w:b/>
                <w:sz w:val="24"/>
              </w:rPr>
              <w:t>Associated Building Cost</w:t>
            </w:r>
          </w:p>
        </w:tc>
        <w:tc>
          <w:tcPr>
            <w:tcW w:w="898" w:type="dxa"/>
          </w:tcPr>
          <w:p>
            <w:pPr>
              <w:pStyle w:val="TableParagraph"/>
              <w:spacing w:before="2"/>
              <w:rPr>
                <w:b/>
                <w:sz w:val="34"/>
              </w:rPr>
            </w:pPr>
          </w:p>
          <w:p>
            <w:pPr>
              <w:pStyle w:val="TableParagraph"/>
              <w:spacing w:before="1"/>
              <w:ind w:left="109" w:right="94" w:firstLine="205"/>
              <w:rPr>
                <w:b/>
                <w:sz w:val="24"/>
              </w:rPr>
            </w:pPr>
            <w:r>
              <w:rPr>
                <w:b/>
                <w:sz w:val="24"/>
              </w:rPr>
              <w:t>$ / </w:t>
            </w:r>
            <w:r>
              <w:rPr>
                <w:b/>
                <w:spacing w:val="-4"/>
                <w:sz w:val="24"/>
              </w:rPr>
              <w:t>EACH</w:t>
            </w:r>
          </w:p>
        </w:tc>
        <w:tc>
          <w:tcPr>
            <w:tcW w:w="603" w:type="dxa"/>
          </w:tcPr>
          <w:p>
            <w:pPr>
              <w:pStyle w:val="TableParagraph"/>
              <w:rPr>
                <w:b/>
                <w:sz w:val="26"/>
              </w:rPr>
            </w:pPr>
          </w:p>
          <w:p>
            <w:pPr>
              <w:pStyle w:val="TableParagraph"/>
              <w:spacing w:before="2"/>
              <w:rPr>
                <w:b/>
                <w:sz w:val="32"/>
              </w:rPr>
            </w:pPr>
          </w:p>
          <w:p>
            <w:pPr>
              <w:pStyle w:val="TableParagraph"/>
              <w:spacing w:before="1"/>
              <w:ind w:right="97"/>
              <w:jc w:val="right"/>
              <w:rPr>
                <w:b/>
                <w:sz w:val="24"/>
              </w:rPr>
            </w:pPr>
            <w:r>
              <w:rPr>
                <w:b/>
                <w:spacing w:val="-5"/>
                <w:sz w:val="24"/>
              </w:rPr>
              <w:t>No.</w:t>
            </w:r>
          </w:p>
        </w:tc>
        <w:tc>
          <w:tcPr>
            <w:tcW w:w="1561" w:type="dxa"/>
          </w:tcPr>
          <w:p>
            <w:pPr>
              <w:pStyle w:val="TableParagraph"/>
              <w:spacing w:before="118"/>
              <w:ind w:left="265" w:right="256" w:firstLine="54"/>
              <w:jc w:val="both"/>
              <w:rPr>
                <w:b/>
                <w:sz w:val="24"/>
              </w:rPr>
            </w:pPr>
            <w:r>
              <w:rPr>
                <w:b/>
                <w:sz w:val="24"/>
              </w:rPr>
              <w:t>3 storey accom.</w:t>
            </w:r>
            <w:r>
              <w:rPr>
                <w:b/>
                <w:spacing w:val="-17"/>
                <w:sz w:val="24"/>
              </w:rPr>
              <w:t> </w:t>
            </w:r>
            <w:r>
              <w:rPr>
                <w:b/>
                <w:sz w:val="24"/>
              </w:rPr>
              <w:t>–</w:t>
            </w:r>
            <w:r>
              <w:rPr>
                <w:b/>
                <w:sz w:val="24"/>
              </w:rPr>
              <w:t> no lift </w:t>
            </w:r>
            <w:r>
              <w:rPr>
                <w:b/>
                <w:spacing w:val="-5"/>
                <w:sz w:val="24"/>
              </w:rPr>
              <w:t>($)</w:t>
            </w:r>
          </w:p>
        </w:tc>
        <w:tc>
          <w:tcPr>
            <w:tcW w:w="605" w:type="dxa"/>
          </w:tcPr>
          <w:p>
            <w:pPr>
              <w:pStyle w:val="TableParagraph"/>
              <w:rPr>
                <w:b/>
                <w:sz w:val="26"/>
              </w:rPr>
            </w:pPr>
          </w:p>
          <w:p>
            <w:pPr>
              <w:pStyle w:val="TableParagraph"/>
              <w:spacing w:before="2"/>
              <w:rPr>
                <w:b/>
                <w:sz w:val="32"/>
              </w:rPr>
            </w:pPr>
          </w:p>
          <w:p>
            <w:pPr>
              <w:pStyle w:val="TableParagraph"/>
              <w:spacing w:before="1"/>
              <w:ind w:right="99"/>
              <w:jc w:val="right"/>
              <w:rPr>
                <w:b/>
                <w:sz w:val="24"/>
              </w:rPr>
            </w:pPr>
            <w:r>
              <w:rPr>
                <w:b/>
                <w:spacing w:val="-5"/>
                <w:sz w:val="24"/>
              </w:rPr>
              <w:t>No.</w:t>
            </w:r>
          </w:p>
        </w:tc>
        <w:tc>
          <w:tcPr>
            <w:tcW w:w="1601" w:type="dxa"/>
          </w:tcPr>
          <w:p>
            <w:pPr>
              <w:pStyle w:val="TableParagraph"/>
              <w:spacing w:before="118"/>
              <w:ind w:left="195" w:right="192" w:firstLine="140"/>
              <w:jc w:val="both"/>
              <w:rPr>
                <w:b/>
                <w:sz w:val="24"/>
              </w:rPr>
            </w:pPr>
            <w:r>
              <w:rPr>
                <w:b/>
                <w:sz w:val="24"/>
              </w:rPr>
              <w:t>7 storey accom. – with</w:t>
            </w:r>
            <w:r>
              <w:rPr>
                <w:b/>
                <w:spacing w:val="-1"/>
                <w:sz w:val="24"/>
              </w:rPr>
              <w:t> </w:t>
            </w:r>
            <w:r>
              <w:rPr>
                <w:b/>
                <w:sz w:val="24"/>
              </w:rPr>
              <w:t>lift </w:t>
            </w:r>
            <w:r>
              <w:rPr>
                <w:b/>
                <w:spacing w:val="-5"/>
                <w:sz w:val="24"/>
              </w:rPr>
              <w:t>($)</w:t>
            </w:r>
          </w:p>
        </w:tc>
      </w:tr>
      <w:tr>
        <w:trPr>
          <w:trHeight w:val="791" w:hRule="atLeast"/>
        </w:trPr>
        <w:tc>
          <w:tcPr>
            <w:tcW w:w="528" w:type="dxa"/>
          </w:tcPr>
          <w:p>
            <w:pPr>
              <w:pStyle w:val="TableParagraph"/>
              <w:spacing w:before="116"/>
              <w:ind w:left="107"/>
              <w:rPr>
                <w:sz w:val="24"/>
              </w:rPr>
            </w:pPr>
            <w:r>
              <w:rPr>
                <w:spacing w:val="-5"/>
                <w:sz w:val="24"/>
              </w:rPr>
              <w:t>10</w:t>
            </w:r>
          </w:p>
        </w:tc>
        <w:tc>
          <w:tcPr>
            <w:tcW w:w="2532" w:type="dxa"/>
            <w:gridSpan w:val="2"/>
          </w:tcPr>
          <w:p>
            <w:pPr>
              <w:pStyle w:val="TableParagraph"/>
              <w:spacing w:before="116"/>
              <w:ind w:left="107" w:right="370"/>
              <w:rPr>
                <w:sz w:val="24"/>
              </w:rPr>
            </w:pPr>
            <w:r>
              <w:rPr>
                <w:sz w:val="24"/>
              </w:rPr>
              <w:t>Directional Braille and</w:t>
            </w:r>
            <w:r>
              <w:rPr>
                <w:spacing w:val="-17"/>
                <w:sz w:val="24"/>
              </w:rPr>
              <w:t> </w:t>
            </w:r>
            <w:r>
              <w:rPr>
                <w:sz w:val="24"/>
              </w:rPr>
              <w:t>tactile</w:t>
            </w:r>
            <w:r>
              <w:rPr>
                <w:spacing w:val="-17"/>
                <w:sz w:val="24"/>
              </w:rPr>
              <w:t> </w:t>
            </w:r>
            <w:r>
              <w:rPr>
                <w:sz w:val="24"/>
              </w:rPr>
              <w:t>signage</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1"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Additional</w:t>
            </w:r>
            <w:r>
              <w:rPr>
                <w:spacing w:val="-17"/>
                <w:sz w:val="24"/>
              </w:rPr>
              <w:t> </w:t>
            </w:r>
            <w:r>
              <w:rPr>
                <w:sz w:val="24"/>
              </w:rPr>
              <w:t>tactile signs for lifts</w:t>
            </w:r>
          </w:p>
        </w:tc>
        <w:tc>
          <w:tcPr>
            <w:tcW w:w="898" w:type="dxa"/>
          </w:tcPr>
          <w:p>
            <w:pPr>
              <w:pStyle w:val="TableParagraph"/>
              <w:spacing w:before="1"/>
              <w:rPr>
                <w:b/>
                <w:sz w:val="34"/>
              </w:rPr>
            </w:pPr>
          </w:p>
          <w:p>
            <w:pPr>
              <w:pStyle w:val="TableParagraph"/>
              <w:ind w:right="95"/>
              <w:jc w:val="right"/>
              <w:rPr>
                <w:sz w:val="24"/>
              </w:rPr>
            </w:pPr>
            <w:r>
              <w:rPr>
                <w:spacing w:val="-5"/>
                <w:sz w:val="24"/>
              </w:rPr>
              <w:t>200</w:t>
            </w: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spacing w:before="1"/>
              <w:rPr>
                <w:b/>
                <w:sz w:val="34"/>
              </w:rPr>
            </w:pPr>
          </w:p>
          <w:p>
            <w:pPr>
              <w:pStyle w:val="TableParagraph"/>
              <w:ind w:right="98"/>
              <w:jc w:val="right"/>
              <w:rPr>
                <w:sz w:val="24"/>
              </w:rPr>
            </w:pPr>
            <w:r>
              <w:rPr>
                <w:w w:val="99"/>
                <w:sz w:val="24"/>
              </w:rPr>
              <w:t>0</w:t>
            </w:r>
          </w:p>
        </w:tc>
        <w:tc>
          <w:tcPr>
            <w:tcW w:w="1601" w:type="dxa"/>
          </w:tcPr>
          <w:p>
            <w:pPr>
              <w:pStyle w:val="TableParagraph"/>
              <w:spacing w:before="1"/>
              <w:rPr>
                <w:b/>
                <w:sz w:val="34"/>
              </w:rPr>
            </w:pPr>
          </w:p>
          <w:p>
            <w:pPr>
              <w:pStyle w:val="TableParagraph"/>
              <w:ind w:right="100"/>
              <w:jc w:val="right"/>
              <w:rPr>
                <w:sz w:val="24"/>
              </w:rPr>
            </w:pPr>
            <w:r>
              <w:rPr>
                <w:w w:val="99"/>
                <w:sz w:val="24"/>
              </w:rPr>
              <w:t>0</w:t>
            </w:r>
          </w:p>
        </w:tc>
      </w:tr>
      <w:tr>
        <w:trPr>
          <w:trHeight w:val="1068"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309"/>
              <w:rPr>
                <w:sz w:val="24"/>
              </w:rPr>
            </w:pPr>
            <w:r>
              <w:rPr>
                <w:sz w:val="24"/>
              </w:rPr>
              <w:t>Additional tactile signs for accessible</w:t>
            </w:r>
            <w:r>
              <w:rPr>
                <w:spacing w:val="-17"/>
                <w:sz w:val="24"/>
              </w:rPr>
              <w:t> </w:t>
            </w:r>
            <w:r>
              <w:rPr>
                <w:sz w:val="24"/>
              </w:rPr>
              <w:t>toilets</w:t>
            </w:r>
          </w:p>
        </w:tc>
        <w:tc>
          <w:tcPr>
            <w:tcW w:w="898" w:type="dxa"/>
          </w:tcPr>
          <w:p>
            <w:pPr>
              <w:pStyle w:val="TableParagraph"/>
              <w:rPr>
                <w:b/>
                <w:sz w:val="26"/>
              </w:rPr>
            </w:pPr>
          </w:p>
          <w:p>
            <w:pPr>
              <w:pStyle w:val="TableParagraph"/>
              <w:spacing w:before="1"/>
              <w:rPr>
                <w:b/>
                <w:sz w:val="32"/>
              </w:rPr>
            </w:pPr>
          </w:p>
          <w:p>
            <w:pPr>
              <w:pStyle w:val="TableParagraph"/>
              <w:ind w:right="97"/>
              <w:jc w:val="right"/>
              <w:rPr>
                <w:sz w:val="24"/>
              </w:rPr>
            </w:pPr>
            <w:r>
              <w:rPr>
                <w:spacing w:val="-5"/>
                <w:sz w:val="24"/>
              </w:rPr>
              <w:t>200</w:t>
            </w:r>
          </w:p>
        </w:tc>
        <w:tc>
          <w:tcPr>
            <w:tcW w:w="603" w:type="dxa"/>
          </w:tcPr>
          <w:p>
            <w:pPr>
              <w:pStyle w:val="TableParagraph"/>
              <w:rPr>
                <w:b/>
                <w:sz w:val="26"/>
              </w:rPr>
            </w:pPr>
          </w:p>
          <w:p>
            <w:pPr>
              <w:pStyle w:val="TableParagraph"/>
              <w:spacing w:before="1"/>
              <w:rPr>
                <w:b/>
                <w:sz w:val="32"/>
              </w:rPr>
            </w:pPr>
          </w:p>
          <w:p>
            <w:pPr>
              <w:pStyle w:val="TableParagraph"/>
              <w:ind w:right="96"/>
              <w:jc w:val="right"/>
              <w:rPr>
                <w:sz w:val="24"/>
              </w:rPr>
            </w:pPr>
            <w:r>
              <w:rPr>
                <w:w w:val="99"/>
                <w:sz w:val="24"/>
              </w:rPr>
              <w:t>0</w:t>
            </w:r>
          </w:p>
        </w:tc>
        <w:tc>
          <w:tcPr>
            <w:tcW w:w="1561" w:type="dxa"/>
          </w:tcPr>
          <w:p>
            <w:pPr>
              <w:pStyle w:val="TableParagraph"/>
              <w:rPr>
                <w:b/>
                <w:sz w:val="26"/>
              </w:rPr>
            </w:pPr>
          </w:p>
          <w:p>
            <w:pPr>
              <w:pStyle w:val="TableParagraph"/>
              <w:spacing w:before="1"/>
              <w:rPr>
                <w:b/>
                <w:sz w:val="32"/>
              </w:rPr>
            </w:pPr>
          </w:p>
          <w:p>
            <w:pPr>
              <w:pStyle w:val="TableParagraph"/>
              <w:ind w:right="99"/>
              <w:jc w:val="right"/>
              <w:rPr>
                <w:sz w:val="24"/>
              </w:rPr>
            </w:pPr>
            <w:r>
              <w:rPr>
                <w:w w:val="99"/>
                <w:sz w:val="24"/>
              </w:rPr>
              <w:t>0</w:t>
            </w:r>
          </w:p>
        </w:tc>
        <w:tc>
          <w:tcPr>
            <w:tcW w:w="605" w:type="dxa"/>
          </w:tcPr>
          <w:p>
            <w:pPr>
              <w:pStyle w:val="TableParagraph"/>
              <w:rPr>
                <w:b/>
                <w:sz w:val="26"/>
              </w:rPr>
            </w:pPr>
          </w:p>
          <w:p>
            <w:pPr>
              <w:pStyle w:val="TableParagraph"/>
              <w:spacing w:before="1"/>
              <w:rPr>
                <w:b/>
                <w:sz w:val="32"/>
              </w:rPr>
            </w:pPr>
          </w:p>
          <w:p>
            <w:pPr>
              <w:pStyle w:val="TableParagraph"/>
              <w:ind w:right="100"/>
              <w:jc w:val="right"/>
              <w:rPr>
                <w:sz w:val="24"/>
              </w:rPr>
            </w:pPr>
            <w:r>
              <w:rPr>
                <w:w w:val="99"/>
                <w:sz w:val="24"/>
              </w:rPr>
              <w:t>1</w:t>
            </w:r>
          </w:p>
        </w:tc>
        <w:tc>
          <w:tcPr>
            <w:tcW w:w="1601" w:type="dxa"/>
          </w:tcPr>
          <w:p>
            <w:pPr>
              <w:pStyle w:val="TableParagraph"/>
              <w:rPr>
                <w:b/>
                <w:sz w:val="26"/>
              </w:rPr>
            </w:pPr>
          </w:p>
          <w:p>
            <w:pPr>
              <w:pStyle w:val="TableParagraph"/>
              <w:spacing w:before="1"/>
              <w:rPr>
                <w:b/>
                <w:sz w:val="32"/>
              </w:rPr>
            </w:pPr>
          </w:p>
          <w:p>
            <w:pPr>
              <w:pStyle w:val="TableParagraph"/>
              <w:ind w:right="101"/>
              <w:jc w:val="right"/>
              <w:rPr>
                <w:sz w:val="24"/>
              </w:rPr>
            </w:pPr>
            <w:r>
              <w:rPr>
                <w:spacing w:val="-5"/>
                <w:sz w:val="24"/>
              </w:rPr>
              <w:t>200</w:t>
            </w:r>
          </w:p>
        </w:tc>
      </w:tr>
      <w:tr>
        <w:trPr>
          <w:trHeight w:val="791" w:hRule="atLeast"/>
        </w:trPr>
        <w:tc>
          <w:tcPr>
            <w:tcW w:w="528" w:type="dxa"/>
          </w:tcPr>
          <w:p>
            <w:pPr>
              <w:pStyle w:val="TableParagraph"/>
              <w:spacing w:before="116"/>
              <w:ind w:left="107"/>
              <w:rPr>
                <w:sz w:val="24"/>
              </w:rPr>
            </w:pPr>
            <w:r>
              <w:rPr>
                <w:spacing w:val="-5"/>
                <w:sz w:val="24"/>
              </w:rPr>
              <w:t>11</w:t>
            </w:r>
          </w:p>
        </w:tc>
        <w:tc>
          <w:tcPr>
            <w:tcW w:w="2532" w:type="dxa"/>
            <w:gridSpan w:val="2"/>
          </w:tcPr>
          <w:p>
            <w:pPr>
              <w:pStyle w:val="TableParagraph"/>
              <w:spacing w:before="116"/>
              <w:ind w:left="107" w:right="370"/>
              <w:rPr>
                <w:sz w:val="24"/>
              </w:rPr>
            </w:pPr>
            <w:r>
              <w:rPr>
                <w:spacing w:val="-2"/>
                <w:sz w:val="24"/>
              </w:rPr>
              <w:t>Hearing Augmentation</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619"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Extend inductive loop hearing </w:t>
            </w:r>
            <w:r>
              <w:rPr>
                <w:spacing w:val="-2"/>
                <w:sz w:val="24"/>
              </w:rPr>
              <w:t>augmentation </w:t>
            </w:r>
            <w:r>
              <w:rPr>
                <w:sz w:val="24"/>
              </w:rPr>
              <w:t>systems</w:t>
            </w:r>
            <w:r>
              <w:rPr>
                <w:spacing w:val="-13"/>
                <w:sz w:val="24"/>
              </w:rPr>
              <w:t> </w:t>
            </w:r>
            <w:r>
              <w:rPr>
                <w:sz w:val="24"/>
              </w:rPr>
              <w:t>to</w:t>
            </w:r>
            <w:r>
              <w:rPr>
                <w:spacing w:val="-13"/>
                <w:sz w:val="24"/>
              </w:rPr>
              <w:t> </w:t>
            </w:r>
            <w:r>
              <w:rPr>
                <w:sz w:val="24"/>
              </w:rPr>
              <w:t>80%</w:t>
            </w:r>
            <w:r>
              <w:rPr>
                <w:spacing w:val="-13"/>
                <w:sz w:val="24"/>
              </w:rPr>
              <w:t> </w:t>
            </w:r>
            <w:r>
              <w:rPr>
                <w:sz w:val="24"/>
              </w:rPr>
              <w:t>of floor area</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343"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Extend radio </w:t>
            </w:r>
            <w:r>
              <w:rPr>
                <w:spacing w:val="-2"/>
                <w:sz w:val="24"/>
              </w:rPr>
              <w:t>transmission </w:t>
            </w:r>
            <w:r>
              <w:rPr>
                <w:sz w:val="24"/>
              </w:rPr>
              <w:t>systems</w:t>
            </w:r>
            <w:r>
              <w:rPr>
                <w:spacing w:val="-13"/>
                <w:sz w:val="24"/>
              </w:rPr>
              <w:t> </w:t>
            </w:r>
            <w:r>
              <w:rPr>
                <w:sz w:val="24"/>
              </w:rPr>
              <w:t>to</w:t>
            </w:r>
            <w:r>
              <w:rPr>
                <w:spacing w:val="-13"/>
                <w:sz w:val="24"/>
              </w:rPr>
              <w:t> </w:t>
            </w:r>
            <w:r>
              <w:rPr>
                <w:sz w:val="24"/>
              </w:rPr>
              <w:t>95%</w:t>
            </w:r>
            <w:r>
              <w:rPr>
                <w:spacing w:val="-13"/>
                <w:sz w:val="24"/>
              </w:rPr>
              <w:t> </w:t>
            </w:r>
            <w:r>
              <w:rPr>
                <w:sz w:val="24"/>
              </w:rPr>
              <w:t>of floor area</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2" w:hRule="atLeast"/>
        </w:trPr>
        <w:tc>
          <w:tcPr>
            <w:tcW w:w="528" w:type="dxa"/>
          </w:tcPr>
          <w:p>
            <w:pPr>
              <w:pStyle w:val="TableParagraph"/>
              <w:spacing w:before="116"/>
              <w:ind w:left="107"/>
              <w:rPr>
                <w:sz w:val="24"/>
              </w:rPr>
            </w:pPr>
            <w:r>
              <w:rPr>
                <w:spacing w:val="-5"/>
                <w:sz w:val="24"/>
              </w:rPr>
              <w:t>12</w:t>
            </w:r>
          </w:p>
        </w:tc>
        <w:tc>
          <w:tcPr>
            <w:tcW w:w="2532" w:type="dxa"/>
            <w:gridSpan w:val="2"/>
          </w:tcPr>
          <w:p>
            <w:pPr>
              <w:pStyle w:val="TableParagraph"/>
              <w:spacing w:before="116"/>
              <w:ind w:left="107" w:right="370"/>
              <w:rPr>
                <w:sz w:val="24"/>
              </w:rPr>
            </w:pPr>
            <w:r>
              <w:rPr>
                <w:sz w:val="24"/>
              </w:rPr>
              <w:t>Wheelchair</w:t>
            </w:r>
            <w:r>
              <w:rPr>
                <w:spacing w:val="-17"/>
                <w:sz w:val="24"/>
              </w:rPr>
              <w:t> </w:t>
            </w:r>
            <w:r>
              <w:rPr>
                <w:sz w:val="24"/>
              </w:rPr>
              <w:t>seating spaces</w:t>
            </w:r>
            <w:r>
              <w:rPr>
                <w:spacing w:val="-3"/>
                <w:sz w:val="24"/>
              </w:rPr>
              <w:t> </w:t>
            </w:r>
            <w:r>
              <w:rPr>
                <w:sz w:val="24"/>
              </w:rPr>
              <w:t>in</w:t>
            </w:r>
            <w:r>
              <w:rPr>
                <w:spacing w:val="-3"/>
                <w:sz w:val="24"/>
              </w:rPr>
              <w:t> </w:t>
            </w:r>
            <w:r>
              <w:rPr>
                <w:spacing w:val="-2"/>
                <w:sz w:val="24"/>
              </w:rPr>
              <w:t>auditoria</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1"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309"/>
              <w:rPr>
                <w:sz w:val="24"/>
              </w:rPr>
            </w:pPr>
            <w:r>
              <w:rPr>
                <w:sz w:val="24"/>
              </w:rPr>
              <w:t>Additional</w:t>
            </w:r>
            <w:r>
              <w:rPr>
                <w:spacing w:val="-17"/>
                <w:sz w:val="24"/>
              </w:rPr>
              <w:t> </w:t>
            </w:r>
            <w:r>
              <w:rPr>
                <w:sz w:val="24"/>
              </w:rPr>
              <w:t>floor </w:t>
            </w:r>
            <w:r>
              <w:rPr>
                <w:spacing w:val="-4"/>
                <w:sz w:val="24"/>
              </w:rPr>
              <w:t>area</w:t>
            </w:r>
          </w:p>
        </w:tc>
        <w:tc>
          <w:tcPr>
            <w:tcW w:w="898" w:type="dxa"/>
          </w:tcPr>
          <w:p>
            <w:pPr>
              <w:pStyle w:val="TableParagraph"/>
              <w:spacing w:before="1"/>
              <w:rPr>
                <w:b/>
                <w:sz w:val="34"/>
              </w:rPr>
            </w:pPr>
          </w:p>
          <w:p>
            <w:pPr>
              <w:pStyle w:val="TableParagraph"/>
              <w:ind w:right="97"/>
              <w:jc w:val="right"/>
              <w:rPr>
                <w:sz w:val="24"/>
              </w:rPr>
            </w:pPr>
            <w:r>
              <w:rPr>
                <w:spacing w:val="-4"/>
                <w:sz w:val="24"/>
              </w:rPr>
              <w:t>2400</w:t>
            </w: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5" w:hRule="atLeast"/>
        </w:trPr>
        <w:tc>
          <w:tcPr>
            <w:tcW w:w="528" w:type="dxa"/>
          </w:tcPr>
          <w:p>
            <w:pPr>
              <w:pStyle w:val="TableParagraph"/>
              <w:spacing w:before="116"/>
              <w:ind w:left="107"/>
              <w:rPr>
                <w:sz w:val="24"/>
              </w:rPr>
            </w:pPr>
            <w:r>
              <w:rPr>
                <w:spacing w:val="-5"/>
                <w:sz w:val="24"/>
              </w:rPr>
              <w:t>13</w:t>
            </w:r>
          </w:p>
        </w:tc>
        <w:tc>
          <w:tcPr>
            <w:tcW w:w="2532" w:type="dxa"/>
            <w:gridSpan w:val="2"/>
          </w:tcPr>
          <w:p>
            <w:pPr>
              <w:pStyle w:val="TableParagraph"/>
              <w:spacing w:before="116"/>
              <w:ind w:left="107"/>
              <w:rPr>
                <w:sz w:val="24"/>
              </w:rPr>
            </w:pPr>
            <w:r>
              <w:rPr>
                <w:spacing w:val="-2"/>
                <w:sz w:val="24"/>
              </w:rPr>
              <w:t>Ramps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2"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349"/>
              <w:rPr>
                <w:sz w:val="24"/>
              </w:rPr>
            </w:pPr>
            <w:r>
              <w:rPr>
                <w:sz w:val="24"/>
              </w:rPr>
              <w:t>Additional</w:t>
            </w:r>
            <w:r>
              <w:rPr>
                <w:spacing w:val="-17"/>
                <w:sz w:val="24"/>
              </w:rPr>
              <w:t> </w:t>
            </w:r>
            <w:r>
              <w:rPr>
                <w:sz w:val="24"/>
              </w:rPr>
              <w:t>length of</w:t>
            </w:r>
            <w:r>
              <w:rPr>
                <w:spacing w:val="-4"/>
                <w:sz w:val="24"/>
              </w:rPr>
              <w:t> </w:t>
            </w:r>
            <w:r>
              <w:rPr>
                <w:sz w:val="24"/>
              </w:rPr>
              <w:t>ramp</w:t>
            </w:r>
            <w:r>
              <w:rPr>
                <w:spacing w:val="-2"/>
                <w:sz w:val="24"/>
              </w:rPr>
              <w:t> landings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spacing w:before="1"/>
              <w:rPr>
                <w:b/>
                <w:sz w:val="34"/>
              </w:rPr>
            </w:pPr>
          </w:p>
          <w:p>
            <w:pPr>
              <w:pStyle w:val="TableParagraph"/>
              <w:ind w:right="97"/>
              <w:jc w:val="right"/>
              <w:rPr>
                <w:sz w:val="24"/>
              </w:rPr>
            </w:pPr>
            <w:r>
              <w:rPr>
                <w:spacing w:val="-4"/>
                <w:sz w:val="24"/>
              </w:rPr>
              <w:t>incl</w:t>
            </w:r>
          </w:p>
        </w:tc>
        <w:tc>
          <w:tcPr>
            <w:tcW w:w="605" w:type="dxa"/>
          </w:tcPr>
          <w:p>
            <w:pPr>
              <w:pStyle w:val="TableParagraph"/>
              <w:rPr>
                <w:rFonts w:ascii="Times New Roman"/>
                <w:sz w:val="24"/>
              </w:rPr>
            </w:pPr>
          </w:p>
        </w:tc>
        <w:tc>
          <w:tcPr>
            <w:tcW w:w="1601" w:type="dxa"/>
          </w:tcPr>
          <w:p>
            <w:pPr>
              <w:pStyle w:val="TableParagraph"/>
              <w:spacing w:before="1"/>
              <w:rPr>
                <w:b/>
                <w:sz w:val="34"/>
              </w:rPr>
            </w:pPr>
          </w:p>
          <w:p>
            <w:pPr>
              <w:pStyle w:val="TableParagraph"/>
              <w:ind w:right="99"/>
              <w:jc w:val="right"/>
              <w:rPr>
                <w:sz w:val="24"/>
              </w:rPr>
            </w:pPr>
            <w:r>
              <w:rPr>
                <w:spacing w:val="-4"/>
                <w:sz w:val="24"/>
              </w:rPr>
              <w:t>incl</w:t>
            </w:r>
          </w:p>
        </w:tc>
      </w:tr>
      <w:tr>
        <w:trPr>
          <w:trHeight w:val="515" w:hRule="atLeast"/>
        </w:trPr>
        <w:tc>
          <w:tcPr>
            <w:tcW w:w="528" w:type="dxa"/>
          </w:tcPr>
          <w:p>
            <w:pPr>
              <w:pStyle w:val="TableParagraph"/>
              <w:spacing w:before="116"/>
              <w:ind w:left="107"/>
              <w:rPr>
                <w:sz w:val="24"/>
              </w:rPr>
            </w:pPr>
            <w:r>
              <w:rPr>
                <w:spacing w:val="-5"/>
                <w:sz w:val="24"/>
              </w:rPr>
              <w:t>14</w:t>
            </w:r>
          </w:p>
        </w:tc>
        <w:tc>
          <w:tcPr>
            <w:tcW w:w="2532" w:type="dxa"/>
            <w:gridSpan w:val="2"/>
          </w:tcPr>
          <w:p>
            <w:pPr>
              <w:pStyle w:val="TableParagraph"/>
              <w:spacing w:before="116"/>
              <w:ind w:left="107"/>
              <w:rPr>
                <w:sz w:val="24"/>
              </w:rPr>
            </w:pPr>
            <w:r>
              <w:rPr>
                <w:spacing w:val="-2"/>
                <w:sz w:val="24"/>
              </w:rPr>
              <w:t>Glazing</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7"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Markings to full height</w:t>
            </w:r>
            <w:r>
              <w:rPr>
                <w:spacing w:val="-17"/>
                <w:sz w:val="24"/>
              </w:rPr>
              <w:t> </w:t>
            </w:r>
            <w:r>
              <w:rPr>
                <w:sz w:val="24"/>
              </w:rPr>
              <w:t>glazing</w:t>
            </w:r>
            <w:r>
              <w:rPr>
                <w:spacing w:val="-17"/>
                <w:sz w:val="24"/>
              </w:rPr>
              <w:t> </w:t>
            </w:r>
            <w:r>
              <w:rPr>
                <w:sz w:val="24"/>
              </w:rPr>
              <w:t>on </w:t>
            </w:r>
            <w:r>
              <w:rPr>
                <w:spacing w:val="-2"/>
                <w:sz w:val="24"/>
              </w:rPr>
              <w:t>accessways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b/>
                <w:sz w:val="26"/>
              </w:rPr>
            </w:pPr>
          </w:p>
          <w:p>
            <w:pPr>
              <w:pStyle w:val="TableParagraph"/>
              <w:spacing w:before="1"/>
              <w:rPr>
                <w:b/>
                <w:sz w:val="32"/>
              </w:rPr>
            </w:pPr>
          </w:p>
          <w:p>
            <w:pPr>
              <w:pStyle w:val="TableParagraph"/>
              <w:ind w:right="98"/>
              <w:jc w:val="right"/>
              <w:rPr>
                <w:sz w:val="24"/>
              </w:rPr>
            </w:pPr>
            <w:r>
              <w:rPr>
                <w:w w:val="99"/>
                <w:sz w:val="24"/>
              </w:rPr>
              <w:t>0</w:t>
            </w:r>
          </w:p>
        </w:tc>
        <w:tc>
          <w:tcPr>
            <w:tcW w:w="605" w:type="dxa"/>
          </w:tcPr>
          <w:p>
            <w:pPr>
              <w:pStyle w:val="TableParagraph"/>
              <w:rPr>
                <w:rFonts w:ascii="Times New Roman"/>
                <w:sz w:val="24"/>
              </w:rPr>
            </w:pPr>
          </w:p>
        </w:tc>
        <w:tc>
          <w:tcPr>
            <w:tcW w:w="1601" w:type="dxa"/>
          </w:tcPr>
          <w:p>
            <w:pPr>
              <w:pStyle w:val="TableParagraph"/>
              <w:rPr>
                <w:b/>
                <w:sz w:val="26"/>
              </w:rPr>
            </w:pPr>
          </w:p>
          <w:p>
            <w:pPr>
              <w:pStyle w:val="TableParagraph"/>
              <w:spacing w:before="1"/>
              <w:rPr>
                <w:b/>
                <w:sz w:val="32"/>
              </w:rPr>
            </w:pPr>
          </w:p>
          <w:p>
            <w:pPr>
              <w:pStyle w:val="TableParagraph"/>
              <w:ind w:right="101"/>
              <w:jc w:val="right"/>
              <w:rPr>
                <w:sz w:val="24"/>
              </w:rPr>
            </w:pPr>
            <w:r>
              <w:rPr>
                <w:w w:val="99"/>
                <w:sz w:val="24"/>
              </w:rPr>
              <w:t>0</w:t>
            </w:r>
          </w:p>
        </w:tc>
      </w:tr>
      <w:tr>
        <w:trPr>
          <w:trHeight w:val="515" w:hRule="atLeast"/>
        </w:trPr>
        <w:tc>
          <w:tcPr>
            <w:tcW w:w="528" w:type="dxa"/>
          </w:tcPr>
          <w:p>
            <w:pPr>
              <w:pStyle w:val="TableParagraph"/>
              <w:spacing w:before="116"/>
              <w:ind w:left="107"/>
              <w:rPr>
                <w:sz w:val="24"/>
              </w:rPr>
            </w:pPr>
            <w:r>
              <w:rPr>
                <w:spacing w:val="-5"/>
                <w:sz w:val="24"/>
              </w:rPr>
              <w:t>15</w:t>
            </w:r>
          </w:p>
        </w:tc>
        <w:tc>
          <w:tcPr>
            <w:tcW w:w="2532" w:type="dxa"/>
            <w:gridSpan w:val="2"/>
          </w:tcPr>
          <w:p>
            <w:pPr>
              <w:pStyle w:val="TableParagraph"/>
              <w:spacing w:before="116"/>
              <w:ind w:left="108"/>
              <w:rPr>
                <w:sz w:val="24"/>
              </w:rPr>
            </w:pPr>
            <w:r>
              <w:rPr>
                <w:spacing w:val="-2"/>
                <w:sz w:val="24"/>
              </w:rPr>
              <w:t>Lifts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2"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90th</w:t>
            </w:r>
            <w:r>
              <w:rPr>
                <w:spacing w:val="-17"/>
                <w:sz w:val="24"/>
              </w:rPr>
              <w:t> </w:t>
            </w:r>
            <w:r>
              <w:rPr>
                <w:sz w:val="24"/>
              </w:rPr>
              <w:t>percentile</w:t>
            </w:r>
            <w:r>
              <w:rPr>
                <w:spacing w:val="-17"/>
                <w:sz w:val="24"/>
              </w:rPr>
              <w:t> </w:t>
            </w:r>
            <w:r>
              <w:rPr>
                <w:sz w:val="24"/>
              </w:rPr>
              <w:t>car </w:t>
            </w:r>
            <w:r>
              <w:rPr>
                <w:spacing w:val="-4"/>
                <w:sz w:val="24"/>
              </w:rPr>
              <w:t>size</w:t>
            </w:r>
          </w:p>
        </w:tc>
        <w:tc>
          <w:tcPr>
            <w:tcW w:w="898" w:type="dxa"/>
          </w:tcPr>
          <w:p>
            <w:pPr>
              <w:pStyle w:val="TableParagraph"/>
              <w:spacing w:before="1"/>
              <w:rPr>
                <w:b/>
                <w:sz w:val="34"/>
              </w:rPr>
            </w:pPr>
          </w:p>
          <w:p>
            <w:pPr>
              <w:pStyle w:val="TableParagraph"/>
              <w:ind w:right="96"/>
              <w:jc w:val="right"/>
              <w:rPr>
                <w:sz w:val="24"/>
              </w:rPr>
            </w:pPr>
            <w:r>
              <w:rPr>
                <w:spacing w:val="-4"/>
                <w:sz w:val="24"/>
              </w:rPr>
              <w:t>5000</w:t>
            </w: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spacing w:before="1"/>
              <w:rPr>
                <w:b/>
                <w:sz w:val="34"/>
              </w:rPr>
            </w:pPr>
          </w:p>
          <w:p>
            <w:pPr>
              <w:pStyle w:val="TableParagraph"/>
              <w:ind w:right="99"/>
              <w:jc w:val="right"/>
              <w:rPr>
                <w:sz w:val="24"/>
              </w:rPr>
            </w:pPr>
            <w:r>
              <w:rPr>
                <w:w w:val="99"/>
                <w:sz w:val="24"/>
              </w:rPr>
              <w:t>2</w:t>
            </w:r>
          </w:p>
        </w:tc>
        <w:tc>
          <w:tcPr>
            <w:tcW w:w="1601" w:type="dxa"/>
          </w:tcPr>
          <w:p>
            <w:pPr>
              <w:pStyle w:val="TableParagraph"/>
              <w:spacing w:before="1"/>
              <w:rPr>
                <w:b/>
                <w:sz w:val="34"/>
              </w:rPr>
            </w:pPr>
          </w:p>
          <w:p>
            <w:pPr>
              <w:pStyle w:val="TableParagraph"/>
              <w:ind w:right="101"/>
              <w:jc w:val="right"/>
              <w:rPr>
                <w:sz w:val="24"/>
              </w:rPr>
            </w:pPr>
            <w:r>
              <w:rPr>
                <w:spacing w:val="-2"/>
                <w:sz w:val="24"/>
              </w:rPr>
              <w:t>10,000</w:t>
            </w:r>
          </w:p>
        </w:tc>
      </w:tr>
    </w:tbl>
    <w:p>
      <w:pPr>
        <w:spacing w:after="0"/>
        <w:jc w:val="right"/>
        <w:rPr>
          <w:sz w:val="24"/>
        </w:rPr>
        <w:sectPr>
          <w:type w:val="continuous"/>
          <w:pgSz w:w="11900" w:h="16840"/>
          <w:pgMar w:header="0" w:footer="1130" w:top="1080" w:bottom="132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288"/>
        <w:gridCol w:w="2244"/>
        <w:gridCol w:w="898"/>
        <w:gridCol w:w="603"/>
        <w:gridCol w:w="1561"/>
        <w:gridCol w:w="605"/>
        <w:gridCol w:w="1601"/>
      </w:tblGrid>
      <w:tr>
        <w:trPr>
          <w:trHeight w:val="791" w:hRule="atLeast"/>
        </w:trPr>
        <w:tc>
          <w:tcPr>
            <w:tcW w:w="3060" w:type="dxa"/>
            <w:gridSpan w:val="3"/>
          </w:tcPr>
          <w:p>
            <w:pPr>
              <w:pStyle w:val="TableParagraph"/>
              <w:spacing w:before="118"/>
              <w:ind w:left="107"/>
              <w:rPr>
                <w:b/>
                <w:sz w:val="24"/>
              </w:rPr>
            </w:pPr>
            <w:r>
              <w:rPr>
                <w:b/>
                <w:sz w:val="24"/>
              </w:rPr>
              <w:t>Case</w:t>
            </w:r>
            <w:r>
              <w:rPr>
                <w:b/>
                <w:spacing w:val="-14"/>
                <w:sz w:val="24"/>
              </w:rPr>
              <w:t> </w:t>
            </w:r>
            <w:r>
              <w:rPr>
                <w:b/>
                <w:sz w:val="24"/>
              </w:rPr>
              <w:t>Study</w:t>
            </w:r>
            <w:r>
              <w:rPr>
                <w:b/>
                <w:spacing w:val="-14"/>
                <w:sz w:val="24"/>
              </w:rPr>
              <w:t> </w:t>
            </w:r>
            <w:r>
              <w:rPr>
                <w:b/>
                <w:sz w:val="24"/>
              </w:rPr>
              <w:t>–</w:t>
            </w:r>
            <w:r>
              <w:rPr>
                <w:b/>
                <w:spacing w:val="-13"/>
                <w:sz w:val="24"/>
              </w:rPr>
              <w:t> </w:t>
            </w:r>
            <w:r>
              <w:rPr>
                <w:b/>
                <w:sz w:val="24"/>
              </w:rPr>
              <w:t>New </w:t>
            </w:r>
            <w:r>
              <w:rPr>
                <w:b/>
                <w:spacing w:val="-2"/>
                <w:sz w:val="24"/>
              </w:rPr>
              <w:t>buildings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8" w:hRule="atLeast"/>
        </w:trPr>
        <w:tc>
          <w:tcPr>
            <w:tcW w:w="3060" w:type="dxa"/>
            <w:gridSpan w:val="3"/>
          </w:tcPr>
          <w:p>
            <w:pPr>
              <w:pStyle w:val="TableParagraph"/>
              <w:spacing w:before="2"/>
              <w:rPr>
                <w:b/>
                <w:sz w:val="34"/>
              </w:rPr>
            </w:pPr>
          </w:p>
          <w:p>
            <w:pPr>
              <w:pStyle w:val="TableParagraph"/>
              <w:spacing w:before="1"/>
              <w:ind w:left="749" w:hanging="268"/>
              <w:rPr>
                <w:b/>
                <w:sz w:val="24"/>
              </w:rPr>
            </w:pPr>
            <w:r>
              <w:rPr>
                <w:b/>
                <w:sz w:val="24"/>
              </w:rPr>
              <w:t>Issue</w:t>
            </w:r>
            <w:r>
              <w:rPr>
                <w:b/>
                <w:spacing w:val="-17"/>
                <w:sz w:val="24"/>
              </w:rPr>
              <w:t> </w:t>
            </w:r>
            <w:r>
              <w:rPr>
                <w:b/>
                <w:sz w:val="24"/>
              </w:rPr>
              <w:t>/</w:t>
            </w:r>
            <w:r>
              <w:rPr>
                <w:b/>
                <w:spacing w:val="-17"/>
                <w:sz w:val="24"/>
              </w:rPr>
              <w:t> </w:t>
            </w:r>
            <w:r>
              <w:rPr>
                <w:b/>
                <w:sz w:val="24"/>
              </w:rPr>
              <w:t>Associated Building Cost</w:t>
            </w:r>
          </w:p>
        </w:tc>
        <w:tc>
          <w:tcPr>
            <w:tcW w:w="898" w:type="dxa"/>
          </w:tcPr>
          <w:p>
            <w:pPr>
              <w:pStyle w:val="TableParagraph"/>
              <w:spacing w:before="2"/>
              <w:rPr>
                <w:b/>
                <w:sz w:val="34"/>
              </w:rPr>
            </w:pPr>
          </w:p>
          <w:p>
            <w:pPr>
              <w:pStyle w:val="TableParagraph"/>
              <w:spacing w:before="1"/>
              <w:ind w:left="109" w:right="94" w:firstLine="205"/>
              <w:rPr>
                <w:b/>
                <w:sz w:val="24"/>
              </w:rPr>
            </w:pPr>
            <w:r>
              <w:rPr>
                <w:b/>
                <w:sz w:val="24"/>
              </w:rPr>
              <w:t>$ / </w:t>
            </w:r>
            <w:r>
              <w:rPr>
                <w:b/>
                <w:spacing w:val="-4"/>
                <w:sz w:val="24"/>
              </w:rPr>
              <w:t>EACH</w:t>
            </w:r>
          </w:p>
        </w:tc>
        <w:tc>
          <w:tcPr>
            <w:tcW w:w="603" w:type="dxa"/>
          </w:tcPr>
          <w:p>
            <w:pPr>
              <w:pStyle w:val="TableParagraph"/>
              <w:rPr>
                <w:b/>
                <w:sz w:val="26"/>
              </w:rPr>
            </w:pPr>
          </w:p>
          <w:p>
            <w:pPr>
              <w:pStyle w:val="TableParagraph"/>
              <w:spacing w:before="2"/>
              <w:rPr>
                <w:b/>
                <w:sz w:val="32"/>
              </w:rPr>
            </w:pPr>
          </w:p>
          <w:p>
            <w:pPr>
              <w:pStyle w:val="TableParagraph"/>
              <w:spacing w:before="1"/>
              <w:ind w:right="97"/>
              <w:jc w:val="right"/>
              <w:rPr>
                <w:b/>
                <w:sz w:val="24"/>
              </w:rPr>
            </w:pPr>
            <w:r>
              <w:rPr>
                <w:b/>
                <w:spacing w:val="-5"/>
                <w:sz w:val="24"/>
              </w:rPr>
              <w:t>No.</w:t>
            </w:r>
          </w:p>
        </w:tc>
        <w:tc>
          <w:tcPr>
            <w:tcW w:w="1561" w:type="dxa"/>
          </w:tcPr>
          <w:p>
            <w:pPr>
              <w:pStyle w:val="TableParagraph"/>
              <w:spacing w:before="118"/>
              <w:ind w:left="265" w:right="256" w:firstLine="54"/>
              <w:jc w:val="both"/>
              <w:rPr>
                <w:b/>
                <w:sz w:val="24"/>
              </w:rPr>
            </w:pPr>
            <w:r>
              <w:rPr>
                <w:b/>
                <w:sz w:val="24"/>
              </w:rPr>
              <w:t>3 storey accom.</w:t>
            </w:r>
            <w:r>
              <w:rPr>
                <w:b/>
                <w:spacing w:val="-17"/>
                <w:sz w:val="24"/>
              </w:rPr>
              <w:t> </w:t>
            </w:r>
            <w:r>
              <w:rPr>
                <w:b/>
                <w:sz w:val="24"/>
              </w:rPr>
              <w:t>–</w:t>
            </w:r>
            <w:r>
              <w:rPr>
                <w:b/>
                <w:sz w:val="24"/>
              </w:rPr>
              <w:t> no lift </w:t>
            </w:r>
            <w:r>
              <w:rPr>
                <w:b/>
                <w:spacing w:val="-5"/>
                <w:sz w:val="24"/>
              </w:rPr>
              <w:t>($)</w:t>
            </w:r>
          </w:p>
        </w:tc>
        <w:tc>
          <w:tcPr>
            <w:tcW w:w="605" w:type="dxa"/>
          </w:tcPr>
          <w:p>
            <w:pPr>
              <w:pStyle w:val="TableParagraph"/>
              <w:rPr>
                <w:b/>
                <w:sz w:val="26"/>
              </w:rPr>
            </w:pPr>
          </w:p>
          <w:p>
            <w:pPr>
              <w:pStyle w:val="TableParagraph"/>
              <w:spacing w:before="2"/>
              <w:rPr>
                <w:b/>
                <w:sz w:val="32"/>
              </w:rPr>
            </w:pPr>
          </w:p>
          <w:p>
            <w:pPr>
              <w:pStyle w:val="TableParagraph"/>
              <w:spacing w:before="1"/>
              <w:ind w:right="99"/>
              <w:jc w:val="right"/>
              <w:rPr>
                <w:b/>
                <w:sz w:val="24"/>
              </w:rPr>
            </w:pPr>
            <w:r>
              <w:rPr>
                <w:b/>
                <w:spacing w:val="-5"/>
                <w:sz w:val="24"/>
              </w:rPr>
              <w:t>No.</w:t>
            </w:r>
          </w:p>
        </w:tc>
        <w:tc>
          <w:tcPr>
            <w:tcW w:w="1601" w:type="dxa"/>
          </w:tcPr>
          <w:p>
            <w:pPr>
              <w:pStyle w:val="TableParagraph"/>
              <w:spacing w:before="118"/>
              <w:ind w:left="195" w:right="192" w:firstLine="140"/>
              <w:jc w:val="both"/>
              <w:rPr>
                <w:b/>
                <w:sz w:val="24"/>
              </w:rPr>
            </w:pPr>
            <w:r>
              <w:rPr>
                <w:b/>
                <w:sz w:val="24"/>
              </w:rPr>
              <w:t>7 storey accom. – with</w:t>
            </w:r>
            <w:r>
              <w:rPr>
                <w:b/>
                <w:spacing w:val="-1"/>
                <w:sz w:val="24"/>
              </w:rPr>
              <w:t> </w:t>
            </w:r>
            <w:r>
              <w:rPr>
                <w:b/>
                <w:sz w:val="24"/>
              </w:rPr>
              <w:t>lift </w:t>
            </w:r>
            <w:r>
              <w:rPr>
                <w:b/>
                <w:spacing w:val="-5"/>
                <w:sz w:val="24"/>
              </w:rPr>
              <w:t>($)</w:t>
            </w:r>
          </w:p>
        </w:tc>
      </w:tr>
      <w:tr>
        <w:trPr>
          <w:trHeight w:val="791"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Additional</w:t>
            </w:r>
            <w:r>
              <w:rPr>
                <w:spacing w:val="-17"/>
                <w:sz w:val="24"/>
              </w:rPr>
              <w:t> </w:t>
            </w:r>
            <w:r>
              <w:rPr>
                <w:sz w:val="24"/>
              </w:rPr>
              <w:t>lift </w:t>
            </w:r>
            <w:r>
              <w:rPr>
                <w:spacing w:val="-2"/>
                <w:sz w:val="24"/>
              </w:rPr>
              <w:t>features</w:t>
            </w:r>
          </w:p>
        </w:tc>
        <w:tc>
          <w:tcPr>
            <w:tcW w:w="898" w:type="dxa"/>
          </w:tcPr>
          <w:p>
            <w:pPr>
              <w:pStyle w:val="TableParagraph"/>
              <w:spacing w:before="1"/>
              <w:rPr>
                <w:b/>
                <w:sz w:val="34"/>
              </w:rPr>
            </w:pPr>
          </w:p>
          <w:p>
            <w:pPr>
              <w:pStyle w:val="TableParagraph"/>
              <w:ind w:right="96"/>
              <w:jc w:val="right"/>
              <w:rPr>
                <w:sz w:val="24"/>
              </w:rPr>
            </w:pPr>
            <w:r>
              <w:rPr>
                <w:spacing w:val="-4"/>
                <w:sz w:val="24"/>
              </w:rPr>
              <w:t>6000</w:t>
            </w: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spacing w:before="1"/>
              <w:rPr>
                <w:b/>
                <w:sz w:val="34"/>
              </w:rPr>
            </w:pPr>
          </w:p>
          <w:p>
            <w:pPr>
              <w:pStyle w:val="TableParagraph"/>
              <w:ind w:right="99"/>
              <w:jc w:val="right"/>
              <w:rPr>
                <w:sz w:val="24"/>
              </w:rPr>
            </w:pPr>
            <w:r>
              <w:rPr>
                <w:w w:val="99"/>
                <w:sz w:val="24"/>
              </w:rPr>
              <w:t>2</w:t>
            </w:r>
          </w:p>
        </w:tc>
        <w:tc>
          <w:tcPr>
            <w:tcW w:w="1601" w:type="dxa"/>
          </w:tcPr>
          <w:p>
            <w:pPr>
              <w:pStyle w:val="TableParagraph"/>
              <w:spacing w:before="1"/>
              <w:rPr>
                <w:b/>
                <w:sz w:val="34"/>
              </w:rPr>
            </w:pPr>
          </w:p>
          <w:p>
            <w:pPr>
              <w:pStyle w:val="TableParagraph"/>
              <w:ind w:right="101"/>
              <w:jc w:val="right"/>
              <w:rPr>
                <w:sz w:val="24"/>
              </w:rPr>
            </w:pPr>
            <w:r>
              <w:rPr>
                <w:spacing w:val="-2"/>
                <w:sz w:val="24"/>
              </w:rPr>
              <w:t>12,000</w:t>
            </w:r>
          </w:p>
        </w:tc>
      </w:tr>
      <w:tr>
        <w:trPr>
          <w:trHeight w:val="791" w:hRule="atLeast"/>
        </w:trPr>
        <w:tc>
          <w:tcPr>
            <w:tcW w:w="528" w:type="dxa"/>
          </w:tcPr>
          <w:p>
            <w:pPr>
              <w:pStyle w:val="TableParagraph"/>
              <w:spacing w:before="116"/>
              <w:ind w:left="107"/>
              <w:rPr>
                <w:sz w:val="24"/>
              </w:rPr>
            </w:pPr>
            <w:r>
              <w:rPr>
                <w:spacing w:val="-5"/>
                <w:sz w:val="24"/>
              </w:rPr>
              <w:t>16</w:t>
            </w:r>
          </w:p>
        </w:tc>
        <w:tc>
          <w:tcPr>
            <w:tcW w:w="2532" w:type="dxa"/>
            <w:gridSpan w:val="2"/>
          </w:tcPr>
          <w:p>
            <w:pPr>
              <w:pStyle w:val="TableParagraph"/>
              <w:spacing w:before="116"/>
              <w:ind w:left="107"/>
              <w:rPr>
                <w:sz w:val="24"/>
              </w:rPr>
            </w:pPr>
            <w:r>
              <w:rPr>
                <w:sz w:val="24"/>
              </w:rPr>
              <w:t>Ambulant</w:t>
            </w:r>
            <w:r>
              <w:rPr>
                <w:spacing w:val="-17"/>
                <w:sz w:val="24"/>
              </w:rPr>
              <w:t> </w:t>
            </w:r>
            <w:r>
              <w:rPr>
                <w:sz w:val="24"/>
              </w:rPr>
              <w:t>sanitary </w:t>
            </w:r>
            <w:r>
              <w:rPr>
                <w:spacing w:val="-2"/>
                <w:sz w:val="24"/>
              </w:rPr>
              <w:t>facilities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620"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109"/>
              <w:rPr>
                <w:sz w:val="24"/>
              </w:rPr>
            </w:pPr>
            <w:r>
              <w:rPr>
                <w:sz w:val="24"/>
              </w:rPr>
              <w:t>Extra sanitary </w:t>
            </w:r>
            <w:r>
              <w:rPr>
                <w:spacing w:val="-2"/>
                <w:sz w:val="24"/>
              </w:rPr>
              <w:t>compartments </w:t>
            </w:r>
            <w:r>
              <w:rPr>
                <w:sz w:val="24"/>
              </w:rPr>
              <w:t>suitable for </w:t>
            </w:r>
            <w:r>
              <w:rPr>
                <w:spacing w:val="-2"/>
                <w:sz w:val="24"/>
              </w:rPr>
              <w:t>ambulant disabilities</w:t>
            </w:r>
          </w:p>
        </w:tc>
        <w:tc>
          <w:tcPr>
            <w:tcW w:w="898" w:type="dxa"/>
          </w:tcPr>
          <w:p>
            <w:pPr>
              <w:pStyle w:val="TableParagraph"/>
              <w:rPr>
                <w:b/>
                <w:sz w:val="26"/>
              </w:rPr>
            </w:pPr>
          </w:p>
          <w:p>
            <w:pPr>
              <w:pStyle w:val="TableParagraph"/>
              <w:rPr>
                <w:b/>
                <w:sz w:val="26"/>
              </w:rPr>
            </w:pPr>
          </w:p>
          <w:p>
            <w:pPr>
              <w:pStyle w:val="TableParagraph"/>
              <w:rPr>
                <w:b/>
                <w:sz w:val="26"/>
              </w:rPr>
            </w:pPr>
          </w:p>
          <w:p>
            <w:pPr>
              <w:pStyle w:val="TableParagraph"/>
              <w:spacing w:before="1"/>
              <w:rPr>
                <w:b/>
                <w:sz w:val="28"/>
              </w:rPr>
            </w:pPr>
          </w:p>
          <w:p>
            <w:pPr>
              <w:pStyle w:val="TableParagraph"/>
              <w:ind w:right="97"/>
              <w:jc w:val="right"/>
              <w:rPr>
                <w:sz w:val="24"/>
              </w:rPr>
            </w:pPr>
            <w:r>
              <w:rPr>
                <w:spacing w:val="-4"/>
                <w:sz w:val="24"/>
              </w:rPr>
              <w:t>2500</w:t>
            </w:r>
          </w:p>
        </w:tc>
        <w:tc>
          <w:tcPr>
            <w:tcW w:w="603" w:type="dxa"/>
          </w:tcPr>
          <w:p>
            <w:pPr>
              <w:pStyle w:val="TableParagraph"/>
              <w:rPr>
                <w:rFonts w:ascii="Times New Roman"/>
                <w:sz w:val="24"/>
              </w:rPr>
            </w:pPr>
          </w:p>
        </w:tc>
        <w:tc>
          <w:tcPr>
            <w:tcW w:w="1561" w:type="dxa"/>
          </w:tcPr>
          <w:p>
            <w:pPr>
              <w:pStyle w:val="TableParagraph"/>
              <w:rPr>
                <w:b/>
                <w:sz w:val="26"/>
              </w:rPr>
            </w:pPr>
          </w:p>
          <w:p>
            <w:pPr>
              <w:pStyle w:val="TableParagraph"/>
              <w:rPr>
                <w:b/>
                <w:sz w:val="26"/>
              </w:rPr>
            </w:pPr>
          </w:p>
          <w:p>
            <w:pPr>
              <w:pStyle w:val="TableParagraph"/>
              <w:rPr>
                <w:b/>
                <w:sz w:val="26"/>
              </w:rPr>
            </w:pPr>
          </w:p>
          <w:p>
            <w:pPr>
              <w:pStyle w:val="TableParagraph"/>
              <w:spacing w:before="1"/>
              <w:rPr>
                <w:b/>
                <w:sz w:val="28"/>
              </w:rPr>
            </w:pPr>
          </w:p>
          <w:p>
            <w:pPr>
              <w:pStyle w:val="TableParagraph"/>
              <w:ind w:right="98"/>
              <w:jc w:val="right"/>
              <w:rPr>
                <w:sz w:val="24"/>
              </w:rPr>
            </w:pPr>
            <w:r>
              <w:rPr>
                <w:w w:val="99"/>
                <w:sz w:val="24"/>
              </w:rPr>
              <w:t>0</w:t>
            </w:r>
          </w:p>
        </w:tc>
        <w:tc>
          <w:tcPr>
            <w:tcW w:w="605" w:type="dxa"/>
          </w:tcPr>
          <w:p>
            <w:pPr>
              <w:pStyle w:val="TableParagraph"/>
              <w:rPr>
                <w:rFonts w:ascii="Times New Roman"/>
                <w:sz w:val="24"/>
              </w:rPr>
            </w:pPr>
          </w:p>
        </w:tc>
        <w:tc>
          <w:tcPr>
            <w:tcW w:w="1601" w:type="dxa"/>
          </w:tcPr>
          <w:p>
            <w:pPr>
              <w:pStyle w:val="TableParagraph"/>
              <w:rPr>
                <w:b/>
                <w:sz w:val="26"/>
              </w:rPr>
            </w:pPr>
          </w:p>
          <w:p>
            <w:pPr>
              <w:pStyle w:val="TableParagraph"/>
              <w:rPr>
                <w:b/>
                <w:sz w:val="26"/>
              </w:rPr>
            </w:pPr>
          </w:p>
          <w:p>
            <w:pPr>
              <w:pStyle w:val="TableParagraph"/>
              <w:rPr>
                <w:b/>
                <w:sz w:val="26"/>
              </w:rPr>
            </w:pPr>
          </w:p>
          <w:p>
            <w:pPr>
              <w:pStyle w:val="TableParagraph"/>
              <w:spacing w:before="1"/>
              <w:rPr>
                <w:b/>
                <w:sz w:val="28"/>
              </w:rPr>
            </w:pPr>
          </w:p>
          <w:p>
            <w:pPr>
              <w:pStyle w:val="TableParagraph"/>
              <w:ind w:right="101"/>
              <w:jc w:val="right"/>
              <w:rPr>
                <w:sz w:val="24"/>
              </w:rPr>
            </w:pPr>
            <w:r>
              <w:rPr>
                <w:w w:val="99"/>
                <w:sz w:val="24"/>
              </w:rPr>
              <w:t>0</w:t>
            </w:r>
          </w:p>
        </w:tc>
      </w:tr>
      <w:tr>
        <w:trPr>
          <w:trHeight w:val="1067" w:hRule="atLeast"/>
        </w:trPr>
        <w:tc>
          <w:tcPr>
            <w:tcW w:w="528" w:type="dxa"/>
          </w:tcPr>
          <w:p>
            <w:pPr>
              <w:pStyle w:val="TableParagraph"/>
              <w:spacing w:before="116"/>
              <w:ind w:left="107"/>
              <w:rPr>
                <w:sz w:val="24"/>
              </w:rPr>
            </w:pPr>
            <w:r>
              <w:rPr>
                <w:spacing w:val="-5"/>
                <w:sz w:val="24"/>
              </w:rPr>
              <w:t>17</w:t>
            </w:r>
          </w:p>
        </w:tc>
        <w:tc>
          <w:tcPr>
            <w:tcW w:w="2532" w:type="dxa"/>
            <w:gridSpan w:val="2"/>
          </w:tcPr>
          <w:p>
            <w:pPr>
              <w:pStyle w:val="TableParagraph"/>
              <w:spacing w:before="116"/>
              <w:ind w:left="107" w:right="386"/>
              <w:jc w:val="both"/>
              <w:rPr>
                <w:sz w:val="24"/>
              </w:rPr>
            </w:pPr>
            <w:r>
              <w:rPr>
                <w:sz w:val="24"/>
              </w:rPr>
              <w:t>Class</w:t>
            </w:r>
            <w:r>
              <w:rPr>
                <w:spacing w:val="-1"/>
                <w:sz w:val="24"/>
              </w:rPr>
              <w:t> </w:t>
            </w:r>
            <w:r>
              <w:rPr>
                <w:sz w:val="24"/>
              </w:rPr>
              <w:t>2 Buildings - accessible</w:t>
            </w:r>
            <w:r>
              <w:rPr>
                <w:spacing w:val="-17"/>
                <w:sz w:val="24"/>
              </w:rPr>
              <w:t> </w:t>
            </w:r>
            <w:r>
              <w:rPr>
                <w:sz w:val="24"/>
              </w:rPr>
              <w:t>sanitary </w:t>
            </w:r>
            <w:r>
              <w:rPr>
                <w:spacing w:val="-2"/>
                <w:sz w:val="24"/>
              </w:rPr>
              <w:t>facilities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895"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113"/>
              <w:rPr>
                <w:sz w:val="24"/>
              </w:rPr>
            </w:pPr>
            <w:r>
              <w:rPr>
                <w:sz w:val="24"/>
              </w:rPr>
              <w:t>Common area sanitary</w:t>
            </w:r>
            <w:r>
              <w:rPr>
                <w:spacing w:val="-17"/>
                <w:sz w:val="24"/>
              </w:rPr>
              <w:t> </w:t>
            </w:r>
            <w:r>
              <w:rPr>
                <w:sz w:val="24"/>
              </w:rPr>
              <w:t>facilities</w:t>
            </w:r>
            <w:r>
              <w:rPr>
                <w:spacing w:val="-17"/>
                <w:sz w:val="24"/>
              </w:rPr>
              <w:t> </w:t>
            </w:r>
            <w:r>
              <w:rPr>
                <w:sz w:val="24"/>
              </w:rPr>
              <w:t>to be accessible, </w:t>
            </w:r>
            <w:r>
              <w:rPr>
                <w:spacing w:val="-2"/>
                <w:sz w:val="24"/>
              </w:rPr>
              <w:t>including</w:t>
            </w:r>
            <w:r>
              <w:rPr>
                <w:spacing w:val="80"/>
                <w:sz w:val="24"/>
              </w:rPr>
              <w:t> </w:t>
            </w:r>
            <w:r>
              <w:rPr>
                <w:sz w:val="24"/>
              </w:rPr>
              <w:t>additional space </w:t>
            </w:r>
            <w:r>
              <w:rPr>
                <w:spacing w:val="-2"/>
                <w:sz w:val="24"/>
              </w:rPr>
              <w:t>requirements</w:t>
            </w:r>
          </w:p>
        </w:tc>
        <w:tc>
          <w:tcPr>
            <w:tcW w:w="89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6"/>
              </w:rPr>
            </w:pPr>
          </w:p>
          <w:p>
            <w:pPr>
              <w:pStyle w:val="TableParagraph"/>
              <w:spacing w:before="1"/>
              <w:ind w:right="97"/>
              <w:jc w:val="right"/>
              <w:rPr>
                <w:sz w:val="24"/>
              </w:rPr>
            </w:pPr>
            <w:r>
              <w:rPr>
                <w:spacing w:val="-4"/>
                <w:sz w:val="24"/>
              </w:rPr>
              <w:t>6000</w:t>
            </w:r>
          </w:p>
        </w:tc>
        <w:tc>
          <w:tcPr>
            <w:tcW w:w="60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6"/>
              </w:rPr>
            </w:pPr>
          </w:p>
          <w:p>
            <w:pPr>
              <w:pStyle w:val="TableParagraph"/>
              <w:spacing w:before="1"/>
              <w:ind w:right="96"/>
              <w:jc w:val="right"/>
              <w:rPr>
                <w:sz w:val="24"/>
              </w:rPr>
            </w:pPr>
            <w:r>
              <w:rPr>
                <w:w w:val="99"/>
                <w:sz w:val="24"/>
              </w:rPr>
              <w:t>1</w:t>
            </w:r>
          </w:p>
        </w:tc>
        <w:tc>
          <w:tcPr>
            <w:tcW w:w="156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6"/>
              </w:rPr>
            </w:pPr>
          </w:p>
          <w:p>
            <w:pPr>
              <w:pStyle w:val="TableParagraph"/>
              <w:spacing w:before="1"/>
              <w:ind w:right="99"/>
              <w:jc w:val="right"/>
              <w:rPr>
                <w:sz w:val="24"/>
              </w:rPr>
            </w:pPr>
            <w:r>
              <w:rPr>
                <w:spacing w:val="-2"/>
                <w:sz w:val="24"/>
              </w:rPr>
              <w:t>6,000</w:t>
            </w:r>
          </w:p>
        </w:tc>
        <w:tc>
          <w:tcPr>
            <w:tcW w:w="60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6"/>
              </w:rPr>
            </w:pPr>
          </w:p>
          <w:p>
            <w:pPr>
              <w:pStyle w:val="TableParagraph"/>
              <w:spacing w:before="1"/>
              <w:ind w:right="100"/>
              <w:jc w:val="right"/>
              <w:rPr>
                <w:sz w:val="24"/>
              </w:rPr>
            </w:pPr>
            <w:r>
              <w:rPr>
                <w:w w:val="99"/>
                <w:sz w:val="24"/>
              </w:rPr>
              <w:t>1</w:t>
            </w:r>
          </w:p>
        </w:tc>
        <w:tc>
          <w:tcPr>
            <w:tcW w:w="160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6"/>
              </w:rPr>
            </w:pPr>
          </w:p>
          <w:p>
            <w:pPr>
              <w:pStyle w:val="TableParagraph"/>
              <w:spacing w:before="1"/>
              <w:ind w:right="101"/>
              <w:jc w:val="right"/>
              <w:rPr>
                <w:sz w:val="24"/>
              </w:rPr>
            </w:pPr>
            <w:r>
              <w:rPr>
                <w:spacing w:val="-2"/>
                <w:sz w:val="24"/>
              </w:rPr>
              <w:t>6,000</w:t>
            </w:r>
          </w:p>
        </w:tc>
      </w:tr>
      <w:tr>
        <w:trPr>
          <w:trHeight w:val="1067" w:hRule="atLeast"/>
        </w:trPr>
        <w:tc>
          <w:tcPr>
            <w:tcW w:w="528" w:type="dxa"/>
          </w:tcPr>
          <w:p>
            <w:pPr>
              <w:pStyle w:val="TableParagraph"/>
              <w:spacing w:before="116"/>
              <w:ind w:left="107"/>
              <w:rPr>
                <w:sz w:val="24"/>
              </w:rPr>
            </w:pPr>
            <w:r>
              <w:rPr>
                <w:spacing w:val="-5"/>
                <w:sz w:val="24"/>
              </w:rPr>
              <w:t>18</w:t>
            </w:r>
          </w:p>
        </w:tc>
        <w:tc>
          <w:tcPr>
            <w:tcW w:w="2532" w:type="dxa"/>
            <w:gridSpan w:val="2"/>
          </w:tcPr>
          <w:p>
            <w:pPr>
              <w:pStyle w:val="TableParagraph"/>
              <w:spacing w:before="116"/>
              <w:ind w:left="108"/>
              <w:rPr>
                <w:sz w:val="24"/>
              </w:rPr>
            </w:pPr>
            <w:r>
              <w:rPr>
                <w:sz w:val="24"/>
              </w:rPr>
              <w:t>Class</w:t>
            </w:r>
            <w:r>
              <w:rPr>
                <w:spacing w:val="-6"/>
                <w:sz w:val="24"/>
              </w:rPr>
              <w:t> </w:t>
            </w:r>
            <w:r>
              <w:rPr>
                <w:sz w:val="24"/>
              </w:rPr>
              <w:t>3,</w:t>
            </w:r>
            <w:r>
              <w:rPr>
                <w:spacing w:val="-5"/>
                <w:sz w:val="24"/>
              </w:rPr>
              <w:t> </w:t>
            </w:r>
            <w:r>
              <w:rPr>
                <w:sz w:val="24"/>
              </w:rPr>
              <w:t>5,</w:t>
            </w:r>
            <w:r>
              <w:rPr>
                <w:spacing w:val="-5"/>
                <w:sz w:val="24"/>
              </w:rPr>
              <w:t> </w:t>
            </w:r>
            <w:r>
              <w:rPr>
                <w:sz w:val="24"/>
              </w:rPr>
              <w:t>6,</w:t>
            </w:r>
            <w:r>
              <w:rPr>
                <w:spacing w:val="-5"/>
                <w:sz w:val="24"/>
              </w:rPr>
              <w:t> </w:t>
            </w:r>
            <w:r>
              <w:rPr>
                <w:sz w:val="24"/>
              </w:rPr>
              <w:t>7,</w:t>
            </w:r>
            <w:r>
              <w:rPr>
                <w:spacing w:val="-5"/>
                <w:sz w:val="24"/>
              </w:rPr>
              <w:t> </w:t>
            </w:r>
            <w:r>
              <w:rPr>
                <w:spacing w:val="-10"/>
                <w:sz w:val="24"/>
              </w:rPr>
              <w:t>8</w:t>
            </w:r>
          </w:p>
          <w:p>
            <w:pPr>
              <w:pStyle w:val="TableParagraph"/>
              <w:ind w:left="107"/>
              <w:rPr>
                <w:sz w:val="24"/>
              </w:rPr>
            </w:pPr>
            <w:r>
              <w:rPr>
                <w:sz w:val="24"/>
              </w:rPr>
              <w:t>and</w:t>
            </w:r>
            <w:r>
              <w:rPr>
                <w:spacing w:val="-13"/>
                <w:sz w:val="24"/>
              </w:rPr>
              <w:t> </w:t>
            </w:r>
            <w:r>
              <w:rPr>
                <w:sz w:val="24"/>
              </w:rPr>
              <w:t>9</w:t>
            </w:r>
            <w:r>
              <w:rPr>
                <w:spacing w:val="-13"/>
                <w:sz w:val="24"/>
              </w:rPr>
              <w:t> </w:t>
            </w:r>
            <w:r>
              <w:rPr>
                <w:sz w:val="24"/>
              </w:rPr>
              <w:t>-</w:t>
            </w:r>
            <w:r>
              <w:rPr>
                <w:spacing w:val="-13"/>
                <w:sz w:val="24"/>
              </w:rPr>
              <w:t> </w:t>
            </w:r>
            <w:r>
              <w:rPr>
                <w:sz w:val="24"/>
              </w:rPr>
              <w:t>accessible sanitary facilities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6" w:hRule="atLeast"/>
        </w:trPr>
        <w:tc>
          <w:tcPr>
            <w:tcW w:w="528" w:type="dxa"/>
          </w:tcPr>
          <w:p>
            <w:pPr>
              <w:pStyle w:val="TableParagraph"/>
              <w:spacing w:before="116"/>
              <w:ind w:left="107"/>
              <w:rPr>
                <w:sz w:val="24"/>
              </w:rPr>
            </w:pPr>
            <w:r>
              <w:rPr>
                <w:spacing w:val="-5"/>
                <w:sz w:val="24"/>
              </w:rPr>
              <w:t>19</w:t>
            </w:r>
          </w:p>
        </w:tc>
        <w:tc>
          <w:tcPr>
            <w:tcW w:w="2532" w:type="dxa"/>
            <w:gridSpan w:val="2"/>
          </w:tcPr>
          <w:p>
            <w:pPr>
              <w:pStyle w:val="TableParagraph"/>
              <w:spacing w:before="116"/>
              <w:ind w:left="107"/>
              <w:rPr>
                <w:sz w:val="24"/>
              </w:rPr>
            </w:pPr>
            <w:r>
              <w:rPr>
                <w:sz w:val="24"/>
              </w:rPr>
              <w:t>Swimming</w:t>
            </w:r>
            <w:r>
              <w:rPr>
                <w:spacing w:val="-6"/>
                <w:sz w:val="24"/>
              </w:rPr>
              <w:t> </w:t>
            </w:r>
            <w:r>
              <w:rPr>
                <w:spacing w:val="-4"/>
                <w:sz w:val="24"/>
              </w:rPr>
              <w:t>pools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5"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Not</w:t>
            </w:r>
            <w:r>
              <w:rPr>
                <w:spacing w:val="-6"/>
                <w:sz w:val="24"/>
              </w:rPr>
              <w:t> </w:t>
            </w:r>
            <w:r>
              <w:rPr>
                <w:spacing w:val="-2"/>
                <w:sz w:val="24"/>
              </w:rPr>
              <w:t>applicable</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791" w:hRule="atLeast"/>
        </w:trPr>
        <w:tc>
          <w:tcPr>
            <w:tcW w:w="528" w:type="dxa"/>
          </w:tcPr>
          <w:p>
            <w:pPr>
              <w:pStyle w:val="TableParagraph"/>
              <w:spacing w:before="116"/>
              <w:ind w:left="107"/>
              <w:rPr>
                <w:sz w:val="24"/>
              </w:rPr>
            </w:pPr>
            <w:r>
              <w:rPr>
                <w:spacing w:val="-5"/>
                <w:sz w:val="24"/>
              </w:rPr>
              <w:t>20</w:t>
            </w:r>
          </w:p>
        </w:tc>
        <w:tc>
          <w:tcPr>
            <w:tcW w:w="2532" w:type="dxa"/>
            <w:gridSpan w:val="2"/>
          </w:tcPr>
          <w:p>
            <w:pPr>
              <w:pStyle w:val="TableParagraph"/>
              <w:spacing w:before="116"/>
              <w:ind w:left="107" w:right="490"/>
              <w:rPr>
                <w:sz w:val="24"/>
              </w:rPr>
            </w:pPr>
            <w:r>
              <w:rPr>
                <w:sz w:val="24"/>
              </w:rPr>
              <w:t>Accessible links between</w:t>
            </w:r>
            <w:r>
              <w:rPr>
                <w:spacing w:val="-17"/>
                <w:sz w:val="24"/>
              </w:rPr>
              <w:t> </w:t>
            </w:r>
            <w:r>
              <w:rPr>
                <w:sz w:val="24"/>
              </w:rPr>
              <w:t>buildings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6"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Not</w:t>
            </w:r>
            <w:r>
              <w:rPr>
                <w:spacing w:val="-6"/>
                <w:sz w:val="24"/>
              </w:rPr>
              <w:t> </w:t>
            </w:r>
            <w:r>
              <w:rPr>
                <w:spacing w:val="-2"/>
                <w:sz w:val="24"/>
              </w:rPr>
              <w:t>applicable</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spacing w:before="116"/>
              <w:ind w:right="98"/>
              <w:jc w:val="right"/>
              <w:rPr>
                <w:sz w:val="24"/>
              </w:rPr>
            </w:pPr>
            <w:r>
              <w:rPr>
                <w:w w:val="99"/>
                <w:sz w:val="24"/>
              </w:rPr>
              <w:t>0</w:t>
            </w:r>
          </w:p>
        </w:tc>
        <w:tc>
          <w:tcPr>
            <w:tcW w:w="605" w:type="dxa"/>
          </w:tcPr>
          <w:p>
            <w:pPr>
              <w:pStyle w:val="TableParagraph"/>
              <w:rPr>
                <w:rFonts w:ascii="Times New Roman"/>
                <w:sz w:val="24"/>
              </w:rPr>
            </w:pPr>
          </w:p>
        </w:tc>
        <w:tc>
          <w:tcPr>
            <w:tcW w:w="1601" w:type="dxa"/>
          </w:tcPr>
          <w:p>
            <w:pPr>
              <w:pStyle w:val="TableParagraph"/>
              <w:spacing w:before="116"/>
              <w:ind w:right="100"/>
              <w:jc w:val="right"/>
              <w:rPr>
                <w:sz w:val="24"/>
              </w:rPr>
            </w:pPr>
            <w:r>
              <w:rPr>
                <w:w w:val="99"/>
                <w:sz w:val="24"/>
              </w:rPr>
              <w:t>0</w:t>
            </w:r>
          </w:p>
        </w:tc>
      </w:tr>
      <w:tr>
        <w:trPr>
          <w:trHeight w:val="515" w:hRule="atLeast"/>
        </w:trPr>
        <w:tc>
          <w:tcPr>
            <w:tcW w:w="528" w:type="dxa"/>
          </w:tcPr>
          <w:p>
            <w:pPr>
              <w:pStyle w:val="TableParagraph"/>
              <w:spacing w:before="116"/>
              <w:ind w:left="107"/>
              <w:rPr>
                <w:sz w:val="24"/>
              </w:rPr>
            </w:pPr>
            <w:r>
              <w:rPr>
                <w:spacing w:val="-5"/>
                <w:sz w:val="24"/>
              </w:rPr>
              <w:t>21</w:t>
            </w:r>
          </w:p>
        </w:tc>
        <w:tc>
          <w:tcPr>
            <w:tcW w:w="2532" w:type="dxa"/>
            <w:gridSpan w:val="2"/>
          </w:tcPr>
          <w:p>
            <w:pPr>
              <w:pStyle w:val="TableParagraph"/>
              <w:spacing w:before="116"/>
              <w:ind w:left="108"/>
              <w:rPr>
                <w:sz w:val="24"/>
              </w:rPr>
            </w:pPr>
            <w:r>
              <w:rPr>
                <w:sz w:val="24"/>
              </w:rPr>
              <w:t>AS</w:t>
            </w:r>
            <w:r>
              <w:rPr>
                <w:spacing w:val="-1"/>
                <w:sz w:val="24"/>
              </w:rPr>
              <w:t> </w:t>
            </w:r>
            <w:r>
              <w:rPr>
                <w:spacing w:val="-2"/>
                <w:sz w:val="24"/>
              </w:rPr>
              <w:t>1428.1</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343"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ight="96"/>
              <w:rPr>
                <w:sz w:val="24"/>
              </w:rPr>
            </w:pPr>
            <w:r>
              <w:rPr>
                <w:sz w:val="24"/>
              </w:rPr>
              <w:t>Additional space requirements in accessible</w:t>
            </w:r>
            <w:r>
              <w:rPr>
                <w:spacing w:val="-17"/>
                <w:sz w:val="24"/>
              </w:rPr>
              <w:t> </w:t>
            </w:r>
            <w:r>
              <w:rPr>
                <w:sz w:val="24"/>
              </w:rPr>
              <w:t>sanitary </w:t>
            </w:r>
            <w:r>
              <w:rPr>
                <w:spacing w:val="-2"/>
                <w:sz w:val="24"/>
              </w:rPr>
              <w:t>facilities</w:t>
            </w:r>
          </w:p>
        </w:tc>
        <w:tc>
          <w:tcPr>
            <w:tcW w:w="898" w:type="dxa"/>
          </w:tcPr>
          <w:p>
            <w:pPr>
              <w:pStyle w:val="TableParagraph"/>
              <w:rPr>
                <w:b/>
                <w:sz w:val="26"/>
              </w:rPr>
            </w:pPr>
          </w:p>
          <w:p>
            <w:pPr>
              <w:pStyle w:val="TableParagraph"/>
              <w:rPr>
                <w:b/>
                <w:sz w:val="26"/>
              </w:rPr>
            </w:pPr>
          </w:p>
          <w:p>
            <w:pPr>
              <w:pStyle w:val="TableParagraph"/>
              <w:spacing w:before="1"/>
              <w:rPr>
                <w:b/>
                <w:sz w:val="30"/>
              </w:rPr>
            </w:pPr>
          </w:p>
          <w:p>
            <w:pPr>
              <w:pStyle w:val="TableParagraph"/>
              <w:ind w:right="95"/>
              <w:jc w:val="right"/>
              <w:rPr>
                <w:sz w:val="24"/>
              </w:rPr>
            </w:pPr>
            <w:r>
              <w:rPr>
                <w:spacing w:val="-4"/>
                <w:sz w:val="24"/>
              </w:rPr>
              <w:t>1200</w:t>
            </w:r>
          </w:p>
        </w:tc>
        <w:tc>
          <w:tcPr>
            <w:tcW w:w="603" w:type="dxa"/>
          </w:tcPr>
          <w:p>
            <w:pPr>
              <w:pStyle w:val="TableParagraph"/>
              <w:rPr>
                <w:b/>
                <w:sz w:val="26"/>
              </w:rPr>
            </w:pPr>
          </w:p>
          <w:p>
            <w:pPr>
              <w:pStyle w:val="TableParagraph"/>
              <w:rPr>
                <w:b/>
                <w:sz w:val="26"/>
              </w:rPr>
            </w:pPr>
          </w:p>
          <w:p>
            <w:pPr>
              <w:pStyle w:val="TableParagraph"/>
              <w:spacing w:before="1"/>
              <w:rPr>
                <w:b/>
                <w:sz w:val="30"/>
              </w:rPr>
            </w:pPr>
          </w:p>
          <w:p>
            <w:pPr>
              <w:pStyle w:val="TableParagraph"/>
              <w:ind w:right="95"/>
              <w:jc w:val="right"/>
              <w:rPr>
                <w:sz w:val="24"/>
              </w:rPr>
            </w:pPr>
            <w:r>
              <w:rPr>
                <w:w w:val="99"/>
                <w:sz w:val="24"/>
              </w:rPr>
              <w:t>0</w:t>
            </w:r>
          </w:p>
        </w:tc>
        <w:tc>
          <w:tcPr>
            <w:tcW w:w="1561" w:type="dxa"/>
          </w:tcPr>
          <w:p>
            <w:pPr>
              <w:pStyle w:val="TableParagraph"/>
              <w:rPr>
                <w:b/>
                <w:sz w:val="26"/>
              </w:rPr>
            </w:pPr>
          </w:p>
          <w:p>
            <w:pPr>
              <w:pStyle w:val="TableParagraph"/>
              <w:rPr>
                <w:b/>
                <w:sz w:val="26"/>
              </w:rPr>
            </w:pPr>
          </w:p>
          <w:p>
            <w:pPr>
              <w:pStyle w:val="TableParagraph"/>
              <w:spacing w:before="1"/>
              <w:rPr>
                <w:b/>
                <w:sz w:val="30"/>
              </w:rPr>
            </w:pPr>
          </w:p>
          <w:p>
            <w:pPr>
              <w:pStyle w:val="TableParagraph"/>
              <w:ind w:right="97"/>
              <w:jc w:val="right"/>
              <w:rPr>
                <w:sz w:val="24"/>
              </w:rPr>
            </w:pPr>
            <w:r>
              <w:rPr>
                <w:w w:val="99"/>
                <w:sz w:val="24"/>
              </w:rPr>
              <w:t>0</w:t>
            </w:r>
          </w:p>
        </w:tc>
        <w:tc>
          <w:tcPr>
            <w:tcW w:w="605" w:type="dxa"/>
          </w:tcPr>
          <w:p>
            <w:pPr>
              <w:pStyle w:val="TableParagraph"/>
              <w:rPr>
                <w:b/>
                <w:sz w:val="26"/>
              </w:rPr>
            </w:pPr>
          </w:p>
          <w:p>
            <w:pPr>
              <w:pStyle w:val="TableParagraph"/>
              <w:rPr>
                <w:b/>
                <w:sz w:val="26"/>
              </w:rPr>
            </w:pPr>
          </w:p>
          <w:p>
            <w:pPr>
              <w:pStyle w:val="TableParagraph"/>
              <w:spacing w:before="1"/>
              <w:rPr>
                <w:b/>
                <w:sz w:val="30"/>
              </w:rPr>
            </w:pPr>
          </w:p>
          <w:p>
            <w:pPr>
              <w:pStyle w:val="TableParagraph"/>
              <w:ind w:right="98"/>
              <w:jc w:val="right"/>
              <w:rPr>
                <w:sz w:val="24"/>
              </w:rPr>
            </w:pPr>
            <w:r>
              <w:rPr>
                <w:w w:val="99"/>
                <w:sz w:val="24"/>
              </w:rPr>
              <w:t>0</w:t>
            </w:r>
          </w:p>
        </w:tc>
        <w:tc>
          <w:tcPr>
            <w:tcW w:w="1601" w:type="dxa"/>
          </w:tcPr>
          <w:p>
            <w:pPr>
              <w:pStyle w:val="TableParagraph"/>
              <w:rPr>
                <w:b/>
                <w:sz w:val="26"/>
              </w:rPr>
            </w:pPr>
          </w:p>
          <w:p>
            <w:pPr>
              <w:pStyle w:val="TableParagraph"/>
              <w:rPr>
                <w:b/>
                <w:sz w:val="26"/>
              </w:rPr>
            </w:pPr>
          </w:p>
          <w:p>
            <w:pPr>
              <w:pStyle w:val="TableParagraph"/>
              <w:spacing w:before="1"/>
              <w:rPr>
                <w:b/>
                <w:sz w:val="30"/>
              </w:rPr>
            </w:pPr>
          </w:p>
          <w:p>
            <w:pPr>
              <w:pStyle w:val="TableParagraph"/>
              <w:ind w:right="99"/>
              <w:jc w:val="right"/>
              <w:rPr>
                <w:sz w:val="24"/>
              </w:rPr>
            </w:pPr>
            <w:r>
              <w:rPr>
                <w:w w:val="99"/>
                <w:sz w:val="24"/>
              </w:rPr>
              <w:t>0</w:t>
            </w:r>
          </w:p>
        </w:tc>
      </w:tr>
      <w:tr>
        <w:trPr>
          <w:trHeight w:val="672"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line="270" w:lineRule="atLeast" w:before="101"/>
              <w:ind w:left="107" w:right="362"/>
              <w:rPr>
                <w:sz w:val="24"/>
              </w:rPr>
            </w:pPr>
            <w:r>
              <w:rPr>
                <w:sz w:val="24"/>
              </w:rPr>
              <w:t>Additional</w:t>
            </w:r>
            <w:r>
              <w:rPr>
                <w:spacing w:val="-17"/>
                <w:sz w:val="24"/>
              </w:rPr>
              <w:t> </w:t>
            </w:r>
            <w:r>
              <w:rPr>
                <w:sz w:val="24"/>
              </w:rPr>
              <w:t>space requirements in</w:t>
            </w:r>
          </w:p>
        </w:tc>
        <w:tc>
          <w:tcPr>
            <w:tcW w:w="898" w:type="dxa"/>
          </w:tcPr>
          <w:p>
            <w:pPr>
              <w:pStyle w:val="TableParagraph"/>
              <w:spacing w:before="8"/>
              <w:rPr>
                <w:b/>
                <w:sz w:val="23"/>
              </w:rPr>
            </w:pPr>
          </w:p>
          <w:p>
            <w:pPr>
              <w:pStyle w:val="TableParagraph"/>
              <w:ind w:right="96"/>
              <w:jc w:val="right"/>
              <w:rPr>
                <w:sz w:val="24"/>
              </w:rPr>
            </w:pPr>
            <w:r>
              <w:rPr>
                <w:spacing w:val="-4"/>
                <w:sz w:val="24"/>
              </w:rPr>
              <w:t>1000</w:t>
            </w:r>
          </w:p>
        </w:tc>
        <w:tc>
          <w:tcPr>
            <w:tcW w:w="603" w:type="dxa"/>
          </w:tcPr>
          <w:p>
            <w:pPr>
              <w:pStyle w:val="TableParagraph"/>
              <w:spacing w:before="8"/>
              <w:rPr>
                <w:b/>
                <w:sz w:val="23"/>
              </w:rPr>
            </w:pPr>
          </w:p>
          <w:p>
            <w:pPr>
              <w:pStyle w:val="TableParagraph"/>
              <w:ind w:right="95"/>
              <w:jc w:val="right"/>
              <w:rPr>
                <w:sz w:val="24"/>
              </w:rPr>
            </w:pPr>
            <w:r>
              <w:rPr>
                <w:w w:val="99"/>
                <w:sz w:val="24"/>
              </w:rPr>
              <w:t>0</w:t>
            </w:r>
          </w:p>
        </w:tc>
        <w:tc>
          <w:tcPr>
            <w:tcW w:w="1561" w:type="dxa"/>
          </w:tcPr>
          <w:p>
            <w:pPr>
              <w:pStyle w:val="TableParagraph"/>
              <w:spacing w:before="8"/>
              <w:rPr>
                <w:b/>
                <w:sz w:val="23"/>
              </w:rPr>
            </w:pPr>
          </w:p>
          <w:p>
            <w:pPr>
              <w:pStyle w:val="TableParagraph"/>
              <w:ind w:right="98"/>
              <w:jc w:val="right"/>
              <w:rPr>
                <w:sz w:val="24"/>
              </w:rPr>
            </w:pPr>
            <w:r>
              <w:rPr>
                <w:w w:val="99"/>
                <w:sz w:val="24"/>
              </w:rPr>
              <w:t>0</w:t>
            </w:r>
          </w:p>
        </w:tc>
        <w:tc>
          <w:tcPr>
            <w:tcW w:w="605" w:type="dxa"/>
          </w:tcPr>
          <w:p>
            <w:pPr>
              <w:pStyle w:val="TableParagraph"/>
              <w:spacing w:before="8"/>
              <w:rPr>
                <w:b/>
                <w:sz w:val="23"/>
              </w:rPr>
            </w:pPr>
          </w:p>
          <w:p>
            <w:pPr>
              <w:pStyle w:val="TableParagraph"/>
              <w:ind w:right="99"/>
              <w:jc w:val="right"/>
              <w:rPr>
                <w:sz w:val="24"/>
              </w:rPr>
            </w:pPr>
            <w:r>
              <w:rPr>
                <w:w w:val="99"/>
                <w:sz w:val="24"/>
              </w:rPr>
              <w:t>0</w:t>
            </w:r>
          </w:p>
        </w:tc>
        <w:tc>
          <w:tcPr>
            <w:tcW w:w="1601" w:type="dxa"/>
          </w:tcPr>
          <w:p>
            <w:pPr>
              <w:pStyle w:val="TableParagraph"/>
              <w:spacing w:before="8"/>
              <w:rPr>
                <w:b/>
                <w:sz w:val="23"/>
              </w:rPr>
            </w:pPr>
          </w:p>
          <w:p>
            <w:pPr>
              <w:pStyle w:val="TableParagraph"/>
              <w:ind w:right="101"/>
              <w:jc w:val="right"/>
              <w:rPr>
                <w:sz w:val="24"/>
              </w:rPr>
            </w:pPr>
            <w:r>
              <w:rPr>
                <w:w w:val="99"/>
                <w:sz w:val="24"/>
              </w:rPr>
              <w:t>0</w:t>
            </w:r>
          </w:p>
        </w:tc>
      </w:tr>
    </w:tbl>
    <w:p>
      <w:pPr>
        <w:spacing w:after="0"/>
        <w:jc w:val="right"/>
        <w:rPr>
          <w:sz w:val="24"/>
        </w:rPr>
        <w:sectPr>
          <w:type w:val="continuous"/>
          <w:pgSz w:w="11900" w:h="16840"/>
          <w:pgMar w:header="0" w:footer="1130" w:top="1080" w:bottom="132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288"/>
        <w:gridCol w:w="2244"/>
        <w:gridCol w:w="898"/>
        <w:gridCol w:w="603"/>
        <w:gridCol w:w="1561"/>
        <w:gridCol w:w="605"/>
        <w:gridCol w:w="1601"/>
      </w:tblGrid>
      <w:tr>
        <w:trPr>
          <w:trHeight w:val="791" w:hRule="atLeast"/>
        </w:trPr>
        <w:tc>
          <w:tcPr>
            <w:tcW w:w="3060" w:type="dxa"/>
            <w:gridSpan w:val="3"/>
          </w:tcPr>
          <w:p>
            <w:pPr>
              <w:pStyle w:val="TableParagraph"/>
              <w:spacing w:before="118"/>
              <w:ind w:left="107"/>
              <w:rPr>
                <w:b/>
                <w:sz w:val="24"/>
              </w:rPr>
            </w:pPr>
            <w:r>
              <w:rPr>
                <w:b/>
                <w:sz w:val="24"/>
              </w:rPr>
              <w:t>Case</w:t>
            </w:r>
            <w:r>
              <w:rPr>
                <w:b/>
                <w:spacing w:val="-14"/>
                <w:sz w:val="24"/>
              </w:rPr>
              <w:t> </w:t>
            </w:r>
            <w:r>
              <w:rPr>
                <w:b/>
                <w:sz w:val="24"/>
              </w:rPr>
              <w:t>Study</w:t>
            </w:r>
            <w:r>
              <w:rPr>
                <w:b/>
                <w:spacing w:val="-14"/>
                <w:sz w:val="24"/>
              </w:rPr>
              <w:t> </w:t>
            </w:r>
            <w:r>
              <w:rPr>
                <w:b/>
                <w:sz w:val="24"/>
              </w:rPr>
              <w:t>–</w:t>
            </w:r>
            <w:r>
              <w:rPr>
                <w:b/>
                <w:spacing w:val="-13"/>
                <w:sz w:val="24"/>
              </w:rPr>
              <w:t> </w:t>
            </w:r>
            <w:r>
              <w:rPr>
                <w:b/>
                <w:sz w:val="24"/>
              </w:rPr>
              <w:t>New </w:t>
            </w:r>
            <w:r>
              <w:rPr>
                <w:b/>
                <w:spacing w:val="-2"/>
                <w:sz w:val="24"/>
              </w:rPr>
              <w:t>buildings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8" w:hRule="atLeast"/>
        </w:trPr>
        <w:tc>
          <w:tcPr>
            <w:tcW w:w="3060" w:type="dxa"/>
            <w:gridSpan w:val="3"/>
          </w:tcPr>
          <w:p>
            <w:pPr>
              <w:pStyle w:val="TableParagraph"/>
              <w:spacing w:before="2"/>
              <w:rPr>
                <w:b/>
                <w:sz w:val="34"/>
              </w:rPr>
            </w:pPr>
          </w:p>
          <w:p>
            <w:pPr>
              <w:pStyle w:val="TableParagraph"/>
              <w:spacing w:before="1"/>
              <w:ind w:left="749" w:hanging="268"/>
              <w:rPr>
                <w:b/>
                <w:sz w:val="24"/>
              </w:rPr>
            </w:pPr>
            <w:r>
              <w:rPr>
                <w:b/>
                <w:sz w:val="24"/>
              </w:rPr>
              <w:t>Issue</w:t>
            </w:r>
            <w:r>
              <w:rPr>
                <w:b/>
                <w:spacing w:val="-17"/>
                <w:sz w:val="24"/>
              </w:rPr>
              <w:t> </w:t>
            </w:r>
            <w:r>
              <w:rPr>
                <w:b/>
                <w:sz w:val="24"/>
              </w:rPr>
              <w:t>/</w:t>
            </w:r>
            <w:r>
              <w:rPr>
                <w:b/>
                <w:spacing w:val="-17"/>
                <w:sz w:val="24"/>
              </w:rPr>
              <w:t> </w:t>
            </w:r>
            <w:r>
              <w:rPr>
                <w:b/>
                <w:sz w:val="24"/>
              </w:rPr>
              <w:t>Associated Building Cost</w:t>
            </w:r>
          </w:p>
        </w:tc>
        <w:tc>
          <w:tcPr>
            <w:tcW w:w="898" w:type="dxa"/>
          </w:tcPr>
          <w:p>
            <w:pPr>
              <w:pStyle w:val="TableParagraph"/>
              <w:spacing w:before="2"/>
              <w:rPr>
                <w:b/>
                <w:sz w:val="34"/>
              </w:rPr>
            </w:pPr>
          </w:p>
          <w:p>
            <w:pPr>
              <w:pStyle w:val="TableParagraph"/>
              <w:spacing w:before="1"/>
              <w:ind w:left="109" w:right="94" w:firstLine="205"/>
              <w:rPr>
                <w:b/>
                <w:sz w:val="24"/>
              </w:rPr>
            </w:pPr>
            <w:r>
              <w:rPr>
                <w:b/>
                <w:sz w:val="24"/>
              </w:rPr>
              <w:t>$ / </w:t>
            </w:r>
            <w:r>
              <w:rPr>
                <w:b/>
                <w:spacing w:val="-4"/>
                <w:sz w:val="24"/>
              </w:rPr>
              <w:t>EACH</w:t>
            </w:r>
          </w:p>
        </w:tc>
        <w:tc>
          <w:tcPr>
            <w:tcW w:w="603" w:type="dxa"/>
          </w:tcPr>
          <w:p>
            <w:pPr>
              <w:pStyle w:val="TableParagraph"/>
              <w:rPr>
                <w:b/>
                <w:sz w:val="26"/>
              </w:rPr>
            </w:pPr>
          </w:p>
          <w:p>
            <w:pPr>
              <w:pStyle w:val="TableParagraph"/>
              <w:spacing w:before="2"/>
              <w:rPr>
                <w:b/>
                <w:sz w:val="32"/>
              </w:rPr>
            </w:pPr>
          </w:p>
          <w:p>
            <w:pPr>
              <w:pStyle w:val="TableParagraph"/>
              <w:spacing w:before="1"/>
              <w:ind w:right="97"/>
              <w:jc w:val="right"/>
              <w:rPr>
                <w:b/>
                <w:sz w:val="24"/>
              </w:rPr>
            </w:pPr>
            <w:r>
              <w:rPr>
                <w:b/>
                <w:spacing w:val="-5"/>
                <w:sz w:val="24"/>
              </w:rPr>
              <w:t>No.</w:t>
            </w:r>
          </w:p>
        </w:tc>
        <w:tc>
          <w:tcPr>
            <w:tcW w:w="1561" w:type="dxa"/>
          </w:tcPr>
          <w:p>
            <w:pPr>
              <w:pStyle w:val="TableParagraph"/>
              <w:spacing w:before="118"/>
              <w:ind w:left="265" w:right="256" w:firstLine="54"/>
              <w:jc w:val="both"/>
              <w:rPr>
                <w:b/>
                <w:sz w:val="24"/>
              </w:rPr>
            </w:pPr>
            <w:r>
              <w:rPr>
                <w:b/>
                <w:sz w:val="24"/>
              </w:rPr>
              <w:t>3 storey accom.</w:t>
            </w:r>
            <w:r>
              <w:rPr>
                <w:b/>
                <w:spacing w:val="-17"/>
                <w:sz w:val="24"/>
              </w:rPr>
              <w:t> </w:t>
            </w:r>
            <w:r>
              <w:rPr>
                <w:b/>
                <w:sz w:val="24"/>
              </w:rPr>
              <w:t>–</w:t>
            </w:r>
            <w:r>
              <w:rPr>
                <w:b/>
                <w:sz w:val="24"/>
              </w:rPr>
              <w:t> no lift </w:t>
            </w:r>
            <w:r>
              <w:rPr>
                <w:b/>
                <w:spacing w:val="-5"/>
                <w:sz w:val="24"/>
              </w:rPr>
              <w:t>($)</w:t>
            </w:r>
          </w:p>
        </w:tc>
        <w:tc>
          <w:tcPr>
            <w:tcW w:w="605" w:type="dxa"/>
          </w:tcPr>
          <w:p>
            <w:pPr>
              <w:pStyle w:val="TableParagraph"/>
              <w:rPr>
                <w:b/>
                <w:sz w:val="26"/>
              </w:rPr>
            </w:pPr>
          </w:p>
          <w:p>
            <w:pPr>
              <w:pStyle w:val="TableParagraph"/>
              <w:spacing w:before="2"/>
              <w:rPr>
                <w:b/>
                <w:sz w:val="32"/>
              </w:rPr>
            </w:pPr>
          </w:p>
          <w:p>
            <w:pPr>
              <w:pStyle w:val="TableParagraph"/>
              <w:spacing w:before="1"/>
              <w:ind w:right="99"/>
              <w:jc w:val="right"/>
              <w:rPr>
                <w:b/>
                <w:sz w:val="24"/>
              </w:rPr>
            </w:pPr>
            <w:r>
              <w:rPr>
                <w:b/>
                <w:spacing w:val="-5"/>
                <w:sz w:val="24"/>
              </w:rPr>
              <w:t>No.</w:t>
            </w:r>
          </w:p>
        </w:tc>
        <w:tc>
          <w:tcPr>
            <w:tcW w:w="1601" w:type="dxa"/>
          </w:tcPr>
          <w:p>
            <w:pPr>
              <w:pStyle w:val="TableParagraph"/>
              <w:spacing w:before="118"/>
              <w:ind w:left="195" w:right="192" w:firstLine="140"/>
              <w:jc w:val="both"/>
              <w:rPr>
                <w:b/>
                <w:sz w:val="24"/>
              </w:rPr>
            </w:pPr>
            <w:r>
              <w:rPr>
                <w:b/>
                <w:sz w:val="24"/>
              </w:rPr>
              <w:t>7 storey accom. – with</w:t>
            </w:r>
            <w:r>
              <w:rPr>
                <w:b/>
                <w:spacing w:val="-1"/>
                <w:sz w:val="24"/>
              </w:rPr>
              <w:t> </w:t>
            </w:r>
            <w:r>
              <w:rPr>
                <w:b/>
                <w:sz w:val="24"/>
              </w:rPr>
              <w:t>lift </w:t>
            </w:r>
            <w:r>
              <w:rPr>
                <w:b/>
                <w:spacing w:val="-5"/>
                <w:sz w:val="24"/>
              </w:rPr>
              <w:t>($)</w:t>
            </w:r>
          </w:p>
        </w:tc>
      </w:tr>
      <w:tr>
        <w:trPr>
          <w:trHeight w:val="395"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line="273" w:lineRule="exact"/>
              <w:ind w:left="107"/>
              <w:rPr>
                <w:sz w:val="24"/>
              </w:rPr>
            </w:pPr>
            <w:r>
              <w:rPr>
                <w:sz w:val="24"/>
              </w:rPr>
              <w:t>circulation</w:t>
            </w:r>
            <w:r>
              <w:rPr>
                <w:spacing w:val="-9"/>
                <w:sz w:val="24"/>
              </w:rPr>
              <w:t> </w:t>
            </w:r>
            <w:r>
              <w:rPr>
                <w:spacing w:val="-4"/>
                <w:sz w:val="24"/>
              </w:rPr>
              <w:t>areas</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515" w:hRule="atLeast"/>
        </w:trPr>
        <w:tc>
          <w:tcPr>
            <w:tcW w:w="528" w:type="dxa"/>
          </w:tcPr>
          <w:p>
            <w:pPr>
              <w:pStyle w:val="TableParagraph"/>
              <w:spacing w:before="116"/>
              <w:ind w:left="107"/>
              <w:rPr>
                <w:sz w:val="24"/>
              </w:rPr>
            </w:pPr>
            <w:r>
              <w:rPr>
                <w:spacing w:val="-5"/>
                <w:sz w:val="24"/>
              </w:rPr>
              <w:t>22</w:t>
            </w:r>
          </w:p>
        </w:tc>
        <w:tc>
          <w:tcPr>
            <w:tcW w:w="2532" w:type="dxa"/>
            <w:gridSpan w:val="2"/>
          </w:tcPr>
          <w:p>
            <w:pPr>
              <w:pStyle w:val="TableParagraph"/>
              <w:spacing w:before="116"/>
              <w:ind w:left="108"/>
              <w:rPr>
                <w:sz w:val="24"/>
              </w:rPr>
            </w:pPr>
            <w:r>
              <w:rPr>
                <w:sz w:val="24"/>
              </w:rPr>
              <w:t>AS</w:t>
            </w:r>
            <w:r>
              <w:rPr>
                <w:spacing w:val="-4"/>
                <w:sz w:val="24"/>
              </w:rPr>
              <w:t> </w:t>
            </w:r>
            <w:r>
              <w:rPr>
                <w:sz w:val="24"/>
              </w:rPr>
              <w:t>2890</w:t>
            </w:r>
            <w:r>
              <w:rPr>
                <w:spacing w:val="-3"/>
                <w:sz w:val="24"/>
              </w:rPr>
              <w:t> </w:t>
            </w:r>
            <w:r>
              <w:rPr>
                <w:sz w:val="24"/>
              </w:rPr>
              <w:t>-</w:t>
            </w:r>
            <w:r>
              <w:rPr>
                <w:spacing w:val="-3"/>
                <w:sz w:val="24"/>
              </w:rPr>
              <w:t> </w:t>
            </w:r>
            <w:r>
              <w:rPr>
                <w:spacing w:val="-2"/>
                <w:sz w:val="24"/>
              </w:rPr>
              <w:t>Carparking</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rPr>
                <w:rFonts w:ascii="Times New Roman"/>
                <w:sz w:val="24"/>
              </w:rPr>
            </w:pPr>
          </w:p>
        </w:tc>
        <w:tc>
          <w:tcPr>
            <w:tcW w:w="605" w:type="dxa"/>
          </w:tcPr>
          <w:p>
            <w:pPr>
              <w:pStyle w:val="TableParagraph"/>
              <w:rPr>
                <w:rFonts w:ascii="Times New Roman"/>
                <w:sz w:val="24"/>
              </w:rPr>
            </w:pPr>
          </w:p>
        </w:tc>
        <w:tc>
          <w:tcPr>
            <w:tcW w:w="1601" w:type="dxa"/>
          </w:tcPr>
          <w:p>
            <w:pPr>
              <w:pStyle w:val="TableParagraph"/>
              <w:rPr>
                <w:rFonts w:ascii="Times New Roman"/>
                <w:sz w:val="24"/>
              </w:rPr>
            </w:pPr>
          </w:p>
        </w:tc>
      </w:tr>
      <w:tr>
        <w:trPr>
          <w:trHeight w:val="1068"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116"/>
              <w:ind w:left="107"/>
              <w:rPr>
                <w:sz w:val="24"/>
              </w:rPr>
            </w:pPr>
            <w:r>
              <w:rPr>
                <w:sz w:val="24"/>
              </w:rPr>
              <w:t>Carparking</w:t>
            </w:r>
            <w:r>
              <w:rPr>
                <w:spacing w:val="-17"/>
                <w:sz w:val="24"/>
              </w:rPr>
              <w:t> </w:t>
            </w:r>
            <w:r>
              <w:rPr>
                <w:sz w:val="24"/>
              </w:rPr>
              <w:t>space </w:t>
            </w:r>
            <w:r>
              <w:rPr>
                <w:spacing w:val="-2"/>
                <w:sz w:val="24"/>
              </w:rPr>
              <w:t>dimensional increases</w:t>
            </w:r>
          </w:p>
        </w:tc>
        <w:tc>
          <w:tcPr>
            <w:tcW w:w="898" w:type="dxa"/>
          </w:tcPr>
          <w:p>
            <w:pPr>
              <w:pStyle w:val="TableParagraph"/>
              <w:rPr>
                <w:b/>
                <w:sz w:val="26"/>
              </w:rPr>
            </w:pPr>
          </w:p>
          <w:p>
            <w:pPr>
              <w:pStyle w:val="TableParagraph"/>
              <w:spacing w:before="1"/>
              <w:rPr>
                <w:b/>
                <w:sz w:val="32"/>
              </w:rPr>
            </w:pPr>
          </w:p>
          <w:p>
            <w:pPr>
              <w:pStyle w:val="TableParagraph"/>
              <w:ind w:left="255"/>
              <w:rPr>
                <w:sz w:val="24"/>
              </w:rPr>
            </w:pPr>
            <w:r>
              <w:rPr>
                <w:spacing w:val="-4"/>
                <w:sz w:val="24"/>
              </w:rPr>
              <w:t>1500</w:t>
            </w:r>
          </w:p>
        </w:tc>
        <w:tc>
          <w:tcPr>
            <w:tcW w:w="603" w:type="dxa"/>
          </w:tcPr>
          <w:p>
            <w:pPr>
              <w:pStyle w:val="TableParagraph"/>
              <w:rPr>
                <w:b/>
                <w:sz w:val="26"/>
              </w:rPr>
            </w:pPr>
          </w:p>
          <w:p>
            <w:pPr>
              <w:pStyle w:val="TableParagraph"/>
              <w:spacing w:before="1"/>
              <w:rPr>
                <w:b/>
                <w:sz w:val="32"/>
              </w:rPr>
            </w:pPr>
          </w:p>
          <w:p>
            <w:pPr>
              <w:pStyle w:val="TableParagraph"/>
              <w:ind w:right="96"/>
              <w:jc w:val="right"/>
              <w:rPr>
                <w:sz w:val="24"/>
              </w:rPr>
            </w:pPr>
            <w:r>
              <w:rPr>
                <w:w w:val="99"/>
                <w:sz w:val="24"/>
              </w:rPr>
              <w:t>0</w:t>
            </w:r>
          </w:p>
        </w:tc>
        <w:tc>
          <w:tcPr>
            <w:tcW w:w="1561" w:type="dxa"/>
          </w:tcPr>
          <w:p>
            <w:pPr>
              <w:pStyle w:val="TableParagraph"/>
              <w:rPr>
                <w:b/>
                <w:sz w:val="26"/>
              </w:rPr>
            </w:pPr>
          </w:p>
          <w:p>
            <w:pPr>
              <w:pStyle w:val="TableParagraph"/>
              <w:spacing w:before="1"/>
              <w:rPr>
                <w:b/>
                <w:sz w:val="32"/>
              </w:rPr>
            </w:pPr>
          </w:p>
          <w:p>
            <w:pPr>
              <w:pStyle w:val="TableParagraph"/>
              <w:ind w:right="98"/>
              <w:jc w:val="right"/>
              <w:rPr>
                <w:sz w:val="24"/>
              </w:rPr>
            </w:pPr>
            <w:r>
              <w:rPr>
                <w:w w:val="99"/>
                <w:sz w:val="24"/>
              </w:rPr>
              <w:t>0</w:t>
            </w:r>
          </w:p>
        </w:tc>
        <w:tc>
          <w:tcPr>
            <w:tcW w:w="605" w:type="dxa"/>
          </w:tcPr>
          <w:p>
            <w:pPr>
              <w:pStyle w:val="TableParagraph"/>
              <w:rPr>
                <w:b/>
                <w:sz w:val="26"/>
              </w:rPr>
            </w:pPr>
          </w:p>
          <w:p>
            <w:pPr>
              <w:pStyle w:val="TableParagraph"/>
              <w:spacing w:before="1"/>
              <w:rPr>
                <w:b/>
                <w:sz w:val="32"/>
              </w:rPr>
            </w:pPr>
          </w:p>
          <w:p>
            <w:pPr>
              <w:pStyle w:val="TableParagraph"/>
              <w:ind w:right="100"/>
              <w:jc w:val="right"/>
              <w:rPr>
                <w:sz w:val="24"/>
              </w:rPr>
            </w:pPr>
            <w:r>
              <w:rPr>
                <w:w w:val="99"/>
                <w:sz w:val="24"/>
              </w:rPr>
              <w:t>0</w:t>
            </w:r>
          </w:p>
        </w:tc>
        <w:tc>
          <w:tcPr>
            <w:tcW w:w="1601" w:type="dxa"/>
          </w:tcPr>
          <w:p>
            <w:pPr>
              <w:pStyle w:val="TableParagraph"/>
              <w:rPr>
                <w:b/>
                <w:sz w:val="26"/>
              </w:rPr>
            </w:pPr>
          </w:p>
          <w:p>
            <w:pPr>
              <w:pStyle w:val="TableParagraph"/>
              <w:spacing w:before="1"/>
              <w:rPr>
                <w:b/>
                <w:sz w:val="32"/>
              </w:rPr>
            </w:pPr>
          </w:p>
          <w:p>
            <w:pPr>
              <w:pStyle w:val="TableParagraph"/>
              <w:ind w:right="101"/>
              <w:jc w:val="right"/>
              <w:rPr>
                <w:sz w:val="24"/>
              </w:rPr>
            </w:pPr>
            <w:r>
              <w:rPr>
                <w:w w:val="99"/>
                <w:sz w:val="24"/>
              </w:rPr>
              <w:t>0</w:t>
            </w:r>
          </w:p>
        </w:tc>
      </w:tr>
      <w:tr>
        <w:trPr>
          <w:trHeight w:val="515"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before="7"/>
              <w:rPr>
                <w:b/>
                <w:sz w:val="20"/>
              </w:rPr>
            </w:pPr>
          </w:p>
          <w:p>
            <w:pPr>
              <w:pStyle w:val="TableParagraph"/>
              <w:spacing w:line="258" w:lineRule="exact" w:before="1"/>
              <w:ind w:left="107"/>
              <w:rPr>
                <w:b/>
                <w:sz w:val="24"/>
              </w:rPr>
            </w:pPr>
            <w:r>
              <w:rPr>
                <w:b/>
                <w:spacing w:val="-2"/>
                <w:sz w:val="24"/>
              </w:rPr>
              <w:t>TOTAL</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spacing w:before="118"/>
              <w:ind w:right="98"/>
              <w:jc w:val="right"/>
              <w:rPr>
                <w:b/>
                <w:sz w:val="24"/>
              </w:rPr>
            </w:pPr>
            <w:r>
              <w:rPr>
                <w:b/>
                <w:spacing w:val="-2"/>
                <w:sz w:val="24"/>
              </w:rPr>
              <w:t>24,000</w:t>
            </w:r>
          </w:p>
        </w:tc>
        <w:tc>
          <w:tcPr>
            <w:tcW w:w="605" w:type="dxa"/>
          </w:tcPr>
          <w:p>
            <w:pPr>
              <w:pStyle w:val="TableParagraph"/>
              <w:rPr>
                <w:rFonts w:ascii="Times New Roman"/>
                <w:sz w:val="24"/>
              </w:rPr>
            </w:pPr>
          </w:p>
        </w:tc>
        <w:tc>
          <w:tcPr>
            <w:tcW w:w="1601" w:type="dxa"/>
          </w:tcPr>
          <w:p>
            <w:pPr>
              <w:pStyle w:val="TableParagraph"/>
              <w:spacing w:before="118"/>
              <w:ind w:right="101"/>
              <w:jc w:val="right"/>
              <w:rPr>
                <w:b/>
                <w:sz w:val="24"/>
              </w:rPr>
            </w:pPr>
            <w:r>
              <w:rPr>
                <w:b/>
                <w:spacing w:val="-2"/>
                <w:sz w:val="24"/>
              </w:rPr>
              <w:t>51,700</w:t>
            </w:r>
          </w:p>
        </w:tc>
      </w:tr>
      <w:tr>
        <w:trPr>
          <w:trHeight w:val="551"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line="276" w:lineRule="exact"/>
              <w:ind w:left="107"/>
              <w:rPr>
                <w:b/>
                <w:sz w:val="24"/>
              </w:rPr>
            </w:pPr>
            <w:r>
              <w:rPr>
                <w:b/>
                <w:sz w:val="24"/>
              </w:rPr>
              <w:t>Generic</w:t>
            </w:r>
            <w:r>
              <w:rPr>
                <w:b/>
                <w:spacing w:val="-17"/>
                <w:sz w:val="24"/>
              </w:rPr>
              <w:t> </w:t>
            </w:r>
            <w:r>
              <w:rPr>
                <w:b/>
                <w:sz w:val="24"/>
              </w:rPr>
              <w:t>Building </w:t>
            </w:r>
            <w:r>
              <w:rPr>
                <w:b/>
                <w:spacing w:val="-4"/>
                <w:sz w:val="24"/>
              </w:rPr>
              <w:t>Cost</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spacing w:before="154"/>
              <w:ind w:right="98"/>
              <w:jc w:val="right"/>
              <w:rPr>
                <w:b/>
                <w:sz w:val="24"/>
              </w:rPr>
            </w:pPr>
            <w:r>
              <w:rPr>
                <w:b/>
                <w:spacing w:val="-2"/>
                <w:sz w:val="24"/>
              </w:rPr>
              <w:t>4,800,000</w:t>
            </w:r>
          </w:p>
        </w:tc>
        <w:tc>
          <w:tcPr>
            <w:tcW w:w="605" w:type="dxa"/>
          </w:tcPr>
          <w:p>
            <w:pPr>
              <w:pStyle w:val="TableParagraph"/>
              <w:rPr>
                <w:rFonts w:ascii="Times New Roman"/>
                <w:sz w:val="24"/>
              </w:rPr>
            </w:pPr>
          </w:p>
        </w:tc>
        <w:tc>
          <w:tcPr>
            <w:tcW w:w="1601" w:type="dxa"/>
          </w:tcPr>
          <w:p>
            <w:pPr>
              <w:pStyle w:val="TableParagraph"/>
              <w:spacing w:before="154"/>
              <w:ind w:right="102"/>
              <w:jc w:val="right"/>
              <w:rPr>
                <w:b/>
                <w:sz w:val="24"/>
              </w:rPr>
            </w:pPr>
            <w:r>
              <w:rPr>
                <w:b/>
                <w:spacing w:val="-2"/>
                <w:sz w:val="24"/>
              </w:rPr>
              <w:t>14,400,000</w:t>
            </w:r>
          </w:p>
        </w:tc>
      </w:tr>
      <w:tr>
        <w:trPr>
          <w:trHeight w:val="552" w:hRule="atLeast"/>
        </w:trPr>
        <w:tc>
          <w:tcPr>
            <w:tcW w:w="528" w:type="dxa"/>
          </w:tcPr>
          <w:p>
            <w:pPr>
              <w:pStyle w:val="TableParagraph"/>
              <w:rPr>
                <w:rFonts w:ascii="Times New Roman"/>
                <w:sz w:val="24"/>
              </w:rPr>
            </w:pPr>
          </w:p>
        </w:tc>
        <w:tc>
          <w:tcPr>
            <w:tcW w:w="288" w:type="dxa"/>
          </w:tcPr>
          <w:p>
            <w:pPr>
              <w:pStyle w:val="TableParagraph"/>
              <w:rPr>
                <w:rFonts w:ascii="Times New Roman"/>
                <w:sz w:val="24"/>
              </w:rPr>
            </w:pPr>
          </w:p>
        </w:tc>
        <w:tc>
          <w:tcPr>
            <w:tcW w:w="2244" w:type="dxa"/>
          </w:tcPr>
          <w:p>
            <w:pPr>
              <w:pStyle w:val="TableParagraph"/>
              <w:spacing w:line="276" w:lineRule="exact"/>
              <w:ind w:left="107"/>
              <w:rPr>
                <w:b/>
                <w:sz w:val="24"/>
              </w:rPr>
            </w:pPr>
            <w:r>
              <w:rPr>
                <w:b/>
                <w:spacing w:val="-2"/>
                <w:sz w:val="24"/>
              </w:rPr>
              <w:t>Proportional </w:t>
            </w:r>
            <w:r>
              <w:rPr>
                <w:b/>
                <w:sz w:val="24"/>
              </w:rPr>
              <w:t>Increase</w:t>
            </w:r>
            <w:r>
              <w:rPr>
                <w:b/>
                <w:spacing w:val="-7"/>
                <w:sz w:val="24"/>
              </w:rPr>
              <w:t> </w:t>
            </w:r>
            <w:r>
              <w:rPr>
                <w:b/>
                <w:spacing w:val="-5"/>
                <w:sz w:val="24"/>
              </w:rPr>
              <w:t>(%)</w:t>
            </w:r>
          </w:p>
        </w:tc>
        <w:tc>
          <w:tcPr>
            <w:tcW w:w="898" w:type="dxa"/>
          </w:tcPr>
          <w:p>
            <w:pPr>
              <w:pStyle w:val="TableParagraph"/>
              <w:rPr>
                <w:rFonts w:ascii="Times New Roman"/>
                <w:sz w:val="24"/>
              </w:rPr>
            </w:pPr>
          </w:p>
        </w:tc>
        <w:tc>
          <w:tcPr>
            <w:tcW w:w="603" w:type="dxa"/>
          </w:tcPr>
          <w:p>
            <w:pPr>
              <w:pStyle w:val="TableParagraph"/>
              <w:rPr>
                <w:rFonts w:ascii="Times New Roman"/>
                <w:sz w:val="24"/>
              </w:rPr>
            </w:pPr>
          </w:p>
        </w:tc>
        <w:tc>
          <w:tcPr>
            <w:tcW w:w="1561" w:type="dxa"/>
          </w:tcPr>
          <w:p>
            <w:pPr>
              <w:pStyle w:val="TableParagraph"/>
              <w:spacing w:before="153"/>
              <w:ind w:right="94"/>
              <w:jc w:val="right"/>
              <w:rPr>
                <w:b/>
                <w:sz w:val="24"/>
              </w:rPr>
            </w:pPr>
            <w:r>
              <w:rPr>
                <w:b/>
                <w:spacing w:val="-4"/>
                <w:sz w:val="24"/>
              </w:rPr>
              <w:t>0.5%</w:t>
            </w:r>
          </w:p>
        </w:tc>
        <w:tc>
          <w:tcPr>
            <w:tcW w:w="605" w:type="dxa"/>
          </w:tcPr>
          <w:p>
            <w:pPr>
              <w:pStyle w:val="TableParagraph"/>
              <w:rPr>
                <w:rFonts w:ascii="Times New Roman"/>
                <w:sz w:val="24"/>
              </w:rPr>
            </w:pPr>
          </w:p>
        </w:tc>
        <w:tc>
          <w:tcPr>
            <w:tcW w:w="1601" w:type="dxa"/>
          </w:tcPr>
          <w:p>
            <w:pPr>
              <w:pStyle w:val="TableParagraph"/>
              <w:spacing w:before="153"/>
              <w:ind w:right="97"/>
              <w:jc w:val="right"/>
              <w:rPr>
                <w:b/>
                <w:sz w:val="24"/>
              </w:rPr>
            </w:pPr>
            <w:r>
              <w:rPr>
                <w:b/>
                <w:spacing w:val="-4"/>
                <w:sz w:val="24"/>
              </w:rPr>
              <w:t>0.4%</w:t>
            </w:r>
          </w:p>
        </w:tc>
      </w:tr>
    </w:tbl>
    <w:p>
      <w:pPr>
        <w:pStyle w:val="BodyText"/>
        <w:rPr>
          <w:b/>
          <w:sz w:val="20"/>
        </w:rPr>
      </w:pPr>
    </w:p>
    <w:p>
      <w:pPr>
        <w:pStyle w:val="BodyText"/>
        <w:rPr>
          <w:b/>
          <w:sz w:val="17"/>
        </w:rPr>
      </w:pPr>
    </w:p>
    <w:p>
      <w:pPr>
        <w:spacing w:before="92"/>
        <w:ind w:left="420" w:right="0" w:firstLine="0"/>
        <w:jc w:val="both"/>
        <w:rPr>
          <w:i/>
          <w:sz w:val="24"/>
        </w:rPr>
      </w:pPr>
      <w:r>
        <w:rPr>
          <w:i/>
          <w:sz w:val="24"/>
          <w:u w:val="single"/>
        </w:rPr>
        <w:t>Benefit/Cost </w:t>
      </w:r>
      <w:r>
        <w:rPr>
          <w:i/>
          <w:spacing w:val="-2"/>
          <w:sz w:val="24"/>
          <w:u w:val="single"/>
        </w:rPr>
        <w:t>outcome</w:t>
      </w:r>
    </w:p>
    <w:p>
      <w:pPr>
        <w:pStyle w:val="BodyText"/>
        <w:spacing w:before="119"/>
        <w:ind w:left="420" w:right="811"/>
        <w:jc w:val="both"/>
      </w:pPr>
      <w:r>
        <w:rPr/>
        <w:t>The effect of the Class</w:t>
      </w:r>
      <w:r>
        <w:rPr/>
        <w:t> 2 changes on the overall benefit/cost ratio of the Premises Standards is considered to be negligible due to the relatively small cost increase (around 0.4% of the generic building cost) and an increase in benefits that can be summarised as follows;</w:t>
      </w:r>
    </w:p>
    <w:p>
      <w:pPr>
        <w:pStyle w:val="ListParagraph"/>
        <w:numPr>
          <w:ilvl w:val="1"/>
          <w:numId w:val="49"/>
        </w:numPr>
        <w:tabs>
          <w:tab w:pos="1141" w:val="left" w:leader="none"/>
        </w:tabs>
        <w:spacing w:line="240" w:lineRule="auto" w:before="121" w:after="0"/>
        <w:ind w:left="1139" w:right="811" w:hanging="360"/>
        <w:jc w:val="both"/>
        <w:rPr>
          <w:sz w:val="24"/>
        </w:rPr>
      </w:pPr>
      <w:r>
        <w:rPr>
          <w:sz w:val="24"/>
        </w:rPr>
        <w:t>A wider choice of accommodation options available to people with a disability by providing the opportunity for a person with a disability to modify a unit to make it accessible (i.e. given that access to the public areas of the building has been provided).</w:t>
      </w:r>
    </w:p>
    <w:p>
      <w:pPr>
        <w:pStyle w:val="ListParagraph"/>
        <w:numPr>
          <w:ilvl w:val="1"/>
          <w:numId w:val="49"/>
        </w:numPr>
        <w:tabs>
          <w:tab w:pos="1140" w:val="left" w:leader="none"/>
        </w:tabs>
        <w:spacing w:line="240" w:lineRule="auto" w:before="117" w:after="0"/>
        <w:ind w:left="1139" w:right="809" w:hanging="360"/>
        <w:jc w:val="both"/>
        <w:rPr>
          <w:sz w:val="24"/>
        </w:rPr>
      </w:pPr>
      <w:r>
        <w:rPr>
          <w:sz w:val="24"/>
        </w:rPr>
        <w:t>Improve the ability of people with a disability to visit friends and associates who may live in Class 2 buildings.</w:t>
      </w:r>
    </w:p>
    <w:p>
      <w:pPr>
        <w:pStyle w:val="BodyText"/>
        <w:rPr>
          <w:sz w:val="26"/>
        </w:rPr>
      </w:pPr>
    </w:p>
    <w:p>
      <w:pPr>
        <w:pStyle w:val="BodyText"/>
        <w:spacing w:before="4"/>
        <w:rPr>
          <w:sz w:val="25"/>
        </w:rPr>
      </w:pPr>
    </w:p>
    <w:p>
      <w:pPr>
        <w:pStyle w:val="Heading3"/>
        <w:jc w:val="left"/>
      </w:pPr>
      <w:bookmarkStart w:name="Small building concession" w:id="184"/>
      <w:bookmarkEnd w:id="184"/>
      <w:r>
        <w:rPr>
          <w:b w:val="0"/>
        </w:rPr>
      </w:r>
      <w:r>
        <w:rPr/>
        <w:t>Small</w:t>
      </w:r>
      <w:r>
        <w:rPr>
          <w:spacing w:val="-7"/>
        </w:rPr>
        <w:t> </w:t>
      </w:r>
      <w:r>
        <w:rPr/>
        <w:t>building</w:t>
      </w:r>
      <w:r>
        <w:rPr>
          <w:spacing w:val="-6"/>
        </w:rPr>
        <w:t> </w:t>
      </w:r>
      <w:r>
        <w:rPr>
          <w:spacing w:val="-2"/>
        </w:rPr>
        <w:t>concession</w:t>
      </w:r>
    </w:p>
    <w:p>
      <w:pPr>
        <w:spacing w:before="58"/>
        <w:ind w:left="420" w:right="0" w:firstLine="0"/>
        <w:jc w:val="left"/>
        <w:rPr>
          <w:i/>
          <w:sz w:val="24"/>
        </w:rPr>
      </w:pPr>
      <w:bookmarkStart w:name="Overview" w:id="185"/>
      <w:bookmarkEnd w:id="185"/>
      <w:r>
        <w:rPr/>
      </w:r>
      <w:r>
        <w:rPr>
          <w:i/>
          <w:spacing w:val="-2"/>
          <w:sz w:val="24"/>
          <w:u w:val="single"/>
        </w:rPr>
        <w:t>Overview</w:t>
      </w:r>
    </w:p>
    <w:p>
      <w:pPr>
        <w:pStyle w:val="BodyText"/>
        <w:spacing w:before="119"/>
        <w:ind w:left="419" w:right="811"/>
        <w:jc w:val="both"/>
      </w:pPr>
      <w:r>
        <w:rPr/>
        <w:t>A concession for accessibility of small buildings has already been addressed in the draft Premises Standards.</w:t>
      </w:r>
      <w:r>
        <w:rPr>
          <w:spacing w:val="80"/>
        </w:rPr>
        <w:t> </w:t>
      </w:r>
      <w:r>
        <w:rPr/>
        <w:t>A small building is defined as a Class 5, 6, 7b or 8 building containing not more than 3 storeys and with a floor area for each storey, excluding the entrance storey, of not more than 200m2.</w:t>
      </w:r>
      <w:r>
        <w:rPr>
          <w:spacing w:val="40"/>
        </w:rPr>
        <w:t> </w:t>
      </w:r>
      <w:r>
        <w:rPr/>
        <w:t>The concession</w:t>
      </w:r>
      <w:r>
        <w:rPr>
          <w:spacing w:val="-1"/>
        </w:rPr>
        <w:t> </w:t>
      </w:r>
      <w:r>
        <w:rPr/>
        <w:t>meant</w:t>
      </w:r>
      <w:r>
        <w:rPr>
          <w:spacing w:val="-1"/>
        </w:rPr>
        <w:t> </w:t>
      </w:r>
      <w:r>
        <w:rPr/>
        <w:t>that the upper</w:t>
      </w:r>
      <w:r>
        <w:rPr>
          <w:spacing w:val="-1"/>
        </w:rPr>
        <w:t> </w:t>
      </w:r>
      <w:r>
        <w:rPr/>
        <w:t>storeys</w:t>
      </w:r>
      <w:r>
        <w:rPr>
          <w:spacing w:val="-1"/>
        </w:rPr>
        <w:t> </w:t>
      </w:r>
      <w:r>
        <w:rPr/>
        <w:t>of</w:t>
      </w:r>
      <w:r>
        <w:rPr>
          <w:spacing w:val="-1"/>
        </w:rPr>
        <w:t> </w:t>
      </w:r>
      <w:r>
        <w:rPr/>
        <w:t>a</w:t>
      </w:r>
      <w:r>
        <w:rPr>
          <w:spacing w:val="-1"/>
        </w:rPr>
        <w:t> </w:t>
      </w:r>
      <w:r>
        <w:rPr/>
        <w:t>small</w:t>
      </w:r>
      <w:r>
        <w:rPr>
          <w:spacing w:val="-1"/>
        </w:rPr>
        <w:t> </w:t>
      </w:r>
      <w:r>
        <w:rPr/>
        <w:t>building</w:t>
      </w:r>
      <w:r>
        <w:rPr>
          <w:spacing w:val="-1"/>
        </w:rPr>
        <w:t> </w:t>
      </w:r>
      <w:r>
        <w:rPr/>
        <w:t>would</w:t>
      </w:r>
      <w:r>
        <w:rPr>
          <w:spacing w:val="-1"/>
        </w:rPr>
        <w:t> </w:t>
      </w:r>
      <w:r>
        <w:rPr/>
        <w:t>not</w:t>
      </w:r>
      <w:r>
        <w:rPr>
          <w:spacing w:val="-1"/>
        </w:rPr>
        <w:t> </w:t>
      </w:r>
      <w:r>
        <w:rPr/>
        <w:t>need</w:t>
      </w:r>
      <w:r>
        <w:rPr>
          <w:spacing w:val="-1"/>
        </w:rPr>
        <w:t> </w:t>
      </w:r>
      <w:r>
        <w:rPr/>
        <w:t>to be accessible unless an accessible ramp or passenger lift was installed to serve those storeys.</w:t>
      </w:r>
    </w:p>
    <w:p>
      <w:pPr>
        <w:pStyle w:val="BodyText"/>
        <w:spacing w:before="120"/>
        <w:ind w:left="420" w:right="809"/>
        <w:jc w:val="both"/>
      </w:pPr>
      <w:r>
        <w:rPr/>
        <w:t>The changes to the draft Premises Standards propose to limit the </w:t>
      </w:r>
      <w:r>
        <w:rPr/>
        <w:t>concession for small buildings to not having to provide an accessible ramp or passenger lift.</w:t>
      </w:r>
      <w:r>
        <w:rPr>
          <w:spacing w:val="40"/>
        </w:rPr>
        <w:t> </w:t>
      </w:r>
      <w:r>
        <w:rPr/>
        <w:t>As a consequence, provision of wheelchair accessible sanitary facilities would also not be required on those levels to which wheelchair access is not required.</w:t>
      </w:r>
      <w:r>
        <w:rPr>
          <w:spacing w:val="48"/>
        </w:rPr>
        <w:t>  </w:t>
      </w:r>
      <w:r>
        <w:rPr/>
        <w:t>All</w:t>
      </w:r>
      <w:r>
        <w:rPr>
          <w:spacing w:val="47"/>
        </w:rPr>
        <w:t> </w:t>
      </w:r>
      <w:r>
        <w:rPr/>
        <w:t>other</w:t>
      </w:r>
      <w:r>
        <w:rPr>
          <w:spacing w:val="47"/>
        </w:rPr>
        <w:t> </w:t>
      </w:r>
      <w:r>
        <w:rPr/>
        <w:t>accessible</w:t>
      </w:r>
      <w:r>
        <w:rPr>
          <w:spacing w:val="47"/>
        </w:rPr>
        <w:t> </w:t>
      </w:r>
      <w:r>
        <w:rPr/>
        <w:t>features</w:t>
      </w:r>
      <w:r>
        <w:rPr>
          <w:spacing w:val="46"/>
        </w:rPr>
        <w:t> </w:t>
      </w:r>
      <w:r>
        <w:rPr/>
        <w:t>such</w:t>
      </w:r>
      <w:r>
        <w:rPr>
          <w:spacing w:val="47"/>
        </w:rPr>
        <w:t> </w:t>
      </w:r>
      <w:r>
        <w:rPr/>
        <w:t>as</w:t>
      </w:r>
      <w:r>
        <w:rPr>
          <w:spacing w:val="46"/>
        </w:rPr>
        <w:t> </w:t>
      </w:r>
      <w:r>
        <w:rPr/>
        <w:t>luminance</w:t>
      </w:r>
      <w:r>
        <w:rPr>
          <w:spacing w:val="46"/>
        </w:rPr>
        <w:t> </w:t>
      </w:r>
      <w:r>
        <w:rPr/>
        <w:t>contrast,</w:t>
      </w:r>
      <w:r>
        <w:rPr>
          <w:spacing w:val="47"/>
        </w:rPr>
        <w:t> </w:t>
      </w:r>
      <w:r>
        <w:rPr>
          <w:spacing w:val="-2"/>
        </w:rPr>
        <w:t>tactile</w:t>
      </w:r>
    </w:p>
    <w:p>
      <w:pPr>
        <w:spacing w:after="0"/>
        <w:jc w:val="both"/>
        <w:sectPr>
          <w:type w:val="continuous"/>
          <w:pgSz w:w="11900" w:h="16840"/>
          <w:pgMar w:header="0" w:footer="1130" w:top="1080" w:bottom="1320" w:left="1380" w:right="980"/>
        </w:sectPr>
      </w:pPr>
    </w:p>
    <w:p>
      <w:pPr>
        <w:pStyle w:val="BodyText"/>
        <w:spacing w:before="75"/>
        <w:ind w:left="419" w:right="812"/>
        <w:jc w:val="both"/>
      </w:pPr>
      <w:r>
        <w:rPr/>
        <w:t>ground surface indicators, hearing augmentation in specified areas and stairs with accessible features would need to be provided.</w:t>
      </w:r>
      <w:r>
        <w:rPr>
          <w:spacing w:val="40"/>
        </w:rPr>
        <w:t> </w:t>
      </w:r>
      <w:r>
        <w:rPr/>
        <w:t>These features would provide benefits to people who are Deaf or hearing impaired, Blind or vision impaired and ambulant people with a mobility disability.</w:t>
      </w:r>
    </w:p>
    <w:p>
      <w:pPr>
        <w:pStyle w:val="BodyText"/>
        <w:spacing w:before="120"/>
        <w:ind w:left="419" w:right="812"/>
        <w:jc w:val="both"/>
      </w:pPr>
      <w:r>
        <w:rPr/>
        <w:t>The 2008 RIS acknowledged that the provision of lifts in small buildings was the substantial cost driver.</w:t>
      </w:r>
      <w:r>
        <w:rPr>
          <w:spacing w:val="40"/>
        </w:rPr>
        <w:t> </w:t>
      </w:r>
      <w:r>
        <w:rPr/>
        <w:t>The RIS examined a number of new and existing building case studies relevant to the small building concession (see extracts from Tables 4 and 5).</w:t>
      </w:r>
    </w:p>
    <w:p>
      <w:pPr>
        <w:pStyle w:val="BodyText"/>
        <w:spacing w:before="7"/>
        <w:rPr>
          <w:sz w:val="30"/>
        </w:rPr>
      </w:pPr>
    </w:p>
    <w:p>
      <w:pPr>
        <w:pStyle w:val="Heading4"/>
        <w:ind w:right="811"/>
        <w:jc w:val="left"/>
        <w:rPr>
          <w:u w:val="none"/>
        </w:rPr>
      </w:pPr>
      <w:r>
        <w:rPr>
          <w:u w:val="single"/>
        </w:rPr>
        <w:t>Table</w:t>
      </w:r>
      <w:r>
        <w:rPr>
          <w:spacing w:val="-3"/>
          <w:u w:val="single"/>
        </w:rPr>
        <w:t> </w:t>
      </w:r>
      <w:r>
        <w:rPr>
          <w:u w:val="single"/>
        </w:rPr>
        <w:t>D5</w:t>
      </w:r>
      <w:r>
        <w:rPr>
          <w:spacing w:val="-3"/>
          <w:u w:val="single"/>
        </w:rPr>
        <w:t> </w:t>
      </w:r>
      <w:r>
        <w:rPr>
          <w:u w:val="single"/>
        </w:rPr>
        <w:t>–</w:t>
      </w:r>
      <w:r>
        <w:rPr>
          <w:spacing w:val="-3"/>
          <w:u w:val="single"/>
        </w:rPr>
        <w:t> </w:t>
      </w:r>
      <w:r>
        <w:rPr>
          <w:u w:val="single"/>
        </w:rPr>
        <w:t>Extract</w:t>
      </w:r>
      <w:r>
        <w:rPr>
          <w:spacing w:val="-3"/>
          <w:u w:val="single"/>
        </w:rPr>
        <w:t> </w:t>
      </w:r>
      <w:r>
        <w:rPr>
          <w:u w:val="single"/>
        </w:rPr>
        <w:t>from</w:t>
      </w:r>
      <w:r>
        <w:rPr>
          <w:spacing w:val="-3"/>
          <w:u w:val="single"/>
        </w:rPr>
        <w:t> </w:t>
      </w:r>
      <w:r>
        <w:rPr>
          <w:u w:val="single"/>
        </w:rPr>
        <w:t>Table</w:t>
      </w:r>
      <w:r>
        <w:rPr>
          <w:spacing w:val="-3"/>
          <w:u w:val="single"/>
        </w:rPr>
        <w:t> </w:t>
      </w:r>
      <w:r>
        <w:rPr>
          <w:u w:val="single"/>
        </w:rPr>
        <w:t>4:</w:t>
      </w:r>
      <w:r>
        <w:rPr>
          <w:spacing w:val="40"/>
          <w:u w:val="single"/>
        </w:rPr>
        <w:t> </w:t>
      </w:r>
      <w:r>
        <w:rPr>
          <w:u w:val="single"/>
        </w:rPr>
        <w:t>Estimated</w:t>
      </w:r>
      <w:r>
        <w:rPr>
          <w:spacing w:val="-4"/>
          <w:u w:val="single"/>
        </w:rPr>
        <w:t> </w:t>
      </w:r>
      <w:r>
        <w:rPr>
          <w:u w:val="single"/>
        </w:rPr>
        <w:t>costs</w:t>
      </w:r>
      <w:r>
        <w:rPr>
          <w:spacing w:val="-4"/>
          <w:u w:val="single"/>
        </w:rPr>
        <w:t> </w:t>
      </w:r>
      <w:r>
        <w:rPr>
          <w:u w:val="single"/>
        </w:rPr>
        <w:t>of</w:t>
      </w:r>
      <w:r>
        <w:rPr>
          <w:spacing w:val="-4"/>
          <w:u w:val="single"/>
        </w:rPr>
        <w:t> </w:t>
      </w:r>
      <w:r>
        <w:rPr>
          <w:u w:val="single"/>
        </w:rPr>
        <w:t>implementing</w:t>
      </w:r>
      <w:r>
        <w:rPr>
          <w:u w:val="none"/>
        </w:rPr>
        <w:t> </w:t>
      </w:r>
      <w:r>
        <w:rPr>
          <w:u w:val="single"/>
        </w:rPr>
        <w:t>Premises Standards in new buildings ($)</w:t>
      </w:r>
    </w:p>
    <w:p>
      <w:pPr>
        <w:pStyle w:val="BodyText"/>
        <w:spacing w:before="2"/>
        <w:rPr>
          <w:b/>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260"/>
        <w:gridCol w:w="1260"/>
        <w:gridCol w:w="1260"/>
        <w:gridCol w:w="1260"/>
        <w:gridCol w:w="1260"/>
      </w:tblGrid>
      <w:tr>
        <w:trPr>
          <w:trHeight w:val="1757" w:hRule="atLeast"/>
        </w:trPr>
        <w:tc>
          <w:tcPr>
            <w:tcW w:w="1440" w:type="dxa"/>
          </w:tcPr>
          <w:p>
            <w:pPr>
              <w:pStyle w:val="TableParagraph"/>
              <w:rPr>
                <w:rFonts w:ascii="Times New Roman"/>
                <w:sz w:val="22"/>
              </w:rPr>
            </w:pPr>
          </w:p>
        </w:tc>
        <w:tc>
          <w:tcPr>
            <w:tcW w:w="1080" w:type="dxa"/>
          </w:tcPr>
          <w:p>
            <w:pPr>
              <w:pStyle w:val="TableParagraph"/>
              <w:spacing w:line="252" w:lineRule="exact" w:before="118"/>
              <w:ind w:left="57"/>
              <w:rPr>
                <w:b/>
                <w:sz w:val="22"/>
              </w:rPr>
            </w:pPr>
            <w:r>
              <w:rPr>
                <w:b/>
                <w:sz w:val="22"/>
              </w:rPr>
              <w:t>2</w:t>
            </w:r>
            <w:r>
              <w:rPr>
                <w:b/>
                <w:spacing w:val="-2"/>
                <w:sz w:val="22"/>
              </w:rPr>
              <w:t> storey</w:t>
            </w:r>
          </w:p>
          <w:p>
            <w:pPr>
              <w:pStyle w:val="TableParagraph"/>
              <w:ind w:left="57" w:right="70"/>
              <w:rPr>
                <w:b/>
                <w:sz w:val="22"/>
              </w:rPr>
            </w:pPr>
            <w:r>
              <w:rPr>
                <w:b/>
                <w:sz w:val="22"/>
              </w:rPr>
              <w:t>–</w:t>
            </w:r>
            <w:r>
              <w:rPr>
                <w:b/>
                <w:spacing w:val="-16"/>
                <w:sz w:val="22"/>
              </w:rPr>
              <w:t> </w:t>
            </w:r>
            <w:r>
              <w:rPr>
                <w:b/>
                <w:sz w:val="22"/>
              </w:rPr>
              <w:t>office</w:t>
            </w:r>
            <w:r>
              <w:rPr>
                <w:b/>
                <w:spacing w:val="-15"/>
                <w:sz w:val="22"/>
              </w:rPr>
              <w:t> </w:t>
            </w:r>
            <w:r>
              <w:rPr>
                <w:b/>
                <w:sz w:val="22"/>
              </w:rPr>
              <w:t>–</w:t>
            </w:r>
            <w:r>
              <w:rPr>
                <w:b/>
                <w:sz w:val="22"/>
              </w:rPr>
              <w:t> </w:t>
            </w:r>
            <w:r>
              <w:rPr>
                <w:b/>
                <w:spacing w:val="-2"/>
                <w:sz w:val="22"/>
              </w:rPr>
              <w:t>dwelling </w:t>
            </w:r>
            <w:r>
              <w:rPr>
                <w:b/>
                <w:spacing w:val="-4"/>
                <w:sz w:val="22"/>
              </w:rPr>
              <w:t>size</w:t>
            </w:r>
            <w:r>
              <w:rPr>
                <w:b/>
                <w:spacing w:val="40"/>
                <w:sz w:val="22"/>
              </w:rPr>
              <w:t> </w:t>
            </w:r>
            <w:r>
              <w:rPr>
                <w:b/>
                <w:spacing w:val="-2"/>
                <w:sz w:val="22"/>
              </w:rPr>
              <w:t>(with exempt.)</w:t>
            </w:r>
          </w:p>
        </w:tc>
        <w:tc>
          <w:tcPr>
            <w:tcW w:w="1260" w:type="dxa"/>
          </w:tcPr>
          <w:p>
            <w:pPr>
              <w:pStyle w:val="TableParagraph"/>
              <w:spacing w:before="118"/>
              <w:ind w:left="57"/>
              <w:rPr>
                <w:b/>
                <w:sz w:val="22"/>
              </w:rPr>
            </w:pPr>
            <w:r>
              <w:rPr>
                <w:b/>
                <w:sz w:val="22"/>
              </w:rPr>
              <w:t>2</w:t>
            </w:r>
            <w:r>
              <w:rPr>
                <w:b/>
                <w:spacing w:val="-16"/>
                <w:sz w:val="22"/>
              </w:rPr>
              <w:t> </w:t>
            </w:r>
            <w:r>
              <w:rPr>
                <w:b/>
                <w:sz w:val="22"/>
              </w:rPr>
              <w:t>storey</w:t>
            </w:r>
            <w:r>
              <w:rPr>
                <w:b/>
                <w:spacing w:val="-15"/>
                <w:sz w:val="22"/>
              </w:rPr>
              <w:t> </w:t>
            </w:r>
            <w:r>
              <w:rPr>
                <w:b/>
                <w:sz w:val="22"/>
              </w:rPr>
              <w:t>–</w:t>
            </w:r>
            <w:r>
              <w:rPr>
                <w:b/>
                <w:sz w:val="22"/>
              </w:rPr>
              <w:t> office – </w:t>
            </w:r>
            <w:r>
              <w:rPr>
                <w:b/>
                <w:spacing w:val="-2"/>
                <w:sz w:val="22"/>
              </w:rPr>
              <w:t>dwelling </w:t>
            </w:r>
            <w:r>
              <w:rPr>
                <w:b/>
                <w:spacing w:val="-4"/>
                <w:sz w:val="22"/>
              </w:rPr>
              <w:t>size </w:t>
            </w:r>
            <w:r>
              <w:rPr>
                <w:b/>
                <w:spacing w:val="-2"/>
                <w:sz w:val="22"/>
              </w:rPr>
              <w:t>(without exempt.)</w:t>
            </w:r>
          </w:p>
        </w:tc>
        <w:tc>
          <w:tcPr>
            <w:tcW w:w="1260" w:type="dxa"/>
          </w:tcPr>
          <w:p>
            <w:pPr>
              <w:pStyle w:val="TableParagraph"/>
              <w:spacing w:before="118"/>
              <w:ind w:left="57"/>
              <w:rPr>
                <w:b/>
                <w:sz w:val="22"/>
              </w:rPr>
            </w:pPr>
            <w:r>
              <w:rPr>
                <w:b/>
                <w:sz w:val="22"/>
              </w:rPr>
              <w:t>2 storey - </w:t>
            </w:r>
            <w:r>
              <w:rPr>
                <w:b/>
                <w:spacing w:val="-2"/>
                <w:sz w:val="22"/>
              </w:rPr>
              <w:t>restaurant</w:t>
            </w:r>
          </w:p>
          <w:p>
            <w:pPr>
              <w:pStyle w:val="TableParagraph"/>
              <w:ind w:left="57" w:right="284"/>
              <w:rPr>
                <w:b/>
                <w:sz w:val="22"/>
              </w:rPr>
            </w:pPr>
            <w:r>
              <w:rPr>
                <w:b/>
                <w:sz w:val="22"/>
              </w:rPr>
              <w:t>(s) (with </w:t>
            </w:r>
            <w:r>
              <w:rPr>
                <w:b/>
                <w:spacing w:val="-2"/>
                <w:sz w:val="22"/>
              </w:rPr>
              <w:t>exempt.)</w:t>
            </w:r>
          </w:p>
        </w:tc>
        <w:tc>
          <w:tcPr>
            <w:tcW w:w="1260" w:type="dxa"/>
          </w:tcPr>
          <w:p>
            <w:pPr>
              <w:pStyle w:val="TableParagraph"/>
              <w:spacing w:before="118"/>
              <w:ind w:left="57"/>
              <w:rPr>
                <w:b/>
                <w:sz w:val="22"/>
              </w:rPr>
            </w:pPr>
            <w:r>
              <w:rPr>
                <w:b/>
                <w:sz w:val="22"/>
              </w:rPr>
              <w:t>2 storey - </w:t>
            </w:r>
            <w:r>
              <w:rPr>
                <w:b/>
                <w:spacing w:val="-2"/>
                <w:sz w:val="22"/>
              </w:rPr>
              <w:t>restaurant (without exempt.)</w:t>
            </w:r>
          </w:p>
        </w:tc>
        <w:tc>
          <w:tcPr>
            <w:tcW w:w="1260" w:type="dxa"/>
          </w:tcPr>
          <w:p>
            <w:pPr>
              <w:pStyle w:val="TableParagraph"/>
              <w:spacing w:before="118"/>
              <w:ind w:left="57"/>
              <w:rPr>
                <w:b/>
                <w:sz w:val="22"/>
              </w:rPr>
            </w:pPr>
            <w:r>
              <w:rPr>
                <w:b/>
                <w:sz w:val="22"/>
              </w:rPr>
              <w:t>2</w:t>
            </w:r>
            <w:r>
              <w:rPr>
                <w:b/>
                <w:spacing w:val="-16"/>
                <w:sz w:val="22"/>
              </w:rPr>
              <w:t> </w:t>
            </w:r>
            <w:r>
              <w:rPr>
                <w:b/>
                <w:sz w:val="22"/>
              </w:rPr>
              <w:t>storey</w:t>
            </w:r>
            <w:r>
              <w:rPr>
                <w:b/>
                <w:spacing w:val="-15"/>
                <w:sz w:val="22"/>
              </w:rPr>
              <w:t> </w:t>
            </w:r>
            <w:r>
              <w:rPr>
                <w:b/>
                <w:sz w:val="22"/>
              </w:rPr>
              <w:t>–</w:t>
            </w:r>
            <w:r>
              <w:rPr>
                <w:b/>
                <w:sz w:val="22"/>
              </w:rPr>
              <w:t> storage / </w:t>
            </w:r>
            <w:r>
              <w:rPr>
                <w:b/>
                <w:spacing w:val="-2"/>
                <w:sz w:val="22"/>
              </w:rPr>
              <w:t>w/house (with exempt.)</w:t>
            </w:r>
          </w:p>
        </w:tc>
        <w:tc>
          <w:tcPr>
            <w:tcW w:w="1260" w:type="dxa"/>
          </w:tcPr>
          <w:p>
            <w:pPr>
              <w:pStyle w:val="TableParagraph"/>
              <w:spacing w:before="117"/>
              <w:ind w:left="57"/>
              <w:rPr>
                <w:b/>
                <w:sz w:val="22"/>
              </w:rPr>
            </w:pPr>
            <w:r>
              <w:rPr>
                <w:b/>
                <w:sz w:val="22"/>
              </w:rPr>
              <w:t>2</w:t>
            </w:r>
            <w:r>
              <w:rPr>
                <w:b/>
                <w:spacing w:val="-16"/>
                <w:sz w:val="22"/>
              </w:rPr>
              <w:t> </w:t>
            </w:r>
            <w:r>
              <w:rPr>
                <w:b/>
                <w:sz w:val="22"/>
              </w:rPr>
              <w:t>storey</w:t>
            </w:r>
            <w:r>
              <w:rPr>
                <w:b/>
                <w:spacing w:val="-15"/>
                <w:sz w:val="22"/>
              </w:rPr>
              <w:t> </w:t>
            </w:r>
            <w:r>
              <w:rPr>
                <w:b/>
                <w:sz w:val="22"/>
              </w:rPr>
              <w:t>–</w:t>
            </w:r>
            <w:r>
              <w:rPr>
                <w:b/>
                <w:sz w:val="22"/>
              </w:rPr>
              <w:t> storage / </w:t>
            </w:r>
            <w:r>
              <w:rPr>
                <w:b/>
                <w:spacing w:val="-2"/>
                <w:sz w:val="22"/>
              </w:rPr>
              <w:t>w/house (without exempt.)</w:t>
            </w:r>
          </w:p>
        </w:tc>
      </w:tr>
      <w:tr>
        <w:trPr>
          <w:trHeight w:val="515" w:hRule="atLeast"/>
        </w:trPr>
        <w:tc>
          <w:tcPr>
            <w:tcW w:w="1440" w:type="dxa"/>
          </w:tcPr>
          <w:p>
            <w:pPr>
              <w:pStyle w:val="TableParagraph"/>
              <w:spacing w:before="118"/>
              <w:ind w:left="56"/>
              <w:rPr>
                <w:b/>
                <w:sz w:val="24"/>
              </w:rPr>
            </w:pPr>
            <w:r>
              <w:rPr>
                <w:b/>
                <w:spacing w:val="-2"/>
                <w:sz w:val="24"/>
              </w:rPr>
              <w:t>Class</w:t>
            </w:r>
          </w:p>
        </w:tc>
        <w:tc>
          <w:tcPr>
            <w:tcW w:w="1080" w:type="dxa"/>
          </w:tcPr>
          <w:p>
            <w:pPr>
              <w:pStyle w:val="TableParagraph"/>
              <w:spacing w:before="116"/>
              <w:ind w:left="11"/>
              <w:jc w:val="center"/>
              <w:rPr>
                <w:sz w:val="24"/>
              </w:rPr>
            </w:pPr>
            <w:r>
              <w:rPr>
                <w:w w:val="99"/>
                <w:sz w:val="24"/>
              </w:rPr>
              <w:t>5</w:t>
            </w:r>
          </w:p>
        </w:tc>
        <w:tc>
          <w:tcPr>
            <w:tcW w:w="1260" w:type="dxa"/>
          </w:tcPr>
          <w:p>
            <w:pPr>
              <w:pStyle w:val="TableParagraph"/>
              <w:spacing w:before="116"/>
              <w:ind w:left="11"/>
              <w:jc w:val="center"/>
              <w:rPr>
                <w:sz w:val="24"/>
              </w:rPr>
            </w:pPr>
            <w:r>
              <w:rPr>
                <w:w w:val="99"/>
                <w:sz w:val="24"/>
              </w:rPr>
              <w:t>5</w:t>
            </w:r>
          </w:p>
        </w:tc>
        <w:tc>
          <w:tcPr>
            <w:tcW w:w="1260" w:type="dxa"/>
          </w:tcPr>
          <w:p>
            <w:pPr>
              <w:pStyle w:val="TableParagraph"/>
              <w:spacing w:before="116"/>
              <w:ind w:left="11"/>
              <w:jc w:val="center"/>
              <w:rPr>
                <w:sz w:val="24"/>
              </w:rPr>
            </w:pPr>
            <w:r>
              <w:rPr>
                <w:w w:val="99"/>
                <w:sz w:val="24"/>
              </w:rPr>
              <w:t>6</w:t>
            </w:r>
          </w:p>
        </w:tc>
        <w:tc>
          <w:tcPr>
            <w:tcW w:w="1260" w:type="dxa"/>
          </w:tcPr>
          <w:p>
            <w:pPr>
              <w:pStyle w:val="TableParagraph"/>
              <w:spacing w:before="116"/>
              <w:ind w:left="11"/>
              <w:jc w:val="center"/>
              <w:rPr>
                <w:sz w:val="24"/>
              </w:rPr>
            </w:pPr>
            <w:r>
              <w:rPr>
                <w:w w:val="99"/>
                <w:sz w:val="24"/>
              </w:rPr>
              <w:t>6</w:t>
            </w:r>
          </w:p>
        </w:tc>
        <w:tc>
          <w:tcPr>
            <w:tcW w:w="1260" w:type="dxa"/>
          </w:tcPr>
          <w:p>
            <w:pPr>
              <w:pStyle w:val="TableParagraph"/>
              <w:spacing w:before="116"/>
              <w:ind w:left="44" w:right="35"/>
              <w:jc w:val="center"/>
              <w:rPr>
                <w:sz w:val="24"/>
              </w:rPr>
            </w:pPr>
            <w:r>
              <w:rPr>
                <w:spacing w:val="-5"/>
                <w:sz w:val="24"/>
              </w:rPr>
              <w:t>7b</w:t>
            </w:r>
          </w:p>
        </w:tc>
        <w:tc>
          <w:tcPr>
            <w:tcW w:w="1260" w:type="dxa"/>
          </w:tcPr>
          <w:p>
            <w:pPr>
              <w:pStyle w:val="TableParagraph"/>
              <w:spacing w:before="116"/>
              <w:ind w:left="44" w:right="35"/>
              <w:jc w:val="center"/>
              <w:rPr>
                <w:sz w:val="24"/>
              </w:rPr>
            </w:pPr>
            <w:r>
              <w:rPr>
                <w:spacing w:val="-5"/>
                <w:sz w:val="24"/>
              </w:rPr>
              <w:t>7b</w:t>
            </w:r>
          </w:p>
        </w:tc>
      </w:tr>
      <w:tr>
        <w:trPr>
          <w:trHeight w:val="1067" w:hRule="atLeast"/>
        </w:trPr>
        <w:tc>
          <w:tcPr>
            <w:tcW w:w="1440" w:type="dxa"/>
          </w:tcPr>
          <w:p>
            <w:pPr>
              <w:pStyle w:val="TableParagraph"/>
              <w:spacing w:before="118"/>
              <w:ind w:left="56" w:right="412"/>
              <w:jc w:val="both"/>
              <w:rPr>
                <w:b/>
                <w:sz w:val="24"/>
              </w:rPr>
            </w:pPr>
            <w:r>
              <w:rPr>
                <w:b/>
                <w:spacing w:val="-2"/>
                <w:sz w:val="24"/>
              </w:rPr>
              <w:t>Generic Building </w:t>
            </w:r>
            <w:r>
              <w:rPr>
                <w:b/>
                <w:spacing w:val="-4"/>
                <w:sz w:val="24"/>
              </w:rPr>
              <w:t>Cost</w:t>
            </w:r>
          </w:p>
        </w:tc>
        <w:tc>
          <w:tcPr>
            <w:tcW w:w="1080" w:type="dxa"/>
          </w:tcPr>
          <w:p>
            <w:pPr>
              <w:pStyle w:val="TableParagraph"/>
              <w:spacing w:before="1"/>
              <w:rPr>
                <w:b/>
                <w:sz w:val="34"/>
              </w:rPr>
            </w:pPr>
          </w:p>
          <w:p>
            <w:pPr>
              <w:pStyle w:val="TableParagraph"/>
              <w:ind w:right="44"/>
              <w:jc w:val="right"/>
              <w:rPr>
                <w:sz w:val="24"/>
              </w:rPr>
            </w:pPr>
            <w:r>
              <w:rPr>
                <w:spacing w:val="-2"/>
                <w:sz w:val="24"/>
              </w:rPr>
              <w:t>330,000</w:t>
            </w:r>
          </w:p>
        </w:tc>
        <w:tc>
          <w:tcPr>
            <w:tcW w:w="1260" w:type="dxa"/>
          </w:tcPr>
          <w:p>
            <w:pPr>
              <w:pStyle w:val="TableParagraph"/>
              <w:spacing w:before="1"/>
              <w:rPr>
                <w:b/>
                <w:sz w:val="34"/>
              </w:rPr>
            </w:pPr>
          </w:p>
          <w:p>
            <w:pPr>
              <w:pStyle w:val="TableParagraph"/>
              <w:ind w:right="45"/>
              <w:jc w:val="right"/>
              <w:rPr>
                <w:sz w:val="24"/>
              </w:rPr>
            </w:pPr>
            <w:r>
              <w:rPr>
                <w:spacing w:val="-2"/>
                <w:sz w:val="24"/>
              </w:rPr>
              <w:t>1,860,000</w:t>
            </w:r>
          </w:p>
        </w:tc>
        <w:tc>
          <w:tcPr>
            <w:tcW w:w="1260" w:type="dxa"/>
          </w:tcPr>
          <w:p>
            <w:pPr>
              <w:pStyle w:val="TableParagraph"/>
              <w:spacing w:before="1"/>
              <w:rPr>
                <w:b/>
                <w:sz w:val="34"/>
              </w:rPr>
            </w:pPr>
          </w:p>
          <w:p>
            <w:pPr>
              <w:pStyle w:val="TableParagraph"/>
              <w:ind w:right="46"/>
              <w:jc w:val="right"/>
              <w:rPr>
                <w:sz w:val="24"/>
              </w:rPr>
            </w:pPr>
            <w:r>
              <w:rPr>
                <w:spacing w:val="-2"/>
                <w:sz w:val="24"/>
              </w:rPr>
              <w:t>550,000</w:t>
            </w:r>
          </w:p>
        </w:tc>
        <w:tc>
          <w:tcPr>
            <w:tcW w:w="1260" w:type="dxa"/>
          </w:tcPr>
          <w:p>
            <w:pPr>
              <w:pStyle w:val="TableParagraph"/>
              <w:spacing w:before="1"/>
              <w:rPr>
                <w:b/>
                <w:sz w:val="34"/>
              </w:rPr>
            </w:pPr>
          </w:p>
          <w:p>
            <w:pPr>
              <w:pStyle w:val="TableParagraph"/>
              <w:ind w:right="44"/>
              <w:jc w:val="right"/>
              <w:rPr>
                <w:sz w:val="24"/>
              </w:rPr>
            </w:pPr>
            <w:r>
              <w:rPr>
                <w:spacing w:val="-2"/>
                <w:sz w:val="24"/>
              </w:rPr>
              <w:t>3,000,000</w:t>
            </w:r>
          </w:p>
        </w:tc>
        <w:tc>
          <w:tcPr>
            <w:tcW w:w="1260" w:type="dxa"/>
          </w:tcPr>
          <w:p>
            <w:pPr>
              <w:pStyle w:val="TableParagraph"/>
              <w:spacing w:before="1"/>
              <w:rPr>
                <w:b/>
                <w:sz w:val="34"/>
              </w:rPr>
            </w:pPr>
          </w:p>
          <w:p>
            <w:pPr>
              <w:pStyle w:val="TableParagraph"/>
              <w:ind w:right="45"/>
              <w:jc w:val="right"/>
              <w:rPr>
                <w:sz w:val="24"/>
              </w:rPr>
            </w:pPr>
            <w:r>
              <w:rPr>
                <w:spacing w:val="-2"/>
                <w:sz w:val="24"/>
              </w:rPr>
              <w:t>4,250,000</w:t>
            </w:r>
          </w:p>
        </w:tc>
        <w:tc>
          <w:tcPr>
            <w:tcW w:w="1260" w:type="dxa"/>
          </w:tcPr>
          <w:p>
            <w:pPr>
              <w:pStyle w:val="TableParagraph"/>
              <w:spacing w:before="1"/>
              <w:rPr>
                <w:b/>
                <w:sz w:val="34"/>
              </w:rPr>
            </w:pPr>
          </w:p>
          <w:p>
            <w:pPr>
              <w:pStyle w:val="TableParagraph"/>
              <w:ind w:right="45"/>
              <w:jc w:val="right"/>
              <w:rPr>
                <w:sz w:val="24"/>
              </w:rPr>
            </w:pPr>
            <w:r>
              <w:rPr>
                <w:spacing w:val="-2"/>
                <w:sz w:val="24"/>
              </w:rPr>
              <w:t>5,100,000</w:t>
            </w:r>
          </w:p>
        </w:tc>
      </w:tr>
      <w:tr>
        <w:trPr>
          <w:trHeight w:val="792" w:hRule="atLeast"/>
        </w:trPr>
        <w:tc>
          <w:tcPr>
            <w:tcW w:w="1440" w:type="dxa"/>
          </w:tcPr>
          <w:p>
            <w:pPr>
              <w:pStyle w:val="TableParagraph"/>
              <w:spacing w:before="118"/>
              <w:ind w:left="56"/>
              <w:rPr>
                <w:b/>
                <w:sz w:val="24"/>
              </w:rPr>
            </w:pPr>
            <w:r>
              <w:rPr>
                <w:b/>
                <w:spacing w:val="-2"/>
                <w:sz w:val="24"/>
              </w:rPr>
              <w:t>Regulation </w:t>
            </w:r>
            <w:r>
              <w:rPr>
                <w:b/>
                <w:spacing w:val="-4"/>
                <w:sz w:val="24"/>
              </w:rPr>
              <w:t>Cost</w:t>
            </w:r>
          </w:p>
        </w:tc>
        <w:tc>
          <w:tcPr>
            <w:tcW w:w="1080" w:type="dxa"/>
          </w:tcPr>
          <w:p>
            <w:pPr>
              <w:pStyle w:val="TableParagraph"/>
              <w:spacing w:before="1"/>
              <w:rPr>
                <w:b/>
                <w:sz w:val="22"/>
              </w:rPr>
            </w:pPr>
          </w:p>
          <w:p>
            <w:pPr>
              <w:pStyle w:val="TableParagraph"/>
              <w:ind w:right="44"/>
              <w:jc w:val="right"/>
              <w:rPr>
                <w:sz w:val="24"/>
              </w:rPr>
            </w:pPr>
            <w:r>
              <w:rPr>
                <w:spacing w:val="-2"/>
                <w:sz w:val="24"/>
              </w:rPr>
              <w:t>13,500</w:t>
            </w:r>
          </w:p>
        </w:tc>
        <w:tc>
          <w:tcPr>
            <w:tcW w:w="1260" w:type="dxa"/>
          </w:tcPr>
          <w:p>
            <w:pPr>
              <w:pStyle w:val="TableParagraph"/>
              <w:spacing w:before="1"/>
              <w:rPr>
                <w:b/>
                <w:sz w:val="22"/>
              </w:rPr>
            </w:pPr>
          </w:p>
          <w:p>
            <w:pPr>
              <w:pStyle w:val="TableParagraph"/>
              <w:ind w:right="45"/>
              <w:jc w:val="right"/>
              <w:rPr>
                <w:sz w:val="24"/>
              </w:rPr>
            </w:pPr>
            <w:r>
              <w:rPr>
                <w:spacing w:val="-2"/>
                <w:sz w:val="24"/>
              </w:rPr>
              <w:t>115,250</w:t>
            </w:r>
          </w:p>
        </w:tc>
        <w:tc>
          <w:tcPr>
            <w:tcW w:w="1260" w:type="dxa"/>
          </w:tcPr>
          <w:p>
            <w:pPr>
              <w:pStyle w:val="TableParagraph"/>
              <w:spacing w:before="1"/>
              <w:rPr>
                <w:b/>
                <w:sz w:val="22"/>
              </w:rPr>
            </w:pPr>
          </w:p>
          <w:p>
            <w:pPr>
              <w:pStyle w:val="TableParagraph"/>
              <w:ind w:right="45"/>
              <w:jc w:val="right"/>
              <w:rPr>
                <w:sz w:val="24"/>
              </w:rPr>
            </w:pPr>
            <w:r>
              <w:rPr>
                <w:spacing w:val="-2"/>
                <w:sz w:val="24"/>
              </w:rPr>
              <w:t>15,100</w:t>
            </w:r>
          </w:p>
        </w:tc>
        <w:tc>
          <w:tcPr>
            <w:tcW w:w="1260" w:type="dxa"/>
          </w:tcPr>
          <w:p>
            <w:pPr>
              <w:pStyle w:val="TableParagraph"/>
              <w:spacing w:before="1"/>
              <w:rPr>
                <w:b/>
                <w:sz w:val="22"/>
              </w:rPr>
            </w:pPr>
          </w:p>
          <w:p>
            <w:pPr>
              <w:pStyle w:val="TableParagraph"/>
              <w:ind w:right="46"/>
              <w:jc w:val="right"/>
              <w:rPr>
                <w:sz w:val="24"/>
              </w:rPr>
            </w:pPr>
            <w:r>
              <w:rPr>
                <w:spacing w:val="-2"/>
                <w:sz w:val="24"/>
              </w:rPr>
              <w:t>130,000</w:t>
            </w:r>
          </w:p>
        </w:tc>
        <w:tc>
          <w:tcPr>
            <w:tcW w:w="1260" w:type="dxa"/>
          </w:tcPr>
          <w:p>
            <w:pPr>
              <w:pStyle w:val="TableParagraph"/>
              <w:spacing w:before="1"/>
              <w:rPr>
                <w:b/>
                <w:sz w:val="22"/>
              </w:rPr>
            </w:pPr>
          </w:p>
          <w:p>
            <w:pPr>
              <w:pStyle w:val="TableParagraph"/>
              <w:ind w:right="46"/>
              <w:jc w:val="right"/>
              <w:rPr>
                <w:sz w:val="24"/>
              </w:rPr>
            </w:pPr>
            <w:r>
              <w:rPr>
                <w:spacing w:val="-2"/>
                <w:sz w:val="24"/>
              </w:rPr>
              <w:t>27,900</w:t>
            </w:r>
          </w:p>
        </w:tc>
        <w:tc>
          <w:tcPr>
            <w:tcW w:w="1260" w:type="dxa"/>
          </w:tcPr>
          <w:p>
            <w:pPr>
              <w:pStyle w:val="TableParagraph"/>
              <w:spacing w:before="1"/>
              <w:rPr>
                <w:b/>
                <w:sz w:val="22"/>
              </w:rPr>
            </w:pPr>
          </w:p>
          <w:p>
            <w:pPr>
              <w:pStyle w:val="TableParagraph"/>
              <w:ind w:right="46"/>
              <w:jc w:val="right"/>
              <w:rPr>
                <w:sz w:val="24"/>
              </w:rPr>
            </w:pPr>
            <w:r>
              <w:rPr>
                <w:spacing w:val="-2"/>
                <w:sz w:val="24"/>
              </w:rPr>
              <w:t>144,900</w:t>
            </w:r>
          </w:p>
        </w:tc>
      </w:tr>
      <w:tr>
        <w:trPr>
          <w:trHeight w:val="791" w:hRule="atLeast"/>
        </w:trPr>
        <w:tc>
          <w:tcPr>
            <w:tcW w:w="1440" w:type="dxa"/>
          </w:tcPr>
          <w:p>
            <w:pPr>
              <w:pStyle w:val="TableParagraph"/>
              <w:spacing w:before="118"/>
              <w:ind w:left="56"/>
              <w:rPr>
                <w:b/>
                <w:sz w:val="24"/>
              </w:rPr>
            </w:pPr>
            <w:r>
              <w:rPr>
                <w:b/>
                <w:spacing w:val="-2"/>
                <w:sz w:val="24"/>
              </w:rPr>
              <w:t>Proportion </w:t>
            </w:r>
            <w:r>
              <w:rPr>
                <w:b/>
                <w:sz w:val="24"/>
              </w:rPr>
              <w:t>al</w:t>
            </w:r>
            <w:r>
              <w:rPr>
                <w:b/>
                <w:spacing w:val="-1"/>
                <w:sz w:val="24"/>
              </w:rPr>
              <w:t> </w:t>
            </w:r>
            <w:r>
              <w:rPr>
                <w:b/>
                <w:spacing w:val="-2"/>
                <w:sz w:val="24"/>
              </w:rPr>
              <w:t>Increase</w:t>
            </w:r>
          </w:p>
        </w:tc>
        <w:tc>
          <w:tcPr>
            <w:tcW w:w="1080" w:type="dxa"/>
          </w:tcPr>
          <w:p>
            <w:pPr>
              <w:pStyle w:val="TableParagraph"/>
              <w:spacing w:before="1"/>
              <w:rPr>
                <w:b/>
                <w:sz w:val="22"/>
              </w:rPr>
            </w:pPr>
          </w:p>
          <w:p>
            <w:pPr>
              <w:pStyle w:val="TableParagraph"/>
              <w:ind w:right="45"/>
              <w:jc w:val="right"/>
              <w:rPr>
                <w:sz w:val="24"/>
              </w:rPr>
            </w:pPr>
            <w:r>
              <w:rPr>
                <w:spacing w:val="-4"/>
                <w:sz w:val="24"/>
              </w:rPr>
              <w:t>4.1%</w:t>
            </w:r>
          </w:p>
        </w:tc>
        <w:tc>
          <w:tcPr>
            <w:tcW w:w="1260" w:type="dxa"/>
          </w:tcPr>
          <w:p>
            <w:pPr>
              <w:pStyle w:val="TableParagraph"/>
              <w:spacing w:before="1"/>
              <w:rPr>
                <w:b/>
                <w:sz w:val="22"/>
              </w:rPr>
            </w:pPr>
          </w:p>
          <w:p>
            <w:pPr>
              <w:pStyle w:val="TableParagraph"/>
              <w:ind w:right="45"/>
              <w:jc w:val="right"/>
              <w:rPr>
                <w:sz w:val="24"/>
              </w:rPr>
            </w:pPr>
            <w:r>
              <w:rPr>
                <w:spacing w:val="-4"/>
                <w:sz w:val="24"/>
              </w:rPr>
              <w:t>6.2%</w:t>
            </w:r>
          </w:p>
        </w:tc>
        <w:tc>
          <w:tcPr>
            <w:tcW w:w="1260" w:type="dxa"/>
          </w:tcPr>
          <w:p>
            <w:pPr>
              <w:pStyle w:val="TableParagraph"/>
              <w:spacing w:before="1"/>
              <w:rPr>
                <w:b/>
                <w:sz w:val="22"/>
              </w:rPr>
            </w:pPr>
          </w:p>
          <w:p>
            <w:pPr>
              <w:pStyle w:val="TableParagraph"/>
              <w:ind w:right="45"/>
              <w:jc w:val="right"/>
              <w:rPr>
                <w:sz w:val="24"/>
              </w:rPr>
            </w:pPr>
            <w:r>
              <w:rPr>
                <w:spacing w:val="-4"/>
                <w:sz w:val="24"/>
              </w:rPr>
              <w:t>2.7%</w:t>
            </w:r>
          </w:p>
        </w:tc>
        <w:tc>
          <w:tcPr>
            <w:tcW w:w="1260" w:type="dxa"/>
          </w:tcPr>
          <w:p>
            <w:pPr>
              <w:pStyle w:val="TableParagraph"/>
              <w:spacing w:before="1"/>
              <w:rPr>
                <w:b/>
                <w:sz w:val="22"/>
              </w:rPr>
            </w:pPr>
          </w:p>
          <w:p>
            <w:pPr>
              <w:pStyle w:val="TableParagraph"/>
              <w:ind w:right="45"/>
              <w:jc w:val="right"/>
              <w:rPr>
                <w:sz w:val="24"/>
              </w:rPr>
            </w:pPr>
            <w:r>
              <w:rPr>
                <w:spacing w:val="-4"/>
                <w:sz w:val="24"/>
              </w:rPr>
              <w:t>4.4%</w:t>
            </w:r>
          </w:p>
        </w:tc>
        <w:tc>
          <w:tcPr>
            <w:tcW w:w="1260" w:type="dxa"/>
          </w:tcPr>
          <w:p>
            <w:pPr>
              <w:pStyle w:val="TableParagraph"/>
              <w:spacing w:before="1"/>
              <w:rPr>
                <w:b/>
                <w:sz w:val="22"/>
              </w:rPr>
            </w:pPr>
          </w:p>
          <w:p>
            <w:pPr>
              <w:pStyle w:val="TableParagraph"/>
              <w:ind w:right="47"/>
              <w:jc w:val="right"/>
              <w:rPr>
                <w:sz w:val="24"/>
              </w:rPr>
            </w:pPr>
            <w:r>
              <w:rPr>
                <w:spacing w:val="-4"/>
                <w:sz w:val="24"/>
              </w:rPr>
              <w:t>0.7%</w:t>
            </w:r>
          </w:p>
        </w:tc>
        <w:tc>
          <w:tcPr>
            <w:tcW w:w="1260" w:type="dxa"/>
          </w:tcPr>
          <w:p>
            <w:pPr>
              <w:pStyle w:val="TableParagraph"/>
              <w:spacing w:before="1"/>
              <w:rPr>
                <w:b/>
                <w:sz w:val="22"/>
              </w:rPr>
            </w:pPr>
          </w:p>
          <w:p>
            <w:pPr>
              <w:pStyle w:val="TableParagraph"/>
              <w:ind w:right="46"/>
              <w:jc w:val="right"/>
              <w:rPr>
                <w:sz w:val="24"/>
              </w:rPr>
            </w:pPr>
            <w:r>
              <w:rPr>
                <w:spacing w:val="-4"/>
                <w:sz w:val="24"/>
              </w:rPr>
              <w:t>2.8%</w:t>
            </w:r>
          </w:p>
        </w:tc>
      </w:tr>
    </w:tbl>
    <w:p>
      <w:pPr>
        <w:pStyle w:val="BodyText"/>
        <w:rPr>
          <w:b/>
          <w:sz w:val="26"/>
        </w:rPr>
      </w:pPr>
    </w:p>
    <w:p>
      <w:pPr>
        <w:spacing w:before="218"/>
        <w:ind w:left="420" w:right="811" w:firstLine="0"/>
        <w:jc w:val="left"/>
        <w:rPr>
          <w:b/>
          <w:sz w:val="24"/>
        </w:rPr>
      </w:pPr>
      <w:r>
        <w:rPr>
          <w:b/>
          <w:sz w:val="24"/>
          <w:u w:val="single"/>
        </w:rPr>
        <w:t>Table</w:t>
      </w:r>
      <w:r>
        <w:rPr>
          <w:b/>
          <w:spacing w:val="-4"/>
          <w:sz w:val="24"/>
          <w:u w:val="single"/>
        </w:rPr>
        <w:t> </w:t>
      </w:r>
      <w:r>
        <w:rPr>
          <w:b/>
          <w:sz w:val="24"/>
          <w:u w:val="single"/>
        </w:rPr>
        <w:t>D6</w:t>
      </w:r>
      <w:r>
        <w:rPr>
          <w:b/>
          <w:spacing w:val="-4"/>
          <w:sz w:val="24"/>
          <w:u w:val="single"/>
        </w:rPr>
        <w:t> </w:t>
      </w:r>
      <w:r>
        <w:rPr>
          <w:b/>
          <w:sz w:val="24"/>
          <w:u w:val="single"/>
        </w:rPr>
        <w:t>–</w:t>
      </w:r>
      <w:r>
        <w:rPr>
          <w:b/>
          <w:spacing w:val="-4"/>
          <w:sz w:val="24"/>
          <w:u w:val="single"/>
        </w:rPr>
        <w:t> </w:t>
      </w:r>
      <w:r>
        <w:rPr>
          <w:b/>
          <w:sz w:val="24"/>
          <w:u w:val="single"/>
        </w:rPr>
        <w:t>Extract</w:t>
      </w:r>
      <w:r>
        <w:rPr>
          <w:b/>
          <w:spacing w:val="-4"/>
          <w:sz w:val="24"/>
          <w:u w:val="single"/>
        </w:rPr>
        <w:t> </w:t>
      </w:r>
      <w:r>
        <w:rPr>
          <w:b/>
          <w:sz w:val="24"/>
          <w:u w:val="single"/>
        </w:rPr>
        <w:t>from</w:t>
      </w:r>
      <w:r>
        <w:rPr>
          <w:b/>
          <w:spacing w:val="-4"/>
          <w:sz w:val="24"/>
          <w:u w:val="single"/>
        </w:rPr>
        <w:t> </w:t>
      </w:r>
      <w:r>
        <w:rPr>
          <w:b/>
          <w:sz w:val="24"/>
          <w:u w:val="single"/>
        </w:rPr>
        <w:t>Table</w:t>
      </w:r>
      <w:r>
        <w:rPr>
          <w:b/>
          <w:spacing w:val="-4"/>
          <w:sz w:val="24"/>
          <w:u w:val="single"/>
        </w:rPr>
        <w:t> </w:t>
      </w:r>
      <w:r>
        <w:rPr>
          <w:b/>
          <w:sz w:val="24"/>
          <w:u w:val="single"/>
        </w:rPr>
        <w:t>5:</w:t>
      </w:r>
      <w:r>
        <w:rPr>
          <w:b/>
          <w:spacing w:val="-5"/>
          <w:sz w:val="24"/>
          <w:u w:val="single"/>
        </w:rPr>
        <w:t> </w:t>
      </w:r>
      <w:r>
        <w:rPr>
          <w:b/>
          <w:sz w:val="24"/>
          <w:u w:val="single"/>
        </w:rPr>
        <w:t>Incremental</w:t>
      </w:r>
      <w:r>
        <w:rPr>
          <w:b/>
          <w:spacing w:val="-4"/>
          <w:sz w:val="24"/>
          <w:u w:val="single"/>
        </w:rPr>
        <w:t> </w:t>
      </w:r>
      <w:r>
        <w:rPr>
          <w:b/>
          <w:sz w:val="24"/>
          <w:u w:val="single"/>
        </w:rPr>
        <w:t>costs</w:t>
      </w:r>
      <w:r>
        <w:rPr>
          <w:b/>
          <w:spacing w:val="-4"/>
          <w:sz w:val="24"/>
          <w:u w:val="single"/>
        </w:rPr>
        <w:t> </w:t>
      </w:r>
      <w:r>
        <w:rPr>
          <w:b/>
          <w:sz w:val="24"/>
          <w:u w:val="single"/>
        </w:rPr>
        <w:t>of</w:t>
      </w:r>
      <w:r>
        <w:rPr>
          <w:b/>
          <w:spacing w:val="-4"/>
          <w:sz w:val="24"/>
          <w:u w:val="single"/>
        </w:rPr>
        <w:t> </w:t>
      </w:r>
      <w:r>
        <w:rPr>
          <w:b/>
          <w:sz w:val="24"/>
          <w:u w:val="single"/>
        </w:rPr>
        <w:t>applying</w:t>
      </w:r>
      <w:r>
        <w:rPr>
          <w:b/>
          <w:spacing w:val="-4"/>
          <w:sz w:val="24"/>
          <w:u w:val="single"/>
        </w:rPr>
        <w:t> </w:t>
      </w:r>
      <w:r>
        <w:rPr>
          <w:b/>
          <w:sz w:val="24"/>
          <w:u w:val="single"/>
        </w:rPr>
        <w:t>the</w:t>
      </w:r>
      <w:r>
        <w:rPr>
          <w:b/>
          <w:sz w:val="24"/>
        </w:rPr>
        <w:t> </w:t>
      </w:r>
      <w:r>
        <w:rPr>
          <w:b/>
          <w:sz w:val="24"/>
          <w:u w:val="single"/>
        </w:rPr>
        <w:t>Premises Standards to existing buildings: Full upgrades ($)</w:t>
      </w:r>
    </w:p>
    <w:p>
      <w:pPr>
        <w:pStyle w:val="BodyText"/>
        <w:spacing w:before="1" w:after="1"/>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620"/>
        <w:gridCol w:w="1668"/>
        <w:gridCol w:w="1752"/>
        <w:gridCol w:w="1800"/>
      </w:tblGrid>
      <w:tr>
        <w:trPr>
          <w:trHeight w:val="1895" w:hRule="atLeast"/>
        </w:trPr>
        <w:tc>
          <w:tcPr>
            <w:tcW w:w="1800" w:type="dxa"/>
          </w:tcPr>
          <w:p>
            <w:pPr>
              <w:pStyle w:val="TableParagraph"/>
              <w:rPr>
                <w:rFonts w:ascii="Times New Roman"/>
                <w:sz w:val="22"/>
              </w:rPr>
            </w:pPr>
          </w:p>
        </w:tc>
        <w:tc>
          <w:tcPr>
            <w:tcW w:w="1620" w:type="dxa"/>
          </w:tcPr>
          <w:p>
            <w:pPr>
              <w:pStyle w:val="TableParagraph"/>
              <w:spacing w:before="118"/>
              <w:ind w:left="107" w:right="125"/>
              <w:rPr>
                <w:b/>
                <w:sz w:val="24"/>
              </w:rPr>
            </w:pPr>
            <w:r>
              <w:rPr>
                <w:b/>
                <w:sz w:val="24"/>
              </w:rPr>
              <w:t>2 storey – office – </w:t>
            </w:r>
            <w:r>
              <w:rPr>
                <w:b/>
                <w:spacing w:val="-2"/>
                <w:sz w:val="24"/>
              </w:rPr>
              <w:t>dwelling </w:t>
            </w:r>
            <w:r>
              <w:rPr>
                <w:b/>
                <w:sz w:val="24"/>
              </w:rPr>
              <w:t>size (with </w:t>
            </w:r>
            <w:r>
              <w:rPr>
                <w:b/>
                <w:spacing w:val="-2"/>
                <w:sz w:val="24"/>
              </w:rPr>
              <w:t>exemption)</w:t>
            </w:r>
          </w:p>
        </w:tc>
        <w:tc>
          <w:tcPr>
            <w:tcW w:w="1668" w:type="dxa"/>
          </w:tcPr>
          <w:p>
            <w:pPr>
              <w:pStyle w:val="TableParagraph"/>
              <w:spacing w:before="118"/>
              <w:ind w:left="107" w:right="216"/>
              <w:rPr>
                <w:b/>
                <w:sz w:val="24"/>
              </w:rPr>
            </w:pPr>
            <w:r>
              <w:rPr>
                <w:b/>
                <w:sz w:val="24"/>
              </w:rPr>
              <w:t>2 storey – office – </w:t>
            </w:r>
            <w:r>
              <w:rPr>
                <w:b/>
                <w:spacing w:val="-2"/>
                <w:sz w:val="24"/>
              </w:rPr>
              <w:t>dwelling </w:t>
            </w:r>
            <w:r>
              <w:rPr>
                <w:b/>
                <w:spacing w:val="-4"/>
                <w:sz w:val="24"/>
              </w:rPr>
              <w:t>size </w:t>
            </w:r>
            <w:r>
              <w:rPr>
                <w:b/>
                <w:spacing w:val="-2"/>
                <w:sz w:val="24"/>
              </w:rPr>
              <w:t>(without exemption)</w:t>
            </w:r>
          </w:p>
        </w:tc>
        <w:tc>
          <w:tcPr>
            <w:tcW w:w="1752" w:type="dxa"/>
          </w:tcPr>
          <w:p>
            <w:pPr>
              <w:pStyle w:val="TableParagraph"/>
              <w:spacing w:before="118"/>
              <w:ind w:left="107"/>
              <w:rPr>
                <w:b/>
                <w:sz w:val="24"/>
              </w:rPr>
            </w:pPr>
            <w:r>
              <w:rPr>
                <w:b/>
                <w:sz w:val="24"/>
              </w:rPr>
              <w:t>2 storey – </w:t>
            </w:r>
            <w:r>
              <w:rPr>
                <w:b/>
                <w:spacing w:val="-2"/>
                <w:sz w:val="24"/>
              </w:rPr>
              <w:t>restaurant(s) (with exemption)</w:t>
            </w:r>
          </w:p>
        </w:tc>
        <w:tc>
          <w:tcPr>
            <w:tcW w:w="1800" w:type="dxa"/>
          </w:tcPr>
          <w:p>
            <w:pPr>
              <w:pStyle w:val="TableParagraph"/>
              <w:spacing w:before="118"/>
              <w:ind w:left="107"/>
              <w:rPr>
                <w:b/>
                <w:sz w:val="24"/>
              </w:rPr>
            </w:pPr>
            <w:r>
              <w:rPr>
                <w:b/>
                <w:sz w:val="24"/>
              </w:rPr>
              <w:t>2 storey – </w:t>
            </w:r>
            <w:r>
              <w:rPr>
                <w:b/>
                <w:spacing w:val="-2"/>
                <w:sz w:val="24"/>
              </w:rPr>
              <w:t>restaurant(s) (without exemption)</w:t>
            </w:r>
          </w:p>
        </w:tc>
      </w:tr>
      <w:tr>
        <w:trPr>
          <w:trHeight w:val="516" w:hRule="atLeast"/>
        </w:trPr>
        <w:tc>
          <w:tcPr>
            <w:tcW w:w="1800" w:type="dxa"/>
          </w:tcPr>
          <w:p>
            <w:pPr>
              <w:pStyle w:val="TableParagraph"/>
              <w:spacing w:before="118"/>
              <w:ind w:left="107"/>
              <w:rPr>
                <w:b/>
                <w:sz w:val="24"/>
              </w:rPr>
            </w:pPr>
            <w:r>
              <w:rPr>
                <w:b/>
                <w:spacing w:val="-2"/>
                <w:sz w:val="24"/>
              </w:rPr>
              <w:t>Class:</w:t>
            </w:r>
          </w:p>
        </w:tc>
        <w:tc>
          <w:tcPr>
            <w:tcW w:w="1620" w:type="dxa"/>
          </w:tcPr>
          <w:p>
            <w:pPr>
              <w:pStyle w:val="TableParagraph"/>
              <w:spacing w:before="116"/>
              <w:ind w:left="8"/>
              <w:jc w:val="center"/>
              <w:rPr>
                <w:sz w:val="24"/>
              </w:rPr>
            </w:pPr>
            <w:r>
              <w:rPr>
                <w:w w:val="99"/>
                <w:sz w:val="24"/>
              </w:rPr>
              <w:t>5</w:t>
            </w:r>
          </w:p>
        </w:tc>
        <w:tc>
          <w:tcPr>
            <w:tcW w:w="1668" w:type="dxa"/>
          </w:tcPr>
          <w:p>
            <w:pPr>
              <w:pStyle w:val="TableParagraph"/>
              <w:spacing w:before="116"/>
              <w:ind w:left="8"/>
              <w:jc w:val="center"/>
              <w:rPr>
                <w:sz w:val="24"/>
              </w:rPr>
            </w:pPr>
            <w:r>
              <w:rPr>
                <w:w w:val="99"/>
                <w:sz w:val="24"/>
              </w:rPr>
              <w:t>5</w:t>
            </w:r>
          </w:p>
        </w:tc>
        <w:tc>
          <w:tcPr>
            <w:tcW w:w="1752" w:type="dxa"/>
          </w:tcPr>
          <w:p>
            <w:pPr>
              <w:pStyle w:val="TableParagraph"/>
              <w:spacing w:before="116"/>
              <w:ind w:left="8"/>
              <w:jc w:val="center"/>
              <w:rPr>
                <w:sz w:val="24"/>
              </w:rPr>
            </w:pPr>
            <w:r>
              <w:rPr>
                <w:w w:val="99"/>
                <w:sz w:val="24"/>
              </w:rPr>
              <w:t>6</w:t>
            </w:r>
          </w:p>
        </w:tc>
        <w:tc>
          <w:tcPr>
            <w:tcW w:w="1800" w:type="dxa"/>
          </w:tcPr>
          <w:p>
            <w:pPr>
              <w:pStyle w:val="TableParagraph"/>
              <w:spacing w:before="116"/>
              <w:ind w:left="832"/>
              <w:rPr>
                <w:sz w:val="24"/>
              </w:rPr>
            </w:pPr>
            <w:r>
              <w:rPr>
                <w:w w:val="99"/>
                <w:sz w:val="24"/>
              </w:rPr>
              <w:t>6</w:t>
            </w:r>
          </w:p>
        </w:tc>
      </w:tr>
      <w:tr>
        <w:trPr>
          <w:trHeight w:val="1067" w:hRule="atLeast"/>
        </w:trPr>
        <w:tc>
          <w:tcPr>
            <w:tcW w:w="1800" w:type="dxa"/>
          </w:tcPr>
          <w:p>
            <w:pPr>
              <w:pStyle w:val="TableParagraph"/>
              <w:spacing w:before="118"/>
              <w:ind w:left="107"/>
              <w:rPr>
                <w:b/>
                <w:sz w:val="24"/>
              </w:rPr>
            </w:pPr>
            <w:r>
              <w:rPr>
                <w:b/>
                <w:spacing w:val="-2"/>
                <w:sz w:val="24"/>
              </w:rPr>
              <w:t>Upgrade Generic </w:t>
            </w:r>
            <w:r>
              <w:rPr>
                <w:b/>
                <w:sz w:val="24"/>
              </w:rPr>
              <w:t>Building</w:t>
            </w:r>
            <w:r>
              <w:rPr>
                <w:b/>
                <w:spacing w:val="-17"/>
                <w:sz w:val="24"/>
              </w:rPr>
              <w:t> </w:t>
            </w:r>
            <w:r>
              <w:rPr>
                <w:b/>
                <w:sz w:val="24"/>
              </w:rPr>
              <w:t>Cost</w:t>
            </w:r>
          </w:p>
        </w:tc>
        <w:tc>
          <w:tcPr>
            <w:tcW w:w="1620" w:type="dxa"/>
          </w:tcPr>
          <w:p>
            <w:pPr>
              <w:pStyle w:val="TableParagraph"/>
              <w:spacing w:before="1"/>
              <w:rPr>
                <w:b/>
                <w:sz w:val="34"/>
              </w:rPr>
            </w:pPr>
          </w:p>
          <w:p>
            <w:pPr>
              <w:pStyle w:val="TableParagraph"/>
              <w:ind w:right="96"/>
              <w:jc w:val="right"/>
              <w:rPr>
                <w:sz w:val="24"/>
              </w:rPr>
            </w:pPr>
            <w:r>
              <w:rPr>
                <w:spacing w:val="-2"/>
                <w:sz w:val="24"/>
              </w:rPr>
              <w:t>110,000</w:t>
            </w:r>
          </w:p>
        </w:tc>
        <w:tc>
          <w:tcPr>
            <w:tcW w:w="1668" w:type="dxa"/>
          </w:tcPr>
          <w:p>
            <w:pPr>
              <w:pStyle w:val="TableParagraph"/>
              <w:spacing w:before="1"/>
              <w:rPr>
                <w:b/>
                <w:sz w:val="34"/>
              </w:rPr>
            </w:pPr>
          </w:p>
          <w:p>
            <w:pPr>
              <w:pStyle w:val="TableParagraph"/>
              <w:ind w:right="96"/>
              <w:jc w:val="right"/>
              <w:rPr>
                <w:sz w:val="24"/>
              </w:rPr>
            </w:pPr>
            <w:r>
              <w:rPr>
                <w:spacing w:val="-2"/>
                <w:sz w:val="24"/>
              </w:rPr>
              <w:t>660,000</w:t>
            </w:r>
          </w:p>
        </w:tc>
        <w:tc>
          <w:tcPr>
            <w:tcW w:w="1752" w:type="dxa"/>
          </w:tcPr>
          <w:p>
            <w:pPr>
              <w:pStyle w:val="TableParagraph"/>
              <w:spacing w:before="1"/>
              <w:rPr>
                <w:b/>
                <w:sz w:val="34"/>
              </w:rPr>
            </w:pPr>
          </w:p>
          <w:p>
            <w:pPr>
              <w:pStyle w:val="TableParagraph"/>
              <w:ind w:right="97"/>
              <w:jc w:val="right"/>
              <w:rPr>
                <w:sz w:val="24"/>
              </w:rPr>
            </w:pPr>
            <w:r>
              <w:rPr>
                <w:spacing w:val="-2"/>
                <w:sz w:val="24"/>
              </w:rPr>
              <w:t>165,000</w:t>
            </w:r>
          </w:p>
        </w:tc>
        <w:tc>
          <w:tcPr>
            <w:tcW w:w="1800" w:type="dxa"/>
          </w:tcPr>
          <w:p>
            <w:pPr>
              <w:pStyle w:val="TableParagraph"/>
              <w:spacing w:before="1"/>
              <w:rPr>
                <w:b/>
                <w:sz w:val="34"/>
              </w:rPr>
            </w:pPr>
          </w:p>
          <w:p>
            <w:pPr>
              <w:pStyle w:val="TableParagraph"/>
              <w:ind w:left="824"/>
              <w:rPr>
                <w:sz w:val="24"/>
              </w:rPr>
            </w:pPr>
            <w:r>
              <w:rPr>
                <w:spacing w:val="-2"/>
                <w:sz w:val="24"/>
              </w:rPr>
              <w:t>500,000</w:t>
            </w:r>
          </w:p>
        </w:tc>
      </w:tr>
      <w:tr>
        <w:trPr>
          <w:trHeight w:val="792" w:hRule="atLeast"/>
        </w:trPr>
        <w:tc>
          <w:tcPr>
            <w:tcW w:w="1800" w:type="dxa"/>
          </w:tcPr>
          <w:p>
            <w:pPr>
              <w:pStyle w:val="TableParagraph"/>
              <w:spacing w:before="118"/>
              <w:ind w:left="107"/>
              <w:rPr>
                <w:b/>
                <w:sz w:val="24"/>
              </w:rPr>
            </w:pPr>
            <w:r>
              <w:rPr>
                <w:b/>
                <w:spacing w:val="-2"/>
                <w:sz w:val="24"/>
              </w:rPr>
              <w:t>Regulatory </w:t>
            </w:r>
            <w:r>
              <w:rPr>
                <w:b/>
                <w:spacing w:val="-4"/>
                <w:sz w:val="24"/>
              </w:rPr>
              <w:t>Cost</w:t>
            </w:r>
          </w:p>
        </w:tc>
        <w:tc>
          <w:tcPr>
            <w:tcW w:w="1620" w:type="dxa"/>
          </w:tcPr>
          <w:p>
            <w:pPr>
              <w:pStyle w:val="TableParagraph"/>
              <w:spacing w:before="1"/>
              <w:rPr>
                <w:b/>
                <w:sz w:val="22"/>
              </w:rPr>
            </w:pPr>
          </w:p>
          <w:p>
            <w:pPr>
              <w:pStyle w:val="TableParagraph"/>
              <w:ind w:right="96"/>
              <w:jc w:val="right"/>
              <w:rPr>
                <w:sz w:val="24"/>
              </w:rPr>
            </w:pPr>
            <w:r>
              <w:rPr>
                <w:spacing w:val="-2"/>
                <w:sz w:val="24"/>
              </w:rPr>
              <w:t>6,250</w:t>
            </w:r>
          </w:p>
        </w:tc>
        <w:tc>
          <w:tcPr>
            <w:tcW w:w="1668" w:type="dxa"/>
          </w:tcPr>
          <w:p>
            <w:pPr>
              <w:pStyle w:val="TableParagraph"/>
              <w:spacing w:before="1"/>
              <w:rPr>
                <w:b/>
                <w:sz w:val="22"/>
              </w:rPr>
            </w:pPr>
          </w:p>
          <w:p>
            <w:pPr>
              <w:pStyle w:val="TableParagraph"/>
              <w:ind w:right="96"/>
              <w:jc w:val="right"/>
              <w:rPr>
                <w:sz w:val="24"/>
              </w:rPr>
            </w:pPr>
            <w:r>
              <w:rPr>
                <w:spacing w:val="-2"/>
                <w:sz w:val="24"/>
              </w:rPr>
              <w:t>112,500</w:t>
            </w:r>
          </w:p>
        </w:tc>
        <w:tc>
          <w:tcPr>
            <w:tcW w:w="1752" w:type="dxa"/>
          </w:tcPr>
          <w:p>
            <w:pPr>
              <w:pStyle w:val="TableParagraph"/>
              <w:spacing w:before="1"/>
              <w:rPr>
                <w:b/>
                <w:sz w:val="22"/>
              </w:rPr>
            </w:pPr>
          </w:p>
          <w:p>
            <w:pPr>
              <w:pStyle w:val="TableParagraph"/>
              <w:ind w:right="97"/>
              <w:jc w:val="right"/>
              <w:rPr>
                <w:sz w:val="24"/>
              </w:rPr>
            </w:pPr>
            <w:r>
              <w:rPr>
                <w:spacing w:val="-2"/>
                <w:sz w:val="24"/>
              </w:rPr>
              <w:t>4,250</w:t>
            </w:r>
          </w:p>
        </w:tc>
        <w:tc>
          <w:tcPr>
            <w:tcW w:w="1800" w:type="dxa"/>
          </w:tcPr>
          <w:p>
            <w:pPr>
              <w:pStyle w:val="TableParagraph"/>
              <w:spacing w:before="1"/>
              <w:rPr>
                <w:b/>
                <w:sz w:val="22"/>
              </w:rPr>
            </w:pPr>
          </w:p>
          <w:p>
            <w:pPr>
              <w:pStyle w:val="TableParagraph"/>
              <w:ind w:left="824"/>
              <w:rPr>
                <w:sz w:val="24"/>
              </w:rPr>
            </w:pPr>
            <w:r>
              <w:rPr>
                <w:spacing w:val="-2"/>
                <w:sz w:val="24"/>
              </w:rPr>
              <w:t>104,250</w:t>
            </w:r>
          </w:p>
        </w:tc>
      </w:tr>
    </w:tbl>
    <w:p>
      <w:pPr>
        <w:spacing w:after="0"/>
        <w:rPr>
          <w:sz w:val="24"/>
        </w:rPr>
        <w:sectPr>
          <w:pgSz w:w="11900" w:h="16840"/>
          <w:pgMar w:header="0" w:footer="1130" w:top="1000" w:bottom="1320" w:left="1380" w:right="980"/>
        </w:sect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620"/>
        <w:gridCol w:w="1668"/>
        <w:gridCol w:w="1752"/>
        <w:gridCol w:w="1800"/>
      </w:tblGrid>
      <w:tr>
        <w:trPr>
          <w:trHeight w:val="1895" w:hRule="atLeast"/>
        </w:trPr>
        <w:tc>
          <w:tcPr>
            <w:tcW w:w="1800" w:type="dxa"/>
          </w:tcPr>
          <w:p>
            <w:pPr>
              <w:pStyle w:val="TableParagraph"/>
              <w:rPr>
                <w:rFonts w:ascii="Times New Roman"/>
                <w:sz w:val="24"/>
              </w:rPr>
            </w:pPr>
          </w:p>
        </w:tc>
        <w:tc>
          <w:tcPr>
            <w:tcW w:w="1620" w:type="dxa"/>
          </w:tcPr>
          <w:p>
            <w:pPr>
              <w:pStyle w:val="TableParagraph"/>
              <w:spacing w:before="118"/>
              <w:ind w:left="107" w:right="125"/>
              <w:rPr>
                <w:b/>
                <w:sz w:val="24"/>
              </w:rPr>
            </w:pPr>
            <w:r>
              <w:rPr>
                <w:b/>
                <w:sz w:val="24"/>
              </w:rPr>
              <w:t>2 storey – office – </w:t>
            </w:r>
            <w:r>
              <w:rPr>
                <w:b/>
                <w:spacing w:val="-2"/>
                <w:sz w:val="24"/>
              </w:rPr>
              <w:t>dwelling </w:t>
            </w:r>
            <w:r>
              <w:rPr>
                <w:b/>
                <w:sz w:val="24"/>
              </w:rPr>
              <w:t>size (with </w:t>
            </w:r>
            <w:r>
              <w:rPr>
                <w:b/>
                <w:spacing w:val="-2"/>
                <w:sz w:val="24"/>
              </w:rPr>
              <w:t>exemption)</w:t>
            </w:r>
          </w:p>
        </w:tc>
        <w:tc>
          <w:tcPr>
            <w:tcW w:w="1668" w:type="dxa"/>
          </w:tcPr>
          <w:p>
            <w:pPr>
              <w:pStyle w:val="TableParagraph"/>
              <w:spacing w:before="118"/>
              <w:ind w:left="107" w:right="216"/>
              <w:rPr>
                <w:b/>
                <w:sz w:val="24"/>
              </w:rPr>
            </w:pPr>
            <w:r>
              <w:rPr>
                <w:b/>
                <w:sz w:val="24"/>
              </w:rPr>
              <w:t>2 storey – office – </w:t>
            </w:r>
            <w:r>
              <w:rPr>
                <w:b/>
                <w:spacing w:val="-2"/>
                <w:sz w:val="24"/>
              </w:rPr>
              <w:t>dwelling </w:t>
            </w:r>
            <w:r>
              <w:rPr>
                <w:b/>
                <w:spacing w:val="-4"/>
                <w:sz w:val="24"/>
              </w:rPr>
              <w:t>size </w:t>
            </w:r>
            <w:r>
              <w:rPr>
                <w:b/>
                <w:spacing w:val="-2"/>
                <w:sz w:val="24"/>
              </w:rPr>
              <w:t>(without exemption)</w:t>
            </w:r>
          </w:p>
        </w:tc>
        <w:tc>
          <w:tcPr>
            <w:tcW w:w="1752" w:type="dxa"/>
          </w:tcPr>
          <w:p>
            <w:pPr>
              <w:pStyle w:val="TableParagraph"/>
              <w:spacing w:before="118"/>
              <w:ind w:left="107"/>
              <w:rPr>
                <w:b/>
                <w:sz w:val="24"/>
              </w:rPr>
            </w:pPr>
            <w:r>
              <w:rPr>
                <w:b/>
                <w:sz w:val="24"/>
              </w:rPr>
              <w:t>2 storey – </w:t>
            </w:r>
            <w:r>
              <w:rPr>
                <w:b/>
                <w:spacing w:val="-2"/>
                <w:sz w:val="24"/>
              </w:rPr>
              <w:t>restaurant(s) (with exemption)</w:t>
            </w:r>
          </w:p>
        </w:tc>
        <w:tc>
          <w:tcPr>
            <w:tcW w:w="1800" w:type="dxa"/>
          </w:tcPr>
          <w:p>
            <w:pPr>
              <w:pStyle w:val="TableParagraph"/>
              <w:spacing w:before="118"/>
              <w:ind w:left="107"/>
              <w:rPr>
                <w:b/>
                <w:sz w:val="24"/>
              </w:rPr>
            </w:pPr>
            <w:r>
              <w:rPr>
                <w:b/>
                <w:sz w:val="24"/>
              </w:rPr>
              <w:t>2 storey – </w:t>
            </w:r>
            <w:r>
              <w:rPr>
                <w:b/>
                <w:spacing w:val="-2"/>
                <w:sz w:val="24"/>
              </w:rPr>
              <w:t>restaurant(s) (without exemption)</w:t>
            </w:r>
          </w:p>
        </w:tc>
      </w:tr>
      <w:tr>
        <w:trPr>
          <w:trHeight w:val="792" w:hRule="atLeast"/>
        </w:trPr>
        <w:tc>
          <w:tcPr>
            <w:tcW w:w="1800" w:type="dxa"/>
          </w:tcPr>
          <w:p>
            <w:pPr>
              <w:pStyle w:val="TableParagraph"/>
              <w:spacing w:before="118"/>
              <w:ind w:left="107"/>
              <w:rPr>
                <w:b/>
                <w:sz w:val="24"/>
              </w:rPr>
            </w:pPr>
            <w:r>
              <w:rPr>
                <w:b/>
                <w:spacing w:val="-2"/>
                <w:sz w:val="24"/>
              </w:rPr>
              <w:t>Proportional Increase</w:t>
            </w:r>
          </w:p>
        </w:tc>
        <w:tc>
          <w:tcPr>
            <w:tcW w:w="1620" w:type="dxa"/>
          </w:tcPr>
          <w:p>
            <w:pPr>
              <w:pStyle w:val="TableParagraph"/>
              <w:spacing w:before="1"/>
              <w:rPr>
                <w:b/>
                <w:sz w:val="22"/>
              </w:rPr>
            </w:pPr>
          </w:p>
          <w:p>
            <w:pPr>
              <w:pStyle w:val="TableParagraph"/>
              <w:ind w:left="964"/>
              <w:rPr>
                <w:sz w:val="24"/>
              </w:rPr>
            </w:pPr>
            <w:r>
              <w:rPr>
                <w:spacing w:val="-4"/>
                <w:sz w:val="24"/>
              </w:rPr>
              <w:t>5.7%</w:t>
            </w:r>
          </w:p>
        </w:tc>
        <w:tc>
          <w:tcPr>
            <w:tcW w:w="1668" w:type="dxa"/>
          </w:tcPr>
          <w:p>
            <w:pPr>
              <w:pStyle w:val="TableParagraph"/>
              <w:spacing w:before="1"/>
              <w:rPr>
                <w:b/>
                <w:sz w:val="22"/>
              </w:rPr>
            </w:pPr>
          </w:p>
          <w:p>
            <w:pPr>
              <w:pStyle w:val="TableParagraph"/>
              <w:ind w:left="879"/>
              <w:rPr>
                <w:sz w:val="24"/>
              </w:rPr>
            </w:pPr>
            <w:r>
              <w:rPr>
                <w:spacing w:val="-2"/>
                <w:sz w:val="24"/>
              </w:rPr>
              <w:t>17.0%</w:t>
            </w:r>
          </w:p>
        </w:tc>
        <w:tc>
          <w:tcPr>
            <w:tcW w:w="1752" w:type="dxa"/>
          </w:tcPr>
          <w:p>
            <w:pPr>
              <w:pStyle w:val="TableParagraph"/>
              <w:spacing w:before="1"/>
              <w:rPr>
                <w:b/>
                <w:sz w:val="22"/>
              </w:rPr>
            </w:pPr>
          </w:p>
          <w:p>
            <w:pPr>
              <w:pStyle w:val="TableParagraph"/>
              <w:ind w:left="1096"/>
              <w:rPr>
                <w:sz w:val="24"/>
              </w:rPr>
            </w:pPr>
            <w:r>
              <w:rPr>
                <w:spacing w:val="-4"/>
                <w:sz w:val="24"/>
              </w:rPr>
              <w:t>2.6%</w:t>
            </w:r>
          </w:p>
        </w:tc>
        <w:tc>
          <w:tcPr>
            <w:tcW w:w="1800" w:type="dxa"/>
          </w:tcPr>
          <w:p>
            <w:pPr>
              <w:pStyle w:val="TableParagraph"/>
              <w:spacing w:before="1"/>
              <w:rPr>
                <w:b/>
                <w:sz w:val="22"/>
              </w:rPr>
            </w:pPr>
          </w:p>
          <w:p>
            <w:pPr>
              <w:pStyle w:val="TableParagraph"/>
              <w:ind w:left="1010"/>
              <w:rPr>
                <w:sz w:val="24"/>
              </w:rPr>
            </w:pPr>
            <w:r>
              <w:rPr>
                <w:spacing w:val="-2"/>
                <w:sz w:val="24"/>
              </w:rPr>
              <w:t>20.9%</w:t>
            </w:r>
          </w:p>
        </w:tc>
      </w:tr>
    </w:tbl>
    <w:p>
      <w:pPr>
        <w:pStyle w:val="BodyText"/>
        <w:spacing w:before="9"/>
        <w:rPr>
          <w:b/>
          <w:sz w:val="11"/>
        </w:rPr>
      </w:pPr>
    </w:p>
    <w:p>
      <w:pPr>
        <w:spacing w:before="92"/>
        <w:ind w:left="420" w:right="0" w:firstLine="0"/>
        <w:jc w:val="left"/>
        <w:rPr>
          <w:i/>
          <w:sz w:val="24"/>
        </w:rPr>
      </w:pPr>
      <w:bookmarkStart w:name="Benefits" w:id="186"/>
      <w:bookmarkEnd w:id="186"/>
      <w:r>
        <w:rPr/>
      </w:r>
      <w:r>
        <w:rPr>
          <w:i/>
          <w:spacing w:val="-2"/>
          <w:sz w:val="24"/>
          <w:u w:val="single"/>
        </w:rPr>
        <w:t>Benefits</w:t>
      </w:r>
    </w:p>
    <w:p>
      <w:pPr>
        <w:pStyle w:val="BodyText"/>
        <w:spacing w:before="119"/>
        <w:ind w:left="419" w:right="811"/>
        <w:jc w:val="both"/>
      </w:pPr>
      <w:r>
        <w:rPr/>
        <w:t>The proposed requirement is expected to deliver benefits to people who are deaf or hearing impaired, Blind or vision impaired and ambulant people with a mobility disability, to the extent that the upper floors of small buildings would not have been accessible or would not have provided an adequate level of safety.</w:t>
      </w:r>
      <w:r>
        <w:rPr>
          <w:spacing w:val="40"/>
        </w:rPr>
        <w:t> </w:t>
      </w:r>
      <w:r>
        <w:rPr/>
        <w:t>For example, while a person who is blind or vision impaired may have been able to gain access to the upper levels of a small building but would not have had the safety benefits provided by tactile ground surface indicators installed to warn of hazards.</w:t>
      </w:r>
    </w:p>
    <w:p>
      <w:pPr>
        <w:pStyle w:val="BodyText"/>
        <w:spacing w:before="119"/>
        <w:ind w:left="419" w:right="812"/>
        <w:jc w:val="both"/>
      </w:pPr>
      <w:r>
        <w:rPr/>
        <w:t>These benefits would apply to an estimated 1.6% of the population who are blind or vision impaired, 4% of the population that are deaf or hearing</w:t>
      </w:r>
      <w:r>
        <w:rPr>
          <w:spacing w:val="40"/>
        </w:rPr>
        <w:t> </w:t>
      </w:r>
      <w:r>
        <w:rPr/>
        <w:t>impaired and 2% of the population that are ambulant with a mobility disability. See Section 7.5.1 of the RIS for further information on the size of the affected </w:t>
      </w:r>
      <w:r>
        <w:rPr>
          <w:spacing w:val="-2"/>
        </w:rPr>
        <w:t>group.</w:t>
      </w:r>
    </w:p>
    <w:p>
      <w:pPr>
        <w:pStyle w:val="BodyText"/>
        <w:spacing w:before="120"/>
        <w:ind w:left="419" w:right="811"/>
        <w:jc w:val="both"/>
      </w:pPr>
      <w:r>
        <w:rPr/>
        <w:t>An additional source of benefits is a reduction in accidents and, therefore, in associated health care costs and costs in terms of lost production as a result of improved safety for the able bodied population.</w:t>
      </w:r>
      <w:r>
        <w:rPr>
          <w:spacing w:val="40"/>
        </w:rPr>
        <w:t> </w:t>
      </w:r>
      <w:r>
        <w:rPr/>
        <w:t>Further discussion on this benefit is contained in Section 7.6.4 of the RIS.</w:t>
      </w:r>
    </w:p>
    <w:p>
      <w:pPr>
        <w:spacing w:before="122"/>
        <w:ind w:left="419" w:right="0" w:firstLine="0"/>
        <w:jc w:val="left"/>
        <w:rPr>
          <w:i/>
          <w:sz w:val="24"/>
        </w:rPr>
      </w:pPr>
      <w:bookmarkStart w:name="Costs" w:id="187"/>
      <w:bookmarkEnd w:id="187"/>
      <w:r>
        <w:rPr/>
      </w:r>
      <w:r>
        <w:rPr>
          <w:i/>
          <w:spacing w:val="-2"/>
          <w:sz w:val="24"/>
          <w:u w:val="single"/>
        </w:rPr>
        <w:t>Costs</w:t>
      </w:r>
    </w:p>
    <w:p>
      <w:pPr>
        <w:pStyle w:val="BodyText"/>
        <w:spacing w:before="119"/>
        <w:ind w:left="419" w:right="810"/>
        <w:jc w:val="both"/>
      </w:pPr>
      <w:r>
        <w:rPr/>
        <w:t>The costs associated with the proposed change can be derived from proportioning the costs associated with making the ground floor of a small building accessible, across any upper floors, with appropriate adjustments to delete costs associated with features not relevant to the upper floors, e.g. an accessible building entrance or a wheelchair accessible sanitary facility. Revised figures (in parentheses) for buildings subject to the small building exemption, based on Tables 4 and 5 appear below.</w:t>
      </w:r>
    </w:p>
    <w:p>
      <w:pPr>
        <w:pStyle w:val="BodyText"/>
        <w:rPr>
          <w:sz w:val="26"/>
        </w:rPr>
      </w:pPr>
    </w:p>
    <w:p>
      <w:pPr>
        <w:pStyle w:val="Heading4"/>
        <w:spacing w:before="172"/>
        <w:ind w:right="811"/>
        <w:jc w:val="left"/>
        <w:rPr>
          <w:u w:val="none"/>
        </w:rPr>
      </w:pPr>
      <w:r>
        <w:rPr>
          <w:u w:val="single"/>
        </w:rPr>
        <w:t>Table</w:t>
      </w:r>
      <w:r>
        <w:rPr>
          <w:spacing w:val="-4"/>
          <w:u w:val="single"/>
        </w:rPr>
        <w:t> </w:t>
      </w:r>
      <w:r>
        <w:rPr>
          <w:u w:val="single"/>
        </w:rPr>
        <w:t>D7</w:t>
      </w:r>
      <w:r>
        <w:rPr>
          <w:spacing w:val="-4"/>
          <w:u w:val="single"/>
        </w:rPr>
        <w:t> </w:t>
      </w:r>
      <w:r>
        <w:rPr>
          <w:u w:val="single"/>
        </w:rPr>
        <w:t>–</w:t>
      </w:r>
      <w:r>
        <w:rPr>
          <w:spacing w:val="-4"/>
          <w:u w:val="single"/>
        </w:rPr>
        <w:t> </w:t>
      </w:r>
      <w:r>
        <w:rPr>
          <w:u w:val="single"/>
        </w:rPr>
        <w:t>MODIFIED</w:t>
      </w:r>
      <w:r>
        <w:rPr>
          <w:spacing w:val="-4"/>
          <w:u w:val="single"/>
        </w:rPr>
        <w:t> </w:t>
      </w:r>
      <w:r>
        <w:rPr>
          <w:u w:val="single"/>
        </w:rPr>
        <w:t>extract</w:t>
      </w:r>
      <w:r>
        <w:rPr>
          <w:spacing w:val="-4"/>
          <w:u w:val="single"/>
        </w:rPr>
        <w:t> </w:t>
      </w:r>
      <w:r>
        <w:rPr>
          <w:u w:val="single"/>
        </w:rPr>
        <w:t>from</w:t>
      </w:r>
      <w:r>
        <w:rPr>
          <w:spacing w:val="-5"/>
          <w:u w:val="single"/>
        </w:rPr>
        <w:t> </w:t>
      </w:r>
      <w:r>
        <w:rPr>
          <w:u w:val="single"/>
        </w:rPr>
        <w:t>Table</w:t>
      </w:r>
      <w:r>
        <w:rPr>
          <w:spacing w:val="-4"/>
          <w:u w:val="single"/>
        </w:rPr>
        <w:t> </w:t>
      </w:r>
      <w:r>
        <w:rPr>
          <w:u w:val="single"/>
        </w:rPr>
        <w:t>4:</w:t>
      </w:r>
      <w:r>
        <w:rPr>
          <w:spacing w:val="40"/>
          <w:u w:val="single"/>
        </w:rPr>
        <w:t> </w:t>
      </w:r>
      <w:r>
        <w:rPr>
          <w:u w:val="single"/>
        </w:rPr>
        <w:t>Estimated</w:t>
      </w:r>
      <w:r>
        <w:rPr>
          <w:spacing w:val="-4"/>
          <w:u w:val="single"/>
        </w:rPr>
        <w:t> </w:t>
      </w:r>
      <w:r>
        <w:rPr>
          <w:u w:val="single"/>
        </w:rPr>
        <w:t>costs</w:t>
      </w:r>
      <w:r>
        <w:rPr>
          <w:spacing w:val="-4"/>
          <w:u w:val="single"/>
        </w:rPr>
        <w:t> </w:t>
      </w:r>
      <w:r>
        <w:rPr>
          <w:u w:val="single"/>
        </w:rPr>
        <w:t>of</w:t>
      </w:r>
      <w:r>
        <w:rPr>
          <w:u w:val="none"/>
        </w:rPr>
        <w:t> </w:t>
      </w:r>
      <w:r>
        <w:rPr>
          <w:u w:val="single"/>
        </w:rPr>
        <w:t>implementing Premises Standards in new buildings ($)</w:t>
      </w:r>
    </w:p>
    <w:p>
      <w:pPr>
        <w:pStyle w:val="BodyText"/>
        <w:spacing w:before="7"/>
        <w:rPr>
          <w:b/>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1260"/>
        <w:gridCol w:w="1260"/>
        <w:gridCol w:w="1388"/>
        <w:gridCol w:w="1440"/>
        <w:gridCol w:w="1260"/>
        <w:gridCol w:w="1260"/>
      </w:tblGrid>
      <w:tr>
        <w:trPr>
          <w:trHeight w:val="392" w:hRule="atLeast"/>
        </w:trPr>
        <w:tc>
          <w:tcPr>
            <w:tcW w:w="1441" w:type="dxa"/>
            <w:vMerge w:val="restart"/>
          </w:tcPr>
          <w:p>
            <w:pPr>
              <w:pStyle w:val="TableParagraph"/>
              <w:rPr>
                <w:rFonts w:ascii="Times New Roman"/>
                <w:sz w:val="24"/>
              </w:rPr>
            </w:pPr>
          </w:p>
        </w:tc>
        <w:tc>
          <w:tcPr>
            <w:tcW w:w="1260" w:type="dxa"/>
            <w:tcBorders>
              <w:bottom w:val="nil"/>
            </w:tcBorders>
          </w:tcPr>
          <w:p>
            <w:pPr>
              <w:pStyle w:val="TableParagraph"/>
              <w:spacing w:line="255" w:lineRule="exact" w:before="118"/>
              <w:ind w:left="56"/>
              <w:rPr>
                <w:b/>
                <w:sz w:val="24"/>
              </w:rPr>
            </w:pPr>
            <w:r>
              <w:rPr>
                <w:b/>
                <w:sz w:val="24"/>
              </w:rPr>
              <w:t>2</w:t>
            </w:r>
            <w:r>
              <w:rPr>
                <w:b/>
                <w:spacing w:val="-1"/>
                <w:sz w:val="24"/>
              </w:rPr>
              <w:t> </w:t>
            </w:r>
            <w:r>
              <w:rPr>
                <w:b/>
                <w:sz w:val="24"/>
              </w:rPr>
              <w:t>storey</w:t>
            </w:r>
            <w:r>
              <w:rPr>
                <w:b/>
                <w:spacing w:val="-4"/>
                <w:sz w:val="24"/>
              </w:rPr>
              <w:t> </w:t>
            </w:r>
            <w:r>
              <w:rPr>
                <w:b/>
                <w:spacing w:val="-10"/>
                <w:sz w:val="24"/>
              </w:rPr>
              <w:t>–</w:t>
            </w:r>
          </w:p>
        </w:tc>
        <w:tc>
          <w:tcPr>
            <w:tcW w:w="1260" w:type="dxa"/>
            <w:tcBorders>
              <w:bottom w:val="nil"/>
            </w:tcBorders>
          </w:tcPr>
          <w:p>
            <w:pPr>
              <w:pStyle w:val="TableParagraph"/>
              <w:spacing w:line="255" w:lineRule="exact" w:before="118"/>
              <w:ind w:left="56"/>
              <w:rPr>
                <w:b/>
                <w:sz w:val="24"/>
              </w:rPr>
            </w:pPr>
            <w:r>
              <w:rPr>
                <w:b/>
                <w:sz w:val="24"/>
              </w:rPr>
              <w:t>2</w:t>
            </w:r>
            <w:r>
              <w:rPr>
                <w:b/>
                <w:spacing w:val="-1"/>
                <w:sz w:val="24"/>
              </w:rPr>
              <w:t> </w:t>
            </w:r>
            <w:r>
              <w:rPr>
                <w:b/>
                <w:sz w:val="24"/>
              </w:rPr>
              <w:t>storey</w:t>
            </w:r>
            <w:r>
              <w:rPr>
                <w:b/>
                <w:spacing w:val="-4"/>
                <w:sz w:val="24"/>
              </w:rPr>
              <w:t> </w:t>
            </w:r>
            <w:r>
              <w:rPr>
                <w:b/>
                <w:spacing w:val="-10"/>
                <w:sz w:val="24"/>
              </w:rPr>
              <w:t>–</w:t>
            </w:r>
          </w:p>
        </w:tc>
        <w:tc>
          <w:tcPr>
            <w:tcW w:w="1388" w:type="dxa"/>
            <w:tcBorders>
              <w:bottom w:val="nil"/>
            </w:tcBorders>
          </w:tcPr>
          <w:p>
            <w:pPr>
              <w:pStyle w:val="TableParagraph"/>
              <w:spacing w:line="255" w:lineRule="exact" w:before="118"/>
              <w:ind w:left="56"/>
              <w:rPr>
                <w:b/>
                <w:sz w:val="24"/>
              </w:rPr>
            </w:pPr>
            <w:r>
              <w:rPr>
                <w:b/>
                <w:sz w:val="24"/>
              </w:rPr>
              <w:t>2</w:t>
            </w:r>
            <w:r>
              <w:rPr>
                <w:b/>
                <w:spacing w:val="-1"/>
                <w:sz w:val="24"/>
              </w:rPr>
              <w:t> </w:t>
            </w:r>
            <w:r>
              <w:rPr>
                <w:b/>
                <w:sz w:val="24"/>
              </w:rPr>
              <w:t>storey</w:t>
            </w:r>
            <w:r>
              <w:rPr>
                <w:b/>
                <w:spacing w:val="-4"/>
                <w:sz w:val="24"/>
              </w:rPr>
              <w:t> </w:t>
            </w:r>
            <w:r>
              <w:rPr>
                <w:b/>
                <w:spacing w:val="-10"/>
                <w:sz w:val="24"/>
              </w:rPr>
              <w:t>–</w:t>
            </w:r>
          </w:p>
        </w:tc>
        <w:tc>
          <w:tcPr>
            <w:tcW w:w="1440" w:type="dxa"/>
            <w:tcBorders>
              <w:bottom w:val="nil"/>
            </w:tcBorders>
          </w:tcPr>
          <w:p>
            <w:pPr>
              <w:pStyle w:val="TableParagraph"/>
              <w:spacing w:line="255" w:lineRule="exact" w:before="118"/>
              <w:ind w:left="58"/>
              <w:rPr>
                <w:b/>
                <w:sz w:val="24"/>
              </w:rPr>
            </w:pPr>
            <w:r>
              <w:rPr>
                <w:b/>
                <w:sz w:val="24"/>
              </w:rPr>
              <w:t>2</w:t>
            </w:r>
            <w:r>
              <w:rPr>
                <w:b/>
                <w:spacing w:val="-1"/>
                <w:sz w:val="24"/>
              </w:rPr>
              <w:t> </w:t>
            </w:r>
            <w:r>
              <w:rPr>
                <w:b/>
                <w:sz w:val="24"/>
              </w:rPr>
              <w:t>storey</w:t>
            </w:r>
            <w:r>
              <w:rPr>
                <w:b/>
                <w:spacing w:val="-4"/>
                <w:sz w:val="24"/>
              </w:rPr>
              <w:t> </w:t>
            </w:r>
            <w:r>
              <w:rPr>
                <w:b/>
                <w:spacing w:val="-10"/>
                <w:sz w:val="24"/>
              </w:rPr>
              <w:t>-</w:t>
            </w:r>
          </w:p>
        </w:tc>
        <w:tc>
          <w:tcPr>
            <w:tcW w:w="1260" w:type="dxa"/>
            <w:tcBorders>
              <w:bottom w:val="nil"/>
            </w:tcBorders>
          </w:tcPr>
          <w:p>
            <w:pPr>
              <w:pStyle w:val="TableParagraph"/>
              <w:spacing w:line="255" w:lineRule="exact" w:before="118"/>
              <w:ind w:left="58"/>
              <w:rPr>
                <w:b/>
                <w:sz w:val="24"/>
              </w:rPr>
            </w:pPr>
            <w:r>
              <w:rPr>
                <w:b/>
                <w:sz w:val="24"/>
              </w:rPr>
              <w:t>2</w:t>
            </w:r>
            <w:r>
              <w:rPr>
                <w:b/>
                <w:spacing w:val="-1"/>
                <w:sz w:val="24"/>
              </w:rPr>
              <w:t> </w:t>
            </w:r>
            <w:r>
              <w:rPr>
                <w:b/>
                <w:sz w:val="24"/>
              </w:rPr>
              <w:t>storey</w:t>
            </w:r>
            <w:r>
              <w:rPr>
                <w:b/>
                <w:spacing w:val="-4"/>
                <w:sz w:val="24"/>
              </w:rPr>
              <w:t> </w:t>
            </w:r>
            <w:r>
              <w:rPr>
                <w:b/>
                <w:spacing w:val="-10"/>
                <w:sz w:val="24"/>
              </w:rPr>
              <w:t>–</w:t>
            </w:r>
          </w:p>
        </w:tc>
        <w:tc>
          <w:tcPr>
            <w:tcW w:w="1260" w:type="dxa"/>
            <w:tcBorders>
              <w:bottom w:val="nil"/>
            </w:tcBorders>
          </w:tcPr>
          <w:p>
            <w:pPr>
              <w:pStyle w:val="TableParagraph"/>
              <w:spacing w:line="255" w:lineRule="exact" w:before="118"/>
              <w:ind w:left="23" w:right="35"/>
              <w:jc w:val="center"/>
              <w:rPr>
                <w:b/>
                <w:sz w:val="24"/>
              </w:rPr>
            </w:pPr>
            <w:r>
              <w:rPr>
                <w:b/>
                <w:sz w:val="24"/>
              </w:rPr>
              <w:t>2</w:t>
            </w:r>
            <w:r>
              <w:rPr>
                <w:b/>
                <w:spacing w:val="-3"/>
                <w:sz w:val="24"/>
              </w:rPr>
              <w:t> </w:t>
            </w:r>
            <w:r>
              <w:rPr>
                <w:b/>
                <w:sz w:val="24"/>
              </w:rPr>
              <w:t>storey</w:t>
            </w:r>
            <w:r>
              <w:rPr>
                <w:b/>
                <w:spacing w:val="-6"/>
                <w:sz w:val="24"/>
              </w:rPr>
              <w:t> </w:t>
            </w:r>
            <w:r>
              <w:rPr>
                <w:b/>
                <w:spacing w:val="-10"/>
                <w:sz w:val="24"/>
              </w:rPr>
              <w:t>–</w:t>
            </w:r>
          </w:p>
        </w:tc>
      </w:tr>
      <w:tr>
        <w:trPr>
          <w:trHeight w:val="266" w:hRule="atLeast"/>
        </w:trPr>
        <w:tc>
          <w:tcPr>
            <w:tcW w:w="1441" w:type="dxa"/>
            <w:vMerge/>
            <w:tcBorders>
              <w:top w:val="nil"/>
            </w:tcBorders>
          </w:tcPr>
          <w:p>
            <w:pPr>
              <w:rPr>
                <w:sz w:val="2"/>
                <w:szCs w:val="2"/>
              </w:rPr>
            </w:pPr>
          </w:p>
        </w:tc>
        <w:tc>
          <w:tcPr>
            <w:tcW w:w="1260" w:type="dxa"/>
            <w:tcBorders>
              <w:top w:val="nil"/>
              <w:bottom w:val="nil"/>
            </w:tcBorders>
          </w:tcPr>
          <w:p>
            <w:pPr>
              <w:pStyle w:val="TableParagraph"/>
              <w:spacing w:line="246" w:lineRule="exact"/>
              <w:ind w:left="56"/>
              <w:rPr>
                <w:b/>
                <w:sz w:val="24"/>
              </w:rPr>
            </w:pPr>
            <w:r>
              <w:rPr>
                <w:b/>
                <w:sz w:val="24"/>
              </w:rPr>
              <w:t>office </w:t>
            </w:r>
            <w:r>
              <w:rPr>
                <w:b/>
                <w:spacing w:val="-10"/>
                <w:sz w:val="24"/>
              </w:rPr>
              <w:t>–</w:t>
            </w:r>
          </w:p>
        </w:tc>
        <w:tc>
          <w:tcPr>
            <w:tcW w:w="1260" w:type="dxa"/>
            <w:tcBorders>
              <w:top w:val="nil"/>
              <w:bottom w:val="nil"/>
            </w:tcBorders>
          </w:tcPr>
          <w:p>
            <w:pPr>
              <w:pStyle w:val="TableParagraph"/>
              <w:spacing w:line="246" w:lineRule="exact"/>
              <w:ind w:left="56"/>
              <w:rPr>
                <w:b/>
                <w:sz w:val="24"/>
              </w:rPr>
            </w:pPr>
            <w:r>
              <w:rPr>
                <w:b/>
                <w:sz w:val="24"/>
              </w:rPr>
              <w:t>office </w:t>
            </w:r>
            <w:r>
              <w:rPr>
                <w:b/>
                <w:spacing w:val="-10"/>
                <w:sz w:val="24"/>
              </w:rPr>
              <w:t>–</w:t>
            </w:r>
          </w:p>
        </w:tc>
        <w:tc>
          <w:tcPr>
            <w:tcW w:w="1388" w:type="dxa"/>
            <w:tcBorders>
              <w:top w:val="nil"/>
              <w:bottom w:val="nil"/>
            </w:tcBorders>
          </w:tcPr>
          <w:p>
            <w:pPr>
              <w:pStyle w:val="TableParagraph"/>
              <w:spacing w:line="246" w:lineRule="exact"/>
              <w:ind w:left="56"/>
              <w:rPr>
                <w:b/>
                <w:sz w:val="24"/>
              </w:rPr>
            </w:pPr>
            <w:r>
              <w:rPr>
                <w:b/>
                <w:spacing w:val="-2"/>
                <w:sz w:val="24"/>
              </w:rPr>
              <w:t>restaurant</w:t>
            </w:r>
          </w:p>
        </w:tc>
        <w:tc>
          <w:tcPr>
            <w:tcW w:w="1440" w:type="dxa"/>
            <w:tcBorders>
              <w:top w:val="nil"/>
              <w:bottom w:val="nil"/>
            </w:tcBorders>
          </w:tcPr>
          <w:p>
            <w:pPr>
              <w:pStyle w:val="TableParagraph"/>
              <w:spacing w:line="246" w:lineRule="exact"/>
              <w:ind w:left="58"/>
              <w:rPr>
                <w:b/>
                <w:sz w:val="24"/>
              </w:rPr>
            </w:pPr>
            <w:r>
              <w:rPr>
                <w:b/>
                <w:spacing w:val="-2"/>
                <w:sz w:val="24"/>
              </w:rPr>
              <w:t>restaurant</w:t>
            </w:r>
          </w:p>
        </w:tc>
        <w:tc>
          <w:tcPr>
            <w:tcW w:w="1260" w:type="dxa"/>
            <w:tcBorders>
              <w:top w:val="nil"/>
              <w:bottom w:val="nil"/>
            </w:tcBorders>
          </w:tcPr>
          <w:p>
            <w:pPr>
              <w:pStyle w:val="TableParagraph"/>
              <w:spacing w:line="246" w:lineRule="exact"/>
              <w:ind w:left="58"/>
              <w:rPr>
                <w:b/>
                <w:sz w:val="24"/>
              </w:rPr>
            </w:pPr>
            <w:r>
              <w:rPr>
                <w:b/>
                <w:sz w:val="24"/>
              </w:rPr>
              <w:t>storage</w:t>
            </w:r>
            <w:r>
              <w:rPr>
                <w:b/>
                <w:spacing w:val="-6"/>
                <w:sz w:val="24"/>
              </w:rPr>
              <w:t> </w:t>
            </w:r>
            <w:r>
              <w:rPr>
                <w:b/>
                <w:spacing w:val="-10"/>
                <w:sz w:val="24"/>
              </w:rPr>
              <w:t>/</w:t>
            </w:r>
          </w:p>
        </w:tc>
        <w:tc>
          <w:tcPr>
            <w:tcW w:w="1260" w:type="dxa"/>
            <w:tcBorders>
              <w:top w:val="nil"/>
              <w:bottom w:val="nil"/>
            </w:tcBorders>
          </w:tcPr>
          <w:p>
            <w:pPr>
              <w:pStyle w:val="TableParagraph"/>
              <w:spacing w:line="246" w:lineRule="exact"/>
              <w:ind w:left="46" w:right="177"/>
              <w:jc w:val="center"/>
              <w:rPr>
                <w:b/>
                <w:sz w:val="24"/>
              </w:rPr>
            </w:pPr>
            <w:r>
              <w:rPr>
                <w:b/>
                <w:sz w:val="24"/>
              </w:rPr>
              <w:t>storage</w:t>
            </w:r>
            <w:r>
              <w:rPr>
                <w:b/>
                <w:spacing w:val="-6"/>
                <w:sz w:val="24"/>
              </w:rPr>
              <w:t> </w:t>
            </w:r>
            <w:r>
              <w:rPr>
                <w:b/>
                <w:spacing w:val="-10"/>
                <w:sz w:val="24"/>
              </w:rPr>
              <w:t>/</w:t>
            </w:r>
          </w:p>
        </w:tc>
      </w:tr>
      <w:tr>
        <w:trPr>
          <w:trHeight w:val="266" w:hRule="atLeast"/>
        </w:trPr>
        <w:tc>
          <w:tcPr>
            <w:tcW w:w="1441" w:type="dxa"/>
            <w:vMerge/>
            <w:tcBorders>
              <w:top w:val="nil"/>
            </w:tcBorders>
          </w:tcPr>
          <w:p>
            <w:pPr>
              <w:rPr>
                <w:sz w:val="2"/>
                <w:szCs w:val="2"/>
              </w:rPr>
            </w:pPr>
          </w:p>
        </w:tc>
        <w:tc>
          <w:tcPr>
            <w:tcW w:w="1260" w:type="dxa"/>
            <w:tcBorders>
              <w:top w:val="nil"/>
              <w:bottom w:val="nil"/>
            </w:tcBorders>
          </w:tcPr>
          <w:p>
            <w:pPr>
              <w:pStyle w:val="TableParagraph"/>
              <w:spacing w:line="246" w:lineRule="exact"/>
              <w:ind w:left="56"/>
              <w:rPr>
                <w:b/>
                <w:sz w:val="24"/>
              </w:rPr>
            </w:pPr>
            <w:r>
              <w:rPr>
                <w:b/>
                <w:spacing w:val="-2"/>
                <w:sz w:val="24"/>
              </w:rPr>
              <w:t>dwelling</w:t>
            </w:r>
          </w:p>
        </w:tc>
        <w:tc>
          <w:tcPr>
            <w:tcW w:w="1260" w:type="dxa"/>
            <w:tcBorders>
              <w:top w:val="nil"/>
              <w:bottom w:val="nil"/>
            </w:tcBorders>
          </w:tcPr>
          <w:p>
            <w:pPr>
              <w:pStyle w:val="TableParagraph"/>
              <w:spacing w:line="246" w:lineRule="exact"/>
              <w:ind w:left="56"/>
              <w:rPr>
                <w:b/>
                <w:sz w:val="24"/>
              </w:rPr>
            </w:pPr>
            <w:r>
              <w:rPr>
                <w:b/>
                <w:spacing w:val="-2"/>
                <w:sz w:val="24"/>
              </w:rPr>
              <w:t>dwelling</w:t>
            </w:r>
          </w:p>
        </w:tc>
        <w:tc>
          <w:tcPr>
            <w:tcW w:w="1388" w:type="dxa"/>
            <w:tcBorders>
              <w:top w:val="nil"/>
              <w:bottom w:val="nil"/>
            </w:tcBorders>
          </w:tcPr>
          <w:p>
            <w:pPr>
              <w:pStyle w:val="TableParagraph"/>
              <w:spacing w:line="246" w:lineRule="exact"/>
              <w:ind w:left="56"/>
              <w:rPr>
                <w:b/>
                <w:sz w:val="24"/>
              </w:rPr>
            </w:pPr>
            <w:r>
              <w:rPr>
                <w:b/>
                <w:sz w:val="24"/>
              </w:rPr>
              <w:t>(s)</w:t>
            </w:r>
            <w:r>
              <w:rPr>
                <w:b/>
                <w:spacing w:val="-4"/>
                <w:sz w:val="24"/>
              </w:rPr>
              <w:t> </w:t>
            </w:r>
            <w:r>
              <w:rPr>
                <w:b/>
                <w:spacing w:val="-2"/>
                <w:sz w:val="24"/>
              </w:rPr>
              <w:t>(with</w:t>
            </w:r>
          </w:p>
        </w:tc>
        <w:tc>
          <w:tcPr>
            <w:tcW w:w="1440" w:type="dxa"/>
            <w:tcBorders>
              <w:top w:val="nil"/>
              <w:bottom w:val="nil"/>
            </w:tcBorders>
          </w:tcPr>
          <w:p>
            <w:pPr>
              <w:pStyle w:val="TableParagraph"/>
              <w:spacing w:line="246" w:lineRule="exact"/>
              <w:ind w:left="58"/>
              <w:rPr>
                <w:b/>
                <w:sz w:val="24"/>
              </w:rPr>
            </w:pPr>
            <w:r>
              <w:rPr>
                <w:b/>
                <w:spacing w:val="-2"/>
                <w:sz w:val="24"/>
              </w:rPr>
              <w:t>(without</w:t>
            </w:r>
          </w:p>
        </w:tc>
        <w:tc>
          <w:tcPr>
            <w:tcW w:w="1260" w:type="dxa"/>
            <w:tcBorders>
              <w:top w:val="nil"/>
              <w:bottom w:val="nil"/>
            </w:tcBorders>
          </w:tcPr>
          <w:p>
            <w:pPr>
              <w:pStyle w:val="TableParagraph"/>
              <w:spacing w:line="246" w:lineRule="exact"/>
              <w:ind w:left="58"/>
              <w:rPr>
                <w:b/>
                <w:sz w:val="24"/>
              </w:rPr>
            </w:pPr>
            <w:r>
              <w:rPr>
                <w:b/>
                <w:spacing w:val="-2"/>
                <w:sz w:val="24"/>
              </w:rPr>
              <w:t>w/house</w:t>
            </w:r>
          </w:p>
        </w:tc>
        <w:tc>
          <w:tcPr>
            <w:tcW w:w="1260" w:type="dxa"/>
            <w:tcBorders>
              <w:top w:val="nil"/>
              <w:bottom w:val="nil"/>
            </w:tcBorders>
          </w:tcPr>
          <w:p>
            <w:pPr>
              <w:pStyle w:val="TableParagraph"/>
              <w:spacing w:line="246" w:lineRule="exact"/>
              <w:ind w:left="7" w:right="178"/>
              <w:jc w:val="center"/>
              <w:rPr>
                <w:b/>
                <w:sz w:val="24"/>
              </w:rPr>
            </w:pPr>
            <w:r>
              <w:rPr>
                <w:b/>
                <w:spacing w:val="-2"/>
                <w:sz w:val="24"/>
              </w:rPr>
              <w:t>w/house</w:t>
            </w:r>
          </w:p>
        </w:tc>
      </w:tr>
      <w:tr>
        <w:trPr>
          <w:trHeight w:val="266" w:hRule="atLeast"/>
        </w:trPr>
        <w:tc>
          <w:tcPr>
            <w:tcW w:w="1441" w:type="dxa"/>
            <w:vMerge/>
            <w:tcBorders>
              <w:top w:val="nil"/>
            </w:tcBorders>
          </w:tcPr>
          <w:p>
            <w:pPr>
              <w:rPr>
                <w:sz w:val="2"/>
                <w:szCs w:val="2"/>
              </w:rPr>
            </w:pPr>
          </w:p>
        </w:tc>
        <w:tc>
          <w:tcPr>
            <w:tcW w:w="1260" w:type="dxa"/>
            <w:tcBorders>
              <w:top w:val="nil"/>
              <w:bottom w:val="nil"/>
            </w:tcBorders>
          </w:tcPr>
          <w:p>
            <w:pPr>
              <w:pStyle w:val="TableParagraph"/>
              <w:spacing w:line="246" w:lineRule="exact"/>
              <w:ind w:left="56"/>
              <w:rPr>
                <w:b/>
                <w:sz w:val="24"/>
              </w:rPr>
            </w:pPr>
            <w:r>
              <w:rPr>
                <w:b/>
                <w:sz w:val="24"/>
              </w:rPr>
              <w:t>size</w:t>
            </w:r>
            <w:r>
              <w:rPr>
                <w:b/>
                <w:spacing w:val="-3"/>
                <w:sz w:val="24"/>
              </w:rPr>
              <w:t> </w:t>
            </w:r>
            <w:r>
              <w:rPr>
                <w:b/>
                <w:spacing w:val="-2"/>
                <w:sz w:val="24"/>
              </w:rPr>
              <w:t>(with</w:t>
            </w:r>
          </w:p>
        </w:tc>
        <w:tc>
          <w:tcPr>
            <w:tcW w:w="1260" w:type="dxa"/>
            <w:tcBorders>
              <w:top w:val="nil"/>
              <w:bottom w:val="nil"/>
            </w:tcBorders>
          </w:tcPr>
          <w:p>
            <w:pPr>
              <w:pStyle w:val="TableParagraph"/>
              <w:spacing w:line="246" w:lineRule="exact"/>
              <w:ind w:left="56"/>
              <w:rPr>
                <w:b/>
                <w:sz w:val="24"/>
              </w:rPr>
            </w:pPr>
            <w:r>
              <w:rPr>
                <w:b/>
                <w:spacing w:val="-4"/>
                <w:sz w:val="24"/>
              </w:rPr>
              <w:t>size</w:t>
            </w:r>
          </w:p>
        </w:tc>
        <w:tc>
          <w:tcPr>
            <w:tcW w:w="1388" w:type="dxa"/>
            <w:tcBorders>
              <w:top w:val="nil"/>
              <w:bottom w:val="nil"/>
            </w:tcBorders>
          </w:tcPr>
          <w:p>
            <w:pPr>
              <w:pStyle w:val="TableParagraph"/>
              <w:spacing w:line="246" w:lineRule="exact"/>
              <w:ind w:left="56"/>
              <w:rPr>
                <w:b/>
                <w:sz w:val="24"/>
              </w:rPr>
            </w:pPr>
            <w:r>
              <w:rPr>
                <w:b/>
                <w:spacing w:val="-2"/>
                <w:sz w:val="24"/>
              </w:rPr>
              <w:t>exempt.)</w:t>
            </w:r>
          </w:p>
        </w:tc>
        <w:tc>
          <w:tcPr>
            <w:tcW w:w="1440" w:type="dxa"/>
            <w:tcBorders>
              <w:top w:val="nil"/>
              <w:bottom w:val="nil"/>
            </w:tcBorders>
          </w:tcPr>
          <w:p>
            <w:pPr>
              <w:pStyle w:val="TableParagraph"/>
              <w:spacing w:line="246" w:lineRule="exact"/>
              <w:ind w:left="58"/>
              <w:rPr>
                <w:b/>
                <w:sz w:val="24"/>
              </w:rPr>
            </w:pPr>
            <w:r>
              <w:rPr>
                <w:b/>
                <w:spacing w:val="-2"/>
                <w:sz w:val="24"/>
              </w:rPr>
              <w:t>exempt.)</w:t>
            </w:r>
          </w:p>
        </w:tc>
        <w:tc>
          <w:tcPr>
            <w:tcW w:w="1260" w:type="dxa"/>
            <w:tcBorders>
              <w:top w:val="nil"/>
              <w:bottom w:val="nil"/>
            </w:tcBorders>
          </w:tcPr>
          <w:p>
            <w:pPr>
              <w:pStyle w:val="TableParagraph"/>
              <w:spacing w:line="246" w:lineRule="exact"/>
              <w:ind w:left="58"/>
              <w:rPr>
                <w:b/>
                <w:sz w:val="24"/>
              </w:rPr>
            </w:pPr>
            <w:r>
              <w:rPr>
                <w:b/>
                <w:spacing w:val="-2"/>
                <w:sz w:val="24"/>
              </w:rPr>
              <w:t>(with</w:t>
            </w:r>
          </w:p>
        </w:tc>
        <w:tc>
          <w:tcPr>
            <w:tcW w:w="1260" w:type="dxa"/>
            <w:tcBorders>
              <w:top w:val="nil"/>
              <w:bottom w:val="nil"/>
            </w:tcBorders>
          </w:tcPr>
          <w:p>
            <w:pPr>
              <w:pStyle w:val="TableParagraph"/>
              <w:spacing w:line="246" w:lineRule="exact"/>
              <w:ind w:left="46" w:right="244"/>
              <w:jc w:val="center"/>
              <w:rPr>
                <w:b/>
                <w:sz w:val="24"/>
              </w:rPr>
            </w:pPr>
            <w:r>
              <w:rPr>
                <w:b/>
                <w:spacing w:val="-2"/>
                <w:sz w:val="24"/>
              </w:rPr>
              <w:t>(without</w:t>
            </w:r>
          </w:p>
        </w:tc>
      </w:tr>
      <w:tr>
        <w:trPr>
          <w:trHeight w:val="266" w:hRule="atLeast"/>
        </w:trPr>
        <w:tc>
          <w:tcPr>
            <w:tcW w:w="1441" w:type="dxa"/>
            <w:vMerge/>
            <w:tcBorders>
              <w:top w:val="nil"/>
            </w:tcBorders>
          </w:tcPr>
          <w:p>
            <w:pPr>
              <w:rPr>
                <w:sz w:val="2"/>
                <w:szCs w:val="2"/>
              </w:rPr>
            </w:pPr>
          </w:p>
        </w:tc>
        <w:tc>
          <w:tcPr>
            <w:tcW w:w="1260" w:type="dxa"/>
            <w:tcBorders>
              <w:top w:val="nil"/>
              <w:bottom w:val="nil"/>
            </w:tcBorders>
          </w:tcPr>
          <w:p>
            <w:pPr>
              <w:pStyle w:val="TableParagraph"/>
              <w:spacing w:line="246" w:lineRule="exact"/>
              <w:ind w:left="56"/>
              <w:rPr>
                <w:b/>
                <w:sz w:val="24"/>
              </w:rPr>
            </w:pPr>
            <w:r>
              <w:rPr>
                <w:b/>
                <w:spacing w:val="-2"/>
                <w:sz w:val="24"/>
              </w:rPr>
              <w:t>exempt.)</w:t>
            </w:r>
          </w:p>
        </w:tc>
        <w:tc>
          <w:tcPr>
            <w:tcW w:w="1260" w:type="dxa"/>
            <w:tcBorders>
              <w:top w:val="nil"/>
              <w:bottom w:val="nil"/>
            </w:tcBorders>
          </w:tcPr>
          <w:p>
            <w:pPr>
              <w:pStyle w:val="TableParagraph"/>
              <w:spacing w:line="246" w:lineRule="exact"/>
              <w:ind w:left="56"/>
              <w:rPr>
                <w:b/>
                <w:sz w:val="24"/>
              </w:rPr>
            </w:pPr>
            <w:r>
              <w:rPr>
                <w:b/>
                <w:spacing w:val="-2"/>
                <w:sz w:val="24"/>
              </w:rPr>
              <w:t>(without</w:t>
            </w:r>
          </w:p>
        </w:tc>
        <w:tc>
          <w:tcPr>
            <w:tcW w:w="1388" w:type="dxa"/>
            <w:tcBorders>
              <w:top w:val="nil"/>
              <w:bottom w:val="nil"/>
            </w:tcBorders>
          </w:tcPr>
          <w:p>
            <w:pPr>
              <w:pStyle w:val="TableParagraph"/>
              <w:rPr>
                <w:rFonts w:ascii="Times New Roman"/>
                <w:sz w:val="18"/>
              </w:rPr>
            </w:pPr>
          </w:p>
        </w:tc>
        <w:tc>
          <w:tcPr>
            <w:tcW w:w="1440" w:type="dxa"/>
            <w:tcBorders>
              <w:top w:val="nil"/>
              <w:bottom w:val="nil"/>
            </w:tcBorders>
          </w:tcPr>
          <w:p>
            <w:pPr>
              <w:pStyle w:val="TableParagraph"/>
              <w:rPr>
                <w:rFonts w:ascii="Times New Roman"/>
                <w:sz w:val="18"/>
              </w:rPr>
            </w:pPr>
          </w:p>
        </w:tc>
        <w:tc>
          <w:tcPr>
            <w:tcW w:w="1260" w:type="dxa"/>
            <w:tcBorders>
              <w:top w:val="nil"/>
              <w:bottom w:val="nil"/>
            </w:tcBorders>
          </w:tcPr>
          <w:p>
            <w:pPr>
              <w:pStyle w:val="TableParagraph"/>
              <w:spacing w:line="246" w:lineRule="exact"/>
              <w:ind w:left="58"/>
              <w:rPr>
                <w:b/>
                <w:sz w:val="24"/>
              </w:rPr>
            </w:pPr>
            <w:r>
              <w:rPr>
                <w:b/>
                <w:spacing w:val="-2"/>
                <w:sz w:val="24"/>
              </w:rPr>
              <w:t>exempt.)</w:t>
            </w:r>
          </w:p>
        </w:tc>
        <w:tc>
          <w:tcPr>
            <w:tcW w:w="1260" w:type="dxa"/>
            <w:tcBorders>
              <w:top w:val="nil"/>
              <w:bottom w:val="nil"/>
            </w:tcBorders>
          </w:tcPr>
          <w:p>
            <w:pPr>
              <w:pStyle w:val="TableParagraph"/>
              <w:spacing w:line="246" w:lineRule="exact"/>
              <w:ind w:left="33" w:right="178"/>
              <w:jc w:val="center"/>
              <w:rPr>
                <w:b/>
                <w:sz w:val="24"/>
              </w:rPr>
            </w:pPr>
            <w:r>
              <w:rPr>
                <w:b/>
                <w:spacing w:val="-2"/>
                <w:sz w:val="24"/>
              </w:rPr>
              <w:t>exempt.)</w:t>
            </w:r>
          </w:p>
        </w:tc>
      </w:tr>
      <w:tr>
        <w:trPr>
          <w:trHeight w:val="388" w:hRule="atLeast"/>
        </w:trPr>
        <w:tc>
          <w:tcPr>
            <w:tcW w:w="1441" w:type="dxa"/>
            <w:vMerge/>
            <w:tcBorders>
              <w:top w:val="nil"/>
            </w:tcBorders>
          </w:tcPr>
          <w:p>
            <w:pPr>
              <w:rPr>
                <w:sz w:val="2"/>
                <w:szCs w:val="2"/>
              </w:rPr>
            </w:pPr>
          </w:p>
        </w:tc>
        <w:tc>
          <w:tcPr>
            <w:tcW w:w="1260" w:type="dxa"/>
            <w:tcBorders>
              <w:top w:val="nil"/>
            </w:tcBorders>
          </w:tcPr>
          <w:p>
            <w:pPr>
              <w:pStyle w:val="TableParagraph"/>
              <w:rPr>
                <w:rFonts w:ascii="Times New Roman"/>
                <w:sz w:val="24"/>
              </w:rPr>
            </w:pPr>
          </w:p>
        </w:tc>
        <w:tc>
          <w:tcPr>
            <w:tcW w:w="1260" w:type="dxa"/>
            <w:tcBorders>
              <w:top w:val="nil"/>
            </w:tcBorders>
          </w:tcPr>
          <w:p>
            <w:pPr>
              <w:pStyle w:val="TableParagraph"/>
              <w:spacing w:line="267" w:lineRule="exact"/>
              <w:ind w:left="56"/>
              <w:rPr>
                <w:b/>
                <w:sz w:val="24"/>
              </w:rPr>
            </w:pPr>
            <w:r>
              <w:rPr>
                <w:b/>
                <w:spacing w:val="-2"/>
                <w:sz w:val="24"/>
              </w:rPr>
              <w:t>exempt.)</w:t>
            </w:r>
          </w:p>
        </w:tc>
        <w:tc>
          <w:tcPr>
            <w:tcW w:w="1388" w:type="dxa"/>
            <w:tcBorders>
              <w:top w:val="nil"/>
            </w:tcBorders>
          </w:tcPr>
          <w:p>
            <w:pPr>
              <w:pStyle w:val="TableParagraph"/>
              <w:rPr>
                <w:rFonts w:ascii="Times New Roman"/>
                <w:sz w:val="24"/>
              </w:rPr>
            </w:pPr>
          </w:p>
        </w:tc>
        <w:tc>
          <w:tcPr>
            <w:tcW w:w="1440" w:type="dxa"/>
            <w:tcBorders>
              <w:top w:val="nil"/>
            </w:tcBorders>
          </w:tcPr>
          <w:p>
            <w:pPr>
              <w:pStyle w:val="TableParagraph"/>
              <w:rPr>
                <w:rFonts w:ascii="Times New Roman"/>
                <w:sz w:val="24"/>
              </w:rPr>
            </w:pPr>
          </w:p>
        </w:tc>
        <w:tc>
          <w:tcPr>
            <w:tcW w:w="1260" w:type="dxa"/>
            <w:tcBorders>
              <w:top w:val="nil"/>
            </w:tcBorders>
          </w:tcPr>
          <w:p>
            <w:pPr>
              <w:pStyle w:val="TableParagraph"/>
              <w:rPr>
                <w:rFonts w:ascii="Times New Roman"/>
                <w:sz w:val="24"/>
              </w:rPr>
            </w:pPr>
          </w:p>
        </w:tc>
        <w:tc>
          <w:tcPr>
            <w:tcW w:w="1260" w:type="dxa"/>
            <w:tcBorders>
              <w:top w:val="nil"/>
            </w:tcBorders>
          </w:tcPr>
          <w:p>
            <w:pPr>
              <w:pStyle w:val="TableParagraph"/>
              <w:rPr>
                <w:rFonts w:ascii="Times New Roman"/>
                <w:sz w:val="24"/>
              </w:rPr>
            </w:pPr>
          </w:p>
        </w:tc>
      </w:tr>
    </w:tbl>
    <w:p>
      <w:pPr>
        <w:spacing w:after="0"/>
        <w:rPr>
          <w:rFonts w:ascii="Times New Roman"/>
          <w:sz w:val="24"/>
        </w:rPr>
        <w:sectPr>
          <w:type w:val="continuous"/>
          <w:pgSz w:w="11900" w:h="16840"/>
          <w:pgMar w:header="0" w:footer="1130" w:top="1080" w:bottom="1320" w:left="1380" w:right="98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1260"/>
        <w:gridCol w:w="1260"/>
        <w:gridCol w:w="1388"/>
        <w:gridCol w:w="1440"/>
        <w:gridCol w:w="1260"/>
        <w:gridCol w:w="1260"/>
      </w:tblGrid>
      <w:tr>
        <w:trPr>
          <w:trHeight w:val="1895" w:hRule="atLeast"/>
        </w:trPr>
        <w:tc>
          <w:tcPr>
            <w:tcW w:w="1441" w:type="dxa"/>
          </w:tcPr>
          <w:p>
            <w:pPr>
              <w:pStyle w:val="TableParagraph"/>
              <w:rPr>
                <w:rFonts w:ascii="Times New Roman"/>
                <w:sz w:val="24"/>
              </w:rPr>
            </w:pPr>
          </w:p>
        </w:tc>
        <w:tc>
          <w:tcPr>
            <w:tcW w:w="1260" w:type="dxa"/>
          </w:tcPr>
          <w:p>
            <w:pPr>
              <w:pStyle w:val="TableParagraph"/>
              <w:spacing w:before="118"/>
              <w:ind w:left="56"/>
              <w:rPr>
                <w:b/>
                <w:sz w:val="24"/>
              </w:rPr>
            </w:pPr>
            <w:r>
              <w:rPr>
                <w:b/>
                <w:sz w:val="24"/>
              </w:rPr>
              <w:t>2</w:t>
            </w:r>
            <w:r>
              <w:rPr>
                <w:b/>
                <w:spacing w:val="-17"/>
                <w:sz w:val="24"/>
              </w:rPr>
              <w:t> </w:t>
            </w:r>
            <w:r>
              <w:rPr>
                <w:b/>
                <w:sz w:val="24"/>
              </w:rPr>
              <w:t>storey</w:t>
            </w:r>
            <w:r>
              <w:rPr>
                <w:b/>
                <w:spacing w:val="-17"/>
                <w:sz w:val="24"/>
              </w:rPr>
              <w:t> </w:t>
            </w:r>
            <w:r>
              <w:rPr>
                <w:b/>
                <w:sz w:val="24"/>
              </w:rPr>
              <w:t>–</w:t>
            </w:r>
            <w:r>
              <w:rPr>
                <w:b/>
                <w:sz w:val="24"/>
              </w:rPr>
              <w:t> office – </w:t>
            </w:r>
            <w:r>
              <w:rPr>
                <w:b/>
                <w:spacing w:val="-2"/>
                <w:sz w:val="24"/>
              </w:rPr>
              <w:t>dwelling </w:t>
            </w:r>
            <w:r>
              <w:rPr>
                <w:b/>
                <w:sz w:val="24"/>
              </w:rPr>
              <w:t>size (with </w:t>
            </w:r>
            <w:r>
              <w:rPr>
                <w:b/>
                <w:spacing w:val="-2"/>
                <w:sz w:val="24"/>
              </w:rPr>
              <w:t>exempt.)</w:t>
            </w:r>
          </w:p>
        </w:tc>
        <w:tc>
          <w:tcPr>
            <w:tcW w:w="1260" w:type="dxa"/>
          </w:tcPr>
          <w:p>
            <w:pPr>
              <w:pStyle w:val="TableParagraph"/>
              <w:spacing w:before="118"/>
              <w:ind w:left="56"/>
              <w:rPr>
                <w:b/>
                <w:sz w:val="24"/>
              </w:rPr>
            </w:pPr>
            <w:r>
              <w:rPr>
                <w:b/>
                <w:sz w:val="24"/>
              </w:rPr>
              <w:t>2</w:t>
            </w:r>
            <w:r>
              <w:rPr>
                <w:b/>
                <w:spacing w:val="-17"/>
                <w:sz w:val="24"/>
              </w:rPr>
              <w:t> </w:t>
            </w:r>
            <w:r>
              <w:rPr>
                <w:b/>
                <w:sz w:val="24"/>
              </w:rPr>
              <w:t>storey</w:t>
            </w:r>
            <w:r>
              <w:rPr>
                <w:b/>
                <w:spacing w:val="-17"/>
                <w:sz w:val="24"/>
              </w:rPr>
              <w:t> </w:t>
            </w:r>
            <w:r>
              <w:rPr>
                <w:b/>
                <w:sz w:val="24"/>
              </w:rPr>
              <w:t>–</w:t>
            </w:r>
            <w:r>
              <w:rPr>
                <w:b/>
                <w:sz w:val="24"/>
              </w:rPr>
              <w:t> office – </w:t>
            </w:r>
            <w:r>
              <w:rPr>
                <w:b/>
                <w:spacing w:val="-2"/>
                <w:sz w:val="24"/>
              </w:rPr>
              <w:t>dwelling </w:t>
            </w:r>
            <w:r>
              <w:rPr>
                <w:b/>
                <w:spacing w:val="-4"/>
                <w:sz w:val="24"/>
              </w:rPr>
              <w:t>size </w:t>
            </w:r>
            <w:r>
              <w:rPr>
                <w:b/>
                <w:spacing w:val="-2"/>
                <w:sz w:val="24"/>
              </w:rPr>
              <w:t>(without exempt.)</w:t>
            </w:r>
          </w:p>
        </w:tc>
        <w:tc>
          <w:tcPr>
            <w:tcW w:w="1388" w:type="dxa"/>
          </w:tcPr>
          <w:p>
            <w:pPr>
              <w:pStyle w:val="TableParagraph"/>
              <w:spacing w:before="118"/>
              <w:ind w:left="56"/>
              <w:rPr>
                <w:b/>
                <w:sz w:val="24"/>
              </w:rPr>
            </w:pPr>
            <w:r>
              <w:rPr>
                <w:b/>
                <w:sz w:val="24"/>
              </w:rPr>
              <w:t>2 storey – </w:t>
            </w:r>
            <w:r>
              <w:rPr>
                <w:b/>
                <w:spacing w:val="-2"/>
                <w:sz w:val="24"/>
              </w:rPr>
              <w:t>restaurant</w:t>
            </w:r>
          </w:p>
          <w:p>
            <w:pPr>
              <w:pStyle w:val="TableParagraph"/>
              <w:ind w:left="56" w:right="331"/>
              <w:rPr>
                <w:b/>
                <w:sz w:val="24"/>
              </w:rPr>
            </w:pPr>
            <w:r>
              <w:rPr>
                <w:b/>
                <w:sz w:val="24"/>
              </w:rPr>
              <w:t>(s) (with </w:t>
            </w:r>
            <w:r>
              <w:rPr>
                <w:b/>
                <w:spacing w:val="-2"/>
                <w:sz w:val="24"/>
              </w:rPr>
              <w:t>exempt.)</w:t>
            </w:r>
          </w:p>
        </w:tc>
        <w:tc>
          <w:tcPr>
            <w:tcW w:w="1440" w:type="dxa"/>
          </w:tcPr>
          <w:p>
            <w:pPr>
              <w:pStyle w:val="TableParagraph"/>
              <w:spacing w:before="118"/>
              <w:ind w:left="57"/>
              <w:rPr>
                <w:b/>
                <w:sz w:val="24"/>
              </w:rPr>
            </w:pPr>
            <w:r>
              <w:rPr>
                <w:b/>
                <w:sz w:val="24"/>
              </w:rPr>
              <w:t>2 storey - </w:t>
            </w:r>
            <w:r>
              <w:rPr>
                <w:b/>
                <w:spacing w:val="-2"/>
                <w:sz w:val="24"/>
              </w:rPr>
              <w:t>restaurant (without exempt.)</w:t>
            </w:r>
          </w:p>
        </w:tc>
        <w:tc>
          <w:tcPr>
            <w:tcW w:w="1260" w:type="dxa"/>
          </w:tcPr>
          <w:p>
            <w:pPr>
              <w:pStyle w:val="TableParagraph"/>
              <w:spacing w:before="118"/>
              <w:ind w:left="57"/>
              <w:rPr>
                <w:b/>
                <w:sz w:val="24"/>
              </w:rPr>
            </w:pPr>
            <w:r>
              <w:rPr>
                <w:b/>
                <w:sz w:val="24"/>
              </w:rPr>
              <w:t>2</w:t>
            </w:r>
            <w:r>
              <w:rPr>
                <w:b/>
                <w:spacing w:val="-17"/>
                <w:sz w:val="24"/>
              </w:rPr>
              <w:t> </w:t>
            </w:r>
            <w:r>
              <w:rPr>
                <w:b/>
                <w:sz w:val="24"/>
              </w:rPr>
              <w:t>storey</w:t>
            </w:r>
            <w:r>
              <w:rPr>
                <w:b/>
                <w:spacing w:val="-17"/>
                <w:sz w:val="24"/>
              </w:rPr>
              <w:t> </w:t>
            </w:r>
            <w:r>
              <w:rPr>
                <w:b/>
                <w:sz w:val="24"/>
              </w:rPr>
              <w:t>–</w:t>
            </w:r>
            <w:r>
              <w:rPr>
                <w:b/>
                <w:sz w:val="24"/>
              </w:rPr>
              <w:t> storage / </w:t>
            </w:r>
            <w:r>
              <w:rPr>
                <w:b/>
                <w:spacing w:val="-2"/>
                <w:sz w:val="24"/>
              </w:rPr>
              <w:t>w/house (with exempt.)</w:t>
            </w:r>
          </w:p>
        </w:tc>
        <w:tc>
          <w:tcPr>
            <w:tcW w:w="1260" w:type="dxa"/>
          </w:tcPr>
          <w:p>
            <w:pPr>
              <w:pStyle w:val="TableParagraph"/>
              <w:spacing w:before="118"/>
              <w:ind w:left="57"/>
              <w:rPr>
                <w:b/>
                <w:sz w:val="24"/>
              </w:rPr>
            </w:pPr>
            <w:r>
              <w:rPr>
                <w:b/>
                <w:sz w:val="24"/>
              </w:rPr>
              <w:t>2</w:t>
            </w:r>
            <w:r>
              <w:rPr>
                <w:b/>
                <w:spacing w:val="-17"/>
                <w:sz w:val="24"/>
              </w:rPr>
              <w:t> </w:t>
            </w:r>
            <w:r>
              <w:rPr>
                <w:b/>
                <w:sz w:val="24"/>
              </w:rPr>
              <w:t>storey</w:t>
            </w:r>
            <w:r>
              <w:rPr>
                <w:b/>
                <w:spacing w:val="-17"/>
                <w:sz w:val="24"/>
              </w:rPr>
              <w:t> </w:t>
            </w:r>
            <w:r>
              <w:rPr>
                <w:b/>
                <w:sz w:val="24"/>
              </w:rPr>
              <w:t>–</w:t>
            </w:r>
            <w:r>
              <w:rPr>
                <w:b/>
                <w:sz w:val="24"/>
              </w:rPr>
              <w:t> storage / </w:t>
            </w:r>
            <w:r>
              <w:rPr>
                <w:b/>
                <w:spacing w:val="-2"/>
                <w:sz w:val="24"/>
              </w:rPr>
              <w:t>w/house (without exempt.)</w:t>
            </w:r>
          </w:p>
        </w:tc>
      </w:tr>
      <w:tr>
        <w:trPr>
          <w:trHeight w:val="516" w:hRule="atLeast"/>
        </w:trPr>
        <w:tc>
          <w:tcPr>
            <w:tcW w:w="1441" w:type="dxa"/>
          </w:tcPr>
          <w:p>
            <w:pPr>
              <w:pStyle w:val="TableParagraph"/>
              <w:spacing w:before="118"/>
              <w:ind w:left="57"/>
              <w:rPr>
                <w:b/>
                <w:sz w:val="24"/>
              </w:rPr>
            </w:pPr>
            <w:r>
              <w:rPr>
                <w:b/>
                <w:spacing w:val="-2"/>
                <w:sz w:val="24"/>
              </w:rPr>
              <w:t>Class</w:t>
            </w:r>
          </w:p>
        </w:tc>
        <w:tc>
          <w:tcPr>
            <w:tcW w:w="1260" w:type="dxa"/>
          </w:tcPr>
          <w:p>
            <w:pPr>
              <w:pStyle w:val="TableParagraph"/>
              <w:spacing w:before="116"/>
              <w:ind w:left="9"/>
              <w:jc w:val="center"/>
              <w:rPr>
                <w:sz w:val="24"/>
              </w:rPr>
            </w:pPr>
            <w:r>
              <w:rPr>
                <w:w w:val="99"/>
                <w:sz w:val="24"/>
              </w:rPr>
              <w:t>5</w:t>
            </w:r>
          </w:p>
        </w:tc>
        <w:tc>
          <w:tcPr>
            <w:tcW w:w="1260" w:type="dxa"/>
          </w:tcPr>
          <w:p>
            <w:pPr>
              <w:pStyle w:val="TableParagraph"/>
              <w:spacing w:before="116"/>
              <w:ind w:left="9"/>
              <w:jc w:val="center"/>
              <w:rPr>
                <w:sz w:val="24"/>
              </w:rPr>
            </w:pPr>
            <w:r>
              <w:rPr>
                <w:w w:val="99"/>
                <w:sz w:val="24"/>
              </w:rPr>
              <w:t>5</w:t>
            </w:r>
          </w:p>
        </w:tc>
        <w:tc>
          <w:tcPr>
            <w:tcW w:w="1388" w:type="dxa"/>
          </w:tcPr>
          <w:p>
            <w:pPr>
              <w:pStyle w:val="TableParagraph"/>
              <w:spacing w:before="116"/>
              <w:ind w:left="10"/>
              <w:jc w:val="center"/>
              <w:rPr>
                <w:sz w:val="24"/>
              </w:rPr>
            </w:pPr>
            <w:r>
              <w:rPr>
                <w:w w:val="99"/>
                <w:sz w:val="24"/>
              </w:rPr>
              <w:t>6</w:t>
            </w:r>
          </w:p>
        </w:tc>
        <w:tc>
          <w:tcPr>
            <w:tcW w:w="1440" w:type="dxa"/>
          </w:tcPr>
          <w:p>
            <w:pPr>
              <w:pStyle w:val="TableParagraph"/>
              <w:spacing w:before="116"/>
              <w:ind w:left="12"/>
              <w:jc w:val="center"/>
              <w:rPr>
                <w:sz w:val="24"/>
              </w:rPr>
            </w:pPr>
            <w:r>
              <w:rPr>
                <w:w w:val="99"/>
                <w:sz w:val="24"/>
              </w:rPr>
              <w:t>6</w:t>
            </w:r>
          </w:p>
        </w:tc>
        <w:tc>
          <w:tcPr>
            <w:tcW w:w="1260" w:type="dxa"/>
          </w:tcPr>
          <w:p>
            <w:pPr>
              <w:pStyle w:val="TableParagraph"/>
              <w:spacing w:before="116"/>
              <w:ind w:left="45" w:right="35"/>
              <w:jc w:val="center"/>
              <w:rPr>
                <w:sz w:val="24"/>
              </w:rPr>
            </w:pPr>
            <w:r>
              <w:rPr>
                <w:spacing w:val="-5"/>
                <w:sz w:val="24"/>
              </w:rPr>
              <w:t>7b</w:t>
            </w:r>
          </w:p>
        </w:tc>
        <w:tc>
          <w:tcPr>
            <w:tcW w:w="1260" w:type="dxa"/>
          </w:tcPr>
          <w:p>
            <w:pPr>
              <w:pStyle w:val="TableParagraph"/>
              <w:spacing w:before="116"/>
              <w:ind w:left="45" w:right="35"/>
              <w:jc w:val="center"/>
              <w:rPr>
                <w:sz w:val="24"/>
              </w:rPr>
            </w:pPr>
            <w:r>
              <w:rPr>
                <w:spacing w:val="-5"/>
                <w:sz w:val="24"/>
              </w:rPr>
              <w:t>7b</w:t>
            </w:r>
          </w:p>
        </w:tc>
      </w:tr>
      <w:tr>
        <w:trPr>
          <w:trHeight w:val="1067" w:hRule="atLeast"/>
        </w:trPr>
        <w:tc>
          <w:tcPr>
            <w:tcW w:w="1441" w:type="dxa"/>
          </w:tcPr>
          <w:p>
            <w:pPr>
              <w:pStyle w:val="TableParagraph"/>
              <w:spacing w:before="118"/>
              <w:ind w:left="57" w:right="411"/>
              <w:jc w:val="both"/>
              <w:rPr>
                <w:b/>
                <w:sz w:val="24"/>
              </w:rPr>
            </w:pPr>
            <w:r>
              <w:rPr>
                <w:b/>
                <w:spacing w:val="-2"/>
                <w:sz w:val="24"/>
              </w:rPr>
              <w:t>Generic Building </w:t>
            </w:r>
            <w:r>
              <w:rPr>
                <w:b/>
                <w:spacing w:val="-4"/>
                <w:sz w:val="24"/>
              </w:rPr>
              <w:t>Cost</w:t>
            </w:r>
          </w:p>
        </w:tc>
        <w:tc>
          <w:tcPr>
            <w:tcW w:w="1260" w:type="dxa"/>
          </w:tcPr>
          <w:p>
            <w:pPr>
              <w:pStyle w:val="TableParagraph"/>
              <w:spacing w:before="1"/>
              <w:rPr>
                <w:b/>
                <w:sz w:val="34"/>
              </w:rPr>
            </w:pPr>
          </w:p>
          <w:p>
            <w:pPr>
              <w:pStyle w:val="TableParagraph"/>
              <w:ind w:left="336"/>
              <w:rPr>
                <w:sz w:val="24"/>
              </w:rPr>
            </w:pPr>
            <w:r>
              <w:rPr>
                <w:spacing w:val="-2"/>
                <w:sz w:val="24"/>
              </w:rPr>
              <w:t>330,000</w:t>
            </w:r>
          </w:p>
        </w:tc>
        <w:tc>
          <w:tcPr>
            <w:tcW w:w="1260" w:type="dxa"/>
          </w:tcPr>
          <w:p>
            <w:pPr>
              <w:pStyle w:val="TableParagraph"/>
              <w:spacing w:before="1"/>
              <w:rPr>
                <w:b/>
                <w:sz w:val="34"/>
              </w:rPr>
            </w:pPr>
          </w:p>
          <w:p>
            <w:pPr>
              <w:pStyle w:val="TableParagraph"/>
              <w:ind w:right="46"/>
              <w:jc w:val="right"/>
              <w:rPr>
                <w:sz w:val="24"/>
              </w:rPr>
            </w:pPr>
            <w:r>
              <w:rPr>
                <w:spacing w:val="-2"/>
                <w:sz w:val="24"/>
              </w:rPr>
              <w:t>1,860,000</w:t>
            </w:r>
          </w:p>
        </w:tc>
        <w:tc>
          <w:tcPr>
            <w:tcW w:w="1388" w:type="dxa"/>
          </w:tcPr>
          <w:p>
            <w:pPr>
              <w:pStyle w:val="TableParagraph"/>
              <w:spacing w:before="1"/>
              <w:rPr>
                <w:b/>
                <w:sz w:val="34"/>
              </w:rPr>
            </w:pPr>
          </w:p>
          <w:p>
            <w:pPr>
              <w:pStyle w:val="TableParagraph"/>
              <w:ind w:left="464"/>
              <w:rPr>
                <w:sz w:val="24"/>
              </w:rPr>
            </w:pPr>
            <w:r>
              <w:rPr>
                <w:spacing w:val="-2"/>
                <w:sz w:val="24"/>
              </w:rPr>
              <w:t>550,000</w:t>
            </w:r>
          </w:p>
        </w:tc>
        <w:tc>
          <w:tcPr>
            <w:tcW w:w="1440" w:type="dxa"/>
          </w:tcPr>
          <w:p>
            <w:pPr>
              <w:pStyle w:val="TableParagraph"/>
              <w:spacing w:before="1"/>
              <w:rPr>
                <w:b/>
                <w:sz w:val="34"/>
              </w:rPr>
            </w:pPr>
          </w:p>
          <w:p>
            <w:pPr>
              <w:pStyle w:val="TableParagraph"/>
              <w:ind w:right="43"/>
              <w:jc w:val="right"/>
              <w:rPr>
                <w:sz w:val="24"/>
              </w:rPr>
            </w:pPr>
            <w:r>
              <w:rPr>
                <w:spacing w:val="-2"/>
                <w:sz w:val="24"/>
              </w:rPr>
              <w:t>3,000,000</w:t>
            </w:r>
          </w:p>
        </w:tc>
        <w:tc>
          <w:tcPr>
            <w:tcW w:w="1260" w:type="dxa"/>
          </w:tcPr>
          <w:p>
            <w:pPr>
              <w:pStyle w:val="TableParagraph"/>
              <w:spacing w:before="1"/>
              <w:rPr>
                <w:b/>
                <w:sz w:val="34"/>
              </w:rPr>
            </w:pPr>
          </w:p>
          <w:p>
            <w:pPr>
              <w:pStyle w:val="TableParagraph"/>
              <w:ind w:left="125" w:right="35"/>
              <w:jc w:val="center"/>
              <w:rPr>
                <w:sz w:val="24"/>
              </w:rPr>
            </w:pPr>
            <w:r>
              <w:rPr>
                <w:spacing w:val="-2"/>
                <w:sz w:val="24"/>
              </w:rPr>
              <w:t>4,250,000</w:t>
            </w:r>
          </w:p>
        </w:tc>
        <w:tc>
          <w:tcPr>
            <w:tcW w:w="1260" w:type="dxa"/>
          </w:tcPr>
          <w:p>
            <w:pPr>
              <w:pStyle w:val="TableParagraph"/>
              <w:spacing w:before="1"/>
              <w:rPr>
                <w:b/>
                <w:sz w:val="34"/>
              </w:rPr>
            </w:pPr>
          </w:p>
          <w:p>
            <w:pPr>
              <w:pStyle w:val="TableParagraph"/>
              <w:ind w:right="44"/>
              <w:jc w:val="right"/>
              <w:rPr>
                <w:sz w:val="24"/>
              </w:rPr>
            </w:pPr>
            <w:r>
              <w:rPr>
                <w:spacing w:val="-2"/>
                <w:sz w:val="24"/>
              </w:rPr>
              <w:t>5,100,000</w:t>
            </w:r>
          </w:p>
        </w:tc>
      </w:tr>
      <w:tr>
        <w:trPr>
          <w:trHeight w:val="911" w:hRule="atLeast"/>
        </w:trPr>
        <w:tc>
          <w:tcPr>
            <w:tcW w:w="1441" w:type="dxa"/>
          </w:tcPr>
          <w:p>
            <w:pPr>
              <w:pStyle w:val="TableParagraph"/>
              <w:spacing w:before="118"/>
              <w:ind w:left="57"/>
              <w:rPr>
                <w:b/>
                <w:sz w:val="24"/>
              </w:rPr>
            </w:pPr>
            <w:r>
              <w:rPr>
                <w:b/>
                <w:spacing w:val="-2"/>
                <w:sz w:val="24"/>
              </w:rPr>
              <w:t>Regulation Costs</w:t>
            </w:r>
          </w:p>
        </w:tc>
        <w:tc>
          <w:tcPr>
            <w:tcW w:w="1260" w:type="dxa"/>
          </w:tcPr>
          <w:p>
            <w:pPr>
              <w:pStyle w:val="TableParagraph"/>
              <w:spacing w:before="116"/>
              <w:ind w:right="45"/>
              <w:jc w:val="right"/>
              <w:rPr>
                <w:sz w:val="24"/>
              </w:rPr>
            </w:pPr>
            <w:r>
              <w:rPr>
                <w:spacing w:val="-2"/>
                <w:sz w:val="24"/>
              </w:rPr>
              <w:t>13,500</w:t>
            </w:r>
          </w:p>
          <w:p>
            <w:pPr>
              <w:pStyle w:val="TableParagraph"/>
              <w:spacing w:before="120"/>
              <w:ind w:right="45"/>
              <w:jc w:val="right"/>
              <w:rPr>
                <w:sz w:val="24"/>
              </w:rPr>
            </w:pPr>
            <w:r>
              <w:rPr>
                <w:spacing w:val="-2"/>
                <w:sz w:val="24"/>
              </w:rPr>
              <w:t>(15,000)</w:t>
            </w:r>
          </w:p>
        </w:tc>
        <w:tc>
          <w:tcPr>
            <w:tcW w:w="1260" w:type="dxa"/>
          </w:tcPr>
          <w:p>
            <w:pPr>
              <w:pStyle w:val="TableParagraph"/>
              <w:spacing w:before="4"/>
              <w:rPr>
                <w:b/>
                <w:sz w:val="27"/>
              </w:rPr>
            </w:pPr>
          </w:p>
          <w:p>
            <w:pPr>
              <w:pStyle w:val="TableParagraph"/>
              <w:ind w:right="45"/>
              <w:jc w:val="right"/>
              <w:rPr>
                <w:sz w:val="24"/>
              </w:rPr>
            </w:pPr>
            <w:r>
              <w:rPr>
                <w:spacing w:val="-2"/>
                <w:sz w:val="24"/>
              </w:rPr>
              <w:t>115,250</w:t>
            </w:r>
          </w:p>
        </w:tc>
        <w:tc>
          <w:tcPr>
            <w:tcW w:w="1388" w:type="dxa"/>
          </w:tcPr>
          <w:p>
            <w:pPr>
              <w:pStyle w:val="TableParagraph"/>
              <w:spacing w:before="116"/>
              <w:ind w:right="44"/>
              <w:jc w:val="right"/>
              <w:rPr>
                <w:sz w:val="24"/>
              </w:rPr>
            </w:pPr>
            <w:r>
              <w:rPr>
                <w:spacing w:val="-2"/>
                <w:sz w:val="24"/>
              </w:rPr>
              <w:t>15,100</w:t>
            </w:r>
          </w:p>
          <w:p>
            <w:pPr>
              <w:pStyle w:val="TableParagraph"/>
              <w:spacing w:before="120"/>
              <w:ind w:right="45"/>
              <w:jc w:val="right"/>
              <w:rPr>
                <w:sz w:val="24"/>
              </w:rPr>
            </w:pPr>
            <w:r>
              <w:rPr>
                <w:spacing w:val="-2"/>
                <w:sz w:val="24"/>
              </w:rPr>
              <w:t>(16,500)</w:t>
            </w:r>
          </w:p>
        </w:tc>
        <w:tc>
          <w:tcPr>
            <w:tcW w:w="1440" w:type="dxa"/>
          </w:tcPr>
          <w:p>
            <w:pPr>
              <w:pStyle w:val="TableParagraph"/>
              <w:spacing w:before="4"/>
              <w:rPr>
                <w:b/>
                <w:sz w:val="27"/>
              </w:rPr>
            </w:pPr>
          </w:p>
          <w:p>
            <w:pPr>
              <w:pStyle w:val="TableParagraph"/>
              <w:ind w:right="44"/>
              <w:jc w:val="right"/>
              <w:rPr>
                <w:sz w:val="24"/>
              </w:rPr>
            </w:pPr>
            <w:r>
              <w:rPr>
                <w:spacing w:val="-2"/>
                <w:sz w:val="24"/>
              </w:rPr>
              <w:t>130,000</w:t>
            </w:r>
          </w:p>
        </w:tc>
        <w:tc>
          <w:tcPr>
            <w:tcW w:w="1260" w:type="dxa"/>
          </w:tcPr>
          <w:p>
            <w:pPr>
              <w:pStyle w:val="TableParagraph"/>
              <w:spacing w:before="116"/>
              <w:ind w:right="44"/>
              <w:jc w:val="right"/>
              <w:rPr>
                <w:sz w:val="24"/>
              </w:rPr>
            </w:pPr>
            <w:r>
              <w:rPr>
                <w:spacing w:val="-2"/>
                <w:sz w:val="24"/>
              </w:rPr>
              <w:t>27,900</w:t>
            </w:r>
          </w:p>
          <w:p>
            <w:pPr>
              <w:pStyle w:val="TableParagraph"/>
              <w:spacing w:before="120"/>
              <w:ind w:right="44"/>
              <w:jc w:val="right"/>
              <w:rPr>
                <w:sz w:val="24"/>
              </w:rPr>
            </w:pPr>
            <w:r>
              <w:rPr>
                <w:spacing w:val="-2"/>
                <w:sz w:val="24"/>
              </w:rPr>
              <w:t>(29,900)</w:t>
            </w:r>
          </w:p>
        </w:tc>
        <w:tc>
          <w:tcPr>
            <w:tcW w:w="1260" w:type="dxa"/>
          </w:tcPr>
          <w:p>
            <w:pPr>
              <w:pStyle w:val="TableParagraph"/>
              <w:spacing w:before="4"/>
              <w:rPr>
                <w:b/>
                <w:sz w:val="27"/>
              </w:rPr>
            </w:pPr>
          </w:p>
          <w:p>
            <w:pPr>
              <w:pStyle w:val="TableParagraph"/>
              <w:ind w:right="44"/>
              <w:jc w:val="right"/>
              <w:rPr>
                <w:sz w:val="24"/>
              </w:rPr>
            </w:pPr>
            <w:r>
              <w:rPr>
                <w:spacing w:val="-2"/>
                <w:sz w:val="24"/>
              </w:rPr>
              <w:t>144,900</w:t>
            </w:r>
          </w:p>
        </w:tc>
      </w:tr>
      <w:tr>
        <w:trPr>
          <w:trHeight w:val="912" w:hRule="atLeast"/>
        </w:trPr>
        <w:tc>
          <w:tcPr>
            <w:tcW w:w="1441" w:type="dxa"/>
          </w:tcPr>
          <w:p>
            <w:pPr>
              <w:pStyle w:val="TableParagraph"/>
              <w:spacing w:before="118"/>
              <w:ind w:left="57"/>
              <w:rPr>
                <w:b/>
                <w:sz w:val="24"/>
              </w:rPr>
            </w:pPr>
            <w:r>
              <w:rPr>
                <w:b/>
                <w:spacing w:val="-2"/>
                <w:sz w:val="24"/>
              </w:rPr>
              <w:t>Proportion </w:t>
            </w:r>
            <w:r>
              <w:rPr>
                <w:b/>
                <w:sz w:val="24"/>
              </w:rPr>
              <w:t>al</w:t>
            </w:r>
            <w:r>
              <w:rPr>
                <w:b/>
                <w:spacing w:val="-1"/>
                <w:sz w:val="24"/>
              </w:rPr>
              <w:t> </w:t>
            </w:r>
            <w:r>
              <w:rPr>
                <w:b/>
                <w:spacing w:val="-2"/>
                <w:sz w:val="24"/>
              </w:rPr>
              <w:t>Increase</w:t>
            </w:r>
          </w:p>
        </w:tc>
        <w:tc>
          <w:tcPr>
            <w:tcW w:w="1260" w:type="dxa"/>
          </w:tcPr>
          <w:p>
            <w:pPr>
              <w:pStyle w:val="TableParagraph"/>
              <w:spacing w:before="116"/>
              <w:ind w:right="45"/>
              <w:jc w:val="right"/>
              <w:rPr>
                <w:sz w:val="24"/>
              </w:rPr>
            </w:pPr>
            <w:r>
              <w:rPr>
                <w:spacing w:val="-4"/>
                <w:sz w:val="24"/>
              </w:rPr>
              <w:t>4.1%</w:t>
            </w:r>
          </w:p>
          <w:p>
            <w:pPr>
              <w:pStyle w:val="TableParagraph"/>
              <w:spacing w:before="120"/>
              <w:ind w:right="45"/>
              <w:jc w:val="right"/>
              <w:rPr>
                <w:sz w:val="24"/>
              </w:rPr>
            </w:pPr>
            <w:r>
              <w:rPr>
                <w:spacing w:val="-2"/>
                <w:sz w:val="24"/>
              </w:rPr>
              <w:t>(4.5%)</w:t>
            </w:r>
          </w:p>
        </w:tc>
        <w:tc>
          <w:tcPr>
            <w:tcW w:w="1260" w:type="dxa"/>
          </w:tcPr>
          <w:p>
            <w:pPr>
              <w:pStyle w:val="TableParagraph"/>
              <w:spacing w:before="4"/>
              <w:rPr>
                <w:b/>
                <w:sz w:val="27"/>
              </w:rPr>
            </w:pPr>
          </w:p>
          <w:p>
            <w:pPr>
              <w:pStyle w:val="TableParagraph"/>
              <w:ind w:right="46"/>
              <w:jc w:val="right"/>
              <w:rPr>
                <w:sz w:val="24"/>
              </w:rPr>
            </w:pPr>
            <w:r>
              <w:rPr>
                <w:spacing w:val="-4"/>
                <w:sz w:val="24"/>
              </w:rPr>
              <w:t>6.2%</w:t>
            </w:r>
          </w:p>
        </w:tc>
        <w:tc>
          <w:tcPr>
            <w:tcW w:w="1388" w:type="dxa"/>
          </w:tcPr>
          <w:p>
            <w:pPr>
              <w:pStyle w:val="TableParagraph"/>
              <w:spacing w:before="116"/>
              <w:ind w:left="784"/>
              <w:rPr>
                <w:sz w:val="24"/>
              </w:rPr>
            </w:pPr>
            <w:r>
              <w:rPr>
                <w:spacing w:val="-4"/>
                <w:sz w:val="24"/>
              </w:rPr>
              <w:t>2.7%</w:t>
            </w:r>
          </w:p>
          <w:p>
            <w:pPr>
              <w:pStyle w:val="TableParagraph"/>
              <w:spacing w:before="120"/>
              <w:ind w:left="824"/>
              <w:rPr>
                <w:sz w:val="24"/>
              </w:rPr>
            </w:pPr>
            <w:r>
              <w:rPr>
                <w:spacing w:val="-4"/>
                <w:sz w:val="24"/>
              </w:rPr>
              <w:t>(3%)</w:t>
            </w:r>
          </w:p>
        </w:tc>
        <w:tc>
          <w:tcPr>
            <w:tcW w:w="1440" w:type="dxa"/>
          </w:tcPr>
          <w:p>
            <w:pPr>
              <w:pStyle w:val="TableParagraph"/>
              <w:spacing w:before="4"/>
              <w:rPr>
                <w:b/>
                <w:sz w:val="27"/>
              </w:rPr>
            </w:pPr>
          </w:p>
          <w:p>
            <w:pPr>
              <w:pStyle w:val="TableParagraph"/>
              <w:ind w:right="44"/>
              <w:jc w:val="right"/>
              <w:rPr>
                <w:sz w:val="24"/>
              </w:rPr>
            </w:pPr>
            <w:r>
              <w:rPr>
                <w:spacing w:val="-4"/>
                <w:sz w:val="24"/>
              </w:rPr>
              <w:t>4.4%</w:t>
            </w:r>
          </w:p>
        </w:tc>
        <w:tc>
          <w:tcPr>
            <w:tcW w:w="1260" w:type="dxa"/>
          </w:tcPr>
          <w:p>
            <w:pPr>
              <w:pStyle w:val="TableParagraph"/>
              <w:spacing w:before="116"/>
              <w:ind w:right="44"/>
              <w:jc w:val="right"/>
              <w:rPr>
                <w:sz w:val="24"/>
              </w:rPr>
            </w:pPr>
            <w:r>
              <w:rPr>
                <w:spacing w:val="-4"/>
                <w:sz w:val="24"/>
              </w:rPr>
              <w:t>0.7%</w:t>
            </w:r>
          </w:p>
          <w:p>
            <w:pPr>
              <w:pStyle w:val="TableParagraph"/>
              <w:spacing w:before="120"/>
              <w:ind w:right="43"/>
              <w:jc w:val="right"/>
              <w:rPr>
                <w:sz w:val="24"/>
              </w:rPr>
            </w:pPr>
            <w:r>
              <w:rPr>
                <w:spacing w:val="-2"/>
                <w:sz w:val="24"/>
              </w:rPr>
              <w:t>(0.71%)</w:t>
            </w:r>
          </w:p>
        </w:tc>
        <w:tc>
          <w:tcPr>
            <w:tcW w:w="1260" w:type="dxa"/>
          </w:tcPr>
          <w:p>
            <w:pPr>
              <w:pStyle w:val="TableParagraph"/>
              <w:spacing w:before="4"/>
              <w:rPr>
                <w:b/>
                <w:sz w:val="27"/>
              </w:rPr>
            </w:pPr>
          </w:p>
          <w:p>
            <w:pPr>
              <w:pStyle w:val="TableParagraph"/>
              <w:ind w:right="44"/>
              <w:jc w:val="right"/>
              <w:rPr>
                <w:sz w:val="24"/>
              </w:rPr>
            </w:pPr>
            <w:r>
              <w:rPr>
                <w:spacing w:val="-4"/>
                <w:sz w:val="24"/>
              </w:rPr>
              <w:t>2.8%</w:t>
            </w:r>
          </w:p>
        </w:tc>
      </w:tr>
    </w:tbl>
    <w:p>
      <w:pPr>
        <w:pStyle w:val="BodyText"/>
        <w:rPr>
          <w:b/>
          <w:sz w:val="12"/>
        </w:rPr>
      </w:pPr>
    </w:p>
    <w:p>
      <w:pPr>
        <w:spacing w:before="92"/>
        <w:ind w:left="420" w:right="848" w:firstLine="0"/>
        <w:jc w:val="both"/>
        <w:rPr>
          <w:b/>
          <w:sz w:val="24"/>
        </w:rPr>
      </w:pPr>
      <w:r>
        <w:rPr>
          <w:b/>
          <w:sz w:val="24"/>
          <w:u w:val="single"/>
        </w:rPr>
        <w:t>Table D8 – MODIFIED Extract from Table 5: Incremental costs of</w:t>
      </w:r>
      <w:r>
        <w:rPr>
          <w:b/>
          <w:sz w:val="24"/>
        </w:rPr>
        <w:t> </w:t>
      </w:r>
      <w:r>
        <w:rPr>
          <w:b/>
          <w:sz w:val="24"/>
          <w:u w:val="single"/>
        </w:rPr>
        <w:t>applying</w:t>
      </w:r>
      <w:r>
        <w:rPr>
          <w:b/>
          <w:spacing w:val="-5"/>
          <w:sz w:val="24"/>
          <w:u w:val="single"/>
        </w:rPr>
        <w:t> </w:t>
      </w:r>
      <w:r>
        <w:rPr>
          <w:b/>
          <w:sz w:val="24"/>
          <w:u w:val="single"/>
        </w:rPr>
        <w:t>the</w:t>
      </w:r>
      <w:r>
        <w:rPr>
          <w:b/>
          <w:spacing w:val="-5"/>
          <w:sz w:val="24"/>
          <w:u w:val="single"/>
        </w:rPr>
        <w:t> </w:t>
      </w:r>
      <w:r>
        <w:rPr>
          <w:b/>
          <w:sz w:val="24"/>
          <w:u w:val="single"/>
        </w:rPr>
        <w:t>Premises</w:t>
      </w:r>
      <w:r>
        <w:rPr>
          <w:b/>
          <w:spacing w:val="-5"/>
          <w:sz w:val="24"/>
          <w:u w:val="single"/>
        </w:rPr>
        <w:t> </w:t>
      </w:r>
      <w:r>
        <w:rPr>
          <w:b/>
          <w:sz w:val="24"/>
          <w:u w:val="single"/>
        </w:rPr>
        <w:t>Standards</w:t>
      </w:r>
      <w:r>
        <w:rPr>
          <w:b/>
          <w:spacing w:val="-5"/>
          <w:sz w:val="24"/>
          <w:u w:val="single"/>
        </w:rPr>
        <w:t> </w:t>
      </w:r>
      <w:r>
        <w:rPr>
          <w:b/>
          <w:sz w:val="24"/>
          <w:u w:val="single"/>
        </w:rPr>
        <w:t>to</w:t>
      </w:r>
      <w:r>
        <w:rPr>
          <w:b/>
          <w:spacing w:val="-5"/>
          <w:sz w:val="24"/>
          <w:u w:val="single"/>
        </w:rPr>
        <w:t> </w:t>
      </w:r>
      <w:r>
        <w:rPr>
          <w:b/>
          <w:sz w:val="24"/>
          <w:u w:val="single"/>
        </w:rPr>
        <w:t>existing</w:t>
      </w:r>
      <w:r>
        <w:rPr>
          <w:b/>
          <w:spacing w:val="-5"/>
          <w:sz w:val="24"/>
          <w:u w:val="single"/>
        </w:rPr>
        <w:t> </w:t>
      </w:r>
      <w:r>
        <w:rPr>
          <w:b/>
          <w:sz w:val="24"/>
          <w:u w:val="single"/>
        </w:rPr>
        <w:t>buildings:</w:t>
      </w:r>
      <w:r>
        <w:rPr>
          <w:b/>
          <w:spacing w:val="-5"/>
          <w:sz w:val="24"/>
          <w:u w:val="single"/>
        </w:rPr>
        <w:t> </w:t>
      </w:r>
      <w:r>
        <w:rPr>
          <w:b/>
          <w:sz w:val="24"/>
          <w:u w:val="single"/>
        </w:rPr>
        <w:t>Full</w:t>
      </w:r>
      <w:r>
        <w:rPr>
          <w:b/>
          <w:spacing w:val="-4"/>
          <w:sz w:val="24"/>
          <w:u w:val="single"/>
        </w:rPr>
        <w:t> </w:t>
      </w:r>
      <w:r>
        <w:rPr>
          <w:b/>
          <w:sz w:val="24"/>
          <w:u w:val="single"/>
        </w:rPr>
        <w:t>upgrades</w:t>
      </w:r>
      <w:r>
        <w:rPr>
          <w:b/>
          <w:spacing w:val="-4"/>
          <w:sz w:val="24"/>
          <w:u w:val="single"/>
        </w:rPr>
        <w:t> </w:t>
      </w:r>
      <w:r>
        <w:rPr>
          <w:b/>
          <w:sz w:val="24"/>
          <w:u w:val="single"/>
        </w:rPr>
        <w:t>($)</w:t>
      </w:r>
    </w:p>
    <w:p>
      <w:pPr>
        <w:pStyle w:val="BodyText"/>
        <w:spacing w:before="1"/>
        <w:rPr>
          <w:b/>
        </w:rPr>
      </w:pPr>
    </w:p>
    <w:tbl>
      <w:tblPr>
        <w:tblW w:w="0" w:type="auto"/>
        <w:jc w:val="left"/>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690"/>
        <w:gridCol w:w="1689"/>
        <w:gridCol w:w="1690"/>
        <w:gridCol w:w="1689"/>
      </w:tblGrid>
      <w:tr>
        <w:trPr>
          <w:trHeight w:val="1620" w:hRule="atLeast"/>
        </w:trPr>
        <w:tc>
          <w:tcPr>
            <w:tcW w:w="1800" w:type="dxa"/>
          </w:tcPr>
          <w:p>
            <w:pPr>
              <w:pStyle w:val="TableParagraph"/>
              <w:rPr>
                <w:rFonts w:ascii="Times New Roman"/>
                <w:sz w:val="24"/>
              </w:rPr>
            </w:pPr>
          </w:p>
        </w:tc>
        <w:tc>
          <w:tcPr>
            <w:tcW w:w="1690" w:type="dxa"/>
          </w:tcPr>
          <w:p>
            <w:pPr>
              <w:pStyle w:val="TableParagraph"/>
              <w:spacing w:before="118"/>
              <w:ind w:left="107" w:right="195"/>
              <w:rPr>
                <w:b/>
                <w:sz w:val="24"/>
              </w:rPr>
            </w:pPr>
            <w:r>
              <w:rPr>
                <w:b/>
                <w:sz w:val="24"/>
              </w:rPr>
              <w:t>2 storey – office – </w:t>
            </w:r>
            <w:r>
              <w:rPr>
                <w:b/>
                <w:spacing w:val="-2"/>
                <w:sz w:val="24"/>
              </w:rPr>
              <w:t>dwelling </w:t>
            </w:r>
            <w:r>
              <w:rPr>
                <w:b/>
                <w:sz w:val="24"/>
              </w:rPr>
              <w:t>size (with </w:t>
            </w:r>
            <w:r>
              <w:rPr>
                <w:b/>
                <w:spacing w:val="-2"/>
                <w:sz w:val="24"/>
              </w:rPr>
              <w:t>exemption)</w:t>
            </w:r>
          </w:p>
        </w:tc>
        <w:tc>
          <w:tcPr>
            <w:tcW w:w="1689" w:type="dxa"/>
          </w:tcPr>
          <w:p>
            <w:pPr>
              <w:pStyle w:val="TableParagraph"/>
              <w:spacing w:before="118"/>
              <w:ind w:left="107" w:right="115"/>
              <w:rPr>
                <w:b/>
                <w:sz w:val="24"/>
              </w:rPr>
            </w:pPr>
            <w:r>
              <w:rPr>
                <w:b/>
                <w:sz w:val="24"/>
              </w:rPr>
              <w:t>2 storey – office – </w:t>
            </w:r>
            <w:r>
              <w:rPr>
                <w:b/>
                <w:spacing w:val="-2"/>
                <w:sz w:val="24"/>
              </w:rPr>
              <w:t>dwelling</w:t>
            </w:r>
            <w:r>
              <w:rPr>
                <w:b/>
                <w:spacing w:val="40"/>
                <w:sz w:val="24"/>
              </w:rPr>
              <w:t> </w:t>
            </w:r>
            <w:r>
              <w:rPr>
                <w:b/>
                <w:sz w:val="24"/>
              </w:rPr>
              <w:t>size</w:t>
            </w:r>
            <w:r>
              <w:rPr>
                <w:b/>
                <w:spacing w:val="-17"/>
                <w:sz w:val="24"/>
              </w:rPr>
              <w:t> </w:t>
            </w:r>
            <w:r>
              <w:rPr>
                <w:b/>
                <w:sz w:val="24"/>
              </w:rPr>
              <w:t>(without </w:t>
            </w:r>
            <w:r>
              <w:rPr>
                <w:b/>
                <w:spacing w:val="-2"/>
                <w:sz w:val="24"/>
              </w:rPr>
              <w:t>exemption)</w:t>
            </w:r>
          </w:p>
        </w:tc>
        <w:tc>
          <w:tcPr>
            <w:tcW w:w="1690" w:type="dxa"/>
          </w:tcPr>
          <w:p>
            <w:pPr>
              <w:pStyle w:val="TableParagraph"/>
              <w:spacing w:before="118"/>
              <w:ind w:left="106"/>
              <w:rPr>
                <w:b/>
                <w:sz w:val="24"/>
              </w:rPr>
            </w:pPr>
            <w:r>
              <w:rPr>
                <w:b/>
                <w:sz w:val="24"/>
              </w:rPr>
              <w:t>2 storey – </w:t>
            </w:r>
            <w:r>
              <w:rPr>
                <w:b/>
                <w:spacing w:val="-2"/>
                <w:sz w:val="24"/>
              </w:rPr>
              <w:t>restaurant(s) (with exemption)</w:t>
            </w:r>
          </w:p>
        </w:tc>
        <w:tc>
          <w:tcPr>
            <w:tcW w:w="1689" w:type="dxa"/>
          </w:tcPr>
          <w:p>
            <w:pPr>
              <w:pStyle w:val="TableParagraph"/>
              <w:spacing w:before="118"/>
              <w:ind w:left="106"/>
              <w:rPr>
                <w:b/>
                <w:sz w:val="24"/>
              </w:rPr>
            </w:pPr>
            <w:r>
              <w:rPr>
                <w:b/>
                <w:sz w:val="24"/>
              </w:rPr>
              <w:t>2 storey – </w:t>
            </w:r>
            <w:r>
              <w:rPr>
                <w:b/>
                <w:spacing w:val="-2"/>
                <w:sz w:val="24"/>
              </w:rPr>
              <w:t>restaurant(s) (without exemption)</w:t>
            </w:r>
          </w:p>
        </w:tc>
      </w:tr>
      <w:tr>
        <w:trPr>
          <w:trHeight w:val="515" w:hRule="atLeast"/>
        </w:trPr>
        <w:tc>
          <w:tcPr>
            <w:tcW w:w="1800" w:type="dxa"/>
          </w:tcPr>
          <w:p>
            <w:pPr>
              <w:pStyle w:val="TableParagraph"/>
              <w:spacing w:before="118"/>
              <w:ind w:left="107"/>
              <w:rPr>
                <w:b/>
                <w:sz w:val="24"/>
              </w:rPr>
            </w:pPr>
            <w:r>
              <w:rPr>
                <w:b/>
                <w:spacing w:val="-2"/>
                <w:sz w:val="24"/>
              </w:rPr>
              <w:t>Class</w:t>
            </w:r>
          </w:p>
        </w:tc>
        <w:tc>
          <w:tcPr>
            <w:tcW w:w="1690" w:type="dxa"/>
          </w:tcPr>
          <w:p>
            <w:pPr>
              <w:pStyle w:val="TableParagraph"/>
              <w:spacing w:before="116"/>
              <w:ind w:left="8"/>
              <w:jc w:val="center"/>
              <w:rPr>
                <w:sz w:val="24"/>
              </w:rPr>
            </w:pPr>
            <w:r>
              <w:rPr>
                <w:w w:val="99"/>
                <w:sz w:val="24"/>
              </w:rPr>
              <w:t>5</w:t>
            </w:r>
          </w:p>
        </w:tc>
        <w:tc>
          <w:tcPr>
            <w:tcW w:w="1689" w:type="dxa"/>
          </w:tcPr>
          <w:p>
            <w:pPr>
              <w:pStyle w:val="TableParagraph"/>
              <w:spacing w:before="116"/>
              <w:ind w:left="7"/>
              <w:jc w:val="center"/>
              <w:rPr>
                <w:sz w:val="24"/>
              </w:rPr>
            </w:pPr>
            <w:r>
              <w:rPr>
                <w:w w:val="99"/>
                <w:sz w:val="24"/>
              </w:rPr>
              <w:t>5</w:t>
            </w:r>
          </w:p>
        </w:tc>
        <w:tc>
          <w:tcPr>
            <w:tcW w:w="1690" w:type="dxa"/>
          </w:tcPr>
          <w:p>
            <w:pPr>
              <w:pStyle w:val="TableParagraph"/>
              <w:spacing w:before="116"/>
              <w:ind w:left="776"/>
              <w:rPr>
                <w:sz w:val="24"/>
              </w:rPr>
            </w:pPr>
            <w:r>
              <w:rPr>
                <w:w w:val="99"/>
                <w:sz w:val="24"/>
              </w:rPr>
              <w:t>6</w:t>
            </w:r>
          </w:p>
        </w:tc>
        <w:tc>
          <w:tcPr>
            <w:tcW w:w="1689" w:type="dxa"/>
          </w:tcPr>
          <w:p>
            <w:pPr>
              <w:pStyle w:val="TableParagraph"/>
              <w:spacing w:before="116"/>
              <w:ind w:left="6"/>
              <w:jc w:val="center"/>
              <w:rPr>
                <w:sz w:val="24"/>
              </w:rPr>
            </w:pPr>
            <w:r>
              <w:rPr>
                <w:w w:val="99"/>
                <w:sz w:val="24"/>
              </w:rPr>
              <w:t>6</w:t>
            </w:r>
          </w:p>
        </w:tc>
      </w:tr>
      <w:tr>
        <w:trPr>
          <w:trHeight w:val="1067" w:hRule="atLeast"/>
        </w:trPr>
        <w:tc>
          <w:tcPr>
            <w:tcW w:w="1800" w:type="dxa"/>
          </w:tcPr>
          <w:p>
            <w:pPr>
              <w:pStyle w:val="TableParagraph"/>
              <w:spacing w:before="118"/>
              <w:ind w:left="107"/>
              <w:rPr>
                <w:b/>
                <w:sz w:val="24"/>
              </w:rPr>
            </w:pPr>
            <w:r>
              <w:rPr>
                <w:b/>
                <w:spacing w:val="-2"/>
                <w:sz w:val="24"/>
              </w:rPr>
              <w:t>Upgrade Generic </w:t>
            </w:r>
            <w:r>
              <w:rPr>
                <w:b/>
                <w:sz w:val="24"/>
              </w:rPr>
              <w:t>Building</w:t>
            </w:r>
            <w:r>
              <w:rPr>
                <w:b/>
                <w:spacing w:val="-17"/>
                <w:sz w:val="24"/>
              </w:rPr>
              <w:t> </w:t>
            </w:r>
            <w:r>
              <w:rPr>
                <w:b/>
                <w:sz w:val="24"/>
              </w:rPr>
              <w:t>Cost</w:t>
            </w:r>
          </w:p>
        </w:tc>
        <w:tc>
          <w:tcPr>
            <w:tcW w:w="1690" w:type="dxa"/>
          </w:tcPr>
          <w:p>
            <w:pPr>
              <w:pStyle w:val="TableParagraph"/>
              <w:spacing w:before="1"/>
              <w:rPr>
                <w:b/>
                <w:sz w:val="34"/>
              </w:rPr>
            </w:pPr>
          </w:p>
          <w:p>
            <w:pPr>
              <w:pStyle w:val="TableParagraph"/>
              <w:ind w:left="713"/>
              <w:rPr>
                <w:sz w:val="24"/>
              </w:rPr>
            </w:pPr>
            <w:r>
              <w:rPr>
                <w:spacing w:val="-2"/>
                <w:sz w:val="24"/>
              </w:rPr>
              <w:t>110,000</w:t>
            </w:r>
          </w:p>
        </w:tc>
        <w:tc>
          <w:tcPr>
            <w:tcW w:w="1689" w:type="dxa"/>
          </w:tcPr>
          <w:p>
            <w:pPr>
              <w:pStyle w:val="TableParagraph"/>
              <w:spacing w:before="1"/>
              <w:rPr>
                <w:b/>
                <w:sz w:val="34"/>
              </w:rPr>
            </w:pPr>
          </w:p>
          <w:p>
            <w:pPr>
              <w:pStyle w:val="TableParagraph"/>
              <w:ind w:right="97"/>
              <w:jc w:val="right"/>
              <w:rPr>
                <w:sz w:val="24"/>
              </w:rPr>
            </w:pPr>
            <w:r>
              <w:rPr>
                <w:spacing w:val="-2"/>
                <w:sz w:val="24"/>
              </w:rPr>
              <w:t>660,000</w:t>
            </w:r>
          </w:p>
        </w:tc>
        <w:tc>
          <w:tcPr>
            <w:tcW w:w="1690" w:type="dxa"/>
          </w:tcPr>
          <w:p>
            <w:pPr>
              <w:pStyle w:val="TableParagraph"/>
              <w:spacing w:before="1"/>
              <w:rPr>
                <w:b/>
                <w:sz w:val="34"/>
              </w:rPr>
            </w:pPr>
          </w:p>
          <w:p>
            <w:pPr>
              <w:pStyle w:val="TableParagraph"/>
              <w:ind w:left="711"/>
              <w:rPr>
                <w:sz w:val="24"/>
              </w:rPr>
            </w:pPr>
            <w:r>
              <w:rPr>
                <w:spacing w:val="-2"/>
                <w:sz w:val="24"/>
              </w:rPr>
              <w:t>165,000</w:t>
            </w:r>
          </w:p>
        </w:tc>
        <w:tc>
          <w:tcPr>
            <w:tcW w:w="1689" w:type="dxa"/>
          </w:tcPr>
          <w:p>
            <w:pPr>
              <w:pStyle w:val="TableParagraph"/>
              <w:spacing w:before="1"/>
              <w:rPr>
                <w:b/>
                <w:sz w:val="34"/>
              </w:rPr>
            </w:pPr>
          </w:p>
          <w:p>
            <w:pPr>
              <w:pStyle w:val="TableParagraph"/>
              <w:ind w:right="99"/>
              <w:jc w:val="right"/>
              <w:rPr>
                <w:sz w:val="24"/>
              </w:rPr>
            </w:pPr>
            <w:r>
              <w:rPr>
                <w:spacing w:val="-2"/>
                <w:sz w:val="24"/>
              </w:rPr>
              <w:t>500,000</w:t>
            </w:r>
          </w:p>
        </w:tc>
      </w:tr>
      <w:tr>
        <w:trPr>
          <w:trHeight w:val="912" w:hRule="atLeast"/>
        </w:trPr>
        <w:tc>
          <w:tcPr>
            <w:tcW w:w="1800" w:type="dxa"/>
          </w:tcPr>
          <w:p>
            <w:pPr>
              <w:pStyle w:val="TableParagraph"/>
              <w:spacing w:before="7"/>
              <w:rPr>
                <w:b/>
                <w:sz w:val="20"/>
              </w:rPr>
            </w:pPr>
          </w:p>
          <w:p>
            <w:pPr>
              <w:pStyle w:val="TableParagraph"/>
              <w:spacing w:before="1"/>
              <w:ind w:left="107"/>
              <w:rPr>
                <w:b/>
                <w:sz w:val="24"/>
              </w:rPr>
            </w:pPr>
            <w:r>
              <w:rPr>
                <w:b/>
                <w:spacing w:val="-2"/>
                <w:sz w:val="24"/>
              </w:rPr>
              <w:t>Regulatory </w:t>
            </w:r>
            <w:r>
              <w:rPr>
                <w:b/>
                <w:spacing w:val="-4"/>
                <w:sz w:val="24"/>
              </w:rPr>
              <w:t>Cost</w:t>
            </w:r>
          </w:p>
        </w:tc>
        <w:tc>
          <w:tcPr>
            <w:tcW w:w="1690" w:type="dxa"/>
          </w:tcPr>
          <w:p>
            <w:pPr>
              <w:pStyle w:val="TableParagraph"/>
              <w:spacing w:before="116"/>
              <w:ind w:right="97"/>
              <w:jc w:val="right"/>
              <w:rPr>
                <w:sz w:val="24"/>
              </w:rPr>
            </w:pPr>
            <w:r>
              <w:rPr>
                <w:spacing w:val="-2"/>
                <w:sz w:val="24"/>
              </w:rPr>
              <w:t>6,250</w:t>
            </w:r>
          </w:p>
          <w:p>
            <w:pPr>
              <w:pStyle w:val="TableParagraph"/>
              <w:spacing w:before="120"/>
              <w:ind w:right="98"/>
              <w:jc w:val="right"/>
              <w:rPr>
                <w:sz w:val="24"/>
              </w:rPr>
            </w:pPr>
            <w:r>
              <w:rPr>
                <w:spacing w:val="-2"/>
                <w:sz w:val="24"/>
              </w:rPr>
              <w:t>(9,250)</w:t>
            </w:r>
          </w:p>
        </w:tc>
        <w:tc>
          <w:tcPr>
            <w:tcW w:w="1689" w:type="dxa"/>
          </w:tcPr>
          <w:p>
            <w:pPr>
              <w:pStyle w:val="TableParagraph"/>
              <w:spacing w:before="4"/>
              <w:rPr>
                <w:b/>
                <w:sz w:val="27"/>
              </w:rPr>
            </w:pPr>
          </w:p>
          <w:p>
            <w:pPr>
              <w:pStyle w:val="TableParagraph"/>
              <w:ind w:right="97"/>
              <w:jc w:val="right"/>
              <w:rPr>
                <w:sz w:val="24"/>
              </w:rPr>
            </w:pPr>
            <w:r>
              <w:rPr>
                <w:spacing w:val="-2"/>
                <w:sz w:val="24"/>
              </w:rPr>
              <w:t>112,500</w:t>
            </w:r>
          </w:p>
        </w:tc>
        <w:tc>
          <w:tcPr>
            <w:tcW w:w="1690" w:type="dxa"/>
          </w:tcPr>
          <w:p>
            <w:pPr>
              <w:pStyle w:val="TableParagraph"/>
              <w:spacing w:before="116"/>
              <w:ind w:right="99"/>
              <w:jc w:val="right"/>
              <w:rPr>
                <w:sz w:val="24"/>
              </w:rPr>
            </w:pPr>
            <w:r>
              <w:rPr>
                <w:spacing w:val="-2"/>
                <w:sz w:val="24"/>
              </w:rPr>
              <w:t>4,250</w:t>
            </w:r>
          </w:p>
          <w:p>
            <w:pPr>
              <w:pStyle w:val="TableParagraph"/>
              <w:spacing w:before="120"/>
              <w:ind w:right="98"/>
              <w:jc w:val="right"/>
              <w:rPr>
                <w:sz w:val="24"/>
              </w:rPr>
            </w:pPr>
            <w:r>
              <w:rPr>
                <w:spacing w:val="-2"/>
                <w:sz w:val="24"/>
              </w:rPr>
              <w:t>(4,850)</w:t>
            </w:r>
          </w:p>
        </w:tc>
        <w:tc>
          <w:tcPr>
            <w:tcW w:w="1689" w:type="dxa"/>
          </w:tcPr>
          <w:p>
            <w:pPr>
              <w:pStyle w:val="TableParagraph"/>
              <w:spacing w:before="4"/>
              <w:rPr>
                <w:b/>
                <w:sz w:val="27"/>
              </w:rPr>
            </w:pPr>
          </w:p>
          <w:p>
            <w:pPr>
              <w:pStyle w:val="TableParagraph"/>
              <w:ind w:right="98"/>
              <w:jc w:val="right"/>
              <w:rPr>
                <w:sz w:val="24"/>
              </w:rPr>
            </w:pPr>
            <w:r>
              <w:rPr>
                <w:spacing w:val="-2"/>
                <w:sz w:val="24"/>
              </w:rPr>
              <w:t>104,250</w:t>
            </w:r>
          </w:p>
        </w:tc>
      </w:tr>
      <w:tr>
        <w:trPr>
          <w:trHeight w:val="911" w:hRule="atLeast"/>
        </w:trPr>
        <w:tc>
          <w:tcPr>
            <w:tcW w:w="1800" w:type="dxa"/>
          </w:tcPr>
          <w:p>
            <w:pPr>
              <w:pStyle w:val="TableParagraph"/>
              <w:spacing w:before="7"/>
              <w:rPr>
                <w:b/>
                <w:sz w:val="20"/>
              </w:rPr>
            </w:pPr>
          </w:p>
          <w:p>
            <w:pPr>
              <w:pStyle w:val="TableParagraph"/>
              <w:spacing w:before="1"/>
              <w:ind w:left="107"/>
              <w:rPr>
                <w:b/>
                <w:sz w:val="24"/>
              </w:rPr>
            </w:pPr>
            <w:r>
              <w:rPr>
                <w:b/>
                <w:spacing w:val="-2"/>
                <w:sz w:val="24"/>
              </w:rPr>
              <w:t>Proportional Increase</w:t>
            </w:r>
          </w:p>
        </w:tc>
        <w:tc>
          <w:tcPr>
            <w:tcW w:w="1690" w:type="dxa"/>
          </w:tcPr>
          <w:p>
            <w:pPr>
              <w:pStyle w:val="TableParagraph"/>
              <w:spacing w:before="116"/>
              <w:ind w:right="98"/>
              <w:jc w:val="right"/>
              <w:rPr>
                <w:sz w:val="24"/>
              </w:rPr>
            </w:pPr>
            <w:r>
              <w:rPr>
                <w:spacing w:val="-4"/>
                <w:sz w:val="24"/>
              </w:rPr>
              <w:t>5.7%</w:t>
            </w:r>
          </w:p>
          <w:p>
            <w:pPr>
              <w:pStyle w:val="TableParagraph"/>
              <w:spacing w:before="120"/>
              <w:ind w:right="98"/>
              <w:jc w:val="right"/>
              <w:rPr>
                <w:sz w:val="24"/>
              </w:rPr>
            </w:pPr>
            <w:r>
              <w:rPr>
                <w:spacing w:val="-2"/>
                <w:sz w:val="24"/>
              </w:rPr>
              <w:t>(8.4%)</w:t>
            </w:r>
          </w:p>
        </w:tc>
        <w:tc>
          <w:tcPr>
            <w:tcW w:w="1689" w:type="dxa"/>
          </w:tcPr>
          <w:p>
            <w:pPr>
              <w:pStyle w:val="TableParagraph"/>
              <w:spacing w:before="4"/>
              <w:rPr>
                <w:b/>
                <w:sz w:val="27"/>
              </w:rPr>
            </w:pPr>
          </w:p>
          <w:p>
            <w:pPr>
              <w:pStyle w:val="TableParagraph"/>
              <w:ind w:right="97"/>
              <w:jc w:val="right"/>
              <w:rPr>
                <w:sz w:val="24"/>
              </w:rPr>
            </w:pPr>
            <w:r>
              <w:rPr>
                <w:spacing w:val="-2"/>
                <w:sz w:val="24"/>
              </w:rPr>
              <w:t>17.0%</w:t>
            </w:r>
          </w:p>
        </w:tc>
        <w:tc>
          <w:tcPr>
            <w:tcW w:w="1690" w:type="dxa"/>
          </w:tcPr>
          <w:p>
            <w:pPr>
              <w:pStyle w:val="TableParagraph"/>
              <w:spacing w:before="116"/>
              <w:ind w:right="98"/>
              <w:jc w:val="right"/>
              <w:rPr>
                <w:sz w:val="24"/>
              </w:rPr>
            </w:pPr>
            <w:r>
              <w:rPr>
                <w:spacing w:val="-4"/>
                <w:sz w:val="24"/>
              </w:rPr>
              <w:t>2.6%</w:t>
            </w:r>
          </w:p>
          <w:p>
            <w:pPr>
              <w:pStyle w:val="TableParagraph"/>
              <w:spacing w:before="120"/>
              <w:ind w:right="98"/>
              <w:jc w:val="right"/>
              <w:rPr>
                <w:sz w:val="24"/>
              </w:rPr>
            </w:pPr>
            <w:r>
              <w:rPr>
                <w:spacing w:val="-2"/>
                <w:sz w:val="24"/>
              </w:rPr>
              <w:t>(2.9%)</w:t>
            </w:r>
          </w:p>
        </w:tc>
        <w:tc>
          <w:tcPr>
            <w:tcW w:w="1689" w:type="dxa"/>
          </w:tcPr>
          <w:p>
            <w:pPr>
              <w:pStyle w:val="TableParagraph"/>
              <w:spacing w:before="4"/>
              <w:rPr>
                <w:b/>
                <w:sz w:val="27"/>
              </w:rPr>
            </w:pPr>
          </w:p>
          <w:p>
            <w:pPr>
              <w:pStyle w:val="TableParagraph"/>
              <w:ind w:right="98"/>
              <w:jc w:val="right"/>
              <w:rPr>
                <w:sz w:val="24"/>
              </w:rPr>
            </w:pPr>
            <w:r>
              <w:rPr>
                <w:spacing w:val="-2"/>
                <w:sz w:val="24"/>
              </w:rPr>
              <w:t>20.9%</w:t>
            </w:r>
          </w:p>
        </w:tc>
      </w:tr>
    </w:tbl>
    <w:p>
      <w:pPr>
        <w:pStyle w:val="BodyText"/>
        <w:spacing w:before="5"/>
        <w:rPr>
          <w:b/>
          <w:sz w:val="30"/>
        </w:rPr>
      </w:pPr>
    </w:p>
    <w:p>
      <w:pPr>
        <w:pStyle w:val="BodyText"/>
        <w:ind w:left="419" w:right="813"/>
        <w:jc w:val="both"/>
      </w:pPr>
      <w:r>
        <w:rPr/>
        <w:t>The additional costs associated with the proposed change are in the range of 0.1% to 0.4% for new buildings and 0.3% to 2.7% for existing buildings undergoing upgrade.</w:t>
      </w:r>
    </w:p>
    <w:p>
      <w:pPr>
        <w:pStyle w:val="BodyText"/>
        <w:rPr>
          <w:sz w:val="26"/>
        </w:rPr>
      </w:pPr>
    </w:p>
    <w:p>
      <w:pPr>
        <w:spacing w:before="172"/>
        <w:ind w:left="420" w:right="0" w:firstLine="0"/>
        <w:jc w:val="both"/>
        <w:rPr>
          <w:i/>
          <w:sz w:val="24"/>
        </w:rPr>
      </w:pPr>
      <w:r>
        <w:rPr>
          <w:i/>
          <w:sz w:val="24"/>
          <w:u w:val="single"/>
        </w:rPr>
        <w:t>Benefit/Cost </w:t>
      </w:r>
      <w:r>
        <w:rPr>
          <w:i/>
          <w:spacing w:val="-2"/>
          <w:sz w:val="24"/>
          <w:u w:val="single"/>
        </w:rPr>
        <w:t>outcome</w:t>
      </w:r>
    </w:p>
    <w:p>
      <w:pPr>
        <w:pStyle w:val="BodyText"/>
        <w:spacing w:before="118"/>
        <w:ind w:left="420" w:right="811"/>
        <w:jc w:val="both"/>
      </w:pPr>
      <w:r>
        <w:rPr/>
        <w:t>The effect of the changes on the overall benefit/cost ratio of the Premises Standards</w:t>
      </w:r>
      <w:r>
        <w:rPr>
          <w:spacing w:val="61"/>
        </w:rPr>
        <w:t> </w:t>
      </w:r>
      <w:r>
        <w:rPr/>
        <w:t>is</w:t>
      </w:r>
      <w:r>
        <w:rPr>
          <w:spacing w:val="61"/>
        </w:rPr>
        <w:t> </w:t>
      </w:r>
      <w:r>
        <w:rPr/>
        <w:t>considered</w:t>
      </w:r>
      <w:r>
        <w:rPr>
          <w:spacing w:val="61"/>
        </w:rPr>
        <w:t> </w:t>
      </w:r>
      <w:r>
        <w:rPr/>
        <w:t>to</w:t>
      </w:r>
      <w:r>
        <w:rPr>
          <w:spacing w:val="61"/>
        </w:rPr>
        <w:t> </w:t>
      </w:r>
      <w:r>
        <w:rPr/>
        <w:t>be</w:t>
      </w:r>
      <w:r>
        <w:rPr>
          <w:spacing w:val="61"/>
        </w:rPr>
        <w:t> </w:t>
      </w:r>
      <w:r>
        <w:rPr/>
        <w:t>negligible</w:t>
      </w:r>
      <w:r>
        <w:rPr>
          <w:spacing w:val="61"/>
        </w:rPr>
        <w:t> </w:t>
      </w:r>
      <w:r>
        <w:rPr/>
        <w:t>on</w:t>
      </w:r>
      <w:r>
        <w:rPr>
          <w:spacing w:val="61"/>
        </w:rPr>
        <w:t> </w:t>
      </w:r>
      <w:r>
        <w:rPr/>
        <w:t>the</w:t>
      </w:r>
      <w:r>
        <w:rPr>
          <w:spacing w:val="61"/>
        </w:rPr>
        <w:t> </w:t>
      </w:r>
      <w:r>
        <w:rPr/>
        <w:t>whole</w:t>
      </w:r>
      <w:r>
        <w:rPr>
          <w:spacing w:val="61"/>
        </w:rPr>
        <w:t> </w:t>
      </w:r>
      <w:r>
        <w:rPr/>
        <w:t>as</w:t>
      </w:r>
      <w:r>
        <w:rPr>
          <w:spacing w:val="61"/>
        </w:rPr>
        <w:t> </w:t>
      </w:r>
      <w:r>
        <w:rPr/>
        <w:t>the</w:t>
      </w:r>
      <w:r>
        <w:rPr>
          <w:spacing w:val="61"/>
        </w:rPr>
        <w:t> </w:t>
      </w:r>
      <w:r>
        <w:rPr/>
        <w:t>accessible</w:t>
      </w:r>
    </w:p>
    <w:p>
      <w:pPr>
        <w:spacing w:after="0"/>
        <w:jc w:val="both"/>
        <w:sectPr>
          <w:type w:val="continuous"/>
          <w:pgSz w:w="11900" w:h="16840"/>
          <w:pgMar w:header="0" w:footer="1130" w:top="1080" w:bottom="1320" w:left="1380" w:right="980"/>
        </w:sectPr>
      </w:pPr>
    </w:p>
    <w:p>
      <w:pPr>
        <w:pStyle w:val="BodyText"/>
        <w:spacing w:before="75"/>
        <w:ind w:left="420" w:right="812"/>
        <w:jc w:val="both"/>
      </w:pPr>
      <w:r>
        <w:rPr/>
        <w:t>features required as a result of the change exclude those that are the main cost drivers in these types of buildings (lifts and accessible sanitary facilities on non-entrance levels).</w:t>
      </w:r>
      <w:r>
        <w:rPr>
          <w:spacing w:val="40"/>
        </w:rPr>
        <w:t> </w:t>
      </w:r>
      <w:r>
        <w:rPr/>
        <w:t>That is, the required facilities are those that are the most cost effective to provide and which provide potential benefits for a relatively large percentage (7.6%) of the population by making non-entrance levels accessible and safer.</w:t>
      </w:r>
    </w:p>
    <w:p>
      <w:pPr>
        <w:pStyle w:val="BodyText"/>
        <w:rPr>
          <w:sz w:val="26"/>
        </w:rPr>
      </w:pPr>
    </w:p>
    <w:p>
      <w:pPr>
        <w:pStyle w:val="BodyText"/>
        <w:spacing w:before="7"/>
        <w:rPr>
          <w:sz w:val="25"/>
        </w:rPr>
      </w:pPr>
    </w:p>
    <w:p>
      <w:pPr>
        <w:pStyle w:val="Heading3"/>
        <w:jc w:val="left"/>
      </w:pPr>
      <w:bookmarkStart w:name="Fire-isolated stair concession" w:id="188"/>
      <w:bookmarkEnd w:id="188"/>
      <w:r>
        <w:rPr>
          <w:b w:val="0"/>
        </w:rPr>
      </w:r>
      <w:r>
        <w:rPr/>
        <w:t>Fire-isolated</w:t>
      </w:r>
      <w:r>
        <w:rPr>
          <w:spacing w:val="-4"/>
        </w:rPr>
        <w:t> </w:t>
      </w:r>
      <w:r>
        <w:rPr/>
        <w:t>stair</w:t>
      </w:r>
      <w:r>
        <w:rPr>
          <w:spacing w:val="-3"/>
        </w:rPr>
        <w:t> </w:t>
      </w:r>
      <w:r>
        <w:rPr>
          <w:spacing w:val="-2"/>
        </w:rPr>
        <w:t>concession</w:t>
      </w:r>
    </w:p>
    <w:p>
      <w:pPr>
        <w:spacing w:before="58"/>
        <w:ind w:left="420" w:right="0" w:firstLine="0"/>
        <w:jc w:val="left"/>
        <w:rPr>
          <w:i/>
          <w:sz w:val="24"/>
        </w:rPr>
      </w:pPr>
      <w:bookmarkStart w:name="Overview" w:id="189"/>
      <w:bookmarkEnd w:id="189"/>
      <w:r>
        <w:rPr/>
      </w:r>
      <w:r>
        <w:rPr>
          <w:i/>
          <w:spacing w:val="-2"/>
          <w:sz w:val="24"/>
          <w:u w:val="single"/>
        </w:rPr>
        <w:t>Overview</w:t>
      </w:r>
    </w:p>
    <w:p>
      <w:pPr>
        <w:pStyle w:val="BodyText"/>
        <w:spacing w:before="119"/>
        <w:ind w:left="419" w:right="812"/>
        <w:jc w:val="both"/>
      </w:pPr>
      <w:r>
        <w:rPr/>
        <w:t>The draft Premises Standards require certain stairs and ramps to have accessible features.</w:t>
      </w:r>
      <w:r>
        <w:rPr>
          <w:spacing w:val="40"/>
        </w:rPr>
        <w:t> </w:t>
      </w:r>
      <w:r>
        <w:rPr/>
        <w:t>However, fire-isolated stairs and ramps are exempted from this requirement.</w:t>
      </w:r>
      <w:r>
        <w:rPr>
          <w:spacing w:val="40"/>
        </w:rPr>
        <w:t> </w:t>
      </w:r>
      <w:r>
        <w:rPr/>
        <w:t>The proposed change is to remove this exemption in respect of provision of contrasting strips on stair treads.</w:t>
      </w:r>
    </w:p>
    <w:p>
      <w:pPr>
        <w:spacing w:before="122"/>
        <w:ind w:left="419" w:right="0" w:firstLine="0"/>
        <w:jc w:val="left"/>
        <w:rPr>
          <w:i/>
          <w:sz w:val="24"/>
        </w:rPr>
      </w:pPr>
      <w:bookmarkStart w:name="Benefits" w:id="190"/>
      <w:bookmarkEnd w:id="190"/>
      <w:r>
        <w:rPr/>
      </w:r>
      <w:r>
        <w:rPr>
          <w:i/>
          <w:spacing w:val="-2"/>
          <w:sz w:val="24"/>
          <w:u w:val="single"/>
        </w:rPr>
        <w:t>Benefits</w:t>
      </w:r>
    </w:p>
    <w:p>
      <w:pPr>
        <w:pStyle w:val="BodyText"/>
        <w:spacing w:before="118"/>
        <w:ind w:left="420" w:right="809"/>
        <w:jc w:val="both"/>
      </w:pPr>
      <w:r>
        <w:rPr/>
        <w:t>Contrasting</w:t>
      </w:r>
      <w:r>
        <w:rPr/>
        <w:t> strips</w:t>
      </w:r>
      <w:r>
        <w:rPr/>
        <w:t> on</w:t>
      </w:r>
      <w:r>
        <w:rPr/>
        <w:t> treads</w:t>
      </w:r>
      <w:r>
        <w:rPr/>
        <w:t> provide</w:t>
      </w:r>
      <w:r>
        <w:rPr/>
        <w:t> an</w:t>
      </w:r>
      <w:r>
        <w:rPr/>
        <w:t> important</w:t>
      </w:r>
      <w:r>
        <w:rPr/>
        <w:t> safety</w:t>
      </w:r>
      <w:r>
        <w:rPr/>
        <w:t> benefit</w:t>
      </w:r>
      <w:r>
        <w:rPr/>
        <w:t> for</w:t>
      </w:r>
      <w:r>
        <w:rPr/>
        <w:t> people</w:t>
      </w:r>
      <w:r>
        <w:rPr>
          <w:spacing w:val="80"/>
        </w:rPr>
        <w:t> </w:t>
      </w:r>
      <w:r>
        <w:rPr/>
        <w:t>with a vision impairment, and for stair users generally in being able to discern the</w:t>
      </w:r>
      <w:r>
        <w:rPr/>
        <w:t> nosing</w:t>
      </w:r>
      <w:r>
        <w:rPr/>
        <w:t> of</w:t>
      </w:r>
      <w:r>
        <w:rPr/>
        <w:t> treads.</w:t>
      </w:r>
      <w:r>
        <w:rPr>
          <w:spacing w:val="40"/>
        </w:rPr>
        <w:t> </w:t>
      </w:r>
      <w:r>
        <w:rPr/>
        <w:t>The benefits likely to result from this change are increased ease of use, a reduction in potential injuries from falls on these stairs, and a reduction in associated health care costs and costs in terms of lost production.</w:t>
      </w:r>
    </w:p>
    <w:p>
      <w:pPr>
        <w:pStyle w:val="BodyText"/>
        <w:spacing w:before="121"/>
        <w:ind w:left="420" w:right="811"/>
        <w:jc w:val="both"/>
      </w:pPr>
      <w:r>
        <w:rPr/>
        <w:t>These benefits would apply to an estimated 1.6% of the population who are blind or vision impaired.</w:t>
      </w:r>
      <w:r>
        <w:rPr>
          <w:spacing w:val="80"/>
        </w:rPr>
        <w:t> </w:t>
      </w:r>
      <w:r>
        <w:rPr/>
        <w:t>See Section 7.5.1 of the RIS for further information on the size of the affected group.</w:t>
      </w:r>
    </w:p>
    <w:p>
      <w:pPr>
        <w:pStyle w:val="BodyText"/>
        <w:spacing w:before="120"/>
        <w:ind w:left="420" w:right="811"/>
        <w:jc w:val="both"/>
      </w:pPr>
      <w:r>
        <w:rPr/>
        <w:t>An additional source of benefits is a reduction in accidents and, therefore, in associated health care costs and costs in terms of lost production as a result of improved safety for the able bodied population.</w:t>
      </w:r>
      <w:r>
        <w:rPr>
          <w:spacing w:val="40"/>
        </w:rPr>
        <w:t> </w:t>
      </w:r>
      <w:r>
        <w:rPr/>
        <w:t>Further discussion on this benefit is contained in Section 7.6.4 of the RIS.</w:t>
      </w:r>
    </w:p>
    <w:p>
      <w:pPr>
        <w:spacing w:before="120"/>
        <w:ind w:left="420" w:right="0" w:firstLine="0"/>
        <w:jc w:val="left"/>
        <w:rPr>
          <w:i/>
          <w:sz w:val="24"/>
        </w:rPr>
      </w:pPr>
      <w:bookmarkStart w:name="Costs" w:id="191"/>
      <w:bookmarkEnd w:id="191"/>
      <w:r>
        <w:rPr/>
      </w:r>
      <w:r>
        <w:rPr>
          <w:i/>
          <w:spacing w:val="-2"/>
          <w:sz w:val="24"/>
          <w:u w:val="single"/>
        </w:rPr>
        <w:t>Costs</w:t>
      </w:r>
    </w:p>
    <w:p>
      <w:pPr>
        <w:pStyle w:val="BodyText"/>
        <w:spacing w:before="119"/>
        <w:ind w:left="420" w:right="810"/>
        <w:jc w:val="both"/>
      </w:pPr>
      <w:r>
        <w:rPr/>
        <w:t>The Building Code of Australia already requires stair treads in a fire-isolated stairway</w:t>
      </w:r>
      <w:r>
        <w:rPr/>
        <w:t> to</w:t>
      </w:r>
      <w:r>
        <w:rPr/>
        <w:t> have</w:t>
      </w:r>
      <w:r>
        <w:rPr/>
        <w:t> a</w:t>
      </w:r>
      <w:r>
        <w:rPr/>
        <w:t> non-slip</w:t>
      </w:r>
      <w:r>
        <w:rPr/>
        <w:t> finish</w:t>
      </w:r>
      <w:r>
        <w:rPr/>
        <w:t> or</w:t>
      </w:r>
      <w:r>
        <w:rPr/>
        <w:t> a</w:t>
      </w:r>
      <w:r>
        <w:rPr/>
        <w:t> non-skid</w:t>
      </w:r>
      <w:r>
        <w:rPr/>
        <w:t> strip</w:t>
      </w:r>
      <w:r>
        <w:rPr/>
        <w:t> near</w:t>
      </w:r>
      <w:r>
        <w:rPr/>
        <w:t> the</w:t>
      </w:r>
      <w:r>
        <w:rPr/>
        <w:t> edge</w:t>
      </w:r>
      <w:r>
        <w:rPr/>
        <w:t> of</w:t>
      </w:r>
      <w:r>
        <w:rPr/>
        <w:t> the nosing, with the latter being the most common form of compliance.</w:t>
      </w:r>
      <w:r>
        <w:rPr>
          <w:spacing w:val="40"/>
        </w:rPr>
        <w:t> </w:t>
      </w:r>
      <w:r>
        <w:rPr/>
        <w:t>In those cases, the cost of providing those strips in a form that has a luminance contrast with the tread would be negligible.</w:t>
      </w:r>
      <w:r>
        <w:rPr>
          <w:spacing w:val="40"/>
        </w:rPr>
        <w:t> </w:t>
      </w:r>
      <w:r>
        <w:rPr/>
        <w:t>In cases where a non-skid strip is not already intended to be provided, the additional cost of the proposal would be very minor.</w:t>
      </w:r>
    </w:p>
    <w:p>
      <w:pPr>
        <w:spacing w:before="121"/>
        <w:ind w:left="420" w:right="0" w:firstLine="0"/>
        <w:jc w:val="both"/>
        <w:rPr>
          <w:i/>
          <w:sz w:val="24"/>
        </w:rPr>
      </w:pPr>
      <w:r>
        <w:rPr>
          <w:i/>
          <w:sz w:val="24"/>
          <w:u w:val="single"/>
        </w:rPr>
        <w:t>Benefit/Cost </w:t>
      </w:r>
      <w:r>
        <w:rPr>
          <w:i/>
          <w:spacing w:val="-2"/>
          <w:sz w:val="24"/>
          <w:u w:val="single"/>
        </w:rPr>
        <w:t>outcome</w:t>
      </w:r>
    </w:p>
    <w:p>
      <w:pPr>
        <w:pStyle w:val="BodyText"/>
        <w:spacing w:before="119"/>
        <w:ind w:left="420" w:right="811"/>
        <w:jc w:val="both"/>
      </w:pPr>
      <w:r>
        <w:rPr/>
        <w:t>The effect of the changes on the overall benefit/cost ratio of the Premises Standards is considered to be negligible on the whole, although the substantial benefits will quite considerably outweigh the negligible increase in costs. The increased ease of use of stairways and the reduction in potential injuries from falls and associated health care costs and costs in terms of lost production could be expected to offer considerable savings to the community.</w:t>
      </w:r>
    </w:p>
    <w:p>
      <w:pPr>
        <w:spacing w:after="0"/>
        <w:jc w:val="both"/>
        <w:sectPr>
          <w:pgSz w:w="11900" w:h="16840"/>
          <w:pgMar w:header="0" w:footer="1130" w:top="1000" w:bottom="1320" w:left="1380" w:right="980"/>
        </w:sectPr>
      </w:pPr>
    </w:p>
    <w:p>
      <w:pPr>
        <w:pStyle w:val="Heading3"/>
        <w:spacing w:before="78"/>
        <w:jc w:val="left"/>
      </w:pPr>
      <w:bookmarkStart w:name="Exempted areas" w:id="192"/>
      <w:bookmarkEnd w:id="192"/>
      <w:r>
        <w:rPr>
          <w:b w:val="0"/>
        </w:rPr>
      </w:r>
      <w:r>
        <w:rPr/>
        <w:t>Exempted</w:t>
      </w:r>
      <w:r>
        <w:rPr>
          <w:spacing w:val="-6"/>
        </w:rPr>
        <w:t> </w:t>
      </w:r>
      <w:r>
        <w:rPr>
          <w:spacing w:val="-2"/>
        </w:rPr>
        <w:t>areas</w:t>
      </w:r>
    </w:p>
    <w:p>
      <w:pPr>
        <w:spacing w:before="58"/>
        <w:ind w:left="420" w:right="0" w:firstLine="0"/>
        <w:jc w:val="left"/>
        <w:rPr>
          <w:i/>
          <w:sz w:val="24"/>
        </w:rPr>
      </w:pPr>
      <w:bookmarkStart w:name="Overview" w:id="193"/>
      <w:bookmarkEnd w:id="193"/>
      <w:r>
        <w:rPr/>
      </w:r>
      <w:r>
        <w:rPr>
          <w:i/>
          <w:spacing w:val="-2"/>
          <w:sz w:val="24"/>
          <w:u w:val="single"/>
        </w:rPr>
        <w:t>Overview</w:t>
      </w:r>
    </w:p>
    <w:p>
      <w:pPr>
        <w:pStyle w:val="BodyText"/>
        <w:spacing w:before="119"/>
        <w:ind w:left="420" w:right="811"/>
        <w:jc w:val="both"/>
      </w:pPr>
      <w:r>
        <w:rPr/>
        <w:t>The draft Premises Standards, in D3.4, describe specific areas to which provision of access is not required because to do so was considered to be inappropriate because of the particular purpose for which the area is used. The proposed change, to implement the House of Representatives recommendation, is to draw on the approach currently used in the BCA whereby</w:t>
      </w:r>
      <w:r>
        <w:rPr>
          <w:spacing w:val="-4"/>
        </w:rPr>
        <w:t> </w:t>
      </w:r>
      <w:r>
        <w:rPr/>
        <w:t>exempted</w:t>
      </w:r>
      <w:r>
        <w:rPr>
          <w:spacing w:val="-4"/>
        </w:rPr>
        <w:t> </w:t>
      </w:r>
      <w:r>
        <w:rPr/>
        <w:t>areas</w:t>
      </w:r>
      <w:r>
        <w:rPr>
          <w:spacing w:val="-4"/>
        </w:rPr>
        <w:t> </w:t>
      </w:r>
      <w:r>
        <w:rPr/>
        <w:t>are</w:t>
      </w:r>
      <w:r>
        <w:rPr>
          <w:spacing w:val="-4"/>
        </w:rPr>
        <w:t> </w:t>
      </w:r>
      <w:r>
        <w:rPr/>
        <w:t>described</w:t>
      </w:r>
      <w:r>
        <w:rPr>
          <w:spacing w:val="-4"/>
        </w:rPr>
        <w:t> </w:t>
      </w:r>
      <w:r>
        <w:rPr/>
        <w:t>generally</w:t>
      </w:r>
      <w:r>
        <w:rPr>
          <w:spacing w:val="-4"/>
        </w:rPr>
        <w:t> </w:t>
      </w:r>
      <w:r>
        <w:rPr/>
        <w:t>rather</w:t>
      </w:r>
      <w:r>
        <w:rPr>
          <w:spacing w:val="-4"/>
        </w:rPr>
        <w:t> </w:t>
      </w:r>
      <w:r>
        <w:rPr/>
        <w:t>than</w:t>
      </w:r>
      <w:r>
        <w:rPr>
          <w:spacing w:val="-4"/>
        </w:rPr>
        <w:t> </w:t>
      </w:r>
      <w:r>
        <w:rPr/>
        <w:t>specifically.</w:t>
      </w:r>
      <w:r>
        <w:rPr>
          <w:spacing w:val="-4"/>
        </w:rPr>
        <w:t> </w:t>
      </w:r>
      <w:r>
        <w:rPr/>
        <w:t>This change recognises that the appropriateness of providing access to a</w:t>
      </w:r>
      <w:r>
        <w:rPr>
          <w:spacing w:val="40"/>
        </w:rPr>
        <w:t> </w:t>
      </w:r>
      <w:r>
        <w:rPr/>
        <w:t>particular area should be determined on how and for what purpose an area is used rather than being subject to an ‘as-of-right’ exemption.</w:t>
      </w:r>
      <w:r>
        <w:rPr>
          <w:spacing w:val="40"/>
        </w:rPr>
        <w:t> </w:t>
      </w:r>
      <w:r>
        <w:rPr/>
        <w:t>Therefore, the change does not alter the intent of the provision but merely changes the way the intent is expressed. It is intended that examples be provided in supporting explanatory documents to assist in the application of D3.4.</w:t>
      </w:r>
    </w:p>
    <w:p>
      <w:pPr>
        <w:spacing w:before="122"/>
        <w:ind w:left="420" w:right="0" w:firstLine="0"/>
        <w:jc w:val="left"/>
        <w:rPr>
          <w:i/>
          <w:sz w:val="24"/>
        </w:rPr>
      </w:pPr>
      <w:bookmarkStart w:name="Benefits" w:id="194"/>
      <w:bookmarkEnd w:id="194"/>
      <w:r>
        <w:rPr/>
      </w:r>
      <w:r>
        <w:rPr>
          <w:i/>
          <w:spacing w:val="-2"/>
          <w:sz w:val="24"/>
          <w:u w:val="single"/>
        </w:rPr>
        <w:t>Benefits</w:t>
      </w:r>
    </w:p>
    <w:p>
      <w:pPr>
        <w:pStyle w:val="BodyText"/>
        <w:spacing w:before="119"/>
        <w:ind w:left="419" w:right="811"/>
        <w:jc w:val="both"/>
      </w:pPr>
      <w:r>
        <w:rPr/>
        <w:t>The change will have the effect of requiring a decision to be taken on whether a specific circumstance falls within the general concept of not providing access where to do so would be inappropriate or specifically giving rise to a health or safety concern. This allows a more targeted and relevant application of the access requirements and avoids situations where access is not provided to areas that legitimately should and could be made accessible. It also recognises that the list of exempted areas was not all encompassing and avoids situations where, because a particular area is not specifically mentioned, access is required to be provided even though to do so would be inappropriate or raise particular health or safety issues. The benefits of the change accrue as a result of a more targeted, relevant and appropriate application of the access requirements.</w:t>
      </w:r>
    </w:p>
    <w:p>
      <w:pPr>
        <w:spacing w:before="121"/>
        <w:ind w:left="420" w:right="0" w:firstLine="0"/>
        <w:jc w:val="left"/>
        <w:rPr>
          <w:i/>
          <w:sz w:val="24"/>
        </w:rPr>
      </w:pPr>
      <w:bookmarkStart w:name="Costs" w:id="195"/>
      <w:bookmarkEnd w:id="195"/>
      <w:r>
        <w:rPr/>
      </w:r>
      <w:r>
        <w:rPr>
          <w:i/>
          <w:spacing w:val="-2"/>
          <w:sz w:val="24"/>
          <w:u w:val="single"/>
        </w:rPr>
        <w:t>Costs</w:t>
      </w:r>
    </w:p>
    <w:p>
      <w:pPr>
        <w:pStyle w:val="BodyText"/>
        <w:spacing w:before="119"/>
        <w:ind w:left="420" w:right="813"/>
        <w:jc w:val="both"/>
      </w:pPr>
      <w:r>
        <w:rPr/>
        <w:t>The change requires a decision to be taken on whether a specific circumstance fits within the general description of areas to be exempted. In this regard, it could be expected that there may be a slight increase in business compliance costs for owners, designers and certifiers in reaching agreement on the appropriate application of the provision to a specific circumstance. However, inherent in the application of the Premises</w:t>
      </w:r>
      <w:r>
        <w:rPr>
          <w:spacing w:val="40"/>
        </w:rPr>
        <w:t> </w:t>
      </w:r>
      <w:r>
        <w:rPr/>
        <w:t>Standards, are decisions on how they apply to a particular building.</w:t>
      </w:r>
    </w:p>
    <w:p>
      <w:pPr>
        <w:pStyle w:val="BodyText"/>
        <w:spacing w:before="120"/>
        <w:ind w:left="420" w:right="811"/>
        <w:jc w:val="both"/>
      </w:pPr>
      <w:r>
        <w:rPr/>
        <w:t>It could be expected that a provision written in general terms may give rise to a greater number of disputes compared to a provision that is more prescriptive, and therefore be subject to additional compliance costs associated with the resolution of any disputes.</w:t>
      </w:r>
    </w:p>
    <w:p>
      <w:pPr>
        <w:spacing w:before="121"/>
        <w:ind w:left="420" w:right="0" w:firstLine="0"/>
        <w:jc w:val="both"/>
        <w:rPr>
          <w:i/>
          <w:sz w:val="24"/>
        </w:rPr>
      </w:pPr>
      <w:r>
        <w:rPr>
          <w:i/>
          <w:sz w:val="24"/>
          <w:u w:val="single"/>
        </w:rPr>
        <w:t>Benefit/Cost </w:t>
      </w:r>
      <w:r>
        <w:rPr>
          <w:i/>
          <w:spacing w:val="-2"/>
          <w:sz w:val="24"/>
          <w:u w:val="single"/>
        </w:rPr>
        <w:t>outcome</w:t>
      </w:r>
    </w:p>
    <w:p>
      <w:pPr>
        <w:pStyle w:val="BodyText"/>
        <w:spacing w:before="119"/>
        <w:ind w:left="420" w:right="811"/>
        <w:jc w:val="both"/>
      </w:pPr>
      <w:r>
        <w:rPr/>
        <w:t>As the change is not a technical change, but merely a change in the way that the exemptions are expressed, there would be no effect on the benefit/cost outcome except for some minor potential increases in business compliance costs as noted above.</w:t>
      </w:r>
      <w:r>
        <w:rPr>
          <w:spacing w:val="40"/>
        </w:rPr>
        <w:t> </w:t>
      </w:r>
      <w:r>
        <w:rPr/>
        <w:t>However, even if these costs eventuate, they would only apply to those buildings containing areas subject to potential exemption, rather than all buildings.</w:t>
      </w:r>
    </w:p>
    <w:p>
      <w:pPr>
        <w:spacing w:after="0"/>
        <w:jc w:val="both"/>
        <w:sectPr>
          <w:pgSz w:w="11900" w:h="16840"/>
          <w:pgMar w:header="0" w:footer="1130" w:top="1000" w:bottom="1320" w:left="1380" w:right="980"/>
        </w:sectPr>
      </w:pPr>
    </w:p>
    <w:p>
      <w:pPr>
        <w:pStyle w:val="BodyText"/>
        <w:spacing w:before="75"/>
        <w:ind w:left="420" w:right="812"/>
        <w:jc w:val="both"/>
      </w:pPr>
      <w:r>
        <w:rPr/>
        <w:t>It is also worth noting that, in the original analysis, no costs and benefits were directly attributed to the change in the way that the exempted areas were described and as the change is to revert back to the approach currently used in the BCA, with additional and specific reference to health and safety considerations providing some additional but limited guidance, there would be no effect on the benefit/cost ratio in the RIS.</w:t>
      </w:r>
    </w:p>
    <w:p>
      <w:pPr>
        <w:spacing w:after="0"/>
        <w:jc w:val="both"/>
        <w:sectPr>
          <w:pgSz w:w="11900" w:h="16840"/>
          <w:pgMar w:header="0" w:footer="1130" w:top="1000" w:bottom="1320" w:left="1380" w:right="980"/>
        </w:sectPr>
      </w:pPr>
    </w:p>
    <w:p>
      <w:pPr>
        <w:tabs>
          <w:tab w:pos="2580" w:val="left" w:leader="none"/>
        </w:tabs>
        <w:spacing w:before="77"/>
        <w:ind w:left="420" w:right="1037" w:firstLine="0"/>
        <w:jc w:val="left"/>
        <w:rPr>
          <w:b/>
          <w:i/>
          <w:sz w:val="32"/>
        </w:rPr>
      </w:pPr>
      <w:bookmarkStart w:name="Appendix E: List of Recommendations from" w:id="196"/>
      <w:bookmarkEnd w:id="196"/>
      <w:r>
        <w:rPr/>
      </w:r>
      <w:r>
        <w:rPr>
          <w:b/>
          <w:sz w:val="32"/>
        </w:rPr>
        <w:t>Appendix E:</w:t>
        <w:tab/>
        <w:t>List</w:t>
      </w:r>
      <w:r>
        <w:rPr>
          <w:b/>
          <w:spacing w:val="-10"/>
          <w:sz w:val="32"/>
        </w:rPr>
        <w:t> </w:t>
      </w:r>
      <w:r>
        <w:rPr>
          <w:b/>
          <w:sz w:val="32"/>
        </w:rPr>
        <w:t>of</w:t>
      </w:r>
      <w:r>
        <w:rPr>
          <w:b/>
          <w:spacing w:val="-10"/>
          <w:sz w:val="32"/>
        </w:rPr>
        <w:t> </w:t>
      </w:r>
      <w:r>
        <w:rPr>
          <w:b/>
          <w:sz w:val="32"/>
        </w:rPr>
        <w:t>Recommendations</w:t>
      </w:r>
      <w:r>
        <w:rPr>
          <w:b/>
          <w:spacing w:val="-10"/>
          <w:sz w:val="32"/>
        </w:rPr>
        <w:t> </w:t>
      </w:r>
      <w:r>
        <w:rPr>
          <w:b/>
          <w:sz w:val="32"/>
        </w:rPr>
        <w:t>from</w:t>
      </w:r>
      <w:r>
        <w:rPr>
          <w:b/>
          <w:spacing w:val="-9"/>
          <w:sz w:val="32"/>
        </w:rPr>
        <w:t> </w:t>
      </w:r>
      <w:r>
        <w:rPr>
          <w:b/>
          <w:i/>
          <w:sz w:val="32"/>
        </w:rPr>
        <w:t>Access</w:t>
      </w:r>
      <w:r>
        <w:rPr>
          <w:b/>
          <w:i/>
          <w:sz w:val="32"/>
        </w:rPr>
        <w:t> all Areas</w:t>
      </w:r>
    </w:p>
    <w:p>
      <w:pPr>
        <w:pStyle w:val="BodyText"/>
        <w:spacing w:before="9"/>
        <w:rPr>
          <w:b/>
          <w:i/>
          <w:sz w:val="44"/>
        </w:rPr>
      </w:pPr>
    </w:p>
    <w:p>
      <w:pPr>
        <w:spacing w:before="0"/>
        <w:ind w:left="420" w:right="0" w:firstLine="0"/>
        <w:jc w:val="left"/>
        <w:rPr>
          <w:i/>
          <w:sz w:val="24"/>
        </w:rPr>
      </w:pPr>
      <w:bookmarkStart w:name="Recommendation 1" w:id="197"/>
      <w:bookmarkEnd w:id="197"/>
      <w:r>
        <w:rPr/>
      </w:r>
      <w:r>
        <w:rPr>
          <w:i/>
          <w:w w:val="95"/>
          <w:sz w:val="24"/>
          <w:u w:val="single"/>
        </w:rPr>
        <w:t>Recommendation</w:t>
      </w:r>
      <w:r>
        <w:rPr>
          <w:i/>
          <w:spacing w:val="61"/>
          <w:sz w:val="24"/>
          <w:u w:val="single"/>
        </w:rPr>
        <w:t> </w:t>
      </w:r>
      <w:r>
        <w:rPr>
          <w:i/>
          <w:spacing w:val="-10"/>
          <w:sz w:val="24"/>
          <w:u w:val="single"/>
        </w:rPr>
        <w:t>1</w:t>
      </w:r>
    </w:p>
    <w:p>
      <w:pPr>
        <w:pStyle w:val="BodyText"/>
        <w:spacing w:before="119"/>
        <w:ind w:left="420" w:right="811"/>
      </w:pPr>
      <w:r>
        <w:rPr/>
        <w:t>The Committee recommends that the Premises Standards be introduced without</w:t>
      </w:r>
      <w:r>
        <w:rPr>
          <w:spacing w:val="-4"/>
        </w:rPr>
        <w:t> </w:t>
      </w:r>
      <w:r>
        <w:rPr/>
        <w:t>delay.</w:t>
      </w:r>
      <w:r>
        <w:rPr>
          <w:spacing w:val="-4"/>
        </w:rPr>
        <w:t> </w:t>
      </w:r>
      <w:r>
        <w:rPr/>
        <w:t>Any</w:t>
      </w:r>
      <w:r>
        <w:rPr>
          <w:spacing w:val="-4"/>
        </w:rPr>
        <w:t> </w:t>
      </w:r>
      <w:r>
        <w:rPr/>
        <w:t>issues</w:t>
      </w:r>
      <w:r>
        <w:rPr>
          <w:spacing w:val="-4"/>
        </w:rPr>
        <w:t> </w:t>
      </w:r>
      <w:r>
        <w:rPr/>
        <w:t>which</w:t>
      </w:r>
      <w:r>
        <w:rPr>
          <w:spacing w:val="-4"/>
        </w:rPr>
        <w:t> </w:t>
      </w:r>
      <w:r>
        <w:rPr/>
        <w:t>cannot</w:t>
      </w:r>
      <w:r>
        <w:rPr>
          <w:spacing w:val="-3"/>
        </w:rPr>
        <w:t> </w:t>
      </w:r>
      <w:r>
        <w:rPr/>
        <w:t>be</w:t>
      </w:r>
      <w:r>
        <w:rPr>
          <w:spacing w:val="-4"/>
        </w:rPr>
        <w:t> </w:t>
      </w:r>
      <w:r>
        <w:rPr/>
        <w:t>finalised</w:t>
      </w:r>
      <w:r>
        <w:rPr>
          <w:spacing w:val="-4"/>
        </w:rPr>
        <w:t> </w:t>
      </w:r>
      <w:r>
        <w:rPr/>
        <w:t>without</w:t>
      </w:r>
      <w:r>
        <w:rPr>
          <w:spacing w:val="-4"/>
        </w:rPr>
        <w:t> </w:t>
      </w:r>
      <w:r>
        <w:rPr/>
        <w:t>causing</w:t>
      </w:r>
      <w:r>
        <w:rPr>
          <w:spacing w:val="-4"/>
        </w:rPr>
        <w:t> </w:t>
      </w:r>
      <w:r>
        <w:rPr/>
        <w:t>delay should be considered at a later date.</w:t>
      </w:r>
    </w:p>
    <w:p>
      <w:pPr>
        <w:spacing w:before="121"/>
        <w:ind w:left="420" w:right="0" w:firstLine="0"/>
        <w:jc w:val="left"/>
        <w:rPr>
          <w:i/>
          <w:sz w:val="24"/>
        </w:rPr>
      </w:pPr>
      <w:bookmarkStart w:name="Recommendation 2" w:id="198"/>
      <w:bookmarkEnd w:id="198"/>
      <w:r>
        <w:rPr/>
      </w:r>
      <w:r>
        <w:rPr>
          <w:i/>
          <w:w w:val="95"/>
          <w:sz w:val="24"/>
          <w:u w:val="single"/>
        </w:rPr>
        <w:t>Recommendation</w:t>
      </w:r>
      <w:r>
        <w:rPr>
          <w:i/>
          <w:spacing w:val="61"/>
          <w:sz w:val="24"/>
          <w:u w:val="single"/>
        </w:rPr>
        <w:t> </w:t>
      </w:r>
      <w:r>
        <w:rPr>
          <w:i/>
          <w:spacing w:val="-10"/>
          <w:sz w:val="24"/>
          <w:u w:val="single"/>
        </w:rPr>
        <w:t>2</w:t>
      </w:r>
    </w:p>
    <w:p>
      <w:pPr>
        <w:pStyle w:val="BodyText"/>
        <w:spacing w:before="119"/>
        <w:ind w:left="420" w:right="1062"/>
        <w:jc w:val="both"/>
      </w:pPr>
      <w:r>
        <w:rPr/>
        <w:t>The</w:t>
      </w:r>
      <w:r>
        <w:rPr>
          <w:spacing w:val="-4"/>
        </w:rPr>
        <w:t> </w:t>
      </w:r>
      <w:r>
        <w:rPr/>
        <w:t>Committee</w:t>
      </w:r>
      <w:r>
        <w:rPr>
          <w:spacing w:val="-4"/>
        </w:rPr>
        <w:t> </w:t>
      </w:r>
      <w:r>
        <w:rPr/>
        <w:t>recommends</w:t>
      </w:r>
      <w:r>
        <w:rPr>
          <w:spacing w:val="-4"/>
        </w:rPr>
        <w:t> </w:t>
      </w:r>
      <w:r>
        <w:rPr/>
        <w:t>that</w:t>
      </w:r>
      <w:r>
        <w:rPr>
          <w:spacing w:val="-4"/>
        </w:rPr>
        <w:t> </w:t>
      </w:r>
      <w:r>
        <w:rPr/>
        <w:t>the</w:t>
      </w:r>
      <w:r>
        <w:rPr>
          <w:spacing w:val="-4"/>
        </w:rPr>
        <w:t> </w:t>
      </w:r>
      <w:r>
        <w:rPr/>
        <w:t>requirement</w:t>
      </w:r>
      <w:r>
        <w:rPr>
          <w:spacing w:val="-4"/>
        </w:rPr>
        <w:t> </w:t>
      </w:r>
      <w:r>
        <w:rPr/>
        <w:t>for</w:t>
      </w:r>
      <w:r>
        <w:rPr>
          <w:spacing w:val="-4"/>
        </w:rPr>
        <w:t> </w:t>
      </w:r>
      <w:r>
        <w:rPr/>
        <w:t>access</w:t>
      </w:r>
      <w:r>
        <w:rPr>
          <w:spacing w:val="-4"/>
        </w:rPr>
        <w:t> </w:t>
      </w:r>
      <w:r>
        <w:rPr/>
        <w:t>to</w:t>
      </w:r>
      <w:r>
        <w:rPr>
          <w:spacing w:val="-4"/>
        </w:rPr>
        <w:t> </w:t>
      </w:r>
      <w:r>
        <w:rPr/>
        <w:t>be</w:t>
      </w:r>
      <w:r>
        <w:rPr>
          <w:spacing w:val="-4"/>
        </w:rPr>
        <w:t> </w:t>
      </w:r>
      <w:r>
        <w:rPr/>
        <w:t>provided to the common areas of Class 2 buildings, which was contained in the 2004 draft Premises Standards be included in the Premises Standards.</w:t>
      </w:r>
    </w:p>
    <w:p>
      <w:pPr>
        <w:spacing w:before="121"/>
        <w:ind w:left="420" w:right="0" w:firstLine="0"/>
        <w:jc w:val="both"/>
        <w:rPr>
          <w:i/>
          <w:sz w:val="24"/>
        </w:rPr>
      </w:pPr>
      <w:bookmarkStart w:name="Recommendation 3" w:id="199"/>
      <w:bookmarkEnd w:id="199"/>
      <w:r>
        <w:rPr/>
      </w:r>
      <w:r>
        <w:rPr>
          <w:i/>
          <w:w w:val="95"/>
          <w:sz w:val="24"/>
          <w:u w:val="single"/>
        </w:rPr>
        <w:t>Recommendation</w:t>
      </w:r>
      <w:r>
        <w:rPr>
          <w:i/>
          <w:spacing w:val="61"/>
          <w:sz w:val="24"/>
          <w:u w:val="single"/>
        </w:rPr>
        <w:t> </w:t>
      </w:r>
      <w:r>
        <w:rPr>
          <w:i/>
          <w:spacing w:val="-10"/>
          <w:sz w:val="24"/>
          <w:u w:val="single"/>
        </w:rPr>
        <w:t>3</w:t>
      </w:r>
    </w:p>
    <w:p>
      <w:pPr>
        <w:pStyle w:val="BodyText"/>
        <w:spacing w:before="119"/>
        <w:ind w:left="420" w:right="843"/>
      </w:pPr>
      <w:r>
        <w:rPr/>
        <w:t>The Committee recommends that requirements for accessibility be imposed on all new and purpose-built Class 1b buildings regardless of the number of bedrooms or dwellings they contain, but that the proposed four bedroom threshold be maintained for existing buildings. The general provisions of the Disability</w:t>
      </w:r>
      <w:r>
        <w:rPr>
          <w:spacing w:val="-5"/>
        </w:rPr>
        <w:t> </w:t>
      </w:r>
      <w:r>
        <w:rPr/>
        <w:t>Discrimination</w:t>
      </w:r>
      <w:r>
        <w:rPr>
          <w:spacing w:val="-5"/>
        </w:rPr>
        <w:t> </w:t>
      </w:r>
      <w:r>
        <w:rPr/>
        <w:t>Act</w:t>
      </w:r>
      <w:r>
        <w:rPr>
          <w:spacing w:val="-5"/>
        </w:rPr>
        <w:t> </w:t>
      </w:r>
      <w:r>
        <w:rPr/>
        <w:t>continue</w:t>
      </w:r>
      <w:r>
        <w:rPr>
          <w:spacing w:val="-5"/>
        </w:rPr>
        <w:t> </w:t>
      </w:r>
      <w:r>
        <w:rPr/>
        <w:t>to</w:t>
      </w:r>
      <w:r>
        <w:rPr>
          <w:spacing w:val="-5"/>
        </w:rPr>
        <w:t> </w:t>
      </w:r>
      <w:r>
        <w:rPr/>
        <w:t>be</w:t>
      </w:r>
      <w:r>
        <w:rPr>
          <w:spacing w:val="-5"/>
        </w:rPr>
        <w:t> </w:t>
      </w:r>
      <w:r>
        <w:rPr/>
        <w:t>available</w:t>
      </w:r>
      <w:r>
        <w:rPr>
          <w:spacing w:val="-5"/>
        </w:rPr>
        <w:t> </w:t>
      </w:r>
      <w:r>
        <w:rPr/>
        <w:t>for</w:t>
      </w:r>
      <w:r>
        <w:rPr>
          <w:spacing w:val="-5"/>
        </w:rPr>
        <w:t> </w:t>
      </w:r>
      <w:r>
        <w:rPr/>
        <w:t>existing</w:t>
      </w:r>
      <w:r>
        <w:rPr>
          <w:spacing w:val="-5"/>
        </w:rPr>
        <w:t> </w:t>
      </w:r>
      <w:r>
        <w:rPr/>
        <w:t>buildings</w:t>
      </w:r>
      <w:r>
        <w:rPr>
          <w:spacing w:val="-5"/>
        </w:rPr>
        <w:t> </w:t>
      </w:r>
      <w:r>
        <w:rPr/>
        <w:t>with one to three bedrooms.</w:t>
      </w:r>
    </w:p>
    <w:p>
      <w:pPr>
        <w:spacing w:before="122"/>
        <w:ind w:left="420" w:right="0" w:firstLine="0"/>
        <w:jc w:val="left"/>
        <w:rPr>
          <w:i/>
          <w:sz w:val="24"/>
        </w:rPr>
      </w:pPr>
      <w:bookmarkStart w:name="Recommendation 4" w:id="200"/>
      <w:bookmarkEnd w:id="200"/>
      <w:r>
        <w:rPr/>
      </w:r>
      <w:r>
        <w:rPr>
          <w:i/>
          <w:w w:val="95"/>
          <w:sz w:val="24"/>
          <w:u w:val="single"/>
        </w:rPr>
        <w:t>Recommendation</w:t>
      </w:r>
      <w:r>
        <w:rPr>
          <w:i/>
          <w:spacing w:val="61"/>
          <w:sz w:val="24"/>
          <w:u w:val="single"/>
        </w:rPr>
        <w:t> </w:t>
      </w:r>
      <w:r>
        <w:rPr>
          <w:i/>
          <w:spacing w:val="-10"/>
          <w:sz w:val="24"/>
          <w:u w:val="single"/>
        </w:rPr>
        <w:t>4</w:t>
      </w:r>
    </w:p>
    <w:p>
      <w:pPr>
        <w:pStyle w:val="BodyText"/>
        <w:spacing w:before="118"/>
        <w:ind w:left="420" w:right="918"/>
      </w:pPr>
      <w:r>
        <w:rPr/>
        <w:t>The</w:t>
      </w:r>
      <w:r>
        <w:rPr>
          <w:spacing w:val="-4"/>
        </w:rPr>
        <w:t> </w:t>
      </w:r>
      <w:r>
        <w:rPr/>
        <w:t>Committee</w:t>
      </w:r>
      <w:r>
        <w:rPr>
          <w:spacing w:val="-5"/>
        </w:rPr>
        <w:t> </w:t>
      </w:r>
      <w:r>
        <w:rPr/>
        <w:t>recommends</w:t>
      </w:r>
      <w:r>
        <w:rPr>
          <w:spacing w:val="-5"/>
        </w:rPr>
        <w:t> </w:t>
      </w:r>
      <w:r>
        <w:rPr/>
        <w:t>that</w:t>
      </w:r>
      <w:r>
        <w:rPr>
          <w:spacing w:val="-5"/>
        </w:rPr>
        <w:t> </w:t>
      </w:r>
      <w:r>
        <w:rPr/>
        <w:t>consideration</w:t>
      </w:r>
      <w:r>
        <w:rPr>
          <w:spacing w:val="-5"/>
        </w:rPr>
        <w:t> </w:t>
      </w:r>
      <w:r>
        <w:rPr/>
        <w:t>be</w:t>
      </w:r>
      <w:r>
        <w:rPr>
          <w:spacing w:val="-5"/>
        </w:rPr>
        <w:t> </w:t>
      </w:r>
      <w:r>
        <w:rPr/>
        <w:t>given</w:t>
      </w:r>
      <w:r>
        <w:rPr>
          <w:spacing w:val="-5"/>
        </w:rPr>
        <w:t> </w:t>
      </w:r>
      <w:r>
        <w:rPr/>
        <w:t>to</w:t>
      </w:r>
      <w:r>
        <w:rPr>
          <w:spacing w:val="-5"/>
        </w:rPr>
        <w:t> </w:t>
      </w:r>
      <w:r>
        <w:rPr/>
        <w:t>the</w:t>
      </w:r>
      <w:r>
        <w:rPr>
          <w:spacing w:val="-5"/>
        </w:rPr>
        <w:t> </w:t>
      </w:r>
      <w:r>
        <w:rPr/>
        <w:t>development of disability standards in relation to building fit out and places other than </w:t>
      </w:r>
      <w:r>
        <w:rPr>
          <w:spacing w:val="-2"/>
        </w:rPr>
        <w:t>buildings.</w:t>
      </w:r>
    </w:p>
    <w:p>
      <w:pPr>
        <w:spacing w:before="122"/>
        <w:ind w:left="420" w:right="0" w:firstLine="0"/>
        <w:jc w:val="left"/>
        <w:rPr>
          <w:i/>
          <w:sz w:val="24"/>
        </w:rPr>
      </w:pPr>
      <w:bookmarkStart w:name="Recommendation 5" w:id="201"/>
      <w:bookmarkEnd w:id="201"/>
      <w:r>
        <w:rPr/>
      </w:r>
      <w:r>
        <w:rPr>
          <w:i/>
          <w:w w:val="95"/>
          <w:sz w:val="24"/>
          <w:u w:val="single"/>
        </w:rPr>
        <w:t>Recommendation</w:t>
      </w:r>
      <w:r>
        <w:rPr>
          <w:i/>
          <w:spacing w:val="61"/>
          <w:sz w:val="24"/>
          <w:u w:val="single"/>
        </w:rPr>
        <w:t> </w:t>
      </w:r>
      <w:r>
        <w:rPr>
          <w:i/>
          <w:spacing w:val="-10"/>
          <w:sz w:val="24"/>
          <w:u w:val="single"/>
        </w:rPr>
        <w:t>5</w:t>
      </w:r>
    </w:p>
    <w:p>
      <w:pPr>
        <w:pStyle w:val="BodyText"/>
        <w:spacing w:before="119"/>
        <w:ind w:left="420" w:right="811"/>
      </w:pPr>
      <w:r>
        <w:rPr/>
        <w:t>The</w:t>
      </w:r>
      <w:r>
        <w:rPr>
          <w:spacing w:val="-3"/>
        </w:rPr>
        <w:t> </w:t>
      </w:r>
      <w:r>
        <w:rPr/>
        <w:t>Committee</w:t>
      </w:r>
      <w:r>
        <w:rPr>
          <w:spacing w:val="-4"/>
        </w:rPr>
        <w:t> </w:t>
      </w:r>
      <w:r>
        <w:rPr/>
        <w:t>recommends</w:t>
      </w:r>
      <w:r>
        <w:rPr>
          <w:spacing w:val="-4"/>
        </w:rPr>
        <w:t> </w:t>
      </w:r>
      <w:r>
        <w:rPr/>
        <w:t>that</w:t>
      </w:r>
      <w:r>
        <w:rPr>
          <w:spacing w:val="-4"/>
        </w:rPr>
        <w:t> </w:t>
      </w:r>
      <w:r>
        <w:rPr/>
        <w:t>the</w:t>
      </w:r>
      <w:r>
        <w:rPr>
          <w:spacing w:val="-4"/>
        </w:rPr>
        <w:t> </w:t>
      </w:r>
      <w:r>
        <w:rPr/>
        <w:t>small</w:t>
      </w:r>
      <w:r>
        <w:rPr>
          <w:spacing w:val="-4"/>
        </w:rPr>
        <w:t> </w:t>
      </w:r>
      <w:r>
        <w:rPr/>
        <w:t>building</w:t>
      </w:r>
      <w:r>
        <w:rPr>
          <w:spacing w:val="-4"/>
        </w:rPr>
        <w:t> </w:t>
      </w:r>
      <w:r>
        <w:rPr/>
        <w:t>exemption</w:t>
      </w:r>
      <w:r>
        <w:rPr>
          <w:spacing w:val="-4"/>
        </w:rPr>
        <w:t> </w:t>
      </w:r>
      <w:r>
        <w:rPr/>
        <w:t>for</w:t>
      </w:r>
      <w:r>
        <w:rPr>
          <w:spacing w:val="-4"/>
        </w:rPr>
        <w:t> </w:t>
      </w:r>
      <w:r>
        <w:rPr/>
        <w:t>Class</w:t>
      </w:r>
      <w:r>
        <w:rPr>
          <w:spacing w:val="-4"/>
        </w:rPr>
        <w:t> </w:t>
      </w:r>
      <w:r>
        <w:rPr/>
        <w:t>5,</w:t>
      </w:r>
      <w:r>
        <w:rPr>
          <w:spacing w:val="-4"/>
        </w:rPr>
        <w:t> </w:t>
      </w:r>
      <w:r>
        <w:rPr/>
        <w:t>6, 7b or 8 buildings be limited to the provision of lift or ramp access between </w:t>
      </w:r>
      <w:r>
        <w:rPr>
          <w:spacing w:val="-2"/>
        </w:rPr>
        <w:t>floors.</w:t>
      </w:r>
    </w:p>
    <w:p>
      <w:pPr>
        <w:spacing w:before="121"/>
        <w:ind w:left="420" w:right="0" w:firstLine="0"/>
        <w:jc w:val="left"/>
        <w:rPr>
          <w:i/>
          <w:sz w:val="24"/>
        </w:rPr>
      </w:pPr>
      <w:bookmarkStart w:name="Recommendation 6" w:id="202"/>
      <w:bookmarkEnd w:id="202"/>
      <w:r>
        <w:rPr/>
      </w:r>
      <w:r>
        <w:rPr>
          <w:i/>
          <w:w w:val="95"/>
          <w:sz w:val="24"/>
          <w:u w:val="single"/>
        </w:rPr>
        <w:t>Recommendation</w:t>
      </w:r>
      <w:r>
        <w:rPr>
          <w:i/>
          <w:spacing w:val="61"/>
          <w:sz w:val="24"/>
          <w:u w:val="single"/>
        </w:rPr>
        <w:t> </w:t>
      </w:r>
      <w:r>
        <w:rPr>
          <w:i/>
          <w:spacing w:val="-10"/>
          <w:sz w:val="24"/>
          <w:u w:val="single"/>
        </w:rPr>
        <w:t>6</w:t>
      </w:r>
    </w:p>
    <w:p>
      <w:pPr>
        <w:pStyle w:val="BodyText"/>
        <w:spacing w:before="119"/>
        <w:ind w:left="420" w:right="843"/>
      </w:pPr>
      <w:r>
        <w:rPr/>
        <w:t>The Committee recommends that the exemptions in paragraphs D3.4(a)-(e) be</w:t>
      </w:r>
      <w:r>
        <w:rPr>
          <w:spacing w:val="-4"/>
        </w:rPr>
        <w:t> </w:t>
      </w:r>
      <w:r>
        <w:rPr/>
        <w:t>replaced</w:t>
      </w:r>
      <w:r>
        <w:rPr>
          <w:spacing w:val="-4"/>
        </w:rPr>
        <w:t> </w:t>
      </w:r>
      <w:r>
        <w:rPr/>
        <w:t>with</w:t>
      </w:r>
      <w:r>
        <w:rPr>
          <w:spacing w:val="-4"/>
        </w:rPr>
        <w:t> </w:t>
      </w:r>
      <w:r>
        <w:rPr/>
        <w:t>a</w:t>
      </w:r>
      <w:r>
        <w:rPr>
          <w:spacing w:val="-4"/>
        </w:rPr>
        <w:t> </w:t>
      </w:r>
      <w:r>
        <w:rPr/>
        <w:t>general</w:t>
      </w:r>
      <w:r>
        <w:rPr>
          <w:spacing w:val="-4"/>
        </w:rPr>
        <w:t> </w:t>
      </w:r>
      <w:r>
        <w:rPr/>
        <w:t>exemption</w:t>
      </w:r>
      <w:r>
        <w:rPr>
          <w:spacing w:val="-4"/>
        </w:rPr>
        <w:t> </w:t>
      </w:r>
      <w:r>
        <w:rPr/>
        <w:t>for</w:t>
      </w:r>
      <w:r>
        <w:rPr>
          <w:spacing w:val="-4"/>
        </w:rPr>
        <w:t> </w:t>
      </w:r>
      <w:r>
        <w:rPr/>
        <w:t>areas</w:t>
      </w:r>
      <w:r>
        <w:rPr>
          <w:spacing w:val="-4"/>
        </w:rPr>
        <w:t> </w:t>
      </w:r>
      <w:r>
        <w:rPr/>
        <w:t>which</w:t>
      </w:r>
      <w:r>
        <w:rPr>
          <w:spacing w:val="-4"/>
        </w:rPr>
        <w:t> </w:t>
      </w:r>
      <w:r>
        <w:rPr/>
        <w:t>pose</w:t>
      </w:r>
      <w:r>
        <w:rPr>
          <w:spacing w:val="-4"/>
        </w:rPr>
        <w:t> </w:t>
      </w:r>
      <w:r>
        <w:rPr/>
        <w:t>a</w:t>
      </w:r>
      <w:r>
        <w:rPr>
          <w:spacing w:val="-4"/>
        </w:rPr>
        <w:t> </w:t>
      </w:r>
      <w:r>
        <w:rPr/>
        <w:t>clear</w:t>
      </w:r>
      <w:r>
        <w:rPr>
          <w:spacing w:val="-4"/>
        </w:rPr>
        <w:t> </w:t>
      </w:r>
      <w:r>
        <w:rPr/>
        <w:t>health</w:t>
      </w:r>
      <w:r>
        <w:rPr>
          <w:spacing w:val="-4"/>
        </w:rPr>
        <w:t> </w:t>
      </w:r>
      <w:r>
        <w:rPr/>
        <w:t>and safety risk for people with a disability.</w:t>
      </w:r>
    </w:p>
    <w:p>
      <w:pPr>
        <w:spacing w:before="121"/>
        <w:ind w:left="420" w:right="0" w:firstLine="0"/>
        <w:jc w:val="left"/>
        <w:rPr>
          <w:i/>
          <w:sz w:val="24"/>
        </w:rPr>
      </w:pPr>
      <w:bookmarkStart w:name="Recommendation 7" w:id="203"/>
      <w:bookmarkEnd w:id="203"/>
      <w:r>
        <w:rPr/>
      </w:r>
      <w:r>
        <w:rPr>
          <w:i/>
          <w:w w:val="95"/>
          <w:sz w:val="24"/>
          <w:u w:val="single"/>
        </w:rPr>
        <w:t>Recommendation</w:t>
      </w:r>
      <w:r>
        <w:rPr>
          <w:i/>
          <w:spacing w:val="61"/>
          <w:sz w:val="24"/>
          <w:u w:val="single"/>
        </w:rPr>
        <w:t> </w:t>
      </w:r>
      <w:r>
        <w:rPr>
          <w:i/>
          <w:spacing w:val="-10"/>
          <w:sz w:val="24"/>
          <w:u w:val="single"/>
        </w:rPr>
        <w:t>7</w:t>
      </w:r>
    </w:p>
    <w:p>
      <w:pPr>
        <w:pStyle w:val="BodyText"/>
        <w:spacing w:before="119"/>
        <w:ind w:left="420" w:right="811"/>
      </w:pPr>
      <w:r>
        <w:rPr/>
        <w:t>The</w:t>
      </w:r>
      <w:r>
        <w:rPr>
          <w:spacing w:val="-4"/>
        </w:rPr>
        <w:t> </w:t>
      </w:r>
      <w:r>
        <w:rPr/>
        <w:t>Committee</w:t>
      </w:r>
      <w:r>
        <w:rPr>
          <w:spacing w:val="-4"/>
        </w:rPr>
        <w:t> </w:t>
      </w:r>
      <w:r>
        <w:rPr/>
        <w:t>recommends</w:t>
      </w:r>
      <w:r>
        <w:rPr>
          <w:spacing w:val="-4"/>
        </w:rPr>
        <w:t> </w:t>
      </w:r>
      <w:r>
        <w:rPr/>
        <w:t>that</w:t>
      </w:r>
      <w:r>
        <w:rPr>
          <w:spacing w:val="-4"/>
        </w:rPr>
        <w:t> </w:t>
      </w:r>
      <w:r>
        <w:rPr/>
        <w:t>the</w:t>
      </w:r>
      <w:r>
        <w:rPr>
          <w:spacing w:val="-4"/>
        </w:rPr>
        <w:t> </w:t>
      </w:r>
      <w:r>
        <w:rPr/>
        <w:t>words</w:t>
      </w:r>
      <w:r>
        <w:rPr>
          <w:spacing w:val="-4"/>
        </w:rPr>
        <w:t> </w:t>
      </w:r>
      <w:r>
        <w:rPr/>
        <w:t>‘regional</w:t>
      </w:r>
      <w:r>
        <w:rPr>
          <w:spacing w:val="-4"/>
        </w:rPr>
        <w:t> </w:t>
      </w:r>
      <w:r>
        <w:rPr/>
        <w:t>or</w:t>
      </w:r>
      <w:r>
        <w:rPr>
          <w:spacing w:val="-4"/>
        </w:rPr>
        <w:t> </w:t>
      </w:r>
      <w:r>
        <w:rPr/>
        <w:t>remote</w:t>
      </w:r>
      <w:r>
        <w:rPr>
          <w:spacing w:val="-4"/>
        </w:rPr>
        <w:t> </w:t>
      </w:r>
      <w:r>
        <w:rPr/>
        <w:t>location’</w:t>
      </w:r>
      <w:r>
        <w:rPr>
          <w:spacing w:val="-4"/>
        </w:rPr>
        <w:t> </w:t>
      </w:r>
      <w:r>
        <w:rPr/>
        <w:t>be deleted from paragraph 4.1(3)(f) of the Premises Standards.</w:t>
      </w:r>
    </w:p>
    <w:p>
      <w:pPr>
        <w:spacing w:before="121"/>
        <w:ind w:left="420" w:right="0" w:firstLine="0"/>
        <w:jc w:val="left"/>
        <w:rPr>
          <w:i/>
          <w:sz w:val="24"/>
        </w:rPr>
      </w:pPr>
      <w:bookmarkStart w:name="Recommendation 8" w:id="204"/>
      <w:bookmarkEnd w:id="204"/>
      <w:r>
        <w:rPr/>
      </w:r>
      <w:r>
        <w:rPr>
          <w:i/>
          <w:w w:val="95"/>
          <w:sz w:val="24"/>
          <w:u w:val="single"/>
        </w:rPr>
        <w:t>Recommendation</w:t>
      </w:r>
      <w:r>
        <w:rPr>
          <w:i/>
          <w:spacing w:val="61"/>
          <w:sz w:val="24"/>
          <w:u w:val="single"/>
        </w:rPr>
        <w:t> </w:t>
      </w:r>
      <w:r>
        <w:rPr>
          <w:i/>
          <w:spacing w:val="-10"/>
          <w:sz w:val="24"/>
          <w:u w:val="single"/>
        </w:rPr>
        <w:t>8</w:t>
      </w:r>
    </w:p>
    <w:p>
      <w:pPr>
        <w:pStyle w:val="BodyText"/>
        <w:spacing w:before="119"/>
        <w:ind w:left="419" w:right="811"/>
      </w:pPr>
      <w:r>
        <w:rPr/>
        <w:t>The Committee recommends that further consideration be given to clarifying the meaning of ‘heritage value’ in paragraph 4.1(3)(k) of the Premises Standards. Consideration should be given to ensuring consistency with the tests used in State and Territory legislation in relation to heritage. The committee</w:t>
      </w:r>
      <w:r>
        <w:rPr>
          <w:spacing w:val="-4"/>
        </w:rPr>
        <w:t> </w:t>
      </w:r>
      <w:r>
        <w:rPr/>
        <w:t>further</w:t>
      </w:r>
      <w:r>
        <w:rPr>
          <w:spacing w:val="-4"/>
        </w:rPr>
        <w:t> </w:t>
      </w:r>
      <w:r>
        <w:rPr/>
        <w:t>recommends</w:t>
      </w:r>
      <w:r>
        <w:rPr>
          <w:spacing w:val="-4"/>
        </w:rPr>
        <w:t> </w:t>
      </w:r>
      <w:r>
        <w:rPr/>
        <w:t>that</w:t>
      </w:r>
      <w:r>
        <w:rPr>
          <w:spacing w:val="-4"/>
        </w:rPr>
        <w:t> </w:t>
      </w:r>
      <w:r>
        <w:rPr/>
        <w:t>the</w:t>
      </w:r>
      <w:r>
        <w:rPr>
          <w:spacing w:val="-4"/>
        </w:rPr>
        <w:t> </w:t>
      </w:r>
      <w:r>
        <w:rPr/>
        <w:t>words</w:t>
      </w:r>
      <w:r>
        <w:rPr>
          <w:spacing w:val="-4"/>
        </w:rPr>
        <w:t> </w:t>
      </w:r>
      <w:r>
        <w:rPr/>
        <w:t>‘and</w:t>
      </w:r>
      <w:r>
        <w:rPr>
          <w:spacing w:val="-5"/>
        </w:rPr>
        <w:t> </w:t>
      </w:r>
      <w:r>
        <w:rPr/>
        <w:t>to</w:t>
      </w:r>
      <w:r>
        <w:rPr>
          <w:spacing w:val="-5"/>
        </w:rPr>
        <w:t> </w:t>
      </w:r>
      <w:r>
        <w:rPr/>
        <w:t>what</w:t>
      </w:r>
      <w:r>
        <w:rPr>
          <w:spacing w:val="-5"/>
        </w:rPr>
        <w:t> </w:t>
      </w:r>
      <w:r>
        <w:rPr/>
        <w:t>extent</w:t>
      </w:r>
      <w:r>
        <w:rPr>
          <w:spacing w:val="-5"/>
        </w:rPr>
        <w:t> </w:t>
      </w:r>
      <w:r>
        <w:rPr/>
        <w:t>incidental’ be deleted from paragraph 4.1(3)(k) of the Premises Standards.</w:t>
      </w:r>
    </w:p>
    <w:p>
      <w:pPr>
        <w:spacing w:before="121"/>
        <w:ind w:left="419" w:right="0" w:firstLine="0"/>
        <w:jc w:val="left"/>
        <w:rPr>
          <w:i/>
          <w:sz w:val="24"/>
        </w:rPr>
      </w:pPr>
      <w:bookmarkStart w:name="Recommendation 9" w:id="205"/>
      <w:bookmarkEnd w:id="205"/>
      <w:r>
        <w:rPr/>
      </w:r>
      <w:r>
        <w:rPr>
          <w:i/>
          <w:w w:val="95"/>
          <w:sz w:val="24"/>
          <w:u w:val="single"/>
        </w:rPr>
        <w:t>Recommendation</w:t>
      </w:r>
      <w:r>
        <w:rPr>
          <w:i/>
          <w:spacing w:val="61"/>
          <w:sz w:val="24"/>
          <w:u w:val="single"/>
        </w:rPr>
        <w:t> </w:t>
      </w:r>
      <w:r>
        <w:rPr>
          <w:i/>
          <w:spacing w:val="-10"/>
          <w:sz w:val="24"/>
          <w:u w:val="single"/>
        </w:rPr>
        <w:t>9</w:t>
      </w:r>
    </w:p>
    <w:p>
      <w:pPr>
        <w:pStyle w:val="BodyText"/>
        <w:spacing w:before="119"/>
        <w:ind w:left="420"/>
      </w:pPr>
      <w:r>
        <w:rPr/>
        <w:t>The</w:t>
      </w:r>
      <w:r>
        <w:rPr>
          <w:spacing w:val="-11"/>
        </w:rPr>
        <w:t> </w:t>
      </w:r>
      <w:r>
        <w:rPr/>
        <w:t>Committee</w:t>
      </w:r>
      <w:r>
        <w:rPr>
          <w:spacing w:val="-12"/>
        </w:rPr>
        <w:t> </w:t>
      </w:r>
      <w:r>
        <w:rPr>
          <w:spacing w:val="-2"/>
        </w:rPr>
        <w:t>recommends:</w:t>
      </w:r>
    </w:p>
    <w:p>
      <w:pPr>
        <w:spacing w:after="0"/>
        <w:sectPr>
          <w:pgSz w:w="11900" w:h="16840"/>
          <w:pgMar w:header="0" w:footer="1130" w:top="1120" w:bottom="1320" w:left="1380" w:right="980"/>
        </w:sectPr>
      </w:pPr>
    </w:p>
    <w:p>
      <w:pPr>
        <w:pStyle w:val="ListParagraph"/>
        <w:numPr>
          <w:ilvl w:val="1"/>
          <w:numId w:val="49"/>
        </w:numPr>
        <w:tabs>
          <w:tab w:pos="1141" w:val="left" w:leader="none"/>
        </w:tabs>
        <w:spacing w:line="240" w:lineRule="auto" w:before="76" w:after="0"/>
        <w:ind w:left="1133" w:right="812" w:hanging="357"/>
        <w:jc w:val="both"/>
        <w:rPr>
          <w:sz w:val="24"/>
        </w:rPr>
      </w:pPr>
      <w:r>
        <w:rPr>
          <w:sz w:val="24"/>
        </w:rPr>
        <w:t>that subsection 4.1(3) of the Premises Standards be amended to include consideration of the extent to which the building work concerned involves the use of public funds; and</w:t>
      </w:r>
    </w:p>
    <w:p>
      <w:pPr>
        <w:pStyle w:val="ListParagraph"/>
        <w:numPr>
          <w:ilvl w:val="1"/>
          <w:numId w:val="49"/>
        </w:numPr>
        <w:tabs>
          <w:tab w:pos="1141" w:val="left" w:leader="none"/>
        </w:tabs>
        <w:spacing w:line="237" w:lineRule="auto" w:before="121" w:after="0"/>
        <w:ind w:left="1133" w:right="811" w:hanging="357"/>
        <w:jc w:val="both"/>
        <w:rPr>
          <w:sz w:val="24"/>
        </w:rPr>
      </w:pPr>
      <w:r>
        <w:rPr>
          <w:sz w:val="24"/>
        </w:rPr>
        <w:t>that</w:t>
      </w:r>
      <w:r>
        <w:rPr>
          <w:spacing w:val="-3"/>
          <w:sz w:val="24"/>
        </w:rPr>
        <w:t> </w:t>
      </w:r>
      <w:r>
        <w:rPr>
          <w:sz w:val="24"/>
        </w:rPr>
        <w:t>paragraph</w:t>
      </w:r>
      <w:r>
        <w:rPr>
          <w:spacing w:val="-3"/>
          <w:sz w:val="24"/>
        </w:rPr>
        <w:t> </w:t>
      </w:r>
      <w:r>
        <w:rPr>
          <w:sz w:val="24"/>
        </w:rPr>
        <w:t>4.1(3)(i)</w:t>
      </w:r>
      <w:r>
        <w:rPr>
          <w:spacing w:val="-3"/>
          <w:sz w:val="24"/>
        </w:rPr>
        <w:t> </w:t>
      </w:r>
      <w:r>
        <w:rPr>
          <w:sz w:val="24"/>
        </w:rPr>
        <w:t>be</w:t>
      </w:r>
      <w:r>
        <w:rPr>
          <w:spacing w:val="-3"/>
          <w:sz w:val="24"/>
        </w:rPr>
        <w:t> </w:t>
      </w:r>
      <w:r>
        <w:rPr>
          <w:sz w:val="24"/>
        </w:rPr>
        <w:t>amended</w:t>
      </w:r>
      <w:r>
        <w:rPr>
          <w:spacing w:val="-3"/>
          <w:sz w:val="24"/>
        </w:rPr>
        <w:t> </w:t>
      </w:r>
      <w:r>
        <w:rPr>
          <w:sz w:val="24"/>
        </w:rPr>
        <w:t>to</w:t>
      </w:r>
      <w:r>
        <w:rPr>
          <w:spacing w:val="-3"/>
          <w:sz w:val="24"/>
        </w:rPr>
        <w:t> </w:t>
      </w:r>
      <w:r>
        <w:rPr>
          <w:sz w:val="24"/>
        </w:rPr>
        <w:t>include</w:t>
      </w:r>
      <w:r>
        <w:rPr>
          <w:spacing w:val="-3"/>
          <w:sz w:val="24"/>
        </w:rPr>
        <w:t> </w:t>
      </w:r>
      <w:r>
        <w:rPr>
          <w:sz w:val="24"/>
        </w:rPr>
        <w:t>specific</w:t>
      </w:r>
      <w:r>
        <w:rPr>
          <w:spacing w:val="-3"/>
          <w:sz w:val="24"/>
        </w:rPr>
        <w:t> </w:t>
      </w:r>
      <w:r>
        <w:rPr>
          <w:sz w:val="24"/>
        </w:rPr>
        <w:t>reference</w:t>
      </w:r>
      <w:r>
        <w:rPr>
          <w:spacing w:val="-3"/>
          <w:sz w:val="24"/>
        </w:rPr>
        <w:t> </w:t>
      </w:r>
      <w:r>
        <w:rPr>
          <w:sz w:val="24"/>
        </w:rPr>
        <w:t>to</w:t>
      </w:r>
      <w:r>
        <w:rPr>
          <w:spacing w:val="-3"/>
          <w:sz w:val="24"/>
        </w:rPr>
        <w:t> </w:t>
      </w:r>
      <w:r>
        <w:rPr>
          <w:sz w:val="24"/>
        </w:rPr>
        <w:t>the use of the building for public purposes and the extent to which the building has a significant community function.</w:t>
      </w:r>
    </w:p>
    <w:p>
      <w:pPr>
        <w:spacing w:before="124"/>
        <w:ind w:left="419" w:right="0" w:firstLine="0"/>
        <w:jc w:val="left"/>
        <w:rPr>
          <w:i/>
          <w:sz w:val="24"/>
        </w:rPr>
      </w:pPr>
      <w:bookmarkStart w:name="Recommendation 10" w:id="206"/>
      <w:bookmarkEnd w:id="206"/>
      <w:r>
        <w:rPr/>
      </w:r>
      <w:r>
        <w:rPr>
          <w:i/>
          <w:w w:val="95"/>
          <w:sz w:val="24"/>
          <w:u w:val="single"/>
        </w:rPr>
        <w:t>Recommendation</w:t>
      </w:r>
      <w:r>
        <w:rPr>
          <w:i/>
          <w:spacing w:val="61"/>
          <w:sz w:val="24"/>
          <w:u w:val="single"/>
        </w:rPr>
        <w:t> </w:t>
      </w:r>
      <w:r>
        <w:rPr>
          <w:i/>
          <w:spacing w:val="-5"/>
          <w:sz w:val="24"/>
          <w:u w:val="single"/>
        </w:rPr>
        <w:t>10</w:t>
      </w:r>
    </w:p>
    <w:p>
      <w:pPr>
        <w:pStyle w:val="BodyText"/>
        <w:spacing w:before="119"/>
        <w:ind w:left="420" w:right="811"/>
      </w:pPr>
      <w:r>
        <w:rPr/>
        <w:t>The</w:t>
      </w:r>
      <w:r>
        <w:rPr>
          <w:spacing w:val="-1"/>
        </w:rPr>
        <w:t> </w:t>
      </w:r>
      <w:r>
        <w:rPr/>
        <w:t>Committee</w:t>
      </w:r>
      <w:r>
        <w:rPr>
          <w:spacing w:val="-2"/>
        </w:rPr>
        <w:t> </w:t>
      </w:r>
      <w:r>
        <w:rPr/>
        <w:t>recommends</w:t>
      </w:r>
      <w:r>
        <w:rPr>
          <w:spacing w:val="-2"/>
        </w:rPr>
        <w:t> </w:t>
      </w:r>
      <w:r>
        <w:rPr/>
        <w:t>that</w:t>
      </w:r>
      <w:r>
        <w:rPr>
          <w:spacing w:val="-2"/>
        </w:rPr>
        <w:t> </w:t>
      </w:r>
      <w:r>
        <w:rPr/>
        <w:t>the</w:t>
      </w:r>
      <w:r>
        <w:rPr>
          <w:spacing w:val="-2"/>
        </w:rPr>
        <w:t> </w:t>
      </w:r>
      <w:r>
        <w:rPr/>
        <w:t>current</w:t>
      </w:r>
      <w:r>
        <w:rPr>
          <w:spacing w:val="-4"/>
        </w:rPr>
        <w:t> </w:t>
      </w:r>
      <w:r>
        <w:rPr/>
        <w:t>exemption</w:t>
      </w:r>
      <w:r>
        <w:rPr>
          <w:spacing w:val="-2"/>
        </w:rPr>
        <w:t> </w:t>
      </w:r>
      <w:r>
        <w:rPr/>
        <w:t>for</w:t>
      </w:r>
      <w:r>
        <w:rPr>
          <w:spacing w:val="-2"/>
        </w:rPr>
        <w:t> </w:t>
      </w:r>
      <w:r>
        <w:rPr/>
        <w:t>fire-isolated</w:t>
      </w:r>
      <w:r>
        <w:rPr>
          <w:spacing w:val="-2"/>
        </w:rPr>
        <w:t> </w:t>
      </w:r>
      <w:r>
        <w:rPr/>
        <w:t>stairs and</w:t>
      </w:r>
      <w:r>
        <w:rPr>
          <w:spacing w:val="-4"/>
        </w:rPr>
        <w:t> </w:t>
      </w:r>
      <w:r>
        <w:rPr/>
        <w:t>ramps</w:t>
      </w:r>
      <w:r>
        <w:rPr>
          <w:spacing w:val="-4"/>
        </w:rPr>
        <w:t> </w:t>
      </w:r>
      <w:r>
        <w:rPr/>
        <w:t>in</w:t>
      </w:r>
      <w:r>
        <w:rPr>
          <w:spacing w:val="-4"/>
        </w:rPr>
        <w:t> </w:t>
      </w:r>
      <w:r>
        <w:rPr/>
        <w:t>paragraph</w:t>
      </w:r>
      <w:r>
        <w:rPr>
          <w:spacing w:val="-4"/>
        </w:rPr>
        <w:t> </w:t>
      </w:r>
      <w:r>
        <w:rPr/>
        <w:t>D3.3(b)</w:t>
      </w:r>
      <w:r>
        <w:rPr>
          <w:spacing w:val="-4"/>
        </w:rPr>
        <w:t> </w:t>
      </w:r>
      <w:r>
        <w:rPr/>
        <w:t>be</w:t>
      </w:r>
      <w:r>
        <w:rPr>
          <w:spacing w:val="-4"/>
        </w:rPr>
        <w:t> </w:t>
      </w:r>
      <w:r>
        <w:rPr/>
        <w:t>amended</w:t>
      </w:r>
      <w:r>
        <w:rPr>
          <w:spacing w:val="-4"/>
        </w:rPr>
        <w:t> </w:t>
      </w:r>
      <w:r>
        <w:rPr/>
        <w:t>to</w:t>
      </w:r>
      <w:r>
        <w:rPr>
          <w:spacing w:val="-4"/>
        </w:rPr>
        <w:t> </w:t>
      </w:r>
      <w:r>
        <w:rPr/>
        <w:t>provide</w:t>
      </w:r>
      <w:r>
        <w:rPr>
          <w:spacing w:val="-4"/>
        </w:rPr>
        <w:t> </w:t>
      </w:r>
      <w:r>
        <w:rPr/>
        <w:t>accessibility</w:t>
      </w:r>
      <w:r>
        <w:rPr>
          <w:spacing w:val="-4"/>
        </w:rPr>
        <w:t> </w:t>
      </w:r>
      <w:r>
        <w:rPr/>
        <w:t>as</w:t>
      </w:r>
      <w:r>
        <w:rPr>
          <w:spacing w:val="-4"/>
        </w:rPr>
        <w:t> </w:t>
      </w:r>
      <w:r>
        <w:rPr/>
        <w:t>far</w:t>
      </w:r>
      <w:r>
        <w:rPr>
          <w:spacing w:val="-4"/>
        </w:rPr>
        <w:t> </w:t>
      </w:r>
      <w:r>
        <w:rPr/>
        <w:t>as practicable, with particular consideration given to tactile ground surface indicators, luminance contrast stair nosings and second handrails.</w:t>
      </w:r>
    </w:p>
    <w:p>
      <w:pPr>
        <w:spacing w:before="122"/>
        <w:ind w:left="420" w:right="0" w:firstLine="0"/>
        <w:jc w:val="left"/>
        <w:rPr>
          <w:i/>
          <w:sz w:val="24"/>
        </w:rPr>
      </w:pPr>
      <w:bookmarkStart w:name="Recommendation 11" w:id="207"/>
      <w:bookmarkEnd w:id="207"/>
      <w:r>
        <w:rPr/>
      </w:r>
      <w:r>
        <w:rPr>
          <w:i/>
          <w:w w:val="95"/>
          <w:sz w:val="24"/>
          <w:u w:val="single"/>
        </w:rPr>
        <w:t>Recommendation</w:t>
      </w:r>
      <w:r>
        <w:rPr>
          <w:i/>
          <w:spacing w:val="61"/>
          <w:sz w:val="24"/>
          <w:u w:val="single"/>
        </w:rPr>
        <w:t> </w:t>
      </w:r>
      <w:r>
        <w:rPr>
          <w:i/>
          <w:spacing w:val="-5"/>
          <w:sz w:val="24"/>
          <w:u w:val="single"/>
        </w:rPr>
        <w:t>11</w:t>
      </w:r>
    </w:p>
    <w:p>
      <w:pPr>
        <w:pStyle w:val="BodyText"/>
        <w:spacing w:before="118"/>
        <w:ind w:left="419" w:right="811"/>
      </w:pPr>
      <w:r>
        <w:rPr/>
        <w:t>The</w:t>
      </w:r>
      <w:r>
        <w:rPr>
          <w:spacing w:val="-4"/>
        </w:rPr>
        <w:t> </w:t>
      </w:r>
      <w:r>
        <w:rPr/>
        <w:t>Committee</w:t>
      </w:r>
      <w:r>
        <w:rPr>
          <w:spacing w:val="-5"/>
        </w:rPr>
        <w:t> </w:t>
      </w:r>
      <w:r>
        <w:rPr/>
        <w:t>recommends</w:t>
      </w:r>
      <w:r>
        <w:rPr>
          <w:spacing w:val="-5"/>
        </w:rPr>
        <w:t> </w:t>
      </w:r>
      <w:r>
        <w:rPr/>
        <w:t>that</w:t>
      </w:r>
      <w:r>
        <w:rPr>
          <w:spacing w:val="-5"/>
        </w:rPr>
        <w:t> </w:t>
      </w:r>
      <w:r>
        <w:rPr/>
        <w:t>technical</w:t>
      </w:r>
      <w:r>
        <w:rPr>
          <w:spacing w:val="-5"/>
        </w:rPr>
        <w:t> </w:t>
      </w:r>
      <w:r>
        <w:rPr/>
        <w:t>matters</w:t>
      </w:r>
      <w:r>
        <w:rPr>
          <w:spacing w:val="-5"/>
        </w:rPr>
        <w:t> </w:t>
      </w:r>
      <w:r>
        <w:rPr/>
        <w:t>raised</w:t>
      </w:r>
      <w:r>
        <w:rPr>
          <w:spacing w:val="-5"/>
        </w:rPr>
        <w:t> </w:t>
      </w:r>
      <w:r>
        <w:rPr/>
        <w:t>by</w:t>
      </w:r>
      <w:r>
        <w:rPr>
          <w:spacing w:val="-5"/>
        </w:rPr>
        <w:t> </w:t>
      </w:r>
      <w:r>
        <w:rPr/>
        <w:t>submissions</w:t>
      </w:r>
      <w:r>
        <w:rPr>
          <w:spacing w:val="-5"/>
        </w:rPr>
        <w:t> </w:t>
      </w:r>
      <w:r>
        <w:rPr/>
        <w:t>to this inquiry which relate to Australian Standards be referred to Standards Australia for urgent consideration.</w:t>
      </w:r>
    </w:p>
    <w:p>
      <w:pPr>
        <w:spacing w:before="122"/>
        <w:ind w:left="419" w:right="0" w:firstLine="0"/>
        <w:jc w:val="left"/>
        <w:rPr>
          <w:i/>
          <w:sz w:val="24"/>
        </w:rPr>
      </w:pPr>
      <w:bookmarkStart w:name="Recommendation 12" w:id="208"/>
      <w:bookmarkEnd w:id="208"/>
      <w:r>
        <w:rPr/>
      </w:r>
      <w:r>
        <w:rPr>
          <w:i/>
          <w:w w:val="95"/>
          <w:sz w:val="24"/>
          <w:u w:val="single"/>
        </w:rPr>
        <w:t>Recommendation</w:t>
      </w:r>
      <w:r>
        <w:rPr>
          <w:i/>
          <w:spacing w:val="61"/>
          <w:sz w:val="24"/>
          <w:u w:val="single"/>
        </w:rPr>
        <w:t> </w:t>
      </w:r>
      <w:r>
        <w:rPr>
          <w:i/>
          <w:spacing w:val="-5"/>
          <w:sz w:val="24"/>
          <w:u w:val="single"/>
        </w:rPr>
        <w:t>12</w:t>
      </w:r>
    </w:p>
    <w:p>
      <w:pPr>
        <w:pStyle w:val="BodyText"/>
        <w:spacing w:before="119"/>
        <w:ind w:left="420" w:right="811"/>
      </w:pPr>
      <w:r>
        <w:rPr/>
        <w:t>The Committee recommends that objects of the Premises Standards be amended</w:t>
      </w:r>
      <w:r>
        <w:rPr>
          <w:spacing w:val="-4"/>
        </w:rPr>
        <w:t> </w:t>
      </w:r>
      <w:r>
        <w:rPr/>
        <w:t>to</w:t>
      </w:r>
      <w:r>
        <w:rPr>
          <w:spacing w:val="-4"/>
        </w:rPr>
        <w:t> </w:t>
      </w:r>
      <w:r>
        <w:rPr/>
        <w:t>include</w:t>
      </w:r>
      <w:r>
        <w:rPr>
          <w:spacing w:val="-4"/>
        </w:rPr>
        <w:t> </w:t>
      </w:r>
      <w:r>
        <w:rPr/>
        <w:t>a</w:t>
      </w:r>
      <w:r>
        <w:rPr>
          <w:spacing w:val="-4"/>
        </w:rPr>
        <w:t> </w:t>
      </w:r>
      <w:r>
        <w:rPr/>
        <w:t>reference</w:t>
      </w:r>
      <w:r>
        <w:rPr>
          <w:spacing w:val="-4"/>
        </w:rPr>
        <w:t> </w:t>
      </w:r>
      <w:r>
        <w:rPr/>
        <w:t>to</w:t>
      </w:r>
      <w:r>
        <w:rPr>
          <w:spacing w:val="-4"/>
        </w:rPr>
        <w:t> </w:t>
      </w:r>
      <w:r>
        <w:rPr/>
        <w:t>dignified</w:t>
      </w:r>
      <w:r>
        <w:rPr>
          <w:spacing w:val="-4"/>
        </w:rPr>
        <w:t> </w:t>
      </w:r>
      <w:r>
        <w:rPr/>
        <w:t>access</w:t>
      </w:r>
      <w:r>
        <w:rPr>
          <w:spacing w:val="-4"/>
        </w:rPr>
        <w:t> </w:t>
      </w:r>
      <w:r>
        <w:rPr/>
        <w:t>for</w:t>
      </w:r>
      <w:r>
        <w:rPr>
          <w:spacing w:val="-4"/>
        </w:rPr>
        <w:t> </w:t>
      </w:r>
      <w:r>
        <w:rPr/>
        <w:t>people</w:t>
      </w:r>
      <w:r>
        <w:rPr>
          <w:spacing w:val="-4"/>
        </w:rPr>
        <w:t> </w:t>
      </w:r>
      <w:r>
        <w:rPr/>
        <w:t>with</w:t>
      </w:r>
      <w:r>
        <w:rPr>
          <w:spacing w:val="-4"/>
        </w:rPr>
        <w:t> </w:t>
      </w:r>
      <w:r>
        <w:rPr/>
        <w:t>a</w:t>
      </w:r>
      <w:r>
        <w:rPr>
          <w:spacing w:val="-4"/>
        </w:rPr>
        <w:t> </w:t>
      </w:r>
      <w:r>
        <w:rPr/>
        <w:t>disability.</w:t>
      </w:r>
    </w:p>
    <w:p>
      <w:pPr>
        <w:spacing w:before="121"/>
        <w:ind w:left="420" w:right="0" w:firstLine="0"/>
        <w:jc w:val="left"/>
        <w:rPr>
          <w:i/>
          <w:sz w:val="24"/>
        </w:rPr>
      </w:pPr>
      <w:bookmarkStart w:name="Recommendation 13" w:id="209"/>
      <w:bookmarkEnd w:id="209"/>
      <w:r>
        <w:rPr/>
      </w:r>
      <w:r>
        <w:rPr>
          <w:i/>
          <w:w w:val="95"/>
          <w:sz w:val="24"/>
          <w:u w:val="single"/>
        </w:rPr>
        <w:t>Recommendation</w:t>
      </w:r>
      <w:r>
        <w:rPr>
          <w:i/>
          <w:spacing w:val="61"/>
          <w:sz w:val="24"/>
          <w:u w:val="single"/>
        </w:rPr>
        <w:t> </w:t>
      </w:r>
      <w:r>
        <w:rPr>
          <w:i/>
          <w:spacing w:val="-5"/>
          <w:sz w:val="24"/>
          <w:u w:val="single"/>
        </w:rPr>
        <w:t>13</w:t>
      </w:r>
    </w:p>
    <w:p>
      <w:pPr>
        <w:pStyle w:val="BodyText"/>
        <w:spacing w:before="119"/>
        <w:ind w:left="420" w:right="811"/>
      </w:pPr>
      <w:r>
        <w:rPr/>
        <w:t>The</w:t>
      </w:r>
      <w:r>
        <w:rPr>
          <w:spacing w:val="-5"/>
        </w:rPr>
        <w:t> </w:t>
      </w:r>
      <w:r>
        <w:rPr/>
        <w:t>Committee</w:t>
      </w:r>
      <w:r>
        <w:rPr>
          <w:spacing w:val="-5"/>
        </w:rPr>
        <w:t> </w:t>
      </w:r>
      <w:r>
        <w:rPr/>
        <w:t>recommends</w:t>
      </w:r>
      <w:r>
        <w:rPr>
          <w:spacing w:val="-5"/>
        </w:rPr>
        <w:t> </w:t>
      </w:r>
      <w:r>
        <w:rPr/>
        <w:t>that</w:t>
      </w:r>
      <w:r>
        <w:rPr>
          <w:spacing w:val="-5"/>
        </w:rPr>
        <w:t> </w:t>
      </w:r>
      <w:r>
        <w:rPr/>
        <w:t>the</w:t>
      </w:r>
      <w:r>
        <w:rPr>
          <w:spacing w:val="-5"/>
        </w:rPr>
        <w:t> </w:t>
      </w:r>
      <w:r>
        <w:rPr/>
        <w:t>Australian</w:t>
      </w:r>
      <w:r>
        <w:rPr>
          <w:spacing w:val="-5"/>
        </w:rPr>
        <w:t> </w:t>
      </w:r>
      <w:r>
        <w:rPr/>
        <w:t>Government</w:t>
      </w:r>
      <w:r>
        <w:rPr>
          <w:spacing w:val="-5"/>
        </w:rPr>
        <w:t> </w:t>
      </w:r>
      <w:r>
        <w:rPr/>
        <w:t>provide</w:t>
      </w:r>
      <w:r>
        <w:rPr>
          <w:spacing w:val="-5"/>
        </w:rPr>
        <w:t> </w:t>
      </w:r>
      <w:r>
        <w:rPr/>
        <w:t>funding for new research, to be completed within 12 months of the tabling of this report, into wheelchair sizes and the dimensions necessary to accommodate them. The results and the issues of 90</w:t>
      </w:r>
      <w:r>
        <w:rPr>
          <w:vertAlign w:val="superscript"/>
        </w:rPr>
        <w:t>th</w:t>
      </w:r>
      <w:r>
        <w:rPr>
          <w:vertAlign w:val="baseline"/>
        </w:rPr>
        <w:t> percentile dimensions should be returned to this Committee for reconsideration at that time.</w:t>
      </w:r>
    </w:p>
    <w:p>
      <w:pPr>
        <w:spacing w:before="121"/>
        <w:ind w:left="420" w:right="0" w:firstLine="0"/>
        <w:jc w:val="left"/>
        <w:rPr>
          <w:i/>
          <w:sz w:val="24"/>
        </w:rPr>
      </w:pPr>
      <w:bookmarkStart w:name="Recommendation 14" w:id="210"/>
      <w:bookmarkEnd w:id="210"/>
      <w:r>
        <w:rPr/>
      </w:r>
      <w:r>
        <w:rPr>
          <w:i/>
          <w:w w:val="95"/>
          <w:sz w:val="24"/>
          <w:u w:val="single"/>
        </w:rPr>
        <w:t>Recommendation</w:t>
      </w:r>
      <w:r>
        <w:rPr>
          <w:i/>
          <w:spacing w:val="61"/>
          <w:sz w:val="24"/>
          <w:u w:val="single"/>
        </w:rPr>
        <w:t> </w:t>
      </w:r>
      <w:r>
        <w:rPr>
          <w:i/>
          <w:spacing w:val="-5"/>
          <w:sz w:val="24"/>
          <w:u w:val="single"/>
        </w:rPr>
        <w:t>14</w:t>
      </w:r>
    </w:p>
    <w:p>
      <w:pPr>
        <w:pStyle w:val="BodyText"/>
        <w:spacing w:before="119"/>
        <w:ind w:left="419" w:right="811"/>
      </w:pPr>
      <w:r>
        <w:rPr/>
        <w:t>The Committee recommends that Table F2.4(a) be amended to make it clear that </w:t>
      </w:r>
      <w:r>
        <w:rPr>
          <w:i/>
        </w:rPr>
        <w:t>every </w:t>
      </w:r>
      <w:r>
        <w:rPr/>
        <w:t>accessible room in a Class 1b building must have an accessible toilet</w:t>
      </w:r>
      <w:r>
        <w:rPr>
          <w:spacing w:val="-4"/>
        </w:rPr>
        <w:t> </w:t>
      </w:r>
      <w:r>
        <w:rPr/>
        <w:t>before</w:t>
      </w:r>
      <w:r>
        <w:rPr>
          <w:spacing w:val="-4"/>
        </w:rPr>
        <w:t> </w:t>
      </w:r>
      <w:r>
        <w:rPr/>
        <w:t>a</w:t>
      </w:r>
      <w:r>
        <w:rPr>
          <w:spacing w:val="-4"/>
        </w:rPr>
        <w:t> </w:t>
      </w:r>
      <w:r>
        <w:rPr/>
        <w:t>concession</w:t>
      </w:r>
      <w:r>
        <w:rPr>
          <w:spacing w:val="-4"/>
        </w:rPr>
        <w:t> </w:t>
      </w:r>
      <w:r>
        <w:rPr/>
        <w:t>is</w:t>
      </w:r>
      <w:r>
        <w:rPr>
          <w:spacing w:val="-4"/>
        </w:rPr>
        <w:t> </w:t>
      </w:r>
      <w:r>
        <w:rPr/>
        <w:t>provided</w:t>
      </w:r>
      <w:r>
        <w:rPr>
          <w:spacing w:val="-4"/>
        </w:rPr>
        <w:t> </w:t>
      </w:r>
      <w:r>
        <w:rPr/>
        <w:t>in</w:t>
      </w:r>
      <w:r>
        <w:rPr>
          <w:spacing w:val="-5"/>
        </w:rPr>
        <w:t> </w:t>
      </w:r>
      <w:r>
        <w:rPr/>
        <w:t>relation</w:t>
      </w:r>
      <w:r>
        <w:rPr>
          <w:spacing w:val="-4"/>
        </w:rPr>
        <w:t> </w:t>
      </w:r>
      <w:r>
        <w:rPr/>
        <w:t>to</w:t>
      </w:r>
      <w:r>
        <w:rPr>
          <w:spacing w:val="-4"/>
        </w:rPr>
        <w:t> </w:t>
      </w:r>
      <w:r>
        <w:rPr/>
        <w:t>common</w:t>
      </w:r>
      <w:r>
        <w:rPr>
          <w:spacing w:val="-4"/>
        </w:rPr>
        <w:t> </w:t>
      </w:r>
      <w:r>
        <w:rPr/>
        <w:t>accessible</w:t>
      </w:r>
      <w:r>
        <w:rPr>
          <w:spacing w:val="-4"/>
        </w:rPr>
        <w:t> </w:t>
      </w:r>
      <w:r>
        <w:rPr/>
        <w:t>toilets.</w:t>
      </w:r>
    </w:p>
    <w:p>
      <w:pPr>
        <w:spacing w:before="121"/>
        <w:ind w:left="420" w:right="0" w:firstLine="0"/>
        <w:jc w:val="left"/>
        <w:rPr>
          <w:i/>
          <w:sz w:val="24"/>
        </w:rPr>
      </w:pPr>
      <w:bookmarkStart w:name="Recommendation 15" w:id="211"/>
      <w:bookmarkEnd w:id="211"/>
      <w:r>
        <w:rPr/>
      </w:r>
      <w:r>
        <w:rPr>
          <w:i/>
          <w:w w:val="95"/>
          <w:sz w:val="24"/>
          <w:u w:val="single"/>
        </w:rPr>
        <w:t>Recommendation</w:t>
      </w:r>
      <w:r>
        <w:rPr>
          <w:i/>
          <w:spacing w:val="61"/>
          <w:sz w:val="24"/>
          <w:u w:val="single"/>
        </w:rPr>
        <w:t> </w:t>
      </w:r>
      <w:r>
        <w:rPr>
          <w:i/>
          <w:spacing w:val="-5"/>
          <w:sz w:val="24"/>
          <w:u w:val="single"/>
        </w:rPr>
        <w:t>15</w:t>
      </w:r>
    </w:p>
    <w:p>
      <w:pPr>
        <w:pStyle w:val="BodyText"/>
        <w:spacing w:before="119"/>
        <w:ind w:left="420"/>
      </w:pPr>
      <w:r>
        <w:rPr/>
        <w:t>The</w:t>
      </w:r>
      <w:r>
        <w:rPr>
          <w:spacing w:val="-15"/>
        </w:rPr>
        <w:t> </w:t>
      </w:r>
      <w:r>
        <w:rPr/>
        <w:t>Committee</w:t>
      </w:r>
      <w:r>
        <w:rPr>
          <w:spacing w:val="-16"/>
        </w:rPr>
        <w:t> </w:t>
      </w:r>
      <w:r>
        <w:rPr/>
        <w:t>recommends</w:t>
      </w:r>
      <w:r>
        <w:rPr>
          <w:spacing w:val="-15"/>
        </w:rPr>
        <w:t> </w:t>
      </w:r>
      <w:r>
        <w:rPr>
          <w:spacing w:val="-2"/>
        </w:rPr>
        <w:t>that:</w:t>
      </w:r>
    </w:p>
    <w:p>
      <w:pPr>
        <w:pStyle w:val="ListParagraph"/>
        <w:numPr>
          <w:ilvl w:val="1"/>
          <w:numId w:val="49"/>
        </w:numPr>
        <w:tabs>
          <w:tab w:pos="1141" w:val="left" w:leader="none"/>
        </w:tabs>
        <w:spacing w:line="237" w:lineRule="auto" w:before="123" w:after="0"/>
        <w:ind w:left="1134" w:right="812" w:hanging="357"/>
        <w:jc w:val="both"/>
        <w:rPr>
          <w:sz w:val="24"/>
        </w:rPr>
      </w:pPr>
      <w:r>
        <w:rPr>
          <w:sz w:val="24"/>
        </w:rPr>
        <w:t>Urgent technical advice be sought as to whether safe alternatives to locking off of lifts and constant pressure devices are available; and</w:t>
      </w:r>
    </w:p>
    <w:p>
      <w:pPr>
        <w:pStyle w:val="ListParagraph"/>
        <w:numPr>
          <w:ilvl w:val="1"/>
          <w:numId w:val="49"/>
        </w:numPr>
        <w:tabs>
          <w:tab w:pos="1141" w:val="left" w:leader="none"/>
        </w:tabs>
        <w:spacing w:line="237" w:lineRule="auto" w:before="123" w:after="0"/>
        <w:ind w:left="1133" w:right="811" w:hanging="357"/>
        <w:jc w:val="both"/>
        <w:rPr>
          <w:sz w:val="24"/>
        </w:rPr>
      </w:pPr>
      <w:r>
        <w:rPr>
          <w:sz w:val="24"/>
        </w:rPr>
        <w:t>The Premises Standards provide that stairway platform lifts should only be used in situations in which they are the only practical accessibility </w:t>
      </w:r>
      <w:r>
        <w:rPr>
          <w:spacing w:val="-2"/>
          <w:sz w:val="24"/>
        </w:rPr>
        <w:t>option.</w:t>
      </w:r>
    </w:p>
    <w:p>
      <w:pPr>
        <w:spacing w:before="124"/>
        <w:ind w:left="419" w:right="0" w:firstLine="0"/>
        <w:jc w:val="left"/>
        <w:rPr>
          <w:i/>
          <w:sz w:val="24"/>
        </w:rPr>
      </w:pPr>
      <w:bookmarkStart w:name="Recommendation 16" w:id="212"/>
      <w:bookmarkEnd w:id="212"/>
      <w:r>
        <w:rPr/>
      </w:r>
      <w:r>
        <w:rPr>
          <w:i/>
          <w:w w:val="95"/>
          <w:sz w:val="24"/>
          <w:u w:val="single"/>
        </w:rPr>
        <w:t>Recommendation</w:t>
      </w:r>
      <w:r>
        <w:rPr>
          <w:i/>
          <w:spacing w:val="61"/>
          <w:sz w:val="24"/>
          <w:u w:val="single"/>
        </w:rPr>
        <w:t> </w:t>
      </w:r>
      <w:r>
        <w:rPr>
          <w:i/>
          <w:spacing w:val="-5"/>
          <w:sz w:val="24"/>
          <w:u w:val="single"/>
        </w:rPr>
        <w:t>16</w:t>
      </w:r>
    </w:p>
    <w:p>
      <w:pPr>
        <w:pStyle w:val="BodyText"/>
        <w:spacing w:before="119"/>
        <w:ind w:left="419" w:right="918"/>
      </w:pPr>
      <w:r>
        <w:rPr/>
        <w:t>The Committee recommends that the Australian Building Codes Board undertake further research to identify deemed-to-satisfy provisions for emergency</w:t>
      </w:r>
      <w:r>
        <w:rPr>
          <w:spacing w:val="-4"/>
        </w:rPr>
        <w:t> </w:t>
      </w:r>
      <w:r>
        <w:rPr/>
        <w:t>egress</w:t>
      </w:r>
      <w:r>
        <w:rPr>
          <w:spacing w:val="-4"/>
        </w:rPr>
        <w:t> </w:t>
      </w:r>
      <w:r>
        <w:rPr/>
        <w:t>for</w:t>
      </w:r>
      <w:r>
        <w:rPr>
          <w:spacing w:val="-4"/>
        </w:rPr>
        <w:t> </w:t>
      </w:r>
      <w:r>
        <w:rPr/>
        <w:t>people</w:t>
      </w:r>
      <w:r>
        <w:rPr>
          <w:spacing w:val="-4"/>
        </w:rPr>
        <w:t> </w:t>
      </w:r>
      <w:r>
        <w:rPr/>
        <w:t>with</w:t>
      </w:r>
      <w:r>
        <w:rPr>
          <w:spacing w:val="-4"/>
        </w:rPr>
        <w:t> </w:t>
      </w:r>
      <w:r>
        <w:rPr/>
        <w:t>a</w:t>
      </w:r>
      <w:r>
        <w:rPr>
          <w:spacing w:val="-4"/>
        </w:rPr>
        <w:t> </w:t>
      </w:r>
      <w:r>
        <w:rPr/>
        <w:t>disability</w:t>
      </w:r>
      <w:r>
        <w:rPr>
          <w:spacing w:val="-4"/>
        </w:rPr>
        <w:t> </w:t>
      </w:r>
      <w:r>
        <w:rPr/>
        <w:t>with</w:t>
      </w:r>
      <w:r>
        <w:rPr>
          <w:spacing w:val="-4"/>
        </w:rPr>
        <w:t> </w:t>
      </w:r>
      <w:r>
        <w:rPr/>
        <w:t>a</w:t>
      </w:r>
      <w:r>
        <w:rPr>
          <w:spacing w:val="-4"/>
        </w:rPr>
        <w:t> </w:t>
      </w:r>
      <w:r>
        <w:rPr/>
        <w:t>view</w:t>
      </w:r>
      <w:r>
        <w:rPr>
          <w:spacing w:val="-4"/>
        </w:rPr>
        <w:t> </w:t>
      </w:r>
      <w:r>
        <w:rPr/>
        <w:t>to</w:t>
      </w:r>
      <w:r>
        <w:rPr>
          <w:spacing w:val="-4"/>
        </w:rPr>
        <w:t> </w:t>
      </w:r>
      <w:r>
        <w:rPr/>
        <w:t>making</w:t>
      </w:r>
      <w:r>
        <w:rPr>
          <w:spacing w:val="-4"/>
        </w:rPr>
        <w:t> </w:t>
      </w:r>
      <w:r>
        <w:rPr/>
        <w:t>changes to the Building Code as soon as possible.</w:t>
      </w:r>
    </w:p>
    <w:p>
      <w:pPr>
        <w:spacing w:before="122"/>
        <w:ind w:left="419" w:right="0" w:firstLine="0"/>
        <w:jc w:val="left"/>
        <w:rPr>
          <w:i/>
          <w:sz w:val="24"/>
        </w:rPr>
      </w:pPr>
      <w:bookmarkStart w:name="Recommendation 17" w:id="213"/>
      <w:bookmarkEnd w:id="213"/>
      <w:r>
        <w:rPr/>
      </w:r>
      <w:r>
        <w:rPr>
          <w:i/>
          <w:w w:val="95"/>
          <w:sz w:val="24"/>
          <w:u w:val="single"/>
        </w:rPr>
        <w:t>Recommendation</w:t>
      </w:r>
      <w:r>
        <w:rPr>
          <w:i/>
          <w:spacing w:val="61"/>
          <w:sz w:val="24"/>
          <w:u w:val="single"/>
        </w:rPr>
        <w:t> </w:t>
      </w:r>
      <w:r>
        <w:rPr>
          <w:i/>
          <w:spacing w:val="-5"/>
          <w:sz w:val="24"/>
          <w:u w:val="single"/>
        </w:rPr>
        <w:t>17</w:t>
      </w:r>
    </w:p>
    <w:p>
      <w:pPr>
        <w:pStyle w:val="BodyText"/>
        <w:spacing w:before="118"/>
        <w:ind w:left="420" w:right="811"/>
      </w:pPr>
      <w:r>
        <w:rPr/>
        <w:t>The</w:t>
      </w:r>
      <w:r>
        <w:rPr>
          <w:spacing w:val="-6"/>
        </w:rPr>
        <w:t> </w:t>
      </w:r>
      <w:r>
        <w:rPr/>
        <w:t>Committee</w:t>
      </w:r>
      <w:r>
        <w:rPr>
          <w:spacing w:val="-6"/>
        </w:rPr>
        <w:t> </w:t>
      </w:r>
      <w:r>
        <w:rPr/>
        <w:t>recommends</w:t>
      </w:r>
      <w:r>
        <w:rPr>
          <w:spacing w:val="-6"/>
        </w:rPr>
        <w:t> </w:t>
      </w:r>
      <w:r>
        <w:rPr/>
        <w:t>that</w:t>
      </w:r>
      <w:r>
        <w:rPr>
          <w:spacing w:val="-6"/>
        </w:rPr>
        <w:t> </w:t>
      </w:r>
      <w:r>
        <w:rPr/>
        <w:t>the</w:t>
      </w:r>
      <w:r>
        <w:rPr>
          <w:spacing w:val="-6"/>
        </w:rPr>
        <w:t> </w:t>
      </w:r>
      <w:r>
        <w:rPr/>
        <w:t>Disability</w:t>
      </w:r>
      <w:r>
        <w:rPr>
          <w:spacing w:val="-6"/>
        </w:rPr>
        <w:t> </w:t>
      </w:r>
      <w:r>
        <w:rPr/>
        <w:t>Discrimination</w:t>
      </w:r>
      <w:r>
        <w:rPr>
          <w:spacing w:val="-6"/>
        </w:rPr>
        <w:t> </w:t>
      </w:r>
      <w:r>
        <w:rPr/>
        <w:t>Commissioner be given the power to investigate non-compliance with the Premises</w:t>
      </w:r>
    </w:p>
    <w:p>
      <w:pPr>
        <w:spacing w:after="0"/>
        <w:sectPr>
          <w:pgSz w:w="11900" w:h="16840"/>
          <w:pgMar w:header="0" w:footer="1130" w:top="1000" w:bottom="1320" w:left="1380" w:right="980"/>
        </w:sectPr>
      </w:pPr>
    </w:p>
    <w:p>
      <w:pPr>
        <w:pStyle w:val="BodyText"/>
        <w:spacing w:before="75"/>
        <w:ind w:left="420" w:right="811"/>
      </w:pPr>
      <w:r>
        <w:rPr/>
        <w:t>Standards</w:t>
      </w:r>
      <w:r>
        <w:rPr>
          <w:spacing w:val="-4"/>
        </w:rPr>
        <w:t> </w:t>
      </w:r>
      <w:r>
        <w:rPr/>
        <w:t>and</w:t>
      </w:r>
      <w:r>
        <w:rPr>
          <w:spacing w:val="-4"/>
        </w:rPr>
        <w:t> </w:t>
      </w:r>
      <w:r>
        <w:rPr/>
        <w:t>to</w:t>
      </w:r>
      <w:r>
        <w:rPr>
          <w:spacing w:val="-4"/>
        </w:rPr>
        <w:t> </w:t>
      </w:r>
      <w:r>
        <w:rPr/>
        <w:t>bring</w:t>
      </w:r>
      <w:r>
        <w:rPr>
          <w:spacing w:val="-4"/>
        </w:rPr>
        <w:t> </w:t>
      </w:r>
      <w:r>
        <w:rPr/>
        <w:t>a</w:t>
      </w:r>
      <w:r>
        <w:rPr>
          <w:spacing w:val="-4"/>
        </w:rPr>
        <w:t> </w:t>
      </w:r>
      <w:r>
        <w:rPr/>
        <w:t>complaint</w:t>
      </w:r>
      <w:r>
        <w:rPr>
          <w:spacing w:val="-4"/>
        </w:rPr>
        <w:t> </w:t>
      </w:r>
      <w:r>
        <w:rPr/>
        <w:t>where</w:t>
      </w:r>
      <w:r>
        <w:rPr>
          <w:spacing w:val="-4"/>
        </w:rPr>
        <w:t> </w:t>
      </w:r>
      <w:r>
        <w:rPr/>
        <w:t>there</w:t>
      </w:r>
      <w:r>
        <w:rPr>
          <w:spacing w:val="-4"/>
        </w:rPr>
        <w:t> </w:t>
      </w:r>
      <w:r>
        <w:rPr/>
        <w:t>is</w:t>
      </w:r>
      <w:r>
        <w:rPr>
          <w:spacing w:val="-4"/>
        </w:rPr>
        <w:t> </w:t>
      </w:r>
      <w:r>
        <w:rPr/>
        <w:t>non-compliance</w:t>
      </w:r>
      <w:r>
        <w:rPr>
          <w:spacing w:val="-4"/>
        </w:rPr>
        <w:t> </w:t>
      </w:r>
      <w:r>
        <w:rPr/>
        <w:t>with</w:t>
      </w:r>
      <w:r>
        <w:rPr>
          <w:spacing w:val="-4"/>
        </w:rPr>
        <w:t> </w:t>
      </w:r>
      <w:r>
        <w:rPr/>
        <w:t>the Premises Standards without requiring an individual complaint.</w:t>
      </w:r>
    </w:p>
    <w:p>
      <w:pPr>
        <w:spacing w:before="122"/>
        <w:ind w:left="420" w:right="0" w:firstLine="0"/>
        <w:jc w:val="left"/>
        <w:rPr>
          <w:i/>
          <w:sz w:val="24"/>
        </w:rPr>
      </w:pPr>
      <w:bookmarkStart w:name="Recommendation 18" w:id="214"/>
      <w:bookmarkEnd w:id="214"/>
      <w:r>
        <w:rPr/>
      </w:r>
      <w:r>
        <w:rPr>
          <w:i/>
          <w:w w:val="95"/>
          <w:sz w:val="24"/>
          <w:u w:val="single"/>
        </w:rPr>
        <w:t>Recommendation</w:t>
      </w:r>
      <w:r>
        <w:rPr>
          <w:i/>
          <w:spacing w:val="61"/>
          <w:sz w:val="24"/>
          <w:u w:val="single"/>
        </w:rPr>
        <w:t> </w:t>
      </w:r>
      <w:r>
        <w:rPr>
          <w:i/>
          <w:spacing w:val="-5"/>
          <w:sz w:val="24"/>
          <w:u w:val="single"/>
        </w:rPr>
        <w:t>18</w:t>
      </w:r>
    </w:p>
    <w:p>
      <w:pPr>
        <w:pStyle w:val="BodyText"/>
        <w:spacing w:before="118"/>
        <w:ind w:left="420" w:right="918"/>
      </w:pPr>
      <w:r>
        <w:rPr/>
        <w:t>The Committee recommends that an audit of a sample of new buildings or building</w:t>
      </w:r>
      <w:r>
        <w:rPr>
          <w:spacing w:val="-4"/>
        </w:rPr>
        <w:t> </w:t>
      </w:r>
      <w:r>
        <w:rPr/>
        <w:t>work</w:t>
      </w:r>
      <w:r>
        <w:rPr>
          <w:spacing w:val="-4"/>
        </w:rPr>
        <w:t> </w:t>
      </w:r>
      <w:r>
        <w:rPr/>
        <w:t>be</w:t>
      </w:r>
      <w:r>
        <w:rPr>
          <w:spacing w:val="-4"/>
        </w:rPr>
        <w:t> </w:t>
      </w:r>
      <w:r>
        <w:rPr/>
        <w:t>conducted</w:t>
      </w:r>
      <w:r>
        <w:rPr>
          <w:spacing w:val="-4"/>
        </w:rPr>
        <w:t> </w:t>
      </w:r>
      <w:r>
        <w:rPr/>
        <w:t>by</w:t>
      </w:r>
      <w:r>
        <w:rPr>
          <w:spacing w:val="-4"/>
        </w:rPr>
        <w:t> </w:t>
      </w:r>
      <w:r>
        <w:rPr/>
        <w:t>the</w:t>
      </w:r>
      <w:r>
        <w:rPr>
          <w:spacing w:val="-4"/>
        </w:rPr>
        <w:t> </w:t>
      </w:r>
      <w:r>
        <w:rPr/>
        <w:t>Australian</w:t>
      </w:r>
      <w:r>
        <w:rPr>
          <w:spacing w:val="-4"/>
        </w:rPr>
        <w:t> </w:t>
      </w:r>
      <w:r>
        <w:rPr/>
        <w:t>Government</w:t>
      </w:r>
      <w:r>
        <w:rPr>
          <w:spacing w:val="-4"/>
        </w:rPr>
        <w:t> </w:t>
      </w:r>
      <w:r>
        <w:rPr/>
        <w:t>prior</w:t>
      </w:r>
      <w:r>
        <w:rPr>
          <w:spacing w:val="-4"/>
        </w:rPr>
        <w:t> </w:t>
      </w:r>
      <w:r>
        <w:rPr/>
        <w:t>to</w:t>
      </w:r>
      <w:r>
        <w:rPr>
          <w:spacing w:val="-4"/>
        </w:rPr>
        <w:t> </w:t>
      </w:r>
      <w:r>
        <w:rPr/>
        <w:t>the</w:t>
      </w:r>
      <w:r>
        <w:rPr>
          <w:spacing w:val="-4"/>
        </w:rPr>
        <w:t> </w:t>
      </w:r>
      <w:r>
        <w:rPr/>
        <w:t>review of the Premises Standards.</w:t>
      </w:r>
    </w:p>
    <w:p>
      <w:pPr>
        <w:spacing w:before="122"/>
        <w:ind w:left="420" w:right="0" w:firstLine="0"/>
        <w:jc w:val="left"/>
        <w:rPr>
          <w:i/>
          <w:sz w:val="24"/>
        </w:rPr>
      </w:pPr>
      <w:bookmarkStart w:name="Recommendation 19" w:id="215"/>
      <w:bookmarkEnd w:id="215"/>
      <w:r>
        <w:rPr/>
      </w:r>
      <w:r>
        <w:rPr>
          <w:i/>
          <w:w w:val="95"/>
          <w:sz w:val="24"/>
          <w:u w:val="single"/>
        </w:rPr>
        <w:t>Recommendation</w:t>
      </w:r>
      <w:r>
        <w:rPr>
          <w:i/>
          <w:spacing w:val="61"/>
          <w:sz w:val="24"/>
          <w:u w:val="single"/>
        </w:rPr>
        <w:t> </w:t>
      </w:r>
      <w:r>
        <w:rPr>
          <w:i/>
          <w:spacing w:val="-5"/>
          <w:sz w:val="24"/>
          <w:u w:val="single"/>
        </w:rPr>
        <w:t>19</w:t>
      </w:r>
    </w:p>
    <w:p>
      <w:pPr>
        <w:pStyle w:val="BodyText"/>
        <w:spacing w:before="119"/>
        <w:ind w:left="420"/>
      </w:pPr>
      <w:r>
        <w:rPr/>
        <w:t>The</w:t>
      </w:r>
      <w:r>
        <w:rPr>
          <w:spacing w:val="-15"/>
        </w:rPr>
        <w:t> </w:t>
      </w:r>
      <w:r>
        <w:rPr/>
        <w:t>Committee</w:t>
      </w:r>
      <w:r>
        <w:rPr>
          <w:spacing w:val="-16"/>
        </w:rPr>
        <w:t> </w:t>
      </w:r>
      <w:r>
        <w:rPr/>
        <w:t>recommends</w:t>
      </w:r>
      <w:r>
        <w:rPr>
          <w:spacing w:val="-15"/>
        </w:rPr>
        <w:t> </w:t>
      </w:r>
      <w:r>
        <w:rPr>
          <w:spacing w:val="-2"/>
        </w:rPr>
        <w:t>that:</w:t>
      </w:r>
    </w:p>
    <w:p>
      <w:pPr>
        <w:pStyle w:val="ListParagraph"/>
        <w:numPr>
          <w:ilvl w:val="1"/>
          <w:numId w:val="49"/>
        </w:numPr>
        <w:tabs>
          <w:tab w:pos="1139" w:val="left" w:leader="none"/>
          <w:tab w:pos="1141" w:val="left" w:leader="none"/>
        </w:tabs>
        <w:spacing w:line="237" w:lineRule="auto" w:before="123" w:after="0"/>
        <w:ind w:left="1133" w:right="812" w:hanging="357"/>
        <w:jc w:val="left"/>
        <w:rPr>
          <w:sz w:val="24"/>
        </w:rPr>
      </w:pPr>
      <w:r>
        <w:rPr>
          <w:sz w:val="24"/>
        </w:rPr>
        <w:t>the Premises Standards provide commencement and completion dates for the review process;</w:t>
      </w:r>
    </w:p>
    <w:p>
      <w:pPr>
        <w:pStyle w:val="ListParagraph"/>
        <w:numPr>
          <w:ilvl w:val="1"/>
          <w:numId w:val="49"/>
        </w:numPr>
        <w:tabs>
          <w:tab w:pos="1139" w:val="left" w:leader="none"/>
          <w:tab w:pos="1141" w:val="left" w:leader="none"/>
        </w:tabs>
        <w:spacing w:line="240" w:lineRule="auto" w:before="120" w:after="0"/>
        <w:ind w:left="1133" w:right="812" w:hanging="357"/>
        <w:jc w:val="left"/>
        <w:rPr>
          <w:sz w:val="24"/>
        </w:rPr>
      </w:pPr>
      <w:r>
        <w:rPr>
          <w:sz w:val="24"/>
        </w:rPr>
        <w:t>the</w:t>
      </w:r>
      <w:r>
        <w:rPr>
          <w:spacing w:val="80"/>
          <w:sz w:val="24"/>
        </w:rPr>
        <w:t> </w:t>
      </w:r>
      <w:r>
        <w:rPr>
          <w:sz w:val="24"/>
        </w:rPr>
        <w:t>completion</w:t>
      </w:r>
      <w:r>
        <w:rPr>
          <w:spacing w:val="80"/>
          <w:sz w:val="24"/>
        </w:rPr>
        <w:t> </w:t>
      </w:r>
      <w:r>
        <w:rPr>
          <w:sz w:val="24"/>
        </w:rPr>
        <w:t>date</w:t>
      </w:r>
      <w:r>
        <w:rPr>
          <w:spacing w:val="80"/>
          <w:sz w:val="24"/>
        </w:rPr>
        <w:t> </w:t>
      </w:r>
      <w:r>
        <w:rPr>
          <w:sz w:val="24"/>
        </w:rPr>
        <w:t>for</w:t>
      </w:r>
      <w:r>
        <w:rPr>
          <w:spacing w:val="80"/>
          <w:sz w:val="24"/>
        </w:rPr>
        <w:t> </w:t>
      </w:r>
      <w:r>
        <w:rPr>
          <w:sz w:val="24"/>
        </w:rPr>
        <w:t>the</w:t>
      </w:r>
      <w:r>
        <w:rPr>
          <w:spacing w:val="80"/>
          <w:sz w:val="24"/>
        </w:rPr>
        <w:t> </w:t>
      </w:r>
      <w:r>
        <w:rPr>
          <w:sz w:val="24"/>
        </w:rPr>
        <w:t>review</w:t>
      </w:r>
      <w:r>
        <w:rPr>
          <w:spacing w:val="80"/>
          <w:sz w:val="24"/>
        </w:rPr>
        <w:t> </w:t>
      </w:r>
      <w:r>
        <w:rPr>
          <w:sz w:val="24"/>
        </w:rPr>
        <w:t>be</w:t>
      </w:r>
      <w:r>
        <w:rPr>
          <w:spacing w:val="80"/>
          <w:sz w:val="24"/>
        </w:rPr>
        <w:t> </w:t>
      </w:r>
      <w:r>
        <w:rPr>
          <w:sz w:val="24"/>
        </w:rPr>
        <w:t>within</w:t>
      </w:r>
      <w:r>
        <w:rPr>
          <w:spacing w:val="80"/>
          <w:sz w:val="24"/>
        </w:rPr>
        <w:t> </w:t>
      </w:r>
      <w:r>
        <w:rPr>
          <w:sz w:val="24"/>
        </w:rPr>
        <w:t>five</w:t>
      </w:r>
      <w:r>
        <w:rPr>
          <w:spacing w:val="80"/>
          <w:sz w:val="24"/>
        </w:rPr>
        <w:t> </w:t>
      </w:r>
      <w:r>
        <w:rPr>
          <w:sz w:val="24"/>
        </w:rPr>
        <w:t>years</w:t>
      </w:r>
      <w:r>
        <w:rPr>
          <w:spacing w:val="80"/>
          <w:sz w:val="24"/>
        </w:rPr>
        <w:t> </w:t>
      </w:r>
      <w:r>
        <w:rPr>
          <w:sz w:val="24"/>
        </w:rPr>
        <w:t>of</w:t>
      </w:r>
      <w:r>
        <w:rPr>
          <w:spacing w:val="80"/>
          <w:sz w:val="24"/>
        </w:rPr>
        <w:t> </w:t>
      </w:r>
      <w:r>
        <w:rPr>
          <w:sz w:val="24"/>
        </w:rPr>
        <w:t>the</w:t>
      </w:r>
      <w:r>
        <w:rPr>
          <w:spacing w:val="80"/>
          <w:w w:val="150"/>
          <w:sz w:val="24"/>
        </w:rPr>
        <w:t> </w:t>
      </w:r>
      <w:r>
        <w:rPr>
          <w:sz w:val="24"/>
        </w:rPr>
        <w:t>commencement of the Premises Standards;</w:t>
      </w:r>
    </w:p>
    <w:p>
      <w:pPr>
        <w:pStyle w:val="ListParagraph"/>
        <w:numPr>
          <w:ilvl w:val="1"/>
          <w:numId w:val="49"/>
        </w:numPr>
        <w:tabs>
          <w:tab w:pos="1139" w:val="left" w:leader="none"/>
          <w:tab w:pos="1141" w:val="left" w:leader="none"/>
        </w:tabs>
        <w:spacing w:line="237" w:lineRule="auto" w:before="122" w:after="0"/>
        <w:ind w:left="1133" w:right="810" w:hanging="357"/>
        <w:jc w:val="left"/>
        <w:rPr>
          <w:sz w:val="24"/>
        </w:rPr>
      </w:pPr>
      <w:r>
        <w:rPr>
          <w:sz w:val="24"/>
        </w:rPr>
        <w:t>the</w:t>
      </w:r>
      <w:r>
        <w:rPr>
          <w:spacing w:val="40"/>
          <w:sz w:val="24"/>
        </w:rPr>
        <w:t> </w:t>
      </w:r>
      <w:r>
        <w:rPr>
          <w:sz w:val="24"/>
        </w:rPr>
        <w:t>Premises</w:t>
      </w:r>
      <w:r>
        <w:rPr>
          <w:spacing w:val="40"/>
          <w:sz w:val="24"/>
        </w:rPr>
        <w:t> </w:t>
      </w:r>
      <w:r>
        <w:rPr>
          <w:sz w:val="24"/>
        </w:rPr>
        <w:t>Standards</w:t>
      </w:r>
      <w:r>
        <w:rPr>
          <w:spacing w:val="40"/>
          <w:sz w:val="24"/>
        </w:rPr>
        <w:t> </w:t>
      </w:r>
      <w:r>
        <w:rPr>
          <w:sz w:val="24"/>
        </w:rPr>
        <w:t>set</w:t>
      </w:r>
      <w:r>
        <w:rPr>
          <w:spacing w:val="40"/>
          <w:sz w:val="24"/>
        </w:rPr>
        <w:t> </w:t>
      </w:r>
      <w:r>
        <w:rPr>
          <w:sz w:val="24"/>
        </w:rPr>
        <w:t>out</w:t>
      </w:r>
      <w:r>
        <w:rPr>
          <w:spacing w:val="40"/>
          <w:sz w:val="24"/>
        </w:rPr>
        <w:t> </w:t>
      </w:r>
      <w:r>
        <w:rPr>
          <w:sz w:val="24"/>
        </w:rPr>
        <w:t>the</w:t>
      </w:r>
      <w:r>
        <w:rPr>
          <w:spacing w:val="40"/>
          <w:sz w:val="24"/>
        </w:rPr>
        <w:t> </w:t>
      </w:r>
      <w:r>
        <w:rPr>
          <w:sz w:val="24"/>
        </w:rPr>
        <w:t>issues</w:t>
      </w:r>
      <w:r>
        <w:rPr>
          <w:spacing w:val="40"/>
          <w:sz w:val="24"/>
        </w:rPr>
        <w:t> </w:t>
      </w:r>
      <w:r>
        <w:rPr>
          <w:sz w:val="24"/>
        </w:rPr>
        <w:t>to</w:t>
      </w:r>
      <w:r>
        <w:rPr>
          <w:spacing w:val="40"/>
          <w:sz w:val="24"/>
        </w:rPr>
        <w:t> </w:t>
      </w:r>
      <w:r>
        <w:rPr>
          <w:sz w:val="24"/>
        </w:rPr>
        <w:t>be</w:t>
      </w:r>
      <w:r>
        <w:rPr>
          <w:spacing w:val="40"/>
          <w:sz w:val="24"/>
        </w:rPr>
        <w:t> </w:t>
      </w:r>
      <w:r>
        <w:rPr>
          <w:sz w:val="24"/>
        </w:rPr>
        <w:t>considered</w:t>
      </w:r>
      <w:r>
        <w:rPr>
          <w:spacing w:val="40"/>
          <w:sz w:val="24"/>
        </w:rPr>
        <w:t> </w:t>
      </w:r>
      <w:r>
        <w:rPr>
          <w:sz w:val="24"/>
        </w:rPr>
        <w:t>by</w:t>
      </w:r>
      <w:r>
        <w:rPr>
          <w:spacing w:val="40"/>
          <w:sz w:val="24"/>
        </w:rPr>
        <w:t> </w:t>
      </w:r>
      <w:r>
        <w:rPr>
          <w:sz w:val="24"/>
        </w:rPr>
        <w:t>the review and these issues include:</w:t>
      </w:r>
    </w:p>
    <w:p>
      <w:pPr>
        <w:pStyle w:val="ListParagraph"/>
        <w:numPr>
          <w:ilvl w:val="0"/>
          <w:numId w:val="50"/>
        </w:numPr>
        <w:tabs>
          <w:tab w:pos="1859" w:val="left" w:leader="none"/>
          <w:tab w:pos="1861" w:val="left" w:leader="none"/>
        </w:tabs>
        <w:spacing w:line="240" w:lineRule="auto" w:before="121" w:after="0"/>
        <w:ind w:left="1860" w:right="0" w:hanging="362"/>
        <w:jc w:val="left"/>
        <w:rPr>
          <w:sz w:val="24"/>
        </w:rPr>
      </w:pPr>
      <w:r>
        <w:rPr>
          <w:sz w:val="24"/>
        </w:rPr>
        <w:t>the</w:t>
      </w:r>
      <w:r>
        <w:rPr>
          <w:spacing w:val="-5"/>
          <w:sz w:val="24"/>
        </w:rPr>
        <w:t> </w:t>
      </w:r>
      <w:r>
        <w:rPr>
          <w:sz w:val="24"/>
        </w:rPr>
        <w:t>small</w:t>
      </w:r>
      <w:r>
        <w:rPr>
          <w:spacing w:val="-4"/>
          <w:sz w:val="24"/>
        </w:rPr>
        <w:t> </w:t>
      </w:r>
      <w:r>
        <w:rPr>
          <w:sz w:val="24"/>
        </w:rPr>
        <w:t>building</w:t>
      </w:r>
      <w:r>
        <w:rPr>
          <w:spacing w:val="-4"/>
          <w:sz w:val="24"/>
        </w:rPr>
        <w:t> </w:t>
      </w:r>
      <w:r>
        <w:rPr>
          <w:spacing w:val="-2"/>
          <w:sz w:val="24"/>
        </w:rPr>
        <w:t>exemption;</w:t>
      </w:r>
    </w:p>
    <w:p>
      <w:pPr>
        <w:pStyle w:val="ListParagraph"/>
        <w:numPr>
          <w:ilvl w:val="0"/>
          <w:numId w:val="50"/>
        </w:numPr>
        <w:tabs>
          <w:tab w:pos="1859" w:val="left" w:leader="none"/>
          <w:tab w:pos="1861" w:val="left" w:leader="none"/>
        </w:tabs>
        <w:spacing w:line="240" w:lineRule="auto" w:before="118" w:after="0"/>
        <w:ind w:left="1860" w:right="0" w:hanging="362"/>
        <w:jc w:val="left"/>
        <w:rPr>
          <w:sz w:val="24"/>
        </w:rPr>
      </w:pPr>
      <w:r>
        <w:rPr>
          <w:sz w:val="24"/>
        </w:rPr>
        <w:t>the</w:t>
      </w:r>
      <w:r>
        <w:rPr>
          <w:spacing w:val="-3"/>
          <w:sz w:val="24"/>
        </w:rPr>
        <w:t> </w:t>
      </w:r>
      <w:r>
        <w:rPr>
          <w:sz w:val="24"/>
        </w:rPr>
        <w:t>lessee</w:t>
      </w:r>
      <w:r>
        <w:rPr>
          <w:spacing w:val="-2"/>
          <w:sz w:val="24"/>
        </w:rPr>
        <w:t> concession;</w:t>
      </w:r>
    </w:p>
    <w:p>
      <w:pPr>
        <w:pStyle w:val="ListParagraph"/>
        <w:numPr>
          <w:ilvl w:val="0"/>
          <w:numId w:val="50"/>
        </w:numPr>
        <w:tabs>
          <w:tab w:pos="1859" w:val="left" w:leader="none"/>
          <w:tab w:pos="1861" w:val="left" w:leader="none"/>
        </w:tabs>
        <w:spacing w:line="240" w:lineRule="auto" w:before="118" w:after="0"/>
        <w:ind w:left="1860" w:right="0" w:hanging="362"/>
        <w:jc w:val="left"/>
        <w:rPr>
          <w:sz w:val="24"/>
        </w:rPr>
      </w:pPr>
      <w:r>
        <w:rPr>
          <w:sz w:val="24"/>
        </w:rPr>
        <w:t>80th</w:t>
      </w:r>
      <w:r>
        <w:rPr>
          <w:spacing w:val="-8"/>
          <w:sz w:val="24"/>
        </w:rPr>
        <w:t> </w:t>
      </w:r>
      <w:r>
        <w:rPr>
          <w:sz w:val="24"/>
        </w:rPr>
        <w:t>and</w:t>
      </w:r>
      <w:r>
        <w:rPr>
          <w:spacing w:val="-7"/>
          <w:sz w:val="24"/>
        </w:rPr>
        <w:t> </w:t>
      </w:r>
      <w:r>
        <w:rPr>
          <w:sz w:val="24"/>
        </w:rPr>
        <w:t>90th</w:t>
      </w:r>
      <w:r>
        <w:rPr>
          <w:spacing w:val="-7"/>
          <w:sz w:val="24"/>
        </w:rPr>
        <w:t> </w:t>
      </w:r>
      <w:r>
        <w:rPr>
          <w:sz w:val="24"/>
        </w:rPr>
        <w:t>percentile</w:t>
      </w:r>
      <w:r>
        <w:rPr>
          <w:spacing w:val="-6"/>
          <w:sz w:val="24"/>
        </w:rPr>
        <w:t> </w:t>
      </w:r>
      <w:r>
        <w:rPr>
          <w:sz w:val="24"/>
        </w:rPr>
        <w:t>wheelchair</w:t>
      </w:r>
      <w:r>
        <w:rPr>
          <w:spacing w:val="-7"/>
          <w:sz w:val="24"/>
        </w:rPr>
        <w:t> </w:t>
      </w:r>
      <w:r>
        <w:rPr>
          <w:spacing w:val="-2"/>
          <w:sz w:val="24"/>
        </w:rPr>
        <w:t>dimensions;</w:t>
      </w:r>
    </w:p>
    <w:p>
      <w:pPr>
        <w:pStyle w:val="ListParagraph"/>
        <w:numPr>
          <w:ilvl w:val="0"/>
          <w:numId w:val="50"/>
        </w:numPr>
        <w:tabs>
          <w:tab w:pos="1859" w:val="left" w:leader="none"/>
          <w:tab w:pos="1861" w:val="left" w:leader="none"/>
        </w:tabs>
        <w:spacing w:line="240" w:lineRule="auto" w:before="119" w:after="0"/>
        <w:ind w:left="1860" w:right="0" w:hanging="362"/>
        <w:jc w:val="left"/>
        <w:rPr>
          <w:sz w:val="24"/>
        </w:rPr>
      </w:pPr>
      <w:r>
        <w:rPr>
          <w:sz w:val="24"/>
        </w:rPr>
        <w:t>locking</w:t>
      </w:r>
      <w:r>
        <w:rPr>
          <w:spacing w:val="-2"/>
          <w:sz w:val="24"/>
        </w:rPr>
        <w:t> </w:t>
      </w:r>
      <w:r>
        <w:rPr>
          <w:sz w:val="24"/>
        </w:rPr>
        <w:t>off </w:t>
      </w:r>
      <w:r>
        <w:rPr>
          <w:spacing w:val="-2"/>
          <w:sz w:val="24"/>
        </w:rPr>
        <w:t>lifts;</w:t>
      </w:r>
    </w:p>
    <w:p>
      <w:pPr>
        <w:pStyle w:val="ListParagraph"/>
        <w:numPr>
          <w:ilvl w:val="0"/>
          <w:numId w:val="50"/>
        </w:numPr>
        <w:tabs>
          <w:tab w:pos="1859" w:val="left" w:leader="none"/>
          <w:tab w:pos="1861" w:val="left" w:leader="none"/>
        </w:tabs>
        <w:spacing w:line="240" w:lineRule="auto" w:before="117" w:after="0"/>
        <w:ind w:left="1860" w:right="0" w:hanging="362"/>
        <w:jc w:val="left"/>
        <w:rPr>
          <w:sz w:val="24"/>
        </w:rPr>
      </w:pPr>
      <w:r>
        <w:rPr>
          <w:sz w:val="24"/>
        </w:rPr>
        <w:t>accessible</w:t>
      </w:r>
      <w:r>
        <w:rPr>
          <w:spacing w:val="-9"/>
          <w:sz w:val="24"/>
        </w:rPr>
        <w:t> </w:t>
      </w:r>
      <w:r>
        <w:rPr>
          <w:spacing w:val="-2"/>
          <w:sz w:val="24"/>
        </w:rPr>
        <w:t>toilets;</w:t>
      </w:r>
    </w:p>
    <w:p>
      <w:pPr>
        <w:pStyle w:val="ListParagraph"/>
        <w:numPr>
          <w:ilvl w:val="0"/>
          <w:numId w:val="50"/>
        </w:numPr>
        <w:tabs>
          <w:tab w:pos="1859" w:val="left" w:leader="none"/>
          <w:tab w:pos="1861" w:val="left" w:leader="none"/>
        </w:tabs>
        <w:spacing w:line="240" w:lineRule="auto" w:before="119" w:after="0"/>
        <w:ind w:left="1860" w:right="0" w:hanging="362"/>
        <w:jc w:val="left"/>
        <w:rPr>
          <w:sz w:val="24"/>
        </w:rPr>
      </w:pPr>
      <w:r>
        <w:rPr>
          <w:sz w:val="24"/>
        </w:rPr>
        <w:t>swimming</w:t>
      </w:r>
      <w:r>
        <w:rPr>
          <w:spacing w:val="-7"/>
          <w:sz w:val="24"/>
        </w:rPr>
        <w:t> </w:t>
      </w:r>
      <w:r>
        <w:rPr>
          <w:spacing w:val="-2"/>
          <w:sz w:val="24"/>
        </w:rPr>
        <w:t>pools;</w:t>
      </w:r>
    </w:p>
    <w:p>
      <w:pPr>
        <w:pStyle w:val="ListParagraph"/>
        <w:numPr>
          <w:ilvl w:val="0"/>
          <w:numId w:val="50"/>
        </w:numPr>
        <w:tabs>
          <w:tab w:pos="1859" w:val="left" w:leader="none"/>
          <w:tab w:pos="1861" w:val="left" w:leader="none"/>
        </w:tabs>
        <w:spacing w:line="240" w:lineRule="auto" w:before="118" w:after="0"/>
        <w:ind w:left="1860" w:right="0" w:hanging="362"/>
        <w:jc w:val="left"/>
        <w:rPr>
          <w:sz w:val="24"/>
        </w:rPr>
      </w:pPr>
      <w:r>
        <w:rPr>
          <w:sz w:val="24"/>
        </w:rPr>
        <w:t>accessible</w:t>
      </w:r>
      <w:r>
        <w:rPr>
          <w:spacing w:val="-6"/>
          <w:sz w:val="24"/>
        </w:rPr>
        <w:t> </w:t>
      </w:r>
      <w:r>
        <w:rPr>
          <w:sz w:val="24"/>
        </w:rPr>
        <w:t>car</w:t>
      </w:r>
      <w:r>
        <w:rPr>
          <w:spacing w:val="-5"/>
          <w:sz w:val="24"/>
        </w:rPr>
        <w:t> </w:t>
      </w:r>
      <w:r>
        <w:rPr>
          <w:spacing w:val="-2"/>
          <w:sz w:val="24"/>
        </w:rPr>
        <w:t>parking;</w:t>
      </w:r>
    </w:p>
    <w:p>
      <w:pPr>
        <w:pStyle w:val="ListParagraph"/>
        <w:numPr>
          <w:ilvl w:val="0"/>
          <w:numId w:val="50"/>
        </w:numPr>
        <w:tabs>
          <w:tab w:pos="1859" w:val="left" w:leader="none"/>
          <w:tab w:pos="1861" w:val="left" w:leader="none"/>
        </w:tabs>
        <w:spacing w:line="240" w:lineRule="auto" w:before="118" w:after="0"/>
        <w:ind w:left="1860" w:right="0" w:hanging="362"/>
        <w:jc w:val="left"/>
        <w:rPr>
          <w:sz w:val="24"/>
        </w:rPr>
      </w:pPr>
      <w:r>
        <w:rPr>
          <w:sz w:val="24"/>
        </w:rPr>
        <w:t>Class</w:t>
      </w:r>
      <w:r>
        <w:rPr>
          <w:spacing w:val="-4"/>
          <w:sz w:val="24"/>
        </w:rPr>
        <w:t> </w:t>
      </w:r>
      <w:r>
        <w:rPr>
          <w:sz w:val="24"/>
        </w:rPr>
        <w:t>1b</w:t>
      </w:r>
      <w:r>
        <w:rPr>
          <w:spacing w:val="-4"/>
          <w:sz w:val="24"/>
        </w:rPr>
        <w:t> </w:t>
      </w:r>
      <w:r>
        <w:rPr>
          <w:spacing w:val="-2"/>
          <w:sz w:val="24"/>
        </w:rPr>
        <w:t>buildings;</w:t>
      </w:r>
    </w:p>
    <w:p>
      <w:pPr>
        <w:pStyle w:val="ListParagraph"/>
        <w:numPr>
          <w:ilvl w:val="0"/>
          <w:numId w:val="50"/>
        </w:numPr>
        <w:tabs>
          <w:tab w:pos="1859" w:val="left" w:leader="none"/>
          <w:tab w:pos="1861" w:val="left" w:leader="none"/>
        </w:tabs>
        <w:spacing w:line="240" w:lineRule="auto" w:before="118" w:after="0"/>
        <w:ind w:left="1860" w:right="0" w:hanging="362"/>
        <w:jc w:val="left"/>
        <w:rPr>
          <w:sz w:val="24"/>
        </w:rPr>
      </w:pPr>
      <w:r>
        <w:rPr>
          <w:spacing w:val="-2"/>
          <w:sz w:val="24"/>
        </w:rPr>
        <w:t>wayfinding;</w:t>
      </w:r>
    </w:p>
    <w:p>
      <w:pPr>
        <w:pStyle w:val="ListParagraph"/>
        <w:numPr>
          <w:ilvl w:val="0"/>
          <w:numId w:val="50"/>
        </w:numPr>
        <w:tabs>
          <w:tab w:pos="1859" w:val="left" w:leader="none"/>
          <w:tab w:pos="1861" w:val="left" w:leader="none"/>
        </w:tabs>
        <w:spacing w:line="240" w:lineRule="auto" w:before="118" w:after="0"/>
        <w:ind w:left="1860" w:right="0" w:hanging="362"/>
        <w:jc w:val="left"/>
        <w:rPr>
          <w:sz w:val="24"/>
        </w:rPr>
      </w:pPr>
      <w:r>
        <w:rPr>
          <w:sz w:val="24"/>
        </w:rPr>
        <w:t>emergency</w:t>
      </w:r>
      <w:r>
        <w:rPr>
          <w:spacing w:val="-7"/>
          <w:sz w:val="24"/>
        </w:rPr>
        <w:t> </w:t>
      </w:r>
      <w:r>
        <w:rPr>
          <w:sz w:val="24"/>
        </w:rPr>
        <w:t>egress;</w:t>
      </w:r>
      <w:r>
        <w:rPr>
          <w:spacing w:val="-7"/>
          <w:sz w:val="24"/>
        </w:rPr>
        <w:t> </w:t>
      </w:r>
      <w:r>
        <w:rPr>
          <w:spacing w:val="-4"/>
          <w:sz w:val="24"/>
        </w:rPr>
        <w:t>and,</w:t>
      </w:r>
    </w:p>
    <w:p>
      <w:pPr>
        <w:pStyle w:val="ListParagraph"/>
        <w:numPr>
          <w:ilvl w:val="0"/>
          <w:numId w:val="50"/>
        </w:numPr>
        <w:tabs>
          <w:tab w:pos="1859" w:val="left" w:leader="none"/>
          <w:tab w:pos="1861" w:val="left" w:leader="none"/>
        </w:tabs>
        <w:spacing w:line="240" w:lineRule="auto" w:before="118" w:after="0"/>
        <w:ind w:left="1860" w:right="0" w:hanging="362"/>
        <w:jc w:val="left"/>
        <w:rPr>
          <w:sz w:val="24"/>
        </w:rPr>
      </w:pPr>
      <w:r>
        <w:rPr>
          <w:sz w:val="24"/>
        </w:rPr>
        <w:t>public</w:t>
      </w:r>
      <w:r>
        <w:rPr>
          <w:spacing w:val="-3"/>
          <w:sz w:val="24"/>
        </w:rPr>
        <w:t> </w:t>
      </w:r>
      <w:r>
        <w:rPr>
          <w:sz w:val="24"/>
        </w:rPr>
        <w:t>transport</w:t>
      </w:r>
      <w:r>
        <w:rPr>
          <w:spacing w:val="-2"/>
          <w:sz w:val="24"/>
        </w:rPr>
        <w:t> buildings.</w:t>
      </w:r>
    </w:p>
    <w:p>
      <w:pPr>
        <w:pStyle w:val="ListParagraph"/>
        <w:numPr>
          <w:ilvl w:val="1"/>
          <w:numId w:val="49"/>
        </w:numPr>
        <w:tabs>
          <w:tab w:pos="1139" w:val="left" w:leader="none"/>
          <w:tab w:pos="1141" w:val="left" w:leader="none"/>
        </w:tabs>
        <w:spacing w:line="240" w:lineRule="auto" w:before="118" w:after="0"/>
        <w:ind w:left="1133" w:right="812" w:hanging="357"/>
        <w:jc w:val="left"/>
        <w:rPr>
          <w:sz w:val="24"/>
        </w:rPr>
      </w:pPr>
      <w:r>
        <w:rPr>
          <w:sz w:val="24"/>
        </w:rPr>
        <w:t>the Premises Standards set out the criteria by which effectiveness of</w:t>
      </w:r>
      <w:r>
        <w:rPr>
          <w:spacing w:val="80"/>
          <w:sz w:val="24"/>
        </w:rPr>
        <w:t> </w:t>
      </w:r>
      <w:r>
        <w:rPr>
          <w:sz w:val="24"/>
        </w:rPr>
        <w:t>the Standards is to be assessed;</w:t>
      </w:r>
    </w:p>
    <w:p>
      <w:pPr>
        <w:pStyle w:val="ListParagraph"/>
        <w:numPr>
          <w:ilvl w:val="1"/>
          <w:numId w:val="49"/>
        </w:numPr>
        <w:tabs>
          <w:tab w:pos="1139" w:val="left" w:leader="none"/>
          <w:tab w:pos="1141" w:val="left" w:leader="none"/>
        </w:tabs>
        <w:spacing w:line="237" w:lineRule="auto" w:before="121" w:after="0"/>
        <w:ind w:left="1133" w:right="813" w:hanging="357"/>
        <w:jc w:val="left"/>
        <w:rPr>
          <w:sz w:val="24"/>
        </w:rPr>
      </w:pPr>
      <w:r>
        <w:rPr>
          <w:sz w:val="24"/>
        </w:rPr>
        <w:t>the Australian Government identify what data will be collected and how it will be collected in each jurisdiction during the first four years;</w:t>
      </w:r>
    </w:p>
    <w:p>
      <w:pPr>
        <w:pStyle w:val="ListParagraph"/>
        <w:numPr>
          <w:ilvl w:val="1"/>
          <w:numId w:val="49"/>
        </w:numPr>
        <w:tabs>
          <w:tab w:pos="1139" w:val="left" w:leader="none"/>
          <w:tab w:pos="1141" w:val="left" w:leader="none"/>
        </w:tabs>
        <w:spacing w:line="240" w:lineRule="auto" w:before="121" w:after="0"/>
        <w:ind w:left="1140" w:right="0" w:hanging="364"/>
        <w:jc w:val="left"/>
        <w:rPr>
          <w:sz w:val="24"/>
        </w:rPr>
      </w:pPr>
      <w:r>
        <w:rPr>
          <w:sz w:val="24"/>
        </w:rPr>
        <w:t>baseline</w:t>
      </w:r>
      <w:r>
        <w:rPr>
          <w:spacing w:val="-5"/>
          <w:sz w:val="24"/>
        </w:rPr>
        <w:t> </w:t>
      </w:r>
      <w:r>
        <w:rPr>
          <w:sz w:val="24"/>
        </w:rPr>
        <w:t>data</w:t>
      </w:r>
      <w:r>
        <w:rPr>
          <w:spacing w:val="-4"/>
          <w:sz w:val="24"/>
        </w:rPr>
        <w:t> </w:t>
      </w:r>
      <w:r>
        <w:rPr>
          <w:sz w:val="24"/>
        </w:rPr>
        <w:t>be</w:t>
      </w:r>
      <w:r>
        <w:rPr>
          <w:spacing w:val="-4"/>
          <w:sz w:val="24"/>
        </w:rPr>
        <w:t> </w:t>
      </w:r>
      <w:r>
        <w:rPr>
          <w:sz w:val="24"/>
        </w:rPr>
        <w:t>collected;</w:t>
      </w:r>
      <w:r>
        <w:rPr>
          <w:spacing w:val="-4"/>
          <w:sz w:val="24"/>
        </w:rPr>
        <w:t> </w:t>
      </w:r>
      <w:r>
        <w:rPr>
          <w:spacing w:val="-5"/>
          <w:sz w:val="24"/>
        </w:rPr>
        <w:t>and</w:t>
      </w:r>
    </w:p>
    <w:p>
      <w:pPr>
        <w:pStyle w:val="ListParagraph"/>
        <w:numPr>
          <w:ilvl w:val="1"/>
          <w:numId w:val="49"/>
        </w:numPr>
        <w:tabs>
          <w:tab w:pos="1139" w:val="left" w:leader="none"/>
          <w:tab w:pos="1141" w:val="left" w:leader="none"/>
        </w:tabs>
        <w:spacing w:line="240" w:lineRule="auto" w:before="119" w:after="0"/>
        <w:ind w:left="1140" w:right="0" w:hanging="364"/>
        <w:jc w:val="left"/>
        <w:rPr>
          <w:sz w:val="24"/>
        </w:rPr>
      </w:pPr>
      <w:r>
        <w:rPr>
          <w:sz w:val="24"/>
        </w:rPr>
        <w:t>funding</w:t>
      </w:r>
      <w:r>
        <w:rPr>
          <w:spacing w:val="-2"/>
          <w:sz w:val="24"/>
        </w:rPr>
        <w:t> </w:t>
      </w:r>
      <w:r>
        <w:rPr>
          <w:sz w:val="24"/>
        </w:rPr>
        <w:t>be</w:t>
      </w:r>
      <w:r>
        <w:rPr>
          <w:spacing w:val="-2"/>
          <w:sz w:val="24"/>
        </w:rPr>
        <w:t> </w:t>
      </w:r>
      <w:r>
        <w:rPr>
          <w:sz w:val="24"/>
        </w:rPr>
        <w:t>provided</w:t>
      </w:r>
      <w:r>
        <w:rPr>
          <w:spacing w:val="-1"/>
          <w:sz w:val="24"/>
        </w:rPr>
        <w:t> </w:t>
      </w:r>
      <w:r>
        <w:rPr>
          <w:sz w:val="24"/>
        </w:rPr>
        <w:t>for</w:t>
      </w:r>
      <w:r>
        <w:rPr>
          <w:spacing w:val="-2"/>
          <w:sz w:val="24"/>
        </w:rPr>
        <w:t> </w:t>
      </w:r>
      <w:r>
        <w:rPr>
          <w:sz w:val="24"/>
        </w:rPr>
        <w:t>the</w:t>
      </w:r>
      <w:r>
        <w:rPr>
          <w:spacing w:val="-1"/>
          <w:sz w:val="24"/>
        </w:rPr>
        <w:t> </w:t>
      </w:r>
      <w:r>
        <w:rPr>
          <w:spacing w:val="-2"/>
          <w:sz w:val="24"/>
        </w:rPr>
        <w:t>review.</w:t>
      </w:r>
    </w:p>
    <w:sectPr>
      <w:pgSz w:w="11900" w:h="16840"/>
      <w:pgMar w:header="0" w:footer="1130" w:top="1000" w:bottom="1320" w:left="13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140015pt;margin-top:723.976746pt;width:20.95pt;height:15.45pt;mso-position-horizontal-relative:page;mso-position-vertical-relative:page;z-index:-20799488" type="#_x0000_t202" id="docshape2" filled="false" stroked="false">
          <v:textbox inset="0,0,0,0">
            <w:txbxContent>
              <w:p>
                <w:pPr>
                  <w:pStyle w:val="BodyText"/>
                  <w:spacing w:before="12"/>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9.059998pt;margin-top:774.436401pt;width:20.2pt;height:15.5pt;mso-position-horizontal-relative:page;mso-position-vertical-relative:page;z-index:-20795904" type="#_x0000_t202" id="docshape48" filled="false" stroked="false">
          <v:textbox inset="0,0,0,0">
            <w:txbxContent>
              <w:p>
                <w:pPr>
                  <w:pStyle w:val="BodyText"/>
                  <w:spacing w:before="13"/>
                  <w:ind w:left="57"/>
                </w:pPr>
                <w:r>
                  <w:rPr>
                    <w:spacing w:val="-5"/>
                  </w:rPr>
                  <w:fldChar w:fldCharType="begin"/>
                </w:r>
                <w:r>
                  <w:rPr>
                    <w:spacing w:val="-5"/>
                  </w:rPr>
                  <w:instrText> PAGE </w:instrText>
                </w:r>
                <w:r>
                  <w:rPr>
                    <w:spacing w:val="-5"/>
                  </w:rPr>
                  <w:fldChar w:fldCharType="separate"/>
                </w:r>
                <w:r>
                  <w:rPr>
                    <w:spacing w:val="-5"/>
                  </w:rPr>
                  <w:t>82</w:t>
                </w:r>
                <w:r>
                  <w:rPr>
                    <w:spacing w:val="-5"/>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995621pt;margin-top:722.351746pt;width:420.45pt;height:67.6pt;mso-position-horizontal-relative:page;mso-position-vertical-relative:page;z-index:-20795392" type="#_x0000_t202" id="docshape72" filled="false" stroked="false">
          <v:textbox inset="0,0,0,0">
            <w:txbxContent>
              <w:p>
                <w:pPr>
                  <w:spacing w:before="14"/>
                  <w:ind w:left="20" w:right="78" w:firstLine="0"/>
                  <w:jc w:val="both"/>
                  <w:rPr>
                    <w:sz w:val="20"/>
                  </w:rPr>
                </w:pPr>
                <w:r>
                  <w:rPr>
                    <w:sz w:val="20"/>
                  </w:rPr>
                  <w:t>reflect the situation after the full implementation of the Standard.</w:t>
                </w:r>
                <w:r>
                  <w:rPr>
                    <w:spacing w:val="40"/>
                    <w:sz w:val="20"/>
                  </w:rPr>
                  <w:t> </w:t>
                </w:r>
                <w:r>
                  <w:rPr>
                    <w:sz w:val="20"/>
                  </w:rPr>
                  <w:t>In the case of the benefit estimates, they reflect the situation after the completion of the assumed 15 year renovation cycle and thus relate to a situation in which all buildings have been made accessible to the extent required by the Standard, at least in relation to building upgrade works.</w:t>
                </w:r>
              </w:p>
              <w:p>
                <w:pPr>
                  <w:pStyle w:val="BodyText"/>
                  <w:spacing w:before="121"/>
                  <w:ind w:right="80"/>
                  <w:jc w:val="righ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2.279999pt;margin-top:774.496399pt;width:27pt;height:15.45pt;mso-position-horizontal-relative:page;mso-position-vertical-relative:page;z-index:-20794880" type="#_x0000_t202" id="docshape77"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101</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799988pt;margin-top:723.976746pt;width:20.350pt;height:15.45pt;mso-position-horizontal-relative:page;mso-position-vertical-relative:page;z-index:-20798976" type="#_x0000_t202" id="docshape6"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879997pt;margin-top:700.996643pt;width:211.45pt;height:15.45pt;mso-position-horizontal-relative:page;mso-position-vertical-relative:page;z-index:-20798464" type="#_x0000_t202" id="docshape15" filled="false" stroked="false">
          <v:textbox inset="0,0,0,0">
            <w:txbxContent>
              <w:p>
                <w:pPr>
                  <w:spacing w:before="12"/>
                  <w:ind w:left="20" w:right="0" w:firstLine="0"/>
                  <w:jc w:val="left"/>
                  <w:rPr>
                    <w:b/>
                    <w:i/>
                    <w:sz w:val="24"/>
                  </w:rPr>
                </w:pPr>
                <w:r>
                  <w:rPr>
                    <w:b/>
                    <w:i/>
                    <w:sz w:val="24"/>
                  </w:rPr>
                  <w:t>Change</w:t>
                </w:r>
                <w:r>
                  <w:rPr>
                    <w:b/>
                    <w:i/>
                    <w:spacing w:val="-8"/>
                    <w:sz w:val="24"/>
                  </w:rPr>
                  <w:t> </w:t>
                </w:r>
                <w:r>
                  <w:rPr>
                    <w:b/>
                    <w:i/>
                    <w:sz w:val="24"/>
                  </w:rPr>
                  <w:t>from</w:t>
                </w:r>
                <w:r>
                  <w:rPr>
                    <w:b/>
                    <w:i/>
                    <w:spacing w:val="-8"/>
                    <w:sz w:val="24"/>
                  </w:rPr>
                  <w:t> </w:t>
                </w:r>
                <w:r>
                  <w:rPr>
                    <w:b/>
                    <w:i/>
                    <w:sz w:val="24"/>
                  </w:rPr>
                  <w:t>the</w:t>
                </w:r>
                <w:r>
                  <w:rPr>
                    <w:b/>
                    <w:i/>
                    <w:spacing w:val="-8"/>
                    <w:sz w:val="24"/>
                  </w:rPr>
                  <w:t> </w:t>
                </w:r>
                <w:r>
                  <w:rPr>
                    <w:b/>
                    <w:i/>
                    <w:sz w:val="24"/>
                  </w:rPr>
                  <w:t>2004</w:t>
                </w:r>
                <w:r>
                  <w:rPr>
                    <w:b/>
                    <w:i/>
                    <w:spacing w:val="-7"/>
                    <w:sz w:val="24"/>
                  </w:rPr>
                  <w:t> </w:t>
                </w:r>
                <w:r>
                  <w:rPr>
                    <w:b/>
                    <w:i/>
                    <w:sz w:val="24"/>
                  </w:rPr>
                  <w:t>draft</w:t>
                </w:r>
                <w:r>
                  <w:rPr>
                    <w:b/>
                    <w:i/>
                    <w:spacing w:val="-8"/>
                    <w:sz w:val="24"/>
                  </w:rPr>
                  <w:t> </w:t>
                </w:r>
                <w:r>
                  <w:rPr>
                    <w:b/>
                    <w:i/>
                    <w:spacing w:val="-2"/>
                    <w:sz w:val="24"/>
                  </w:rPr>
                  <w:t>proposal</w:t>
                </w:r>
              </w:p>
            </w:txbxContent>
          </v:textbox>
          <w10:wrap type="none"/>
        </v:shape>
      </w:pict>
    </w:r>
    <w:r>
      <w:rPr/>
      <w:pict>
        <v:shape style="position:absolute;margin-left:505.799988pt;margin-top:723.976746pt;width:20.350pt;height:15.45pt;mso-position-horizontal-relative:page;mso-position-vertical-relative:page;z-index:-20797952" type="#_x0000_t202" id="docshape16"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799988pt;margin-top:723.976746pt;width:20.350pt;height:15.45pt;mso-position-horizontal-relative:page;mso-position-vertical-relative:page;z-index:-20797440" type="#_x0000_t202" id="docshape17"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4.979980pt;margin-top:723.976746pt;width:20.350pt;height:15.45pt;mso-position-horizontal-relative:page;mso-position-vertical-relative:page;z-index:-20796928" type="#_x0000_t202" id="docshape45"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56</w:t>
                </w:r>
                <w:r>
                  <w:rPr>
                    <w:spacing w:val="-5"/>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3.619995pt;margin-top:543.976746pt;width:20.350pt;height:15.45pt;mso-position-horizontal-relative:page;mso-position-vertical-relative:page;z-index:-20796416" type="#_x0000_t202" id="docshape46"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58</w:t>
                </w:r>
                <w:r>
                  <w:rPr>
                    <w:spacing w:val="-5"/>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49">
    <w:multiLevelType w:val="hybridMultilevel"/>
    <w:lvl w:ilvl="0">
      <w:start w:val="0"/>
      <w:numFmt w:val="bullet"/>
      <w:lvlText w:val=""/>
      <w:lvlJc w:val="left"/>
      <w:pPr>
        <w:ind w:left="1860" w:hanging="361"/>
      </w:pPr>
      <w:rPr>
        <w:rFonts w:hint="default" w:ascii="Symbol" w:hAnsi="Symbol" w:eastAsia="Symbol" w:cs="Symbol"/>
        <w:b w:val="0"/>
        <w:bCs w:val="0"/>
        <w:i w:val="0"/>
        <w:iCs w:val="0"/>
        <w:w w:val="100"/>
        <w:sz w:val="24"/>
        <w:szCs w:val="24"/>
      </w:rPr>
    </w:lvl>
    <w:lvl w:ilvl="1">
      <w:start w:val="0"/>
      <w:numFmt w:val="bullet"/>
      <w:lvlText w:val="•"/>
      <w:lvlJc w:val="left"/>
      <w:pPr>
        <w:ind w:left="2628" w:hanging="361"/>
      </w:pPr>
      <w:rPr>
        <w:rFonts w:hint="default"/>
      </w:rPr>
    </w:lvl>
    <w:lvl w:ilvl="2">
      <w:start w:val="0"/>
      <w:numFmt w:val="bullet"/>
      <w:lvlText w:val="•"/>
      <w:lvlJc w:val="left"/>
      <w:pPr>
        <w:ind w:left="3396" w:hanging="361"/>
      </w:pPr>
      <w:rPr>
        <w:rFonts w:hint="default"/>
      </w:rPr>
    </w:lvl>
    <w:lvl w:ilvl="3">
      <w:start w:val="0"/>
      <w:numFmt w:val="bullet"/>
      <w:lvlText w:val="•"/>
      <w:lvlJc w:val="left"/>
      <w:pPr>
        <w:ind w:left="4164" w:hanging="361"/>
      </w:pPr>
      <w:rPr>
        <w:rFonts w:hint="default"/>
      </w:rPr>
    </w:lvl>
    <w:lvl w:ilvl="4">
      <w:start w:val="0"/>
      <w:numFmt w:val="bullet"/>
      <w:lvlText w:val="•"/>
      <w:lvlJc w:val="left"/>
      <w:pPr>
        <w:ind w:left="4932" w:hanging="361"/>
      </w:pPr>
      <w:rPr>
        <w:rFonts w:hint="default"/>
      </w:rPr>
    </w:lvl>
    <w:lvl w:ilvl="5">
      <w:start w:val="0"/>
      <w:numFmt w:val="bullet"/>
      <w:lvlText w:val="•"/>
      <w:lvlJc w:val="left"/>
      <w:pPr>
        <w:ind w:left="5700" w:hanging="361"/>
      </w:pPr>
      <w:rPr>
        <w:rFonts w:hint="default"/>
      </w:rPr>
    </w:lvl>
    <w:lvl w:ilvl="6">
      <w:start w:val="0"/>
      <w:numFmt w:val="bullet"/>
      <w:lvlText w:val="•"/>
      <w:lvlJc w:val="left"/>
      <w:pPr>
        <w:ind w:left="6468" w:hanging="361"/>
      </w:pPr>
      <w:rPr>
        <w:rFonts w:hint="default"/>
      </w:rPr>
    </w:lvl>
    <w:lvl w:ilvl="7">
      <w:start w:val="0"/>
      <w:numFmt w:val="bullet"/>
      <w:lvlText w:val="•"/>
      <w:lvlJc w:val="left"/>
      <w:pPr>
        <w:ind w:left="7236" w:hanging="361"/>
      </w:pPr>
      <w:rPr>
        <w:rFonts w:hint="default"/>
      </w:rPr>
    </w:lvl>
    <w:lvl w:ilvl="8">
      <w:start w:val="0"/>
      <w:numFmt w:val="bullet"/>
      <w:lvlText w:val="•"/>
      <w:lvlJc w:val="left"/>
      <w:pPr>
        <w:ind w:left="8004" w:hanging="361"/>
      </w:pPr>
      <w:rPr>
        <w:rFonts w:hint="default"/>
      </w:rPr>
    </w:lvl>
  </w:abstractNum>
  <w:abstractNum w:abstractNumId="48">
    <w:multiLevelType w:val="hybridMultilevel"/>
    <w:lvl w:ilvl="0">
      <w:start w:val="1"/>
      <w:numFmt w:val="decimal"/>
      <w:lvlText w:val="(%1)"/>
      <w:lvlJc w:val="left"/>
      <w:pPr>
        <w:ind w:left="960" w:hanging="541"/>
        <w:jc w:val="left"/>
      </w:pPr>
      <w:rPr>
        <w:rFonts w:hint="default" w:ascii="Arial" w:hAnsi="Arial" w:eastAsia="Arial" w:cs="Arial"/>
        <w:b w:val="0"/>
        <w:bCs w:val="0"/>
        <w:i w:val="0"/>
        <w:iCs w:val="0"/>
        <w:spacing w:val="-1"/>
        <w:w w:val="99"/>
        <w:sz w:val="24"/>
        <w:szCs w:val="24"/>
      </w:rPr>
    </w:lvl>
    <w:lvl w:ilvl="1">
      <w:start w:val="0"/>
      <w:numFmt w:val="bullet"/>
      <w:lvlText w:val=""/>
      <w:lvlJc w:val="left"/>
      <w:pPr>
        <w:ind w:left="1140" w:hanging="361"/>
      </w:pPr>
      <w:rPr>
        <w:rFonts w:hint="default" w:ascii="Symbol" w:hAnsi="Symbol" w:eastAsia="Symbol" w:cs="Symbol"/>
        <w:b w:val="0"/>
        <w:bCs w:val="0"/>
        <w:i w:val="0"/>
        <w:iCs w:val="0"/>
        <w:w w:val="100"/>
        <w:sz w:val="24"/>
        <w:szCs w:val="24"/>
      </w:rPr>
    </w:lvl>
    <w:lvl w:ilvl="2">
      <w:start w:val="0"/>
      <w:numFmt w:val="bullet"/>
      <w:lvlText w:val="o"/>
      <w:lvlJc w:val="left"/>
      <w:pPr>
        <w:ind w:left="1860" w:hanging="361"/>
      </w:pPr>
      <w:rPr>
        <w:rFonts w:hint="default" w:ascii="Courier New" w:hAnsi="Courier New" w:eastAsia="Courier New" w:cs="Courier New"/>
        <w:b w:val="0"/>
        <w:bCs w:val="0"/>
        <w:i w:val="0"/>
        <w:iCs w:val="0"/>
        <w:w w:val="99"/>
        <w:sz w:val="24"/>
        <w:szCs w:val="24"/>
      </w:rPr>
    </w:lvl>
    <w:lvl w:ilvl="3">
      <w:start w:val="0"/>
      <w:numFmt w:val="bullet"/>
      <w:lvlText w:val="•"/>
      <w:lvlJc w:val="left"/>
      <w:pPr>
        <w:ind w:left="2820" w:hanging="361"/>
      </w:pPr>
      <w:rPr>
        <w:rFonts w:hint="default"/>
      </w:rPr>
    </w:lvl>
    <w:lvl w:ilvl="4">
      <w:start w:val="0"/>
      <w:numFmt w:val="bullet"/>
      <w:lvlText w:val="•"/>
      <w:lvlJc w:val="left"/>
      <w:pPr>
        <w:ind w:left="3780" w:hanging="361"/>
      </w:pPr>
      <w:rPr>
        <w:rFonts w:hint="default"/>
      </w:rPr>
    </w:lvl>
    <w:lvl w:ilvl="5">
      <w:start w:val="0"/>
      <w:numFmt w:val="bullet"/>
      <w:lvlText w:val="•"/>
      <w:lvlJc w:val="left"/>
      <w:pPr>
        <w:ind w:left="4740" w:hanging="361"/>
      </w:pPr>
      <w:rPr>
        <w:rFonts w:hint="default"/>
      </w:rPr>
    </w:lvl>
    <w:lvl w:ilvl="6">
      <w:start w:val="0"/>
      <w:numFmt w:val="bullet"/>
      <w:lvlText w:val="•"/>
      <w:lvlJc w:val="left"/>
      <w:pPr>
        <w:ind w:left="5700" w:hanging="361"/>
      </w:pPr>
      <w:rPr>
        <w:rFonts w:hint="default"/>
      </w:rPr>
    </w:lvl>
    <w:lvl w:ilvl="7">
      <w:start w:val="0"/>
      <w:numFmt w:val="bullet"/>
      <w:lvlText w:val="•"/>
      <w:lvlJc w:val="left"/>
      <w:pPr>
        <w:ind w:left="6660" w:hanging="361"/>
      </w:pPr>
      <w:rPr>
        <w:rFonts w:hint="default"/>
      </w:rPr>
    </w:lvl>
    <w:lvl w:ilvl="8">
      <w:start w:val="0"/>
      <w:numFmt w:val="bullet"/>
      <w:lvlText w:val="•"/>
      <w:lvlJc w:val="left"/>
      <w:pPr>
        <w:ind w:left="7620" w:hanging="361"/>
      </w:pPr>
      <w:rPr>
        <w:rFonts w:hint="default"/>
      </w:rPr>
    </w:lvl>
  </w:abstractNum>
  <w:abstractNum w:abstractNumId="47">
    <w:multiLevelType w:val="hybridMultilevel"/>
    <w:lvl w:ilvl="0">
      <w:start w:val="0"/>
      <w:numFmt w:val="bullet"/>
      <w:lvlText w:val="*"/>
      <w:lvlJc w:val="left"/>
      <w:pPr>
        <w:ind w:left="420" w:hanging="220"/>
      </w:pPr>
      <w:rPr>
        <w:rFonts w:hint="default" w:ascii="Arial" w:hAnsi="Arial" w:eastAsia="Arial" w:cs="Arial"/>
        <w:b w:val="0"/>
        <w:bCs w:val="0"/>
        <w:i w:val="0"/>
        <w:iCs w:val="0"/>
        <w:w w:val="99"/>
        <w:sz w:val="24"/>
        <w:szCs w:val="24"/>
      </w:rPr>
    </w:lvl>
    <w:lvl w:ilvl="1">
      <w:start w:val="0"/>
      <w:numFmt w:val="bullet"/>
      <w:lvlText w:val=""/>
      <w:lvlJc w:val="left"/>
      <w:pPr>
        <w:ind w:left="1140" w:hanging="358"/>
      </w:pPr>
      <w:rPr>
        <w:rFonts w:hint="default" w:ascii="Symbol" w:hAnsi="Symbol" w:eastAsia="Symbol" w:cs="Symbol"/>
        <w:b w:val="0"/>
        <w:bCs w:val="0"/>
        <w:i w:val="0"/>
        <w:iCs w:val="0"/>
        <w:w w:val="100"/>
        <w:sz w:val="24"/>
        <w:szCs w:val="24"/>
      </w:rPr>
    </w:lvl>
    <w:lvl w:ilvl="2">
      <w:start w:val="0"/>
      <w:numFmt w:val="bullet"/>
      <w:lvlText w:val=""/>
      <w:lvlJc w:val="left"/>
      <w:pPr>
        <w:ind w:left="1860" w:hanging="361"/>
      </w:pPr>
      <w:rPr>
        <w:rFonts w:hint="default" w:ascii="Symbol" w:hAnsi="Symbol" w:eastAsia="Symbol" w:cs="Symbol"/>
        <w:b w:val="0"/>
        <w:bCs w:val="0"/>
        <w:i w:val="0"/>
        <w:iCs w:val="0"/>
        <w:w w:val="100"/>
        <w:sz w:val="24"/>
        <w:szCs w:val="24"/>
      </w:rPr>
    </w:lvl>
    <w:lvl w:ilvl="3">
      <w:start w:val="0"/>
      <w:numFmt w:val="bullet"/>
      <w:lvlText w:val="•"/>
      <w:lvlJc w:val="left"/>
      <w:pPr>
        <w:ind w:left="2820" w:hanging="361"/>
      </w:pPr>
      <w:rPr>
        <w:rFonts w:hint="default"/>
      </w:rPr>
    </w:lvl>
    <w:lvl w:ilvl="4">
      <w:start w:val="0"/>
      <w:numFmt w:val="bullet"/>
      <w:lvlText w:val="•"/>
      <w:lvlJc w:val="left"/>
      <w:pPr>
        <w:ind w:left="3780" w:hanging="361"/>
      </w:pPr>
      <w:rPr>
        <w:rFonts w:hint="default"/>
      </w:rPr>
    </w:lvl>
    <w:lvl w:ilvl="5">
      <w:start w:val="0"/>
      <w:numFmt w:val="bullet"/>
      <w:lvlText w:val="•"/>
      <w:lvlJc w:val="left"/>
      <w:pPr>
        <w:ind w:left="4740" w:hanging="361"/>
      </w:pPr>
      <w:rPr>
        <w:rFonts w:hint="default"/>
      </w:rPr>
    </w:lvl>
    <w:lvl w:ilvl="6">
      <w:start w:val="0"/>
      <w:numFmt w:val="bullet"/>
      <w:lvlText w:val="•"/>
      <w:lvlJc w:val="left"/>
      <w:pPr>
        <w:ind w:left="5700" w:hanging="361"/>
      </w:pPr>
      <w:rPr>
        <w:rFonts w:hint="default"/>
      </w:rPr>
    </w:lvl>
    <w:lvl w:ilvl="7">
      <w:start w:val="0"/>
      <w:numFmt w:val="bullet"/>
      <w:lvlText w:val="•"/>
      <w:lvlJc w:val="left"/>
      <w:pPr>
        <w:ind w:left="6660" w:hanging="361"/>
      </w:pPr>
      <w:rPr>
        <w:rFonts w:hint="default"/>
      </w:rPr>
    </w:lvl>
    <w:lvl w:ilvl="8">
      <w:start w:val="0"/>
      <w:numFmt w:val="bullet"/>
      <w:lvlText w:val="•"/>
      <w:lvlJc w:val="left"/>
      <w:pPr>
        <w:ind w:left="7620" w:hanging="361"/>
      </w:pPr>
      <w:rPr>
        <w:rFonts w:hint="default"/>
      </w:rPr>
    </w:lvl>
  </w:abstractNum>
  <w:abstractNum w:abstractNumId="46">
    <w:multiLevelType w:val="hybridMultilevel"/>
    <w:lvl w:ilvl="0">
      <w:start w:val="0"/>
      <w:numFmt w:val="bullet"/>
      <w:lvlText w:val=""/>
      <w:lvlJc w:val="left"/>
      <w:pPr>
        <w:ind w:left="1140" w:hanging="361"/>
      </w:pPr>
      <w:rPr>
        <w:rFonts w:hint="default" w:ascii="Symbol" w:hAnsi="Symbol" w:eastAsia="Symbol" w:cs="Symbol"/>
        <w:b w:val="0"/>
        <w:bCs w:val="0"/>
        <w:i w:val="0"/>
        <w:iCs w:val="0"/>
        <w:w w:val="100"/>
        <w:sz w:val="24"/>
        <w:szCs w:val="24"/>
      </w:rPr>
    </w:lvl>
    <w:lvl w:ilvl="1">
      <w:start w:val="0"/>
      <w:numFmt w:val="bullet"/>
      <w:lvlText w:val="•"/>
      <w:lvlJc w:val="left"/>
      <w:pPr>
        <w:ind w:left="1980" w:hanging="361"/>
      </w:pPr>
      <w:rPr>
        <w:rFonts w:hint="default"/>
      </w:rPr>
    </w:lvl>
    <w:lvl w:ilvl="2">
      <w:start w:val="0"/>
      <w:numFmt w:val="bullet"/>
      <w:lvlText w:val="•"/>
      <w:lvlJc w:val="left"/>
      <w:pPr>
        <w:ind w:left="2820" w:hanging="361"/>
      </w:pPr>
      <w:rPr>
        <w:rFonts w:hint="default"/>
      </w:rPr>
    </w:lvl>
    <w:lvl w:ilvl="3">
      <w:start w:val="0"/>
      <w:numFmt w:val="bullet"/>
      <w:lvlText w:val="•"/>
      <w:lvlJc w:val="left"/>
      <w:pPr>
        <w:ind w:left="3660" w:hanging="361"/>
      </w:pPr>
      <w:rPr>
        <w:rFonts w:hint="default"/>
      </w:rPr>
    </w:lvl>
    <w:lvl w:ilvl="4">
      <w:start w:val="0"/>
      <w:numFmt w:val="bullet"/>
      <w:lvlText w:val="•"/>
      <w:lvlJc w:val="left"/>
      <w:pPr>
        <w:ind w:left="4500"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180" w:hanging="361"/>
      </w:pPr>
      <w:rPr>
        <w:rFonts w:hint="default"/>
      </w:rPr>
    </w:lvl>
    <w:lvl w:ilvl="7">
      <w:start w:val="0"/>
      <w:numFmt w:val="bullet"/>
      <w:lvlText w:val="•"/>
      <w:lvlJc w:val="left"/>
      <w:pPr>
        <w:ind w:left="7020" w:hanging="361"/>
      </w:pPr>
      <w:rPr>
        <w:rFonts w:hint="default"/>
      </w:rPr>
    </w:lvl>
    <w:lvl w:ilvl="8">
      <w:start w:val="0"/>
      <w:numFmt w:val="bullet"/>
      <w:lvlText w:val="•"/>
      <w:lvlJc w:val="left"/>
      <w:pPr>
        <w:ind w:left="7860" w:hanging="361"/>
      </w:pPr>
      <w:rPr>
        <w:rFonts w:hint="default"/>
      </w:rPr>
    </w:lvl>
  </w:abstractNum>
  <w:abstractNum w:abstractNumId="45">
    <w:multiLevelType w:val="hybridMultilevel"/>
    <w:lvl w:ilvl="0">
      <w:start w:val="1"/>
      <w:numFmt w:val="lowerLetter"/>
      <w:lvlText w:val="(%1)"/>
      <w:lvlJc w:val="left"/>
      <w:pPr>
        <w:ind w:left="1140" w:hanging="721"/>
        <w:jc w:val="left"/>
      </w:pPr>
      <w:rPr>
        <w:rFonts w:hint="default" w:ascii="Arial" w:hAnsi="Arial" w:eastAsia="Arial" w:cs="Arial"/>
        <w:b w:val="0"/>
        <w:bCs w:val="0"/>
        <w:i/>
        <w:iCs/>
        <w:spacing w:val="-1"/>
        <w:w w:val="99"/>
        <w:sz w:val="24"/>
        <w:szCs w:val="24"/>
      </w:rPr>
    </w:lvl>
    <w:lvl w:ilvl="1">
      <w:start w:val="0"/>
      <w:numFmt w:val="bullet"/>
      <w:lvlText w:val="•"/>
      <w:lvlJc w:val="left"/>
      <w:pPr>
        <w:ind w:left="1980" w:hanging="721"/>
      </w:pPr>
      <w:rPr>
        <w:rFonts w:hint="default"/>
      </w:rPr>
    </w:lvl>
    <w:lvl w:ilvl="2">
      <w:start w:val="0"/>
      <w:numFmt w:val="bullet"/>
      <w:lvlText w:val="•"/>
      <w:lvlJc w:val="left"/>
      <w:pPr>
        <w:ind w:left="2820" w:hanging="721"/>
      </w:pPr>
      <w:rPr>
        <w:rFonts w:hint="default"/>
      </w:rPr>
    </w:lvl>
    <w:lvl w:ilvl="3">
      <w:start w:val="0"/>
      <w:numFmt w:val="bullet"/>
      <w:lvlText w:val="•"/>
      <w:lvlJc w:val="left"/>
      <w:pPr>
        <w:ind w:left="3660" w:hanging="721"/>
      </w:pPr>
      <w:rPr>
        <w:rFonts w:hint="default"/>
      </w:rPr>
    </w:lvl>
    <w:lvl w:ilvl="4">
      <w:start w:val="0"/>
      <w:numFmt w:val="bullet"/>
      <w:lvlText w:val="•"/>
      <w:lvlJc w:val="left"/>
      <w:pPr>
        <w:ind w:left="4500" w:hanging="721"/>
      </w:pPr>
      <w:rPr>
        <w:rFonts w:hint="default"/>
      </w:rPr>
    </w:lvl>
    <w:lvl w:ilvl="5">
      <w:start w:val="0"/>
      <w:numFmt w:val="bullet"/>
      <w:lvlText w:val="•"/>
      <w:lvlJc w:val="left"/>
      <w:pPr>
        <w:ind w:left="5340" w:hanging="721"/>
      </w:pPr>
      <w:rPr>
        <w:rFonts w:hint="default"/>
      </w:rPr>
    </w:lvl>
    <w:lvl w:ilvl="6">
      <w:start w:val="0"/>
      <w:numFmt w:val="bullet"/>
      <w:lvlText w:val="•"/>
      <w:lvlJc w:val="left"/>
      <w:pPr>
        <w:ind w:left="6180" w:hanging="721"/>
      </w:pPr>
      <w:rPr>
        <w:rFonts w:hint="default"/>
      </w:rPr>
    </w:lvl>
    <w:lvl w:ilvl="7">
      <w:start w:val="0"/>
      <w:numFmt w:val="bullet"/>
      <w:lvlText w:val="•"/>
      <w:lvlJc w:val="left"/>
      <w:pPr>
        <w:ind w:left="7020" w:hanging="721"/>
      </w:pPr>
      <w:rPr>
        <w:rFonts w:hint="default"/>
      </w:rPr>
    </w:lvl>
    <w:lvl w:ilvl="8">
      <w:start w:val="0"/>
      <w:numFmt w:val="bullet"/>
      <w:lvlText w:val="•"/>
      <w:lvlJc w:val="left"/>
      <w:pPr>
        <w:ind w:left="7860" w:hanging="721"/>
      </w:pPr>
      <w:rPr>
        <w:rFonts w:hint="default"/>
      </w:rPr>
    </w:lvl>
  </w:abstractNum>
  <w:abstractNum w:abstractNumId="44">
    <w:multiLevelType w:val="hybridMultilevel"/>
    <w:lvl w:ilvl="0">
      <w:start w:val="11"/>
      <w:numFmt w:val="decimal"/>
      <w:lvlText w:val="%1"/>
      <w:lvlJc w:val="left"/>
      <w:pPr>
        <w:ind w:left="1042" w:hanging="623"/>
        <w:jc w:val="left"/>
      </w:pPr>
      <w:rPr>
        <w:rFonts w:hint="default"/>
      </w:rPr>
    </w:lvl>
    <w:lvl w:ilvl="1">
      <w:start w:val="2"/>
      <w:numFmt w:val="decimal"/>
      <w:lvlText w:val="%1.%2"/>
      <w:lvlJc w:val="left"/>
      <w:pPr>
        <w:ind w:left="1042" w:hanging="623"/>
        <w:jc w:val="left"/>
      </w:pPr>
      <w:rPr>
        <w:rFonts w:hint="default" w:ascii="Arial" w:hAnsi="Arial" w:eastAsia="Arial" w:cs="Arial"/>
        <w:b/>
        <w:bCs/>
        <w:i/>
        <w:iCs/>
        <w:w w:val="99"/>
        <w:sz w:val="28"/>
        <w:szCs w:val="28"/>
      </w:rPr>
    </w:lvl>
    <w:lvl w:ilvl="2">
      <w:start w:val="0"/>
      <w:numFmt w:val="bullet"/>
      <w:lvlText w:val=""/>
      <w:lvlJc w:val="left"/>
      <w:pPr>
        <w:ind w:left="1134" w:hanging="363"/>
      </w:pPr>
      <w:rPr>
        <w:rFonts w:hint="default" w:ascii="Symbol" w:hAnsi="Symbol" w:eastAsia="Symbol" w:cs="Symbol"/>
        <w:b w:val="0"/>
        <w:bCs w:val="0"/>
        <w:i w:val="0"/>
        <w:iCs w:val="0"/>
        <w:w w:val="100"/>
        <w:sz w:val="24"/>
        <w:szCs w:val="24"/>
      </w:rPr>
    </w:lvl>
    <w:lvl w:ilvl="3">
      <w:start w:val="0"/>
      <w:numFmt w:val="bullet"/>
      <w:lvlText w:val="•"/>
      <w:lvlJc w:val="left"/>
      <w:pPr>
        <w:ind w:left="3006" w:hanging="363"/>
      </w:pPr>
      <w:rPr>
        <w:rFonts w:hint="default"/>
      </w:rPr>
    </w:lvl>
    <w:lvl w:ilvl="4">
      <w:start w:val="0"/>
      <w:numFmt w:val="bullet"/>
      <w:lvlText w:val="•"/>
      <w:lvlJc w:val="left"/>
      <w:pPr>
        <w:ind w:left="3940" w:hanging="363"/>
      </w:pPr>
      <w:rPr>
        <w:rFonts w:hint="default"/>
      </w:rPr>
    </w:lvl>
    <w:lvl w:ilvl="5">
      <w:start w:val="0"/>
      <w:numFmt w:val="bullet"/>
      <w:lvlText w:val="•"/>
      <w:lvlJc w:val="left"/>
      <w:pPr>
        <w:ind w:left="4873" w:hanging="363"/>
      </w:pPr>
      <w:rPr>
        <w:rFonts w:hint="default"/>
      </w:rPr>
    </w:lvl>
    <w:lvl w:ilvl="6">
      <w:start w:val="0"/>
      <w:numFmt w:val="bullet"/>
      <w:lvlText w:val="•"/>
      <w:lvlJc w:val="left"/>
      <w:pPr>
        <w:ind w:left="5806" w:hanging="363"/>
      </w:pPr>
      <w:rPr>
        <w:rFonts w:hint="default"/>
      </w:rPr>
    </w:lvl>
    <w:lvl w:ilvl="7">
      <w:start w:val="0"/>
      <w:numFmt w:val="bullet"/>
      <w:lvlText w:val="•"/>
      <w:lvlJc w:val="left"/>
      <w:pPr>
        <w:ind w:left="6740" w:hanging="363"/>
      </w:pPr>
      <w:rPr>
        <w:rFonts w:hint="default"/>
      </w:rPr>
    </w:lvl>
    <w:lvl w:ilvl="8">
      <w:start w:val="0"/>
      <w:numFmt w:val="bullet"/>
      <w:lvlText w:val="•"/>
      <w:lvlJc w:val="left"/>
      <w:pPr>
        <w:ind w:left="7673" w:hanging="363"/>
      </w:pPr>
      <w:rPr>
        <w:rFonts w:hint="default"/>
      </w:rPr>
    </w:lvl>
  </w:abstractNum>
  <w:abstractNum w:abstractNumId="43">
    <w:multiLevelType w:val="hybridMultilevel"/>
    <w:lvl w:ilvl="0">
      <w:start w:val="0"/>
      <w:numFmt w:val="bullet"/>
      <w:lvlText w:val=""/>
      <w:lvlJc w:val="left"/>
      <w:pPr>
        <w:ind w:left="1140" w:hanging="361"/>
      </w:pPr>
      <w:rPr>
        <w:rFonts w:hint="default" w:ascii="Symbol" w:hAnsi="Symbol" w:eastAsia="Symbol" w:cs="Symbol"/>
        <w:b w:val="0"/>
        <w:bCs w:val="0"/>
        <w:i w:val="0"/>
        <w:iCs w:val="0"/>
        <w:w w:val="100"/>
        <w:sz w:val="24"/>
        <w:szCs w:val="24"/>
      </w:rPr>
    </w:lvl>
    <w:lvl w:ilvl="1">
      <w:start w:val="0"/>
      <w:numFmt w:val="bullet"/>
      <w:lvlText w:val="•"/>
      <w:lvlJc w:val="left"/>
      <w:pPr>
        <w:ind w:left="1980" w:hanging="361"/>
      </w:pPr>
      <w:rPr>
        <w:rFonts w:hint="default"/>
      </w:rPr>
    </w:lvl>
    <w:lvl w:ilvl="2">
      <w:start w:val="0"/>
      <w:numFmt w:val="bullet"/>
      <w:lvlText w:val="•"/>
      <w:lvlJc w:val="left"/>
      <w:pPr>
        <w:ind w:left="2820" w:hanging="361"/>
      </w:pPr>
      <w:rPr>
        <w:rFonts w:hint="default"/>
      </w:rPr>
    </w:lvl>
    <w:lvl w:ilvl="3">
      <w:start w:val="0"/>
      <w:numFmt w:val="bullet"/>
      <w:lvlText w:val="•"/>
      <w:lvlJc w:val="left"/>
      <w:pPr>
        <w:ind w:left="3660" w:hanging="361"/>
      </w:pPr>
      <w:rPr>
        <w:rFonts w:hint="default"/>
      </w:rPr>
    </w:lvl>
    <w:lvl w:ilvl="4">
      <w:start w:val="0"/>
      <w:numFmt w:val="bullet"/>
      <w:lvlText w:val="•"/>
      <w:lvlJc w:val="left"/>
      <w:pPr>
        <w:ind w:left="4500"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180" w:hanging="361"/>
      </w:pPr>
      <w:rPr>
        <w:rFonts w:hint="default"/>
      </w:rPr>
    </w:lvl>
    <w:lvl w:ilvl="7">
      <w:start w:val="0"/>
      <w:numFmt w:val="bullet"/>
      <w:lvlText w:val="•"/>
      <w:lvlJc w:val="left"/>
      <w:pPr>
        <w:ind w:left="7020" w:hanging="361"/>
      </w:pPr>
      <w:rPr>
        <w:rFonts w:hint="default"/>
      </w:rPr>
    </w:lvl>
    <w:lvl w:ilvl="8">
      <w:start w:val="0"/>
      <w:numFmt w:val="bullet"/>
      <w:lvlText w:val="•"/>
      <w:lvlJc w:val="left"/>
      <w:pPr>
        <w:ind w:left="7860" w:hanging="361"/>
      </w:pPr>
      <w:rPr>
        <w:rFonts w:hint="default"/>
      </w:rPr>
    </w:lvl>
  </w:abstractNum>
  <w:abstractNum w:abstractNumId="42">
    <w:multiLevelType w:val="hybridMultilevel"/>
    <w:lvl w:ilvl="0">
      <w:start w:val="11"/>
      <w:numFmt w:val="decimal"/>
      <w:lvlText w:val="%1"/>
      <w:lvlJc w:val="left"/>
      <w:pPr>
        <w:ind w:left="1431" w:hanging="1012"/>
        <w:jc w:val="left"/>
      </w:pPr>
      <w:rPr>
        <w:rFonts w:hint="default"/>
      </w:rPr>
    </w:lvl>
    <w:lvl w:ilvl="1">
      <w:start w:val="1"/>
      <w:numFmt w:val="decimal"/>
      <w:lvlText w:val="%1.%2"/>
      <w:lvlJc w:val="left"/>
      <w:pPr>
        <w:ind w:left="1431" w:hanging="1012"/>
        <w:jc w:val="left"/>
      </w:pPr>
      <w:rPr>
        <w:rFonts w:hint="default"/>
      </w:rPr>
    </w:lvl>
    <w:lvl w:ilvl="2">
      <w:start w:val="2"/>
      <w:numFmt w:val="decimal"/>
      <w:lvlText w:val="%1.%2.%3"/>
      <w:lvlJc w:val="left"/>
      <w:pPr>
        <w:ind w:left="1431" w:hanging="1012"/>
        <w:jc w:val="left"/>
      </w:pPr>
      <w:rPr>
        <w:rFonts w:hint="default"/>
      </w:rPr>
    </w:lvl>
    <w:lvl w:ilvl="3">
      <w:start w:val="1"/>
      <w:numFmt w:val="decimal"/>
      <w:lvlText w:val="%1.%2.%3.%4"/>
      <w:lvlJc w:val="left"/>
      <w:pPr>
        <w:ind w:left="1431" w:hanging="1012"/>
        <w:jc w:val="left"/>
      </w:pPr>
      <w:rPr>
        <w:rFonts w:hint="default" w:ascii="Arial" w:hAnsi="Arial" w:eastAsia="Arial" w:cs="Arial"/>
        <w:b/>
        <w:bCs/>
        <w:i w:val="0"/>
        <w:iCs w:val="0"/>
        <w:spacing w:val="-2"/>
        <w:w w:val="100"/>
        <w:sz w:val="26"/>
        <w:szCs w:val="26"/>
      </w:rPr>
    </w:lvl>
    <w:lvl w:ilvl="4">
      <w:start w:val="0"/>
      <w:numFmt w:val="bullet"/>
      <w:lvlText w:val="•"/>
      <w:lvlJc w:val="left"/>
      <w:pPr>
        <w:ind w:left="4680" w:hanging="1012"/>
      </w:pPr>
      <w:rPr>
        <w:rFonts w:hint="default"/>
      </w:rPr>
    </w:lvl>
    <w:lvl w:ilvl="5">
      <w:start w:val="0"/>
      <w:numFmt w:val="bullet"/>
      <w:lvlText w:val="•"/>
      <w:lvlJc w:val="left"/>
      <w:pPr>
        <w:ind w:left="5490" w:hanging="1012"/>
      </w:pPr>
      <w:rPr>
        <w:rFonts w:hint="default"/>
      </w:rPr>
    </w:lvl>
    <w:lvl w:ilvl="6">
      <w:start w:val="0"/>
      <w:numFmt w:val="bullet"/>
      <w:lvlText w:val="•"/>
      <w:lvlJc w:val="left"/>
      <w:pPr>
        <w:ind w:left="6300" w:hanging="1012"/>
      </w:pPr>
      <w:rPr>
        <w:rFonts w:hint="default"/>
      </w:rPr>
    </w:lvl>
    <w:lvl w:ilvl="7">
      <w:start w:val="0"/>
      <w:numFmt w:val="bullet"/>
      <w:lvlText w:val="•"/>
      <w:lvlJc w:val="left"/>
      <w:pPr>
        <w:ind w:left="7110" w:hanging="1012"/>
      </w:pPr>
      <w:rPr>
        <w:rFonts w:hint="default"/>
      </w:rPr>
    </w:lvl>
    <w:lvl w:ilvl="8">
      <w:start w:val="0"/>
      <w:numFmt w:val="bullet"/>
      <w:lvlText w:val="•"/>
      <w:lvlJc w:val="left"/>
      <w:pPr>
        <w:ind w:left="7920" w:hanging="1012"/>
      </w:pPr>
      <w:rPr>
        <w:rFonts w:hint="default"/>
      </w:rPr>
    </w:lvl>
  </w:abstractNum>
  <w:abstractNum w:abstractNumId="41">
    <w:multiLevelType w:val="hybridMultilevel"/>
    <w:lvl w:ilvl="0">
      <w:start w:val="11"/>
      <w:numFmt w:val="decimal"/>
      <w:lvlText w:val="%1"/>
      <w:lvlJc w:val="left"/>
      <w:pPr>
        <w:ind w:left="1859" w:hanging="1440"/>
        <w:jc w:val="left"/>
      </w:pPr>
      <w:rPr>
        <w:rFonts w:hint="default"/>
      </w:rPr>
    </w:lvl>
    <w:lvl w:ilvl="1">
      <w:start w:val="1"/>
      <w:numFmt w:val="decimal"/>
      <w:lvlText w:val="%1.%2"/>
      <w:lvlJc w:val="left"/>
      <w:pPr>
        <w:ind w:left="1859" w:hanging="1440"/>
        <w:jc w:val="left"/>
      </w:pPr>
      <w:rPr>
        <w:rFonts w:hint="default"/>
      </w:rPr>
    </w:lvl>
    <w:lvl w:ilvl="2">
      <w:start w:val="1"/>
      <w:numFmt w:val="decimal"/>
      <w:lvlText w:val="%1.%2.%3"/>
      <w:lvlJc w:val="left"/>
      <w:pPr>
        <w:ind w:left="1859" w:hanging="1440"/>
        <w:jc w:val="left"/>
      </w:pPr>
      <w:rPr>
        <w:rFonts w:hint="default" w:ascii="Arial" w:hAnsi="Arial" w:eastAsia="Arial" w:cs="Arial"/>
        <w:b/>
        <w:bCs/>
        <w:i w:val="0"/>
        <w:iCs w:val="0"/>
        <w:spacing w:val="-2"/>
        <w:w w:val="100"/>
        <w:sz w:val="26"/>
        <w:szCs w:val="26"/>
      </w:rPr>
    </w:lvl>
    <w:lvl w:ilvl="3">
      <w:start w:val="0"/>
      <w:numFmt w:val="bullet"/>
      <w:lvlText w:val=""/>
      <w:lvlJc w:val="left"/>
      <w:pPr>
        <w:ind w:left="1140" w:hanging="361"/>
      </w:pPr>
      <w:rPr>
        <w:rFonts w:hint="default" w:ascii="Symbol" w:hAnsi="Symbol" w:eastAsia="Symbol" w:cs="Symbol"/>
        <w:b w:val="0"/>
        <w:bCs w:val="0"/>
        <w:i w:val="0"/>
        <w:iCs w:val="0"/>
        <w:w w:val="100"/>
        <w:sz w:val="24"/>
        <w:szCs w:val="24"/>
      </w:rPr>
    </w:lvl>
    <w:lvl w:ilvl="4">
      <w:start w:val="0"/>
      <w:numFmt w:val="bullet"/>
      <w:lvlText w:val="•"/>
      <w:lvlJc w:val="left"/>
      <w:pPr>
        <w:ind w:left="4420" w:hanging="361"/>
      </w:pPr>
      <w:rPr>
        <w:rFonts w:hint="default"/>
      </w:rPr>
    </w:lvl>
    <w:lvl w:ilvl="5">
      <w:start w:val="0"/>
      <w:numFmt w:val="bullet"/>
      <w:lvlText w:val="•"/>
      <w:lvlJc w:val="left"/>
      <w:pPr>
        <w:ind w:left="5273" w:hanging="361"/>
      </w:pPr>
      <w:rPr>
        <w:rFonts w:hint="default"/>
      </w:rPr>
    </w:lvl>
    <w:lvl w:ilvl="6">
      <w:start w:val="0"/>
      <w:numFmt w:val="bullet"/>
      <w:lvlText w:val="•"/>
      <w:lvlJc w:val="left"/>
      <w:pPr>
        <w:ind w:left="6126" w:hanging="361"/>
      </w:pPr>
      <w:rPr>
        <w:rFonts w:hint="default"/>
      </w:rPr>
    </w:lvl>
    <w:lvl w:ilvl="7">
      <w:start w:val="0"/>
      <w:numFmt w:val="bullet"/>
      <w:lvlText w:val="•"/>
      <w:lvlJc w:val="left"/>
      <w:pPr>
        <w:ind w:left="6980" w:hanging="361"/>
      </w:pPr>
      <w:rPr>
        <w:rFonts w:hint="default"/>
      </w:rPr>
    </w:lvl>
    <w:lvl w:ilvl="8">
      <w:start w:val="0"/>
      <w:numFmt w:val="bullet"/>
      <w:lvlText w:val="•"/>
      <w:lvlJc w:val="left"/>
      <w:pPr>
        <w:ind w:left="7833" w:hanging="361"/>
      </w:pPr>
      <w:rPr>
        <w:rFonts w:hint="default"/>
      </w:rPr>
    </w:lvl>
  </w:abstractNum>
  <w:abstractNum w:abstractNumId="40">
    <w:multiLevelType w:val="hybridMultilevel"/>
    <w:lvl w:ilvl="0">
      <w:start w:val="0"/>
      <w:numFmt w:val="bullet"/>
      <w:lvlText w:val="*"/>
      <w:lvlJc w:val="left"/>
      <w:pPr>
        <w:ind w:left="553" w:hanging="134"/>
      </w:pPr>
      <w:rPr>
        <w:rFonts w:hint="default" w:ascii="Arial" w:hAnsi="Arial" w:eastAsia="Arial" w:cs="Arial"/>
        <w:b w:val="0"/>
        <w:bCs w:val="0"/>
        <w:i w:val="0"/>
        <w:iCs w:val="0"/>
        <w:w w:val="100"/>
        <w:sz w:val="20"/>
        <w:szCs w:val="20"/>
      </w:rPr>
    </w:lvl>
    <w:lvl w:ilvl="1">
      <w:start w:val="0"/>
      <w:numFmt w:val="bullet"/>
      <w:lvlText w:val=""/>
      <w:lvlJc w:val="left"/>
      <w:pPr>
        <w:ind w:left="1140" w:hanging="361"/>
      </w:pPr>
      <w:rPr>
        <w:rFonts w:hint="default" w:ascii="Symbol" w:hAnsi="Symbol" w:eastAsia="Symbol" w:cs="Symbol"/>
        <w:b w:val="0"/>
        <w:bCs w:val="0"/>
        <w:i w:val="0"/>
        <w:iCs w:val="0"/>
        <w:w w:val="100"/>
        <w:sz w:val="24"/>
        <w:szCs w:val="24"/>
      </w:rPr>
    </w:lvl>
    <w:lvl w:ilvl="2">
      <w:start w:val="0"/>
      <w:numFmt w:val="bullet"/>
      <w:lvlText w:val="•"/>
      <w:lvlJc w:val="left"/>
      <w:pPr>
        <w:ind w:left="2073" w:hanging="361"/>
      </w:pPr>
      <w:rPr>
        <w:rFonts w:hint="default"/>
      </w:rPr>
    </w:lvl>
    <w:lvl w:ilvl="3">
      <w:start w:val="0"/>
      <w:numFmt w:val="bullet"/>
      <w:lvlText w:val="•"/>
      <w:lvlJc w:val="left"/>
      <w:pPr>
        <w:ind w:left="3006" w:hanging="361"/>
      </w:pPr>
      <w:rPr>
        <w:rFonts w:hint="default"/>
      </w:rPr>
    </w:lvl>
    <w:lvl w:ilvl="4">
      <w:start w:val="0"/>
      <w:numFmt w:val="bullet"/>
      <w:lvlText w:val="•"/>
      <w:lvlJc w:val="left"/>
      <w:pPr>
        <w:ind w:left="3940" w:hanging="361"/>
      </w:pPr>
      <w:rPr>
        <w:rFonts w:hint="default"/>
      </w:rPr>
    </w:lvl>
    <w:lvl w:ilvl="5">
      <w:start w:val="0"/>
      <w:numFmt w:val="bullet"/>
      <w:lvlText w:val="•"/>
      <w:lvlJc w:val="left"/>
      <w:pPr>
        <w:ind w:left="4873" w:hanging="361"/>
      </w:pPr>
      <w:rPr>
        <w:rFonts w:hint="default"/>
      </w:rPr>
    </w:lvl>
    <w:lvl w:ilvl="6">
      <w:start w:val="0"/>
      <w:numFmt w:val="bullet"/>
      <w:lvlText w:val="•"/>
      <w:lvlJc w:val="left"/>
      <w:pPr>
        <w:ind w:left="5806" w:hanging="361"/>
      </w:pPr>
      <w:rPr>
        <w:rFonts w:hint="default"/>
      </w:rPr>
    </w:lvl>
    <w:lvl w:ilvl="7">
      <w:start w:val="0"/>
      <w:numFmt w:val="bullet"/>
      <w:lvlText w:val="•"/>
      <w:lvlJc w:val="left"/>
      <w:pPr>
        <w:ind w:left="6740" w:hanging="361"/>
      </w:pPr>
      <w:rPr>
        <w:rFonts w:hint="default"/>
      </w:rPr>
    </w:lvl>
    <w:lvl w:ilvl="8">
      <w:start w:val="0"/>
      <w:numFmt w:val="bullet"/>
      <w:lvlText w:val="•"/>
      <w:lvlJc w:val="left"/>
      <w:pPr>
        <w:ind w:left="7673" w:hanging="361"/>
      </w:pPr>
      <w:rPr>
        <w:rFonts w:hint="default"/>
      </w:rPr>
    </w:lvl>
  </w:abstractNum>
  <w:abstractNum w:abstractNumId="39">
    <w:multiLevelType w:val="hybridMultilevel"/>
    <w:lvl w:ilvl="0">
      <w:start w:val="0"/>
      <w:numFmt w:val="bullet"/>
      <w:lvlText w:val=""/>
      <w:lvlJc w:val="left"/>
      <w:pPr>
        <w:ind w:left="1140" w:hanging="360"/>
      </w:pPr>
      <w:rPr>
        <w:rFonts w:hint="default" w:ascii="Symbol" w:hAnsi="Symbol" w:eastAsia="Symbol" w:cs="Symbol"/>
        <w:b w:val="0"/>
        <w:bCs w:val="0"/>
        <w:i w:val="0"/>
        <w:iCs w:val="0"/>
        <w:w w:val="100"/>
        <w:sz w:val="24"/>
        <w:szCs w:val="24"/>
      </w:rPr>
    </w:lvl>
    <w:lvl w:ilvl="1">
      <w:start w:val="0"/>
      <w:numFmt w:val="bullet"/>
      <w:lvlText w:val="•"/>
      <w:lvlJc w:val="left"/>
      <w:pPr>
        <w:ind w:left="1980" w:hanging="360"/>
      </w:pPr>
      <w:rPr>
        <w:rFonts w:hint="default"/>
      </w:rPr>
    </w:lvl>
    <w:lvl w:ilvl="2">
      <w:start w:val="0"/>
      <w:numFmt w:val="bullet"/>
      <w:lvlText w:val="•"/>
      <w:lvlJc w:val="left"/>
      <w:pPr>
        <w:ind w:left="2820" w:hanging="360"/>
      </w:pPr>
      <w:rPr>
        <w:rFonts w:hint="default"/>
      </w:rPr>
    </w:lvl>
    <w:lvl w:ilvl="3">
      <w:start w:val="0"/>
      <w:numFmt w:val="bullet"/>
      <w:lvlText w:val="•"/>
      <w:lvlJc w:val="left"/>
      <w:pPr>
        <w:ind w:left="3660" w:hanging="360"/>
      </w:pPr>
      <w:rPr>
        <w:rFonts w:hint="default"/>
      </w:rPr>
    </w:lvl>
    <w:lvl w:ilvl="4">
      <w:start w:val="0"/>
      <w:numFmt w:val="bullet"/>
      <w:lvlText w:val="•"/>
      <w:lvlJc w:val="left"/>
      <w:pPr>
        <w:ind w:left="4500" w:hanging="360"/>
      </w:pPr>
      <w:rPr>
        <w:rFonts w:hint="default"/>
      </w:rPr>
    </w:lvl>
    <w:lvl w:ilvl="5">
      <w:start w:val="0"/>
      <w:numFmt w:val="bullet"/>
      <w:lvlText w:val="•"/>
      <w:lvlJc w:val="left"/>
      <w:pPr>
        <w:ind w:left="5340" w:hanging="360"/>
      </w:pPr>
      <w:rPr>
        <w:rFonts w:hint="default"/>
      </w:rPr>
    </w:lvl>
    <w:lvl w:ilvl="6">
      <w:start w:val="0"/>
      <w:numFmt w:val="bullet"/>
      <w:lvlText w:val="•"/>
      <w:lvlJc w:val="left"/>
      <w:pPr>
        <w:ind w:left="6180" w:hanging="360"/>
      </w:pPr>
      <w:rPr>
        <w:rFonts w:hint="default"/>
      </w:rPr>
    </w:lvl>
    <w:lvl w:ilvl="7">
      <w:start w:val="0"/>
      <w:numFmt w:val="bullet"/>
      <w:lvlText w:val="•"/>
      <w:lvlJc w:val="left"/>
      <w:pPr>
        <w:ind w:left="7020" w:hanging="360"/>
      </w:pPr>
      <w:rPr>
        <w:rFonts w:hint="default"/>
      </w:rPr>
    </w:lvl>
    <w:lvl w:ilvl="8">
      <w:start w:val="0"/>
      <w:numFmt w:val="bullet"/>
      <w:lvlText w:val="•"/>
      <w:lvlJc w:val="left"/>
      <w:pPr>
        <w:ind w:left="7860" w:hanging="360"/>
      </w:pPr>
      <w:rPr>
        <w:rFonts w:hint="default"/>
      </w:rPr>
    </w:lvl>
  </w:abstractNum>
  <w:abstractNum w:abstractNumId="38">
    <w:multiLevelType w:val="hybridMultilevel"/>
    <w:lvl w:ilvl="0">
      <w:start w:val="10"/>
      <w:numFmt w:val="decimal"/>
      <w:lvlText w:val="%1"/>
      <w:lvlJc w:val="left"/>
      <w:pPr>
        <w:ind w:left="1859" w:hanging="1440"/>
        <w:jc w:val="left"/>
      </w:pPr>
      <w:rPr>
        <w:rFonts w:hint="default"/>
      </w:rPr>
    </w:lvl>
    <w:lvl w:ilvl="1">
      <w:start w:val="4"/>
      <w:numFmt w:val="decimal"/>
      <w:lvlText w:val="%1.%2"/>
      <w:lvlJc w:val="left"/>
      <w:pPr>
        <w:ind w:left="1859" w:hanging="1440"/>
        <w:jc w:val="left"/>
      </w:pPr>
      <w:rPr>
        <w:rFonts w:hint="default"/>
      </w:rPr>
    </w:lvl>
    <w:lvl w:ilvl="2">
      <w:start w:val="3"/>
      <w:numFmt w:val="decimal"/>
      <w:lvlText w:val="%1.%2.%3"/>
      <w:lvlJc w:val="left"/>
      <w:pPr>
        <w:ind w:left="1859" w:hanging="1440"/>
        <w:jc w:val="left"/>
      </w:pPr>
      <w:rPr>
        <w:rFonts w:hint="default" w:ascii="Arial" w:hAnsi="Arial" w:eastAsia="Arial" w:cs="Arial"/>
        <w:b/>
        <w:bCs/>
        <w:i w:val="0"/>
        <w:iCs w:val="0"/>
        <w:spacing w:val="-2"/>
        <w:w w:val="100"/>
        <w:sz w:val="26"/>
        <w:szCs w:val="26"/>
      </w:rPr>
    </w:lvl>
    <w:lvl w:ilvl="3">
      <w:start w:val="0"/>
      <w:numFmt w:val="bullet"/>
      <w:lvlText w:val="•"/>
      <w:lvlJc w:val="left"/>
      <w:pPr>
        <w:ind w:left="4164" w:hanging="1440"/>
      </w:pPr>
      <w:rPr>
        <w:rFonts w:hint="default"/>
      </w:rPr>
    </w:lvl>
    <w:lvl w:ilvl="4">
      <w:start w:val="0"/>
      <w:numFmt w:val="bullet"/>
      <w:lvlText w:val="•"/>
      <w:lvlJc w:val="left"/>
      <w:pPr>
        <w:ind w:left="4932" w:hanging="1440"/>
      </w:pPr>
      <w:rPr>
        <w:rFonts w:hint="default"/>
      </w:rPr>
    </w:lvl>
    <w:lvl w:ilvl="5">
      <w:start w:val="0"/>
      <w:numFmt w:val="bullet"/>
      <w:lvlText w:val="•"/>
      <w:lvlJc w:val="left"/>
      <w:pPr>
        <w:ind w:left="5700" w:hanging="1440"/>
      </w:pPr>
      <w:rPr>
        <w:rFonts w:hint="default"/>
      </w:rPr>
    </w:lvl>
    <w:lvl w:ilvl="6">
      <w:start w:val="0"/>
      <w:numFmt w:val="bullet"/>
      <w:lvlText w:val="•"/>
      <w:lvlJc w:val="left"/>
      <w:pPr>
        <w:ind w:left="6468" w:hanging="1440"/>
      </w:pPr>
      <w:rPr>
        <w:rFonts w:hint="default"/>
      </w:rPr>
    </w:lvl>
    <w:lvl w:ilvl="7">
      <w:start w:val="0"/>
      <w:numFmt w:val="bullet"/>
      <w:lvlText w:val="•"/>
      <w:lvlJc w:val="left"/>
      <w:pPr>
        <w:ind w:left="7236" w:hanging="1440"/>
      </w:pPr>
      <w:rPr>
        <w:rFonts w:hint="default"/>
      </w:rPr>
    </w:lvl>
    <w:lvl w:ilvl="8">
      <w:start w:val="0"/>
      <w:numFmt w:val="bullet"/>
      <w:lvlText w:val="•"/>
      <w:lvlJc w:val="left"/>
      <w:pPr>
        <w:ind w:left="8004" w:hanging="1440"/>
      </w:pPr>
      <w:rPr>
        <w:rFonts w:hint="default"/>
      </w:rPr>
    </w:lvl>
  </w:abstractNum>
  <w:abstractNum w:abstractNumId="37">
    <w:multiLevelType w:val="hybridMultilevel"/>
    <w:lvl w:ilvl="0">
      <w:start w:val="10"/>
      <w:numFmt w:val="decimal"/>
      <w:lvlText w:val="%1"/>
      <w:lvlJc w:val="left"/>
      <w:pPr>
        <w:ind w:left="1860" w:hanging="1441"/>
        <w:jc w:val="left"/>
      </w:pPr>
      <w:rPr>
        <w:rFonts w:hint="default"/>
      </w:rPr>
    </w:lvl>
    <w:lvl w:ilvl="1">
      <w:start w:val="4"/>
      <w:numFmt w:val="decimal"/>
      <w:lvlText w:val="%1.%2"/>
      <w:lvlJc w:val="left"/>
      <w:pPr>
        <w:ind w:left="1860" w:hanging="1441"/>
        <w:jc w:val="left"/>
      </w:pPr>
      <w:rPr>
        <w:rFonts w:hint="default"/>
      </w:rPr>
    </w:lvl>
    <w:lvl w:ilvl="2">
      <w:start w:val="1"/>
      <w:numFmt w:val="decimal"/>
      <w:lvlText w:val="%1.%2.%3"/>
      <w:lvlJc w:val="left"/>
      <w:pPr>
        <w:ind w:left="1860" w:hanging="1441"/>
        <w:jc w:val="left"/>
      </w:pPr>
      <w:rPr>
        <w:rFonts w:hint="default" w:ascii="Arial" w:hAnsi="Arial" w:eastAsia="Arial" w:cs="Arial"/>
        <w:b/>
        <w:bCs/>
        <w:i w:val="0"/>
        <w:iCs w:val="0"/>
        <w:spacing w:val="-2"/>
        <w:w w:val="100"/>
        <w:sz w:val="26"/>
        <w:szCs w:val="26"/>
      </w:rPr>
    </w:lvl>
    <w:lvl w:ilvl="3">
      <w:start w:val="0"/>
      <w:numFmt w:val="bullet"/>
      <w:lvlText w:val="•"/>
      <w:lvlJc w:val="left"/>
      <w:pPr>
        <w:ind w:left="4164" w:hanging="1441"/>
      </w:pPr>
      <w:rPr>
        <w:rFonts w:hint="default"/>
      </w:rPr>
    </w:lvl>
    <w:lvl w:ilvl="4">
      <w:start w:val="0"/>
      <w:numFmt w:val="bullet"/>
      <w:lvlText w:val="•"/>
      <w:lvlJc w:val="left"/>
      <w:pPr>
        <w:ind w:left="4932" w:hanging="1441"/>
      </w:pPr>
      <w:rPr>
        <w:rFonts w:hint="default"/>
      </w:rPr>
    </w:lvl>
    <w:lvl w:ilvl="5">
      <w:start w:val="0"/>
      <w:numFmt w:val="bullet"/>
      <w:lvlText w:val="•"/>
      <w:lvlJc w:val="left"/>
      <w:pPr>
        <w:ind w:left="5700" w:hanging="1441"/>
      </w:pPr>
      <w:rPr>
        <w:rFonts w:hint="default"/>
      </w:rPr>
    </w:lvl>
    <w:lvl w:ilvl="6">
      <w:start w:val="0"/>
      <w:numFmt w:val="bullet"/>
      <w:lvlText w:val="•"/>
      <w:lvlJc w:val="left"/>
      <w:pPr>
        <w:ind w:left="6468" w:hanging="1441"/>
      </w:pPr>
      <w:rPr>
        <w:rFonts w:hint="default"/>
      </w:rPr>
    </w:lvl>
    <w:lvl w:ilvl="7">
      <w:start w:val="0"/>
      <w:numFmt w:val="bullet"/>
      <w:lvlText w:val="•"/>
      <w:lvlJc w:val="left"/>
      <w:pPr>
        <w:ind w:left="7236" w:hanging="1441"/>
      </w:pPr>
      <w:rPr>
        <w:rFonts w:hint="default"/>
      </w:rPr>
    </w:lvl>
    <w:lvl w:ilvl="8">
      <w:start w:val="0"/>
      <w:numFmt w:val="bullet"/>
      <w:lvlText w:val="•"/>
      <w:lvlJc w:val="left"/>
      <w:pPr>
        <w:ind w:left="8004" w:hanging="1441"/>
      </w:pPr>
      <w:rPr>
        <w:rFonts w:hint="default"/>
      </w:rPr>
    </w:lvl>
  </w:abstractNum>
  <w:abstractNum w:abstractNumId="36">
    <w:multiLevelType w:val="hybridMultilevel"/>
    <w:lvl w:ilvl="0">
      <w:start w:val="0"/>
      <w:numFmt w:val="bullet"/>
      <w:lvlText w:val=""/>
      <w:lvlJc w:val="left"/>
      <w:pPr>
        <w:ind w:left="1140" w:hanging="361"/>
      </w:pPr>
      <w:rPr>
        <w:rFonts w:hint="default" w:ascii="Symbol" w:hAnsi="Symbol" w:eastAsia="Symbol" w:cs="Symbol"/>
        <w:b w:val="0"/>
        <w:bCs w:val="0"/>
        <w:i w:val="0"/>
        <w:iCs w:val="0"/>
        <w:w w:val="100"/>
        <w:sz w:val="24"/>
        <w:szCs w:val="24"/>
      </w:rPr>
    </w:lvl>
    <w:lvl w:ilvl="1">
      <w:start w:val="0"/>
      <w:numFmt w:val="bullet"/>
      <w:lvlText w:val="•"/>
      <w:lvlJc w:val="left"/>
      <w:pPr>
        <w:ind w:left="1980" w:hanging="361"/>
      </w:pPr>
      <w:rPr>
        <w:rFonts w:hint="default"/>
      </w:rPr>
    </w:lvl>
    <w:lvl w:ilvl="2">
      <w:start w:val="0"/>
      <w:numFmt w:val="bullet"/>
      <w:lvlText w:val="•"/>
      <w:lvlJc w:val="left"/>
      <w:pPr>
        <w:ind w:left="2820" w:hanging="361"/>
      </w:pPr>
      <w:rPr>
        <w:rFonts w:hint="default"/>
      </w:rPr>
    </w:lvl>
    <w:lvl w:ilvl="3">
      <w:start w:val="0"/>
      <w:numFmt w:val="bullet"/>
      <w:lvlText w:val="•"/>
      <w:lvlJc w:val="left"/>
      <w:pPr>
        <w:ind w:left="3660" w:hanging="361"/>
      </w:pPr>
      <w:rPr>
        <w:rFonts w:hint="default"/>
      </w:rPr>
    </w:lvl>
    <w:lvl w:ilvl="4">
      <w:start w:val="0"/>
      <w:numFmt w:val="bullet"/>
      <w:lvlText w:val="•"/>
      <w:lvlJc w:val="left"/>
      <w:pPr>
        <w:ind w:left="4500"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180" w:hanging="361"/>
      </w:pPr>
      <w:rPr>
        <w:rFonts w:hint="default"/>
      </w:rPr>
    </w:lvl>
    <w:lvl w:ilvl="7">
      <w:start w:val="0"/>
      <w:numFmt w:val="bullet"/>
      <w:lvlText w:val="•"/>
      <w:lvlJc w:val="left"/>
      <w:pPr>
        <w:ind w:left="7020" w:hanging="361"/>
      </w:pPr>
      <w:rPr>
        <w:rFonts w:hint="default"/>
      </w:rPr>
    </w:lvl>
    <w:lvl w:ilvl="8">
      <w:start w:val="0"/>
      <w:numFmt w:val="bullet"/>
      <w:lvlText w:val="•"/>
      <w:lvlJc w:val="left"/>
      <w:pPr>
        <w:ind w:left="7860" w:hanging="361"/>
      </w:pPr>
      <w:rPr>
        <w:rFonts w:hint="default"/>
      </w:rPr>
    </w:lvl>
  </w:abstractNum>
  <w:abstractNum w:abstractNumId="35">
    <w:multiLevelType w:val="hybridMultilevel"/>
    <w:lvl w:ilvl="0">
      <w:start w:val="0"/>
      <w:numFmt w:val="bullet"/>
      <w:lvlText w:val=""/>
      <w:lvlJc w:val="left"/>
      <w:pPr>
        <w:ind w:left="1134" w:hanging="363"/>
      </w:pPr>
      <w:rPr>
        <w:rFonts w:hint="default" w:ascii="Symbol" w:hAnsi="Symbol" w:eastAsia="Symbol" w:cs="Symbol"/>
        <w:b w:val="0"/>
        <w:bCs w:val="0"/>
        <w:i w:val="0"/>
        <w:iCs w:val="0"/>
        <w:w w:val="100"/>
        <w:sz w:val="24"/>
        <w:szCs w:val="24"/>
      </w:rPr>
    </w:lvl>
    <w:lvl w:ilvl="1">
      <w:start w:val="0"/>
      <w:numFmt w:val="bullet"/>
      <w:lvlText w:val="•"/>
      <w:lvlJc w:val="left"/>
      <w:pPr>
        <w:ind w:left="1980" w:hanging="363"/>
      </w:pPr>
      <w:rPr>
        <w:rFonts w:hint="default"/>
      </w:rPr>
    </w:lvl>
    <w:lvl w:ilvl="2">
      <w:start w:val="0"/>
      <w:numFmt w:val="bullet"/>
      <w:lvlText w:val="•"/>
      <w:lvlJc w:val="left"/>
      <w:pPr>
        <w:ind w:left="2820" w:hanging="363"/>
      </w:pPr>
      <w:rPr>
        <w:rFonts w:hint="default"/>
      </w:rPr>
    </w:lvl>
    <w:lvl w:ilvl="3">
      <w:start w:val="0"/>
      <w:numFmt w:val="bullet"/>
      <w:lvlText w:val="•"/>
      <w:lvlJc w:val="left"/>
      <w:pPr>
        <w:ind w:left="3660" w:hanging="363"/>
      </w:pPr>
      <w:rPr>
        <w:rFonts w:hint="default"/>
      </w:rPr>
    </w:lvl>
    <w:lvl w:ilvl="4">
      <w:start w:val="0"/>
      <w:numFmt w:val="bullet"/>
      <w:lvlText w:val="•"/>
      <w:lvlJc w:val="left"/>
      <w:pPr>
        <w:ind w:left="4500" w:hanging="363"/>
      </w:pPr>
      <w:rPr>
        <w:rFonts w:hint="default"/>
      </w:rPr>
    </w:lvl>
    <w:lvl w:ilvl="5">
      <w:start w:val="0"/>
      <w:numFmt w:val="bullet"/>
      <w:lvlText w:val="•"/>
      <w:lvlJc w:val="left"/>
      <w:pPr>
        <w:ind w:left="5340" w:hanging="363"/>
      </w:pPr>
      <w:rPr>
        <w:rFonts w:hint="default"/>
      </w:rPr>
    </w:lvl>
    <w:lvl w:ilvl="6">
      <w:start w:val="0"/>
      <w:numFmt w:val="bullet"/>
      <w:lvlText w:val="•"/>
      <w:lvlJc w:val="left"/>
      <w:pPr>
        <w:ind w:left="6180" w:hanging="363"/>
      </w:pPr>
      <w:rPr>
        <w:rFonts w:hint="default"/>
      </w:rPr>
    </w:lvl>
    <w:lvl w:ilvl="7">
      <w:start w:val="0"/>
      <w:numFmt w:val="bullet"/>
      <w:lvlText w:val="•"/>
      <w:lvlJc w:val="left"/>
      <w:pPr>
        <w:ind w:left="7020" w:hanging="363"/>
      </w:pPr>
      <w:rPr>
        <w:rFonts w:hint="default"/>
      </w:rPr>
    </w:lvl>
    <w:lvl w:ilvl="8">
      <w:start w:val="0"/>
      <w:numFmt w:val="bullet"/>
      <w:lvlText w:val="•"/>
      <w:lvlJc w:val="left"/>
      <w:pPr>
        <w:ind w:left="7860" w:hanging="363"/>
      </w:pPr>
      <w:rPr>
        <w:rFonts w:hint="default"/>
      </w:rPr>
    </w:lvl>
  </w:abstractNum>
  <w:abstractNum w:abstractNumId="34">
    <w:multiLevelType w:val="hybridMultilevel"/>
    <w:lvl w:ilvl="0">
      <w:start w:val="0"/>
      <w:numFmt w:val="bullet"/>
      <w:lvlText w:val=""/>
      <w:lvlJc w:val="left"/>
      <w:pPr>
        <w:ind w:left="1134" w:hanging="363"/>
      </w:pPr>
      <w:rPr>
        <w:rFonts w:hint="default" w:ascii="Symbol" w:hAnsi="Symbol" w:eastAsia="Symbol" w:cs="Symbol"/>
        <w:b w:val="0"/>
        <w:bCs w:val="0"/>
        <w:i w:val="0"/>
        <w:iCs w:val="0"/>
        <w:w w:val="100"/>
        <w:sz w:val="24"/>
        <w:szCs w:val="24"/>
      </w:rPr>
    </w:lvl>
    <w:lvl w:ilvl="1">
      <w:start w:val="0"/>
      <w:numFmt w:val="bullet"/>
      <w:lvlText w:val="•"/>
      <w:lvlJc w:val="left"/>
      <w:pPr>
        <w:ind w:left="1980" w:hanging="363"/>
      </w:pPr>
      <w:rPr>
        <w:rFonts w:hint="default"/>
      </w:rPr>
    </w:lvl>
    <w:lvl w:ilvl="2">
      <w:start w:val="0"/>
      <w:numFmt w:val="bullet"/>
      <w:lvlText w:val="•"/>
      <w:lvlJc w:val="left"/>
      <w:pPr>
        <w:ind w:left="2820" w:hanging="363"/>
      </w:pPr>
      <w:rPr>
        <w:rFonts w:hint="default"/>
      </w:rPr>
    </w:lvl>
    <w:lvl w:ilvl="3">
      <w:start w:val="0"/>
      <w:numFmt w:val="bullet"/>
      <w:lvlText w:val="•"/>
      <w:lvlJc w:val="left"/>
      <w:pPr>
        <w:ind w:left="3660" w:hanging="363"/>
      </w:pPr>
      <w:rPr>
        <w:rFonts w:hint="default"/>
      </w:rPr>
    </w:lvl>
    <w:lvl w:ilvl="4">
      <w:start w:val="0"/>
      <w:numFmt w:val="bullet"/>
      <w:lvlText w:val="•"/>
      <w:lvlJc w:val="left"/>
      <w:pPr>
        <w:ind w:left="4500" w:hanging="363"/>
      </w:pPr>
      <w:rPr>
        <w:rFonts w:hint="default"/>
      </w:rPr>
    </w:lvl>
    <w:lvl w:ilvl="5">
      <w:start w:val="0"/>
      <w:numFmt w:val="bullet"/>
      <w:lvlText w:val="•"/>
      <w:lvlJc w:val="left"/>
      <w:pPr>
        <w:ind w:left="5340" w:hanging="363"/>
      </w:pPr>
      <w:rPr>
        <w:rFonts w:hint="default"/>
      </w:rPr>
    </w:lvl>
    <w:lvl w:ilvl="6">
      <w:start w:val="0"/>
      <w:numFmt w:val="bullet"/>
      <w:lvlText w:val="•"/>
      <w:lvlJc w:val="left"/>
      <w:pPr>
        <w:ind w:left="6180" w:hanging="363"/>
      </w:pPr>
      <w:rPr>
        <w:rFonts w:hint="default"/>
      </w:rPr>
    </w:lvl>
    <w:lvl w:ilvl="7">
      <w:start w:val="0"/>
      <w:numFmt w:val="bullet"/>
      <w:lvlText w:val="•"/>
      <w:lvlJc w:val="left"/>
      <w:pPr>
        <w:ind w:left="7020" w:hanging="363"/>
      </w:pPr>
      <w:rPr>
        <w:rFonts w:hint="default"/>
      </w:rPr>
    </w:lvl>
    <w:lvl w:ilvl="8">
      <w:start w:val="0"/>
      <w:numFmt w:val="bullet"/>
      <w:lvlText w:val="•"/>
      <w:lvlJc w:val="left"/>
      <w:pPr>
        <w:ind w:left="7860" w:hanging="363"/>
      </w:pPr>
      <w:rPr>
        <w:rFonts w:hint="default"/>
      </w:rPr>
    </w:lvl>
  </w:abstractNum>
  <w:abstractNum w:abstractNumId="33">
    <w:multiLevelType w:val="hybridMultilevel"/>
    <w:lvl w:ilvl="0">
      <w:start w:val="0"/>
      <w:numFmt w:val="bullet"/>
      <w:lvlText w:val=""/>
      <w:lvlJc w:val="left"/>
      <w:pPr>
        <w:ind w:left="1134" w:hanging="363"/>
      </w:pPr>
      <w:rPr>
        <w:rFonts w:hint="default" w:ascii="Symbol" w:hAnsi="Symbol" w:eastAsia="Symbol" w:cs="Symbol"/>
        <w:b w:val="0"/>
        <w:bCs w:val="0"/>
        <w:i w:val="0"/>
        <w:iCs w:val="0"/>
        <w:w w:val="100"/>
        <w:sz w:val="24"/>
        <w:szCs w:val="24"/>
      </w:rPr>
    </w:lvl>
    <w:lvl w:ilvl="1">
      <w:start w:val="0"/>
      <w:numFmt w:val="bullet"/>
      <w:lvlText w:val="•"/>
      <w:lvlJc w:val="left"/>
      <w:pPr>
        <w:ind w:left="1980" w:hanging="363"/>
      </w:pPr>
      <w:rPr>
        <w:rFonts w:hint="default"/>
      </w:rPr>
    </w:lvl>
    <w:lvl w:ilvl="2">
      <w:start w:val="0"/>
      <w:numFmt w:val="bullet"/>
      <w:lvlText w:val="•"/>
      <w:lvlJc w:val="left"/>
      <w:pPr>
        <w:ind w:left="2820" w:hanging="363"/>
      </w:pPr>
      <w:rPr>
        <w:rFonts w:hint="default"/>
      </w:rPr>
    </w:lvl>
    <w:lvl w:ilvl="3">
      <w:start w:val="0"/>
      <w:numFmt w:val="bullet"/>
      <w:lvlText w:val="•"/>
      <w:lvlJc w:val="left"/>
      <w:pPr>
        <w:ind w:left="3660" w:hanging="363"/>
      </w:pPr>
      <w:rPr>
        <w:rFonts w:hint="default"/>
      </w:rPr>
    </w:lvl>
    <w:lvl w:ilvl="4">
      <w:start w:val="0"/>
      <w:numFmt w:val="bullet"/>
      <w:lvlText w:val="•"/>
      <w:lvlJc w:val="left"/>
      <w:pPr>
        <w:ind w:left="4500" w:hanging="363"/>
      </w:pPr>
      <w:rPr>
        <w:rFonts w:hint="default"/>
      </w:rPr>
    </w:lvl>
    <w:lvl w:ilvl="5">
      <w:start w:val="0"/>
      <w:numFmt w:val="bullet"/>
      <w:lvlText w:val="•"/>
      <w:lvlJc w:val="left"/>
      <w:pPr>
        <w:ind w:left="5340" w:hanging="363"/>
      </w:pPr>
      <w:rPr>
        <w:rFonts w:hint="default"/>
      </w:rPr>
    </w:lvl>
    <w:lvl w:ilvl="6">
      <w:start w:val="0"/>
      <w:numFmt w:val="bullet"/>
      <w:lvlText w:val="•"/>
      <w:lvlJc w:val="left"/>
      <w:pPr>
        <w:ind w:left="6180" w:hanging="363"/>
      </w:pPr>
      <w:rPr>
        <w:rFonts w:hint="default"/>
      </w:rPr>
    </w:lvl>
    <w:lvl w:ilvl="7">
      <w:start w:val="0"/>
      <w:numFmt w:val="bullet"/>
      <w:lvlText w:val="•"/>
      <w:lvlJc w:val="left"/>
      <w:pPr>
        <w:ind w:left="7020" w:hanging="363"/>
      </w:pPr>
      <w:rPr>
        <w:rFonts w:hint="default"/>
      </w:rPr>
    </w:lvl>
    <w:lvl w:ilvl="8">
      <w:start w:val="0"/>
      <w:numFmt w:val="bullet"/>
      <w:lvlText w:val="•"/>
      <w:lvlJc w:val="left"/>
      <w:pPr>
        <w:ind w:left="7860" w:hanging="363"/>
      </w:pPr>
      <w:rPr>
        <w:rFonts w:hint="default"/>
      </w:rPr>
    </w:lvl>
  </w:abstractNum>
  <w:abstractNum w:abstractNumId="32">
    <w:multiLevelType w:val="hybridMultilevel"/>
    <w:lvl w:ilvl="0">
      <w:start w:val="9"/>
      <w:numFmt w:val="decimal"/>
      <w:lvlText w:val="%1"/>
      <w:lvlJc w:val="left"/>
      <w:pPr>
        <w:ind w:left="1140" w:hanging="721"/>
        <w:jc w:val="left"/>
      </w:pPr>
      <w:rPr>
        <w:rFonts w:hint="default"/>
      </w:rPr>
    </w:lvl>
    <w:lvl w:ilvl="1">
      <w:start w:val="2"/>
      <w:numFmt w:val="decimal"/>
      <w:lvlText w:val="%1.%2"/>
      <w:lvlJc w:val="left"/>
      <w:pPr>
        <w:ind w:left="1140" w:hanging="721"/>
        <w:jc w:val="left"/>
      </w:pPr>
      <w:rPr>
        <w:rFonts w:hint="default"/>
      </w:rPr>
    </w:lvl>
    <w:lvl w:ilvl="2">
      <w:start w:val="1"/>
      <w:numFmt w:val="decimal"/>
      <w:lvlText w:val="%1.%2.%3"/>
      <w:lvlJc w:val="left"/>
      <w:pPr>
        <w:ind w:left="1140" w:hanging="721"/>
        <w:jc w:val="left"/>
      </w:pPr>
      <w:rPr>
        <w:rFonts w:hint="default" w:ascii="Arial" w:hAnsi="Arial" w:eastAsia="Arial" w:cs="Arial"/>
        <w:b/>
        <w:bCs/>
        <w:i w:val="0"/>
        <w:iCs w:val="0"/>
        <w:spacing w:val="-1"/>
        <w:w w:val="100"/>
        <w:sz w:val="26"/>
        <w:szCs w:val="26"/>
      </w:rPr>
    </w:lvl>
    <w:lvl w:ilvl="3">
      <w:start w:val="0"/>
      <w:numFmt w:val="bullet"/>
      <w:lvlText w:val="•"/>
      <w:lvlJc w:val="left"/>
      <w:pPr>
        <w:ind w:left="3660" w:hanging="721"/>
      </w:pPr>
      <w:rPr>
        <w:rFonts w:hint="default"/>
      </w:rPr>
    </w:lvl>
    <w:lvl w:ilvl="4">
      <w:start w:val="0"/>
      <w:numFmt w:val="bullet"/>
      <w:lvlText w:val="•"/>
      <w:lvlJc w:val="left"/>
      <w:pPr>
        <w:ind w:left="4500" w:hanging="721"/>
      </w:pPr>
      <w:rPr>
        <w:rFonts w:hint="default"/>
      </w:rPr>
    </w:lvl>
    <w:lvl w:ilvl="5">
      <w:start w:val="0"/>
      <w:numFmt w:val="bullet"/>
      <w:lvlText w:val="•"/>
      <w:lvlJc w:val="left"/>
      <w:pPr>
        <w:ind w:left="5340" w:hanging="721"/>
      </w:pPr>
      <w:rPr>
        <w:rFonts w:hint="default"/>
      </w:rPr>
    </w:lvl>
    <w:lvl w:ilvl="6">
      <w:start w:val="0"/>
      <w:numFmt w:val="bullet"/>
      <w:lvlText w:val="•"/>
      <w:lvlJc w:val="left"/>
      <w:pPr>
        <w:ind w:left="6180" w:hanging="721"/>
      </w:pPr>
      <w:rPr>
        <w:rFonts w:hint="default"/>
      </w:rPr>
    </w:lvl>
    <w:lvl w:ilvl="7">
      <w:start w:val="0"/>
      <w:numFmt w:val="bullet"/>
      <w:lvlText w:val="•"/>
      <w:lvlJc w:val="left"/>
      <w:pPr>
        <w:ind w:left="7020" w:hanging="721"/>
      </w:pPr>
      <w:rPr>
        <w:rFonts w:hint="default"/>
      </w:rPr>
    </w:lvl>
    <w:lvl w:ilvl="8">
      <w:start w:val="0"/>
      <w:numFmt w:val="bullet"/>
      <w:lvlText w:val="•"/>
      <w:lvlJc w:val="left"/>
      <w:pPr>
        <w:ind w:left="7860" w:hanging="721"/>
      </w:pPr>
      <w:rPr>
        <w:rFonts w:hint="default"/>
      </w:rPr>
    </w:lvl>
  </w:abstractNum>
  <w:abstractNum w:abstractNumId="31">
    <w:multiLevelType w:val="hybridMultilevel"/>
    <w:lvl w:ilvl="0">
      <w:start w:val="0"/>
      <w:numFmt w:val="bullet"/>
      <w:lvlText w:val=""/>
      <w:lvlJc w:val="left"/>
      <w:pPr>
        <w:ind w:left="1134" w:hanging="363"/>
      </w:pPr>
      <w:rPr>
        <w:rFonts w:hint="default" w:ascii="Symbol" w:hAnsi="Symbol" w:eastAsia="Symbol" w:cs="Symbol"/>
        <w:b w:val="0"/>
        <w:bCs w:val="0"/>
        <w:i w:val="0"/>
        <w:iCs w:val="0"/>
        <w:w w:val="100"/>
        <w:sz w:val="24"/>
        <w:szCs w:val="24"/>
      </w:rPr>
    </w:lvl>
    <w:lvl w:ilvl="1">
      <w:start w:val="0"/>
      <w:numFmt w:val="bullet"/>
      <w:lvlText w:val=""/>
      <w:lvlJc w:val="left"/>
      <w:pPr>
        <w:ind w:left="1860" w:hanging="361"/>
      </w:pPr>
      <w:rPr>
        <w:rFonts w:hint="default" w:ascii="Symbol" w:hAnsi="Symbol" w:eastAsia="Symbol" w:cs="Symbol"/>
        <w:b w:val="0"/>
        <w:bCs w:val="0"/>
        <w:i w:val="0"/>
        <w:iCs w:val="0"/>
        <w:w w:val="100"/>
        <w:sz w:val="24"/>
        <w:szCs w:val="24"/>
      </w:rPr>
    </w:lvl>
    <w:lvl w:ilvl="2">
      <w:start w:val="0"/>
      <w:numFmt w:val="bullet"/>
      <w:lvlText w:val="•"/>
      <w:lvlJc w:val="left"/>
      <w:pPr>
        <w:ind w:left="2713" w:hanging="361"/>
      </w:pPr>
      <w:rPr>
        <w:rFonts w:hint="default"/>
      </w:rPr>
    </w:lvl>
    <w:lvl w:ilvl="3">
      <w:start w:val="0"/>
      <w:numFmt w:val="bullet"/>
      <w:lvlText w:val="•"/>
      <w:lvlJc w:val="left"/>
      <w:pPr>
        <w:ind w:left="3566" w:hanging="361"/>
      </w:pPr>
      <w:rPr>
        <w:rFonts w:hint="default"/>
      </w:rPr>
    </w:lvl>
    <w:lvl w:ilvl="4">
      <w:start w:val="0"/>
      <w:numFmt w:val="bullet"/>
      <w:lvlText w:val="•"/>
      <w:lvlJc w:val="left"/>
      <w:pPr>
        <w:ind w:left="4420" w:hanging="361"/>
      </w:pPr>
      <w:rPr>
        <w:rFonts w:hint="default"/>
      </w:rPr>
    </w:lvl>
    <w:lvl w:ilvl="5">
      <w:start w:val="0"/>
      <w:numFmt w:val="bullet"/>
      <w:lvlText w:val="•"/>
      <w:lvlJc w:val="left"/>
      <w:pPr>
        <w:ind w:left="5273" w:hanging="361"/>
      </w:pPr>
      <w:rPr>
        <w:rFonts w:hint="default"/>
      </w:rPr>
    </w:lvl>
    <w:lvl w:ilvl="6">
      <w:start w:val="0"/>
      <w:numFmt w:val="bullet"/>
      <w:lvlText w:val="•"/>
      <w:lvlJc w:val="left"/>
      <w:pPr>
        <w:ind w:left="6126" w:hanging="361"/>
      </w:pPr>
      <w:rPr>
        <w:rFonts w:hint="default"/>
      </w:rPr>
    </w:lvl>
    <w:lvl w:ilvl="7">
      <w:start w:val="0"/>
      <w:numFmt w:val="bullet"/>
      <w:lvlText w:val="•"/>
      <w:lvlJc w:val="left"/>
      <w:pPr>
        <w:ind w:left="6980" w:hanging="361"/>
      </w:pPr>
      <w:rPr>
        <w:rFonts w:hint="default"/>
      </w:rPr>
    </w:lvl>
    <w:lvl w:ilvl="8">
      <w:start w:val="0"/>
      <w:numFmt w:val="bullet"/>
      <w:lvlText w:val="•"/>
      <w:lvlJc w:val="left"/>
      <w:pPr>
        <w:ind w:left="7833" w:hanging="361"/>
      </w:pPr>
      <w:rPr>
        <w:rFonts w:hint="default"/>
      </w:rPr>
    </w:lvl>
  </w:abstractNum>
  <w:abstractNum w:abstractNumId="30">
    <w:multiLevelType w:val="hybridMultilevel"/>
    <w:lvl w:ilvl="0">
      <w:start w:val="0"/>
      <w:numFmt w:val="bullet"/>
      <w:lvlText w:val=""/>
      <w:lvlJc w:val="left"/>
      <w:pPr>
        <w:ind w:left="1131" w:hanging="363"/>
      </w:pPr>
      <w:rPr>
        <w:rFonts w:hint="default" w:ascii="Symbol" w:hAnsi="Symbol" w:eastAsia="Symbol" w:cs="Symbol"/>
        <w:b w:val="0"/>
        <w:bCs w:val="0"/>
        <w:i w:val="0"/>
        <w:iCs w:val="0"/>
        <w:w w:val="100"/>
        <w:sz w:val="24"/>
        <w:szCs w:val="24"/>
      </w:rPr>
    </w:lvl>
    <w:lvl w:ilvl="1">
      <w:start w:val="0"/>
      <w:numFmt w:val="bullet"/>
      <w:lvlText w:val="•"/>
      <w:lvlJc w:val="left"/>
      <w:pPr>
        <w:ind w:left="1980" w:hanging="363"/>
      </w:pPr>
      <w:rPr>
        <w:rFonts w:hint="default"/>
      </w:rPr>
    </w:lvl>
    <w:lvl w:ilvl="2">
      <w:start w:val="0"/>
      <w:numFmt w:val="bullet"/>
      <w:lvlText w:val="•"/>
      <w:lvlJc w:val="left"/>
      <w:pPr>
        <w:ind w:left="2820" w:hanging="363"/>
      </w:pPr>
      <w:rPr>
        <w:rFonts w:hint="default"/>
      </w:rPr>
    </w:lvl>
    <w:lvl w:ilvl="3">
      <w:start w:val="0"/>
      <w:numFmt w:val="bullet"/>
      <w:lvlText w:val="•"/>
      <w:lvlJc w:val="left"/>
      <w:pPr>
        <w:ind w:left="3660" w:hanging="363"/>
      </w:pPr>
      <w:rPr>
        <w:rFonts w:hint="default"/>
      </w:rPr>
    </w:lvl>
    <w:lvl w:ilvl="4">
      <w:start w:val="0"/>
      <w:numFmt w:val="bullet"/>
      <w:lvlText w:val="•"/>
      <w:lvlJc w:val="left"/>
      <w:pPr>
        <w:ind w:left="4500" w:hanging="363"/>
      </w:pPr>
      <w:rPr>
        <w:rFonts w:hint="default"/>
      </w:rPr>
    </w:lvl>
    <w:lvl w:ilvl="5">
      <w:start w:val="0"/>
      <w:numFmt w:val="bullet"/>
      <w:lvlText w:val="•"/>
      <w:lvlJc w:val="left"/>
      <w:pPr>
        <w:ind w:left="5340" w:hanging="363"/>
      </w:pPr>
      <w:rPr>
        <w:rFonts w:hint="default"/>
      </w:rPr>
    </w:lvl>
    <w:lvl w:ilvl="6">
      <w:start w:val="0"/>
      <w:numFmt w:val="bullet"/>
      <w:lvlText w:val="•"/>
      <w:lvlJc w:val="left"/>
      <w:pPr>
        <w:ind w:left="6180" w:hanging="363"/>
      </w:pPr>
      <w:rPr>
        <w:rFonts w:hint="default"/>
      </w:rPr>
    </w:lvl>
    <w:lvl w:ilvl="7">
      <w:start w:val="0"/>
      <w:numFmt w:val="bullet"/>
      <w:lvlText w:val="•"/>
      <w:lvlJc w:val="left"/>
      <w:pPr>
        <w:ind w:left="7020" w:hanging="363"/>
      </w:pPr>
      <w:rPr>
        <w:rFonts w:hint="default"/>
      </w:rPr>
    </w:lvl>
    <w:lvl w:ilvl="8">
      <w:start w:val="0"/>
      <w:numFmt w:val="bullet"/>
      <w:lvlText w:val="•"/>
      <w:lvlJc w:val="left"/>
      <w:pPr>
        <w:ind w:left="7860" w:hanging="363"/>
      </w:pPr>
      <w:rPr>
        <w:rFonts w:hint="default"/>
      </w:rPr>
    </w:lvl>
  </w:abstractNum>
  <w:abstractNum w:abstractNumId="29">
    <w:multiLevelType w:val="hybridMultilevel"/>
    <w:lvl w:ilvl="0">
      <w:start w:val="0"/>
      <w:numFmt w:val="bullet"/>
      <w:lvlText w:val=""/>
      <w:lvlJc w:val="left"/>
      <w:pPr>
        <w:ind w:left="1131" w:hanging="363"/>
      </w:pPr>
      <w:rPr>
        <w:rFonts w:hint="default" w:ascii="Symbol" w:hAnsi="Symbol" w:eastAsia="Symbol" w:cs="Symbol"/>
        <w:b w:val="0"/>
        <w:bCs w:val="0"/>
        <w:i w:val="0"/>
        <w:iCs w:val="0"/>
        <w:w w:val="100"/>
        <w:sz w:val="24"/>
        <w:szCs w:val="24"/>
      </w:rPr>
    </w:lvl>
    <w:lvl w:ilvl="1">
      <w:start w:val="0"/>
      <w:numFmt w:val="bullet"/>
      <w:lvlText w:val="•"/>
      <w:lvlJc w:val="left"/>
      <w:pPr>
        <w:ind w:left="1980" w:hanging="363"/>
      </w:pPr>
      <w:rPr>
        <w:rFonts w:hint="default"/>
      </w:rPr>
    </w:lvl>
    <w:lvl w:ilvl="2">
      <w:start w:val="0"/>
      <w:numFmt w:val="bullet"/>
      <w:lvlText w:val="•"/>
      <w:lvlJc w:val="left"/>
      <w:pPr>
        <w:ind w:left="2820" w:hanging="363"/>
      </w:pPr>
      <w:rPr>
        <w:rFonts w:hint="default"/>
      </w:rPr>
    </w:lvl>
    <w:lvl w:ilvl="3">
      <w:start w:val="0"/>
      <w:numFmt w:val="bullet"/>
      <w:lvlText w:val="•"/>
      <w:lvlJc w:val="left"/>
      <w:pPr>
        <w:ind w:left="3660" w:hanging="363"/>
      </w:pPr>
      <w:rPr>
        <w:rFonts w:hint="default"/>
      </w:rPr>
    </w:lvl>
    <w:lvl w:ilvl="4">
      <w:start w:val="0"/>
      <w:numFmt w:val="bullet"/>
      <w:lvlText w:val="•"/>
      <w:lvlJc w:val="left"/>
      <w:pPr>
        <w:ind w:left="4500" w:hanging="363"/>
      </w:pPr>
      <w:rPr>
        <w:rFonts w:hint="default"/>
      </w:rPr>
    </w:lvl>
    <w:lvl w:ilvl="5">
      <w:start w:val="0"/>
      <w:numFmt w:val="bullet"/>
      <w:lvlText w:val="•"/>
      <w:lvlJc w:val="left"/>
      <w:pPr>
        <w:ind w:left="5340" w:hanging="363"/>
      </w:pPr>
      <w:rPr>
        <w:rFonts w:hint="default"/>
      </w:rPr>
    </w:lvl>
    <w:lvl w:ilvl="6">
      <w:start w:val="0"/>
      <w:numFmt w:val="bullet"/>
      <w:lvlText w:val="•"/>
      <w:lvlJc w:val="left"/>
      <w:pPr>
        <w:ind w:left="6180" w:hanging="363"/>
      </w:pPr>
      <w:rPr>
        <w:rFonts w:hint="default"/>
      </w:rPr>
    </w:lvl>
    <w:lvl w:ilvl="7">
      <w:start w:val="0"/>
      <w:numFmt w:val="bullet"/>
      <w:lvlText w:val="•"/>
      <w:lvlJc w:val="left"/>
      <w:pPr>
        <w:ind w:left="7020" w:hanging="363"/>
      </w:pPr>
      <w:rPr>
        <w:rFonts w:hint="default"/>
      </w:rPr>
    </w:lvl>
    <w:lvl w:ilvl="8">
      <w:start w:val="0"/>
      <w:numFmt w:val="bullet"/>
      <w:lvlText w:val="•"/>
      <w:lvlJc w:val="left"/>
      <w:pPr>
        <w:ind w:left="7860" w:hanging="363"/>
      </w:pPr>
      <w:rPr>
        <w:rFonts w:hint="default"/>
      </w:rPr>
    </w:lvl>
  </w:abstractNum>
  <w:abstractNum w:abstractNumId="28">
    <w:multiLevelType w:val="hybridMultilevel"/>
    <w:lvl w:ilvl="0">
      <w:start w:val="1"/>
      <w:numFmt w:val="decimal"/>
      <w:lvlText w:val="%1."/>
      <w:lvlJc w:val="left"/>
      <w:pPr>
        <w:ind w:left="1137" w:hanging="360"/>
        <w:jc w:val="left"/>
      </w:pPr>
      <w:rPr>
        <w:rFonts w:hint="default" w:ascii="Arial" w:hAnsi="Arial" w:eastAsia="Arial" w:cs="Arial"/>
        <w:b w:val="0"/>
        <w:bCs w:val="0"/>
        <w:i/>
        <w:iCs/>
        <w:w w:val="100"/>
        <w:sz w:val="24"/>
        <w:szCs w:val="24"/>
      </w:rPr>
    </w:lvl>
    <w:lvl w:ilvl="1">
      <w:start w:val="0"/>
      <w:numFmt w:val="bullet"/>
      <w:lvlText w:val="•"/>
      <w:lvlJc w:val="left"/>
      <w:pPr>
        <w:ind w:left="1980" w:hanging="360"/>
      </w:pPr>
      <w:rPr>
        <w:rFonts w:hint="default"/>
      </w:rPr>
    </w:lvl>
    <w:lvl w:ilvl="2">
      <w:start w:val="0"/>
      <w:numFmt w:val="bullet"/>
      <w:lvlText w:val="•"/>
      <w:lvlJc w:val="left"/>
      <w:pPr>
        <w:ind w:left="2820" w:hanging="360"/>
      </w:pPr>
      <w:rPr>
        <w:rFonts w:hint="default"/>
      </w:rPr>
    </w:lvl>
    <w:lvl w:ilvl="3">
      <w:start w:val="0"/>
      <w:numFmt w:val="bullet"/>
      <w:lvlText w:val="•"/>
      <w:lvlJc w:val="left"/>
      <w:pPr>
        <w:ind w:left="3660" w:hanging="360"/>
      </w:pPr>
      <w:rPr>
        <w:rFonts w:hint="default"/>
      </w:rPr>
    </w:lvl>
    <w:lvl w:ilvl="4">
      <w:start w:val="0"/>
      <w:numFmt w:val="bullet"/>
      <w:lvlText w:val="•"/>
      <w:lvlJc w:val="left"/>
      <w:pPr>
        <w:ind w:left="4500" w:hanging="360"/>
      </w:pPr>
      <w:rPr>
        <w:rFonts w:hint="default"/>
      </w:rPr>
    </w:lvl>
    <w:lvl w:ilvl="5">
      <w:start w:val="0"/>
      <w:numFmt w:val="bullet"/>
      <w:lvlText w:val="•"/>
      <w:lvlJc w:val="left"/>
      <w:pPr>
        <w:ind w:left="5340" w:hanging="360"/>
      </w:pPr>
      <w:rPr>
        <w:rFonts w:hint="default"/>
      </w:rPr>
    </w:lvl>
    <w:lvl w:ilvl="6">
      <w:start w:val="0"/>
      <w:numFmt w:val="bullet"/>
      <w:lvlText w:val="•"/>
      <w:lvlJc w:val="left"/>
      <w:pPr>
        <w:ind w:left="6180" w:hanging="360"/>
      </w:pPr>
      <w:rPr>
        <w:rFonts w:hint="default"/>
      </w:rPr>
    </w:lvl>
    <w:lvl w:ilvl="7">
      <w:start w:val="0"/>
      <w:numFmt w:val="bullet"/>
      <w:lvlText w:val="•"/>
      <w:lvlJc w:val="left"/>
      <w:pPr>
        <w:ind w:left="7020" w:hanging="360"/>
      </w:pPr>
      <w:rPr>
        <w:rFonts w:hint="default"/>
      </w:rPr>
    </w:lvl>
    <w:lvl w:ilvl="8">
      <w:start w:val="0"/>
      <w:numFmt w:val="bullet"/>
      <w:lvlText w:val="•"/>
      <w:lvlJc w:val="left"/>
      <w:pPr>
        <w:ind w:left="7860" w:hanging="360"/>
      </w:pPr>
      <w:rPr>
        <w:rFonts w:hint="default"/>
      </w:rPr>
    </w:lvl>
  </w:abstractNum>
  <w:abstractNum w:abstractNumId="27">
    <w:multiLevelType w:val="hybridMultilevel"/>
    <w:lvl w:ilvl="0">
      <w:start w:val="8"/>
      <w:numFmt w:val="decimal"/>
      <w:lvlText w:val="%1"/>
      <w:lvlJc w:val="left"/>
      <w:pPr>
        <w:ind w:left="1137" w:hanging="720"/>
        <w:jc w:val="left"/>
      </w:pPr>
      <w:rPr>
        <w:rFonts w:hint="default"/>
      </w:rPr>
    </w:lvl>
    <w:lvl w:ilvl="1">
      <w:start w:val="5"/>
      <w:numFmt w:val="decimal"/>
      <w:lvlText w:val="%1.%2"/>
      <w:lvlJc w:val="left"/>
      <w:pPr>
        <w:ind w:left="1137" w:hanging="720"/>
        <w:jc w:val="left"/>
      </w:pPr>
      <w:rPr>
        <w:rFonts w:hint="default"/>
      </w:rPr>
    </w:lvl>
    <w:lvl w:ilvl="2">
      <w:start w:val="1"/>
      <w:numFmt w:val="decimal"/>
      <w:lvlText w:val="%1.%2.%3"/>
      <w:lvlJc w:val="left"/>
      <w:pPr>
        <w:ind w:left="1137" w:hanging="720"/>
        <w:jc w:val="left"/>
      </w:pPr>
      <w:rPr>
        <w:rFonts w:hint="default" w:ascii="Arial" w:hAnsi="Arial" w:eastAsia="Arial" w:cs="Arial"/>
        <w:b/>
        <w:bCs/>
        <w:i w:val="0"/>
        <w:iCs w:val="0"/>
        <w:spacing w:val="-1"/>
        <w:w w:val="100"/>
        <w:sz w:val="26"/>
        <w:szCs w:val="26"/>
      </w:rPr>
    </w:lvl>
    <w:lvl w:ilvl="3">
      <w:start w:val="0"/>
      <w:numFmt w:val="bullet"/>
      <w:lvlText w:val=""/>
      <w:lvlJc w:val="left"/>
      <w:pPr>
        <w:ind w:left="1131" w:hanging="363"/>
      </w:pPr>
      <w:rPr>
        <w:rFonts w:hint="default" w:ascii="Symbol" w:hAnsi="Symbol" w:eastAsia="Symbol" w:cs="Symbol"/>
        <w:b w:val="0"/>
        <w:bCs w:val="0"/>
        <w:i w:val="0"/>
        <w:iCs w:val="0"/>
        <w:w w:val="100"/>
        <w:sz w:val="24"/>
        <w:szCs w:val="24"/>
      </w:rPr>
    </w:lvl>
    <w:lvl w:ilvl="4">
      <w:start w:val="0"/>
      <w:numFmt w:val="bullet"/>
      <w:lvlText w:val="•"/>
      <w:lvlJc w:val="left"/>
      <w:pPr>
        <w:ind w:left="4500" w:hanging="363"/>
      </w:pPr>
      <w:rPr>
        <w:rFonts w:hint="default"/>
      </w:rPr>
    </w:lvl>
    <w:lvl w:ilvl="5">
      <w:start w:val="0"/>
      <w:numFmt w:val="bullet"/>
      <w:lvlText w:val="•"/>
      <w:lvlJc w:val="left"/>
      <w:pPr>
        <w:ind w:left="5340" w:hanging="363"/>
      </w:pPr>
      <w:rPr>
        <w:rFonts w:hint="default"/>
      </w:rPr>
    </w:lvl>
    <w:lvl w:ilvl="6">
      <w:start w:val="0"/>
      <w:numFmt w:val="bullet"/>
      <w:lvlText w:val="•"/>
      <w:lvlJc w:val="left"/>
      <w:pPr>
        <w:ind w:left="6180" w:hanging="363"/>
      </w:pPr>
      <w:rPr>
        <w:rFonts w:hint="default"/>
      </w:rPr>
    </w:lvl>
    <w:lvl w:ilvl="7">
      <w:start w:val="0"/>
      <w:numFmt w:val="bullet"/>
      <w:lvlText w:val="•"/>
      <w:lvlJc w:val="left"/>
      <w:pPr>
        <w:ind w:left="7020" w:hanging="363"/>
      </w:pPr>
      <w:rPr>
        <w:rFonts w:hint="default"/>
      </w:rPr>
    </w:lvl>
    <w:lvl w:ilvl="8">
      <w:start w:val="0"/>
      <w:numFmt w:val="bullet"/>
      <w:lvlText w:val="•"/>
      <w:lvlJc w:val="left"/>
      <w:pPr>
        <w:ind w:left="7860" w:hanging="363"/>
      </w:pPr>
      <w:rPr>
        <w:rFonts w:hint="default"/>
      </w:rPr>
    </w:lvl>
  </w:abstractNum>
  <w:abstractNum w:abstractNumId="26">
    <w:multiLevelType w:val="hybridMultilevel"/>
    <w:lvl w:ilvl="0">
      <w:start w:val="8"/>
      <w:numFmt w:val="decimal"/>
      <w:lvlText w:val="%1"/>
      <w:lvlJc w:val="left"/>
      <w:pPr>
        <w:ind w:left="1137" w:hanging="721"/>
        <w:jc w:val="left"/>
      </w:pPr>
      <w:rPr>
        <w:rFonts w:hint="default"/>
      </w:rPr>
    </w:lvl>
    <w:lvl w:ilvl="1">
      <w:start w:val="4"/>
      <w:numFmt w:val="decimal"/>
      <w:lvlText w:val="%1.%2"/>
      <w:lvlJc w:val="left"/>
      <w:pPr>
        <w:ind w:left="1137" w:hanging="721"/>
        <w:jc w:val="left"/>
      </w:pPr>
      <w:rPr>
        <w:rFonts w:hint="default"/>
      </w:rPr>
    </w:lvl>
    <w:lvl w:ilvl="2">
      <w:start w:val="1"/>
      <w:numFmt w:val="decimal"/>
      <w:lvlText w:val="%1.%2.%3"/>
      <w:lvlJc w:val="left"/>
      <w:pPr>
        <w:ind w:left="1137" w:hanging="721"/>
        <w:jc w:val="left"/>
      </w:pPr>
      <w:rPr>
        <w:rFonts w:hint="default" w:ascii="Arial" w:hAnsi="Arial" w:eastAsia="Arial" w:cs="Arial"/>
        <w:b/>
        <w:bCs/>
        <w:i w:val="0"/>
        <w:iCs w:val="0"/>
        <w:spacing w:val="-1"/>
        <w:w w:val="100"/>
        <w:sz w:val="26"/>
        <w:szCs w:val="26"/>
      </w:rPr>
    </w:lvl>
    <w:lvl w:ilvl="3">
      <w:start w:val="1"/>
      <w:numFmt w:val="lowerRoman"/>
      <w:lvlText w:val="(%4)"/>
      <w:lvlJc w:val="left"/>
      <w:pPr>
        <w:ind w:left="1857" w:hanging="720"/>
        <w:jc w:val="left"/>
      </w:pPr>
      <w:rPr>
        <w:rFonts w:hint="default" w:ascii="Arial" w:hAnsi="Arial" w:eastAsia="Arial" w:cs="Arial"/>
        <w:b w:val="0"/>
        <w:bCs w:val="0"/>
        <w:i w:val="0"/>
        <w:iCs w:val="0"/>
        <w:spacing w:val="-1"/>
        <w:w w:val="99"/>
        <w:sz w:val="24"/>
        <w:szCs w:val="24"/>
      </w:rPr>
    </w:lvl>
    <w:lvl w:ilvl="4">
      <w:start w:val="0"/>
      <w:numFmt w:val="bullet"/>
      <w:lvlText w:val="•"/>
      <w:lvlJc w:val="left"/>
      <w:pPr>
        <w:ind w:left="4420" w:hanging="720"/>
      </w:pPr>
      <w:rPr>
        <w:rFonts w:hint="default"/>
      </w:rPr>
    </w:lvl>
    <w:lvl w:ilvl="5">
      <w:start w:val="0"/>
      <w:numFmt w:val="bullet"/>
      <w:lvlText w:val="•"/>
      <w:lvlJc w:val="left"/>
      <w:pPr>
        <w:ind w:left="5273" w:hanging="720"/>
      </w:pPr>
      <w:rPr>
        <w:rFonts w:hint="default"/>
      </w:rPr>
    </w:lvl>
    <w:lvl w:ilvl="6">
      <w:start w:val="0"/>
      <w:numFmt w:val="bullet"/>
      <w:lvlText w:val="•"/>
      <w:lvlJc w:val="left"/>
      <w:pPr>
        <w:ind w:left="6126" w:hanging="720"/>
      </w:pPr>
      <w:rPr>
        <w:rFonts w:hint="default"/>
      </w:rPr>
    </w:lvl>
    <w:lvl w:ilvl="7">
      <w:start w:val="0"/>
      <w:numFmt w:val="bullet"/>
      <w:lvlText w:val="•"/>
      <w:lvlJc w:val="left"/>
      <w:pPr>
        <w:ind w:left="6980" w:hanging="720"/>
      </w:pPr>
      <w:rPr>
        <w:rFonts w:hint="default"/>
      </w:rPr>
    </w:lvl>
    <w:lvl w:ilvl="8">
      <w:start w:val="0"/>
      <w:numFmt w:val="bullet"/>
      <w:lvlText w:val="•"/>
      <w:lvlJc w:val="left"/>
      <w:pPr>
        <w:ind w:left="7833" w:hanging="720"/>
      </w:pPr>
      <w:rPr>
        <w:rFonts w:hint="default"/>
      </w:rPr>
    </w:lvl>
  </w:abstractNum>
  <w:abstractNum w:abstractNumId="25">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24">
    <w:multiLevelType w:val="hybridMultilevel"/>
    <w:lvl w:ilvl="0">
      <w:start w:val="8"/>
      <w:numFmt w:val="decimal"/>
      <w:lvlText w:val="%1"/>
      <w:lvlJc w:val="left"/>
      <w:pPr>
        <w:ind w:left="957" w:hanging="721"/>
        <w:jc w:val="right"/>
      </w:pPr>
      <w:rPr>
        <w:rFonts w:hint="default" w:ascii="Arial" w:hAnsi="Arial" w:eastAsia="Arial" w:cs="Arial"/>
        <w:b/>
        <w:bCs/>
        <w:i w:val="0"/>
        <w:iCs w:val="0"/>
        <w:w w:val="100"/>
        <w:sz w:val="32"/>
        <w:szCs w:val="32"/>
      </w:rPr>
    </w:lvl>
    <w:lvl w:ilvl="1">
      <w:start w:val="1"/>
      <w:numFmt w:val="decimal"/>
      <w:lvlText w:val="%1.%2"/>
      <w:lvlJc w:val="left"/>
      <w:pPr>
        <w:ind w:left="957" w:hanging="721"/>
        <w:jc w:val="right"/>
      </w:pPr>
      <w:rPr>
        <w:rFonts w:hint="default" w:ascii="Arial" w:hAnsi="Arial" w:eastAsia="Arial" w:cs="Arial"/>
        <w:b/>
        <w:bCs/>
        <w:i/>
        <w:iCs/>
        <w:w w:val="99"/>
        <w:sz w:val="28"/>
        <w:szCs w:val="28"/>
      </w:rPr>
    </w:lvl>
    <w:lvl w:ilvl="2">
      <w:start w:val="0"/>
      <w:numFmt w:val="bullet"/>
      <w:lvlText w:val=""/>
      <w:lvlJc w:val="left"/>
      <w:pPr>
        <w:ind w:left="840" w:hanging="361"/>
      </w:pPr>
      <w:rPr>
        <w:rFonts w:hint="default" w:ascii="Symbol" w:hAnsi="Symbol" w:eastAsia="Symbol" w:cs="Symbol"/>
        <w:b w:val="0"/>
        <w:bCs w:val="0"/>
        <w:i w:val="0"/>
        <w:iCs w:val="0"/>
        <w:w w:val="100"/>
        <w:sz w:val="24"/>
        <w:szCs w:val="24"/>
      </w:rPr>
    </w:lvl>
    <w:lvl w:ilvl="3">
      <w:start w:val="0"/>
      <w:numFmt w:val="bullet"/>
      <w:lvlText w:val="•"/>
      <w:lvlJc w:val="left"/>
      <w:pPr>
        <w:ind w:left="1140" w:hanging="361"/>
      </w:pPr>
      <w:rPr>
        <w:rFonts w:hint="default"/>
      </w:rPr>
    </w:lvl>
    <w:lvl w:ilvl="4">
      <w:start w:val="0"/>
      <w:numFmt w:val="bullet"/>
      <w:lvlText w:val="•"/>
      <w:lvlJc w:val="left"/>
      <w:pPr>
        <w:ind w:left="2288" w:hanging="361"/>
      </w:pPr>
      <w:rPr>
        <w:rFonts w:hint="default"/>
      </w:rPr>
    </w:lvl>
    <w:lvl w:ilvl="5">
      <w:start w:val="0"/>
      <w:numFmt w:val="bullet"/>
      <w:lvlText w:val="•"/>
      <w:lvlJc w:val="left"/>
      <w:pPr>
        <w:ind w:left="3437" w:hanging="361"/>
      </w:pPr>
      <w:rPr>
        <w:rFonts w:hint="default"/>
      </w:rPr>
    </w:lvl>
    <w:lvl w:ilvl="6">
      <w:start w:val="0"/>
      <w:numFmt w:val="bullet"/>
      <w:lvlText w:val="•"/>
      <w:lvlJc w:val="left"/>
      <w:pPr>
        <w:ind w:left="4585" w:hanging="361"/>
      </w:pPr>
      <w:rPr>
        <w:rFonts w:hint="default"/>
      </w:rPr>
    </w:lvl>
    <w:lvl w:ilvl="7">
      <w:start w:val="0"/>
      <w:numFmt w:val="bullet"/>
      <w:lvlText w:val="•"/>
      <w:lvlJc w:val="left"/>
      <w:pPr>
        <w:ind w:left="5734" w:hanging="361"/>
      </w:pPr>
      <w:rPr>
        <w:rFonts w:hint="default"/>
      </w:rPr>
    </w:lvl>
    <w:lvl w:ilvl="8">
      <w:start w:val="0"/>
      <w:numFmt w:val="bullet"/>
      <w:lvlText w:val="•"/>
      <w:lvlJc w:val="left"/>
      <w:pPr>
        <w:ind w:left="6882" w:hanging="361"/>
      </w:pPr>
      <w:rPr>
        <w:rFonts w:hint="default"/>
      </w:rPr>
    </w:lvl>
  </w:abstractNum>
  <w:abstractNum w:abstractNumId="23">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22">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21">
    <w:multiLevelType w:val="hybridMultilevel"/>
    <w:lvl w:ilvl="0">
      <w:start w:val="7"/>
      <w:numFmt w:val="decimal"/>
      <w:lvlText w:val="%1"/>
      <w:lvlJc w:val="left"/>
      <w:pPr>
        <w:ind w:left="957" w:hanging="721"/>
        <w:jc w:val="left"/>
      </w:pPr>
      <w:rPr>
        <w:rFonts w:hint="default"/>
      </w:rPr>
    </w:lvl>
    <w:lvl w:ilvl="1">
      <w:start w:val="6"/>
      <w:numFmt w:val="decimal"/>
      <w:lvlText w:val="%1.%2"/>
      <w:lvlJc w:val="left"/>
      <w:pPr>
        <w:ind w:left="957" w:hanging="721"/>
        <w:jc w:val="left"/>
      </w:pPr>
      <w:rPr>
        <w:rFonts w:hint="default"/>
      </w:rPr>
    </w:lvl>
    <w:lvl w:ilvl="2">
      <w:start w:val="2"/>
      <w:numFmt w:val="decimal"/>
      <w:lvlText w:val="%1.%2.%3"/>
      <w:lvlJc w:val="left"/>
      <w:pPr>
        <w:ind w:left="957" w:hanging="721"/>
        <w:jc w:val="left"/>
      </w:pPr>
      <w:rPr>
        <w:rFonts w:hint="default" w:ascii="Arial" w:hAnsi="Arial" w:eastAsia="Arial" w:cs="Arial"/>
        <w:b/>
        <w:bCs/>
        <w:i w:val="0"/>
        <w:iCs w:val="0"/>
        <w:spacing w:val="-1"/>
        <w:w w:val="100"/>
        <w:sz w:val="26"/>
        <w:szCs w:val="26"/>
      </w:rPr>
    </w:lvl>
    <w:lvl w:ilvl="3">
      <w:start w:val="0"/>
      <w:numFmt w:val="bullet"/>
      <w:lvlText w:val="•"/>
      <w:lvlJc w:val="left"/>
      <w:pPr>
        <w:ind w:left="3426" w:hanging="721"/>
      </w:pPr>
      <w:rPr>
        <w:rFonts w:hint="default"/>
      </w:rPr>
    </w:lvl>
    <w:lvl w:ilvl="4">
      <w:start w:val="0"/>
      <w:numFmt w:val="bullet"/>
      <w:lvlText w:val="•"/>
      <w:lvlJc w:val="left"/>
      <w:pPr>
        <w:ind w:left="4248" w:hanging="721"/>
      </w:pPr>
      <w:rPr>
        <w:rFonts w:hint="default"/>
      </w:rPr>
    </w:lvl>
    <w:lvl w:ilvl="5">
      <w:start w:val="0"/>
      <w:numFmt w:val="bullet"/>
      <w:lvlText w:val="•"/>
      <w:lvlJc w:val="left"/>
      <w:pPr>
        <w:ind w:left="5070" w:hanging="721"/>
      </w:pPr>
      <w:rPr>
        <w:rFonts w:hint="default"/>
      </w:rPr>
    </w:lvl>
    <w:lvl w:ilvl="6">
      <w:start w:val="0"/>
      <w:numFmt w:val="bullet"/>
      <w:lvlText w:val="•"/>
      <w:lvlJc w:val="left"/>
      <w:pPr>
        <w:ind w:left="5892" w:hanging="721"/>
      </w:pPr>
      <w:rPr>
        <w:rFonts w:hint="default"/>
      </w:rPr>
    </w:lvl>
    <w:lvl w:ilvl="7">
      <w:start w:val="0"/>
      <w:numFmt w:val="bullet"/>
      <w:lvlText w:val="•"/>
      <w:lvlJc w:val="left"/>
      <w:pPr>
        <w:ind w:left="6714" w:hanging="721"/>
      </w:pPr>
      <w:rPr>
        <w:rFonts w:hint="default"/>
      </w:rPr>
    </w:lvl>
    <w:lvl w:ilvl="8">
      <w:start w:val="0"/>
      <w:numFmt w:val="bullet"/>
      <w:lvlText w:val="•"/>
      <w:lvlJc w:val="left"/>
      <w:pPr>
        <w:ind w:left="7536" w:hanging="721"/>
      </w:pPr>
      <w:rPr>
        <w:rFonts w:hint="default"/>
      </w:rPr>
    </w:lvl>
  </w:abstractNum>
  <w:abstractNum w:abstractNumId="20">
    <w:multiLevelType w:val="hybridMultilevel"/>
    <w:lvl w:ilvl="0">
      <w:start w:val="0"/>
      <w:numFmt w:val="bullet"/>
      <w:lvlText w:val="–"/>
      <w:lvlJc w:val="left"/>
      <w:pPr>
        <w:ind w:left="237" w:hanging="205"/>
      </w:pPr>
      <w:rPr>
        <w:rFonts w:hint="default" w:ascii="Arial" w:hAnsi="Arial" w:eastAsia="Arial" w:cs="Arial"/>
        <w:b w:val="0"/>
        <w:bCs w:val="0"/>
        <w:i w:val="0"/>
        <w:iCs w:val="0"/>
        <w:w w:val="99"/>
        <w:sz w:val="24"/>
        <w:szCs w:val="24"/>
      </w:rPr>
    </w:lvl>
    <w:lvl w:ilvl="1">
      <w:start w:val="0"/>
      <w:numFmt w:val="bullet"/>
      <w:lvlText w:val=""/>
      <w:lvlJc w:val="left"/>
      <w:pPr>
        <w:ind w:left="951" w:hanging="363"/>
      </w:pPr>
      <w:rPr>
        <w:rFonts w:hint="default" w:ascii="Symbol" w:hAnsi="Symbol" w:eastAsia="Symbol" w:cs="Symbol"/>
        <w:b w:val="0"/>
        <w:bCs w:val="0"/>
        <w:i w:val="0"/>
        <w:iCs w:val="0"/>
        <w:w w:val="100"/>
        <w:sz w:val="24"/>
        <w:szCs w:val="24"/>
      </w:rPr>
    </w:lvl>
    <w:lvl w:ilvl="2">
      <w:start w:val="0"/>
      <w:numFmt w:val="bullet"/>
      <w:lvlText w:val="•"/>
      <w:lvlJc w:val="left"/>
      <w:pPr>
        <w:ind w:left="1873" w:hanging="363"/>
      </w:pPr>
      <w:rPr>
        <w:rFonts w:hint="default"/>
      </w:rPr>
    </w:lvl>
    <w:lvl w:ilvl="3">
      <w:start w:val="0"/>
      <w:numFmt w:val="bullet"/>
      <w:lvlText w:val="•"/>
      <w:lvlJc w:val="left"/>
      <w:pPr>
        <w:ind w:left="2786" w:hanging="363"/>
      </w:pPr>
      <w:rPr>
        <w:rFonts w:hint="default"/>
      </w:rPr>
    </w:lvl>
    <w:lvl w:ilvl="4">
      <w:start w:val="0"/>
      <w:numFmt w:val="bullet"/>
      <w:lvlText w:val="•"/>
      <w:lvlJc w:val="left"/>
      <w:pPr>
        <w:ind w:left="3700" w:hanging="363"/>
      </w:pPr>
      <w:rPr>
        <w:rFonts w:hint="default"/>
      </w:rPr>
    </w:lvl>
    <w:lvl w:ilvl="5">
      <w:start w:val="0"/>
      <w:numFmt w:val="bullet"/>
      <w:lvlText w:val="•"/>
      <w:lvlJc w:val="left"/>
      <w:pPr>
        <w:ind w:left="4613" w:hanging="363"/>
      </w:pPr>
      <w:rPr>
        <w:rFonts w:hint="default"/>
      </w:rPr>
    </w:lvl>
    <w:lvl w:ilvl="6">
      <w:start w:val="0"/>
      <w:numFmt w:val="bullet"/>
      <w:lvlText w:val="•"/>
      <w:lvlJc w:val="left"/>
      <w:pPr>
        <w:ind w:left="5526" w:hanging="363"/>
      </w:pPr>
      <w:rPr>
        <w:rFonts w:hint="default"/>
      </w:rPr>
    </w:lvl>
    <w:lvl w:ilvl="7">
      <w:start w:val="0"/>
      <w:numFmt w:val="bullet"/>
      <w:lvlText w:val="•"/>
      <w:lvlJc w:val="left"/>
      <w:pPr>
        <w:ind w:left="6440" w:hanging="363"/>
      </w:pPr>
      <w:rPr>
        <w:rFonts w:hint="default"/>
      </w:rPr>
    </w:lvl>
    <w:lvl w:ilvl="8">
      <w:start w:val="0"/>
      <w:numFmt w:val="bullet"/>
      <w:lvlText w:val="•"/>
      <w:lvlJc w:val="left"/>
      <w:pPr>
        <w:ind w:left="7353" w:hanging="363"/>
      </w:pPr>
      <w:rPr>
        <w:rFonts w:hint="default"/>
      </w:rPr>
    </w:lvl>
  </w:abstractNum>
  <w:abstractNum w:abstractNumId="19">
    <w:multiLevelType w:val="hybridMultilevel"/>
    <w:lvl w:ilvl="0">
      <w:start w:val="7"/>
      <w:numFmt w:val="decimal"/>
      <w:lvlText w:val="%1"/>
      <w:lvlJc w:val="left"/>
      <w:pPr>
        <w:ind w:left="957" w:hanging="721"/>
        <w:jc w:val="left"/>
      </w:pPr>
      <w:rPr>
        <w:rFonts w:hint="default"/>
      </w:rPr>
    </w:lvl>
    <w:lvl w:ilvl="1">
      <w:start w:val="6"/>
      <w:numFmt w:val="decimal"/>
      <w:lvlText w:val="%1.%2"/>
      <w:lvlJc w:val="left"/>
      <w:pPr>
        <w:ind w:left="957" w:hanging="721"/>
        <w:jc w:val="left"/>
      </w:pPr>
      <w:rPr>
        <w:rFonts w:hint="default"/>
      </w:rPr>
    </w:lvl>
    <w:lvl w:ilvl="2">
      <w:start w:val="1"/>
      <w:numFmt w:val="decimal"/>
      <w:lvlText w:val="%1.%2.%3"/>
      <w:lvlJc w:val="left"/>
      <w:pPr>
        <w:ind w:left="957" w:hanging="721"/>
        <w:jc w:val="left"/>
      </w:pPr>
      <w:rPr>
        <w:rFonts w:hint="default" w:ascii="Arial" w:hAnsi="Arial" w:eastAsia="Arial" w:cs="Arial"/>
        <w:b/>
        <w:bCs/>
        <w:i w:val="0"/>
        <w:iCs w:val="0"/>
        <w:spacing w:val="-1"/>
        <w:w w:val="100"/>
        <w:sz w:val="26"/>
        <w:szCs w:val="26"/>
      </w:rPr>
    </w:lvl>
    <w:lvl w:ilvl="3">
      <w:start w:val="0"/>
      <w:numFmt w:val="bullet"/>
      <w:lvlText w:val=""/>
      <w:lvlJc w:val="left"/>
      <w:pPr>
        <w:ind w:left="951" w:hanging="363"/>
      </w:pPr>
      <w:rPr>
        <w:rFonts w:hint="default" w:ascii="Symbol" w:hAnsi="Symbol" w:eastAsia="Symbol" w:cs="Symbol"/>
        <w:b w:val="0"/>
        <w:bCs w:val="0"/>
        <w:i w:val="0"/>
        <w:iCs w:val="0"/>
        <w:w w:val="100"/>
        <w:sz w:val="24"/>
        <w:szCs w:val="24"/>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17">
    <w:multiLevelType w:val="hybridMultilevel"/>
    <w:lvl w:ilvl="0">
      <w:start w:val="7"/>
      <w:numFmt w:val="decimal"/>
      <w:lvlText w:val="%1"/>
      <w:lvlJc w:val="left"/>
      <w:pPr>
        <w:ind w:left="957" w:hanging="721"/>
        <w:jc w:val="left"/>
      </w:pPr>
      <w:rPr>
        <w:rFonts w:hint="default"/>
      </w:rPr>
    </w:lvl>
    <w:lvl w:ilvl="1">
      <w:start w:val="5"/>
      <w:numFmt w:val="decimal"/>
      <w:lvlText w:val="%1.%2"/>
      <w:lvlJc w:val="left"/>
      <w:pPr>
        <w:ind w:left="957" w:hanging="721"/>
        <w:jc w:val="left"/>
      </w:pPr>
      <w:rPr>
        <w:rFonts w:hint="default"/>
      </w:rPr>
    </w:lvl>
    <w:lvl w:ilvl="2">
      <w:start w:val="1"/>
      <w:numFmt w:val="decimal"/>
      <w:lvlText w:val="%1.%2.%3"/>
      <w:lvlJc w:val="left"/>
      <w:pPr>
        <w:ind w:left="957" w:hanging="721"/>
        <w:jc w:val="left"/>
      </w:pPr>
      <w:rPr>
        <w:rFonts w:hint="default" w:ascii="Arial" w:hAnsi="Arial" w:eastAsia="Arial" w:cs="Arial"/>
        <w:b/>
        <w:bCs/>
        <w:i w:val="0"/>
        <w:iCs w:val="0"/>
        <w:spacing w:val="-1"/>
        <w:w w:val="100"/>
        <w:sz w:val="26"/>
        <w:szCs w:val="26"/>
      </w:rPr>
    </w:lvl>
    <w:lvl w:ilvl="3">
      <w:start w:val="0"/>
      <w:numFmt w:val="bullet"/>
      <w:lvlText w:val="•"/>
      <w:lvlJc w:val="left"/>
      <w:pPr>
        <w:ind w:left="3426" w:hanging="721"/>
      </w:pPr>
      <w:rPr>
        <w:rFonts w:hint="default"/>
      </w:rPr>
    </w:lvl>
    <w:lvl w:ilvl="4">
      <w:start w:val="0"/>
      <w:numFmt w:val="bullet"/>
      <w:lvlText w:val="•"/>
      <w:lvlJc w:val="left"/>
      <w:pPr>
        <w:ind w:left="4248" w:hanging="721"/>
      </w:pPr>
      <w:rPr>
        <w:rFonts w:hint="default"/>
      </w:rPr>
    </w:lvl>
    <w:lvl w:ilvl="5">
      <w:start w:val="0"/>
      <w:numFmt w:val="bullet"/>
      <w:lvlText w:val="•"/>
      <w:lvlJc w:val="left"/>
      <w:pPr>
        <w:ind w:left="5070" w:hanging="721"/>
      </w:pPr>
      <w:rPr>
        <w:rFonts w:hint="default"/>
      </w:rPr>
    </w:lvl>
    <w:lvl w:ilvl="6">
      <w:start w:val="0"/>
      <w:numFmt w:val="bullet"/>
      <w:lvlText w:val="•"/>
      <w:lvlJc w:val="left"/>
      <w:pPr>
        <w:ind w:left="5892" w:hanging="721"/>
      </w:pPr>
      <w:rPr>
        <w:rFonts w:hint="default"/>
      </w:rPr>
    </w:lvl>
    <w:lvl w:ilvl="7">
      <w:start w:val="0"/>
      <w:numFmt w:val="bullet"/>
      <w:lvlText w:val="•"/>
      <w:lvlJc w:val="left"/>
      <w:pPr>
        <w:ind w:left="6714" w:hanging="721"/>
      </w:pPr>
      <w:rPr>
        <w:rFonts w:hint="default"/>
      </w:rPr>
    </w:lvl>
    <w:lvl w:ilvl="8">
      <w:start w:val="0"/>
      <w:numFmt w:val="bullet"/>
      <w:lvlText w:val="•"/>
      <w:lvlJc w:val="left"/>
      <w:pPr>
        <w:ind w:left="7536" w:hanging="721"/>
      </w:pPr>
      <w:rPr>
        <w:rFonts w:hint="default"/>
      </w:rPr>
    </w:lvl>
  </w:abstractNum>
  <w:abstractNum w:abstractNumId="16">
    <w:multiLevelType w:val="hybridMultilevel"/>
    <w:lvl w:ilvl="0">
      <w:start w:val="0"/>
      <w:numFmt w:val="bullet"/>
      <w:lvlText w:val=""/>
      <w:lvlJc w:val="left"/>
      <w:pPr>
        <w:ind w:left="597" w:hanging="360"/>
      </w:pPr>
      <w:rPr>
        <w:rFonts w:hint="default" w:ascii="Symbol" w:hAnsi="Symbol" w:eastAsia="Symbol" w:cs="Symbol"/>
        <w:b w:val="0"/>
        <w:bCs w:val="0"/>
        <w:i w:val="0"/>
        <w:iCs w:val="0"/>
        <w:w w:val="100"/>
        <w:sz w:val="24"/>
        <w:szCs w:val="24"/>
      </w:rPr>
    </w:lvl>
    <w:lvl w:ilvl="1">
      <w:start w:val="0"/>
      <w:numFmt w:val="bullet"/>
      <w:lvlText w:val=""/>
      <w:lvlJc w:val="left"/>
      <w:pPr>
        <w:ind w:left="1017" w:hanging="360"/>
      </w:pPr>
      <w:rPr>
        <w:rFonts w:hint="default" w:ascii="Symbol" w:hAnsi="Symbol" w:eastAsia="Symbol" w:cs="Symbol"/>
        <w:b w:val="0"/>
        <w:bCs w:val="0"/>
        <w:i w:val="0"/>
        <w:iCs w:val="0"/>
        <w:w w:val="100"/>
        <w:sz w:val="24"/>
        <w:szCs w:val="24"/>
      </w:rPr>
    </w:lvl>
    <w:lvl w:ilvl="2">
      <w:start w:val="0"/>
      <w:numFmt w:val="bullet"/>
      <w:lvlText w:val="•"/>
      <w:lvlJc w:val="left"/>
      <w:pPr>
        <w:ind w:left="1926" w:hanging="360"/>
      </w:pPr>
      <w:rPr>
        <w:rFonts w:hint="default"/>
      </w:rPr>
    </w:lvl>
    <w:lvl w:ilvl="3">
      <w:start w:val="0"/>
      <w:numFmt w:val="bullet"/>
      <w:lvlText w:val="•"/>
      <w:lvlJc w:val="left"/>
      <w:pPr>
        <w:ind w:left="2833" w:hanging="360"/>
      </w:pPr>
      <w:rPr>
        <w:rFonts w:hint="default"/>
      </w:rPr>
    </w:lvl>
    <w:lvl w:ilvl="4">
      <w:start w:val="0"/>
      <w:numFmt w:val="bullet"/>
      <w:lvlText w:val="•"/>
      <w:lvlJc w:val="left"/>
      <w:pPr>
        <w:ind w:left="3740" w:hanging="360"/>
      </w:pPr>
      <w:rPr>
        <w:rFonts w:hint="default"/>
      </w:rPr>
    </w:lvl>
    <w:lvl w:ilvl="5">
      <w:start w:val="0"/>
      <w:numFmt w:val="bullet"/>
      <w:lvlText w:val="•"/>
      <w:lvlJc w:val="left"/>
      <w:pPr>
        <w:ind w:left="4646" w:hanging="360"/>
      </w:pPr>
      <w:rPr>
        <w:rFonts w:hint="default"/>
      </w:rPr>
    </w:lvl>
    <w:lvl w:ilvl="6">
      <w:start w:val="0"/>
      <w:numFmt w:val="bullet"/>
      <w:lvlText w:val="•"/>
      <w:lvlJc w:val="left"/>
      <w:pPr>
        <w:ind w:left="5553" w:hanging="360"/>
      </w:pPr>
      <w:rPr>
        <w:rFonts w:hint="default"/>
      </w:rPr>
    </w:lvl>
    <w:lvl w:ilvl="7">
      <w:start w:val="0"/>
      <w:numFmt w:val="bullet"/>
      <w:lvlText w:val="•"/>
      <w:lvlJc w:val="left"/>
      <w:pPr>
        <w:ind w:left="6460" w:hanging="360"/>
      </w:pPr>
      <w:rPr>
        <w:rFonts w:hint="default"/>
      </w:rPr>
    </w:lvl>
    <w:lvl w:ilvl="8">
      <w:start w:val="0"/>
      <w:numFmt w:val="bullet"/>
      <w:lvlText w:val="•"/>
      <w:lvlJc w:val="left"/>
      <w:pPr>
        <w:ind w:left="7366" w:hanging="360"/>
      </w:pPr>
      <w:rPr>
        <w:rFonts w:hint="default"/>
      </w:rPr>
    </w:lvl>
  </w:abstractNum>
  <w:abstractNum w:abstractNumId="15">
    <w:multiLevelType w:val="hybridMultilevel"/>
    <w:lvl w:ilvl="0">
      <w:start w:val="0"/>
      <w:numFmt w:val="bullet"/>
      <w:lvlText w:val=""/>
      <w:lvlJc w:val="left"/>
      <w:pPr>
        <w:ind w:left="957" w:hanging="361"/>
      </w:pPr>
      <w:rPr>
        <w:rFonts w:hint="default" w:ascii="Symbol" w:hAnsi="Symbol" w:eastAsia="Symbol" w:cs="Symbol"/>
        <w:b w:val="0"/>
        <w:bCs w:val="0"/>
        <w:i w:val="0"/>
        <w:iCs w:val="0"/>
        <w:w w:val="100"/>
        <w:sz w:val="24"/>
        <w:szCs w:val="24"/>
      </w:rPr>
    </w:lvl>
    <w:lvl w:ilvl="1">
      <w:start w:val="0"/>
      <w:numFmt w:val="bullet"/>
      <w:lvlText w:val="•"/>
      <w:lvlJc w:val="left"/>
      <w:pPr>
        <w:ind w:left="1782" w:hanging="361"/>
      </w:pPr>
      <w:rPr>
        <w:rFonts w:hint="default"/>
      </w:rPr>
    </w:lvl>
    <w:lvl w:ilvl="2">
      <w:start w:val="0"/>
      <w:numFmt w:val="bullet"/>
      <w:lvlText w:val="•"/>
      <w:lvlJc w:val="left"/>
      <w:pPr>
        <w:ind w:left="2604" w:hanging="361"/>
      </w:pPr>
      <w:rPr>
        <w:rFonts w:hint="default"/>
      </w:rPr>
    </w:lvl>
    <w:lvl w:ilvl="3">
      <w:start w:val="0"/>
      <w:numFmt w:val="bullet"/>
      <w:lvlText w:val="•"/>
      <w:lvlJc w:val="left"/>
      <w:pPr>
        <w:ind w:left="3426" w:hanging="361"/>
      </w:pPr>
      <w:rPr>
        <w:rFonts w:hint="default"/>
      </w:rPr>
    </w:lvl>
    <w:lvl w:ilvl="4">
      <w:start w:val="0"/>
      <w:numFmt w:val="bullet"/>
      <w:lvlText w:val="•"/>
      <w:lvlJc w:val="left"/>
      <w:pPr>
        <w:ind w:left="4248" w:hanging="361"/>
      </w:pPr>
      <w:rPr>
        <w:rFonts w:hint="default"/>
      </w:rPr>
    </w:lvl>
    <w:lvl w:ilvl="5">
      <w:start w:val="0"/>
      <w:numFmt w:val="bullet"/>
      <w:lvlText w:val="•"/>
      <w:lvlJc w:val="left"/>
      <w:pPr>
        <w:ind w:left="5070" w:hanging="361"/>
      </w:pPr>
      <w:rPr>
        <w:rFonts w:hint="default"/>
      </w:rPr>
    </w:lvl>
    <w:lvl w:ilvl="6">
      <w:start w:val="0"/>
      <w:numFmt w:val="bullet"/>
      <w:lvlText w:val="•"/>
      <w:lvlJc w:val="left"/>
      <w:pPr>
        <w:ind w:left="5892" w:hanging="361"/>
      </w:pPr>
      <w:rPr>
        <w:rFonts w:hint="default"/>
      </w:rPr>
    </w:lvl>
    <w:lvl w:ilvl="7">
      <w:start w:val="0"/>
      <w:numFmt w:val="bullet"/>
      <w:lvlText w:val="•"/>
      <w:lvlJc w:val="left"/>
      <w:pPr>
        <w:ind w:left="6714" w:hanging="361"/>
      </w:pPr>
      <w:rPr>
        <w:rFonts w:hint="default"/>
      </w:rPr>
    </w:lvl>
    <w:lvl w:ilvl="8">
      <w:start w:val="0"/>
      <w:numFmt w:val="bullet"/>
      <w:lvlText w:val="•"/>
      <w:lvlJc w:val="left"/>
      <w:pPr>
        <w:ind w:left="7536" w:hanging="361"/>
      </w:pPr>
      <w:rPr>
        <w:rFonts w:hint="default"/>
      </w:rPr>
    </w:lvl>
  </w:abstractNum>
  <w:abstractNum w:abstractNumId="14">
    <w:multiLevelType w:val="hybridMultilevel"/>
    <w:lvl w:ilvl="0">
      <w:start w:val="7"/>
      <w:numFmt w:val="decimal"/>
      <w:lvlText w:val="%1"/>
      <w:lvlJc w:val="left"/>
      <w:pPr>
        <w:ind w:left="888" w:hanging="651"/>
        <w:jc w:val="left"/>
      </w:pPr>
      <w:rPr>
        <w:rFonts w:hint="default"/>
      </w:rPr>
    </w:lvl>
    <w:lvl w:ilvl="1">
      <w:start w:val="4"/>
      <w:numFmt w:val="decimal"/>
      <w:lvlText w:val="%1.%2"/>
      <w:lvlJc w:val="left"/>
      <w:pPr>
        <w:ind w:left="888" w:hanging="651"/>
        <w:jc w:val="left"/>
      </w:pPr>
      <w:rPr>
        <w:rFonts w:hint="default"/>
      </w:rPr>
    </w:lvl>
    <w:lvl w:ilvl="2">
      <w:start w:val="1"/>
      <w:numFmt w:val="decimal"/>
      <w:lvlText w:val="%1.%2.%3"/>
      <w:lvlJc w:val="left"/>
      <w:pPr>
        <w:ind w:left="888" w:hanging="651"/>
        <w:jc w:val="left"/>
      </w:pPr>
      <w:rPr>
        <w:rFonts w:hint="default" w:ascii="Arial" w:hAnsi="Arial" w:eastAsia="Arial" w:cs="Arial"/>
        <w:b/>
        <w:bCs/>
        <w:i w:val="0"/>
        <w:iCs w:val="0"/>
        <w:w w:val="100"/>
        <w:sz w:val="26"/>
        <w:szCs w:val="26"/>
      </w:rPr>
    </w:lvl>
    <w:lvl w:ilvl="3">
      <w:start w:val="0"/>
      <w:numFmt w:val="bullet"/>
      <w:lvlText w:val=""/>
      <w:lvlJc w:val="left"/>
      <w:pPr>
        <w:ind w:left="957" w:hanging="361"/>
      </w:pPr>
      <w:rPr>
        <w:rFonts w:hint="default" w:ascii="Symbol" w:hAnsi="Symbol" w:eastAsia="Symbol" w:cs="Symbol"/>
        <w:b w:val="0"/>
        <w:bCs w:val="0"/>
        <w:i w:val="0"/>
        <w:iCs w:val="0"/>
        <w:w w:val="100"/>
        <w:sz w:val="24"/>
        <w:szCs w:val="24"/>
      </w:rPr>
    </w:lvl>
    <w:lvl w:ilvl="4">
      <w:start w:val="0"/>
      <w:numFmt w:val="bullet"/>
      <w:lvlText w:val="•"/>
      <w:lvlJc w:val="left"/>
      <w:pPr>
        <w:ind w:left="3700" w:hanging="361"/>
      </w:pPr>
      <w:rPr>
        <w:rFonts w:hint="default"/>
      </w:rPr>
    </w:lvl>
    <w:lvl w:ilvl="5">
      <w:start w:val="0"/>
      <w:numFmt w:val="bullet"/>
      <w:lvlText w:val="•"/>
      <w:lvlJc w:val="left"/>
      <w:pPr>
        <w:ind w:left="4613" w:hanging="361"/>
      </w:pPr>
      <w:rPr>
        <w:rFonts w:hint="default"/>
      </w:rPr>
    </w:lvl>
    <w:lvl w:ilvl="6">
      <w:start w:val="0"/>
      <w:numFmt w:val="bullet"/>
      <w:lvlText w:val="•"/>
      <w:lvlJc w:val="left"/>
      <w:pPr>
        <w:ind w:left="5526" w:hanging="361"/>
      </w:pPr>
      <w:rPr>
        <w:rFonts w:hint="default"/>
      </w:rPr>
    </w:lvl>
    <w:lvl w:ilvl="7">
      <w:start w:val="0"/>
      <w:numFmt w:val="bullet"/>
      <w:lvlText w:val="•"/>
      <w:lvlJc w:val="left"/>
      <w:pPr>
        <w:ind w:left="6440" w:hanging="361"/>
      </w:pPr>
      <w:rPr>
        <w:rFonts w:hint="default"/>
      </w:rPr>
    </w:lvl>
    <w:lvl w:ilvl="8">
      <w:start w:val="0"/>
      <w:numFmt w:val="bullet"/>
      <w:lvlText w:val="•"/>
      <w:lvlJc w:val="left"/>
      <w:pPr>
        <w:ind w:left="7353" w:hanging="361"/>
      </w:pPr>
      <w:rPr>
        <w:rFonts w:hint="default"/>
      </w:rPr>
    </w:lvl>
  </w:abstractNum>
  <w:abstractNum w:abstractNumId="13">
    <w:multiLevelType w:val="hybridMultilevel"/>
    <w:lvl w:ilvl="0">
      <w:start w:val="7"/>
      <w:numFmt w:val="decimal"/>
      <w:lvlText w:val="%1"/>
      <w:lvlJc w:val="left"/>
      <w:pPr>
        <w:ind w:left="705" w:hanging="468"/>
        <w:jc w:val="left"/>
      </w:pPr>
      <w:rPr>
        <w:rFonts w:hint="default"/>
      </w:rPr>
    </w:lvl>
    <w:lvl w:ilvl="1">
      <w:start w:val="1"/>
      <w:numFmt w:val="decimal"/>
      <w:lvlText w:val="%1.%2"/>
      <w:lvlJc w:val="left"/>
      <w:pPr>
        <w:ind w:left="705" w:hanging="468"/>
        <w:jc w:val="left"/>
      </w:pPr>
      <w:rPr>
        <w:rFonts w:hint="default" w:ascii="Arial" w:hAnsi="Arial" w:eastAsia="Arial" w:cs="Arial"/>
        <w:b/>
        <w:bCs/>
        <w:i/>
        <w:iCs/>
        <w:w w:val="99"/>
        <w:sz w:val="28"/>
        <w:szCs w:val="28"/>
      </w:rPr>
    </w:lvl>
    <w:lvl w:ilvl="2">
      <w:start w:val="0"/>
      <w:numFmt w:val="bullet"/>
      <w:lvlText w:val=""/>
      <w:lvlJc w:val="left"/>
      <w:pPr>
        <w:ind w:left="957" w:hanging="361"/>
      </w:pPr>
      <w:rPr>
        <w:rFonts w:hint="default" w:ascii="Symbol" w:hAnsi="Symbol" w:eastAsia="Symbol" w:cs="Symbol"/>
        <w:b w:val="0"/>
        <w:bCs w:val="0"/>
        <w:i w:val="0"/>
        <w:iCs w:val="0"/>
        <w:w w:val="100"/>
        <w:sz w:val="24"/>
        <w:szCs w:val="24"/>
      </w:rPr>
    </w:lvl>
    <w:lvl w:ilvl="3">
      <w:start w:val="0"/>
      <w:numFmt w:val="bullet"/>
      <w:lvlText w:val="•"/>
      <w:lvlJc w:val="left"/>
      <w:pPr>
        <w:ind w:left="2786" w:hanging="361"/>
      </w:pPr>
      <w:rPr>
        <w:rFonts w:hint="default"/>
      </w:rPr>
    </w:lvl>
    <w:lvl w:ilvl="4">
      <w:start w:val="0"/>
      <w:numFmt w:val="bullet"/>
      <w:lvlText w:val="•"/>
      <w:lvlJc w:val="left"/>
      <w:pPr>
        <w:ind w:left="3700" w:hanging="361"/>
      </w:pPr>
      <w:rPr>
        <w:rFonts w:hint="default"/>
      </w:rPr>
    </w:lvl>
    <w:lvl w:ilvl="5">
      <w:start w:val="0"/>
      <w:numFmt w:val="bullet"/>
      <w:lvlText w:val="•"/>
      <w:lvlJc w:val="left"/>
      <w:pPr>
        <w:ind w:left="4613" w:hanging="361"/>
      </w:pPr>
      <w:rPr>
        <w:rFonts w:hint="default"/>
      </w:rPr>
    </w:lvl>
    <w:lvl w:ilvl="6">
      <w:start w:val="0"/>
      <w:numFmt w:val="bullet"/>
      <w:lvlText w:val="•"/>
      <w:lvlJc w:val="left"/>
      <w:pPr>
        <w:ind w:left="5526" w:hanging="361"/>
      </w:pPr>
      <w:rPr>
        <w:rFonts w:hint="default"/>
      </w:rPr>
    </w:lvl>
    <w:lvl w:ilvl="7">
      <w:start w:val="0"/>
      <w:numFmt w:val="bullet"/>
      <w:lvlText w:val="•"/>
      <w:lvlJc w:val="left"/>
      <w:pPr>
        <w:ind w:left="6440" w:hanging="361"/>
      </w:pPr>
      <w:rPr>
        <w:rFonts w:hint="default"/>
      </w:rPr>
    </w:lvl>
    <w:lvl w:ilvl="8">
      <w:start w:val="0"/>
      <w:numFmt w:val="bullet"/>
      <w:lvlText w:val="•"/>
      <w:lvlJc w:val="left"/>
      <w:pPr>
        <w:ind w:left="7353" w:hanging="361"/>
      </w:pPr>
      <w:rPr>
        <w:rFonts w:hint="default"/>
      </w:rPr>
    </w:lvl>
  </w:abstractNum>
  <w:abstractNum w:abstractNumId="12">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11">
    <w:multiLevelType w:val="hybridMultilevel"/>
    <w:lvl w:ilvl="0">
      <w:start w:val="0"/>
      <w:numFmt w:val="bullet"/>
      <w:lvlText w:val=""/>
      <w:lvlJc w:val="left"/>
      <w:pPr>
        <w:ind w:left="957" w:hanging="361"/>
      </w:pPr>
      <w:rPr>
        <w:rFonts w:hint="default" w:ascii="Symbol" w:hAnsi="Symbol" w:eastAsia="Symbol" w:cs="Symbol"/>
        <w:b w:val="0"/>
        <w:bCs w:val="0"/>
        <w:i w:val="0"/>
        <w:iCs w:val="0"/>
        <w:w w:val="100"/>
        <w:sz w:val="24"/>
        <w:szCs w:val="24"/>
      </w:rPr>
    </w:lvl>
    <w:lvl w:ilvl="1">
      <w:start w:val="0"/>
      <w:numFmt w:val="bullet"/>
      <w:lvlText w:val="•"/>
      <w:lvlJc w:val="left"/>
      <w:pPr>
        <w:ind w:left="1782" w:hanging="361"/>
      </w:pPr>
      <w:rPr>
        <w:rFonts w:hint="default"/>
      </w:rPr>
    </w:lvl>
    <w:lvl w:ilvl="2">
      <w:start w:val="0"/>
      <w:numFmt w:val="bullet"/>
      <w:lvlText w:val="•"/>
      <w:lvlJc w:val="left"/>
      <w:pPr>
        <w:ind w:left="2604" w:hanging="361"/>
      </w:pPr>
      <w:rPr>
        <w:rFonts w:hint="default"/>
      </w:rPr>
    </w:lvl>
    <w:lvl w:ilvl="3">
      <w:start w:val="0"/>
      <w:numFmt w:val="bullet"/>
      <w:lvlText w:val="•"/>
      <w:lvlJc w:val="left"/>
      <w:pPr>
        <w:ind w:left="3426" w:hanging="361"/>
      </w:pPr>
      <w:rPr>
        <w:rFonts w:hint="default"/>
      </w:rPr>
    </w:lvl>
    <w:lvl w:ilvl="4">
      <w:start w:val="0"/>
      <w:numFmt w:val="bullet"/>
      <w:lvlText w:val="•"/>
      <w:lvlJc w:val="left"/>
      <w:pPr>
        <w:ind w:left="4248" w:hanging="361"/>
      </w:pPr>
      <w:rPr>
        <w:rFonts w:hint="default"/>
      </w:rPr>
    </w:lvl>
    <w:lvl w:ilvl="5">
      <w:start w:val="0"/>
      <w:numFmt w:val="bullet"/>
      <w:lvlText w:val="•"/>
      <w:lvlJc w:val="left"/>
      <w:pPr>
        <w:ind w:left="5070" w:hanging="361"/>
      </w:pPr>
      <w:rPr>
        <w:rFonts w:hint="default"/>
      </w:rPr>
    </w:lvl>
    <w:lvl w:ilvl="6">
      <w:start w:val="0"/>
      <w:numFmt w:val="bullet"/>
      <w:lvlText w:val="•"/>
      <w:lvlJc w:val="left"/>
      <w:pPr>
        <w:ind w:left="5892" w:hanging="361"/>
      </w:pPr>
      <w:rPr>
        <w:rFonts w:hint="default"/>
      </w:rPr>
    </w:lvl>
    <w:lvl w:ilvl="7">
      <w:start w:val="0"/>
      <w:numFmt w:val="bullet"/>
      <w:lvlText w:val="•"/>
      <w:lvlJc w:val="left"/>
      <w:pPr>
        <w:ind w:left="6714" w:hanging="361"/>
      </w:pPr>
      <w:rPr>
        <w:rFonts w:hint="default"/>
      </w:rPr>
    </w:lvl>
    <w:lvl w:ilvl="8">
      <w:start w:val="0"/>
      <w:numFmt w:val="bullet"/>
      <w:lvlText w:val="•"/>
      <w:lvlJc w:val="left"/>
      <w:pPr>
        <w:ind w:left="7536" w:hanging="361"/>
      </w:pPr>
      <w:rPr>
        <w:rFonts w:hint="default"/>
      </w:rPr>
    </w:lvl>
  </w:abstractNum>
  <w:abstractNum w:abstractNumId="10">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9">
    <w:multiLevelType w:val="hybridMultilevel"/>
    <w:lvl w:ilvl="0">
      <w:start w:val="5"/>
      <w:numFmt w:val="decimal"/>
      <w:lvlText w:val="%1"/>
      <w:lvlJc w:val="left"/>
      <w:pPr>
        <w:ind w:left="957" w:hanging="720"/>
        <w:jc w:val="left"/>
      </w:pPr>
      <w:rPr>
        <w:rFonts w:hint="default"/>
      </w:rPr>
    </w:lvl>
    <w:lvl w:ilvl="1">
      <w:start w:val="1"/>
      <w:numFmt w:val="decimal"/>
      <w:lvlText w:val="%1.%2"/>
      <w:lvlJc w:val="left"/>
      <w:pPr>
        <w:ind w:left="957" w:hanging="720"/>
        <w:jc w:val="left"/>
      </w:pPr>
      <w:rPr>
        <w:rFonts w:hint="default" w:ascii="Arial" w:hAnsi="Arial" w:eastAsia="Arial" w:cs="Arial"/>
        <w:b/>
        <w:bCs/>
        <w:i/>
        <w:iCs/>
        <w:w w:val="99"/>
        <w:sz w:val="28"/>
        <w:szCs w:val="28"/>
      </w:rPr>
    </w:lvl>
    <w:lvl w:ilvl="2">
      <w:start w:val="0"/>
      <w:numFmt w:val="decimal"/>
      <w:lvlText w:val="%1.%2.%3"/>
      <w:lvlJc w:val="left"/>
      <w:pPr>
        <w:ind w:left="957" w:hanging="721"/>
        <w:jc w:val="left"/>
      </w:pPr>
      <w:rPr>
        <w:rFonts w:hint="default" w:ascii="Arial" w:hAnsi="Arial" w:eastAsia="Arial" w:cs="Arial"/>
        <w:b/>
        <w:bCs/>
        <w:i w:val="0"/>
        <w:iCs w:val="0"/>
        <w:spacing w:val="-1"/>
        <w:w w:val="100"/>
        <w:sz w:val="26"/>
        <w:szCs w:val="26"/>
      </w:rPr>
    </w:lvl>
    <w:lvl w:ilvl="3">
      <w:start w:val="0"/>
      <w:numFmt w:val="bullet"/>
      <w:lvlText w:val=""/>
      <w:lvlJc w:val="left"/>
      <w:pPr>
        <w:ind w:left="951" w:hanging="357"/>
      </w:pPr>
      <w:rPr>
        <w:rFonts w:hint="default" w:ascii="Symbol" w:hAnsi="Symbol" w:eastAsia="Symbol" w:cs="Symbol"/>
        <w:b w:val="0"/>
        <w:bCs w:val="0"/>
        <w:i w:val="0"/>
        <w:iCs w:val="0"/>
        <w:w w:val="100"/>
        <w:sz w:val="24"/>
        <w:szCs w:val="24"/>
      </w:rPr>
    </w:lvl>
    <w:lvl w:ilvl="4">
      <w:start w:val="0"/>
      <w:numFmt w:val="bullet"/>
      <w:lvlText w:val="•"/>
      <w:lvlJc w:val="left"/>
      <w:pPr>
        <w:ind w:left="4248" w:hanging="357"/>
      </w:pPr>
      <w:rPr>
        <w:rFonts w:hint="default"/>
      </w:rPr>
    </w:lvl>
    <w:lvl w:ilvl="5">
      <w:start w:val="0"/>
      <w:numFmt w:val="bullet"/>
      <w:lvlText w:val="•"/>
      <w:lvlJc w:val="left"/>
      <w:pPr>
        <w:ind w:left="5070" w:hanging="357"/>
      </w:pPr>
      <w:rPr>
        <w:rFonts w:hint="default"/>
      </w:rPr>
    </w:lvl>
    <w:lvl w:ilvl="6">
      <w:start w:val="0"/>
      <w:numFmt w:val="bullet"/>
      <w:lvlText w:val="•"/>
      <w:lvlJc w:val="left"/>
      <w:pPr>
        <w:ind w:left="5892" w:hanging="357"/>
      </w:pPr>
      <w:rPr>
        <w:rFonts w:hint="default"/>
      </w:rPr>
    </w:lvl>
    <w:lvl w:ilvl="7">
      <w:start w:val="0"/>
      <w:numFmt w:val="bullet"/>
      <w:lvlText w:val="•"/>
      <w:lvlJc w:val="left"/>
      <w:pPr>
        <w:ind w:left="6714" w:hanging="357"/>
      </w:pPr>
      <w:rPr>
        <w:rFonts w:hint="default"/>
      </w:rPr>
    </w:lvl>
    <w:lvl w:ilvl="8">
      <w:start w:val="0"/>
      <w:numFmt w:val="bullet"/>
      <w:lvlText w:val="•"/>
      <w:lvlJc w:val="left"/>
      <w:pPr>
        <w:ind w:left="7536" w:hanging="357"/>
      </w:pPr>
      <w:rPr>
        <w:rFonts w:hint="default"/>
      </w:rPr>
    </w:lvl>
  </w:abstractNum>
  <w:abstractNum w:abstractNumId="8">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7">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abstractNum w:abstractNumId="6">
    <w:multiLevelType w:val="hybridMultilevel"/>
    <w:lvl w:ilvl="0">
      <w:start w:val="1"/>
      <w:numFmt w:val="lowerLetter"/>
      <w:lvlText w:val="(%1)"/>
      <w:lvlJc w:val="left"/>
      <w:pPr>
        <w:ind w:left="1678" w:hanging="721"/>
        <w:jc w:val="left"/>
      </w:pPr>
      <w:rPr>
        <w:rFonts w:hint="default" w:ascii="Arial" w:hAnsi="Arial" w:eastAsia="Arial" w:cs="Arial"/>
        <w:b w:val="0"/>
        <w:bCs w:val="0"/>
        <w:i w:val="0"/>
        <w:iCs w:val="0"/>
        <w:spacing w:val="-1"/>
        <w:w w:val="99"/>
        <w:sz w:val="24"/>
        <w:szCs w:val="24"/>
      </w:rPr>
    </w:lvl>
    <w:lvl w:ilvl="1">
      <w:start w:val="1"/>
      <w:numFmt w:val="upperLetter"/>
      <w:lvlText w:val="(%2)"/>
      <w:lvlJc w:val="left"/>
      <w:pPr>
        <w:ind w:left="2504" w:hanging="566"/>
        <w:jc w:val="left"/>
      </w:pPr>
      <w:rPr>
        <w:rFonts w:hint="default" w:ascii="Arial" w:hAnsi="Arial" w:eastAsia="Arial" w:cs="Arial"/>
        <w:b w:val="0"/>
        <w:bCs w:val="0"/>
        <w:i w:val="0"/>
        <w:iCs w:val="0"/>
        <w:spacing w:val="-1"/>
        <w:w w:val="99"/>
        <w:sz w:val="24"/>
        <w:szCs w:val="24"/>
      </w:rPr>
    </w:lvl>
    <w:lvl w:ilvl="2">
      <w:start w:val="0"/>
      <w:numFmt w:val="bullet"/>
      <w:lvlText w:val="•"/>
      <w:lvlJc w:val="left"/>
      <w:pPr>
        <w:ind w:left="3242" w:hanging="566"/>
      </w:pPr>
      <w:rPr>
        <w:rFonts w:hint="default"/>
      </w:rPr>
    </w:lvl>
    <w:lvl w:ilvl="3">
      <w:start w:val="0"/>
      <w:numFmt w:val="bullet"/>
      <w:lvlText w:val="•"/>
      <w:lvlJc w:val="left"/>
      <w:pPr>
        <w:ind w:left="3984" w:hanging="566"/>
      </w:pPr>
      <w:rPr>
        <w:rFonts w:hint="default"/>
      </w:rPr>
    </w:lvl>
    <w:lvl w:ilvl="4">
      <w:start w:val="0"/>
      <w:numFmt w:val="bullet"/>
      <w:lvlText w:val="•"/>
      <w:lvlJc w:val="left"/>
      <w:pPr>
        <w:ind w:left="4726" w:hanging="566"/>
      </w:pPr>
      <w:rPr>
        <w:rFonts w:hint="default"/>
      </w:rPr>
    </w:lvl>
    <w:lvl w:ilvl="5">
      <w:start w:val="0"/>
      <w:numFmt w:val="bullet"/>
      <w:lvlText w:val="•"/>
      <w:lvlJc w:val="left"/>
      <w:pPr>
        <w:ind w:left="5468" w:hanging="566"/>
      </w:pPr>
      <w:rPr>
        <w:rFonts w:hint="default"/>
      </w:rPr>
    </w:lvl>
    <w:lvl w:ilvl="6">
      <w:start w:val="0"/>
      <w:numFmt w:val="bullet"/>
      <w:lvlText w:val="•"/>
      <w:lvlJc w:val="left"/>
      <w:pPr>
        <w:ind w:left="6211" w:hanging="566"/>
      </w:pPr>
      <w:rPr>
        <w:rFonts w:hint="default"/>
      </w:rPr>
    </w:lvl>
    <w:lvl w:ilvl="7">
      <w:start w:val="0"/>
      <w:numFmt w:val="bullet"/>
      <w:lvlText w:val="•"/>
      <w:lvlJc w:val="left"/>
      <w:pPr>
        <w:ind w:left="6953" w:hanging="566"/>
      </w:pPr>
      <w:rPr>
        <w:rFonts w:hint="default"/>
      </w:rPr>
    </w:lvl>
    <w:lvl w:ilvl="8">
      <w:start w:val="0"/>
      <w:numFmt w:val="bullet"/>
      <w:lvlText w:val="•"/>
      <w:lvlJc w:val="left"/>
      <w:pPr>
        <w:ind w:left="7695" w:hanging="566"/>
      </w:pPr>
      <w:rPr>
        <w:rFonts w:hint="default"/>
      </w:rPr>
    </w:lvl>
  </w:abstractNum>
  <w:abstractNum w:abstractNumId="5">
    <w:multiLevelType w:val="hybridMultilevel"/>
    <w:lvl w:ilvl="0">
      <w:start w:val="0"/>
      <w:numFmt w:val="bullet"/>
      <w:lvlText w:val=""/>
      <w:lvlJc w:val="left"/>
      <w:pPr>
        <w:ind w:left="1677" w:hanging="721"/>
      </w:pPr>
      <w:rPr>
        <w:rFonts w:hint="default" w:ascii="Symbol" w:hAnsi="Symbol" w:eastAsia="Symbol" w:cs="Symbol"/>
        <w:b w:val="0"/>
        <w:bCs w:val="0"/>
        <w:i w:val="0"/>
        <w:iCs w:val="0"/>
        <w:w w:val="100"/>
        <w:sz w:val="24"/>
        <w:szCs w:val="24"/>
      </w:rPr>
    </w:lvl>
    <w:lvl w:ilvl="1">
      <w:start w:val="0"/>
      <w:numFmt w:val="bullet"/>
      <w:lvlText w:val="•"/>
      <w:lvlJc w:val="left"/>
      <w:pPr>
        <w:ind w:left="2430" w:hanging="721"/>
      </w:pPr>
      <w:rPr>
        <w:rFonts w:hint="default"/>
      </w:rPr>
    </w:lvl>
    <w:lvl w:ilvl="2">
      <w:start w:val="0"/>
      <w:numFmt w:val="bullet"/>
      <w:lvlText w:val="•"/>
      <w:lvlJc w:val="left"/>
      <w:pPr>
        <w:ind w:left="3180" w:hanging="721"/>
      </w:pPr>
      <w:rPr>
        <w:rFonts w:hint="default"/>
      </w:rPr>
    </w:lvl>
    <w:lvl w:ilvl="3">
      <w:start w:val="0"/>
      <w:numFmt w:val="bullet"/>
      <w:lvlText w:val="•"/>
      <w:lvlJc w:val="left"/>
      <w:pPr>
        <w:ind w:left="3930" w:hanging="721"/>
      </w:pPr>
      <w:rPr>
        <w:rFonts w:hint="default"/>
      </w:rPr>
    </w:lvl>
    <w:lvl w:ilvl="4">
      <w:start w:val="0"/>
      <w:numFmt w:val="bullet"/>
      <w:lvlText w:val="•"/>
      <w:lvlJc w:val="left"/>
      <w:pPr>
        <w:ind w:left="4680" w:hanging="721"/>
      </w:pPr>
      <w:rPr>
        <w:rFonts w:hint="default"/>
      </w:rPr>
    </w:lvl>
    <w:lvl w:ilvl="5">
      <w:start w:val="0"/>
      <w:numFmt w:val="bullet"/>
      <w:lvlText w:val="•"/>
      <w:lvlJc w:val="left"/>
      <w:pPr>
        <w:ind w:left="5430" w:hanging="721"/>
      </w:pPr>
      <w:rPr>
        <w:rFonts w:hint="default"/>
      </w:rPr>
    </w:lvl>
    <w:lvl w:ilvl="6">
      <w:start w:val="0"/>
      <w:numFmt w:val="bullet"/>
      <w:lvlText w:val="•"/>
      <w:lvlJc w:val="left"/>
      <w:pPr>
        <w:ind w:left="6180" w:hanging="721"/>
      </w:pPr>
      <w:rPr>
        <w:rFonts w:hint="default"/>
      </w:rPr>
    </w:lvl>
    <w:lvl w:ilvl="7">
      <w:start w:val="0"/>
      <w:numFmt w:val="bullet"/>
      <w:lvlText w:val="•"/>
      <w:lvlJc w:val="left"/>
      <w:pPr>
        <w:ind w:left="6930" w:hanging="721"/>
      </w:pPr>
      <w:rPr>
        <w:rFonts w:hint="default"/>
      </w:rPr>
    </w:lvl>
    <w:lvl w:ilvl="8">
      <w:start w:val="0"/>
      <w:numFmt w:val="bullet"/>
      <w:lvlText w:val="•"/>
      <w:lvlJc w:val="left"/>
      <w:pPr>
        <w:ind w:left="7680" w:hanging="721"/>
      </w:pPr>
      <w:rPr>
        <w:rFonts w:hint="default"/>
      </w:rPr>
    </w:lvl>
  </w:abstractNum>
  <w:abstractNum w:abstractNumId="4">
    <w:multiLevelType w:val="hybridMultilevel"/>
    <w:lvl w:ilvl="0">
      <w:start w:val="1"/>
      <w:numFmt w:val="lowerLetter"/>
      <w:lvlText w:val="(%1)"/>
      <w:lvlJc w:val="left"/>
      <w:pPr>
        <w:ind w:left="1497" w:hanging="541"/>
        <w:jc w:val="left"/>
      </w:pPr>
      <w:rPr>
        <w:rFonts w:hint="default" w:ascii="Arial" w:hAnsi="Arial" w:eastAsia="Arial" w:cs="Arial"/>
        <w:b w:val="0"/>
        <w:bCs w:val="0"/>
        <w:i w:val="0"/>
        <w:iCs w:val="0"/>
        <w:spacing w:val="-1"/>
        <w:w w:val="99"/>
        <w:sz w:val="24"/>
        <w:szCs w:val="24"/>
      </w:rPr>
    </w:lvl>
    <w:lvl w:ilvl="1">
      <w:start w:val="0"/>
      <w:numFmt w:val="bullet"/>
      <w:lvlText w:val="•"/>
      <w:lvlJc w:val="left"/>
      <w:pPr>
        <w:ind w:left="2268" w:hanging="541"/>
      </w:pPr>
      <w:rPr>
        <w:rFonts w:hint="default"/>
      </w:rPr>
    </w:lvl>
    <w:lvl w:ilvl="2">
      <w:start w:val="0"/>
      <w:numFmt w:val="bullet"/>
      <w:lvlText w:val="•"/>
      <w:lvlJc w:val="left"/>
      <w:pPr>
        <w:ind w:left="3036" w:hanging="541"/>
      </w:pPr>
      <w:rPr>
        <w:rFonts w:hint="default"/>
      </w:rPr>
    </w:lvl>
    <w:lvl w:ilvl="3">
      <w:start w:val="0"/>
      <w:numFmt w:val="bullet"/>
      <w:lvlText w:val="•"/>
      <w:lvlJc w:val="left"/>
      <w:pPr>
        <w:ind w:left="3804" w:hanging="541"/>
      </w:pPr>
      <w:rPr>
        <w:rFonts w:hint="default"/>
      </w:rPr>
    </w:lvl>
    <w:lvl w:ilvl="4">
      <w:start w:val="0"/>
      <w:numFmt w:val="bullet"/>
      <w:lvlText w:val="•"/>
      <w:lvlJc w:val="left"/>
      <w:pPr>
        <w:ind w:left="4572" w:hanging="541"/>
      </w:pPr>
      <w:rPr>
        <w:rFonts w:hint="default"/>
      </w:rPr>
    </w:lvl>
    <w:lvl w:ilvl="5">
      <w:start w:val="0"/>
      <w:numFmt w:val="bullet"/>
      <w:lvlText w:val="•"/>
      <w:lvlJc w:val="left"/>
      <w:pPr>
        <w:ind w:left="5340" w:hanging="541"/>
      </w:pPr>
      <w:rPr>
        <w:rFonts w:hint="default"/>
      </w:rPr>
    </w:lvl>
    <w:lvl w:ilvl="6">
      <w:start w:val="0"/>
      <w:numFmt w:val="bullet"/>
      <w:lvlText w:val="•"/>
      <w:lvlJc w:val="left"/>
      <w:pPr>
        <w:ind w:left="6108" w:hanging="541"/>
      </w:pPr>
      <w:rPr>
        <w:rFonts w:hint="default"/>
      </w:rPr>
    </w:lvl>
    <w:lvl w:ilvl="7">
      <w:start w:val="0"/>
      <w:numFmt w:val="bullet"/>
      <w:lvlText w:val="•"/>
      <w:lvlJc w:val="left"/>
      <w:pPr>
        <w:ind w:left="6876" w:hanging="541"/>
      </w:pPr>
      <w:rPr>
        <w:rFonts w:hint="default"/>
      </w:rPr>
    </w:lvl>
    <w:lvl w:ilvl="8">
      <w:start w:val="0"/>
      <w:numFmt w:val="bullet"/>
      <w:lvlText w:val="•"/>
      <w:lvlJc w:val="left"/>
      <w:pPr>
        <w:ind w:left="7644" w:hanging="541"/>
      </w:pPr>
      <w:rPr>
        <w:rFonts w:hint="default"/>
      </w:rPr>
    </w:lvl>
  </w:abstractNum>
  <w:abstractNum w:abstractNumId="3">
    <w:multiLevelType w:val="hybridMultilevel"/>
    <w:lvl w:ilvl="0">
      <w:start w:val="1"/>
      <w:numFmt w:val="decimal"/>
      <w:lvlText w:val="%1"/>
      <w:lvlJc w:val="left"/>
      <w:pPr>
        <w:ind w:left="957" w:hanging="721"/>
        <w:jc w:val="left"/>
      </w:pPr>
      <w:rPr>
        <w:rFonts w:hint="default" w:ascii="Arial" w:hAnsi="Arial" w:eastAsia="Arial" w:cs="Arial"/>
        <w:b/>
        <w:bCs/>
        <w:i w:val="0"/>
        <w:iCs w:val="0"/>
        <w:w w:val="100"/>
        <w:sz w:val="32"/>
        <w:szCs w:val="32"/>
      </w:rPr>
    </w:lvl>
    <w:lvl w:ilvl="1">
      <w:start w:val="1"/>
      <w:numFmt w:val="lowerLetter"/>
      <w:lvlText w:val="(%2)"/>
      <w:lvlJc w:val="left"/>
      <w:pPr>
        <w:ind w:left="1677" w:hanging="720"/>
        <w:jc w:val="left"/>
      </w:pPr>
      <w:rPr>
        <w:rFonts w:hint="default" w:ascii="Arial" w:hAnsi="Arial" w:eastAsia="Arial" w:cs="Arial"/>
        <w:b w:val="0"/>
        <w:bCs w:val="0"/>
        <w:i w:val="0"/>
        <w:iCs w:val="0"/>
        <w:w w:val="99"/>
        <w:sz w:val="24"/>
        <w:szCs w:val="24"/>
      </w:rPr>
    </w:lvl>
    <w:lvl w:ilvl="2">
      <w:start w:val="1"/>
      <w:numFmt w:val="lowerRoman"/>
      <w:lvlText w:val="(%3)."/>
      <w:lvlJc w:val="left"/>
      <w:pPr>
        <w:ind w:left="2965" w:hanging="568"/>
        <w:jc w:val="left"/>
      </w:pPr>
      <w:rPr>
        <w:rFonts w:hint="default" w:ascii="Arial" w:hAnsi="Arial" w:eastAsia="Arial" w:cs="Arial"/>
        <w:b w:val="0"/>
        <w:bCs w:val="0"/>
        <w:i w:val="0"/>
        <w:iCs w:val="0"/>
        <w:spacing w:val="-1"/>
        <w:w w:val="100"/>
        <w:sz w:val="24"/>
        <w:szCs w:val="24"/>
      </w:rPr>
    </w:lvl>
    <w:lvl w:ilvl="3">
      <w:start w:val="0"/>
      <w:numFmt w:val="bullet"/>
      <w:lvlText w:val="•"/>
      <w:lvlJc w:val="left"/>
      <w:pPr>
        <w:ind w:left="3737" w:hanging="568"/>
      </w:pPr>
      <w:rPr>
        <w:rFonts w:hint="default"/>
      </w:rPr>
    </w:lvl>
    <w:lvl w:ilvl="4">
      <w:start w:val="0"/>
      <w:numFmt w:val="bullet"/>
      <w:lvlText w:val="•"/>
      <w:lvlJc w:val="left"/>
      <w:pPr>
        <w:ind w:left="4515" w:hanging="568"/>
      </w:pPr>
      <w:rPr>
        <w:rFonts w:hint="default"/>
      </w:rPr>
    </w:lvl>
    <w:lvl w:ilvl="5">
      <w:start w:val="0"/>
      <w:numFmt w:val="bullet"/>
      <w:lvlText w:val="•"/>
      <w:lvlJc w:val="left"/>
      <w:pPr>
        <w:ind w:left="5292" w:hanging="568"/>
      </w:pPr>
      <w:rPr>
        <w:rFonts w:hint="default"/>
      </w:rPr>
    </w:lvl>
    <w:lvl w:ilvl="6">
      <w:start w:val="0"/>
      <w:numFmt w:val="bullet"/>
      <w:lvlText w:val="•"/>
      <w:lvlJc w:val="left"/>
      <w:pPr>
        <w:ind w:left="6070" w:hanging="568"/>
      </w:pPr>
      <w:rPr>
        <w:rFonts w:hint="default"/>
      </w:rPr>
    </w:lvl>
    <w:lvl w:ilvl="7">
      <w:start w:val="0"/>
      <w:numFmt w:val="bullet"/>
      <w:lvlText w:val="•"/>
      <w:lvlJc w:val="left"/>
      <w:pPr>
        <w:ind w:left="6847" w:hanging="568"/>
      </w:pPr>
      <w:rPr>
        <w:rFonts w:hint="default"/>
      </w:rPr>
    </w:lvl>
    <w:lvl w:ilvl="8">
      <w:start w:val="0"/>
      <w:numFmt w:val="bullet"/>
      <w:lvlText w:val="•"/>
      <w:lvlJc w:val="left"/>
      <w:pPr>
        <w:ind w:left="7625" w:hanging="568"/>
      </w:pPr>
      <w:rPr>
        <w:rFonts w:hint="default"/>
      </w:rPr>
    </w:lvl>
  </w:abstractNum>
  <w:abstractNum w:abstractNumId="2">
    <w:multiLevelType w:val="hybridMultilevel"/>
    <w:lvl w:ilvl="0">
      <w:start w:val="7"/>
      <w:numFmt w:val="decimal"/>
      <w:lvlText w:val="%1"/>
      <w:lvlJc w:val="left"/>
      <w:pPr>
        <w:ind w:left="1137" w:hanging="900"/>
        <w:jc w:val="left"/>
      </w:pPr>
      <w:rPr>
        <w:rFonts w:hint="default" w:ascii="Arial" w:hAnsi="Arial" w:eastAsia="Arial" w:cs="Arial"/>
        <w:b/>
        <w:bCs/>
        <w:i w:val="0"/>
        <w:iCs w:val="0"/>
        <w:w w:val="99"/>
        <w:sz w:val="24"/>
        <w:szCs w:val="24"/>
      </w:rPr>
    </w:lvl>
    <w:lvl w:ilvl="1">
      <w:start w:val="1"/>
      <w:numFmt w:val="decimal"/>
      <w:lvlText w:val="%1.%2"/>
      <w:lvlJc w:val="left"/>
      <w:pPr>
        <w:ind w:left="878" w:hanging="401"/>
        <w:jc w:val="left"/>
      </w:pPr>
      <w:rPr>
        <w:rFonts w:hint="default" w:ascii="Arial" w:hAnsi="Arial" w:eastAsia="Arial" w:cs="Arial"/>
        <w:b w:val="0"/>
        <w:bCs w:val="0"/>
        <w:i w:val="0"/>
        <w:iCs w:val="0"/>
        <w:spacing w:val="-1"/>
        <w:w w:val="99"/>
        <w:sz w:val="24"/>
        <w:szCs w:val="24"/>
      </w:rPr>
    </w:lvl>
    <w:lvl w:ilvl="2">
      <w:start w:val="0"/>
      <w:numFmt w:val="bullet"/>
      <w:lvlText w:val="•"/>
      <w:lvlJc w:val="left"/>
      <w:pPr>
        <w:ind w:left="1140" w:hanging="401"/>
      </w:pPr>
      <w:rPr>
        <w:rFonts w:hint="default"/>
      </w:rPr>
    </w:lvl>
    <w:lvl w:ilvl="3">
      <w:start w:val="0"/>
      <w:numFmt w:val="bullet"/>
      <w:lvlText w:val="•"/>
      <w:lvlJc w:val="left"/>
      <w:pPr>
        <w:ind w:left="2145" w:hanging="401"/>
      </w:pPr>
      <w:rPr>
        <w:rFonts w:hint="default"/>
      </w:rPr>
    </w:lvl>
    <w:lvl w:ilvl="4">
      <w:start w:val="0"/>
      <w:numFmt w:val="bullet"/>
      <w:lvlText w:val="•"/>
      <w:lvlJc w:val="left"/>
      <w:pPr>
        <w:ind w:left="3150" w:hanging="401"/>
      </w:pPr>
      <w:rPr>
        <w:rFonts w:hint="default"/>
      </w:rPr>
    </w:lvl>
    <w:lvl w:ilvl="5">
      <w:start w:val="0"/>
      <w:numFmt w:val="bullet"/>
      <w:lvlText w:val="•"/>
      <w:lvlJc w:val="left"/>
      <w:pPr>
        <w:ind w:left="4155" w:hanging="401"/>
      </w:pPr>
      <w:rPr>
        <w:rFonts w:hint="default"/>
      </w:rPr>
    </w:lvl>
    <w:lvl w:ilvl="6">
      <w:start w:val="0"/>
      <w:numFmt w:val="bullet"/>
      <w:lvlText w:val="•"/>
      <w:lvlJc w:val="left"/>
      <w:pPr>
        <w:ind w:left="5160" w:hanging="401"/>
      </w:pPr>
      <w:rPr>
        <w:rFonts w:hint="default"/>
      </w:rPr>
    </w:lvl>
    <w:lvl w:ilvl="7">
      <w:start w:val="0"/>
      <w:numFmt w:val="bullet"/>
      <w:lvlText w:val="•"/>
      <w:lvlJc w:val="left"/>
      <w:pPr>
        <w:ind w:left="6165" w:hanging="401"/>
      </w:pPr>
      <w:rPr>
        <w:rFonts w:hint="default"/>
      </w:rPr>
    </w:lvl>
    <w:lvl w:ilvl="8">
      <w:start w:val="0"/>
      <w:numFmt w:val="bullet"/>
      <w:lvlText w:val="•"/>
      <w:lvlJc w:val="left"/>
      <w:pPr>
        <w:ind w:left="7170" w:hanging="401"/>
      </w:pPr>
      <w:rPr>
        <w:rFonts w:hint="default"/>
      </w:rPr>
    </w:lvl>
  </w:abstractNum>
  <w:abstractNum w:abstractNumId="1">
    <w:multiLevelType w:val="hybridMultilevel"/>
    <w:lvl w:ilvl="0">
      <w:start w:val="1"/>
      <w:numFmt w:val="decimal"/>
      <w:lvlText w:val="%1"/>
      <w:lvlJc w:val="left"/>
      <w:pPr>
        <w:ind w:left="1137" w:hanging="900"/>
        <w:jc w:val="left"/>
      </w:pPr>
      <w:rPr>
        <w:rFonts w:hint="default" w:ascii="Arial" w:hAnsi="Arial" w:eastAsia="Arial" w:cs="Arial"/>
        <w:b/>
        <w:bCs/>
        <w:i w:val="0"/>
        <w:iCs w:val="0"/>
        <w:w w:val="99"/>
        <w:sz w:val="24"/>
        <w:szCs w:val="24"/>
      </w:rPr>
    </w:lvl>
    <w:lvl w:ilvl="1">
      <w:start w:val="1"/>
      <w:numFmt w:val="decimal"/>
      <w:lvlText w:val="%1.%2"/>
      <w:lvlJc w:val="left"/>
      <w:pPr>
        <w:ind w:left="1137" w:hanging="660"/>
        <w:jc w:val="left"/>
      </w:pPr>
      <w:rPr>
        <w:rFonts w:hint="default" w:ascii="Arial" w:hAnsi="Arial" w:eastAsia="Arial" w:cs="Arial"/>
        <w:b w:val="0"/>
        <w:bCs w:val="0"/>
        <w:i w:val="0"/>
        <w:iCs w:val="0"/>
        <w:spacing w:val="-1"/>
        <w:w w:val="99"/>
        <w:sz w:val="24"/>
        <w:szCs w:val="24"/>
      </w:rPr>
    </w:lvl>
    <w:lvl w:ilvl="2">
      <w:start w:val="0"/>
      <w:numFmt w:val="bullet"/>
      <w:lvlText w:val="•"/>
      <w:lvlJc w:val="left"/>
      <w:pPr>
        <w:ind w:left="2748" w:hanging="660"/>
      </w:pPr>
      <w:rPr>
        <w:rFonts w:hint="default"/>
      </w:rPr>
    </w:lvl>
    <w:lvl w:ilvl="3">
      <w:start w:val="0"/>
      <w:numFmt w:val="bullet"/>
      <w:lvlText w:val="•"/>
      <w:lvlJc w:val="left"/>
      <w:pPr>
        <w:ind w:left="3552" w:hanging="660"/>
      </w:pPr>
      <w:rPr>
        <w:rFonts w:hint="default"/>
      </w:rPr>
    </w:lvl>
    <w:lvl w:ilvl="4">
      <w:start w:val="0"/>
      <w:numFmt w:val="bullet"/>
      <w:lvlText w:val="•"/>
      <w:lvlJc w:val="left"/>
      <w:pPr>
        <w:ind w:left="4356" w:hanging="660"/>
      </w:pPr>
      <w:rPr>
        <w:rFonts w:hint="default"/>
      </w:rPr>
    </w:lvl>
    <w:lvl w:ilvl="5">
      <w:start w:val="0"/>
      <w:numFmt w:val="bullet"/>
      <w:lvlText w:val="•"/>
      <w:lvlJc w:val="left"/>
      <w:pPr>
        <w:ind w:left="5160" w:hanging="660"/>
      </w:pPr>
      <w:rPr>
        <w:rFonts w:hint="default"/>
      </w:rPr>
    </w:lvl>
    <w:lvl w:ilvl="6">
      <w:start w:val="0"/>
      <w:numFmt w:val="bullet"/>
      <w:lvlText w:val="•"/>
      <w:lvlJc w:val="left"/>
      <w:pPr>
        <w:ind w:left="5964" w:hanging="660"/>
      </w:pPr>
      <w:rPr>
        <w:rFonts w:hint="default"/>
      </w:rPr>
    </w:lvl>
    <w:lvl w:ilvl="7">
      <w:start w:val="0"/>
      <w:numFmt w:val="bullet"/>
      <w:lvlText w:val="•"/>
      <w:lvlJc w:val="left"/>
      <w:pPr>
        <w:ind w:left="6768" w:hanging="660"/>
      </w:pPr>
      <w:rPr>
        <w:rFonts w:hint="default"/>
      </w:rPr>
    </w:lvl>
    <w:lvl w:ilvl="8">
      <w:start w:val="0"/>
      <w:numFmt w:val="bullet"/>
      <w:lvlText w:val="•"/>
      <w:lvlJc w:val="left"/>
      <w:pPr>
        <w:ind w:left="7572" w:hanging="660"/>
      </w:pPr>
      <w:rPr>
        <w:rFonts w:hint="default"/>
      </w:rPr>
    </w:lvl>
  </w:abstractNum>
  <w:abstractNum w:abstractNumId="0">
    <w:multiLevelType w:val="hybridMultilevel"/>
    <w:lvl w:ilvl="0">
      <w:start w:val="0"/>
      <w:numFmt w:val="bullet"/>
      <w:lvlText w:val=""/>
      <w:lvlJc w:val="left"/>
      <w:pPr>
        <w:ind w:left="951" w:hanging="363"/>
      </w:pPr>
      <w:rPr>
        <w:rFonts w:hint="default" w:ascii="Symbol" w:hAnsi="Symbol" w:eastAsia="Symbol" w:cs="Symbol"/>
        <w:b w:val="0"/>
        <w:bCs w:val="0"/>
        <w:i w:val="0"/>
        <w:iCs w:val="0"/>
        <w:w w:val="100"/>
        <w:sz w:val="24"/>
        <w:szCs w:val="24"/>
      </w:rPr>
    </w:lvl>
    <w:lvl w:ilvl="1">
      <w:start w:val="0"/>
      <w:numFmt w:val="bullet"/>
      <w:lvlText w:val="•"/>
      <w:lvlJc w:val="left"/>
      <w:pPr>
        <w:ind w:left="1782" w:hanging="363"/>
      </w:pPr>
      <w:rPr>
        <w:rFonts w:hint="default"/>
      </w:rPr>
    </w:lvl>
    <w:lvl w:ilvl="2">
      <w:start w:val="0"/>
      <w:numFmt w:val="bullet"/>
      <w:lvlText w:val="•"/>
      <w:lvlJc w:val="left"/>
      <w:pPr>
        <w:ind w:left="2604" w:hanging="363"/>
      </w:pPr>
      <w:rPr>
        <w:rFonts w:hint="default"/>
      </w:rPr>
    </w:lvl>
    <w:lvl w:ilvl="3">
      <w:start w:val="0"/>
      <w:numFmt w:val="bullet"/>
      <w:lvlText w:val="•"/>
      <w:lvlJc w:val="left"/>
      <w:pPr>
        <w:ind w:left="3426" w:hanging="363"/>
      </w:pPr>
      <w:rPr>
        <w:rFonts w:hint="default"/>
      </w:rPr>
    </w:lvl>
    <w:lvl w:ilvl="4">
      <w:start w:val="0"/>
      <w:numFmt w:val="bullet"/>
      <w:lvlText w:val="•"/>
      <w:lvlJc w:val="left"/>
      <w:pPr>
        <w:ind w:left="4248" w:hanging="363"/>
      </w:pPr>
      <w:rPr>
        <w:rFonts w:hint="default"/>
      </w:rPr>
    </w:lvl>
    <w:lvl w:ilvl="5">
      <w:start w:val="0"/>
      <w:numFmt w:val="bullet"/>
      <w:lvlText w:val="•"/>
      <w:lvlJc w:val="left"/>
      <w:pPr>
        <w:ind w:left="5070" w:hanging="363"/>
      </w:pPr>
      <w:rPr>
        <w:rFonts w:hint="default"/>
      </w:rPr>
    </w:lvl>
    <w:lvl w:ilvl="6">
      <w:start w:val="0"/>
      <w:numFmt w:val="bullet"/>
      <w:lvlText w:val="•"/>
      <w:lvlJc w:val="left"/>
      <w:pPr>
        <w:ind w:left="5892" w:hanging="363"/>
      </w:pPr>
      <w:rPr>
        <w:rFonts w:hint="default"/>
      </w:rPr>
    </w:lvl>
    <w:lvl w:ilvl="7">
      <w:start w:val="0"/>
      <w:numFmt w:val="bullet"/>
      <w:lvlText w:val="•"/>
      <w:lvlJc w:val="left"/>
      <w:pPr>
        <w:ind w:left="6714" w:hanging="363"/>
      </w:pPr>
      <w:rPr>
        <w:rFonts w:hint="default"/>
      </w:rPr>
    </w:lvl>
    <w:lvl w:ilvl="8">
      <w:start w:val="0"/>
      <w:numFmt w:val="bullet"/>
      <w:lvlText w:val="•"/>
      <w:lvlJc w:val="left"/>
      <w:pPr>
        <w:ind w:left="7536" w:hanging="363"/>
      </w:pPr>
      <w:rPr>
        <w:rFonts w:hint="default"/>
      </w:rPr>
    </w:lvl>
  </w:abstractNum>
  <w:num w:numId="19">
    <w:abstractNumId w:val="18"/>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20"/>
      <w:ind w:left="1137" w:hanging="901"/>
    </w:pPr>
    <w:rPr>
      <w:rFonts w:ascii="Arial" w:hAnsi="Arial" w:eastAsia="Arial" w:cs="Arial"/>
      <w:b/>
      <w:bCs/>
      <w:sz w:val="24"/>
      <w:szCs w:val="24"/>
    </w:rPr>
  </w:style>
  <w:style w:styleId="TOC2" w:type="paragraph">
    <w:name w:val="TOC 2"/>
    <w:basedOn w:val="Normal"/>
    <w:uiPriority w:val="1"/>
    <w:qFormat/>
    <w:pPr>
      <w:spacing w:before="120"/>
      <w:ind w:left="237"/>
    </w:pPr>
    <w:rPr>
      <w:rFonts w:ascii="Arial" w:hAnsi="Arial" w:eastAsia="Arial" w:cs="Arial"/>
      <w:b/>
      <w:bCs/>
      <w:i/>
      <w:iCs/>
    </w:rPr>
  </w:style>
  <w:style w:styleId="TOC3" w:type="paragraph">
    <w:name w:val="TOC 3"/>
    <w:basedOn w:val="Normal"/>
    <w:uiPriority w:val="1"/>
    <w:qFormat/>
    <w:pPr>
      <w:spacing w:before="120"/>
      <w:ind w:left="1137" w:hanging="661"/>
    </w:pPr>
    <w:rPr>
      <w:rFonts w:ascii="Arial" w:hAnsi="Arial" w:eastAsia="Arial" w:cs="Arial"/>
      <w:sz w:val="24"/>
      <w:szCs w:val="24"/>
    </w:rPr>
  </w:style>
  <w:style w:styleId="TOC4" w:type="paragraph">
    <w:name w:val="TOC 4"/>
    <w:basedOn w:val="Normal"/>
    <w:uiPriority w:val="1"/>
    <w:qFormat/>
    <w:pPr>
      <w:ind w:left="1137"/>
    </w:pPr>
    <w:rPr>
      <w:rFonts w:ascii="Arial" w:hAnsi="Arial" w:eastAsia="Arial" w:cs="Arial"/>
      <w:sz w:val="24"/>
      <w:szCs w:val="24"/>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77"/>
      <w:ind w:left="420"/>
      <w:outlineLvl w:val="1"/>
    </w:pPr>
    <w:rPr>
      <w:rFonts w:ascii="Arial" w:hAnsi="Arial" w:eastAsia="Arial" w:cs="Arial"/>
      <w:b/>
      <w:bCs/>
      <w:sz w:val="32"/>
      <w:szCs w:val="32"/>
    </w:rPr>
  </w:style>
  <w:style w:styleId="Heading2" w:type="paragraph">
    <w:name w:val="Heading 2"/>
    <w:basedOn w:val="Normal"/>
    <w:uiPriority w:val="1"/>
    <w:qFormat/>
    <w:pPr>
      <w:spacing w:before="219"/>
      <w:ind w:left="957" w:hanging="721"/>
      <w:outlineLvl w:val="2"/>
    </w:pPr>
    <w:rPr>
      <w:rFonts w:ascii="Arial" w:hAnsi="Arial" w:eastAsia="Arial" w:cs="Arial"/>
      <w:b/>
      <w:bCs/>
      <w:i/>
      <w:iCs/>
      <w:sz w:val="28"/>
      <w:szCs w:val="28"/>
    </w:rPr>
  </w:style>
  <w:style w:styleId="Heading3" w:type="paragraph">
    <w:name w:val="Heading 3"/>
    <w:basedOn w:val="Normal"/>
    <w:uiPriority w:val="1"/>
    <w:qFormat/>
    <w:pPr>
      <w:ind w:left="420"/>
      <w:jc w:val="both"/>
      <w:outlineLvl w:val="3"/>
    </w:pPr>
    <w:rPr>
      <w:rFonts w:ascii="Arial" w:hAnsi="Arial" w:eastAsia="Arial" w:cs="Arial"/>
      <w:b/>
      <w:bCs/>
      <w:sz w:val="26"/>
      <w:szCs w:val="26"/>
    </w:rPr>
  </w:style>
  <w:style w:styleId="Heading4" w:type="paragraph">
    <w:name w:val="Heading 4"/>
    <w:basedOn w:val="Normal"/>
    <w:uiPriority w:val="1"/>
    <w:qFormat/>
    <w:pPr>
      <w:ind w:left="420"/>
      <w:jc w:val="both"/>
      <w:outlineLvl w:val="4"/>
    </w:pPr>
    <w:rPr>
      <w:rFonts w:ascii="Arial" w:hAnsi="Arial" w:eastAsia="Arial" w:cs="Arial"/>
      <w:b/>
      <w:bCs/>
      <w:sz w:val="24"/>
      <w:szCs w:val="24"/>
      <w:u w:val="single" w:color="000000"/>
    </w:rPr>
  </w:style>
  <w:style w:styleId="Heading5" w:type="paragraph">
    <w:name w:val="Heading 5"/>
    <w:basedOn w:val="Normal"/>
    <w:uiPriority w:val="1"/>
    <w:qFormat/>
    <w:pPr>
      <w:ind w:left="237"/>
      <w:jc w:val="both"/>
      <w:outlineLvl w:val="5"/>
    </w:pPr>
    <w:rPr>
      <w:rFonts w:ascii="Arial" w:hAnsi="Arial" w:eastAsia="Arial" w:cs="Arial"/>
      <w:b/>
      <w:bCs/>
      <w:i/>
      <w:iCs/>
      <w:sz w:val="24"/>
      <w:szCs w:val="24"/>
    </w:rPr>
  </w:style>
  <w:style w:styleId="Title" w:type="paragraph">
    <w:name w:val="Title"/>
    <w:basedOn w:val="Normal"/>
    <w:uiPriority w:val="1"/>
    <w:qFormat/>
    <w:pPr>
      <w:ind w:left="902" w:right="960"/>
      <w:jc w:val="center"/>
    </w:pPr>
    <w:rPr>
      <w:rFonts w:ascii="Arial" w:hAnsi="Arial" w:eastAsia="Arial" w:cs="Arial"/>
      <w:b/>
      <w:bCs/>
      <w:sz w:val="36"/>
      <w:szCs w:val="36"/>
    </w:rPr>
  </w:style>
  <w:style w:styleId="ListParagraph" w:type="paragraph">
    <w:name w:val="List Paragraph"/>
    <w:basedOn w:val="Normal"/>
    <w:uiPriority w:val="1"/>
    <w:qFormat/>
    <w:pPr>
      <w:spacing w:before="120"/>
      <w:ind w:left="1140" w:hanging="357"/>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mailto:abcb.office@abcb.gov.au"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yperlink" Target="http://www.pc.gov.au/" TargetMode="External"/><Relationship Id="rId12" Type="http://schemas.openxmlformats.org/officeDocument/2006/relationships/hyperlink" Target="http://www.dsc.wa.gov.au/dsc/content/2002annual_report/content/trends_issues/page02.asp" TargetMode="External"/><Relationship Id="rId13" Type="http://schemas.openxmlformats.org/officeDocument/2006/relationships/hyperlink" Target="http://www.cato.org/pubs/regulation/regv23n1/deleire.pdf" TargetMode="External"/><Relationship Id="rId14" Type="http://schemas.openxmlformats.org/officeDocument/2006/relationships/hyperlink" Target="http://www.infouse.com/disabilitydata/workdisability_2_9.html" TargetMode="Externa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yperlink" Target="http://www.propertyoz.com.au/nsw/advoc/subs/Access%20Economics%20Stamp%20Duty%252" TargetMode="Externa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hyperlink" Target="http://www.ncc.gov.au/"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foxste</dc:creator>
  <dc:title>REGULATORY IMPACT STATEMENT</dc:title>
  <dcterms:created xsi:type="dcterms:W3CDTF">2022-11-01T11:43:14Z</dcterms:created>
  <dcterms:modified xsi:type="dcterms:W3CDTF">2022-11-01T11:43:14Z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2010-02-12T00:00:00Z</vt:filetime>
  </property>
  <property fmtid="{D5CDD505-2E9C-101B-9397-08002B2CF9AE}" pid="3" name="Creator">
    <vt:lpwstr>Acrobat PDFMaker 7.0 for Word</vt:lpwstr>
  </property>
  <property fmtid="{D5CDD505-2E9C-101B-9397-08002B2CF9AE}" pid="4" name="LastSaved">
    <vt:filetime>2022-11-01T00:00:00Z</vt:filetime>
  </property>
</Properties>
</file>