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80" w:rsidRDefault="005C3480">
      <w:pPr>
        <w:pStyle w:val="Title"/>
        <w:spacing w:before="120"/>
        <w:rPr>
          <w:sz w:val="26"/>
        </w:rPr>
      </w:pPr>
      <w:r>
        <w:rPr>
          <w:sz w:val="26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</w:rPr>
            <w:t>Australia</w:t>
          </w:r>
        </w:smartTag>
      </w:smartTag>
    </w:p>
    <w:p w:rsidR="005C3480" w:rsidRDefault="005C3480">
      <w:pPr>
        <w:pStyle w:val="citation"/>
      </w:pPr>
      <w:r>
        <w:t>Telecommunications (Consumer Protection and Service Standards) Act 1999</w:t>
      </w:r>
    </w:p>
    <w:p w:rsidR="005C3480" w:rsidRDefault="005C3480">
      <w:pPr>
        <w:pStyle w:val="Title"/>
      </w:pPr>
      <w:bookmarkStart w:id="0" w:name="OLE_LINK1"/>
      <w:bookmarkStart w:id="1" w:name="OLE_LINK2"/>
      <w:r>
        <w:t xml:space="preserve">Telecommunications (Customer Service Guarantee) Direction </w:t>
      </w:r>
      <w:r w:rsidR="00C45687">
        <w:t>(</w:t>
      </w:r>
      <w:r w:rsidR="00671C01">
        <w:t>No. 1</w:t>
      </w:r>
      <w:r w:rsidR="00C45687">
        <w:t>) 2011</w:t>
      </w:r>
    </w:p>
    <w:bookmarkEnd w:id="0"/>
    <w:bookmarkEnd w:id="1"/>
    <w:p w:rsidR="005C3480" w:rsidRDefault="005C3480">
      <w:pPr>
        <w:spacing w:before="600"/>
        <w:jc w:val="both"/>
      </w:pPr>
      <w:r>
        <w:t xml:space="preserve">I, </w:t>
      </w:r>
      <w:r w:rsidR="00C45687">
        <w:t>STEPHEN MICHAEL CONROY</w:t>
      </w:r>
      <w:r>
        <w:rPr>
          <w:caps/>
        </w:rPr>
        <w:t xml:space="preserve">, </w:t>
      </w:r>
      <w:r>
        <w:t xml:space="preserve">Minister for </w:t>
      </w:r>
      <w:r w:rsidR="00C45687">
        <w:t xml:space="preserve">Broadband, </w:t>
      </w:r>
      <w:r>
        <w:t xml:space="preserve">Communications, </w:t>
      </w:r>
      <w:r w:rsidR="00C45687">
        <w:t>and the Digital Economy</w:t>
      </w:r>
      <w:r>
        <w:rPr>
          <w:caps/>
        </w:rPr>
        <w:t>,</w:t>
      </w:r>
      <w:r>
        <w:t xml:space="preserve"> give the following Direction under section 124 of the </w:t>
      </w:r>
      <w:r>
        <w:rPr>
          <w:i/>
        </w:rPr>
        <w:t>Telecommunications (Consumer Protection and Service Standards) Act 1999</w:t>
      </w:r>
      <w:r>
        <w:t>.</w:t>
      </w:r>
    </w:p>
    <w:p w:rsidR="005C3480" w:rsidRDefault="005C3480">
      <w:pPr>
        <w:tabs>
          <w:tab w:val="clear" w:pos="540"/>
          <w:tab w:val="center" w:pos="3960"/>
        </w:tabs>
        <w:spacing w:before="300" w:line="240" w:lineRule="atLeast"/>
      </w:pPr>
      <w:proofErr w:type="gramStart"/>
      <w:r>
        <w:t xml:space="preserve">Dated </w:t>
      </w:r>
      <w:r w:rsidR="00C45687">
        <w:tab/>
      </w:r>
      <w:r w:rsidR="00187FAC">
        <w:t>7/03/</w:t>
      </w:r>
      <w:r w:rsidR="00C45687">
        <w:t>2011</w:t>
      </w:r>
      <w:r>
        <w:t>.</w:t>
      </w:r>
      <w:proofErr w:type="gramEnd"/>
    </w:p>
    <w:p w:rsidR="005C3480" w:rsidRDefault="005C3480"/>
    <w:p w:rsidR="005C3480" w:rsidRDefault="005C3480">
      <w:pPr>
        <w:tabs>
          <w:tab w:val="center" w:pos="5840"/>
          <w:tab w:val="right" w:pos="7200"/>
        </w:tabs>
      </w:pPr>
    </w:p>
    <w:p w:rsidR="005C3480" w:rsidRDefault="005C3480">
      <w:r>
        <w:tab/>
      </w:r>
      <w:r>
        <w:tab/>
      </w:r>
      <w:r>
        <w:tab/>
      </w:r>
      <w:r>
        <w:tab/>
      </w:r>
    </w:p>
    <w:p w:rsidR="00671C01" w:rsidRDefault="00671C01"/>
    <w:p w:rsidR="006315F7" w:rsidRDefault="00C45687" w:rsidP="007B5179">
      <w:pPr>
        <w:jc w:val="center"/>
      </w:pPr>
      <w:r>
        <w:t>STEPHEN CONROY</w:t>
      </w:r>
    </w:p>
    <w:p w:rsidR="005C3480" w:rsidRDefault="005C3480">
      <w:pPr>
        <w:jc w:val="center"/>
      </w:pPr>
      <w:r>
        <w:t xml:space="preserve">Minister for </w:t>
      </w:r>
      <w:r w:rsidR="00C45687">
        <w:t>Broadband, Communications and the Digital Economy</w:t>
      </w:r>
    </w:p>
    <w:p w:rsidR="005C3480" w:rsidRDefault="005C3480">
      <w:pPr>
        <w:spacing w:before="120" w:line="240" w:lineRule="atLeast"/>
        <w:jc w:val="center"/>
      </w:pPr>
      <w:r>
        <w:t>____________</w:t>
      </w:r>
    </w:p>
    <w:p w:rsidR="005C3480" w:rsidRPr="00671C01" w:rsidRDefault="00671C01" w:rsidP="00671C01">
      <w:pPr>
        <w:pStyle w:val="HR"/>
        <w:tabs>
          <w:tab w:val="left" w:pos="709"/>
          <w:tab w:val="left" w:pos="851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 of Direction</w:t>
      </w:r>
    </w:p>
    <w:p w:rsidR="005C3480" w:rsidRDefault="005C3480" w:rsidP="00BE751A">
      <w:pPr>
        <w:pStyle w:val="R1"/>
        <w:tabs>
          <w:tab w:val="clear" w:pos="1080"/>
          <w:tab w:val="clear" w:pos="1260"/>
          <w:tab w:val="clear" w:pos="1800"/>
          <w:tab w:val="left" w:pos="0"/>
          <w:tab w:val="left" w:pos="851"/>
        </w:tabs>
        <w:ind w:left="851"/>
        <w:jc w:val="left"/>
      </w:pPr>
      <w:r>
        <w:t xml:space="preserve">This Direction </w:t>
      </w:r>
      <w:r w:rsidR="00671C01">
        <w:t>is</w:t>
      </w:r>
      <w:r>
        <w:t xml:space="preserve"> the </w:t>
      </w:r>
      <w:r w:rsidR="00C45687" w:rsidRPr="00C45687">
        <w:rPr>
          <w:i/>
        </w:rPr>
        <w:t>Telecommunications (Customer Service Guarantee) Direction (No. 1) 2011</w:t>
      </w:r>
      <w:r>
        <w:t>.</w:t>
      </w:r>
    </w:p>
    <w:p w:rsidR="005C3480" w:rsidRPr="00655607" w:rsidRDefault="00671C01" w:rsidP="00655607">
      <w:pPr>
        <w:pStyle w:val="HR"/>
        <w:tabs>
          <w:tab w:val="clear" w:pos="540"/>
          <w:tab w:val="left" w:pos="851"/>
        </w:tabs>
        <w:rPr>
          <w:rFonts w:ascii="Arial" w:hAnsi="Arial"/>
          <w:bCs/>
        </w:rPr>
      </w:pPr>
      <w:r w:rsidRPr="00655607">
        <w:rPr>
          <w:rFonts w:ascii="Arial" w:hAnsi="Arial"/>
          <w:bCs/>
        </w:rPr>
        <w:t>2</w:t>
      </w:r>
      <w:r w:rsidRPr="00655607">
        <w:rPr>
          <w:rFonts w:ascii="Arial" w:hAnsi="Arial"/>
          <w:bCs/>
        </w:rPr>
        <w:tab/>
        <w:t>Commencement</w:t>
      </w:r>
    </w:p>
    <w:p w:rsidR="005C3480" w:rsidRDefault="005C3480" w:rsidP="00BE751A">
      <w:pPr>
        <w:pStyle w:val="R1"/>
        <w:tabs>
          <w:tab w:val="clear" w:pos="1080"/>
          <w:tab w:val="clear" w:pos="1260"/>
          <w:tab w:val="clear" w:pos="1800"/>
          <w:tab w:val="left" w:pos="851"/>
        </w:tabs>
        <w:ind w:left="851"/>
        <w:jc w:val="left"/>
      </w:pPr>
      <w:r>
        <w:t xml:space="preserve">This Direction commences on </w:t>
      </w:r>
      <w:r w:rsidR="00655607">
        <w:t>the day after it is registered on the Federal Register of Legislative Instruments</w:t>
      </w:r>
      <w:r>
        <w:t>.</w:t>
      </w:r>
    </w:p>
    <w:p w:rsidR="002709D3" w:rsidRDefault="002709D3" w:rsidP="002709D3">
      <w:pPr>
        <w:pStyle w:val="HR"/>
        <w:tabs>
          <w:tab w:val="left" w:pos="851"/>
        </w:tabs>
        <w:rPr>
          <w:rFonts w:ascii="Arial" w:hAnsi="Arial"/>
          <w:bCs/>
        </w:rPr>
      </w:pPr>
      <w:r>
        <w:rPr>
          <w:rFonts w:ascii="Arial" w:hAnsi="Arial"/>
          <w:bCs/>
        </w:rPr>
        <w:t>3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C45687">
        <w:rPr>
          <w:rFonts w:ascii="Arial" w:hAnsi="Arial"/>
          <w:bCs/>
        </w:rPr>
        <w:t>Definitions</w:t>
      </w:r>
    </w:p>
    <w:p w:rsidR="00C45687" w:rsidRDefault="002709D3" w:rsidP="002709D3">
      <w:pPr>
        <w:pStyle w:val="R1"/>
        <w:tabs>
          <w:tab w:val="clear" w:pos="1080"/>
          <w:tab w:val="clear" w:pos="1260"/>
          <w:tab w:val="clear" w:pos="1800"/>
          <w:tab w:val="left" w:pos="851"/>
        </w:tabs>
        <w:ind w:left="851" w:hanging="851"/>
      </w:pPr>
      <w:r>
        <w:tab/>
      </w:r>
      <w:r w:rsidR="00C45687">
        <w:t>In this Direction:</w:t>
      </w:r>
    </w:p>
    <w:p w:rsidR="00026037" w:rsidRPr="00026037" w:rsidRDefault="00026037" w:rsidP="00A10477">
      <w:pPr>
        <w:pStyle w:val="R1"/>
        <w:tabs>
          <w:tab w:val="clear" w:pos="1080"/>
          <w:tab w:val="clear" w:pos="1260"/>
          <w:tab w:val="clear" w:pos="1800"/>
          <w:tab w:val="left" w:pos="851"/>
        </w:tabs>
        <w:ind w:left="851"/>
        <w:jc w:val="left"/>
        <w:rPr>
          <w:i/>
        </w:rPr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Telecommunications (Consumer Protection and Service Standards) Act 1999.</w:t>
      </w:r>
    </w:p>
    <w:p w:rsidR="00A10477" w:rsidRDefault="00A10477" w:rsidP="00A10477">
      <w:pPr>
        <w:pStyle w:val="R1"/>
        <w:tabs>
          <w:tab w:val="clear" w:pos="1080"/>
          <w:tab w:val="clear" w:pos="1260"/>
          <w:tab w:val="clear" w:pos="1800"/>
          <w:tab w:val="left" w:pos="851"/>
        </w:tabs>
        <w:ind w:left="851"/>
        <w:jc w:val="left"/>
      </w:pPr>
      <w:r w:rsidRPr="00026037">
        <w:rPr>
          <w:b/>
          <w:i/>
        </w:rPr>
        <w:t>ACMA</w:t>
      </w:r>
      <w:r w:rsidRPr="00A10477">
        <w:t xml:space="preserve"> </w:t>
      </w:r>
      <w:r>
        <w:t>means the Australian Communications and Media Authority.</w:t>
      </w:r>
      <w:r w:rsidR="00C45687">
        <w:tab/>
      </w:r>
    </w:p>
    <w:p w:rsidR="00655607" w:rsidRDefault="00EC7835" w:rsidP="00BA7A81">
      <w:pPr>
        <w:pStyle w:val="HR"/>
        <w:tabs>
          <w:tab w:val="clear" w:pos="540"/>
          <w:tab w:val="left" w:pos="851"/>
        </w:tabs>
        <w:rPr>
          <w:rFonts w:ascii="Arial" w:hAnsi="Arial"/>
          <w:bCs/>
        </w:rPr>
      </w:pPr>
      <w:r>
        <w:rPr>
          <w:rFonts w:ascii="Arial" w:hAnsi="Arial"/>
          <w:bCs/>
        </w:rPr>
        <w:br w:type="column"/>
      </w:r>
      <w:r w:rsidR="002709D3">
        <w:rPr>
          <w:rFonts w:ascii="Arial" w:hAnsi="Arial"/>
          <w:bCs/>
        </w:rPr>
        <w:lastRenderedPageBreak/>
        <w:t>4</w:t>
      </w:r>
      <w:r>
        <w:rPr>
          <w:rFonts w:ascii="Arial" w:hAnsi="Arial"/>
          <w:bCs/>
        </w:rPr>
        <w:tab/>
      </w:r>
      <w:r w:rsidR="00C45687">
        <w:rPr>
          <w:rFonts w:ascii="Arial" w:hAnsi="Arial"/>
          <w:bCs/>
        </w:rPr>
        <w:t>Direction</w:t>
      </w:r>
    </w:p>
    <w:p w:rsidR="00314B4B" w:rsidRDefault="00C45687" w:rsidP="00EC7835">
      <w:pPr>
        <w:pStyle w:val="R1"/>
        <w:tabs>
          <w:tab w:val="clear" w:pos="1080"/>
          <w:tab w:val="clear" w:pos="1260"/>
          <w:tab w:val="clear" w:pos="1800"/>
          <w:tab w:val="left" w:pos="851"/>
        </w:tabs>
        <w:ind w:left="851"/>
        <w:jc w:val="left"/>
      </w:pPr>
      <w:r>
        <w:t>I direct the ACMA</w:t>
      </w:r>
      <w:r w:rsidR="00026037">
        <w:t xml:space="preserve"> </w:t>
      </w:r>
      <w:r>
        <w:t>to</w:t>
      </w:r>
      <w:r w:rsidR="00515B89">
        <w:t xml:space="preserve"> </w:t>
      </w:r>
      <w:r w:rsidR="00A10477">
        <w:t>make a standard</w:t>
      </w:r>
      <w:r w:rsidR="00131DC2">
        <w:t xml:space="preserve"> under section 115</w:t>
      </w:r>
      <w:r w:rsidR="00EC7835">
        <w:t xml:space="preserve"> </w:t>
      </w:r>
      <w:r w:rsidR="00131DC2">
        <w:t>of the Act</w:t>
      </w:r>
      <w:r w:rsidR="00515B89">
        <w:t xml:space="preserve"> </w:t>
      </w:r>
      <w:r w:rsidR="00720DAF">
        <w:t>i</w:t>
      </w:r>
      <w:r w:rsidR="00314B4B">
        <w:t xml:space="preserve">n </w:t>
      </w:r>
      <w:r w:rsidR="00720DAF">
        <w:t xml:space="preserve">the same terms as the </w:t>
      </w:r>
      <w:r w:rsidR="00720DAF" w:rsidRPr="00026037">
        <w:rPr>
          <w:i/>
        </w:rPr>
        <w:t>Telecommunications (Customer Service Guarantee) Standard 2000 (No.2)</w:t>
      </w:r>
      <w:r w:rsidR="001A54B9" w:rsidRPr="001A54B9">
        <w:t xml:space="preserve">, as </w:t>
      </w:r>
      <w:r w:rsidR="00314B4B">
        <w:t xml:space="preserve">in force on 23 December 2009.  </w:t>
      </w:r>
    </w:p>
    <w:p w:rsidR="00314B4B" w:rsidRPr="00314B4B" w:rsidRDefault="00314B4B" w:rsidP="00314B4B">
      <w:pPr>
        <w:pStyle w:val="P1"/>
      </w:pPr>
    </w:p>
    <w:p w:rsidR="005C3480" w:rsidRDefault="005C3480" w:rsidP="00515B89">
      <w:pPr>
        <w:pStyle w:val="NoteEnd"/>
        <w:tabs>
          <w:tab w:val="right" w:pos="9498"/>
        </w:tabs>
        <w:ind w:left="0" w:right="-1020" w:firstLine="0"/>
        <w:jc w:val="center"/>
        <w:rPr>
          <w:b/>
          <w:sz w:val="26"/>
          <w:u w:val="single"/>
        </w:rPr>
      </w:pPr>
    </w:p>
    <w:sectPr w:rsidR="005C3480" w:rsidSect="00C428AC">
      <w:headerReference w:type="default" r:id="rId8"/>
      <w:footerReference w:type="default" r:id="rId9"/>
      <w:headerReference w:type="first" r:id="rId10"/>
      <w:footerReference w:type="first" r:id="rId11"/>
      <w:pgSz w:w="11880" w:h="16820"/>
      <w:pgMar w:top="1247" w:right="1532" w:bottom="170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37" w:rsidRDefault="00676137">
      <w:r>
        <w:separator/>
      </w:r>
    </w:p>
  </w:endnote>
  <w:endnote w:type="continuationSeparator" w:id="0">
    <w:p w:rsidR="00676137" w:rsidRDefault="0067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D5" w:rsidRDefault="005A00D5">
    <w:pPr>
      <w:pStyle w:val="Footer"/>
      <w:rPr>
        <w:b/>
        <w:sz w:val="2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D5" w:rsidRDefault="005A00D5">
    <w:pPr>
      <w:pStyle w:val="Footer"/>
      <w:widowControl w:val="0"/>
      <w:jc w:val="center"/>
      <w:rPr>
        <w:b/>
        <w:sz w:val="48"/>
      </w:rPr>
    </w:pPr>
  </w:p>
  <w:p w:rsidR="005A00D5" w:rsidRDefault="005A00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37" w:rsidRDefault="00676137">
      <w:r>
        <w:separator/>
      </w:r>
    </w:p>
  </w:footnote>
  <w:footnote w:type="continuationSeparator" w:id="0">
    <w:p w:rsidR="00676137" w:rsidRDefault="00676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80" w:type="dxa"/>
        <w:right w:w="80" w:type="dxa"/>
      </w:tblCellMar>
      <w:tblLook w:val="0000"/>
    </w:tblPr>
    <w:tblGrid>
      <w:gridCol w:w="851"/>
      <w:gridCol w:w="8018"/>
      <w:gridCol w:w="850"/>
    </w:tblGrid>
    <w:tr w:rsidR="005A00D5">
      <w:trPr>
        <w:cantSplit/>
      </w:trPr>
      <w:tc>
        <w:tcPr>
          <w:tcW w:w="851" w:type="dxa"/>
        </w:tcPr>
        <w:p w:rsidR="005A00D5" w:rsidRDefault="005A00D5">
          <w:pPr>
            <w:widowControl w:val="0"/>
          </w:pPr>
        </w:p>
      </w:tc>
      <w:tc>
        <w:tcPr>
          <w:tcW w:w="8018" w:type="dxa"/>
        </w:tcPr>
        <w:p w:rsidR="005A00D5" w:rsidRDefault="005A00D5" w:rsidP="00026037">
          <w:pPr>
            <w:widowControl w:val="0"/>
            <w:jc w:val="center"/>
            <w:rPr>
              <w:i/>
            </w:rPr>
          </w:pPr>
          <w:r w:rsidRPr="00C45687">
            <w:rPr>
              <w:i/>
            </w:rPr>
            <w:t>Telecommunications (Customer Service Guarantee) Direction (No. 1) 2011</w:t>
          </w:r>
        </w:p>
      </w:tc>
      <w:tc>
        <w:tcPr>
          <w:tcW w:w="850" w:type="dxa"/>
        </w:tcPr>
        <w:p w:rsidR="005A00D5" w:rsidRDefault="005A00D5">
          <w:pPr>
            <w:widowControl w:val="0"/>
            <w:jc w:val="right"/>
          </w:pPr>
        </w:p>
      </w:tc>
    </w:tr>
  </w:tbl>
  <w:p w:rsidR="005A00D5" w:rsidRDefault="005A0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D5" w:rsidRDefault="005A00D5">
    <w:pPr>
      <w:widowControl w:val="0"/>
      <w:tabs>
        <w:tab w:val="center" w:pos="3629"/>
        <w:tab w:val="right" w:pos="7258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D2792F"/>
    <w:multiLevelType w:val="hybridMultilevel"/>
    <w:tmpl w:val="D0FAB3BE"/>
    <w:lvl w:ilvl="0" w:tplc="22A6BCEA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1712DC"/>
    <w:multiLevelType w:val="hybridMultilevel"/>
    <w:tmpl w:val="692C3D68"/>
    <w:lvl w:ilvl="0" w:tplc="1FD809E2">
      <w:start w:val="1"/>
      <w:numFmt w:val="lowerLetter"/>
      <w:lvlText w:val="(%1)"/>
      <w:lvlJc w:val="left"/>
      <w:pPr>
        <w:ind w:left="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76" w:hanging="360"/>
      </w:pPr>
    </w:lvl>
    <w:lvl w:ilvl="2" w:tplc="0C09001B" w:tentative="1">
      <w:start w:val="1"/>
      <w:numFmt w:val="lowerRoman"/>
      <w:lvlText w:val="%3."/>
      <w:lvlJc w:val="right"/>
      <w:pPr>
        <w:ind w:left="1796" w:hanging="180"/>
      </w:pPr>
    </w:lvl>
    <w:lvl w:ilvl="3" w:tplc="0C09000F" w:tentative="1">
      <w:start w:val="1"/>
      <w:numFmt w:val="decimal"/>
      <w:lvlText w:val="%4."/>
      <w:lvlJc w:val="left"/>
      <w:pPr>
        <w:ind w:left="2516" w:hanging="360"/>
      </w:pPr>
    </w:lvl>
    <w:lvl w:ilvl="4" w:tplc="0C090019" w:tentative="1">
      <w:start w:val="1"/>
      <w:numFmt w:val="lowerLetter"/>
      <w:lvlText w:val="%5."/>
      <w:lvlJc w:val="left"/>
      <w:pPr>
        <w:ind w:left="3236" w:hanging="360"/>
      </w:pPr>
    </w:lvl>
    <w:lvl w:ilvl="5" w:tplc="0C09001B" w:tentative="1">
      <w:start w:val="1"/>
      <w:numFmt w:val="lowerRoman"/>
      <w:lvlText w:val="%6."/>
      <w:lvlJc w:val="right"/>
      <w:pPr>
        <w:ind w:left="3956" w:hanging="180"/>
      </w:pPr>
    </w:lvl>
    <w:lvl w:ilvl="6" w:tplc="0C09000F" w:tentative="1">
      <w:start w:val="1"/>
      <w:numFmt w:val="decimal"/>
      <w:lvlText w:val="%7."/>
      <w:lvlJc w:val="left"/>
      <w:pPr>
        <w:ind w:left="4676" w:hanging="360"/>
      </w:pPr>
    </w:lvl>
    <w:lvl w:ilvl="7" w:tplc="0C090019" w:tentative="1">
      <w:start w:val="1"/>
      <w:numFmt w:val="lowerLetter"/>
      <w:lvlText w:val="%8."/>
      <w:lvlJc w:val="left"/>
      <w:pPr>
        <w:ind w:left="5396" w:hanging="360"/>
      </w:pPr>
    </w:lvl>
    <w:lvl w:ilvl="8" w:tplc="0C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>
    <w:nsid w:val="19F90ADC"/>
    <w:multiLevelType w:val="singleLevel"/>
    <w:tmpl w:val="9F38C8FA"/>
    <w:lvl w:ilvl="0">
      <w:start w:val="2"/>
      <w:numFmt w:val="lowerRoman"/>
      <w:lvlText w:val="(%1)"/>
      <w:lvlJc w:val="left"/>
      <w:pPr>
        <w:tabs>
          <w:tab w:val="num" w:pos="2195"/>
        </w:tabs>
        <w:ind w:left="2195" w:hanging="720"/>
      </w:pPr>
      <w:rPr>
        <w:rFonts w:hint="default"/>
      </w:rPr>
    </w:lvl>
  </w:abstractNum>
  <w:abstractNum w:abstractNumId="4">
    <w:nsid w:val="1E4A2FD1"/>
    <w:multiLevelType w:val="singleLevel"/>
    <w:tmpl w:val="2C9E18DC"/>
    <w:lvl w:ilvl="0">
      <w:start w:val="1"/>
      <w:numFmt w:val="lowerLetter"/>
      <w:lvlText w:val="(%1)"/>
      <w:lvlJc w:val="left"/>
      <w:pPr>
        <w:tabs>
          <w:tab w:val="num" w:pos="1271"/>
        </w:tabs>
        <w:ind w:left="1271" w:hanging="480"/>
      </w:pPr>
      <w:rPr>
        <w:rFonts w:hint="default"/>
      </w:rPr>
    </w:lvl>
  </w:abstractNum>
  <w:abstractNum w:abstractNumId="5">
    <w:nsid w:val="20087FBA"/>
    <w:multiLevelType w:val="hybridMultilevel"/>
    <w:tmpl w:val="B4F25238"/>
    <w:lvl w:ilvl="0" w:tplc="BB72A01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5A2943"/>
    <w:multiLevelType w:val="singleLevel"/>
    <w:tmpl w:val="4A703666"/>
    <w:lvl w:ilvl="0">
      <w:start w:val="1"/>
      <w:numFmt w:val="upperLetter"/>
      <w:lvlText w:val="(%1)"/>
      <w:lvlJc w:val="left"/>
      <w:pPr>
        <w:tabs>
          <w:tab w:val="num" w:pos="2700"/>
        </w:tabs>
        <w:ind w:left="2700" w:hanging="525"/>
      </w:pPr>
      <w:rPr>
        <w:rFonts w:hint="default"/>
      </w:rPr>
    </w:lvl>
  </w:abstractNum>
  <w:abstractNum w:abstractNumId="7">
    <w:nsid w:val="3D0A5737"/>
    <w:multiLevelType w:val="singleLevel"/>
    <w:tmpl w:val="3218434C"/>
    <w:lvl w:ilvl="0">
      <w:start w:val="3"/>
      <w:numFmt w:val="decimal"/>
      <w:lvlText w:val="(%1)"/>
      <w:lvlJc w:val="left"/>
      <w:pPr>
        <w:tabs>
          <w:tab w:val="num" w:pos="1260"/>
        </w:tabs>
        <w:ind w:left="1260" w:hanging="495"/>
      </w:pPr>
      <w:rPr>
        <w:rFonts w:hint="default"/>
      </w:rPr>
    </w:lvl>
  </w:abstractNum>
  <w:abstractNum w:abstractNumId="8">
    <w:nsid w:val="4617251B"/>
    <w:multiLevelType w:val="singleLevel"/>
    <w:tmpl w:val="784A435E"/>
    <w:lvl w:ilvl="0">
      <w:start w:val="1"/>
      <w:numFmt w:val="lowerLetter"/>
      <w:lvlText w:val="(%1)"/>
      <w:lvlJc w:val="left"/>
      <w:pPr>
        <w:tabs>
          <w:tab w:val="num" w:pos="1271"/>
        </w:tabs>
        <w:ind w:left="1271" w:hanging="480"/>
      </w:pPr>
      <w:rPr>
        <w:rFonts w:hint="default"/>
      </w:rPr>
    </w:lvl>
  </w:abstractNum>
  <w:abstractNum w:abstractNumId="9">
    <w:nsid w:val="51DC3AF5"/>
    <w:multiLevelType w:val="singleLevel"/>
    <w:tmpl w:val="00CCE972"/>
    <w:lvl w:ilvl="0">
      <w:start w:val="1"/>
      <w:numFmt w:val="lowerLetter"/>
      <w:lvlText w:val="(%1)"/>
      <w:lvlJc w:val="left"/>
      <w:pPr>
        <w:tabs>
          <w:tab w:val="num" w:pos="1271"/>
        </w:tabs>
        <w:ind w:left="1271" w:hanging="480"/>
      </w:pPr>
      <w:rPr>
        <w:rFonts w:hint="default"/>
      </w:rPr>
    </w:lvl>
  </w:abstractNum>
  <w:abstractNum w:abstractNumId="10">
    <w:nsid w:val="5787247E"/>
    <w:multiLevelType w:val="hybridMultilevel"/>
    <w:tmpl w:val="C5CCB056"/>
    <w:lvl w:ilvl="0" w:tplc="91CA9B6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E351C0C"/>
    <w:multiLevelType w:val="singleLevel"/>
    <w:tmpl w:val="7FEE482A"/>
    <w:lvl w:ilvl="0">
      <w:start w:val="2"/>
      <w:numFmt w:val="lowerLetter"/>
      <w:lvlText w:val="(%1)"/>
      <w:lvlJc w:val="left"/>
      <w:pPr>
        <w:tabs>
          <w:tab w:val="num" w:pos="1271"/>
        </w:tabs>
        <w:ind w:left="1271" w:hanging="495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en-AU" w:vendorID="8" w:dllVersion="513" w:checkStyle="1"/>
  <w:proofState w:spelling="clean" w:grammar="clean"/>
  <w:stylePaneFormatFilter w:val="3F01"/>
  <w:trackRevisions/>
  <w:doNotTrackMoves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showBreaksInFrames/>
    <w:suppressTopSpacing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21"/>
    <w:rsid w:val="0000168A"/>
    <w:rsid w:val="00003ADF"/>
    <w:rsid w:val="00012D8B"/>
    <w:rsid w:val="00016110"/>
    <w:rsid w:val="000245C0"/>
    <w:rsid w:val="00026037"/>
    <w:rsid w:val="0004368E"/>
    <w:rsid w:val="000466E2"/>
    <w:rsid w:val="000661E5"/>
    <w:rsid w:val="00073884"/>
    <w:rsid w:val="00097C1E"/>
    <w:rsid w:val="000B6FE2"/>
    <w:rsid w:val="000C443C"/>
    <w:rsid w:val="000F1A15"/>
    <w:rsid w:val="00112D65"/>
    <w:rsid w:val="00131DC2"/>
    <w:rsid w:val="001440C5"/>
    <w:rsid w:val="00170CC9"/>
    <w:rsid w:val="00187FAC"/>
    <w:rsid w:val="001908C0"/>
    <w:rsid w:val="00196887"/>
    <w:rsid w:val="001A54B9"/>
    <w:rsid w:val="001A5D42"/>
    <w:rsid w:val="001C4062"/>
    <w:rsid w:val="001D3F57"/>
    <w:rsid w:val="001D53A4"/>
    <w:rsid w:val="001F2AFF"/>
    <w:rsid w:val="002634FE"/>
    <w:rsid w:val="00267E6A"/>
    <w:rsid w:val="002705DC"/>
    <w:rsid w:val="002709D3"/>
    <w:rsid w:val="00287A8B"/>
    <w:rsid w:val="002A21D7"/>
    <w:rsid w:val="002C2CA3"/>
    <w:rsid w:val="002E174E"/>
    <w:rsid w:val="002F31A2"/>
    <w:rsid w:val="00314B4B"/>
    <w:rsid w:val="0034614E"/>
    <w:rsid w:val="00352DF8"/>
    <w:rsid w:val="0035494F"/>
    <w:rsid w:val="00383A0B"/>
    <w:rsid w:val="003E6023"/>
    <w:rsid w:val="0041241B"/>
    <w:rsid w:val="004168CD"/>
    <w:rsid w:val="004242D1"/>
    <w:rsid w:val="00426F2A"/>
    <w:rsid w:val="00474B67"/>
    <w:rsid w:val="004B1C49"/>
    <w:rsid w:val="004F1578"/>
    <w:rsid w:val="00500BF0"/>
    <w:rsid w:val="00515B89"/>
    <w:rsid w:val="00530C3A"/>
    <w:rsid w:val="005650B9"/>
    <w:rsid w:val="00596157"/>
    <w:rsid w:val="005A00D5"/>
    <w:rsid w:val="005A3059"/>
    <w:rsid w:val="005A7064"/>
    <w:rsid w:val="005C3480"/>
    <w:rsid w:val="005E4999"/>
    <w:rsid w:val="005E7B21"/>
    <w:rsid w:val="005F2CC4"/>
    <w:rsid w:val="00607EF9"/>
    <w:rsid w:val="00612378"/>
    <w:rsid w:val="006315F7"/>
    <w:rsid w:val="00646585"/>
    <w:rsid w:val="006538E3"/>
    <w:rsid w:val="00655607"/>
    <w:rsid w:val="00671C01"/>
    <w:rsid w:val="00676137"/>
    <w:rsid w:val="006E08D4"/>
    <w:rsid w:val="006E4868"/>
    <w:rsid w:val="00710FB0"/>
    <w:rsid w:val="00720DAF"/>
    <w:rsid w:val="0074035D"/>
    <w:rsid w:val="00742BC0"/>
    <w:rsid w:val="00752742"/>
    <w:rsid w:val="00752A5B"/>
    <w:rsid w:val="007910E5"/>
    <w:rsid w:val="007A1D4A"/>
    <w:rsid w:val="007B5179"/>
    <w:rsid w:val="00802248"/>
    <w:rsid w:val="00803A4A"/>
    <w:rsid w:val="0082668D"/>
    <w:rsid w:val="00830514"/>
    <w:rsid w:val="00833D95"/>
    <w:rsid w:val="00842351"/>
    <w:rsid w:val="00870EC2"/>
    <w:rsid w:val="008C654E"/>
    <w:rsid w:val="008C7E81"/>
    <w:rsid w:val="008E0279"/>
    <w:rsid w:val="008E5348"/>
    <w:rsid w:val="00901311"/>
    <w:rsid w:val="009035CD"/>
    <w:rsid w:val="00913B3A"/>
    <w:rsid w:val="00915686"/>
    <w:rsid w:val="009567C3"/>
    <w:rsid w:val="009A436A"/>
    <w:rsid w:val="009C3C98"/>
    <w:rsid w:val="009D0A02"/>
    <w:rsid w:val="009E2B3A"/>
    <w:rsid w:val="00A10477"/>
    <w:rsid w:val="00A50728"/>
    <w:rsid w:val="00A62FDD"/>
    <w:rsid w:val="00A91089"/>
    <w:rsid w:val="00A9131C"/>
    <w:rsid w:val="00A91D7E"/>
    <w:rsid w:val="00AA4E0B"/>
    <w:rsid w:val="00AE20C7"/>
    <w:rsid w:val="00AE4E5E"/>
    <w:rsid w:val="00AF05F2"/>
    <w:rsid w:val="00AF1912"/>
    <w:rsid w:val="00B459A3"/>
    <w:rsid w:val="00B64D0E"/>
    <w:rsid w:val="00B91ADF"/>
    <w:rsid w:val="00BA6F52"/>
    <w:rsid w:val="00BA7A81"/>
    <w:rsid w:val="00BE751A"/>
    <w:rsid w:val="00BF75DC"/>
    <w:rsid w:val="00C01048"/>
    <w:rsid w:val="00C428AC"/>
    <w:rsid w:val="00C45687"/>
    <w:rsid w:val="00C51F2F"/>
    <w:rsid w:val="00C744ED"/>
    <w:rsid w:val="00D74859"/>
    <w:rsid w:val="00D915FA"/>
    <w:rsid w:val="00DC7A47"/>
    <w:rsid w:val="00DE72EE"/>
    <w:rsid w:val="00E05B8F"/>
    <w:rsid w:val="00E41545"/>
    <w:rsid w:val="00E90461"/>
    <w:rsid w:val="00E91B91"/>
    <w:rsid w:val="00E950F5"/>
    <w:rsid w:val="00EC7835"/>
    <w:rsid w:val="00ED0FBC"/>
    <w:rsid w:val="00EE3893"/>
    <w:rsid w:val="00F071B3"/>
    <w:rsid w:val="00F42F13"/>
    <w:rsid w:val="00FA757B"/>
    <w:rsid w:val="00FC7888"/>
    <w:rsid w:val="00FD6390"/>
    <w:rsid w:val="00FF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AC"/>
    <w:pPr>
      <w:tabs>
        <w:tab w:val="left" w:pos="540"/>
      </w:tabs>
      <w:spacing w:line="300" w:lineRule="atLeast"/>
    </w:pPr>
    <w:rPr>
      <w:rFonts w:ascii="Times" w:hAnsi="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C428AC"/>
    <w:pPr>
      <w:tabs>
        <w:tab w:val="center" w:pos="3600"/>
        <w:tab w:val="center" w:pos="4320"/>
        <w:tab w:val="right" w:pos="7200"/>
        <w:tab w:val="right" w:pos="8640"/>
      </w:tabs>
      <w:jc w:val="both"/>
    </w:pPr>
    <w:rPr>
      <w:rFonts w:ascii="Helvetica" w:hAnsi="Helvetica"/>
      <w:sz w:val="18"/>
    </w:rPr>
  </w:style>
  <w:style w:type="paragraph" w:styleId="Header">
    <w:name w:val="header"/>
    <w:basedOn w:val="Body"/>
    <w:rsid w:val="00C428AC"/>
    <w:pPr>
      <w:tabs>
        <w:tab w:val="center" w:pos="3969"/>
        <w:tab w:val="center" w:pos="4320"/>
        <w:tab w:val="right" w:pos="8504"/>
        <w:tab w:val="right" w:pos="8640"/>
      </w:tabs>
      <w:spacing w:line="240" w:lineRule="auto"/>
    </w:pPr>
  </w:style>
  <w:style w:type="paragraph" w:customStyle="1" w:styleId="Body">
    <w:name w:val="Body"/>
    <w:rsid w:val="00C428AC"/>
    <w:pPr>
      <w:spacing w:line="260" w:lineRule="atLeast"/>
      <w:jc w:val="both"/>
    </w:pPr>
    <w:rPr>
      <w:rFonts w:ascii="Times" w:hAnsi="Times"/>
      <w:sz w:val="26"/>
    </w:rPr>
  </w:style>
  <w:style w:type="paragraph" w:customStyle="1" w:styleId="ToPH">
    <w:name w:val="ToPH"/>
    <w:aliases w:val="Table of Provisions Heading"/>
    <w:basedOn w:val="ToP"/>
    <w:rsid w:val="00C428AC"/>
    <w:pPr>
      <w:spacing w:before="240"/>
    </w:pPr>
  </w:style>
  <w:style w:type="paragraph" w:customStyle="1" w:styleId="ToP">
    <w:name w:val="ToP"/>
    <w:aliases w:val="Table of Provisions"/>
    <w:basedOn w:val="Body"/>
    <w:rsid w:val="00C428AC"/>
    <w:pPr>
      <w:tabs>
        <w:tab w:val="left" w:pos="560"/>
        <w:tab w:val="right" w:pos="7140"/>
      </w:tabs>
      <w:spacing w:after="120"/>
      <w:ind w:left="560" w:right="975" w:hanging="560"/>
    </w:pPr>
    <w:rPr>
      <w:sz w:val="22"/>
    </w:rPr>
  </w:style>
  <w:style w:type="paragraph" w:customStyle="1" w:styleId="ToPSP">
    <w:name w:val="ToPSP"/>
    <w:aliases w:val="Table of Provns (Schedule—Part)"/>
    <w:basedOn w:val="ToPS"/>
    <w:rsid w:val="00C428AC"/>
    <w:pPr>
      <w:spacing w:before="40"/>
    </w:pPr>
  </w:style>
  <w:style w:type="paragraph" w:customStyle="1" w:styleId="ToPS">
    <w:name w:val="ToPS"/>
    <w:aliases w:val="Table of Provns (Schedule)"/>
    <w:basedOn w:val="ToP"/>
    <w:rsid w:val="00C428AC"/>
    <w:pPr>
      <w:tabs>
        <w:tab w:val="clear" w:pos="560"/>
        <w:tab w:val="clear" w:pos="7140"/>
        <w:tab w:val="right" w:pos="7200"/>
      </w:tabs>
      <w:spacing w:before="240" w:after="40"/>
      <w:ind w:left="0" w:right="851" w:firstLine="0"/>
    </w:pPr>
  </w:style>
  <w:style w:type="paragraph" w:customStyle="1" w:styleId="HR">
    <w:name w:val="HR"/>
    <w:aliases w:val="Regulation Heading"/>
    <w:basedOn w:val="Body"/>
    <w:next w:val="R1"/>
    <w:rsid w:val="00C428AC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Body"/>
    <w:next w:val="P1"/>
    <w:rsid w:val="00C428AC"/>
    <w:pPr>
      <w:tabs>
        <w:tab w:val="right" w:pos="1080"/>
        <w:tab w:val="left" w:pos="1260"/>
        <w:tab w:val="left" w:pos="1800"/>
      </w:tabs>
      <w:spacing w:before="120" w:line="240" w:lineRule="auto"/>
    </w:pPr>
  </w:style>
  <w:style w:type="paragraph" w:customStyle="1" w:styleId="P1">
    <w:name w:val="P1"/>
    <w:aliases w:val="(a)"/>
    <w:basedOn w:val="Body"/>
    <w:rsid w:val="00C428AC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rsid w:val="00C428AC"/>
    <w:pPr>
      <w:spacing w:before="240"/>
    </w:pPr>
  </w:style>
  <w:style w:type="paragraph" w:customStyle="1" w:styleId="P2">
    <w:name w:val="P2"/>
    <w:aliases w:val="(i)"/>
    <w:basedOn w:val="Body"/>
    <w:rsid w:val="00C428AC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rsid w:val="00C428AC"/>
    <w:pPr>
      <w:tabs>
        <w:tab w:val="right" w:pos="2520"/>
      </w:tabs>
      <w:spacing w:before="40"/>
      <w:ind w:left="2700" w:hanging="2700"/>
    </w:pPr>
  </w:style>
  <w:style w:type="paragraph" w:styleId="Title">
    <w:name w:val="Title"/>
    <w:basedOn w:val="Body"/>
    <w:next w:val="Normal"/>
    <w:qFormat/>
    <w:rsid w:val="00C428AC"/>
    <w:pPr>
      <w:spacing w:before="480" w:line="240" w:lineRule="auto"/>
      <w:jc w:val="center"/>
    </w:pPr>
    <w:rPr>
      <w:b/>
      <w:sz w:val="36"/>
    </w:rPr>
  </w:style>
  <w:style w:type="paragraph" w:customStyle="1" w:styleId="HP">
    <w:name w:val="HP"/>
    <w:aliases w:val="Part Heading"/>
    <w:basedOn w:val="Body"/>
    <w:next w:val="HD"/>
    <w:rsid w:val="00C428AC"/>
    <w:pPr>
      <w:keepNext/>
      <w:spacing w:before="480" w:line="240" w:lineRule="auto"/>
      <w:jc w:val="center"/>
    </w:pPr>
    <w:rPr>
      <w:b/>
    </w:rPr>
  </w:style>
  <w:style w:type="paragraph" w:customStyle="1" w:styleId="HD">
    <w:name w:val="HD"/>
    <w:aliases w:val="Division Heading"/>
    <w:basedOn w:val="Body"/>
    <w:next w:val="HR"/>
    <w:rsid w:val="00C428AC"/>
    <w:pPr>
      <w:keepNext/>
      <w:spacing w:before="720" w:line="240" w:lineRule="atLeast"/>
      <w:jc w:val="center"/>
    </w:pPr>
    <w:rPr>
      <w:b/>
      <w:i/>
    </w:rPr>
  </w:style>
  <w:style w:type="paragraph" w:customStyle="1" w:styleId="citation">
    <w:name w:val="citation"/>
    <w:basedOn w:val="Normal"/>
    <w:rsid w:val="00C428AC"/>
    <w:pPr>
      <w:spacing w:before="240"/>
      <w:jc w:val="center"/>
    </w:pPr>
    <w:rPr>
      <w:i/>
    </w:rPr>
  </w:style>
  <w:style w:type="paragraph" w:customStyle="1" w:styleId="A2">
    <w:name w:val="A2"/>
    <w:aliases w:val="1.1 amendment"/>
    <w:basedOn w:val="Body"/>
    <w:rsid w:val="00C428AC"/>
    <w:pPr>
      <w:keepNext/>
      <w:spacing w:before="40"/>
    </w:pPr>
  </w:style>
  <w:style w:type="paragraph" w:customStyle="1" w:styleId="Rc">
    <w:name w:val="Rc"/>
    <w:aliases w:val="Rn continued"/>
    <w:basedOn w:val="R1"/>
    <w:next w:val="P1"/>
    <w:rsid w:val="00C428AC"/>
    <w:pPr>
      <w:spacing w:before="40"/>
    </w:pPr>
  </w:style>
  <w:style w:type="paragraph" w:customStyle="1" w:styleId="NoteEnd">
    <w:name w:val="Note End"/>
    <w:basedOn w:val="Body"/>
    <w:rsid w:val="00C428AC"/>
    <w:pPr>
      <w:spacing w:before="180" w:line="240" w:lineRule="auto"/>
      <w:ind w:left="360" w:hanging="360"/>
    </w:pPr>
    <w:rPr>
      <w:sz w:val="22"/>
    </w:rPr>
  </w:style>
  <w:style w:type="paragraph" w:customStyle="1" w:styleId="P4">
    <w:name w:val="P4"/>
    <w:aliases w:val="(I)"/>
    <w:basedOn w:val="Body"/>
    <w:rsid w:val="00C428AC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rsid w:val="00C428AC"/>
    <w:pPr>
      <w:spacing w:before="240"/>
    </w:pPr>
  </w:style>
  <w:style w:type="paragraph" w:customStyle="1" w:styleId="A1">
    <w:name w:val="A1"/>
    <w:aliases w:val="1. Amendment"/>
    <w:basedOn w:val="Body"/>
    <w:next w:val="A2"/>
    <w:rsid w:val="00C428AC"/>
    <w:pPr>
      <w:keepNext/>
      <w:spacing w:before="480" w:line="240" w:lineRule="atLeast"/>
    </w:pPr>
    <w:rPr>
      <w:b/>
    </w:rPr>
  </w:style>
  <w:style w:type="paragraph" w:customStyle="1" w:styleId="NoteBody">
    <w:name w:val="Note Body"/>
    <w:basedOn w:val="NoteEnd"/>
    <w:rsid w:val="00C428AC"/>
    <w:pPr>
      <w:spacing w:before="240" w:line="260" w:lineRule="atLeast"/>
      <w:ind w:left="0" w:firstLine="0"/>
    </w:pPr>
  </w:style>
  <w:style w:type="paragraph" w:customStyle="1" w:styleId="definition">
    <w:name w:val="definition"/>
    <w:basedOn w:val="Rc"/>
    <w:rsid w:val="00C428AC"/>
    <w:pPr>
      <w:keepNext/>
      <w:tabs>
        <w:tab w:val="clear" w:pos="1080"/>
        <w:tab w:val="clear" w:pos="1260"/>
        <w:tab w:val="clear" w:pos="1800"/>
      </w:tabs>
      <w:spacing w:before="240" w:line="260" w:lineRule="atLeast"/>
    </w:pPr>
    <w:rPr>
      <w:color w:val="000000"/>
    </w:rPr>
  </w:style>
  <w:style w:type="paragraph" w:customStyle="1" w:styleId="ToPP">
    <w:name w:val="ToPP"/>
    <w:aliases w:val="Table of Provns (Part)"/>
    <w:basedOn w:val="ToP"/>
    <w:rsid w:val="00C428AC"/>
    <w:pPr>
      <w:keepNext/>
      <w:tabs>
        <w:tab w:val="clear" w:pos="560"/>
        <w:tab w:val="clear" w:pos="7140"/>
      </w:tabs>
      <w:ind w:left="851" w:right="851" w:firstLine="0"/>
      <w:jc w:val="center"/>
    </w:pPr>
  </w:style>
  <w:style w:type="paragraph" w:customStyle="1" w:styleId="ToPD">
    <w:name w:val="ToPD"/>
    <w:aliases w:val="Table of Provns (Division)"/>
    <w:basedOn w:val="ToP"/>
    <w:rsid w:val="00C428AC"/>
    <w:pPr>
      <w:keepNext/>
      <w:tabs>
        <w:tab w:val="clear" w:pos="560"/>
        <w:tab w:val="clear" w:pos="7140"/>
      </w:tabs>
      <w:spacing w:before="80"/>
      <w:ind w:left="851" w:right="851" w:firstLine="0"/>
      <w:jc w:val="center"/>
    </w:pPr>
    <w:rPr>
      <w:i/>
    </w:rPr>
  </w:style>
  <w:style w:type="paragraph" w:customStyle="1" w:styleId="ToPR">
    <w:name w:val="ToPR"/>
    <w:aliases w:val="Table of Provns (reg)"/>
    <w:basedOn w:val="ToP"/>
    <w:rsid w:val="00C428AC"/>
    <w:pPr>
      <w:tabs>
        <w:tab w:val="decimal" w:pos="560"/>
        <w:tab w:val="left" w:pos="1120"/>
      </w:tabs>
      <w:spacing w:after="40"/>
      <w:ind w:left="1134" w:hanging="1134"/>
    </w:pPr>
  </w:style>
  <w:style w:type="paragraph" w:customStyle="1" w:styleId="ToPP2">
    <w:name w:val="ToPP2"/>
    <w:aliases w:val="Table of Provns (Part2)"/>
    <w:basedOn w:val="ToPP"/>
    <w:rsid w:val="00C428AC"/>
    <w:pPr>
      <w:spacing w:before="160"/>
    </w:pPr>
  </w:style>
  <w:style w:type="paragraph" w:customStyle="1" w:styleId="NoteBody2">
    <w:name w:val="Note Body 2"/>
    <w:basedOn w:val="NoteBody"/>
    <w:rsid w:val="00C428AC"/>
    <w:pPr>
      <w:spacing w:before="120" w:after="120"/>
    </w:pPr>
  </w:style>
  <w:style w:type="paragraph" w:styleId="BlockText">
    <w:name w:val="Block Text"/>
    <w:basedOn w:val="Normal"/>
    <w:rsid w:val="00C428AC"/>
    <w:pPr>
      <w:spacing w:before="240"/>
      <w:ind w:left="284" w:right="284"/>
      <w:jc w:val="both"/>
    </w:pPr>
    <w:rPr>
      <w:sz w:val="22"/>
    </w:rPr>
  </w:style>
  <w:style w:type="paragraph" w:styleId="BodyText">
    <w:name w:val="Body Text"/>
    <w:basedOn w:val="Normal"/>
    <w:rsid w:val="00C428AC"/>
    <w:pPr>
      <w:spacing w:before="120" w:line="240" w:lineRule="auto"/>
    </w:pPr>
    <w:rPr>
      <w:i/>
      <w:sz w:val="22"/>
    </w:rPr>
  </w:style>
  <w:style w:type="table" w:styleId="TableGrid">
    <w:name w:val="Table Grid"/>
    <w:basedOn w:val="TableNormal"/>
    <w:rsid w:val="00752A5B"/>
    <w:pPr>
      <w:tabs>
        <w:tab w:val="left" w:pos="540"/>
      </w:tabs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91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A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AD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A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E8EF-647B-4BDB-A18E-362F9FBD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Dept. of Comms, IT &amp; the Arts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allen</dc:creator>
  <cp:lastModifiedBy>sredfern</cp:lastModifiedBy>
  <cp:revision>3</cp:revision>
  <cp:lastPrinted>2011-02-01T05:06:00Z</cp:lastPrinted>
  <dcterms:created xsi:type="dcterms:W3CDTF">2011-03-09T02:09:00Z</dcterms:created>
  <dcterms:modified xsi:type="dcterms:W3CDTF">2011-03-09T03:08:00Z</dcterms:modified>
</cp:coreProperties>
</file>