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35" w:rsidRDefault="00E50C35" w:rsidP="00E50C35"/>
    <w:p w:rsidR="00E50C35" w:rsidRPr="00A55D2D" w:rsidRDefault="00E50C35" w:rsidP="00E50C35">
      <w:pPr>
        <w:pStyle w:val="ABAHeading2"/>
        <w:rPr>
          <w:i/>
        </w:rPr>
      </w:pPr>
      <w:r w:rsidRPr="00F6338C">
        <w:rPr>
          <w:i/>
        </w:rPr>
        <w:t>LEGISLATIVE INSTRUMENTS ACT 2003</w:t>
      </w:r>
    </w:p>
    <w:p w:rsidR="00E50C35" w:rsidRPr="00313213" w:rsidRDefault="00E50C35" w:rsidP="00E50C35">
      <w:pPr>
        <w:pStyle w:val="ABAHeading2"/>
      </w:pPr>
      <w:r w:rsidRPr="00313213">
        <w:t xml:space="preserve">Section 26 </w:t>
      </w:r>
      <w:r>
        <w:t xml:space="preserve">– </w:t>
      </w:r>
      <w:r w:rsidRPr="00313213">
        <w:t>Explanatory Statement</w:t>
      </w:r>
    </w:p>
    <w:p w:rsidR="00E50C35" w:rsidRDefault="00E50C35" w:rsidP="00E50C35">
      <w:pPr>
        <w:pStyle w:val="ABAHeading2"/>
        <w:rPr>
          <w:i/>
        </w:rPr>
      </w:pPr>
      <w:r w:rsidRPr="00F6338C">
        <w:rPr>
          <w:i/>
        </w:rPr>
        <w:t>Broadcasting Services (Anti-terrorism Requirements for Open Narrowcasting Television Services) Standard 2011</w:t>
      </w:r>
      <w:r w:rsidRPr="00174F74">
        <w:rPr>
          <w:i/>
        </w:rPr>
        <w:t xml:space="preserve"> </w:t>
      </w:r>
      <w:r w:rsidRPr="00313213">
        <w:t xml:space="preserve">made under the </w:t>
      </w:r>
      <w:r w:rsidRPr="00313213">
        <w:rPr>
          <w:i/>
        </w:rPr>
        <w:t>Broadcasting Services Act 1992</w:t>
      </w:r>
    </w:p>
    <w:p w:rsidR="00B7060C" w:rsidRPr="00B7060C" w:rsidRDefault="00B7060C" w:rsidP="00B7060C">
      <w:pPr>
        <w:pStyle w:val="ABABodyText"/>
      </w:pPr>
    </w:p>
    <w:p w:rsidR="00E50C35" w:rsidRDefault="00E50C35" w:rsidP="00B7060C">
      <w:pPr>
        <w:pStyle w:val="ABABodyText"/>
        <w:spacing w:before="0" w:after="240" w:line="240" w:lineRule="auto"/>
      </w:pPr>
      <w:r w:rsidRPr="00A702FE">
        <w:t xml:space="preserve">On </w:t>
      </w:r>
      <w:r>
        <w:t>24 March 2011,</w:t>
      </w:r>
      <w:r w:rsidRPr="00A702FE">
        <w:t xml:space="preserve"> the A</w:t>
      </w:r>
      <w:r>
        <w:t xml:space="preserve">ustralian </w:t>
      </w:r>
      <w:r w:rsidRPr="00A702FE">
        <w:t>C</w:t>
      </w:r>
      <w:r>
        <w:t xml:space="preserve">ommunications and </w:t>
      </w:r>
      <w:r w:rsidRPr="00A702FE">
        <w:t>M</w:t>
      </w:r>
      <w:r>
        <w:t>edia Authority</w:t>
      </w:r>
      <w:r w:rsidR="00681DFC">
        <w:t xml:space="preserve"> (the ACMA)</w:t>
      </w:r>
      <w:r>
        <w:t xml:space="preserve"> determined</w:t>
      </w:r>
      <w:r w:rsidRPr="00A702FE">
        <w:t xml:space="preserve"> the </w:t>
      </w:r>
      <w:r w:rsidRPr="00F6338C">
        <w:rPr>
          <w:i/>
        </w:rPr>
        <w:t>Broadcasting Services (Anti-terrorism Requirements for Open Narrowcasting Television Services) Standard 2011</w:t>
      </w:r>
      <w:r>
        <w:t xml:space="preserve"> (the 2011 Standard). </w:t>
      </w:r>
      <w:r w:rsidRPr="00313213">
        <w:t>The determination</w:t>
      </w:r>
      <w:r>
        <w:t xml:space="preserve"> has been </w:t>
      </w:r>
      <w:r w:rsidRPr="00313213">
        <w:t xml:space="preserve">made under subsection 125(2) of the </w:t>
      </w:r>
      <w:r w:rsidRPr="00313213">
        <w:rPr>
          <w:i/>
        </w:rPr>
        <w:t xml:space="preserve">Broadcasting Services Act 1992 </w:t>
      </w:r>
      <w:r w:rsidRPr="00313213">
        <w:t>(the BSA)</w:t>
      </w:r>
      <w:r>
        <w:t>.</w:t>
      </w:r>
    </w:p>
    <w:p w:rsidR="00E50C35" w:rsidRPr="00B7060C" w:rsidRDefault="00E50C35" w:rsidP="00E50C35">
      <w:pPr>
        <w:ind w:left="0" w:firstLine="0"/>
        <w:rPr>
          <w:snapToGrid w:val="0"/>
          <w:szCs w:val="20"/>
          <w:lang w:eastAsia="en-US"/>
        </w:rPr>
      </w:pPr>
      <w:r w:rsidRPr="00B7060C">
        <w:rPr>
          <w:snapToGrid w:val="0"/>
          <w:szCs w:val="20"/>
          <w:lang w:eastAsia="en-US"/>
        </w:rPr>
        <w:t xml:space="preserve">The 2011 Standard replaces the </w:t>
      </w:r>
      <w:r w:rsidRPr="00B7060C">
        <w:rPr>
          <w:i/>
          <w:snapToGrid w:val="0"/>
          <w:szCs w:val="20"/>
          <w:lang w:eastAsia="en-US"/>
        </w:rPr>
        <w:t>Broadcasting Services (Anti-terrorism Requirements for Open Narrowcasting Television Services) Standard 2008</w:t>
      </w:r>
      <w:r w:rsidRPr="00B7060C">
        <w:rPr>
          <w:snapToGrid w:val="0"/>
          <w:szCs w:val="20"/>
          <w:lang w:eastAsia="en-US"/>
        </w:rPr>
        <w:t xml:space="preserve"> (the 2008 Standard). The main variation to the 2008 Standard is the addition of a new section</w:t>
      </w:r>
      <w:r w:rsidR="00994279" w:rsidRPr="00B7060C">
        <w:rPr>
          <w:snapToGrid w:val="0"/>
          <w:szCs w:val="20"/>
          <w:lang w:eastAsia="en-US"/>
        </w:rPr>
        <w:t xml:space="preserve"> 9</w:t>
      </w:r>
      <w:r w:rsidRPr="00B7060C">
        <w:rPr>
          <w:snapToGrid w:val="0"/>
          <w:szCs w:val="20"/>
          <w:lang w:eastAsia="en-US"/>
        </w:rPr>
        <w:t>, which prohibits the broadcast of programs that advocate the doing of a terrorist act.</w:t>
      </w:r>
    </w:p>
    <w:p w:rsidR="00E50C35" w:rsidRPr="00313213" w:rsidRDefault="00E50C35" w:rsidP="00B7060C">
      <w:pPr>
        <w:pStyle w:val="ABAHeading3"/>
        <w:keepNext w:val="0"/>
        <w:suppressAutoHyphens w:val="0"/>
        <w:spacing w:before="240" w:after="240"/>
      </w:pPr>
      <w:r>
        <w:t>Intended impact and e</w:t>
      </w:r>
      <w:r w:rsidRPr="00313213">
        <w:t>ffect of the Standard</w:t>
      </w:r>
    </w:p>
    <w:p w:rsidR="00E50C35" w:rsidRDefault="00E50C35" w:rsidP="00B7060C">
      <w:pPr>
        <w:spacing w:after="240"/>
        <w:ind w:left="0" w:firstLine="0"/>
      </w:pPr>
      <w:r>
        <w:t>The ACMA intends the 2011 Standard to improve community safeguards by imposing restrictions on the broadcast of terrorist-related material by providers of open narrowcasting television services.</w:t>
      </w:r>
    </w:p>
    <w:p w:rsidR="00E50C35" w:rsidRDefault="00E50C35" w:rsidP="00B7060C">
      <w:pPr>
        <w:spacing w:after="240"/>
        <w:ind w:left="0" w:firstLine="0"/>
        <w:contextualSpacing/>
      </w:pPr>
      <w:r>
        <w:t>Under the 2011 Standard, licensees cannot broadcast a program that:</w:t>
      </w:r>
    </w:p>
    <w:p w:rsidR="00E50C35" w:rsidRDefault="00E50C35" w:rsidP="00B7060C">
      <w:pPr>
        <w:numPr>
          <w:ilvl w:val="0"/>
          <w:numId w:val="9"/>
        </w:numPr>
        <w:tabs>
          <w:tab w:val="clear" w:pos="1441"/>
          <w:tab w:val="num" w:pos="900"/>
        </w:tabs>
        <w:spacing w:after="240"/>
        <w:ind w:hanging="902"/>
        <w:contextualSpacing/>
      </w:pPr>
      <w:r>
        <w:t>advocates the doing of a terrorist act</w:t>
      </w:r>
      <w:r w:rsidR="00681DFC">
        <w:t>;</w:t>
      </w:r>
    </w:p>
    <w:p w:rsidR="00E50C35" w:rsidRDefault="00E50C35" w:rsidP="00B7060C">
      <w:pPr>
        <w:numPr>
          <w:ilvl w:val="0"/>
          <w:numId w:val="22"/>
        </w:numPr>
        <w:spacing w:after="240"/>
        <w:contextualSpacing/>
      </w:pPr>
      <w:r>
        <w:t xml:space="preserve">would be reasonably understood as </w:t>
      </w:r>
      <w:r w:rsidRPr="00313213">
        <w:t xml:space="preserve">directly recruiting </w:t>
      </w:r>
      <w:r>
        <w:t xml:space="preserve">a </w:t>
      </w:r>
      <w:r w:rsidRPr="00313213">
        <w:t>person t</w:t>
      </w:r>
      <w:r>
        <w:t>o join,</w:t>
      </w:r>
      <w:r w:rsidRPr="00313213">
        <w:t xml:space="preserve"> or part</w:t>
      </w:r>
      <w:r>
        <w:t>icipate in the activities of, a listed terrorist</w:t>
      </w:r>
      <w:r w:rsidR="00681DFC">
        <w:t>;</w:t>
      </w:r>
    </w:p>
    <w:p w:rsidR="00E50C35" w:rsidRDefault="00E50C35" w:rsidP="00B7060C">
      <w:pPr>
        <w:numPr>
          <w:ilvl w:val="0"/>
          <w:numId w:val="22"/>
        </w:numPr>
        <w:spacing w:after="240"/>
        <w:ind w:hanging="363"/>
      </w:pPr>
      <w:r>
        <w:t xml:space="preserve">would be reasonably understood as </w:t>
      </w:r>
      <w:r w:rsidRPr="00313213">
        <w:t xml:space="preserve">soliciting </w:t>
      </w:r>
      <w:r w:rsidR="00681DFC">
        <w:t>funds for a listed terrorist,</w:t>
      </w:r>
      <w:r>
        <w:t xml:space="preserve"> </w:t>
      </w:r>
      <w:r w:rsidRPr="00313213">
        <w:t>or assisting in the c</w:t>
      </w:r>
      <w:r>
        <w:t xml:space="preserve">ollection or provision of funds for </w:t>
      </w:r>
      <w:r w:rsidRPr="00313213">
        <w:t xml:space="preserve">a </w:t>
      </w:r>
      <w:r>
        <w:t xml:space="preserve">listed terrorist.  </w:t>
      </w:r>
    </w:p>
    <w:p w:rsidR="00E50C35" w:rsidRDefault="00E50C35" w:rsidP="00B7060C">
      <w:pPr>
        <w:tabs>
          <w:tab w:val="left" w:pos="0"/>
        </w:tabs>
        <w:spacing w:after="240"/>
        <w:ind w:left="0" w:firstLine="0"/>
      </w:pPr>
      <w:r>
        <w:t xml:space="preserve">The 2011 Standard holds a licensee responsible for what they broadcast, even if they claim they were unaware of the content of the program. This is to encourage licensees to set up effective systems for checking programs </w:t>
      </w:r>
      <w:r w:rsidRPr="0028036D">
        <w:t>before they</w:t>
      </w:r>
      <w:r>
        <w:t xml:space="preserve"> are broadcast.</w:t>
      </w:r>
    </w:p>
    <w:p w:rsidR="00E50C35" w:rsidRDefault="00E50C35" w:rsidP="00B7060C">
      <w:pPr>
        <w:spacing w:after="240"/>
        <w:ind w:left="0" w:firstLine="0"/>
      </w:pPr>
      <w:r>
        <w:t xml:space="preserve">The 2011 Standard does not remove the need for licensees to comply with other anti-terrorism laws, such as those contained in the </w:t>
      </w:r>
      <w:r w:rsidRPr="009A0AB8">
        <w:rPr>
          <w:i/>
        </w:rPr>
        <w:t xml:space="preserve">Criminal Code </w:t>
      </w:r>
      <w:r>
        <w:rPr>
          <w:i/>
        </w:rPr>
        <w:t>Act 1995.</w:t>
      </w:r>
    </w:p>
    <w:p w:rsidR="00E50C35" w:rsidRPr="00313213" w:rsidRDefault="00E50C35" w:rsidP="00B7060C">
      <w:pPr>
        <w:spacing w:after="240"/>
        <w:ind w:left="0" w:firstLine="0"/>
        <w:rPr>
          <w:rFonts w:ascii="Arial" w:hAnsi="Arial" w:cs="Arial"/>
          <w:b/>
        </w:rPr>
      </w:pPr>
      <w:r w:rsidRPr="00313213">
        <w:rPr>
          <w:rFonts w:ascii="Arial" w:hAnsi="Arial" w:cs="Arial"/>
          <w:b/>
        </w:rPr>
        <w:t>Consultation</w:t>
      </w:r>
    </w:p>
    <w:p w:rsidR="00E50C35" w:rsidRDefault="00E50C35" w:rsidP="00B7060C">
      <w:pPr>
        <w:spacing w:after="240"/>
        <w:ind w:left="0" w:firstLine="0"/>
      </w:pPr>
      <w:r w:rsidRPr="00313213">
        <w:t xml:space="preserve">On </w:t>
      </w:r>
      <w:r w:rsidRPr="00882E53">
        <w:t>9</w:t>
      </w:r>
      <w:r>
        <w:t xml:space="preserve"> December 2010, the</w:t>
      </w:r>
      <w:r w:rsidRPr="00313213">
        <w:t xml:space="preserve"> ACMA </w:t>
      </w:r>
      <w:r>
        <w:t>published (on its website) the details of a proposed reform to the 2008 Standard to restrict programs that ‘advocate the doing of a terrorist act’. P</w:t>
      </w:r>
      <w:r w:rsidRPr="00313213">
        <w:t xml:space="preserve">ublic comment </w:t>
      </w:r>
      <w:r>
        <w:t>was invited on the proposal, with a closing date of</w:t>
      </w:r>
      <w:r w:rsidRPr="00313213">
        <w:t xml:space="preserve"> </w:t>
      </w:r>
      <w:r w:rsidRPr="00882E53">
        <w:t>12</w:t>
      </w:r>
      <w:r>
        <w:t xml:space="preserve"> February 2011</w:t>
      </w:r>
      <w:r w:rsidRPr="00313213">
        <w:t>.</w:t>
      </w:r>
    </w:p>
    <w:p w:rsidR="00E50C35" w:rsidRDefault="00E50C35" w:rsidP="00B7060C">
      <w:pPr>
        <w:spacing w:after="240"/>
        <w:ind w:left="0" w:firstLine="0"/>
      </w:pPr>
      <w:r w:rsidRPr="00D625D6">
        <w:t xml:space="preserve">The ACMA received relevant submissions from the following bodies: Australian Subscription Television and Radio Association, Australia/Israel &amp; Jewish Affairs </w:t>
      </w:r>
      <w:r w:rsidRPr="00D625D6">
        <w:lastRenderedPageBreak/>
        <w:t>Council, Executive Council of Australian Jewry Inc, and the Gilbert and Tobin Centre of Public Law, University of NSW</w:t>
      </w:r>
      <w:r>
        <w:t>.</w:t>
      </w:r>
    </w:p>
    <w:p w:rsidR="00E50C35" w:rsidRPr="007F70EC" w:rsidRDefault="00E50C35" w:rsidP="00E50C35">
      <w:pPr>
        <w:pStyle w:val="Heading2"/>
        <w:rPr>
          <w:i w:val="0"/>
          <w:sz w:val="24"/>
          <w:szCs w:val="24"/>
        </w:rPr>
      </w:pPr>
      <w:r w:rsidRPr="00882E53">
        <w:rPr>
          <w:i w:val="0"/>
          <w:sz w:val="24"/>
          <w:szCs w:val="24"/>
        </w:rPr>
        <w:t>Description of the provisions of the standard</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1</w:t>
      </w:r>
      <w:r w:rsidRPr="00882E53">
        <w:rPr>
          <w:color w:val="000000"/>
          <w:sz w:val="24"/>
          <w:szCs w:val="24"/>
        </w:rPr>
        <w:tab/>
        <w:t>Name of standard</w:t>
      </w:r>
    </w:p>
    <w:p w:rsidR="00E50C35" w:rsidRPr="00202463" w:rsidRDefault="0062340F" w:rsidP="00B7060C">
      <w:pPr>
        <w:pStyle w:val="Normalspace"/>
        <w:ind w:right="289"/>
        <w:rPr>
          <w:rFonts w:ascii="Times New Roman" w:hAnsi="Times New Roman" w:cs="Times New Roman"/>
          <w:b/>
          <w:color w:val="000000"/>
        </w:rPr>
      </w:pPr>
      <w:r>
        <w:rPr>
          <w:rFonts w:ascii="Times New Roman" w:hAnsi="Times New Roman" w:cs="Times New Roman"/>
          <w:color w:val="000000"/>
        </w:rPr>
        <w:t>Section 1 names the standard as</w:t>
      </w:r>
      <w:r w:rsidR="00E50C35" w:rsidRPr="00202463">
        <w:rPr>
          <w:rFonts w:ascii="Times New Roman" w:hAnsi="Times New Roman" w:cs="Times New Roman"/>
          <w:color w:val="000000"/>
        </w:rPr>
        <w:t xml:space="preserve"> the </w:t>
      </w:r>
      <w:r w:rsidR="00E50C35" w:rsidRPr="00202463">
        <w:rPr>
          <w:rFonts w:ascii="Times New Roman" w:hAnsi="Times New Roman" w:cs="Times New Roman"/>
          <w:i/>
          <w:color w:val="000000"/>
        </w:rPr>
        <w:t>Broadcasting Services (Anti-terrorism Requirements for Open Narrowcasting Television Services) Standard 2011</w:t>
      </w:r>
      <w:r w:rsidR="00E50C35" w:rsidRPr="00202463">
        <w:rPr>
          <w:rFonts w:ascii="Times New Roman" w:hAnsi="Times New Roman" w:cs="Times New Roman"/>
          <w:color w:val="000000"/>
        </w:rPr>
        <w:t>.</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2</w:t>
      </w:r>
      <w:r w:rsidRPr="00882E53">
        <w:rPr>
          <w:color w:val="000000"/>
          <w:sz w:val="24"/>
          <w:szCs w:val="24"/>
        </w:rPr>
        <w:tab/>
        <w:t>Commencement</w:t>
      </w:r>
    </w:p>
    <w:p w:rsidR="00E50C35" w:rsidRPr="00202463" w:rsidRDefault="00E50C35" w:rsidP="00B7060C">
      <w:pPr>
        <w:pStyle w:val="Normalspace"/>
        <w:ind w:right="289"/>
        <w:rPr>
          <w:rFonts w:ascii="Times New Roman" w:hAnsi="Times New Roman" w:cs="Times New Roman"/>
          <w:color w:val="000000"/>
        </w:rPr>
      </w:pPr>
      <w:r w:rsidRPr="00202463">
        <w:rPr>
          <w:rFonts w:ascii="Times New Roman" w:hAnsi="Times New Roman" w:cs="Times New Roman"/>
          <w:color w:val="000000"/>
        </w:rPr>
        <w:t>Section 2 provides a commencement date for the standard of 1 July 2011.</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3</w:t>
      </w:r>
      <w:r w:rsidRPr="00882E53">
        <w:rPr>
          <w:color w:val="000000"/>
          <w:sz w:val="24"/>
          <w:szCs w:val="24"/>
        </w:rPr>
        <w:tab/>
        <w:t>Revocation</w:t>
      </w:r>
    </w:p>
    <w:p w:rsidR="00E50C35" w:rsidRPr="00202463" w:rsidRDefault="00E50C35" w:rsidP="00B7060C">
      <w:pPr>
        <w:spacing w:after="240"/>
        <w:ind w:left="0" w:firstLine="0"/>
        <w:rPr>
          <w:color w:val="000000"/>
        </w:rPr>
      </w:pPr>
      <w:r w:rsidRPr="00202463">
        <w:rPr>
          <w:color w:val="000000"/>
        </w:rPr>
        <w:t>Section 3 revokes the</w:t>
      </w:r>
      <w:r w:rsidRPr="00A664CA">
        <w:rPr>
          <w:color w:val="000000"/>
        </w:rPr>
        <w:t xml:space="preserve"> 2008</w:t>
      </w:r>
      <w:r w:rsidRPr="00202463">
        <w:rPr>
          <w:color w:val="000000"/>
        </w:rPr>
        <w:t xml:space="preserve"> </w:t>
      </w:r>
      <w:r w:rsidR="00A664CA">
        <w:rPr>
          <w:color w:val="000000"/>
        </w:rPr>
        <w:t xml:space="preserve">Standard at the commencement </w:t>
      </w:r>
      <w:r w:rsidRPr="00202463">
        <w:rPr>
          <w:color w:val="000000"/>
        </w:rPr>
        <w:t>of the new standard.</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4</w:t>
      </w:r>
      <w:r w:rsidRPr="00882E53">
        <w:rPr>
          <w:color w:val="000000"/>
          <w:sz w:val="24"/>
          <w:szCs w:val="24"/>
        </w:rPr>
        <w:tab/>
        <w:t>Object of standard</w:t>
      </w:r>
    </w:p>
    <w:p w:rsidR="00E50C35" w:rsidRPr="00DA0D37" w:rsidRDefault="00E50C35" w:rsidP="00B7060C">
      <w:pPr>
        <w:pStyle w:val="Normalspace"/>
        <w:autoSpaceDE/>
        <w:autoSpaceDN/>
        <w:ind w:right="0"/>
        <w:rPr>
          <w:rFonts w:ascii="Times New Roman" w:hAnsi="Times New Roman" w:cs="Times New Roman"/>
          <w:color w:val="000000"/>
        </w:rPr>
      </w:pPr>
      <w:r w:rsidRPr="00DA0D37">
        <w:rPr>
          <w:rFonts w:ascii="Times New Roman" w:hAnsi="Times New Roman" w:cs="Times New Roman"/>
          <w:color w:val="000000"/>
        </w:rPr>
        <w:t xml:space="preserve">Section 4 sets out the object of the </w:t>
      </w:r>
      <w:r>
        <w:rPr>
          <w:rFonts w:ascii="Times New Roman" w:hAnsi="Times New Roman" w:cs="Times New Roman"/>
          <w:color w:val="000000"/>
        </w:rPr>
        <w:t>s</w:t>
      </w:r>
      <w:r w:rsidRPr="00DA0D37">
        <w:rPr>
          <w:rFonts w:ascii="Times New Roman" w:hAnsi="Times New Roman" w:cs="Times New Roman"/>
          <w:color w:val="000000"/>
        </w:rPr>
        <w:t>tandard, namely to prevent the broadcasting of programs that advocate the doing of a terrorist act</w:t>
      </w:r>
      <w:r>
        <w:rPr>
          <w:rFonts w:ascii="Times New Roman" w:hAnsi="Times New Roman" w:cs="Times New Roman"/>
          <w:color w:val="000000"/>
        </w:rPr>
        <w:t>,</w:t>
      </w:r>
      <w:r w:rsidRPr="00DA0D37">
        <w:rPr>
          <w:rFonts w:ascii="Times New Roman" w:hAnsi="Times New Roman" w:cs="Times New Roman"/>
          <w:color w:val="000000"/>
        </w:rPr>
        <w:t xml:space="preserve"> or encourage people to join or finance listed terrorists.</w:t>
      </w:r>
    </w:p>
    <w:p w:rsidR="00E50C35" w:rsidRPr="00DA0D37" w:rsidRDefault="00E50C35" w:rsidP="00B7060C">
      <w:pPr>
        <w:pStyle w:val="ACMANumberedList"/>
        <w:numPr>
          <w:ilvl w:val="0"/>
          <w:numId w:val="0"/>
        </w:numPr>
        <w:spacing w:before="0" w:after="240"/>
      </w:pPr>
      <w:r>
        <w:t>The 2011 Standard</w:t>
      </w:r>
      <w:r w:rsidRPr="00DA0D37">
        <w:t xml:space="preserve"> provides greater community safeguards </w:t>
      </w:r>
      <w:r>
        <w:t>by prohibiting</w:t>
      </w:r>
      <w:r w:rsidRPr="00DA0D37">
        <w:t xml:space="preserve"> the broadcast</w:t>
      </w:r>
      <w:r>
        <w:t xml:space="preserve"> of</w:t>
      </w:r>
      <w:r w:rsidRPr="00DA0D37">
        <w:t xml:space="preserve"> material </w:t>
      </w:r>
      <w:r>
        <w:t xml:space="preserve">that </w:t>
      </w:r>
      <w:r w:rsidRPr="00DA0D37">
        <w:t>attempts to incite</w:t>
      </w:r>
      <w:r>
        <w:t xml:space="preserve"> the doing of</w:t>
      </w:r>
      <w:r w:rsidRPr="00DA0D37">
        <w:t xml:space="preserve"> a terrorist act</w:t>
      </w:r>
      <w:r>
        <w:t>, even though it could not be reasonably understood as directly recruiting</w:t>
      </w:r>
      <w:r w:rsidRPr="00DA0D37">
        <w:t xml:space="preserve"> persons</w:t>
      </w:r>
      <w:r>
        <w:t>,</w:t>
      </w:r>
      <w:r w:rsidRPr="00DA0D37">
        <w:t xml:space="preserve"> or soliciting funds</w:t>
      </w:r>
      <w:r>
        <w:t>,</w:t>
      </w:r>
      <w:r w:rsidRPr="00DA0D37">
        <w:t xml:space="preserve"> for a </w:t>
      </w:r>
      <w:r>
        <w:t xml:space="preserve">listed </w:t>
      </w:r>
      <w:r w:rsidRPr="00DA0D37">
        <w:t>terrorist.</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5</w:t>
      </w:r>
      <w:r w:rsidRPr="00882E53">
        <w:rPr>
          <w:color w:val="000000"/>
          <w:sz w:val="24"/>
          <w:szCs w:val="24"/>
        </w:rPr>
        <w:tab/>
        <w:t>Application</w:t>
      </w:r>
    </w:p>
    <w:p w:rsidR="00E50C35" w:rsidRPr="00DA0D37" w:rsidRDefault="00E50C35" w:rsidP="00B7060C">
      <w:pPr>
        <w:pStyle w:val="Normalspace"/>
        <w:autoSpaceDE/>
        <w:autoSpaceDN/>
        <w:ind w:right="0"/>
        <w:rPr>
          <w:rFonts w:ascii="Times New Roman" w:hAnsi="Times New Roman" w:cs="Times New Roman"/>
          <w:color w:val="000000"/>
        </w:rPr>
      </w:pPr>
      <w:r>
        <w:rPr>
          <w:rFonts w:ascii="Times New Roman" w:hAnsi="Times New Roman" w:cs="Times New Roman"/>
          <w:color w:val="000000"/>
        </w:rPr>
        <w:t>Section 5 specifies that the s</w:t>
      </w:r>
      <w:r w:rsidRPr="00DA0D37">
        <w:rPr>
          <w:rFonts w:ascii="Times New Roman" w:hAnsi="Times New Roman" w:cs="Times New Roman"/>
          <w:color w:val="000000"/>
        </w:rPr>
        <w:t xml:space="preserve">tandard will apply to persons who provide </w:t>
      </w:r>
      <w:r>
        <w:rPr>
          <w:rFonts w:ascii="Times New Roman" w:hAnsi="Times New Roman" w:cs="Times New Roman"/>
          <w:color w:val="000000"/>
        </w:rPr>
        <w:t>open narrowcasting television s</w:t>
      </w:r>
      <w:r w:rsidRPr="00DA0D37">
        <w:rPr>
          <w:rFonts w:ascii="Times New Roman" w:hAnsi="Times New Roman" w:cs="Times New Roman"/>
          <w:color w:val="000000"/>
        </w:rPr>
        <w:t xml:space="preserve">ervices under a class licence determined under </w:t>
      </w:r>
      <w:r w:rsidR="007F713B">
        <w:rPr>
          <w:rFonts w:ascii="Times New Roman" w:hAnsi="Times New Roman" w:cs="Times New Roman"/>
          <w:color w:val="000000"/>
        </w:rPr>
        <w:t>paragraph</w:t>
      </w:r>
      <w:r w:rsidRPr="00DA0D37">
        <w:rPr>
          <w:rFonts w:ascii="Times New Roman" w:hAnsi="Times New Roman" w:cs="Times New Roman"/>
          <w:color w:val="000000"/>
        </w:rPr>
        <w:t xml:space="preserve"> 117(e) of the BSA.</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6</w:t>
      </w:r>
      <w:r w:rsidRPr="00882E53">
        <w:rPr>
          <w:color w:val="000000"/>
          <w:sz w:val="24"/>
          <w:szCs w:val="24"/>
        </w:rPr>
        <w:tab/>
        <w:t>Definitions</w:t>
      </w:r>
    </w:p>
    <w:p w:rsidR="00E50C35" w:rsidRDefault="00E50C35" w:rsidP="00B7060C">
      <w:pPr>
        <w:tabs>
          <w:tab w:val="left" w:pos="540"/>
        </w:tabs>
        <w:spacing w:after="240"/>
        <w:ind w:left="0" w:firstLine="0"/>
        <w:rPr>
          <w:color w:val="000000"/>
        </w:rPr>
      </w:pPr>
      <w:r w:rsidRPr="00DA0D37">
        <w:rPr>
          <w:color w:val="000000"/>
        </w:rPr>
        <w:t>Section 6 def</w:t>
      </w:r>
      <w:r>
        <w:rPr>
          <w:color w:val="000000"/>
        </w:rPr>
        <w:t>ines terms used throughout the s</w:t>
      </w:r>
      <w:r w:rsidRPr="00DA0D37">
        <w:rPr>
          <w:color w:val="000000"/>
        </w:rPr>
        <w:t>tandard.</w:t>
      </w:r>
      <w:r w:rsidRPr="00A9713C">
        <w:rPr>
          <w:color w:val="000000"/>
        </w:rPr>
        <w:t xml:space="preserve"> </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7</w:t>
      </w:r>
      <w:r w:rsidRPr="00882E53">
        <w:rPr>
          <w:color w:val="000000"/>
          <w:sz w:val="24"/>
          <w:szCs w:val="24"/>
        </w:rPr>
        <w:tab/>
        <w:t>Recruiting for a listed terrorist</w:t>
      </w:r>
    </w:p>
    <w:p w:rsidR="00E50C35" w:rsidRDefault="00E50C35" w:rsidP="00B7060C">
      <w:pPr>
        <w:tabs>
          <w:tab w:val="left" w:pos="540"/>
        </w:tabs>
        <w:spacing w:after="240"/>
        <w:ind w:left="0" w:firstLine="0"/>
      </w:pPr>
      <w:r>
        <w:t xml:space="preserve">Section 7 of the standard prohibits a licensee from broadcasting a program which would be reasonably understood as directly recruiting a person to join, or participate in the activities of, a listed terrorist.  </w:t>
      </w:r>
    </w:p>
    <w:p w:rsidR="00E50C35" w:rsidRDefault="00E50C35" w:rsidP="00B7060C">
      <w:pPr>
        <w:tabs>
          <w:tab w:val="left" w:pos="540"/>
        </w:tabs>
        <w:spacing w:after="240"/>
        <w:ind w:left="0" w:firstLine="0"/>
      </w:pPr>
      <w:r>
        <w:t>For the purposes of the standard, the term ‘recruit’ is given the non-exhaustive meaning in section 6 of the s</w:t>
      </w:r>
      <w:r w:rsidRPr="00C34DCA">
        <w:t>tandard</w:t>
      </w:r>
      <w:r>
        <w:t xml:space="preserve">,  ‘to induce, incite and encourage'. </w:t>
      </w:r>
    </w:p>
    <w:p w:rsidR="00E50C35" w:rsidRDefault="00E50C35" w:rsidP="00B7060C">
      <w:pPr>
        <w:tabs>
          <w:tab w:val="left" w:pos="0"/>
        </w:tabs>
        <w:spacing w:after="240"/>
        <w:ind w:left="0" w:firstLine="0"/>
        <w:contextualSpacing/>
      </w:pPr>
      <w:r>
        <w:t xml:space="preserve">The emphasis in section 7 is on programs that </w:t>
      </w:r>
      <w:r w:rsidRPr="00E60156">
        <w:rPr>
          <w:i/>
        </w:rPr>
        <w:t>direct</w:t>
      </w:r>
      <w:r>
        <w:rPr>
          <w:i/>
        </w:rPr>
        <w:t xml:space="preserve">ly </w:t>
      </w:r>
      <w:r w:rsidRPr="00DD7B91">
        <w:t>recruit</w:t>
      </w:r>
      <w:r>
        <w:t xml:space="preserve"> a person to join or participate.  In assessing programs prior to their broadcast in Australia, a licensee should have regard to such matters as whether the program:</w:t>
      </w:r>
    </w:p>
    <w:p w:rsidR="00E50C35" w:rsidRDefault="00E50C35" w:rsidP="00B7060C">
      <w:pPr>
        <w:numPr>
          <w:ilvl w:val="0"/>
          <w:numId w:val="33"/>
        </w:numPr>
        <w:tabs>
          <w:tab w:val="left" w:pos="540"/>
        </w:tabs>
        <w:spacing w:after="240"/>
        <w:contextualSpacing/>
      </w:pPr>
      <w:r>
        <w:t>provides contact details of a listed terrorist</w:t>
      </w:r>
      <w:r w:rsidR="00AD450A">
        <w:t>;</w:t>
      </w:r>
    </w:p>
    <w:p w:rsidR="00E50C35" w:rsidRDefault="00E50C35" w:rsidP="00B7060C">
      <w:pPr>
        <w:numPr>
          <w:ilvl w:val="0"/>
          <w:numId w:val="33"/>
        </w:numPr>
        <w:tabs>
          <w:tab w:val="left" w:pos="540"/>
        </w:tabs>
        <w:spacing w:after="240"/>
        <w:contextualSpacing/>
      </w:pPr>
      <w:r>
        <w:t>informs viewers of meeting times and places</w:t>
      </w:r>
      <w:r w:rsidR="00AD450A">
        <w:t>;</w:t>
      </w:r>
    </w:p>
    <w:p w:rsidR="00E50C35" w:rsidRDefault="00E50C35" w:rsidP="00B7060C">
      <w:pPr>
        <w:numPr>
          <w:ilvl w:val="0"/>
          <w:numId w:val="33"/>
        </w:numPr>
        <w:tabs>
          <w:tab w:val="left" w:pos="540"/>
        </w:tabs>
        <w:spacing w:after="240"/>
      </w:pPr>
      <w:r>
        <w:t>refers viewers to training material and other information that could be used to prepare for participation in the activities of a listed terrorist.</w:t>
      </w:r>
    </w:p>
    <w:p w:rsidR="00E50C35" w:rsidRDefault="00E50C35" w:rsidP="00B7060C">
      <w:pPr>
        <w:tabs>
          <w:tab w:val="left" w:pos="540"/>
        </w:tabs>
        <w:spacing w:after="240"/>
        <w:ind w:left="0" w:firstLine="0"/>
      </w:pPr>
      <w:r>
        <w:lastRenderedPageBreak/>
        <w:t>A licensee will be in breach of this section regardless of whether it knew the program could be reasonably understood as recruiting for membership or participation in a listed terrorist.</w:t>
      </w:r>
    </w:p>
    <w:p w:rsidR="00E50C35" w:rsidRPr="007F70EC" w:rsidRDefault="00E50C35" w:rsidP="00E50C35">
      <w:pPr>
        <w:pStyle w:val="Heading3"/>
        <w:rPr>
          <w:color w:val="000000"/>
          <w:sz w:val="24"/>
          <w:szCs w:val="24"/>
        </w:rPr>
      </w:pPr>
      <w:r>
        <w:rPr>
          <w:color w:val="000000"/>
          <w:sz w:val="24"/>
          <w:szCs w:val="24"/>
        </w:rPr>
        <w:t xml:space="preserve">Section </w:t>
      </w:r>
      <w:r w:rsidRPr="00882E53">
        <w:rPr>
          <w:color w:val="000000"/>
          <w:sz w:val="24"/>
          <w:szCs w:val="24"/>
        </w:rPr>
        <w:t>8</w:t>
      </w:r>
      <w:r w:rsidRPr="00882E53">
        <w:rPr>
          <w:color w:val="000000"/>
          <w:sz w:val="24"/>
          <w:szCs w:val="24"/>
        </w:rPr>
        <w:tab/>
        <w:t>Financing terrorism</w:t>
      </w:r>
    </w:p>
    <w:p w:rsidR="00E50C35" w:rsidRDefault="00E50C35" w:rsidP="00B7060C">
      <w:pPr>
        <w:spacing w:after="240"/>
        <w:ind w:left="0" w:firstLine="0"/>
        <w:rPr>
          <w:color w:val="000000"/>
        </w:rPr>
      </w:pPr>
      <w:r>
        <w:rPr>
          <w:color w:val="000000"/>
        </w:rPr>
        <w:t>Section 8 of the standard prohibits a licensee from broadcasting a program that would be reasonably understood as soliciting funds for a listed terrorist, or assisting in the collection or provision of funds for a listed terrorist.</w:t>
      </w:r>
    </w:p>
    <w:p w:rsidR="00E50C35" w:rsidRDefault="00E50C35" w:rsidP="00B7060C">
      <w:pPr>
        <w:spacing w:after="240"/>
        <w:ind w:left="0" w:firstLine="0"/>
        <w:contextualSpacing/>
      </w:pPr>
      <w:r>
        <w:t>The standard defines ‘listed terrorist’ in section 6 as:</w:t>
      </w:r>
    </w:p>
    <w:p w:rsidR="00E50C35" w:rsidRDefault="00E50C35" w:rsidP="00B7060C">
      <w:pPr>
        <w:ind w:left="357" w:firstLine="0"/>
        <w:contextualSpacing/>
      </w:pPr>
      <w:r>
        <w:t>(a) a listed terrorist</w:t>
      </w:r>
      <w:r w:rsidRPr="00301ACC">
        <w:t xml:space="preserve"> organisation </w:t>
      </w:r>
      <w:r>
        <w:t xml:space="preserve">within the meaning of </w:t>
      </w:r>
      <w:r w:rsidRPr="00301ACC">
        <w:t xml:space="preserve">the </w:t>
      </w:r>
      <w:r w:rsidRPr="007B6490">
        <w:rPr>
          <w:i/>
        </w:rPr>
        <w:t>Criminal Code</w:t>
      </w:r>
      <w:r>
        <w:t>; or</w:t>
      </w:r>
    </w:p>
    <w:p w:rsidR="00E50C35" w:rsidRDefault="00E50C35" w:rsidP="00B7060C">
      <w:pPr>
        <w:spacing w:after="240"/>
        <w:ind w:left="357" w:firstLine="0"/>
      </w:pPr>
      <w:r>
        <w:t xml:space="preserve">(b) a proscribed person or entity listed in the </w:t>
      </w:r>
      <w:r w:rsidRPr="00FA7213">
        <w:rPr>
          <w:i/>
        </w:rPr>
        <w:t>Gazette</w:t>
      </w:r>
      <w:r>
        <w:t xml:space="preserve"> by the Minister for Foreign Affairs pursuant to section 15 of the </w:t>
      </w:r>
      <w:r w:rsidRPr="00C702E6">
        <w:rPr>
          <w:i/>
        </w:rPr>
        <w:t>Charter of the United Nations Act 1945</w:t>
      </w:r>
      <w:r>
        <w:rPr>
          <w:i/>
        </w:rPr>
        <w:t>.</w:t>
      </w:r>
      <w:r w:rsidRPr="00301ACC">
        <w:t xml:space="preserve">  </w:t>
      </w:r>
    </w:p>
    <w:p w:rsidR="00E50C35" w:rsidRDefault="00E50C35" w:rsidP="00B7060C">
      <w:pPr>
        <w:spacing w:after="240"/>
        <w:ind w:left="0" w:firstLine="0"/>
      </w:pPr>
      <w:r>
        <w:t xml:space="preserve">The list of terrorist organisations in the </w:t>
      </w:r>
      <w:r w:rsidRPr="003C307C">
        <w:rPr>
          <w:i/>
        </w:rPr>
        <w:t>Criminal Code Regulations</w:t>
      </w:r>
      <w:r>
        <w:t xml:space="preserve"> </w:t>
      </w:r>
      <w:r w:rsidRPr="003C307C">
        <w:rPr>
          <w:i/>
        </w:rPr>
        <w:t>2002</w:t>
      </w:r>
      <w:r>
        <w:t xml:space="preserve"> is available online at </w:t>
      </w:r>
      <w:hyperlink r:id="rId7" w:history="1">
        <w:r w:rsidRPr="001A6799">
          <w:rPr>
            <w:rStyle w:val="Hyperlink"/>
          </w:rPr>
          <w:t>www.nationalsecurity.gov.au</w:t>
        </w:r>
      </w:hyperlink>
      <w:r>
        <w:t>. Information about proscribed persons and entities designated as such by the Minister for Foreign Affairs</w:t>
      </w:r>
      <w:r w:rsidDel="00CE28CB">
        <w:t xml:space="preserve"> </w:t>
      </w:r>
      <w:r>
        <w:t>is available from the DFAT website (</w:t>
      </w:r>
      <w:hyperlink r:id="rId8" w:history="1">
        <w:r w:rsidRPr="004F48D0">
          <w:rPr>
            <w:rStyle w:val="Hyperlink"/>
          </w:rPr>
          <w:t>www.dfat.gov.au</w:t>
        </w:r>
      </w:hyperlink>
      <w:r>
        <w:t xml:space="preserve">). </w:t>
      </w:r>
    </w:p>
    <w:p w:rsidR="00E50C35" w:rsidRDefault="00E50C35" w:rsidP="00B7060C">
      <w:pPr>
        <w:tabs>
          <w:tab w:val="left" w:pos="540"/>
        </w:tabs>
        <w:spacing w:after="240"/>
        <w:ind w:left="0" w:firstLine="0"/>
      </w:pPr>
      <w:r>
        <w:t xml:space="preserve">A licensee will be in breach of this section regardless of whether it knew the program </w:t>
      </w:r>
      <w:r w:rsidRPr="007F70EC">
        <w:rPr>
          <w:color w:val="000000"/>
        </w:rPr>
        <w:t>would be</w:t>
      </w:r>
      <w:r>
        <w:rPr>
          <w:color w:val="000000"/>
        </w:rPr>
        <w:t xml:space="preserve"> </w:t>
      </w:r>
      <w:r w:rsidRPr="007F70EC">
        <w:rPr>
          <w:color w:val="000000"/>
        </w:rPr>
        <w:t>reasonably understood as</w:t>
      </w:r>
      <w:r>
        <w:rPr>
          <w:color w:val="000000"/>
        </w:rPr>
        <w:t xml:space="preserve"> </w:t>
      </w:r>
      <w:r w:rsidRPr="007F70EC">
        <w:rPr>
          <w:color w:val="000000"/>
        </w:rPr>
        <w:t>soliciting funds for a listed terrorist</w:t>
      </w:r>
      <w:r>
        <w:rPr>
          <w:color w:val="000000"/>
        </w:rPr>
        <w:t xml:space="preserve">, </w:t>
      </w:r>
      <w:r w:rsidRPr="007F70EC">
        <w:rPr>
          <w:color w:val="000000"/>
        </w:rPr>
        <w:t>or</w:t>
      </w:r>
      <w:r>
        <w:rPr>
          <w:color w:val="000000"/>
        </w:rPr>
        <w:t xml:space="preserve"> </w:t>
      </w:r>
      <w:r w:rsidRPr="007F70EC">
        <w:rPr>
          <w:color w:val="000000"/>
        </w:rPr>
        <w:t>assisting in the collection or provision of funds for a listed terrorist.</w:t>
      </w:r>
    </w:p>
    <w:p w:rsidR="00E50C35" w:rsidRDefault="00E50C35" w:rsidP="00E50C35">
      <w:pPr>
        <w:spacing w:before="240" w:after="60"/>
        <w:ind w:left="360" w:hanging="360"/>
        <w:rPr>
          <w:rFonts w:ascii="Arial" w:hAnsi="Arial" w:cs="Arial"/>
          <w:b/>
          <w:color w:val="000000"/>
        </w:rPr>
      </w:pPr>
      <w:r w:rsidRPr="00882E53">
        <w:rPr>
          <w:rFonts w:ascii="Arial" w:hAnsi="Arial" w:cs="Arial"/>
          <w:b/>
          <w:color w:val="000000"/>
        </w:rPr>
        <w:t xml:space="preserve">Section </w:t>
      </w:r>
      <w:r w:rsidR="00FE4EAE">
        <w:rPr>
          <w:rFonts w:ascii="Arial" w:hAnsi="Arial" w:cs="Arial"/>
          <w:b/>
          <w:color w:val="000000"/>
        </w:rPr>
        <w:t>9</w:t>
      </w:r>
      <w:r w:rsidR="00B7060C">
        <w:rPr>
          <w:rFonts w:ascii="Arial" w:hAnsi="Arial" w:cs="Arial"/>
          <w:b/>
          <w:color w:val="000000"/>
        </w:rPr>
        <w:tab/>
      </w:r>
      <w:r w:rsidRPr="00882E53">
        <w:rPr>
          <w:rFonts w:ascii="Arial" w:hAnsi="Arial" w:cs="Arial"/>
          <w:b/>
          <w:color w:val="000000"/>
        </w:rPr>
        <w:t xml:space="preserve">Advocating the doing of a terrorist act </w:t>
      </w:r>
    </w:p>
    <w:p w:rsidR="00E50C35" w:rsidRDefault="00E50C35" w:rsidP="00B7060C">
      <w:pPr>
        <w:spacing w:after="240"/>
        <w:ind w:left="0" w:firstLine="0"/>
        <w:rPr>
          <w:color w:val="000000"/>
        </w:rPr>
      </w:pPr>
      <w:r>
        <w:rPr>
          <w:color w:val="000000"/>
        </w:rPr>
        <w:t xml:space="preserve">Section </w:t>
      </w:r>
      <w:r w:rsidR="00FE4EAE">
        <w:rPr>
          <w:color w:val="000000"/>
        </w:rPr>
        <w:t>9</w:t>
      </w:r>
      <w:r>
        <w:rPr>
          <w:color w:val="000000"/>
        </w:rPr>
        <w:t xml:space="preserve"> of the standard prohibits a licensee from broadcasting a program that advocates the doing of a terrorist act.</w:t>
      </w:r>
    </w:p>
    <w:p w:rsidR="00E50C35" w:rsidRPr="000607BE" w:rsidRDefault="00E50C35" w:rsidP="00B7060C">
      <w:pPr>
        <w:spacing w:after="240"/>
        <w:ind w:left="0" w:firstLine="0"/>
        <w:rPr>
          <w:color w:val="000000"/>
        </w:rPr>
      </w:pPr>
      <w:r>
        <w:rPr>
          <w:color w:val="000000"/>
        </w:rPr>
        <w:t>Under this section, a program advocates the doing of a terrorist act if it directly or indirectly urges the doing of a terrorist act or provides instruction on the doing of a terrorist act. The provision also prohibits directly praising</w:t>
      </w:r>
      <w:r w:rsidRPr="00815A96">
        <w:rPr>
          <w:color w:val="000000"/>
        </w:rPr>
        <w:t xml:space="preserve"> the doing of a terrorist act </w:t>
      </w:r>
      <w:r>
        <w:rPr>
          <w:color w:val="000000"/>
        </w:rPr>
        <w:t>in</w:t>
      </w:r>
      <w:r w:rsidRPr="00815A96">
        <w:rPr>
          <w:color w:val="000000"/>
        </w:rPr>
        <w:t xml:space="preserve"> circumstances where there is a substantial risk that </w:t>
      </w:r>
      <w:r>
        <w:rPr>
          <w:color w:val="000000"/>
        </w:rPr>
        <w:t>the</w:t>
      </w:r>
      <w:r w:rsidRPr="00815A96">
        <w:rPr>
          <w:color w:val="000000"/>
        </w:rPr>
        <w:t xml:space="preserve"> praise </w:t>
      </w:r>
      <w:r>
        <w:rPr>
          <w:color w:val="000000"/>
        </w:rPr>
        <w:t xml:space="preserve">might </w:t>
      </w:r>
      <w:r w:rsidRPr="00815A96">
        <w:rPr>
          <w:color w:val="000000"/>
        </w:rPr>
        <w:t>lead a person</w:t>
      </w:r>
      <w:r>
        <w:rPr>
          <w:color w:val="000000"/>
        </w:rPr>
        <w:t xml:space="preserve"> (regardless of their age or of any mental impairment) </w:t>
      </w:r>
      <w:r w:rsidRPr="00815A96">
        <w:rPr>
          <w:color w:val="000000"/>
        </w:rPr>
        <w:t xml:space="preserve">to engage in a terrorist act. </w:t>
      </w:r>
      <w:r>
        <w:t>Section 6 of the standard defines ‘terrorist act’ to have the meaning given by section 100.1</w:t>
      </w:r>
      <w:r w:rsidRPr="00301ACC">
        <w:t xml:space="preserve"> </w:t>
      </w:r>
      <w:r>
        <w:t xml:space="preserve">of </w:t>
      </w:r>
      <w:r w:rsidRPr="00301ACC">
        <w:t xml:space="preserve">the </w:t>
      </w:r>
      <w:r w:rsidRPr="007B6490">
        <w:rPr>
          <w:i/>
        </w:rPr>
        <w:t>Criminal Code</w:t>
      </w:r>
      <w:r>
        <w:t>. That definition covers actions or threats of action.</w:t>
      </w:r>
    </w:p>
    <w:p w:rsidR="00E50C35" w:rsidRDefault="00E50C35" w:rsidP="00B7060C">
      <w:pPr>
        <w:tabs>
          <w:tab w:val="left" w:pos="540"/>
        </w:tabs>
        <w:spacing w:after="240"/>
        <w:ind w:left="0" w:firstLine="0"/>
        <w:rPr>
          <w:color w:val="000000"/>
        </w:rPr>
      </w:pPr>
      <w:r w:rsidRPr="00DD7B91">
        <w:rPr>
          <w:color w:val="000000"/>
        </w:rPr>
        <w:t>A li</w:t>
      </w:r>
      <w:r>
        <w:t xml:space="preserve">censee will be in breach of this section regardless of whether it knew the program </w:t>
      </w:r>
      <w:r w:rsidRPr="007F70EC">
        <w:rPr>
          <w:color w:val="000000"/>
        </w:rPr>
        <w:t>advocates the doing of a terrorist</w:t>
      </w:r>
      <w:r>
        <w:rPr>
          <w:color w:val="000000"/>
        </w:rPr>
        <w:t xml:space="preserve"> </w:t>
      </w:r>
      <w:r w:rsidRPr="007F70EC">
        <w:rPr>
          <w:color w:val="000000"/>
        </w:rPr>
        <w:t>act.</w:t>
      </w:r>
    </w:p>
    <w:p w:rsidR="00E50C35" w:rsidRDefault="00E50C35" w:rsidP="00B7060C">
      <w:pPr>
        <w:tabs>
          <w:tab w:val="left" w:pos="540"/>
        </w:tabs>
        <w:spacing w:after="240"/>
        <w:ind w:left="0" w:firstLine="0"/>
      </w:pPr>
      <w:r>
        <w:rPr>
          <w:color w:val="000000"/>
        </w:rPr>
        <w:t xml:space="preserve">Subsection </w:t>
      </w:r>
      <w:r w:rsidR="00FE4EAE">
        <w:rPr>
          <w:color w:val="000000"/>
        </w:rPr>
        <w:t>9</w:t>
      </w:r>
      <w:r>
        <w:rPr>
          <w:color w:val="000000"/>
        </w:rPr>
        <w:t xml:space="preserve">(4) provides that a depiction or description of a terrorist act will not contravene subsection </w:t>
      </w:r>
      <w:r w:rsidR="00FE4EAE">
        <w:rPr>
          <w:color w:val="000000"/>
        </w:rPr>
        <w:t>9</w:t>
      </w:r>
      <w:r>
        <w:rPr>
          <w:color w:val="000000"/>
        </w:rPr>
        <w:t>(1) if it could reasonably be considered to be done merely as part of public discussion or debate or as entertainment or satire.</w:t>
      </w:r>
    </w:p>
    <w:p w:rsidR="00E50C35" w:rsidRPr="007F70EC" w:rsidRDefault="00E50C35" w:rsidP="00E50C35">
      <w:pPr>
        <w:pStyle w:val="Heading3"/>
        <w:rPr>
          <w:color w:val="000000"/>
          <w:sz w:val="24"/>
          <w:szCs w:val="24"/>
        </w:rPr>
      </w:pPr>
      <w:r>
        <w:rPr>
          <w:color w:val="000000"/>
          <w:sz w:val="24"/>
          <w:szCs w:val="24"/>
        </w:rPr>
        <w:t xml:space="preserve">Section </w:t>
      </w:r>
      <w:r w:rsidR="00FE4EAE">
        <w:rPr>
          <w:color w:val="000000"/>
          <w:sz w:val="24"/>
          <w:szCs w:val="24"/>
        </w:rPr>
        <w:t>10</w:t>
      </w:r>
      <w:r w:rsidRPr="00882E53">
        <w:rPr>
          <w:color w:val="000000"/>
          <w:sz w:val="24"/>
          <w:szCs w:val="24"/>
        </w:rPr>
        <w:tab/>
        <w:t>Programs of political opinion not affected</w:t>
      </w:r>
    </w:p>
    <w:p w:rsidR="00E50C35" w:rsidRDefault="00E50C35" w:rsidP="00B7060C">
      <w:pPr>
        <w:tabs>
          <w:tab w:val="left" w:pos="700"/>
        </w:tabs>
        <w:spacing w:after="240"/>
        <w:ind w:left="0" w:firstLine="0"/>
        <w:outlineLvl w:val="0"/>
      </w:pPr>
      <w:r>
        <w:t xml:space="preserve">Section </w:t>
      </w:r>
      <w:r w:rsidR="00FE4EAE">
        <w:t>10</w:t>
      </w:r>
      <w:r>
        <w:t xml:space="preserve"> provides that the standard does not prohibit broadcasts of informative program content (for example, news, current affairs and documentary programs) that merely informs viewers about the activities, beliefs or opinions of a listed terrorist, provided the program content does not advocate the doing of a terrorist act, or solicit funds, or directly recruit, for a listed terrorist. </w:t>
      </w:r>
    </w:p>
    <w:p w:rsidR="00E50C35" w:rsidRPr="007F70EC" w:rsidRDefault="00E50C35" w:rsidP="00E50C35">
      <w:pPr>
        <w:pStyle w:val="Heading3"/>
        <w:rPr>
          <w:color w:val="000000"/>
          <w:sz w:val="24"/>
          <w:szCs w:val="24"/>
        </w:rPr>
      </w:pPr>
      <w:r>
        <w:rPr>
          <w:color w:val="000000"/>
          <w:sz w:val="24"/>
          <w:szCs w:val="24"/>
        </w:rPr>
        <w:t xml:space="preserve">Section </w:t>
      </w:r>
      <w:r w:rsidR="00FE4EAE">
        <w:rPr>
          <w:color w:val="000000"/>
          <w:sz w:val="24"/>
          <w:szCs w:val="24"/>
        </w:rPr>
        <w:t>11</w:t>
      </w:r>
      <w:r w:rsidRPr="00882E53">
        <w:rPr>
          <w:color w:val="000000"/>
          <w:sz w:val="24"/>
          <w:szCs w:val="24"/>
        </w:rPr>
        <w:tab/>
        <w:t>Bona fide reports and comments not affected</w:t>
      </w:r>
    </w:p>
    <w:p w:rsidR="00E50C35" w:rsidRDefault="00FE4EAE" w:rsidP="00B7060C">
      <w:pPr>
        <w:tabs>
          <w:tab w:val="left" w:pos="700"/>
        </w:tabs>
        <w:spacing w:after="240"/>
        <w:ind w:left="0" w:firstLine="0"/>
        <w:contextualSpacing/>
        <w:outlineLvl w:val="0"/>
      </w:pPr>
      <w:r>
        <w:t>Section 11</w:t>
      </w:r>
      <w:r w:rsidR="00E50C35">
        <w:t xml:space="preserve"> enables a licensee to broadcast an excerpt of a program which would otherwise be prohibited by section 7, 8</w:t>
      </w:r>
      <w:r w:rsidR="00E50C35" w:rsidRPr="00DC69FC">
        <w:t xml:space="preserve"> </w:t>
      </w:r>
      <w:r w:rsidR="00E50C35">
        <w:t xml:space="preserve">or </w:t>
      </w:r>
      <w:r>
        <w:t>9</w:t>
      </w:r>
      <w:r w:rsidR="00E50C35">
        <w:t xml:space="preserve"> of the standard if:</w:t>
      </w:r>
    </w:p>
    <w:p w:rsidR="00E50C35" w:rsidRDefault="00E50C35" w:rsidP="00B7060C">
      <w:pPr>
        <w:numPr>
          <w:ilvl w:val="0"/>
          <w:numId w:val="21"/>
        </w:numPr>
        <w:spacing w:before="120" w:after="240"/>
        <w:contextualSpacing/>
      </w:pPr>
      <w:r w:rsidRPr="00FC039E">
        <w:t>the excerpt is part of a news report, current affairs program, do</w:t>
      </w:r>
      <w:r>
        <w:t>cumentary or other program; and</w:t>
      </w:r>
    </w:p>
    <w:p w:rsidR="00E50C35" w:rsidRDefault="00E50C35" w:rsidP="00B7060C">
      <w:pPr>
        <w:numPr>
          <w:ilvl w:val="0"/>
          <w:numId w:val="21"/>
        </w:numPr>
        <w:spacing w:after="240"/>
      </w:pPr>
      <w:r w:rsidRPr="00FC039E">
        <w:t>the excerpt is included as part of a bona fide report or comment on a matter of public interest.</w:t>
      </w:r>
      <w:r>
        <w:t xml:space="preserve"> </w:t>
      </w:r>
    </w:p>
    <w:p w:rsidR="00E50C35" w:rsidRDefault="00E50C35" w:rsidP="00B7060C">
      <w:pPr>
        <w:spacing w:before="120" w:after="240"/>
        <w:ind w:left="0" w:firstLine="0"/>
        <w:rPr>
          <w:rFonts w:ascii="Arial" w:hAnsi="Arial" w:cs="Arial"/>
          <w:b/>
          <w:i/>
          <w:sz w:val="28"/>
          <w:szCs w:val="28"/>
        </w:rPr>
      </w:pPr>
      <w:r>
        <w:t xml:space="preserve">This section provides a limited exception for the broadcast of material that would otherwise be prohibited by sections 7, 8 and </w:t>
      </w:r>
      <w:r w:rsidR="00FE4EAE">
        <w:t>9</w:t>
      </w:r>
      <w:r>
        <w:t xml:space="preserve">. </w:t>
      </w:r>
      <w:r>
        <w:rPr>
          <w:rFonts w:ascii="Arial" w:hAnsi="Arial" w:cs="Arial"/>
          <w:b/>
          <w:i/>
          <w:sz w:val="28"/>
          <w:szCs w:val="28"/>
        </w:rPr>
        <w:t xml:space="preserve"> </w:t>
      </w:r>
    </w:p>
    <w:sectPr w:rsidR="00E50C35" w:rsidSect="00AA01B4">
      <w:headerReference w:type="even" r:id="rId9"/>
      <w:headerReference w:type="default" r:id="rId10"/>
      <w:footerReference w:type="default" r:id="rId11"/>
      <w:headerReference w:type="first" r:id="rId12"/>
      <w:pgSz w:w="11906" w:h="16838"/>
      <w:pgMar w:top="1440"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B2" w:rsidRDefault="002262B2" w:rsidP="00BA20DD">
      <w:r>
        <w:separator/>
      </w:r>
    </w:p>
  </w:endnote>
  <w:endnote w:type="continuationSeparator" w:id="0">
    <w:p w:rsidR="002262B2" w:rsidRDefault="002262B2" w:rsidP="00BA2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B2" w:rsidRPr="00F47B2C" w:rsidRDefault="00EC5975">
    <w:pPr>
      <w:pStyle w:val="Footer"/>
      <w:jc w:val="center"/>
      <w:rPr>
        <w:sz w:val="20"/>
        <w:szCs w:val="20"/>
      </w:rPr>
    </w:pPr>
    <w:r w:rsidRPr="00F47B2C">
      <w:rPr>
        <w:sz w:val="20"/>
        <w:szCs w:val="20"/>
      </w:rPr>
      <w:fldChar w:fldCharType="begin"/>
    </w:r>
    <w:r w:rsidR="002262B2" w:rsidRPr="00F47B2C">
      <w:rPr>
        <w:sz w:val="20"/>
        <w:szCs w:val="20"/>
      </w:rPr>
      <w:instrText xml:space="preserve"> PAGE   \* MERGEFORMAT </w:instrText>
    </w:r>
    <w:r w:rsidRPr="00F47B2C">
      <w:rPr>
        <w:sz w:val="20"/>
        <w:szCs w:val="20"/>
      </w:rPr>
      <w:fldChar w:fldCharType="separate"/>
    </w:r>
    <w:r w:rsidR="005A56FF">
      <w:rPr>
        <w:noProof/>
        <w:sz w:val="20"/>
        <w:szCs w:val="20"/>
      </w:rPr>
      <w:t>1</w:t>
    </w:r>
    <w:r w:rsidRPr="00F47B2C">
      <w:rPr>
        <w:sz w:val="20"/>
        <w:szCs w:val="20"/>
      </w:rPr>
      <w:fldChar w:fldCharType="end"/>
    </w:r>
  </w:p>
  <w:p w:rsidR="002262B2" w:rsidRDefault="002262B2" w:rsidP="00BA20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B2" w:rsidRDefault="002262B2" w:rsidP="00BA20DD">
      <w:r>
        <w:separator/>
      </w:r>
    </w:p>
  </w:footnote>
  <w:footnote w:type="continuationSeparator" w:id="0">
    <w:p w:rsidR="002262B2" w:rsidRDefault="002262B2" w:rsidP="00BA2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B2" w:rsidRDefault="00EC5975" w:rsidP="00BA20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2" o:spid="_x0000_s2050"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B2" w:rsidRPr="00D87B6E" w:rsidRDefault="002262B2" w:rsidP="00D87B6E">
    <w:pPr>
      <w:pStyle w:val="Header"/>
      <w:jc w:val="right"/>
      <w:rPr>
        <w:rFonts w:ascii="Arial" w:hAnsi="Arial" w:cs="Arial"/>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B2" w:rsidRDefault="00EC5975" w:rsidP="00BA20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v:shape id="PowerPlusWaterMarkObject1" o:spid="_x0000_s2049" type="#_x0000_t136" style="position:absolute;left:0;text-align:left;margin-left:0;margin-top:0;width:418.2pt;height:167.2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7DC"/>
    <w:multiLevelType w:val="hybridMultilevel"/>
    <w:tmpl w:val="DAE8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636C87"/>
    <w:multiLevelType w:val="hybridMultilevel"/>
    <w:tmpl w:val="8CA872D2"/>
    <w:lvl w:ilvl="0" w:tplc="DF36B53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5DA1E9C"/>
    <w:multiLevelType w:val="hybridMultilevel"/>
    <w:tmpl w:val="166C76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0E345F"/>
    <w:multiLevelType w:val="hybridMultilevel"/>
    <w:tmpl w:val="050A97B2"/>
    <w:lvl w:ilvl="0" w:tplc="DF36B534">
      <w:start w:val="1"/>
      <w:numFmt w:val="lowerLetter"/>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
    <w:nsid w:val="0F5575BE"/>
    <w:multiLevelType w:val="hybridMultilevel"/>
    <w:tmpl w:val="97DC7170"/>
    <w:lvl w:ilvl="0" w:tplc="DF36B534">
      <w:start w:val="1"/>
      <w:numFmt w:val="lowerLetter"/>
      <w:lvlText w:val="(%1)"/>
      <w:lvlJc w:val="left"/>
      <w:pPr>
        <w:ind w:left="185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4D47CF"/>
    <w:multiLevelType w:val="hybridMultilevel"/>
    <w:tmpl w:val="2888718E"/>
    <w:lvl w:ilvl="0" w:tplc="68CE2092">
      <w:start w:val="2"/>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81B673D"/>
    <w:multiLevelType w:val="hybridMultilevel"/>
    <w:tmpl w:val="B6E879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B7B7B67"/>
    <w:multiLevelType w:val="hybridMultilevel"/>
    <w:tmpl w:val="E26AB0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8442A"/>
    <w:multiLevelType w:val="hybridMultilevel"/>
    <w:tmpl w:val="876C9BD6"/>
    <w:lvl w:ilvl="0" w:tplc="CB34FF4A">
      <w:start w:val="2"/>
      <w:numFmt w:val="decimal"/>
      <w:lvlText w:val="%1."/>
      <w:lvlJc w:val="left"/>
      <w:pPr>
        <w:ind w:left="1798" w:hanging="360"/>
      </w:pPr>
      <w:rPr>
        <w:rFonts w:hint="default"/>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0">
    <w:nsid w:val="30CD5817"/>
    <w:multiLevelType w:val="hybridMultilevel"/>
    <w:tmpl w:val="569881B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nsid w:val="344A30AB"/>
    <w:multiLevelType w:val="hybridMultilevel"/>
    <w:tmpl w:val="BF06F5E0"/>
    <w:lvl w:ilvl="0" w:tplc="0C09000F">
      <w:start w:val="1"/>
      <w:numFmt w:val="decimal"/>
      <w:lvlText w:val="%1."/>
      <w:lvlJc w:val="left"/>
      <w:pPr>
        <w:ind w:left="1259" w:hanging="360"/>
      </w:p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2">
    <w:nsid w:val="35204608"/>
    <w:multiLevelType w:val="hybridMultilevel"/>
    <w:tmpl w:val="EC704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6B45E0A"/>
    <w:multiLevelType w:val="hybridMultilevel"/>
    <w:tmpl w:val="A77829C8"/>
    <w:lvl w:ilvl="0" w:tplc="FD2647AA">
      <w:start w:val="1"/>
      <w:numFmt w:val="bullet"/>
      <w:lvlText w:val=""/>
      <w:lvlJc w:val="left"/>
      <w:pPr>
        <w:tabs>
          <w:tab w:val="num" w:pos="1441"/>
        </w:tabs>
        <w:ind w:left="1441" w:hanging="901"/>
      </w:pPr>
      <w:rPr>
        <w:rFonts w:ascii="Symbol" w:hAnsi="Symbol" w:hint="default"/>
      </w:rPr>
    </w:lvl>
    <w:lvl w:ilvl="1" w:tplc="0C090003" w:tentative="1">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14">
    <w:nsid w:val="37B1517C"/>
    <w:multiLevelType w:val="hybridMultilevel"/>
    <w:tmpl w:val="7E12EFAA"/>
    <w:lvl w:ilvl="0" w:tplc="0C090001">
      <w:start w:val="1"/>
      <w:numFmt w:val="bullet"/>
      <w:lvlText w:val=""/>
      <w:lvlJc w:val="left"/>
      <w:pPr>
        <w:tabs>
          <w:tab w:val="num" w:pos="3061"/>
        </w:tabs>
        <w:ind w:left="3061" w:hanging="360"/>
      </w:pPr>
      <w:rPr>
        <w:rFonts w:ascii="Symbol" w:hAnsi="Symbol" w:hint="default"/>
      </w:rPr>
    </w:lvl>
    <w:lvl w:ilvl="1" w:tplc="0C090003" w:tentative="1">
      <w:start w:val="1"/>
      <w:numFmt w:val="bullet"/>
      <w:lvlText w:val="o"/>
      <w:lvlJc w:val="left"/>
      <w:pPr>
        <w:tabs>
          <w:tab w:val="num" w:pos="3781"/>
        </w:tabs>
        <w:ind w:left="3781" w:hanging="360"/>
      </w:pPr>
      <w:rPr>
        <w:rFonts w:ascii="Courier New" w:hAnsi="Courier New" w:cs="Courier New" w:hint="default"/>
      </w:rPr>
    </w:lvl>
    <w:lvl w:ilvl="2" w:tplc="0C090005" w:tentative="1">
      <w:start w:val="1"/>
      <w:numFmt w:val="bullet"/>
      <w:lvlText w:val=""/>
      <w:lvlJc w:val="left"/>
      <w:pPr>
        <w:tabs>
          <w:tab w:val="num" w:pos="4501"/>
        </w:tabs>
        <w:ind w:left="4501" w:hanging="360"/>
      </w:pPr>
      <w:rPr>
        <w:rFonts w:ascii="Wingdings" w:hAnsi="Wingdings" w:hint="default"/>
      </w:rPr>
    </w:lvl>
    <w:lvl w:ilvl="3" w:tplc="0C090001" w:tentative="1">
      <w:start w:val="1"/>
      <w:numFmt w:val="bullet"/>
      <w:lvlText w:val=""/>
      <w:lvlJc w:val="left"/>
      <w:pPr>
        <w:tabs>
          <w:tab w:val="num" w:pos="5221"/>
        </w:tabs>
        <w:ind w:left="5221" w:hanging="360"/>
      </w:pPr>
      <w:rPr>
        <w:rFonts w:ascii="Symbol" w:hAnsi="Symbol" w:hint="default"/>
      </w:rPr>
    </w:lvl>
    <w:lvl w:ilvl="4" w:tplc="0C090003" w:tentative="1">
      <w:start w:val="1"/>
      <w:numFmt w:val="bullet"/>
      <w:lvlText w:val="o"/>
      <w:lvlJc w:val="left"/>
      <w:pPr>
        <w:tabs>
          <w:tab w:val="num" w:pos="5941"/>
        </w:tabs>
        <w:ind w:left="5941" w:hanging="360"/>
      </w:pPr>
      <w:rPr>
        <w:rFonts w:ascii="Courier New" w:hAnsi="Courier New" w:cs="Courier New" w:hint="default"/>
      </w:rPr>
    </w:lvl>
    <w:lvl w:ilvl="5" w:tplc="0C090005" w:tentative="1">
      <w:start w:val="1"/>
      <w:numFmt w:val="bullet"/>
      <w:lvlText w:val=""/>
      <w:lvlJc w:val="left"/>
      <w:pPr>
        <w:tabs>
          <w:tab w:val="num" w:pos="6661"/>
        </w:tabs>
        <w:ind w:left="6661" w:hanging="360"/>
      </w:pPr>
      <w:rPr>
        <w:rFonts w:ascii="Wingdings" w:hAnsi="Wingdings" w:hint="default"/>
      </w:rPr>
    </w:lvl>
    <w:lvl w:ilvl="6" w:tplc="0C090001" w:tentative="1">
      <w:start w:val="1"/>
      <w:numFmt w:val="bullet"/>
      <w:lvlText w:val=""/>
      <w:lvlJc w:val="left"/>
      <w:pPr>
        <w:tabs>
          <w:tab w:val="num" w:pos="7381"/>
        </w:tabs>
        <w:ind w:left="7381" w:hanging="360"/>
      </w:pPr>
      <w:rPr>
        <w:rFonts w:ascii="Symbol" w:hAnsi="Symbol" w:hint="default"/>
      </w:rPr>
    </w:lvl>
    <w:lvl w:ilvl="7" w:tplc="0C090003" w:tentative="1">
      <w:start w:val="1"/>
      <w:numFmt w:val="bullet"/>
      <w:lvlText w:val="o"/>
      <w:lvlJc w:val="left"/>
      <w:pPr>
        <w:tabs>
          <w:tab w:val="num" w:pos="8101"/>
        </w:tabs>
        <w:ind w:left="8101" w:hanging="360"/>
      </w:pPr>
      <w:rPr>
        <w:rFonts w:ascii="Courier New" w:hAnsi="Courier New" w:cs="Courier New" w:hint="default"/>
      </w:rPr>
    </w:lvl>
    <w:lvl w:ilvl="8" w:tplc="0C090005" w:tentative="1">
      <w:start w:val="1"/>
      <w:numFmt w:val="bullet"/>
      <w:lvlText w:val=""/>
      <w:lvlJc w:val="left"/>
      <w:pPr>
        <w:tabs>
          <w:tab w:val="num" w:pos="8821"/>
        </w:tabs>
        <w:ind w:left="8821" w:hanging="360"/>
      </w:pPr>
      <w:rPr>
        <w:rFonts w:ascii="Wingdings" w:hAnsi="Wingdings" w:hint="default"/>
      </w:rPr>
    </w:lvl>
  </w:abstractNum>
  <w:abstractNum w:abstractNumId="15">
    <w:nsid w:val="383E6C60"/>
    <w:multiLevelType w:val="hybridMultilevel"/>
    <w:tmpl w:val="D37852D2"/>
    <w:lvl w:ilvl="0" w:tplc="D6F296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9897322"/>
    <w:multiLevelType w:val="hybridMultilevel"/>
    <w:tmpl w:val="04408AFC"/>
    <w:lvl w:ilvl="0" w:tplc="1CF656CA">
      <w:start w:val="1"/>
      <w:numFmt w:val="lowerLetter"/>
      <w:lvlText w:val="(%1)"/>
      <w:lvlJc w:val="left"/>
      <w:pPr>
        <w:ind w:left="1644" w:hanging="51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7">
    <w:nsid w:val="419C4773"/>
    <w:multiLevelType w:val="hybridMultilevel"/>
    <w:tmpl w:val="948656B8"/>
    <w:lvl w:ilvl="0" w:tplc="6CF68C44">
      <w:start w:val="1"/>
      <w:numFmt w:val="lowerRoman"/>
      <w:lvlText w:val="(%1)"/>
      <w:lvlJc w:val="left"/>
      <w:pPr>
        <w:ind w:left="2384"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1C6078D"/>
    <w:multiLevelType w:val="hybridMultilevel"/>
    <w:tmpl w:val="0A884550"/>
    <w:lvl w:ilvl="0" w:tplc="CB34FF4A">
      <w:start w:val="2"/>
      <w:numFmt w:val="decimal"/>
      <w:lvlText w:val="%1."/>
      <w:lvlJc w:val="left"/>
      <w:pPr>
        <w:ind w:left="1798" w:hanging="360"/>
      </w:pPr>
      <w:rPr>
        <w:rFonts w:hint="default"/>
      </w:rPr>
    </w:lvl>
    <w:lvl w:ilvl="1" w:tplc="5F5EF748">
      <w:start w:val="1"/>
      <w:numFmt w:val="lowerLetter"/>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6D7183"/>
    <w:multiLevelType w:val="hybridMultilevel"/>
    <w:tmpl w:val="168C6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4A351A75"/>
    <w:multiLevelType w:val="hybridMultilevel"/>
    <w:tmpl w:val="6B703CF8"/>
    <w:lvl w:ilvl="0" w:tplc="FD2647AA">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4C330498"/>
    <w:multiLevelType w:val="hybridMultilevel"/>
    <w:tmpl w:val="EE7CA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D270CD8"/>
    <w:multiLevelType w:val="hybridMultilevel"/>
    <w:tmpl w:val="0F2AFD12"/>
    <w:lvl w:ilvl="0" w:tplc="D37600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E822F3"/>
    <w:multiLevelType w:val="hybridMultilevel"/>
    <w:tmpl w:val="EFD8E5EE"/>
    <w:lvl w:ilvl="0" w:tplc="D6F296C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13452F4"/>
    <w:multiLevelType w:val="hybridMultilevel"/>
    <w:tmpl w:val="F8846800"/>
    <w:lvl w:ilvl="0" w:tplc="DF36B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C890A47"/>
    <w:multiLevelType w:val="hybridMultilevel"/>
    <w:tmpl w:val="FC0A9FEC"/>
    <w:lvl w:ilvl="0" w:tplc="30D48B06">
      <w:start w:val="1"/>
      <w:numFmt w:val="bullet"/>
      <w:lvlText w:val=""/>
      <w:lvlJc w:val="left"/>
      <w:pPr>
        <w:tabs>
          <w:tab w:val="num" w:pos="901"/>
        </w:tabs>
        <w:ind w:left="901"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7391C84"/>
    <w:multiLevelType w:val="hybridMultilevel"/>
    <w:tmpl w:val="78222E28"/>
    <w:lvl w:ilvl="0" w:tplc="468E1D64">
      <w:start w:val="1"/>
      <w:numFmt w:val="bullet"/>
      <w:lvlText w:val=""/>
      <w:lvlJc w:val="left"/>
      <w:pPr>
        <w:tabs>
          <w:tab w:val="num" w:pos="902"/>
        </w:tabs>
        <w:ind w:left="902" w:hanging="362"/>
      </w:pPr>
      <w:rPr>
        <w:rFonts w:ascii="Symbol" w:hAnsi="Symbol" w:hint="default"/>
      </w:rPr>
    </w:lvl>
    <w:lvl w:ilvl="1" w:tplc="0C090003" w:tentative="1">
      <w:start w:val="1"/>
      <w:numFmt w:val="bullet"/>
      <w:lvlText w:val="o"/>
      <w:lvlJc w:val="left"/>
      <w:pPr>
        <w:tabs>
          <w:tab w:val="num" w:pos="2161"/>
        </w:tabs>
        <w:ind w:left="2161" w:hanging="360"/>
      </w:pPr>
      <w:rPr>
        <w:rFonts w:ascii="Courier New" w:hAnsi="Courier New" w:cs="Courier New" w:hint="default"/>
      </w:rPr>
    </w:lvl>
    <w:lvl w:ilvl="2" w:tplc="0C090005" w:tentative="1">
      <w:start w:val="1"/>
      <w:numFmt w:val="bullet"/>
      <w:lvlText w:val=""/>
      <w:lvlJc w:val="left"/>
      <w:pPr>
        <w:tabs>
          <w:tab w:val="num" w:pos="2881"/>
        </w:tabs>
        <w:ind w:left="2881" w:hanging="360"/>
      </w:pPr>
      <w:rPr>
        <w:rFonts w:ascii="Wingdings" w:hAnsi="Wingdings" w:hint="default"/>
      </w:rPr>
    </w:lvl>
    <w:lvl w:ilvl="3" w:tplc="0C090001" w:tentative="1">
      <w:start w:val="1"/>
      <w:numFmt w:val="bullet"/>
      <w:lvlText w:val=""/>
      <w:lvlJc w:val="left"/>
      <w:pPr>
        <w:tabs>
          <w:tab w:val="num" w:pos="3601"/>
        </w:tabs>
        <w:ind w:left="3601" w:hanging="360"/>
      </w:pPr>
      <w:rPr>
        <w:rFonts w:ascii="Symbol" w:hAnsi="Symbol" w:hint="default"/>
      </w:rPr>
    </w:lvl>
    <w:lvl w:ilvl="4" w:tplc="0C090003" w:tentative="1">
      <w:start w:val="1"/>
      <w:numFmt w:val="bullet"/>
      <w:lvlText w:val="o"/>
      <w:lvlJc w:val="left"/>
      <w:pPr>
        <w:tabs>
          <w:tab w:val="num" w:pos="4321"/>
        </w:tabs>
        <w:ind w:left="4321" w:hanging="360"/>
      </w:pPr>
      <w:rPr>
        <w:rFonts w:ascii="Courier New" w:hAnsi="Courier New" w:cs="Courier New" w:hint="default"/>
      </w:rPr>
    </w:lvl>
    <w:lvl w:ilvl="5" w:tplc="0C090005" w:tentative="1">
      <w:start w:val="1"/>
      <w:numFmt w:val="bullet"/>
      <w:lvlText w:val=""/>
      <w:lvlJc w:val="left"/>
      <w:pPr>
        <w:tabs>
          <w:tab w:val="num" w:pos="5041"/>
        </w:tabs>
        <w:ind w:left="5041" w:hanging="360"/>
      </w:pPr>
      <w:rPr>
        <w:rFonts w:ascii="Wingdings" w:hAnsi="Wingdings" w:hint="default"/>
      </w:rPr>
    </w:lvl>
    <w:lvl w:ilvl="6" w:tplc="0C090001" w:tentative="1">
      <w:start w:val="1"/>
      <w:numFmt w:val="bullet"/>
      <w:lvlText w:val=""/>
      <w:lvlJc w:val="left"/>
      <w:pPr>
        <w:tabs>
          <w:tab w:val="num" w:pos="5761"/>
        </w:tabs>
        <w:ind w:left="5761" w:hanging="360"/>
      </w:pPr>
      <w:rPr>
        <w:rFonts w:ascii="Symbol" w:hAnsi="Symbol" w:hint="default"/>
      </w:rPr>
    </w:lvl>
    <w:lvl w:ilvl="7" w:tplc="0C090003" w:tentative="1">
      <w:start w:val="1"/>
      <w:numFmt w:val="bullet"/>
      <w:lvlText w:val="o"/>
      <w:lvlJc w:val="left"/>
      <w:pPr>
        <w:tabs>
          <w:tab w:val="num" w:pos="6481"/>
        </w:tabs>
        <w:ind w:left="6481" w:hanging="360"/>
      </w:pPr>
      <w:rPr>
        <w:rFonts w:ascii="Courier New" w:hAnsi="Courier New" w:cs="Courier New" w:hint="default"/>
      </w:rPr>
    </w:lvl>
    <w:lvl w:ilvl="8" w:tplc="0C090005" w:tentative="1">
      <w:start w:val="1"/>
      <w:numFmt w:val="bullet"/>
      <w:lvlText w:val=""/>
      <w:lvlJc w:val="left"/>
      <w:pPr>
        <w:tabs>
          <w:tab w:val="num" w:pos="7201"/>
        </w:tabs>
        <w:ind w:left="7201" w:hanging="360"/>
      </w:pPr>
      <w:rPr>
        <w:rFonts w:ascii="Wingdings" w:hAnsi="Wingdings" w:hint="default"/>
      </w:rPr>
    </w:lvl>
  </w:abstractNum>
  <w:abstractNum w:abstractNumId="27">
    <w:nsid w:val="7C2E523E"/>
    <w:multiLevelType w:val="hybridMultilevel"/>
    <w:tmpl w:val="36D85372"/>
    <w:lvl w:ilvl="0" w:tplc="0C090001">
      <w:start w:val="1"/>
      <w:numFmt w:val="bullet"/>
      <w:lvlText w:val=""/>
      <w:lvlJc w:val="left"/>
      <w:pPr>
        <w:tabs>
          <w:tab w:val="num" w:pos="360"/>
        </w:tabs>
        <w:ind w:left="360" w:hanging="360"/>
      </w:pPr>
      <w:rPr>
        <w:rFonts w:ascii="Symbol" w:hAnsi="Symbol" w:hint="default"/>
      </w:rPr>
    </w:lvl>
    <w:lvl w:ilvl="1" w:tplc="68CE2092">
      <w:start w:val="2"/>
      <w:numFmt w:val="bullet"/>
      <w:lvlText w:val="-"/>
      <w:lvlJc w:val="left"/>
      <w:pPr>
        <w:tabs>
          <w:tab w:val="num" w:pos="1080"/>
        </w:tabs>
        <w:ind w:left="1080" w:hanging="360"/>
      </w:pPr>
      <w:rPr>
        <w:rFonts w:ascii="Times New Roman" w:eastAsia="Times New Roman" w:hAnsi="Times New Roman"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nsid w:val="7CAB7EA6"/>
    <w:multiLevelType w:val="hybridMultilevel"/>
    <w:tmpl w:val="050A97B2"/>
    <w:lvl w:ilvl="0" w:tplc="DF36B534">
      <w:start w:val="1"/>
      <w:numFmt w:val="lowerLetter"/>
      <w:lvlText w:val="(%1)"/>
      <w:lvlJc w:val="left"/>
      <w:pPr>
        <w:ind w:left="2024" w:hanging="360"/>
      </w:pPr>
      <w:rPr>
        <w:rFonts w:hint="default"/>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9">
    <w:nsid w:val="7D8B1A03"/>
    <w:multiLevelType w:val="hybridMultilevel"/>
    <w:tmpl w:val="333E2ED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nsid w:val="7E5C6B58"/>
    <w:multiLevelType w:val="hybridMultilevel"/>
    <w:tmpl w:val="DA928B78"/>
    <w:lvl w:ilvl="0" w:tplc="EF669EC0">
      <w:start w:val="1"/>
      <w:numFmt w:val="lowerLetter"/>
      <w:suff w:val="space"/>
      <w:lvlText w:val="(%1)"/>
      <w:lvlJc w:val="left"/>
      <w:pPr>
        <w:ind w:left="567" w:firstLine="482"/>
      </w:pPr>
      <w:rPr>
        <w:rFonts w:hint="default"/>
      </w:rPr>
    </w:lvl>
    <w:lvl w:ilvl="1" w:tplc="0C090019" w:tentative="1">
      <w:start w:val="1"/>
      <w:numFmt w:val="lowerLetter"/>
      <w:lvlText w:val="%2."/>
      <w:lvlJc w:val="left"/>
      <w:pPr>
        <w:ind w:left="3365" w:hanging="360"/>
      </w:pPr>
    </w:lvl>
    <w:lvl w:ilvl="2" w:tplc="0C09001B" w:tentative="1">
      <w:start w:val="1"/>
      <w:numFmt w:val="lowerRoman"/>
      <w:lvlText w:val="%3."/>
      <w:lvlJc w:val="right"/>
      <w:pPr>
        <w:ind w:left="4085" w:hanging="180"/>
      </w:pPr>
    </w:lvl>
    <w:lvl w:ilvl="3" w:tplc="0C09000F" w:tentative="1">
      <w:start w:val="1"/>
      <w:numFmt w:val="decimal"/>
      <w:lvlText w:val="%4."/>
      <w:lvlJc w:val="left"/>
      <w:pPr>
        <w:ind w:left="4805" w:hanging="360"/>
      </w:pPr>
    </w:lvl>
    <w:lvl w:ilvl="4" w:tplc="0C090019" w:tentative="1">
      <w:start w:val="1"/>
      <w:numFmt w:val="lowerLetter"/>
      <w:lvlText w:val="%5."/>
      <w:lvlJc w:val="left"/>
      <w:pPr>
        <w:ind w:left="5525" w:hanging="360"/>
      </w:pPr>
    </w:lvl>
    <w:lvl w:ilvl="5" w:tplc="0C09001B" w:tentative="1">
      <w:start w:val="1"/>
      <w:numFmt w:val="lowerRoman"/>
      <w:lvlText w:val="%6."/>
      <w:lvlJc w:val="right"/>
      <w:pPr>
        <w:ind w:left="6245" w:hanging="180"/>
      </w:pPr>
    </w:lvl>
    <w:lvl w:ilvl="6" w:tplc="0C09000F" w:tentative="1">
      <w:start w:val="1"/>
      <w:numFmt w:val="decimal"/>
      <w:lvlText w:val="%7."/>
      <w:lvlJc w:val="left"/>
      <w:pPr>
        <w:ind w:left="6965" w:hanging="360"/>
      </w:pPr>
    </w:lvl>
    <w:lvl w:ilvl="7" w:tplc="0C090019" w:tentative="1">
      <w:start w:val="1"/>
      <w:numFmt w:val="lowerLetter"/>
      <w:lvlText w:val="%8."/>
      <w:lvlJc w:val="left"/>
      <w:pPr>
        <w:ind w:left="7685" w:hanging="360"/>
      </w:pPr>
    </w:lvl>
    <w:lvl w:ilvl="8" w:tplc="0C09001B" w:tentative="1">
      <w:start w:val="1"/>
      <w:numFmt w:val="lowerRoman"/>
      <w:lvlText w:val="%9."/>
      <w:lvlJc w:val="right"/>
      <w:pPr>
        <w:ind w:left="8405" w:hanging="180"/>
      </w:pPr>
    </w:lvl>
  </w:abstractNum>
  <w:abstractNum w:abstractNumId="31">
    <w:nsid w:val="7F3728FF"/>
    <w:multiLevelType w:val="hybridMultilevel"/>
    <w:tmpl w:val="0C28CA46"/>
    <w:lvl w:ilvl="0" w:tplc="BC5A5D6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2">
    <w:nsid w:val="7F6D447E"/>
    <w:multiLevelType w:val="hybridMultilevel"/>
    <w:tmpl w:val="C4B2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9"/>
  </w:num>
  <w:num w:numId="4">
    <w:abstractNumId w:val="27"/>
  </w:num>
  <w:num w:numId="5">
    <w:abstractNumId w:val="5"/>
  </w:num>
  <w:num w:numId="6">
    <w:abstractNumId w:val="0"/>
  </w:num>
  <w:num w:numId="7">
    <w:abstractNumId w:val="2"/>
  </w:num>
  <w:num w:numId="8">
    <w:abstractNumId w:val="10"/>
  </w:num>
  <w:num w:numId="9">
    <w:abstractNumId w:val="13"/>
  </w:num>
  <w:num w:numId="10">
    <w:abstractNumId w:val="29"/>
  </w:num>
  <w:num w:numId="11">
    <w:abstractNumId w:val="21"/>
  </w:num>
  <w:num w:numId="12">
    <w:abstractNumId w:val="8"/>
  </w:num>
  <w:num w:numId="13">
    <w:abstractNumId w:val="11"/>
  </w:num>
  <w:num w:numId="14">
    <w:abstractNumId w:val="9"/>
  </w:num>
  <w:num w:numId="15">
    <w:abstractNumId w:val="7"/>
  </w:num>
  <w:num w:numId="16">
    <w:abstractNumId w:val="15"/>
  </w:num>
  <w:num w:numId="17">
    <w:abstractNumId w:val="23"/>
  </w:num>
  <w:num w:numId="18">
    <w:abstractNumId w:val="18"/>
  </w:num>
  <w:num w:numId="19">
    <w:abstractNumId w:val="14"/>
  </w:num>
  <w:num w:numId="20">
    <w:abstractNumId w:val="32"/>
  </w:num>
  <w:num w:numId="21">
    <w:abstractNumId w:val="25"/>
  </w:num>
  <w:num w:numId="22">
    <w:abstractNumId w:val="26"/>
  </w:num>
  <w:num w:numId="23">
    <w:abstractNumId w:val="22"/>
  </w:num>
  <w:num w:numId="24">
    <w:abstractNumId w:val="4"/>
  </w:num>
  <w:num w:numId="25">
    <w:abstractNumId w:val="30"/>
  </w:num>
  <w:num w:numId="26">
    <w:abstractNumId w:val="24"/>
  </w:num>
  <w:num w:numId="27">
    <w:abstractNumId w:val="31"/>
  </w:num>
  <w:num w:numId="28">
    <w:abstractNumId w:val="16"/>
  </w:num>
  <w:num w:numId="29">
    <w:abstractNumId w:val="1"/>
  </w:num>
  <w:num w:numId="30">
    <w:abstractNumId w:val="28"/>
  </w:num>
  <w:num w:numId="31">
    <w:abstractNumId w:val="3"/>
  </w:num>
  <w:num w:numId="32">
    <w:abstractNumId w:val="1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01B4"/>
    <w:rsid w:val="00003C8A"/>
    <w:rsid w:val="000125FF"/>
    <w:rsid w:val="0001497B"/>
    <w:rsid w:val="000313AE"/>
    <w:rsid w:val="00031F26"/>
    <w:rsid w:val="000361E1"/>
    <w:rsid w:val="000369E1"/>
    <w:rsid w:val="00044B9D"/>
    <w:rsid w:val="000521D5"/>
    <w:rsid w:val="000566FD"/>
    <w:rsid w:val="000607BE"/>
    <w:rsid w:val="000637AF"/>
    <w:rsid w:val="0007301B"/>
    <w:rsid w:val="00077F9E"/>
    <w:rsid w:val="00096CA9"/>
    <w:rsid w:val="000A1984"/>
    <w:rsid w:val="000B1DAC"/>
    <w:rsid w:val="000B6252"/>
    <w:rsid w:val="000B7EFF"/>
    <w:rsid w:val="000C28A3"/>
    <w:rsid w:val="000C6559"/>
    <w:rsid w:val="000D34FF"/>
    <w:rsid w:val="000E646D"/>
    <w:rsid w:val="000F2589"/>
    <w:rsid w:val="000F2ABC"/>
    <w:rsid w:val="001013D5"/>
    <w:rsid w:val="001052A8"/>
    <w:rsid w:val="00142592"/>
    <w:rsid w:val="00146021"/>
    <w:rsid w:val="00154FEE"/>
    <w:rsid w:val="001570DB"/>
    <w:rsid w:val="001708ED"/>
    <w:rsid w:val="001736F9"/>
    <w:rsid w:val="00174F74"/>
    <w:rsid w:val="00186806"/>
    <w:rsid w:val="00195255"/>
    <w:rsid w:val="001A13F1"/>
    <w:rsid w:val="001B6B51"/>
    <w:rsid w:val="001E1D30"/>
    <w:rsid w:val="001F0B03"/>
    <w:rsid w:val="001F1660"/>
    <w:rsid w:val="001F241F"/>
    <w:rsid w:val="001F4745"/>
    <w:rsid w:val="00202463"/>
    <w:rsid w:val="00205761"/>
    <w:rsid w:val="002165D3"/>
    <w:rsid w:val="00223CF4"/>
    <w:rsid w:val="002262B2"/>
    <w:rsid w:val="00230208"/>
    <w:rsid w:val="0023243A"/>
    <w:rsid w:val="002324AC"/>
    <w:rsid w:val="00233A9C"/>
    <w:rsid w:val="00241A87"/>
    <w:rsid w:val="002439A1"/>
    <w:rsid w:val="0025449D"/>
    <w:rsid w:val="00267D0A"/>
    <w:rsid w:val="00275E9D"/>
    <w:rsid w:val="0028036D"/>
    <w:rsid w:val="00287F94"/>
    <w:rsid w:val="002900F9"/>
    <w:rsid w:val="00291487"/>
    <w:rsid w:val="002A2713"/>
    <w:rsid w:val="002A7AE4"/>
    <w:rsid w:val="002B271C"/>
    <w:rsid w:val="002B53A0"/>
    <w:rsid w:val="002D0E32"/>
    <w:rsid w:val="002D306A"/>
    <w:rsid w:val="002E5AAC"/>
    <w:rsid w:val="002F6A4D"/>
    <w:rsid w:val="00312BEF"/>
    <w:rsid w:val="00313213"/>
    <w:rsid w:val="00320FB6"/>
    <w:rsid w:val="00322B40"/>
    <w:rsid w:val="00322CA3"/>
    <w:rsid w:val="00323EB0"/>
    <w:rsid w:val="0033406F"/>
    <w:rsid w:val="003420C5"/>
    <w:rsid w:val="00343C0F"/>
    <w:rsid w:val="0035732B"/>
    <w:rsid w:val="00357D2F"/>
    <w:rsid w:val="00365954"/>
    <w:rsid w:val="0036735C"/>
    <w:rsid w:val="00367A51"/>
    <w:rsid w:val="00372EF0"/>
    <w:rsid w:val="0037762A"/>
    <w:rsid w:val="003928C9"/>
    <w:rsid w:val="003A40C5"/>
    <w:rsid w:val="003B35CA"/>
    <w:rsid w:val="003C1D1D"/>
    <w:rsid w:val="003C2520"/>
    <w:rsid w:val="003C38A7"/>
    <w:rsid w:val="003E12C4"/>
    <w:rsid w:val="003F0A37"/>
    <w:rsid w:val="003F795B"/>
    <w:rsid w:val="00411B73"/>
    <w:rsid w:val="00411DE1"/>
    <w:rsid w:val="00416AFC"/>
    <w:rsid w:val="00437D5D"/>
    <w:rsid w:val="0044154C"/>
    <w:rsid w:val="004619B7"/>
    <w:rsid w:val="00465472"/>
    <w:rsid w:val="00472513"/>
    <w:rsid w:val="004750F4"/>
    <w:rsid w:val="00490ADA"/>
    <w:rsid w:val="0049652D"/>
    <w:rsid w:val="004B1F73"/>
    <w:rsid w:val="004B3937"/>
    <w:rsid w:val="004B3D22"/>
    <w:rsid w:val="004B61B0"/>
    <w:rsid w:val="004C4138"/>
    <w:rsid w:val="004D415F"/>
    <w:rsid w:val="004F1276"/>
    <w:rsid w:val="00502F3C"/>
    <w:rsid w:val="005069DC"/>
    <w:rsid w:val="00510B32"/>
    <w:rsid w:val="005112F1"/>
    <w:rsid w:val="00521746"/>
    <w:rsid w:val="0052661B"/>
    <w:rsid w:val="0054338D"/>
    <w:rsid w:val="00546BAD"/>
    <w:rsid w:val="00551BB8"/>
    <w:rsid w:val="00565569"/>
    <w:rsid w:val="00573341"/>
    <w:rsid w:val="00585EB4"/>
    <w:rsid w:val="0059006D"/>
    <w:rsid w:val="00591815"/>
    <w:rsid w:val="00597648"/>
    <w:rsid w:val="005A56FF"/>
    <w:rsid w:val="005A6E83"/>
    <w:rsid w:val="005B05AF"/>
    <w:rsid w:val="005B2340"/>
    <w:rsid w:val="005B4198"/>
    <w:rsid w:val="005B62D0"/>
    <w:rsid w:val="005C02D3"/>
    <w:rsid w:val="005C4E8F"/>
    <w:rsid w:val="005C664A"/>
    <w:rsid w:val="005E14E3"/>
    <w:rsid w:val="00605ED4"/>
    <w:rsid w:val="00613B4A"/>
    <w:rsid w:val="00615B0E"/>
    <w:rsid w:val="0062340F"/>
    <w:rsid w:val="006248A2"/>
    <w:rsid w:val="00627A3F"/>
    <w:rsid w:val="00650E48"/>
    <w:rsid w:val="0066085E"/>
    <w:rsid w:val="00665EE1"/>
    <w:rsid w:val="006768BD"/>
    <w:rsid w:val="00681DFC"/>
    <w:rsid w:val="00683F43"/>
    <w:rsid w:val="006A58F2"/>
    <w:rsid w:val="006B4C82"/>
    <w:rsid w:val="006C6B3A"/>
    <w:rsid w:val="006D3DB8"/>
    <w:rsid w:val="006E184F"/>
    <w:rsid w:val="006E39A3"/>
    <w:rsid w:val="006E44F6"/>
    <w:rsid w:val="006E6E03"/>
    <w:rsid w:val="006F1701"/>
    <w:rsid w:val="006F4831"/>
    <w:rsid w:val="006F5761"/>
    <w:rsid w:val="006F63F8"/>
    <w:rsid w:val="00700A37"/>
    <w:rsid w:val="00703D0B"/>
    <w:rsid w:val="0070583B"/>
    <w:rsid w:val="00707F18"/>
    <w:rsid w:val="00713AB9"/>
    <w:rsid w:val="00721356"/>
    <w:rsid w:val="0072399A"/>
    <w:rsid w:val="00735ECD"/>
    <w:rsid w:val="00736188"/>
    <w:rsid w:val="00736561"/>
    <w:rsid w:val="00746B59"/>
    <w:rsid w:val="00751610"/>
    <w:rsid w:val="00753F3A"/>
    <w:rsid w:val="00754208"/>
    <w:rsid w:val="00755333"/>
    <w:rsid w:val="00777150"/>
    <w:rsid w:val="00787EBC"/>
    <w:rsid w:val="00787EEF"/>
    <w:rsid w:val="007A02CB"/>
    <w:rsid w:val="007A72C7"/>
    <w:rsid w:val="007A77FD"/>
    <w:rsid w:val="007B076B"/>
    <w:rsid w:val="007D0087"/>
    <w:rsid w:val="007D483F"/>
    <w:rsid w:val="007E6AEE"/>
    <w:rsid w:val="007F358B"/>
    <w:rsid w:val="007F4A91"/>
    <w:rsid w:val="007F70EC"/>
    <w:rsid w:val="007F713B"/>
    <w:rsid w:val="00801D52"/>
    <w:rsid w:val="0080701D"/>
    <w:rsid w:val="00807FF2"/>
    <w:rsid w:val="00810D7D"/>
    <w:rsid w:val="0081440D"/>
    <w:rsid w:val="008235D4"/>
    <w:rsid w:val="008245DC"/>
    <w:rsid w:val="008249B0"/>
    <w:rsid w:val="00852BDB"/>
    <w:rsid w:val="008601E9"/>
    <w:rsid w:val="0086734E"/>
    <w:rsid w:val="00874331"/>
    <w:rsid w:val="0087524F"/>
    <w:rsid w:val="0087674C"/>
    <w:rsid w:val="00877381"/>
    <w:rsid w:val="00882E53"/>
    <w:rsid w:val="008851CB"/>
    <w:rsid w:val="008A21F5"/>
    <w:rsid w:val="008A4EFE"/>
    <w:rsid w:val="008C2B8C"/>
    <w:rsid w:val="008C6333"/>
    <w:rsid w:val="008D2CD6"/>
    <w:rsid w:val="008F509E"/>
    <w:rsid w:val="00900D15"/>
    <w:rsid w:val="00900E5C"/>
    <w:rsid w:val="00910099"/>
    <w:rsid w:val="009148AD"/>
    <w:rsid w:val="00926746"/>
    <w:rsid w:val="00932C0D"/>
    <w:rsid w:val="0094238B"/>
    <w:rsid w:val="00943EBA"/>
    <w:rsid w:val="0094667F"/>
    <w:rsid w:val="0096426B"/>
    <w:rsid w:val="00964976"/>
    <w:rsid w:val="00967D91"/>
    <w:rsid w:val="00984CC2"/>
    <w:rsid w:val="00985482"/>
    <w:rsid w:val="00994279"/>
    <w:rsid w:val="0099530B"/>
    <w:rsid w:val="009A02A4"/>
    <w:rsid w:val="009A5712"/>
    <w:rsid w:val="009E113B"/>
    <w:rsid w:val="009F15CB"/>
    <w:rsid w:val="009F1D20"/>
    <w:rsid w:val="009F75C0"/>
    <w:rsid w:val="00A079DF"/>
    <w:rsid w:val="00A10446"/>
    <w:rsid w:val="00A138E8"/>
    <w:rsid w:val="00A144D1"/>
    <w:rsid w:val="00A32A7A"/>
    <w:rsid w:val="00A34DEF"/>
    <w:rsid w:val="00A44FB6"/>
    <w:rsid w:val="00A56C83"/>
    <w:rsid w:val="00A56FDE"/>
    <w:rsid w:val="00A664CA"/>
    <w:rsid w:val="00A85CC0"/>
    <w:rsid w:val="00A948F8"/>
    <w:rsid w:val="00A9713C"/>
    <w:rsid w:val="00AA01B4"/>
    <w:rsid w:val="00AA3AE8"/>
    <w:rsid w:val="00AB1FFA"/>
    <w:rsid w:val="00AB2743"/>
    <w:rsid w:val="00AB334C"/>
    <w:rsid w:val="00AC5B50"/>
    <w:rsid w:val="00AD450A"/>
    <w:rsid w:val="00AD5E8D"/>
    <w:rsid w:val="00AD64D2"/>
    <w:rsid w:val="00AE0ACA"/>
    <w:rsid w:val="00AF55D9"/>
    <w:rsid w:val="00B02FDF"/>
    <w:rsid w:val="00B104D3"/>
    <w:rsid w:val="00B12583"/>
    <w:rsid w:val="00B173AD"/>
    <w:rsid w:val="00B17ED7"/>
    <w:rsid w:val="00B2042C"/>
    <w:rsid w:val="00B36701"/>
    <w:rsid w:val="00B37CDE"/>
    <w:rsid w:val="00B42753"/>
    <w:rsid w:val="00B451FE"/>
    <w:rsid w:val="00B524B9"/>
    <w:rsid w:val="00B635A2"/>
    <w:rsid w:val="00B662FC"/>
    <w:rsid w:val="00B7060C"/>
    <w:rsid w:val="00B72609"/>
    <w:rsid w:val="00B75733"/>
    <w:rsid w:val="00B845FC"/>
    <w:rsid w:val="00B973F1"/>
    <w:rsid w:val="00BA208C"/>
    <w:rsid w:val="00BA20DD"/>
    <w:rsid w:val="00BA61BB"/>
    <w:rsid w:val="00BA7A9D"/>
    <w:rsid w:val="00BB20AA"/>
    <w:rsid w:val="00BF47BC"/>
    <w:rsid w:val="00C03E97"/>
    <w:rsid w:val="00C04AE7"/>
    <w:rsid w:val="00C100F0"/>
    <w:rsid w:val="00C11C97"/>
    <w:rsid w:val="00C1592B"/>
    <w:rsid w:val="00C164DC"/>
    <w:rsid w:val="00C20936"/>
    <w:rsid w:val="00C20D27"/>
    <w:rsid w:val="00C22922"/>
    <w:rsid w:val="00C2517D"/>
    <w:rsid w:val="00C27513"/>
    <w:rsid w:val="00C331D9"/>
    <w:rsid w:val="00C36462"/>
    <w:rsid w:val="00C37CC4"/>
    <w:rsid w:val="00C40BBA"/>
    <w:rsid w:val="00C450DF"/>
    <w:rsid w:val="00C51FFE"/>
    <w:rsid w:val="00C702E6"/>
    <w:rsid w:val="00C707BD"/>
    <w:rsid w:val="00C723C5"/>
    <w:rsid w:val="00C75BE2"/>
    <w:rsid w:val="00C87DDA"/>
    <w:rsid w:val="00C92335"/>
    <w:rsid w:val="00C92449"/>
    <w:rsid w:val="00C97673"/>
    <w:rsid w:val="00CA52F7"/>
    <w:rsid w:val="00CA74B8"/>
    <w:rsid w:val="00CB379E"/>
    <w:rsid w:val="00CB4050"/>
    <w:rsid w:val="00CC19E4"/>
    <w:rsid w:val="00CC1D85"/>
    <w:rsid w:val="00CC262B"/>
    <w:rsid w:val="00CD7386"/>
    <w:rsid w:val="00CF0930"/>
    <w:rsid w:val="00D05B53"/>
    <w:rsid w:val="00D069A3"/>
    <w:rsid w:val="00D105DF"/>
    <w:rsid w:val="00D150DC"/>
    <w:rsid w:val="00D25590"/>
    <w:rsid w:val="00D30D27"/>
    <w:rsid w:val="00D33B77"/>
    <w:rsid w:val="00D3625D"/>
    <w:rsid w:val="00D45CEA"/>
    <w:rsid w:val="00D51837"/>
    <w:rsid w:val="00D625D6"/>
    <w:rsid w:val="00D74115"/>
    <w:rsid w:val="00D87B6E"/>
    <w:rsid w:val="00D9341E"/>
    <w:rsid w:val="00DA0D37"/>
    <w:rsid w:val="00DA2ACA"/>
    <w:rsid w:val="00DA412C"/>
    <w:rsid w:val="00DC2DD2"/>
    <w:rsid w:val="00DC60BE"/>
    <w:rsid w:val="00DC69FC"/>
    <w:rsid w:val="00DC7A44"/>
    <w:rsid w:val="00DD4541"/>
    <w:rsid w:val="00DF33F7"/>
    <w:rsid w:val="00DF35DD"/>
    <w:rsid w:val="00DF38C2"/>
    <w:rsid w:val="00E00334"/>
    <w:rsid w:val="00E0191B"/>
    <w:rsid w:val="00E2115F"/>
    <w:rsid w:val="00E272DF"/>
    <w:rsid w:val="00E47C1E"/>
    <w:rsid w:val="00E50C35"/>
    <w:rsid w:val="00E578B3"/>
    <w:rsid w:val="00E57EB6"/>
    <w:rsid w:val="00E65898"/>
    <w:rsid w:val="00E840D2"/>
    <w:rsid w:val="00E8742D"/>
    <w:rsid w:val="00E90EF2"/>
    <w:rsid w:val="00E91223"/>
    <w:rsid w:val="00E9294B"/>
    <w:rsid w:val="00EA4084"/>
    <w:rsid w:val="00EB0DF0"/>
    <w:rsid w:val="00EB175E"/>
    <w:rsid w:val="00EC5975"/>
    <w:rsid w:val="00EC73F1"/>
    <w:rsid w:val="00ED2F6E"/>
    <w:rsid w:val="00EE26F0"/>
    <w:rsid w:val="00EE4577"/>
    <w:rsid w:val="00EF5A86"/>
    <w:rsid w:val="00EF7C1C"/>
    <w:rsid w:val="00F06951"/>
    <w:rsid w:val="00F24B6A"/>
    <w:rsid w:val="00F3633C"/>
    <w:rsid w:val="00F40869"/>
    <w:rsid w:val="00F4637C"/>
    <w:rsid w:val="00F47B2C"/>
    <w:rsid w:val="00F51EBC"/>
    <w:rsid w:val="00F55038"/>
    <w:rsid w:val="00F56447"/>
    <w:rsid w:val="00F56BBF"/>
    <w:rsid w:val="00F61608"/>
    <w:rsid w:val="00F62706"/>
    <w:rsid w:val="00F9639A"/>
    <w:rsid w:val="00FA129B"/>
    <w:rsid w:val="00FA1CC7"/>
    <w:rsid w:val="00FC4D5F"/>
    <w:rsid w:val="00FC5A1E"/>
    <w:rsid w:val="00FC7BF2"/>
    <w:rsid w:val="00FD5DF8"/>
    <w:rsid w:val="00FE4EAE"/>
    <w:rsid w:val="00FF2F01"/>
    <w:rsid w:val="00FF34A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0DD"/>
    <w:pPr>
      <w:ind w:left="720" w:hanging="720"/>
    </w:pPr>
    <w:rPr>
      <w:sz w:val="24"/>
      <w:szCs w:val="24"/>
    </w:rPr>
  </w:style>
  <w:style w:type="paragraph" w:styleId="Heading1">
    <w:name w:val="heading 1"/>
    <w:aliases w:val="h1,c"/>
    <w:basedOn w:val="Normal"/>
    <w:next w:val="Normal"/>
    <w:link w:val="Heading1Char"/>
    <w:qFormat/>
    <w:rsid w:val="007F70EC"/>
    <w:pPr>
      <w:autoSpaceDE w:val="0"/>
      <w:autoSpaceDN w:val="0"/>
      <w:spacing w:before="240"/>
      <w:ind w:left="0" w:right="288" w:firstLine="0"/>
      <w:outlineLvl w:val="0"/>
    </w:pPr>
    <w:rPr>
      <w:rFonts w:ascii="Univers (W1)" w:hAnsi="Univers (W1)" w:cs="Univers (W1)"/>
      <w:b/>
      <w:bCs/>
      <w:u w:val="single"/>
      <w:lang w:eastAsia="en-US"/>
    </w:rPr>
  </w:style>
  <w:style w:type="paragraph" w:styleId="Heading2">
    <w:name w:val="heading 2"/>
    <w:basedOn w:val="Normal"/>
    <w:next w:val="Normal"/>
    <w:link w:val="Heading2Char"/>
    <w:qFormat/>
    <w:rsid w:val="007F70EC"/>
    <w:pPr>
      <w:keepNext/>
      <w:spacing w:before="240" w:after="60"/>
      <w:ind w:left="0" w:firstLine="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7F70EC"/>
    <w:pPr>
      <w:keepNext/>
      <w:spacing w:before="240" w:after="60"/>
      <w:ind w:left="0" w:firstLine="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1B4"/>
    <w:pPr>
      <w:tabs>
        <w:tab w:val="center" w:pos="4153"/>
        <w:tab w:val="right" w:pos="8306"/>
      </w:tabs>
    </w:pPr>
  </w:style>
  <w:style w:type="paragraph" w:styleId="Footer">
    <w:name w:val="footer"/>
    <w:basedOn w:val="Normal"/>
    <w:link w:val="FooterChar"/>
    <w:uiPriority w:val="99"/>
    <w:rsid w:val="00AA01B4"/>
    <w:pPr>
      <w:tabs>
        <w:tab w:val="center" w:pos="4153"/>
        <w:tab w:val="right" w:pos="8306"/>
      </w:tabs>
    </w:pPr>
  </w:style>
  <w:style w:type="paragraph" w:customStyle="1" w:styleId="ACMAReportDate">
    <w:name w:val="ACMA Report Date"/>
    <w:rsid w:val="00AA01B4"/>
    <w:rPr>
      <w:snapToGrid w:val="0"/>
      <w:lang w:eastAsia="en-US"/>
    </w:rPr>
  </w:style>
  <w:style w:type="paragraph" w:styleId="BalloonText">
    <w:name w:val="Balloon Text"/>
    <w:basedOn w:val="Normal"/>
    <w:semiHidden/>
    <w:rsid w:val="007F358B"/>
    <w:rPr>
      <w:rFonts w:ascii="Tahoma" w:hAnsi="Tahoma" w:cs="Tahoma"/>
      <w:sz w:val="16"/>
      <w:szCs w:val="16"/>
    </w:rPr>
  </w:style>
  <w:style w:type="paragraph" w:customStyle="1" w:styleId="ABABodyText">
    <w:name w:val="ABA Body Text"/>
    <w:rsid w:val="007F358B"/>
    <w:pPr>
      <w:suppressAutoHyphens/>
      <w:spacing w:before="80" w:after="120" w:line="280" w:lineRule="atLeast"/>
    </w:pPr>
    <w:rPr>
      <w:snapToGrid w:val="0"/>
      <w:sz w:val="24"/>
      <w:lang w:eastAsia="en-US"/>
    </w:rPr>
  </w:style>
  <w:style w:type="paragraph" w:customStyle="1" w:styleId="ABAHeading2">
    <w:name w:val="ABA Heading 2"/>
    <w:next w:val="ABABodyText"/>
    <w:rsid w:val="007F358B"/>
    <w:pPr>
      <w:keepNext/>
      <w:suppressAutoHyphens/>
      <w:spacing w:before="240"/>
      <w:outlineLvl w:val="2"/>
    </w:pPr>
    <w:rPr>
      <w:rFonts w:ascii="Arial" w:hAnsi="Arial"/>
      <w:b/>
      <w:sz w:val="28"/>
      <w:lang w:eastAsia="en-US"/>
    </w:rPr>
  </w:style>
  <w:style w:type="paragraph" w:customStyle="1" w:styleId="ABAHeading3">
    <w:name w:val="ABA Heading 3"/>
    <w:next w:val="ABABodyText"/>
    <w:link w:val="ABAHeading3Char"/>
    <w:rsid w:val="007F358B"/>
    <w:pPr>
      <w:keepNext/>
      <w:suppressAutoHyphens/>
      <w:spacing w:before="120"/>
    </w:pPr>
    <w:rPr>
      <w:rFonts w:ascii="Arial" w:hAnsi="Arial"/>
      <w:b/>
      <w:sz w:val="24"/>
      <w:lang w:eastAsia="en-US"/>
    </w:rPr>
  </w:style>
  <w:style w:type="character" w:customStyle="1" w:styleId="ABAHeading3Char">
    <w:name w:val="ABA Heading 3 Char"/>
    <w:basedOn w:val="DefaultParagraphFont"/>
    <w:link w:val="ABAHeading3"/>
    <w:rsid w:val="007F358B"/>
    <w:rPr>
      <w:rFonts w:ascii="Arial" w:hAnsi="Arial"/>
      <w:b/>
      <w:sz w:val="24"/>
      <w:lang w:val="en-AU" w:eastAsia="en-US" w:bidi="ar-SA"/>
    </w:rPr>
  </w:style>
  <w:style w:type="paragraph" w:customStyle="1" w:styleId="Default">
    <w:name w:val="Default"/>
    <w:rsid w:val="00B72609"/>
    <w:pPr>
      <w:autoSpaceDE w:val="0"/>
      <w:autoSpaceDN w:val="0"/>
      <w:adjustRightInd w:val="0"/>
    </w:pPr>
    <w:rPr>
      <w:color w:val="000000"/>
      <w:sz w:val="24"/>
      <w:szCs w:val="24"/>
    </w:rPr>
  </w:style>
  <w:style w:type="paragraph" w:styleId="NormalWeb">
    <w:name w:val="Normal (Web)"/>
    <w:basedOn w:val="Normal"/>
    <w:rsid w:val="00777150"/>
    <w:pPr>
      <w:spacing w:before="100" w:beforeAutospacing="1" w:after="100" w:afterAutospacing="1"/>
    </w:pPr>
  </w:style>
  <w:style w:type="paragraph" w:customStyle="1" w:styleId="ABABulletLevel1">
    <w:name w:val="ABA Bullet Level 1"/>
    <w:rsid w:val="00313213"/>
    <w:pPr>
      <w:tabs>
        <w:tab w:val="num" w:pos="360"/>
      </w:tabs>
      <w:ind w:left="360" w:hanging="360"/>
    </w:pPr>
    <w:rPr>
      <w:sz w:val="24"/>
      <w:lang w:eastAsia="en-US"/>
    </w:rPr>
  </w:style>
  <w:style w:type="paragraph" w:customStyle="1" w:styleId="ABANumberedList">
    <w:name w:val="ABA Numbered List"/>
    <w:rsid w:val="00313213"/>
    <w:pPr>
      <w:spacing w:before="20" w:after="20"/>
      <w:ind w:left="360" w:hanging="360"/>
    </w:pPr>
    <w:rPr>
      <w:sz w:val="24"/>
      <w:lang w:eastAsia="en-US"/>
    </w:rPr>
  </w:style>
  <w:style w:type="character" w:styleId="CommentReference">
    <w:name w:val="annotation reference"/>
    <w:basedOn w:val="DefaultParagraphFont"/>
    <w:semiHidden/>
    <w:rsid w:val="00C97673"/>
    <w:rPr>
      <w:sz w:val="16"/>
      <w:szCs w:val="16"/>
    </w:rPr>
  </w:style>
  <w:style w:type="paragraph" w:styleId="CommentText">
    <w:name w:val="annotation text"/>
    <w:basedOn w:val="Normal"/>
    <w:semiHidden/>
    <w:rsid w:val="00C97673"/>
    <w:rPr>
      <w:sz w:val="20"/>
      <w:szCs w:val="20"/>
    </w:rPr>
  </w:style>
  <w:style w:type="paragraph" w:styleId="CommentSubject">
    <w:name w:val="annotation subject"/>
    <w:basedOn w:val="CommentText"/>
    <w:next w:val="CommentText"/>
    <w:semiHidden/>
    <w:rsid w:val="00C97673"/>
    <w:rPr>
      <w:b/>
      <w:bCs/>
    </w:rPr>
  </w:style>
  <w:style w:type="character" w:styleId="Hyperlink">
    <w:name w:val="Hyperlink"/>
    <w:basedOn w:val="DefaultParagraphFont"/>
    <w:rsid w:val="00CC19E4"/>
    <w:rPr>
      <w:color w:val="0000FF"/>
      <w:u w:val="single"/>
    </w:rPr>
  </w:style>
  <w:style w:type="paragraph" w:customStyle="1" w:styleId="ACMANumberedList">
    <w:name w:val="ACMA Numbered List"/>
    <w:rsid w:val="00502F3C"/>
    <w:pPr>
      <w:numPr>
        <w:numId w:val="12"/>
      </w:numPr>
      <w:tabs>
        <w:tab w:val="clear" w:pos="720"/>
        <w:tab w:val="num" w:pos="360"/>
      </w:tabs>
      <w:spacing w:before="20" w:after="20"/>
      <w:ind w:left="0" w:firstLine="0"/>
    </w:pPr>
    <w:rPr>
      <w:sz w:val="24"/>
      <w:lang w:eastAsia="en-US"/>
    </w:rPr>
  </w:style>
  <w:style w:type="paragraph" w:customStyle="1" w:styleId="ACMABodyText">
    <w:name w:val="ACMA Body Text"/>
    <w:rsid w:val="00502F3C"/>
    <w:pPr>
      <w:suppressAutoHyphens/>
      <w:spacing w:before="80" w:after="120" w:line="280" w:lineRule="atLeast"/>
    </w:pPr>
    <w:rPr>
      <w:snapToGrid w:val="0"/>
      <w:sz w:val="24"/>
      <w:lang w:eastAsia="en-US"/>
    </w:rPr>
  </w:style>
  <w:style w:type="paragraph" w:customStyle="1" w:styleId="ACMAQuote">
    <w:name w:val="ACMA Quote"/>
    <w:rsid w:val="00502F3C"/>
    <w:pPr>
      <w:spacing w:line="240" w:lineRule="atLeast"/>
      <w:ind w:left="562" w:right="562"/>
    </w:pPr>
    <w:rPr>
      <w:sz w:val="22"/>
      <w:lang w:eastAsia="en-US"/>
    </w:rPr>
  </w:style>
  <w:style w:type="character" w:styleId="FollowedHyperlink">
    <w:name w:val="FollowedHyperlink"/>
    <w:basedOn w:val="DefaultParagraphFont"/>
    <w:rsid w:val="007F4A91"/>
    <w:rPr>
      <w:color w:val="800080"/>
      <w:u w:val="single"/>
    </w:rPr>
  </w:style>
  <w:style w:type="paragraph" w:customStyle="1" w:styleId="Contactdetails">
    <w:name w:val="Contact details"/>
    <w:basedOn w:val="Normal"/>
    <w:rsid w:val="008A21F5"/>
    <w:pPr>
      <w:tabs>
        <w:tab w:val="left" w:pos="1134"/>
        <w:tab w:val="left" w:pos="4536"/>
        <w:tab w:val="left" w:pos="6237"/>
      </w:tabs>
      <w:ind w:left="0" w:firstLine="0"/>
    </w:pPr>
  </w:style>
  <w:style w:type="character" w:customStyle="1" w:styleId="Heading1Char">
    <w:name w:val="Heading 1 Char"/>
    <w:aliases w:val="h1 Char,c Char"/>
    <w:basedOn w:val="DefaultParagraphFont"/>
    <w:link w:val="Heading1"/>
    <w:rsid w:val="007F70EC"/>
    <w:rPr>
      <w:rFonts w:ascii="Univers (W1)" w:hAnsi="Univers (W1)" w:cs="Univers (W1)"/>
      <w:b/>
      <w:bCs/>
      <w:sz w:val="24"/>
      <w:szCs w:val="24"/>
      <w:u w:val="single"/>
      <w:lang w:eastAsia="en-US"/>
    </w:rPr>
  </w:style>
  <w:style w:type="character" w:customStyle="1" w:styleId="Heading2Char">
    <w:name w:val="Heading 2 Char"/>
    <w:basedOn w:val="DefaultParagraphFont"/>
    <w:link w:val="Heading2"/>
    <w:rsid w:val="007F70EC"/>
    <w:rPr>
      <w:rFonts w:ascii="Arial" w:hAnsi="Arial" w:cs="Arial"/>
      <w:b/>
      <w:bCs/>
      <w:i/>
      <w:iCs/>
      <w:sz w:val="28"/>
      <w:szCs w:val="28"/>
      <w:lang w:eastAsia="en-US"/>
    </w:rPr>
  </w:style>
  <w:style w:type="character" w:customStyle="1" w:styleId="Heading3Char">
    <w:name w:val="Heading 3 Char"/>
    <w:basedOn w:val="DefaultParagraphFont"/>
    <w:link w:val="Heading3"/>
    <w:rsid w:val="007F70EC"/>
    <w:rPr>
      <w:rFonts w:ascii="Arial" w:hAnsi="Arial" w:cs="Arial"/>
      <w:b/>
      <w:bCs/>
      <w:sz w:val="26"/>
      <w:szCs w:val="26"/>
      <w:lang w:eastAsia="en-US"/>
    </w:rPr>
  </w:style>
  <w:style w:type="paragraph" w:customStyle="1" w:styleId="Normalspace">
    <w:name w:val="Normal + space"/>
    <w:basedOn w:val="Normal"/>
    <w:rsid w:val="007F70EC"/>
    <w:pPr>
      <w:autoSpaceDE w:val="0"/>
      <w:autoSpaceDN w:val="0"/>
      <w:spacing w:after="240"/>
      <w:ind w:left="0" w:right="288" w:firstLine="0"/>
    </w:pPr>
    <w:rPr>
      <w:rFonts w:ascii="CG Times (W1)" w:hAnsi="CG Times (W1)" w:cs="CG Times (W1)"/>
      <w:lang w:eastAsia="en-US"/>
    </w:rPr>
  </w:style>
  <w:style w:type="paragraph" w:styleId="FootnoteText">
    <w:name w:val="footnote text"/>
    <w:basedOn w:val="Normal"/>
    <w:link w:val="FootnoteTextChar"/>
    <w:uiPriority w:val="99"/>
    <w:semiHidden/>
    <w:unhideWhenUsed/>
    <w:rsid w:val="005C02D3"/>
    <w:rPr>
      <w:sz w:val="20"/>
      <w:szCs w:val="20"/>
    </w:rPr>
  </w:style>
  <w:style w:type="character" w:customStyle="1" w:styleId="FootnoteTextChar">
    <w:name w:val="Footnote Text Char"/>
    <w:basedOn w:val="DefaultParagraphFont"/>
    <w:link w:val="FootnoteText"/>
    <w:uiPriority w:val="99"/>
    <w:semiHidden/>
    <w:rsid w:val="005C02D3"/>
  </w:style>
  <w:style w:type="character" w:styleId="FootnoteReference">
    <w:name w:val="footnote reference"/>
    <w:basedOn w:val="DefaultParagraphFont"/>
    <w:uiPriority w:val="99"/>
    <w:semiHidden/>
    <w:unhideWhenUsed/>
    <w:rsid w:val="005C02D3"/>
    <w:rPr>
      <w:vertAlign w:val="superscript"/>
    </w:rPr>
  </w:style>
  <w:style w:type="character" w:customStyle="1" w:styleId="FooterChar">
    <w:name w:val="Footer Char"/>
    <w:basedOn w:val="DefaultParagraphFont"/>
    <w:link w:val="Footer"/>
    <w:uiPriority w:val="99"/>
    <w:rsid w:val="00F47B2C"/>
    <w:rPr>
      <w:sz w:val="24"/>
      <w:szCs w:val="24"/>
    </w:rPr>
  </w:style>
  <w:style w:type="paragraph" w:customStyle="1" w:styleId="ACMAHeading1">
    <w:name w:val="ACMA Heading 1"/>
    <w:next w:val="ACMABodyText"/>
    <w:rsid w:val="00B17ED7"/>
    <w:pPr>
      <w:keepNext/>
      <w:suppressAutoHyphens/>
      <w:spacing w:before="320"/>
      <w:outlineLvl w:val="1"/>
    </w:pPr>
    <w:rPr>
      <w:rFonts w:ascii="Arial" w:hAnsi="Arial"/>
      <w:b/>
      <w:sz w:val="32"/>
      <w:szCs w:val="32"/>
      <w:lang w:eastAsia="en-US"/>
    </w:rPr>
  </w:style>
  <w:style w:type="paragraph" w:customStyle="1" w:styleId="ACMAHeading2">
    <w:name w:val="ACMA Heading 2"/>
    <w:next w:val="ACMABodyText"/>
    <w:rsid w:val="00B17ED7"/>
    <w:pPr>
      <w:keepNext/>
      <w:suppressAutoHyphens/>
      <w:spacing w:before="240"/>
      <w:outlineLvl w:val="2"/>
    </w:pPr>
    <w:rPr>
      <w:rFonts w:ascii="Arial" w:hAnsi="Arial"/>
      <w:b/>
      <w:caps/>
      <w:sz w:val="26"/>
      <w:szCs w:val="26"/>
      <w:lang w:eastAsia="en-US"/>
    </w:rPr>
  </w:style>
  <w:style w:type="paragraph" w:customStyle="1" w:styleId="ACMAHeading3">
    <w:name w:val="ACMA Heading 3"/>
    <w:next w:val="ACMABodyText"/>
    <w:rsid w:val="00B17ED7"/>
    <w:pPr>
      <w:keepNext/>
      <w:suppressAutoHyphens/>
      <w:spacing w:before="240"/>
      <w:outlineLvl w:val="3"/>
    </w:pPr>
    <w:rPr>
      <w:rFonts w:ascii="Arial" w:hAnsi="Arial"/>
      <w:b/>
      <w:sz w:val="24"/>
      <w:lang w:eastAsia="en-US"/>
    </w:rPr>
  </w:style>
  <w:style w:type="paragraph" w:customStyle="1" w:styleId="subsection">
    <w:name w:val="subsection"/>
    <w:aliases w:val="ss"/>
    <w:rsid w:val="00B17ED7"/>
    <w:pPr>
      <w:tabs>
        <w:tab w:val="right" w:pos="1021"/>
      </w:tabs>
      <w:spacing w:before="180"/>
      <w:ind w:left="1134" w:hanging="1134"/>
    </w:pPr>
    <w:rPr>
      <w:sz w:val="22"/>
      <w:szCs w:val="24"/>
    </w:rPr>
  </w:style>
  <w:style w:type="character" w:customStyle="1" w:styleId="CharSectno">
    <w:name w:val="CharSectno"/>
    <w:basedOn w:val="DefaultParagraphFont"/>
    <w:rsid w:val="00B17ED7"/>
  </w:style>
  <w:style w:type="paragraph" w:customStyle="1" w:styleId="paragraph">
    <w:name w:val="paragraph"/>
    <w:aliases w:val="a"/>
    <w:rsid w:val="00B17ED7"/>
    <w:pPr>
      <w:tabs>
        <w:tab w:val="right" w:pos="1531"/>
      </w:tabs>
      <w:spacing w:before="40"/>
      <w:ind w:left="1644" w:hanging="1644"/>
    </w:pPr>
    <w:rPr>
      <w:sz w:val="22"/>
      <w:szCs w:val="24"/>
    </w:rPr>
  </w:style>
  <w:style w:type="paragraph" w:customStyle="1" w:styleId="subsection2">
    <w:name w:val="subsection2"/>
    <w:aliases w:val="ss2"/>
    <w:basedOn w:val="subsection"/>
    <w:next w:val="subsection"/>
    <w:rsid w:val="00B17ED7"/>
    <w:pPr>
      <w:tabs>
        <w:tab w:val="clear" w:pos="1021"/>
      </w:tabs>
      <w:spacing w:before="40"/>
      <w:ind w:firstLine="0"/>
    </w:pPr>
  </w:style>
  <w:style w:type="paragraph" w:customStyle="1" w:styleId="ActHead5">
    <w:name w:val="ActHead 5"/>
    <w:aliases w:val="s"/>
    <w:basedOn w:val="Normal"/>
    <w:next w:val="Normal"/>
    <w:rsid w:val="00B17ED7"/>
    <w:pPr>
      <w:keepNext/>
      <w:keepLines/>
      <w:spacing w:before="280"/>
      <w:ind w:left="1134" w:hanging="1134"/>
      <w:outlineLvl w:val="4"/>
    </w:pPr>
    <w:rPr>
      <w:b/>
      <w:bCs/>
      <w:kern w:val="28"/>
      <w:szCs w:val="32"/>
    </w:rPr>
  </w:style>
  <w:style w:type="character" w:customStyle="1" w:styleId="CharDivNo">
    <w:name w:val="CharDivNo"/>
    <w:basedOn w:val="DefaultParagraphFont"/>
    <w:rsid w:val="00B17ED7"/>
  </w:style>
  <w:style w:type="character" w:customStyle="1" w:styleId="CharDivText">
    <w:name w:val="CharDivText"/>
    <w:basedOn w:val="DefaultParagraphFont"/>
    <w:rsid w:val="00B17ED7"/>
  </w:style>
  <w:style w:type="character" w:customStyle="1" w:styleId="CharSubdNo">
    <w:name w:val="CharSubdNo"/>
    <w:basedOn w:val="DefaultParagraphFont"/>
    <w:rsid w:val="00B17ED7"/>
  </w:style>
  <w:style w:type="character" w:customStyle="1" w:styleId="CharSubdText">
    <w:name w:val="CharSubdText"/>
    <w:basedOn w:val="DefaultParagraphFont"/>
    <w:rsid w:val="00B17ED7"/>
  </w:style>
  <w:style w:type="paragraph" w:customStyle="1" w:styleId="ActHead2">
    <w:name w:val="ActHead 2"/>
    <w:aliases w:val="p"/>
    <w:basedOn w:val="Normal"/>
    <w:next w:val="Normal"/>
    <w:rsid w:val="00B17ED7"/>
    <w:pPr>
      <w:keepNext/>
      <w:keepLines/>
      <w:spacing w:before="280"/>
      <w:ind w:left="1134" w:hanging="1134"/>
      <w:outlineLvl w:val="1"/>
    </w:pPr>
    <w:rPr>
      <w:b/>
      <w:bCs/>
      <w:kern w:val="28"/>
      <w:sz w:val="32"/>
      <w:szCs w:val="32"/>
    </w:rPr>
  </w:style>
  <w:style w:type="paragraph" w:customStyle="1" w:styleId="ActHead3">
    <w:name w:val="ActHead 3"/>
    <w:aliases w:val="d"/>
    <w:basedOn w:val="Normal"/>
    <w:next w:val="Normal"/>
    <w:rsid w:val="00B17ED7"/>
    <w:pPr>
      <w:keepNext/>
      <w:keepLines/>
      <w:spacing w:before="240"/>
      <w:ind w:left="1134" w:hanging="1134"/>
      <w:outlineLvl w:val="2"/>
    </w:pPr>
    <w:rPr>
      <w:b/>
      <w:bCs/>
      <w:kern w:val="28"/>
      <w:sz w:val="28"/>
      <w:szCs w:val="32"/>
    </w:rPr>
  </w:style>
  <w:style w:type="paragraph" w:customStyle="1" w:styleId="paragraphsub">
    <w:name w:val="paragraph(sub)"/>
    <w:aliases w:val="aa"/>
    <w:basedOn w:val="paragraph"/>
    <w:rsid w:val="00B17ED7"/>
    <w:pPr>
      <w:tabs>
        <w:tab w:val="clear" w:pos="1531"/>
        <w:tab w:val="right" w:pos="1985"/>
      </w:tabs>
      <w:ind w:left="2098" w:hanging="2098"/>
    </w:pPr>
    <w:rPr>
      <w:szCs w:val="22"/>
    </w:rPr>
  </w:style>
  <w:style w:type="paragraph" w:customStyle="1" w:styleId="Definition">
    <w:name w:val="Definition"/>
    <w:aliases w:val="dd"/>
    <w:basedOn w:val="subsection"/>
    <w:rsid w:val="00B17ED7"/>
    <w:pPr>
      <w:tabs>
        <w:tab w:val="clear" w:pos="1021"/>
      </w:tabs>
      <w:ind w:firstLine="0"/>
    </w:pPr>
    <w:rPr>
      <w:szCs w:val="22"/>
    </w:rPr>
  </w:style>
  <w:style w:type="paragraph" w:customStyle="1" w:styleId="notetext">
    <w:name w:val="note(text)"/>
    <w:aliases w:val="n"/>
    <w:rsid w:val="00B17ED7"/>
    <w:pPr>
      <w:spacing w:before="122" w:line="198" w:lineRule="exact"/>
      <w:ind w:left="1985" w:hanging="851"/>
    </w:pPr>
    <w:rPr>
      <w:sz w:val="18"/>
      <w:szCs w:val="24"/>
    </w:rPr>
  </w:style>
  <w:style w:type="paragraph" w:customStyle="1" w:styleId="R1">
    <w:name w:val="R1"/>
    <w:aliases w:val="1. or 1.(1)"/>
    <w:basedOn w:val="Normal"/>
    <w:next w:val="Normal"/>
    <w:rsid w:val="00195255"/>
    <w:pPr>
      <w:keepLines/>
      <w:tabs>
        <w:tab w:val="right" w:pos="794"/>
      </w:tabs>
      <w:spacing w:before="120" w:line="260" w:lineRule="exact"/>
      <w:ind w:left="964" w:hanging="964"/>
      <w:jc w:val="both"/>
    </w:pPr>
    <w:rPr>
      <w:lang w:eastAsia="en-US"/>
    </w:rPr>
  </w:style>
</w:styles>
</file>

<file path=word/webSettings.xml><?xml version="1.0" encoding="utf-8"?>
<w:webSettings xmlns:r="http://schemas.openxmlformats.org/officeDocument/2006/relationships" xmlns:w="http://schemas.openxmlformats.org/wordprocessingml/2006/main">
  <w:divs>
    <w:div w:id="419913432">
      <w:bodyDiv w:val="1"/>
      <w:marLeft w:val="0"/>
      <w:marRight w:val="0"/>
      <w:marTop w:val="0"/>
      <w:marBottom w:val="0"/>
      <w:divBdr>
        <w:top w:val="none" w:sz="0" w:space="0" w:color="auto"/>
        <w:left w:val="none" w:sz="0" w:space="0" w:color="auto"/>
        <w:bottom w:val="none" w:sz="0" w:space="0" w:color="auto"/>
        <w:right w:val="none" w:sz="0" w:space="0" w:color="auto"/>
      </w:divBdr>
      <w:divsChild>
        <w:div w:id="166218784">
          <w:marLeft w:val="0"/>
          <w:marRight w:val="0"/>
          <w:marTop w:val="0"/>
          <w:marBottom w:val="0"/>
          <w:divBdr>
            <w:top w:val="none" w:sz="0" w:space="0" w:color="auto"/>
            <w:left w:val="none" w:sz="0" w:space="0" w:color="auto"/>
            <w:bottom w:val="none" w:sz="0" w:space="0" w:color="auto"/>
            <w:right w:val="none" w:sz="0" w:space="0" w:color="auto"/>
          </w:divBdr>
        </w:div>
      </w:divsChild>
    </w:div>
    <w:div w:id="536747504">
      <w:bodyDiv w:val="1"/>
      <w:marLeft w:val="0"/>
      <w:marRight w:val="0"/>
      <w:marTop w:val="0"/>
      <w:marBottom w:val="0"/>
      <w:divBdr>
        <w:top w:val="none" w:sz="0" w:space="0" w:color="auto"/>
        <w:left w:val="none" w:sz="0" w:space="0" w:color="auto"/>
        <w:bottom w:val="none" w:sz="0" w:space="0" w:color="auto"/>
        <w:right w:val="none" w:sz="0" w:space="0" w:color="auto"/>
      </w:divBdr>
      <w:divsChild>
        <w:div w:id="2040933753">
          <w:marLeft w:val="0"/>
          <w:marRight w:val="0"/>
          <w:marTop w:val="0"/>
          <w:marBottom w:val="0"/>
          <w:divBdr>
            <w:top w:val="none" w:sz="0" w:space="0" w:color="auto"/>
            <w:left w:val="none" w:sz="0" w:space="0" w:color="auto"/>
            <w:bottom w:val="none" w:sz="0" w:space="0" w:color="auto"/>
            <w:right w:val="none" w:sz="0" w:space="0" w:color="auto"/>
          </w:divBdr>
        </w:div>
      </w:divsChild>
    </w:div>
    <w:div w:id="807478494">
      <w:bodyDiv w:val="1"/>
      <w:marLeft w:val="0"/>
      <w:marRight w:val="0"/>
      <w:marTop w:val="0"/>
      <w:marBottom w:val="0"/>
      <w:divBdr>
        <w:top w:val="none" w:sz="0" w:space="0" w:color="auto"/>
        <w:left w:val="none" w:sz="0" w:space="0" w:color="auto"/>
        <w:bottom w:val="none" w:sz="0" w:space="0" w:color="auto"/>
        <w:right w:val="none" w:sz="0" w:space="0" w:color="auto"/>
      </w:divBdr>
      <w:divsChild>
        <w:div w:id="1664622919">
          <w:marLeft w:val="0"/>
          <w:marRight w:val="0"/>
          <w:marTop w:val="0"/>
          <w:marBottom w:val="0"/>
          <w:divBdr>
            <w:top w:val="none" w:sz="0" w:space="0" w:color="auto"/>
            <w:left w:val="none" w:sz="0" w:space="0" w:color="auto"/>
            <w:bottom w:val="none" w:sz="0" w:space="0" w:color="auto"/>
            <w:right w:val="none" w:sz="0" w:space="0" w:color="auto"/>
          </w:divBdr>
        </w:div>
      </w:divsChild>
    </w:div>
    <w:div w:id="971593260">
      <w:bodyDiv w:val="1"/>
      <w:marLeft w:val="0"/>
      <w:marRight w:val="0"/>
      <w:marTop w:val="0"/>
      <w:marBottom w:val="0"/>
      <w:divBdr>
        <w:top w:val="none" w:sz="0" w:space="0" w:color="auto"/>
        <w:left w:val="none" w:sz="0" w:space="0" w:color="auto"/>
        <w:bottom w:val="none" w:sz="0" w:space="0" w:color="auto"/>
        <w:right w:val="none" w:sz="0" w:space="0" w:color="auto"/>
      </w:divBdr>
      <w:divsChild>
        <w:div w:id="1726677867">
          <w:marLeft w:val="0"/>
          <w:marRight w:val="0"/>
          <w:marTop w:val="0"/>
          <w:marBottom w:val="0"/>
          <w:divBdr>
            <w:top w:val="none" w:sz="0" w:space="0" w:color="auto"/>
            <w:left w:val="none" w:sz="0" w:space="0" w:color="auto"/>
            <w:bottom w:val="none" w:sz="0" w:space="0" w:color="auto"/>
            <w:right w:val="none" w:sz="0" w:space="0" w:color="auto"/>
          </w:divBdr>
        </w:div>
      </w:divsChild>
    </w:div>
    <w:div w:id="1139884360">
      <w:bodyDiv w:val="1"/>
      <w:marLeft w:val="0"/>
      <w:marRight w:val="0"/>
      <w:marTop w:val="0"/>
      <w:marBottom w:val="0"/>
      <w:divBdr>
        <w:top w:val="none" w:sz="0" w:space="0" w:color="auto"/>
        <w:left w:val="none" w:sz="0" w:space="0" w:color="auto"/>
        <w:bottom w:val="none" w:sz="0" w:space="0" w:color="auto"/>
        <w:right w:val="none" w:sz="0" w:space="0" w:color="auto"/>
      </w:divBdr>
      <w:divsChild>
        <w:div w:id="19839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a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security.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6759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LEGISLATIVE INSTRUMENTS ACT 2003</vt:lpstr>
    </vt:vector>
  </TitlesOfParts>
  <LinksUpToDate>false</LinksUpToDate>
  <CharactersWithSpaces>7994</CharactersWithSpaces>
  <SharedDoc>false</SharedDoc>
  <HLinks>
    <vt:vector size="12" baseType="variant">
      <vt:variant>
        <vt:i4>3407922</vt:i4>
      </vt:variant>
      <vt:variant>
        <vt:i4>3</vt:i4>
      </vt:variant>
      <vt:variant>
        <vt:i4>0</vt:i4>
      </vt:variant>
      <vt:variant>
        <vt:i4>5</vt:i4>
      </vt:variant>
      <vt:variant>
        <vt:lpwstr>http://www.dfat.gov.au/</vt:lpwstr>
      </vt:variant>
      <vt:variant>
        <vt:lpwstr/>
      </vt:variant>
      <vt:variant>
        <vt:i4>3342378</vt:i4>
      </vt:variant>
      <vt:variant>
        <vt:i4>0</vt:i4>
      </vt:variant>
      <vt:variant>
        <vt:i4>0</vt:i4>
      </vt:variant>
      <vt:variant>
        <vt:i4>5</vt:i4>
      </vt:variant>
      <vt:variant>
        <vt:lpwstr>http://www.nationalsecurity.gov.au/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INSTRUMENTS ACT 2003</dc:title>
  <dc:creator/>
  <cp:lastModifiedBy/>
  <cp:revision>1</cp:revision>
  <cp:lastPrinted>2008-11-12T02:04:00Z</cp:lastPrinted>
  <dcterms:created xsi:type="dcterms:W3CDTF">2011-04-01T04:07:00Z</dcterms:created>
  <dcterms:modified xsi:type="dcterms:W3CDTF">2011-04-01T04:07:00Z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1920313305</vt:i4>
  </property>
  <property fmtid="{D5CDD505-2E9C-101B-9397-08002B2CF9AE}" pid="3" name="_NewReviewCycle">
    <vt:lpwstr/>
  </property>
  <property fmtid="{D5CDD505-2E9C-101B-9397-08002B2CF9AE}" pid="4" name="_ReviewingToolsShownOnce">
    <vt:lpwstr/>
  </property>
</Properties>
</file>