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A2" w:rsidRPr="009C35A7" w:rsidRDefault="00E53CA2" w:rsidP="00E53CA2">
      <w:pPr>
        <w:jc w:val="center"/>
        <w:rPr>
          <w:b/>
          <w:bCs/>
          <w:u w:val="single"/>
        </w:rPr>
      </w:pPr>
      <w:r w:rsidRPr="009C35A7">
        <w:rPr>
          <w:b/>
          <w:bCs/>
          <w:u w:val="single"/>
        </w:rPr>
        <w:t>EXPLANATORY STATEMENT</w:t>
      </w:r>
    </w:p>
    <w:p w:rsidR="00E53CA2" w:rsidRPr="009C35A7" w:rsidRDefault="009C35A7" w:rsidP="00E53CA2">
      <w:pPr>
        <w:jc w:val="center"/>
        <w:rPr>
          <w:b/>
          <w:bCs/>
          <w:u w:val="single"/>
        </w:rPr>
      </w:pPr>
      <w:r w:rsidRPr="009C35A7">
        <w:rPr>
          <w:b/>
          <w:bCs/>
          <w:u w:val="single"/>
        </w:rPr>
        <w:t>Select Legislative Instrument 2011 No.</w:t>
      </w:r>
      <w:r>
        <w:rPr>
          <w:b/>
          <w:bCs/>
          <w:u w:val="single"/>
        </w:rPr>
        <w:t xml:space="preserve"> 48</w:t>
      </w:r>
    </w:p>
    <w:p w:rsidR="00E53CA2" w:rsidRPr="0036060F" w:rsidRDefault="00E53CA2" w:rsidP="00E53CA2">
      <w:pPr>
        <w:jc w:val="center"/>
        <w:rPr>
          <w:b/>
          <w:bCs/>
        </w:rPr>
      </w:pPr>
      <w:r>
        <w:rPr>
          <w:b/>
          <w:bCs/>
        </w:rPr>
        <w:t>Issued by the authority of the Minister for Financial Services and Superannuation</w:t>
      </w:r>
    </w:p>
    <w:p w:rsidR="00E53CA2" w:rsidRDefault="00E53CA2" w:rsidP="00E53CA2">
      <w:pPr>
        <w:jc w:val="center"/>
        <w:rPr>
          <w:i/>
          <w:iCs/>
        </w:rPr>
      </w:pPr>
      <w:r w:rsidRPr="002B7203">
        <w:rPr>
          <w:i/>
          <w:iCs/>
        </w:rPr>
        <w:t>Insurance Act 1973</w:t>
      </w:r>
    </w:p>
    <w:p w:rsidR="00E53CA2" w:rsidRDefault="00E53CA2" w:rsidP="00E53CA2">
      <w:pPr>
        <w:jc w:val="center"/>
        <w:rPr>
          <w:i/>
          <w:iCs/>
        </w:rPr>
      </w:pPr>
      <w:r w:rsidRPr="002B7203">
        <w:rPr>
          <w:i/>
          <w:iCs/>
        </w:rPr>
        <w:t xml:space="preserve">Insurance </w:t>
      </w:r>
      <w:r w:rsidR="009C35A7">
        <w:rPr>
          <w:i/>
          <w:iCs/>
        </w:rPr>
        <w:t xml:space="preserve">Legislation </w:t>
      </w:r>
      <w:r w:rsidRPr="002B7203">
        <w:rPr>
          <w:i/>
          <w:iCs/>
        </w:rPr>
        <w:t>Amendment Regulations 201</w:t>
      </w:r>
      <w:r>
        <w:rPr>
          <w:i/>
          <w:iCs/>
        </w:rPr>
        <w:t>1</w:t>
      </w:r>
      <w:r w:rsidRPr="002B7203">
        <w:rPr>
          <w:i/>
          <w:iCs/>
        </w:rPr>
        <w:t xml:space="preserve"> (No. </w:t>
      </w:r>
      <w:r w:rsidR="009C35A7">
        <w:rPr>
          <w:i/>
          <w:iCs/>
        </w:rPr>
        <w:t>1</w:t>
      </w:r>
      <w:r w:rsidRPr="002B7203">
        <w:rPr>
          <w:i/>
          <w:iCs/>
        </w:rPr>
        <w:t>)</w:t>
      </w:r>
    </w:p>
    <w:p w:rsidR="00E53CA2" w:rsidRPr="00A37104" w:rsidRDefault="00E53CA2" w:rsidP="00E53CA2">
      <w:pPr>
        <w:rPr>
          <w:b/>
          <w:iCs/>
        </w:rPr>
      </w:pPr>
      <w:r w:rsidRPr="00A37104">
        <w:rPr>
          <w:b/>
          <w:iCs/>
        </w:rPr>
        <w:t>Schedule 1</w:t>
      </w:r>
      <w:r>
        <w:rPr>
          <w:b/>
          <w:iCs/>
        </w:rPr>
        <w:t xml:space="preserve"> – Amendments to </w:t>
      </w:r>
      <w:r w:rsidRPr="00A37104">
        <w:rPr>
          <w:b/>
          <w:i/>
          <w:iCs/>
        </w:rPr>
        <w:t>Insurance Regulations 2002</w:t>
      </w:r>
    </w:p>
    <w:p w:rsidR="00E53CA2" w:rsidRDefault="00E53CA2" w:rsidP="00E53CA2">
      <w:r w:rsidRPr="002B7203">
        <w:t xml:space="preserve">Section 132 of the </w:t>
      </w:r>
      <w:r w:rsidRPr="002B7203">
        <w:rPr>
          <w:i/>
          <w:iCs/>
        </w:rPr>
        <w:t xml:space="preserve">Insurance Act 1973 </w:t>
      </w:r>
      <w:r w:rsidRPr="002B7203">
        <w:t>(the Act) provides, in part, that the</w:t>
      </w:r>
      <w:r>
        <w:t xml:space="preserve"> </w:t>
      </w:r>
      <w:r w:rsidRPr="002B7203">
        <w:t>Governor-General may make regulations, not inconsistent with the Act, prescribing</w:t>
      </w:r>
      <w:r>
        <w:t xml:space="preserve"> </w:t>
      </w:r>
      <w:r w:rsidRPr="002B7203">
        <w:t>all matters that are required or permitted by the Act to be prescribed or are necessary</w:t>
      </w:r>
      <w:r>
        <w:t xml:space="preserve"> </w:t>
      </w:r>
      <w:r w:rsidRPr="002B7203">
        <w:t>or convenient to be prescribed for carrying out or giving effect to the Act.</w:t>
      </w:r>
    </w:p>
    <w:p w:rsidR="00E53CA2" w:rsidRDefault="00E53CA2" w:rsidP="00E53CA2">
      <w:r w:rsidRPr="002B7203">
        <w:t xml:space="preserve">The </w:t>
      </w:r>
      <w:r w:rsidRPr="002B7203">
        <w:rPr>
          <w:i/>
          <w:iCs/>
        </w:rPr>
        <w:t>Financial Sector Legislation Amendment (Prudential Refinements and Other</w:t>
      </w:r>
      <w:r>
        <w:rPr>
          <w:i/>
          <w:iCs/>
        </w:rPr>
        <w:t xml:space="preserve"> </w:t>
      </w:r>
      <w:r w:rsidRPr="002B7203">
        <w:rPr>
          <w:i/>
          <w:iCs/>
        </w:rPr>
        <w:t xml:space="preserve">Measures) Act 2010 </w:t>
      </w:r>
      <w:r>
        <w:rPr>
          <w:iCs/>
        </w:rPr>
        <w:t xml:space="preserve">(FSLA Act) </w:t>
      </w:r>
      <w:r>
        <w:t>amended</w:t>
      </w:r>
      <w:r w:rsidRPr="002B7203">
        <w:t xml:space="preserve"> section </w:t>
      </w:r>
      <w:r w:rsidRPr="00D928B6">
        <w:t xml:space="preserve">62ZZG </w:t>
      </w:r>
      <w:r>
        <w:t xml:space="preserve">of the Act </w:t>
      </w:r>
      <w:r w:rsidRPr="00D928B6">
        <w:t xml:space="preserve">to insert a provision </w:t>
      </w:r>
      <w:r w:rsidR="002A2B62">
        <w:t xml:space="preserve">for the </w:t>
      </w:r>
      <w:r>
        <w:t xml:space="preserve">prescribing by regulations, </w:t>
      </w:r>
      <w:r w:rsidR="002A2B62">
        <w:t xml:space="preserve">of </w:t>
      </w:r>
      <w:r>
        <w:t xml:space="preserve">a period within which a third party </w:t>
      </w:r>
      <w:r w:rsidR="002A2B62">
        <w:t>must claim recoverable amounts</w:t>
      </w:r>
      <w:r>
        <w:t xml:space="preserve"> under the Financial Claims Scheme (FCS).</w:t>
      </w:r>
    </w:p>
    <w:p w:rsidR="00E53CA2" w:rsidRDefault="00E53CA2" w:rsidP="00E53CA2">
      <w:r>
        <w:t xml:space="preserve">Under the </w:t>
      </w:r>
      <w:r>
        <w:rPr>
          <w:i/>
        </w:rPr>
        <w:t xml:space="preserve">Insurance Regulations </w:t>
      </w:r>
      <w:r w:rsidRPr="00643E8F">
        <w:t>2002</w:t>
      </w:r>
      <w:r w:rsidR="002A2B62">
        <w:t>, regulation</w:t>
      </w:r>
      <w:r>
        <w:t xml:space="preserve"> 7C </w:t>
      </w:r>
      <w:r w:rsidRPr="00D928B6">
        <w:t xml:space="preserve">prescribes the period within which a claim has to be made in order to be covered by </w:t>
      </w:r>
      <w:r>
        <w:t>the FCS.  Regulation 7C specifies a ‘start day’ and ‘end day’ for policyholders entitled under</w:t>
      </w:r>
      <w:r w:rsidRPr="00D928B6">
        <w:t xml:space="preserve"> s</w:t>
      </w:r>
      <w:r>
        <w:t xml:space="preserve">ubsection </w:t>
      </w:r>
      <w:r w:rsidRPr="00D928B6">
        <w:t>62ZZF(1)(b) of the</w:t>
      </w:r>
      <w:r>
        <w:t xml:space="preserve"> Act.  Currently under </w:t>
      </w:r>
      <w:r w:rsidRPr="00643E8F">
        <w:t>Regulation</w:t>
      </w:r>
      <w:r>
        <w:t xml:space="preserve"> 7C,</w:t>
      </w:r>
      <w:r w:rsidRPr="00D928B6">
        <w:t xml:space="preserve"> there is no period </w:t>
      </w:r>
      <w:r w:rsidR="002A2B62">
        <w:t>prescribed for the making of a third party claim under subsection 62ZZG(1)</w:t>
      </w:r>
      <w:r w:rsidRPr="00D928B6">
        <w:t xml:space="preserve">.  </w:t>
      </w:r>
    </w:p>
    <w:p w:rsidR="00E53CA2" w:rsidRDefault="00E53CA2" w:rsidP="00E53CA2">
      <w:r>
        <w:t xml:space="preserve">The Regulation amends </w:t>
      </w:r>
      <w:r w:rsidR="002A2B62">
        <w:t>r</w:t>
      </w:r>
      <w:r w:rsidRPr="00D928B6">
        <w:t xml:space="preserve">egulation 7C to </w:t>
      </w:r>
      <w:r>
        <w:t xml:space="preserve">include a ‘start day’ and ‘end day’ for the purposes of third parties </w:t>
      </w:r>
      <w:r w:rsidR="002A2B62">
        <w:t>claims</w:t>
      </w:r>
      <w:r>
        <w:t xml:space="preserve"> under subsection 62ZZG(1)(</w:t>
      </w:r>
      <w:proofErr w:type="spellStart"/>
      <w:r>
        <w:t>aa</w:t>
      </w:r>
      <w:proofErr w:type="spellEnd"/>
      <w:r>
        <w:t>).</w:t>
      </w:r>
    </w:p>
    <w:p w:rsidR="008847CC" w:rsidRDefault="00E53CA2">
      <w:pPr>
        <w:rPr>
          <w:b/>
        </w:rPr>
      </w:pPr>
      <w:r>
        <w:rPr>
          <w:b/>
        </w:rPr>
        <w:t xml:space="preserve">Schedule 2 – Amendment of </w:t>
      </w:r>
      <w:r w:rsidRPr="00E53CA2">
        <w:rPr>
          <w:b/>
          <w:i/>
        </w:rPr>
        <w:t>Life Insurance Regulations 1995</w:t>
      </w:r>
    </w:p>
    <w:p w:rsidR="00E53CA2" w:rsidRDefault="00E53CA2" w:rsidP="00E53CA2">
      <w:r w:rsidRPr="002B7203">
        <w:t xml:space="preserve">Section </w:t>
      </w:r>
      <w:r>
        <w:t>253</w:t>
      </w:r>
      <w:r w:rsidRPr="002B7203">
        <w:t xml:space="preserve"> of the </w:t>
      </w:r>
      <w:r>
        <w:rPr>
          <w:i/>
        </w:rPr>
        <w:t>Life Insurance Act 1995</w:t>
      </w:r>
      <w:r w:rsidRPr="002B7203">
        <w:rPr>
          <w:i/>
          <w:iCs/>
        </w:rPr>
        <w:t xml:space="preserve"> </w:t>
      </w:r>
      <w:r w:rsidRPr="002B7203">
        <w:t xml:space="preserve">(the </w:t>
      </w:r>
      <w:r w:rsidR="002A2B62">
        <w:t xml:space="preserve">LI </w:t>
      </w:r>
      <w:r w:rsidRPr="002B7203">
        <w:t>Act) provides, in part, that the</w:t>
      </w:r>
      <w:r>
        <w:t xml:space="preserve"> </w:t>
      </w:r>
      <w:proofErr w:type="spellStart"/>
      <w:r w:rsidR="00905C1B">
        <w:t>Governor</w:t>
      </w:r>
      <w:r w:rsidR="00905C1B">
        <w:noBreakHyphen/>
      </w:r>
      <w:r w:rsidRPr="002B7203">
        <w:t>General</w:t>
      </w:r>
      <w:proofErr w:type="spellEnd"/>
      <w:r w:rsidRPr="002B7203">
        <w:t xml:space="preserve"> may make regulations, not inconsistent with the Act, prescribing</w:t>
      </w:r>
      <w:r>
        <w:t xml:space="preserve"> </w:t>
      </w:r>
      <w:r w:rsidRPr="002B7203">
        <w:t>all matters that a</w:t>
      </w:r>
      <w:r w:rsidR="002A2B62">
        <w:t>re required or permitted by the</w:t>
      </w:r>
      <w:r w:rsidR="00905C1B">
        <w:t xml:space="preserve"> </w:t>
      </w:r>
      <w:r w:rsidRPr="002B7203">
        <w:t>Act to be prescribed or are necessary</w:t>
      </w:r>
      <w:r>
        <w:t xml:space="preserve"> </w:t>
      </w:r>
      <w:r w:rsidRPr="002B7203">
        <w:t>or convenient to be prescribed for carry</w:t>
      </w:r>
      <w:r w:rsidR="002A2B62">
        <w:t>ing out or giving effect to the</w:t>
      </w:r>
      <w:r w:rsidR="00905C1B">
        <w:t xml:space="preserve"> </w:t>
      </w:r>
      <w:r w:rsidRPr="002B7203">
        <w:t>Act.</w:t>
      </w:r>
    </w:p>
    <w:p w:rsidR="002A2B62" w:rsidRDefault="002A2B62" w:rsidP="002A2B62">
      <w:pPr>
        <w:pStyle w:val="OutlineNumbered1"/>
        <w:numPr>
          <w:ilvl w:val="0"/>
          <w:numId w:val="0"/>
        </w:numPr>
      </w:pPr>
      <w:r>
        <w:t xml:space="preserve">Regulation 4.01 of the </w:t>
      </w:r>
      <w:r>
        <w:rPr>
          <w:i/>
        </w:rPr>
        <w:t xml:space="preserve">Life Insurance Regulations 1995 </w:t>
      </w:r>
      <w:r>
        <w:t>prescribes that for the purposes of subsection 38(4) the principal outstanding under unsecured borrowings must not exceed 50 per cent</w:t>
      </w:r>
      <w:r w:rsidRPr="0098147C">
        <w:t xml:space="preserve"> of the free assets of the fund</w:t>
      </w:r>
      <w:r>
        <w:t>.</w:t>
      </w:r>
    </w:p>
    <w:p w:rsidR="00E53CA2" w:rsidRDefault="00E53CA2" w:rsidP="00E53CA2">
      <w:r w:rsidRPr="002B7203">
        <w:t xml:space="preserve">The </w:t>
      </w:r>
      <w:r>
        <w:t xml:space="preserve">FSLA Act </w:t>
      </w:r>
      <w:r w:rsidR="002A2B62">
        <w:t>replaced</w:t>
      </w:r>
      <w:r>
        <w:t xml:space="preserve"> the reference to ‘regulations’ in subsection 38(4) of the </w:t>
      </w:r>
      <w:r w:rsidR="00905C1B">
        <w:t xml:space="preserve">LI </w:t>
      </w:r>
      <w:r>
        <w:t>Act with a reference to ‘prudential standards’.</w:t>
      </w:r>
    </w:p>
    <w:p w:rsidR="00E53CA2" w:rsidRDefault="002A2B62" w:rsidP="00E53CA2">
      <w:r>
        <w:t>S</w:t>
      </w:r>
      <w:r w:rsidR="00E53CA2">
        <w:t xml:space="preserve">ubsection 38(4) </w:t>
      </w:r>
      <w:r>
        <w:t xml:space="preserve">of the LI Act formally </w:t>
      </w:r>
      <w:r w:rsidR="00E53CA2">
        <w:t>provided that a life insurer must not borrow money, for the purposes of the business of a statutory fund, by means of an unsecured borrowing if the result would be that the total amount of principal outstanding under unsecured borrowings for the purposes of the fund would exceed an amount ascertained in accordance with the regulations.</w:t>
      </w:r>
    </w:p>
    <w:p w:rsidR="0069567D" w:rsidRDefault="0069567D" w:rsidP="00E53CA2">
      <w:r>
        <w:lastRenderedPageBreak/>
        <w:t>Because its content is now dealt with in prudential standards, regulation 4.01 is now redundant.</w:t>
      </w:r>
    </w:p>
    <w:p w:rsidR="00E53CA2" w:rsidRDefault="00E53CA2" w:rsidP="00E53CA2">
      <w:r>
        <w:t>The Reg</w:t>
      </w:r>
      <w:r w:rsidR="009F4082">
        <w:t>ulation omits r</w:t>
      </w:r>
      <w:r>
        <w:t xml:space="preserve">egulation 4.01 from the </w:t>
      </w:r>
      <w:r>
        <w:rPr>
          <w:i/>
        </w:rPr>
        <w:t>Life Insurance Regulations 1995</w:t>
      </w:r>
      <w:r>
        <w:t>.</w:t>
      </w:r>
    </w:p>
    <w:p w:rsidR="00E53CA2" w:rsidRDefault="00E53CA2" w:rsidP="00E53CA2">
      <w:pPr>
        <w:rPr>
          <w:b/>
        </w:rPr>
      </w:pPr>
      <w:r>
        <w:rPr>
          <w:b/>
        </w:rPr>
        <w:t xml:space="preserve">Schedule 3 – Amendment of </w:t>
      </w:r>
      <w:r w:rsidRPr="00E53CA2">
        <w:rPr>
          <w:b/>
          <w:i/>
        </w:rPr>
        <w:t>Financial Sector (Collection of Data) Regulations 2008</w:t>
      </w:r>
    </w:p>
    <w:p w:rsidR="00E53CA2" w:rsidRDefault="00E53CA2" w:rsidP="00E53CA2">
      <w:r w:rsidRPr="002B7203">
        <w:t xml:space="preserve">Section </w:t>
      </w:r>
      <w:r>
        <w:t>30</w:t>
      </w:r>
      <w:r w:rsidRPr="002B7203">
        <w:t xml:space="preserve"> of the </w:t>
      </w:r>
      <w:r>
        <w:rPr>
          <w:i/>
          <w:iCs/>
        </w:rPr>
        <w:t>Financial Sector (Collection of Data) Act 2001</w:t>
      </w:r>
      <w:r w:rsidRPr="002B7203">
        <w:rPr>
          <w:i/>
          <w:iCs/>
        </w:rPr>
        <w:t xml:space="preserve"> </w:t>
      </w:r>
      <w:r w:rsidRPr="002B7203">
        <w:t>(</w:t>
      </w:r>
      <w:r w:rsidR="00905C1B">
        <w:t>FSCODA</w:t>
      </w:r>
      <w:r w:rsidRPr="002B7203">
        <w:t>) provides, in part, that the</w:t>
      </w:r>
      <w:r>
        <w:t xml:space="preserve"> </w:t>
      </w:r>
      <w:r w:rsidRPr="002B7203">
        <w:t>Governo</w:t>
      </w:r>
      <w:r>
        <w:t xml:space="preserve">r-General may make regulations </w:t>
      </w:r>
      <w:r w:rsidRPr="002B7203">
        <w:t>prescribing</w:t>
      </w:r>
      <w:r>
        <w:t xml:space="preserve"> </w:t>
      </w:r>
      <w:r w:rsidRPr="002B7203">
        <w:t xml:space="preserve">all matters that are required or permitted by </w:t>
      </w:r>
      <w:r w:rsidR="00905C1B">
        <w:t>the FSCODA</w:t>
      </w:r>
      <w:r w:rsidRPr="002B7203">
        <w:t xml:space="preserve"> to be prescribed or are necessary</w:t>
      </w:r>
      <w:r>
        <w:t xml:space="preserve"> </w:t>
      </w:r>
      <w:r w:rsidRPr="002B7203">
        <w:t xml:space="preserve">or convenient to be prescribed for carrying out or giving effect to the </w:t>
      </w:r>
      <w:r w:rsidR="00905C1B">
        <w:t>FSCODA</w:t>
      </w:r>
      <w:r w:rsidRPr="002B7203">
        <w:t>.</w:t>
      </w:r>
    </w:p>
    <w:p w:rsidR="00E53CA2" w:rsidRDefault="00E53CA2" w:rsidP="00E53CA2">
      <w:r w:rsidRPr="002B7203">
        <w:t xml:space="preserve">The </w:t>
      </w:r>
      <w:r w:rsidRPr="002B7203">
        <w:rPr>
          <w:i/>
          <w:iCs/>
        </w:rPr>
        <w:t>Financial Sector Legislation Amendment (Prudential Refinements and Other</w:t>
      </w:r>
      <w:r>
        <w:rPr>
          <w:i/>
          <w:iCs/>
        </w:rPr>
        <w:t xml:space="preserve"> </w:t>
      </w:r>
      <w:r w:rsidRPr="002B7203">
        <w:rPr>
          <w:i/>
          <w:iCs/>
        </w:rPr>
        <w:t xml:space="preserve">Measures) Act 2010 </w:t>
      </w:r>
      <w:r>
        <w:t xml:space="preserve">amended section 3 of the </w:t>
      </w:r>
      <w:r w:rsidR="00905C1B">
        <w:t>FSCODA</w:t>
      </w:r>
      <w:r>
        <w:t xml:space="preserve"> to ensure that the Australian Prudential Regulation Authority (APRA) can collect data under the </w:t>
      </w:r>
      <w:r w:rsidR="00905C1B">
        <w:t>FSCODA</w:t>
      </w:r>
      <w:r>
        <w:t xml:space="preserve"> to assist another financial sector agency to perform its functions, and to assist the Minister to formulate financial policy.</w:t>
      </w:r>
    </w:p>
    <w:p w:rsidR="00E53CA2" w:rsidRDefault="00E53CA2" w:rsidP="00E53CA2">
      <w:r>
        <w:t xml:space="preserve">Under section 31 of the </w:t>
      </w:r>
      <w:r w:rsidR="00905C1B">
        <w:t>FSCODA</w:t>
      </w:r>
      <w:r>
        <w:t xml:space="preserve">, a financial sector agency is defined to mean: ASIC; the RBA; or a Commonwealth, State or Territory authority prescribed by the regulations.  </w:t>
      </w:r>
    </w:p>
    <w:p w:rsidR="00E53CA2" w:rsidRDefault="00E53CA2" w:rsidP="00E53CA2">
      <w:r>
        <w:t xml:space="preserve">The Regulation amends the </w:t>
      </w:r>
      <w:r>
        <w:rPr>
          <w:i/>
        </w:rPr>
        <w:t xml:space="preserve">Financial Sector (Collection of Data) Regulations 2008 </w:t>
      </w:r>
      <w:r>
        <w:t xml:space="preserve">to </w:t>
      </w:r>
      <w:r w:rsidR="0069567D">
        <w:t>prescribe</w:t>
      </w:r>
      <w:r>
        <w:t xml:space="preserve"> the Australian Bureau of Statistics (ABS)</w:t>
      </w:r>
      <w:r w:rsidR="0069567D">
        <w:t xml:space="preserve"> to be a financial sector agency for the purpose of section 31</w:t>
      </w:r>
      <w:r>
        <w:t>.  This will assist APRA’s data collecting and sharing capabilities.</w:t>
      </w:r>
    </w:p>
    <w:p w:rsidR="00E53CA2" w:rsidRDefault="0069567D" w:rsidP="00E53CA2">
      <w:pPr>
        <w:rPr>
          <w:i/>
        </w:rPr>
      </w:pPr>
      <w:r>
        <w:t>The Regulations are</w:t>
      </w:r>
      <w:r w:rsidR="00E53CA2">
        <w:t xml:space="preserve"> legislative instrument</w:t>
      </w:r>
      <w:r>
        <w:t>s</w:t>
      </w:r>
      <w:r w:rsidR="00E53CA2">
        <w:t xml:space="preserve"> for the purposes of the </w:t>
      </w:r>
      <w:r w:rsidR="00E53CA2">
        <w:rPr>
          <w:i/>
        </w:rPr>
        <w:t>Legislative Instruments Act 2003.</w:t>
      </w:r>
    </w:p>
    <w:p w:rsidR="00E53CA2" w:rsidRDefault="0069567D" w:rsidP="00E53CA2">
      <w:r>
        <w:t>The Regulations commence</w:t>
      </w:r>
      <w:r w:rsidR="00E53CA2">
        <w:t xml:space="preserve"> on the day after </w:t>
      </w:r>
      <w:r>
        <w:t xml:space="preserve">they are </w:t>
      </w:r>
      <w:r w:rsidR="00E53CA2">
        <w:t>registered.</w:t>
      </w:r>
    </w:p>
    <w:p w:rsidR="00E53CA2" w:rsidRPr="00E53CA2" w:rsidRDefault="00E53CA2" w:rsidP="00E53CA2">
      <w:pPr>
        <w:rPr>
          <w:b/>
        </w:rPr>
      </w:pPr>
    </w:p>
    <w:sectPr w:rsidR="00E53CA2" w:rsidRPr="00E53CA2" w:rsidSect="008847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30750"/>
    <w:multiLevelType w:val="multilevel"/>
    <w:tmpl w:val="E320BED2"/>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noTabHangInd/>
    <w:noColumnBalance/>
    <w:suppressBottomSpacing/>
    <w:suppressTopSpacing/>
    <w:suppressSpBfAfterPgBrk/>
    <w:noSpaceRaiseLower/>
    <w:doNotUseHTMLParagraphAutoSpacing/>
    <w:useWord2002TableStyleRules/>
    <w:growAutofit/>
  </w:compat>
  <w:rsids>
    <w:rsidRoot w:val="00E53CA2"/>
    <w:rsid w:val="00095C3F"/>
    <w:rsid w:val="000B3D30"/>
    <w:rsid w:val="002A2B62"/>
    <w:rsid w:val="002A7021"/>
    <w:rsid w:val="00305B37"/>
    <w:rsid w:val="00385745"/>
    <w:rsid w:val="00387340"/>
    <w:rsid w:val="003A25B7"/>
    <w:rsid w:val="003B1D22"/>
    <w:rsid w:val="00460C65"/>
    <w:rsid w:val="0069567D"/>
    <w:rsid w:val="00705AA1"/>
    <w:rsid w:val="00763CF9"/>
    <w:rsid w:val="008847CC"/>
    <w:rsid w:val="00905C1B"/>
    <w:rsid w:val="009C35A7"/>
    <w:rsid w:val="009F4082"/>
    <w:rsid w:val="00AD0571"/>
    <w:rsid w:val="00B5427C"/>
    <w:rsid w:val="00C53907"/>
    <w:rsid w:val="00C67848"/>
    <w:rsid w:val="00C911C1"/>
    <w:rsid w:val="00CC67EF"/>
    <w:rsid w:val="00CE3D84"/>
    <w:rsid w:val="00E44260"/>
    <w:rsid w:val="00E53CA2"/>
    <w:rsid w:val="00E5633F"/>
    <w:rsid w:val="00F904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CA2"/>
    <w:pPr>
      <w:spacing w:after="240" w:line="240" w:lineRule="auto"/>
    </w:pPr>
    <w:rPr>
      <w:rFonts w:ascii="Times New Roman" w:hAnsi="Times New Roman"/>
      <w:sz w:val="24"/>
    </w:rPr>
  </w:style>
  <w:style w:type="paragraph" w:styleId="Heading3">
    <w:name w:val="heading 3"/>
    <w:basedOn w:val="Normal"/>
    <w:next w:val="Normal"/>
    <w:link w:val="Heading3Char"/>
    <w:qFormat/>
    <w:rsid w:val="002A7021"/>
    <w:pPr>
      <w:keepNext/>
      <w:spacing w:before="60"/>
      <w:outlineLvl w:val="2"/>
    </w:pPr>
    <w:rPr>
      <w:rFonts w:eastAsia="Times New Roman"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rFonts w:eastAsia="Times New Roman" w:cs="Times New Roman"/>
      <w:szCs w:val="20"/>
      <w:lang w:eastAsia="en-AU"/>
    </w:rPr>
  </w:style>
  <w:style w:type="paragraph" w:customStyle="1" w:styleId="TableGraphic">
    <w:name w:val="Table Graphic"/>
    <w:basedOn w:val="Normal"/>
    <w:next w:val="Normal"/>
    <w:rsid w:val="00C911C1"/>
    <w:pPr>
      <w:spacing w:after="0"/>
      <w:ind w:right="-113"/>
      <w:jc w:val="both"/>
    </w:pPr>
    <w:rPr>
      <w:rFonts w:eastAsia="Times New Roman" w:cs="Times New Roman"/>
      <w:szCs w:val="20"/>
      <w:lang w:eastAsia="en-AU"/>
    </w:rPr>
  </w:style>
  <w:style w:type="character" w:customStyle="1" w:styleId="Heading3Char">
    <w:name w:val="Heading 3 Char"/>
    <w:basedOn w:val="DefaultParagraphFont"/>
    <w:link w:val="Heading3"/>
    <w:rsid w:val="002A7021"/>
    <w:rPr>
      <w:rFonts w:ascii="Times New Roman" w:eastAsia="Times New Roman" w:hAnsi="Times New Roman" w:cs="Times New Roman"/>
      <w:b/>
      <w:sz w:val="24"/>
      <w:szCs w:val="20"/>
      <w:lang w:eastAsia="en-AU"/>
    </w:rPr>
  </w:style>
  <w:style w:type="paragraph" w:styleId="ListParagraph">
    <w:name w:val="List Paragraph"/>
    <w:basedOn w:val="Normal"/>
    <w:uiPriority w:val="34"/>
    <w:qFormat/>
    <w:rsid w:val="002A7021"/>
    <w:pPr>
      <w:spacing w:after="0"/>
      <w:ind w:left="720"/>
    </w:pPr>
    <w:rPr>
      <w:rFonts w:ascii="Trebuchet MS" w:eastAsia="Times New Roman" w:hAnsi="Trebuchet MS" w:cs="Times New Roman"/>
      <w:szCs w:val="20"/>
      <w:lang w:eastAsia="en-AU"/>
    </w:rPr>
  </w:style>
  <w:style w:type="paragraph" w:customStyle="1" w:styleId="OutlineNumbered1">
    <w:name w:val="Outline Numbered 1"/>
    <w:basedOn w:val="Normal"/>
    <w:link w:val="OutlineNumbered1Char"/>
    <w:rsid w:val="00E53CA2"/>
    <w:pPr>
      <w:numPr>
        <w:numId w:val="1"/>
      </w:numPr>
    </w:pPr>
    <w:rPr>
      <w:rFonts w:eastAsia="Times New Roman" w:cs="Times New Roman"/>
      <w:color w:val="000000"/>
      <w:szCs w:val="24"/>
      <w:lang w:eastAsia="en-AU"/>
    </w:rPr>
  </w:style>
  <w:style w:type="character" w:customStyle="1" w:styleId="OutlineNumbered1Char">
    <w:name w:val="Outline Numbered 1 Char"/>
    <w:basedOn w:val="DefaultParagraphFont"/>
    <w:link w:val="OutlineNumbered1"/>
    <w:rsid w:val="00E53CA2"/>
    <w:rPr>
      <w:rFonts w:ascii="Times New Roman" w:eastAsia="Times New Roman" w:hAnsi="Times New Roman" w:cs="Times New Roman"/>
      <w:color w:val="000000"/>
      <w:sz w:val="24"/>
      <w:szCs w:val="24"/>
      <w:lang w:eastAsia="en-AU"/>
    </w:rPr>
  </w:style>
  <w:style w:type="paragraph" w:customStyle="1" w:styleId="OutlineNumbered2">
    <w:name w:val="Outline Numbered 2"/>
    <w:basedOn w:val="Normal"/>
    <w:rsid w:val="00E53CA2"/>
    <w:pPr>
      <w:numPr>
        <w:ilvl w:val="1"/>
        <w:numId w:val="1"/>
      </w:numPr>
    </w:pPr>
    <w:rPr>
      <w:rFonts w:eastAsia="Times New Roman" w:cs="Times New Roman"/>
      <w:color w:val="000000"/>
      <w:szCs w:val="24"/>
      <w:lang w:eastAsia="en-AU"/>
    </w:rPr>
  </w:style>
  <w:style w:type="paragraph" w:customStyle="1" w:styleId="OutlineNumbered3">
    <w:name w:val="Outline Numbered 3"/>
    <w:basedOn w:val="Normal"/>
    <w:rsid w:val="00E53CA2"/>
    <w:pPr>
      <w:numPr>
        <w:ilvl w:val="2"/>
        <w:numId w:val="1"/>
      </w:numPr>
    </w:pPr>
    <w:rPr>
      <w:rFonts w:eastAsia="Times New Roman" w:cs="Times New Roman"/>
      <w:color w:val="000000"/>
      <w:szCs w:val="24"/>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3538</Characters>
  <Application>Microsoft Office Word</Application>
  <DocSecurity>0</DocSecurity>
  <Lines>160</Lines>
  <Paragraphs>105</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Namgyal, Danny</dc:creator>
  <cp:lastModifiedBy>gobbid</cp:lastModifiedBy>
  <cp:revision>3</cp:revision>
  <dcterms:created xsi:type="dcterms:W3CDTF">2011-04-03T23:43:00Z</dcterms:created>
  <dcterms:modified xsi:type="dcterms:W3CDTF">2011-04-06T01:08:00Z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2005128741</vt:i4>
  </property>
  <property fmtid="{D5CDD505-2E9C-101B-9397-08002B2CF9AE}" pid="3" name="_NewReviewCycle">
    <vt:lpwstr/>
  </property>
  <property fmtid="{D5CDD505-2E9C-101B-9397-08002B2CF9AE}" pid="4" name="_EmailSubject">
    <vt:lpwstr>7 April ExCo Meeting - Insurance Legislation Amendment Regulations 2011 [SEC=UNCLASSIFIED]</vt:lpwstr>
  </property>
  <property fmtid="{D5CDD505-2E9C-101B-9397-08002B2CF9AE}" pid="5" name="_AuthorEmail">
    <vt:lpwstr>Danny.Namgyal@TREASURY.GOV.AU</vt:lpwstr>
  </property>
  <property fmtid="{D5CDD505-2E9C-101B-9397-08002B2CF9AE}" pid="6" name="_AuthorEmailDisplayName">
    <vt:lpwstr>Namgyal, Danny</vt:lpwstr>
  </property>
  <property fmtid="{D5CDD505-2E9C-101B-9397-08002B2CF9AE}" pid="7" name="_ReviewingToolsShownOnce">
    <vt:lpwstr/>
  </property>
</Properties>
</file>