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B3" w:rsidRPr="00B32BD1" w:rsidRDefault="00EA14B3">
      <w:pPr>
        <w:pStyle w:val="Title"/>
      </w:pPr>
      <w:r>
        <w:t>ASIC CLASS ORDER [</w:t>
      </w:r>
      <w:r w:rsidRPr="00B32BD1">
        <w:t xml:space="preserve">CO </w:t>
      </w:r>
      <w:r w:rsidR="00B32BD1" w:rsidRPr="00B32BD1">
        <w:t>11/269</w:t>
      </w:r>
      <w:r w:rsidRPr="00B32BD1">
        <w:t>]</w:t>
      </w:r>
    </w:p>
    <w:p w:rsidR="00EA14B3" w:rsidRPr="00B32BD1" w:rsidRDefault="00EA14B3">
      <w:pPr>
        <w:pStyle w:val="Title"/>
      </w:pPr>
    </w:p>
    <w:p w:rsidR="00EA14B3" w:rsidRPr="00B32BD1" w:rsidRDefault="00EA14B3">
      <w:pPr>
        <w:pStyle w:val="Title"/>
      </w:pPr>
      <w:r w:rsidRPr="00B32BD1">
        <w:t>EXPLANATORY STATEMENT</w:t>
      </w:r>
    </w:p>
    <w:p w:rsidR="00EA14B3" w:rsidRPr="00B32BD1" w:rsidRDefault="00EA14B3">
      <w:pPr>
        <w:ind w:right="-311"/>
        <w:jc w:val="center"/>
      </w:pPr>
    </w:p>
    <w:p w:rsidR="00EA14B3" w:rsidRPr="00B32BD1" w:rsidRDefault="00EA14B3">
      <w:pPr>
        <w:pStyle w:val="BodyTextcentred"/>
      </w:pPr>
      <w:r w:rsidRPr="00B32BD1">
        <w:t>Prepared by the Australian Securities and Investments Commission</w:t>
      </w:r>
    </w:p>
    <w:p w:rsidR="00EA14B3" w:rsidRPr="00B32BD1" w:rsidRDefault="00EA14B3">
      <w:pPr>
        <w:pStyle w:val="BodyTextcentreditals"/>
      </w:pPr>
      <w:r w:rsidRPr="00B32BD1">
        <w:t>Corporations Act 2001</w:t>
      </w:r>
    </w:p>
    <w:p w:rsidR="00EA14B3" w:rsidRPr="00B32BD1" w:rsidRDefault="00EA14B3">
      <w:pPr>
        <w:pStyle w:val="BodyText"/>
      </w:pPr>
      <w:r w:rsidRPr="00B32BD1">
        <w:t>The Australian Securities and Investments Commission (ASIC) makes ASIC Class Order [CO </w:t>
      </w:r>
      <w:r w:rsidR="00B32BD1" w:rsidRPr="00B32BD1">
        <w:t>11/269</w:t>
      </w:r>
      <w:r w:rsidRPr="00B32BD1">
        <w:t xml:space="preserve">] under </w:t>
      </w:r>
      <w:proofErr w:type="gramStart"/>
      <w:r w:rsidRPr="00B32BD1">
        <w:t>s1020F(</w:t>
      </w:r>
      <w:proofErr w:type="gramEnd"/>
      <w:r w:rsidRPr="00B32BD1">
        <w:t xml:space="preserve">1)(a) of the </w:t>
      </w:r>
      <w:r w:rsidRPr="00B32BD1">
        <w:rPr>
          <w:i/>
          <w:iCs/>
        </w:rPr>
        <w:t>Corporations Act 2001</w:t>
      </w:r>
      <w:r w:rsidRPr="00B32BD1">
        <w:t xml:space="preserve"> (the Act). </w:t>
      </w:r>
    </w:p>
    <w:p w:rsidR="00EA14B3" w:rsidRPr="00B32BD1" w:rsidRDefault="00806661" w:rsidP="00EA14B3">
      <w:pPr>
        <w:pStyle w:val="BodyText"/>
      </w:pPr>
      <w:r>
        <w:t xml:space="preserve">Paragraph </w:t>
      </w:r>
      <w:proofErr w:type="gramStart"/>
      <w:r w:rsidR="00EA14B3" w:rsidRPr="00B32BD1">
        <w:t>1020F(</w:t>
      </w:r>
      <w:proofErr w:type="gramEnd"/>
      <w:r w:rsidR="00EA14B3" w:rsidRPr="00B32BD1">
        <w:t>1)(a) provides that ASIC may exempt a person from specified provisions of Part 7.9 of the Act.</w:t>
      </w:r>
    </w:p>
    <w:p w:rsidR="00EA14B3" w:rsidRPr="00B32BD1" w:rsidRDefault="00EA14B3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0" w:name="_Toc158699036"/>
      <w:r w:rsidRPr="00B32BD1">
        <w:rPr>
          <w:rFonts w:cs="Arial"/>
          <w:bCs/>
          <w:kern w:val="32"/>
          <w:sz w:val="24"/>
          <w:szCs w:val="32"/>
        </w:rPr>
        <w:t>1.</w:t>
      </w:r>
      <w:r w:rsidRPr="00B32BD1">
        <w:rPr>
          <w:rFonts w:cs="Arial"/>
          <w:bCs/>
          <w:kern w:val="32"/>
          <w:sz w:val="24"/>
          <w:szCs w:val="32"/>
        </w:rPr>
        <w:tab/>
        <w:t>Background</w:t>
      </w:r>
      <w:bookmarkEnd w:id="0"/>
    </w:p>
    <w:p w:rsidR="00EA14B3" w:rsidRDefault="00EA14B3" w:rsidP="00EA14B3">
      <w:pPr>
        <w:pStyle w:val="BodyText"/>
        <w:rPr>
          <w:iCs/>
        </w:rPr>
      </w:pPr>
      <w:r w:rsidRPr="00EA14B3">
        <w:rPr>
          <w:iCs/>
        </w:rPr>
        <w:t xml:space="preserve">Section 1020B regulates the short selling of certain financial products </w:t>
      </w:r>
      <w:r w:rsidRPr="00806661">
        <w:rPr>
          <w:iCs/>
        </w:rPr>
        <w:t>(</w:t>
      </w:r>
      <w:r w:rsidR="007606AB" w:rsidRPr="007606AB">
        <w:rPr>
          <w:bCs/>
          <w:iCs/>
        </w:rPr>
        <w:t>section 1020B products</w:t>
      </w:r>
      <w:r w:rsidRPr="00806661">
        <w:rPr>
          <w:iCs/>
        </w:rPr>
        <w:t>).</w:t>
      </w:r>
      <w:r w:rsidR="00806661">
        <w:rPr>
          <w:iCs/>
        </w:rPr>
        <w:t xml:space="preserve"> </w:t>
      </w:r>
      <w:r w:rsidR="00806661" w:rsidRPr="00806661">
        <w:rPr>
          <w:iCs/>
        </w:rPr>
        <w:t xml:space="preserve">Section 1020B(2) </w:t>
      </w:r>
      <w:r w:rsidR="00806661">
        <w:rPr>
          <w:iCs/>
        </w:rPr>
        <w:t xml:space="preserve">states </w:t>
      </w:r>
      <w:r w:rsidR="00806661" w:rsidRPr="00806661">
        <w:rPr>
          <w:iCs/>
        </w:rPr>
        <w:t xml:space="preserve">a person must not sell </w:t>
      </w:r>
      <w:r w:rsidR="00806661">
        <w:rPr>
          <w:iCs/>
        </w:rPr>
        <w:t xml:space="preserve">section 1020B </w:t>
      </w:r>
      <w:r w:rsidR="00806661" w:rsidRPr="00806661">
        <w:rPr>
          <w:iCs/>
        </w:rPr>
        <w:t>products unless they believe on reasonable grounds that they have a presently exercisable and unconditional right to vest the products in the buyer.</w:t>
      </w:r>
    </w:p>
    <w:p w:rsidR="00D9303B" w:rsidRDefault="00EA14B3" w:rsidP="00EA14B3">
      <w:pPr>
        <w:pStyle w:val="BodyText"/>
        <w:rPr>
          <w:iCs/>
        </w:rPr>
      </w:pPr>
      <w:r>
        <w:rPr>
          <w:iCs/>
        </w:rPr>
        <w:t xml:space="preserve">Currently, by way of </w:t>
      </w:r>
      <w:r w:rsidR="007606AB" w:rsidRPr="007606AB">
        <w:rPr>
          <w:iCs/>
        </w:rPr>
        <w:t>ASIC Class Order [09/774]</w:t>
      </w:r>
      <w:r w:rsidRPr="00EA14B3">
        <w:rPr>
          <w:i/>
          <w:iCs/>
        </w:rPr>
        <w:t xml:space="preserve"> Naked Short Selling relief for market makers</w:t>
      </w:r>
      <w:r>
        <w:rPr>
          <w:iCs/>
        </w:rPr>
        <w:t xml:space="preserve"> ("</w:t>
      </w:r>
      <w:r w:rsidRPr="00EA14B3">
        <w:rPr>
          <w:b/>
          <w:iCs/>
        </w:rPr>
        <w:t>CO 09/774</w:t>
      </w:r>
      <w:r w:rsidR="004B6CCD">
        <w:rPr>
          <w:iCs/>
        </w:rPr>
        <w:t>"),</w:t>
      </w:r>
      <w:r>
        <w:rPr>
          <w:iCs/>
        </w:rPr>
        <w:t xml:space="preserve"> a</w:t>
      </w:r>
      <w:r w:rsidRPr="00EA14B3">
        <w:rPr>
          <w:iCs/>
        </w:rPr>
        <w:t xml:space="preserve"> person does not have to comply with subsection </w:t>
      </w:r>
      <w:proofErr w:type="gramStart"/>
      <w:r w:rsidRPr="00EA14B3">
        <w:rPr>
          <w:iCs/>
        </w:rPr>
        <w:t>1020B(</w:t>
      </w:r>
      <w:proofErr w:type="gramEnd"/>
      <w:r w:rsidRPr="00EA14B3">
        <w:rPr>
          <w:iCs/>
        </w:rPr>
        <w:t xml:space="preserve">2) in relation to a sale of a security </w:t>
      </w:r>
      <w:r w:rsidR="004B6CCD">
        <w:rPr>
          <w:iCs/>
        </w:rPr>
        <w:t>(</w:t>
      </w:r>
      <w:r w:rsidRPr="00EA14B3">
        <w:rPr>
          <w:iCs/>
        </w:rPr>
        <w:t>or managed investment product</w:t>
      </w:r>
      <w:r w:rsidR="004B6CCD">
        <w:rPr>
          <w:iCs/>
        </w:rPr>
        <w:t>)</w:t>
      </w:r>
      <w:r w:rsidRPr="00EA14B3">
        <w:rPr>
          <w:iCs/>
        </w:rPr>
        <w:t xml:space="preserve"> </w:t>
      </w:r>
      <w:r w:rsidR="004B6CCD">
        <w:rPr>
          <w:iCs/>
        </w:rPr>
        <w:t>("</w:t>
      </w:r>
      <w:r w:rsidR="004B6CCD" w:rsidRPr="004B6CCD">
        <w:rPr>
          <w:b/>
          <w:iCs/>
        </w:rPr>
        <w:t>shorted product</w:t>
      </w:r>
      <w:r w:rsidR="004B6CCD">
        <w:rPr>
          <w:iCs/>
        </w:rPr>
        <w:t xml:space="preserve">") </w:t>
      </w:r>
      <w:r>
        <w:rPr>
          <w:iCs/>
        </w:rPr>
        <w:t xml:space="preserve">by that person where, among other conditions, </w:t>
      </w:r>
      <w:r w:rsidRPr="00EA14B3">
        <w:rPr>
          <w:iCs/>
        </w:rPr>
        <w:t>at the time of the sale, the shorted product is a constituent of the index known as the S&amp;P/ASX 200</w:t>
      </w:r>
      <w:r>
        <w:rPr>
          <w:rStyle w:val="FootnoteReference"/>
          <w:iCs/>
        </w:rPr>
        <w:footnoteReference w:id="1"/>
      </w:r>
      <w:r>
        <w:rPr>
          <w:iCs/>
        </w:rPr>
        <w:t xml:space="preserve">. </w:t>
      </w:r>
    </w:p>
    <w:p w:rsidR="00EA14B3" w:rsidRDefault="00EA14B3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1" w:name="_Toc158699037"/>
      <w:r>
        <w:rPr>
          <w:rFonts w:cs="Arial"/>
          <w:bCs/>
          <w:kern w:val="32"/>
          <w:sz w:val="24"/>
          <w:szCs w:val="32"/>
        </w:rPr>
        <w:t>2.</w:t>
      </w:r>
      <w:r>
        <w:rPr>
          <w:rFonts w:cs="Arial"/>
          <w:bCs/>
          <w:kern w:val="32"/>
          <w:sz w:val="24"/>
          <w:szCs w:val="32"/>
        </w:rPr>
        <w:tab/>
        <w:t>Purpose of the class order</w:t>
      </w:r>
      <w:bookmarkEnd w:id="1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B71679" w:rsidRDefault="002275D2" w:rsidP="00B71679">
      <w:pPr>
        <w:pStyle w:val="BodyText"/>
        <w:rPr>
          <w:iCs/>
        </w:rPr>
      </w:pPr>
      <w:r w:rsidRPr="002275D2">
        <w:rPr>
          <w:iCs/>
        </w:rPr>
        <w:t>The p</w:t>
      </w:r>
      <w:r>
        <w:rPr>
          <w:iCs/>
        </w:rPr>
        <w:t xml:space="preserve">urpose of </w:t>
      </w:r>
      <w:r w:rsidR="00806661" w:rsidRPr="00806661">
        <w:rPr>
          <w:iCs/>
        </w:rPr>
        <w:t>CO 11/269</w:t>
      </w:r>
      <w:r w:rsidR="00806661">
        <w:rPr>
          <w:iCs/>
        </w:rPr>
        <w:t xml:space="preserve"> </w:t>
      </w:r>
      <w:r w:rsidR="00B71679">
        <w:rPr>
          <w:iCs/>
        </w:rPr>
        <w:t xml:space="preserve">is to </w:t>
      </w:r>
      <w:r w:rsidR="00806661">
        <w:rPr>
          <w:iCs/>
        </w:rPr>
        <w:t xml:space="preserve">vary </w:t>
      </w:r>
      <w:r w:rsidR="00B71679">
        <w:rPr>
          <w:iCs/>
        </w:rPr>
        <w:t>CO09/774 allow</w:t>
      </w:r>
      <w:r w:rsidR="00806661">
        <w:rPr>
          <w:iCs/>
        </w:rPr>
        <w:t>ing</w:t>
      </w:r>
      <w:r w:rsidR="00B71679">
        <w:rPr>
          <w:iCs/>
        </w:rPr>
        <w:t xml:space="preserve"> market makers to naked short sell constituents of the S&amp;P/ASX</w:t>
      </w:r>
      <w:r w:rsidR="00806661">
        <w:rPr>
          <w:iCs/>
        </w:rPr>
        <w:t xml:space="preserve"> </w:t>
      </w:r>
      <w:r w:rsidR="00B71679">
        <w:rPr>
          <w:iCs/>
        </w:rPr>
        <w:t>300, rather than the S&amp;P/ASX</w:t>
      </w:r>
      <w:r w:rsidR="00806661">
        <w:rPr>
          <w:iCs/>
        </w:rPr>
        <w:t xml:space="preserve"> </w:t>
      </w:r>
      <w:r w:rsidR="00B71679">
        <w:rPr>
          <w:iCs/>
        </w:rPr>
        <w:t>200.</w:t>
      </w:r>
    </w:p>
    <w:p w:rsidR="00B71679" w:rsidRDefault="00B71679" w:rsidP="00B71679">
      <w:pPr>
        <w:pStyle w:val="BodyText"/>
        <w:rPr>
          <w:iCs/>
        </w:rPr>
      </w:pPr>
      <w:r>
        <w:rPr>
          <w:iCs/>
        </w:rPr>
        <w:t xml:space="preserve">This amendment has been </w:t>
      </w:r>
      <w:r w:rsidR="00372B1D">
        <w:rPr>
          <w:iCs/>
        </w:rPr>
        <w:t xml:space="preserve">made </w:t>
      </w:r>
      <w:r>
        <w:rPr>
          <w:iCs/>
        </w:rPr>
        <w:t xml:space="preserve">on the grounds of: </w:t>
      </w:r>
    </w:p>
    <w:p w:rsidR="00806661" w:rsidRDefault="00806661" w:rsidP="00B71679">
      <w:pPr>
        <w:pStyle w:val="BodyText"/>
        <w:rPr>
          <w:iCs/>
        </w:rPr>
      </w:pPr>
    </w:p>
    <w:p w:rsidR="00B71679" w:rsidRDefault="00B71679" w:rsidP="00B71679">
      <w:pPr>
        <w:pStyle w:val="BodyText"/>
        <w:numPr>
          <w:ilvl w:val="0"/>
          <w:numId w:val="5"/>
        </w:numPr>
        <w:tabs>
          <w:tab w:val="clear" w:pos="567"/>
          <w:tab w:val="clear" w:pos="680"/>
        </w:tabs>
        <w:spacing w:before="0" w:line="240" w:lineRule="auto"/>
        <w:rPr>
          <w:iCs/>
        </w:rPr>
      </w:pPr>
      <w:r w:rsidRPr="00B71679">
        <w:rPr>
          <w:iCs/>
        </w:rPr>
        <w:t xml:space="preserve">Liquidity – sufficient liquidity outside the </w:t>
      </w:r>
      <w:r w:rsidR="004B6CCD" w:rsidRPr="004B6CCD">
        <w:rPr>
          <w:iCs/>
        </w:rPr>
        <w:t>S&amp;P/</w:t>
      </w:r>
      <w:r w:rsidRPr="00B71679">
        <w:rPr>
          <w:iCs/>
        </w:rPr>
        <w:t>ASX</w:t>
      </w:r>
      <w:r w:rsidR="00803853">
        <w:rPr>
          <w:iCs/>
        </w:rPr>
        <w:t xml:space="preserve"> </w:t>
      </w:r>
      <w:r w:rsidRPr="00B71679">
        <w:rPr>
          <w:iCs/>
        </w:rPr>
        <w:t xml:space="preserve">200 and within the </w:t>
      </w:r>
      <w:r w:rsidR="004B6CCD" w:rsidRPr="004B6CCD">
        <w:rPr>
          <w:iCs/>
        </w:rPr>
        <w:t>S&amp;P/</w:t>
      </w:r>
      <w:r w:rsidRPr="00B71679">
        <w:rPr>
          <w:iCs/>
        </w:rPr>
        <w:t>ASX</w:t>
      </w:r>
      <w:r w:rsidR="00803853">
        <w:rPr>
          <w:iCs/>
        </w:rPr>
        <w:t xml:space="preserve"> </w:t>
      </w:r>
      <w:r w:rsidRPr="00B71679">
        <w:rPr>
          <w:iCs/>
        </w:rPr>
        <w:t xml:space="preserve">300 to ensure that settlement risk </w:t>
      </w:r>
      <w:r w:rsidR="00803853">
        <w:rPr>
          <w:iCs/>
        </w:rPr>
        <w:t>[</w:t>
      </w:r>
      <w:r w:rsidRPr="00B71679">
        <w:rPr>
          <w:iCs/>
        </w:rPr>
        <w:t>is not an issue</w:t>
      </w:r>
      <w:r w:rsidR="00803853">
        <w:rPr>
          <w:iCs/>
        </w:rPr>
        <w:t>]</w:t>
      </w:r>
      <w:r w:rsidRPr="00B71679">
        <w:rPr>
          <w:iCs/>
        </w:rPr>
        <w:t>;</w:t>
      </w:r>
    </w:p>
    <w:p w:rsidR="00B71679" w:rsidRDefault="00B71679" w:rsidP="00B71679">
      <w:pPr>
        <w:pStyle w:val="BodyText"/>
        <w:numPr>
          <w:ilvl w:val="0"/>
          <w:numId w:val="5"/>
        </w:numPr>
        <w:tabs>
          <w:tab w:val="clear" w:pos="567"/>
          <w:tab w:val="clear" w:pos="680"/>
        </w:tabs>
        <w:spacing w:before="0" w:line="240" w:lineRule="auto"/>
        <w:rPr>
          <w:iCs/>
        </w:rPr>
      </w:pPr>
      <w:r w:rsidRPr="00B71679">
        <w:rPr>
          <w:iCs/>
        </w:rPr>
        <w:t>Volatility – given the market is generally more stable than it was when the ASX</w:t>
      </w:r>
      <w:r w:rsidR="00803853">
        <w:rPr>
          <w:iCs/>
        </w:rPr>
        <w:t xml:space="preserve"> </w:t>
      </w:r>
      <w:r w:rsidRPr="00B71679">
        <w:rPr>
          <w:iCs/>
        </w:rPr>
        <w:t>200 limit was put in place; and</w:t>
      </w:r>
    </w:p>
    <w:p w:rsidR="00B71679" w:rsidRDefault="00B71679" w:rsidP="00B71679">
      <w:pPr>
        <w:pStyle w:val="BodyText"/>
        <w:tabs>
          <w:tab w:val="clear" w:pos="567"/>
          <w:tab w:val="clear" w:pos="680"/>
        </w:tabs>
        <w:spacing w:before="0" w:line="240" w:lineRule="auto"/>
        <w:rPr>
          <w:iCs/>
        </w:rPr>
      </w:pPr>
    </w:p>
    <w:p w:rsidR="00EA14B3" w:rsidRDefault="00EA14B3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2" w:name="_Toc158699040"/>
      <w:r>
        <w:rPr>
          <w:rFonts w:cs="Arial"/>
          <w:bCs/>
          <w:kern w:val="32"/>
          <w:sz w:val="24"/>
          <w:szCs w:val="32"/>
        </w:rPr>
        <w:t>3.</w:t>
      </w:r>
      <w:r>
        <w:rPr>
          <w:rFonts w:cs="Arial"/>
          <w:bCs/>
          <w:kern w:val="32"/>
          <w:sz w:val="24"/>
          <w:szCs w:val="32"/>
        </w:rPr>
        <w:tab/>
        <w:t>Operation of the class order</w:t>
      </w:r>
      <w:bookmarkEnd w:id="2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24574B" w:rsidRDefault="0024574B" w:rsidP="0024574B">
      <w:pPr>
        <w:pStyle w:val="BodyText"/>
        <w:spacing w:before="0" w:line="240" w:lineRule="auto"/>
        <w:rPr>
          <w:iCs/>
        </w:rPr>
      </w:pPr>
    </w:p>
    <w:p w:rsidR="0024574B" w:rsidRPr="0024574B" w:rsidRDefault="0024574B" w:rsidP="0024574B">
      <w:pPr>
        <w:pStyle w:val="BodyText"/>
        <w:spacing w:before="0" w:line="240" w:lineRule="auto"/>
        <w:rPr>
          <w:iCs/>
        </w:rPr>
      </w:pPr>
      <w:r w:rsidRPr="0024574B">
        <w:rPr>
          <w:iCs/>
        </w:rPr>
        <w:t xml:space="preserve">This </w:t>
      </w:r>
      <w:r w:rsidR="00372B1D">
        <w:rPr>
          <w:iCs/>
        </w:rPr>
        <w:t>C</w:t>
      </w:r>
      <w:r w:rsidRPr="0024574B">
        <w:rPr>
          <w:iCs/>
        </w:rPr>
        <w:t xml:space="preserve">lass </w:t>
      </w:r>
      <w:r w:rsidR="00372B1D">
        <w:rPr>
          <w:iCs/>
        </w:rPr>
        <w:t>O</w:t>
      </w:r>
      <w:r w:rsidRPr="0024574B">
        <w:rPr>
          <w:iCs/>
        </w:rPr>
        <w:t>rder varies CO 09/</w:t>
      </w:r>
      <w:r>
        <w:rPr>
          <w:iCs/>
        </w:rPr>
        <w:t>774</w:t>
      </w:r>
      <w:r w:rsidRPr="0024574B">
        <w:rPr>
          <w:iCs/>
        </w:rPr>
        <w:t xml:space="preserve"> by </w:t>
      </w:r>
      <w:r>
        <w:rPr>
          <w:iCs/>
        </w:rPr>
        <w:t xml:space="preserve">deleting </w:t>
      </w:r>
      <w:r w:rsidRPr="0024574B">
        <w:rPr>
          <w:iCs/>
        </w:rPr>
        <w:t xml:space="preserve">the </w:t>
      </w:r>
      <w:r>
        <w:rPr>
          <w:iCs/>
        </w:rPr>
        <w:t>term 'S&amp;P/ASX</w:t>
      </w:r>
      <w:r w:rsidR="00F21CEF">
        <w:rPr>
          <w:iCs/>
        </w:rPr>
        <w:t xml:space="preserve"> </w:t>
      </w:r>
      <w:r>
        <w:rPr>
          <w:iCs/>
        </w:rPr>
        <w:t xml:space="preserve">200' </w:t>
      </w:r>
      <w:r w:rsidR="004B6CCD">
        <w:rPr>
          <w:iCs/>
        </w:rPr>
        <w:t xml:space="preserve">at paragraph 4(e) </w:t>
      </w:r>
      <w:r>
        <w:rPr>
          <w:iCs/>
        </w:rPr>
        <w:t>and substituting it with 'S&amp;P/ASX</w:t>
      </w:r>
      <w:r w:rsidR="00F21CEF">
        <w:rPr>
          <w:iCs/>
        </w:rPr>
        <w:t xml:space="preserve"> </w:t>
      </w:r>
      <w:r>
        <w:rPr>
          <w:iCs/>
        </w:rPr>
        <w:t>300'.</w:t>
      </w:r>
    </w:p>
    <w:p w:rsidR="00EA14B3" w:rsidRDefault="00EA14B3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3" w:name="_Toc158699041"/>
      <w:r>
        <w:rPr>
          <w:rFonts w:cs="Arial"/>
          <w:bCs/>
          <w:kern w:val="32"/>
          <w:sz w:val="24"/>
          <w:szCs w:val="32"/>
        </w:rPr>
        <w:t>4.</w:t>
      </w:r>
      <w:r>
        <w:rPr>
          <w:rFonts w:cs="Arial"/>
          <w:bCs/>
          <w:kern w:val="32"/>
          <w:sz w:val="24"/>
          <w:szCs w:val="32"/>
        </w:rPr>
        <w:tab/>
        <w:t>Documents incorporated by reference</w:t>
      </w:r>
      <w:bookmarkEnd w:id="3"/>
    </w:p>
    <w:p w:rsidR="00406282" w:rsidRPr="00B32BD1" w:rsidRDefault="000D335C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ascii="Times New Roman" w:hAnsi="Times New Roman"/>
          <w:b w:val="0"/>
          <w:iCs/>
          <w:sz w:val="24"/>
          <w:szCs w:val="24"/>
        </w:rPr>
      </w:pPr>
      <w:r w:rsidRPr="00B32BD1">
        <w:rPr>
          <w:rFonts w:ascii="Times New Roman" w:hAnsi="Times New Roman"/>
          <w:b w:val="0"/>
          <w:iCs/>
          <w:sz w:val="24"/>
          <w:szCs w:val="24"/>
        </w:rPr>
        <w:t>No documents are incorporated by reference.</w:t>
      </w:r>
      <w:bookmarkStart w:id="4" w:name="_Toc158699042"/>
    </w:p>
    <w:p w:rsidR="00EA14B3" w:rsidRDefault="00EA14B3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5.</w:t>
      </w:r>
      <w:r>
        <w:rPr>
          <w:rFonts w:cs="Arial"/>
          <w:bCs/>
          <w:kern w:val="32"/>
          <w:sz w:val="24"/>
          <w:szCs w:val="32"/>
        </w:rPr>
        <w:tab/>
        <w:t>Consultation</w:t>
      </w:r>
      <w:bookmarkEnd w:id="4"/>
    </w:p>
    <w:p w:rsidR="0024574B" w:rsidRDefault="0024574B" w:rsidP="0024574B">
      <w:pPr>
        <w:pStyle w:val="BodyText"/>
        <w:spacing w:before="0"/>
        <w:rPr>
          <w:iCs/>
        </w:rPr>
      </w:pPr>
    </w:p>
    <w:p w:rsidR="00806661" w:rsidRPr="00806661" w:rsidRDefault="00806661" w:rsidP="00806661">
      <w:pPr>
        <w:pStyle w:val="BodyText"/>
        <w:spacing w:before="0"/>
        <w:rPr>
          <w:iCs/>
        </w:rPr>
      </w:pPr>
      <w:r w:rsidRPr="00806661">
        <w:rPr>
          <w:iCs/>
        </w:rPr>
        <w:t>ASIC consulted informally with a number of market makers in relation to the amendment in this CO 11/269 and their feedback was supportive of the proposal to amend CO 09/774 to permit market makers to naked short sell constituents of the S&amp;P/ASX</w:t>
      </w:r>
      <w:r w:rsidR="00803853">
        <w:rPr>
          <w:iCs/>
        </w:rPr>
        <w:t xml:space="preserve"> </w:t>
      </w:r>
      <w:r w:rsidRPr="00806661">
        <w:rPr>
          <w:iCs/>
        </w:rPr>
        <w:t xml:space="preserve">300. </w:t>
      </w:r>
    </w:p>
    <w:p w:rsidR="00806661" w:rsidRDefault="00806661" w:rsidP="0024574B">
      <w:pPr>
        <w:pStyle w:val="BodyText"/>
        <w:spacing w:before="0"/>
        <w:rPr>
          <w:iCs/>
        </w:rPr>
      </w:pPr>
    </w:p>
    <w:p w:rsidR="00CF44D8" w:rsidRPr="004B6CCD" w:rsidRDefault="0024574B" w:rsidP="00CF44D8">
      <w:pPr>
        <w:pStyle w:val="BodyText"/>
      </w:pPr>
      <w:r w:rsidRPr="0024574B">
        <w:rPr>
          <w:iCs/>
        </w:rPr>
        <w:t xml:space="preserve">Before making </w:t>
      </w:r>
      <w:r>
        <w:rPr>
          <w:iCs/>
        </w:rPr>
        <w:t>CO 09/774</w:t>
      </w:r>
      <w:r w:rsidRPr="0024574B">
        <w:rPr>
          <w:iCs/>
        </w:rPr>
        <w:t xml:space="preserve">, ASIC consulted </w:t>
      </w:r>
      <w:r w:rsidR="008B28ED">
        <w:rPr>
          <w:iCs/>
        </w:rPr>
        <w:t xml:space="preserve">publicly, in </w:t>
      </w:r>
      <w:r w:rsidR="00F870B9">
        <w:rPr>
          <w:iCs/>
        </w:rPr>
        <w:t xml:space="preserve">Consultation Paper 106: </w:t>
      </w:r>
      <w:r w:rsidR="00CF44D8" w:rsidRPr="00CF44D8">
        <w:rPr>
          <w:i/>
          <w:iCs/>
        </w:rPr>
        <w:t>Short Selling to hedge risk from market making activities</w:t>
      </w:r>
      <w:r w:rsidR="00CF44D8" w:rsidRPr="00CF44D8">
        <w:rPr>
          <w:iCs/>
        </w:rPr>
        <w:t xml:space="preserve"> </w:t>
      </w:r>
      <w:r w:rsidR="00F870B9">
        <w:rPr>
          <w:iCs/>
        </w:rPr>
        <w:t>(</w:t>
      </w:r>
      <w:r w:rsidR="007606AB" w:rsidRPr="007606AB">
        <w:rPr>
          <w:iCs/>
        </w:rPr>
        <w:t>CP 106</w:t>
      </w:r>
      <w:r w:rsidR="00F870B9">
        <w:rPr>
          <w:iCs/>
        </w:rPr>
        <w:t>)</w:t>
      </w:r>
      <w:r w:rsidR="00372B1D">
        <w:rPr>
          <w:iCs/>
        </w:rPr>
        <w:t>.  Responses to CP</w:t>
      </w:r>
      <w:r w:rsidR="00803853">
        <w:rPr>
          <w:iCs/>
        </w:rPr>
        <w:t xml:space="preserve"> </w:t>
      </w:r>
      <w:r w:rsidR="00372B1D">
        <w:rPr>
          <w:iCs/>
        </w:rPr>
        <w:t>106 were published by ASIC in</w:t>
      </w:r>
      <w:r w:rsidR="00F870B9">
        <w:rPr>
          <w:iCs/>
        </w:rPr>
        <w:t xml:space="preserve"> </w:t>
      </w:r>
      <w:r w:rsidR="00CF44D8">
        <w:rPr>
          <w:iCs/>
        </w:rPr>
        <w:t xml:space="preserve">Report 167: </w:t>
      </w:r>
      <w:r w:rsidR="00CF44D8" w:rsidRPr="00CF44D8">
        <w:rPr>
          <w:i/>
          <w:iCs/>
        </w:rPr>
        <w:t xml:space="preserve">Response to submissions on CP106 Short Selling to hedge risk from </w:t>
      </w:r>
      <w:r w:rsidR="00CF44D8">
        <w:rPr>
          <w:i/>
          <w:iCs/>
        </w:rPr>
        <w:t xml:space="preserve">market making </w:t>
      </w:r>
      <w:r w:rsidR="006E5765">
        <w:rPr>
          <w:i/>
          <w:iCs/>
        </w:rPr>
        <w:t>activities</w:t>
      </w:r>
      <w:r w:rsidR="006E5765" w:rsidRPr="00CF44D8" w:rsidDel="00F21CEF">
        <w:rPr>
          <w:iCs/>
        </w:rPr>
        <w:t xml:space="preserve">. </w:t>
      </w:r>
    </w:p>
    <w:sectPr w:rsidR="00CF44D8" w:rsidRPr="004B6CCD" w:rsidSect="00C32D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11" w:rsidRDefault="00690011" w:rsidP="00EA14B3">
      <w:r>
        <w:separator/>
      </w:r>
    </w:p>
  </w:endnote>
  <w:endnote w:type="continuationSeparator" w:id="0">
    <w:p w:rsidR="00690011" w:rsidRDefault="00690011" w:rsidP="00EA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11" w:rsidRDefault="00690011" w:rsidP="00EA14B3">
      <w:r>
        <w:separator/>
      </w:r>
    </w:p>
  </w:footnote>
  <w:footnote w:type="continuationSeparator" w:id="0">
    <w:p w:rsidR="00690011" w:rsidRDefault="00690011" w:rsidP="00EA14B3">
      <w:r>
        <w:continuationSeparator/>
      </w:r>
    </w:p>
  </w:footnote>
  <w:footnote w:id="1">
    <w:p w:rsidR="00806661" w:rsidRPr="00EA14B3" w:rsidRDefault="00806661" w:rsidP="00EA14B3">
      <w:pPr>
        <w:pStyle w:val="FootnoteText"/>
        <w:rPr>
          <w:iCs/>
        </w:rPr>
      </w:pPr>
      <w:r>
        <w:rPr>
          <w:rStyle w:val="FootnoteReference"/>
        </w:rPr>
        <w:footnoteRef/>
      </w:r>
      <w:r>
        <w:t xml:space="preserve"> </w:t>
      </w:r>
      <w:r w:rsidRPr="00EA14B3">
        <w:rPr>
          <w:iCs/>
        </w:rPr>
        <w:t xml:space="preserve">Note: This index is compiled and calculated by Standard and Poor’s, a division of The McGraw-Hill Companies, Inc. Its constituents are subject to change from time to time. Details of the current constituents may be found via </w:t>
      </w:r>
      <w:r w:rsidRPr="00EA14B3">
        <w:rPr>
          <w:iCs/>
          <w:u w:val="single"/>
        </w:rPr>
        <w:t>http://www.standardandpoors.com.au/</w:t>
      </w:r>
      <w:r w:rsidRPr="00EA14B3">
        <w:rPr>
          <w:iCs/>
        </w:rPr>
        <w:t xml:space="preserve">. </w:t>
      </w:r>
    </w:p>
    <w:p w:rsidR="00806661" w:rsidRPr="00EA14B3" w:rsidRDefault="00806661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134F7"/>
    <w:multiLevelType w:val="hybridMultilevel"/>
    <w:tmpl w:val="4EC8C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F5DEE"/>
    <w:multiLevelType w:val="hybridMultilevel"/>
    <w:tmpl w:val="6E5A0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47D69"/>
    <w:multiLevelType w:val="hybridMultilevel"/>
    <w:tmpl w:val="72943942"/>
    <w:lvl w:ilvl="0" w:tplc="C48485D2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227"/>
    <w:rsid w:val="000D335C"/>
    <w:rsid w:val="001E6161"/>
    <w:rsid w:val="002275D2"/>
    <w:rsid w:val="0024574B"/>
    <w:rsid w:val="00372B1D"/>
    <w:rsid w:val="003771A5"/>
    <w:rsid w:val="003A667E"/>
    <w:rsid w:val="00406282"/>
    <w:rsid w:val="004B6CCD"/>
    <w:rsid w:val="004F12F7"/>
    <w:rsid w:val="00690011"/>
    <w:rsid w:val="006E5765"/>
    <w:rsid w:val="007606AB"/>
    <w:rsid w:val="00803853"/>
    <w:rsid w:val="00806661"/>
    <w:rsid w:val="008B28ED"/>
    <w:rsid w:val="00905E15"/>
    <w:rsid w:val="00941227"/>
    <w:rsid w:val="00997819"/>
    <w:rsid w:val="00B32BD1"/>
    <w:rsid w:val="00B57950"/>
    <w:rsid w:val="00B71679"/>
    <w:rsid w:val="00C32D51"/>
    <w:rsid w:val="00CE5826"/>
    <w:rsid w:val="00CF44D8"/>
    <w:rsid w:val="00D9303B"/>
    <w:rsid w:val="00EA14B3"/>
    <w:rsid w:val="00F029E2"/>
    <w:rsid w:val="00F21CEF"/>
    <w:rsid w:val="00F8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51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rsid w:val="00C32D51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rsid w:val="00C32D51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rsid w:val="00C32D51"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C32D51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rsid w:val="00C32D51"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rsid w:val="00C32D51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rsid w:val="00C32D51"/>
    <w:pPr>
      <w:jc w:val="center"/>
    </w:pPr>
  </w:style>
  <w:style w:type="paragraph" w:customStyle="1" w:styleId="Subsubpara">
    <w:name w:val="Sub sub para"/>
    <w:basedOn w:val="Normal"/>
    <w:rsid w:val="00C32D51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rsid w:val="00C32D51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sid w:val="00C32D5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4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4B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14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63B9-44BC-44DD-B4A6-7423D73A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subject/>
  <dc:creator>Helen.Yu</dc:creator>
  <cp:keywords/>
  <dc:description/>
  <cp:lastModifiedBy>Andrew Fawcett</cp:lastModifiedBy>
  <cp:revision>5</cp:revision>
  <dcterms:created xsi:type="dcterms:W3CDTF">2011-03-30T07:31:00Z</dcterms:created>
  <dcterms:modified xsi:type="dcterms:W3CDTF">2011-03-30T07:55:00Z</dcterms:modified>
</cp:coreProperties>
</file>