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F1" w:rsidRDefault="005B09AD" w:rsidP="00D056F1">
      <w:r>
        <w:rPr>
          <w:noProof/>
          <w:lang w:val="en-AU" w:eastAsia="en-AU" w:bidi="ar-SA"/>
        </w:rPr>
        <w:drawing>
          <wp:inline distT="0" distB="0" distL="0" distR="0">
            <wp:extent cx="3962400" cy="695325"/>
            <wp:effectExtent l="1905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8" cstate="print"/>
                    <a:srcRect/>
                    <a:stretch>
                      <a:fillRect/>
                    </a:stretch>
                  </pic:blipFill>
                  <pic:spPr bwMode="auto">
                    <a:xfrm>
                      <a:off x="0" y="0"/>
                      <a:ext cx="3962400" cy="695325"/>
                    </a:xfrm>
                    <a:prstGeom prst="rect">
                      <a:avLst/>
                    </a:prstGeom>
                    <a:noFill/>
                    <a:ln w="9525">
                      <a:noFill/>
                      <a:miter lim="800000"/>
                      <a:headEnd/>
                      <a:tailEnd/>
                    </a:ln>
                  </pic:spPr>
                </pic:pic>
              </a:graphicData>
            </a:graphic>
          </wp:inline>
        </w:drawing>
      </w:r>
    </w:p>
    <w:p w:rsidR="00D056F1" w:rsidRDefault="00D056F1" w:rsidP="00D056F1">
      <w:pPr>
        <w:jc w:val="center"/>
        <w:rPr>
          <w:b/>
          <w:bCs/>
        </w:rPr>
      </w:pPr>
    </w:p>
    <w:p w:rsidR="00E567B2" w:rsidRDefault="00E567B2" w:rsidP="00D056F1">
      <w:pPr>
        <w:jc w:val="center"/>
        <w:rPr>
          <w:b/>
          <w:sz w:val="28"/>
          <w:szCs w:val="28"/>
        </w:rPr>
      </w:pPr>
    </w:p>
    <w:p w:rsidR="00C56410" w:rsidRDefault="00C56410" w:rsidP="00D056F1">
      <w:pPr>
        <w:jc w:val="center"/>
        <w:rPr>
          <w:b/>
          <w:sz w:val="28"/>
          <w:szCs w:val="28"/>
        </w:rPr>
      </w:pPr>
    </w:p>
    <w:p w:rsidR="00C56410" w:rsidRPr="00DC6570" w:rsidRDefault="00C56410" w:rsidP="00D056F1">
      <w:pPr>
        <w:jc w:val="center"/>
        <w:rPr>
          <w:b/>
          <w:bCs/>
        </w:rPr>
      </w:pPr>
    </w:p>
    <w:p w:rsidR="00E907E7" w:rsidRPr="005F400E" w:rsidRDefault="00E907E7" w:rsidP="00E907E7">
      <w:pPr>
        <w:pStyle w:val="FSTitle"/>
      </w:pPr>
      <w:r>
        <w:t>APPLICATION A1048</w:t>
      </w:r>
    </w:p>
    <w:p w:rsidR="00E907E7" w:rsidRPr="00226337" w:rsidRDefault="00E907E7" w:rsidP="00E907E7">
      <w:pPr>
        <w:pStyle w:val="FSTitle"/>
        <w:rPr>
          <w:caps/>
        </w:rPr>
      </w:pPr>
      <w:r w:rsidRPr="00226337">
        <w:rPr>
          <w:caps/>
        </w:rPr>
        <w:t>Co-extruded Polystyrene &amp; PVPP as a Processing Aid</w:t>
      </w:r>
    </w:p>
    <w:p w:rsidR="00E907E7" w:rsidRPr="005F400E" w:rsidRDefault="00C56410" w:rsidP="00E907E7">
      <w:pPr>
        <w:pStyle w:val="FSTitle"/>
      </w:pPr>
      <w:r>
        <w:t>EXPLANATORY ST</w:t>
      </w:r>
      <w:bookmarkStart w:id="0" w:name="_GoBack"/>
      <w:bookmarkEnd w:id="0"/>
      <w:r>
        <w:t>ATEMENT</w:t>
      </w:r>
    </w:p>
    <w:p w:rsidR="00E907E7" w:rsidRPr="00DC6570" w:rsidRDefault="00E907E7" w:rsidP="00E907E7">
      <w:pPr>
        <w:pBdr>
          <w:bottom w:val="single" w:sz="12" w:space="1" w:color="auto"/>
        </w:pBdr>
        <w:rPr>
          <w:rFonts w:ascii="Tahoma" w:hAnsi="Tahoma" w:cs="Tahoma"/>
          <w:b/>
          <w:bCs/>
        </w:rPr>
      </w:pPr>
    </w:p>
    <w:p w:rsidR="00E907E7" w:rsidRDefault="00E907E7" w:rsidP="00E907E7"/>
    <w:p w:rsidR="00E907E7" w:rsidRPr="00D60568" w:rsidRDefault="00E907E7" w:rsidP="00E907E7">
      <w:pPr>
        <w:rPr>
          <w:rFonts w:ascii="Tahoma" w:hAnsi="Tahoma" w:cs="Tahoma"/>
          <w:b/>
          <w:bCs/>
          <w:sz w:val="28"/>
          <w:u w:val="single"/>
        </w:rPr>
      </w:pPr>
      <w:bookmarkStart w:id="1" w:name="_Toc11735626"/>
      <w:bookmarkStart w:id="2" w:name="_Toc29883108"/>
      <w:bookmarkStart w:id="3" w:name="_Toc41906795"/>
      <w:bookmarkStart w:id="4" w:name="_Toc41907543"/>
      <w:bookmarkStart w:id="5" w:name="_Toc120090537"/>
      <w:bookmarkStart w:id="6" w:name="_Toc120358570"/>
      <w:bookmarkStart w:id="7" w:name="_Toc120358612"/>
      <w:r w:rsidRPr="00D60568">
        <w:rPr>
          <w:rFonts w:ascii="Tahoma" w:hAnsi="Tahoma" w:cs="Tahoma"/>
          <w:b/>
          <w:bCs/>
          <w:sz w:val="28"/>
          <w:u w:val="single"/>
        </w:rPr>
        <w:t>Executive Summary</w:t>
      </w:r>
      <w:bookmarkEnd w:id="1"/>
      <w:bookmarkEnd w:id="2"/>
      <w:bookmarkEnd w:id="3"/>
      <w:bookmarkEnd w:id="4"/>
      <w:bookmarkEnd w:id="5"/>
      <w:bookmarkEnd w:id="6"/>
      <w:bookmarkEnd w:id="7"/>
    </w:p>
    <w:p w:rsidR="00E907E7" w:rsidRDefault="00E907E7" w:rsidP="00E907E7">
      <w:pPr>
        <w:rPr>
          <w:rFonts w:cs="Arial"/>
          <w:b/>
          <w:bCs/>
        </w:rPr>
      </w:pPr>
      <w:bookmarkStart w:id="8" w:name="_Toc120090538"/>
      <w:bookmarkStart w:id="9" w:name="_Toc120358571"/>
      <w:bookmarkStart w:id="10" w:name="_Toc120358613"/>
    </w:p>
    <w:p w:rsidR="00E907E7" w:rsidRPr="00DC6570" w:rsidRDefault="00E907E7" w:rsidP="00E907E7">
      <w:pPr>
        <w:rPr>
          <w:rFonts w:cs="Arial"/>
          <w:b/>
          <w:bCs/>
        </w:rPr>
      </w:pPr>
      <w:r w:rsidRPr="00DC6570">
        <w:rPr>
          <w:rFonts w:cs="Arial"/>
          <w:b/>
          <w:bCs/>
        </w:rPr>
        <w:t>Purpose</w:t>
      </w:r>
      <w:bookmarkEnd w:id="8"/>
      <w:bookmarkEnd w:id="9"/>
      <w:bookmarkEnd w:id="10"/>
    </w:p>
    <w:p w:rsidR="00E907E7" w:rsidRPr="009C5642" w:rsidRDefault="00E907E7" w:rsidP="00E907E7">
      <w:pPr>
        <w:rPr>
          <w:rFonts w:cs="Arial"/>
        </w:rPr>
      </w:pPr>
    </w:p>
    <w:p w:rsidR="00E907E7" w:rsidRDefault="00E907E7" w:rsidP="00E907E7">
      <w:r>
        <w:t xml:space="preserve">Food Standards Australia New Zealand (FSANZ) received an Application from BASF on </w:t>
      </w:r>
    </w:p>
    <w:p w:rsidR="00E907E7" w:rsidRDefault="00E907E7" w:rsidP="00E907E7">
      <w:r>
        <w:t>3 June 2010. This Application seeks to amend Standard 1.3.3 – Processing Aids of the</w:t>
      </w:r>
      <w:r>
        <w:rPr>
          <w:i/>
        </w:rPr>
        <w:t xml:space="preserve"> Australia New Zealand Food Standards Code </w:t>
      </w:r>
      <w:r>
        <w:t xml:space="preserve">(the Code) to include a new processing aid which is a </w:t>
      </w:r>
      <w:r w:rsidR="00DB2E19">
        <w:t>co-</w:t>
      </w:r>
      <w:r>
        <w:t xml:space="preserve">extrudate </w:t>
      </w:r>
      <w:r w:rsidR="00DB2E19">
        <w:t xml:space="preserve">of </w:t>
      </w:r>
      <w:r>
        <w:t>polystyrene and polyvinyl polypyrrolidone (PVPP) (the resin).</w:t>
      </w:r>
    </w:p>
    <w:p w:rsidR="00E907E7" w:rsidRDefault="00E907E7" w:rsidP="00E907E7"/>
    <w:p w:rsidR="00E907E7" w:rsidRDefault="00E907E7" w:rsidP="00E907E7">
      <w:r>
        <w:t>The resin (trade name Crosspure</w:t>
      </w:r>
      <w:r>
        <w:rPr>
          <w:rFonts w:cs="Arial"/>
        </w:rPr>
        <w:t>®</w:t>
      </w:r>
      <w:r>
        <w:t>) removes particulates including microorganisms, and haze material (polyphenols and polyphenol-protein complexes) from beverages. It is intended to be used primarily in beer manufacture as an alternative treatment to replace the filtration step, usually performed by diatomaceous earth, and the adsorption step, usually performed by permitted processing aids such as PVPP. The request is to assess the resin as a clarifying, filtration and adsorbent agent to improve clarity and stability of the treated beverage.</w:t>
      </w:r>
    </w:p>
    <w:p w:rsidR="00E907E7" w:rsidRPr="009C5642" w:rsidRDefault="00E907E7" w:rsidP="00E907E7">
      <w:pPr>
        <w:rPr>
          <w:rFonts w:cs="Arial"/>
        </w:rPr>
      </w:pPr>
    </w:p>
    <w:p w:rsidR="00E907E7" w:rsidRDefault="00E907E7" w:rsidP="00E907E7">
      <w:pPr>
        <w:rPr>
          <w:rFonts w:cs="Arial"/>
        </w:rPr>
      </w:pPr>
      <w:r>
        <w:rPr>
          <w:rFonts w:cs="Arial"/>
          <w:szCs w:val="22"/>
        </w:rPr>
        <w:t>P</w:t>
      </w:r>
      <w:r w:rsidRPr="00B731D0">
        <w:rPr>
          <w:rFonts w:cs="Arial"/>
          <w:szCs w:val="22"/>
        </w:rPr>
        <w:t xml:space="preserve">rior to any approval being granted </w:t>
      </w:r>
      <w:r>
        <w:rPr>
          <w:rFonts w:cs="Arial"/>
          <w:szCs w:val="22"/>
        </w:rPr>
        <w:t>for a processing aid a</w:t>
      </w:r>
      <w:r w:rsidRPr="00B731D0">
        <w:rPr>
          <w:rFonts w:cs="Arial"/>
          <w:szCs w:val="22"/>
        </w:rPr>
        <w:t xml:space="preserve"> pre-market assessment of </w:t>
      </w:r>
      <w:r>
        <w:rPr>
          <w:rFonts w:cs="Arial"/>
          <w:szCs w:val="22"/>
        </w:rPr>
        <w:t>its</w:t>
      </w:r>
      <w:r w:rsidRPr="00B731D0">
        <w:rPr>
          <w:rFonts w:cs="Arial"/>
          <w:szCs w:val="22"/>
        </w:rPr>
        <w:t xml:space="preserve"> safety, as well </w:t>
      </w:r>
      <w:r>
        <w:rPr>
          <w:rFonts w:cs="Arial"/>
          <w:szCs w:val="22"/>
        </w:rPr>
        <w:t>as an assessment of</w:t>
      </w:r>
      <w:r w:rsidRPr="00B731D0">
        <w:rPr>
          <w:rFonts w:cs="Arial"/>
          <w:szCs w:val="22"/>
        </w:rPr>
        <w:t xml:space="preserve"> </w:t>
      </w:r>
      <w:r>
        <w:rPr>
          <w:rFonts w:cs="Arial"/>
          <w:szCs w:val="22"/>
        </w:rPr>
        <w:t>its</w:t>
      </w:r>
      <w:r w:rsidRPr="00B731D0">
        <w:rPr>
          <w:rFonts w:cs="Arial"/>
          <w:szCs w:val="22"/>
        </w:rPr>
        <w:t xml:space="preserve"> technological function</w:t>
      </w:r>
      <w:r>
        <w:rPr>
          <w:rFonts w:cs="Arial"/>
          <w:szCs w:val="22"/>
        </w:rPr>
        <w:t>,</w:t>
      </w:r>
      <w:r w:rsidRPr="00B731D0">
        <w:rPr>
          <w:rFonts w:cs="Arial"/>
          <w:szCs w:val="22"/>
        </w:rPr>
        <w:t xml:space="preserve"> is required</w:t>
      </w:r>
      <w:r>
        <w:rPr>
          <w:rFonts w:cs="Arial"/>
          <w:szCs w:val="22"/>
        </w:rPr>
        <w:t>.</w:t>
      </w:r>
      <w:r w:rsidRPr="00B731D0">
        <w:rPr>
          <w:rFonts w:cs="Arial"/>
          <w:szCs w:val="22"/>
        </w:rPr>
        <w:t xml:space="preserve"> </w:t>
      </w:r>
      <w:r w:rsidRPr="00B731D0">
        <w:t xml:space="preserve">Processing aids used in food manufacture are regulated under Standard 1.3.3. </w:t>
      </w:r>
      <w:r>
        <w:t xml:space="preserve">The co-extrusion of polystyrene (70%) and PVPP (30%) to produce the resin does not result in any chemical cross-linking, that is, does not create a new polymer. Various </w:t>
      </w:r>
      <w:r w:rsidR="00350F0D">
        <w:t>cross-linked polystyrene</w:t>
      </w:r>
      <w:r w:rsidR="000F782E">
        <w:t>-</w:t>
      </w:r>
      <w:r w:rsidR="00350F0D">
        <w:t xml:space="preserve"> and </w:t>
      </w:r>
      <w:r>
        <w:t>styrene</w:t>
      </w:r>
      <w:r w:rsidR="00B86B6F">
        <w:t>-</w:t>
      </w:r>
      <w:r w:rsidR="00350F0D">
        <w:t>based resins</w:t>
      </w:r>
      <w:r>
        <w:rPr>
          <w:rFonts w:cs="Arial"/>
        </w:rPr>
        <w:t xml:space="preserve"> and PVPP are already permitted processing aids under Standard 1.3.3.</w:t>
      </w:r>
    </w:p>
    <w:p w:rsidR="00E907E7" w:rsidRDefault="00E907E7" w:rsidP="00E907E7"/>
    <w:p w:rsidR="00E907E7" w:rsidRDefault="00E907E7" w:rsidP="00E907E7">
      <w:pPr>
        <w:rPr>
          <w:rFonts w:cs="Arial"/>
          <w:szCs w:val="22"/>
        </w:rPr>
      </w:pPr>
      <w:r w:rsidRPr="00E7569D">
        <w:rPr>
          <w:rFonts w:cs="Arial"/>
          <w:szCs w:val="22"/>
        </w:rPr>
        <w:t>The resin</w:t>
      </w:r>
      <w:r>
        <w:rPr>
          <w:rFonts w:cs="Arial"/>
          <w:szCs w:val="22"/>
        </w:rPr>
        <w:t xml:space="preserve"> itself</w:t>
      </w:r>
      <w:r w:rsidRPr="00E7569D">
        <w:rPr>
          <w:rFonts w:cs="Arial"/>
          <w:szCs w:val="22"/>
        </w:rPr>
        <w:t xml:space="preserve"> has not been assessed by the Joint FAO/WHO Expert Committee on Food Additives</w:t>
      </w:r>
      <w:r>
        <w:rPr>
          <w:rFonts w:cs="Arial"/>
          <w:szCs w:val="22"/>
        </w:rPr>
        <w:t xml:space="preserve"> (JECFA)</w:t>
      </w:r>
      <w:r w:rsidRPr="00E7569D">
        <w:rPr>
          <w:rFonts w:cs="Arial"/>
          <w:szCs w:val="22"/>
        </w:rPr>
        <w:t xml:space="preserve">. </w:t>
      </w:r>
      <w:r w:rsidRPr="00B426DD">
        <w:rPr>
          <w:rFonts w:cs="Arial"/>
          <w:szCs w:val="22"/>
        </w:rPr>
        <w:t xml:space="preserve">However, </w:t>
      </w:r>
      <w:r>
        <w:rPr>
          <w:rFonts w:cs="Arial"/>
          <w:szCs w:val="22"/>
        </w:rPr>
        <w:t>JECFA has assessed PVPP and has written a specification for it</w:t>
      </w:r>
      <w:r w:rsidRPr="00B426DD">
        <w:rPr>
          <w:rFonts w:cs="Arial"/>
          <w:szCs w:val="22"/>
        </w:rPr>
        <w:t xml:space="preserve"> (Monograph 1 2006</w:t>
      </w:r>
      <w:r>
        <w:rPr>
          <w:rFonts w:cs="Arial"/>
          <w:szCs w:val="22"/>
        </w:rPr>
        <w:t>).</w:t>
      </w:r>
      <w:r w:rsidRPr="00E7569D">
        <w:rPr>
          <w:rFonts w:cs="Arial"/>
          <w:szCs w:val="22"/>
        </w:rPr>
        <w:t xml:space="preserve"> Food Chemicals Codex </w:t>
      </w:r>
      <w:r>
        <w:rPr>
          <w:rFonts w:cs="Arial"/>
          <w:szCs w:val="22"/>
        </w:rPr>
        <w:t xml:space="preserve">(FCC) </w:t>
      </w:r>
      <w:r w:rsidRPr="00E7569D">
        <w:rPr>
          <w:rFonts w:cs="Arial"/>
          <w:szCs w:val="22"/>
        </w:rPr>
        <w:t xml:space="preserve">has also assessed </w:t>
      </w:r>
      <w:r>
        <w:rPr>
          <w:rFonts w:cs="Arial"/>
          <w:szCs w:val="22"/>
        </w:rPr>
        <w:t xml:space="preserve">and written a specification for </w:t>
      </w:r>
      <w:r w:rsidRPr="00E7569D">
        <w:rPr>
          <w:rFonts w:cs="Arial"/>
          <w:szCs w:val="22"/>
        </w:rPr>
        <w:t>PVPP</w:t>
      </w:r>
      <w:r>
        <w:rPr>
          <w:rFonts w:cs="Arial"/>
          <w:szCs w:val="22"/>
        </w:rPr>
        <w:t>. Specifications for polystyrene are included in the Code of Federal Regulations of the United States of America (§177.1640).</w:t>
      </w:r>
    </w:p>
    <w:p w:rsidR="00E907E7" w:rsidRDefault="00E907E7" w:rsidP="00E907E7">
      <w:pPr>
        <w:rPr>
          <w:rFonts w:cs="Arial"/>
          <w:szCs w:val="22"/>
        </w:rPr>
      </w:pPr>
    </w:p>
    <w:p w:rsidR="00E907E7" w:rsidRPr="00F23D4C" w:rsidRDefault="00E907E7" w:rsidP="00E907E7">
      <w:pPr>
        <w:rPr>
          <w:rFonts w:cs="Arial"/>
        </w:rPr>
      </w:pPr>
      <w:r>
        <w:rPr>
          <w:rFonts w:cs="Arial"/>
        </w:rPr>
        <w:t>The Application</w:t>
      </w:r>
      <w:r w:rsidRPr="00F23D4C">
        <w:rPr>
          <w:rFonts w:cs="Arial"/>
        </w:rPr>
        <w:t xml:space="preserve"> </w:t>
      </w:r>
      <w:r>
        <w:rPr>
          <w:rFonts w:cs="Arial"/>
        </w:rPr>
        <w:t>was</w:t>
      </w:r>
      <w:r w:rsidRPr="00F23D4C">
        <w:rPr>
          <w:rFonts w:cs="Arial"/>
        </w:rPr>
        <w:t xml:space="preserve"> assessed under the General Procedure.</w:t>
      </w:r>
    </w:p>
    <w:p w:rsidR="00E907E7" w:rsidRPr="00DC6570" w:rsidRDefault="00E907E7" w:rsidP="00E907E7">
      <w:pPr>
        <w:autoSpaceDE w:val="0"/>
        <w:autoSpaceDN w:val="0"/>
        <w:adjustRightInd w:val="0"/>
        <w:rPr>
          <w:rFonts w:cs="Arial"/>
        </w:rPr>
      </w:pPr>
    </w:p>
    <w:p w:rsidR="00E907E7" w:rsidRDefault="00E907E7" w:rsidP="00E907E7">
      <w:pPr>
        <w:widowControl/>
        <w:rPr>
          <w:rFonts w:cs="Arial"/>
          <w:b/>
        </w:rPr>
      </w:pPr>
      <w:r>
        <w:rPr>
          <w:rFonts w:cs="Arial"/>
          <w:b/>
        </w:rPr>
        <w:br w:type="page"/>
      </w:r>
    </w:p>
    <w:p w:rsidR="00E907E7" w:rsidRDefault="00E907E7" w:rsidP="00E907E7">
      <w:pPr>
        <w:rPr>
          <w:rFonts w:cs="Arial"/>
          <w:b/>
        </w:rPr>
      </w:pPr>
      <w:r>
        <w:rPr>
          <w:rFonts w:cs="Arial"/>
          <w:b/>
        </w:rPr>
        <w:lastRenderedPageBreak/>
        <w:t>Risk and Technical Assessment</w:t>
      </w:r>
    </w:p>
    <w:p w:rsidR="00E907E7" w:rsidRDefault="00E907E7" w:rsidP="00E907E7">
      <w:pPr>
        <w:rPr>
          <w:rFonts w:cs="Arial"/>
          <w:b/>
        </w:rPr>
      </w:pPr>
    </w:p>
    <w:p w:rsidR="00E907E7" w:rsidRDefault="00E907E7" w:rsidP="00E907E7">
      <w:pPr>
        <w:rPr>
          <w:rFonts w:cs="Arial"/>
          <w:szCs w:val="22"/>
        </w:rPr>
      </w:pPr>
      <w:r>
        <w:rPr>
          <w:rFonts w:cs="Arial"/>
          <w:szCs w:val="22"/>
        </w:rPr>
        <w:t xml:space="preserve">Evidence presented in support of the Application provided adequate assurance that </w:t>
      </w:r>
      <w:r>
        <w:rPr>
          <w:rFonts w:cs="Arial"/>
        </w:rPr>
        <w:t>the resin</w:t>
      </w:r>
      <w:r>
        <w:rPr>
          <w:rFonts w:cs="Arial"/>
          <w:szCs w:val="22"/>
        </w:rPr>
        <w:t xml:space="preserve"> is technologically justified and has been demonstrated to be effective in achieving its stated purpose. As the resin is not a novel polymer, and specifications for the individual constituents (polystyrene and PVPP) already exist, no amendment to the specifications is considered necessary. </w:t>
      </w:r>
    </w:p>
    <w:p w:rsidR="00E907E7" w:rsidRDefault="00E907E7" w:rsidP="00E907E7">
      <w:pPr>
        <w:rPr>
          <w:rFonts w:cs="Arial"/>
          <w:szCs w:val="22"/>
        </w:rPr>
      </w:pPr>
    </w:p>
    <w:p w:rsidR="00E907E7" w:rsidRPr="00EE280A" w:rsidRDefault="00E907E7" w:rsidP="00E907E7">
      <w:pPr>
        <w:rPr>
          <w:rFonts w:cs="Arial"/>
          <w:szCs w:val="22"/>
        </w:rPr>
      </w:pPr>
      <w:r>
        <w:rPr>
          <w:rFonts w:cs="Arial"/>
          <w:szCs w:val="22"/>
        </w:rPr>
        <w:t xml:space="preserve">The hazard assessment considered the chemistry and impurity profile of </w:t>
      </w:r>
      <w:r>
        <w:rPr>
          <w:rFonts w:cs="Arial"/>
        </w:rPr>
        <w:t>the resin</w:t>
      </w:r>
      <w:r>
        <w:rPr>
          <w:rFonts w:cs="Arial"/>
          <w:szCs w:val="22"/>
        </w:rPr>
        <w:t>, unpublished data on the acute toxicity and genotoxicity of the resin, and the migration of residual monomers into beverage</w:t>
      </w:r>
      <w:r w:rsidR="00AB4ED5">
        <w:rPr>
          <w:rFonts w:cs="Arial"/>
          <w:szCs w:val="22"/>
        </w:rPr>
        <w:t>s</w:t>
      </w:r>
      <w:r>
        <w:rPr>
          <w:rFonts w:cs="Arial"/>
          <w:szCs w:val="22"/>
        </w:rPr>
        <w:t xml:space="preserve">. Results indicate that there is likely to be no migration of monomers from the resin and negligible carry-over of the resin in treated beverages. The history of safe use of polystyrene and </w:t>
      </w:r>
      <w:r>
        <w:rPr>
          <w:lang w:val="en-AU"/>
        </w:rPr>
        <w:t>PVPP</w:t>
      </w:r>
      <w:r>
        <w:rPr>
          <w:rFonts w:cs="Arial"/>
          <w:szCs w:val="22"/>
        </w:rPr>
        <w:t xml:space="preserve"> was also taken into consideration. </w:t>
      </w:r>
      <w:r>
        <w:t>In the absence of any dietary hazard posed by the resin and the very limited potential for its migration into beverages, the resin is considered to pose a negligible risk to public health and safety.</w:t>
      </w:r>
    </w:p>
    <w:p w:rsidR="00E907E7" w:rsidRDefault="00E907E7" w:rsidP="00E907E7">
      <w:pPr>
        <w:rPr>
          <w:rFonts w:cs="Arial"/>
        </w:rPr>
      </w:pPr>
    </w:p>
    <w:p w:rsidR="00E907E7" w:rsidRDefault="00E907E7" w:rsidP="00E907E7">
      <w:pPr>
        <w:keepNext/>
        <w:keepLines/>
        <w:widowControl/>
        <w:rPr>
          <w:rFonts w:cs="Arial"/>
        </w:rPr>
      </w:pPr>
      <w:r>
        <w:rPr>
          <w:rFonts w:cs="Arial"/>
        </w:rPr>
        <w:t xml:space="preserve">The overall conclusion of this risk and technical assessment is that </w:t>
      </w:r>
      <w:r>
        <w:t xml:space="preserve">the use of </w:t>
      </w:r>
      <w:r>
        <w:rPr>
          <w:rFonts w:cs="Arial"/>
        </w:rPr>
        <w:t xml:space="preserve">co-extruded polystyrene and PVPP as a processing aid is </w:t>
      </w:r>
      <w:r>
        <w:t>technologically justified and raises no public health and safety issues.</w:t>
      </w:r>
    </w:p>
    <w:p w:rsidR="00E907E7" w:rsidRDefault="00E907E7" w:rsidP="00E907E7">
      <w:pPr>
        <w:rPr>
          <w:rFonts w:cs="Arial"/>
          <w:b/>
        </w:rPr>
      </w:pPr>
    </w:p>
    <w:p w:rsidR="00E907E7" w:rsidRPr="00D60568" w:rsidRDefault="00E907E7" w:rsidP="00E907E7">
      <w:pPr>
        <w:rPr>
          <w:rFonts w:cs="Arial"/>
          <w:b/>
        </w:rPr>
      </w:pPr>
      <w:r w:rsidRPr="00D60568">
        <w:rPr>
          <w:rFonts w:cs="Arial"/>
          <w:b/>
        </w:rPr>
        <w:t>Assessing the Application</w:t>
      </w:r>
    </w:p>
    <w:p w:rsidR="00E907E7" w:rsidRPr="00DC6570" w:rsidRDefault="00E907E7" w:rsidP="00E907E7">
      <w:pPr>
        <w:rPr>
          <w:rFonts w:cs="Arial"/>
        </w:rPr>
      </w:pPr>
    </w:p>
    <w:p w:rsidR="00E907E7" w:rsidRPr="00DC6570" w:rsidRDefault="00E907E7" w:rsidP="00E907E7">
      <w:pPr>
        <w:rPr>
          <w:rFonts w:cs="Arial"/>
        </w:rPr>
      </w:pPr>
      <w:r>
        <w:rPr>
          <w:rFonts w:cs="Arial"/>
        </w:rPr>
        <w:t>In assessing the Application</w:t>
      </w:r>
      <w:r w:rsidRPr="00F23D4C">
        <w:rPr>
          <w:rFonts w:cs="Arial"/>
        </w:rPr>
        <w:t xml:space="preserve"> and the subsequent development of a food regulatory measure, FSANZ has had regard to the following matters as prescribed in section 29 of the</w:t>
      </w:r>
      <w:r w:rsidRPr="00DC6570">
        <w:rPr>
          <w:rFonts w:cs="Arial"/>
        </w:rPr>
        <w:t xml:space="preserve"> </w:t>
      </w:r>
      <w:r w:rsidRPr="00DC6570">
        <w:rPr>
          <w:rFonts w:cs="Arial"/>
          <w:i/>
        </w:rPr>
        <w:t>Food Standards Australia New Zealand Act 1991</w:t>
      </w:r>
      <w:r w:rsidRPr="00DC6570">
        <w:rPr>
          <w:rFonts w:cs="Arial"/>
        </w:rPr>
        <w:t xml:space="preserve"> (FSANZ Act):</w:t>
      </w:r>
    </w:p>
    <w:p w:rsidR="00E907E7" w:rsidRPr="00DC6570" w:rsidRDefault="00E907E7" w:rsidP="00E907E7">
      <w:pPr>
        <w:rPr>
          <w:rFonts w:cs="Arial"/>
        </w:rPr>
      </w:pPr>
    </w:p>
    <w:p w:rsidR="00E907E7" w:rsidRPr="00DC6570" w:rsidRDefault="00E907E7" w:rsidP="00E907E7">
      <w:pPr>
        <w:pStyle w:val="FSBullet"/>
      </w:pPr>
      <w:r>
        <w:t>w</w:t>
      </w:r>
      <w:r w:rsidRPr="00DC6570">
        <w:t>hether costs that would arise from a food regulatory measure developed or varied</w:t>
      </w:r>
      <w:r>
        <w:t xml:space="preserve"> as a result of the application</w:t>
      </w:r>
      <w:r w:rsidRPr="00DC6570">
        <w:t xml:space="preserve"> outweigh the direct and indirect benefits to the commun</w:t>
      </w:r>
      <w:r w:rsidRPr="00D60568">
        <w:t>ity, Government or industry that would arise from the development or variation of the food regulatory measure</w:t>
      </w:r>
      <w:r w:rsidRPr="00DC6570">
        <w:t xml:space="preserve"> </w:t>
      </w:r>
    </w:p>
    <w:p w:rsidR="00E907E7" w:rsidRPr="00DC6570" w:rsidRDefault="00E907E7" w:rsidP="00E907E7">
      <w:pPr>
        <w:rPr>
          <w:rFonts w:cs="Arial"/>
        </w:rPr>
      </w:pPr>
    </w:p>
    <w:p w:rsidR="00E907E7" w:rsidRPr="00DC6570" w:rsidRDefault="00E907E7" w:rsidP="00E907E7">
      <w:pPr>
        <w:pStyle w:val="FSBullet"/>
      </w:pPr>
      <w:r>
        <w:t>whether there are any</w:t>
      </w:r>
      <w:r w:rsidRPr="00DC6570">
        <w:t xml:space="preserve"> other measures that woul</w:t>
      </w:r>
      <w:r w:rsidR="008D13EC">
        <w:t xml:space="preserve">d be more cost-effective than </w:t>
      </w:r>
      <w:r w:rsidRPr="00DC6570">
        <w:t>variation</w:t>
      </w:r>
      <w:r w:rsidR="008D13EC">
        <w:t>s</w:t>
      </w:r>
      <w:r w:rsidRPr="00DC6570">
        <w:t xml:space="preserve"> to Standard </w:t>
      </w:r>
      <w:r>
        <w:t xml:space="preserve">1.3.3 </w:t>
      </w:r>
      <w:r w:rsidR="008D13EC">
        <w:t>and Standard 4.5.1 that could achieve the same end</w:t>
      </w:r>
    </w:p>
    <w:p w:rsidR="00E907E7" w:rsidRPr="00DC6570" w:rsidRDefault="00E907E7" w:rsidP="00E907E7">
      <w:pPr>
        <w:rPr>
          <w:rFonts w:cs="Arial"/>
        </w:rPr>
      </w:pPr>
    </w:p>
    <w:p w:rsidR="00E907E7" w:rsidRPr="00DC6570" w:rsidRDefault="00E907E7" w:rsidP="00E907E7">
      <w:pPr>
        <w:pStyle w:val="FSBullet"/>
      </w:pPr>
      <w:r>
        <w:t>a</w:t>
      </w:r>
      <w:r w:rsidRPr="00DC6570">
        <w:t>ny relevant N</w:t>
      </w:r>
      <w:r>
        <w:t>ew Zealand standards</w:t>
      </w:r>
    </w:p>
    <w:p w:rsidR="00E907E7" w:rsidRPr="00DC6570" w:rsidRDefault="00E907E7" w:rsidP="00E907E7">
      <w:pPr>
        <w:rPr>
          <w:rFonts w:cs="Arial"/>
        </w:rPr>
      </w:pPr>
    </w:p>
    <w:p w:rsidR="00E907E7" w:rsidRPr="00DC6570" w:rsidRDefault="00E907E7" w:rsidP="00E907E7">
      <w:pPr>
        <w:pStyle w:val="FSBullet"/>
      </w:pPr>
      <w:r>
        <w:t>a</w:t>
      </w:r>
      <w:r w:rsidRPr="00DC6570">
        <w:t>ny other relevant matters</w:t>
      </w:r>
    </w:p>
    <w:p w:rsidR="00E907E7" w:rsidRPr="00DC6570" w:rsidRDefault="00E907E7" w:rsidP="00E907E7">
      <w:pPr>
        <w:rPr>
          <w:rFonts w:cs="Arial"/>
        </w:rPr>
      </w:pPr>
    </w:p>
    <w:p w:rsidR="00816B04" w:rsidRDefault="00816B04" w:rsidP="00816B04">
      <w:pPr>
        <w:pStyle w:val="FSDecisionHeading"/>
      </w:pPr>
      <w:r>
        <w:t>Decision</w:t>
      </w:r>
    </w:p>
    <w:p w:rsidR="00816B04" w:rsidRPr="008826A6" w:rsidRDefault="00816B04" w:rsidP="00816B04">
      <w:pPr>
        <w:pStyle w:val="FSDecisiontext"/>
      </w:pPr>
    </w:p>
    <w:p w:rsidR="00816B04" w:rsidRPr="00B00581" w:rsidRDefault="00816B04" w:rsidP="00816B04">
      <w:pPr>
        <w:pStyle w:val="FSDecisiontext"/>
        <w:rPr>
          <w:rFonts w:ascii="Arial" w:hAnsi="Arial" w:cs="Arial"/>
        </w:rPr>
      </w:pPr>
      <w:r w:rsidRPr="00B00581">
        <w:rPr>
          <w:rFonts w:ascii="Arial" w:hAnsi="Arial" w:cs="Arial"/>
          <w:iCs/>
        </w:rPr>
        <w:t xml:space="preserve">To </w:t>
      </w:r>
      <w:r>
        <w:rPr>
          <w:rFonts w:ascii="Arial" w:hAnsi="Arial" w:cs="Arial"/>
          <w:iCs/>
        </w:rPr>
        <w:t>approve the</w:t>
      </w:r>
      <w:r w:rsidRPr="00B00581">
        <w:rPr>
          <w:rFonts w:ascii="Arial" w:hAnsi="Arial" w:cs="Arial"/>
          <w:iCs/>
        </w:rPr>
        <w:t xml:space="preserve"> draft variation to the Table to clause 6 of Standard 1.3.3 – Proces</w:t>
      </w:r>
      <w:r>
        <w:rPr>
          <w:rFonts w:ascii="Arial" w:hAnsi="Arial" w:cs="Arial"/>
          <w:iCs/>
        </w:rPr>
        <w:t>sing Aids,</w:t>
      </w:r>
      <w:r w:rsidRPr="00B00581">
        <w:rPr>
          <w:rFonts w:ascii="Arial" w:hAnsi="Arial" w:cs="Arial"/>
          <w:iCs/>
        </w:rPr>
        <w:t xml:space="preserve"> to p</w:t>
      </w:r>
      <w:r w:rsidRPr="00B00581">
        <w:rPr>
          <w:rFonts w:ascii="Arial" w:hAnsi="Arial" w:cs="Arial"/>
        </w:rPr>
        <w:t xml:space="preserve">ermit the use of the resin co-extruded polystyrene </w:t>
      </w:r>
      <w:r>
        <w:rPr>
          <w:rFonts w:ascii="Arial" w:hAnsi="Arial" w:cs="Arial"/>
        </w:rPr>
        <w:t>and</w:t>
      </w:r>
      <w:r w:rsidRPr="00B00581">
        <w:rPr>
          <w:rFonts w:ascii="Arial" w:hAnsi="Arial" w:cs="Arial"/>
        </w:rPr>
        <w:t xml:space="preserve"> </w:t>
      </w:r>
      <w:r>
        <w:rPr>
          <w:rFonts w:ascii="Arial" w:hAnsi="Arial" w:cs="Arial"/>
        </w:rPr>
        <w:t>polyvinyl polypyrrolidone, as a clarifying, filtration and adsorbent agent</w:t>
      </w:r>
      <w:r w:rsidR="009A1985">
        <w:rPr>
          <w:rFonts w:ascii="Arial" w:hAnsi="Arial" w:cs="Arial"/>
        </w:rPr>
        <w:t xml:space="preserve"> and </w:t>
      </w:r>
      <w:r w:rsidR="00AB4ED5">
        <w:rPr>
          <w:rFonts w:ascii="Arial" w:hAnsi="Arial" w:cs="Arial"/>
        </w:rPr>
        <w:t>draft variations to Standard 1.3.3</w:t>
      </w:r>
      <w:r>
        <w:rPr>
          <w:rFonts w:ascii="Arial" w:hAnsi="Arial" w:cs="Arial"/>
        </w:rPr>
        <w:t xml:space="preserve"> </w:t>
      </w:r>
      <w:r w:rsidR="00AB4ED5">
        <w:rPr>
          <w:rFonts w:ascii="Arial" w:hAnsi="Arial" w:cs="Arial"/>
          <w:iCs/>
        </w:rPr>
        <w:t>and to clause 5 of Standard 4.5.1 – Wine Production Requirements</w:t>
      </w:r>
      <w:r w:rsidR="00AB4ED5">
        <w:rPr>
          <w:rFonts w:ascii="Arial" w:hAnsi="Arial" w:cs="Arial"/>
        </w:rPr>
        <w:t xml:space="preserve"> </w:t>
      </w:r>
      <w:r>
        <w:rPr>
          <w:rFonts w:ascii="Arial" w:hAnsi="Arial" w:cs="Arial"/>
        </w:rPr>
        <w:t>to replace the maximum permitted level for PVPP with GMP for consistency.</w:t>
      </w:r>
    </w:p>
    <w:p w:rsidR="00E907E7" w:rsidRPr="00DC6570" w:rsidRDefault="00E907E7" w:rsidP="00E907E7">
      <w:pPr>
        <w:rPr>
          <w:rFonts w:cs="Arial"/>
        </w:rPr>
      </w:pPr>
    </w:p>
    <w:p w:rsidR="00E907E7" w:rsidRDefault="00E907E7" w:rsidP="00E907E7">
      <w:pPr>
        <w:rPr>
          <w:rFonts w:cs="Arial"/>
          <w:b/>
          <w:bCs/>
        </w:rPr>
      </w:pPr>
      <w:bookmarkStart w:id="11" w:name="_Toc120090541"/>
      <w:bookmarkStart w:id="12" w:name="_Toc120358573"/>
      <w:bookmarkStart w:id="13" w:name="_Toc120358615"/>
      <w:r w:rsidRPr="00D60568">
        <w:rPr>
          <w:rFonts w:cs="Arial"/>
          <w:b/>
          <w:bCs/>
        </w:rPr>
        <w:t xml:space="preserve">Reasons for </w:t>
      </w:r>
      <w:r>
        <w:rPr>
          <w:rFonts w:cs="Arial"/>
          <w:b/>
          <w:bCs/>
        </w:rPr>
        <w:t>Decision</w:t>
      </w:r>
      <w:r w:rsidRPr="00D60568">
        <w:rPr>
          <w:rFonts w:cs="Arial"/>
          <w:b/>
          <w:bCs/>
        </w:rPr>
        <w:t xml:space="preserve"> </w:t>
      </w:r>
      <w:bookmarkEnd w:id="11"/>
      <w:bookmarkEnd w:id="12"/>
      <w:bookmarkEnd w:id="13"/>
    </w:p>
    <w:p w:rsidR="00E907E7" w:rsidRPr="00D60568" w:rsidRDefault="00E907E7" w:rsidP="00E907E7">
      <w:pPr>
        <w:rPr>
          <w:rFonts w:cs="Arial"/>
          <w:b/>
          <w:bCs/>
        </w:rPr>
      </w:pPr>
    </w:p>
    <w:p w:rsidR="00E907E7" w:rsidRPr="00606146" w:rsidRDefault="00E907E7" w:rsidP="00E907E7">
      <w:pPr>
        <w:pStyle w:val="Bullet"/>
        <w:numPr>
          <w:ilvl w:val="0"/>
          <w:numId w:val="0"/>
        </w:numPr>
        <w:rPr>
          <w:rFonts w:cs="Arial"/>
          <w:sz w:val="22"/>
          <w:szCs w:val="22"/>
        </w:rPr>
      </w:pPr>
      <w:bookmarkStart w:id="14" w:name="_Toc120090542"/>
      <w:bookmarkStart w:id="15" w:name="_Toc120358574"/>
      <w:bookmarkStart w:id="16" w:name="_Toc120358616"/>
      <w:r w:rsidRPr="00606146">
        <w:rPr>
          <w:rFonts w:cs="Arial"/>
          <w:sz w:val="22"/>
          <w:szCs w:val="22"/>
        </w:rPr>
        <w:t xml:space="preserve">An amendment to the Code approving the use of the resin as a processing aid in Australia and New Zealand is </w:t>
      </w:r>
      <w:r>
        <w:rPr>
          <w:rFonts w:cs="Arial"/>
          <w:sz w:val="22"/>
          <w:szCs w:val="22"/>
        </w:rPr>
        <w:t>approved</w:t>
      </w:r>
      <w:r w:rsidRPr="00606146">
        <w:rPr>
          <w:rFonts w:cs="Arial"/>
          <w:sz w:val="22"/>
          <w:szCs w:val="22"/>
        </w:rPr>
        <w:t xml:space="preserve"> on the basis of the available evidence for the following reasons:</w:t>
      </w:r>
    </w:p>
    <w:p w:rsidR="00E907E7" w:rsidRDefault="00E907E7" w:rsidP="00E907E7">
      <w:pPr>
        <w:rPr>
          <w:lang w:bidi="ar-SA"/>
        </w:rPr>
      </w:pPr>
    </w:p>
    <w:p w:rsidR="00E567B2" w:rsidRDefault="00E567B2">
      <w:pPr>
        <w:widowControl/>
        <w:rPr>
          <w:rFonts w:cs="Arial"/>
        </w:rPr>
      </w:pPr>
      <w:r>
        <w:br w:type="page"/>
      </w:r>
    </w:p>
    <w:p w:rsidR="00E907E7" w:rsidRDefault="00E907E7" w:rsidP="00E907E7">
      <w:pPr>
        <w:pStyle w:val="FSBullet"/>
      </w:pPr>
      <w:r w:rsidRPr="00B731D0">
        <w:lastRenderedPageBreak/>
        <w:t xml:space="preserve">A detailed safety assessment has concluded that the use of the </w:t>
      </w:r>
      <w:r>
        <w:t>resin</w:t>
      </w:r>
      <w:r w:rsidRPr="00B731D0">
        <w:t xml:space="preserve"> does not raise any public health and safety concerns.</w:t>
      </w:r>
    </w:p>
    <w:p w:rsidR="00E907E7" w:rsidRDefault="00E907E7" w:rsidP="00E907E7">
      <w:pPr>
        <w:widowControl/>
        <w:rPr>
          <w:rFonts w:cs="Arial"/>
          <w:szCs w:val="22"/>
        </w:rPr>
      </w:pPr>
    </w:p>
    <w:p w:rsidR="00E907E7" w:rsidRPr="00FA5423" w:rsidRDefault="00E907E7" w:rsidP="00E907E7">
      <w:pPr>
        <w:pStyle w:val="FSBullet"/>
      </w:pPr>
      <w:r>
        <w:rPr>
          <w:szCs w:val="22"/>
        </w:rPr>
        <w:t xml:space="preserve">Use of the resin to </w:t>
      </w:r>
      <w:r>
        <w:t xml:space="preserve">remove particulates including microorganisms and haze material (polyphenols and polyphenol-protein complexes), from beverages </w:t>
      </w:r>
      <w:r w:rsidRPr="00746E40">
        <w:rPr>
          <w:szCs w:val="22"/>
        </w:rPr>
        <w:t xml:space="preserve">is technologically justified </w:t>
      </w:r>
      <w:r>
        <w:rPr>
          <w:szCs w:val="22"/>
        </w:rPr>
        <w:t xml:space="preserve">and would be expected to provide benefits to food manufacturers </w:t>
      </w:r>
      <w:r w:rsidR="004209F5">
        <w:rPr>
          <w:szCs w:val="22"/>
        </w:rPr>
        <w:t>as an alternative to current treatments</w:t>
      </w:r>
      <w:r>
        <w:rPr>
          <w:szCs w:val="22"/>
        </w:rPr>
        <w:t>.</w:t>
      </w:r>
    </w:p>
    <w:p w:rsidR="00E907E7" w:rsidRPr="008826A6" w:rsidRDefault="00E907E7" w:rsidP="00E907E7">
      <w:pPr>
        <w:pStyle w:val="FSBullet"/>
        <w:numPr>
          <w:ilvl w:val="0"/>
          <w:numId w:val="0"/>
        </w:numPr>
      </w:pPr>
    </w:p>
    <w:p w:rsidR="00E907E7" w:rsidRDefault="00E907E7" w:rsidP="00E907E7">
      <w:pPr>
        <w:pStyle w:val="FSBullet"/>
        <w:keepLines/>
      </w:pPr>
      <w:r w:rsidRPr="00B731D0">
        <w:t xml:space="preserve">Permitting use of the </w:t>
      </w:r>
      <w:r>
        <w:t>resin</w:t>
      </w:r>
      <w:r w:rsidRPr="00B731D0">
        <w:t xml:space="preserve"> would not impose significant costs for government agencies, consumers or manufacturers.</w:t>
      </w:r>
    </w:p>
    <w:p w:rsidR="00E907E7" w:rsidRPr="008826A6" w:rsidRDefault="00E907E7" w:rsidP="00E907E7">
      <w:pPr>
        <w:pStyle w:val="FSBullet"/>
        <w:numPr>
          <w:ilvl w:val="0"/>
          <w:numId w:val="0"/>
        </w:numPr>
        <w:ind w:left="567"/>
      </w:pPr>
    </w:p>
    <w:p w:rsidR="00E907E7" w:rsidRDefault="00E907E7" w:rsidP="00E907E7">
      <w:pPr>
        <w:pStyle w:val="FSBullet"/>
      </w:pPr>
      <w:r w:rsidRPr="00B731D0">
        <w:t xml:space="preserve">The </w:t>
      </w:r>
      <w:r w:rsidR="00816B04">
        <w:t xml:space="preserve">amended </w:t>
      </w:r>
      <w:r w:rsidRPr="00B731D0">
        <w:t>draft variation</w:t>
      </w:r>
      <w:r w:rsidR="008D13EC">
        <w:t>s to the Code are</w:t>
      </w:r>
      <w:r w:rsidRPr="00B731D0">
        <w:t xml:space="preserve"> consistent with the section 18 objectives of the FSANZ Act. </w:t>
      </w:r>
    </w:p>
    <w:p w:rsidR="00E907E7" w:rsidRPr="008826A6" w:rsidRDefault="00E907E7" w:rsidP="00E907E7">
      <w:pPr>
        <w:pStyle w:val="FSBullet"/>
        <w:numPr>
          <w:ilvl w:val="0"/>
          <w:numId w:val="0"/>
        </w:numPr>
        <w:ind w:left="567"/>
      </w:pPr>
    </w:p>
    <w:p w:rsidR="00E907E7" w:rsidRPr="00B731D0" w:rsidRDefault="00E907E7" w:rsidP="00E907E7">
      <w:pPr>
        <w:pStyle w:val="FSBullet"/>
      </w:pPr>
      <w:r w:rsidRPr="00B731D0">
        <w:t>There are no relevant New Zealand standards.</w:t>
      </w:r>
    </w:p>
    <w:p w:rsidR="00E907E7" w:rsidRPr="00B731D0" w:rsidRDefault="00E907E7" w:rsidP="00E907E7"/>
    <w:p w:rsidR="00E907E7" w:rsidRPr="00D60568" w:rsidRDefault="00E907E7" w:rsidP="00E907E7">
      <w:pPr>
        <w:rPr>
          <w:rFonts w:cs="Arial"/>
          <w:b/>
          <w:bCs/>
        </w:rPr>
      </w:pPr>
      <w:r w:rsidRPr="00D60568">
        <w:rPr>
          <w:rFonts w:cs="Arial"/>
          <w:b/>
          <w:bCs/>
        </w:rPr>
        <w:t>Consultation</w:t>
      </w:r>
      <w:bookmarkEnd w:id="14"/>
      <w:bookmarkEnd w:id="15"/>
      <w:bookmarkEnd w:id="16"/>
    </w:p>
    <w:p w:rsidR="00E907E7" w:rsidRPr="00B731D0" w:rsidRDefault="00E907E7" w:rsidP="00E907E7">
      <w:pPr>
        <w:rPr>
          <w:rFonts w:cs="Arial"/>
          <w:szCs w:val="22"/>
        </w:rPr>
      </w:pPr>
      <w:bookmarkStart w:id="17" w:name="_Toc134581767"/>
    </w:p>
    <w:p w:rsidR="00E907E7" w:rsidRDefault="00E907E7" w:rsidP="00E907E7">
      <w:r w:rsidRPr="00B731D0">
        <w:t xml:space="preserve">Public submissions </w:t>
      </w:r>
      <w:r>
        <w:t>were</w:t>
      </w:r>
      <w:r w:rsidRPr="00B731D0">
        <w:t xml:space="preserve"> invited on </w:t>
      </w:r>
      <w:r>
        <w:t>the</w:t>
      </w:r>
      <w:r w:rsidRPr="00B731D0">
        <w:t xml:space="preserve"> Assessment </w:t>
      </w:r>
      <w:r w:rsidRPr="00BE24F3">
        <w:t xml:space="preserve">Report between </w:t>
      </w:r>
      <w:r>
        <w:t xml:space="preserve">5 November and </w:t>
      </w:r>
      <w:r w:rsidR="006A0962">
        <w:br/>
      </w:r>
      <w:r>
        <w:t xml:space="preserve">17 December 2010. </w:t>
      </w:r>
      <w:r w:rsidRPr="00BE24F3">
        <w:t>Comments were specifically requested on th</w:t>
      </w:r>
      <w:r w:rsidRPr="00B731D0">
        <w:t xml:space="preserve">e scientific aspects of this Application, including the technological function and any information relevant to the safety assessment of the </w:t>
      </w:r>
      <w:r>
        <w:t>resin</w:t>
      </w:r>
      <w:r w:rsidRPr="00B731D0">
        <w:t>.</w:t>
      </w:r>
      <w:r>
        <w:t xml:space="preserve"> A total </w:t>
      </w:r>
      <w:r w:rsidRPr="00BE24F3">
        <w:t xml:space="preserve">of </w:t>
      </w:r>
      <w:r>
        <w:t>five</w:t>
      </w:r>
      <w:r w:rsidRPr="00D711AC">
        <w:t xml:space="preserve"> submissions were received as a re</w:t>
      </w:r>
      <w:r>
        <w:t>sult of the public consultation. A</w:t>
      </w:r>
      <w:r w:rsidRPr="00D711AC">
        <w:t xml:space="preserve"> summary of </w:t>
      </w:r>
      <w:r>
        <w:t>these</w:t>
      </w:r>
      <w:r w:rsidRPr="00D711AC">
        <w:t xml:space="preserve"> is included at </w:t>
      </w:r>
      <w:r w:rsidRPr="00D711AC">
        <w:rPr>
          <w:b/>
          <w:bCs/>
        </w:rPr>
        <w:t>Attachment 2</w:t>
      </w:r>
      <w:r>
        <w:rPr>
          <w:b/>
          <w:bCs/>
        </w:rPr>
        <w:t xml:space="preserve"> </w:t>
      </w:r>
      <w:r>
        <w:t>to this R</w:t>
      </w:r>
      <w:r w:rsidRPr="00944DE1">
        <w:t>eport</w:t>
      </w:r>
      <w:r>
        <w:t xml:space="preserve">. </w:t>
      </w:r>
    </w:p>
    <w:p w:rsidR="00E907E7" w:rsidRDefault="00E907E7" w:rsidP="00E907E7">
      <w:pPr>
        <w:widowControl/>
        <w:rPr>
          <w:color w:val="000000"/>
        </w:rPr>
      </w:pPr>
    </w:p>
    <w:p w:rsidR="00E907E7" w:rsidRPr="00B731D0" w:rsidRDefault="00E907E7" w:rsidP="00E907E7">
      <w:r w:rsidRPr="00BA65DF">
        <w:rPr>
          <w:color w:val="000000"/>
        </w:rPr>
        <w:t>As this Application was assessed as a General Procedure, there was one round of public comment following the preparation of an Assessment Report</w:t>
      </w:r>
      <w:r>
        <w:rPr>
          <w:color w:val="000000"/>
        </w:rPr>
        <w:t xml:space="preserve">. </w:t>
      </w:r>
      <w:r w:rsidRPr="00BA65DF">
        <w:rPr>
          <w:color w:val="000000"/>
        </w:rPr>
        <w:t>Responses to the Assessment Report were used to develop this Approval Report</w:t>
      </w:r>
      <w:r>
        <w:rPr>
          <w:color w:val="000000"/>
        </w:rPr>
        <w:t>, with the main issues raised in submissions specifically discussed.</w:t>
      </w:r>
    </w:p>
    <w:p w:rsidR="00E907E7" w:rsidRPr="00B731D0" w:rsidRDefault="00E907E7" w:rsidP="00E907E7">
      <w:pPr>
        <w:rPr>
          <w:rFonts w:cs="Arial"/>
          <w:szCs w:val="22"/>
        </w:rPr>
      </w:pPr>
    </w:p>
    <w:bookmarkEnd w:id="17"/>
    <w:p w:rsidR="00E907E7" w:rsidRPr="00DC6570" w:rsidRDefault="00E907E7" w:rsidP="00E907E7">
      <w:pPr>
        <w:rPr>
          <w:rFonts w:cs="Arial"/>
        </w:rPr>
      </w:pPr>
    </w:p>
    <w:p w:rsidR="00E907E7" w:rsidRPr="00DC6570" w:rsidRDefault="00E907E7" w:rsidP="00E907E7">
      <w:pPr>
        <w:pStyle w:val="DivisionHeading"/>
        <w:rPr>
          <w:rFonts w:cs="Arial"/>
        </w:rPr>
        <w:sectPr w:rsidR="00E907E7" w:rsidRPr="00DC6570" w:rsidSect="001C27A3">
          <w:headerReference w:type="default" r:id="rId9"/>
          <w:footerReference w:type="even" r:id="rId10"/>
          <w:footerReference w:type="default" r:id="rId11"/>
          <w:headerReference w:type="first" r:id="rId12"/>
          <w:pgSz w:w="11906" w:h="16838"/>
          <w:pgMar w:top="1440" w:right="1440" w:bottom="1440" w:left="1440" w:header="709" w:footer="709" w:gutter="0"/>
          <w:pgNumType w:fmt="lowerRoman"/>
          <w:cols w:space="708"/>
          <w:docGrid w:linePitch="360"/>
        </w:sectPr>
      </w:pPr>
      <w:bookmarkStart w:id="18" w:name="_Toc11735627"/>
    </w:p>
    <w:p w:rsidR="00E907E7" w:rsidRPr="00DC6570" w:rsidRDefault="00E907E7" w:rsidP="00E907E7">
      <w:pPr>
        <w:pStyle w:val="DivisionHeading"/>
        <w:rPr>
          <w:rFonts w:cs="Arial"/>
        </w:rPr>
      </w:pPr>
      <w:r w:rsidRPr="00DC6570">
        <w:rPr>
          <w:rFonts w:cs="Arial"/>
        </w:rPr>
        <w:lastRenderedPageBreak/>
        <w:t>CONTENTS</w:t>
      </w:r>
    </w:p>
    <w:p w:rsidR="00E907E7" w:rsidRPr="00DC6570" w:rsidRDefault="00E907E7" w:rsidP="00E907E7">
      <w:pPr>
        <w:rPr>
          <w:rFonts w:cs="Arial"/>
        </w:rPr>
      </w:pPr>
    </w:p>
    <w:p w:rsidR="006A0962" w:rsidRDefault="00826E64">
      <w:pPr>
        <w:pStyle w:val="TOC1"/>
        <w:tabs>
          <w:tab w:val="right" w:leader="dot" w:pos="9016"/>
        </w:tabs>
        <w:rPr>
          <w:rFonts w:asciiTheme="minorHAnsi" w:eastAsiaTheme="minorEastAsia" w:hAnsiTheme="minorHAnsi" w:cstheme="minorBidi"/>
          <w:b w:val="0"/>
          <w:bCs w:val="0"/>
          <w:caps w:val="0"/>
          <w:noProof/>
          <w:szCs w:val="22"/>
          <w:lang w:eastAsia="en-GB" w:bidi="ar-SA"/>
        </w:rPr>
      </w:pPr>
      <w:r w:rsidRPr="00DC6570">
        <w:rPr>
          <w:rFonts w:cs="Arial"/>
        </w:rPr>
        <w:fldChar w:fldCharType="begin"/>
      </w:r>
      <w:r w:rsidR="00E907E7" w:rsidRPr="00DC6570">
        <w:rPr>
          <w:rFonts w:cs="Arial"/>
        </w:rPr>
        <w:instrText xml:space="preserve"> TOC \o "1-3" \h \z </w:instrText>
      </w:r>
      <w:r w:rsidRPr="00DC6570">
        <w:rPr>
          <w:rFonts w:cs="Arial"/>
        </w:rPr>
        <w:fldChar w:fldCharType="separate"/>
      </w:r>
      <w:hyperlink w:anchor="_Toc282772774" w:history="1">
        <w:r w:rsidR="006A0962" w:rsidRPr="00D824B7">
          <w:rPr>
            <w:rStyle w:val="Hyperlink"/>
            <w:noProof/>
          </w:rPr>
          <w:t>Introduction</w:t>
        </w:r>
        <w:r w:rsidR="006A0962">
          <w:rPr>
            <w:noProof/>
            <w:webHidden/>
          </w:rPr>
          <w:tab/>
        </w:r>
        <w:r>
          <w:rPr>
            <w:noProof/>
            <w:webHidden/>
          </w:rPr>
          <w:fldChar w:fldCharType="begin"/>
        </w:r>
        <w:r w:rsidR="006A0962">
          <w:rPr>
            <w:noProof/>
            <w:webHidden/>
          </w:rPr>
          <w:instrText xml:space="preserve"> PAGEREF _Toc282772774 \h </w:instrText>
        </w:r>
        <w:r>
          <w:rPr>
            <w:noProof/>
            <w:webHidden/>
          </w:rPr>
        </w:r>
        <w:r>
          <w:rPr>
            <w:noProof/>
            <w:webHidden/>
          </w:rPr>
          <w:fldChar w:fldCharType="separate"/>
        </w:r>
        <w:r w:rsidR="00AD14ED">
          <w:rPr>
            <w:noProof/>
            <w:webHidden/>
          </w:rPr>
          <w:t>2</w:t>
        </w:r>
        <w:r>
          <w:rPr>
            <w:noProof/>
            <w:webHidden/>
          </w:rPr>
          <w:fldChar w:fldCharType="end"/>
        </w:r>
      </w:hyperlink>
    </w:p>
    <w:p w:rsidR="006A0962" w:rsidRDefault="00C56410">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2772775" w:history="1">
        <w:r w:rsidR="006A0962" w:rsidRPr="00D824B7">
          <w:rPr>
            <w:rStyle w:val="Hyperlink"/>
            <w:rFonts w:cs="Arial"/>
            <w:noProof/>
          </w:rPr>
          <w:t>1.</w:t>
        </w:r>
        <w:r w:rsidR="006A0962">
          <w:rPr>
            <w:rFonts w:asciiTheme="minorHAnsi" w:eastAsiaTheme="minorEastAsia" w:hAnsiTheme="minorHAnsi" w:cstheme="minorBidi"/>
            <w:smallCaps w:val="0"/>
            <w:noProof/>
            <w:szCs w:val="22"/>
            <w:lang w:eastAsia="en-GB" w:bidi="ar-SA"/>
          </w:rPr>
          <w:tab/>
        </w:r>
        <w:r w:rsidR="006A0962" w:rsidRPr="00D824B7">
          <w:rPr>
            <w:rStyle w:val="Hyperlink"/>
            <w:rFonts w:cs="Arial"/>
            <w:noProof/>
          </w:rPr>
          <w:t>The Issue / Problem</w:t>
        </w:r>
        <w:r w:rsidR="006A0962">
          <w:rPr>
            <w:noProof/>
            <w:webHidden/>
          </w:rPr>
          <w:tab/>
        </w:r>
        <w:r w:rsidR="00826E64">
          <w:rPr>
            <w:noProof/>
            <w:webHidden/>
          </w:rPr>
          <w:fldChar w:fldCharType="begin"/>
        </w:r>
        <w:r w:rsidR="006A0962">
          <w:rPr>
            <w:noProof/>
            <w:webHidden/>
          </w:rPr>
          <w:instrText xml:space="preserve"> PAGEREF _Toc282772775 \h </w:instrText>
        </w:r>
        <w:r w:rsidR="00826E64">
          <w:rPr>
            <w:noProof/>
            <w:webHidden/>
          </w:rPr>
        </w:r>
        <w:r w:rsidR="00826E64">
          <w:rPr>
            <w:noProof/>
            <w:webHidden/>
          </w:rPr>
          <w:fldChar w:fldCharType="separate"/>
        </w:r>
        <w:r w:rsidR="00AD14ED">
          <w:rPr>
            <w:noProof/>
            <w:webHidden/>
          </w:rPr>
          <w:t>2</w:t>
        </w:r>
        <w:r w:rsidR="00826E64">
          <w:rPr>
            <w:noProof/>
            <w:webHidden/>
          </w:rPr>
          <w:fldChar w:fldCharType="end"/>
        </w:r>
      </w:hyperlink>
    </w:p>
    <w:p w:rsidR="006A0962" w:rsidRDefault="00C56410">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2772776" w:history="1">
        <w:r w:rsidR="006A0962" w:rsidRPr="00D824B7">
          <w:rPr>
            <w:rStyle w:val="Hyperlink"/>
            <w:noProof/>
          </w:rPr>
          <w:t>2.</w:t>
        </w:r>
        <w:r w:rsidR="006A0962">
          <w:rPr>
            <w:rFonts w:asciiTheme="minorHAnsi" w:eastAsiaTheme="minorEastAsia" w:hAnsiTheme="minorHAnsi" w:cstheme="minorBidi"/>
            <w:smallCaps w:val="0"/>
            <w:noProof/>
            <w:szCs w:val="22"/>
            <w:lang w:eastAsia="en-GB" w:bidi="ar-SA"/>
          </w:rPr>
          <w:tab/>
        </w:r>
        <w:r w:rsidR="006A0962" w:rsidRPr="00D824B7">
          <w:rPr>
            <w:rStyle w:val="Hyperlink"/>
            <w:noProof/>
          </w:rPr>
          <w:t>Current Standard</w:t>
        </w:r>
        <w:r w:rsidR="006A0962">
          <w:rPr>
            <w:noProof/>
            <w:webHidden/>
          </w:rPr>
          <w:tab/>
        </w:r>
        <w:r w:rsidR="00826E64">
          <w:rPr>
            <w:noProof/>
            <w:webHidden/>
          </w:rPr>
          <w:fldChar w:fldCharType="begin"/>
        </w:r>
        <w:r w:rsidR="006A0962">
          <w:rPr>
            <w:noProof/>
            <w:webHidden/>
          </w:rPr>
          <w:instrText xml:space="preserve"> PAGEREF _Toc282772776 \h </w:instrText>
        </w:r>
        <w:r w:rsidR="00826E64">
          <w:rPr>
            <w:noProof/>
            <w:webHidden/>
          </w:rPr>
        </w:r>
        <w:r w:rsidR="00826E64">
          <w:rPr>
            <w:noProof/>
            <w:webHidden/>
          </w:rPr>
          <w:fldChar w:fldCharType="separate"/>
        </w:r>
        <w:r w:rsidR="00AD14ED">
          <w:rPr>
            <w:noProof/>
            <w:webHidden/>
          </w:rPr>
          <w:t>2</w:t>
        </w:r>
        <w:r w:rsidR="00826E64">
          <w:rPr>
            <w:noProof/>
            <w:webHidden/>
          </w:rPr>
          <w:fldChar w:fldCharType="end"/>
        </w:r>
      </w:hyperlink>
    </w:p>
    <w:p w:rsidR="006A0962" w:rsidRDefault="00C5641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2772777" w:history="1">
        <w:r w:rsidR="006A0962" w:rsidRPr="00D824B7">
          <w:rPr>
            <w:rStyle w:val="Hyperlink"/>
            <w:rFonts w:cs="Arial"/>
            <w:noProof/>
          </w:rPr>
          <w:t>2.1</w:t>
        </w:r>
        <w:r w:rsidR="006A0962">
          <w:rPr>
            <w:rFonts w:asciiTheme="minorHAnsi" w:eastAsiaTheme="minorEastAsia" w:hAnsiTheme="minorHAnsi" w:cstheme="minorBidi"/>
            <w:i w:val="0"/>
            <w:iCs w:val="0"/>
            <w:noProof/>
            <w:szCs w:val="22"/>
            <w:lang w:eastAsia="en-GB" w:bidi="ar-SA"/>
          </w:rPr>
          <w:tab/>
        </w:r>
        <w:r w:rsidR="006A0962" w:rsidRPr="00D824B7">
          <w:rPr>
            <w:rStyle w:val="Hyperlink"/>
            <w:rFonts w:cs="Arial"/>
            <w:noProof/>
          </w:rPr>
          <w:t>Background</w:t>
        </w:r>
        <w:r w:rsidR="006A0962">
          <w:rPr>
            <w:noProof/>
            <w:webHidden/>
          </w:rPr>
          <w:tab/>
        </w:r>
        <w:r w:rsidR="00826E64">
          <w:rPr>
            <w:noProof/>
            <w:webHidden/>
          </w:rPr>
          <w:fldChar w:fldCharType="begin"/>
        </w:r>
        <w:r w:rsidR="006A0962">
          <w:rPr>
            <w:noProof/>
            <w:webHidden/>
          </w:rPr>
          <w:instrText xml:space="preserve"> PAGEREF _Toc282772777 \h </w:instrText>
        </w:r>
        <w:r w:rsidR="00826E64">
          <w:rPr>
            <w:noProof/>
            <w:webHidden/>
          </w:rPr>
        </w:r>
        <w:r w:rsidR="00826E64">
          <w:rPr>
            <w:noProof/>
            <w:webHidden/>
          </w:rPr>
          <w:fldChar w:fldCharType="separate"/>
        </w:r>
        <w:r w:rsidR="00AD14ED">
          <w:rPr>
            <w:noProof/>
            <w:webHidden/>
          </w:rPr>
          <w:t>2</w:t>
        </w:r>
        <w:r w:rsidR="00826E64">
          <w:rPr>
            <w:noProof/>
            <w:webHidden/>
          </w:rPr>
          <w:fldChar w:fldCharType="end"/>
        </w:r>
      </w:hyperlink>
    </w:p>
    <w:p w:rsidR="006A0962" w:rsidRDefault="00C5641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2772778" w:history="1">
        <w:r w:rsidR="006A0962" w:rsidRPr="00D824B7">
          <w:rPr>
            <w:rStyle w:val="Hyperlink"/>
            <w:noProof/>
          </w:rPr>
          <w:t>2.2</w:t>
        </w:r>
        <w:r w:rsidR="006A0962">
          <w:rPr>
            <w:rFonts w:asciiTheme="minorHAnsi" w:eastAsiaTheme="minorEastAsia" w:hAnsiTheme="minorHAnsi" w:cstheme="minorBidi"/>
            <w:i w:val="0"/>
            <w:iCs w:val="0"/>
            <w:noProof/>
            <w:szCs w:val="22"/>
            <w:lang w:eastAsia="en-GB" w:bidi="ar-SA"/>
          </w:rPr>
          <w:tab/>
        </w:r>
        <w:r w:rsidR="006A0962" w:rsidRPr="00D824B7">
          <w:rPr>
            <w:rStyle w:val="Hyperlink"/>
            <w:noProof/>
          </w:rPr>
          <w:t>International Regulations</w:t>
        </w:r>
        <w:r w:rsidR="006A0962">
          <w:rPr>
            <w:noProof/>
            <w:webHidden/>
          </w:rPr>
          <w:tab/>
        </w:r>
        <w:r w:rsidR="00826E64">
          <w:rPr>
            <w:noProof/>
            <w:webHidden/>
          </w:rPr>
          <w:fldChar w:fldCharType="begin"/>
        </w:r>
        <w:r w:rsidR="006A0962">
          <w:rPr>
            <w:noProof/>
            <w:webHidden/>
          </w:rPr>
          <w:instrText xml:space="preserve"> PAGEREF _Toc282772778 \h </w:instrText>
        </w:r>
        <w:r w:rsidR="00826E64">
          <w:rPr>
            <w:noProof/>
            <w:webHidden/>
          </w:rPr>
        </w:r>
        <w:r w:rsidR="00826E64">
          <w:rPr>
            <w:noProof/>
            <w:webHidden/>
          </w:rPr>
          <w:fldChar w:fldCharType="separate"/>
        </w:r>
        <w:r w:rsidR="00AD14ED">
          <w:rPr>
            <w:noProof/>
            <w:webHidden/>
          </w:rPr>
          <w:t>2</w:t>
        </w:r>
        <w:r w:rsidR="00826E64">
          <w:rPr>
            <w:noProof/>
            <w:webHidden/>
          </w:rPr>
          <w:fldChar w:fldCharType="end"/>
        </w:r>
      </w:hyperlink>
    </w:p>
    <w:p w:rsidR="006A0962" w:rsidRDefault="00C5641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2772779" w:history="1">
        <w:r w:rsidR="006A0962" w:rsidRPr="00D824B7">
          <w:rPr>
            <w:rStyle w:val="Hyperlink"/>
            <w:noProof/>
          </w:rPr>
          <w:t>2.3</w:t>
        </w:r>
        <w:r w:rsidR="006A0962">
          <w:rPr>
            <w:rFonts w:asciiTheme="minorHAnsi" w:eastAsiaTheme="minorEastAsia" w:hAnsiTheme="minorHAnsi" w:cstheme="minorBidi"/>
            <w:i w:val="0"/>
            <w:iCs w:val="0"/>
            <w:noProof/>
            <w:szCs w:val="22"/>
            <w:lang w:eastAsia="en-GB" w:bidi="ar-SA"/>
          </w:rPr>
          <w:tab/>
        </w:r>
        <w:r w:rsidR="006A0962" w:rsidRPr="00D824B7">
          <w:rPr>
            <w:rStyle w:val="Hyperlink"/>
            <w:noProof/>
          </w:rPr>
          <w:t>Nature of the Resin</w:t>
        </w:r>
        <w:r w:rsidR="006A0962">
          <w:rPr>
            <w:noProof/>
            <w:webHidden/>
          </w:rPr>
          <w:tab/>
        </w:r>
        <w:r w:rsidR="00826E64">
          <w:rPr>
            <w:noProof/>
            <w:webHidden/>
          </w:rPr>
          <w:fldChar w:fldCharType="begin"/>
        </w:r>
        <w:r w:rsidR="006A0962">
          <w:rPr>
            <w:noProof/>
            <w:webHidden/>
          </w:rPr>
          <w:instrText xml:space="preserve"> PAGEREF _Toc282772779 \h </w:instrText>
        </w:r>
        <w:r w:rsidR="00826E64">
          <w:rPr>
            <w:noProof/>
            <w:webHidden/>
          </w:rPr>
        </w:r>
        <w:r w:rsidR="00826E64">
          <w:rPr>
            <w:noProof/>
            <w:webHidden/>
          </w:rPr>
          <w:fldChar w:fldCharType="separate"/>
        </w:r>
        <w:r w:rsidR="00AD14ED">
          <w:rPr>
            <w:noProof/>
            <w:webHidden/>
          </w:rPr>
          <w:t>3</w:t>
        </w:r>
        <w:r w:rsidR="00826E64">
          <w:rPr>
            <w:noProof/>
            <w:webHidden/>
          </w:rPr>
          <w:fldChar w:fldCharType="end"/>
        </w:r>
      </w:hyperlink>
    </w:p>
    <w:p w:rsidR="006A0962" w:rsidRDefault="00C5641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2772780" w:history="1">
        <w:r w:rsidR="006A0962" w:rsidRPr="00D824B7">
          <w:rPr>
            <w:rStyle w:val="Hyperlink"/>
            <w:noProof/>
          </w:rPr>
          <w:t>2.4</w:t>
        </w:r>
        <w:r w:rsidR="006A0962">
          <w:rPr>
            <w:rFonts w:asciiTheme="minorHAnsi" w:eastAsiaTheme="minorEastAsia" w:hAnsiTheme="minorHAnsi" w:cstheme="minorBidi"/>
            <w:i w:val="0"/>
            <w:iCs w:val="0"/>
            <w:noProof/>
            <w:szCs w:val="22"/>
            <w:lang w:eastAsia="en-GB" w:bidi="ar-SA"/>
          </w:rPr>
          <w:tab/>
        </w:r>
        <w:r w:rsidR="006A0962" w:rsidRPr="00D824B7">
          <w:rPr>
            <w:rStyle w:val="Hyperlink"/>
            <w:noProof/>
          </w:rPr>
          <w:t>Technological Purpose</w:t>
        </w:r>
        <w:r w:rsidR="006A0962">
          <w:rPr>
            <w:noProof/>
            <w:webHidden/>
          </w:rPr>
          <w:tab/>
        </w:r>
        <w:r w:rsidR="00826E64">
          <w:rPr>
            <w:noProof/>
            <w:webHidden/>
          </w:rPr>
          <w:fldChar w:fldCharType="begin"/>
        </w:r>
        <w:r w:rsidR="006A0962">
          <w:rPr>
            <w:noProof/>
            <w:webHidden/>
          </w:rPr>
          <w:instrText xml:space="preserve"> PAGEREF _Toc282772780 \h </w:instrText>
        </w:r>
        <w:r w:rsidR="00826E64">
          <w:rPr>
            <w:noProof/>
            <w:webHidden/>
          </w:rPr>
        </w:r>
        <w:r w:rsidR="00826E64">
          <w:rPr>
            <w:noProof/>
            <w:webHidden/>
          </w:rPr>
          <w:fldChar w:fldCharType="separate"/>
        </w:r>
        <w:r w:rsidR="00AD14ED">
          <w:rPr>
            <w:noProof/>
            <w:webHidden/>
          </w:rPr>
          <w:t>3</w:t>
        </w:r>
        <w:r w:rsidR="00826E64">
          <w:rPr>
            <w:noProof/>
            <w:webHidden/>
          </w:rPr>
          <w:fldChar w:fldCharType="end"/>
        </w:r>
      </w:hyperlink>
    </w:p>
    <w:p w:rsidR="006A0962" w:rsidRDefault="00C56410">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2772781" w:history="1">
        <w:r w:rsidR="006A0962" w:rsidRPr="00D824B7">
          <w:rPr>
            <w:rStyle w:val="Hyperlink"/>
            <w:rFonts w:cs="Arial"/>
            <w:noProof/>
          </w:rPr>
          <w:t>3.</w:t>
        </w:r>
        <w:r w:rsidR="006A0962">
          <w:rPr>
            <w:rFonts w:asciiTheme="minorHAnsi" w:eastAsiaTheme="minorEastAsia" w:hAnsiTheme="minorHAnsi" w:cstheme="minorBidi"/>
            <w:smallCaps w:val="0"/>
            <w:noProof/>
            <w:szCs w:val="22"/>
            <w:lang w:eastAsia="en-GB" w:bidi="ar-SA"/>
          </w:rPr>
          <w:tab/>
        </w:r>
        <w:r w:rsidR="006A0962" w:rsidRPr="00D824B7">
          <w:rPr>
            <w:rStyle w:val="Hyperlink"/>
            <w:rFonts w:cs="Arial"/>
            <w:noProof/>
          </w:rPr>
          <w:t>Objectives</w:t>
        </w:r>
        <w:r w:rsidR="006A0962">
          <w:rPr>
            <w:noProof/>
            <w:webHidden/>
          </w:rPr>
          <w:tab/>
        </w:r>
        <w:r w:rsidR="00826E64">
          <w:rPr>
            <w:noProof/>
            <w:webHidden/>
          </w:rPr>
          <w:fldChar w:fldCharType="begin"/>
        </w:r>
        <w:r w:rsidR="006A0962">
          <w:rPr>
            <w:noProof/>
            <w:webHidden/>
          </w:rPr>
          <w:instrText xml:space="preserve"> PAGEREF _Toc282772781 \h </w:instrText>
        </w:r>
        <w:r w:rsidR="00826E64">
          <w:rPr>
            <w:noProof/>
            <w:webHidden/>
          </w:rPr>
        </w:r>
        <w:r w:rsidR="00826E64">
          <w:rPr>
            <w:noProof/>
            <w:webHidden/>
          </w:rPr>
          <w:fldChar w:fldCharType="separate"/>
        </w:r>
        <w:r w:rsidR="00AD14ED">
          <w:rPr>
            <w:noProof/>
            <w:webHidden/>
          </w:rPr>
          <w:t>3</w:t>
        </w:r>
        <w:r w:rsidR="00826E64">
          <w:rPr>
            <w:noProof/>
            <w:webHidden/>
          </w:rPr>
          <w:fldChar w:fldCharType="end"/>
        </w:r>
      </w:hyperlink>
    </w:p>
    <w:p w:rsidR="006A0962" w:rsidRDefault="00C56410">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2772782" w:history="1">
        <w:r w:rsidR="006A0962" w:rsidRPr="00D824B7">
          <w:rPr>
            <w:rStyle w:val="Hyperlink"/>
            <w:rFonts w:cs="Arial"/>
            <w:noProof/>
          </w:rPr>
          <w:t>4.</w:t>
        </w:r>
        <w:r w:rsidR="006A0962">
          <w:rPr>
            <w:rFonts w:asciiTheme="minorHAnsi" w:eastAsiaTheme="minorEastAsia" w:hAnsiTheme="minorHAnsi" w:cstheme="minorBidi"/>
            <w:smallCaps w:val="0"/>
            <w:noProof/>
            <w:szCs w:val="22"/>
            <w:lang w:eastAsia="en-GB" w:bidi="ar-SA"/>
          </w:rPr>
          <w:tab/>
        </w:r>
        <w:r w:rsidR="006A0962" w:rsidRPr="00D824B7">
          <w:rPr>
            <w:rStyle w:val="Hyperlink"/>
            <w:rFonts w:cs="Arial"/>
            <w:noProof/>
          </w:rPr>
          <w:t>Questions to be answered</w:t>
        </w:r>
        <w:r w:rsidR="006A0962">
          <w:rPr>
            <w:noProof/>
            <w:webHidden/>
          </w:rPr>
          <w:tab/>
        </w:r>
        <w:r w:rsidR="00826E64">
          <w:rPr>
            <w:noProof/>
            <w:webHidden/>
          </w:rPr>
          <w:fldChar w:fldCharType="begin"/>
        </w:r>
        <w:r w:rsidR="006A0962">
          <w:rPr>
            <w:noProof/>
            <w:webHidden/>
          </w:rPr>
          <w:instrText xml:space="preserve"> PAGEREF _Toc282772782 \h </w:instrText>
        </w:r>
        <w:r w:rsidR="00826E64">
          <w:rPr>
            <w:noProof/>
            <w:webHidden/>
          </w:rPr>
        </w:r>
        <w:r w:rsidR="00826E64">
          <w:rPr>
            <w:noProof/>
            <w:webHidden/>
          </w:rPr>
          <w:fldChar w:fldCharType="separate"/>
        </w:r>
        <w:r w:rsidR="00AD14ED">
          <w:rPr>
            <w:noProof/>
            <w:webHidden/>
          </w:rPr>
          <w:t>4</w:t>
        </w:r>
        <w:r w:rsidR="00826E64">
          <w:rPr>
            <w:noProof/>
            <w:webHidden/>
          </w:rPr>
          <w:fldChar w:fldCharType="end"/>
        </w:r>
      </w:hyperlink>
    </w:p>
    <w:p w:rsidR="006A0962" w:rsidRDefault="00C56410">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282772783" w:history="1">
        <w:r w:rsidR="006A0962" w:rsidRPr="00D824B7">
          <w:rPr>
            <w:rStyle w:val="Hyperlink"/>
            <w:noProof/>
          </w:rPr>
          <w:t>RISK ASSESSMENT</w:t>
        </w:r>
        <w:r w:rsidR="006A0962">
          <w:rPr>
            <w:noProof/>
            <w:webHidden/>
          </w:rPr>
          <w:tab/>
        </w:r>
        <w:r w:rsidR="00826E64">
          <w:rPr>
            <w:noProof/>
            <w:webHidden/>
          </w:rPr>
          <w:fldChar w:fldCharType="begin"/>
        </w:r>
        <w:r w:rsidR="006A0962">
          <w:rPr>
            <w:noProof/>
            <w:webHidden/>
          </w:rPr>
          <w:instrText xml:space="preserve"> PAGEREF _Toc282772783 \h </w:instrText>
        </w:r>
        <w:r w:rsidR="00826E64">
          <w:rPr>
            <w:noProof/>
            <w:webHidden/>
          </w:rPr>
        </w:r>
        <w:r w:rsidR="00826E64">
          <w:rPr>
            <w:noProof/>
            <w:webHidden/>
          </w:rPr>
          <w:fldChar w:fldCharType="separate"/>
        </w:r>
        <w:r w:rsidR="00AD14ED">
          <w:rPr>
            <w:noProof/>
            <w:webHidden/>
          </w:rPr>
          <w:t>4</w:t>
        </w:r>
        <w:r w:rsidR="00826E64">
          <w:rPr>
            <w:noProof/>
            <w:webHidden/>
          </w:rPr>
          <w:fldChar w:fldCharType="end"/>
        </w:r>
      </w:hyperlink>
    </w:p>
    <w:p w:rsidR="006A0962" w:rsidRDefault="00C56410">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2772784" w:history="1">
        <w:r w:rsidR="006A0962" w:rsidRPr="00D824B7">
          <w:rPr>
            <w:rStyle w:val="Hyperlink"/>
            <w:noProof/>
          </w:rPr>
          <w:t>5.</w:t>
        </w:r>
        <w:r w:rsidR="006A0962">
          <w:rPr>
            <w:rFonts w:asciiTheme="minorHAnsi" w:eastAsiaTheme="minorEastAsia" w:hAnsiTheme="minorHAnsi" w:cstheme="minorBidi"/>
            <w:smallCaps w:val="0"/>
            <w:noProof/>
            <w:szCs w:val="22"/>
            <w:lang w:eastAsia="en-GB" w:bidi="ar-SA"/>
          </w:rPr>
          <w:tab/>
        </w:r>
        <w:r w:rsidR="006A0962" w:rsidRPr="00D824B7">
          <w:rPr>
            <w:rStyle w:val="Hyperlink"/>
            <w:noProof/>
          </w:rPr>
          <w:t>Risk and Technical Assessment Summary</w:t>
        </w:r>
        <w:r w:rsidR="006A0962">
          <w:rPr>
            <w:noProof/>
            <w:webHidden/>
          </w:rPr>
          <w:tab/>
        </w:r>
        <w:r w:rsidR="00826E64">
          <w:rPr>
            <w:noProof/>
            <w:webHidden/>
          </w:rPr>
          <w:fldChar w:fldCharType="begin"/>
        </w:r>
        <w:r w:rsidR="006A0962">
          <w:rPr>
            <w:noProof/>
            <w:webHidden/>
          </w:rPr>
          <w:instrText xml:space="preserve"> PAGEREF _Toc282772784 \h </w:instrText>
        </w:r>
        <w:r w:rsidR="00826E64">
          <w:rPr>
            <w:noProof/>
            <w:webHidden/>
          </w:rPr>
        </w:r>
        <w:r w:rsidR="00826E64">
          <w:rPr>
            <w:noProof/>
            <w:webHidden/>
          </w:rPr>
          <w:fldChar w:fldCharType="separate"/>
        </w:r>
        <w:r w:rsidR="00AD14ED">
          <w:rPr>
            <w:noProof/>
            <w:webHidden/>
          </w:rPr>
          <w:t>4</w:t>
        </w:r>
        <w:r w:rsidR="00826E64">
          <w:rPr>
            <w:noProof/>
            <w:webHidden/>
          </w:rPr>
          <w:fldChar w:fldCharType="end"/>
        </w:r>
      </w:hyperlink>
    </w:p>
    <w:p w:rsidR="006A0962" w:rsidRDefault="00C5641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2772785" w:history="1">
        <w:r w:rsidR="006A0962" w:rsidRPr="00D824B7">
          <w:rPr>
            <w:rStyle w:val="Hyperlink"/>
            <w:noProof/>
          </w:rPr>
          <w:t>5.1</w:t>
        </w:r>
        <w:r w:rsidR="006A0962">
          <w:rPr>
            <w:rFonts w:asciiTheme="minorHAnsi" w:eastAsiaTheme="minorEastAsia" w:hAnsiTheme="minorHAnsi" w:cstheme="minorBidi"/>
            <w:i w:val="0"/>
            <w:iCs w:val="0"/>
            <w:noProof/>
            <w:szCs w:val="22"/>
            <w:lang w:eastAsia="en-GB" w:bidi="ar-SA"/>
          </w:rPr>
          <w:tab/>
        </w:r>
        <w:r w:rsidR="006A0962" w:rsidRPr="00D824B7">
          <w:rPr>
            <w:rStyle w:val="Hyperlink"/>
            <w:noProof/>
          </w:rPr>
          <w:t>Summary</w:t>
        </w:r>
        <w:r w:rsidR="006A0962">
          <w:rPr>
            <w:noProof/>
            <w:webHidden/>
          </w:rPr>
          <w:tab/>
        </w:r>
        <w:r w:rsidR="00826E64">
          <w:rPr>
            <w:noProof/>
            <w:webHidden/>
          </w:rPr>
          <w:fldChar w:fldCharType="begin"/>
        </w:r>
        <w:r w:rsidR="006A0962">
          <w:rPr>
            <w:noProof/>
            <w:webHidden/>
          </w:rPr>
          <w:instrText xml:space="preserve"> PAGEREF _Toc282772785 \h </w:instrText>
        </w:r>
        <w:r w:rsidR="00826E64">
          <w:rPr>
            <w:noProof/>
            <w:webHidden/>
          </w:rPr>
        </w:r>
        <w:r w:rsidR="00826E64">
          <w:rPr>
            <w:noProof/>
            <w:webHidden/>
          </w:rPr>
          <w:fldChar w:fldCharType="separate"/>
        </w:r>
        <w:r w:rsidR="00AD14ED">
          <w:rPr>
            <w:noProof/>
            <w:webHidden/>
          </w:rPr>
          <w:t>4</w:t>
        </w:r>
        <w:r w:rsidR="00826E64">
          <w:rPr>
            <w:noProof/>
            <w:webHidden/>
          </w:rPr>
          <w:fldChar w:fldCharType="end"/>
        </w:r>
      </w:hyperlink>
    </w:p>
    <w:p w:rsidR="006A0962" w:rsidRDefault="00C5641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2772786" w:history="1">
        <w:r w:rsidR="006A0962" w:rsidRPr="00D824B7">
          <w:rPr>
            <w:rStyle w:val="Hyperlink"/>
            <w:noProof/>
          </w:rPr>
          <w:t>5.2</w:t>
        </w:r>
        <w:r w:rsidR="006A0962">
          <w:rPr>
            <w:rFonts w:asciiTheme="minorHAnsi" w:eastAsiaTheme="minorEastAsia" w:hAnsiTheme="minorHAnsi" w:cstheme="minorBidi"/>
            <w:i w:val="0"/>
            <w:iCs w:val="0"/>
            <w:noProof/>
            <w:szCs w:val="22"/>
            <w:lang w:eastAsia="en-GB" w:bidi="ar-SA"/>
          </w:rPr>
          <w:tab/>
        </w:r>
        <w:r w:rsidR="006A0962" w:rsidRPr="00D824B7">
          <w:rPr>
            <w:rStyle w:val="Hyperlink"/>
            <w:noProof/>
          </w:rPr>
          <w:t>Conclusions</w:t>
        </w:r>
        <w:r w:rsidR="006A0962">
          <w:rPr>
            <w:noProof/>
            <w:webHidden/>
          </w:rPr>
          <w:tab/>
        </w:r>
        <w:r w:rsidR="00826E64">
          <w:rPr>
            <w:noProof/>
            <w:webHidden/>
          </w:rPr>
          <w:fldChar w:fldCharType="begin"/>
        </w:r>
        <w:r w:rsidR="006A0962">
          <w:rPr>
            <w:noProof/>
            <w:webHidden/>
          </w:rPr>
          <w:instrText xml:space="preserve"> PAGEREF _Toc282772786 \h </w:instrText>
        </w:r>
        <w:r w:rsidR="00826E64">
          <w:rPr>
            <w:noProof/>
            <w:webHidden/>
          </w:rPr>
        </w:r>
        <w:r w:rsidR="00826E64">
          <w:rPr>
            <w:noProof/>
            <w:webHidden/>
          </w:rPr>
          <w:fldChar w:fldCharType="separate"/>
        </w:r>
        <w:r w:rsidR="00AD14ED">
          <w:rPr>
            <w:noProof/>
            <w:webHidden/>
          </w:rPr>
          <w:t>5</w:t>
        </w:r>
        <w:r w:rsidR="00826E64">
          <w:rPr>
            <w:noProof/>
            <w:webHidden/>
          </w:rPr>
          <w:fldChar w:fldCharType="end"/>
        </w:r>
      </w:hyperlink>
    </w:p>
    <w:p w:rsidR="006A0962" w:rsidRDefault="00C56410">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282772787" w:history="1">
        <w:r w:rsidR="006A0962" w:rsidRPr="00D824B7">
          <w:rPr>
            <w:rStyle w:val="Hyperlink"/>
            <w:noProof/>
          </w:rPr>
          <w:t>Risk Management</w:t>
        </w:r>
        <w:r w:rsidR="006A0962">
          <w:rPr>
            <w:noProof/>
            <w:webHidden/>
          </w:rPr>
          <w:tab/>
        </w:r>
        <w:r w:rsidR="00826E64">
          <w:rPr>
            <w:noProof/>
            <w:webHidden/>
          </w:rPr>
          <w:fldChar w:fldCharType="begin"/>
        </w:r>
        <w:r w:rsidR="006A0962">
          <w:rPr>
            <w:noProof/>
            <w:webHidden/>
          </w:rPr>
          <w:instrText xml:space="preserve"> PAGEREF _Toc282772787 \h </w:instrText>
        </w:r>
        <w:r w:rsidR="00826E64">
          <w:rPr>
            <w:noProof/>
            <w:webHidden/>
          </w:rPr>
        </w:r>
        <w:r w:rsidR="00826E64">
          <w:rPr>
            <w:noProof/>
            <w:webHidden/>
          </w:rPr>
          <w:fldChar w:fldCharType="separate"/>
        </w:r>
        <w:r w:rsidR="00AD14ED">
          <w:rPr>
            <w:noProof/>
            <w:webHidden/>
          </w:rPr>
          <w:t>5</w:t>
        </w:r>
        <w:r w:rsidR="00826E64">
          <w:rPr>
            <w:noProof/>
            <w:webHidden/>
          </w:rPr>
          <w:fldChar w:fldCharType="end"/>
        </w:r>
      </w:hyperlink>
    </w:p>
    <w:p w:rsidR="006A0962" w:rsidRDefault="00C56410">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2772788" w:history="1">
        <w:r w:rsidR="006A0962" w:rsidRPr="00D824B7">
          <w:rPr>
            <w:rStyle w:val="Hyperlink"/>
            <w:noProof/>
          </w:rPr>
          <w:t>6.</w:t>
        </w:r>
        <w:r w:rsidR="006A0962">
          <w:rPr>
            <w:rFonts w:asciiTheme="minorHAnsi" w:eastAsiaTheme="minorEastAsia" w:hAnsiTheme="minorHAnsi" w:cstheme="minorBidi"/>
            <w:smallCaps w:val="0"/>
            <w:noProof/>
            <w:szCs w:val="22"/>
            <w:lang w:eastAsia="en-GB" w:bidi="ar-SA"/>
          </w:rPr>
          <w:tab/>
        </w:r>
        <w:r w:rsidR="006A0962" w:rsidRPr="00D824B7">
          <w:rPr>
            <w:rStyle w:val="Hyperlink"/>
            <w:noProof/>
          </w:rPr>
          <w:t>Options</w:t>
        </w:r>
        <w:r w:rsidR="006A0962">
          <w:rPr>
            <w:noProof/>
            <w:webHidden/>
          </w:rPr>
          <w:tab/>
        </w:r>
        <w:r w:rsidR="00826E64">
          <w:rPr>
            <w:noProof/>
            <w:webHidden/>
          </w:rPr>
          <w:fldChar w:fldCharType="begin"/>
        </w:r>
        <w:r w:rsidR="006A0962">
          <w:rPr>
            <w:noProof/>
            <w:webHidden/>
          </w:rPr>
          <w:instrText xml:space="preserve"> PAGEREF _Toc282772788 \h </w:instrText>
        </w:r>
        <w:r w:rsidR="00826E64">
          <w:rPr>
            <w:noProof/>
            <w:webHidden/>
          </w:rPr>
        </w:r>
        <w:r w:rsidR="00826E64">
          <w:rPr>
            <w:noProof/>
            <w:webHidden/>
          </w:rPr>
          <w:fldChar w:fldCharType="separate"/>
        </w:r>
        <w:r w:rsidR="00AD14ED">
          <w:rPr>
            <w:noProof/>
            <w:webHidden/>
          </w:rPr>
          <w:t>5</w:t>
        </w:r>
        <w:r w:rsidR="00826E64">
          <w:rPr>
            <w:noProof/>
            <w:webHidden/>
          </w:rPr>
          <w:fldChar w:fldCharType="end"/>
        </w:r>
      </w:hyperlink>
    </w:p>
    <w:p w:rsidR="006A0962" w:rsidRDefault="00C56410">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2772789" w:history="1">
        <w:r w:rsidR="006A0962" w:rsidRPr="00D824B7">
          <w:rPr>
            <w:rStyle w:val="Hyperlink"/>
            <w:noProof/>
          </w:rPr>
          <w:t>7.</w:t>
        </w:r>
        <w:r w:rsidR="006A0962">
          <w:rPr>
            <w:rFonts w:asciiTheme="minorHAnsi" w:eastAsiaTheme="minorEastAsia" w:hAnsiTheme="minorHAnsi" w:cstheme="minorBidi"/>
            <w:smallCaps w:val="0"/>
            <w:noProof/>
            <w:szCs w:val="22"/>
            <w:lang w:eastAsia="en-GB" w:bidi="ar-SA"/>
          </w:rPr>
          <w:tab/>
        </w:r>
        <w:r w:rsidR="006A0962" w:rsidRPr="00D824B7">
          <w:rPr>
            <w:rStyle w:val="Hyperlink"/>
            <w:noProof/>
          </w:rPr>
          <w:t>Impact Analysis (RIS ID:  11840)</w:t>
        </w:r>
        <w:r w:rsidR="006A0962">
          <w:rPr>
            <w:noProof/>
            <w:webHidden/>
          </w:rPr>
          <w:tab/>
        </w:r>
        <w:r w:rsidR="00826E64">
          <w:rPr>
            <w:noProof/>
            <w:webHidden/>
          </w:rPr>
          <w:fldChar w:fldCharType="begin"/>
        </w:r>
        <w:r w:rsidR="006A0962">
          <w:rPr>
            <w:noProof/>
            <w:webHidden/>
          </w:rPr>
          <w:instrText xml:space="preserve"> PAGEREF _Toc282772789 \h </w:instrText>
        </w:r>
        <w:r w:rsidR="00826E64">
          <w:rPr>
            <w:noProof/>
            <w:webHidden/>
          </w:rPr>
        </w:r>
        <w:r w:rsidR="00826E64">
          <w:rPr>
            <w:noProof/>
            <w:webHidden/>
          </w:rPr>
          <w:fldChar w:fldCharType="separate"/>
        </w:r>
        <w:r w:rsidR="00AD14ED">
          <w:rPr>
            <w:noProof/>
            <w:webHidden/>
          </w:rPr>
          <w:t>5</w:t>
        </w:r>
        <w:r w:rsidR="00826E64">
          <w:rPr>
            <w:noProof/>
            <w:webHidden/>
          </w:rPr>
          <w:fldChar w:fldCharType="end"/>
        </w:r>
      </w:hyperlink>
    </w:p>
    <w:p w:rsidR="006A0962" w:rsidRDefault="00C5641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2772790" w:history="1">
        <w:r w:rsidR="006A0962" w:rsidRPr="00D824B7">
          <w:rPr>
            <w:rStyle w:val="Hyperlink"/>
            <w:noProof/>
          </w:rPr>
          <w:t>7.1</w:t>
        </w:r>
        <w:r w:rsidR="006A0962">
          <w:rPr>
            <w:rFonts w:asciiTheme="minorHAnsi" w:eastAsiaTheme="minorEastAsia" w:hAnsiTheme="minorHAnsi" w:cstheme="minorBidi"/>
            <w:i w:val="0"/>
            <w:iCs w:val="0"/>
            <w:noProof/>
            <w:szCs w:val="22"/>
            <w:lang w:eastAsia="en-GB" w:bidi="ar-SA"/>
          </w:rPr>
          <w:tab/>
        </w:r>
        <w:r w:rsidR="006A0962" w:rsidRPr="00D824B7">
          <w:rPr>
            <w:rStyle w:val="Hyperlink"/>
            <w:noProof/>
          </w:rPr>
          <w:t>Affected Parties</w:t>
        </w:r>
        <w:r w:rsidR="006A0962">
          <w:rPr>
            <w:noProof/>
            <w:webHidden/>
          </w:rPr>
          <w:tab/>
        </w:r>
        <w:r w:rsidR="00826E64">
          <w:rPr>
            <w:noProof/>
            <w:webHidden/>
          </w:rPr>
          <w:fldChar w:fldCharType="begin"/>
        </w:r>
        <w:r w:rsidR="006A0962">
          <w:rPr>
            <w:noProof/>
            <w:webHidden/>
          </w:rPr>
          <w:instrText xml:space="preserve"> PAGEREF _Toc282772790 \h </w:instrText>
        </w:r>
        <w:r w:rsidR="00826E64">
          <w:rPr>
            <w:noProof/>
            <w:webHidden/>
          </w:rPr>
        </w:r>
        <w:r w:rsidR="00826E64">
          <w:rPr>
            <w:noProof/>
            <w:webHidden/>
          </w:rPr>
          <w:fldChar w:fldCharType="separate"/>
        </w:r>
        <w:r w:rsidR="00AD14ED">
          <w:rPr>
            <w:noProof/>
            <w:webHidden/>
          </w:rPr>
          <w:t>6</w:t>
        </w:r>
        <w:r w:rsidR="00826E64">
          <w:rPr>
            <w:noProof/>
            <w:webHidden/>
          </w:rPr>
          <w:fldChar w:fldCharType="end"/>
        </w:r>
      </w:hyperlink>
    </w:p>
    <w:p w:rsidR="006A0962" w:rsidRDefault="00C5641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2772791" w:history="1">
        <w:r w:rsidR="006A0962" w:rsidRPr="00D824B7">
          <w:rPr>
            <w:rStyle w:val="Hyperlink"/>
            <w:noProof/>
          </w:rPr>
          <w:t>7.2</w:t>
        </w:r>
        <w:r w:rsidR="006A0962">
          <w:rPr>
            <w:rFonts w:asciiTheme="minorHAnsi" w:eastAsiaTheme="minorEastAsia" w:hAnsiTheme="minorHAnsi" w:cstheme="minorBidi"/>
            <w:i w:val="0"/>
            <w:iCs w:val="0"/>
            <w:noProof/>
            <w:szCs w:val="22"/>
            <w:lang w:eastAsia="en-GB" w:bidi="ar-SA"/>
          </w:rPr>
          <w:tab/>
        </w:r>
        <w:r w:rsidR="006A0962" w:rsidRPr="00D824B7">
          <w:rPr>
            <w:rStyle w:val="Hyperlink"/>
            <w:noProof/>
          </w:rPr>
          <w:t>Benefit Cost Analysis</w:t>
        </w:r>
        <w:r w:rsidR="006A0962">
          <w:rPr>
            <w:noProof/>
            <w:webHidden/>
          </w:rPr>
          <w:tab/>
        </w:r>
        <w:r w:rsidR="00826E64">
          <w:rPr>
            <w:noProof/>
            <w:webHidden/>
          </w:rPr>
          <w:fldChar w:fldCharType="begin"/>
        </w:r>
        <w:r w:rsidR="006A0962">
          <w:rPr>
            <w:noProof/>
            <w:webHidden/>
          </w:rPr>
          <w:instrText xml:space="preserve"> PAGEREF _Toc282772791 \h </w:instrText>
        </w:r>
        <w:r w:rsidR="00826E64">
          <w:rPr>
            <w:noProof/>
            <w:webHidden/>
          </w:rPr>
        </w:r>
        <w:r w:rsidR="00826E64">
          <w:rPr>
            <w:noProof/>
            <w:webHidden/>
          </w:rPr>
          <w:fldChar w:fldCharType="separate"/>
        </w:r>
        <w:r w:rsidR="00AD14ED">
          <w:rPr>
            <w:noProof/>
            <w:webHidden/>
          </w:rPr>
          <w:t>6</w:t>
        </w:r>
        <w:r w:rsidR="00826E64">
          <w:rPr>
            <w:noProof/>
            <w:webHidden/>
          </w:rPr>
          <w:fldChar w:fldCharType="end"/>
        </w:r>
      </w:hyperlink>
    </w:p>
    <w:p w:rsidR="006A0962" w:rsidRDefault="00C5641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2772792" w:history="1">
        <w:r w:rsidR="006A0962" w:rsidRPr="00D824B7">
          <w:rPr>
            <w:rStyle w:val="Hyperlink"/>
            <w:rFonts w:cs="Arial"/>
            <w:noProof/>
          </w:rPr>
          <w:t>7.3</w:t>
        </w:r>
        <w:r w:rsidR="006A0962">
          <w:rPr>
            <w:rFonts w:asciiTheme="minorHAnsi" w:eastAsiaTheme="minorEastAsia" w:hAnsiTheme="minorHAnsi" w:cstheme="minorBidi"/>
            <w:i w:val="0"/>
            <w:iCs w:val="0"/>
            <w:noProof/>
            <w:szCs w:val="22"/>
            <w:lang w:eastAsia="en-GB" w:bidi="ar-SA"/>
          </w:rPr>
          <w:tab/>
        </w:r>
        <w:r w:rsidR="006A0962" w:rsidRPr="00D824B7">
          <w:rPr>
            <w:rStyle w:val="Hyperlink"/>
            <w:rFonts w:cs="Arial"/>
            <w:noProof/>
          </w:rPr>
          <w:t>Comparison of Options</w:t>
        </w:r>
        <w:r w:rsidR="006A0962">
          <w:rPr>
            <w:noProof/>
            <w:webHidden/>
          </w:rPr>
          <w:tab/>
        </w:r>
        <w:r w:rsidR="00826E64">
          <w:rPr>
            <w:noProof/>
            <w:webHidden/>
          </w:rPr>
          <w:fldChar w:fldCharType="begin"/>
        </w:r>
        <w:r w:rsidR="006A0962">
          <w:rPr>
            <w:noProof/>
            <w:webHidden/>
          </w:rPr>
          <w:instrText xml:space="preserve"> PAGEREF _Toc282772792 \h </w:instrText>
        </w:r>
        <w:r w:rsidR="00826E64">
          <w:rPr>
            <w:noProof/>
            <w:webHidden/>
          </w:rPr>
        </w:r>
        <w:r w:rsidR="00826E64">
          <w:rPr>
            <w:noProof/>
            <w:webHidden/>
          </w:rPr>
          <w:fldChar w:fldCharType="separate"/>
        </w:r>
        <w:r w:rsidR="00AD14ED">
          <w:rPr>
            <w:noProof/>
            <w:webHidden/>
          </w:rPr>
          <w:t>6</w:t>
        </w:r>
        <w:r w:rsidR="00826E64">
          <w:rPr>
            <w:noProof/>
            <w:webHidden/>
          </w:rPr>
          <w:fldChar w:fldCharType="end"/>
        </w:r>
      </w:hyperlink>
    </w:p>
    <w:p w:rsidR="006A0962" w:rsidRDefault="00C5641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2772793" w:history="1">
        <w:r w:rsidR="006A0962" w:rsidRPr="00D824B7">
          <w:rPr>
            <w:rStyle w:val="Hyperlink"/>
            <w:noProof/>
          </w:rPr>
          <w:t>7.4</w:t>
        </w:r>
        <w:r w:rsidR="006A0962">
          <w:rPr>
            <w:rFonts w:asciiTheme="minorHAnsi" w:eastAsiaTheme="minorEastAsia" w:hAnsiTheme="minorHAnsi" w:cstheme="minorBidi"/>
            <w:i w:val="0"/>
            <w:iCs w:val="0"/>
            <w:noProof/>
            <w:szCs w:val="22"/>
            <w:lang w:eastAsia="en-GB" w:bidi="ar-SA"/>
          </w:rPr>
          <w:tab/>
        </w:r>
        <w:r w:rsidR="006A0962" w:rsidRPr="00D824B7">
          <w:rPr>
            <w:rStyle w:val="Hyperlink"/>
            <w:noProof/>
          </w:rPr>
          <w:t>Other Risk Management Matters</w:t>
        </w:r>
        <w:r w:rsidR="006A0962">
          <w:rPr>
            <w:noProof/>
            <w:webHidden/>
          </w:rPr>
          <w:tab/>
        </w:r>
        <w:r w:rsidR="00826E64">
          <w:rPr>
            <w:noProof/>
            <w:webHidden/>
          </w:rPr>
          <w:fldChar w:fldCharType="begin"/>
        </w:r>
        <w:r w:rsidR="006A0962">
          <w:rPr>
            <w:noProof/>
            <w:webHidden/>
          </w:rPr>
          <w:instrText xml:space="preserve"> PAGEREF _Toc282772793 \h </w:instrText>
        </w:r>
        <w:r w:rsidR="00826E64">
          <w:rPr>
            <w:noProof/>
            <w:webHidden/>
          </w:rPr>
        </w:r>
        <w:r w:rsidR="00826E64">
          <w:rPr>
            <w:noProof/>
            <w:webHidden/>
          </w:rPr>
          <w:fldChar w:fldCharType="separate"/>
        </w:r>
        <w:r w:rsidR="00AD14ED">
          <w:rPr>
            <w:noProof/>
            <w:webHidden/>
          </w:rPr>
          <w:t>6</w:t>
        </w:r>
        <w:r w:rsidR="00826E64">
          <w:rPr>
            <w:noProof/>
            <w:webHidden/>
          </w:rPr>
          <w:fldChar w:fldCharType="end"/>
        </w:r>
      </w:hyperlink>
    </w:p>
    <w:p w:rsidR="006A0962" w:rsidRDefault="00C56410">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282772794" w:history="1">
        <w:r w:rsidR="006A0962" w:rsidRPr="00D824B7">
          <w:rPr>
            <w:rStyle w:val="Hyperlink"/>
            <w:noProof/>
          </w:rPr>
          <w:t>Communication and Consultation Strategy</w:t>
        </w:r>
        <w:r w:rsidR="006A0962">
          <w:rPr>
            <w:noProof/>
            <w:webHidden/>
          </w:rPr>
          <w:tab/>
        </w:r>
        <w:r w:rsidR="00826E64">
          <w:rPr>
            <w:noProof/>
            <w:webHidden/>
          </w:rPr>
          <w:fldChar w:fldCharType="begin"/>
        </w:r>
        <w:r w:rsidR="006A0962">
          <w:rPr>
            <w:noProof/>
            <w:webHidden/>
          </w:rPr>
          <w:instrText xml:space="preserve"> PAGEREF _Toc282772794 \h </w:instrText>
        </w:r>
        <w:r w:rsidR="00826E64">
          <w:rPr>
            <w:noProof/>
            <w:webHidden/>
          </w:rPr>
        </w:r>
        <w:r w:rsidR="00826E64">
          <w:rPr>
            <w:noProof/>
            <w:webHidden/>
          </w:rPr>
          <w:fldChar w:fldCharType="separate"/>
        </w:r>
        <w:r w:rsidR="00AD14ED">
          <w:rPr>
            <w:noProof/>
            <w:webHidden/>
          </w:rPr>
          <w:t>7</w:t>
        </w:r>
        <w:r w:rsidR="00826E64">
          <w:rPr>
            <w:noProof/>
            <w:webHidden/>
          </w:rPr>
          <w:fldChar w:fldCharType="end"/>
        </w:r>
      </w:hyperlink>
    </w:p>
    <w:p w:rsidR="006A0962" w:rsidRDefault="00C56410">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2772795" w:history="1">
        <w:r w:rsidR="006A0962" w:rsidRPr="00D824B7">
          <w:rPr>
            <w:rStyle w:val="Hyperlink"/>
            <w:noProof/>
          </w:rPr>
          <w:t>8.</w:t>
        </w:r>
        <w:r w:rsidR="006A0962">
          <w:rPr>
            <w:rFonts w:asciiTheme="minorHAnsi" w:eastAsiaTheme="minorEastAsia" w:hAnsiTheme="minorHAnsi" w:cstheme="minorBidi"/>
            <w:smallCaps w:val="0"/>
            <w:noProof/>
            <w:szCs w:val="22"/>
            <w:lang w:eastAsia="en-GB" w:bidi="ar-SA"/>
          </w:rPr>
          <w:tab/>
        </w:r>
        <w:r w:rsidR="006A0962" w:rsidRPr="00D824B7">
          <w:rPr>
            <w:rStyle w:val="Hyperlink"/>
            <w:noProof/>
          </w:rPr>
          <w:t>Communication</w:t>
        </w:r>
        <w:r w:rsidR="006A0962">
          <w:rPr>
            <w:noProof/>
            <w:webHidden/>
          </w:rPr>
          <w:tab/>
        </w:r>
        <w:r w:rsidR="00826E64">
          <w:rPr>
            <w:noProof/>
            <w:webHidden/>
          </w:rPr>
          <w:fldChar w:fldCharType="begin"/>
        </w:r>
        <w:r w:rsidR="006A0962">
          <w:rPr>
            <w:noProof/>
            <w:webHidden/>
          </w:rPr>
          <w:instrText xml:space="preserve"> PAGEREF _Toc282772795 \h </w:instrText>
        </w:r>
        <w:r w:rsidR="00826E64">
          <w:rPr>
            <w:noProof/>
            <w:webHidden/>
          </w:rPr>
        </w:r>
        <w:r w:rsidR="00826E64">
          <w:rPr>
            <w:noProof/>
            <w:webHidden/>
          </w:rPr>
          <w:fldChar w:fldCharType="separate"/>
        </w:r>
        <w:r w:rsidR="00AD14ED">
          <w:rPr>
            <w:noProof/>
            <w:webHidden/>
          </w:rPr>
          <w:t>7</w:t>
        </w:r>
        <w:r w:rsidR="00826E64">
          <w:rPr>
            <w:noProof/>
            <w:webHidden/>
          </w:rPr>
          <w:fldChar w:fldCharType="end"/>
        </w:r>
      </w:hyperlink>
    </w:p>
    <w:p w:rsidR="006A0962" w:rsidRDefault="00C56410">
      <w:pPr>
        <w:pStyle w:val="TOC2"/>
        <w:tabs>
          <w:tab w:val="left" w:pos="720"/>
          <w:tab w:val="right" w:leader="dot" w:pos="9016"/>
        </w:tabs>
        <w:rPr>
          <w:rFonts w:asciiTheme="minorHAnsi" w:eastAsiaTheme="minorEastAsia" w:hAnsiTheme="minorHAnsi" w:cstheme="minorBidi"/>
          <w:smallCaps w:val="0"/>
          <w:noProof/>
          <w:szCs w:val="22"/>
          <w:lang w:eastAsia="en-GB" w:bidi="ar-SA"/>
        </w:rPr>
      </w:pPr>
      <w:hyperlink w:anchor="_Toc282772796" w:history="1">
        <w:r w:rsidR="006A0962" w:rsidRPr="00D824B7">
          <w:rPr>
            <w:rStyle w:val="Hyperlink"/>
            <w:noProof/>
          </w:rPr>
          <w:t>9.</w:t>
        </w:r>
        <w:r w:rsidR="006A0962">
          <w:rPr>
            <w:rFonts w:asciiTheme="minorHAnsi" w:eastAsiaTheme="minorEastAsia" w:hAnsiTheme="minorHAnsi" w:cstheme="minorBidi"/>
            <w:smallCaps w:val="0"/>
            <w:noProof/>
            <w:szCs w:val="22"/>
            <w:lang w:eastAsia="en-GB" w:bidi="ar-SA"/>
          </w:rPr>
          <w:tab/>
        </w:r>
        <w:r w:rsidR="006A0962" w:rsidRPr="00D824B7">
          <w:rPr>
            <w:rStyle w:val="Hyperlink"/>
            <w:noProof/>
          </w:rPr>
          <w:t>Consultation</w:t>
        </w:r>
        <w:r w:rsidR="006A0962">
          <w:rPr>
            <w:noProof/>
            <w:webHidden/>
          </w:rPr>
          <w:tab/>
        </w:r>
        <w:r w:rsidR="00826E64">
          <w:rPr>
            <w:noProof/>
            <w:webHidden/>
          </w:rPr>
          <w:fldChar w:fldCharType="begin"/>
        </w:r>
        <w:r w:rsidR="006A0962">
          <w:rPr>
            <w:noProof/>
            <w:webHidden/>
          </w:rPr>
          <w:instrText xml:space="preserve"> PAGEREF _Toc282772796 \h </w:instrText>
        </w:r>
        <w:r w:rsidR="00826E64">
          <w:rPr>
            <w:noProof/>
            <w:webHidden/>
          </w:rPr>
        </w:r>
        <w:r w:rsidR="00826E64">
          <w:rPr>
            <w:noProof/>
            <w:webHidden/>
          </w:rPr>
          <w:fldChar w:fldCharType="separate"/>
        </w:r>
        <w:r w:rsidR="00AD14ED">
          <w:rPr>
            <w:noProof/>
            <w:webHidden/>
          </w:rPr>
          <w:t>7</w:t>
        </w:r>
        <w:r w:rsidR="00826E64">
          <w:rPr>
            <w:noProof/>
            <w:webHidden/>
          </w:rPr>
          <w:fldChar w:fldCharType="end"/>
        </w:r>
      </w:hyperlink>
    </w:p>
    <w:p w:rsidR="006A0962" w:rsidRDefault="00C5641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2772797" w:history="1">
        <w:r w:rsidR="006A0962" w:rsidRPr="00D824B7">
          <w:rPr>
            <w:rStyle w:val="Hyperlink"/>
            <w:noProof/>
          </w:rPr>
          <w:t>9.1</w:t>
        </w:r>
        <w:r w:rsidR="006A0962">
          <w:rPr>
            <w:rFonts w:asciiTheme="minorHAnsi" w:eastAsiaTheme="minorEastAsia" w:hAnsiTheme="minorHAnsi" w:cstheme="minorBidi"/>
            <w:i w:val="0"/>
            <w:iCs w:val="0"/>
            <w:noProof/>
            <w:szCs w:val="22"/>
            <w:lang w:eastAsia="en-GB" w:bidi="ar-SA"/>
          </w:rPr>
          <w:tab/>
        </w:r>
        <w:r w:rsidR="006A0962" w:rsidRPr="00D824B7">
          <w:rPr>
            <w:rStyle w:val="Hyperlink"/>
            <w:noProof/>
          </w:rPr>
          <w:t>Public Consultation</w:t>
        </w:r>
        <w:r w:rsidR="006A0962">
          <w:rPr>
            <w:noProof/>
            <w:webHidden/>
          </w:rPr>
          <w:tab/>
        </w:r>
        <w:r w:rsidR="00826E64">
          <w:rPr>
            <w:noProof/>
            <w:webHidden/>
          </w:rPr>
          <w:fldChar w:fldCharType="begin"/>
        </w:r>
        <w:r w:rsidR="006A0962">
          <w:rPr>
            <w:noProof/>
            <w:webHidden/>
          </w:rPr>
          <w:instrText xml:space="preserve"> PAGEREF _Toc282772797 \h </w:instrText>
        </w:r>
        <w:r w:rsidR="00826E64">
          <w:rPr>
            <w:noProof/>
            <w:webHidden/>
          </w:rPr>
        </w:r>
        <w:r w:rsidR="00826E64">
          <w:rPr>
            <w:noProof/>
            <w:webHidden/>
          </w:rPr>
          <w:fldChar w:fldCharType="separate"/>
        </w:r>
        <w:r w:rsidR="00AD14ED">
          <w:rPr>
            <w:noProof/>
            <w:webHidden/>
          </w:rPr>
          <w:t>7</w:t>
        </w:r>
        <w:r w:rsidR="00826E64">
          <w:rPr>
            <w:noProof/>
            <w:webHidden/>
          </w:rPr>
          <w:fldChar w:fldCharType="end"/>
        </w:r>
      </w:hyperlink>
    </w:p>
    <w:p w:rsidR="006A0962" w:rsidRDefault="00C5641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2772798" w:history="1">
        <w:r w:rsidR="006A0962" w:rsidRPr="00D824B7">
          <w:rPr>
            <w:rStyle w:val="Hyperlink"/>
            <w:noProof/>
          </w:rPr>
          <w:t>9.2</w:t>
        </w:r>
        <w:r w:rsidR="006A0962">
          <w:rPr>
            <w:rFonts w:asciiTheme="minorHAnsi" w:eastAsiaTheme="minorEastAsia" w:hAnsiTheme="minorHAnsi" w:cstheme="minorBidi"/>
            <w:i w:val="0"/>
            <w:iCs w:val="0"/>
            <w:noProof/>
            <w:szCs w:val="22"/>
            <w:lang w:eastAsia="en-GB" w:bidi="ar-SA"/>
          </w:rPr>
          <w:tab/>
        </w:r>
        <w:r w:rsidR="006A0962" w:rsidRPr="00D824B7">
          <w:rPr>
            <w:rStyle w:val="Hyperlink"/>
            <w:noProof/>
          </w:rPr>
          <w:t>Issues raised in submissions</w:t>
        </w:r>
        <w:r w:rsidR="006A0962">
          <w:rPr>
            <w:noProof/>
            <w:webHidden/>
          </w:rPr>
          <w:tab/>
        </w:r>
        <w:r w:rsidR="00826E64">
          <w:rPr>
            <w:noProof/>
            <w:webHidden/>
          </w:rPr>
          <w:fldChar w:fldCharType="begin"/>
        </w:r>
        <w:r w:rsidR="006A0962">
          <w:rPr>
            <w:noProof/>
            <w:webHidden/>
          </w:rPr>
          <w:instrText xml:space="preserve"> PAGEREF _Toc282772798 \h </w:instrText>
        </w:r>
        <w:r w:rsidR="00826E64">
          <w:rPr>
            <w:noProof/>
            <w:webHidden/>
          </w:rPr>
        </w:r>
        <w:r w:rsidR="00826E64">
          <w:rPr>
            <w:noProof/>
            <w:webHidden/>
          </w:rPr>
          <w:fldChar w:fldCharType="separate"/>
        </w:r>
        <w:r w:rsidR="00AD14ED">
          <w:rPr>
            <w:noProof/>
            <w:webHidden/>
          </w:rPr>
          <w:t>7</w:t>
        </w:r>
        <w:r w:rsidR="00826E64">
          <w:rPr>
            <w:noProof/>
            <w:webHidden/>
          </w:rPr>
          <w:fldChar w:fldCharType="end"/>
        </w:r>
      </w:hyperlink>
    </w:p>
    <w:p w:rsidR="006A0962" w:rsidRDefault="00C5641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2772799" w:history="1">
        <w:r w:rsidR="006A0962" w:rsidRPr="00D824B7">
          <w:rPr>
            <w:rStyle w:val="Hyperlink"/>
            <w:noProof/>
          </w:rPr>
          <w:t>9.3</w:t>
        </w:r>
        <w:r w:rsidR="006A0962">
          <w:rPr>
            <w:rFonts w:asciiTheme="minorHAnsi" w:eastAsiaTheme="minorEastAsia" w:hAnsiTheme="minorHAnsi" w:cstheme="minorBidi"/>
            <w:i w:val="0"/>
            <w:iCs w:val="0"/>
            <w:noProof/>
            <w:szCs w:val="22"/>
            <w:lang w:eastAsia="en-GB" w:bidi="ar-SA"/>
          </w:rPr>
          <w:tab/>
        </w:r>
        <w:r w:rsidR="006A0962" w:rsidRPr="00D824B7">
          <w:rPr>
            <w:rStyle w:val="Hyperlink"/>
            <w:noProof/>
          </w:rPr>
          <w:t>World Trade Organization (WTO)</w:t>
        </w:r>
        <w:r w:rsidR="006A0962">
          <w:rPr>
            <w:noProof/>
            <w:webHidden/>
          </w:rPr>
          <w:tab/>
        </w:r>
        <w:r w:rsidR="00826E64">
          <w:rPr>
            <w:noProof/>
            <w:webHidden/>
          </w:rPr>
          <w:fldChar w:fldCharType="begin"/>
        </w:r>
        <w:r w:rsidR="006A0962">
          <w:rPr>
            <w:noProof/>
            <w:webHidden/>
          </w:rPr>
          <w:instrText xml:space="preserve"> PAGEREF _Toc282772799 \h </w:instrText>
        </w:r>
        <w:r w:rsidR="00826E64">
          <w:rPr>
            <w:noProof/>
            <w:webHidden/>
          </w:rPr>
        </w:r>
        <w:r w:rsidR="00826E64">
          <w:rPr>
            <w:noProof/>
            <w:webHidden/>
          </w:rPr>
          <w:fldChar w:fldCharType="separate"/>
        </w:r>
        <w:r w:rsidR="00AD14ED">
          <w:rPr>
            <w:noProof/>
            <w:webHidden/>
          </w:rPr>
          <w:t>9</w:t>
        </w:r>
        <w:r w:rsidR="00826E64">
          <w:rPr>
            <w:noProof/>
            <w:webHidden/>
          </w:rPr>
          <w:fldChar w:fldCharType="end"/>
        </w:r>
      </w:hyperlink>
    </w:p>
    <w:p w:rsidR="006A0962" w:rsidRDefault="00C56410">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282772800" w:history="1">
        <w:r w:rsidR="006A0962" w:rsidRPr="00D824B7">
          <w:rPr>
            <w:rStyle w:val="Hyperlink"/>
            <w:noProof/>
          </w:rPr>
          <w:t>Conclusion</w:t>
        </w:r>
        <w:r w:rsidR="006A0962">
          <w:rPr>
            <w:noProof/>
            <w:webHidden/>
          </w:rPr>
          <w:tab/>
        </w:r>
        <w:r w:rsidR="00826E64">
          <w:rPr>
            <w:noProof/>
            <w:webHidden/>
          </w:rPr>
          <w:fldChar w:fldCharType="begin"/>
        </w:r>
        <w:r w:rsidR="006A0962">
          <w:rPr>
            <w:noProof/>
            <w:webHidden/>
          </w:rPr>
          <w:instrText xml:space="preserve"> PAGEREF _Toc282772800 \h </w:instrText>
        </w:r>
        <w:r w:rsidR="00826E64">
          <w:rPr>
            <w:noProof/>
            <w:webHidden/>
          </w:rPr>
        </w:r>
        <w:r w:rsidR="00826E64">
          <w:rPr>
            <w:noProof/>
            <w:webHidden/>
          </w:rPr>
          <w:fldChar w:fldCharType="separate"/>
        </w:r>
        <w:r w:rsidR="00AD14ED">
          <w:rPr>
            <w:noProof/>
            <w:webHidden/>
          </w:rPr>
          <w:t>9</w:t>
        </w:r>
        <w:r w:rsidR="00826E64">
          <w:rPr>
            <w:noProof/>
            <w:webHidden/>
          </w:rPr>
          <w:fldChar w:fldCharType="end"/>
        </w:r>
      </w:hyperlink>
    </w:p>
    <w:p w:rsidR="006A0962" w:rsidRDefault="00C56410">
      <w:pPr>
        <w:pStyle w:val="TOC2"/>
        <w:tabs>
          <w:tab w:val="left" w:pos="960"/>
          <w:tab w:val="right" w:leader="dot" w:pos="9016"/>
        </w:tabs>
        <w:rPr>
          <w:rFonts w:asciiTheme="minorHAnsi" w:eastAsiaTheme="minorEastAsia" w:hAnsiTheme="minorHAnsi" w:cstheme="minorBidi"/>
          <w:smallCaps w:val="0"/>
          <w:noProof/>
          <w:szCs w:val="22"/>
          <w:lang w:eastAsia="en-GB" w:bidi="ar-SA"/>
        </w:rPr>
      </w:pPr>
      <w:hyperlink w:anchor="_Toc282772801" w:history="1">
        <w:r w:rsidR="006A0962" w:rsidRPr="00D824B7">
          <w:rPr>
            <w:rStyle w:val="Hyperlink"/>
            <w:noProof/>
          </w:rPr>
          <w:t>10.</w:t>
        </w:r>
        <w:r w:rsidR="006A0962">
          <w:rPr>
            <w:rFonts w:asciiTheme="minorHAnsi" w:eastAsiaTheme="minorEastAsia" w:hAnsiTheme="minorHAnsi" w:cstheme="minorBidi"/>
            <w:smallCaps w:val="0"/>
            <w:noProof/>
            <w:szCs w:val="22"/>
            <w:lang w:eastAsia="en-GB" w:bidi="ar-SA"/>
          </w:rPr>
          <w:tab/>
        </w:r>
        <w:r w:rsidR="006A0962" w:rsidRPr="00D824B7">
          <w:rPr>
            <w:rStyle w:val="Hyperlink"/>
            <w:noProof/>
          </w:rPr>
          <w:t>Conclusion and Decision</w:t>
        </w:r>
        <w:r w:rsidR="006A0962">
          <w:rPr>
            <w:noProof/>
            <w:webHidden/>
          </w:rPr>
          <w:tab/>
        </w:r>
        <w:r w:rsidR="00826E64">
          <w:rPr>
            <w:noProof/>
            <w:webHidden/>
          </w:rPr>
          <w:fldChar w:fldCharType="begin"/>
        </w:r>
        <w:r w:rsidR="006A0962">
          <w:rPr>
            <w:noProof/>
            <w:webHidden/>
          </w:rPr>
          <w:instrText xml:space="preserve"> PAGEREF _Toc282772801 \h </w:instrText>
        </w:r>
        <w:r w:rsidR="00826E64">
          <w:rPr>
            <w:noProof/>
            <w:webHidden/>
          </w:rPr>
        </w:r>
        <w:r w:rsidR="00826E64">
          <w:rPr>
            <w:noProof/>
            <w:webHidden/>
          </w:rPr>
          <w:fldChar w:fldCharType="separate"/>
        </w:r>
        <w:r w:rsidR="00AD14ED">
          <w:rPr>
            <w:noProof/>
            <w:webHidden/>
          </w:rPr>
          <w:t>9</w:t>
        </w:r>
        <w:r w:rsidR="00826E64">
          <w:rPr>
            <w:noProof/>
            <w:webHidden/>
          </w:rPr>
          <w:fldChar w:fldCharType="end"/>
        </w:r>
      </w:hyperlink>
    </w:p>
    <w:p w:rsidR="006A0962" w:rsidRDefault="00C56410">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282772802" w:history="1">
        <w:r w:rsidR="006A0962" w:rsidRPr="00D824B7">
          <w:rPr>
            <w:rStyle w:val="Hyperlink"/>
            <w:noProof/>
          </w:rPr>
          <w:t>10.1</w:t>
        </w:r>
        <w:r w:rsidR="006A0962">
          <w:rPr>
            <w:rFonts w:asciiTheme="minorHAnsi" w:eastAsiaTheme="minorEastAsia" w:hAnsiTheme="minorHAnsi" w:cstheme="minorBidi"/>
            <w:i w:val="0"/>
            <w:iCs w:val="0"/>
            <w:noProof/>
            <w:szCs w:val="22"/>
            <w:lang w:eastAsia="en-GB" w:bidi="ar-SA"/>
          </w:rPr>
          <w:tab/>
        </w:r>
        <w:r w:rsidR="006A0962" w:rsidRPr="00D824B7">
          <w:rPr>
            <w:rStyle w:val="Hyperlink"/>
            <w:noProof/>
          </w:rPr>
          <w:t>Reasons for Decision</w:t>
        </w:r>
        <w:r w:rsidR="006A0962">
          <w:rPr>
            <w:noProof/>
            <w:webHidden/>
          </w:rPr>
          <w:tab/>
        </w:r>
        <w:r w:rsidR="00826E64">
          <w:rPr>
            <w:noProof/>
            <w:webHidden/>
          </w:rPr>
          <w:fldChar w:fldCharType="begin"/>
        </w:r>
        <w:r w:rsidR="006A0962">
          <w:rPr>
            <w:noProof/>
            <w:webHidden/>
          </w:rPr>
          <w:instrText xml:space="preserve"> PAGEREF _Toc282772802 \h </w:instrText>
        </w:r>
        <w:r w:rsidR="00826E64">
          <w:rPr>
            <w:noProof/>
            <w:webHidden/>
          </w:rPr>
        </w:r>
        <w:r w:rsidR="00826E64">
          <w:rPr>
            <w:noProof/>
            <w:webHidden/>
          </w:rPr>
          <w:fldChar w:fldCharType="separate"/>
        </w:r>
        <w:r w:rsidR="00AD14ED">
          <w:rPr>
            <w:noProof/>
            <w:webHidden/>
          </w:rPr>
          <w:t>10</w:t>
        </w:r>
        <w:r w:rsidR="00826E64">
          <w:rPr>
            <w:noProof/>
            <w:webHidden/>
          </w:rPr>
          <w:fldChar w:fldCharType="end"/>
        </w:r>
      </w:hyperlink>
    </w:p>
    <w:p w:rsidR="006A0962" w:rsidRDefault="00C56410">
      <w:pPr>
        <w:pStyle w:val="TOC2"/>
        <w:tabs>
          <w:tab w:val="left" w:pos="960"/>
          <w:tab w:val="right" w:leader="dot" w:pos="9016"/>
        </w:tabs>
        <w:rPr>
          <w:rFonts w:asciiTheme="minorHAnsi" w:eastAsiaTheme="minorEastAsia" w:hAnsiTheme="minorHAnsi" w:cstheme="minorBidi"/>
          <w:smallCaps w:val="0"/>
          <w:noProof/>
          <w:szCs w:val="22"/>
          <w:lang w:eastAsia="en-GB" w:bidi="ar-SA"/>
        </w:rPr>
      </w:pPr>
      <w:hyperlink w:anchor="_Toc282772803" w:history="1">
        <w:r w:rsidR="006A0962" w:rsidRPr="00D824B7">
          <w:rPr>
            <w:rStyle w:val="Hyperlink"/>
            <w:rFonts w:cs="Arial"/>
            <w:noProof/>
          </w:rPr>
          <w:t>11.</w:t>
        </w:r>
        <w:r w:rsidR="006A0962">
          <w:rPr>
            <w:rFonts w:asciiTheme="minorHAnsi" w:eastAsiaTheme="minorEastAsia" w:hAnsiTheme="minorHAnsi" w:cstheme="minorBidi"/>
            <w:smallCaps w:val="0"/>
            <w:noProof/>
            <w:szCs w:val="22"/>
            <w:lang w:eastAsia="en-GB" w:bidi="ar-SA"/>
          </w:rPr>
          <w:tab/>
        </w:r>
        <w:r w:rsidR="006A0962" w:rsidRPr="00D824B7">
          <w:rPr>
            <w:rStyle w:val="Hyperlink"/>
            <w:rFonts w:cs="Arial"/>
            <w:noProof/>
          </w:rPr>
          <w:t>Implementation and Review</w:t>
        </w:r>
        <w:r w:rsidR="006A0962">
          <w:rPr>
            <w:noProof/>
            <w:webHidden/>
          </w:rPr>
          <w:tab/>
        </w:r>
        <w:r w:rsidR="00826E64">
          <w:rPr>
            <w:noProof/>
            <w:webHidden/>
          </w:rPr>
          <w:fldChar w:fldCharType="begin"/>
        </w:r>
        <w:r w:rsidR="006A0962">
          <w:rPr>
            <w:noProof/>
            <w:webHidden/>
          </w:rPr>
          <w:instrText xml:space="preserve"> PAGEREF _Toc282772803 \h </w:instrText>
        </w:r>
        <w:r w:rsidR="00826E64">
          <w:rPr>
            <w:noProof/>
            <w:webHidden/>
          </w:rPr>
        </w:r>
        <w:r w:rsidR="00826E64">
          <w:rPr>
            <w:noProof/>
            <w:webHidden/>
          </w:rPr>
          <w:fldChar w:fldCharType="separate"/>
        </w:r>
        <w:r w:rsidR="00AD14ED">
          <w:rPr>
            <w:noProof/>
            <w:webHidden/>
          </w:rPr>
          <w:t>10</w:t>
        </w:r>
        <w:r w:rsidR="00826E64">
          <w:rPr>
            <w:noProof/>
            <w:webHidden/>
          </w:rPr>
          <w:fldChar w:fldCharType="end"/>
        </w:r>
      </w:hyperlink>
    </w:p>
    <w:p w:rsidR="006A0962" w:rsidRDefault="00C56410">
      <w:pPr>
        <w:pStyle w:val="TOC2"/>
        <w:tabs>
          <w:tab w:val="right" w:leader="dot" w:pos="9016"/>
        </w:tabs>
        <w:rPr>
          <w:rFonts w:asciiTheme="minorHAnsi" w:eastAsiaTheme="minorEastAsia" w:hAnsiTheme="minorHAnsi" w:cstheme="minorBidi"/>
          <w:smallCaps w:val="0"/>
          <w:noProof/>
          <w:szCs w:val="22"/>
          <w:lang w:eastAsia="en-GB" w:bidi="ar-SA"/>
        </w:rPr>
      </w:pPr>
      <w:hyperlink w:anchor="_Toc282772804" w:history="1">
        <w:r w:rsidR="006A0962" w:rsidRPr="00D824B7">
          <w:rPr>
            <w:rStyle w:val="Hyperlink"/>
            <w:rFonts w:cs="Arial"/>
            <w:noProof/>
          </w:rPr>
          <w:t>Attachment 1A</w:t>
        </w:r>
        <w:r w:rsidR="00FD3C92">
          <w:rPr>
            <w:rStyle w:val="Hyperlink"/>
            <w:rFonts w:cs="Arial"/>
            <w:noProof/>
          </w:rPr>
          <w:t xml:space="preserve"> - </w:t>
        </w:r>
      </w:hyperlink>
      <w:hyperlink w:anchor="_Toc282772805" w:history="1">
        <w:r w:rsidR="006A0962" w:rsidRPr="00D824B7">
          <w:rPr>
            <w:rStyle w:val="Hyperlink"/>
            <w:rFonts w:cs="Arial"/>
            <w:noProof/>
          </w:rPr>
          <w:t xml:space="preserve">Draft variations to the </w:t>
        </w:r>
        <w:r w:rsidR="006A0962" w:rsidRPr="00D824B7">
          <w:rPr>
            <w:rStyle w:val="Hyperlink"/>
            <w:rFonts w:cs="Arial"/>
            <w:i/>
            <w:noProof/>
          </w:rPr>
          <w:t xml:space="preserve">Australia New Zealand Food Standards Code </w:t>
        </w:r>
        <w:r w:rsidR="006A0962" w:rsidRPr="00D824B7">
          <w:rPr>
            <w:rStyle w:val="Hyperlink"/>
            <w:rFonts w:cs="Arial"/>
            <w:noProof/>
          </w:rPr>
          <w:t>(at Approval)</w:t>
        </w:r>
        <w:r w:rsidR="006A0962">
          <w:rPr>
            <w:noProof/>
            <w:webHidden/>
          </w:rPr>
          <w:tab/>
        </w:r>
        <w:r w:rsidR="00826E64">
          <w:rPr>
            <w:noProof/>
            <w:webHidden/>
          </w:rPr>
          <w:fldChar w:fldCharType="begin"/>
        </w:r>
        <w:r w:rsidR="006A0962">
          <w:rPr>
            <w:noProof/>
            <w:webHidden/>
          </w:rPr>
          <w:instrText xml:space="preserve"> PAGEREF _Toc282772805 \h </w:instrText>
        </w:r>
        <w:r w:rsidR="00826E64">
          <w:rPr>
            <w:noProof/>
            <w:webHidden/>
          </w:rPr>
        </w:r>
        <w:r w:rsidR="00826E64">
          <w:rPr>
            <w:noProof/>
            <w:webHidden/>
          </w:rPr>
          <w:fldChar w:fldCharType="separate"/>
        </w:r>
        <w:r w:rsidR="00AD14ED">
          <w:rPr>
            <w:noProof/>
            <w:webHidden/>
          </w:rPr>
          <w:t>11</w:t>
        </w:r>
        <w:r w:rsidR="00826E64">
          <w:rPr>
            <w:noProof/>
            <w:webHidden/>
          </w:rPr>
          <w:fldChar w:fldCharType="end"/>
        </w:r>
      </w:hyperlink>
    </w:p>
    <w:p w:rsidR="006A0962" w:rsidRDefault="00C56410">
      <w:pPr>
        <w:pStyle w:val="TOC2"/>
        <w:tabs>
          <w:tab w:val="right" w:leader="dot" w:pos="9016"/>
        </w:tabs>
        <w:rPr>
          <w:rFonts w:asciiTheme="minorHAnsi" w:eastAsiaTheme="minorEastAsia" w:hAnsiTheme="minorHAnsi" w:cstheme="minorBidi"/>
          <w:smallCaps w:val="0"/>
          <w:noProof/>
          <w:szCs w:val="22"/>
          <w:lang w:eastAsia="en-GB" w:bidi="ar-SA"/>
        </w:rPr>
      </w:pPr>
      <w:hyperlink w:anchor="_Toc282772806" w:history="1">
        <w:r w:rsidR="006A0962" w:rsidRPr="00D824B7">
          <w:rPr>
            <w:rStyle w:val="Hyperlink"/>
            <w:rFonts w:cs="Arial"/>
            <w:noProof/>
          </w:rPr>
          <w:t>Attachment 1B</w:t>
        </w:r>
        <w:r w:rsidR="00FD3C92">
          <w:rPr>
            <w:rStyle w:val="Hyperlink"/>
            <w:rFonts w:cs="Arial"/>
            <w:noProof/>
          </w:rPr>
          <w:t xml:space="preserve"> - </w:t>
        </w:r>
      </w:hyperlink>
      <w:hyperlink w:anchor="_Toc282772807" w:history="1">
        <w:r w:rsidR="006A0962" w:rsidRPr="00D824B7">
          <w:rPr>
            <w:rStyle w:val="Hyperlink"/>
            <w:rFonts w:cs="Arial"/>
            <w:noProof/>
          </w:rPr>
          <w:t xml:space="preserve">Draft variation to the </w:t>
        </w:r>
        <w:r w:rsidR="006A0962" w:rsidRPr="00D824B7">
          <w:rPr>
            <w:rStyle w:val="Hyperlink"/>
            <w:rFonts w:cs="Arial"/>
            <w:i/>
            <w:noProof/>
          </w:rPr>
          <w:t>Australia New Zealand Food Standards Code</w:t>
        </w:r>
        <w:r w:rsidR="006A0962" w:rsidRPr="00D824B7">
          <w:rPr>
            <w:rStyle w:val="Hyperlink"/>
            <w:rFonts w:cs="Arial"/>
            <w:noProof/>
          </w:rPr>
          <w:t xml:space="preserve"> (at Assessment)</w:t>
        </w:r>
        <w:r w:rsidR="006A0962">
          <w:rPr>
            <w:noProof/>
            <w:webHidden/>
          </w:rPr>
          <w:tab/>
        </w:r>
        <w:r w:rsidR="00826E64">
          <w:rPr>
            <w:noProof/>
            <w:webHidden/>
          </w:rPr>
          <w:fldChar w:fldCharType="begin"/>
        </w:r>
        <w:r w:rsidR="006A0962">
          <w:rPr>
            <w:noProof/>
            <w:webHidden/>
          </w:rPr>
          <w:instrText xml:space="preserve"> PAGEREF _Toc282772807 \h </w:instrText>
        </w:r>
        <w:r w:rsidR="00826E64">
          <w:rPr>
            <w:noProof/>
            <w:webHidden/>
          </w:rPr>
        </w:r>
        <w:r w:rsidR="00826E64">
          <w:rPr>
            <w:noProof/>
            <w:webHidden/>
          </w:rPr>
          <w:fldChar w:fldCharType="separate"/>
        </w:r>
        <w:r w:rsidR="00AD14ED">
          <w:rPr>
            <w:noProof/>
            <w:webHidden/>
          </w:rPr>
          <w:t>12</w:t>
        </w:r>
        <w:r w:rsidR="00826E64">
          <w:rPr>
            <w:noProof/>
            <w:webHidden/>
          </w:rPr>
          <w:fldChar w:fldCharType="end"/>
        </w:r>
      </w:hyperlink>
    </w:p>
    <w:p w:rsidR="006A0962" w:rsidRDefault="00C56410">
      <w:pPr>
        <w:pStyle w:val="TOC2"/>
        <w:tabs>
          <w:tab w:val="right" w:leader="dot" w:pos="9016"/>
        </w:tabs>
        <w:rPr>
          <w:rFonts w:asciiTheme="minorHAnsi" w:eastAsiaTheme="minorEastAsia" w:hAnsiTheme="minorHAnsi" w:cstheme="minorBidi"/>
          <w:smallCaps w:val="0"/>
          <w:noProof/>
          <w:szCs w:val="22"/>
          <w:lang w:eastAsia="en-GB" w:bidi="ar-SA"/>
        </w:rPr>
      </w:pPr>
      <w:hyperlink w:anchor="_Toc282772808" w:history="1">
        <w:r w:rsidR="006A0962" w:rsidRPr="00D824B7">
          <w:rPr>
            <w:rStyle w:val="Hyperlink"/>
            <w:noProof/>
          </w:rPr>
          <w:t>Attachment 2</w:t>
        </w:r>
        <w:r w:rsidR="00FD3C92">
          <w:rPr>
            <w:rStyle w:val="Hyperlink"/>
            <w:noProof/>
          </w:rPr>
          <w:t xml:space="preserve"> - </w:t>
        </w:r>
      </w:hyperlink>
      <w:hyperlink w:anchor="_Toc282772809" w:history="1">
        <w:r w:rsidR="006A0962" w:rsidRPr="00D824B7">
          <w:rPr>
            <w:rStyle w:val="Hyperlink"/>
            <w:noProof/>
          </w:rPr>
          <w:t>Summary of Public Submissions on the Assessment Report</w:t>
        </w:r>
        <w:r w:rsidR="006A0962">
          <w:rPr>
            <w:noProof/>
            <w:webHidden/>
          </w:rPr>
          <w:tab/>
        </w:r>
        <w:r w:rsidR="00826E64">
          <w:rPr>
            <w:noProof/>
            <w:webHidden/>
          </w:rPr>
          <w:fldChar w:fldCharType="begin"/>
        </w:r>
        <w:r w:rsidR="006A0962">
          <w:rPr>
            <w:noProof/>
            <w:webHidden/>
          </w:rPr>
          <w:instrText xml:space="preserve"> PAGEREF _Toc282772809 \h </w:instrText>
        </w:r>
        <w:r w:rsidR="00826E64">
          <w:rPr>
            <w:noProof/>
            <w:webHidden/>
          </w:rPr>
        </w:r>
        <w:r w:rsidR="00826E64">
          <w:rPr>
            <w:noProof/>
            <w:webHidden/>
          </w:rPr>
          <w:fldChar w:fldCharType="separate"/>
        </w:r>
        <w:r w:rsidR="00AD14ED">
          <w:rPr>
            <w:noProof/>
            <w:webHidden/>
          </w:rPr>
          <w:t>13</w:t>
        </w:r>
        <w:r w:rsidR="00826E64">
          <w:rPr>
            <w:noProof/>
            <w:webHidden/>
          </w:rPr>
          <w:fldChar w:fldCharType="end"/>
        </w:r>
      </w:hyperlink>
    </w:p>
    <w:p w:rsidR="00E907E7" w:rsidRPr="00DC6570" w:rsidRDefault="00826E64" w:rsidP="00E907E7">
      <w:pPr>
        <w:rPr>
          <w:rFonts w:cs="Arial"/>
        </w:rPr>
      </w:pPr>
      <w:r w:rsidRPr="00DC6570">
        <w:rPr>
          <w:rFonts w:cs="Arial"/>
        </w:rPr>
        <w:fldChar w:fldCharType="end"/>
      </w:r>
    </w:p>
    <w:p w:rsidR="00E907E7" w:rsidRPr="00F23D4C" w:rsidRDefault="00E907E7" w:rsidP="00E907E7">
      <w:pPr>
        <w:pStyle w:val="TOC1"/>
        <w:rPr>
          <w:rStyle w:val="Hyperlink"/>
        </w:rPr>
      </w:pPr>
      <w:r>
        <w:rPr>
          <w:rStyle w:val="Hyperlink"/>
        </w:rPr>
        <w:t>SUPPORTING DOCUMENT</w:t>
      </w:r>
    </w:p>
    <w:p w:rsidR="00E907E7" w:rsidRPr="00F23D4C" w:rsidRDefault="00E907E7" w:rsidP="00E907E7">
      <w:pPr>
        <w:rPr>
          <w:szCs w:val="22"/>
        </w:rPr>
      </w:pPr>
    </w:p>
    <w:p w:rsidR="00E907E7" w:rsidRPr="00F23D4C" w:rsidRDefault="00E907E7" w:rsidP="00E907E7">
      <w:pPr>
        <w:rPr>
          <w:szCs w:val="22"/>
        </w:rPr>
      </w:pPr>
      <w:r w:rsidRPr="00F23D4C">
        <w:rPr>
          <w:szCs w:val="22"/>
        </w:rPr>
        <w:t xml:space="preserve">The following material, which was used in the preparation of this </w:t>
      </w:r>
      <w:r>
        <w:rPr>
          <w:szCs w:val="22"/>
        </w:rPr>
        <w:t>Approval</w:t>
      </w:r>
      <w:r w:rsidRPr="00F23D4C">
        <w:rPr>
          <w:szCs w:val="22"/>
        </w:rPr>
        <w:t xml:space="preserve"> Report, is available on the FSANZ website at </w:t>
      </w:r>
    </w:p>
    <w:p w:rsidR="00E907E7" w:rsidRPr="00C078BF" w:rsidRDefault="00C56410" w:rsidP="00E907E7">
      <w:pPr>
        <w:rPr>
          <w:color w:val="0000FF"/>
        </w:rPr>
      </w:pPr>
      <w:hyperlink r:id="rId13" w:history="1">
        <w:r w:rsidR="00E907E7" w:rsidRPr="00C078BF">
          <w:rPr>
            <w:rStyle w:val="Hyperlink"/>
            <w:color w:val="0000FF"/>
          </w:rPr>
          <w:t>http://www.foodstandards.gov.au/foodstandards/applications/applicationa1048coex4892.cfm</w:t>
        </w:r>
      </w:hyperlink>
    </w:p>
    <w:p w:rsidR="00E907E7" w:rsidRDefault="00E907E7" w:rsidP="00E907E7"/>
    <w:p w:rsidR="00E907E7" w:rsidRPr="00F23D4C" w:rsidRDefault="00696C8D" w:rsidP="00E907E7">
      <w:r>
        <w:t>SD</w:t>
      </w:r>
      <w:r w:rsidR="00E907E7" w:rsidRPr="00F23D4C">
        <w:tab/>
      </w:r>
      <w:r w:rsidR="00E907E7">
        <w:t>Risk and Technical Assessment</w:t>
      </w:r>
      <w:r w:rsidR="00E907E7" w:rsidRPr="00F23D4C">
        <w:t xml:space="preserve"> Report </w:t>
      </w:r>
    </w:p>
    <w:p w:rsidR="00E907E7" w:rsidRPr="00F23D4C" w:rsidRDefault="00E907E7" w:rsidP="00E907E7"/>
    <w:p w:rsidR="00E907E7" w:rsidRPr="003E46BA" w:rsidRDefault="00E907E7" w:rsidP="00E907E7">
      <w:pPr>
        <w:pStyle w:val="Heading1"/>
      </w:pPr>
      <w:bookmarkStart w:id="19" w:name="_Toc29883110"/>
      <w:bookmarkStart w:id="20" w:name="_Toc41906797"/>
      <w:bookmarkStart w:id="21" w:name="_Toc41907544"/>
      <w:bookmarkStart w:id="22" w:name="_Toc120358575"/>
      <w:r w:rsidRPr="00DC6570">
        <w:br w:type="page"/>
      </w:r>
      <w:bookmarkStart w:id="23" w:name="_Toc282772774"/>
      <w:r w:rsidRPr="001C27A3">
        <w:lastRenderedPageBreak/>
        <w:t>Introduction</w:t>
      </w:r>
      <w:bookmarkEnd w:id="18"/>
      <w:bookmarkEnd w:id="19"/>
      <w:bookmarkEnd w:id="20"/>
      <w:bookmarkEnd w:id="21"/>
      <w:bookmarkEnd w:id="22"/>
      <w:bookmarkEnd w:id="23"/>
    </w:p>
    <w:p w:rsidR="00E907E7" w:rsidRDefault="00E907E7" w:rsidP="00E907E7">
      <w:pPr>
        <w:pStyle w:val="Heading3"/>
        <w:rPr>
          <w:rFonts w:cs="Arial"/>
        </w:rPr>
      </w:pPr>
      <w:bookmarkStart w:id="24" w:name="_Toc120358576"/>
    </w:p>
    <w:p w:rsidR="00E907E7" w:rsidRDefault="00E907E7" w:rsidP="00E907E7">
      <w:r>
        <w:t>Food Standards Australia New Zealand (FSANZ) received an Application from BASF on 3 June 2010. This Application sought to amend Standard 1.3.3 – Processing Aids of the</w:t>
      </w:r>
      <w:r>
        <w:rPr>
          <w:i/>
        </w:rPr>
        <w:t xml:space="preserve"> Australia New Zealand Food Standards Code </w:t>
      </w:r>
      <w:r>
        <w:t xml:space="preserve">(the Code) to include a new processing aid, which is an extrudate from polystyrene and polyvinyl polypyrrolidone (PVPP) (the resin). </w:t>
      </w:r>
    </w:p>
    <w:p w:rsidR="00E907E7" w:rsidRDefault="00E907E7" w:rsidP="00E907E7"/>
    <w:p w:rsidR="00E907E7" w:rsidRDefault="00E907E7" w:rsidP="00E907E7">
      <w:pPr>
        <w:pStyle w:val="Heading2"/>
        <w:rPr>
          <w:rFonts w:cs="Arial"/>
        </w:rPr>
      </w:pPr>
      <w:bookmarkStart w:id="25" w:name="_Toc282772775"/>
      <w:bookmarkEnd w:id="24"/>
      <w:r>
        <w:rPr>
          <w:rFonts w:cs="Arial"/>
        </w:rPr>
        <w:t>1</w:t>
      </w:r>
      <w:r w:rsidRPr="00DC6570">
        <w:rPr>
          <w:rFonts w:cs="Arial"/>
        </w:rPr>
        <w:t>.</w:t>
      </w:r>
      <w:r w:rsidRPr="00DC6570">
        <w:rPr>
          <w:rFonts w:cs="Arial"/>
        </w:rPr>
        <w:tab/>
        <w:t>The Issue / Problem</w:t>
      </w:r>
      <w:bookmarkEnd w:id="25"/>
      <w:r>
        <w:rPr>
          <w:rFonts w:cs="Arial"/>
        </w:rPr>
        <w:t xml:space="preserve"> </w:t>
      </w:r>
    </w:p>
    <w:p w:rsidR="00E907E7" w:rsidRDefault="00E907E7" w:rsidP="00E907E7"/>
    <w:p w:rsidR="00E907E7" w:rsidRDefault="00E907E7" w:rsidP="00E907E7">
      <w:r>
        <w:t>The Applicant proposes the use of the resin in beverages and liquid foods, particularly beer. The resin is proposed to be used as a filtration, clarification and adsorbent agent to clarify and improve the stability of the treated beverage, as an alternative to current treatments.</w:t>
      </w:r>
    </w:p>
    <w:p w:rsidR="00E907E7" w:rsidRDefault="00E907E7" w:rsidP="00E907E7"/>
    <w:p w:rsidR="00E907E7" w:rsidRDefault="00E907E7" w:rsidP="00E907E7">
      <w:pPr>
        <w:rPr>
          <w:rFonts w:cs="Arial"/>
        </w:rPr>
      </w:pPr>
      <w:r>
        <w:rPr>
          <w:rFonts w:cs="Arial"/>
        </w:rPr>
        <w:t>A pre-market assessment and approval is required before any new processing aid is permitted. A safety assessment of the resin, as well as an assessment of the technological suitability of the resin for its purported use, must be undertaken and considered before any permission may be granted.</w:t>
      </w:r>
    </w:p>
    <w:p w:rsidR="00E907E7" w:rsidRDefault="00E907E7" w:rsidP="00E907E7">
      <w:pPr>
        <w:rPr>
          <w:rFonts w:cs="Arial"/>
        </w:rPr>
      </w:pPr>
    </w:p>
    <w:p w:rsidR="00E907E7" w:rsidRPr="006A48A7" w:rsidRDefault="00E907E7" w:rsidP="00E907E7">
      <w:pPr>
        <w:pStyle w:val="Heading2"/>
      </w:pPr>
      <w:bookmarkStart w:id="26" w:name="_Toc11735630"/>
      <w:bookmarkStart w:id="27" w:name="_Toc29883114"/>
      <w:bookmarkStart w:id="28" w:name="_Toc41906801"/>
      <w:bookmarkStart w:id="29" w:name="_Toc41907548"/>
      <w:bookmarkStart w:id="30" w:name="_Toc120358578"/>
      <w:bookmarkStart w:id="31" w:name="_Toc282772776"/>
      <w:r>
        <w:t>2</w:t>
      </w:r>
      <w:r w:rsidRPr="00DC6570">
        <w:t>.</w:t>
      </w:r>
      <w:r w:rsidRPr="00DC6570">
        <w:tab/>
      </w:r>
      <w:bookmarkEnd w:id="26"/>
      <w:bookmarkEnd w:id="27"/>
      <w:bookmarkEnd w:id="28"/>
      <w:bookmarkEnd w:id="29"/>
      <w:bookmarkEnd w:id="30"/>
      <w:r w:rsidRPr="00DC6570">
        <w:t>Current Standard</w:t>
      </w:r>
      <w:bookmarkEnd w:id="31"/>
    </w:p>
    <w:p w:rsidR="00E907E7" w:rsidRPr="00DC6570" w:rsidRDefault="00E907E7" w:rsidP="00E907E7">
      <w:pPr>
        <w:rPr>
          <w:rFonts w:cs="Arial"/>
        </w:rPr>
      </w:pPr>
    </w:p>
    <w:p w:rsidR="00E907E7" w:rsidRPr="00DC6570" w:rsidRDefault="00E907E7" w:rsidP="00E907E7">
      <w:pPr>
        <w:pStyle w:val="Heading3"/>
        <w:rPr>
          <w:rFonts w:cs="Arial"/>
        </w:rPr>
      </w:pPr>
      <w:bookmarkStart w:id="32" w:name="_Toc11735631"/>
      <w:bookmarkStart w:id="33" w:name="_Toc29883115"/>
      <w:bookmarkStart w:id="34" w:name="_Toc41906802"/>
      <w:bookmarkStart w:id="35" w:name="_Toc41907549"/>
      <w:bookmarkStart w:id="36" w:name="_Toc120358579"/>
      <w:bookmarkStart w:id="37" w:name="_Toc282772777"/>
      <w:r>
        <w:rPr>
          <w:rFonts w:cs="Arial"/>
        </w:rPr>
        <w:t>2</w:t>
      </w:r>
      <w:r w:rsidRPr="00DC6570">
        <w:rPr>
          <w:rFonts w:cs="Arial"/>
        </w:rPr>
        <w:t>.1</w:t>
      </w:r>
      <w:r w:rsidRPr="00DC6570">
        <w:rPr>
          <w:rFonts w:cs="Arial"/>
        </w:rPr>
        <w:tab/>
      </w:r>
      <w:bookmarkEnd w:id="32"/>
      <w:bookmarkEnd w:id="33"/>
      <w:bookmarkEnd w:id="34"/>
      <w:bookmarkEnd w:id="35"/>
      <w:bookmarkEnd w:id="36"/>
      <w:r w:rsidRPr="00DC6570">
        <w:rPr>
          <w:rFonts w:cs="Arial"/>
        </w:rPr>
        <w:t>Background</w:t>
      </w:r>
      <w:bookmarkEnd w:id="37"/>
    </w:p>
    <w:p w:rsidR="00E907E7" w:rsidRDefault="00E907E7" w:rsidP="00E907E7"/>
    <w:p w:rsidR="00E907E7" w:rsidRPr="00B731D0" w:rsidRDefault="00E907E7" w:rsidP="00E907E7">
      <w:r w:rsidRPr="00B731D0">
        <w:t xml:space="preserve">Processing aids used in food manufacture are regulated under Standard 1.3.3. </w:t>
      </w:r>
    </w:p>
    <w:p w:rsidR="00E907E7" w:rsidRPr="00B731D0" w:rsidRDefault="00E907E7" w:rsidP="00E907E7"/>
    <w:p w:rsidR="00E907E7" w:rsidRPr="00B731D0" w:rsidRDefault="00E907E7" w:rsidP="00E907E7">
      <w:r>
        <w:t>A</w:t>
      </w:r>
      <w:r w:rsidRPr="00B731D0">
        <w:t xml:space="preserve"> processing aid </w:t>
      </w:r>
      <w:r>
        <w:t>is described in clause</w:t>
      </w:r>
      <w:r w:rsidRPr="00B731D0">
        <w:t xml:space="preserve"> 1 of Standard 1.3.3 </w:t>
      </w:r>
      <w:r>
        <w:t>a</w:t>
      </w:r>
      <w:r w:rsidRPr="00B731D0">
        <w:t>s:</w:t>
      </w:r>
    </w:p>
    <w:p w:rsidR="00E907E7" w:rsidRPr="00B731D0" w:rsidRDefault="00E907E7" w:rsidP="00E907E7"/>
    <w:p w:rsidR="00E907E7" w:rsidRPr="007B5A68" w:rsidRDefault="00E907E7" w:rsidP="00E907E7">
      <w:pPr>
        <w:ind w:left="567"/>
        <w:rPr>
          <w:i/>
        </w:rPr>
      </w:pPr>
      <w:r w:rsidRPr="007B5A68">
        <w:rPr>
          <w:i/>
        </w:rPr>
        <w:t>A substance listed in clauses 3 to 18, where –</w:t>
      </w:r>
    </w:p>
    <w:p w:rsidR="00E907E7" w:rsidRPr="007B5A68" w:rsidRDefault="00E907E7" w:rsidP="00E907E7">
      <w:pPr>
        <w:ind w:left="567"/>
        <w:rPr>
          <w:i/>
        </w:rPr>
      </w:pPr>
    </w:p>
    <w:p w:rsidR="00E907E7" w:rsidRPr="007B5A68" w:rsidRDefault="00E907E7" w:rsidP="00E907E7">
      <w:pPr>
        <w:ind w:left="1134" w:hanging="567"/>
        <w:rPr>
          <w:i/>
        </w:rPr>
      </w:pPr>
      <w:r w:rsidRPr="007B5A68">
        <w:rPr>
          <w:i/>
        </w:rPr>
        <w:t>(a)</w:t>
      </w:r>
      <w:r w:rsidRPr="007B5A68">
        <w:rPr>
          <w:i/>
        </w:rPr>
        <w:tab/>
        <w:t>the substance is used in the processing of raw materials, foods or ingredients, to fulfil a technological purpose relating to treatment or processing, but does not perform a technological function in the final food; and</w:t>
      </w:r>
    </w:p>
    <w:p w:rsidR="00E907E7" w:rsidRPr="00873C80" w:rsidRDefault="00E907E7" w:rsidP="00E907E7">
      <w:pPr>
        <w:ind w:left="1134" w:hanging="567"/>
        <w:rPr>
          <w:i/>
        </w:rPr>
      </w:pPr>
      <w:r w:rsidRPr="007B5A68">
        <w:rPr>
          <w:i/>
        </w:rPr>
        <w:t>(b)</w:t>
      </w:r>
      <w:r w:rsidRPr="007B5A68">
        <w:rPr>
          <w:i/>
        </w:rPr>
        <w:tab/>
      </w:r>
      <w:proofErr w:type="gramStart"/>
      <w:r w:rsidRPr="007B5A68">
        <w:rPr>
          <w:i/>
        </w:rPr>
        <w:t>the</w:t>
      </w:r>
      <w:proofErr w:type="gramEnd"/>
      <w:r w:rsidRPr="007B5A68">
        <w:rPr>
          <w:i/>
        </w:rPr>
        <w:t xml:space="preserve"> substance is used in the course of manufacture of a food at the lowest level necessary to achieve a function in the processing of that food, irrespective of any </w:t>
      </w:r>
      <w:r w:rsidRPr="00873C80">
        <w:rPr>
          <w:i/>
        </w:rPr>
        <w:t>maximum permitted level specified.</w:t>
      </w:r>
    </w:p>
    <w:p w:rsidR="00E907E7" w:rsidRPr="00873C80" w:rsidRDefault="00E907E7" w:rsidP="00E907E7">
      <w:pPr>
        <w:rPr>
          <w:rFonts w:cs="Arial"/>
        </w:rPr>
      </w:pPr>
    </w:p>
    <w:p w:rsidR="00E907E7" w:rsidRPr="00873C80" w:rsidRDefault="00E907E7" w:rsidP="00E907E7">
      <w:pPr>
        <w:rPr>
          <w:rFonts w:cs="Arial"/>
        </w:rPr>
      </w:pPr>
      <w:r w:rsidRPr="00873C80">
        <w:rPr>
          <w:rFonts w:cs="Arial"/>
        </w:rPr>
        <w:t xml:space="preserve">The Table to clause 6 contains a list of permitted decolourants, clarifying, filtration and adsorbent agents. The resin is not a currently permitted processing aid, although </w:t>
      </w:r>
      <w:r>
        <w:t xml:space="preserve">various </w:t>
      </w:r>
      <w:r w:rsidR="00350F0D">
        <w:t>cross-linked polystyrene</w:t>
      </w:r>
      <w:r w:rsidR="000F782E">
        <w:t>-</w:t>
      </w:r>
      <w:r w:rsidR="00350F0D">
        <w:t xml:space="preserve"> and </w:t>
      </w:r>
      <w:r>
        <w:t>styr</w:t>
      </w:r>
      <w:r w:rsidR="00B86B6F">
        <w:t>ene-</w:t>
      </w:r>
      <w:r w:rsidR="00350F0D">
        <w:t xml:space="preserve">based resins </w:t>
      </w:r>
      <w:r>
        <w:rPr>
          <w:rFonts w:cs="Arial"/>
        </w:rPr>
        <w:t>and PVPP are permitted as processing aids</w:t>
      </w:r>
      <w:r w:rsidRPr="00873C80">
        <w:rPr>
          <w:rFonts w:cs="Arial"/>
        </w:rPr>
        <w:t>.</w:t>
      </w:r>
      <w:r w:rsidR="00727A24">
        <w:rPr>
          <w:rFonts w:cs="Arial"/>
        </w:rPr>
        <w:t xml:space="preserve"> </w:t>
      </w:r>
      <w:r w:rsidR="00350F0D">
        <w:rPr>
          <w:rFonts w:cs="Arial"/>
        </w:rPr>
        <w:t>However</w:t>
      </w:r>
      <w:r w:rsidR="00727A24">
        <w:rPr>
          <w:rFonts w:cs="Arial"/>
        </w:rPr>
        <w:t xml:space="preserve">, while various </w:t>
      </w:r>
      <w:r w:rsidR="00350F0D">
        <w:rPr>
          <w:rFonts w:cs="Arial"/>
        </w:rPr>
        <w:t>cross</w:t>
      </w:r>
      <w:r w:rsidR="00B86B6F">
        <w:rPr>
          <w:rFonts w:cs="Arial"/>
        </w:rPr>
        <w:t>-linked polystyrene</w:t>
      </w:r>
      <w:r w:rsidR="000F782E">
        <w:rPr>
          <w:rFonts w:cs="Arial"/>
        </w:rPr>
        <w:t>-</w:t>
      </w:r>
      <w:r w:rsidR="00B86B6F">
        <w:rPr>
          <w:rFonts w:cs="Arial"/>
        </w:rPr>
        <w:t xml:space="preserve"> and styrene-</w:t>
      </w:r>
      <w:r w:rsidR="00727A24">
        <w:rPr>
          <w:rFonts w:cs="Arial"/>
        </w:rPr>
        <w:t xml:space="preserve">based resins are currently permitted processing aids, polystyrene itself is not permitted as a processing aid. </w:t>
      </w:r>
    </w:p>
    <w:p w:rsidR="00E907E7" w:rsidRPr="00873C80" w:rsidRDefault="00E907E7" w:rsidP="00E907E7">
      <w:pPr>
        <w:rPr>
          <w:rFonts w:cs="Arial"/>
        </w:rPr>
      </w:pPr>
    </w:p>
    <w:p w:rsidR="00E907E7" w:rsidRPr="00873C80" w:rsidRDefault="00E907E7" w:rsidP="00E907E7">
      <w:pPr>
        <w:pStyle w:val="Heading3"/>
      </w:pPr>
      <w:bookmarkStart w:id="38" w:name="_Toc282772778"/>
      <w:r w:rsidRPr="00873C80">
        <w:t>2.2</w:t>
      </w:r>
      <w:r w:rsidRPr="00873C80">
        <w:tab/>
        <w:t>International Regulations</w:t>
      </w:r>
      <w:bookmarkEnd w:id="38"/>
    </w:p>
    <w:p w:rsidR="00E907E7" w:rsidRDefault="00E907E7" w:rsidP="00E907E7"/>
    <w:p w:rsidR="00E907E7" w:rsidRDefault="00E907E7" w:rsidP="00E907E7">
      <w:pPr>
        <w:rPr>
          <w:rFonts w:cs="Arial"/>
          <w:szCs w:val="22"/>
        </w:rPr>
      </w:pPr>
      <w:r w:rsidRPr="00E7569D">
        <w:rPr>
          <w:rFonts w:cs="Arial"/>
          <w:szCs w:val="22"/>
        </w:rPr>
        <w:t>T</w:t>
      </w:r>
      <w:r>
        <w:rPr>
          <w:rFonts w:cs="Arial"/>
          <w:szCs w:val="22"/>
        </w:rPr>
        <w:t>o date, t</w:t>
      </w:r>
      <w:r w:rsidRPr="00E7569D">
        <w:rPr>
          <w:rFonts w:cs="Arial"/>
          <w:szCs w:val="22"/>
        </w:rPr>
        <w:t>he resin</w:t>
      </w:r>
      <w:r>
        <w:rPr>
          <w:rFonts w:cs="Arial"/>
          <w:szCs w:val="22"/>
        </w:rPr>
        <w:t xml:space="preserve"> itself</w:t>
      </w:r>
      <w:r w:rsidRPr="00E7569D">
        <w:rPr>
          <w:rFonts w:cs="Arial"/>
          <w:szCs w:val="22"/>
        </w:rPr>
        <w:t xml:space="preserve"> has not been assessed by the Joint FAO/WHO Expert Committee on Food Additives</w:t>
      </w:r>
      <w:r>
        <w:rPr>
          <w:rFonts w:cs="Arial"/>
          <w:szCs w:val="22"/>
        </w:rPr>
        <w:t xml:space="preserve"> (JECFA)</w:t>
      </w:r>
      <w:r w:rsidRPr="00E7569D">
        <w:rPr>
          <w:rFonts w:cs="Arial"/>
          <w:szCs w:val="22"/>
        </w:rPr>
        <w:t xml:space="preserve">. </w:t>
      </w:r>
      <w:r w:rsidRPr="00B426DD">
        <w:rPr>
          <w:rFonts w:cs="Arial"/>
          <w:szCs w:val="22"/>
        </w:rPr>
        <w:t>However, PVPP has been assessed under the synonym insoluble polyvinylpyrrolidone by JECFA (Monograph 1 2006</w:t>
      </w:r>
      <w:r>
        <w:rPr>
          <w:rFonts w:cs="Arial"/>
          <w:szCs w:val="22"/>
        </w:rPr>
        <w:t>).</w:t>
      </w:r>
      <w:r w:rsidRPr="00E7569D">
        <w:rPr>
          <w:rFonts w:cs="Arial"/>
          <w:szCs w:val="22"/>
        </w:rPr>
        <w:t xml:space="preserve"> Food Chemicals Codex </w:t>
      </w:r>
      <w:r>
        <w:rPr>
          <w:rFonts w:cs="Arial"/>
          <w:szCs w:val="22"/>
        </w:rPr>
        <w:t xml:space="preserve">(FCC) </w:t>
      </w:r>
      <w:r w:rsidRPr="00E7569D">
        <w:rPr>
          <w:rFonts w:cs="Arial"/>
          <w:szCs w:val="22"/>
        </w:rPr>
        <w:t xml:space="preserve">has also assessed PVPP, </w:t>
      </w:r>
      <w:r>
        <w:rPr>
          <w:rFonts w:cs="Arial"/>
          <w:szCs w:val="22"/>
        </w:rPr>
        <w:t>although this monograph was</w:t>
      </w:r>
      <w:r w:rsidRPr="00E7569D">
        <w:rPr>
          <w:rFonts w:cs="Arial"/>
          <w:szCs w:val="22"/>
        </w:rPr>
        <w:t xml:space="preserve"> renamed crospovidone as of February 2010. </w:t>
      </w:r>
      <w:r>
        <w:rPr>
          <w:rFonts w:cs="Arial"/>
          <w:szCs w:val="22"/>
        </w:rPr>
        <w:t>Specifications for polystyrene exist in the US Code of Federal Regulations (§177.1640).</w:t>
      </w:r>
    </w:p>
    <w:p w:rsidR="00E907E7" w:rsidRDefault="00E907E7" w:rsidP="00E907E7">
      <w:pPr>
        <w:rPr>
          <w:rFonts w:cs="Arial"/>
          <w:szCs w:val="22"/>
        </w:rPr>
      </w:pPr>
    </w:p>
    <w:p w:rsidR="00E907E7" w:rsidRDefault="00E907E7" w:rsidP="00E907E7">
      <w:r>
        <w:rPr>
          <w:lang w:val="en-AU"/>
        </w:rPr>
        <w:t>The resin is approved for use in France, Russia and the US. Specific regulatory approval is not required in the European Union, China, India, the Philippines or South Africa and therefore the resin may be used in these jurisdictions.</w:t>
      </w:r>
    </w:p>
    <w:p w:rsidR="00E907E7" w:rsidRDefault="00E907E7" w:rsidP="00E907E7"/>
    <w:p w:rsidR="00E907E7" w:rsidRDefault="00E907E7" w:rsidP="00E907E7">
      <w:pPr>
        <w:pStyle w:val="Heading3"/>
        <w:keepLines/>
        <w:widowControl/>
      </w:pPr>
      <w:bookmarkStart w:id="39" w:name="_Toc282772779"/>
      <w:r>
        <w:lastRenderedPageBreak/>
        <w:t>2.3</w:t>
      </w:r>
      <w:r>
        <w:tab/>
        <w:t>Nature of the Resin</w:t>
      </w:r>
      <w:bookmarkEnd w:id="39"/>
    </w:p>
    <w:p w:rsidR="00E907E7" w:rsidRDefault="00E907E7" w:rsidP="00E907E7">
      <w:pPr>
        <w:keepNext/>
        <w:keepLines/>
        <w:widowControl/>
      </w:pPr>
    </w:p>
    <w:p w:rsidR="00E907E7" w:rsidRDefault="00E907E7" w:rsidP="00350F0D">
      <w:pPr>
        <w:widowControl/>
      </w:pPr>
      <w:r>
        <w:t>The resin</w:t>
      </w:r>
      <w:r>
        <w:rPr>
          <w:b/>
        </w:rPr>
        <w:t xml:space="preserve"> </w:t>
      </w:r>
      <w:r>
        <w:t xml:space="preserve">is manufactured through the co-extrusion of polystyrene (70%) and PVPP (30%). This process does not create a new polymer, i.e. there </w:t>
      </w:r>
      <w:r w:rsidRPr="00FF28EE">
        <w:t>is no chemical</w:t>
      </w:r>
      <w:r>
        <w:t xml:space="preserve"> cross-linking of PVPP and polystyrene. The granules produced are further processed to obtain two different grades of the resin, being Crosspure® F and Crosspure® XF, each of different average particle diameters.</w:t>
      </w:r>
    </w:p>
    <w:p w:rsidR="00E907E7" w:rsidRDefault="00E907E7" w:rsidP="00E907E7"/>
    <w:p w:rsidR="00E907E7" w:rsidRPr="00D1705E" w:rsidRDefault="00E907E7" w:rsidP="00E907E7">
      <w:pPr>
        <w:pStyle w:val="Heading3"/>
      </w:pPr>
      <w:bookmarkStart w:id="40" w:name="_Toc282772780"/>
      <w:r>
        <w:t>2.4</w:t>
      </w:r>
      <w:r>
        <w:tab/>
        <w:t>Technological Purpose</w:t>
      </w:r>
      <w:bookmarkEnd w:id="40"/>
    </w:p>
    <w:p w:rsidR="00E907E7" w:rsidRDefault="00E907E7" w:rsidP="00E907E7">
      <w:pPr>
        <w:rPr>
          <w:rFonts w:cs="Arial"/>
        </w:rPr>
      </w:pPr>
    </w:p>
    <w:p w:rsidR="00E907E7" w:rsidRDefault="00E907E7" w:rsidP="00E907E7">
      <w:r>
        <w:t xml:space="preserve">The resin is intended to be used primarily in beer manufacture to replace both the filtration step, usually performed by diatomaceous earth, as well as the stabilisation step, usually performed by </w:t>
      </w:r>
      <w:r w:rsidRPr="00BE1488">
        <w:t xml:space="preserve">permitted processing aids such as PVPP. The resin </w:t>
      </w:r>
      <w:r>
        <w:t>physically filters</w:t>
      </w:r>
      <w:r w:rsidRPr="00BE1488">
        <w:t xml:space="preserve"> particulates including some</w:t>
      </w:r>
      <w:r>
        <w:t xml:space="preserve"> microorganisms (yeasts and bacteria) comparable to the filtration performed by diatomaceous earth. The resin also stabilises the treated beverage by adsorbing precursor substances (polyphenols and polyphenol-protein complexes) that are known to form haze and particulates in the aged beverage. The resin is therefore able to be used as a single-step alternative to these two steps. Although the primary use for the resin is envisaged to be in beer manufacture, it is expected that it would also function to remove particulates and haze material from other beverages.</w:t>
      </w:r>
    </w:p>
    <w:p w:rsidR="00E907E7" w:rsidRDefault="00E907E7" w:rsidP="00E907E7">
      <w:pPr>
        <w:rPr>
          <w:rFonts w:cs="Arial"/>
        </w:rPr>
      </w:pPr>
    </w:p>
    <w:p w:rsidR="00E907E7" w:rsidRPr="00DC6570" w:rsidRDefault="00E907E7" w:rsidP="00E907E7">
      <w:pPr>
        <w:pStyle w:val="Heading2"/>
        <w:rPr>
          <w:rFonts w:cs="Arial"/>
        </w:rPr>
      </w:pPr>
      <w:bookmarkStart w:id="41" w:name="_Toc120358585"/>
      <w:bookmarkStart w:id="42" w:name="_Toc282772781"/>
      <w:r w:rsidRPr="00DC6570">
        <w:rPr>
          <w:rFonts w:cs="Arial"/>
        </w:rPr>
        <w:t>3.</w:t>
      </w:r>
      <w:r w:rsidRPr="00DC6570">
        <w:rPr>
          <w:rFonts w:cs="Arial"/>
        </w:rPr>
        <w:tab/>
        <w:t>Objectives</w:t>
      </w:r>
      <w:bookmarkEnd w:id="41"/>
      <w:bookmarkEnd w:id="42"/>
    </w:p>
    <w:p w:rsidR="00E907E7" w:rsidRDefault="00E907E7" w:rsidP="00E907E7"/>
    <w:p w:rsidR="00E907E7" w:rsidRPr="00106EDF" w:rsidRDefault="00E907E7" w:rsidP="00E907E7">
      <w:r>
        <w:t>The objective of the Assessment was</w:t>
      </w:r>
      <w:r w:rsidRPr="00106EDF">
        <w:t xml:space="preserve"> to determine whether it is appropriate to amend Standard 1.3.3 to permit the use of the resin co-extruded polystyrene </w:t>
      </w:r>
      <w:r>
        <w:t>and</w:t>
      </w:r>
      <w:r w:rsidRPr="00106EDF">
        <w:t xml:space="preserve"> PVPP as a processing aid. </w:t>
      </w:r>
    </w:p>
    <w:p w:rsidR="00E907E7" w:rsidRPr="00B731D0" w:rsidRDefault="00E907E7" w:rsidP="00E907E7"/>
    <w:p w:rsidR="00E907E7" w:rsidRPr="00DC6570" w:rsidRDefault="00E907E7" w:rsidP="00E907E7">
      <w:pPr>
        <w:rPr>
          <w:rFonts w:cs="Arial"/>
        </w:rPr>
      </w:pPr>
      <w:r w:rsidRPr="00DC6570">
        <w:rPr>
          <w:rFonts w:cs="Arial"/>
        </w:rPr>
        <w:t>In developing or varying a food standard, FSANZ is required by its legislation to meet three primary objectives which are set out in section 18 of the FSANZ Act.  These are:</w:t>
      </w:r>
    </w:p>
    <w:p w:rsidR="00E907E7" w:rsidRPr="00DC6570" w:rsidRDefault="00E907E7" w:rsidP="00E907E7">
      <w:pPr>
        <w:rPr>
          <w:rFonts w:cs="Arial"/>
        </w:rPr>
      </w:pPr>
    </w:p>
    <w:p w:rsidR="00E907E7" w:rsidRPr="00DC6570" w:rsidRDefault="00E907E7" w:rsidP="00E907E7">
      <w:pPr>
        <w:pStyle w:val="FSBullet"/>
      </w:pPr>
      <w:r w:rsidRPr="00DC6570">
        <w:t>the protection of public health and safety;</w:t>
      </w:r>
      <w:r>
        <w:t xml:space="preserve"> and</w:t>
      </w:r>
    </w:p>
    <w:p w:rsidR="00E907E7" w:rsidRPr="00DC6570" w:rsidRDefault="00E907E7" w:rsidP="00E907E7"/>
    <w:p w:rsidR="00E907E7" w:rsidRPr="00DC6570" w:rsidRDefault="00E907E7" w:rsidP="00E907E7">
      <w:pPr>
        <w:pStyle w:val="FSBullet"/>
      </w:pPr>
      <w:r w:rsidRPr="00DC6570">
        <w:t>the provision of adequate information relating to food to enable consumers to make informed choices; and</w:t>
      </w:r>
    </w:p>
    <w:p w:rsidR="00E907E7" w:rsidRPr="00DC6570" w:rsidRDefault="00E907E7" w:rsidP="00E907E7"/>
    <w:p w:rsidR="00E907E7" w:rsidRPr="00DC6570" w:rsidRDefault="00E907E7" w:rsidP="00E907E7">
      <w:pPr>
        <w:pStyle w:val="FSBullet"/>
      </w:pPr>
      <w:proofErr w:type="gramStart"/>
      <w:r w:rsidRPr="00DC6570">
        <w:t>the</w:t>
      </w:r>
      <w:proofErr w:type="gramEnd"/>
      <w:r w:rsidRPr="00DC6570">
        <w:t xml:space="preserve"> prevention of misleading or deceptive conduct.</w:t>
      </w:r>
    </w:p>
    <w:p w:rsidR="00E907E7" w:rsidRPr="00DC6570" w:rsidRDefault="00E907E7" w:rsidP="00E907E7">
      <w:pPr>
        <w:rPr>
          <w:rFonts w:cs="Arial"/>
        </w:rPr>
      </w:pPr>
    </w:p>
    <w:p w:rsidR="00E907E7" w:rsidRPr="00DC6570" w:rsidRDefault="00E907E7" w:rsidP="00E907E7">
      <w:pPr>
        <w:rPr>
          <w:rFonts w:cs="Arial"/>
        </w:rPr>
      </w:pPr>
      <w:r w:rsidRPr="00DC6570">
        <w:rPr>
          <w:rFonts w:cs="Arial"/>
        </w:rPr>
        <w:t>In developing and varying standards, FSANZ must also have regard to:</w:t>
      </w:r>
    </w:p>
    <w:p w:rsidR="00E907E7" w:rsidRPr="00DC6570" w:rsidRDefault="00E907E7" w:rsidP="00E907E7">
      <w:pPr>
        <w:rPr>
          <w:rFonts w:cs="Arial"/>
        </w:rPr>
      </w:pPr>
    </w:p>
    <w:p w:rsidR="00E907E7" w:rsidRPr="00DC6570" w:rsidRDefault="00E907E7" w:rsidP="00E907E7">
      <w:pPr>
        <w:pStyle w:val="FSBullet"/>
      </w:pPr>
      <w:r w:rsidRPr="00DC6570">
        <w:t>the need for standards to be based on risk analysis using the best available scientific evidence;</w:t>
      </w:r>
    </w:p>
    <w:p w:rsidR="00E907E7" w:rsidRPr="00DC6570" w:rsidRDefault="00E907E7" w:rsidP="00E907E7"/>
    <w:p w:rsidR="00E907E7" w:rsidRPr="00DC6570" w:rsidRDefault="00E907E7" w:rsidP="00E907E7">
      <w:pPr>
        <w:pStyle w:val="FSBullet"/>
      </w:pPr>
      <w:r w:rsidRPr="00DC6570">
        <w:t>the promotion of consistency between domestic and international food standards;</w:t>
      </w:r>
    </w:p>
    <w:p w:rsidR="00E907E7" w:rsidRPr="00DC6570" w:rsidRDefault="00E907E7" w:rsidP="00E907E7"/>
    <w:p w:rsidR="00E907E7" w:rsidRPr="00D60568" w:rsidRDefault="00E907E7" w:rsidP="00E907E7">
      <w:pPr>
        <w:pStyle w:val="FSBullet"/>
      </w:pPr>
      <w:r w:rsidRPr="00DC6570">
        <w:t>the desirabil</w:t>
      </w:r>
      <w:r w:rsidRPr="00D60568">
        <w:t>ity of an efficient and internationally competitive food industry;</w:t>
      </w:r>
    </w:p>
    <w:p w:rsidR="00E907E7" w:rsidRPr="00DC6570" w:rsidRDefault="00E907E7" w:rsidP="00E907E7"/>
    <w:p w:rsidR="00E907E7" w:rsidRPr="00DC6570" w:rsidRDefault="00E907E7" w:rsidP="00E907E7">
      <w:pPr>
        <w:pStyle w:val="FSBullet"/>
      </w:pPr>
      <w:r w:rsidRPr="00DC6570">
        <w:t>the promotion of fair trading in food; and</w:t>
      </w:r>
    </w:p>
    <w:p w:rsidR="00E907E7" w:rsidRPr="00DC6570" w:rsidRDefault="00E907E7" w:rsidP="00E907E7"/>
    <w:p w:rsidR="00E907E7" w:rsidRPr="00DC6570" w:rsidRDefault="00E907E7" w:rsidP="00E907E7">
      <w:pPr>
        <w:pStyle w:val="FSBullet"/>
      </w:pPr>
      <w:proofErr w:type="gramStart"/>
      <w:r w:rsidRPr="00DC6570">
        <w:t>any</w:t>
      </w:r>
      <w:proofErr w:type="gramEnd"/>
      <w:r w:rsidRPr="00DC6570">
        <w:t xml:space="preserve"> written policy guidelines formulated by the Ministerial Council.</w:t>
      </w:r>
    </w:p>
    <w:p w:rsidR="00E907E7" w:rsidRDefault="00E907E7" w:rsidP="00E907E7">
      <w:pPr>
        <w:rPr>
          <w:rFonts w:cs="Arial"/>
        </w:rPr>
      </w:pPr>
    </w:p>
    <w:p w:rsidR="00E567B2" w:rsidRDefault="00E907E7" w:rsidP="00E567B2">
      <w:pPr>
        <w:rPr>
          <w:rFonts w:cs="Arial"/>
          <w:lang w:val="en-AU"/>
        </w:rPr>
      </w:pPr>
      <w:r>
        <w:rPr>
          <w:rFonts w:cs="Arial"/>
        </w:rPr>
        <w:t xml:space="preserve">The </w:t>
      </w:r>
      <w:r w:rsidRPr="00B47D88">
        <w:rPr>
          <w:rFonts w:cs="Arial"/>
        </w:rPr>
        <w:t xml:space="preserve">Ministerial Council Policy Guideline: </w:t>
      </w:r>
      <w:r w:rsidRPr="00B47D88">
        <w:rPr>
          <w:rFonts w:cs="Arial"/>
          <w:i/>
        </w:rPr>
        <w:t>Addition to Food of Substances other than Vitamins and Minerals</w:t>
      </w:r>
      <w:r>
        <w:rPr>
          <w:rFonts w:cs="Arial"/>
        </w:rPr>
        <w:t xml:space="preserve"> </w:t>
      </w:r>
      <w:r>
        <w:rPr>
          <w:lang w:val="en-US"/>
        </w:rPr>
        <w:t>includes</w:t>
      </w:r>
      <w:r w:rsidRPr="00AA2FCE">
        <w:rPr>
          <w:lang w:val="en-US"/>
        </w:rPr>
        <w:t xml:space="preserve"> </w:t>
      </w:r>
      <w:r>
        <w:rPr>
          <w:lang w:val="en-US"/>
        </w:rPr>
        <w:t xml:space="preserve">policy principles in regard to substances added to achieve a solely technological function such as food additives and processing aids.  According to these guidelines, permissions </w:t>
      </w:r>
      <w:r w:rsidRPr="00B47D88">
        <w:rPr>
          <w:rFonts w:cs="Arial"/>
          <w:lang w:val="en-AU"/>
        </w:rPr>
        <w:t xml:space="preserve">should be </w:t>
      </w:r>
      <w:r>
        <w:rPr>
          <w:rFonts w:cs="Arial"/>
          <w:lang w:val="en-AU"/>
        </w:rPr>
        <w:t>granted</w:t>
      </w:r>
      <w:r w:rsidRPr="00B47D88">
        <w:rPr>
          <w:rFonts w:cs="Arial"/>
          <w:lang w:val="en-AU"/>
        </w:rPr>
        <w:t xml:space="preserve"> where: </w:t>
      </w:r>
      <w:r w:rsidR="00E567B2">
        <w:rPr>
          <w:lang w:val="en-AU"/>
        </w:rPr>
        <w:br w:type="page"/>
      </w:r>
    </w:p>
    <w:p w:rsidR="00E907E7" w:rsidRDefault="00E907E7" w:rsidP="00E907E7">
      <w:pPr>
        <w:pStyle w:val="FSBullet"/>
        <w:widowControl/>
        <w:rPr>
          <w:lang w:val="en-AU"/>
        </w:rPr>
      </w:pPr>
      <w:r w:rsidRPr="00600E55">
        <w:rPr>
          <w:lang w:val="en-AU"/>
        </w:rPr>
        <w:lastRenderedPageBreak/>
        <w:t>the purpose for adding the substance can be articulated clearly by the manufacturer as achieving a solely technological functi</w:t>
      </w:r>
      <w:r w:rsidR="00E567B2">
        <w:rPr>
          <w:lang w:val="en-AU"/>
        </w:rPr>
        <w:t>on (i.e. the ‘stated purpose’)</w:t>
      </w:r>
    </w:p>
    <w:p w:rsidR="00350F0D" w:rsidRPr="00350F0D" w:rsidRDefault="00350F0D" w:rsidP="00350F0D">
      <w:pPr>
        <w:rPr>
          <w:lang w:val="en-AU"/>
        </w:rPr>
      </w:pPr>
    </w:p>
    <w:p w:rsidR="00E907E7" w:rsidRDefault="00E907E7" w:rsidP="00E907E7">
      <w:pPr>
        <w:pStyle w:val="FSBullet"/>
        <w:rPr>
          <w:lang w:val="en-AU"/>
        </w:rPr>
      </w:pPr>
      <w:r w:rsidRPr="00B47D88">
        <w:rPr>
          <w:lang w:val="en-AU"/>
        </w:rPr>
        <w:t>the addition of the substance to food</w:t>
      </w:r>
      <w:r w:rsidR="00E567B2">
        <w:rPr>
          <w:lang w:val="en-AU"/>
        </w:rPr>
        <w:t xml:space="preserve"> is safe for human consumption</w:t>
      </w:r>
    </w:p>
    <w:p w:rsidR="00E907E7" w:rsidRDefault="00E907E7" w:rsidP="00E907E7">
      <w:pPr>
        <w:pStyle w:val="ListParagraph"/>
        <w:rPr>
          <w:rFonts w:cs="Arial"/>
          <w:lang w:val="en-AU"/>
        </w:rPr>
      </w:pPr>
    </w:p>
    <w:p w:rsidR="00E907E7" w:rsidRDefault="00E907E7" w:rsidP="00E907E7">
      <w:pPr>
        <w:pStyle w:val="FSBullet"/>
        <w:rPr>
          <w:lang w:val="en-AU"/>
        </w:rPr>
      </w:pPr>
      <w:r w:rsidRPr="00B47D88">
        <w:rPr>
          <w:lang w:val="en-AU"/>
        </w:rPr>
        <w:t>the amounts added are consistent with achievi</w:t>
      </w:r>
      <w:r w:rsidR="00E567B2">
        <w:rPr>
          <w:lang w:val="en-AU"/>
        </w:rPr>
        <w:t>ng the technological function</w:t>
      </w:r>
    </w:p>
    <w:p w:rsidR="00E907E7" w:rsidRDefault="00E907E7" w:rsidP="00E907E7">
      <w:pPr>
        <w:pStyle w:val="ListParagraph"/>
        <w:rPr>
          <w:rFonts w:cs="Arial"/>
          <w:lang w:val="en-AU"/>
        </w:rPr>
      </w:pPr>
    </w:p>
    <w:p w:rsidR="00E907E7" w:rsidRDefault="00E907E7" w:rsidP="00E907E7">
      <w:pPr>
        <w:pStyle w:val="FSBullet"/>
        <w:rPr>
          <w:lang w:val="en-AU"/>
        </w:rPr>
      </w:pPr>
      <w:r w:rsidRPr="00B47D88">
        <w:rPr>
          <w:lang w:val="en-AU"/>
        </w:rPr>
        <w:t>the substance is added in a quantity and a form which is consistent with del</w:t>
      </w:r>
      <w:r w:rsidR="00E567B2">
        <w:rPr>
          <w:lang w:val="en-AU"/>
        </w:rPr>
        <w:t>ivering the stated purpose</w:t>
      </w:r>
    </w:p>
    <w:p w:rsidR="00E907E7" w:rsidRDefault="00E907E7" w:rsidP="00E907E7">
      <w:pPr>
        <w:pStyle w:val="ListParagraph"/>
        <w:rPr>
          <w:rFonts w:cs="Arial"/>
          <w:lang w:val="en-AU"/>
        </w:rPr>
      </w:pPr>
    </w:p>
    <w:p w:rsidR="00E907E7" w:rsidRPr="00B47D88" w:rsidRDefault="00E907E7" w:rsidP="00E907E7">
      <w:pPr>
        <w:pStyle w:val="FSBullet"/>
        <w:rPr>
          <w:lang w:val="en-AU"/>
        </w:rPr>
      </w:pPr>
      <w:proofErr w:type="gramStart"/>
      <w:r w:rsidRPr="00B47D88">
        <w:rPr>
          <w:lang w:val="en-AU"/>
        </w:rPr>
        <w:t>no</w:t>
      </w:r>
      <w:proofErr w:type="gramEnd"/>
      <w:r w:rsidRPr="00B47D88">
        <w:rPr>
          <w:lang w:val="en-AU"/>
        </w:rPr>
        <w:t xml:space="preserve"> nutrition, health or related claims are to be made in regard to the substance. </w:t>
      </w:r>
    </w:p>
    <w:p w:rsidR="00E907E7" w:rsidRDefault="00E907E7" w:rsidP="00E907E7">
      <w:pPr>
        <w:rPr>
          <w:rFonts w:cs="Arial"/>
        </w:rPr>
      </w:pPr>
    </w:p>
    <w:p w:rsidR="00350F0D" w:rsidRDefault="00350F0D" w:rsidP="00E907E7">
      <w:pPr>
        <w:rPr>
          <w:rFonts w:cs="Arial"/>
        </w:rPr>
      </w:pPr>
      <w:r>
        <w:rPr>
          <w:rFonts w:cs="Arial"/>
        </w:rPr>
        <w:t>The main objective which applies to this Application is the protection of public health and safety</w:t>
      </w:r>
      <w:r w:rsidR="00305EC3">
        <w:rPr>
          <w:rFonts w:cs="Arial"/>
        </w:rPr>
        <w:t xml:space="preserve">. </w:t>
      </w:r>
      <w:r>
        <w:rPr>
          <w:rFonts w:cs="Arial"/>
        </w:rPr>
        <w:t>Th</w:t>
      </w:r>
      <w:r w:rsidR="00305EC3">
        <w:rPr>
          <w:rFonts w:cs="Arial"/>
        </w:rPr>
        <w:t>is</w:t>
      </w:r>
      <w:r>
        <w:rPr>
          <w:rFonts w:cs="Arial"/>
        </w:rPr>
        <w:t xml:space="preserve"> objective</w:t>
      </w:r>
      <w:r w:rsidR="00305EC3">
        <w:rPr>
          <w:rFonts w:cs="Arial"/>
        </w:rPr>
        <w:t xml:space="preserve"> has</w:t>
      </w:r>
      <w:r>
        <w:rPr>
          <w:rFonts w:cs="Arial"/>
        </w:rPr>
        <w:t xml:space="preserve"> been met through the completion of a Risk and Technical Assessment Report, which concluded that </w:t>
      </w:r>
      <w:r w:rsidR="00305EC3">
        <w:t>the use of co-extruded polystyrene and PVPP as a processing aid raises no public health and safety issues.</w:t>
      </w:r>
      <w:r w:rsidR="00305EC3" w:rsidRPr="00305EC3">
        <w:rPr>
          <w:rFonts w:cs="Arial"/>
        </w:rPr>
        <w:t xml:space="preserve"> </w:t>
      </w:r>
      <w:r w:rsidR="00305EC3">
        <w:rPr>
          <w:rFonts w:cs="Arial"/>
        </w:rPr>
        <w:t xml:space="preserve">In addition, the Risk and Technical Assessment Report addressed the technological justification of the use of the processing aid, in accordance with the Ministerial Council Policy Guideline: </w:t>
      </w:r>
      <w:r w:rsidR="00305EC3">
        <w:rPr>
          <w:rFonts w:cs="Arial"/>
          <w:i/>
        </w:rPr>
        <w:t>Addition to Food of Substances other than Vitamins and Minerals.</w:t>
      </w:r>
    </w:p>
    <w:p w:rsidR="00350F0D" w:rsidRDefault="00350F0D" w:rsidP="00E907E7">
      <w:pPr>
        <w:rPr>
          <w:rFonts w:cs="Arial"/>
        </w:rPr>
      </w:pPr>
    </w:p>
    <w:p w:rsidR="00E907E7" w:rsidRPr="00DC6570" w:rsidRDefault="00E907E7" w:rsidP="00E907E7">
      <w:pPr>
        <w:pStyle w:val="Heading2"/>
        <w:rPr>
          <w:rFonts w:cs="Arial"/>
        </w:rPr>
      </w:pPr>
      <w:bookmarkStart w:id="43" w:name="_Toc282772782"/>
      <w:r w:rsidRPr="00DC6570">
        <w:rPr>
          <w:rFonts w:cs="Arial"/>
        </w:rPr>
        <w:t>4.</w:t>
      </w:r>
      <w:r w:rsidRPr="00DC6570">
        <w:rPr>
          <w:rFonts w:cs="Arial"/>
        </w:rPr>
        <w:tab/>
        <w:t>Questions</w:t>
      </w:r>
      <w:r>
        <w:rPr>
          <w:rFonts w:cs="Arial"/>
        </w:rPr>
        <w:t xml:space="preserve"> to be answered</w:t>
      </w:r>
      <w:bookmarkEnd w:id="43"/>
    </w:p>
    <w:p w:rsidR="00E907E7" w:rsidRPr="00B731D0" w:rsidRDefault="00E907E7" w:rsidP="00E907E7">
      <w:pPr>
        <w:rPr>
          <w:szCs w:val="22"/>
        </w:rPr>
      </w:pPr>
    </w:p>
    <w:p w:rsidR="00E907E7" w:rsidRDefault="00E907E7" w:rsidP="00E907E7">
      <w:pPr>
        <w:rPr>
          <w:szCs w:val="22"/>
        </w:rPr>
      </w:pPr>
      <w:r w:rsidRPr="00B731D0">
        <w:rPr>
          <w:szCs w:val="22"/>
        </w:rPr>
        <w:t xml:space="preserve">For this </w:t>
      </w:r>
      <w:r>
        <w:rPr>
          <w:szCs w:val="22"/>
        </w:rPr>
        <w:t>Application</w:t>
      </w:r>
      <w:r w:rsidRPr="00B731D0">
        <w:rPr>
          <w:szCs w:val="22"/>
        </w:rPr>
        <w:t>, FSANZ has considered the following key questions</w:t>
      </w:r>
      <w:r w:rsidR="00102DFD">
        <w:rPr>
          <w:szCs w:val="22"/>
        </w:rPr>
        <w:t xml:space="preserve"> to address the objectives described in section 3</w:t>
      </w:r>
      <w:r w:rsidRPr="00B731D0">
        <w:rPr>
          <w:szCs w:val="22"/>
        </w:rPr>
        <w:t>:</w:t>
      </w:r>
    </w:p>
    <w:p w:rsidR="00E907E7" w:rsidRPr="00B731D0" w:rsidRDefault="00E907E7" w:rsidP="00E907E7">
      <w:pPr>
        <w:rPr>
          <w:szCs w:val="22"/>
        </w:rPr>
      </w:pPr>
    </w:p>
    <w:p w:rsidR="00E907E7" w:rsidRPr="001471C4" w:rsidRDefault="00E907E7" w:rsidP="00E907E7">
      <w:pPr>
        <w:pStyle w:val="FSBullet"/>
      </w:pPr>
      <w:r>
        <w:t>Does the resin product present any food safety issues?</w:t>
      </w:r>
    </w:p>
    <w:p w:rsidR="00E907E7" w:rsidRPr="001471C4" w:rsidRDefault="00E907E7" w:rsidP="00E907E7">
      <w:pPr>
        <w:pStyle w:val="FSBullet"/>
        <w:numPr>
          <w:ilvl w:val="0"/>
          <w:numId w:val="0"/>
        </w:numPr>
      </w:pPr>
    </w:p>
    <w:p w:rsidR="00E907E7" w:rsidRDefault="00E907E7" w:rsidP="00E907E7">
      <w:pPr>
        <w:pStyle w:val="FSBullet"/>
      </w:pPr>
      <w:r w:rsidRPr="001471C4">
        <w:t xml:space="preserve">Does the </w:t>
      </w:r>
      <w:r>
        <w:t>resin</w:t>
      </w:r>
      <w:r w:rsidRPr="001471C4">
        <w:t xml:space="preserve"> achieve its stated technological purpose?</w:t>
      </w:r>
    </w:p>
    <w:p w:rsidR="00E907E7" w:rsidRPr="003E3BF3" w:rsidRDefault="00E907E7" w:rsidP="00E907E7">
      <w:pPr>
        <w:pStyle w:val="FSBullet"/>
        <w:numPr>
          <w:ilvl w:val="0"/>
          <w:numId w:val="0"/>
        </w:numPr>
      </w:pPr>
    </w:p>
    <w:p w:rsidR="00E907E7" w:rsidRPr="00DC6570" w:rsidRDefault="00E907E7" w:rsidP="00E907E7">
      <w:pPr>
        <w:pStyle w:val="Heading1"/>
      </w:pPr>
      <w:bookmarkStart w:id="44" w:name="_Toc282772783"/>
      <w:r>
        <w:t>RISK ASSESSMENT</w:t>
      </w:r>
      <w:bookmarkEnd w:id="44"/>
    </w:p>
    <w:p w:rsidR="00E907E7" w:rsidRDefault="00E907E7" w:rsidP="00E907E7">
      <w:pPr>
        <w:keepNext/>
        <w:keepLines/>
        <w:rPr>
          <w:rFonts w:cs="Arial"/>
        </w:rPr>
      </w:pPr>
      <w:bookmarkStart w:id="45" w:name="_Toc11735632"/>
      <w:bookmarkStart w:id="46" w:name="_Toc29883116"/>
      <w:bookmarkStart w:id="47" w:name="_Toc41906803"/>
      <w:bookmarkStart w:id="48" w:name="_Toc41907550"/>
      <w:bookmarkStart w:id="49" w:name="_Toc120358581"/>
    </w:p>
    <w:p w:rsidR="00E907E7" w:rsidRDefault="00E907E7" w:rsidP="00E907E7">
      <w:pPr>
        <w:keepNext/>
        <w:keepLines/>
        <w:rPr>
          <w:rFonts w:cs="Arial"/>
        </w:rPr>
      </w:pPr>
      <w:r w:rsidRPr="00B731D0">
        <w:rPr>
          <w:rFonts w:cs="Arial"/>
        </w:rPr>
        <w:t xml:space="preserve">A detailed assessment of the safety and </w:t>
      </w:r>
      <w:r>
        <w:rPr>
          <w:rFonts w:cs="Arial"/>
        </w:rPr>
        <w:t>function</w:t>
      </w:r>
      <w:r w:rsidRPr="00B731D0">
        <w:rPr>
          <w:rFonts w:cs="Arial"/>
        </w:rPr>
        <w:t xml:space="preserve"> of </w:t>
      </w:r>
      <w:r>
        <w:rPr>
          <w:rFonts w:cs="Arial"/>
        </w:rPr>
        <w:t>the resin</w:t>
      </w:r>
      <w:r w:rsidRPr="00B731D0">
        <w:rPr>
          <w:rFonts w:cs="Arial"/>
        </w:rPr>
        <w:t xml:space="preserve"> has been un</w:t>
      </w:r>
      <w:r>
        <w:rPr>
          <w:rFonts w:cs="Arial"/>
        </w:rPr>
        <w:t xml:space="preserve">dertaken for this Application. </w:t>
      </w:r>
      <w:r w:rsidRPr="00B731D0">
        <w:rPr>
          <w:rFonts w:cs="Arial"/>
        </w:rPr>
        <w:t xml:space="preserve">The </w:t>
      </w:r>
      <w:r>
        <w:rPr>
          <w:rFonts w:cs="Arial"/>
        </w:rPr>
        <w:t>summary</w:t>
      </w:r>
      <w:r w:rsidRPr="00B731D0">
        <w:rPr>
          <w:rFonts w:cs="Arial"/>
        </w:rPr>
        <w:t xml:space="preserve"> and conclusions from this </w:t>
      </w:r>
      <w:r>
        <w:rPr>
          <w:rFonts w:cs="Arial"/>
        </w:rPr>
        <w:t xml:space="preserve">risk assessment </w:t>
      </w:r>
      <w:r w:rsidRPr="00B731D0">
        <w:rPr>
          <w:rFonts w:cs="Arial"/>
        </w:rPr>
        <w:t xml:space="preserve">are presented below. </w:t>
      </w:r>
      <w:r>
        <w:rPr>
          <w:rFonts w:cs="Arial"/>
        </w:rPr>
        <w:t>The full risk assessment is contained in the Supporting Document – the Risk and Technical Assessment Report.</w:t>
      </w:r>
    </w:p>
    <w:p w:rsidR="00E907E7" w:rsidRPr="00B731D0" w:rsidRDefault="00E907E7" w:rsidP="00E907E7">
      <w:pPr>
        <w:rPr>
          <w:rFonts w:cs="Arial"/>
        </w:rPr>
      </w:pPr>
    </w:p>
    <w:p w:rsidR="00E907E7" w:rsidRDefault="00E907E7" w:rsidP="00E907E7">
      <w:pPr>
        <w:rPr>
          <w:rFonts w:cs="Arial"/>
        </w:rPr>
      </w:pPr>
      <w:r>
        <w:rPr>
          <w:rFonts w:cs="Arial"/>
        </w:rPr>
        <w:t xml:space="preserve">In addition to information supplied by the Applicant, </w:t>
      </w:r>
      <w:r w:rsidRPr="00B731D0">
        <w:rPr>
          <w:rFonts w:cs="Arial"/>
        </w:rPr>
        <w:t>other available resource material</w:t>
      </w:r>
      <w:r>
        <w:rPr>
          <w:rFonts w:cs="Arial"/>
        </w:rPr>
        <w:t>,</w:t>
      </w:r>
      <w:r w:rsidRPr="00B731D0">
        <w:rPr>
          <w:rFonts w:cs="Arial"/>
        </w:rPr>
        <w:t xml:space="preserve"> including published scientific literature and general technical information</w:t>
      </w:r>
      <w:r>
        <w:rPr>
          <w:rFonts w:cs="Arial"/>
        </w:rPr>
        <w:t>, was used</w:t>
      </w:r>
      <w:r w:rsidRPr="00B731D0">
        <w:rPr>
          <w:rFonts w:cs="Arial"/>
        </w:rPr>
        <w:t xml:space="preserve"> in this assessment.</w:t>
      </w:r>
    </w:p>
    <w:p w:rsidR="00E907E7" w:rsidRPr="00DC6570" w:rsidRDefault="00E907E7" w:rsidP="00E907E7">
      <w:pPr>
        <w:rPr>
          <w:rFonts w:cs="Arial"/>
        </w:rPr>
      </w:pPr>
    </w:p>
    <w:p w:rsidR="00E907E7" w:rsidRPr="00DC6570" w:rsidRDefault="00E907E7" w:rsidP="00E907E7">
      <w:pPr>
        <w:pStyle w:val="Heading2"/>
      </w:pPr>
      <w:bookmarkStart w:id="50" w:name="_Toc120358583"/>
      <w:bookmarkStart w:id="51" w:name="_Toc282772784"/>
      <w:bookmarkEnd w:id="45"/>
      <w:bookmarkEnd w:id="46"/>
      <w:bookmarkEnd w:id="47"/>
      <w:bookmarkEnd w:id="48"/>
      <w:bookmarkEnd w:id="49"/>
      <w:r w:rsidRPr="00DC6570">
        <w:t>5</w:t>
      </w:r>
      <w:r>
        <w:t>.</w:t>
      </w:r>
      <w:r w:rsidRPr="00DC6570">
        <w:tab/>
      </w:r>
      <w:r>
        <w:t>Risk and Technical Assessment</w:t>
      </w:r>
      <w:r w:rsidRPr="00DC6570">
        <w:t xml:space="preserve"> Summary</w:t>
      </w:r>
      <w:bookmarkEnd w:id="50"/>
      <w:bookmarkEnd w:id="51"/>
    </w:p>
    <w:p w:rsidR="00E907E7" w:rsidRPr="005643CE" w:rsidRDefault="00E907E7" w:rsidP="00E907E7">
      <w:pPr>
        <w:rPr>
          <w:rFonts w:cs="Arial"/>
        </w:rPr>
      </w:pPr>
    </w:p>
    <w:p w:rsidR="00E907E7" w:rsidRDefault="00E907E7" w:rsidP="00E907E7">
      <w:pPr>
        <w:pStyle w:val="Heading3"/>
      </w:pPr>
      <w:bookmarkStart w:id="52" w:name="_Toc282772785"/>
      <w:r>
        <w:t>5.1</w:t>
      </w:r>
      <w:r>
        <w:tab/>
        <w:t>Summary</w:t>
      </w:r>
      <w:bookmarkEnd w:id="52"/>
    </w:p>
    <w:p w:rsidR="00E907E7" w:rsidRDefault="00E907E7" w:rsidP="00E907E7"/>
    <w:p w:rsidR="00E907E7" w:rsidRDefault="00E907E7" w:rsidP="00E907E7">
      <w:pPr>
        <w:rPr>
          <w:rFonts w:cs="Arial"/>
        </w:rPr>
      </w:pPr>
      <w:r>
        <w:rPr>
          <w:rFonts w:cs="Arial"/>
        </w:rPr>
        <w:t xml:space="preserve">The resin is a new filtration and absorbent agent proposed for use to remove particulates and haze material from beverages such as </w:t>
      </w:r>
      <w:r w:rsidR="00350F0D">
        <w:rPr>
          <w:rFonts w:cs="Arial"/>
        </w:rPr>
        <w:t>beer. Various cross-linked polystyrene</w:t>
      </w:r>
      <w:r w:rsidR="000F782E">
        <w:rPr>
          <w:rFonts w:cs="Arial"/>
        </w:rPr>
        <w:t>-</w:t>
      </w:r>
      <w:r w:rsidR="00350F0D">
        <w:rPr>
          <w:rFonts w:cs="Arial"/>
        </w:rPr>
        <w:t xml:space="preserve"> and</w:t>
      </w:r>
      <w:r>
        <w:rPr>
          <w:rFonts w:cs="Arial"/>
        </w:rPr>
        <w:t xml:space="preserve"> styrene</w:t>
      </w:r>
      <w:r w:rsidR="00B86B6F">
        <w:rPr>
          <w:rFonts w:cs="Arial"/>
        </w:rPr>
        <w:t>-</w:t>
      </w:r>
      <w:r>
        <w:rPr>
          <w:rFonts w:cs="Arial"/>
        </w:rPr>
        <w:t>based resins and PVPP are already permitted food processing aids in Australia and New Zealand.</w:t>
      </w:r>
    </w:p>
    <w:p w:rsidR="00E907E7" w:rsidRDefault="00E907E7" w:rsidP="00E907E7">
      <w:pPr>
        <w:rPr>
          <w:rFonts w:cs="Arial"/>
        </w:rPr>
      </w:pPr>
    </w:p>
    <w:p w:rsidR="00D81DAA" w:rsidRDefault="00E907E7" w:rsidP="00E907E7">
      <w:pPr>
        <w:rPr>
          <w:rFonts w:cs="Arial"/>
          <w:szCs w:val="22"/>
        </w:rPr>
      </w:pPr>
      <w:r>
        <w:rPr>
          <w:rFonts w:cs="Arial"/>
          <w:szCs w:val="22"/>
        </w:rPr>
        <w:t xml:space="preserve">Evidence presented in support of the Application provided adequate assurance that </w:t>
      </w:r>
      <w:r>
        <w:rPr>
          <w:rFonts w:cs="Arial"/>
        </w:rPr>
        <w:t>the resin</w:t>
      </w:r>
      <w:r>
        <w:rPr>
          <w:rFonts w:cs="Arial"/>
          <w:szCs w:val="22"/>
        </w:rPr>
        <w:t xml:space="preserve"> is technologically justified and has been demonstrated to be effective in achieving its stated purpose. </w:t>
      </w:r>
    </w:p>
    <w:p w:rsidR="00E567B2" w:rsidRDefault="00E567B2">
      <w:pPr>
        <w:widowControl/>
        <w:rPr>
          <w:rFonts w:cs="Arial"/>
          <w:szCs w:val="22"/>
        </w:rPr>
      </w:pPr>
      <w:r>
        <w:rPr>
          <w:rFonts w:cs="Arial"/>
          <w:szCs w:val="22"/>
        </w:rPr>
        <w:br w:type="page"/>
      </w:r>
    </w:p>
    <w:p w:rsidR="00E907E7" w:rsidRDefault="00E907E7" w:rsidP="00E907E7">
      <w:pPr>
        <w:rPr>
          <w:rFonts w:cs="Arial"/>
          <w:szCs w:val="22"/>
        </w:rPr>
      </w:pPr>
      <w:r>
        <w:rPr>
          <w:rFonts w:cs="Arial"/>
          <w:szCs w:val="22"/>
        </w:rPr>
        <w:lastRenderedPageBreak/>
        <w:t xml:space="preserve">As the resin is not a novel polymer, and specifications for the individual constituents (polystyrene and PVPP) already exist, no amendment to the specifications is considered necessary. </w:t>
      </w:r>
    </w:p>
    <w:p w:rsidR="00E907E7" w:rsidRDefault="00E907E7" w:rsidP="00E907E7">
      <w:pPr>
        <w:rPr>
          <w:rFonts w:cs="Arial"/>
          <w:szCs w:val="22"/>
        </w:rPr>
      </w:pPr>
    </w:p>
    <w:p w:rsidR="00E907E7" w:rsidRDefault="00E907E7" w:rsidP="00E907E7">
      <w:r>
        <w:rPr>
          <w:rFonts w:cs="Arial"/>
          <w:szCs w:val="22"/>
        </w:rPr>
        <w:t xml:space="preserve">The hazard assessment considered the chemistry and impurity profile of </w:t>
      </w:r>
      <w:r>
        <w:rPr>
          <w:rFonts w:cs="Arial"/>
        </w:rPr>
        <w:t>the resin</w:t>
      </w:r>
      <w:r>
        <w:rPr>
          <w:rFonts w:cs="Arial"/>
          <w:szCs w:val="22"/>
        </w:rPr>
        <w:t>, unpublished data on the acute toxicity and genotoxicity of the resin, and the migration of residual monomers into beverage</w:t>
      </w:r>
      <w:r w:rsidR="001B5F21">
        <w:rPr>
          <w:rFonts w:cs="Arial"/>
          <w:szCs w:val="22"/>
        </w:rPr>
        <w:t>s</w:t>
      </w:r>
      <w:r>
        <w:rPr>
          <w:rFonts w:cs="Arial"/>
          <w:szCs w:val="22"/>
        </w:rPr>
        <w:t xml:space="preserve">. Results indicate that migration of monomers from the resin </w:t>
      </w:r>
      <w:r w:rsidR="00DB2E19">
        <w:rPr>
          <w:rFonts w:cs="Arial"/>
          <w:szCs w:val="22"/>
        </w:rPr>
        <w:t xml:space="preserve">is unlikely to occur </w:t>
      </w:r>
      <w:r>
        <w:rPr>
          <w:rFonts w:cs="Arial"/>
          <w:szCs w:val="22"/>
        </w:rPr>
        <w:t xml:space="preserve">and </w:t>
      </w:r>
      <w:r w:rsidR="00DB2E19">
        <w:rPr>
          <w:rFonts w:cs="Arial"/>
          <w:szCs w:val="22"/>
        </w:rPr>
        <w:t xml:space="preserve">there would be </w:t>
      </w:r>
      <w:r>
        <w:rPr>
          <w:rFonts w:cs="Arial"/>
          <w:szCs w:val="22"/>
        </w:rPr>
        <w:t xml:space="preserve">negligible carry-over of the resin in treated beverages. The history of safe use of polystyrene and </w:t>
      </w:r>
      <w:r>
        <w:rPr>
          <w:lang w:val="en-AU"/>
        </w:rPr>
        <w:t>PVPP</w:t>
      </w:r>
      <w:r>
        <w:rPr>
          <w:rFonts w:cs="Arial"/>
          <w:szCs w:val="22"/>
        </w:rPr>
        <w:t xml:space="preserve"> was also taken into consideration. </w:t>
      </w:r>
      <w:r>
        <w:t>In the absence of any dietary hazard posed by the resin and the very limited potential for its migration into beverages, the resin is considered to pose a negligible risk to public health and safety.</w:t>
      </w:r>
    </w:p>
    <w:p w:rsidR="00305EC3" w:rsidRPr="00EE280A" w:rsidRDefault="00305EC3" w:rsidP="00E907E7">
      <w:pPr>
        <w:rPr>
          <w:rFonts w:cs="Arial"/>
          <w:szCs w:val="22"/>
        </w:rPr>
      </w:pPr>
    </w:p>
    <w:p w:rsidR="00E907E7" w:rsidRDefault="00E907E7" w:rsidP="00E907E7">
      <w:pPr>
        <w:pStyle w:val="Heading3"/>
        <w:keepLines/>
        <w:widowControl/>
      </w:pPr>
      <w:bookmarkStart w:id="53" w:name="_Toc282772786"/>
      <w:r>
        <w:t>5.2</w:t>
      </w:r>
      <w:r>
        <w:tab/>
        <w:t>Conclusions</w:t>
      </w:r>
      <w:bookmarkEnd w:id="53"/>
    </w:p>
    <w:p w:rsidR="00E907E7" w:rsidRDefault="00E907E7" w:rsidP="00E907E7">
      <w:pPr>
        <w:keepNext/>
        <w:keepLines/>
        <w:widowControl/>
        <w:rPr>
          <w:rFonts w:cs="Arial"/>
        </w:rPr>
      </w:pPr>
    </w:p>
    <w:p w:rsidR="00E907E7" w:rsidRDefault="00E907E7" w:rsidP="00E907E7">
      <w:r>
        <w:t>The overall conclusion of this risk and technical assessment is that the use of co-extruded polystyrene and PVPP as a processing aid is technologically justified and raises no public health and safety issues.</w:t>
      </w:r>
    </w:p>
    <w:p w:rsidR="00E907E7" w:rsidRDefault="00E907E7" w:rsidP="00E907E7">
      <w:pPr>
        <w:rPr>
          <w:rFonts w:cs="Arial"/>
        </w:rPr>
      </w:pPr>
    </w:p>
    <w:p w:rsidR="00E907E7" w:rsidRPr="00DC6570" w:rsidRDefault="00E907E7" w:rsidP="00E907E7">
      <w:pPr>
        <w:pStyle w:val="Heading1"/>
      </w:pPr>
      <w:bookmarkStart w:id="54" w:name="_Toc282772787"/>
      <w:r>
        <w:t>Risk M</w:t>
      </w:r>
      <w:r w:rsidRPr="00DC6570">
        <w:t>anagement</w:t>
      </w:r>
      <w:bookmarkEnd w:id="54"/>
    </w:p>
    <w:p w:rsidR="00E907E7" w:rsidRDefault="00E907E7" w:rsidP="00E907E7">
      <w:pPr>
        <w:pStyle w:val="Heading2"/>
      </w:pPr>
      <w:bookmarkStart w:id="55" w:name="_Toc11735636"/>
      <w:bookmarkStart w:id="56" w:name="_Toc29883121"/>
      <w:bookmarkStart w:id="57" w:name="_Toc41906808"/>
      <w:bookmarkStart w:id="58" w:name="_Toc41907555"/>
      <w:bookmarkStart w:id="59" w:name="_Toc120358586"/>
    </w:p>
    <w:p w:rsidR="00E907E7" w:rsidRPr="00DC6570" w:rsidRDefault="00E907E7" w:rsidP="00E907E7">
      <w:pPr>
        <w:pStyle w:val="Heading2"/>
      </w:pPr>
      <w:bookmarkStart w:id="60" w:name="_Toc282772788"/>
      <w:r>
        <w:t>6.</w:t>
      </w:r>
      <w:r w:rsidRPr="00DC6570">
        <w:tab/>
        <w:t>Options</w:t>
      </w:r>
      <w:bookmarkEnd w:id="55"/>
      <w:bookmarkEnd w:id="56"/>
      <w:bookmarkEnd w:id="57"/>
      <w:bookmarkEnd w:id="58"/>
      <w:bookmarkEnd w:id="59"/>
      <w:bookmarkEnd w:id="60"/>
      <w:r w:rsidRPr="00DC6570">
        <w:t xml:space="preserve"> </w:t>
      </w:r>
    </w:p>
    <w:p w:rsidR="00E907E7" w:rsidRDefault="00E907E7" w:rsidP="00E907E7">
      <w:pPr>
        <w:rPr>
          <w:rFonts w:cs="Arial"/>
        </w:rPr>
      </w:pPr>
    </w:p>
    <w:p w:rsidR="00E907E7" w:rsidRPr="00534419" w:rsidRDefault="00E907E7" w:rsidP="00E907E7">
      <w:pPr>
        <w:rPr>
          <w:rFonts w:cs="Arial"/>
        </w:rPr>
      </w:pPr>
      <w:r>
        <w:rPr>
          <w:rFonts w:cs="Arial"/>
        </w:rPr>
        <w:t xml:space="preserve">Processing aids require pre-market approval under Standard </w:t>
      </w:r>
      <w:proofErr w:type="gramStart"/>
      <w:r>
        <w:rPr>
          <w:rFonts w:cs="Arial"/>
        </w:rPr>
        <w:t>1.3.3,</w:t>
      </w:r>
      <w:proofErr w:type="gramEnd"/>
      <w:r>
        <w:rPr>
          <w:rFonts w:cs="Arial"/>
        </w:rPr>
        <w:t xml:space="preserve"> therefore it is not appropriate to consider non-regulatory options in this case. Two regulatory options have consequently been identified:</w:t>
      </w:r>
    </w:p>
    <w:p w:rsidR="00E907E7" w:rsidRPr="00B731D0" w:rsidRDefault="00E907E7" w:rsidP="00E907E7"/>
    <w:p w:rsidR="00E907E7" w:rsidRPr="00B731D0" w:rsidRDefault="00E907E7" w:rsidP="00E907E7">
      <w:pPr>
        <w:tabs>
          <w:tab w:val="left" w:pos="1418"/>
        </w:tabs>
        <w:ind w:left="1418" w:hanging="1418"/>
        <w:rPr>
          <w:lang w:val="en-AU"/>
        </w:rPr>
      </w:pPr>
      <w:r w:rsidRPr="00B731D0">
        <w:rPr>
          <w:b/>
          <w:bCs/>
          <w:i/>
          <w:iCs/>
        </w:rPr>
        <w:t xml:space="preserve">Option 1: </w:t>
      </w:r>
      <w:r w:rsidRPr="00B731D0">
        <w:tab/>
      </w:r>
      <w:r w:rsidRPr="00B731D0">
        <w:rPr>
          <w:lang w:val="en-AU"/>
        </w:rPr>
        <w:t xml:space="preserve">Reject the </w:t>
      </w:r>
      <w:r>
        <w:rPr>
          <w:lang w:val="en-AU"/>
        </w:rPr>
        <w:t>Application</w:t>
      </w:r>
      <w:r w:rsidRPr="00B731D0">
        <w:rPr>
          <w:lang w:val="en-AU"/>
        </w:rPr>
        <w:t xml:space="preserve"> </w:t>
      </w:r>
      <w:r>
        <w:rPr>
          <w:lang w:val="en-AU"/>
        </w:rPr>
        <w:t xml:space="preserve">thus maintaining the </w:t>
      </w:r>
      <w:r w:rsidRPr="00600E55">
        <w:rPr>
          <w:i/>
          <w:lang w:val="en-AU"/>
        </w:rPr>
        <w:t>status quo</w:t>
      </w:r>
      <w:r>
        <w:rPr>
          <w:lang w:val="en-AU"/>
        </w:rPr>
        <w:t>.</w:t>
      </w:r>
    </w:p>
    <w:p w:rsidR="00E907E7" w:rsidRPr="00B731D0" w:rsidRDefault="00E907E7" w:rsidP="00E907E7">
      <w:pPr>
        <w:tabs>
          <w:tab w:val="left" w:pos="1418"/>
        </w:tabs>
        <w:ind w:left="1418" w:hanging="1418"/>
        <w:rPr>
          <w:i/>
          <w:iCs/>
        </w:rPr>
      </w:pPr>
    </w:p>
    <w:p w:rsidR="00E907E7" w:rsidRDefault="00E907E7" w:rsidP="00E907E7">
      <w:pPr>
        <w:tabs>
          <w:tab w:val="left" w:pos="1418"/>
        </w:tabs>
        <w:ind w:left="1418" w:hanging="1418"/>
      </w:pPr>
      <w:r w:rsidRPr="00B731D0">
        <w:rPr>
          <w:b/>
          <w:bCs/>
          <w:i/>
          <w:iCs/>
        </w:rPr>
        <w:t xml:space="preserve">Option 2: </w:t>
      </w:r>
      <w:r w:rsidRPr="00B731D0">
        <w:rPr>
          <w:i/>
          <w:iCs/>
        </w:rPr>
        <w:tab/>
      </w:r>
      <w:r w:rsidR="008D13EC">
        <w:rPr>
          <w:iCs/>
        </w:rPr>
        <w:t xml:space="preserve">To </w:t>
      </w:r>
      <w:r w:rsidR="00E567B2">
        <w:rPr>
          <w:iCs/>
        </w:rPr>
        <w:t>approve</w:t>
      </w:r>
      <w:r w:rsidR="008D13EC">
        <w:rPr>
          <w:iCs/>
        </w:rPr>
        <w:t xml:space="preserve"> </w:t>
      </w:r>
      <w:r>
        <w:rPr>
          <w:iCs/>
        </w:rPr>
        <w:t>draft variation</w:t>
      </w:r>
      <w:r w:rsidR="008D13EC">
        <w:rPr>
          <w:iCs/>
        </w:rPr>
        <w:t>s</w:t>
      </w:r>
      <w:r>
        <w:rPr>
          <w:iCs/>
        </w:rPr>
        <w:t xml:space="preserve"> to</w:t>
      </w:r>
      <w:r w:rsidRPr="00B731D0">
        <w:rPr>
          <w:iCs/>
        </w:rPr>
        <w:t xml:space="preserve"> Standard 1.3.3 to p</w:t>
      </w:r>
      <w:r w:rsidRPr="00B731D0">
        <w:t xml:space="preserve">ermit the use of </w:t>
      </w:r>
      <w:r>
        <w:t>the resin</w:t>
      </w:r>
      <w:r w:rsidRPr="00B731D0">
        <w:t xml:space="preserve"> as a </w:t>
      </w:r>
      <w:r>
        <w:t>processing aid</w:t>
      </w:r>
      <w:r w:rsidR="001B5F21">
        <w:t>.</w:t>
      </w:r>
      <w:r w:rsidR="008D13EC">
        <w:t xml:space="preserve"> </w:t>
      </w:r>
    </w:p>
    <w:p w:rsidR="00E907E7" w:rsidRDefault="00E907E7" w:rsidP="00E907E7">
      <w:pPr>
        <w:tabs>
          <w:tab w:val="left" w:pos="1418"/>
        </w:tabs>
        <w:ind w:left="1418" w:hanging="1418"/>
        <w:rPr>
          <w:i/>
          <w:iCs/>
        </w:rPr>
      </w:pPr>
    </w:p>
    <w:p w:rsidR="00E907E7" w:rsidRPr="00DC6570" w:rsidRDefault="00E907E7" w:rsidP="00E907E7">
      <w:pPr>
        <w:pStyle w:val="Heading2"/>
      </w:pPr>
      <w:bookmarkStart w:id="61" w:name="_Toc11735637"/>
      <w:bookmarkStart w:id="62" w:name="_Toc29883122"/>
      <w:bookmarkStart w:id="63" w:name="_Toc41906809"/>
      <w:bookmarkStart w:id="64" w:name="_Toc41907556"/>
      <w:bookmarkStart w:id="65" w:name="_Toc120358587"/>
      <w:bookmarkStart w:id="66" w:name="_Toc282772789"/>
      <w:r>
        <w:t>7.</w:t>
      </w:r>
      <w:r w:rsidRPr="00DC6570">
        <w:tab/>
        <w:t>Impact Analysis</w:t>
      </w:r>
      <w:bookmarkEnd w:id="61"/>
      <w:bookmarkEnd w:id="62"/>
      <w:bookmarkEnd w:id="63"/>
      <w:bookmarkEnd w:id="64"/>
      <w:bookmarkEnd w:id="65"/>
      <w:r w:rsidRPr="00DC6570">
        <w:t xml:space="preserve"> (RIS ID:  </w:t>
      </w:r>
      <w:r>
        <w:t>11840</w:t>
      </w:r>
      <w:r w:rsidRPr="00DC6570">
        <w:t>)</w:t>
      </w:r>
      <w:bookmarkEnd w:id="66"/>
    </w:p>
    <w:p w:rsidR="00E907E7" w:rsidRDefault="00E907E7" w:rsidP="00E907E7">
      <w:pPr>
        <w:rPr>
          <w:rFonts w:cs="Arial"/>
        </w:rPr>
      </w:pPr>
      <w:bookmarkStart w:id="67" w:name="_Toc120358588"/>
    </w:p>
    <w:p w:rsidR="00E907E7" w:rsidRPr="009D4E21" w:rsidRDefault="00E907E7" w:rsidP="00E907E7">
      <w:r w:rsidRPr="009D4E21">
        <w:t xml:space="preserve">In developing food regulatory measures for adoption in </w:t>
      </w:r>
      <w:smartTag w:uri="urn:schemas-microsoft-com:office:smarttags" w:element="country-region">
        <w:r w:rsidRPr="009D4E21">
          <w:t>Australia</w:t>
        </w:r>
      </w:smartTag>
      <w:r w:rsidRPr="009D4E21">
        <w:t xml:space="preserve"> and </w:t>
      </w:r>
      <w:smartTag w:uri="urn:schemas-microsoft-com:office:smarttags" w:element="country-region">
        <w:smartTag w:uri="urn:schemas-microsoft-com:office:smarttags" w:element="place">
          <w:r w:rsidRPr="009D4E21">
            <w:t>New Zealand</w:t>
          </w:r>
        </w:smartTag>
      </w:smartTag>
      <w:r w:rsidRPr="009D4E21">
        <w:t>, FSANZ is required to consider the impact of all options on all sectors of the community, including consumers, the relevant food industrie</w:t>
      </w:r>
      <w:r>
        <w:t xml:space="preserve">s and governments. </w:t>
      </w:r>
      <w:r w:rsidRPr="009D4E21">
        <w:t>The regulatory impact assessment identifies and evaluates, though is not limited to, the costs and benefits arising from the regulation and its health</w:t>
      </w:r>
      <w:r>
        <w:t>, economic and social impacts. The level of analysis is commensurate to the nature of the application and significance of the impacts.</w:t>
      </w:r>
    </w:p>
    <w:p w:rsidR="00E907E7" w:rsidRPr="009D4E21" w:rsidRDefault="00E907E7" w:rsidP="00E907E7"/>
    <w:p w:rsidR="00E907E7" w:rsidRPr="009D4E21" w:rsidRDefault="00E907E7" w:rsidP="00E907E7">
      <w:r w:rsidRPr="009D4E21">
        <w:t>The regulatory impact analysis is designed to assist in the process of identifying the affected parties and the likely or potential impacts the regulatory provisions wil</w:t>
      </w:r>
      <w:r>
        <w:t xml:space="preserve">l have on each affected party. </w:t>
      </w:r>
      <w:r w:rsidRPr="009D4E21">
        <w:t xml:space="preserve">Where medium to significant competitive impacts or compliance costs are likely, FSANZ will seek further advice from the Office of Best Practice Regulation (OBPR) and estimate compliance costs of regulatory options.  </w:t>
      </w:r>
    </w:p>
    <w:p w:rsidR="00E907E7" w:rsidRPr="009D4E21" w:rsidRDefault="00E907E7" w:rsidP="00E907E7"/>
    <w:p w:rsidR="00E907E7" w:rsidRPr="009D4E21" w:rsidRDefault="00E907E7" w:rsidP="00E907E7">
      <w:r w:rsidRPr="009D4E21">
        <w:t xml:space="preserve">FSANZ has conducted, with OBPR subsequently approving, a preliminary assessment of this </w:t>
      </w:r>
      <w:r>
        <w:t>Application</w:t>
      </w:r>
      <w:r w:rsidRPr="009D4E21">
        <w:t xml:space="preserve"> </w:t>
      </w:r>
      <w:r>
        <w:t xml:space="preserve">(RIS ID 11840). This assessment </w:t>
      </w:r>
      <w:r w:rsidRPr="009D4E21">
        <w:t>concluded that there were no business compliance costs involved and/or minimal impact and consequently a Regulation Impact Statement (RIS) is not required.</w:t>
      </w:r>
    </w:p>
    <w:p w:rsidR="00AD14ED" w:rsidRDefault="00AD14ED">
      <w:pPr>
        <w:widowControl/>
      </w:pPr>
      <w:r>
        <w:br w:type="page"/>
      </w:r>
    </w:p>
    <w:p w:rsidR="00E907E7" w:rsidRPr="00DC6570" w:rsidRDefault="00E907E7" w:rsidP="001B5F21">
      <w:pPr>
        <w:pStyle w:val="Heading3"/>
        <w:widowControl/>
      </w:pPr>
      <w:bookmarkStart w:id="68" w:name="_Toc282772790"/>
      <w:r>
        <w:lastRenderedPageBreak/>
        <w:t>7.1</w:t>
      </w:r>
      <w:r w:rsidRPr="00DC6570">
        <w:tab/>
        <w:t>Affected Parties</w:t>
      </w:r>
      <w:bookmarkEnd w:id="67"/>
      <w:bookmarkEnd w:id="68"/>
    </w:p>
    <w:p w:rsidR="00E907E7" w:rsidRPr="006D1F84" w:rsidRDefault="00E907E7" w:rsidP="001B5F21">
      <w:pPr>
        <w:keepNext/>
        <w:widowControl/>
      </w:pPr>
      <w:bookmarkStart w:id="69" w:name="_Toc11735638"/>
      <w:bookmarkStart w:id="70" w:name="_Toc29883123"/>
      <w:bookmarkStart w:id="71" w:name="_Toc41906810"/>
      <w:bookmarkStart w:id="72" w:name="_Toc41907557"/>
      <w:bookmarkStart w:id="73" w:name="_Toc120358589"/>
    </w:p>
    <w:p w:rsidR="00E907E7" w:rsidRPr="009D4E21" w:rsidRDefault="00E907E7" w:rsidP="00AD14ED">
      <w:r w:rsidRPr="009D4E21">
        <w:t xml:space="preserve">The affected parties to this </w:t>
      </w:r>
      <w:r>
        <w:t xml:space="preserve">Application </w:t>
      </w:r>
      <w:r w:rsidRPr="009D4E21">
        <w:t>include:</w:t>
      </w:r>
    </w:p>
    <w:p w:rsidR="00E907E7" w:rsidRPr="00AD14ED" w:rsidRDefault="00E907E7" w:rsidP="00AD14ED"/>
    <w:p w:rsidR="00E907E7" w:rsidRPr="00603830" w:rsidRDefault="00E907E7" w:rsidP="00E907E7">
      <w:pPr>
        <w:pStyle w:val="FSBullet"/>
        <w:widowControl/>
      </w:pPr>
      <w:r w:rsidRPr="009D4E21">
        <w:t>those sectors of the food industry wishing to produce and market food product</w:t>
      </w:r>
      <w:r>
        <w:t>s produced using</w:t>
      </w:r>
      <w:r w:rsidRPr="00FB1346">
        <w:t xml:space="preserve"> </w:t>
      </w:r>
      <w:r>
        <w:t>the resin</w:t>
      </w:r>
      <w:r w:rsidRPr="00603830">
        <w:rPr>
          <w:i/>
          <w:iCs/>
        </w:rPr>
        <w:t xml:space="preserve"> </w:t>
      </w:r>
      <w:r>
        <w:t xml:space="preserve">as a processing aid </w:t>
      </w:r>
    </w:p>
    <w:p w:rsidR="00E907E7" w:rsidRPr="009D4E21" w:rsidRDefault="00E907E7" w:rsidP="00E907E7">
      <w:pPr>
        <w:pStyle w:val="FSBullet"/>
      </w:pPr>
      <w:r w:rsidRPr="009D4E21">
        <w:t xml:space="preserve">consumers of food products </w:t>
      </w:r>
      <w:r w:rsidR="001B5F21">
        <w:t xml:space="preserve">produced </w:t>
      </w:r>
      <w:r w:rsidRPr="009D4E21">
        <w:t>using</w:t>
      </w:r>
      <w:r w:rsidRPr="00FB1346">
        <w:t xml:space="preserve"> </w:t>
      </w:r>
      <w:r>
        <w:t xml:space="preserve">the resin </w:t>
      </w:r>
      <w:r w:rsidRPr="009D4E21">
        <w:t>as a processing aid</w:t>
      </w:r>
    </w:p>
    <w:p w:rsidR="00E907E7" w:rsidRDefault="00E907E7" w:rsidP="00E907E7">
      <w:pPr>
        <w:pStyle w:val="FSBullet"/>
      </w:pPr>
      <w:r w:rsidRPr="009D4E21">
        <w:t>Australian, State, Territory and New Zealand Government enforcement agencies that enforce food regulations.</w:t>
      </w:r>
    </w:p>
    <w:p w:rsidR="00E907E7" w:rsidRPr="009A1D57" w:rsidRDefault="00E907E7" w:rsidP="00E907E7"/>
    <w:p w:rsidR="00E907E7" w:rsidRPr="00DC6570" w:rsidRDefault="00E907E7" w:rsidP="00724024">
      <w:pPr>
        <w:pStyle w:val="Heading3"/>
        <w:keepLines/>
        <w:widowControl/>
      </w:pPr>
      <w:bookmarkStart w:id="74" w:name="_Toc282772791"/>
      <w:r>
        <w:t>7.2</w:t>
      </w:r>
      <w:r w:rsidRPr="00DC6570">
        <w:tab/>
        <w:t>Benefit Cost Analysis</w:t>
      </w:r>
      <w:bookmarkEnd w:id="69"/>
      <w:bookmarkEnd w:id="70"/>
      <w:bookmarkEnd w:id="71"/>
      <w:bookmarkEnd w:id="72"/>
      <w:bookmarkEnd w:id="73"/>
      <w:bookmarkEnd w:id="74"/>
    </w:p>
    <w:p w:rsidR="00E907E7" w:rsidRPr="000A5E67" w:rsidRDefault="00E907E7" w:rsidP="00724024">
      <w:pPr>
        <w:keepNext/>
        <w:keepLines/>
        <w:widowControl/>
        <w:rPr>
          <w:rFonts w:cs="Arial"/>
        </w:rPr>
      </w:pPr>
    </w:p>
    <w:p w:rsidR="000A5E67" w:rsidRPr="000A5E67" w:rsidRDefault="000A5E67" w:rsidP="000A5E67">
      <w:pPr>
        <w:pStyle w:val="Heading4"/>
      </w:pPr>
      <w:r w:rsidRPr="000A5E67">
        <w:t>7.2.1</w:t>
      </w:r>
      <w:r w:rsidRPr="000A5E67">
        <w:tab/>
        <w:t>Option 1:  Reject the Application</w:t>
      </w:r>
    </w:p>
    <w:p w:rsidR="000A5E67" w:rsidRPr="000A5E67" w:rsidRDefault="000A5E67" w:rsidP="000A5E67"/>
    <w:p w:rsidR="000A5E67" w:rsidRPr="000A5E67" w:rsidRDefault="000A5E67" w:rsidP="000A5E67">
      <w:r w:rsidRPr="000A5E67">
        <w:t xml:space="preserve">This option is the </w:t>
      </w:r>
      <w:r w:rsidRPr="000A5E67">
        <w:rPr>
          <w:i/>
          <w:iCs/>
        </w:rPr>
        <w:t>status quo</w:t>
      </w:r>
      <w:r w:rsidRPr="000A5E67">
        <w:t>, with no changes to the Code.</w:t>
      </w:r>
    </w:p>
    <w:p w:rsidR="000A5E67" w:rsidRPr="000A5E67" w:rsidRDefault="000A5E67" w:rsidP="000A5E67"/>
    <w:p w:rsidR="000A5E67" w:rsidRPr="000A5E67" w:rsidRDefault="000A5E67" w:rsidP="000A5E67">
      <w:r w:rsidRPr="000A5E67">
        <w:t>Rejecting the Application would disadvantage relevant food industries where the resin could provide an alternative to currently available treatments.</w:t>
      </w:r>
    </w:p>
    <w:p w:rsidR="000A5E67" w:rsidRPr="000A5E67" w:rsidRDefault="000A5E67" w:rsidP="000A5E67"/>
    <w:p w:rsidR="000A5E67" w:rsidRPr="00E41395" w:rsidRDefault="000A5E67" w:rsidP="000A5E67">
      <w:pPr>
        <w:pStyle w:val="Heading4"/>
        <w:keepLines/>
        <w:widowControl/>
      </w:pPr>
      <w:bookmarkStart w:id="75" w:name="_Toc43108786"/>
      <w:bookmarkStart w:id="76" w:name="_Toc43109040"/>
      <w:bookmarkStart w:id="77" w:name="_Toc70241010"/>
      <w:r w:rsidRPr="00E41395">
        <w:t>7.2.2</w:t>
      </w:r>
      <w:r w:rsidRPr="00E41395">
        <w:tab/>
        <w:t>Option 2</w:t>
      </w:r>
      <w:bookmarkEnd w:id="75"/>
      <w:bookmarkEnd w:id="76"/>
      <w:bookmarkEnd w:id="77"/>
      <w:r w:rsidRPr="00E41395">
        <w:t>:  To approve draft variation</w:t>
      </w:r>
      <w:r w:rsidR="00E41395" w:rsidRPr="00E41395">
        <w:t>s</w:t>
      </w:r>
      <w:r w:rsidRPr="00E41395">
        <w:t xml:space="preserve"> to Standard</w:t>
      </w:r>
      <w:r w:rsidR="00E41395" w:rsidRPr="00E41395">
        <w:t>s</w:t>
      </w:r>
      <w:r w:rsidRPr="00E41395">
        <w:t xml:space="preserve"> 1.3.3</w:t>
      </w:r>
      <w:r w:rsidR="00E41395" w:rsidRPr="00E41395">
        <w:t xml:space="preserve"> </w:t>
      </w:r>
      <w:r w:rsidR="001B5F21">
        <w:t>to permit the use of the resin as a processing aid</w:t>
      </w:r>
    </w:p>
    <w:p w:rsidR="000A5E67" w:rsidRPr="00E41395" w:rsidRDefault="000A5E67" w:rsidP="000A5E67">
      <w:pPr>
        <w:keepNext/>
        <w:keepLines/>
        <w:widowControl/>
      </w:pPr>
    </w:p>
    <w:p w:rsidR="000A5E67" w:rsidRDefault="000A5E67" w:rsidP="000A5E67">
      <w:r w:rsidRPr="000A5E67">
        <w:t xml:space="preserve">This option will provide potential benefits to food manufacturers by making available </w:t>
      </w:r>
      <w:r>
        <w:t xml:space="preserve">a single-step alternative to current two-step treatments. </w:t>
      </w:r>
      <w:r w:rsidR="00E41395">
        <w:t xml:space="preserve">No added costs to consumers are expected. </w:t>
      </w:r>
      <w:r>
        <w:t>The use of the resin</w:t>
      </w:r>
      <w:r w:rsidRPr="00B0688B">
        <w:rPr>
          <w:rFonts w:cs="Arial"/>
        </w:rPr>
        <w:t xml:space="preserve"> </w:t>
      </w:r>
      <w:r>
        <w:rPr>
          <w:rFonts w:cs="Arial"/>
        </w:rPr>
        <w:t xml:space="preserve">as a processing aid </w:t>
      </w:r>
      <w:r w:rsidRPr="008D5003">
        <w:rPr>
          <w:rFonts w:cs="Arial"/>
        </w:rPr>
        <w:t xml:space="preserve">is </w:t>
      </w:r>
      <w:r>
        <w:t xml:space="preserve">technologically justified and raises no public health and safety issues. </w:t>
      </w:r>
    </w:p>
    <w:p w:rsidR="000A5E67" w:rsidRDefault="000A5E67" w:rsidP="000A5E67"/>
    <w:p w:rsidR="000A5E67" w:rsidRDefault="00E41395" w:rsidP="000A5E67">
      <w:r>
        <w:t>A</w:t>
      </w:r>
      <w:r w:rsidR="000A5E67">
        <w:t>s a processing aid</w:t>
      </w:r>
      <w:r>
        <w:t>, the use of the resin</w:t>
      </w:r>
      <w:r w:rsidR="000A5E67">
        <w:t xml:space="preserve"> will not need to be </w:t>
      </w:r>
      <w:r>
        <w:t xml:space="preserve">labelled; therefore significant compliance costs for government enforcement agencies in testing for the presence of the resin in the final food are not expected. </w:t>
      </w:r>
      <w:r w:rsidR="008572F5">
        <w:t xml:space="preserve">In addition, </w:t>
      </w:r>
      <w:r w:rsidR="004B092B">
        <w:rPr>
          <w:rFonts w:cs="Arial"/>
          <w:szCs w:val="22"/>
        </w:rPr>
        <w:t>there is likely to be no migration of monomers from the resin and negligible carry-over of the resin in treated beverages.</w:t>
      </w:r>
    </w:p>
    <w:p w:rsidR="000A5E67" w:rsidRDefault="000A5E67" w:rsidP="00724024">
      <w:pPr>
        <w:keepNext/>
        <w:keepLines/>
        <w:widowControl/>
        <w:rPr>
          <w:rFonts w:cs="Arial"/>
        </w:rPr>
      </w:pPr>
    </w:p>
    <w:p w:rsidR="00E907E7" w:rsidRPr="00DC6570" w:rsidRDefault="00E907E7" w:rsidP="00E907E7">
      <w:pPr>
        <w:pStyle w:val="Heading3"/>
        <w:rPr>
          <w:rFonts w:cs="Arial"/>
        </w:rPr>
      </w:pPr>
      <w:bookmarkStart w:id="78" w:name="_Toc120358590"/>
      <w:bookmarkStart w:id="79" w:name="_Toc282772792"/>
      <w:r>
        <w:rPr>
          <w:rFonts w:cs="Arial"/>
        </w:rPr>
        <w:t>7.3</w:t>
      </w:r>
      <w:r w:rsidRPr="00DC6570">
        <w:rPr>
          <w:rFonts w:cs="Arial"/>
        </w:rPr>
        <w:tab/>
        <w:t>Comparison of Options</w:t>
      </w:r>
      <w:bookmarkEnd w:id="78"/>
      <w:bookmarkEnd w:id="79"/>
    </w:p>
    <w:p w:rsidR="00E41395" w:rsidRPr="00E41395" w:rsidRDefault="00E41395" w:rsidP="00E41395"/>
    <w:p w:rsidR="00E907E7" w:rsidRDefault="00E907E7" w:rsidP="00E907E7">
      <w:r>
        <w:rPr>
          <w:rFonts w:cs="Arial"/>
        </w:rPr>
        <w:t xml:space="preserve">Given that the </w:t>
      </w:r>
      <w:r w:rsidR="00E41395">
        <w:rPr>
          <w:rFonts w:cs="Arial"/>
        </w:rPr>
        <w:t>approval</w:t>
      </w:r>
      <w:r>
        <w:rPr>
          <w:rFonts w:cs="Arial"/>
        </w:rPr>
        <w:t xml:space="preserve"> of this Application imposes no financial burden on any sector of the community, and given that </w:t>
      </w:r>
      <w:r>
        <w:t>the use of this resin raises no public health and safety issues, Option 2 is the preferred option.</w:t>
      </w:r>
    </w:p>
    <w:p w:rsidR="000A5E67" w:rsidRPr="00416040" w:rsidRDefault="000A5E67" w:rsidP="00E907E7">
      <w:pPr>
        <w:rPr>
          <w:rFonts w:cs="Arial"/>
        </w:rPr>
      </w:pPr>
    </w:p>
    <w:p w:rsidR="00E907E7" w:rsidRDefault="00E907E7" w:rsidP="00E907E7">
      <w:pPr>
        <w:pStyle w:val="Heading3"/>
      </w:pPr>
      <w:bookmarkStart w:id="80" w:name="_Toc282772793"/>
      <w:r>
        <w:t>7.4</w:t>
      </w:r>
      <w:r>
        <w:tab/>
        <w:t>Other Risk Management Matters</w:t>
      </w:r>
      <w:bookmarkEnd w:id="80"/>
    </w:p>
    <w:p w:rsidR="00E907E7" w:rsidRDefault="00E907E7" w:rsidP="00E907E7"/>
    <w:p w:rsidR="00AD14ED" w:rsidRDefault="00E907E7" w:rsidP="00E907E7">
      <w:r>
        <w:t>In the Table to clause 6</w:t>
      </w:r>
      <w:r w:rsidR="001B5F21">
        <w:t xml:space="preserve"> in Standard 1.3.3</w:t>
      </w:r>
      <w:r>
        <w:t>, which regulates the use of per</w:t>
      </w:r>
      <w:r w:rsidR="001B5F21">
        <w:t xml:space="preserve">mitted decolourants, clarifying, </w:t>
      </w:r>
      <w:r>
        <w:t>filtration</w:t>
      </w:r>
      <w:r w:rsidR="001B5F21">
        <w:t xml:space="preserve"> and adsorbent</w:t>
      </w:r>
      <w:r>
        <w:t xml:space="preserve"> agents, no restriction is applied on the foods in which these products may be used. PVPP is currently permitted in this Table, and its use is therefore currently not restricted to beer or beverages. However, the maximum permitted level for PVPP is 100 mg/kg in foods. In the </w:t>
      </w:r>
      <w:r w:rsidR="001B5F21">
        <w:t>R</w:t>
      </w:r>
      <w:r>
        <w:t xml:space="preserve">isk and </w:t>
      </w:r>
      <w:r w:rsidR="001B5F21">
        <w:t>T</w:t>
      </w:r>
      <w:r>
        <w:t xml:space="preserve">echnical </w:t>
      </w:r>
      <w:r w:rsidR="001B5F21">
        <w:t>A</w:t>
      </w:r>
      <w:r>
        <w:t>ssessment</w:t>
      </w:r>
      <w:r w:rsidR="001B5F21">
        <w:t xml:space="preserve"> Report</w:t>
      </w:r>
      <w:r>
        <w:t xml:space="preserve">, the analysis of the migration of the resin and residual monomers of the resin into treated beverages identified no public health and safety concerns. It is therefore deemed that setting a maximum permitted level for co-extruded polystyrene and PVPP is not necessary. It is appropriate to apply a good manufacturing </w:t>
      </w:r>
      <w:r w:rsidRPr="006A5D44">
        <w:t xml:space="preserve">practice (GMP) limit to this processing aid, as has been applied to other permitted decolourants, clarifying, filtration and adsorbent agents. </w:t>
      </w:r>
    </w:p>
    <w:p w:rsidR="00AD14ED" w:rsidRDefault="00AD14ED" w:rsidP="00E907E7"/>
    <w:p w:rsidR="00AD14ED" w:rsidRDefault="00AD14ED">
      <w:pPr>
        <w:widowControl/>
      </w:pPr>
      <w:r>
        <w:br w:type="page"/>
      </w:r>
    </w:p>
    <w:p w:rsidR="00E907E7" w:rsidRPr="006A5D44" w:rsidRDefault="00E907E7" w:rsidP="00E907E7">
      <w:r w:rsidRPr="006A5D44">
        <w:lastRenderedPageBreak/>
        <w:t>Based on the risk and</w:t>
      </w:r>
      <w:r w:rsidR="00AD14ED">
        <w:t xml:space="preserve"> technical assessment for this A</w:t>
      </w:r>
      <w:r w:rsidRPr="006A5D44">
        <w:t xml:space="preserve">pplication, it is also appropriate to amend the maximum permitted level for PVPP to GMP. This will prevent an inconsistency in the permitted levels between PVPP used in isolation and PVPP co-extruded with polystyrene, as noted in a submission to the Assessment Report (see section 9.2.2). </w:t>
      </w:r>
    </w:p>
    <w:p w:rsidR="00E907E7" w:rsidRPr="00F07AE7" w:rsidRDefault="00E907E7" w:rsidP="00E907E7">
      <w:pPr>
        <w:rPr>
          <w:rFonts w:cs="Arial"/>
        </w:rPr>
      </w:pPr>
    </w:p>
    <w:p w:rsidR="00E907E7" w:rsidRPr="00DC6570" w:rsidRDefault="00E907E7" w:rsidP="00E907E7">
      <w:pPr>
        <w:pStyle w:val="Heading1"/>
      </w:pPr>
      <w:bookmarkStart w:id="81" w:name="_Toc282772794"/>
      <w:r>
        <w:t>C</w:t>
      </w:r>
      <w:r w:rsidRPr="00DC6570">
        <w:t>ommunication and Consultation Strategy</w:t>
      </w:r>
      <w:bookmarkEnd w:id="81"/>
    </w:p>
    <w:p w:rsidR="00E907E7" w:rsidRPr="00DC6570" w:rsidRDefault="00E907E7" w:rsidP="00E907E7">
      <w:pPr>
        <w:rPr>
          <w:rFonts w:cs="Arial"/>
        </w:rPr>
      </w:pPr>
    </w:p>
    <w:p w:rsidR="00E907E7" w:rsidRPr="00DC6570" w:rsidRDefault="00E907E7" w:rsidP="00E907E7">
      <w:pPr>
        <w:pStyle w:val="Heading2"/>
      </w:pPr>
      <w:bookmarkStart w:id="82" w:name="_Toc120358592"/>
      <w:bookmarkStart w:id="83" w:name="_Toc282772795"/>
      <w:r>
        <w:t>8.</w:t>
      </w:r>
      <w:r w:rsidRPr="00DC6570">
        <w:tab/>
        <w:t>Communication</w:t>
      </w:r>
      <w:bookmarkEnd w:id="82"/>
      <w:bookmarkEnd w:id="83"/>
    </w:p>
    <w:p w:rsidR="00E907E7" w:rsidRPr="00B731D0" w:rsidRDefault="00E907E7" w:rsidP="00E907E7">
      <w:pPr>
        <w:rPr>
          <w:lang w:val="en-AU"/>
        </w:rPr>
      </w:pPr>
      <w:bookmarkStart w:id="84" w:name="_Toc11735640"/>
      <w:bookmarkStart w:id="85" w:name="_Toc29883125"/>
      <w:bookmarkStart w:id="86" w:name="_Toc41906812"/>
      <w:bookmarkStart w:id="87" w:name="_Toc41907559"/>
      <w:bookmarkStart w:id="88" w:name="_Toc120358593"/>
    </w:p>
    <w:p w:rsidR="00E907E7" w:rsidRDefault="00E907E7" w:rsidP="00E907E7">
      <w:pPr>
        <w:rPr>
          <w:lang w:val="en-AU"/>
        </w:rPr>
      </w:pPr>
      <w:r w:rsidRPr="00B731D0">
        <w:rPr>
          <w:szCs w:val="20"/>
          <w:lang w:val="en-AU"/>
        </w:rPr>
        <w:t xml:space="preserve">FSANZ has </w:t>
      </w:r>
      <w:r>
        <w:rPr>
          <w:szCs w:val="20"/>
          <w:lang w:val="en-AU"/>
        </w:rPr>
        <w:t>applied</w:t>
      </w:r>
      <w:r w:rsidRPr="00B731D0">
        <w:rPr>
          <w:szCs w:val="20"/>
          <w:lang w:val="en-AU"/>
        </w:rPr>
        <w:t xml:space="preserve"> a basic communication strategy to </w:t>
      </w:r>
      <w:r>
        <w:rPr>
          <w:szCs w:val="20"/>
          <w:lang w:val="en-AU"/>
        </w:rPr>
        <w:t>this Application.</w:t>
      </w:r>
      <w:r w:rsidRPr="00B731D0">
        <w:rPr>
          <w:szCs w:val="20"/>
          <w:lang w:val="en-AU"/>
        </w:rPr>
        <w:t xml:space="preserve"> </w:t>
      </w:r>
      <w:r w:rsidRPr="00C65959">
        <w:rPr>
          <w:lang w:val="en-AU"/>
        </w:rPr>
        <w:t>Th</w:t>
      </w:r>
      <w:r>
        <w:rPr>
          <w:lang w:val="en-AU"/>
        </w:rPr>
        <w:t>e strategy involved</w:t>
      </w:r>
      <w:r w:rsidRPr="00C65959">
        <w:rPr>
          <w:lang w:val="en-AU"/>
        </w:rPr>
        <w:t xml:space="preserve"> </w:t>
      </w:r>
      <w:r>
        <w:rPr>
          <w:lang w:val="en-AU"/>
        </w:rPr>
        <w:t xml:space="preserve">notifying subscribers and any interested parties of </w:t>
      </w:r>
      <w:r w:rsidRPr="005D2B7C">
        <w:rPr>
          <w:lang w:val="en-AU"/>
        </w:rPr>
        <w:t>the availability</w:t>
      </w:r>
      <w:r w:rsidRPr="00C65959">
        <w:rPr>
          <w:lang w:val="en-AU"/>
        </w:rPr>
        <w:t xml:space="preserve"> of </w:t>
      </w:r>
      <w:r>
        <w:rPr>
          <w:lang w:val="en-AU"/>
        </w:rPr>
        <w:t xml:space="preserve">the </w:t>
      </w:r>
      <w:r w:rsidR="00D44249">
        <w:rPr>
          <w:lang w:val="en-AU"/>
        </w:rPr>
        <w:t>A</w:t>
      </w:r>
      <w:r>
        <w:rPr>
          <w:lang w:val="en-AU"/>
        </w:rPr>
        <w:t xml:space="preserve">ssessment </w:t>
      </w:r>
      <w:r w:rsidR="00D44249">
        <w:rPr>
          <w:lang w:val="en-AU"/>
        </w:rPr>
        <w:t>R</w:t>
      </w:r>
      <w:r w:rsidRPr="00C65959">
        <w:rPr>
          <w:lang w:val="en-AU"/>
        </w:rPr>
        <w:t>eport</w:t>
      </w:r>
      <w:r>
        <w:rPr>
          <w:lang w:val="en-AU"/>
        </w:rPr>
        <w:t xml:space="preserve"> for public comment</w:t>
      </w:r>
      <w:r w:rsidRPr="00C65959">
        <w:rPr>
          <w:lang w:val="en-AU"/>
        </w:rPr>
        <w:t xml:space="preserve"> </w:t>
      </w:r>
      <w:r>
        <w:rPr>
          <w:lang w:val="en-AU"/>
        </w:rPr>
        <w:t xml:space="preserve">and placing the </w:t>
      </w:r>
      <w:r w:rsidR="00D44249">
        <w:rPr>
          <w:lang w:val="en-AU"/>
        </w:rPr>
        <w:t>R</w:t>
      </w:r>
      <w:r>
        <w:rPr>
          <w:lang w:val="en-AU"/>
        </w:rPr>
        <w:t>eport on</w:t>
      </w:r>
      <w:r w:rsidRPr="00C65959">
        <w:rPr>
          <w:lang w:val="en-AU"/>
        </w:rPr>
        <w:t xml:space="preserve"> the FSANZ website. </w:t>
      </w:r>
    </w:p>
    <w:p w:rsidR="00E907E7" w:rsidRDefault="00E907E7" w:rsidP="00E907E7">
      <w:pPr>
        <w:rPr>
          <w:szCs w:val="22"/>
        </w:rPr>
      </w:pPr>
    </w:p>
    <w:p w:rsidR="004810DF" w:rsidRDefault="00E907E7" w:rsidP="00E907E7">
      <w:pPr>
        <w:ind w:right="-330"/>
        <w:rPr>
          <w:szCs w:val="22"/>
        </w:rPr>
      </w:pPr>
      <w:r w:rsidRPr="00B731D0">
        <w:rPr>
          <w:szCs w:val="22"/>
        </w:rPr>
        <w:t>The process by which FSANZ considers standard</w:t>
      </w:r>
      <w:r w:rsidR="00DB2E19">
        <w:rPr>
          <w:szCs w:val="22"/>
        </w:rPr>
        <w:t>s</w:t>
      </w:r>
      <w:r w:rsidRPr="00B731D0">
        <w:rPr>
          <w:szCs w:val="22"/>
        </w:rPr>
        <w:t xml:space="preserve"> matters is open, accountable,</w:t>
      </w:r>
      <w:r>
        <w:rPr>
          <w:szCs w:val="22"/>
        </w:rPr>
        <w:t xml:space="preserve"> consultative and transparent. </w:t>
      </w:r>
      <w:r w:rsidRPr="00B731D0">
        <w:rPr>
          <w:szCs w:val="22"/>
        </w:rPr>
        <w:t xml:space="preserve">The purpose of inviting public submissions is to obtain the views of interested parties on the issues raised by the </w:t>
      </w:r>
      <w:r w:rsidR="00D44249">
        <w:rPr>
          <w:szCs w:val="22"/>
        </w:rPr>
        <w:t>A</w:t>
      </w:r>
      <w:r w:rsidRPr="00B731D0">
        <w:rPr>
          <w:szCs w:val="22"/>
        </w:rPr>
        <w:t>pplication and the impacts of re</w:t>
      </w:r>
      <w:r>
        <w:rPr>
          <w:szCs w:val="22"/>
        </w:rPr>
        <w:t>gulatory options.</w:t>
      </w:r>
      <w:r w:rsidRPr="00B731D0">
        <w:rPr>
          <w:szCs w:val="22"/>
        </w:rPr>
        <w:t xml:space="preserve"> </w:t>
      </w:r>
    </w:p>
    <w:p w:rsidR="00E907E7" w:rsidRPr="00B731D0" w:rsidRDefault="00E907E7" w:rsidP="00E907E7">
      <w:pPr>
        <w:ind w:right="-330"/>
        <w:rPr>
          <w:szCs w:val="22"/>
        </w:rPr>
      </w:pPr>
      <w:r w:rsidRPr="00B731D0">
        <w:rPr>
          <w:szCs w:val="22"/>
        </w:rPr>
        <w:t xml:space="preserve">The issues raised in the public submissions are evaluated and addressed in FSANZ </w:t>
      </w:r>
      <w:r w:rsidR="00D44249">
        <w:rPr>
          <w:szCs w:val="22"/>
        </w:rPr>
        <w:t>A</w:t>
      </w:r>
      <w:r>
        <w:rPr>
          <w:szCs w:val="22"/>
        </w:rPr>
        <w:t>pproval</w:t>
      </w:r>
      <w:r w:rsidRPr="00B731D0">
        <w:rPr>
          <w:szCs w:val="22"/>
        </w:rPr>
        <w:t xml:space="preserve"> </w:t>
      </w:r>
      <w:r w:rsidR="00D44249">
        <w:rPr>
          <w:szCs w:val="22"/>
        </w:rPr>
        <w:t>R</w:t>
      </w:r>
      <w:r w:rsidRPr="00B731D0">
        <w:rPr>
          <w:szCs w:val="22"/>
        </w:rPr>
        <w:t>eports.</w:t>
      </w:r>
    </w:p>
    <w:p w:rsidR="00E907E7" w:rsidRPr="00B731D0" w:rsidRDefault="00E907E7" w:rsidP="00E907E7">
      <w:pPr>
        <w:ind w:right="-214"/>
        <w:rPr>
          <w:szCs w:val="20"/>
          <w:lang w:val="en-AU"/>
        </w:rPr>
      </w:pPr>
    </w:p>
    <w:p w:rsidR="00E907E7" w:rsidRPr="00B731D0" w:rsidRDefault="00E907E7" w:rsidP="00E907E7">
      <w:pPr>
        <w:ind w:right="-214"/>
        <w:rPr>
          <w:szCs w:val="20"/>
        </w:rPr>
      </w:pPr>
      <w:r w:rsidRPr="00B731D0">
        <w:rPr>
          <w:szCs w:val="20"/>
          <w:lang w:val="en-AU"/>
        </w:rPr>
        <w:t xml:space="preserve">The </w:t>
      </w:r>
      <w:r>
        <w:rPr>
          <w:szCs w:val="20"/>
          <w:lang w:val="en-AU"/>
        </w:rPr>
        <w:t>Applicant</w:t>
      </w:r>
      <w:r w:rsidRPr="00B731D0">
        <w:rPr>
          <w:szCs w:val="20"/>
          <w:lang w:val="en-AU"/>
        </w:rPr>
        <w:t>, individuals</w:t>
      </w:r>
      <w:r>
        <w:rPr>
          <w:szCs w:val="20"/>
          <w:lang w:val="en-AU"/>
        </w:rPr>
        <w:t>,</w:t>
      </w:r>
      <w:r w:rsidRPr="00B731D0">
        <w:rPr>
          <w:szCs w:val="20"/>
          <w:lang w:val="en-AU"/>
        </w:rPr>
        <w:t xml:space="preserve"> and organisations making submissions on this </w:t>
      </w:r>
      <w:r>
        <w:rPr>
          <w:szCs w:val="20"/>
          <w:lang w:val="en-AU"/>
        </w:rPr>
        <w:t>Application,</w:t>
      </w:r>
      <w:r w:rsidRPr="00B731D0">
        <w:rPr>
          <w:szCs w:val="20"/>
          <w:lang w:val="en-AU"/>
        </w:rPr>
        <w:t xml:space="preserve"> will be notified at </w:t>
      </w:r>
      <w:r>
        <w:rPr>
          <w:szCs w:val="20"/>
          <w:lang w:val="en-AU"/>
        </w:rPr>
        <w:t xml:space="preserve">each stage of the Application. </w:t>
      </w:r>
      <w:r w:rsidRPr="00B731D0">
        <w:rPr>
          <w:szCs w:val="20"/>
        </w:rPr>
        <w:t xml:space="preserve">If the FSANZ Board approves the </w:t>
      </w:r>
      <w:r w:rsidR="00816B04">
        <w:rPr>
          <w:szCs w:val="20"/>
        </w:rPr>
        <w:t xml:space="preserve">amended </w:t>
      </w:r>
      <w:r w:rsidRPr="00B731D0">
        <w:rPr>
          <w:szCs w:val="20"/>
        </w:rPr>
        <w:t>draft variation</w:t>
      </w:r>
      <w:r w:rsidR="008D13EC">
        <w:rPr>
          <w:szCs w:val="20"/>
        </w:rPr>
        <w:t>s</w:t>
      </w:r>
      <w:r w:rsidRPr="00B731D0">
        <w:rPr>
          <w:szCs w:val="20"/>
        </w:rPr>
        <w:t xml:space="preserve"> to the Code, FSANZ will notify its decisi</w:t>
      </w:r>
      <w:r>
        <w:rPr>
          <w:szCs w:val="20"/>
        </w:rPr>
        <w:t xml:space="preserve">on to the Ministerial Council. </w:t>
      </w:r>
      <w:r w:rsidRPr="00B731D0">
        <w:rPr>
          <w:szCs w:val="20"/>
        </w:rPr>
        <w:t xml:space="preserve">The </w:t>
      </w:r>
      <w:r>
        <w:rPr>
          <w:szCs w:val="20"/>
        </w:rPr>
        <w:t>Applicant</w:t>
      </w:r>
      <w:r w:rsidRPr="00B731D0">
        <w:rPr>
          <w:szCs w:val="20"/>
        </w:rPr>
        <w:t xml:space="preserve"> and stakeholders, including the public, will be notified of t</w:t>
      </w:r>
      <w:r>
        <w:rPr>
          <w:szCs w:val="20"/>
        </w:rPr>
        <w:t xml:space="preserve">he gazetted changes to the Code, if approved by the Ministerial Council, </w:t>
      </w:r>
      <w:r w:rsidRPr="00B731D0">
        <w:rPr>
          <w:szCs w:val="20"/>
        </w:rPr>
        <w:t xml:space="preserve">in the national press and on the FSANZ website. </w:t>
      </w:r>
    </w:p>
    <w:p w:rsidR="00E907E7" w:rsidRPr="00B731D0" w:rsidRDefault="00E907E7" w:rsidP="00E907E7">
      <w:pPr>
        <w:rPr>
          <w:rFonts w:cs="Arial"/>
        </w:rPr>
      </w:pPr>
    </w:p>
    <w:p w:rsidR="00E907E7" w:rsidRPr="00DC6570" w:rsidRDefault="00E907E7" w:rsidP="00E907E7">
      <w:pPr>
        <w:pStyle w:val="Heading2"/>
      </w:pPr>
      <w:bookmarkStart w:id="89" w:name="_Toc282772796"/>
      <w:r>
        <w:t>9.</w:t>
      </w:r>
      <w:r w:rsidRPr="00DC6570">
        <w:tab/>
        <w:t>Consultation</w:t>
      </w:r>
      <w:bookmarkEnd w:id="84"/>
      <w:bookmarkEnd w:id="85"/>
      <w:bookmarkEnd w:id="86"/>
      <w:bookmarkEnd w:id="87"/>
      <w:bookmarkEnd w:id="88"/>
      <w:bookmarkEnd w:id="89"/>
    </w:p>
    <w:p w:rsidR="00E907E7" w:rsidRDefault="00E907E7" w:rsidP="00E907E7">
      <w:pPr>
        <w:rPr>
          <w:rFonts w:cs="Arial"/>
        </w:rPr>
      </w:pPr>
      <w:bookmarkStart w:id="90" w:name="_Toc15456903"/>
      <w:bookmarkStart w:id="91" w:name="_Toc20727764"/>
      <w:bookmarkStart w:id="92" w:name="_Toc29727729"/>
      <w:bookmarkStart w:id="93" w:name="_Toc29883126"/>
      <w:bookmarkStart w:id="94" w:name="_Toc41906813"/>
      <w:bookmarkStart w:id="95" w:name="_Toc41907560"/>
      <w:bookmarkStart w:id="96" w:name="_Toc120358594"/>
    </w:p>
    <w:p w:rsidR="00E907E7" w:rsidRPr="00451719" w:rsidRDefault="00E907E7" w:rsidP="00E907E7">
      <w:pPr>
        <w:pStyle w:val="Heading3"/>
      </w:pPr>
      <w:bookmarkStart w:id="97" w:name="_Toc282772797"/>
      <w:r w:rsidRPr="00451719">
        <w:t>9.1</w:t>
      </w:r>
      <w:r w:rsidRPr="00451719">
        <w:tab/>
        <w:t>Public Consultation</w:t>
      </w:r>
      <w:bookmarkEnd w:id="97"/>
    </w:p>
    <w:p w:rsidR="00E907E7" w:rsidRPr="00451719" w:rsidRDefault="00E907E7" w:rsidP="00E907E7"/>
    <w:p w:rsidR="00E907E7" w:rsidRDefault="00E907E7" w:rsidP="00E907E7">
      <w:pPr>
        <w:widowControl/>
      </w:pPr>
      <w:r w:rsidRPr="00451719">
        <w:t xml:space="preserve">The Assessment Report was notified for public comment between </w:t>
      </w:r>
      <w:r w:rsidR="00A9420E" w:rsidRPr="00451719">
        <w:t>5 November</w:t>
      </w:r>
      <w:r w:rsidR="00451719" w:rsidRPr="00451719">
        <w:t xml:space="preserve"> 2010 and 17 December 2010</w:t>
      </w:r>
      <w:r w:rsidRPr="00451719">
        <w:t>. Comments were specifically requested on the scientific aspects of the Application including the technological function and any safety considerations, as well as information relating to any potential costs or benefits associated with use of the resin as a</w:t>
      </w:r>
      <w:r w:rsidRPr="00B731D0">
        <w:t xml:space="preserve"> processing aid</w:t>
      </w:r>
      <w:r w:rsidRPr="008055E9">
        <w:t>.</w:t>
      </w:r>
      <w:r>
        <w:t xml:space="preserve"> </w:t>
      </w:r>
      <w:r w:rsidRPr="008055E9">
        <w:t xml:space="preserve">As this Application </w:t>
      </w:r>
      <w:r>
        <w:t>was</w:t>
      </w:r>
      <w:r w:rsidRPr="008055E9">
        <w:t xml:space="preserve"> assessed </w:t>
      </w:r>
      <w:r>
        <w:t>under</w:t>
      </w:r>
      <w:r w:rsidRPr="008055E9">
        <w:t xml:space="preserve"> a </w:t>
      </w:r>
      <w:r>
        <w:t>G</w:t>
      </w:r>
      <w:r w:rsidRPr="008055E9">
        <w:t xml:space="preserve">eneral </w:t>
      </w:r>
      <w:r>
        <w:t>P</w:t>
      </w:r>
      <w:r w:rsidRPr="008055E9">
        <w:t xml:space="preserve">rocedure, </w:t>
      </w:r>
      <w:r w:rsidR="009A1985">
        <w:t xml:space="preserve">there was </w:t>
      </w:r>
      <w:r>
        <w:t>only</w:t>
      </w:r>
      <w:r w:rsidRPr="008055E9">
        <w:t xml:space="preserve"> one round of public comment</w:t>
      </w:r>
      <w:r>
        <w:t xml:space="preserve">. </w:t>
      </w:r>
    </w:p>
    <w:p w:rsidR="00E907E7" w:rsidRDefault="00E907E7" w:rsidP="00E907E7">
      <w:pPr>
        <w:tabs>
          <w:tab w:val="left" w:pos="2940"/>
        </w:tabs>
      </w:pPr>
    </w:p>
    <w:p w:rsidR="00E907E7" w:rsidRDefault="00E907E7" w:rsidP="00E907E7">
      <w:r>
        <w:t xml:space="preserve">Five </w:t>
      </w:r>
      <w:r w:rsidRPr="002F4CC7">
        <w:t xml:space="preserve">submissions were received </w:t>
      </w:r>
      <w:r>
        <w:t xml:space="preserve">during the </w:t>
      </w:r>
      <w:r w:rsidRPr="002F4CC7">
        <w:t xml:space="preserve">public consultation </w:t>
      </w:r>
      <w:r>
        <w:t>period</w:t>
      </w:r>
      <w:r w:rsidRPr="002F4CC7">
        <w:t xml:space="preserve">. </w:t>
      </w:r>
      <w:r>
        <w:t xml:space="preserve">A summary of these is provided in </w:t>
      </w:r>
      <w:r>
        <w:rPr>
          <w:b/>
          <w:bCs/>
        </w:rPr>
        <w:t>Attachment 2</w:t>
      </w:r>
      <w:r>
        <w:t>.</w:t>
      </w:r>
    </w:p>
    <w:p w:rsidR="00E907E7" w:rsidRPr="00A01772" w:rsidRDefault="00E907E7" w:rsidP="00E907E7"/>
    <w:p w:rsidR="00E907E7" w:rsidRDefault="00E907E7" w:rsidP="00E907E7">
      <w:r>
        <w:t xml:space="preserve">All submitters </w:t>
      </w:r>
      <w:r w:rsidR="009A1985">
        <w:t xml:space="preserve">(three government agencies and two professional organisations) </w:t>
      </w:r>
      <w:r>
        <w:t>supported the Application</w:t>
      </w:r>
      <w:r w:rsidR="009A1985">
        <w:t>.</w:t>
      </w:r>
      <w:r>
        <w:t xml:space="preserve"> One government agency noted inconsistencies and possible enforcement issues that the proposed drafting would cause.</w:t>
      </w:r>
    </w:p>
    <w:p w:rsidR="00E907E7" w:rsidRPr="00951BB2" w:rsidRDefault="00E907E7" w:rsidP="00E907E7"/>
    <w:p w:rsidR="00E907E7" w:rsidRDefault="00E907E7" w:rsidP="00E907E7">
      <w:r w:rsidRPr="00113119">
        <w:t>FSANZ</w:t>
      </w:r>
      <w:r w:rsidR="006A43FD">
        <w:t xml:space="preserve"> </w:t>
      </w:r>
      <w:r w:rsidRPr="00113119">
        <w:t xml:space="preserve">has taken </w:t>
      </w:r>
      <w:r w:rsidR="006A43FD">
        <w:t xml:space="preserve">these </w:t>
      </w:r>
      <w:r w:rsidRPr="00113119">
        <w:t xml:space="preserve">comments into account in preparing the </w:t>
      </w:r>
      <w:r>
        <w:t>Approval Report for</w:t>
      </w:r>
      <w:r w:rsidRPr="00113119">
        <w:t xml:space="preserve"> </w:t>
      </w:r>
      <w:r>
        <w:t>this A</w:t>
      </w:r>
      <w:r w:rsidRPr="00113119">
        <w:t>pplication</w:t>
      </w:r>
      <w:r>
        <w:t xml:space="preserve">. </w:t>
      </w:r>
    </w:p>
    <w:p w:rsidR="00E907E7" w:rsidRDefault="00E907E7" w:rsidP="00E907E7"/>
    <w:p w:rsidR="00E907E7" w:rsidRDefault="00E907E7" w:rsidP="00E907E7">
      <w:pPr>
        <w:pStyle w:val="Heading3"/>
        <w:keepLines/>
        <w:widowControl/>
      </w:pPr>
      <w:bookmarkStart w:id="98" w:name="_Toc264382936"/>
      <w:bookmarkStart w:id="99" w:name="_Toc279490398"/>
      <w:bookmarkStart w:id="100" w:name="_Toc282772798"/>
      <w:r>
        <w:t>9.2</w:t>
      </w:r>
      <w:r>
        <w:tab/>
        <w:t>Issues raised in submissions</w:t>
      </w:r>
      <w:bookmarkEnd w:id="98"/>
      <w:bookmarkEnd w:id="99"/>
      <w:bookmarkEnd w:id="100"/>
    </w:p>
    <w:p w:rsidR="00E907E7" w:rsidRDefault="00E907E7" w:rsidP="00E907E7"/>
    <w:p w:rsidR="00E907E7" w:rsidRPr="0058194F" w:rsidRDefault="00E907E7" w:rsidP="00E907E7">
      <w:pPr>
        <w:pStyle w:val="Heading4"/>
      </w:pPr>
      <w:r w:rsidRPr="0058194F">
        <w:t>9.2.1</w:t>
      </w:r>
      <w:r w:rsidRPr="0058194F">
        <w:tab/>
        <w:t>Permission for polystyrene versus the co-extruded resin as a processing aid</w:t>
      </w:r>
    </w:p>
    <w:p w:rsidR="00E907E7" w:rsidRPr="0058194F" w:rsidRDefault="00E907E7" w:rsidP="00E907E7"/>
    <w:p w:rsidR="00AD14ED" w:rsidRDefault="00753C49">
      <w:pPr>
        <w:widowControl/>
      </w:pPr>
      <w:r>
        <w:t xml:space="preserve">South Australia Health noted </w:t>
      </w:r>
      <w:r w:rsidR="0058194F" w:rsidRPr="0058194F">
        <w:t xml:space="preserve">that polystyrene is considered safe for use as a processing aid internationally, and that </w:t>
      </w:r>
      <w:r>
        <w:t xml:space="preserve">as PVPP is a currently permitted processing aid in the Code, </w:t>
      </w:r>
      <w:r w:rsidR="00455A87">
        <w:t>permitting</w:t>
      </w:r>
      <w:r w:rsidR="0058194F" w:rsidRPr="0058194F">
        <w:t xml:space="preserve"> polystyrene </w:t>
      </w:r>
      <w:r>
        <w:t xml:space="preserve">as a processing aid </w:t>
      </w:r>
      <w:r w:rsidR="0058194F" w:rsidRPr="0058194F">
        <w:t>would</w:t>
      </w:r>
      <w:r w:rsidR="003D04F2">
        <w:t>,</w:t>
      </w:r>
      <w:r w:rsidR="0058194F" w:rsidRPr="0058194F">
        <w:t xml:space="preserve"> </w:t>
      </w:r>
      <w:r w:rsidR="00876A8A">
        <w:t>in effect</w:t>
      </w:r>
      <w:r w:rsidR="003D04F2">
        <w:t>,</w:t>
      </w:r>
      <w:r w:rsidR="00876A8A">
        <w:t xml:space="preserve"> </w:t>
      </w:r>
      <w:r w:rsidR="00455A87">
        <w:t>permit</w:t>
      </w:r>
      <w:r w:rsidR="0058194F" w:rsidRPr="0058194F">
        <w:t xml:space="preserve"> </w:t>
      </w:r>
      <w:r w:rsidR="00455A87">
        <w:t>the use of the</w:t>
      </w:r>
      <w:r w:rsidR="0058194F" w:rsidRPr="0058194F">
        <w:t xml:space="preserve"> co-extruded resin</w:t>
      </w:r>
      <w:r w:rsidR="00455A87">
        <w:t xml:space="preserve"> as a processing aid. </w:t>
      </w:r>
      <w:r w:rsidR="00AD14ED">
        <w:br w:type="page"/>
      </w:r>
    </w:p>
    <w:p w:rsidR="0058194F" w:rsidRPr="0058194F" w:rsidRDefault="00455A87" w:rsidP="00E907E7">
      <w:r>
        <w:lastRenderedPageBreak/>
        <w:t>This would also prevent the need for future separate permissions for other combinations of polystyrene and permitted processing aids</w:t>
      </w:r>
      <w:r w:rsidR="0058194F" w:rsidRPr="0058194F">
        <w:t xml:space="preserve">. </w:t>
      </w:r>
      <w:r>
        <w:t>South Australia Health further</w:t>
      </w:r>
      <w:r w:rsidR="00876A8A">
        <w:t xml:space="preserve"> stated that </w:t>
      </w:r>
      <w:r>
        <w:t>permitting</w:t>
      </w:r>
      <w:r w:rsidR="0058194F" w:rsidRPr="0058194F">
        <w:t xml:space="preserve"> the co-extruded resin rather than polystyrene could hinder innovation within the food industry and restrict trade.</w:t>
      </w:r>
    </w:p>
    <w:p w:rsidR="0058194F" w:rsidRDefault="0058194F" w:rsidP="00E907E7"/>
    <w:p w:rsidR="00753C49" w:rsidRDefault="00753C49" w:rsidP="00D81DAA">
      <w:pPr>
        <w:pStyle w:val="Heading5"/>
        <w:keepNext/>
      </w:pPr>
      <w:r>
        <w:t>9.2.1.1</w:t>
      </w:r>
      <w:r>
        <w:tab/>
        <w:t>Response</w:t>
      </w:r>
    </w:p>
    <w:p w:rsidR="00753C49" w:rsidRDefault="00753C49" w:rsidP="00E907E7"/>
    <w:p w:rsidR="00876A8A" w:rsidRDefault="00876A8A" w:rsidP="00E907E7">
      <w:r>
        <w:t xml:space="preserve">The current Application requests that the co-extruded resin be permitted as a processing aid, and the data provided in support of this Application relate specifically to the safety and technological function of this resin. </w:t>
      </w:r>
      <w:r w:rsidR="005022C6">
        <w:t>FSANZ therefore needs to assess the technological function and safety of the resin rather than polystyrene itself. Although FSANZ notes the rationale provided by the submitter for their suggestion</w:t>
      </w:r>
      <w:r>
        <w:t>, a separate Application or Proposal</w:t>
      </w:r>
      <w:r w:rsidR="00D44249">
        <w:t>, with appropriate supporting data,</w:t>
      </w:r>
      <w:r>
        <w:t xml:space="preserve"> would be required to permit the use of polystyrene as a processing aid in Australia and New Zealand. </w:t>
      </w:r>
    </w:p>
    <w:p w:rsidR="00876A8A" w:rsidRPr="0058194F" w:rsidRDefault="00876A8A" w:rsidP="00E907E7"/>
    <w:p w:rsidR="00E907E7" w:rsidRPr="00455A87" w:rsidRDefault="00E907E7" w:rsidP="00155385">
      <w:pPr>
        <w:pStyle w:val="Heading4"/>
        <w:keepLines/>
        <w:widowControl/>
      </w:pPr>
      <w:bookmarkStart w:id="101" w:name="_Ref280774453"/>
      <w:r w:rsidRPr="00455A87">
        <w:t>9.2.2</w:t>
      </w:r>
      <w:r w:rsidRPr="00455A87">
        <w:tab/>
        <w:t xml:space="preserve">Inconsistency and possible enforcement issues </w:t>
      </w:r>
      <w:r w:rsidR="00A50942">
        <w:t xml:space="preserve">which will arise </w:t>
      </w:r>
      <w:r w:rsidRPr="00455A87">
        <w:t>from</w:t>
      </w:r>
      <w:r w:rsidR="00A50942">
        <w:t xml:space="preserve"> the</w:t>
      </w:r>
      <w:r w:rsidRPr="00455A87">
        <w:t xml:space="preserve"> proposed drafting</w:t>
      </w:r>
      <w:bookmarkEnd w:id="101"/>
    </w:p>
    <w:p w:rsidR="00E907E7" w:rsidRPr="00455A87" w:rsidRDefault="00E907E7" w:rsidP="00155385">
      <w:pPr>
        <w:keepNext/>
        <w:keepLines/>
        <w:widowControl/>
      </w:pPr>
    </w:p>
    <w:p w:rsidR="00322570" w:rsidRPr="00455A87" w:rsidRDefault="00322570" w:rsidP="00155385">
      <w:pPr>
        <w:keepNext/>
        <w:keepLines/>
        <w:widowControl/>
      </w:pPr>
      <w:r w:rsidRPr="00455A87">
        <w:t xml:space="preserve">South Australia Health noted that </w:t>
      </w:r>
      <w:r w:rsidR="00A50942">
        <w:t xml:space="preserve">permitting </w:t>
      </w:r>
      <w:r w:rsidRPr="00455A87">
        <w:t xml:space="preserve">the co-extruded resin </w:t>
      </w:r>
      <w:r w:rsidR="00A50942">
        <w:t>to be used according to</w:t>
      </w:r>
      <w:r w:rsidRPr="00455A87">
        <w:t xml:space="preserve"> GMP whilst PVPP when used alone is currently permitted to be used to a maximum permitted level of 100</w:t>
      </w:r>
      <w:r w:rsidR="00786889">
        <w:t xml:space="preserve"> </w:t>
      </w:r>
      <w:r w:rsidRPr="00455A87">
        <w:t>mg/kg will create</w:t>
      </w:r>
      <w:r w:rsidR="00A50942">
        <w:t xml:space="preserve"> an</w:t>
      </w:r>
      <w:r w:rsidRPr="00455A87">
        <w:t xml:space="preserve"> inconsistency and possible enforcement issues. </w:t>
      </w:r>
    </w:p>
    <w:p w:rsidR="00322570" w:rsidRPr="00455A87" w:rsidRDefault="00322570" w:rsidP="00E907E7"/>
    <w:p w:rsidR="00322570" w:rsidRPr="00455A87" w:rsidRDefault="00322570" w:rsidP="00322570">
      <w:pPr>
        <w:pStyle w:val="Heading5"/>
      </w:pPr>
      <w:r w:rsidRPr="00455A87">
        <w:t>9.2.2.1</w:t>
      </w:r>
      <w:r w:rsidRPr="00455A87">
        <w:tab/>
        <w:t>Response</w:t>
      </w:r>
    </w:p>
    <w:p w:rsidR="00322570" w:rsidRPr="00455A87" w:rsidRDefault="00322570" w:rsidP="00E907E7"/>
    <w:p w:rsidR="00322570" w:rsidRDefault="005022C6" w:rsidP="00E907E7">
      <w:r>
        <w:t xml:space="preserve">FSANZ </w:t>
      </w:r>
      <w:r w:rsidR="007E78D9">
        <w:t xml:space="preserve">notes and </w:t>
      </w:r>
      <w:r>
        <w:t xml:space="preserve">supports the suggestion made by South Australia </w:t>
      </w:r>
      <w:r w:rsidR="007E78D9">
        <w:t>H</w:t>
      </w:r>
      <w:r>
        <w:t xml:space="preserve">ealth to replace the maximum permitted level for PVPP with GMP. </w:t>
      </w:r>
      <w:r w:rsidR="00322570" w:rsidRPr="00455A87">
        <w:t>Replacement of the maximum permitted level for PVPP with GMP is consistent with the outcomes of the risk and technical assessment of the Application for the co-extruded resin. Therefore, subsequent drafting changes to Standard 1.3.3 have been included in this Approval Report to permit PVPP to be used according to GMP. Consequential drafting changes to Standar</w:t>
      </w:r>
      <w:r w:rsidR="00455A87">
        <w:t>d 4.5.1 have also been included, as suggested by South Australia Health.</w:t>
      </w:r>
      <w:r w:rsidR="00322570" w:rsidRPr="00455A87">
        <w:t xml:space="preserve"> </w:t>
      </w:r>
    </w:p>
    <w:p w:rsidR="00455A87" w:rsidRPr="005A7AAA" w:rsidRDefault="00455A87" w:rsidP="00E907E7"/>
    <w:p w:rsidR="00E907E7" w:rsidRPr="005A7AAA" w:rsidRDefault="00E907E7" w:rsidP="00E907E7">
      <w:pPr>
        <w:pStyle w:val="Heading4"/>
      </w:pPr>
      <w:r w:rsidRPr="005A7AAA">
        <w:t>9.2.3</w:t>
      </w:r>
      <w:r w:rsidRPr="005A7AAA">
        <w:tab/>
        <w:t>Errors in Risk and Technical Assessment Report</w:t>
      </w:r>
    </w:p>
    <w:p w:rsidR="00E907E7" w:rsidRPr="005A7AAA" w:rsidRDefault="00E907E7" w:rsidP="00E907E7"/>
    <w:p w:rsidR="00455A87" w:rsidRPr="005A7AAA" w:rsidRDefault="00455A87" w:rsidP="00E907E7">
      <w:r w:rsidRPr="005A7AAA">
        <w:t>South Australia Health noted that there was an error in the CAS numbers in the Risk and Technical Assessment Report, and that the wording regarding current permissions for polys</w:t>
      </w:r>
      <w:r w:rsidR="008572F5">
        <w:t>tyrene was misleading as it suggested that polystyrene was an approved processing aid.</w:t>
      </w:r>
    </w:p>
    <w:p w:rsidR="00455A87" w:rsidRPr="005A7AAA" w:rsidRDefault="00455A87" w:rsidP="00E907E7"/>
    <w:p w:rsidR="00455A87" w:rsidRDefault="00455A87" w:rsidP="00455A87">
      <w:pPr>
        <w:pStyle w:val="Heading5"/>
      </w:pPr>
      <w:r>
        <w:t>9.2.3.1</w:t>
      </w:r>
      <w:r>
        <w:tab/>
        <w:t>Response</w:t>
      </w:r>
    </w:p>
    <w:p w:rsidR="00455A87" w:rsidRDefault="00455A87" w:rsidP="00455A87"/>
    <w:p w:rsidR="00455A87" w:rsidRPr="00455A87" w:rsidRDefault="00455A87" w:rsidP="00455A87">
      <w:r>
        <w:t xml:space="preserve">The </w:t>
      </w:r>
      <w:r w:rsidR="005A7AAA">
        <w:t xml:space="preserve">CAS numbers and </w:t>
      </w:r>
      <w:r w:rsidR="008572F5">
        <w:t>incorrect</w:t>
      </w:r>
      <w:r>
        <w:t xml:space="preserve"> wording have been corrected in </w:t>
      </w:r>
      <w:r w:rsidR="005A7AAA">
        <w:t>the Risk and Technical Assessment Report.</w:t>
      </w:r>
      <w:r w:rsidR="008572F5">
        <w:t xml:space="preserve"> The wording has been corrected to </w:t>
      </w:r>
      <w:r w:rsidR="005022C6">
        <w:t>state that while various cross</w:t>
      </w:r>
      <w:r w:rsidR="00B86B6F">
        <w:t>-linked polystyrene</w:t>
      </w:r>
      <w:r w:rsidR="000F782E">
        <w:t>-</w:t>
      </w:r>
      <w:r w:rsidR="00B86B6F">
        <w:t xml:space="preserve"> and styrene-</w:t>
      </w:r>
      <w:r w:rsidR="005022C6">
        <w:t xml:space="preserve">based resins are permitted processing aids, polystyrene itself is not a permitted processing aid. </w:t>
      </w:r>
    </w:p>
    <w:p w:rsidR="00E907E7" w:rsidRPr="00FD262A" w:rsidRDefault="00E907E7" w:rsidP="00E907E7">
      <w:pPr>
        <w:rPr>
          <w:color w:val="808080" w:themeColor="background1" w:themeShade="80"/>
        </w:rPr>
      </w:pPr>
    </w:p>
    <w:p w:rsidR="00E907E7" w:rsidRPr="005A7AAA" w:rsidRDefault="00E907E7" w:rsidP="00E907E7">
      <w:pPr>
        <w:pStyle w:val="Heading4"/>
      </w:pPr>
      <w:r w:rsidRPr="005A7AAA">
        <w:t>9.2.4</w:t>
      </w:r>
      <w:r w:rsidRPr="005A7AAA">
        <w:tab/>
        <w:t>Request for advice on analytical methods</w:t>
      </w:r>
    </w:p>
    <w:p w:rsidR="00E907E7" w:rsidRDefault="00E907E7" w:rsidP="00E907E7">
      <w:pPr>
        <w:pStyle w:val="Heading4"/>
        <w:rPr>
          <w:color w:val="808080" w:themeColor="background1" w:themeShade="80"/>
        </w:rPr>
      </w:pPr>
    </w:p>
    <w:p w:rsidR="005A7AAA" w:rsidRDefault="005A7AAA" w:rsidP="005A7AAA">
      <w:r>
        <w:t>Queensland Health requested advice on whether other Australian laboratories currently have the capability to measure residual amounts of either polystyrene or PVPP, singly or in combination, in beverages.</w:t>
      </w:r>
    </w:p>
    <w:p w:rsidR="005A7AAA" w:rsidRDefault="005A7AAA" w:rsidP="005A7AAA"/>
    <w:p w:rsidR="00AD14ED" w:rsidRDefault="00AD14ED">
      <w:pPr>
        <w:widowControl/>
        <w:rPr>
          <w:bCs/>
          <w:iCs/>
          <w:szCs w:val="26"/>
          <w:u w:val="single"/>
        </w:rPr>
      </w:pPr>
      <w:r>
        <w:br w:type="page"/>
      </w:r>
    </w:p>
    <w:p w:rsidR="005A7AAA" w:rsidRDefault="005A7AAA" w:rsidP="005A7AAA">
      <w:pPr>
        <w:pStyle w:val="Heading5"/>
      </w:pPr>
      <w:r>
        <w:lastRenderedPageBreak/>
        <w:t>9.2.4.1</w:t>
      </w:r>
      <w:r>
        <w:tab/>
        <w:t>Response</w:t>
      </w:r>
    </w:p>
    <w:p w:rsidR="005A7AAA" w:rsidRDefault="005A7AAA" w:rsidP="005A7AAA"/>
    <w:p w:rsidR="005A7AAA" w:rsidRDefault="005A7AAA" w:rsidP="005A7AAA">
      <w:r>
        <w:t xml:space="preserve">PVPP is currently permitted as a processing aid, and polystyrene is a component of permitted processing aids, therefore residues of these substances </w:t>
      </w:r>
      <w:r w:rsidR="007E78D9">
        <w:t>could</w:t>
      </w:r>
      <w:r>
        <w:t xml:space="preserve"> already </w:t>
      </w:r>
      <w:r w:rsidR="007E78D9">
        <w:t xml:space="preserve">be </w:t>
      </w:r>
      <w:r>
        <w:t>present in foods. FSANZ is not aware of the capabilities of Australian laboratories to measure these residues.</w:t>
      </w:r>
    </w:p>
    <w:p w:rsidR="00E907E7" w:rsidRPr="00FF409C" w:rsidRDefault="00E907E7" w:rsidP="00E907E7"/>
    <w:p w:rsidR="00E907E7" w:rsidRPr="00FF409C" w:rsidRDefault="00E907E7" w:rsidP="00E907E7">
      <w:pPr>
        <w:pStyle w:val="Heading4"/>
      </w:pPr>
      <w:r w:rsidRPr="00FF409C">
        <w:t>9.2.5</w:t>
      </w:r>
      <w:r w:rsidRPr="00FF409C">
        <w:tab/>
        <w:t>Request for FSANZ to make enquiries on methodological details</w:t>
      </w:r>
    </w:p>
    <w:p w:rsidR="00E907E7" w:rsidRPr="00FF409C" w:rsidRDefault="00E907E7" w:rsidP="00E907E7"/>
    <w:p w:rsidR="00FF409C" w:rsidRPr="00FF409C" w:rsidRDefault="00FF409C" w:rsidP="00E907E7">
      <w:r>
        <w:t>Queensland Health requested that FSANZ make enquiries regarding the details of the study of the migration of the resin into aqueous simulants</w:t>
      </w:r>
      <w:r w:rsidR="001C15E0">
        <w:t>,</w:t>
      </w:r>
      <w:r>
        <w:t xml:space="preserve"> which was performed in accordance with European Standard EN 1186-3.</w:t>
      </w:r>
    </w:p>
    <w:p w:rsidR="00FF409C" w:rsidRDefault="00FF409C" w:rsidP="00E907E7">
      <w:pPr>
        <w:rPr>
          <w:color w:val="808080" w:themeColor="background1" w:themeShade="80"/>
        </w:rPr>
      </w:pPr>
    </w:p>
    <w:p w:rsidR="00FF409C" w:rsidRDefault="00FF409C" w:rsidP="00FF409C">
      <w:pPr>
        <w:pStyle w:val="Heading5"/>
      </w:pPr>
      <w:r>
        <w:t>9.2.5.1</w:t>
      </w:r>
      <w:r>
        <w:tab/>
        <w:t>Response</w:t>
      </w:r>
    </w:p>
    <w:p w:rsidR="00FF409C" w:rsidRPr="00FD262A" w:rsidRDefault="00FF409C" w:rsidP="00E907E7">
      <w:pPr>
        <w:rPr>
          <w:color w:val="808080" w:themeColor="background1" w:themeShade="80"/>
        </w:rPr>
      </w:pPr>
    </w:p>
    <w:p w:rsidR="00E907E7" w:rsidRDefault="005022C6" w:rsidP="00E907E7">
      <w:pPr>
        <w:rPr>
          <w:lang w:val="en-AU"/>
        </w:rPr>
      </w:pPr>
      <w:r>
        <w:rPr>
          <w:lang w:val="en-AU"/>
        </w:rPr>
        <w:t xml:space="preserve">FSANZ considers that the level of reporting detail contained in the analytical report </w:t>
      </w:r>
      <w:r w:rsidR="00CE43FD">
        <w:rPr>
          <w:lang w:val="en-AU"/>
        </w:rPr>
        <w:t xml:space="preserve">within the Application </w:t>
      </w:r>
      <w:r>
        <w:rPr>
          <w:lang w:val="en-AU"/>
        </w:rPr>
        <w:t xml:space="preserve">was adequate, particularly as the test method complied with a current European standard for the analysis of migration of food contact materials. A weblink to the relevant European legislation describing the test method is provided in the </w:t>
      </w:r>
      <w:r w:rsidR="00CE43FD">
        <w:rPr>
          <w:lang w:val="en-AU"/>
        </w:rPr>
        <w:t>R</w:t>
      </w:r>
      <w:r>
        <w:rPr>
          <w:lang w:val="en-AU"/>
        </w:rPr>
        <w:t xml:space="preserve">isk </w:t>
      </w:r>
      <w:r w:rsidR="00CE43FD">
        <w:rPr>
          <w:lang w:val="en-AU"/>
        </w:rPr>
        <w:t>and Technical A</w:t>
      </w:r>
      <w:r>
        <w:rPr>
          <w:lang w:val="en-AU"/>
        </w:rPr>
        <w:t xml:space="preserve">ssessment </w:t>
      </w:r>
      <w:r w:rsidR="00CE43FD">
        <w:rPr>
          <w:lang w:val="en-AU"/>
        </w:rPr>
        <w:t>R</w:t>
      </w:r>
      <w:r>
        <w:rPr>
          <w:lang w:val="en-AU"/>
        </w:rPr>
        <w:t>eport. If any details important for the risk assessment were not provided in an Application, FSANZ would seek to establish these details independently or via contact with the Applicant</w:t>
      </w:r>
      <w:r w:rsidR="00CE43FD">
        <w:rPr>
          <w:lang w:val="en-AU"/>
        </w:rPr>
        <w:t>, but this was not the case for this Application</w:t>
      </w:r>
      <w:r>
        <w:rPr>
          <w:lang w:val="en-AU"/>
        </w:rPr>
        <w:t xml:space="preserve">. </w:t>
      </w:r>
    </w:p>
    <w:p w:rsidR="005022C6" w:rsidRPr="005022C6" w:rsidRDefault="005022C6" w:rsidP="00E907E7">
      <w:pPr>
        <w:rPr>
          <w:rFonts w:cs="Arial"/>
        </w:rPr>
      </w:pPr>
    </w:p>
    <w:p w:rsidR="00E907E7" w:rsidRPr="00155385" w:rsidRDefault="00E907E7" w:rsidP="00155385">
      <w:pPr>
        <w:pStyle w:val="Heading3"/>
      </w:pPr>
      <w:bookmarkStart w:id="102" w:name="_Toc282772799"/>
      <w:r>
        <w:t>9.3</w:t>
      </w:r>
      <w:r w:rsidRPr="00DC6570">
        <w:tab/>
        <w:t>World Trade Organization (WTO)</w:t>
      </w:r>
      <w:bookmarkEnd w:id="90"/>
      <w:bookmarkEnd w:id="91"/>
      <w:bookmarkEnd w:id="92"/>
      <w:bookmarkEnd w:id="93"/>
      <w:bookmarkEnd w:id="94"/>
      <w:bookmarkEnd w:id="95"/>
      <w:bookmarkEnd w:id="96"/>
      <w:bookmarkEnd w:id="102"/>
    </w:p>
    <w:p w:rsidR="00E907E7" w:rsidRDefault="00E907E7" w:rsidP="00E907E7">
      <w:pPr>
        <w:keepNext/>
        <w:keepLines/>
        <w:widowControl/>
        <w:rPr>
          <w:rFonts w:cs="Arial"/>
          <w:color w:val="000000"/>
        </w:rPr>
      </w:pPr>
    </w:p>
    <w:p w:rsidR="00E907E7" w:rsidRDefault="00E907E7" w:rsidP="00E907E7">
      <w:r w:rsidRPr="00DC6570">
        <w:t>As members of the World Trade Organization (WTO), Australia and New Zealand are obligated to notify WTO member nations where proposed mandatory regulatory measures are inconsistent with any existing or imminent international standards and the proposed measure may have a significant effect on trade.</w:t>
      </w:r>
    </w:p>
    <w:p w:rsidR="00E907E7" w:rsidRDefault="00E907E7" w:rsidP="00E907E7">
      <w:pPr>
        <w:rPr>
          <w:rFonts w:cs="Arial"/>
        </w:rPr>
      </w:pPr>
    </w:p>
    <w:p w:rsidR="00E907E7" w:rsidRPr="00106EDF" w:rsidRDefault="00E907E7" w:rsidP="00E907E7">
      <w:pPr>
        <w:tabs>
          <w:tab w:val="left" w:pos="1560"/>
        </w:tabs>
        <w:rPr>
          <w:rFonts w:cs="Arial"/>
        </w:rPr>
      </w:pPr>
      <w:r>
        <w:rPr>
          <w:rFonts w:cs="Arial"/>
        </w:rPr>
        <w:t>There are no</w:t>
      </w:r>
      <w:r w:rsidRPr="00106EDF">
        <w:rPr>
          <w:rFonts w:cs="Arial"/>
        </w:rPr>
        <w:t xml:space="preserve"> relevant international standards and amending the Code to allow </w:t>
      </w:r>
      <w:r>
        <w:rPr>
          <w:rFonts w:cs="Arial"/>
        </w:rPr>
        <w:t>the resin</w:t>
      </w:r>
      <w:r w:rsidRPr="00106EDF">
        <w:rPr>
          <w:rFonts w:cs="Arial"/>
        </w:rPr>
        <w:t xml:space="preserve"> as a permitted processing aid is unlikely to have a significant effect on international trade as the component polymer PVPP complies with relevant international s</w:t>
      </w:r>
      <w:r w:rsidR="00CE43FD">
        <w:rPr>
          <w:rFonts w:cs="Arial"/>
        </w:rPr>
        <w:t>pecification</w:t>
      </w:r>
      <w:r w:rsidRPr="00106EDF">
        <w:rPr>
          <w:rFonts w:cs="Arial"/>
        </w:rPr>
        <w:t>s written by JECFA and FCC, and the component polymer polystyrene complies with relevant standards such as the US Code of Federal Regulations.</w:t>
      </w:r>
    </w:p>
    <w:p w:rsidR="00E907E7" w:rsidRPr="00106EDF" w:rsidRDefault="00E907E7" w:rsidP="00E907E7">
      <w:pPr>
        <w:tabs>
          <w:tab w:val="left" w:pos="1560"/>
        </w:tabs>
        <w:rPr>
          <w:rFonts w:cs="Arial"/>
        </w:rPr>
      </w:pPr>
    </w:p>
    <w:p w:rsidR="00E907E7" w:rsidRPr="00B731D0" w:rsidRDefault="00E907E7" w:rsidP="00E907E7">
      <w:pPr>
        <w:tabs>
          <w:tab w:val="left" w:pos="1560"/>
        </w:tabs>
        <w:rPr>
          <w:rFonts w:cs="Arial"/>
        </w:rPr>
      </w:pPr>
      <w:r w:rsidRPr="00B731D0">
        <w:rPr>
          <w:rFonts w:cs="Arial"/>
        </w:rPr>
        <w:t xml:space="preserve">Notification to WTO under </w:t>
      </w:r>
      <w:r>
        <w:rPr>
          <w:rFonts w:cs="Arial"/>
        </w:rPr>
        <w:t>Australia and New Zealand’s</w:t>
      </w:r>
      <w:r w:rsidRPr="00B731D0">
        <w:rPr>
          <w:rFonts w:cs="Arial"/>
        </w:rPr>
        <w:t xml:space="preserve"> obligations under the W</w:t>
      </w:r>
      <w:r>
        <w:rPr>
          <w:rFonts w:cs="Arial"/>
        </w:rPr>
        <w:t>TO Technical Barriers to Trade</w:t>
      </w:r>
      <w:r w:rsidRPr="00B731D0">
        <w:rPr>
          <w:rFonts w:cs="Arial"/>
        </w:rPr>
        <w:t xml:space="preserve"> or Sanit</w:t>
      </w:r>
      <w:r>
        <w:rPr>
          <w:rFonts w:cs="Arial"/>
        </w:rPr>
        <w:t>ary and Phytosanitary Measures</w:t>
      </w:r>
      <w:r w:rsidRPr="00B731D0">
        <w:rPr>
          <w:rFonts w:cs="Arial"/>
        </w:rPr>
        <w:t xml:space="preserve"> Agreements </w:t>
      </w:r>
      <w:r>
        <w:rPr>
          <w:rFonts w:cs="Arial"/>
        </w:rPr>
        <w:t>was</w:t>
      </w:r>
      <w:r w:rsidRPr="00B731D0">
        <w:rPr>
          <w:rFonts w:cs="Arial"/>
        </w:rPr>
        <w:t xml:space="preserve"> not considered necessary. </w:t>
      </w:r>
    </w:p>
    <w:p w:rsidR="00E907E7" w:rsidRPr="00B731D0" w:rsidRDefault="00E907E7" w:rsidP="00E907E7">
      <w:pPr>
        <w:rPr>
          <w:rFonts w:cs="Arial"/>
        </w:rPr>
      </w:pPr>
    </w:p>
    <w:p w:rsidR="00E907E7" w:rsidRPr="00DC6570" w:rsidRDefault="00E907E7" w:rsidP="00E907E7">
      <w:pPr>
        <w:pStyle w:val="Heading1"/>
      </w:pPr>
      <w:bookmarkStart w:id="103" w:name="_Toc282772800"/>
      <w:r w:rsidRPr="00DC6570">
        <w:t>Conclusion</w:t>
      </w:r>
      <w:bookmarkEnd w:id="103"/>
    </w:p>
    <w:p w:rsidR="00E907E7" w:rsidRPr="005B7BEF" w:rsidRDefault="00E907E7" w:rsidP="00E907E7">
      <w:pPr>
        <w:rPr>
          <w:rFonts w:cs="Arial"/>
        </w:rPr>
      </w:pPr>
    </w:p>
    <w:p w:rsidR="00E907E7" w:rsidRDefault="00E907E7" w:rsidP="00E907E7">
      <w:pPr>
        <w:pStyle w:val="Heading2"/>
      </w:pPr>
      <w:bookmarkStart w:id="104" w:name="_Toc282772801"/>
      <w:r>
        <w:t>10</w:t>
      </w:r>
      <w:r w:rsidRPr="00DC6570">
        <w:t>.</w:t>
      </w:r>
      <w:r w:rsidRPr="00DC6570">
        <w:tab/>
        <w:t xml:space="preserve">Conclusion and </w:t>
      </w:r>
      <w:r>
        <w:t>Decision</w:t>
      </w:r>
      <w:bookmarkEnd w:id="104"/>
    </w:p>
    <w:p w:rsidR="00E907E7" w:rsidRPr="00B731D0" w:rsidRDefault="00E907E7" w:rsidP="00E907E7"/>
    <w:p w:rsidR="00E907E7" w:rsidRPr="00B731D0" w:rsidRDefault="00E907E7" w:rsidP="00E907E7">
      <w:r w:rsidRPr="00B731D0">
        <w:t xml:space="preserve">This </w:t>
      </w:r>
      <w:r>
        <w:t>Application</w:t>
      </w:r>
      <w:r w:rsidRPr="00B731D0">
        <w:t xml:space="preserve"> has been assessed against the requirements of section 29 of the FSANZ Act with FSANZ recommending the </w:t>
      </w:r>
      <w:r w:rsidR="00816B04">
        <w:t xml:space="preserve">amended </w:t>
      </w:r>
      <w:r w:rsidRPr="00B731D0">
        <w:t>draft variation</w:t>
      </w:r>
      <w:r w:rsidR="00816B04">
        <w:t>s</w:t>
      </w:r>
      <w:r w:rsidRPr="00B731D0">
        <w:t xml:space="preserve"> to Standard</w:t>
      </w:r>
      <w:r w:rsidR="00816B04">
        <w:t>s</w:t>
      </w:r>
      <w:r w:rsidRPr="00B731D0">
        <w:t xml:space="preserve"> 1.3.3</w:t>
      </w:r>
      <w:r w:rsidR="00816B04">
        <w:t xml:space="preserve"> and 4.5.1</w:t>
      </w:r>
      <w:r w:rsidRPr="00B731D0">
        <w:t xml:space="preserve">.  </w:t>
      </w:r>
    </w:p>
    <w:p w:rsidR="00E907E7" w:rsidRPr="00B731D0" w:rsidRDefault="00E907E7" w:rsidP="00E907E7"/>
    <w:p w:rsidR="00E907E7" w:rsidRPr="00B731D0" w:rsidRDefault="00E907E7" w:rsidP="00E907E7">
      <w:r w:rsidRPr="00B731D0">
        <w:t>The A</w:t>
      </w:r>
      <w:r w:rsidR="00CE43FD">
        <w:t>pproval</w:t>
      </w:r>
      <w:r w:rsidRPr="00B731D0">
        <w:t xml:space="preserve"> Report conclu</w:t>
      </w:r>
      <w:r>
        <w:t>de</w:t>
      </w:r>
      <w:r w:rsidR="00CE43FD">
        <w:t>s</w:t>
      </w:r>
      <w:r w:rsidRPr="00B731D0">
        <w:t xml:space="preserve"> that use of </w:t>
      </w:r>
      <w:r>
        <w:t>the resin</w:t>
      </w:r>
      <w:r w:rsidRPr="00B731D0">
        <w:rPr>
          <w:i/>
          <w:iCs/>
        </w:rPr>
        <w:t xml:space="preserve"> </w:t>
      </w:r>
      <w:r w:rsidRPr="00B731D0">
        <w:t xml:space="preserve">as a processing aid is technologically justified and does not pose a </w:t>
      </w:r>
      <w:r>
        <w:t>public health and safety risk, when used in beer and other beverages.</w:t>
      </w:r>
    </w:p>
    <w:p w:rsidR="00E907E7" w:rsidRDefault="00E907E7" w:rsidP="00E907E7">
      <w:pPr>
        <w:widowControl/>
      </w:pPr>
    </w:p>
    <w:p w:rsidR="00AD14ED" w:rsidRDefault="00E907E7">
      <w:pPr>
        <w:widowControl/>
      </w:pPr>
      <w:r>
        <w:t>An amendment</w:t>
      </w:r>
      <w:r w:rsidRPr="00B731D0">
        <w:t xml:space="preserve"> to the Code giving permission for the use of </w:t>
      </w:r>
      <w:r>
        <w:t xml:space="preserve">the resin </w:t>
      </w:r>
      <w:r w:rsidRPr="00B731D0">
        <w:t>as a processing aid</w:t>
      </w:r>
      <w:r>
        <w:t xml:space="preserve"> in Australia and New Zealand is recommended on the basis of the available scientific information.</w:t>
      </w:r>
      <w:r w:rsidR="00AD14ED">
        <w:br w:type="page"/>
      </w:r>
    </w:p>
    <w:p w:rsidR="00E907E7" w:rsidRDefault="00E907E7" w:rsidP="00E907E7">
      <w:r w:rsidRPr="00B731D0">
        <w:lastRenderedPageBreak/>
        <w:t xml:space="preserve">The </w:t>
      </w:r>
      <w:r w:rsidR="00AD14ED">
        <w:t xml:space="preserve">Approved </w:t>
      </w:r>
      <w:r w:rsidR="00C21688">
        <w:t xml:space="preserve">amended </w:t>
      </w:r>
      <w:r w:rsidR="00816B04">
        <w:t xml:space="preserve">draft </w:t>
      </w:r>
      <w:r w:rsidRPr="00B731D0">
        <w:t>variation</w:t>
      </w:r>
      <w:r w:rsidR="008D13EC">
        <w:t>s are</w:t>
      </w:r>
      <w:r w:rsidRPr="00B731D0">
        <w:t xml:space="preserve"> provided </w:t>
      </w:r>
      <w:r w:rsidR="008D13EC">
        <w:t>at</w:t>
      </w:r>
      <w:r w:rsidRPr="00B731D0">
        <w:t xml:space="preserve"> </w:t>
      </w:r>
      <w:r w:rsidRPr="00B731D0">
        <w:rPr>
          <w:b/>
          <w:bCs/>
        </w:rPr>
        <w:t>Attachment 1</w:t>
      </w:r>
      <w:r w:rsidR="00816B04">
        <w:rPr>
          <w:b/>
          <w:bCs/>
        </w:rPr>
        <w:t>A</w:t>
      </w:r>
      <w:r w:rsidR="008D13EC">
        <w:rPr>
          <w:b/>
          <w:bCs/>
        </w:rPr>
        <w:t>.</w:t>
      </w:r>
    </w:p>
    <w:p w:rsidR="00E907E7" w:rsidRDefault="00E907E7" w:rsidP="00E907E7"/>
    <w:p w:rsidR="00E907E7" w:rsidRDefault="00E907E7" w:rsidP="00E907E7">
      <w:pPr>
        <w:pStyle w:val="FSDecisionHeading"/>
      </w:pPr>
      <w:r>
        <w:t>Decision</w:t>
      </w:r>
    </w:p>
    <w:p w:rsidR="00E907E7" w:rsidRPr="008826A6" w:rsidRDefault="00E907E7" w:rsidP="00E907E7">
      <w:pPr>
        <w:pStyle w:val="FSDecisiontext"/>
      </w:pPr>
    </w:p>
    <w:p w:rsidR="000F6B38" w:rsidRPr="00B00581" w:rsidRDefault="000F6B38" w:rsidP="000F6B38">
      <w:pPr>
        <w:pStyle w:val="FSDecisiontext"/>
        <w:rPr>
          <w:rFonts w:ascii="Arial" w:hAnsi="Arial" w:cs="Arial"/>
        </w:rPr>
      </w:pPr>
      <w:r w:rsidRPr="00B00581">
        <w:rPr>
          <w:rFonts w:ascii="Arial" w:hAnsi="Arial" w:cs="Arial"/>
          <w:iCs/>
        </w:rPr>
        <w:t xml:space="preserve">To </w:t>
      </w:r>
      <w:r>
        <w:rPr>
          <w:rFonts w:ascii="Arial" w:hAnsi="Arial" w:cs="Arial"/>
          <w:iCs/>
        </w:rPr>
        <w:t>approve the</w:t>
      </w:r>
      <w:r w:rsidRPr="00B00581">
        <w:rPr>
          <w:rFonts w:ascii="Arial" w:hAnsi="Arial" w:cs="Arial"/>
          <w:iCs/>
        </w:rPr>
        <w:t xml:space="preserve"> draft variation to the Table to clause 6 of Standard 1.3.3 – Proces</w:t>
      </w:r>
      <w:r>
        <w:rPr>
          <w:rFonts w:ascii="Arial" w:hAnsi="Arial" w:cs="Arial"/>
          <w:iCs/>
        </w:rPr>
        <w:t>sing Aids,</w:t>
      </w:r>
      <w:r w:rsidRPr="00B00581">
        <w:rPr>
          <w:rFonts w:ascii="Arial" w:hAnsi="Arial" w:cs="Arial"/>
          <w:iCs/>
        </w:rPr>
        <w:t xml:space="preserve"> to p</w:t>
      </w:r>
      <w:r w:rsidRPr="00B00581">
        <w:rPr>
          <w:rFonts w:ascii="Arial" w:hAnsi="Arial" w:cs="Arial"/>
        </w:rPr>
        <w:t xml:space="preserve">ermit the use of the resin co-extruded polystyrene </w:t>
      </w:r>
      <w:r>
        <w:rPr>
          <w:rFonts w:ascii="Arial" w:hAnsi="Arial" w:cs="Arial"/>
        </w:rPr>
        <w:t>and</w:t>
      </w:r>
      <w:r w:rsidRPr="00B00581">
        <w:rPr>
          <w:rFonts w:ascii="Arial" w:hAnsi="Arial" w:cs="Arial"/>
        </w:rPr>
        <w:t xml:space="preserve"> </w:t>
      </w:r>
      <w:r>
        <w:rPr>
          <w:rFonts w:ascii="Arial" w:hAnsi="Arial" w:cs="Arial"/>
        </w:rPr>
        <w:t>polyvinyl polypyrrolidone, as a clarifying, filtration and adsorbent agent</w:t>
      </w:r>
      <w:r w:rsidR="00E458D1">
        <w:rPr>
          <w:rFonts w:ascii="Arial" w:hAnsi="Arial" w:cs="Arial"/>
        </w:rPr>
        <w:t xml:space="preserve"> </w:t>
      </w:r>
      <w:r w:rsidR="009A1985">
        <w:rPr>
          <w:rFonts w:ascii="Arial" w:hAnsi="Arial" w:cs="Arial"/>
        </w:rPr>
        <w:t>and</w:t>
      </w:r>
      <w:r>
        <w:rPr>
          <w:rFonts w:ascii="Arial" w:hAnsi="Arial" w:cs="Arial"/>
        </w:rPr>
        <w:t xml:space="preserve"> draft variations to Standard 1.3.3 </w:t>
      </w:r>
      <w:r>
        <w:rPr>
          <w:rFonts w:ascii="Arial" w:hAnsi="Arial" w:cs="Arial"/>
          <w:iCs/>
        </w:rPr>
        <w:t>and to clause 5 of Standard 4.5.1 – Wine Production Requirements</w:t>
      </w:r>
      <w:r>
        <w:rPr>
          <w:rFonts w:ascii="Arial" w:hAnsi="Arial" w:cs="Arial"/>
        </w:rPr>
        <w:t xml:space="preserve"> to replace the maximum permitted level for PVPP with GMP for consistency.</w:t>
      </w:r>
    </w:p>
    <w:p w:rsidR="00E907E7" w:rsidRDefault="00E907E7" w:rsidP="00E907E7"/>
    <w:p w:rsidR="00E907E7" w:rsidRPr="00D51A95" w:rsidRDefault="00E907E7" w:rsidP="00E907E7">
      <w:pPr>
        <w:pStyle w:val="Heading3"/>
      </w:pPr>
      <w:bookmarkStart w:id="105" w:name="_Toc282772802"/>
      <w:r>
        <w:t>10.1</w:t>
      </w:r>
      <w:r>
        <w:tab/>
        <w:t>Reasons for Decision</w:t>
      </w:r>
      <w:bookmarkEnd w:id="105"/>
      <w:r w:rsidRPr="00D51A95">
        <w:t xml:space="preserve"> </w:t>
      </w:r>
    </w:p>
    <w:p w:rsidR="00E907E7" w:rsidRPr="00606146" w:rsidRDefault="00E907E7" w:rsidP="00E907E7"/>
    <w:p w:rsidR="00E907E7" w:rsidRPr="00606146" w:rsidRDefault="00E907E7" w:rsidP="00E907E7">
      <w:pPr>
        <w:pStyle w:val="Bullet"/>
        <w:numPr>
          <w:ilvl w:val="0"/>
          <w:numId w:val="0"/>
        </w:numPr>
        <w:rPr>
          <w:rFonts w:cs="Arial"/>
          <w:sz w:val="22"/>
          <w:szCs w:val="22"/>
        </w:rPr>
      </w:pPr>
      <w:r w:rsidRPr="00606146">
        <w:rPr>
          <w:rFonts w:cs="Arial"/>
          <w:sz w:val="22"/>
          <w:szCs w:val="22"/>
        </w:rPr>
        <w:t xml:space="preserve">An amendment to the Code approving the use of </w:t>
      </w:r>
      <w:r>
        <w:rPr>
          <w:rFonts w:cs="Arial"/>
          <w:sz w:val="22"/>
          <w:szCs w:val="22"/>
        </w:rPr>
        <w:t>the resin</w:t>
      </w:r>
      <w:r w:rsidRPr="00606146">
        <w:rPr>
          <w:rFonts w:cs="Arial"/>
          <w:sz w:val="22"/>
          <w:szCs w:val="22"/>
        </w:rPr>
        <w:t xml:space="preserve"> as a processing aid in Australia and New Zealand is </w:t>
      </w:r>
      <w:r>
        <w:rPr>
          <w:rFonts w:cs="Arial"/>
          <w:sz w:val="22"/>
          <w:szCs w:val="22"/>
        </w:rPr>
        <w:t>approved</w:t>
      </w:r>
      <w:r w:rsidRPr="00606146">
        <w:rPr>
          <w:rFonts w:cs="Arial"/>
          <w:sz w:val="22"/>
          <w:szCs w:val="22"/>
        </w:rPr>
        <w:t xml:space="preserve"> on the basis of the available evidence for the following reasons:</w:t>
      </w:r>
    </w:p>
    <w:p w:rsidR="00E907E7" w:rsidRPr="00606146" w:rsidRDefault="00E907E7" w:rsidP="00E907E7">
      <w:pPr>
        <w:rPr>
          <w:lang w:bidi="ar-SA"/>
        </w:rPr>
      </w:pPr>
    </w:p>
    <w:p w:rsidR="00E907E7" w:rsidRDefault="00E907E7" w:rsidP="00AD14ED">
      <w:pPr>
        <w:pStyle w:val="FSBullet"/>
      </w:pPr>
      <w:r w:rsidRPr="00B731D0">
        <w:t xml:space="preserve">A detailed safety assessment has concluded that the use of the </w:t>
      </w:r>
      <w:r>
        <w:t>resin</w:t>
      </w:r>
      <w:r w:rsidRPr="00B731D0">
        <w:t xml:space="preserve"> does not raise any public health and safety concerns.</w:t>
      </w:r>
    </w:p>
    <w:p w:rsidR="00E907E7" w:rsidRDefault="00E907E7" w:rsidP="00E907E7">
      <w:pPr>
        <w:pStyle w:val="FSBullet"/>
        <w:numPr>
          <w:ilvl w:val="0"/>
          <w:numId w:val="0"/>
        </w:numPr>
        <w:ind w:left="567"/>
      </w:pPr>
    </w:p>
    <w:p w:rsidR="00E907E7" w:rsidRPr="00FA5423" w:rsidRDefault="00E907E7" w:rsidP="00E907E7">
      <w:pPr>
        <w:pStyle w:val="FSBullet"/>
      </w:pPr>
      <w:r>
        <w:rPr>
          <w:szCs w:val="22"/>
        </w:rPr>
        <w:t xml:space="preserve">Use of the resin to </w:t>
      </w:r>
      <w:r>
        <w:t xml:space="preserve">remove particulates including microorganisms, and haze material (polyphenols and polyphenol-protein complexes), from beverages </w:t>
      </w:r>
      <w:r w:rsidRPr="00746E40">
        <w:rPr>
          <w:szCs w:val="22"/>
        </w:rPr>
        <w:t xml:space="preserve">is technologically justified </w:t>
      </w:r>
      <w:r>
        <w:rPr>
          <w:szCs w:val="22"/>
        </w:rPr>
        <w:t xml:space="preserve">and would be expected to provide benefits to food manufacturers </w:t>
      </w:r>
      <w:r w:rsidR="004209F5">
        <w:rPr>
          <w:szCs w:val="22"/>
        </w:rPr>
        <w:t>as an alternative to current treatments</w:t>
      </w:r>
      <w:r>
        <w:rPr>
          <w:szCs w:val="22"/>
        </w:rPr>
        <w:t>.</w:t>
      </w:r>
    </w:p>
    <w:p w:rsidR="00E907E7" w:rsidRPr="008826A6" w:rsidRDefault="00E907E7" w:rsidP="00E907E7">
      <w:pPr>
        <w:pStyle w:val="FSBullet"/>
        <w:numPr>
          <w:ilvl w:val="0"/>
          <w:numId w:val="0"/>
        </w:numPr>
      </w:pPr>
    </w:p>
    <w:p w:rsidR="00E907E7" w:rsidRDefault="00E907E7" w:rsidP="00AD14ED">
      <w:pPr>
        <w:pStyle w:val="FSBullet"/>
      </w:pPr>
      <w:r w:rsidRPr="00B731D0">
        <w:t xml:space="preserve">Permitting use of the </w:t>
      </w:r>
      <w:r>
        <w:t>resin</w:t>
      </w:r>
      <w:r w:rsidRPr="00B731D0">
        <w:t xml:space="preserve"> would not impose significant costs for government agencies, consumers or manufacturers.</w:t>
      </w:r>
    </w:p>
    <w:p w:rsidR="00E907E7" w:rsidRPr="008826A6" w:rsidRDefault="00E907E7" w:rsidP="00E907E7">
      <w:pPr>
        <w:pStyle w:val="FSBullet"/>
        <w:numPr>
          <w:ilvl w:val="0"/>
          <w:numId w:val="0"/>
        </w:numPr>
        <w:ind w:left="567"/>
      </w:pPr>
    </w:p>
    <w:p w:rsidR="00E907E7" w:rsidRDefault="00E907E7" w:rsidP="00E907E7">
      <w:pPr>
        <w:pStyle w:val="FSBullet"/>
      </w:pPr>
      <w:r w:rsidRPr="00B731D0">
        <w:t>The</w:t>
      </w:r>
      <w:r w:rsidR="008D13EC">
        <w:t xml:space="preserve"> amended</w:t>
      </w:r>
      <w:r w:rsidRPr="00B731D0">
        <w:t xml:space="preserve"> draft variation</w:t>
      </w:r>
      <w:r w:rsidR="008D13EC">
        <w:t>s</w:t>
      </w:r>
      <w:r w:rsidRPr="00B731D0">
        <w:t xml:space="preserve"> to the Code </w:t>
      </w:r>
      <w:r w:rsidR="008D13EC">
        <w:t xml:space="preserve">are </w:t>
      </w:r>
      <w:r w:rsidRPr="00B731D0">
        <w:t xml:space="preserve">consistent with the section 18 objectives of the FSANZ Act. </w:t>
      </w:r>
    </w:p>
    <w:p w:rsidR="00E907E7" w:rsidRPr="008826A6" w:rsidRDefault="00E907E7" w:rsidP="00E907E7">
      <w:pPr>
        <w:pStyle w:val="FSBullet"/>
        <w:numPr>
          <w:ilvl w:val="0"/>
          <w:numId w:val="0"/>
        </w:numPr>
        <w:ind w:left="567"/>
      </w:pPr>
    </w:p>
    <w:p w:rsidR="00E907E7" w:rsidRDefault="00E907E7" w:rsidP="00E907E7">
      <w:pPr>
        <w:pStyle w:val="FSBullet"/>
        <w:widowControl/>
      </w:pPr>
      <w:r w:rsidRPr="00B731D0">
        <w:t>There are no relevant New Zealand standards.</w:t>
      </w:r>
      <w:bookmarkStart w:id="106" w:name="_Toc11735642"/>
      <w:bookmarkStart w:id="107" w:name="_Toc29883129"/>
      <w:bookmarkStart w:id="108" w:name="_Toc41906816"/>
      <w:bookmarkStart w:id="109" w:name="_Toc41907563"/>
      <w:bookmarkStart w:id="110" w:name="_Toc120358595"/>
    </w:p>
    <w:p w:rsidR="00E907E7" w:rsidRPr="0012765D" w:rsidRDefault="00E907E7" w:rsidP="00E907E7"/>
    <w:p w:rsidR="00E907E7" w:rsidRPr="00DC6570" w:rsidRDefault="00E907E7" w:rsidP="00E907E7">
      <w:pPr>
        <w:pStyle w:val="Heading2"/>
        <w:rPr>
          <w:rFonts w:cs="Arial"/>
        </w:rPr>
      </w:pPr>
      <w:bookmarkStart w:id="111" w:name="_Toc282772803"/>
      <w:r>
        <w:rPr>
          <w:rFonts w:cs="Arial"/>
        </w:rPr>
        <w:t>11</w:t>
      </w:r>
      <w:r w:rsidRPr="00DC6570">
        <w:rPr>
          <w:rFonts w:cs="Arial"/>
        </w:rPr>
        <w:t>.</w:t>
      </w:r>
      <w:r w:rsidRPr="00DC6570">
        <w:rPr>
          <w:rFonts w:cs="Arial"/>
        </w:rPr>
        <w:tab/>
        <w:t>Implementation and Review</w:t>
      </w:r>
      <w:bookmarkEnd w:id="106"/>
      <w:bookmarkEnd w:id="107"/>
      <w:bookmarkEnd w:id="108"/>
      <w:bookmarkEnd w:id="109"/>
      <w:bookmarkEnd w:id="110"/>
      <w:bookmarkEnd w:id="111"/>
    </w:p>
    <w:p w:rsidR="00E907E7" w:rsidRPr="00B731D0" w:rsidRDefault="00E907E7" w:rsidP="00E907E7">
      <w:pPr>
        <w:keepNext/>
        <w:keepLines/>
      </w:pPr>
    </w:p>
    <w:p w:rsidR="00E907E7" w:rsidRPr="00B731D0" w:rsidRDefault="00E907E7" w:rsidP="00E907E7">
      <w:pPr>
        <w:keepNext/>
        <w:keepLines/>
      </w:pPr>
      <w:r>
        <w:t xml:space="preserve">If the </w:t>
      </w:r>
      <w:r w:rsidR="008D13EC">
        <w:t xml:space="preserve">amended </w:t>
      </w:r>
      <w:r>
        <w:t>draft variation</w:t>
      </w:r>
      <w:r w:rsidR="008D13EC">
        <w:t>s are</w:t>
      </w:r>
      <w:r>
        <w:t xml:space="preserve"> approved, t</w:t>
      </w:r>
      <w:r w:rsidRPr="00B731D0">
        <w:t>he FSANZ Board’s decision will then be notifie</w:t>
      </w:r>
      <w:r>
        <w:t xml:space="preserve">d to the Ministerial Council. If no review of the Board’s decision is requested by the Ministerial Council, </w:t>
      </w:r>
      <w:r w:rsidRPr="00B731D0">
        <w:t xml:space="preserve">the </w:t>
      </w:r>
      <w:r w:rsidR="008D13EC">
        <w:t>amended</w:t>
      </w:r>
      <w:r w:rsidRPr="00B731D0">
        <w:t xml:space="preserve"> draft variation</w:t>
      </w:r>
      <w:r w:rsidR="008D13EC">
        <w:t>s to the Code are</w:t>
      </w:r>
      <w:r w:rsidRPr="00B731D0">
        <w:t xml:space="preserve"> expected </w:t>
      </w:r>
      <w:r>
        <w:t>to come into effect on gazettal</w:t>
      </w:r>
      <w:r w:rsidRPr="00B731D0">
        <w:t>.</w:t>
      </w:r>
    </w:p>
    <w:p w:rsidR="00E907E7" w:rsidRPr="00600E55" w:rsidRDefault="00E907E7" w:rsidP="00E907E7">
      <w:bookmarkStart w:id="112" w:name="_Toc11735643"/>
      <w:bookmarkStart w:id="113" w:name="_Toc29883130"/>
      <w:bookmarkStart w:id="114" w:name="_Toc41906817"/>
      <w:bookmarkStart w:id="115" w:name="_Toc41907564"/>
      <w:bookmarkStart w:id="116" w:name="_Toc43112360"/>
    </w:p>
    <w:p w:rsidR="00E907E7" w:rsidRPr="007602AA" w:rsidRDefault="00E907E7" w:rsidP="00E907E7">
      <w:pPr>
        <w:rPr>
          <w:rFonts w:ascii="Tahoma" w:hAnsi="Tahoma" w:cs="Tahoma"/>
          <w:b/>
          <w:bCs/>
          <w:sz w:val="28"/>
          <w:u w:val="single"/>
        </w:rPr>
      </w:pPr>
      <w:r w:rsidRPr="007602AA">
        <w:rPr>
          <w:rFonts w:ascii="Tahoma" w:hAnsi="Tahoma" w:cs="Tahoma"/>
          <w:b/>
          <w:bCs/>
          <w:sz w:val="28"/>
          <w:u w:val="single"/>
        </w:rPr>
        <w:t>ATTACHMENT</w:t>
      </w:r>
      <w:bookmarkEnd w:id="112"/>
      <w:bookmarkEnd w:id="113"/>
      <w:bookmarkEnd w:id="114"/>
      <w:bookmarkEnd w:id="115"/>
      <w:bookmarkEnd w:id="116"/>
      <w:r w:rsidR="008D13EC">
        <w:rPr>
          <w:rFonts w:ascii="Tahoma" w:hAnsi="Tahoma" w:cs="Tahoma"/>
          <w:b/>
          <w:bCs/>
          <w:sz w:val="28"/>
          <w:u w:val="single"/>
        </w:rPr>
        <w:t>S</w:t>
      </w:r>
    </w:p>
    <w:p w:rsidR="00E907E7" w:rsidRPr="00B731D0" w:rsidRDefault="00E907E7" w:rsidP="00E907E7">
      <w:pPr>
        <w:rPr>
          <w:rFonts w:cs="Arial"/>
        </w:rPr>
      </w:pPr>
    </w:p>
    <w:p w:rsidR="00816B04" w:rsidRPr="00724C98" w:rsidRDefault="00816B04" w:rsidP="00816B04">
      <w:pPr>
        <w:rPr>
          <w:i/>
        </w:rPr>
      </w:pPr>
      <w:r>
        <w:t>1A.</w:t>
      </w:r>
      <w:r>
        <w:tab/>
      </w:r>
      <w:r w:rsidRPr="00C75DD4">
        <w:t xml:space="preserve">Draft variations to the </w:t>
      </w:r>
      <w:r w:rsidRPr="00724C98">
        <w:rPr>
          <w:i/>
        </w:rPr>
        <w:t xml:space="preserve">Australia New Zealand Food Standards Code </w:t>
      </w:r>
      <w:r>
        <w:t>(at Approval)</w:t>
      </w:r>
    </w:p>
    <w:p w:rsidR="00816B04" w:rsidRDefault="00816B04" w:rsidP="00816B04">
      <w:r>
        <w:t>1B.</w:t>
      </w:r>
      <w:r>
        <w:tab/>
      </w:r>
      <w:r w:rsidRPr="00C75DD4">
        <w:t xml:space="preserve">Draft variation to the </w:t>
      </w:r>
      <w:r w:rsidRPr="00724C98">
        <w:rPr>
          <w:i/>
        </w:rPr>
        <w:t xml:space="preserve">Australia New Zealand Food Standards Code </w:t>
      </w:r>
      <w:r>
        <w:t>(at Assessment)</w:t>
      </w:r>
    </w:p>
    <w:p w:rsidR="00816B04" w:rsidRPr="00724C98" w:rsidRDefault="00816B04" w:rsidP="00816B04">
      <w:r>
        <w:t>2.</w:t>
      </w:r>
      <w:r>
        <w:tab/>
      </w:r>
      <w:r w:rsidRPr="00816B04">
        <w:t>Summary of Public Submissions on the Assessment Report</w:t>
      </w:r>
    </w:p>
    <w:p w:rsidR="00816B04" w:rsidRDefault="00816B04" w:rsidP="00816B04">
      <w:pPr>
        <w:pStyle w:val="Heading2"/>
        <w:ind w:left="0" w:firstLine="0"/>
        <w:rPr>
          <w:rFonts w:ascii="Arial" w:hAnsi="Arial" w:cs="Times New Roman"/>
          <w:b w:val="0"/>
          <w:bCs w:val="0"/>
          <w:iCs w:val="0"/>
          <w:sz w:val="22"/>
          <w:szCs w:val="24"/>
        </w:rPr>
      </w:pPr>
    </w:p>
    <w:p w:rsidR="008D13EC" w:rsidRPr="008D13EC" w:rsidRDefault="00E907E7" w:rsidP="008D13EC">
      <w:pPr>
        <w:pStyle w:val="Heading2"/>
        <w:ind w:left="0" w:firstLine="0"/>
        <w:jc w:val="right"/>
        <w:rPr>
          <w:rFonts w:cs="Arial"/>
        </w:rPr>
      </w:pPr>
      <w:r w:rsidRPr="00DC2129">
        <w:br w:type="page"/>
      </w:r>
      <w:bookmarkStart w:id="117" w:name="_Toc282772804"/>
      <w:bookmarkStart w:id="118" w:name="_Toc29883131"/>
      <w:bookmarkStart w:id="119" w:name="_Toc41906818"/>
      <w:bookmarkStart w:id="120" w:name="_Toc41907565"/>
      <w:bookmarkStart w:id="121" w:name="_Toc120358596"/>
      <w:bookmarkStart w:id="122" w:name="_Toc276554768"/>
      <w:bookmarkStart w:id="123" w:name="_Toc11735644"/>
      <w:r w:rsidR="008D13EC" w:rsidRPr="008D13EC">
        <w:rPr>
          <w:rFonts w:cs="Arial"/>
        </w:rPr>
        <w:lastRenderedPageBreak/>
        <w:t>Attachment 1</w:t>
      </w:r>
      <w:r w:rsidR="008D13EC">
        <w:rPr>
          <w:rFonts w:cs="Arial"/>
        </w:rPr>
        <w:t>A</w:t>
      </w:r>
      <w:bookmarkEnd w:id="117"/>
    </w:p>
    <w:p w:rsidR="00E31102" w:rsidRPr="00B731D0" w:rsidRDefault="00E31102" w:rsidP="00E31102"/>
    <w:p w:rsidR="00183217" w:rsidRPr="00183217" w:rsidRDefault="00E31102" w:rsidP="00AD14ED">
      <w:pPr>
        <w:pStyle w:val="Heading2"/>
        <w:ind w:left="0" w:firstLine="0"/>
        <w:rPr>
          <w:rFonts w:cs="Arial"/>
          <w:iCs w:val="0"/>
        </w:rPr>
      </w:pPr>
      <w:bookmarkStart w:id="124" w:name="_Toc282772805"/>
      <w:r w:rsidRPr="00B731D0">
        <w:rPr>
          <w:rFonts w:cs="Arial"/>
        </w:rPr>
        <w:t>Draft variation</w:t>
      </w:r>
      <w:r>
        <w:rPr>
          <w:rFonts w:cs="Arial"/>
        </w:rPr>
        <w:t>s</w:t>
      </w:r>
      <w:r w:rsidRPr="00B731D0">
        <w:rPr>
          <w:rFonts w:cs="Arial"/>
        </w:rPr>
        <w:t xml:space="preserve"> to the </w:t>
      </w:r>
      <w:r w:rsidRPr="00B731D0">
        <w:rPr>
          <w:rFonts w:cs="Arial"/>
          <w:i/>
          <w:iCs w:val="0"/>
        </w:rPr>
        <w:t>Australia New Zealand Food Standards Cod</w:t>
      </w:r>
      <w:r w:rsidR="00183217">
        <w:rPr>
          <w:rFonts w:cs="Arial"/>
          <w:i/>
          <w:iCs w:val="0"/>
        </w:rPr>
        <w:t xml:space="preserve">e </w:t>
      </w:r>
      <w:r w:rsidR="00183217">
        <w:rPr>
          <w:rFonts w:cs="Arial"/>
          <w:iCs w:val="0"/>
        </w:rPr>
        <w:t>(at Approval)</w:t>
      </w:r>
      <w:bookmarkEnd w:id="124"/>
    </w:p>
    <w:p w:rsidR="00E31102" w:rsidRPr="00B731D0" w:rsidRDefault="00E31102" w:rsidP="00E31102">
      <w:pPr>
        <w:rPr>
          <w:rFonts w:cs="Arial"/>
        </w:rPr>
      </w:pPr>
    </w:p>
    <w:p w:rsidR="00E31102" w:rsidRPr="00B731D0" w:rsidRDefault="00E31102" w:rsidP="00E31102">
      <w:pPr>
        <w:jc w:val="center"/>
        <w:rPr>
          <w:rFonts w:cs="Arial"/>
          <w:i/>
        </w:rPr>
      </w:pPr>
      <w:r w:rsidRPr="002A4EA6">
        <w:rPr>
          <w:i/>
          <w:lang w:val="en-US"/>
        </w:rPr>
        <w:t>Section 94 of the FSANZ Act provides that standards or variations to standards are legislative instruments, but are not subject to disallowance or sunsetting</w:t>
      </w:r>
    </w:p>
    <w:p w:rsidR="00E31102" w:rsidRPr="00B731D0" w:rsidRDefault="00E31102" w:rsidP="00E31102"/>
    <w:p w:rsidR="00E31102" w:rsidRPr="00B731D0" w:rsidRDefault="00E31102" w:rsidP="00E31102">
      <w:pPr>
        <w:rPr>
          <w:szCs w:val="22"/>
        </w:rPr>
      </w:pPr>
      <w:r w:rsidRPr="00B731D0">
        <w:rPr>
          <w:b/>
          <w:bCs/>
          <w:szCs w:val="22"/>
        </w:rPr>
        <w:t>To commence: on gazettal</w:t>
      </w:r>
    </w:p>
    <w:p w:rsidR="00E31102" w:rsidRPr="00B731D0" w:rsidRDefault="00E31102" w:rsidP="00E31102">
      <w:pPr>
        <w:pStyle w:val="Clause"/>
        <w:rPr>
          <w:b/>
          <w:bCs/>
          <w:szCs w:val="22"/>
        </w:rPr>
      </w:pPr>
    </w:p>
    <w:p w:rsidR="00E31102" w:rsidRDefault="00E31102" w:rsidP="00E31102">
      <w:pPr>
        <w:pStyle w:val="Clause"/>
        <w:rPr>
          <w:i/>
          <w:iCs/>
        </w:rPr>
      </w:pPr>
      <w:r w:rsidRPr="009D4E21">
        <w:rPr>
          <w:b/>
          <w:bCs/>
        </w:rPr>
        <w:t>[1]</w:t>
      </w:r>
      <w:r w:rsidRPr="009D4E21">
        <w:tab/>
      </w:r>
      <w:r w:rsidRPr="009D4E21">
        <w:rPr>
          <w:b/>
          <w:bCs/>
          <w:i/>
          <w:iCs/>
        </w:rPr>
        <w:t>Standard 1.3.3</w:t>
      </w:r>
      <w:r w:rsidRPr="009D4E21">
        <w:rPr>
          <w:i/>
          <w:iCs/>
        </w:rPr>
        <w:t xml:space="preserve"> of the Australia New Zealand Food Standards Code is varied by </w:t>
      </w:r>
      <w:r>
        <w:rPr>
          <w:i/>
          <w:iCs/>
        </w:rPr>
        <w:t xml:space="preserve">– </w:t>
      </w:r>
    </w:p>
    <w:p w:rsidR="00E31102" w:rsidRDefault="00E31102" w:rsidP="00E31102">
      <w:pPr>
        <w:pStyle w:val="Clause"/>
        <w:rPr>
          <w:i/>
          <w:iCs/>
        </w:rPr>
      </w:pPr>
    </w:p>
    <w:p w:rsidR="00E31102" w:rsidRDefault="00E31102" w:rsidP="00E31102">
      <w:pPr>
        <w:pStyle w:val="Clause"/>
      </w:pPr>
      <w:r>
        <w:t>[1.1]</w:t>
      </w:r>
      <w:r>
        <w:tab/>
      </w:r>
      <w:r>
        <w:rPr>
          <w:i/>
        </w:rPr>
        <w:t xml:space="preserve">omitting from the </w:t>
      </w:r>
      <w:r>
        <w:t xml:space="preserve">Table to clause 6 – </w:t>
      </w:r>
    </w:p>
    <w:p w:rsidR="00E31102" w:rsidRDefault="00E31102" w:rsidP="00E31102">
      <w:pPr>
        <w:pStyle w:val="Clause"/>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6497"/>
        <w:gridCol w:w="2575"/>
      </w:tblGrid>
      <w:tr w:rsidR="00E31102" w:rsidTr="00CA62F9">
        <w:trPr>
          <w:cantSplit/>
          <w:jc w:val="center"/>
        </w:trPr>
        <w:tc>
          <w:tcPr>
            <w:tcW w:w="6194" w:type="dxa"/>
          </w:tcPr>
          <w:p w:rsidR="00E31102" w:rsidRDefault="00E31102" w:rsidP="00CA62F9">
            <w:pPr>
              <w:pStyle w:val="Table2"/>
            </w:pPr>
            <w:r>
              <w:t>Polyvinyl polypyrrolidone</w:t>
            </w:r>
          </w:p>
        </w:tc>
        <w:tc>
          <w:tcPr>
            <w:tcW w:w="2455" w:type="dxa"/>
          </w:tcPr>
          <w:p w:rsidR="00E31102" w:rsidRDefault="00E31102" w:rsidP="00CA62F9">
            <w:pPr>
              <w:pStyle w:val="Table2"/>
              <w:jc w:val="center"/>
            </w:pPr>
            <w:r>
              <w:t>100</w:t>
            </w:r>
          </w:p>
        </w:tc>
      </w:tr>
    </w:tbl>
    <w:p w:rsidR="00E31102" w:rsidRDefault="00E31102" w:rsidP="00E31102">
      <w:pPr>
        <w:pStyle w:val="Clause"/>
      </w:pPr>
    </w:p>
    <w:p w:rsidR="00E31102" w:rsidRDefault="00E31102" w:rsidP="00E31102">
      <w:pPr>
        <w:pStyle w:val="Clause"/>
        <w:rPr>
          <w:i/>
        </w:rPr>
      </w:pPr>
      <w:r>
        <w:rPr>
          <w:i/>
        </w:rPr>
        <w:t xml:space="preserve">substituting – </w:t>
      </w:r>
    </w:p>
    <w:p w:rsidR="00E31102" w:rsidRDefault="00E31102" w:rsidP="00E31102">
      <w:pPr>
        <w:pStyle w:val="Clause"/>
      </w:pPr>
    </w:p>
    <w:tbl>
      <w:tblPr>
        <w:tblW w:w="9072" w:type="dxa"/>
        <w:jc w:val="center"/>
        <w:tblLayout w:type="fixed"/>
        <w:tblCellMar>
          <w:left w:w="80" w:type="dxa"/>
          <w:right w:w="80" w:type="dxa"/>
        </w:tblCellMar>
        <w:tblLook w:val="0000" w:firstRow="0" w:lastRow="0" w:firstColumn="0" w:lastColumn="0" w:noHBand="0" w:noVBand="0"/>
      </w:tblPr>
      <w:tblGrid>
        <w:gridCol w:w="6497"/>
        <w:gridCol w:w="2575"/>
      </w:tblGrid>
      <w:tr w:rsidR="00E31102" w:rsidTr="00CA62F9">
        <w:trPr>
          <w:cantSplit/>
          <w:jc w:val="center"/>
        </w:trPr>
        <w:tc>
          <w:tcPr>
            <w:tcW w:w="6194" w:type="dxa"/>
            <w:tcBorders>
              <w:top w:val="single" w:sz="6" w:space="0" w:color="auto"/>
              <w:left w:val="single" w:sz="6" w:space="0" w:color="auto"/>
              <w:bottom w:val="single" w:sz="6" w:space="0" w:color="auto"/>
              <w:right w:val="single" w:sz="6" w:space="0" w:color="auto"/>
            </w:tcBorders>
          </w:tcPr>
          <w:p w:rsidR="00E31102" w:rsidRDefault="00E31102" w:rsidP="00CA62F9">
            <w:pPr>
              <w:pStyle w:val="Table2"/>
            </w:pPr>
            <w:r>
              <w:t>Polyvinyl polypyrrolidone</w:t>
            </w:r>
          </w:p>
        </w:tc>
        <w:tc>
          <w:tcPr>
            <w:tcW w:w="2455" w:type="dxa"/>
            <w:tcBorders>
              <w:top w:val="single" w:sz="6" w:space="0" w:color="auto"/>
              <w:left w:val="single" w:sz="6" w:space="0" w:color="auto"/>
              <w:bottom w:val="single" w:sz="6" w:space="0" w:color="auto"/>
              <w:right w:val="single" w:sz="6" w:space="0" w:color="auto"/>
            </w:tcBorders>
          </w:tcPr>
          <w:p w:rsidR="00E31102" w:rsidRDefault="00E31102" w:rsidP="00CA62F9">
            <w:pPr>
              <w:pStyle w:val="Table2"/>
              <w:jc w:val="center"/>
            </w:pPr>
            <w:r>
              <w:t>GMP</w:t>
            </w:r>
          </w:p>
        </w:tc>
      </w:tr>
    </w:tbl>
    <w:p w:rsidR="00E31102" w:rsidRPr="002C22E3" w:rsidRDefault="00E31102" w:rsidP="00E31102">
      <w:pPr>
        <w:pStyle w:val="Clause"/>
      </w:pPr>
    </w:p>
    <w:p w:rsidR="00E31102" w:rsidRPr="009D4E21" w:rsidRDefault="00E31102" w:rsidP="00E31102">
      <w:pPr>
        <w:pStyle w:val="Clause"/>
        <w:rPr>
          <w:i/>
          <w:iCs/>
        </w:rPr>
      </w:pPr>
      <w:r>
        <w:rPr>
          <w:iCs/>
        </w:rPr>
        <w:t>[1.2]</w:t>
      </w:r>
      <w:r>
        <w:rPr>
          <w:iCs/>
        </w:rPr>
        <w:tab/>
      </w:r>
      <w:r w:rsidRPr="009D4E21">
        <w:rPr>
          <w:i/>
          <w:iCs/>
        </w:rPr>
        <w:t xml:space="preserve">inserting in the </w:t>
      </w:r>
      <w:r>
        <w:rPr>
          <w:iCs/>
        </w:rPr>
        <w:t>Table to clause 6</w:t>
      </w:r>
      <w:r w:rsidRPr="009D4E21">
        <w:rPr>
          <w:iCs/>
        </w:rPr>
        <w:t xml:space="preserve"> </w:t>
      </w:r>
      <w:r w:rsidRPr="009D4E21">
        <w:t>–</w:t>
      </w:r>
      <w:r w:rsidRPr="009D4E21">
        <w:rPr>
          <w:i/>
          <w:iCs/>
        </w:rPr>
        <w:t xml:space="preserve"> </w:t>
      </w:r>
    </w:p>
    <w:p w:rsidR="00E31102" w:rsidRDefault="00E31102" w:rsidP="00E31102">
      <w:pPr>
        <w:pStyle w:val="Clause"/>
      </w:pPr>
    </w:p>
    <w:tbl>
      <w:tblPr>
        <w:tblW w:w="9072" w:type="dxa"/>
        <w:jc w:val="center"/>
        <w:tblLayout w:type="fixed"/>
        <w:tblCellMar>
          <w:left w:w="80" w:type="dxa"/>
          <w:right w:w="80" w:type="dxa"/>
        </w:tblCellMar>
        <w:tblLook w:val="0000" w:firstRow="0" w:lastRow="0" w:firstColumn="0" w:lastColumn="0" w:noHBand="0" w:noVBand="0"/>
      </w:tblPr>
      <w:tblGrid>
        <w:gridCol w:w="6497"/>
        <w:gridCol w:w="2575"/>
      </w:tblGrid>
      <w:tr w:rsidR="00E31102" w:rsidTr="00CA62F9">
        <w:trPr>
          <w:cantSplit/>
          <w:jc w:val="center"/>
        </w:trPr>
        <w:tc>
          <w:tcPr>
            <w:tcW w:w="6194" w:type="dxa"/>
            <w:tcBorders>
              <w:top w:val="single" w:sz="6" w:space="0" w:color="auto"/>
              <w:left w:val="single" w:sz="6" w:space="0" w:color="auto"/>
              <w:bottom w:val="single" w:sz="6" w:space="0" w:color="auto"/>
              <w:right w:val="single" w:sz="6" w:space="0" w:color="auto"/>
            </w:tcBorders>
          </w:tcPr>
          <w:p w:rsidR="00E31102" w:rsidRDefault="00E31102" w:rsidP="00CA62F9">
            <w:pPr>
              <w:pStyle w:val="Table2"/>
            </w:pPr>
            <w:r>
              <w:t>Co-extruded polystyrene and polyvinyl polypyrrolidone</w:t>
            </w:r>
          </w:p>
        </w:tc>
        <w:tc>
          <w:tcPr>
            <w:tcW w:w="2455" w:type="dxa"/>
            <w:tcBorders>
              <w:top w:val="single" w:sz="6" w:space="0" w:color="auto"/>
              <w:left w:val="single" w:sz="6" w:space="0" w:color="auto"/>
              <w:bottom w:val="single" w:sz="6" w:space="0" w:color="auto"/>
              <w:right w:val="single" w:sz="6" w:space="0" w:color="auto"/>
            </w:tcBorders>
          </w:tcPr>
          <w:p w:rsidR="00E31102" w:rsidRDefault="00E31102" w:rsidP="00CA62F9">
            <w:pPr>
              <w:pStyle w:val="Table2"/>
              <w:jc w:val="center"/>
            </w:pPr>
            <w:r>
              <w:t>GMP</w:t>
            </w:r>
          </w:p>
        </w:tc>
      </w:tr>
    </w:tbl>
    <w:p w:rsidR="00E31102" w:rsidRDefault="00E31102" w:rsidP="00E31102">
      <w:pPr>
        <w:pStyle w:val="Clause"/>
      </w:pPr>
    </w:p>
    <w:p w:rsidR="00E31102" w:rsidRDefault="00E31102" w:rsidP="00E31102">
      <w:pPr>
        <w:pStyle w:val="Clause"/>
        <w:rPr>
          <w:i/>
        </w:rPr>
      </w:pPr>
      <w:r>
        <w:rPr>
          <w:b/>
        </w:rPr>
        <w:t>[2]</w:t>
      </w:r>
      <w:r>
        <w:rPr>
          <w:b/>
        </w:rPr>
        <w:tab/>
      </w:r>
      <w:r w:rsidR="0091604D">
        <w:rPr>
          <w:b/>
          <w:i/>
        </w:rPr>
        <w:t>Standard 4.</w:t>
      </w:r>
      <w:r>
        <w:rPr>
          <w:b/>
          <w:i/>
        </w:rPr>
        <w:t>5</w:t>
      </w:r>
      <w:r w:rsidR="0091604D">
        <w:rPr>
          <w:b/>
          <w:i/>
        </w:rPr>
        <w:t>.</w:t>
      </w:r>
      <w:r>
        <w:rPr>
          <w:b/>
          <w:i/>
        </w:rPr>
        <w:t xml:space="preserve">1 </w:t>
      </w:r>
      <w:r>
        <w:rPr>
          <w:i/>
        </w:rPr>
        <w:t xml:space="preserve">of the Australia New Zealand Food Standards Code is varied by omitting subclause 5(5), substituting – </w:t>
      </w:r>
    </w:p>
    <w:p w:rsidR="00E31102" w:rsidRDefault="00E31102" w:rsidP="00E31102">
      <w:pPr>
        <w:pStyle w:val="Clause"/>
      </w:pPr>
    </w:p>
    <w:p w:rsidR="00E31102" w:rsidRDefault="00E31102" w:rsidP="00E31102">
      <w:pPr>
        <w:pStyle w:val="Subclause"/>
      </w:pPr>
      <w:r>
        <w:t>(5)</w:t>
      </w:r>
      <w:r>
        <w:tab/>
        <w:t xml:space="preserve">Wine, sparkling wine and fortified wine must contain no more than – </w:t>
      </w:r>
    </w:p>
    <w:p w:rsidR="00E31102" w:rsidRDefault="00E31102" w:rsidP="00E31102">
      <w:pPr>
        <w:pStyle w:val="Subclause"/>
      </w:pPr>
    </w:p>
    <w:p w:rsidR="00E31102" w:rsidRDefault="00E31102" w:rsidP="00E31102">
      <w:pPr>
        <w:pStyle w:val="Paragraph"/>
      </w:pPr>
      <w:r>
        <w:t>(a)</w:t>
      </w:r>
      <w:r>
        <w:tab/>
        <w:t>250 mg/L in total of sulphur dioxide in the case of products containing less than 35 g/L of sugars, or 300 mg/L in total of sulphur dioxide in the case of other products; and</w:t>
      </w:r>
    </w:p>
    <w:p w:rsidR="00E31102" w:rsidRDefault="00E31102" w:rsidP="00E31102">
      <w:pPr>
        <w:pStyle w:val="Paragraph"/>
      </w:pPr>
      <w:r>
        <w:t>(b)</w:t>
      </w:r>
      <w:r>
        <w:tab/>
        <w:t>200 mg/L of sorbic acid or potassium sorbate expressed as sorbic acid; and</w:t>
      </w:r>
    </w:p>
    <w:p w:rsidR="00E31102" w:rsidRDefault="00E31102" w:rsidP="00E31102">
      <w:pPr>
        <w:pStyle w:val="Paragraph"/>
      </w:pPr>
      <w:r>
        <w:t>(c)</w:t>
      </w:r>
      <w:r>
        <w:tab/>
        <w:t>1 g/L of soluble chlorides expressed as sodium chloride; and</w:t>
      </w:r>
    </w:p>
    <w:p w:rsidR="00E31102" w:rsidRDefault="00E31102" w:rsidP="00E31102">
      <w:pPr>
        <w:pStyle w:val="Paragraph"/>
      </w:pPr>
      <w:r>
        <w:t>(d)</w:t>
      </w:r>
      <w:r>
        <w:tab/>
        <w:t>2 g/L of soluble sulphates expressed as potassium sulphate; and</w:t>
      </w:r>
    </w:p>
    <w:p w:rsidR="00E31102" w:rsidRDefault="00E31102" w:rsidP="00E31102">
      <w:pPr>
        <w:pStyle w:val="Paragraph"/>
      </w:pPr>
      <w:r>
        <w:t>(e)</w:t>
      </w:r>
      <w:r>
        <w:tab/>
        <w:t>400 mg/L of soluble phosphates expressed as phosphorus; and</w:t>
      </w:r>
    </w:p>
    <w:p w:rsidR="00E31102" w:rsidRDefault="00E31102" w:rsidP="00E31102">
      <w:pPr>
        <w:pStyle w:val="Paragraph"/>
      </w:pPr>
      <w:r>
        <w:t>(f)</w:t>
      </w:r>
      <w:r>
        <w:tab/>
        <w:t>1.5 g/L of volatile acidity excluding sulphur dioxide, expressed as acetic acid; and</w:t>
      </w:r>
    </w:p>
    <w:p w:rsidR="00E31102" w:rsidRDefault="00E31102" w:rsidP="00E31102">
      <w:pPr>
        <w:pStyle w:val="Paragraph"/>
      </w:pPr>
      <w:r>
        <w:t>(g)</w:t>
      </w:r>
      <w:r>
        <w:tab/>
        <w:t>0.1 mg/L of cyanides and complex cyanides expressed as hydrocyanic acid; and</w:t>
      </w:r>
    </w:p>
    <w:p w:rsidR="00E31102" w:rsidRDefault="00E31102" w:rsidP="00E31102">
      <w:pPr>
        <w:pStyle w:val="Paragraph"/>
      </w:pPr>
      <w:r>
        <w:t>(h)</w:t>
      </w:r>
      <w:r>
        <w:tab/>
        <w:t xml:space="preserve">200 mg/L of </w:t>
      </w:r>
      <w:r w:rsidRPr="005930C4">
        <w:t>added</w:t>
      </w:r>
      <w:r>
        <w:t xml:space="preserve"> </w:t>
      </w:r>
      <w:r w:rsidRPr="007C5FF2">
        <w:t>dimethyl</w:t>
      </w:r>
      <w:r>
        <w:t xml:space="preserve"> dicarbonate.</w:t>
      </w:r>
    </w:p>
    <w:p w:rsidR="00E31102" w:rsidRPr="005F532E" w:rsidRDefault="00E31102" w:rsidP="00E31102">
      <w:pPr>
        <w:pStyle w:val="Paragraph"/>
      </w:pPr>
    </w:p>
    <w:p w:rsidR="008D13EC" w:rsidRDefault="008D13EC" w:rsidP="008D13EC">
      <w:pPr>
        <w:widowControl/>
      </w:pPr>
      <w:r>
        <w:br w:type="page"/>
      </w:r>
    </w:p>
    <w:p w:rsidR="00E907E7" w:rsidRPr="008D13EC" w:rsidRDefault="00E907E7" w:rsidP="008D13EC">
      <w:pPr>
        <w:pStyle w:val="Heading2"/>
        <w:ind w:left="0" w:firstLine="0"/>
        <w:jc w:val="right"/>
        <w:rPr>
          <w:rFonts w:cs="Arial"/>
        </w:rPr>
      </w:pPr>
      <w:bookmarkStart w:id="125" w:name="_Toc282772806"/>
      <w:r w:rsidRPr="008D13EC">
        <w:rPr>
          <w:rFonts w:cs="Arial"/>
        </w:rPr>
        <w:lastRenderedPageBreak/>
        <w:t xml:space="preserve">Attachment </w:t>
      </w:r>
      <w:bookmarkEnd w:id="118"/>
      <w:bookmarkEnd w:id="119"/>
      <w:bookmarkEnd w:id="120"/>
      <w:r w:rsidRPr="008D13EC">
        <w:rPr>
          <w:rFonts w:cs="Arial"/>
        </w:rPr>
        <w:t>1</w:t>
      </w:r>
      <w:bookmarkEnd w:id="121"/>
      <w:bookmarkEnd w:id="122"/>
      <w:r w:rsidR="008D13EC" w:rsidRPr="008D13EC">
        <w:rPr>
          <w:rFonts w:cs="Arial"/>
        </w:rPr>
        <w:t>B</w:t>
      </w:r>
      <w:bookmarkEnd w:id="125"/>
    </w:p>
    <w:bookmarkEnd w:id="123"/>
    <w:p w:rsidR="00E907E7" w:rsidRPr="008D13EC" w:rsidRDefault="00E907E7" w:rsidP="00E907E7"/>
    <w:p w:rsidR="00E907E7" w:rsidRPr="008D13EC" w:rsidRDefault="00E907E7" w:rsidP="00E907E7">
      <w:pPr>
        <w:pStyle w:val="Heading2"/>
        <w:rPr>
          <w:rFonts w:cs="Arial"/>
        </w:rPr>
      </w:pPr>
      <w:bookmarkStart w:id="126" w:name="_Toc247508767"/>
      <w:bookmarkStart w:id="127" w:name="_Toc120358597"/>
      <w:bookmarkStart w:id="128" w:name="_Toc282772807"/>
      <w:r w:rsidRPr="008D13EC">
        <w:rPr>
          <w:rFonts w:cs="Arial"/>
          <w:b w:val="0"/>
          <w:bCs w:val="0"/>
        </w:rPr>
        <w:t xml:space="preserve">Draft variation to the </w:t>
      </w:r>
      <w:r w:rsidRPr="008D13EC">
        <w:rPr>
          <w:rFonts w:cs="Arial"/>
          <w:b w:val="0"/>
          <w:bCs w:val="0"/>
          <w:i/>
          <w:iCs w:val="0"/>
        </w:rPr>
        <w:t>Australia New Zealand Food Standards Code</w:t>
      </w:r>
      <w:bookmarkEnd w:id="126"/>
      <w:bookmarkEnd w:id="127"/>
      <w:r w:rsidR="008D13EC" w:rsidRPr="008D13EC">
        <w:rPr>
          <w:rFonts w:cs="Arial"/>
          <w:b w:val="0"/>
          <w:bCs w:val="0"/>
          <w:iCs w:val="0"/>
        </w:rPr>
        <w:t xml:space="preserve"> (at Assessment)</w:t>
      </w:r>
      <w:bookmarkEnd w:id="128"/>
    </w:p>
    <w:p w:rsidR="00E907E7" w:rsidRPr="008D13EC" w:rsidRDefault="00E907E7" w:rsidP="00E907E7">
      <w:pPr>
        <w:rPr>
          <w:rFonts w:cs="Arial"/>
        </w:rPr>
      </w:pPr>
    </w:p>
    <w:p w:rsidR="00E907E7" w:rsidRPr="008D13EC" w:rsidRDefault="00E907E7" w:rsidP="00E907E7">
      <w:pPr>
        <w:jc w:val="center"/>
        <w:rPr>
          <w:rFonts w:cs="Arial"/>
          <w:i/>
        </w:rPr>
      </w:pPr>
      <w:r w:rsidRPr="008D13EC">
        <w:rPr>
          <w:rFonts w:cs="Arial"/>
          <w:i/>
        </w:rPr>
        <w:t>Section 94 of the FSANZ Act provides that standards or variations to standards are legislative instruments, but are not subject to disallowance or sunsetting</w:t>
      </w:r>
    </w:p>
    <w:p w:rsidR="00E907E7" w:rsidRPr="008D13EC" w:rsidRDefault="00E907E7" w:rsidP="00E907E7"/>
    <w:p w:rsidR="00E907E7" w:rsidRPr="008D13EC" w:rsidRDefault="00E907E7" w:rsidP="00E907E7">
      <w:pPr>
        <w:rPr>
          <w:szCs w:val="22"/>
        </w:rPr>
      </w:pPr>
      <w:r w:rsidRPr="008D13EC">
        <w:rPr>
          <w:b/>
          <w:bCs/>
          <w:szCs w:val="22"/>
        </w:rPr>
        <w:t>To commence: on gazettal</w:t>
      </w:r>
    </w:p>
    <w:p w:rsidR="00E907E7" w:rsidRPr="008D13EC" w:rsidRDefault="00E907E7" w:rsidP="00E907E7">
      <w:pPr>
        <w:pStyle w:val="Clause"/>
        <w:rPr>
          <w:b/>
          <w:bCs/>
          <w:szCs w:val="22"/>
        </w:rPr>
      </w:pPr>
    </w:p>
    <w:p w:rsidR="00E907E7" w:rsidRPr="008D13EC" w:rsidRDefault="00E907E7" w:rsidP="00E907E7">
      <w:pPr>
        <w:pStyle w:val="Clause"/>
        <w:rPr>
          <w:i/>
          <w:iCs/>
        </w:rPr>
      </w:pPr>
      <w:r w:rsidRPr="008D13EC">
        <w:rPr>
          <w:b/>
          <w:bCs/>
        </w:rPr>
        <w:t>[1]</w:t>
      </w:r>
      <w:r w:rsidRPr="008D13EC">
        <w:tab/>
      </w:r>
      <w:r w:rsidRPr="008D13EC">
        <w:rPr>
          <w:b/>
          <w:bCs/>
          <w:i/>
          <w:iCs/>
        </w:rPr>
        <w:t>Standard 1.3.3</w:t>
      </w:r>
      <w:r w:rsidRPr="008D13EC">
        <w:rPr>
          <w:i/>
          <w:iCs/>
        </w:rPr>
        <w:t xml:space="preserve"> of the Australia New Zealand Food Standards Code is varied by inserting in the </w:t>
      </w:r>
      <w:r w:rsidRPr="008D13EC">
        <w:rPr>
          <w:iCs/>
        </w:rPr>
        <w:t xml:space="preserve">Table to clause 6 </w:t>
      </w:r>
      <w:r w:rsidRPr="008D13EC">
        <w:t>–</w:t>
      </w:r>
      <w:r w:rsidRPr="008D13EC">
        <w:rPr>
          <w:i/>
          <w:iCs/>
        </w:rPr>
        <w:t xml:space="preserve"> </w:t>
      </w:r>
    </w:p>
    <w:p w:rsidR="00E907E7" w:rsidRPr="008D13EC" w:rsidRDefault="00E907E7" w:rsidP="00E907E7">
      <w:pPr>
        <w:rPr>
          <w:i/>
          <w:iCs/>
        </w:rPr>
      </w:pPr>
    </w:p>
    <w:tbl>
      <w:tblPr>
        <w:tblW w:w="9075" w:type="dxa"/>
        <w:jc w:val="center"/>
        <w:tblLayout w:type="fixed"/>
        <w:tblCellMar>
          <w:left w:w="80" w:type="dxa"/>
          <w:right w:w="80" w:type="dxa"/>
        </w:tblCellMar>
        <w:tblLook w:val="04A0" w:firstRow="1" w:lastRow="0" w:firstColumn="1" w:lastColumn="0" w:noHBand="0" w:noVBand="1"/>
      </w:tblPr>
      <w:tblGrid>
        <w:gridCol w:w="6546"/>
        <w:gridCol w:w="2529"/>
      </w:tblGrid>
      <w:tr w:rsidR="00E907E7" w:rsidRPr="008D13EC" w:rsidTr="00EE1B4A">
        <w:trPr>
          <w:jc w:val="center"/>
        </w:trPr>
        <w:tc>
          <w:tcPr>
            <w:tcW w:w="6544" w:type="dxa"/>
            <w:tcBorders>
              <w:top w:val="single" w:sz="6" w:space="0" w:color="auto"/>
              <w:left w:val="single" w:sz="6" w:space="0" w:color="auto"/>
              <w:bottom w:val="single" w:sz="6" w:space="0" w:color="auto"/>
              <w:right w:val="single" w:sz="4" w:space="0" w:color="auto"/>
            </w:tcBorders>
            <w:hideMark/>
          </w:tcPr>
          <w:p w:rsidR="00E907E7" w:rsidRPr="008D13EC" w:rsidRDefault="00E907E7" w:rsidP="00EE1B4A">
            <w:pPr>
              <w:pStyle w:val="Table2"/>
            </w:pPr>
            <w:r w:rsidRPr="008D13EC">
              <w:t>Co-extruded polystyrene and polyvinyl polypyrrolidone</w:t>
            </w:r>
          </w:p>
        </w:tc>
        <w:tc>
          <w:tcPr>
            <w:tcW w:w="2528" w:type="dxa"/>
            <w:tcBorders>
              <w:top w:val="single" w:sz="4" w:space="0" w:color="auto"/>
              <w:left w:val="single" w:sz="4" w:space="0" w:color="auto"/>
              <w:bottom w:val="single" w:sz="4" w:space="0" w:color="auto"/>
              <w:right w:val="single" w:sz="4" w:space="0" w:color="auto"/>
            </w:tcBorders>
            <w:hideMark/>
          </w:tcPr>
          <w:p w:rsidR="00E907E7" w:rsidRPr="008D13EC" w:rsidRDefault="00E907E7" w:rsidP="00EE1B4A">
            <w:pPr>
              <w:pStyle w:val="Table2"/>
            </w:pPr>
            <w:r w:rsidRPr="008D13EC">
              <w:t>GMP</w:t>
            </w:r>
          </w:p>
        </w:tc>
      </w:tr>
    </w:tbl>
    <w:p w:rsidR="00E907E7" w:rsidRPr="008D13EC" w:rsidRDefault="00E907E7" w:rsidP="00E907E7"/>
    <w:p w:rsidR="00E907E7" w:rsidRDefault="00E907E7" w:rsidP="00E907E7">
      <w:pPr>
        <w:widowControl/>
      </w:pPr>
      <w:r>
        <w:br w:type="page"/>
      </w:r>
    </w:p>
    <w:p w:rsidR="00E907E7" w:rsidRPr="00DC6570" w:rsidRDefault="00E907E7" w:rsidP="00E907E7">
      <w:pPr>
        <w:pStyle w:val="Heading2"/>
        <w:jc w:val="right"/>
      </w:pPr>
      <w:bookmarkStart w:id="129" w:name="_Toc279490406"/>
      <w:bookmarkStart w:id="130" w:name="_Toc282772808"/>
      <w:r w:rsidRPr="00DC6570">
        <w:lastRenderedPageBreak/>
        <w:t>Attachment 2</w:t>
      </w:r>
      <w:bookmarkEnd w:id="129"/>
      <w:bookmarkEnd w:id="130"/>
    </w:p>
    <w:p w:rsidR="00E907E7" w:rsidRPr="00486A4D" w:rsidRDefault="00E907E7" w:rsidP="00E907E7"/>
    <w:p w:rsidR="00E907E7" w:rsidRPr="00BA65DF" w:rsidRDefault="00E907E7" w:rsidP="00E907E7">
      <w:pPr>
        <w:pStyle w:val="Heading2"/>
        <w:rPr>
          <w:color w:val="000000"/>
        </w:rPr>
      </w:pPr>
      <w:bookmarkStart w:id="131" w:name="_Toc245809238"/>
      <w:bookmarkStart w:id="132" w:name="_Toc256146820"/>
      <w:bookmarkStart w:id="133" w:name="_Toc264382946"/>
      <w:bookmarkStart w:id="134" w:name="_Toc279490407"/>
      <w:bookmarkStart w:id="135" w:name="_Toc282772809"/>
      <w:r w:rsidRPr="00BA65DF">
        <w:rPr>
          <w:color w:val="000000"/>
        </w:rPr>
        <w:t>Summary of Public Submissions</w:t>
      </w:r>
      <w:r>
        <w:rPr>
          <w:color w:val="000000"/>
        </w:rPr>
        <w:t xml:space="preserve"> on the </w:t>
      </w:r>
      <w:r w:rsidRPr="00BA65DF">
        <w:rPr>
          <w:color w:val="000000"/>
        </w:rPr>
        <w:t>Assessment Report</w:t>
      </w:r>
      <w:bookmarkEnd w:id="131"/>
      <w:bookmarkEnd w:id="132"/>
      <w:bookmarkEnd w:id="133"/>
      <w:bookmarkEnd w:id="134"/>
      <w:bookmarkEnd w:id="135"/>
    </w:p>
    <w:p w:rsidR="00E907E7" w:rsidRPr="00951BB2" w:rsidRDefault="00E907E7" w:rsidP="00E907E7"/>
    <w:p w:rsidR="00E907E7" w:rsidRDefault="00E907E7" w:rsidP="00E907E7">
      <w:r w:rsidRPr="00951BB2">
        <w:t>Five submissions were received during the public consultation period in response to the Assessment Report.</w:t>
      </w:r>
      <w:r>
        <w:t xml:space="preserve"> </w:t>
      </w:r>
    </w:p>
    <w:p w:rsidR="00E907E7" w:rsidRDefault="00E907E7" w:rsidP="00E907E7"/>
    <w:p w:rsidR="00E907E7" w:rsidRDefault="00E907E7" w:rsidP="00E907E7">
      <w:r>
        <w:t xml:space="preserve">All submitters </w:t>
      </w:r>
      <w:r w:rsidR="009A1985">
        <w:t xml:space="preserve">(three government agencies and two professional organisations) </w:t>
      </w:r>
      <w:r>
        <w:t>supported the Application. One government agency noted inconsistencies and possible enforcement issues that the proposed drafting would cause.</w:t>
      </w:r>
    </w:p>
    <w:p w:rsidR="00E907E7" w:rsidRPr="00951BB2" w:rsidRDefault="00E907E7" w:rsidP="00E907E7"/>
    <w:p w:rsidR="00E907E7" w:rsidRPr="00951BB2" w:rsidRDefault="00E907E7" w:rsidP="00E907E7">
      <w:r w:rsidRPr="00951BB2">
        <w:t xml:space="preserve">A summary of all submissions received is provided in </w:t>
      </w:r>
      <w:r>
        <w:t>Table 1 below</w:t>
      </w:r>
      <w:r w:rsidRPr="00951BB2">
        <w:t>.</w:t>
      </w:r>
    </w:p>
    <w:p w:rsidR="00E907E7" w:rsidRPr="00951BB2" w:rsidRDefault="00E907E7" w:rsidP="00E907E7">
      <w:pPr>
        <w:rPr>
          <w:b/>
          <w:bCs/>
        </w:rPr>
      </w:pPr>
    </w:p>
    <w:p w:rsidR="00E907E7" w:rsidRDefault="00E907E7" w:rsidP="00E907E7">
      <w:pPr>
        <w:pStyle w:val="FSTableTitle"/>
      </w:pPr>
      <w:r>
        <w:t>Table 1: Summary of Submissions</w:t>
      </w:r>
    </w:p>
    <w:p w:rsidR="00E907E7" w:rsidRPr="00951BB2" w:rsidRDefault="00E907E7" w:rsidP="00E907E7">
      <w:pPr>
        <w:rPr>
          <w:b/>
          <w:bCs/>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666"/>
        <w:gridCol w:w="5782"/>
      </w:tblGrid>
      <w:tr w:rsidR="00E907E7" w:rsidRPr="00705656" w:rsidTr="00EE1B4A">
        <w:trPr>
          <w:cantSplit/>
          <w:tblHeader/>
        </w:trPr>
        <w:tc>
          <w:tcPr>
            <w:tcW w:w="1038" w:type="pct"/>
            <w:shd w:val="clear" w:color="auto" w:fill="D6E3BC" w:themeFill="accent3" w:themeFillTint="66"/>
          </w:tcPr>
          <w:p w:rsidR="00E907E7" w:rsidRDefault="00E907E7" w:rsidP="00EE1B4A">
            <w:pPr>
              <w:pStyle w:val="FSTableHeading"/>
            </w:pPr>
            <w:r w:rsidRPr="00951BB2">
              <w:t>Submitter</w:t>
            </w:r>
          </w:p>
          <w:p w:rsidR="00E907E7" w:rsidRPr="00951BB2" w:rsidRDefault="00E907E7" w:rsidP="00EE1B4A">
            <w:pPr>
              <w:pStyle w:val="FSTableHeading"/>
            </w:pPr>
          </w:p>
        </w:tc>
        <w:tc>
          <w:tcPr>
            <w:tcW w:w="886" w:type="pct"/>
            <w:shd w:val="clear" w:color="auto" w:fill="D6E3BC" w:themeFill="accent3" w:themeFillTint="66"/>
          </w:tcPr>
          <w:p w:rsidR="00E907E7" w:rsidRPr="00951BB2" w:rsidRDefault="00E907E7" w:rsidP="00EE1B4A">
            <w:pPr>
              <w:pStyle w:val="FSTableHeading"/>
            </w:pPr>
            <w:r w:rsidRPr="00951BB2">
              <w:t>Group</w:t>
            </w:r>
          </w:p>
        </w:tc>
        <w:tc>
          <w:tcPr>
            <w:tcW w:w="3076" w:type="pct"/>
            <w:shd w:val="clear" w:color="auto" w:fill="D6E3BC" w:themeFill="accent3" w:themeFillTint="66"/>
          </w:tcPr>
          <w:p w:rsidR="00E907E7" w:rsidRPr="00951BB2" w:rsidRDefault="00E907E7" w:rsidP="00EE1B4A">
            <w:pPr>
              <w:pStyle w:val="FSTableHeading"/>
            </w:pPr>
            <w:r w:rsidRPr="00951BB2">
              <w:t>Comments</w:t>
            </w:r>
          </w:p>
        </w:tc>
      </w:tr>
      <w:tr w:rsidR="00E907E7" w:rsidRPr="00AA0EB0" w:rsidTr="00EE1B4A">
        <w:trPr>
          <w:cantSplit/>
        </w:trPr>
        <w:tc>
          <w:tcPr>
            <w:tcW w:w="1038" w:type="pct"/>
          </w:tcPr>
          <w:p w:rsidR="00E907E7" w:rsidRPr="00AA0EB0" w:rsidRDefault="00E907E7" w:rsidP="00EE1B4A">
            <w:pPr>
              <w:pStyle w:val="FSTableText"/>
            </w:pPr>
            <w:r w:rsidRPr="00AA0EB0">
              <w:t>Brewers Association of Australia &amp; New Zealand</w:t>
            </w:r>
          </w:p>
        </w:tc>
        <w:tc>
          <w:tcPr>
            <w:tcW w:w="886" w:type="pct"/>
          </w:tcPr>
          <w:p w:rsidR="00E907E7" w:rsidRPr="00AA0EB0" w:rsidRDefault="00E907E7" w:rsidP="00EE1B4A">
            <w:pPr>
              <w:pStyle w:val="FSTableText"/>
            </w:pPr>
            <w:r w:rsidRPr="00AA0EB0">
              <w:t>Professional Organisation</w:t>
            </w:r>
          </w:p>
        </w:tc>
        <w:tc>
          <w:tcPr>
            <w:tcW w:w="3076" w:type="pct"/>
          </w:tcPr>
          <w:p w:rsidR="00E907E7" w:rsidRPr="00AA0EB0" w:rsidRDefault="00E907E7" w:rsidP="00EE1B4A">
            <w:pPr>
              <w:pStyle w:val="FSTableText"/>
            </w:pPr>
            <w:r>
              <w:t>Supports the preferred approach identified by FSANZ</w:t>
            </w:r>
            <w:r w:rsidR="00245A9F">
              <w:t>.</w:t>
            </w:r>
          </w:p>
        </w:tc>
      </w:tr>
      <w:tr w:rsidR="00E907E7" w:rsidRPr="00AA0EB0" w:rsidTr="00EE1B4A">
        <w:trPr>
          <w:cantSplit/>
        </w:trPr>
        <w:tc>
          <w:tcPr>
            <w:tcW w:w="1038" w:type="pct"/>
          </w:tcPr>
          <w:p w:rsidR="00E907E7" w:rsidRPr="00AA0EB0" w:rsidRDefault="00E907E7" w:rsidP="00EE1B4A">
            <w:pPr>
              <w:pStyle w:val="FSTableText"/>
            </w:pPr>
            <w:r w:rsidRPr="00AA0EB0">
              <w:t>Food Technology Association of Australia</w:t>
            </w:r>
          </w:p>
        </w:tc>
        <w:tc>
          <w:tcPr>
            <w:tcW w:w="886" w:type="pct"/>
          </w:tcPr>
          <w:p w:rsidR="00E907E7" w:rsidRPr="00AA0EB0" w:rsidRDefault="00E907E7" w:rsidP="00EE1B4A">
            <w:pPr>
              <w:pStyle w:val="FSTableText"/>
            </w:pPr>
            <w:r w:rsidRPr="00AA0EB0">
              <w:t>Professional Organisation</w:t>
            </w:r>
          </w:p>
        </w:tc>
        <w:tc>
          <w:tcPr>
            <w:tcW w:w="3076" w:type="pct"/>
          </w:tcPr>
          <w:p w:rsidR="00E907E7" w:rsidRPr="00AA0EB0" w:rsidRDefault="00E907E7" w:rsidP="00EE1B4A">
            <w:pPr>
              <w:pStyle w:val="FSTableText"/>
            </w:pPr>
            <w:r w:rsidRPr="00AA0EB0">
              <w:t>Supports</w:t>
            </w:r>
          </w:p>
          <w:p w:rsidR="00E907E7" w:rsidRPr="00AA0EB0" w:rsidRDefault="00AD14ED" w:rsidP="00245A9F">
            <w:pPr>
              <w:pStyle w:val="FSTableText"/>
              <w:ind w:left="113" w:hanging="113"/>
            </w:pPr>
            <w:r>
              <w:t>A</w:t>
            </w:r>
            <w:r w:rsidR="00E907E7" w:rsidRPr="00AA0EB0">
              <w:t>greed with Option 2, to prepare a draft variation to Standard 1.3.3 to permit the use of the resin,</w:t>
            </w:r>
            <w:r w:rsidR="00E907E7" w:rsidRPr="00AA0EB0">
              <w:rPr>
                <w:i/>
                <w:iCs/>
              </w:rPr>
              <w:t xml:space="preserve"> </w:t>
            </w:r>
            <w:r w:rsidR="00E907E7" w:rsidRPr="00AA0EB0">
              <w:t>as a processing aid</w:t>
            </w:r>
            <w:r w:rsidR="00245A9F">
              <w:t>.</w:t>
            </w:r>
            <w:r w:rsidR="00E907E7" w:rsidRPr="00AA0EB0">
              <w:t>”</w:t>
            </w:r>
          </w:p>
        </w:tc>
      </w:tr>
      <w:tr w:rsidR="00E907E7" w:rsidRPr="0028592B" w:rsidTr="00EE1B4A">
        <w:trPr>
          <w:cantSplit/>
        </w:trPr>
        <w:tc>
          <w:tcPr>
            <w:tcW w:w="1038" w:type="pct"/>
          </w:tcPr>
          <w:p w:rsidR="00E907E7" w:rsidRPr="0028592B" w:rsidRDefault="00245A9F" w:rsidP="00EE1B4A">
            <w:pPr>
              <w:pStyle w:val="FSTableText"/>
            </w:pPr>
            <w:r>
              <w:t>New Zealand Food Safety Authority</w:t>
            </w:r>
          </w:p>
        </w:tc>
        <w:tc>
          <w:tcPr>
            <w:tcW w:w="886" w:type="pct"/>
          </w:tcPr>
          <w:p w:rsidR="00E907E7" w:rsidRPr="0028592B" w:rsidRDefault="00E907E7" w:rsidP="00EE1B4A">
            <w:pPr>
              <w:pStyle w:val="FSTableText"/>
            </w:pPr>
            <w:r w:rsidRPr="0028592B">
              <w:t>Government</w:t>
            </w:r>
          </w:p>
        </w:tc>
        <w:tc>
          <w:tcPr>
            <w:tcW w:w="3076" w:type="pct"/>
          </w:tcPr>
          <w:p w:rsidR="00E907E7" w:rsidRPr="0028592B" w:rsidRDefault="00E907E7" w:rsidP="00EE1B4A">
            <w:pPr>
              <w:pStyle w:val="FSTableText"/>
              <w:ind w:left="113" w:hanging="113"/>
            </w:pPr>
            <w:r w:rsidRPr="0028592B">
              <w:t>Supports. Notes proposed use and international approvals.</w:t>
            </w:r>
          </w:p>
          <w:p w:rsidR="00E907E7" w:rsidRPr="0028592B" w:rsidRDefault="00E907E7" w:rsidP="00EE1B4A">
            <w:pPr>
              <w:pStyle w:val="FSTableText"/>
              <w:ind w:left="113" w:hanging="113"/>
            </w:pPr>
            <w:r w:rsidRPr="0028592B">
              <w:t>Satisfied the proposed use is technologically justified and that no public health and safety concerns were identified.</w:t>
            </w:r>
          </w:p>
        </w:tc>
      </w:tr>
      <w:tr w:rsidR="00E907E7" w:rsidRPr="00FD6546" w:rsidTr="00EE1B4A">
        <w:trPr>
          <w:cantSplit/>
        </w:trPr>
        <w:tc>
          <w:tcPr>
            <w:tcW w:w="1038" w:type="pct"/>
          </w:tcPr>
          <w:p w:rsidR="00E907E7" w:rsidRPr="00FD6546" w:rsidRDefault="00E907E7" w:rsidP="00245A9F">
            <w:pPr>
              <w:pStyle w:val="FSTableText"/>
            </w:pPr>
            <w:r w:rsidRPr="00FD6546">
              <w:t xml:space="preserve">Food Policy and Programs Branch, </w:t>
            </w:r>
            <w:r w:rsidR="00245A9F">
              <w:t>South Australia</w:t>
            </w:r>
            <w:r w:rsidRPr="00FD6546">
              <w:t xml:space="preserve"> Health</w:t>
            </w:r>
          </w:p>
        </w:tc>
        <w:tc>
          <w:tcPr>
            <w:tcW w:w="886" w:type="pct"/>
          </w:tcPr>
          <w:p w:rsidR="00E907E7" w:rsidRPr="00FD6546" w:rsidRDefault="00E907E7" w:rsidP="00EE1B4A">
            <w:pPr>
              <w:pStyle w:val="FSTableText"/>
            </w:pPr>
            <w:r w:rsidRPr="00FD6546">
              <w:t>Government</w:t>
            </w:r>
          </w:p>
        </w:tc>
        <w:tc>
          <w:tcPr>
            <w:tcW w:w="3076" w:type="pct"/>
          </w:tcPr>
          <w:p w:rsidR="00E907E7" w:rsidRPr="00FD6546" w:rsidRDefault="00E907E7" w:rsidP="00EE1B4A">
            <w:pPr>
              <w:pStyle w:val="FSTableText"/>
              <w:ind w:left="113" w:hanging="113"/>
            </w:pPr>
            <w:r w:rsidRPr="00FD6546">
              <w:t>Supports option 2 – to prepare a draft variation however:</w:t>
            </w:r>
          </w:p>
          <w:p w:rsidR="00E907E7" w:rsidRPr="00FD6546" w:rsidRDefault="00E907E7" w:rsidP="00EE1B4A">
            <w:pPr>
              <w:pStyle w:val="FSTableText"/>
              <w:ind w:left="113" w:hanging="113"/>
            </w:pPr>
            <w:r w:rsidRPr="00FD6546">
              <w:t>Note</w:t>
            </w:r>
            <w:r w:rsidR="00786889">
              <w:t>s</w:t>
            </w:r>
            <w:r w:rsidRPr="00FD6546">
              <w:t xml:space="preserve"> that polystyrene is considered safe for use as a processing aid internationally, and that a permission for polystyrene would provide a permission for the co-extruded resin. </w:t>
            </w:r>
            <w:r>
              <w:t>Providing a permission for the co-extruded resin rather than polystyrene could hinder innovation within the food industry and restrict trade. Unclear why JECFA, FCC and USFDA have not assessed the resin – may be because they considered assessing the combination of the two processing aids redundant.</w:t>
            </w:r>
          </w:p>
          <w:p w:rsidR="00E907E7" w:rsidRDefault="00E907E7" w:rsidP="00EE1B4A">
            <w:pPr>
              <w:pStyle w:val="FSTableText"/>
              <w:ind w:left="113" w:hanging="113"/>
            </w:pPr>
            <w:r w:rsidRPr="00FD6546">
              <w:t>Note</w:t>
            </w:r>
            <w:r w:rsidR="00786889">
              <w:t>s</w:t>
            </w:r>
            <w:r w:rsidRPr="00FD6546">
              <w:t xml:space="preserve"> inconsistency </w:t>
            </w:r>
            <w:r>
              <w:t xml:space="preserve">and possible enforcement issues </w:t>
            </w:r>
            <w:r w:rsidRPr="00FD6546">
              <w:t xml:space="preserve">caused by setting a GMP limit for the co-extruded resin whilst PVPP </w:t>
            </w:r>
            <w:r>
              <w:t xml:space="preserve">alone </w:t>
            </w:r>
            <w:r w:rsidRPr="00FD6546">
              <w:t>has a limit of 100</w:t>
            </w:r>
            <w:r w:rsidR="00786889">
              <w:t xml:space="preserve"> </w:t>
            </w:r>
            <w:r w:rsidRPr="00FD6546">
              <w:t>mg/kg</w:t>
            </w:r>
            <w:r>
              <w:t>. Permission for use of PVPP in wine standard may also need to be amended to GMP for consistency.</w:t>
            </w:r>
          </w:p>
          <w:p w:rsidR="00E907E7" w:rsidRPr="00FD6546" w:rsidRDefault="00E907E7" w:rsidP="00786889">
            <w:pPr>
              <w:pStyle w:val="FSTableText"/>
              <w:ind w:left="113" w:hanging="113"/>
            </w:pPr>
            <w:r>
              <w:t>Note</w:t>
            </w:r>
            <w:r w:rsidR="00786889">
              <w:t>s</w:t>
            </w:r>
            <w:r>
              <w:t xml:space="preserve"> some errors in Assessment Report which may be misleading.</w:t>
            </w:r>
          </w:p>
        </w:tc>
      </w:tr>
      <w:tr w:rsidR="00E907E7" w:rsidRPr="009555AE" w:rsidTr="00EE1B4A">
        <w:trPr>
          <w:cantSplit/>
        </w:trPr>
        <w:tc>
          <w:tcPr>
            <w:tcW w:w="1038" w:type="pct"/>
          </w:tcPr>
          <w:p w:rsidR="00E907E7" w:rsidRPr="009555AE" w:rsidRDefault="00E907E7" w:rsidP="00EE1B4A">
            <w:pPr>
              <w:pStyle w:val="FSTableText"/>
            </w:pPr>
            <w:r w:rsidRPr="009555AE">
              <w:lastRenderedPageBreak/>
              <w:t xml:space="preserve">Queensland Health </w:t>
            </w:r>
          </w:p>
          <w:p w:rsidR="00E907E7" w:rsidRPr="009555AE" w:rsidRDefault="00E907E7" w:rsidP="00EE1B4A">
            <w:pPr>
              <w:pStyle w:val="FSTableText"/>
            </w:pPr>
          </w:p>
        </w:tc>
        <w:tc>
          <w:tcPr>
            <w:tcW w:w="886" w:type="pct"/>
          </w:tcPr>
          <w:p w:rsidR="00E907E7" w:rsidRPr="006A43FD" w:rsidRDefault="00E907E7" w:rsidP="00EE1B4A">
            <w:pPr>
              <w:pStyle w:val="FSTableText"/>
            </w:pPr>
            <w:r w:rsidRPr="006A43FD">
              <w:t>Government</w:t>
            </w:r>
          </w:p>
        </w:tc>
        <w:tc>
          <w:tcPr>
            <w:tcW w:w="3076" w:type="pct"/>
          </w:tcPr>
          <w:p w:rsidR="00E907E7" w:rsidRPr="006A43FD" w:rsidRDefault="00E907E7" w:rsidP="00EE1B4A">
            <w:pPr>
              <w:pStyle w:val="FSTableText"/>
              <w:ind w:left="113" w:hanging="113"/>
              <w:rPr>
                <w:lang w:val="en-AU"/>
              </w:rPr>
            </w:pPr>
            <w:r w:rsidRPr="006A43FD">
              <w:rPr>
                <w:lang w:val="en-AU"/>
              </w:rPr>
              <w:t>Supports option 2 – to prepare a draft variation to Standard 1.3.3</w:t>
            </w:r>
            <w:r w:rsidR="00245A9F">
              <w:rPr>
                <w:lang w:val="en-AU"/>
              </w:rPr>
              <w:t>.</w:t>
            </w:r>
          </w:p>
          <w:p w:rsidR="00E907E7" w:rsidRPr="006A43FD" w:rsidRDefault="00E907E7" w:rsidP="00EE1B4A">
            <w:pPr>
              <w:pStyle w:val="FSBullet"/>
              <w:numPr>
                <w:ilvl w:val="0"/>
                <w:numId w:val="0"/>
              </w:numPr>
              <w:ind w:left="113" w:hanging="113"/>
              <w:rPr>
                <w:sz w:val="20"/>
                <w:szCs w:val="20"/>
              </w:rPr>
            </w:pPr>
            <w:r w:rsidRPr="006A43FD">
              <w:rPr>
                <w:sz w:val="20"/>
                <w:szCs w:val="20"/>
              </w:rPr>
              <w:t>Acknowledge</w:t>
            </w:r>
            <w:r w:rsidR="00786889">
              <w:rPr>
                <w:sz w:val="20"/>
                <w:szCs w:val="20"/>
              </w:rPr>
              <w:t>s</w:t>
            </w:r>
            <w:r w:rsidRPr="006A43FD">
              <w:rPr>
                <w:sz w:val="20"/>
                <w:szCs w:val="20"/>
              </w:rPr>
              <w:t xml:space="preserve"> that a safety assessment has concluded that the use of the resin does not raise any public health and safety concerns, as it is just a physical combination of two polymers already approved as processing aids, apparently all but minor amounts are removed from treated foods, and toxicology studies are favourable.</w:t>
            </w:r>
          </w:p>
          <w:p w:rsidR="00E907E7" w:rsidRPr="006A43FD" w:rsidRDefault="00E907E7" w:rsidP="00EE1B4A">
            <w:pPr>
              <w:pStyle w:val="FSTableText"/>
              <w:ind w:left="113" w:hanging="113"/>
            </w:pPr>
            <w:r w:rsidRPr="006A43FD">
              <w:t>Note</w:t>
            </w:r>
            <w:r w:rsidR="00786889">
              <w:t>s</w:t>
            </w:r>
            <w:r w:rsidRPr="006A43FD">
              <w:t xml:space="preserve"> that use of the resin is technologically justified, and use of the resin expected to provide benefits to food manufacturers and consumers. </w:t>
            </w:r>
          </w:p>
          <w:p w:rsidR="00E907E7" w:rsidRPr="006A43FD" w:rsidRDefault="00E907E7" w:rsidP="00EE1B4A">
            <w:pPr>
              <w:pStyle w:val="FSTableText"/>
              <w:ind w:left="113" w:hanging="113"/>
            </w:pPr>
            <w:r w:rsidRPr="006A43FD">
              <w:t>Requests advice as to whether another Australian laboratory has capability to measure residual amounts of either polystyrene or PVPP, singly or in combination, in beverages.</w:t>
            </w:r>
          </w:p>
          <w:p w:rsidR="00E907E7" w:rsidRPr="006A43FD" w:rsidRDefault="00E907E7" w:rsidP="00EE1B4A">
            <w:pPr>
              <w:pStyle w:val="FSTableText"/>
              <w:ind w:left="113" w:hanging="113"/>
            </w:pPr>
            <w:r w:rsidRPr="006A43FD">
              <w:t>Note</w:t>
            </w:r>
            <w:r w:rsidR="00786889">
              <w:t>s</w:t>
            </w:r>
            <w:r w:rsidRPr="006A43FD">
              <w:t xml:space="preserve"> analytical techniques referred to in Risk and Technical Assessment Report are for assay of the monomers for purity and trace monomers in treated beverages.</w:t>
            </w:r>
          </w:p>
          <w:p w:rsidR="00E907E7" w:rsidRPr="006A43FD" w:rsidRDefault="00E907E7" w:rsidP="00EE1B4A">
            <w:pPr>
              <w:pStyle w:val="FSTableText"/>
              <w:ind w:left="113" w:hanging="113"/>
              <w:rPr>
                <w:lang w:val="en-AU"/>
              </w:rPr>
            </w:pPr>
            <w:r w:rsidRPr="006A43FD">
              <w:t>Request</w:t>
            </w:r>
            <w:r w:rsidR="00786889">
              <w:t>s</w:t>
            </w:r>
            <w:r w:rsidRPr="006A43FD">
              <w:t xml:space="preserve"> FSANZ make enquires to establish details of test method of migration of </w:t>
            </w:r>
            <w:r w:rsidR="006A43FD" w:rsidRPr="006A43FD">
              <w:t xml:space="preserve">the resin </w:t>
            </w:r>
            <w:r w:rsidRPr="006A43FD">
              <w:t xml:space="preserve">into aqueous simulants. </w:t>
            </w:r>
          </w:p>
        </w:tc>
      </w:tr>
    </w:tbl>
    <w:p w:rsidR="003C4969" w:rsidRPr="00AD14ED" w:rsidRDefault="003C4969" w:rsidP="00AD14ED"/>
    <w:sectPr w:rsidR="003C4969" w:rsidRPr="00AD14ED" w:rsidSect="008D13EC">
      <w:headerReference w:type="default" r:id="rId14"/>
      <w:footerReference w:type="even" r:id="rId15"/>
      <w:footerReference w:type="default" r:id="rId16"/>
      <w:headerReference w:type="first" r:id="rId17"/>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7B2" w:rsidRDefault="00E567B2">
      <w:r>
        <w:separator/>
      </w:r>
    </w:p>
  </w:endnote>
  <w:endnote w:type="continuationSeparator" w:id="0">
    <w:p w:rsidR="00E567B2" w:rsidRDefault="00E5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7B2" w:rsidRDefault="00E567B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67B2" w:rsidRDefault="00E567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7B2" w:rsidRDefault="00E567B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6410">
      <w:rPr>
        <w:rStyle w:val="PageNumber"/>
        <w:noProof/>
      </w:rPr>
      <w:t>ii</w:t>
    </w:r>
    <w:r>
      <w:rPr>
        <w:rStyle w:val="PageNumber"/>
      </w:rPr>
      <w:fldChar w:fldCharType="end"/>
    </w:r>
  </w:p>
  <w:p w:rsidR="00E567B2" w:rsidRDefault="00E567B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7B2" w:rsidRDefault="00E567B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67B2" w:rsidRDefault="00E567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7B2" w:rsidRDefault="00E567B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6410">
      <w:rPr>
        <w:rStyle w:val="PageNumber"/>
        <w:noProof/>
      </w:rPr>
      <w:t>14</w:t>
    </w:r>
    <w:r>
      <w:rPr>
        <w:rStyle w:val="PageNumber"/>
      </w:rPr>
      <w:fldChar w:fldCharType="end"/>
    </w:r>
  </w:p>
  <w:p w:rsidR="00E567B2" w:rsidRDefault="00E567B2" w:rsidP="008D13E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7B2" w:rsidRDefault="00E567B2">
      <w:r>
        <w:separator/>
      </w:r>
    </w:p>
  </w:footnote>
  <w:footnote w:type="continuationSeparator" w:id="0">
    <w:p w:rsidR="00E567B2" w:rsidRDefault="00E56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7B2" w:rsidRPr="0012765D" w:rsidRDefault="00E567B2" w:rsidP="00EE1B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7B2" w:rsidRDefault="00E567B2">
    <w:pPr>
      <w:pStyle w:val="Header"/>
      <w:jc w:val="center"/>
      <w:rPr>
        <w:b/>
        <w:bCs/>
      </w:rPr>
    </w:pPr>
    <w:r>
      <w:rPr>
        <w:b/>
        <w:bCs/>
      </w:rPr>
      <w:t>BOARD-IN-CONFIDENCE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7B2" w:rsidRDefault="00E567B2">
    <w:pPr>
      <w:pStyle w:val="Header"/>
      <w:jc w:val="center"/>
      <w:rPr>
        <w:b/>
        <w:b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7B2" w:rsidRDefault="00E567B2">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69779F"/>
    <w:multiLevelType w:val="hybridMultilevel"/>
    <w:tmpl w:val="E5220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687346"/>
    <w:multiLevelType w:val="hybridMultilevel"/>
    <w:tmpl w:val="4006A6A0"/>
    <w:lvl w:ilvl="0" w:tplc="F7E2334A">
      <w:start w:val="1"/>
      <w:numFmt w:val="bullet"/>
      <w:pStyle w:val="Box1"/>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82634B"/>
    <w:multiLevelType w:val="hybridMultilevel"/>
    <w:tmpl w:val="FD28B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45A1A3A"/>
    <w:multiLevelType w:val="hybridMultilevel"/>
    <w:tmpl w:val="600E6F3E"/>
    <w:lvl w:ilvl="0" w:tplc="705CFCA2">
      <w:start w:val="1"/>
      <w:numFmt w:val="bullet"/>
      <w:pStyle w:val="Bullet"/>
      <w:lvlText w:val=""/>
      <w:lvlJc w:val="left"/>
      <w:pPr>
        <w:tabs>
          <w:tab w:val="num" w:pos="567"/>
        </w:tabs>
        <w:ind w:left="567" w:hanging="567"/>
      </w:pPr>
      <w:rPr>
        <w:rFonts w:ascii="Symbol" w:hAnsi="Symbol" w:hint="default"/>
      </w:rPr>
    </w:lvl>
    <w:lvl w:ilvl="1" w:tplc="78A6FC68">
      <w:start w:val="1"/>
      <w:numFmt w:val="bullet"/>
      <w:lvlText w:val=""/>
      <w:lvlJc w:val="left"/>
      <w:pPr>
        <w:tabs>
          <w:tab w:val="num" w:pos="1601"/>
        </w:tabs>
        <w:ind w:left="1601" w:hanging="454"/>
      </w:pPr>
      <w:rPr>
        <w:rFonts w:ascii="Symbol" w:hAnsi="Symbol" w:hint="default"/>
      </w:rPr>
    </w:lvl>
    <w:lvl w:ilvl="2" w:tplc="C03A0192">
      <w:start w:val="1"/>
      <w:numFmt w:val="decimal"/>
      <w:lvlText w:val="%3."/>
      <w:lvlJc w:val="left"/>
      <w:pPr>
        <w:tabs>
          <w:tab w:val="num" w:pos="2160"/>
        </w:tabs>
        <w:ind w:left="2160" w:hanging="360"/>
      </w:pPr>
    </w:lvl>
    <w:lvl w:ilvl="3" w:tplc="78CEFAE2">
      <w:start w:val="1"/>
      <w:numFmt w:val="decimal"/>
      <w:lvlText w:val="%4."/>
      <w:lvlJc w:val="left"/>
      <w:pPr>
        <w:tabs>
          <w:tab w:val="num" w:pos="2880"/>
        </w:tabs>
        <w:ind w:left="2880" w:hanging="360"/>
      </w:pPr>
    </w:lvl>
    <w:lvl w:ilvl="4" w:tplc="37ECA6EC">
      <w:start w:val="1"/>
      <w:numFmt w:val="decimal"/>
      <w:lvlText w:val="%5."/>
      <w:lvlJc w:val="left"/>
      <w:pPr>
        <w:tabs>
          <w:tab w:val="num" w:pos="3600"/>
        </w:tabs>
        <w:ind w:left="3600" w:hanging="360"/>
      </w:pPr>
    </w:lvl>
    <w:lvl w:ilvl="5" w:tplc="4E06A6DE">
      <w:start w:val="1"/>
      <w:numFmt w:val="decimal"/>
      <w:lvlText w:val="%6."/>
      <w:lvlJc w:val="left"/>
      <w:pPr>
        <w:tabs>
          <w:tab w:val="num" w:pos="4320"/>
        </w:tabs>
        <w:ind w:left="4320" w:hanging="360"/>
      </w:pPr>
    </w:lvl>
    <w:lvl w:ilvl="6" w:tplc="267A65BC">
      <w:start w:val="1"/>
      <w:numFmt w:val="decimal"/>
      <w:lvlText w:val="%7."/>
      <w:lvlJc w:val="left"/>
      <w:pPr>
        <w:tabs>
          <w:tab w:val="num" w:pos="5040"/>
        </w:tabs>
        <w:ind w:left="5040" w:hanging="360"/>
      </w:pPr>
    </w:lvl>
    <w:lvl w:ilvl="7" w:tplc="3248729E">
      <w:start w:val="1"/>
      <w:numFmt w:val="decimal"/>
      <w:lvlText w:val="%8."/>
      <w:lvlJc w:val="left"/>
      <w:pPr>
        <w:tabs>
          <w:tab w:val="num" w:pos="5760"/>
        </w:tabs>
        <w:ind w:left="5760" w:hanging="360"/>
      </w:pPr>
    </w:lvl>
    <w:lvl w:ilvl="8" w:tplc="9A42431E">
      <w:start w:val="1"/>
      <w:numFmt w:val="decimal"/>
      <w:lvlText w:val="%9."/>
      <w:lvlJc w:val="left"/>
      <w:pPr>
        <w:tabs>
          <w:tab w:val="num" w:pos="6480"/>
        </w:tabs>
        <w:ind w:left="6480" w:hanging="360"/>
      </w:pPr>
    </w:lvl>
  </w:abstractNum>
  <w:abstractNum w:abstractNumId="16">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74F3960"/>
    <w:multiLevelType w:val="hybridMultilevel"/>
    <w:tmpl w:val="CEA8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28"/>
  </w:num>
  <w:num w:numId="2">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7"/>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26"/>
  </w:num>
  <w:num w:numId="14">
    <w:abstractNumId w:val="17"/>
  </w:num>
  <w:num w:numId="15">
    <w:abstractNumId w:val="25"/>
  </w:num>
  <w:num w:numId="16">
    <w:abstractNumId w:val="8"/>
  </w:num>
  <w:num w:numId="17">
    <w:abstractNumId w:val="3"/>
  </w:num>
  <w:num w:numId="18">
    <w:abstractNumId w:val="0"/>
  </w:num>
  <w:num w:numId="19">
    <w:abstractNumId w:val="19"/>
  </w:num>
  <w:num w:numId="20">
    <w:abstractNumId w:val="7"/>
  </w:num>
  <w:num w:numId="21">
    <w:abstractNumId w:val="29"/>
  </w:num>
  <w:num w:numId="22">
    <w:abstractNumId w:val="24"/>
  </w:num>
  <w:num w:numId="23">
    <w:abstractNumId w:val="9"/>
  </w:num>
  <w:num w:numId="24">
    <w:abstractNumId w:val="11"/>
  </w:num>
  <w:num w:numId="25">
    <w:abstractNumId w:val="22"/>
  </w:num>
  <w:num w:numId="26">
    <w:abstractNumId w:val="22"/>
  </w:num>
  <w:num w:numId="27">
    <w:abstractNumId w:val="16"/>
  </w:num>
  <w:num w:numId="28">
    <w:abstractNumId w:val="20"/>
  </w:num>
  <w:num w:numId="29">
    <w:abstractNumId w:val="21"/>
  </w:num>
  <w:num w:numId="30">
    <w:abstractNumId w:val="14"/>
  </w:num>
  <w:num w:numId="31">
    <w:abstractNumId w:val="12"/>
  </w:num>
  <w:num w:numId="32">
    <w:abstractNumId w:val="2"/>
  </w:num>
  <w:num w:numId="33">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4"/>
  </w:num>
  <w:num w:numId="40">
    <w:abstractNumId w:val="1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F7342"/>
    <w:rsid w:val="0000247B"/>
    <w:rsid w:val="0000469B"/>
    <w:rsid w:val="00064B2D"/>
    <w:rsid w:val="00065F1F"/>
    <w:rsid w:val="00077C30"/>
    <w:rsid w:val="000A3D8B"/>
    <w:rsid w:val="000A5E67"/>
    <w:rsid w:val="000D6FD4"/>
    <w:rsid w:val="000E0AE4"/>
    <w:rsid w:val="000E3DBC"/>
    <w:rsid w:val="000F1B56"/>
    <w:rsid w:val="000F6B38"/>
    <w:rsid w:val="000F782E"/>
    <w:rsid w:val="00102DFD"/>
    <w:rsid w:val="00120DC9"/>
    <w:rsid w:val="00155385"/>
    <w:rsid w:val="0017793D"/>
    <w:rsid w:val="00182C4C"/>
    <w:rsid w:val="00183217"/>
    <w:rsid w:val="001A1A75"/>
    <w:rsid w:val="001A7E9A"/>
    <w:rsid w:val="001B5F21"/>
    <w:rsid w:val="001C15E0"/>
    <w:rsid w:val="001C27A3"/>
    <w:rsid w:val="001C38D3"/>
    <w:rsid w:val="001E09FA"/>
    <w:rsid w:val="001E4F3B"/>
    <w:rsid w:val="00203776"/>
    <w:rsid w:val="00221D07"/>
    <w:rsid w:val="00227E4A"/>
    <w:rsid w:val="00232FE7"/>
    <w:rsid w:val="00245A9F"/>
    <w:rsid w:val="00246737"/>
    <w:rsid w:val="002A0194"/>
    <w:rsid w:val="002B1E4D"/>
    <w:rsid w:val="002C7D77"/>
    <w:rsid w:val="002F6488"/>
    <w:rsid w:val="00305EC3"/>
    <w:rsid w:val="003213F9"/>
    <w:rsid w:val="00322570"/>
    <w:rsid w:val="00323DBF"/>
    <w:rsid w:val="00332B12"/>
    <w:rsid w:val="00350F0D"/>
    <w:rsid w:val="00371B29"/>
    <w:rsid w:val="00391769"/>
    <w:rsid w:val="003953E1"/>
    <w:rsid w:val="003956B3"/>
    <w:rsid w:val="003A68BE"/>
    <w:rsid w:val="003C4969"/>
    <w:rsid w:val="003D04F2"/>
    <w:rsid w:val="003E41D5"/>
    <w:rsid w:val="003E46BA"/>
    <w:rsid w:val="00405B1A"/>
    <w:rsid w:val="00411907"/>
    <w:rsid w:val="00417EE3"/>
    <w:rsid w:val="004209F5"/>
    <w:rsid w:val="00430683"/>
    <w:rsid w:val="00451719"/>
    <w:rsid w:val="00455A87"/>
    <w:rsid w:val="00464643"/>
    <w:rsid w:val="00474950"/>
    <w:rsid w:val="0047533B"/>
    <w:rsid w:val="004810DF"/>
    <w:rsid w:val="00486793"/>
    <w:rsid w:val="004A4A8F"/>
    <w:rsid w:val="004B092B"/>
    <w:rsid w:val="004E5019"/>
    <w:rsid w:val="004F4F98"/>
    <w:rsid w:val="004F79AC"/>
    <w:rsid w:val="005022C6"/>
    <w:rsid w:val="00515B00"/>
    <w:rsid w:val="005207D8"/>
    <w:rsid w:val="0058194F"/>
    <w:rsid w:val="00586228"/>
    <w:rsid w:val="005A1BD5"/>
    <w:rsid w:val="005A7AAA"/>
    <w:rsid w:val="005B09AD"/>
    <w:rsid w:val="005B6AF4"/>
    <w:rsid w:val="005C04CB"/>
    <w:rsid w:val="005D72E1"/>
    <w:rsid w:val="005E1E1D"/>
    <w:rsid w:val="005F400E"/>
    <w:rsid w:val="005F7342"/>
    <w:rsid w:val="00610A3C"/>
    <w:rsid w:val="006242E5"/>
    <w:rsid w:val="00627F48"/>
    <w:rsid w:val="00663FCF"/>
    <w:rsid w:val="006652A2"/>
    <w:rsid w:val="00696C8D"/>
    <w:rsid w:val="006A0962"/>
    <w:rsid w:val="006A43FD"/>
    <w:rsid w:val="006A48A7"/>
    <w:rsid w:val="006A5D44"/>
    <w:rsid w:val="006F4A82"/>
    <w:rsid w:val="007055F5"/>
    <w:rsid w:val="00724024"/>
    <w:rsid w:val="00724FA4"/>
    <w:rsid w:val="00727A24"/>
    <w:rsid w:val="00730800"/>
    <w:rsid w:val="00753C49"/>
    <w:rsid w:val="007602AA"/>
    <w:rsid w:val="007652EF"/>
    <w:rsid w:val="00780792"/>
    <w:rsid w:val="00783B00"/>
    <w:rsid w:val="00786889"/>
    <w:rsid w:val="00795902"/>
    <w:rsid w:val="007A44B4"/>
    <w:rsid w:val="007A7D3D"/>
    <w:rsid w:val="007B225D"/>
    <w:rsid w:val="007C1C64"/>
    <w:rsid w:val="007E48BC"/>
    <w:rsid w:val="007E78D9"/>
    <w:rsid w:val="007E79F7"/>
    <w:rsid w:val="007F3630"/>
    <w:rsid w:val="00807559"/>
    <w:rsid w:val="00816B04"/>
    <w:rsid w:val="00826E64"/>
    <w:rsid w:val="00827C30"/>
    <w:rsid w:val="008450BC"/>
    <w:rsid w:val="00851677"/>
    <w:rsid w:val="008572F5"/>
    <w:rsid w:val="00870214"/>
    <w:rsid w:val="00876A8A"/>
    <w:rsid w:val="00881472"/>
    <w:rsid w:val="00896B85"/>
    <w:rsid w:val="008A3788"/>
    <w:rsid w:val="008D06C6"/>
    <w:rsid w:val="008D13EC"/>
    <w:rsid w:val="008E6250"/>
    <w:rsid w:val="0091604D"/>
    <w:rsid w:val="00920249"/>
    <w:rsid w:val="00972D06"/>
    <w:rsid w:val="0097343D"/>
    <w:rsid w:val="00974427"/>
    <w:rsid w:val="009A0469"/>
    <w:rsid w:val="009A1985"/>
    <w:rsid w:val="009A391C"/>
    <w:rsid w:val="009C6CE1"/>
    <w:rsid w:val="009E0A61"/>
    <w:rsid w:val="009E3010"/>
    <w:rsid w:val="009F7065"/>
    <w:rsid w:val="00A07715"/>
    <w:rsid w:val="00A26090"/>
    <w:rsid w:val="00A50942"/>
    <w:rsid w:val="00A56DC7"/>
    <w:rsid w:val="00A74FD1"/>
    <w:rsid w:val="00A84A58"/>
    <w:rsid w:val="00A9420E"/>
    <w:rsid w:val="00A95776"/>
    <w:rsid w:val="00AB4ED5"/>
    <w:rsid w:val="00AD14ED"/>
    <w:rsid w:val="00B00938"/>
    <w:rsid w:val="00B00E7F"/>
    <w:rsid w:val="00B21DCC"/>
    <w:rsid w:val="00B52CCF"/>
    <w:rsid w:val="00B55A47"/>
    <w:rsid w:val="00B63520"/>
    <w:rsid w:val="00B731D3"/>
    <w:rsid w:val="00B839A3"/>
    <w:rsid w:val="00B86B6F"/>
    <w:rsid w:val="00B902BD"/>
    <w:rsid w:val="00BB7B40"/>
    <w:rsid w:val="00BD03B8"/>
    <w:rsid w:val="00BD2A39"/>
    <w:rsid w:val="00BD2E80"/>
    <w:rsid w:val="00BF7FF0"/>
    <w:rsid w:val="00C12502"/>
    <w:rsid w:val="00C21688"/>
    <w:rsid w:val="00C476D0"/>
    <w:rsid w:val="00C56410"/>
    <w:rsid w:val="00C836E3"/>
    <w:rsid w:val="00C86577"/>
    <w:rsid w:val="00C92E07"/>
    <w:rsid w:val="00C96868"/>
    <w:rsid w:val="00CA0416"/>
    <w:rsid w:val="00CA5C9D"/>
    <w:rsid w:val="00CA62F9"/>
    <w:rsid w:val="00CC75E2"/>
    <w:rsid w:val="00CD46EB"/>
    <w:rsid w:val="00CD4847"/>
    <w:rsid w:val="00CD7EBF"/>
    <w:rsid w:val="00CE43FD"/>
    <w:rsid w:val="00D056F1"/>
    <w:rsid w:val="00D23DB6"/>
    <w:rsid w:val="00D44249"/>
    <w:rsid w:val="00D51A95"/>
    <w:rsid w:val="00D60568"/>
    <w:rsid w:val="00D70C7A"/>
    <w:rsid w:val="00D81DAA"/>
    <w:rsid w:val="00DA10A8"/>
    <w:rsid w:val="00DB1E08"/>
    <w:rsid w:val="00DB2973"/>
    <w:rsid w:val="00DB2E19"/>
    <w:rsid w:val="00DC2129"/>
    <w:rsid w:val="00DC2272"/>
    <w:rsid w:val="00DC5DC0"/>
    <w:rsid w:val="00DC6570"/>
    <w:rsid w:val="00DF25C3"/>
    <w:rsid w:val="00E04062"/>
    <w:rsid w:val="00E2003B"/>
    <w:rsid w:val="00E31102"/>
    <w:rsid w:val="00E319B1"/>
    <w:rsid w:val="00E41395"/>
    <w:rsid w:val="00E458D1"/>
    <w:rsid w:val="00E567B2"/>
    <w:rsid w:val="00E777EC"/>
    <w:rsid w:val="00E907E7"/>
    <w:rsid w:val="00EA7F2F"/>
    <w:rsid w:val="00EC00DE"/>
    <w:rsid w:val="00EC30E1"/>
    <w:rsid w:val="00ED172A"/>
    <w:rsid w:val="00ED2C42"/>
    <w:rsid w:val="00EE1B4A"/>
    <w:rsid w:val="00F14BEC"/>
    <w:rsid w:val="00F225C5"/>
    <w:rsid w:val="00F3715D"/>
    <w:rsid w:val="00F420C8"/>
    <w:rsid w:val="00F42A4C"/>
    <w:rsid w:val="00FB7512"/>
    <w:rsid w:val="00FD3C92"/>
    <w:rsid w:val="00FD7547"/>
    <w:rsid w:val="00FF409C"/>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lsdException w:name="footer" w:uiPriority="99"/>
    <w:lsdException w:name="caption" w:semiHidden="1" w:unhideWhenUsed="1"/>
    <w:lsdException w:name="footnote reference" w:uiPriority="99"/>
    <w:lsdException w:name="Title" w:uiPriority="10"/>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602AA"/>
    <w:pPr>
      <w:widowControl w:val="0"/>
    </w:pPr>
    <w:rPr>
      <w:rFonts w:ascii="Arial" w:hAnsi="Arial"/>
      <w:sz w:val="22"/>
      <w:szCs w:val="24"/>
      <w:lang w:eastAsia="en-US" w:bidi="en-US"/>
    </w:rPr>
  </w:style>
  <w:style w:type="paragraph" w:styleId="Heading1">
    <w:name w:val="heading 1"/>
    <w:aliases w:val="FS Heading 1"/>
    <w:basedOn w:val="Normal"/>
    <w:next w:val="Normal"/>
    <w:link w:val="Heading1Char"/>
    <w:uiPriority w:val="9"/>
    <w:qFormat/>
    <w:rsid w:val="003E46BA"/>
    <w:pPr>
      <w:keepNext/>
      <w:ind w:left="851" w:hanging="851"/>
      <w:outlineLvl w:val="0"/>
    </w:pPr>
    <w:rPr>
      <w:rFonts w:ascii="Tahoma" w:hAnsi="Tahoma" w:cs="Tahoma"/>
      <w:b/>
      <w:bCs/>
      <w:kern w:val="32"/>
      <w:sz w:val="28"/>
      <w:szCs w:val="32"/>
      <w:u w:val="single"/>
    </w:rPr>
  </w:style>
  <w:style w:type="paragraph" w:styleId="Heading2">
    <w:name w:val="heading 2"/>
    <w:aliases w:val="FS Heading 2"/>
    <w:basedOn w:val="Normal"/>
    <w:next w:val="Normal"/>
    <w:link w:val="Heading2Char"/>
    <w:uiPriority w:val="9"/>
    <w:unhideWhenUsed/>
    <w:qFormat/>
    <w:rsid w:val="003E46BA"/>
    <w:pPr>
      <w:keepNext/>
      <w:ind w:left="851" w:hanging="851"/>
      <w:outlineLvl w:val="1"/>
    </w:pPr>
    <w:rPr>
      <w:rFonts w:ascii="Arial Bold" w:hAnsi="Arial Bold" w:cs="Arial Unicode MS"/>
      <w:b/>
      <w:bCs/>
      <w:iCs/>
      <w:sz w:val="28"/>
      <w:szCs w:val="28"/>
    </w:rPr>
  </w:style>
  <w:style w:type="paragraph" w:styleId="Heading3">
    <w:name w:val="heading 3"/>
    <w:aliases w:val="FS Heading 3"/>
    <w:basedOn w:val="Normal"/>
    <w:next w:val="Normal"/>
    <w:link w:val="Heading3Char"/>
    <w:uiPriority w:val="9"/>
    <w:unhideWhenUsed/>
    <w:qFormat/>
    <w:rsid w:val="00227E4A"/>
    <w:pPr>
      <w:keepNext/>
      <w:ind w:left="851" w:hanging="851"/>
      <w:outlineLvl w:val="2"/>
    </w:pPr>
    <w:rPr>
      <w:rFonts w:ascii="Arial Bold" w:hAnsi="Arial Bold" w:cs="Arial Unicode MS"/>
      <w:b/>
      <w:bCs/>
      <w:szCs w:val="26"/>
    </w:rPr>
  </w:style>
  <w:style w:type="paragraph" w:styleId="Heading4">
    <w:name w:val="heading 4"/>
    <w:aliases w:val="FS Heading 4"/>
    <w:basedOn w:val="Normal"/>
    <w:next w:val="Normal"/>
    <w:link w:val="Heading4Char"/>
    <w:uiPriority w:val="9"/>
    <w:unhideWhenUsed/>
    <w:qFormat/>
    <w:rsid w:val="00227E4A"/>
    <w:pPr>
      <w:keepNext/>
      <w:ind w:left="851" w:hanging="851"/>
      <w:outlineLvl w:val="3"/>
    </w:pPr>
    <w:rPr>
      <w:bCs/>
      <w:i/>
      <w:szCs w:val="28"/>
    </w:rPr>
  </w:style>
  <w:style w:type="paragraph" w:styleId="Heading5">
    <w:name w:val="heading 5"/>
    <w:aliases w:val="FS Heading 5"/>
    <w:basedOn w:val="Normal"/>
    <w:next w:val="Normal"/>
    <w:link w:val="Heading5Char"/>
    <w:uiPriority w:val="9"/>
    <w:unhideWhenUsed/>
    <w:qFormat/>
    <w:rsid w:val="00227E4A"/>
    <w:pPr>
      <w:ind w:left="851" w:hanging="851"/>
      <w:outlineLvl w:val="4"/>
    </w:pPr>
    <w:rPr>
      <w:bCs/>
      <w:iCs/>
      <w:szCs w:val="26"/>
      <w:u w:val="single"/>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
    <w:basedOn w:val="DefaultParagraphFont"/>
    <w:link w:val="Heading1"/>
    <w:uiPriority w:val="9"/>
    <w:rsid w:val="003E46BA"/>
    <w:rPr>
      <w:rFonts w:ascii="Tahoma" w:hAnsi="Tahoma" w:cs="Tahoma"/>
      <w:b/>
      <w:bCs/>
      <w:kern w:val="32"/>
      <w:sz w:val="28"/>
      <w:szCs w:val="32"/>
      <w:u w:val="single"/>
      <w:lang w:val="en-US" w:eastAsia="en-US" w:bidi="en-US"/>
    </w:rPr>
  </w:style>
  <w:style w:type="character" w:customStyle="1" w:styleId="Heading2Char">
    <w:name w:val="Heading 2 Char"/>
    <w:aliases w:val="FS Heading 2 Char"/>
    <w:basedOn w:val="DefaultParagraphFont"/>
    <w:link w:val="Heading2"/>
    <w:uiPriority w:val="9"/>
    <w:rsid w:val="003E46BA"/>
    <w:rPr>
      <w:rFonts w:ascii="Arial Bold" w:hAnsi="Arial Bold" w:cs="Arial Unicode MS"/>
      <w:b/>
      <w:bCs/>
      <w:iCs/>
      <w:sz w:val="28"/>
      <w:szCs w:val="28"/>
      <w:lang w:val="en-US" w:eastAsia="en-US" w:bidi="en-US"/>
    </w:rPr>
  </w:style>
  <w:style w:type="character" w:customStyle="1" w:styleId="Heading3Char">
    <w:name w:val="Heading 3 Char"/>
    <w:aliases w:val="FS Heading 3 Char"/>
    <w:basedOn w:val="DefaultParagraphFont"/>
    <w:link w:val="Heading3"/>
    <w:uiPriority w:val="9"/>
    <w:rsid w:val="00227E4A"/>
    <w:rPr>
      <w:rFonts w:ascii="Arial Bold" w:hAnsi="Arial Bold" w:cs="Arial Unicode MS"/>
      <w:b/>
      <w:bCs/>
      <w:sz w:val="22"/>
      <w:szCs w:val="26"/>
      <w:lang w:val="en-US" w:eastAsia="en-US" w:bidi="en-US"/>
    </w:rPr>
  </w:style>
  <w:style w:type="character" w:customStyle="1" w:styleId="Heading4Char">
    <w:name w:val="Heading 4 Char"/>
    <w:aliases w:val="FS Heading 4 Char"/>
    <w:basedOn w:val="DefaultParagraphFont"/>
    <w:link w:val="Heading4"/>
    <w:uiPriority w:val="9"/>
    <w:rsid w:val="00227E4A"/>
    <w:rPr>
      <w:rFonts w:ascii="Arial" w:hAnsi="Arial"/>
      <w:bCs/>
      <w:i/>
      <w:sz w:val="22"/>
      <w:szCs w:val="28"/>
      <w:lang w:val="en-US" w:eastAsia="en-US" w:bidi="en-US"/>
    </w:rPr>
  </w:style>
  <w:style w:type="character" w:customStyle="1" w:styleId="Heading5Char">
    <w:name w:val="Heading 5 Char"/>
    <w:aliases w:val="FS Heading 5 Char"/>
    <w:basedOn w:val="DefaultParagraphFont"/>
    <w:link w:val="Heading5"/>
    <w:uiPriority w:val="9"/>
    <w:rsid w:val="00227E4A"/>
    <w:rPr>
      <w:rFonts w:ascii="Arial" w:hAnsi="Arial"/>
      <w:bCs/>
      <w:iCs/>
      <w:sz w:val="22"/>
      <w:szCs w:val="26"/>
      <w:u w:val="single"/>
      <w:lang w:val="en-US" w:eastAsia="en-US" w:bidi="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5A1BD5"/>
    <w:rPr>
      <w:color w:val="auto"/>
      <w:u w:val="single"/>
    </w:rPr>
  </w:style>
  <w:style w:type="paragraph" w:styleId="Header">
    <w:name w:val="header"/>
    <w:basedOn w:val="Normal"/>
    <w:link w:val="HeaderChar"/>
    <w:rsid w:val="00E777EC"/>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qFormat/>
    <w:rsid w:val="007602AA"/>
    <w:pPr>
      <w:numPr>
        <w:numId w:val="31"/>
      </w:numPr>
      <w:ind w:left="1134" w:hanging="567"/>
    </w:pPr>
  </w:style>
  <w:style w:type="paragraph" w:styleId="TOC1">
    <w:name w:val="toc 1"/>
    <w:basedOn w:val="Normal"/>
    <w:next w:val="Normal"/>
    <w:autoRedefine/>
    <w:uiPriority w:val="39"/>
    <w:rsid w:val="00F42A4C"/>
    <w:rPr>
      <w:b/>
      <w:bCs/>
      <w:caps/>
    </w:rPr>
  </w:style>
  <w:style w:type="paragraph" w:styleId="TOC2">
    <w:name w:val="toc 2"/>
    <w:basedOn w:val="Normal"/>
    <w:next w:val="Normal"/>
    <w:autoRedefine/>
    <w:uiPriority w:val="39"/>
    <w:rsid w:val="005A1BD5"/>
    <w:pPr>
      <w:ind w:left="240"/>
    </w:pPr>
    <w:rPr>
      <w:smallCaps/>
    </w:rPr>
  </w:style>
  <w:style w:type="paragraph" w:styleId="Footer">
    <w:name w:val="footer"/>
    <w:basedOn w:val="Normal"/>
    <w:link w:val="FooterChar"/>
    <w:uiPriority w:val="99"/>
    <w:rsid w:val="005A1BD5"/>
    <w:pPr>
      <w:tabs>
        <w:tab w:val="center" w:pos="4153"/>
        <w:tab w:val="right" w:pos="8306"/>
      </w:tabs>
    </w:p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5A1BD5"/>
    <w:pPr>
      <w:ind w:left="480"/>
    </w:pPr>
    <w:rPr>
      <w:i/>
      <w:iCs/>
    </w:rPr>
  </w:style>
  <w:style w:type="paragraph" w:styleId="TOC4">
    <w:name w:val="toc 4"/>
    <w:basedOn w:val="Normal"/>
    <w:next w:val="Normal"/>
    <w:autoRedefine/>
    <w:semiHidden/>
    <w:rsid w:val="005A1BD5"/>
    <w:pPr>
      <w:ind w:left="720"/>
    </w:pPr>
    <w:rPr>
      <w:szCs w:val="21"/>
    </w:rPr>
  </w:style>
  <w:style w:type="paragraph" w:styleId="TOC5">
    <w:name w:val="toc 5"/>
    <w:basedOn w:val="Normal"/>
    <w:next w:val="Normal"/>
    <w:autoRedefine/>
    <w:semiHidden/>
    <w:rsid w:val="005A1BD5"/>
    <w:pPr>
      <w:ind w:left="960"/>
    </w:pPr>
    <w:rPr>
      <w:szCs w:val="21"/>
    </w:rPr>
  </w:style>
  <w:style w:type="character" w:styleId="FollowedHyperlink">
    <w:name w:val="FollowedHyperlink"/>
    <w:basedOn w:val="DefaultParagraphFont"/>
    <w:rsid w:val="005A1BD5"/>
    <w:rPr>
      <w:color w:val="800080"/>
      <w:u w:val="single"/>
    </w:rPr>
  </w:style>
  <w:style w:type="paragraph" w:styleId="TOC6">
    <w:name w:val="toc 6"/>
    <w:basedOn w:val="Normal"/>
    <w:next w:val="Normal"/>
    <w:autoRedefine/>
    <w:semiHidden/>
    <w:rsid w:val="005A1BD5"/>
    <w:pPr>
      <w:ind w:left="1200"/>
    </w:pPr>
    <w:rPr>
      <w:szCs w:val="21"/>
    </w:rPr>
  </w:style>
  <w:style w:type="paragraph" w:customStyle="1" w:styleId="142Tableheading2">
    <w:name w:val="1.4.2 Table heading2"/>
    <w:basedOn w:val="Normal"/>
    <w:rsid w:val="005A1BD5"/>
    <w:pPr>
      <w:keepNext/>
      <w:jc w:val="center"/>
    </w:pPr>
    <w:rPr>
      <w:iCs/>
      <w:smallCaps/>
      <w:sz w:val="20"/>
      <w:szCs w:val="20"/>
    </w:rPr>
  </w:style>
  <w:style w:type="paragraph" w:customStyle="1" w:styleId="Box1">
    <w:name w:val="Box 1"/>
    <w:basedOn w:val="Normal"/>
    <w:rsid w:val="005A1BD5"/>
    <w:pPr>
      <w:numPr>
        <w:numId w:val="16"/>
      </w:numPr>
      <w:tabs>
        <w:tab w:val="clear" w:pos="360"/>
        <w:tab w:val="num" w:pos="120"/>
      </w:tabs>
    </w:pPr>
    <w:rPr>
      <w:sz w:val="16"/>
    </w:rPr>
  </w:style>
  <w:style w:type="paragraph" w:customStyle="1" w:styleId="Box2">
    <w:name w:val="Box 2"/>
    <w:basedOn w:val="Normal"/>
    <w:rsid w:val="005A1BD5"/>
    <w:pPr>
      <w:tabs>
        <w:tab w:val="left" w:pos="4608"/>
        <w:tab w:val="left" w:pos="9180"/>
        <w:tab w:val="left" w:pos="9216"/>
      </w:tabs>
      <w:jc w:val="center"/>
    </w:pPr>
    <w:rPr>
      <w:b/>
      <w:bCs/>
      <w:i/>
      <w:iCs/>
      <w:color w:val="000000"/>
      <w:sz w:val="16"/>
    </w:rPr>
  </w:style>
  <w:style w:type="paragraph" w:customStyle="1" w:styleId="Box3">
    <w:name w:val="Box 3"/>
    <w:basedOn w:val="Normal"/>
    <w:rsid w:val="005A1BD5"/>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5A1BD5"/>
    <w:rPr>
      <w:b/>
      <w:bCs/>
      <w:iCs w:val="0"/>
    </w:rPr>
  </w:style>
  <w:style w:type="paragraph" w:customStyle="1" w:styleId="142tabletext1">
    <w:name w:val="1.4.2 table text1"/>
    <w:basedOn w:val="Normal"/>
    <w:rsid w:val="005A1BD5"/>
    <w:pPr>
      <w:ind w:left="142" w:hanging="142"/>
    </w:pPr>
    <w:rPr>
      <w:smallCaps/>
      <w:sz w:val="20"/>
      <w:szCs w:val="20"/>
    </w:rPr>
  </w:style>
  <w:style w:type="paragraph" w:customStyle="1" w:styleId="142tabletext2">
    <w:name w:val="1.4.2 table text2"/>
    <w:basedOn w:val="142tabletext1"/>
    <w:rsid w:val="005A1BD5"/>
    <w:pPr>
      <w:jc w:val="right"/>
    </w:pPr>
  </w:style>
  <w:style w:type="paragraph" w:customStyle="1" w:styleId="Clause">
    <w:name w:val="Clause"/>
    <w:basedOn w:val="Normal"/>
    <w:next w:val="Normal"/>
    <w:link w:val="ClauseChar"/>
    <w:rsid w:val="00AD14ED"/>
    <w:pPr>
      <w:tabs>
        <w:tab w:val="left" w:pos="851"/>
      </w:tabs>
    </w:pPr>
    <w:rPr>
      <w:sz w:val="20"/>
      <w:szCs w:val="20"/>
    </w:rPr>
  </w:style>
  <w:style w:type="paragraph" w:customStyle="1" w:styleId="Clauseheading">
    <w:name w:val="Clause heading"/>
    <w:basedOn w:val="Normal"/>
    <w:next w:val="Normal"/>
    <w:rsid w:val="005A1BD5"/>
    <w:pPr>
      <w:tabs>
        <w:tab w:val="left" w:pos="851"/>
      </w:tabs>
    </w:pPr>
    <w:rPr>
      <w:b/>
      <w:szCs w:val="20"/>
    </w:rPr>
  </w:style>
  <w:style w:type="paragraph" w:customStyle="1" w:styleId="ClauseList">
    <w:name w:val="Clause List"/>
    <w:basedOn w:val="Clause"/>
    <w:next w:val="Normal"/>
    <w:rsid w:val="005A1BD5"/>
  </w:style>
  <w:style w:type="paragraph" w:customStyle="1" w:styleId="Definition">
    <w:name w:val="Definition"/>
    <w:basedOn w:val="Normal"/>
    <w:next w:val="Normal"/>
    <w:rsid w:val="005A1BD5"/>
    <w:pPr>
      <w:ind w:left="1701" w:hanging="851"/>
    </w:pPr>
    <w:rPr>
      <w:szCs w:val="20"/>
    </w:rPr>
  </w:style>
  <w:style w:type="paragraph" w:customStyle="1" w:styleId="DivisionHeading">
    <w:name w:val="Division Heading"/>
    <w:basedOn w:val="Normal"/>
    <w:next w:val="Normal"/>
    <w:rsid w:val="005A1BD5"/>
    <w:pPr>
      <w:tabs>
        <w:tab w:val="left" w:pos="851"/>
      </w:tabs>
      <w:jc w:val="center"/>
    </w:pPr>
    <w:rPr>
      <w:b/>
      <w:sz w:val="28"/>
      <w:szCs w:val="20"/>
    </w:rPr>
  </w:style>
  <w:style w:type="paragraph" w:customStyle="1" w:styleId="EditorialNoteLine1">
    <w:name w:val="Editorial Note Line 1"/>
    <w:basedOn w:val="Normal"/>
    <w:next w:val="Normal"/>
    <w:rsid w:val="005A1BD5"/>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5A1BD5"/>
    <w:rPr>
      <w:b w:val="0"/>
    </w:rPr>
  </w:style>
  <w:style w:type="paragraph" w:customStyle="1" w:styleId="Footnote">
    <w:name w:val="Footnote"/>
    <w:basedOn w:val="Normal"/>
    <w:rsid w:val="005A1BD5"/>
    <w:pPr>
      <w:tabs>
        <w:tab w:val="left" w:pos="851"/>
      </w:tabs>
    </w:pPr>
    <w:rPr>
      <w:sz w:val="20"/>
      <w:szCs w:val="20"/>
    </w:rPr>
  </w:style>
  <w:style w:type="paragraph" w:customStyle="1" w:styleId="MiscellaneousHeading">
    <w:name w:val="Miscellaneous Heading"/>
    <w:basedOn w:val="Normal"/>
    <w:next w:val="Normal"/>
    <w:rsid w:val="005A1BD5"/>
    <w:rPr>
      <w:b/>
      <w:szCs w:val="20"/>
    </w:rPr>
  </w:style>
  <w:style w:type="paragraph" w:customStyle="1" w:styleId="Paragraph">
    <w:name w:val="Paragraph"/>
    <w:basedOn w:val="Clause"/>
    <w:next w:val="Normal"/>
    <w:rsid w:val="005A1BD5"/>
    <w:pPr>
      <w:tabs>
        <w:tab w:val="clear" w:pos="851"/>
      </w:tabs>
      <w:ind w:left="1702" w:hanging="851"/>
    </w:pPr>
  </w:style>
  <w:style w:type="paragraph" w:customStyle="1" w:styleId="ScheduleHeading">
    <w:name w:val="Schedule Heading"/>
    <w:basedOn w:val="Normal"/>
    <w:next w:val="Normal"/>
    <w:rsid w:val="005A1BD5"/>
    <w:pPr>
      <w:tabs>
        <w:tab w:val="left" w:pos="851"/>
      </w:tabs>
      <w:jc w:val="center"/>
    </w:pPr>
    <w:rPr>
      <w:b/>
      <w:caps/>
      <w:szCs w:val="20"/>
    </w:rPr>
  </w:style>
  <w:style w:type="paragraph" w:customStyle="1" w:styleId="Standardtitle">
    <w:name w:val="Standard title"/>
    <w:basedOn w:val="Normal"/>
    <w:rsid w:val="005A1BD5"/>
    <w:pPr>
      <w:tabs>
        <w:tab w:val="left" w:pos="851"/>
      </w:tabs>
      <w:jc w:val="center"/>
    </w:pPr>
    <w:rPr>
      <w:b/>
      <w:i/>
      <w:iCs/>
      <w:caps/>
      <w:sz w:val="28"/>
      <w:szCs w:val="20"/>
    </w:rPr>
  </w:style>
  <w:style w:type="paragraph" w:customStyle="1" w:styleId="Subclause">
    <w:name w:val="Subclause"/>
    <w:basedOn w:val="Clause"/>
    <w:rsid w:val="005A1BD5"/>
    <w:pPr>
      <w:ind w:hanging="11"/>
    </w:pPr>
  </w:style>
  <w:style w:type="paragraph" w:customStyle="1" w:styleId="Subparagraph">
    <w:name w:val="Subparagraph"/>
    <w:basedOn w:val="Paragraph"/>
    <w:next w:val="Normal"/>
    <w:rsid w:val="005A1BD5"/>
    <w:pPr>
      <w:ind w:left="2553"/>
    </w:pPr>
  </w:style>
  <w:style w:type="paragraph" w:customStyle="1" w:styleId="Table1">
    <w:name w:val="Table 1"/>
    <w:basedOn w:val="Normal"/>
    <w:rsid w:val="00AD14ED"/>
    <w:pPr>
      <w:spacing w:after="120"/>
      <w:jc w:val="center"/>
    </w:pPr>
    <w:rPr>
      <w:b/>
      <w:bCs/>
      <w:sz w:val="18"/>
      <w:szCs w:val="20"/>
    </w:rPr>
  </w:style>
  <w:style w:type="paragraph" w:customStyle="1" w:styleId="Table2">
    <w:name w:val="Table 2"/>
    <w:basedOn w:val="Normal"/>
    <w:rsid w:val="00AD14ED"/>
    <w:pPr>
      <w:ind w:left="142" w:hanging="142"/>
    </w:pPr>
    <w:rPr>
      <w:bCs/>
      <w:sz w:val="18"/>
      <w:szCs w:val="20"/>
    </w:rPr>
  </w:style>
  <w:style w:type="paragraph" w:customStyle="1" w:styleId="TableHeading">
    <w:name w:val="Table Heading"/>
    <w:basedOn w:val="Normal"/>
    <w:next w:val="Normal"/>
    <w:rsid w:val="005A1BD5"/>
    <w:pPr>
      <w:tabs>
        <w:tab w:val="left" w:pos="851"/>
      </w:tabs>
      <w:jc w:val="center"/>
    </w:pPr>
    <w:rPr>
      <w:b/>
      <w:szCs w:val="20"/>
    </w:rPr>
  </w:style>
  <w:style w:type="paragraph" w:customStyle="1" w:styleId="TitleBorder">
    <w:name w:val="TitleBorder"/>
    <w:basedOn w:val="Normal"/>
    <w:rsid w:val="005A1BD5"/>
    <w:pPr>
      <w:pBdr>
        <w:bottom w:val="double" w:sz="6" w:space="0" w:color="auto"/>
      </w:pBdr>
      <w:tabs>
        <w:tab w:val="left" w:pos="851"/>
      </w:tabs>
    </w:pPr>
    <w:rPr>
      <w:b/>
      <w:szCs w:val="20"/>
    </w:rPr>
  </w:style>
  <w:style w:type="paragraph" w:styleId="TOC7">
    <w:name w:val="toc 7"/>
    <w:basedOn w:val="Normal"/>
    <w:next w:val="Normal"/>
    <w:autoRedefine/>
    <w:semiHidden/>
    <w:rsid w:val="005A1BD5"/>
    <w:pPr>
      <w:ind w:left="1440"/>
    </w:pPr>
    <w:rPr>
      <w:szCs w:val="21"/>
    </w:rPr>
  </w:style>
  <w:style w:type="paragraph" w:styleId="TOC8">
    <w:name w:val="toc 8"/>
    <w:basedOn w:val="Normal"/>
    <w:next w:val="Normal"/>
    <w:autoRedefine/>
    <w:semiHidden/>
    <w:rsid w:val="005A1BD5"/>
    <w:pPr>
      <w:ind w:left="1680"/>
    </w:pPr>
    <w:rPr>
      <w:szCs w:val="21"/>
    </w:rPr>
  </w:style>
  <w:style w:type="paragraph" w:styleId="TOC9">
    <w:name w:val="toc 9"/>
    <w:basedOn w:val="Normal"/>
    <w:next w:val="Normal"/>
    <w:autoRedefine/>
    <w:semiHidden/>
    <w:rsid w:val="005A1BD5"/>
    <w:pPr>
      <w:ind w:left="1920"/>
    </w:pPr>
    <w:rPr>
      <w:szCs w:val="21"/>
    </w:rPr>
  </w:style>
  <w:style w:type="paragraph" w:styleId="FootnoteText">
    <w:name w:val="footnote text"/>
    <w:basedOn w:val="Normal"/>
    <w:link w:val="FootnoteTextChar"/>
    <w:uiPriority w:val="99"/>
    <w:semiHidden/>
    <w:rsid w:val="005A1BD5"/>
    <w:rPr>
      <w:sz w:val="20"/>
      <w:szCs w:val="20"/>
    </w:rPr>
  </w:style>
  <w:style w:type="character" w:styleId="FootnoteReference">
    <w:name w:val="footnote reference"/>
    <w:basedOn w:val="DefaultParagraphFont"/>
    <w:uiPriority w:val="99"/>
    <w:semiHidden/>
    <w:rsid w:val="005A1BD5"/>
    <w:rPr>
      <w:vertAlign w:val="superscript"/>
    </w:rPr>
  </w:style>
  <w:style w:type="paragraph" w:customStyle="1" w:styleId="heading">
    <w:name w:val="heading"/>
    <w:basedOn w:val="Normal"/>
    <w:rsid w:val="005A1BD5"/>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7602AA"/>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next w:val="Normal"/>
    <w:link w:val="FSBulletChar"/>
    <w:uiPriority w:val="99"/>
    <w:qFormat/>
    <w:rsid w:val="00E2003B"/>
    <w:pPr>
      <w:numPr>
        <w:numId w:val="32"/>
      </w:numPr>
      <w:ind w:left="567" w:hanging="567"/>
    </w:pPr>
    <w:rPr>
      <w:rFonts w:cs="Arial"/>
    </w:rPr>
  </w:style>
  <w:style w:type="character" w:customStyle="1" w:styleId="FSBulletChar">
    <w:name w:val="FS Bullet Char"/>
    <w:basedOn w:val="DefaultParagraphFont"/>
    <w:link w:val="FSBullet"/>
    <w:uiPriority w:val="99"/>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uiPriority w:val="99"/>
    <w:qFormat/>
    <w:rsid w:val="005B6AF4"/>
    <w:rPr>
      <w:rFonts w:cs="Arial"/>
      <w:b/>
    </w:rPr>
  </w:style>
  <w:style w:type="paragraph" w:customStyle="1" w:styleId="FSTableHeading">
    <w:name w:val="FS Table Heading"/>
    <w:basedOn w:val="Normal"/>
    <w:uiPriority w:val="99"/>
    <w:qFormat/>
    <w:rsid w:val="005B6AF4"/>
    <w:pPr>
      <w:jc w:val="center"/>
    </w:pPr>
    <w:rPr>
      <w:rFonts w:ascii="Arial Bold" w:hAnsi="Arial Bold" w:cs="Arial"/>
      <w:b/>
      <w:sz w:val="20"/>
      <w:szCs w:val="20"/>
    </w:rPr>
  </w:style>
  <w:style w:type="paragraph" w:customStyle="1" w:styleId="FSTableText">
    <w:name w:val="FS Table Text"/>
    <w:basedOn w:val="Normal"/>
    <w:uiPriority w:val="99"/>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ListParagraph">
    <w:name w:val="List Paragraph"/>
    <w:basedOn w:val="Normal"/>
    <w:uiPriority w:val="34"/>
    <w:qFormat/>
    <w:rsid w:val="00E907E7"/>
    <w:pPr>
      <w:ind w:left="720"/>
    </w:pPr>
  </w:style>
  <w:style w:type="character" w:customStyle="1" w:styleId="HeaderChar">
    <w:name w:val="Header Char"/>
    <w:basedOn w:val="DefaultParagraphFont"/>
    <w:link w:val="Header"/>
    <w:rsid w:val="00E907E7"/>
    <w:rPr>
      <w:rFonts w:ascii="Arial" w:hAnsi="Arial"/>
      <w:sz w:val="22"/>
      <w:szCs w:val="24"/>
      <w:lang w:eastAsia="en-US" w:bidi="en-US"/>
    </w:rPr>
  </w:style>
  <w:style w:type="paragraph" w:customStyle="1" w:styleId="Bullet">
    <w:name w:val="Bullet"/>
    <w:basedOn w:val="Normal"/>
    <w:next w:val="Normal"/>
    <w:uiPriority w:val="99"/>
    <w:rsid w:val="00E907E7"/>
    <w:pPr>
      <w:numPr>
        <w:numId w:val="38"/>
      </w:numPr>
    </w:pPr>
    <w:rPr>
      <w:sz w:val="24"/>
      <w:lang w:bidi="ar-SA"/>
    </w:rPr>
  </w:style>
  <w:style w:type="character" w:styleId="CommentReference">
    <w:name w:val="annotation reference"/>
    <w:basedOn w:val="DefaultParagraphFont"/>
    <w:rsid w:val="00E907E7"/>
    <w:rPr>
      <w:sz w:val="16"/>
      <w:szCs w:val="16"/>
    </w:rPr>
  </w:style>
  <w:style w:type="paragraph" w:styleId="CommentText">
    <w:name w:val="annotation text"/>
    <w:basedOn w:val="Normal"/>
    <w:link w:val="CommentTextChar"/>
    <w:rsid w:val="00E907E7"/>
    <w:rPr>
      <w:sz w:val="20"/>
      <w:szCs w:val="20"/>
    </w:rPr>
  </w:style>
  <w:style w:type="character" w:customStyle="1" w:styleId="CommentTextChar">
    <w:name w:val="Comment Text Char"/>
    <w:basedOn w:val="DefaultParagraphFont"/>
    <w:link w:val="CommentText"/>
    <w:rsid w:val="00E907E7"/>
    <w:rPr>
      <w:rFonts w:ascii="Arial" w:hAnsi="Arial"/>
      <w:lang w:eastAsia="en-US" w:bidi="en-US"/>
    </w:rPr>
  </w:style>
  <w:style w:type="paragraph" w:styleId="CommentSubject">
    <w:name w:val="annotation subject"/>
    <w:basedOn w:val="CommentText"/>
    <w:next w:val="CommentText"/>
    <w:link w:val="CommentSubjectChar"/>
    <w:rsid w:val="00E907E7"/>
    <w:rPr>
      <w:b/>
      <w:bCs/>
    </w:rPr>
  </w:style>
  <w:style w:type="character" w:customStyle="1" w:styleId="CommentSubjectChar">
    <w:name w:val="Comment Subject Char"/>
    <w:basedOn w:val="CommentTextChar"/>
    <w:link w:val="CommentSubject"/>
    <w:rsid w:val="00E907E7"/>
    <w:rPr>
      <w:rFonts w:ascii="Arial" w:hAnsi="Arial"/>
      <w:b/>
      <w:bCs/>
      <w:lang w:eastAsia="en-US" w:bidi="en-US"/>
    </w:rPr>
  </w:style>
  <w:style w:type="character" w:customStyle="1" w:styleId="FootnoteTextChar">
    <w:name w:val="Footnote Text Char"/>
    <w:basedOn w:val="DefaultParagraphFont"/>
    <w:link w:val="FootnoteText"/>
    <w:uiPriority w:val="99"/>
    <w:semiHidden/>
    <w:rsid w:val="00E907E7"/>
    <w:rPr>
      <w:rFonts w:ascii="Arial" w:hAnsi="Arial"/>
      <w:lang w:eastAsia="en-US" w:bidi="en-US"/>
    </w:rPr>
  </w:style>
  <w:style w:type="character" w:customStyle="1" w:styleId="FooterChar">
    <w:name w:val="Footer Char"/>
    <w:basedOn w:val="DefaultParagraphFont"/>
    <w:link w:val="Footer"/>
    <w:uiPriority w:val="99"/>
    <w:rsid w:val="008D13EC"/>
    <w:rPr>
      <w:rFonts w:ascii="Arial" w:hAnsi="Arial"/>
      <w:sz w:val="22"/>
      <w:szCs w:val="24"/>
      <w:lang w:eastAsia="en-US" w:bidi="en-US"/>
    </w:rPr>
  </w:style>
  <w:style w:type="character" w:customStyle="1" w:styleId="ClauseChar">
    <w:name w:val="Clause Char"/>
    <w:basedOn w:val="DefaultParagraphFont"/>
    <w:link w:val="Clause"/>
    <w:rsid w:val="00AD14ED"/>
    <w:rPr>
      <w:rFonts w:ascii="Arial" w:hAnsi="Arial"/>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oodstandards.gov.au/foodstandards/applications/applicationa1048coex4892.cf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5437</Words>
  <Characters>32673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38034</CharactersWithSpaces>
  <SharedDoc>false</SharedDoc>
  <HLinks>
    <vt:vector size="192" baseType="variant">
      <vt:variant>
        <vt:i4>3407978</vt:i4>
      </vt:variant>
      <vt:variant>
        <vt:i4>180</vt:i4>
      </vt:variant>
      <vt:variant>
        <vt:i4>0</vt:i4>
      </vt:variant>
      <vt:variant>
        <vt:i4>5</vt:i4>
      </vt:variant>
      <vt:variant>
        <vt:lpwstr>../../../../Standards Management/WTO/WTO Procedures for staff/WTO Procedures for staff.doc</vt:lpwstr>
      </vt:variant>
      <vt:variant>
        <vt:lpwstr/>
      </vt:variant>
      <vt:variant>
        <vt:i4>1310776</vt:i4>
      </vt:variant>
      <vt:variant>
        <vt:i4>173</vt:i4>
      </vt:variant>
      <vt:variant>
        <vt:i4>0</vt:i4>
      </vt:variant>
      <vt:variant>
        <vt:i4>5</vt:i4>
      </vt:variant>
      <vt:variant>
        <vt:lpwstr/>
      </vt:variant>
      <vt:variant>
        <vt:lpwstr>_Toc175381460</vt:lpwstr>
      </vt:variant>
      <vt:variant>
        <vt:i4>1507384</vt:i4>
      </vt:variant>
      <vt:variant>
        <vt:i4>167</vt:i4>
      </vt:variant>
      <vt:variant>
        <vt:i4>0</vt:i4>
      </vt:variant>
      <vt:variant>
        <vt:i4>5</vt:i4>
      </vt:variant>
      <vt:variant>
        <vt:lpwstr/>
      </vt:variant>
      <vt:variant>
        <vt:lpwstr>_Toc175381459</vt:lpwstr>
      </vt:variant>
      <vt:variant>
        <vt:i4>1507384</vt:i4>
      </vt:variant>
      <vt:variant>
        <vt:i4>164</vt:i4>
      </vt:variant>
      <vt:variant>
        <vt:i4>0</vt:i4>
      </vt:variant>
      <vt:variant>
        <vt:i4>5</vt:i4>
      </vt:variant>
      <vt:variant>
        <vt:lpwstr/>
      </vt:variant>
      <vt:variant>
        <vt:lpwstr>_Toc175381458</vt:lpwstr>
      </vt:variant>
      <vt:variant>
        <vt:i4>1507384</vt:i4>
      </vt:variant>
      <vt:variant>
        <vt:i4>158</vt:i4>
      </vt:variant>
      <vt:variant>
        <vt:i4>0</vt:i4>
      </vt:variant>
      <vt:variant>
        <vt:i4>5</vt:i4>
      </vt:variant>
      <vt:variant>
        <vt:lpwstr/>
      </vt:variant>
      <vt:variant>
        <vt:lpwstr>_Toc175381457</vt:lpwstr>
      </vt:variant>
      <vt:variant>
        <vt:i4>1507384</vt:i4>
      </vt:variant>
      <vt:variant>
        <vt:i4>152</vt:i4>
      </vt:variant>
      <vt:variant>
        <vt:i4>0</vt:i4>
      </vt:variant>
      <vt:variant>
        <vt:i4>5</vt:i4>
      </vt:variant>
      <vt:variant>
        <vt:lpwstr/>
      </vt:variant>
      <vt:variant>
        <vt:lpwstr>_Toc175381456</vt:lpwstr>
      </vt:variant>
      <vt:variant>
        <vt:i4>1507384</vt:i4>
      </vt:variant>
      <vt:variant>
        <vt:i4>146</vt:i4>
      </vt:variant>
      <vt:variant>
        <vt:i4>0</vt:i4>
      </vt:variant>
      <vt:variant>
        <vt:i4>5</vt:i4>
      </vt:variant>
      <vt:variant>
        <vt:lpwstr/>
      </vt:variant>
      <vt:variant>
        <vt:lpwstr>_Toc175381455</vt:lpwstr>
      </vt:variant>
      <vt:variant>
        <vt:i4>1507384</vt:i4>
      </vt:variant>
      <vt:variant>
        <vt:i4>140</vt:i4>
      </vt:variant>
      <vt:variant>
        <vt:i4>0</vt:i4>
      </vt:variant>
      <vt:variant>
        <vt:i4>5</vt:i4>
      </vt:variant>
      <vt:variant>
        <vt:lpwstr/>
      </vt:variant>
      <vt:variant>
        <vt:lpwstr>_Toc175381454</vt:lpwstr>
      </vt:variant>
      <vt:variant>
        <vt:i4>1507384</vt:i4>
      </vt:variant>
      <vt:variant>
        <vt:i4>134</vt:i4>
      </vt:variant>
      <vt:variant>
        <vt:i4>0</vt:i4>
      </vt:variant>
      <vt:variant>
        <vt:i4>5</vt:i4>
      </vt:variant>
      <vt:variant>
        <vt:lpwstr/>
      </vt:variant>
      <vt:variant>
        <vt:lpwstr>_Toc175381453</vt:lpwstr>
      </vt:variant>
      <vt:variant>
        <vt:i4>1507384</vt:i4>
      </vt:variant>
      <vt:variant>
        <vt:i4>128</vt:i4>
      </vt:variant>
      <vt:variant>
        <vt:i4>0</vt:i4>
      </vt:variant>
      <vt:variant>
        <vt:i4>5</vt:i4>
      </vt:variant>
      <vt:variant>
        <vt:lpwstr/>
      </vt:variant>
      <vt:variant>
        <vt:lpwstr>_Toc175381452</vt:lpwstr>
      </vt:variant>
      <vt:variant>
        <vt:i4>1507384</vt:i4>
      </vt:variant>
      <vt:variant>
        <vt:i4>122</vt:i4>
      </vt:variant>
      <vt:variant>
        <vt:i4>0</vt:i4>
      </vt:variant>
      <vt:variant>
        <vt:i4>5</vt:i4>
      </vt:variant>
      <vt:variant>
        <vt:lpwstr/>
      </vt:variant>
      <vt:variant>
        <vt:lpwstr>_Toc175381451</vt:lpwstr>
      </vt:variant>
      <vt:variant>
        <vt:i4>1507384</vt:i4>
      </vt:variant>
      <vt:variant>
        <vt:i4>116</vt:i4>
      </vt:variant>
      <vt:variant>
        <vt:i4>0</vt:i4>
      </vt:variant>
      <vt:variant>
        <vt:i4>5</vt:i4>
      </vt:variant>
      <vt:variant>
        <vt:lpwstr/>
      </vt:variant>
      <vt:variant>
        <vt:lpwstr>_Toc175381450</vt:lpwstr>
      </vt:variant>
      <vt:variant>
        <vt:i4>1441848</vt:i4>
      </vt:variant>
      <vt:variant>
        <vt:i4>110</vt:i4>
      </vt:variant>
      <vt:variant>
        <vt:i4>0</vt:i4>
      </vt:variant>
      <vt:variant>
        <vt:i4>5</vt:i4>
      </vt:variant>
      <vt:variant>
        <vt:lpwstr/>
      </vt:variant>
      <vt:variant>
        <vt:lpwstr>_Toc175381449</vt:lpwstr>
      </vt:variant>
      <vt:variant>
        <vt:i4>1441848</vt:i4>
      </vt:variant>
      <vt:variant>
        <vt:i4>104</vt:i4>
      </vt:variant>
      <vt:variant>
        <vt:i4>0</vt:i4>
      </vt:variant>
      <vt:variant>
        <vt:i4>5</vt:i4>
      </vt:variant>
      <vt:variant>
        <vt:lpwstr/>
      </vt:variant>
      <vt:variant>
        <vt:lpwstr>_Toc175381448</vt:lpwstr>
      </vt:variant>
      <vt:variant>
        <vt:i4>1441848</vt:i4>
      </vt:variant>
      <vt:variant>
        <vt:i4>98</vt:i4>
      </vt:variant>
      <vt:variant>
        <vt:i4>0</vt:i4>
      </vt:variant>
      <vt:variant>
        <vt:i4>5</vt:i4>
      </vt:variant>
      <vt:variant>
        <vt:lpwstr/>
      </vt:variant>
      <vt:variant>
        <vt:lpwstr>_Toc175381447</vt:lpwstr>
      </vt:variant>
      <vt:variant>
        <vt:i4>1441848</vt:i4>
      </vt:variant>
      <vt:variant>
        <vt:i4>92</vt:i4>
      </vt:variant>
      <vt:variant>
        <vt:i4>0</vt:i4>
      </vt:variant>
      <vt:variant>
        <vt:i4>5</vt:i4>
      </vt:variant>
      <vt:variant>
        <vt:lpwstr/>
      </vt:variant>
      <vt:variant>
        <vt:lpwstr>_Toc175381446</vt:lpwstr>
      </vt:variant>
      <vt:variant>
        <vt:i4>1441848</vt:i4>
      </vt:variant>
      <vt:variant>
        <vt:i4>86</vt:i4>
      </vt:variant>
      <vt:variant>
        <vt:i4>0</vt:i4>
      </vt:variant>
      <vt:variant>
        <vt:i4>5</vt:i4>
      </vt:variant>
      <vt:variant>
        <vt:lpwstr/>
      </vt:variant>
      <vt:variant>
        <vt:lpwstr>_Toc175381445</vt:lpwstr>
      </vt:variant>
      <vt:variant>
        <vt:i4>1441848</vt:i4>
      </vt:variant>
      <vt:variant>
        <vt:i4>80</vt:i4>
      </vt:variant>
      <vt:variant>
        <vt:i4>0</vt:i4>
      </vt:variant>
      <vt:variant>
        <vt:i4>5</vt:i4>
      </vt:variant>
      <vt:variant>
        <vt:lpwstr/>
      </vt:variant>
      <vt:variant>
        <vt:lpwstr>_Toc175381444</vt:lpwstr>
      </vt:variant>
      <vt:variant>
        <vt:i4>1441848</vt:i4>
      </vt:variant>
      <vt:variant>
        <vt:i4>74</vt:i4>
      </vt:variant>
      <vt:variant>
        <vt:i4>0</vt:i4>
      </vt:variant>
      <vt:variant>
        <vt:i4>5</vt:i4>
      </vt:variant>
      <vt:variant>
        <vt:lpwstr/>
      </vt:variant>
      <vt:variant>
        <vt:lpwstr>_Toc175381443</vt:lpwstr>
      </vt:variant>
      <vt:variant>
        <vt:i4>1441848</vt:i4>
      </vt:variant>
      <vt:variant>
        <vt:i4>68</vt:i4>
      </vt:variant>
      <vt:variant>
        <vt:i4>0</vt:i4>
      </vt:variant>
      <vt:variant>
        <vt:i4>5</vt:i4>
      </vt:variant>
      <vt:variant>
        <vt:lpwstr/>
      </vt:variant>
      <vt:variant>
        <vt:lpwstr>_Toc175381442</vt:lpwstr>
      </vt:variant>
      <vt:variant>
        <vt:i4>1441848</vt:i4>
      </vt:variant>
      <vt:variant>
        <vt:i4>62</vt:i4>
      </vt:variant>
      <vt:variant>
        <vt:i4>0</vt:i4>
      </vt:variant>
      <vt:variant>
        <vt:i4>5</vt:i4>
      </vt:variant>
      <vt:variant>
        <vt:lpwstr/>
      </vt:variant>
      <vt:variant>
        <vt:lpwstr>_Toc175381441</vt:lpwstr>
      </vt:variant>
      <vt:variant>
        <vt:i4>1441848</vt:i4>
      </vt:variant>
      <vt:variant>
        <vt:i4>56</vt:i4>
      </vt:variant>
      <vt:variant>
        <vt:i4>0</vt:i4>
      </vt:variant>
      <vt:variant>
        <vt:i4>5</vt:i4>
      </vt:variant>
      <vt:variant>
        <vt:lpwstr/>
      </vt:variant>
      <vt:variant>
        <vt:lpwstr>_Toc175381440</vt:lpwstr>
      </vt:variant>
      <vt:variant>
        <vt:i4>1114168</vt:i4>
      </vt:variant>
      <vt:variant>
        <vt:i4>50</vt:i4>
      </vt:variant>
      <vt:variant>
        <vt:i4>0</vt:i4>
      </vt:variant>
      <vt:variant>
        <vt:i4>5</vt:i4>
      </vt:variant>
      <vt:variant>
        <vt:lpwstr/>
      </vt:variant>
      <vt:variant>
        <vt:lpwstr>_Toc175381439</vt:lpwstr>
      </vt:variant>
      <vt:variant>
        <vt:i4>1114168</vt:i4>
      </vt:variant>
      <vt:variant>
        <vt:i4>44</vt:i4>
      </vt:variant>
      <vt:variant>
        <vt:i4>0</vt:i4>
      </vt:variant>
      <vt:variant>
        <vt:i4>5</vt:i4>
      </vt:variant>
      <vt:variant>
        <vt:lpwstr/>
      </vt:variant>
      <vt:variant>
        <vt:lpwstr>_Toc175381438</vt:lpwstr>
      </vt:variant>
      <vt:variant>
        <vt:i4>1114168</vt:i4>
      </vt:variant>
      <vt:variant>
        <vt:i4>38</vt:i4>
      </vt:variant>
      <vt:variant>
        <vt:i4>0</vt:i4>
      </vt:variant>
      <vt:variant>
        <vt:i4>5</vt:i4>
      </vt:variant>
      <vt:variant>
        <vt:lpwstr/>
      </vt:variant>
      <vt:variant>
        <vt:lpwstr>_Toc175381437</vt:lpwstr>
      </vt:variant>
      <vt:variant>
        <vt:i4>1114168</vt:i4>
      </vt:variant>
      <vt:variant>
        <vt:i4>32</vt:i4>
      </vt:variant>
      <vt:variant>
        <vt:i4>0</vt:i4>
      </vt:variant>
      <vt:variant>
        <vt:i4>5</vt:i4>
      </vt:variant>
      <vt:variant>
        <vt:lpwstr/>
      </vt:variant>
      <vt:variant>
        <vt:lpwstr>_Toc175381436</vt:lpwstr>
      </vt:variant>
      <vt:variant>
        <vt:i4>1114168</vt:i4>
      </vt:variant>
      <vt:variant>
        <vt:i4>26</vt:i4>
      </vt:variant>
      <vt:variant>
        <vt:i4>0</vt:i4>
      </vt:variant>
      <vt:variant>
        <vt:i4>5</vt:i4>
      </vt:variant>
      <vt:variant>
        <vt:lpwstr/>
      </vt:variant>
      <vt:variant>
        <vt:lpwstr>_Toc175381435</vt:lpwstr>
      </vt:variant>
      <vt:variant>
        <vt:i4>1114168</vt:i4>
      </vt:variant>
      <vt:variant>
        <vt:i4>20</vt:i4>
      </vt:variant>
      <vt:variant>
        <vt:i4>0</vt:i4>
      </vt:variant>
      <vt:variant>
        <vt:i4>5</vt:i4>
      </vt:variant>
      <vt:variant>
        <vt:lpwstr/>
      </vt:variant>
      <vt:variant>
        <vt:lpwstr>_Toc175381434</vt:lpwstr>
      </vt:variant>
      <vt:variant>
        <vt:i4>1114168</vt:i4>
      </vt:variant>
      <vt:variant>
        <vt:i4>14</vt:i4>
      </vt:variant>
      <vt:variant>
        <vt:i4>0</vt:i4>
      </vt:variant>
      <vt:variant>
        <vt:i4>5</vt:i4>
      </vt:variant>
      <vt:variant>
        <vt:lpwstr/>
      </vt:variant>
      <vt:variant>
        <vt:lpwstr>_Toc175381433</vt:lpwstr>
      </vt:variant>
      <vt:variant>
        <vt:i4>1114168</vt:i4>
      </vt:variant>
      <vt:variant>
        <vt:i4>8</vt:i4>
      </vt:variant>
      <vt:variant>
        <vt:i4>0</vt:i4>
      </vt:variant>
      <vt:variant>
        <vt:i4>5</vt:i4>
      </vt:variant>
      <vt:variant>
        <vt:lpwstr/>
      </vt:variant>
      <vt:variant>
        <vt:lpwstr>_Toc175381432</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Susan Batley</dc:creator>
  <cp:lastModifiedBy>Humphries, Cathie</cp:lastModifiedBy>
  <cp:revision>6</cp:revision>
  <cp:lastPrinted>2011-03-03T23:37:00Z</cp:lastPrinted>
  <dcterms:created xsi:type="dcterms:W3CDTF">2011-03-03T19:10:00Z</dcterms:created>
  <dcterms:modified xsi:type="dcterms:W3CDTF">2011-04-28T02:13:00Z</dcterms:modified>
</cp:coreProperties>
</file>