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E" w:rsidRDefault="00756A4E" w:rsidP="009428A3"/>
    <w:p w:rsidR="00756A4E" w:rsidRDefault="00756A4E" w:rsidP="009428A3">
      <w:pPr>
        <w:jc w:val="center"/>
        <w:rPr>
          <w:b/>
          <w:bCs/>
          <w:u w:val="single"/>
        </w:rPr>
      </w:pPr>
      <w:r w:rsidRPr="00880A07">
        <w:rPr>
          <w:b/>
          <w:bCs/>
          <w:u w:val="single"/>
        </w:rPr>
        <w:t>EXPLANATORY STATEMENT</w:t>
      </w:r>
    </w:p>
    <w:p w:rsidR="00756A4E" w:rsidRDefault="00756A4E" w:rsidP="009428A3">
      <w:pPr>
        <w:jc w:val="center"/>
        <w:rPr>
          <w:b/>
          <w:bCs/>
          <w:u w:val="single"/>
        </w:rPr>
      </w:pPr>
    </w:p>
    <w:p w:rsidR="00756A4E" w:rsidRDefault="00756A4E" w:rsidP="009428A3">
      <w:pPr>
        <w:rPr>
          <w:bCs/>
          <w:i/>
          <w:iCs/>
        </w:rPr>
      </w:pPr>
      <w:r w:rsidRPr="003C69E9">
        <w:rPr>
          <w:bCs/>
          <w:i/>
          <w:iCs/>
        </w:rPr>
        <w:t xml:space="preserve"> </w:t>
      </w:r>
      <w:r w:rsidRPr="003C69E9">
        <w:rPr>
          <w:bCs/>
          <w:iCs/>
        </w:rPr>
        <w:t>Subject:</w:t>
      </w:r>
      <w:r>
        <w:rPr>
          <w:b/>
          <w:bCs/>
          <w:iCs/>
        </w:rPr>
        <w:tab/>
      </w:r>
      <w:r w:rsidRPr="009C632D">
        <w:rPr>
          <w:bCs/>
          <w:i/>
          <w:iCs/>
        </w:rPr>
        <w:t>Therapeutic Goods Act 1989</w:t>
      </w:r>
    </w:p>
    <w:p w:rsidR="00756A4E" w:rsidRDefault="00756A4E" w:rsidP="009428A3">
      <w:pPr>
        <w:ind w:left="567" w:firstLine="567"/>
        <w:rPr>
          <w:bCs/>
          <w:i/>
          <w:iCs/>
        </w:rPr>
      </w:pPr>
    </w:p>
    <w:p w:rsidR="00756A4E" w:rsidRDefault="00756A4E" w:rsidP="009428A3">
      <w:r>
        <w:tab/>
      </w:r>
      <w:r>
        <w:tab/>
        <w:t>Restricted Medicine Specification 2011</w:t>
      </w:r>
    </w:p>
    <w:p w:rsidR="00756A4E" w:rsidRDefault="00756A4E" w:rsidP="009428A3">
      <w:pPr>
        <w:tabs>
          <w:tab w:val="left" w:pos="-1080"/>
          <w:tab w:val="left" w:pos="-720"/>
        </w:tabs>
      </w:pPr>
    </w:p>
    <w:p w:rsidR="00756A4E" w:rsidRPr="00227C88" w:rsidRDefault="00756A4E" w:rsidP="009428A3">
      <w:pPr>
        <w:tabs>
          <w:tab w:val="left" w:pos="-1080"/>
          <w:tab w:val="left" w:pos="-720"/>
        </w:tabs>
      </w:pPr>
      <w:r>
        <w:t xml:space="preserve">The </w:t>
      </w:r>
      <w:r>
        <w:rPr>
          <w:i/>
          <w:iCs/>
        </w:rPr>
        <w:t xml:space="preserve">Therapeutic Goods Act 1989 </w:t>
      </w:r>
      <w:r>
        <w:t xml:space="preserve">(the TG Act) provides for the establishment and maintenance of a system of controls for the quality, safety, efficacy and timely availability of therapeutic goods that are used in </w:t>
      </w:r>
      <w:smartTag w:uri="urn:schemas-microsoft-com:office:smarttags" w:element="country-region">
        <w:r>
          <w:t>Australia</w:t>
        </w:r>
      </w:smartTag>
      <w:r>
        <w:t xml:space="preserve"> or exported from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 xml:space="preserve">. </w:t>
      </w:r>
      <w:r w:rsidR="00C10ED9">
        <w:t xml:space="preserve"> </w:t>
      </w:r>
      <w:r>
        <w:t>The Therapeutic Goods Administration (the TGA) is responsible for administering the TG Act and associated Regulations under the Act.</w:t>
      </w:r>
    </w:p>
    <w:p w:rsidR="00756A4E" w:rsidRDefault="00756A4E" w:rsidP="009428A3">
      <w:pPr>
        <w:tabs>
          <w:tab w:val="left" w:pos="-1080"/>
          <w:tab w:val="left" w:pos="-720"/>
        </w:tabs>
      </w:pPr>
    </w:p>
    <w:p w:rsidR="00756A4E" w:rsidRDefault="00756A4E" w:rsidP="003416CD">
      <w:pPr>
        <w:tabs>
          <w:tab w:val="left" w:pos="-1080"/>
          <w:tab w:val="left" w:pos="-720"/>
        </w:tabs>
      </w:pPr>
      <w:r>
        <w:t>Subsection</w:t>
      </w:r>
      <w:r w:rsidR="00A54310">
        <w:t>s</w:t>
      </w:r>
      <w:r>
        <w:t xml:space="preserve"> 3(2A) </w:t>
      </w:r>
      <w:r w:rsidR="00A54310">
        <w:t xml:space="preserve">and (2B) </w:t>
      </w:r>
      <w:r>
        <w:t xml:space="preserve">of the TG Act authorise the Minister for Health and Ageing (the Minister), by legislative instrument, to specify medicines </w:t>
      </w:r>
      <w:r w:rsidR="00A54310">
        <w:t xml:space="preserve">and classes of medicine </w:t>
      </w:r>
      <w:r>
        <w:t>for the purposes of paragraph</w:t>
      </w:r>
      <w:r w:rsidR="00A54310">
        <w:t>s</w:t>
      </w:r>
      <w:r>
        <w:t xml:space="preserve"> (a) </w:t>
      </w:r>
      <w:r w:rsidR="00A54310">
        <w:t xml:space="preserve">and (b), respectively </w:t>
      </w:r>
      <w:r>
        <w:t xml:space="preserve">of the definition of </w:t>
      </w:r>
      <w:r w:rsidRPr="00133D6B">
        <w:rPr>
          <w:b/>
          <w:i/>
        </w:rPr>
        <w:t>restricted medicine</w:t>
      </w:r>
      <w:r>
        <w:t xml:space="preserve"> in subsection 3(1) of the TG Act.  </w:t>
      </w:r>
      <w:r w:rsidRPr="00133D6B">
        <w:rPr>
          <w:b/>
          <w:i/>
        </w:rPr>
        <w:t>Restricted medicine</w:t>
      </w:r>
      <w:r>
        <w:t xml:space="preserve"> means a medicine specified in an instrument under subsection 3(2A) or medicine included in a class of medicine specified in an instrument under subsection 3(2B).</w:t>
      </w:r>
    </w:p>
    <w:p w:rsidR="00756A4E" w:rsidRPr="00133D6B" w:rsidRDefault="00756A4E" w:rsidP="003416CD">
      <w:pPr>
        <w:tabs>
          <w:tab w:val="left" w:pos="-1080"/>
          <w:tab w:val="left" w:pos="-720"/>
        </w:tabs>
      </w:pPr>
    </w:p>
    <w:p w:rsidR="00756A4E" w:rsidRDefault="00C10ED9" w:rsidP="009428A3">
      <w:pPr>
        <w:tabs>
          <w:tab w:val="left" w:pos="-1080"/>
          <w:tab w:val="left" w:pos="-720"/>
        </w:tabs>
      </w:pPr>
      <w:r>
        <w:t>P</w:t>
      </w:r>
      <w:r w:rsidR="00756A4E">
        <w:t>aragraph 23(2)(b) of the TG Act requires an application lodged under section 23 for the registration of a restricted medicine</w:t>
      </w:r>
      <w:r>
        <w:t xml:space="preserve"> to be </w:t>
      </w:r>
      <w:r w:rsidR="00756A4E">
        <w:t xml:space="preserve">accompanied by </w:t>
      </w:r>
      <w:r w:rsidR="001E140C">
        <w:t xml:space="preserve">a draft </w:t>
      </w:r>
      <w:r w:rsidR="00756A4E">
        <w:t xml:space="preserve">product information </w:t>
      </w:r>
      <w:r w:rsidR="001E140C">
        <w:t xml:space="preserve">document </w:t>
      </w:r>
      <w:r w:rsidR="00A54310">
        <w:t xml:space="preserve">for </w:t>
      </w:r>
      <w:r w:rsidR="00756A4E">
        <w:t xml:space="preserve">the medicine in the form approved by the Secretary of the Department of Health and Ageing under section 7D.  An application for the registration of a restricted medicine that is not accompanied by the product information document is </w:t>
      </w:r>
      <w:r w:rsidR="00A54310">
        <w:t xml:space="preserve">not </w:t>
      </w:r>
      <w:r w:rsidR="00AA0F38">
        <w:t xml:space="preserve">an </w:t>
      </w:r>
      <w:r w:rsidR="00A54310">
        <w:t xml:space="preserve">effective </w:t>
      </w:r>
      <w:r w:rsidR="00756A4E">
        <w:t>application under section 23 of the TG Act</w:t>
      </w:r>
      <w:r w:rsidR="001C48E0">
        <w:t xml:space="preserve"> and will not be considered for evaluation</w:t>
      </w:r>
      <w:r w:rsidR="00756A4E">
        <w:t>.</w:t>
      </w:r>
    </w:p>
    <w:p w:rsidR="00756A4E" w:rsidRDefault="00756A4E" w:rsidP="009428A3">
      <w:pPr>
        <w:tabs>
          <w:tab w:val="left" w:pos="-1080"/>
          <w:tab w:val="left" w:pos="-720"/>
        </w:tabs>
      </w:pPr>
    </w:p>
    <w:p w:rsidR="00756A4E" w:rsidRDefault="00756A4E" w:rsidP="009428A3">
      <w:pPr>
        <w:tabs>
          <w:tab w:val="left" w:pos="-1080"/>
          <w:tab w:val="left" w:pos="-720"/>
        </w:tabs>
      </w:pPr>
      <w:r>
        <w:t xml:space="preserve">A product information document in relation to therapeutic goods means a document containing information relating to the safe and effective use of the goods, including information regarding the usefulness and limitations of the goods (subsection 3(1) of the TG Act).  </w:t>
      </w:r>
      <w:r w:rsidR="00396DE1">
        <w:t>By reason of su</w:t>
      </w:r>
      <w:r>
        <w:t>bparag</w:t>
      </w:r>
      <w:r w:rsidR="00AA0F38">
        <w:t>raph 25(1</w:t>
      </w:r>
      <w:proofErr w:type="gramStart"/>
      <w:r w:rsidR="00AA0F38">
        <w:t>)(</w:t>
      </w:r>
      <w:proofErr w:type="spellStart"/>
      <w:proofErr w:type="gramEnd"/>
      <w:r w:rsidR="00AA0F38">
        <w:t>da</w:t>
      </w:r>
      <w:proofErr w:type="spellEnd"/>
      <w:r w:rsidR="00AA0F38">
        <w:t>)(</w:t>
      </w:r>
      <w:proofErr w:type="spellStart"/>
      <w:r w:rsidR="00AA0F38">
        <w:t>i</w:t>
      </w:r>
      <w:proofErr w:type="spellEnd"/>
      <w:r w:rsidR="00AA0F38">
        <w:t>) the product</w:t>
      </w:r>
      <w:r>
        <w:t xml:space="preserve"> information </w:t>
      </w:r>
      <w:r w:rsidR="00396DE1">
        <w:t xml:space="preserve">provided by the applicant is one of the matters that is evaluated for the purpose of determining whether the medicine the subject of the </w:t>
      </w:r>
      <w:r w:rsidR="00AA0F38">
        <w:t>application should be approved for registration in the Australian Register of Therapeutic Goods</w:t>
      </w:r>
      <w:r>
        <w:t xml:space="preserve">.  </w:t>
      </w:r>
      <w:r w:rsidR="00396DE1">
        <w:t>If the decision of the Secretary or her delegate is that the medicine is to be registered, s</w:t>
      </w:r>
      <w:r>
        <w:t>ubparagraph 25(4</w:t>
      </w:r>
      <w:proofErr w:type="gramStart"/>
      <w:r>
        <w:t>)(</w:t>
      </w:r>
      <w:proofErr w:type="gramEnd"/>
      <w:r>
        <w:t xml:space="preserve">d)(ia) </w:t>
      </w:r>
      <w:r w:rsidR="00A54310">
        <w:t xml:space="preserve">requires that </w:t>
      </w:r>
      <w:r>
        <w:t xml:space="preserve">the applicant </w:t>
      </w:r>
      <w:r w:rsidR="00396DE1">
        <w:t xml:space="preserve">be notified </w:t>
      </w:r>
      <w:r>
        <w:t>in writing of the product information that is approved in relation to the medicine.</w:t>
      </w:r>
    </w:p>
    <w:p w:rsidR="00756A4E" w:rsidRDefault="00756A4E" w:rsidP="009428A3">
      <w:pPr>
        <w:tabs>
          <w:tab w:val="left" w:pos="-1080"/>
          <w:tab w:val="left" w:pos="-720"/>
        </w:tabs>
      </w:pPr>
    </w:p>
    <w:p w:rsidR="00756A4E" w:rsidRDefault="00756A4E" w:rsidP="003416CD">
      <w:pPr>
        <w:tabs>
          <w:tab w:val="left" w:pos="-1080"/>
          <w:tab w:val="left" w:pos="-720"/>
        </w:tabs>
      </w:pPr>
      <w:r w:rsidRPr="0058120B">
        <w:t xml:space="preserve">The purpose of this instrument is </w:t>
      </w:r>
      <w:r>
        <w:t xml:space="preserve">to specify medicines or classes of medicine for the purposes of the definition of </w:t>
      </w:r>
      <w:r w:rsidRPr="00275A93">
        <w:rPr>
          <w:b/>
          <w:i/>
        </w:rPr>
        <w:t>restricted medicine</w:t>
      </w:r>
      <w:r>
        <w:t xml:space="preserve"> in subsection 3(1)</w:t>
      </w:r>
      <w:r w:rsidRPr="0058120B">
        <w:t xml:space="preserve">.  </w:t>
      </w:r>
      <w:r>
        <w:t xml:space="preserve">This instrument is to be cited as the </w:t>
      </w:r>
      <w:r w:rsidRPr="00524820">
        <w:rPr>
          <w:i/>
        </w:rPr>
        <w:t>Restricted Medicine Specification 2011</w:t>
      </w:r>
      <w:r>
        <w:t xml:space="preserve"> and commences on the day after it is registered in the Federal Register of Legislative Instruments.</w:t>
      </w:r>
    </w:p>
    <w:p w:rsidR="00756A4E" w:rsidRDefault="00756A4E" w:rsidP="003416CD">
      <w:pPr>
        <w:tabs>
          <w:tab w:val="left" w:pos="-1080"/>
          <w:tab w:val="left" w:pos="-720"/>
        </w:tabs>
      </w:pPr>
    </w:p>
    <w:p w:rsidR="0060160A" w:rsidRDefault="00756A4E" w:rsidP="00691D95">
      <w:r>
        <w:t xml:space="preserve">The medicines or classes of medicine that are specified as restricted medicines are set out in Schedule 1 to the instrument.  The effect of the </w:t>
      </w:r>
      <w:r w:rsidR="0060160A">
        <w:t xml:space="preserve">inclusion of a </w:t>
      </w:r>
      <w:r>
        <w:t xml:space="preserve">medicine or classes of medicine </w:t>
      </w:r>
      <w:r w:rsidR="0060160A">
        <w:t xml:space="preserve">in Schedule 1 </w:t>
      </w:r>
      <w:r>
        <w:t xml:space="preserve">is that an applicant for registration of any of the medicines </w:t>
      </w:r>
      <w:r w:rsidR="0060160A">
        <w:t xml:space="preserve">so </w:t>
      </w:r>
      <w:r>
        <w:t xml:space="preserve">listed is required to provide </w:t>
      </w:r>
      <w:r w:rsidR="0060160A">
        <w:t xml:space="preserve">a draft </w:t>
      </w:r>
      <w:r>
        <w:t xml:space="preserve">product information </w:t>
      </w:r>
      <w:r w:rsidR="0060160A">
        <w:t xml:space="preserve">document </w:t>
      </w:r>
      <w:r>
        <w:t xml:space="preserve">as part of the application for registration package.  </w:t>
      </w:r>
    </w:p>
    <w:p w:rsidR="0060160A" w:rsidRDefault="0060160A" w:rsidP="00691D95"/>
    <w:p w:rsidR="00756A4E" w:rsidRDefault="00756A4E" w:rsidP="001C3613">
      <w:pPr>
        <w:keepNext/>
      </w:pPr>
      <w:r>
        <w:lastRenderedPageBreak/>
        <w:t xml:space="preserve">Schedule 1 specifies medicines </w:t>
      </w:r>
      <w:r w:rsidR="001C3613">
        <w:t>and classes of medicine</w:t>
      </w:r>
      <w:r>
        <w:t>:</w:t>
      </w:r>
    </w:p>
    <w:p w:rsidR="00756A4E" w:rsidRDefault="001C3613" w:rsidP="001C3613">
      <w:pPr>
        <w:numPr>
          <w:ilvl w:val="0"/>
          <w:numId w:val="2"/>
        </w:numPr>
        <w:tabs>
          <w:tab w:val="left" w:pos="900"/>
        </w:tabs>
        <w:ind w:left="900" w:hanging="540"/>
      </w:pPr>
      <w:r>
        <w:t xml:space="preserve">that are </w:t>
      </w:r>
      <w:r w:rsidR="0060160A">
        <w:t xml:space="preserve">included </w:t>
      </w:r>
      <w:r w:rsidR="00756A4E">
        <w:t xml:space="preserve">in Part 1 of Schedule 10 to the </w:t>
      </w:r>
      <w:r w:rsidR="00756A4E" w:rsidRPr="00E540A4">
        <w:rPr>
          <w:i/>
        </w:rPr>
        <w:t>Therapeutic Goods Regulations 1990</w:t>
      </w:r>
      <w:r w:rsidR="00756A4E">
        <w:t xml:space="preserve"> (the Regulations)</w:t>
      </w:r>
      <w:r w:rsidR="00E540A4">
        <w:t xml:space="preserve"> other than </w:t>
      </w:r>
      <w:r w:rsidR="0060160A">
        <w:t xml:space="preserve">in </w:t>
      </w:r>
      <w:r w:rsidR="00E540A4">
        <w:t>item 1(b) of Part 1</w:t>
      </w:r>
      <w:r w:rsidR="00A5508C">
        <w:t xml:space="preserve"> and item 14</w:t>
      </w:r>
      <w:r w:rsidR="00756A4E">
        <w:t>;</w:t>
      </w:r>
      <w:r w:rsidR="00E540A4">
        <w:t xml:space="preserve"> </w:t>
      </w:r>
      <w:r>
        <w:t>and</w:t>
      </w:r>
    </w:p>
    <w:p w:rsidR="00756A4E" w:rsidRDefault="00756A4E" w:rsidP="001C3613">
      <w:pPr>
        <w:numPr>
          <w:ilvl w:val="0"/>
          <w:numId w:val="2"/>
        </w:numPr>
        <w:tabs>
          <w:tab w:val="left" w:pos="900"/>
        </w:tabs>
        <w:ind w:left="900" w:hanging="540"/>
      </w:pPr>
      <w:proofErr w:type="gramStart"/>
      <w:r>
        <w:t>that</w:t>
      </w:r>
      <w:proofErr w:type="gramEnd"/>
      <w:r>
        <w:t xml:space="preserve"> contain a substance included in Schedule 3 to the current Poisons Standard</w:t>
      </w:r>
      <w:r w:rsidR="00E540A4">
        <w:t>.</w:t>
      </w:r>
      <w:r>
        <w:t xml:space="preserve">  </w:t>
      </w:r>
    </w:p>
    <w:p w:rsidR="00756A4E" w:rsidRDefault="00756A4E" w:rsidP="00FA24A7">
      <w:pPr>
        <w:ind w:left="720"/>
      </w:pPr>
    </w:p>
    <w:p w:rsidR="001C48E0" w:rsidRDefault="00756A4E" w:rsidP="00FA24A7">
      <w:r>
        <w:t xml:space="preserve">The medicines set out in Part 1 of Schedule 10 to the Regulations include those that </w:t>
      </w:r>
      <w:r w:rsidR="00E540A4">
        <w:t xml:space="preserve">contain a substance mentioned </w:t>
      </w:r>
      <w:r>
        <w:t>in Schedule</w:t>
      </w:r>
      <w:r w:rsidR="00E540A4">
        <w:t>s</w:t>
      </w:r>
      <w:r>
        <w:t xml:space="preserve"> 4</w:t>
      </w:r>
      <w:r w:rsidR="00E540A4">
        <w:t xml:space="preserve"> (prescription only medicines)</w:t>
      </w:r>
      <w:r>
        <w:t>, 8</w:t>
      </w:r>
      <w:r w:rsidR="00E540A4">
        <w:t xml:space="preserve"> (controlled drug) </w:t>
      </w:r>
      <w:r>
        <w:t>or 9</w:t>
      </w:r>
      <w:r w:rsidR="00E540A4">
        <w:t xml:space="preserve"> (prohibited substance)</w:t>
      </w:r>
      <w:r>
        <w:t xml:space="preserve"> of the current Poisons Standard (which </w:t>
      </w:r>
      <w:r w:rsidR="008E6318">
        <w:t xml:space="preserve">because they </w:t>
      </w:r>
      <w:r>
        <w:t xml:space="preserve">are considered high risk have restrictions </w:t>
      </w:r>
      <w:r w:rsidR="008E6318">
        <w:t>on</w:t>
      </w:r>
      <w:r>
        <w:t xml:space="preserve"> the way they </w:t>
      </w:r>
      <w:r w:rsidR="008E6318">
        <w:t xml:space="preserve">can be </w:t>
      </w:r>
      <w:r>
        <w:t xml:space="preserve">supplied), vaccines, allergens, and immunoglobulins.  Schedule 3 substances are those that </w:t>
      </w:r>
      <w:r w:rsidR="00E540A4">
        <w:t xml:space="preserve">can be supplied without a prescription but only by </w:t>
      </w:r>
      <w:r w:rsidR="00AC2349">
        <w:t xml:space="preserve">a </w:t>
      </w:r>
      <w:r>
        <w:t xml:space="preserve">pharmacist. </w:t>
      </w:r>
      <w:r w:rsidR="00E540A4">
        <w:t xml:space="preserve"> </w:t>
      </w:r>
    </w:p>
    <w:p w:rsidR="001C48E0" w:rsidRDefault="001C48E0" w:rsidP="00FA24A7"/>
    <w:p w:rsidR="00756A4E" w:rsidRDefault="00E540A4" w:rsidP="00FA24A7">
      <w:r>
        <w:t>Item 1(b)</w:t>
      </w:r>
      <w:r w:rsidR="001C48E0">
        <w:t xml:space="preserve"> </w:t>
      </w:r>
      <w:r>
        <w:t xml:space="preserve">in Part 1 of Schedule 10 is excluded as it refers to substances that are not mentioned in any of Schedules </w:t>
      </w:r>
      <w:r w:rsidR="008E6318">
        <w:t xml:space="preserve">4, 8 or 9 </w:t>
      </w:r>
      <w:r>
        <w:t xml:space="preserve">but which meet the criteria for mention in </w:t>
      </w:r>
      <w:r w:rsidR="008E6318">
        <w:t xml:space="preserve">those </w:t>
      </w:r>
      <w:r>
        <w:t xml:space="preserve">Schedules.  </w:t>
      </w:r>
      <w:r w:rsidR="001C48E0">
        <w:t xml:space="preserve">Were an application for registration to be made for such a substance and either at any time during the evaluation process </w:t>
      </w:r>
      <w:r w:rsidR="008E6318">
        <w:t xml:space="preserve">the substance </w:t>
      </w:r>
      <w:r w:rsidR="001C48E0">
        <w:t xml:space="preserve">is included in any of </w:t>
      </w:r>
      <w:r w:rsidR="008E6318">
        <w:t xml:space="preserve">those </w:t>
      </w:r>
      <w:r w:rsidR="001C48E0">
        <w:t xml:space="preserve">Schedules or the Secretary otherwise comes to the view that it would be appropriate for a product information document to be approved </w:t>
      </w:r>
      <w:r w:rsidR="001E140C">
        <w:t>as part of the registration process</w:t>
      </w:r>
      <w:r w:rsidR="001C3613">
        <w:t xml:space="preserve"> for that medicine</w:t>
      </w:r>
      <w:r w:rsidR="001C48E0">
        <w:t xml:space="preserve">, the Secretary can notify the applicant to supply </w:t>
      </w:r>
      <w:r w:rsidR="008E6318">
        <w:t xml:space="preserve">a product information document </w:t>
      </w:r>
      <w:r w:rsidR="001C48E0">
        <w:t xml:space="preserve">in the approved form. </w:t>
      </w:r>
      <w:r w:rsidR="001E140C">
        <w:t xml:space="preserve"> The same applies </w:t>
      </w:r>
      <w:r w:rsidR="001C3613">
        <w:t xml:space="preserve">in relation </w:t>
      </w:r>
      <w:r w:rsidR="001E140C">
        <w:t xml:space="preserve">to </w:t>
      </w:r>
      <w:r w:rsidR="008E6318">
        <w:t xml:space="preserve">an </w:t>
      </w:r>
      <w:r w:rsidR="001E140C">
        <w:t xml:space="preserve">application for a medicine that contains a substance which </w:t>
      </w:r>
      <w:r w:rsidR="008E6318">
        <w:t xml:space="preserve">is not in Schedule 3 but </w:t>
      </w:r>
      <w:r w:rsidR="001E140C">
        <w:t xml:space="preserve">meets the criteria for mention in Schedule 3. </w:t>
      </w:r>
      <w:r w:rsidR="00A5508C">
        <w:t xml:space="preserve"> </w:t>
      </w:r>
    </w:p>
    <w:p w:rsidR="00A5508C" w:rsidRDefault="00A5508C" w:rsidP="00FA24A7"/>
    <w:p w:rsidR="00A5508C" w:rsidRDefault="00A5508C" w:rsidP="00FA24A7">
      <w:r>
        <w:t>Item 14 in Part 1 of Schedule 10 to the Regulations (which currently refers to therapeutic g</w:t>
      </w:r>
      <w:r w:rsidR="00AA0F38">
        <w:t xml:space="preserve">oods referred for evaluation to </w:t>
      </w:r>
      <w:r>
        <w:t xml:space="preserve">the Office of Prescription Medicines of the TGA) is excluded because therapeutic goods would only be referred once an application for registration has </w:t>
      </w:r>
      <w:r w:rsidR="00AA0F38">
        <w:t xml:space="preserve">already </w:t>
      </w:r>
      <w:r>
        <w:t xml:space="preserve">been </w:t>
      </w:r>
      <w:r w:rsidR="0036512A">
        <w:t>lodged</w:t>
      </w:r>
      <w:r>
        <w:t xml:space="preserve">. </w:t>
      </w:r>
      <w:r w:rsidR="0036512A">
        <w:t xml:space="preserve"> </w:t>
      </w:r>
      <w:r w:rsidR="001C3613">
        <w:t xml:space="preserve">Item 14 could not therefore apply to a medicine at the time an application for registration </w:t>
      </w:r>
      <w:r w:rsidR="00E148BE">
        <w:t xml:space="preserve">for the medicine </w:t>
      </w:r>
      <w:r w:rsidR="001C3613">
        <w:t>was being made</w:t>
      </w:r>
      <w:r w:rsidR="0036512A">
        <w:t xml:space="preserve">. </w:t>
      </w:r>
    </w:p>
    <w:p w:rsidR="00756A4E" w:rsidRDefault="00756A4E" w:rsidP="009428A3">
      <w:pPr>
        <w:tabs>
          <w:tab w:val="left" w:pos="-1080"/>
          <w:tab w:val="left" w:pos="-720"/>
        </w:tabs>
      </w:pPr>
    </w:p>
    <w:p w:rsidR="00756A4E" w:rsidRDefault="00756A4E" w:rsidP="009428A3">
      <w:pPr>
        <w:tabs>
          <w:tab w:val="left" w:pos="-1080"/>
          <w:tab w:val="left" w:pos="-720"/>
        </w:tabs>
      </w:pPr>
      <w:r>
        <w:t xml:space="preserve">The Restricted Medicine Specification 2011 is a legislative instrument for the purposes of the </w:t>
      </w:r>
      <w:r w:rsidRPr="00FB6289">
        <w:rPr>
          <w:i/>
        </w:rPr>
        <w:t>Legislative Instruments Act 2003</w:t>
      </w:r>
      <w:r>
        <w:rPr>
          <w:i/>
        </w:rPr>
        <w:t xml:space="preserve"> </w:t>
      </w:r>
      <w:r w:rsidRPr="003B130F">
        <w:t>(the LIA).</w:t>
      </w:r>
      <w:r>
        <w:t xml:space="preserve">  </w:t>
      </w:r>
    </w:p>
    <w:p w:rsidR="00756A4E" w:rsidRDefault="00756A4E" w:rsidP="009428A3">
      <w:pPr>
        <w:pStyle w:val="Footer"/>
        <w:tabs>
          <w:tab w:val="clear" w:pos="4153"/>
          <w:tab w:val="clear" w:pos="8306"/>
        </w:tabs>
      </w:pPr>
    </w:p>
    <w:p w:rsidR="00756A4E" w:rsidRDefault="00E148BE" w:rsidP="009428A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</w:t>
      </w:r>
      <w:r w:rsidR="00756A4E">
        <w:rPr>
          <w:color w:val="000000"/>
        </w:rPr>
        <w:t xml:space="preserve">requirements set out in this instrument </w:t>
      </w:r>
      <w:r w:rsidR="00AC2349">
        <w:rPr>
          <w:color w:val="000000"/>
        </w:rPr>
        <w:t xml:space="preserve">will have </w:t>
      </w:r>
      <w:r w:rsidR="00756A4E">
        <w:rPr>
          <w:color w:val="000000"/>
        </w:rPr>
        <w:t>minimal regulatory impact in general</w:t>
      </w:r>
      <w:r w:rsidR="00AC2349">
        <w:rPr>
          <w:color w:val="000000"/>
        </w:rPr>
        <w:t xml:space="preserve"> as they </w:t>
      </w:r>
      <w:r w:rsidR="00756A4E">
        <w:rPr>
          <w:color w:val="000000"/>
        </w:rPr>
        <w:t xml:space="preserve">reflect the </w:t>
      </w:r>
      <w:r w:rsidR="00AC2349">
        <w:rPr>
          <w:color w:val="000000"/>
        </w:rPr>
        <w:t xml:space="preserve">TGA’s </w:t>
      </w:r>
      <w:r w:rsidR="00756A4E">
        <w:rPr>
          <w:color w:val="000000"/>
        </w:rPr>
        <w:t xml:space="preserve">current </w:t>
      </w:r>
      <w:r w:rsidR="00AC2349">
        <w:rPr>
          <w:color w:val="000000"/>
        </w:rPr>
        <w:t xml:space="preserve">administrative arrangements for </w:t>
      </w:r>
      <w:r w:rsidR="00756A4E">
        <w:rPr>
          <w:color w:val="000000"/>
        </w:rPr>
        <w:t xml:space="preserve">the lodgement and approval of product information documents </w:t>
      </w:r>
      <w:r w:rsidR="00AC2349">
        <w:rPr>
          <w:color w:val="000000"/>
        </w:rPr>
        <w:t>for prescription and other medicines</w:t>
      </w:r>
      <w:r w:rsidR="00756A4E">
        <w:rPr>
          <w:color w:val="000000"/>
        </w:rPr>
        <w:t>.</w:t>
      </w:r>
    </w:p>
    <w:p w:rsidR="00756A4E" w:rsidRDefault="00756A4E" w:rsidP="009428A3">
      <w:pPr>
        <w:autoSpaceDE w:val="0"/>
        <w:autoSpaceDN w:val="0"/>
        <w:adjustRightInd w:val="0"/>
        <w:rPr>
          <w:color w:val="000000"/>
        </w:rPr>
      </w:pPr>
    </w:p>
    <w:p w:rsidR="00756A4E" w:rsidRDefault="00756A4E" w:rsidP="008B2A6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making of this instrument did not </w:t>
      </w:r>
      <w:r w:rsidRPr="00D20197">
        <w:rPr>
          <w:color w:val="000000"/>
        </w:rPr>
        <w:t>involve public consultation</w:t>
      </w:r>
      <w:r>
        <w:rPr>
          <w:color w:val="000000"/>
        </w:rPr>
        <w:t xml:space="preserve">.   However, the amendments to the TG Act implemented by Schedule 1A of the </w:t>
      </w:r>
      <w:r w:rsidRPr="00691D95">
        <w:rPr>
          <w:i/>
          <w:color w:val="000000"/>
        </w:rPr>
        <w:t>Therapeutic Goods Amendment (2010 Measures No. 1) Act 2010</w:t>
      </w:r>
      <w:r>
        <w:rPr>
          <w:color w:val="000000"/>
        </w:rPr>
        <w:t xml:space="preserve">, which include provisions relating to the requirements for a product information document, involved consultation with the Generic Medicines Industry Association (GMiA) and Medicines Australia.  </w:t>
      </w:r>
      <w:r w:rsidR="00AC2349">
        <w:rPr>
          <w:color w:val="000000"/>
        </w:rPr>
        <w:t xml:space="preserve">As noted above, </w:t>
      </w:r>
      <w:r>
        <w:rPr>
          <w:color w:val="000000"/>
        </w:rPr>
        <w:t xml:space="preserve">the requirements reflect current </w:t>
      </w:r>
      <w:r w:rsidR="00AC2349">
        <w:rPr>
          <w:color w:val="000000"/>
        </w:rPr>
        <w:t>administrative arrangements.</w:t>
      </w:r>
    </w:p>
    <w:p w:rsidR="00756A4E" w:rsidRDefault="00756A4E"/>
    <w:sectPr w:rsidR="00756A4E" w:rsidSect="006007D2">
      <w:footerReference w:type="even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88" w:rsidRDefault="009A7088">
      <w:r>
        <w:separator/>
      </w:r>
    </w:p>
  </w:endnote>
  <w:endnote w:type="continuationSeparator" w:id="0">
    <w:p w:rsidR="009A7088" w:rsidRDefault="009A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4E" w:rsidRDefault="00722E8B" w:rsidP="00600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A4E" w:rsidRDefault="00756A4E" w:rsidP="006007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4E" w:rsidRDefault="00722E8B" w:rsidP="00600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6A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F38">
      <w:rPr>
        <w:rStyle w:val="PageNumber"/>
        <w:noProof/>
      </w:rPr>
      <w:t>2</w:t>
    </w:r>
    <w:r>
      <w:rPr>
        <w:rStyle w:val="PageNumber"/>
      </w:rPr>
      <w:fldChar w:fldCharType="end"/>
    </w:r>
  </w:p>
  <w:p w:rsidR="00756A4E" w:rsidRDefault="00756A4E" w:rsidP="006007D2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88" w:rsidRDefault="009A7088">
      <w:r>
        <w:separator/>
      </w:r>
    </w:p>
  </w:footnote>
  <w:footnote w:type="continuationSeparator" w:id="0">
    <w:p w:rsidR="009A7088" w:rsidRDefault="009A7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4E" w:rsidRDefault="00756A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4D6C"/>
    <w:multiLevelType w:val="hybridMultilevel"/>
    <w:tmpl w:val="026EAD12"/>
    <w:lvl w:ilvl="0" w:tplc="B5CE52D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3A0C98"/>
    <w:multiLevelType w:val="hybridMultilevel"/>
    <w:tmpl w:val="856CE10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8A3"/>
    <w:rsid w:val="00032292"/>
    <w:rsid w:val="0004057F"/>
    <w:rsid w:val="00040ED6"/>
    <w:rsid w:val="000833F0"/>
    <w:rsid w:val="00085DE3"/>
    <w:rsid w:val="00092F0E"/>
    <w:rsid w:val="000937AD"/>
    <w:rsid w:val="000E6BE5"/>
    <w:rsid w:val="00133D6B"/>
    <w:rsid w:val="00172E88"/>
    <w:rsid w:val="001739B6"/>
    <w:rsid w:val="001B4F38"/>
    <w:rsid w:val="001B6DA1"/>
    <w:rsid w:val="001C3613"/>
    <w:rsid w:val="001C48E0"/>
    <w:rsid w:val="001D3F9E"/>
    <w:rsid w:val="001E140C"/>
    <w:rsid w:val="002168BC"/>
    <w:rsid w:val="002238B8"/>
    <w:rsid w:val="00227C88"/>
    <w:rsid w:val="0024195F"/>
    <w:rsid w:val="00275A93"/>
    <w:rsid w:val="00282FA8"/>
    <w:rsid w:val="00293E5F"/>
    <w:rsid w:val="002B41F2"/>
    <w:rsid w:val="002E788B"/>
    <w:rsid w:val="00325D83"/>
    <w:rsid w:val="00331B4A"/>
    <w:rsid w:val="003416CD"/>
    <w:rsid w:val="003553A4"/>
    <w:rsid w:val="0036512A"/>
    <w:rsid w:val="00381F82"/>
    <w:rsid w:val="00396DE1"/>
    <w:rsid w:val="0039714C"/>
    <w:rsid w:val="003A3E55"/>
    <w:rsid w:val="003B130F"/>
    <w:rsid w:val="003C69E9"/>
    <w:rsid w:val="003E4F1E"/>
    <w:rsid w:val="003F38CB"/>
    <w:rsid w:val="003F6C12"/>
    <w:rsid w:val="00432ED0"/>
    <w:rsid w:val="004667ED"/>
    <w:rsid w:val="00484323"/>
    <w:rsid w:val="004A05D3"/>
    <w:rsid w:val="004D3C98"/>
    <w:rsid w:val="004D4277"/>
    <w:rsid w:val="004E00C7"/>
    <w:rsid w:val="005160B0"/>
    <w:rsid w:val="00524820"/>
    <w:rsid w:val="00573F01"/>
    <w:rsid w:val="0058120B"/>
    <w:rsid w:val="005A2C49"/>
    <w:rsid w:val="005B4BD1"/>
    <w:rsid w:val="006007D2"/>
    <w:rsid w:val="0060160A"/>
    <w:rsid w:val="00604FDB"/>
    <w:rsid w:val="00625FF6"/>
    <w:rsid w:val="006534B5"/>
    <w:rsid w:val="00673D92"/>
    <w:rsid w:val="00674B2F"/>
    <w:rsid w:val="00681C35"/>
    <w:rsid w:val="00691D95"/>
    <w:rsid w:val="006B51C5"/>
    <w:rsid w:val="00705414"/>
    <w:rsid w:val="007164C8"/>
    <w:rsid w:val="00722E8B"/>
    <w:rsid w:val="00756A4E"/>
    <w:rsid w:val="007948C6"/>
    <w:rsid w:val="00795677"/>
    <w:rsid w:val="007A4046"/>
    <w:rsid w:val="007B6934"/>
    <w:rsid w:val="007C044E"/>
    <w:rsid w:val="007C26BA"/>
    <w:rsid w:val="007E4618"/>
    <w:rsid w:val="0082002F"/>
    <w:rsid w:val="008200CC"/>
    <w:rsid w:val="00855A03"/>
    <w:rsid w:val="00880A07"/>
    <w:rsid w:val="00881A84"/>
    <w:rsid w:val="008923C8"/>
    <w:rsid w:val="00894629"/>
    <w:rsid w:val="008B2A65"/>
    <w:rsid w:val="008B53F6"/>
    <w:rsid w:val="008B6B32"/>
    <w:rsid w:val="008E073F"/>
    <w:rsid w:val="008E6318"/>
    <w:rsid w:val="00914BF3"/>
    <w:rsid w:val="009428A3"/>
    <w:rsid w:val="0094340B"/>
    <w:rsid w:val="0096346A"/>
    <w:rsid w:val="00964E41"/>
    <w:rsid w:val="00966866"/>
    <w:rsid w:val="009A7088"/>
    <w:rsid w:val="009C632D"/>
    <w:rsid w:val="009D0750"/>
    <w:rsid w:val="00A0242E"/>
    <w:rsid w:val="00A333D9"/>
    <w:rsid w:val="00A34DA7"/>
    <w:rsid w:val="00A54310"/>
    <w:rsid w:val="00A5508C"/>
    <w:rsid w:val="00A636BE"/>
    <w:rsid w:val="00AA0F38"/>
    <w:rsid w:val="00AC2349"/>
    <w:rsid w:val="00AD0D07"/>
    <w:rsid w:val="00B06904"/>
    <w:rsid w:val="00B40EB4"/>
    <w:rsid w:val="00B4215B"/>
    <w:rsid w:val="00B62B92"/>
    <w:rsid w:val="00B62D2D"/>
    <w:rsid w:val="00B662FC"/>
    <w:rsid w:val="00B72D61"/>
    <w:rsid w:val="00BC7339"/>
    <w:rsid w:val="00C10ED9"/>
    <w:rsid w:val="00C11D60"/>
    <w:rsid w:val="00C17501"/>
    <w:rsid w:val="00C81804"/>
    <w:rsid w:val="00CD26F9"/>
    <w:rsid w:val="00D0350F"/>
    <w:rsid w:val="00D20197"/>
    <w:rsid w:val="00D53CBA"/>
    <w:rsid w:val="00DC3B6B"/>
    <w:rsid w:val="00DD0902"/>
    <w:rsid w:val="00E0010A"/>
    <w:rsid w:val="00E148BE"/>
    <w:rsid w:val="00E16E76"/>
    <w:rsid w:val="00E540A4"/>
    <w:rsid w:val="00E56AB6"/>
    <w:rsid w:val="00E85236"/>
    <w:rsid w:val="00EB5916"/>
    <w:rsid w:val="00EC53A3"/>
    <w:rsid w:val="00EE04B6"/>
    <w:rsid w:val="00F33299"/>
    <w:rsid w:val="00FA24A7"/>
    <w:rsid w:val="00FB6289"/>
    <w:rsid w:val="00FB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28A3"/>
    <w:pPr>
      <w:tabs>
        <w:tab w:val="center" w:pos="4153"/>
        <w:tab w:val="right" w:pos="8306"/>
      </w:tabs>
    </w:pPr>
  </w:style>
  <w:style w:type="paragraph" w:customStyle="1" w:styleId="CharChar1CharCharCharChar">
    <w:name w:val="Char Char1 Char Char Char Char"/>
    <w:basedOn w:val="Normal"/>
    <w:rsid w:val="009428A3"/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9428A3"/>
    <w:rPr>
      <w:rFonts w:cs="Times New Roman"/>
    </w:rPr>
  </w:style>
  <w:style w:type="paragraph" w:styleId="BalloonText">
    <w:name w:val="Balloon Text"/>
    <w:basedOn w:val="Normal"/>
    <w:semiHidden/>
    <w:rsid w:val="00B40E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4340B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434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340B"/>
    <w:rPr>
      <w:b/>
      <w:bCs/>
    </w:rPr>
  </w:style>
  <w:style w:type="paragraph" w:styleId="ListParagraph">
    <w:name w:val="List Paragraph"/>
    <w:basedOn w:val="Normal"/>
    <w:qFormat/>
    <w:rsid w:val="00691D95"/>
    <w:pPr>
      <w:ind w:left="720"/>
    </w:pPr>
  </w:style>
  <w:style w:type="paragraph" w:styleId="Header">
    <w:name w:val="header"/>
    <w:basedOn w:val="Normal"/>
    <w:link w:val="HeaderChar"/>
    <w:rsid w:val="00691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691D9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DHA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carruj</dc:creator>
  <cp:lastModifiedBy>Keese, Marlene</cp:lastModifiedBy>
  <cp:revision>4</cp:revision>
  <cp:lastPrinted>2011-01-06T23:38:00Z</cp:lastPrinted>
  <dcterms:created xsi:type="dcterms:W3CDTF">2011-01-07T02:56:00Z</dcterms:created>
  <dcterms:modified xsi:type="dcterms:W3CDTF">2011-01-07T03:06:00Z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