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96" w:rsidRDefault="00F85296" w:rsidP="00F85296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96" w:rsidRDefault="00E506FB" w:rsidP="00F85296">
      <w:pPr>
        <w:pStyle w:val="Title"/>
        <w:pBdr>
          <w:bottom w:val="single" w:sz="4" w:space="3" w:color="auto"/>
        </w:pBdr>
      </w:pPr>
      <w:r>
        <w:t xml:space="preserve">Telecommunications (Prohibition of </w:t>
      </w:r>
      <w:r w:rsidR="001939B2">
        <w:t xml:space="preserve">Mobile Phone </w:t>
      </w:r>
      <w:r>
        <w:t>Boosters) Declaration 2011</w:t>
      </w:r>
    </w:p>
    <w:p w:rsidR="00F85296" w:rsidRDefault="00F85296" w:rsidP="00F8529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Telecommunications Act 1997</w:t>
      </w:r>
    </w:p>
    <w:p w:rsidR="00F85296" w:rsidRPr="00B65C78" w:rsidRDefault="00F85296" w:rsidP="00F85296">
      <w:pPr>
        <w:spacing w:before="360"/>
        <w:jc w:val="both"/>
      </w:pPr>
      <w:r>
        <w:t xml:space="preserve">The AUSTRALIAN COMMUNICATIONS AND MEDIA AUTHORITY makes this Declaration under </w:t>
      </w:r>
      <w:r w:rsidR="00E506FB">
        <w:t>sub</w:t>
      </w:r>
      <w:r>
        <w:t>section 450</w:t>
      </w:r>
      <w:r w:rsidR="00E506FB">
        <w:t>(1)</w:t>
      </w:r>
      <w:r>
        <w:t xml:space="preserve"> of the </w:t>
      </w:r>
      <w:r>
        <w:rPr>
          <w:i/>
        </w:rPr>
        <w:t>Telecommunications Act 1997</w:t>
      </w:r>
      <w:r>
        <w:t>.</w:t>
      </w:r>
    </w:p>
    <w:p w:rsidR="004975AE" w:rsidRDefault="004975AE" w:rsidP="00F85296">
      <w:pPr>
        <w:tabs>
          <w:tab w:val="left" w:pos="3119"/>
        </w:tabs>
        <w:spacing w:before="300" w:after="600" w:line="300" w:lineRule="atLeast"/>
      </w:pPr>
    </w:p>
    <w:p w:rsidR="00F85296" w:rsidRDefault="00F85296" w:rsidP="00F85296">
      <w:pPr>
        <w:tabs>
          <w:tab w:val="left" w:pos="3119"/>
        </w:tabs>
        <w:spacing w:before="300" w:after="600" w:line="300" w:lineRule="atLeast"/>
      </w:pPr>
      <w:r>
        <w:t xml:space="preserve">Dated </w:t>
      </w:r>
      <w:bookmarkStart w:id="0" w:name="Year"/>
      <w:r w:rsidR="00E506FB">
        <w:t xml:space="preserve">                          </w:t>
      </w:r>
      <w:r w:rsidR="00605937">
        <w:t xml:space="preserve"> </w:t>
      </w:r>
      <w:r w:rsidR="004975AE">
        <w:t xml:space="preserve">             </w:t>
      </w:r>
      <w:r w:rsidR="00605937">
        <w:t xml:space="preserve"> </w:t>
      </w:r>
      <w:r w:rsidR="00330D96">
        <w:t xml:space="preserve">17 May </w:t>
      </w:r>
      <w:r>
        <w:t>201</w:t>
      </w:r>
      <w:bookmarkEnd w:id="0"/>
      <w:r>
        <w:t>1</w:t>
      </w:r>
    </w:p>
    <w:p w:rsidR="00637855" w:rsidRPr="00330D96" w:rsidRDefault="00330D96" w:rsidP="00330D96">
      <w:pPr>
        <w:pStyle w:val="NoSpacing"/>
        <w:jc w:val="right"/>
        <w:rPr>
          <w:i/>
        </w:rPr>
      </w:pPr>
      <w:r>
        <w:rPr>
          <w:i/>
        </w:rPr>
        <w:t>Chris Chapman</w:t>
      </w:r>
    </w:p>
    <w:p w:rsidR="00330D96" w:rsidRDefault="00330D96" w:rsidP="00330D96">
      <w:pPr>
        <w:pStyle w:val="NoSpacing"/>
        <w:jc w:val="right"/>
      </w:pPr>
      <w:r>
        <w:t>[signed]</w:t>
      </w:r>
    </w:p>
    <w:p w:rsidR="00F85296" w:rsidRDefault="00F85296" w:rsidP="00330D96">
      <w:pPr>
        <w:pStyle w:val="NoSpacing"/>
        <w:jc w:val="right"/>
      </w:pPr>
      <w:r>
        <w:t>Member</w:t>
      </w:r>
    </w:p>
    <w:p w:rsidR="00637855" w:rsidRPr="00330D96" w:rsidRDefault="00F85296" w:rsidP="00330D96">
      <w:pPr>
        <w:pStyle w:val="NoSpacing"/>
        <w:jc w:val="right"/>
        <w:rPr>
          <w:i/>
        </w:rPr>
      </w:pPr>
      <w:r>
        <w:br/>
      </w:r>
      <w:r w:rsidR="00330D96">
        <w:rPr>
          <w:i/>
        </w:rPr>
        <w:t>Richard Bean</w:t>
      </w:r>
    </w:p>
    <w:p w:rsidR="00330D96" w:rsidRDefault="00330D96" w:rsidP="00330D96">
      <w:pPr>
        <w:pStyle w:val="NoSpacing"/>
        <w:jc w:val="right"/>
      </w:pPr>
      <w:r>
        <w:t>[signed]</w:t>
      </w:r>
    </w:p>
    <w:p w:rsidR="00F85296" w:rsidRDefault="00F85296" w:rsidP="00330D96">
      <w:pPr>
        <w:pStyle w:val="NoSpacing"/>
        <w:jc w:val="right"/>
      </w:pPr>
      <w:r>
        <w:t>Member/</w:t>
      </w:r>
      <w:r w:rsidRPr="00330D96">
        <w:rPr>
          <w:strike/>
        </w:rPr>
        <w:t>General Manager</w:t>
      </w:r>
    </w:p>
    <w:p w:rsidR="000F0206" w:rsidRDefault="000F0206" w:rsidP="00F85296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</w:p>
    <w:p w:rsidR="00867BEF" w:rsidRDefault="00867BEF" w:rsidP="00F85296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F85296" w:rsidRDefault="00F85296" w:rsidP="00F85296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Australian Communications and Media Authority</w:t>
      </w:r>
      <w:bookmarkEnd w:id="1"/>
    </w:p>
    <w:p w:rsidR="00F85296" w:rsidRDefault="00F85296" w:rsidP="00F85296">
      <w:pPr>
        <w:pStyle w:val="SigningPageBreak"/>
        <w:sectPr w:rsidR="00F85296" w:rsidSect="00F85296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DB207D" w:rsidRDefault="00DB207D" w:rsidP="00DB207D">
      <w:pPr>
        <w:rPr>
          <w:rFonts w:ascii="Arial" w:hAnsi="Arial" w:cs="Arial"/>
          <w:b/>
        </w:rPr>
      </w:pPr>
    </w:p>
    <w:p w:rsidR="00F85296" w:rsidRPr="00DB207D" w:rsidRDefault="00F85296" w:rsidP="00DB207D">
      <w:pPr>
        <w:rPr>
          <w:rFonts w:ascii="Arial" w:hAnsi="Arial" w:cs="Arial"/>
          <w:b/>
        </w:rPr>
      </w:pPr>
      <w:r w:rsidRPr="00DB207D">
        <w:rPr>
          <w:rFonts w:ascii="Arial" w:hAnsi="Arial" w:cs="Arial"/>
          <w:b/>
        </w:rPr>
        <w:t>1</w:t>
      </w:r>
      <w:r w:rsidRPr="00DB207D">
        <w:rPr>
          <w:rFonts w:ascii="Arial" w:hAnsi="Arial" w:cs="Arial"/>
          <w:b/>
        </w:rPr>
        <w:tab/>
        <w:t>Name of Declaration</w:t>
      </w:r>
    </w:p>
    <w:p w:rsidR="00DB207D" w:rsidRDefault="00F85296" w:rsidP="00DB207D">
      <w:r>
        <w:tab/>
      </w:r>
      <w:r>
        <w:tab/>
      </w:r>
    </w:p>
    <w:p w:rsidR="00F85296" w:rsidRDefault="00F85296" w:rsidP="00DB207D">
      <w:pPr>
        <w:ind w:left="709"/>
      </w:pPr>
      <w:r>
        <w:t xml:space="preserve">This </w:t>
      </w:r>
      <w:r w:rsidR="00605937">
        <w:t>D</w:t>
      </w:r>
      <w:r>
        <w:t>eclaration is the</w:t>
      </w:r>
      <w:r w:rsidR="00DB207D">
        <w:t xml:space="preserve"> </w:t>
      </w:r>
      <w:r w:rsidR="00605937">
        <w:rPr>
          <w:i/>
        </w:rPr>
        <w:t xml:space="preserve">Telecommunications (Prohibition of </w:t>
      </w:r>
      <w:r w:rsidR="001939B2">
        <w:rPr>
          <w:i/>
        </w:rPr>
        <w:t xml:space="preserve">Mobile Phone </w:t>
      </w:r>
      <w:r w:rsidR="00605937">
        <w:rPr>
          <w:i/>
        </w:rPr>
        <w:t>Boosters) Declaration 2011</w:t>
      </w:r>
      <w:r w:rsidRPr="00F85296">
        <w:rPr>
          <w:i/>
        </w:rPr>
        <w:t>.</w:t>
      </w:r>
      <w:r>
        <w:t xml:space="preserve"> </w:t>
      </w:r>
    </w:p>
    <w:p w:rsidR="00DB207D" w:rsidRPr="00DB207D" w:rsidRDefault="00DB207D" w:rsidP="00DB207D"/>
    <w:p w:rsidR="00F85296" w:rsidRPr="00DB207D" w:rsidRDefault="00F85296" w:rsidP="00DB207D">
      <w:pPr>
        <w:rPr>
          <w:rFonts w:ascii="Arial" w:hAnsi="Arial" w:cs="Arial"/>
          <w:b/>
        </w:rPr>
      </w:pPr>
      <w:r w:rsidRPr="00DB207D">
        <w:rPr>
          <w:rFonts w:ascii="Arial" w:hAnsi="Arial" w:cs="Arial"/>
          <w:b/>
        </w:rPr>
        <w:t>2</w:t>
      </w:r>
      <w:r w:rsidRPr="00DB207D">
        <w:rPr>
          <w:rFonts w:ascii="Arial" w:hAnsi="Arial" w:cs="Arial"/>
          <w:b/>
        </w:rPr>
        <w:tab/>
        <w:t>Commencement</w:t>
      </w:r>
    </w:p>
    <w:p w:rsidR="00DB207D" w:rsidRDefault="004A7BBD" w:rsidP="00DB207D">
      <w:r>
        <w:tab/>
      </w:r>
      <w:r>
        <w:tab/>
      </w:r>
    </w:p>
    <w:p w:rsidR="00F85296" w:rsidRDefault="004A7BBD" w:rsidP="00DB207D">
      <w:pPr>
        <w:ind w:firstLine="720"/>
      </w:pPr>
      <w:r>
        <w:t xml:space="preserve">This </w:t>
      </w:r>
      <w:r w:rsidR="00095243">
        <w:t>D</w:t>
      </w:r>
      <w:r>
        <w:t>eclaration</w:t>
      </w:r>
      <w:r w:rsidR="00260E40">
        <w:t xml:space="preserve"> commences </w:t>
      </w:r>
      <w:r w:rsidR="00F85296">
        <w:t xml:space="preserve">on </w:t>
      </w:r>
      <w:r>
        <w:t xml:space="preserve">the day after it is registered. </w:t>
      </w:r>
    </w:p>
    <w:p w:rsidR="009737A7" w:rsidRDefault="009737A7" w:rsidP="00DB207D">
      <w:pPr>
        <w:ind w:firstLine="720"/>
      </w:pPr>
    </w:p>
    <w:p w:rsidR="009737A7" w:rsidRPr="005054A6" w:rsidRDefault="009737A7" w:rsidP="009737A7">
      <w:pPr>
        <w:ind w:left="2127" w:hanging="698"/>
        <w:rPr>
          <w:i/>
          <w:sz w:val="20"/>
          <w:szCs w:val="20"/>
        </w:rPr>
      </w:pPr>
      <w:r w:rsidRPr="005054A6">
        <w:rPr>
          <w:i/>
          <w:sz w:val="20"/>
          <w:szCs w:val="20"/>
        </w:rPr>
        <w:t>Note</w:t>
      </w:r>
      <w:r w:rsidRPr="005054A6">
        <w:rPr>
          <w:i/>
          <w:color w:val="000000"/>
          <w:sz w:val="20"/>
          <w:szCs w:val="20"/>
        </w:rPr>
        <w:t>:</w:t>
      </w:r>
      <w:r w:rsidRPr="005054A6">
        <w:rPr>
          <w:i/>
          <w:color w:val="000000"/>
          <w:sz w:val="20"/>
          <w:szCs w:val="20"/>
        </w:rPr>
        <w:tab/>
        <w:t xml:space="preserve">All legislative instruments and compilations are registered on the Federal Register of Legislative Instruments kept under the </w:t>
      </w:r>
      <w:r w:rsidRPr="00EE26CF">
        <w:rPr>
          <w:color w:val="000000"/>
          <w:sz w:val="20"/>
          <w:szCs w:val="20"/>
        </w:rPr>
        <w:t>Legislative Instruments Act 2003</w:t>
      </w:r>
      <w:r w:rsidRPr="005054A6">
        <w:rPr>
          <w:i/>
          <w:color w:val="000000"/>
          <w:sz w:val="20"/>
          <w:szCs w:val="20"/>
        </w:rPr>
        <w:t xml:space="preserve">. See </w:t>
      </w:r>
      <w:r w:rsidRPr="005054A6">
        <w:rPr>
          <w:i/>
          <w:color w:val="000000"/>
          <w:sz w:val="20"/>
          <w:szCs w:val="20"/>
          <w:u w:val="single"/>
        </w:rPr>
        <w:t>http://www.frli.gov.au</w:t>
      </w:r>
      <w:r w:rsidRPr="005054A6">
        <w:rPr>
          <w:i/>
          <w:color w:val="000000"/>
          <w:sz w:val="20"/>
          <w:szCs w:val="20"/>
        </w:rPr>
        <w:t>.</w:t>
      </w:r>
    </w:p>
    <w:p w:rsidR="008B3837" w:rsidRDefault="008B3837" w:rsidP="003B3A87">
      <w:pPr>
        <w:rPr>
          <w:rFonts w:ascii="Arial" w:hAnsi="Arial" w:cs="Arial"/>
          <w:b/>
        </w:rPr>
      </w:pPr>
    </w:p>
    <w:p w:rsidR="003B3A87" w:rsidRDefault="0036756B" w:rsidP="003B3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B3A87">
        <w:rPr>
          <w:rFonts w:ascii="Arial" w:hAnsi="Arial" w:cs="Arial"/>
          <w:b/>
        </w:rPr>
        <w:tab/>
      </w:r>
      <w:r w:rsidR="00897D16">
        <w:rPr>
          <w:rFonts w:ascii="Arial" w:hAnsi="Arial" w:cs="Arial"/>
          <w:b/>
        </w:rPr>
        <w:t>Definition</w:t>
      </w:r>
      <w:r w:rsidR="008212BA">
        <w:rPr>
          <w:rFonts w:ascii="Arial" w:hAnsi="Arial" w:cs="Arial"/>
          <w:b/>
        </w:rPr>
        <w:t>s</w:t>
      </w:r>
    </w:p>
    <w:p w:rsidR="003B3A87" w:rsidRDefault="00897D16" w:rsidP="003B3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97D16" w:rsidRDefault="00897D16" w:rsidP="003B3A87">
      <w:r>
        <w:rPr>
          <w:rFonts w:ascii="Arial" w:hAnsi="Arial" w:cs="Arial"/>
          <w:b/>
        </w:rPr>
        <w:tab/>
      </w:r>
      <w:r>
        <w:t xml:space="preserve">In this </w:t>
      </w:r>
      <w:r w:rsidR="008212BA">
        <w:t>D</w:t>
      </w:r>
      <w:r>
        <w:t>eclaration:</w:t>
      </w:r>
    </w:p>
    <w:p w:rsidR="00897D16" w:rsidRDefault="00897D16" w:rsidP="003B3A87">
      <w:r>
        <w:tab/>
      </w:r>
    </w:p>
    <w:p w:rsidR="005C515C" w:rsidRDefault="006C10FD" w:rsidP="007E31E4">
      <w:pPr>
        <w:ind w:left="709"/>
      </w:pPr>
      <w:r>
        <w:rPr>
          <w:b/>
          <w:i/>
        </w:rPr>
        <w:t>Act</w:t>
      </w:r>
      <w:r>
        <w:t xml:space="preserve"> means the </w:t>
      </w:r>
      <w:r w:rsidRPr="006C10FD">
        <w:rPr>
          <w:i/>
        </w:rPr>
        <w:t>Telecommunications Act 1997</w:t>
      </w:r>
      <w:r>
        <w:t>.</w:t>
      </w:r>
    </w:p>
    <w:p w:rsidR="005C515C" w:rsidRDefault="005C515C" w:rsidP="007E31E4">
      <w:pPr>
        <w:ind w:left="709"/>
      </w:pPr>
    </w:p>
    <w:p w:rsidR="00020C13" w:rsidRDefault="008A429C" w:rsidP="003E2F9C">
      <w:pPr>
        <w:ind w:left="709"/>
        <w:rPr>
          <w:b/>
          <w:i/>
        </w:rPr>
      </w:pPr>
      <w:r w:rsidRPr="008A429C">
        <w:rPr>
          <w:b/>
          <w:i/>
        </w:rPr>
        <w:t>base station</w:t>
      </w:r>
      <w:r>
        <w:t xml:space="preserve"> means a station that is part of a telecommunications network by means of which a public mobile telecommunications service is supplied. </w:t>
      </w:r>
      <w:r w:rsidR="007E31E4">
        <w:br/>
      </w:r>
    </w:p>
    <w:p w:rsidR="00B30D4C" w:rsidRDefault="00B30D4C" w:rsidP="000644A1">
      <w:pPr>
        <w:ind w:left="720"/>
      </w:pPr>
      <w:r>
        <w:rPr>
          <w:b/>
          <w:i/>
        </w:rPr>
        <w:t>frequency band</w:t>
      </w:r>
      <w:r>
        <w:t xml:space="preserve"> has the same meaning as in the </w:t>
      </w:r>
      <w:r w:rsidR="00061BE1" w:rsidRPr="00061BE1">
        <w:rPr>
          <w:i/>
        </w:rPr>
        <w:t>Radiocommunications Act 1992</w:t>
      </w:r>
      <w:r>
        <w:t>.</w:t>
      </w:r>
    </w:p>
    <w:p w:rsidR="00B30D4C" w:rsidRDefault="00B30D4C" w:rsidP="00352551">
      <w:pPr>
        <w:rPr>
          <w:b/>
          <w:i/>
        </w:rPr>
      </w:pPr>
    </w:p>
    <w:p w:rsidR="00CA186D" w:rsidRPr="0036756B" w:rsidRDefault="00CA186D" w:rsidP="00CA186D">
      <w:pPr>
        <w:ind w:left="720"/>
      </w:pPr>
      <w:r>
        <w:rPr>
          <w:b/>
          <w:i/>
        </w:rPr>
        <w:t xml:space="preserve">mobile phone booster </w:t>
      </w:r>
      <w:r>
        <w:t xml:space="preserve">has the meaning given by section 4.  </w:t>
      </w:r>
    </w:p>
    <w:p w:rsidR="00CA186D" w:rsidRDefault="00CA186D" w:rsidP="000644A1">
      <w:pPr>
        <w:ind w:left="720"/>
        <w:rPr>
          <w:b/>
          <w:i/>
        </w:rPr>
      </w:pPr>
    </w:p>
    <w:p w:rsidR="0036756B" w:rsidRDefault="0068480A" w:rsidP="007B37C6">
      <w:pPr>
        <w:ind w:left="720"/>
        <w:rPr>
          <w:b/>
          <w:i/>
        </w:rPr>
      </w:pPr>
      <w:r w:rsidRPr="0068480A">
        <w:rPr>
          <w:b/>
          <w:i/>
        </w:rPr>
        <w:t>mobile station</w:t>
      </w:r>
      <w:r>
        <w:t xml:space="preserve"> has the same meaning as in the </w:t>
      </w:r>
      <w:r w:rsidRPr="0068480A">
        <w:rPr>
          <w:i/>
        </w:rPr>
        <w:t>Radiocommunications (Interpretation) Determination 2000</w:t>
      </w:r>
      <w:r>
        <w:t>.</w:t>
      </w:r>
    </w:p>
    <w:p w:rsidR="00020C13" w:rsidRDefault="00020C13" w:rsidP="007B37C6">
      <w:pPr>
        <w:ind w:left="720"/>
      </w:pPr>
    </w:p>
    <w:p w:rsidR="00554EFA" w:rsidRDefault="00554EFA" w:rsidP="007B37C6">
      <w:pPr>
        <w:ind w:left="720"/>
      </w:pPr>
      <w:r>
        <w:rPr>
          <w:b/>
          <w:i/>
        </w:rPr>
        <w:t>radio emission</w:t>
      </w:r>
      <w:r>
        <w:t xml:space="preserve"> has the same meaning as in the </w:t>
      </w:r>
      <w:r w:rsidRPr="00554EFA">
        <w:rPr>
          <w:i/>
        </w:rPr>
        <w:t>Radiocommunications Act 1992</w:t>
      </w:r>
      <w:r>
        <w:t>.</w:t>
      </w:r>
    </w:p>
    <w:p w:rsidR="00B71E4A" w:rsidRDefault="00B71E4A" w:rsidP="007B37C6">
      <w:pPr>
        <w:ind w:left="720"/>
      </w:pPr>
    </w:p>
    <w:p w:rsidR="00B71E4A" w:rsidRPr="00554EFA" w:rsidRDefault="000425C9" w:rsidP="007B37C6">
      <w:pPr>
        <w:ind w:left="720"/>
      </w:pPr>
      <w:r w:rsidRPr="000425C9">
        <w:rPr>
          <w:b/>
          <w:i/>
        </w:rPr>
        <w:t>s</w:t>
      </w:r>
      <w:r w:rsidR="00B71E4A" w:rsidRPr="000425C9">
        <w:rPr>
          <w:b/>
          <w:i/>
        </w:rPr>
        <w:t>tation</w:t>
      </w:r>
      <w:r w:rsidR="00B71E4A">
        <w:t xml:space="preserve"> has the same meaning as in the </w:t>
      </w:r>
      <w:r w:rsidRPr="000425C9">
        <w:rPr>
          <w:i/>
        </w:rPr>
        <w:t>Radiocommunications (Interpretation) Determination 2000</w:t>
      </w:r>
      <w:r>
        <w:t>.</w:t>
      </w:r>
    </w:p>
    <w:p w:rsidR="004928D1" w:rsidRDefault="004928D1" w:rsidP="007B37C6">
      <w:pPr>
        <w:ind w:left="720"/>
      </w:pPr>
    </w:p>
    <w:p w:rsidR="004928D1" w:rsidRPr="004928D1" w:rsidRDefault="004928D1" w:rsidP="004928D1">
      <w:pPr>
        <w:ind w:left="1418" w:hanging="709"/>
        <w:rPr>
          <w:i/>
          <w:sz w:val="20"/>
          <w:szCs w:val="20"/>
        </w:rPr>
      </w:pPr>
      <w:r w:rsidRPr="004928D1">
        <w:rPr>
          <w:i/>
          <w:sz w:val="20"/>
          <w:szCs w:val="20"/>
        </w:rPr>
        <w:t>Note:</w:t>
      </w:r>
      <w:r w:rsidRPr="004928D1">
        <w:rPr>
          <w:i/>
          <w:sz w:val="20"/>
          <w:szCs w:val="20"/>
        </w:rPr>
        <w:tab/>
        <w:t xml:space="preserve">The terms “customer equipment”, “public mobile telecommunications service” and “telecommunications network” are defined in the Act. </w:t>
      </w:r>
    </w:p>
    <w:p w:rsidR="007B37C6" w:rsidRDefault="007B37C6" w:rsidP="003B3A87">
      <w:pPr>
        <w:rPr>
          <w:rFonts w:ascii="Arial" w:hAnsi="Arial" w:cs="Arial"/>
          <w:b/>
        </w:rPr>
      </w:pPr>
    </w:p>
    <w:p w:rsidR="008212BA" w:rsidRPr="003B3A87" w:rsidRDefault="0036756B" w:rsidP="008212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8212BA" w:rsidRPr="003B3A87">
        <w:rPr>
          <w:rFonts w:ascii="Arial" w:hAnsi="Arial" w:cs="Arial"/>
          <w:b/>
        </w:rPr>
        <w:tab/>
      </w:r>
      <w:r w:rsidR="006656FF">
        <w:rPr>
          <w:rFonts w:ascii="Arial" w:hAnsi="Arial" w:cs="Arial"/>
          <w:b/>
        </w:rPr>
        <w:t xml:space="preserve">Meaning of </w:t>
      </w:r>
      <w:r w:rsidR="000A731D">
        <w:rPr>
          <w:rFonts w:ascii="Arial" w:hAnsi="Arial" w:cs="Arial"/>
          <w:b/>
        </w:rPr>
        <w:t>mobile phone b</w:t>
      </w:r>
      <w:r w:rsidR="006656FF">
        <w:rPr>
          <w:rFonts w:ascii="Arial" w:hAnsi="Arial" w:cs="Arial"/>
          <w:b/>
        </w:rPr>
        <w:t>ooster</w:t>
      </w:r>
    </w:p>
    <w:p w:rsidR="008212BA" w:rsidRDefault="008212BA" w:rsidP="008212BA">
      <w:r>
        <w:tab/>
      </w:r>
    </w:p>
    <w:p w:rsidR="00A42CE0" w:rsidRDefault="00C41EAB" w:rsidP="00C41EAB">
      <w:pPr>
        <w:ind w:left="720" w:hanging="720"/>
      </w:pPr>
      <w:r>
        <w:t>(1)</w:t>
      </w:r>
      <w:r>
        <w:tab/>
      </w:r>
      <w:r w:rsidR="006C10FD">
        <w:t>For the purposes of this Declaration,</w:t>
      </w:r>
      <w:r w:rsidR="00A42CE0">
        <w:t xml:space="preserve"> </w:t>
      </w:r>
      <w:r w:rsidR="00A17E2D">
        <w:rPr>
          <w:b/>
          <w:i/>
        </w:rPr>
        <w:t xml:space="preserve">mobile phone </w:t>
      </w:r>
      <w:r w:rsidR="00A42CE0" w:rsidRPr="001F59C5">
        <w:rPr>
          <w:b/>
          <w:i/>
        </w:rPr>
        <w:t>booster</w:t>
      </w:r>
      <w:r w:rsidR="00A42CE0">
        <w:t xml:space="preserve"> means customer equipment that:</w:t>
      </w:r>
    </w:p>
    <w:p w:rsidR="00A42CE0" w:rsidRDefault="00A42CE0" w:rsidP="008212BA">
      <w:pPr>
        <w:ind w:left="720"/>
      </w:pPr>
    </w:p>
    <w:p w:rsidR="00A42CE0" w:rsidRDefault="00A42CE0" w:rsidP="0009323E">
      <w:pPr>
        <w:ind w:left="1418" w:hanging="698"/>
      </w:pPr>
      <w:r>
        <w:t>(a)</w:t>
      </w:r>
      <w:r>
        <w:tab/>
      </w:r>
      <w:r w:rsidR="00203CB7">
        <w:t>connects</w:t>
      </w:r>
      <w:r w:rsidR="00D316BF">
        <w:t>, by means of</w:t>
      </w:r>
      <w:r w:rsidR="002842D0">
        <w:t xml:space="preserve"> physical</w:t>
      </w:r>
      <w:r>
        <w:t xml:space="preserve"> </w:t>
      </w:r>
      <w:r w:rsidR="002842D0">
        <w:t>contact</w:t>
      </w:r>
      <w:r w:rsidR="00D316BF">
        <w:t>,</w:t>
      </w:r>
      <w:r w:rsidR="002842D0">
        <w:t xml:space="preserve"> with</w:t>
      </w:r>
      <w:r>
        <w:t xml:space="preserve"> a mobile station</w:t>
      </w:r>
      <w:r w:rsidR="007C1F80">
        <w:t>;</w:t>
      </w:r>
      <w:r>
        <w:t xml:space="preserve"> </w:t>
      </w:r>
    </w:p>
    <w:p w:rsidR="00E37E9D" w:rsidRDefault="00E37E9D" w:rsidP="0009323E">
      <w:pPr>
        <w:ind w:left="1418" w:hanging="698"/>
      </w:pPr>
    </w:p>
    <w:p w:rsidR="00AE1E80" w:rsidRPr="00AE1E80" w:rsidRDefault="00AE1E80" w:rsidP="00AE1E80">
      <w:pPr>
        <w:ind w:left="2127" w:hanging="698"/>
        <w:rPr>
          <w:i/>
          <w:sz w:val="20"/>
          <w:szCs w:val="20"/>
        </w:rPr>
      </w:pPr>
      <w:r w:rsidRPr="00AE1E80">
        <w:rPr>
          <w:i/>
          <w:sz w:val="20"/>
          <w:szCs w:val="20"/>
        </w:rPr>
        <w:t>Note:</w:t>
      </w:r>
      <w:r w:rsidRPr="00AE1E80">
        <w:rPr>
          <w:i/>
          <w:sz w:val="20"/>
          <w:szCs w:val="20"/>
        </w:rPr>
        <w:tab/>
        <w:t>A mobile handset is an example of a mobile station.</w:t>
      </w:r>
    </w:p>
    <w:p w:rsidR="00AE1E80" w:rsidRDefault="00AE1E80" w:rsidP="0009323E">
      <w:pPr>
        <w:ind w:left="1418" w:hanging="698"/>
      </w:pPr>
    </w:p>
    <w:p w:rsidR="000337BC" w:rsidRDefault="000337BC" w:rsidP="0009323E">
      <w:pPr>
        <w:ind w:left="1418" w:hanging="698"/>
      </w:pPr>
      <w:r>
        <w:t>(b)</w:t>
      </w:r>
      <w:r>
        <w:tab/>
      </w:r>
      <w:r w:rsidR="00D028CB">
        <w:t>transmits radio emissions to</w:t>
      </w:r>
      <w:r w:rsidR="00925015">
        <w:t>, and receives radio emissions from,</w:t>
      </w:r>
      <w:r w:rsidR="00AC53C1">
        <w:t xml:space="preserve"> </w:t>
      </w:r>
      <w:r w:rsidR="00D028CB">
        <w:t xml:space="preserve">a </w:t>
      </w:r>
      <w:r w:rsidR="009C7448">
        <w:t xml:space="preserve">base </w:t>
      </w:r>
      <w:r w:rsidR="00D028CB">
        <w:t>station</w:t>
      </w:r>
      <w:r>
        <w:t>;</w:t>
      </w:r>
    </w:p>
    <w:p w:rsidR="000337BC" w:rsidRDefault="000337BC" w:rsidP="0009323E">
      <w:pPr>
        <w:ind w:left="1418" w:hanging="698"/>
      </w:pPr>
    </w:p>
    <w:p w:rsidR="00E37E9D" w:rsidRDefault="00E37E9D" w:rsidP="0009323E">
      <w:pPr>
        <w:ind w:left="1418" w:hanging="698"/>
      </w:pPr>
      <w:r>
        <w:t>(</w:t>
      </w:r>
      <w:r w:rsidR="00020C13">
        <w:t>c</w:t>
      </w:r>
      <w:r>
        <w:t>)</w:t>
      </w:r>
      <w:r>
        <w:tab/>
        <w:t>amplifies</w:t>
      </w:r>
      <w:r w:rsidR="00ED5EBB">
        <w:t xml:space="preserve"> </w:t>
      </w:r>
      <w:r w:rsidR="00020C13">
        <w:t xml:space="preserve">radio emissions </w:t>
      </w:r>
      <w:r>
        <w:t xml:space="preserve">transmitted to the </w:t>
      </w:r>
      <w:r w:rsidR="006A77EE">
        <w:t>base station</w:t>
      </w:r>
      <w:r w:rsidR="007C1F80">
        <w:t>;</w:t>
      </w:r>
      <w:r w:rsidR="007149E3">
        <w:t xml:space="preserve"> </w:t>
      </w:r>
    </w:p>
    <w:p w:rsidR="00E37E9D" w:rsidRDefault="00E37E9D" w:rsidP="0009323E">
      <w:pPr>
        <w:ind w:left="1418" w:hanging="698"/>
      </w:pPr>
    </w:p>
    <w:p w:rsidR="00E37E9D" w:rsidRDefault="00E37E9D" w:rsidP="0009323E">
      <w:pPr>
        <w:ind w:left="1418" w:hanging="698"/>
      </w:pPr>
      <w:r>
        <w:t>(</w:t>
      </w:r>
      <w:r w:rsidR="00A80E31">
        <w:t>d</w:t>
      </w:r>
      <w:r>
        <w:t>)</w:t>
      </w:r>
      <w:r>
        <w:tab/>
      </w:r>
      <w:r w:rsidR="0054712F">
        <w:t xml:space="preserve">draws power from a </w:t>
      </w:r>
      <w:r w:rsidR="00631F38">
        <w:t>power</w:t>
      </w:r>
      <w:r w:rsidR="00A80E31">
        <w:t xml:space="preserve"> source</w:t>
      </w:r>
      <w:r w:rsidR="0054712F">
        <w:t>;</w:t>
      </w:r>
      <w:r w:rsidR="007C1F80">
        <w:t xml:space="preserve"> </w:t>
      </w:r>
    </w:p>
    <w:p w:rsidR="00E37E9D" w:rsidRDefault="00E37E9D" w:rsidP="0009323E">
      <w:pPr>
        <w:ind w:left="1418" w:hanging="698"/>
      </w:pPr>
    </w:p>
    <w:p w:rsidR="00ED5EBB" w:rsidRDefault="00E37E9D" w:rsidP="0009323E">
      <w:pPr>
        <w:ind w:left="1418" w:hanging="698"/>
      </w:pPr>
      <w:r>
        <w:t>(</w:t>
      </w:r>
      <w:r w:rsidR="00A80E31">
        <w:t>e</w:t>
      </w:r>
      <w:r>
        <w:t>)</w:t>
      </w:r>
      <w:r>
        <w:tab/>
        <w:t>operates within one or more frequency bands used for the supply of a public mobile telecommunications service</w:t>
      </w:r>
      <w:r w:rsidR="00C41EAB">
        <w:t xml:space="preserve">; </w:t>
      </w:r>
      <w:r w:rsidR="005D5CA6">
        <w:t>and</w:t>
      </w:r>
    </w:p>
    <w:p w:rsidR="00C41EAB" w:rsidRDefault="00C41EAB" w:rsidP="005D5CA6"/>
    <w:p w:rsidR="00E37E9D" w:rsidRDefault="00C41EAB" w:rsidP="0009323E">
      <w:pPr>
        <w:ind w:left="1418" w:hanging="698"/>
      </w:pPr>
      <w:r>
        <w:t>(</w:t>
      </w:r>
      <w:r w:rsidR="00631F38">
        <w:t>f</w:t>
      </w:r>
      <w:r>
        <w:t>)</w:t>
      </w:r>
      <w:r>
        <w:tab/>
        <w:t>is not of a kind described in subsection (2)</w:t>
      </w:r>
      <w:r w:rsidR="00E37E9D">
        <w:t xml:space="preserve">. </w:t>
      </w:r>
    </w:p>
    <w:p w:rsidR="0009323E" w:rsidRDefault="0009323E" w:rsidP="0009323E">
      <w:pPr>
        <w:ind w:left="1418" w:hanging="698"/>
      </w:pPr>
    </w:p>
    <w:p w:rsidR="00A42CE0" w:rsidRDefault="00C41EAB" w:rsidP="00F23633">
      <w:pPr>
        <w:ind w:left="720" w:hanging="720"/>
      </w:pPr>
      <w:r>
        <w:t>(2)</w:t>
      </w:r>
      <w:r>
        <w:tab/>
      </w:r>
      <w:r w:rsidR="00F453E2">
        <w:t xml:space="preserve">The term </w:t>
      </w:r>
      <w:r w:rsidR="005C18B6">
        <w:rPr>
          <w:b/>
          <w:i/>
        </w:rPr>
        <w:t>mobile phone</w:t>
      </w:r>
      <w:r w:rsidR="005C18B6" w:rsidRPr="00F453E2">
        <w:rPr>
          <w:b/>
          <w:i/>
        </w:rPr>
        <w:t xml:space="preserve"> </w:t>
      </w:r>
      <w:r w:rsidR="00F23633" w:rsidRPr="00F453E2">
        <w:rPr>
          <w:b/>
          <w:i/>
        </w:rPr>
        <w:t>booster</w:t>
      </w:r>
      <w:r w:rsidR="00F23633">
        <w:t xml:space="preserve"> does not include c</w:t>
      </w:r>
      <w:r>
        <w:t xml:space="preserve">ustomer equipment </w:t>
      </w:r>
      <w:r w:rsidR="00F23633">
        <w:t>that</w:t>
      </w:r>
      <w:r w:rsidR="00D427FC">
        <w:t xml:space="preserve"> is manufactured in Australia solely for the purpose of being exported.</w:t>
      </w:r>
      <w:r>
        <w:t xml:space="preserve">  </w:t>
      </w:r>
    </w:p>
    <w:p w:rsidR="0089311C" w:rsidRDefault="0089311C" w:rsidP="0089311C">
      <w:pPr>
        <w:ind w:left="1418" w:hanging="698"/>
      </w:pPr>
    </w:p>
    <w:p w:rsidR="003B3A87" w:rsidRPr="00DB207D" w:rsidRDefault="003B3A87" w:rsidP="00DB2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05C32" w:rsidRPr="003B3A87">
        <w:rPr>
          <w:rFonts w:ascii="Arial" w:hAnsi="Arial" w:cs="Arial"/>
          <w:b/>
        </w:rPr>
        <w:tab/>
      </w:r>
      <w:r w:rsidR="00FC7044">
        <w:rPr>
          <w:rFonts w:ascii="Arial" w:hAnsi="Arial" w:cs="Arial"/>
          <w:b/>
        </w:rPr>
        <w:t xml:space="preserve">Prohibition of </w:t>
      </w:r>
      <w:r w:rsidR="005C18B6">
        <w:rPr>
          <w:rFonts w:ascii="Arial" w:hAnsi="Arial" w:cs="Arial"/>
          <w:b/>
        </w:rPr>
        <w:t xml:space="preserve">mobile phone </w:t>
      </w:r>
      <w:r w:rsidR="00FC7044">
        <w:rPr>
          <w:rFonts w:ascii="Arial" w:hAnsi="Arial" w:cs="Arial"/>
          <w:b/>
        </w:rPr>
        <w:t xml:space="preserve">boosters </w:t>
      </w:r>
    </w:p>
    <w:p w:rsidR="003B3A87" w:rsidRDefault="003B3A87" w:rsidP="00B05C32">
      <w:r>
        <w:tab/>
      </w:r>
    </w:p>
    <w:p w:rsidR="00DB207D" w:rsidRDefault="003B3A87" w:rsidP="00DB207D">
      <w:pPr>
        <w:ind w:left="720"/>
      </w:pPr>
      <w:r>
        <w:t>The operation or supply</w:t>
      </w:r>
      <w:r w:rsidR="009F5C04">
        <w:t xml:space="preserve"> of a </w:t>
      </w:r>
      <w:r w:rsidR="005C18B6">
        <w:t xml:space="preserve">mobile phone </w:t>
      </w:r>
      <w:r w:rsidR="009F5C04">
        <w:t>booster</w:t>
      </w:r>
      <w:r>
        <w:t xml:space="preserve">, or </w:t>
      </w:r>
      <w:r w:rsidR="009F5C04">
        <w:t xml:space="preserve">the </w:t>
      </w:r>
      <w:r>
        <w:t xml:space="preserve">possession </w:t>
      </w:r>
      <w:r w:rsidR="009F5C04">
        <w:t xml:space="preserve">of a </w:t>
      </w:r>
      <w:r w:rsidR="005C18B6">
        <w:t xml:space="preserve">mobile phone </w:t>
      </w:r>
      <w:r w:rsidR="009F5C04">
        <w:t xml:space="preserve">booster </w:t>
      </w:r>
      <w:r>
        <w:t xml:space="preserve">for the purpose of </w:t>
      </w:r>
      <w:r w:rsidR="009F5C04">
        <w:t xml:space="preserve">its </w:t>
      </w:r>
      <w:r>
        <w:t>operation or supply, is prohibited for the reasons set out in Schedule 1</w:t>
      </w:r>
      <w:r w:rsidR="009F5C04">
        <w:t xml:space="preserve"> to this Declaration</w:t>
      </w:r>
      <w:r>
        <w:t>.</w:t>
      </w:r>
      <w:r w:rsidR="00DB207D">
        <w:br/>
      </w:r>
    </w:p>
    <w:p w:rsidR="00802F19" w:rsidRPr="00DB207D" w:rsidRDefault="00DB207D" w:rsidP="00DB207D">
      <w:pPr>
        <w:rPr>
          <w:rFonts w:ascii="Arial" w:hAnsi="Arial" w:cs="Arial"/>
          <w:b/>
        </w:rPr>
      </w:pPr>
      <w:r w:rsidRPr="00DB207D">
        <w:rPr>
          <w:rFonts w:ascii="Arial" w:hAnsi="Arial" w:cs="Arial"/>
          <w:b/>
        </w:rPr>
        <w:t>6</w:t>
      </w:r>
      <w:r w:rsidR="00095243" w:rsidRPr="00DB207D">
        <w:rPr>
          <w:rFonts w:ascii="Arial" w:hAnsi="Arial" w:cs="Arial"/>
          <w:b/>
        </w:rPr>
        <w:tab/>
      </w:r>
      <w:r w:rsidR="008F4576" w:rsidRPr="00DB207D">
        <w:rPr>
          <w:rFonts w:ascii="Arial" w:hAnsi="Arial" w:cs="Arial"/>
          <w:b/>
        </w:rPr>
        <w:t>Revocation</w:t>
      </w:r>
    </w:p>
    <w:p w:rsidR="00DB207D" w:rsidRDefault="00095243" w:rsidP="00DB207D">
      <w:pPr>
        <w:ind w:left="709"/>
      </w:pPr>
      <w:r>
        <w:tab/>
      </w:r>
    </w:p>
    <w:p w:rsidR="00095243" w:rsidRDefault="00095243" w:rsidP="00DB207D">
      <w:pPr>
        <w:ind w:left="709"/>
      </w:pPr>
      <w:r>
        <w:t xml:space="preserve">The </w:t>
      </w:r>
      <w:r>
        <w:rPr>
          <w:i/>
        </w:rPr>
        <w:t xml:space="preserve">Declaration of Prohibited Customer Equipment Mobile Phone Booster Amplifiers for Global System for Mobiles (“GSM”) and Code Division Multiple Access (“CDMA”) Mobile Telecommunications Services </w:t>
      </w:r>
      <w:r w:rsidR="00E3652F">
        <w:t xml:space="preserve">dated 9 May 2001 </w:t>
      </w:r>
      <w:r>
        <w:t xml:space="preserve">is </w:t>
      </w:r>
      <w:r w:rsidR="00E3652F">
        <w:t>revoked</w:t>
      </w:r>
      <w:r>
        <w:t>.</w:t>
      </w:r>
    </w:p>
    <w:p w:rsidR="00095243" w:rsidRDefault="00095243">
      <w:pPr>
        <w:spacing w:after="200" w:line="276" w:lineRule="auto"/>
      </w:pPr>
    </w:p>
    <w:p w:rsidR="00D9419A" w:rsidRDefault="00D9419A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61CFE" w:rsidRDefault="00A61CFE" w:rsidP="00761380">
      <w:pPr>
        <w:spacing w:after="200" w:line="276" w:lineRule="auto"/>
        <w:rPr>
          <w:rFonts w:ascii="Arial" w:hAnsi="Arial" w:cs="Arial"/>
          <w:b/>
        </w:rPr>
      </w:pPr>
      <w:r w:rsidRPr="00A61CFE">
        <w:rPr>
          <w:rFonts w:ascii="Arial" w:hAnsi="Arial" w:cs="Arial"/>
          <w:b/>
        </w:rPr>
        <w:lastRenderedPageBreak/>
        <w:t>Schedule 1</w:t>
      </w:r>
      <w:r w:rsidRPr="00A61CFE">
        <w:rPr>
          <w:rFonts w:ascii="Arial" w:hAnsi="Arial" w:cs="Arial"/>
          <w:b/>
        </w:rPr>
        <w:tab/>
        <w:t>Reasons for</w:t>
      </w:r>
      <w:r w:rsidR="00515B8E">
        <w:rPr>
          <w:rFonts w:ascii="Arial" w:hAnsi="Arial" w:cs="Arial"/>
          <w:b/>
        </w:rPr>
        <w:t xml:space="preserve"> Prohibition</w:t>
      </w:r>
    </w:p>
    <w:p w:rsidR="005C535D" w:rsidRPr="005C535D" w:rsidRDefault="005C535D" w:rsidP="004A7BBD">
      <w:r w:rsidRPr="005C535D">
        <w:tab/>
      </w:r>
      <w:r w:rsidRPr="005C535D">
        <w:tab/>
        <w:t>(Section 5)</w:t>
      </w:r>
    </w:p>
    <w:p w:rsidR="005C535D" w:rsidRDefault="005C535D" w:rsidP="004A7BBD">
      <w:pPr>
        <w:rPr>
          <w:rFonts w:ascii="Arial" w:hAnsi="Arial" w:cs="Arial"/>
          <w:b/>
        </w:rPr>
      </w:pPr>
    </w:p>
    <w:p w:rsidR="005C535D" w:rsidRDefault="005C535D" w:rsidP="005C535D">
      <w:pPr>
        <w:ind w:left="709" w:hanging="709"/>
      </w:pPr>
      <w:r>
        <w:t>1.</w:t>
      </w:r>
      <w:r>
        <w:tab/>
        <w:t xml:space="preserve">The operation or supply of </w:t>
      </w:r>
      <w:r w:rsidR="005C18B6">
        <w:t xml:space="preserve">a mobile phone </w:t>
      </w:r>
      <w:r>
        <w:t xml:space="preserve">booster, and the possession of a </w:t>
      </w:r>
      <w:r w:rsidR="005C18B6">
        <w:t xml:space="preserve">mobile phone </w:t>
      </w:r>
      <w:r>
        <w:t xml:space="preserve">booster for the purpose of its operation or supply, </w:t>
      </w:r>
      <w:r w:rsidR="005C18B6">
        <w:t xml:space="preserve">are </w:t>
      </w:r>
      <w:r>
        <w:t>prohibited for the reasons set out below.</w:t>
      </w:r>
    </w:p>
    <w:p w:rsidR="005C535D" w:rsidRDefault="005C535D" w:rsidP="005C535D">
      <w:pPr>
        <w:ind w:left="709" w:hanging="709"/>
      </w:pPr>
    </w:p>
    <w:p w:rsidR="00887994" w:rsidRDefault="005C535D" w:rsidP="008211CD">
      <w:pPr>
        <w:ind w:left="709" w:hanging="709"/>
      </w:pPr>
      <w:r>
        <w:t>2.</w:t>
      </w:r>
      <w:r>
        <w:tab/>
      </w:r>
      <w:r w:rsidR="00C6784D" w:rsidRPr="00C6784D">
        <w:t xml:space="preserve">The </w:t>
      </w:r>
      <w:r w:rsidR="009F2BEC">
        <w:t xml:space="preserve">integrity of </w:t>
      </w:r>
      <w:r w:rsidR="00490E0C">
        <w:t xml:space="preserve">the </w:t>
      </w:r>
      <w:r w:rsidR="009F2BEC">
        <w:t>telecommunications network</w:t>
      </w:r>
      <w:r w:rsidR="00E45A76">
        <w:t>s</w:t>
      </w:r>
      <w:r w:rsidR="009F2BEC">
        <w:t xml:space="preserve"> </w:t>
      </w:r>
      <w:r w:rsidR="00E45A76">
        <w:t>by means of which</w:t>
      </w:r>
      <w:r w:rsidR="00CA3511">
        <w:t xml:space="preserve"> public mobile telecommunications service</w:t>
      </w:r>
      <w:r w:rsidR="00E45A76">
        <w:t>s</w:t>
      </w:r>
      <w:r w:rsidR="00CA3511">
        <w:t xml:space="preserve"> </w:t>
      </w:r>
      <w:r w:rsidR="00E45A76">
        <w:t>are</w:t>
      </w:r>
      <w:r w:rsidR="00CA3511">
        <w:t xml:space="preserve"> supplied </w:t>
      </w:r>
      <w:r w:rsidR="00490E0C">
        <w:t>is at risk from</w:t>
      </w:r>
      <w:r w:rsidR="009F2BEC">
        <w:t xml:space="preserve"> t</w:t>
      </w:r>
      <w:r w:rsidR="005B783E">
        <w:t xml:space="preserve">he operation of </w:t>
      </w:r>
      <w:r w:rsidR="005C18B6">
        <w:t xml:space="preserve">mobile phone </w:t>
      </w:r>
      <w:r w:rsidR="00CA3511">
        <w:t>boosters</w:t>
      </w:r>
      <w:r w:rsidR="00E45A76">
        <w:t xml:space="preserve"> because </w:t>
      </w:r>
      <w:r w:rsidR="005C18B6">
        <w:t xml:space="preserve">mobile phone </w:t>
      </w:r>
      <w:r w:rsidR="00E45A76">
        <w:t xml:space="preserve">boosters can </w:t>
      </w:r>
      <w:r w:rsidR="005B783E" w:rsidDel="00E149E4">
        <w:t>substantially interfere with, disrupt or disturb public mobile telecommunication services by</w:t>
      </w:r>
      <w:r w:rsidR="00490E0C">
        <w:t xml:space="preserve"> </w:t>
      </w:r>
      <w:r w:rsidR="005B783E">
        <w:t xml:space="preserve">jeopardising the quality and coverage of </w:t>
      </w:r>
      <w:r w:rsidR="005C18B6">
        <w:t xml:space="preserve">carriage </w:t>
      </w:r>
      <w:r w:rsidR="005B783E">
        <w:t>services</w:t>
      </w:r>
      <w:r w:rsidR="00490E0C">
        <w:t>.</w:t>
      </w:r>
      <w:r w:rsidR="00714338">
        <w:t xml:space="preserve"> </w:t>
      </w:r>
      <w:r w:rsidR="008211CD">
        <w:t xml:space="preserve">This can </w:t>
      </w:r>
      <w:r w:rsidR="005B783E">
        <w:t>caus</w:t>
      </w:r>
      <w:r w:rsidR="00E45A76">
        <w:t>e</w:t>
      </w:r>
      <w:r w:rsidR="005B783E">
        <w:t xml:space="preserve"> inconvenience to, or loss of business for, mobile phone users</w:t>
      </w:r>
      <w:r w:rsidR="00887994">
        <w:t>.</w:t>
      </w:r>
    </w:p>
    <w:p w:rsidR="00887994" w:rsidRDefault="00887994" w:rsidP="008211CD">
      <w:pPr>
        <w:ind w:left="709" w:hanging="709"/>
      </w:pPr>
    </w:p>
    <w:p w:rsidR="005B783E" w:rsidRDefault="00887994" w:rsidP="008211CD">
      <w:pPr>
        <w:ind w:left="709" w:hanging="709"/>
      </w:pPr>
      <w:r>
        <w:t>3.</w:t>
      </w:r>
      <w:r>
        <w:tab/>
        <w:t xml:space="preserve">The disruption caused to public mobile telecommunications services by mobile phone boosters </w:t>
      </w:r>
      <w:r w:rsidR="008211CD">
        <w:t>can</w:t>
      </w:r>
      <w:r>
        <w:t xml:space="preserve"> also</w:t>
      </w:r>
      <w:r w:rsidR="008211CD">
        <w:t xml:space="preserve"> impede access to emergency call services</w:t>
      </w:r>
      <w:r w:rsidR="00571B57">
        <w:t xml:space="preserve"> from mobile phones</w:t>
      </w:r>
      <w:r>
        <w:t>, which</w:t>
      </w:r>
      <w:r w:rsidR="004C603B">
        <w:t xml:space="preserve"> </w:t>
      </w:r>
      <w:r w:rsidR="008B2DC8">
        <w:t>creates</w:t>
      </w:r>
      <w:r w:rsidR="004C603B">
        <w:t xml:space="preserve"> a risk to public health and safety</w:t>
      </w:r>
      <w:r w:rsidR="008211CD">
        <w:t>.</w:t>
      </w:r>
      <w:r>
        <w:t xml:space="preserve">  </w:t>
      </w:r>
    </w:p>
    <w:p w:rsidR="008211CD" w:rsidRDefault="008211CD" w:rsidP="008211CD">
      <w:pPr>
        <w:ind w:left="709" w:hanging="709"/>
      </w:pPr>
    </w:p>
    <w:p w:rsidR="009F6E51" w:rsidRDefault="009F6E51" w:rsidP="008211CD">
      <w:pPr>
        <w:ind w:left="709" w:hanging="709"/>
      </w:pPr>
    </w:p>
    <w:p w:rsidR="00E45A76" w:rsidRDefault="00E45A76" w:rsidP="00E45A76">
      <w:pPr>
        <w:ind w:left="360"/>
      </w:pPr>
    </w:p>
    <w:p w:rsidR="00E45A76" w:rsidRDefault="00E45A76" w:rsidP="00E149E4"/>
    <w:p w:rsidR="00CF2AAC" w:rsidRDefault="00CF2AAC"/>
    <w:sectPr w:rsidR="00CF2AAC" w:rsidSect="00CF2A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90C" w:rsidRDefault="0028590C" w:rsidP="004A7BBD">
      <w:r>
        <w:separator/>
      </w:r>
    </w:p>
  </w:endnote>
  <w:endnote w:type="continuationSeparator" w:id="0">
    <w:p w:rsidR="0028590C" w:rsidRDefault="0028590C" w:rsidP="004A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94" w:rsidRDefault="0088799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87994" w:rsidRPr="000E1CC4">
      <w:tc>
        <w:tcPr>
          <w:tcW w:w="1134" w:type="dxa"/>
        </w:tcPr>
        <w:p w:rsidR="00887994" w:rsidRPr="000E1CC4" w:rsidRDefault="00B12064" w:rsidP="007B37C6">
          <w:pPr>
            <w:spacing w:line="240" w:lineRule="exact"/>
            <w:rPr>
              <w:rFonts w:ascii="Arial" w:hAnsi="Arial" w:cs="Arial"/>
            </w:rPr>
          </w:pPr>
          <w:r w:rsidRPr="000E1CC4">
            <w:rPr>
              <w:rStyle w:val="PageNumber"/>
              <w:rFonts w:cs="Arial"/>
            </w:rPr>
            <w:fldChar w:fldCharType="begin"/>
          </w:r>
          <w:r w:rsidR="00887994" w:rsidRPr="000E1CC4">
            <w:rPr>
              <w:rStyle w:val="PageNumber"/>
              <w:rFonts w:cs="Arial"/>
            </w:rPr>
            <w:instrText xml:space="preserve">PAGE  </w:instrText>
          </w:r>
          <w:r w:rsidRPr="000E1CC4">
            <w:rPr>
              <w:rStyle w:val="PageNumber"/>
              <w:rFonts w:cs="Arial"/>
            </w:rPr>
            <w:fldChar w:fldCharType="separate"/>
          </w:r>
          <w:r w:rsidR="00887994">
            <w:rPr>
              <w:rStyle w:val="PageNumber"/>
              <w:rFonts w:cs="Arial"/>
              <w:noProof/>
            </w:rPr>
            <w:t>1</w:t>
          </w:r>
          <w:r w:rsidRPr="000E1CC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887994" w:rsidRPr="0056689B" w:rsidRDefault="00B12064" w:rsidP="007B37C6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887994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BA7C4B">
            <w:rPr>
              <w:rFonts w:ascii="Times New Roman" w:hAnsi="Times New Roman"/>
              <w:b/>
              <w:bCs/>
              <w:i w:val="0"/>
              <w:sz w:val="24"/>
              <w:szCs w:val="24"/>
              <w:lang w:val="en-US"/>
            </w:rPr>
            <w:t>Error! Reference source not found.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887994" w:rsidRPr="000E1CC4" w:rsidRDefault="00887994" w:rsidP="007B37C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87994" w:rsidRDefault="00887994">
    <w:pPr>
      <w:pStyle w:val="FooterDraft"/>
      <w:ind w:right="360" w:firstLine="360"/>
    </w:pPr>
    <w:r>
      <w:t>DRAFT ONLY</w:t>
    </w:r>
  </w:p>
  <w:p w:rsidR="00887994" w:rsidRDefault="00B12064">
    <w:pPr>
      <w:pStyle w:val="FooterInfo"/>
    </w:pPr>
    <w:fldSimple w:instr=" FILENAME   \* MERGEFORMAT ">
      <w:r w:rsidR="00BA7C4B">
        <w:rPr>
          <w:noProof/>
        </w:rPr>
        <w:t>Attachment A - Draft Declaration - Mobile Phone Boosters (2).docx</w:t>
      </w:r>
    </w:fldSimple>
    <w:r w:rsidR="00887994" w:rsidRPr="00974D8C">
      <w:t xml:space="preserve"> </w:t>
    </w:r>
    <w:fldSimple w:instr=" DATE  \@ &quot;D/MM/YYYY&quot;  \* MERGEFORMAT ">
      <w:r w:rsidR="00330D96">
        <w:rPr>
          <w:noProof/>
        </w:rPr>
        <w:t>19/05/2011</w:t>
      </w:r>
    </w:fldSimple>
    <w:r w:rsidR="00887994">
      <w:t xml:space="preserve"> </w:t>
    </w:r>
    <w:fldSimple w:instr=" TIME  \@ &quot;h:mm am/pm&quot;  \* MERGEFORMAT ">
      <w:r w:rsidR="00330D96">
        <w:rPr>
          <w:noProof/>
        </w:rPr>
        <w:t>10:12 AM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94" w:rsidRDefault="00887994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87994" w:rsidRPr="000E1CC4">
      <w:tc>
        <w:tcPr>
          <w:tcW w:w="1134" w:type="dxa"/>
        </w:tcPr>
        <w:p w:rsidR="00887994" w:rsidRPr="000E1CC4" w:rsidRDefault="00887994" w:rsidP="007B37C6">
          <w:pPr>
            <w:spacing w:line="240" w:lineRule="exact"/>
          </w:pPr>
        </w:p>
      </w:tc>
      <w:tc>
        <w:tcPr>
          <w:tcW w:w="6095" w:type="dxa"/>
        </w:tcPr>
        <w:p w:rsidR="00887994" w:rsidRPr="0056689B" w:rsidRDefault="00B12064" w:rsidP="007B37C6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887994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BA7C4B">
            <w:rPr>
              <w:rFonts w:ascii="Times New Roman" w:hAnsi="Times New Roman"/>
              <w:b/>
              <w:bCs/>
              <w:i w:val="0"/>
              <w:sz w:val="24"/>
              <w:lang w:val="en-US"/>
            </w:rPr>
            <w:t>Error! Reference source not found.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887994" w:rsidRPr="000E1CC4" w:rsidRDefault="00B12064" w:rsidP="007B37C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0E1CC4">
            <w:rPr>
              <w:rStyle w:val="PageNumber"/>
              <w:rFonts w:cs="Arial"/>
            </w:rPr>
            <w:fldChar w:fldCharType="begin"/>
          </w:r>
          <w:r w:rsidR="00887994" w:rsidRPr="000E1CC4">
            <w:rPr>
              <w:rStyle w:val="PageNumber"/>
              <w:rFonts w:cs="Arial"/>
            </w:rPr>
            <w:instrText xml:space="preserve">PAGE  </w:instrText>
          </w:r>
          <w:r w:rsidRPr="000E1CC4">
            <w:rPr>
              <w:rStyle w:val="PageNumber"/>
              <w:rFonts w:cs="Arial"/>
            </w:rPr>
            <w:fldChar w:fldCharType="separate"/>
          </w:r>
          <w:r w:rsidR="00887994">
            <w:rPr>
              <w:rStyle w:val="PageNumber"/>
              <w:rFonts w:cs="Arial"/>
              <w:noProof/>
            </w:rPr>
            <w:t>1</w:t>
          </w:r>
          <w:r w:rsidRPr="000E1CC4">
            <w:rPr>
              <w:rStyle w:val="PageNumber"/>
              <w:rFonts w:cs="Arial"/>
            </w:rPr>
            <w:fldChar w:fldCharType="end"/>
          </w:r>
        </w:p>
      </w:tc>
    </w:tr>
  </w:tbl>
  <w:p w:rsidR="00887994" w:rsidRDefault="00887994">
    <w:pPr>
      <w:pStyle w:val="FooterDraft"/>
    </w:pPr>
    <w:r>
      <w:t>DRAFT ONLY</w:t>
    </w:r>
  </w:p>
  <w:p w:rsidR="00887994" w:rsidRDefault="00B12064">
    <w:pPr>
      <w:pStyle w:val="FooterInfo"/>
    </w:pPr>
    <w:fldSimple w:instr=" FILENAME   \* MERGEFORMAT ">
      <w:r w:rsidR="00BA7C4B">
        <w:rPr>
          <w:noProof/>
        </w:rPr>
        <w:t>Attachment A - Draft Declaration - Mobile Phone Boosters (2).docx</w:t>
      </w:r>
    </w:fldSimple>
    <w:r w:rsidR="00887994" w:rsidRPr="00974D8C">
      <w:t xml:space="preserve"> </w:t>
    </w:r>
    <w:fldSimple w:instr=" DATE  \@ &quot;D/MM/YYYY&quot;  \* MERGEFORMAT ">
      <w:r w:rsidR="00330D96">
        <w:rPr>
          <w:noProof/>
        </w:rPr>
        <w:t>19/05/2011</w:t>
      </w:r>
    </w:fldSimple>
    <w:r w:rsidR="00887994">
      <w:t xml:space="preserve"> </w:t>
    </w:r>
    <w:fldSimple w:instr=" TIME  \@ &quot;h:mm am/pm&quot;  \* MERGEFORMAT ">
      <w:r w:rsidR="00330D96">
        <w:rPr>
          <w:noProof/>
        </w:rPr>
        <w:t>10:12 AM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94" w:rsidRDefault="00887994" w:rsidP="007B37C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87994">
      <w:tc>
        <w:tcPr>
          <w:tcW w:w="1134" w:type="dxa"/>
          <w:shd w:val="clear" w:color="auto" w:fill="auto"/>
        </w:tcPr>
        <w:p w:rsidR="00887994" w:rsidRPr="003D7214" w:rsidRDefault="00B12064" w:rsidP="007B37C6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88799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887994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87994" w:rsidRPr="004F5D6D" w:rsidRDefault="00B12064" w:rsidP="007B37C6">
          <w:pPr>
            <w:pStyle w:val="FooterCitation"/>
          </w:pPr>
          <w:r>
            <w:fldChar w:fldCharType="begin"/>
          </w:r>
          <w:r w:rsidR="00887994">
            <w:instrText xml:space="preserve"> REF  Citation\*charformat </w:instrText>
          </w:r>
          <w:r>
            <w:fldChar w:fldCharType="separate"/>
          </w:r>
          <w:r w:rsidR="00BA7C4B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887994" w:rsidRPr="00451BF5" w:rsidRDefault="00887994" w:rsidP="007B37C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87994" w:rsidRDefault="00887994" w:rsidP="007B37C6">
    <w:pPr>
      <w:pStyle w:val="FooterDraft"/>
      <w:ind w:right="360" w:firstLine="360"/>
    </w:pPr>
    <w:r>
      <w:t>DRAFT ONLY</w:t>
    </w:r>
  </w:p>
  <w:p w:rsidR="00887994" w:rsidRDefault="00B12064" w:rsidP="007B37C6">
    <w:pPr>
      <w:pStyle w:val="FooterInfo"/>
    </w:pPr>
    <w:fldSimple w:instr=" FILENAME   \* MERGEFORMAT ">
      <w:r w:rsidR="00BA7C4B">
        <w:rPr>
          <w:noProof/>
        </w:rPr>
        <w:t>Attachment A - Draft Declaration - Mobile Phone Boosters (2).docx</w:t>
      </w:r>
    </w:fldSimple>
    <w:r w:rsidR="00887994" w:rsidRPr="00974D8C">
      <w:t xml:space="preserve"> </w:t>
    </w:r>
    <w:fldSimple w:instr=" DATE  \@ &quot;D/MM/YYYY&quot;  \* MERGEFORMAT ">
      <w:r w:rsidR="00330D96">
        <w:rPr>
          <w:noProof/>
        </w:rPr>
        <w:t>19/05/2011</w:t>
      </w:r>
    </w:fldSimple>
    <w:r w:rsidR="00887994">
      <w:t xml:space="preserve"> </w:t>
    </w:r>
    <w:fldSimple w:instr=" TIME  \@ &quot;h:mm am/pm&quot;  \* MERGEFORMAT ">
      <w:r w:rsidR="00330D96">
        <w:rPr>
          <w:noProof/>
        </w:rPr>
        <w:t>10:12 AM</w:t>
      </w:r>
    </w:fldSimple>
  </w:p>
  <w:p w:rsidR="00887994" w:rsidRPr="0055794B" w:rsidRDefault="00887994" w:rsidP="007B37C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94" w:rsidRDefault="00887994" w:rsidP="007B37C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87994">
      <w:tc>
        <w:tcPr>
          <w:tcW w:w="1134" w:type="dxa"/>
          <w:shd w:val="clear" w:color="auto" w:fill="auto"/>
        </w:tcPr>
        <w:p w:rsidR="00887994" w:rsidRDefault="00887994" w:rsidP="007B37C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87994" w:rsidRPr="004F5D6D" w:rsidRDefault="00887994" w:rsidP="00C417D2">
          <w:pPr>
            <w:pStyle w:val="FooterCitation"/>
          </w:pPr>
          <w:r>
            <w:t xml:space="preserve">Telecommunications (Prohibition of Mobile Phone Boosters) </w:t>
          </w:r>
          <w:r w:rsidRPr="00887529">
            <w:t>Declaration 2011</w:t>
          </w:r>
        </w:p>
      </w:tc>
      <w:tc>
        <w:tcPr>
          <w:tcW w:w="1134" w:type="dxa"/>
          <w:shd w:val="clear" w:color="auto" w:fill="auto"/>
        </w:tcPr>
        <w:p w:rsidR="00887994" w:rsidRPr="003D7214" w:rsidRDefault="00B12064" w:rsidP="007B37C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88799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30D96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87994" w:rsidRPr="00C83A6D" w:rsidRDefault="00887994" w:rsidP="007B37C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94" w:rsidRPr="00556EB9" w:rsidRDefault="00887994" w:rsidP="007B37C6">
    <w:pPr>
      <w:pStyle w:val="FooterCitatio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90C" w:rsidRDefault="0028590C" w:rsidP="004A7BBD">
      <w:r>
        <w:separator/>
      </w:r>
    </w:p>
  </w:footnote>
  <w:footnote w:type="continuationSeparator" w:id="0">
    <w:p w:rsidR="0028590C" w:rsidRDefault="0028590C" w:rsidP="004A7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887994" w:rsidRPr="000E1CC4">
      <w:tc>
        <w:tcPr>
          <w:tcW w:w="8385" w:type="dxa"/>
        </w:tcPr>
        <w:p w:rsidR="00887994" w:rsidRPr="000E1CC4" w:rsidRDefault="00887994" w:rsidP="007B37C6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887994" w:rsidRPr="000E1CC4">
      <w:tc>
        <w:tcPr>
          <w:tcW w:w="8385" w:type="dxa"/>
        </w:tcPr>
        <w:p w:rsidR="00887994" w:rsidRPr="000E1CC4" w:rsidRDefault="00887994" w:rsidP="007B37C6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887994" w:rsidRPr="000E1CC4">
      <w:tc>
        <w:tcPr>
          <w:tcW w:w="8385" w:type="dxa"/>
        </w:tcPr>
        <w:p w:rsidR="00887994" w:rsidRPr="0056689B" w:rsidRDefault="00887994" w:rsidP="007B37C6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887994" w:rsidRDefault="008879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887994" w:rsidRPr="000E1CC4">
      <w:tc>
        <w:tcPr>
          <w:tcW w:w="8385" w:type="dxa"/>
        </w:tcPr>
        <w:p w:rsidR="00887994" w:rsidRPr="000E1CC4" w:rsidRDefault="00887994"/>
      </w:tc>
    </w:tr>
    <w:tr w:rsidR="00887994" w:rsidRPr="000E1CC4">
      <w:tc>
        <w:tcPr>
          <w:tcW w:w="8385" w:type="dxa"/>
        </w:tcPr>
        <w:p w:rsidR="00887994" w:rsidRPr="000E1CC4" w:rsidRDefault="00887994"/>
      </w:tc>
    </w:tr>
    <w:tr w:rsidR="00887994" w:rsidRPr="000E1CC4">
      <w:tc>
        <w:tcPr>
          <w:tcW w:w="8385" w:type="dxa"/>
        </w:tcPr>
        <w:p w:rsidR="00887994" w:rsidRPr="000E1CC4" w:rsidRDefault="00887994"/>
      </w:tc>
    </w:tr>
  </w:tbl>
  <w:p w:rsidR="00887994" w:rsidRDefault="008879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887994" w:rsidRPr="00375ADF">
      <w:tc>
        <w:tcPr>
          <w:tcW w:w="8357" w:type="dxa"/>
        </w:tcPr>
        <w:p w:rsidR="00887994" w:rsidRPr="00375ADF" w:rsidRDefault="00887994">
          <w:pPr>
            <w:pStyle w:val="HeaderLiteEven"/>
          </w:pPr>
          <w:r>
            <w:t>Note</w:t>
          </w:r>
        </w:p>
      </w:tc>
    </w:tr>
    <w:tr w:rsidR="00887994">
      <w:tc>
        <w:tcPr>
          <w:tcW w:w="8357" w:type="dxa"/>
        </w:tcPr>
        <w:p w:rsidR="00887994" w:rsidRDefault="00887994">
          <w:pPr>
            <w:pStyle w:val="HeaderLiteEven"/>
          </w:pPr>
        </w:p>
      </w:tc>
    </w:tr>
    <w:tr w:rsidR="00887994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887994" w:rsidRPr="000D4CDA" w:rsidRDefault="00887994">
          <w:pPr>
            <w:pStyle w:val="HeaderBoldEven"/>
          </w:pPr>
        </w:p>
      </w:tc>
    </w:tr>
  </w:tbl>
  <w:p w:rsidR="00887994" w:rsidRDefault="0088799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887994" w:rsidRPr="00EF1EE0">
      <w:tc>
        <w:tcPr>
          <w:tcW w:w="8357" w:type="dxa"/>
        </w:tcPr>
        <w:p w:rsidR="00887994" w:rsidRPr="00EF1EE0" w:rsidRDefault="00887994" w:rsidP="000F0206">
          <w:pPr>
            <w:pStyle w:val="HeaderLiteOdd"/>
            <w:jc w:val="center"/>
            <w:rPr>
              <w:b/>
              <w:sz w:val="28"/>
              <w:szCs w:val="28"/>
            </w:rPr>
          </w:pPr>
        </w:p>
      </w:tc>
    </w:tr>
    <w:tr w:rsidR="00887994">
      <w:tc>
        <w:tcPr>
          <w:tcW w:w="8357" w:type="dxa"/>
        </w:tcPr>
        <w:p w:rsidR="00887994" w:rsidRDefault="00887994">
          <w:pPr>
            <w:pStyle w:val="HeaderLiteOdd"/>
          </w:pPr>
        </w:p>
      </w:tc>
    </w:tr>
    <w:tr w:rsidR="00887994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887994" w:rsidRPr="000D4CDA" w:rsidRDefault="00887994">
          <w:pPr>
            <w:pStyle w:val="HeaderBoldOdd"/>
          </w:pPr>
        </w:p>
      </w:tc>
    </w:tr>
  </w:tbl>
  <w:p w:rsidR="00887994" w:rsidRDefault="0088799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94" w:rsidRDefault="008879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5144"/>
    <w:multiLevelType w:val="hybridMultilevel"/>
    <w:tmpl w:val="C534D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A1F80"/>
    <w:multiLevelType w:val="hybridMultilevel"/>
    <w:tmpl w:val="C218BA2E"/>
    <w:lvl w:ilvl="0" w:tplc="9C1EA19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4474D4"/>
    <w:multiLevelType w:val="hybridMultilevel"/>
    <w:tmpl w:val="C218BA2E"/>
    <w:lvl w:ilvl="0" w:tplc="9C1EA19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50C06C6"/>
    <w:multiLevelType w:val="hybridMultilevel"/>
    <w:tmpl w:val="224E6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06228"/>
    <w:multiLevelType w:val="hybridMultilevel"/>
    <w:tmpl w:val="B5C4D6D4"/>
    <w:lvl w:ilvl="0" w:tplc="E57A04E2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296"/>
    <w:rsid w:val="000037AF"/>
    <w:rsid w:val="00020C13"/>
    <w:rsid w:val="000337BC"/>
    <w:rsid w:val="000425C9"/>
    <w:rsid w:val="00061BE1"/>
    <w:rsid w:val="000644A1"/>
    <w:rsid w:val="000760F8"/>
    <w:rsid w:val="00080D22"/>
    <w:rsid w:val="0008102A"/>
    <w:rsid w:val="00082007"/>
    <w:rsid w:val="0009323E"/>
    <w:rsid w:val="00095243"/>
    <w:rsid w:val="000969C8"/>
    <w:rsid w:val="000A46EB"/>
    <w:rsid w:val="000A731D"/>
    <w:rsid w:val="000C11D7"/>
    <w:rsid w:val="000C46C5"/>
    <w:rsid w:val="000F0206"/>
    <w:rsid w:val="00104011"/>
    <w:rsid w:val="0010497A"/>
    <w:rsid w:val="0011772A"/>
    <w:rsid w:val="001439EB"/>
    <w:rsid w:val="00166D8D"/>
    <w:rsid w:val="001719F6"/>
    <w:rsid w:val="001939B2"/>
    <w:rsid w:val="001A3F44"/>
    <w:rsid w:val="001C3C64"/>
    <w:rsid w:val="001D51B8"/>
    <w:rsid w:val="001F59C5"/>
    <w:rsid w:val="00203CB7"/>
    <w:rsid w:val="00221E25"/>
    <w:rsid w:val="0024119A"/>
    <w:rsid w:val="00247C47"/>
    <w:rsid w:val="00260E40"/>
    <w:rsid w:val="00267449"/>
    <w:rsid w:val="002842D0"/>
    <w:rsid w:val="0028590C"/>
    <w:rsid w:val="00290F93"/>
    <w:rsid w:val="0029378A"/>
    <w:rsid w:val="00293952"/>
    <w:rsid w:val="002B6266"/>
    <w:rsid w:val="002C0A9A"/>
    <w:rsid w:val="002C1C53"/>
    <w:rsid w:val="002D1AFC"/>
    <w:rsid w:val="002E56A9"/>
    <w:rsid w:val="0030302C"/>
    <w:rsid w:val="003139BE"/>
    <w:rsid w:val="00314AB8"/>
    <w:rsid w:val="00330D96"/>
    <w:rsid w:val="00347538"/>
    <w:rsid w:val="00352551"/>
    <w:rsid w:val="003669F7"/>
    <w:rsid w:val="0036756B"/>
    <w:rsid w:val="003823F2"/>
    <w:rsid w:val="003A0C85"/>
    <w:rsid w:val="003B3A87"/>
    <w:rsid w:val="003B6513"/>
    <w:rsid w:val="003C299E"/>
    <w:rsid w:val="003C7375"/>
    <w:rsid w:val="003E2F9C"/>
    <w:rsid w:val="003F1AA8"/>
    <w:rsid w:val="003F76E9"/>
    <w:rsid w:val="004058C8"/>
    <w:rsid w:val="00424CBA"/>
    <w:rsid w:val="00445F1D"/>
    <w:rsid w:val="00454891"/>
    <w:rsid w:val="00473EE4"/>
    <w:rsid w:val="00477EC5"/>
    <w:rsid w:val="00490E0C"/>
    <w:rsid w:val="004928D1"/>
    <w:rsid w:val="004969B9"/>
    <w:rsid w:val="004975AE"/>
    <w:rsid w:val="004A1F30"/>
    <w:rsid w:val="004A7BBD"/>
    <w:rsid w:val="004B4154"/>
    <w:rsid w:val="004C5C12"/>
    <w:rsid w:val="004C603B"/>
    <w:rsid w:val="004D49A1"/>
    <w:rsid w:val="00500A51"/>
    <w:rsid w:val="005013B9"/>
    <w:rsid w:val="005054A6"/>
    <w:rsid w:val="00505886"/>
    <w:rsid w:val="00515B8E"/>
    <w:rsid w:val="0052158A"/>
    <w:rsid w:val="00541ADA"/>
    <w:rsid w:val="0054712F"/>
    <w:rsid w:val="0055258D"/>
    <w:rsid w:val="00554EFA"/>
    <w:rsid w:val="0056771D"/>
    <w:rsid w:val="00571B57"/>
    <w:rsid w:val="005771C1"/>
    <w:rsid w:val="00577CEE"/>
    <w:rsid w:val="00582BBC"/>
    <w:rsid w:val="005845B4"/>
    <w:rsid w:val="005B58F2"/>
    <w:rsid w:val="005B783E"/>
    <w:rsid w:val="005C18B6"/>
    <w:rsid w:val="005C515C"/>
    <w:rsid w:val="005C535D"/>
    <w:rsid w:val="005C58EE"/>
    <w:rsid w:val="005D5CA6"/>
    <w:rsid w:val="006058C4"/>
    <w:rsid w:val="00605937"/>
    <w:rsid w:val="00631F38"/>
    <w:rsid w:val="00634A26"/>
    <w:rsid w:val="00637855"/>
    <w:rsid w:val="0065601A"/>
    <w:rsid w:val="006656FF"/>
    <w:rsid w:val="00672EC4"/>
    <w:rsid w:val="00675B11"/>
    <w:rsid w:val="00683010"/>
    <w:rsid w:val="0068480A"/>
    <w:rsid w:val="00686F65"/>
    <w:rsid w:val="00695F30"/>
    <w:rsid w:val="006A1C85"/>
    <w:rsid w:val="006A3F64"/>
    <w:rsid w:val="006A6F45"/>
    <w:rsid w:val="006A77EE"/>
    <w:rsid w:val="006B0D7E"/>
    <w:rsid w:val="006B1092"/>
    <w:rsid w:val="006C10FD"/>
    <w:rsid w:val="006D313E"/>
    <w:rsid w:val="006E4F18"/>
    <w:rsid w:val="006F140C"/>
    <w:rsid w:val="006F4AC7"/>
    <w:rsid w:val="00702151"/>
    <w:rsid w:val="00706C6B"/>
    <w:rsid w:val="007109C4"/>
    <w:rsid w:val="00713F59"/>
    <w:rsid w:val="00714338"/>
    <w:rsid w:val="007149E3"/>
    <w:rsid w:val="00715D64"/>
    <w:rsid w:val="00727532"/>
    <w:rsid w:val="00753D9B"/>
    <w:rsid w:val="00755B8A"/>
    <w:rsid w:val="00757DBB"/>
    <w:rsid w:val="00761380"/>
    <w:rsid w:val="00787B0C"/>
    <w:rsid w:val="0079308A"/>
    <w:rsid w:val="00794BBD"/>
    <w:rsid w:val="00797366"/>
    <w:rsid w:val="007B37C6"/>
    <w:rsid w:val="007C068D"/>
    <w:rsid w:val="007C1F80"/>
    <w:rsid w:val="007C4D54"/>
    <w:rsid w:val="007C58EC"/>
    <w:rsid w:val="007E2DEC"/>
    <w:rsid w:val="007E31E4"/>
    <w:rsid w:val="00802F19"/>
    <w:rsid w:val="008168B4"/>
    <w:rsid w:val="008211CD"/>
    <w:rsid w:val="008212BA"/>
    <w:rsid w:val="008400BB"/>
    <w:rsid w:val="008537DD"/>
    <w:rsid w:val="00854030"/>
    <w:rsid w:val="00867BEF"/>
    <w:rsid w:val="00874D5F"/>
    <w:rsid w:val="00874F40"/>
    <w:rsid w:val="0087606C"/>
    <w:rsid w:val="00887529"/>
    <w:rsid w:val="00887994"/>
    <w:rsid w:val="0089311C"/>
    <w:rsid w:val="00897D16"/>
    <w:rsid w:val="008A429C"/>
    <w:rsid w:val="008B26DD"/>
    <w:rsid w:val="008B2DC8"/>
    <w:rsid w:val="008B3837"/>
    <w:rsid w:val="008E0238"/>
    <w:rsid w:val="008E3247"/>
    <w:rsid w:val="008F0A01"/>
    <w:rsid w:val="008F436B"/>
    <w:rsid w:val="008F4576"/>
    <w:rsid w:val="008F6980"/>
    <w:rsid w:val="0091368C"/>
    <w:rsid w:val="00925015"/>
    <w:rsid w:val="00936810"/>
    <w:rsid w:val="00957A40"/>
    <w:rsid w:val="009737A7"/>
    <w:rsid w:val="00977E89"/>
    <w:rsid w:val="009838D6"/>
    <w:rsid w:val="00984B3C"/>
    <w:rsid w:val="00995ABB"/>
    <w:rsid w:val="009A22ED"/>
    <w:rsid w:val="009C7448"/>
    <w:rsid w:val="009D52AF"/>
    <w:rsid w:val="009E40E4"/>
    <w:rsid w:val="009F2BEC"/>
    <w:rsid w:val="009F5C04"/>
    <w:rsid w:val="009F5CBD"/>
    <w:rsid w:val="009F6E51"/>
    <w:rsid w:val="00A0789E"/>
    <w:rsid w:val="00A17E2D"/>
    <w:rsid w:val="00A32116"/>
    <w:rsid w:val="00A417D1"/>
    <w:rsid w:val="00A41D44"/>
    <w:rsid w:val="00A42CE0"/>
    <w:rsid w:val="00A50D08"/>
    <w:rsid w:val="00A61CFE"/>
    <w:rsid w:val="00A66C18"/>
    <w:rsid w:val="00A80E31"/>
    <w:rsid w:val="00AB7846"/>
    <w:rsid w:val="00AC46A1"/>
    <w:rsid w:val="00AC53C1"/>
    <w:rsid w:val="00AE1E80"/>
    <w:rsid w:val="00AF3AF3"/>
    <w:rsid w:val="00B05C32"/>
    <w:rsid w:val="00B12064"/>
    <w:rsid w:val="00B22018"/>
    <w:rsid w:val="00B2490A"/>
    <w:rsid w:val="00B2704F"/>
    <w:rsid w:val="00B30D4C"/>
    <w:rsid w:val="00B562DB"/>
    <w:rsid w:val="00B63579"/>
    <w:rsid w:val="00B71E4A"/>
    <w:rsid w:val="00B90632"/>
    <w:rsid w:val="00BA5D4E"/>
    <w:rsid w:val="00BA7C4B"/>
    <w:rsid w:val="00BC4554"/>
    <w:rsid w:val="00BF1637"/>
    <w:rsid w:val="00BF23DB"/>
    <w:rsid w:val="00C278DE"/>
    <w:rsid w:val="00C343CF"/>
    <w:rsid w:val="00C3448A"/>
    <w:rsid w:val="00C37572"/>
    <w:rsid w:val="00C40E60"/>
    <w:rsid w:val="00C417D2"/>
    <w:rsid w:val="00C41EAB"/>
    <w:rsid w:val="00C5095E"/>
    <w:rsid w:val="00C559E3"/>
    <w:rsid w:val="00C65BA2"/>
    <w:rsid w:val="00C6784D"/>
    <w:rsid w:val="00C71BDE"/>
    <w:rsid w:val="00C964F0"/>
    <w:rsid w:val="00C96892"/>
    <w:rsid w:val="00CA186D"/>
    <w:rsid w:val="00CA3511"/>
    <w:rsid w:val="00CA6B7C"/>
    <w:rsid w:val="00CD3B4B"/>
    <w:rsid w:val="00CF2AAC"/>
    <w:rsid w:val="00CF5F6B"/>
    <w:rsid w:val="00D028CB"/>
    <w:rsid w:val="00D316BF"/>
    <w:rsid w:val="00D427FC"/>
    <w:rsid w:val="00D54171"/>
    <w:rsid w:val="00D6149C"/>
    <w:rsid w:val="00D65BBF"/>
    <w:rsid w:val="00D90F5B"/>
    <w:rsid w:val="00D9419A"/>
    <w:rsid w:val="00DA433F"/>
    <w:rsid w:val="00DA4572"/>
    <w:rsid w:val="00DA683A"/>
    <w:rsid w:val="00DB207D"/>
    <w:rsid w:val="00DB37BE"/>
    <w:rsid w:val="00DD2C81"/>
    <w:rsid w:val="00DD2D9B"/>
    <w:rsid w:val="00DF2ABA"/>
    <w:rsid w:val="00DF4A4F"/>
    <w:rsid w:val="00E149E4"/>
    <w:rsid w:val="00E3652F"/>
    <w:rsid w:val="00E37E9D"/>
    <w:rsid w:val="00E439C1"/>
    <w:rsid w:val="00E45A76"/>
    <w:rsid w:val="00E506FB"/>
    <w:rsid w:val="00E716C4"/>
    <w:rsid w:val="00E7230F"/>
    <w:rsid w:val="00E95455"/>
    <w:rsid w:val="00EB0F1A"/>
    <w:rsid w:val="00EC06BB"/>
    <w:rsid w:val="00EC0891"/>
    <w:rsid w:val="00ED5EBB"/>
    <w:rsid w:val="00EE26CF"/>
    <w:rsid w:val="00EF1EE0"/>
    <w:rsid w:val="00F23633"/>
    <w:rsid w:val="00F34A2C"/>
    <w:rsid w:val="00F3671C"/>
    <w:rsid w:val="00F453E2"/>
    <w:rsid w:val="00F50264"/>
    <w:rsid w:val="00F55339"/>
    <w:rsid w:val="00F65271"/>
    <w:rsid w:val="00F67913"/>
    <w:rsid w:val="00F766F1"/>
    <w:rsid w:val="00F85296"/>
    <w:rsid w:val="00F91147"/>
    <w:rsid w:val="00FA57A3"/>
    <w:rsid w:val="00FC7044"/>
    <w:rsid w:val="00FD3722"/>
    <w:rsid w:val="00FF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F85296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F85296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F85296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F8529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F85296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F85296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F85296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F85296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F85296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F85296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F85296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F85296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85296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HR">
    <w:name w:val="HR"/>
    <w:aliases w:val="Regulation Heading"/>
    <w:basedOn w:val="Normal"/>
    <w:next w:val="R1"/>
    <w:rsid w:val="00F8529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MainBodySectionBreak">
    <w:name w:val="MainBody Section Break"/>
    <w:basedOn w:val="Normal"/>
    <w:next w:val="Normal"/>
    <w:rsid w:val="00F85296"/>
  </w:style>
  <w:style w:type="paragraph" w:customStyle="1" w:styleId="Note">
    <w:name w:val="Note"/>
    <w:basedOn w:val="Normal"/>
    <w:rsid w:val="00F85296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F8529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F85296"/>
  </w:style>
  <w:style w:type="paragraph" w:customStyle="1" w:styleId="R1">
    <w:name w:val="R1"/>
    <w:aliases w:val="1. or 1.(1)"/>
    <w:basedOn w:val="Normal"/>
    <w:next w:val="Normal"/>
    <w:rsid w:val="00F85296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FooterCitation">
    <w:name w:val="FooterCitation"/>
    <w:basedOn w:val="Footer"/>
    <w:rsid w:val="00F85296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F85296"/>
  </w:style>
  <w:style w:type="paragraph" w:styleId="BalloonText">
    <w:name w:val="Balloon Text"/>
    <w:basedOn w:val="Normal"/>
    <w:link w:val="BalloonTextChar"/>
    <w:uiPriority w:val="99"/>
    <w:semiHidden/>
    <w:unhideWhenUsed/>
    <w:rsid w:val="00F85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96"/>
    <w:rPr>
      <w:rFonts w:ascii="Tahoma" w:eastAsia="Times New Roman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B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BBD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4A7B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7BB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7BBD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4A7B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97D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7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D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D1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D16"/>
    <w:rPr>
      <w:b/>
      <w:bCs/>
    </w:rPr>
  </w:style>
  <w:style w:type="character" w:styleId="Hyperlink">
    <w:name w:val="Hyperlink"/>
    <w:basedOn w:val="DefaultParagraphFont"/>
    <w:uiPriority w:val="99"/>
    <w:unhideWhenUsed/>
    <w:rsid w:val="009A22ED"/>
    <w:rPr>
      <w:color w:val="0000FF"/>
      <w:u w:val="single"/>
    </w:rPr>
  </w:style>
  <w:style w:type="paragraph" w:styleId="NoSpacing">
    <w:name w:val="No Spacing"/>
    <w:uiPriority w:val="1"/>
    <w:qFormat/>
    <w:rsid w:val="0033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F8F4-A8A0-4821-802B-7756C704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sknowles</dc:creator>
  <cp:lastModifiedBy>Morgan Vaudrey</cp:lastModifiedBy>
  <cp:revision>4</cp:revision>
  <cp:lastPrinted>2011-05-03T02:56:00Z</cp:lastPrinted>
  <dcterms:created xsi:type="dcterms:W3CDTF">2011-05-03T05:52:00Z</dcterms:created>
  <dcterms:modified xsi:type="dcterms:W3CDTF">2011-05-19T00:16:00Z</dcterms:modified>
</cp:coreProperties>
</file>