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FE" w:rsidRPr="0000674E" w:rsidRDefault="006F2EFE" w:rsidP="006F2EFE">
      <w:pPr>
        <w:jc w:val="center"/>
      </w:pPr>
    </w:p>
    <w:p w:rsidR="006F2EFE" w:rsidRPr="0000674E" w:rsidRDefault="006F2EFE" w:rsidP="006F2EFE">
      <w:pPr>
        <w:jc w:val="center"/>
        <w:rPr>
          <w:b/>
        </w:rPr>
      </w:pPr>
      <w:r w:rsidRPr="0000674E">
        <w:rPr>
          <w:b/>
        </w:rPr>
        <w:t xml:space="preserve">EXPLANATORY STATEMENT </w:t>
      </w:r>
    </w:p>
    <w:p w:rsidR="006F2EFE" w:rsidRPr="0000674E" w:rsidRDefault="006F2EFE" w:rsidP="006F2EFE">
      <w:pPr>
        <w:ind w:left="1134" w:hanging="1134"/>
        <w:rPr>
          <w:b/>
        </w:rPr>
      </w:pPr>
    </w:p>
    <w:p w:rsidR="006F2EFE" w:rsidRPr="0000674E" w:rsidRDefault="006F2EFE" w:rsidP="006F2EFE">
      <w:pPr>
        <w:ind w:left="1134" w:hanging="1134"/>
        <w:rPr>
          <w:b/>
          <w:i/>
        </w:rPr>
      </w:pPr>
      <w:r w:rsidRPr="0000674E">
        <w:rPr>
          <w:b/>
        </w:rPr>
        <w:t>Subject</w:t>
      </w:r>
      <w:r>
        <w:rPr>
          <w:b/>
        </w:rPr>
        <w:t>:</w:t>
      </w:r>
      <w:r>
        <w:rPr>
          <w:b/>
        </w:rPr>
        <w:tab/>
        <w:t>THERAPEUTIC GOODS (</w:t>
      </w:r>
      <w:r w:rsidR="003945B9">
        <w:rPr>
          <w:b/>
        </w:rPr>
        <w:t xml:space="preserve">THINGS </w:t>
      </w:r>
      <w:r>
        <w:rPr>
          <w:b/>
        </w:rPr>
        <w:t xml:space="preserve">THAT ARE NOT BIOLOGICALS) </w:t>
      </w:r>
      <w:r w:rsidR="002F7D50">
        <w:rPr>
          <w:b/>
        </w:rPr>
        <w:t xml:space="preserve">DETERMINATION </w:t>
      </w:r>
      <w:r>
        <w:rPr>
          <w:b/>
        </w:rPr>
        <w:t xml:space="preserve">NO. 1 OF 2011 </w:t>
      </w:r>
    </w:p>
    <w:p w:rsidR="006F2EFE" w:rsidRPr="0000674E" w:rsidRDefault="006F2EFE" w:rsidP="006F2EFE">
      <w:pPr>
        <w:rPr>
          <w:b/>
        </w:rPr>
      </w:pPr>
    </w:p>
    <w:p w:rsidR="006F2EFE" w:rsidRPr="0000674E" w:rsidRDefault="006F2EFE" w:rsidP="006F2EFE">
      <w:pPr>
        <w:pStyle w:val="Heading5"/>
      </w:pPr>
      <w:r w:rsidRPr="0000674E">
        <w:t xml:space="preserve">Section </w:t>
      </w:r>
      <w:r>
        <w:t>32A(3)</w:t>
      </w:r>
      <w:r w:rsidRPr="0000674E">
        <w:t>, Therapeutic Goods Act 1989</w:t>
      </w:r>
    </w:p>
    <w:p w:rsidR="006F2EFE" w:rsidRPr="0000674E" w:rsidRDefault="006F2EFE" w:rsidP="006F2EFE">
      <w:pPr>
        <w:rPr>
          <w:b/>
        </w:rPr>
      </w:pPr>
    </w:p>
    <w:p w:rsidR="006F2EFE" w:rsidRPr="0000674E" w:rsidRDefault="006F2EFE" w:rsidP="006F2EFE">
      <w:pPr>
        <w:pStyle w:val="Heading3"/>
      </w:pPr>
      <w:r w:rsidRPr="0000674E">
        <w:t>OUTLINE</w:t>
      </w:r>
    </w:p>
    <w:p w:rsidR="006F2EFE" w:rsidRPr="00826832" w:rsidRDefault="006F2EFE" w:rsidP="006F2EFE">
      <w:r>
        <w:t>Therapeutic Goods (</w:t>
      </w:r>
      <w:r w:rsidR="002B4935">
        <w:t xml:space="preserve">Things </w:t>
      </w:r>
      <w:r>
        <w:t xml:space="preserve">that are not Biologicals) </w:t>
      </w:r>
      <w:r w:rsidR="007E5F59">
        <w:t xml:space="preserve">Determination </w:t>
      </w:r>
      <w:r>
        <w:t>No.</w:t>
      </w:r>
      <w:r w:rsidR="003945B9">
        <w:t xml:space="preserve"> </w:t>
      </w:r>
      <w:r>
        <w:t>1 of 2011</w:t>
      </w:r>
      <w:r w:rsidR="00C146DA">
        <w:t xml:space="preserve"> </w:t>
      </w:r>
      <w:r>
        <w:t xml:space="preserve">(the </w:t>
      </w:r>
      <w:r w:rsidR="007E5F59">
        <w:t>Determination</w:t>
      </w:r>
      <w:r>
        <w:t xml:space="preserve">) </w:t>
      </w:r>
      <w:r w:rsidRPr="0000674E">
        <w:t>is a</w:t>
      </w:r>
      <w:r w:rsidR="007E5F59">
        <w:t xml:space="preserve"> Determination </w:t>
      </w:r>
      <w:r w:rsidRPr="0000674E">
        <w:t xml:space="preserve">made by the delegate of the </w:t>
      </w:r>
      <w:r>
        <w:t xml:space="preserve">Secretary of the Department of </w:t>
      </w:r>
      <w:r w:rsidRPr="0000674E">
        <w:t xml:space="preserve">Health and Ageing under </w:t>
      </w:r>
      <w:r w:rsidR="00C146DA">
        <w:t>sub</w:t>
      </w:r>
      <w:r w:rsidRPr="0000674E">
        <w:t xml:space="preserve">section </w:t>
      </w:r>
      <w:r>
        <w:t xml:space="preserve">32A(3) </w:t>
      </w:r>
      <w:r w:rsidRPr="0000674E">
        <w:t xml:space="preserve">of the </w:t>
      </w:r>
      <w:r w:rsidRPr="0000674E">
        <w:rPr>
          <w:i/>
        </w:rPr>
        <w:t xml:space="preserve">Therapeutic Goods Act 1989 </w:t>
      </w:r>
      <w:r w:rsidRPr="0000674E">
        <w:t>(the Act)</w:t>
      </w:r>
      <w:r w:rsidRPr="0000674E">
        <w:rPr>
          <w:i/>
        </w:rPr>
        <w:t>.</w:t>
      </w:r>
    </w:p>
    <w:p w:rsidR="006F2EFE" w:rsidRPr="0000674E" w:rsidRDefault="006F2EFE" w:rsidP="006F2EFE">
      <w:pPr>
        <w:rPr>
          <w:i/>
        </w:rPr>
      </w:pPr>
    </w:p>
    <w:p w:rsidR="006F2EFE" w:rsidRDefault="006F2EFE" w:rsidP="006F2EFE">
      <w:r>
        <w:t xml:space="preserve">The </w:t>
      </w:r>
      <w:r w:rsidR="007E5F59">
        <w:t xml:space="preserve">Determination </w:t>
      </w:r>
      <w:r>
        <w:t xml:space="preserve">declares that the </w:t>
      </w:r>
      <w:r w:rsidR="003945B9">
        <w:t xml:space="preserve">things </w:t>
      </w:r>
      <w:r>
        <w:t xml:space="preserve">specified in the instrument are not, for the purposes of the Act, biologicals. </w:t>
      </w:r>
    </w:p>
    <w:p w:rsidR="006F2EFE" w:rsidRDefault="006F2EFE" w:rsidP="006F2EFE"/>
    <w:p w:rsidR="006F2EFE" w:rsidRPr="0000674E" w:rsidRDefault="006F2EFE" w:rsidP="006F2EFE">
      <w:r>
        <w:t xml:space="preserve">The </w:t>
      </w:r>
      <w:r w:rsidR="007E5F59">
        <w:t xml:space="preserve">Determination </w:t>
      </w:r>
      <w:r w:rsidRPr="0000674E">
        <w:t>comme</w:t>
      </w:r>
      <w:r>
        <w:t xml:space="preserve">nced on the day it was registered </w:t>
      </w:r>
      <w:r w:rsidR="003945B9">
        <w:t xml:space="preserve">in </w:t>
      </w:r>
      <w:r>
        <w:t>the Federal Register of Legislative Instruments</w:t>
      </w:r>
      <w:r w:rsidRPr="0000674E">
        <w:t>.</w:t>
      </w:r>
    </w:p>
    <w:p w:rsidR="006F2EFE" w:rsidRPr="0000674E" w:rsidRDefault="006F2EFE" w:rsidP="006F2EFE"/>
    <w:p w:rsidR="006F2EFE" w:rsidRPr="0000674E" w:rsidRDefault="006F2EFE" w:rsidP="006F2EFE">
      <w:pPr>
        <w:pStyle w:val="Heading3"/>
      </w:pPr>
      <w:r w:rsidRPr="0000674E">
        <w:t>BACKGROUND</w:t>
      </w:r>
    </w:p>
    <w:p w:rsidR="006F2EFE" w:rsidRPr="0000674E" w:rsidRDefault="006F2EFE" w:rsidP="006F2EFE">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6F2EFE" w:rsidRDefault="006F2EFE" w:rsidP="006F2EFE"/>
    <w:p w:rsidR="006F2EFE" w:rsidRDefault="006F2EFE" w:rsidP="006F2EFE">
      <w:r>
        <w:t xml:space="preserve">A number of new provisions have been added to the </w:t>
      </w:r>
      <w:r w:rsidRPr="00147E8C">
        <w:rPr>
          <w:i/>
        </w:rPr>
        <w:t xml:space="preserve">Therapeutic Goods </w:t>
      </w:r>
      <w:r>
        <w:rPr>
          <w:i/>
        </w:rPr>
        <w:t xml:space="preserve">Act 1989 </w:t>
      </w:r>
      <w:r w:rsidRPr="00DA7AFC">
        <w:t>(the Act)</w:t>
      </w:r>
      <w:r>
        <w:rPr>
          <w:i/>
        </w:rPr>
        <w:t xml:space="preserve"> </w:t>
      </w:r>
      <w:r w:rsidRPr="00DA7AFC">
        <w:t xml:space="preserve">and the </w:t>
      </w:r>
      <w:r>
        <w:t xml:space="preserve">Therapeutic Goods </w:t>
      </w:r>
      <w:r w:rsidRPr="00DA7AFC">
        <w:t>Regulations</w:t>
      </w:r>
      <w:r>
        <w:rPr>
          <w:i/>
        </w:rPr>
        <w:t xml:space="preserve"> </w:t>
      </w:r>
      <w:r>
        <w:t xml:space="preserve">to establish and implement a new regulatory framework for biologicals. </w:t>
      </w:r>
      <w:r w:rsidR="00556BC6">
        <w:t xml:space="preserve"> </w:t>
      </w:r>
      <w:r>
        <w:t>The new regulatory scheme commenced on 31 May 2011.</w:t>
      </w:r>
    </w:p>
    <w:p w:rsidR="006F2EFE" w:rsidRDefault="006F2EFE" w:rsidP="006F2EFE"/>
    <w:p w:rsidR="006F2EFE" w:rsidRDefault="006F2EFE" w:rsidP="006F2EFE">
      <w:pPr>
        <w:autoSpaceDE w:val="0"/>
        <w:autoSpaceDN w:val="0"/>
        <w:adjustRightInd w:val="0"/>
        <w:rPr>
          <w:szCs w:val="24"/>
        </w:rPr>
      </w:pPr>
      <w:r>
        <w:rPr>
          <w:szCs w:val="24"/>
        </w:rPr>
        <w:t xml:space="preserve">Section 32A of the Act </w:t>
      </w:r>
      <w:r w:rsidR="002B4935">
        <w:rPr>
          <w:szCs w:val="24"/>
        </w:rPr>
        <w:t xml:space="preserve">includes </w:t>
      </w:r>
      <w:r>
        <w:rPr>
          <w:szCs w:val="24"/>
        </w:rPr>
        <w:t xml:space="preserve">a definition of </w:t>
      </w:r>
      <w:r w:rsidRPr="00956CA0">
        <w:rPr>
          <w:bCs/>
          <w:i/>
          <w:iCs/>
          <w:szCs w:val="24"/>
        </w:rPr>
        <w:t>biological</w:t>
      </w:r>
      <w:r>
        <w:rPr>
          <w:b/>
          <w:bCs/>
          <w:i/>
          <w:iCs/>
          <w:szCs w:val="24"/>
        </w:rPr>
        <w:t xml:space="preserve"> </w:t>
      </w:r>
      <w:r>
        <w:rPr>
          <w:szCs w:val="24"/>
        </w:rPr>
        <w:t xml:space="preserve">for the purposes of the Act.  </w:t>
      </w:r>
    </w:p>
    <w:p w:rsidR="002B4935" w:rsidRDefault="002B4935" w:rsidP="006F2EFE">
      <w:pPr>
        <w:autoSpaceDE w:val="0"/>
        <w:autoSpaceDN w:val="0"/>
        <w:adjustRightInd w:val="0"/>
        <w:rPr>
          <w:szCs w:val="24"/>
        </w:rPr>
      </w:pPr>
    </w:p>
    <w:p w:rsidR="006F2EFE" w:rsidRDefault="006F2EFE" w:rsidP="006F2EFE">
      <w:pPr>
        <w:autoSpaceDE w:val="0"/>
        <w:autoSpaceDN w:val="0"/>
        <w:adjustRightInd w:val="0"/>
        <w:rPr>
          <w:szCs w:val="24"/>
        </w:rPr>
      </w:pPr>
      <w:r>
        <w:rPr>
          <w:szCs w:val="24"/>
        </w:rPr>
        <w:t>Subsection 32A(3) empowers the Secretary</w:t>
      </w:r>
      <w:r w:rsidR="00556BC6">
        <w:rPr>
          <w:szCs w:val="24"/>
        </w:rPr>
        <w:t xml:space="preserve"> </w:t>
      </w:r>
      <w:r>
        <w:rPr>
          <w:szCs w:val="24"/>
        </w:rPr>
        <w:t xml:space="preserve">to declare by legislative instrument that a </w:t>
      </w:r>
      <w:r w:rsidR="002B4935">
        <w:rPr>
          <w:szCs w:val="24"/>
        </w:rPr>
        <w:t xml:space="preserve">specified </w:t>
      </w:r>
      <w:r>
        <w:rPr>
          <w:szCs w:val="24"/>
        </w:rPr>
        <w:t>thing is not a biological for the purposes of the Act.</w:t>
      </w:r>
    </w:p>
    <w:p w:rsidR="006F2EFE" w:rsidRDefault="006F2EFE" w:rsidP="006F2EFE">
      <w:pPr>
        <w:autoSpaceDE w:val="0"/>
        <w:autoSpaceDN w:val="0"/>
        <w:adjustRightInd w:val="0"/>
      </w:pPr>
    </w:p>
    <w:p w:rsidR="002B4935" w:rsidRDefault="006F2EFE" w:rsidP="006F2EFE">
      <w:pPr>
        <w:autoSpaceDE w:val="0"/>
        <w:autoSpaceDN w:val="0"/>
        <w:adjustRightInd w:val="0"/>
      </w:pPr>
      <w:r>
        <w:t xml:space="preserve">The scope of the biologicals framework, as recommended by the Australian Health Minister’s Council (AHMC) in 2006, was to include some human cell and tissue therapy products.  The current definition of </w:t>
      </w:r>
      <w:r w:rsidRPr="00956CA0">
        <w:t>biological</w:t>
      </w:r>
      <w:r>
        <w:t xml:space="preserve"> in the Act is broad and includes any therapeutic product containing cells or tissues of human origin.  This was done to allow additional cell and tissue therapy products to be included in the framework, if appropriate, over time.  </w:t>
      </w:r>
    </w:p>
    <w:p w:rsidR="002B4935" w:rsidRDefault="002B4935" w:rsidP="006F2EFE">
      <w:pPr>
        <w:autoSpaceDE w:val="0"/>
        <w:autoSpaceDN w:val="0"/>
        <w:adjustRightInd w:val="0"/>
      </w:pPr>
    </w:p>
    <w:p w:rsidR="006F2EFE" w:rsidRDefault="006F2EFE" w:rsidP="006F2EFE">
      <w:pPr>
        <w:autoSpaceDE w:val="0"/>
        <w:autoSpaceDN w:val="0"/>
        <w:adjustRightInd w:val="0"/>
      </w:pPr>
      <w:r>
        <w:t xml:space="preserve">This </w:t>
      </w:r>
      <w:r w:rsidR="007E5F59">
        <w:t xml:space="preserve">Determination </w:t>
      </w:r>
      <w:r>
        <w:t>will ensure the scope of the products regulated in the biological</w:t>
      </w:r>
      <w:r w:rsidR="007E5F59">
        <w:t>s</w:t>
      </w:r>
      <w:r>
        <w:t xml:space="preserve"> framework is consistent with the AHMC recommendation by declaring some products, that are </w:t>
      </w:r>
      <w:r w:rsidR="002B4935">
        <w:t xml:space="preserve">otherwise </w:t>
      </w:r>
      <w:r>
        <w:t xml:space="preserve">captured in the definition of </w:t>
      </w:r>
      <w:r w:rsidR="00556BC6">
        <w:t xml:space="preserve">biological but are </w:t>
      </w:r>
      <w:r>
        <w:t xml:space="preserve">already regulated by the Act as medicines or medical devices, are not biologicals. </w:t>
      </w:r>
    </w:p>
    <w:p w:rsidR="006F2EFE" w:rsidRDefault="006F2EFE" w:rsidP="006F2EFE">
      <w:pPr>
        <w:autoSpaceDE w:val="0"/>
        <w:autoSpaceDN w:val="0"/>
        <w:adjustRightInd w:val="0"/>
      </w:pPr>
    </w:p>
    <w:p w:rsidR="006F2EFE" w:rsidRDefault="006F2EFE" w:rsidP="006F2EFE">
      <w:pPr>
        <w:autoSpaceDE w:val="0"/>
        <w:autoSpaceDN w:val="0"/>
        <w:adjustRightInd w:val="0"/>
        <w:spacing w:after="120"/>
      </w:pPr>
      <w:r>
        <w:t xml:space="preserve">The products to be included in this </w:t>
      </w:r>
      <w:r w:rsidR="007E5F59">
        <w:t xml:space="preserve">Determination </w:t>
      </w:r>
      <w:r>
        <w:t xml:space="preserve">to ensure the scope of the biologicals framework is consistent with the AHMC recommendations are: </w:t>
      </w:r>
    </w:p>
    <w:p w:rsidR="006F2EFE" w:rsidRDefault="006F2EFE" w:rsidP="006F2EFE">
      <w:pPr>
        <w:numPr>
          <w:ilvl w:val="1"/>
          <w:numId w:val="1"/>
        </w:numPr>
        <w:tabs>
          <w:tab w:val="clear" w:pos="1440"/>
          <w:tab w:val="num" w:pos="709"/>
        </w:tabs>
        <w:ind w:left="709" w:hanging="425"/>
      </w:pPr>
      <w:r>
        <w:t>blood, blood components and haematopoietic progenitor cells</w:t>
      </w:r>
      <w:r w:rsidR="00503912">
        <w:t xml:space="preserve"> used for haematopoietic reconstitution</w:t>
      </w:r>
      <w:r w:rsidR="00556BC6">
        <w:t xml:space="preserve"> – these </w:t>
      </w:r>
      <w:r>
        <w:t xml:space="preserve">have been deferred from inclusion in the biologicals framework </w:t>
      </w:r>
      <w:r w:rsidR="00503912">
        <w:lastRenderedPageBreak/>
        <w:t xml:space="preserve">and, </w:t>
      </w:r>
      <w:r>
        <w:t>pending further consultation</w:t>
      </w:r>
      <w:r w:rsidR="00503912">
        <w:t xml:space="preserve">, </w:t>
      </w:r>
      <w:r>
        <w:t>will continue to be regulated as medicines under the Act;</w:t>
      </w:r>
    </w:p>
    <w:p w:rsidR="006F2EFE" w:rsidRDefault="006F2EFE" w:rsidP="006F2EFE">
      <w:pPr>
        <w:numPr>
          <w:ilvl w:val="1"/>
          <w:numId w:val="1"/>
        </w:numPr>
        <w:tabs>
          <w:tab w:val="clear" w:pos="1440"/>
          <w:tab w:val="num" w:pos="426"/>
          <w:tab w:val="num" w:pos="709"/>
        </w:tabs>
        <w:ind w:left="709" w:hanging="425"/>
      </w:pPr>
      <w:r w:rsidRPr="00DA7EB5">
        <w:rPr>
          <w:i/>
        </w:rPr>
        <w:t>in vitro</w:t>
      </w:r>
      <w:r>
        <w:t xml:space="preserve"> diagnostic devices, which for example may contain human plasma</w:t>
      </w:r>
      <w:r w:rsidR="00556BC6">
        <w:t xml:space="preserve"> – these </w:t>
      </w:r>
      <w:r>
        <w:t xml:space="preserve">were not within the agreed scope of the framework </w:t>
      </w:r>
      <w:r w:rsidR="00556BC6">
        <w:t xml:space="preserve">and </w:t>
      </w:r>
      <w:r>
        <w:t>will continue to be regulated as medical devices;</w:t>
      </w:r>
    </w:p>
    <w:p w:rsidR="006F2EFE" w:rsidRDefault="006F2EFE" w:rsidP="006F2EFE">
      <w:pPr>
        <w:numPr>
          <w:ilvl w:val="1"/>
          <w:numId w:val="1"/>
        </w:numPr>
        <w:tabs>
          <w:tab w:val="clear" w:pos="1440"/>
          <w:tab w:val="num" w:pos="426"/>
          <w:tab w:val="num" w:pos="709"/>
        </w:tabs>
        <w:ind w:left="709" w:hanging="425"/>
      </w:pPr>
      <w:r>
        <w:t>diagnostic samples which are not for use as a therapeutic good in an individual;</w:t>
      </w:r>
      <w:r w:rsidR="00556BC6">
        <w:t xml:space="preserve"> and</w:t>
      </w:r>
    </w:p>
    <w:p w:rsidR="006F2EFE" w:rsidRPr="00364612" w:rsidRDefault="006F2EFE" w:rsidP="006F2EFE">
      <w:pPr>
        <w:numPr>
          <w:ilvl w:val="1"/>
          <w:numId w:val="1"/>
        </w:numPr>
        <w:tabs>
          <w:tab w:val="clear" w:pos="1440"/>
          <w:tab w:val="num" w:pos="426"/>
          <w:tab w:val="num" w:pos="709"/>
        </w:tabs>
        <w:autoSpaceDE w:val="0"/>
        <w:autoSpaceDN w:val="0"/>
        <w:adjustRightInd w:val="0"/>
        <w:ind w:left="709" w:hanging="425"/>
        <w:rPr>
          <w:szCs w:val="24"/>
        </w:rPr>
      </w:pPr>
      <w:r>
        <w:t>biological medicines, such as vaccines and plasma derived products</w:t>
      </w:r>
      <w:r w:rsidR="00556BC6">
        <w:t xml:space="preserve"> – these </w:t>
      </w:r>
      <w:r>
        <w:t>will continue to be regulated as medicines for the purposes of the Act.</w:t>
      </w:r>
    </w:p>
    <w:p w:rsidR="006F2EFE" w:rsidRDefault="006F2EFE" w:rsidP="006F2EFE"/>
    <w:p w:rsidR="006F2EFE" w:rsidRPr="00B4684E" w:rsidRDefault="006F2EFE" w:rsidP="006F2EFE">
      <w:pPr>
        <w:rPr>
          <w:b/>
        </w:rPr>
      </w:pPr>
      <w:r w:rsidRPr="00B4684E">
        <w:rPr>
          <w:b/>
        </w:rPr>
        <w:t>CONSUL</w:t>
      </w:r>
      <w:r>
        <w:rPr>
          <w:b/>
        </w:rPr>
        <w:t>T</w:t>
      </w:r>
      <w:r w:rsidRPr="00B4684E">
        <w:rPr>
          <w:b/>
        </w:rPr>
        <w:t>ATION</w:t>
      </w:r>
    </w:p>
    <w:p w:rsidR="006F2EFE" w:rsidRDefault="006F2EFE" w:rsidP="006F2EFE">
      <w:r w:rsidRPr="00DF6ABD">
        <w:t xml:space="preserve">The scope and details of the biologicals framework as recommended by AHMC were consulted with the Australian public in 2004, 2006 and 2007. The </w:t>
      </w:r>
      <w:r w:rsidR="007E5F59">
        <w:t xml:space="preserve">Determination </w:t>
      </w:r>
      <w:r w:rsidRPr="00DF6ABD">
        <w:t>was developed in accordance with these recommendations.</w:t>
      </w:r>
      <w:r>
        <w:t xml:space="preserve">  In addition, presentations to key organisations in the cell and tissue sector in 2009, 2010 and 2011 have </w:t>
      </w:r>
      <w:r w:rsidR="00556BC6">
        <w:t xml:space="preserve">described </w:t>
      </w:r>
      <w:r>
        <w:t xml:space="preserve">the products </w:t>
      </w:r>
      <w:r w:rsidR="00556BC6">
        <w:t xml:space="preserve">proposed to be </w:t>
      </w:r>
      <w:r>
        <w:t xml:space="preserve">included and </w:t>
      </w:r>
      <w:r w:rsidR="00556BC6">
        <w:t xml:space="preserve">those proposed not to be </w:t>
      </w:r>
      <w:r>
        <w:t xml:space="preserve">included in the biologicals framework, and the mechanisms, including this </w:t>
      </w:r>
      <w:r w:rsidR="007E5F59">
        <w:t>Determination</w:t>
      </w:r>
      <w:r>
        <w:t xml:space="preserve">, to achieve </w:t>
      </w:r>
      <w:r w:rsidR="00556BC6">
        <w:t>that outcome</w:t>
      </w:r>
      <w:r>
        <w:t>.</w:t>
      </w:r>
    </w:p>
    <w:p w:rsidR="006F2EFE" w:rsidRDefault="006F2EFE" w:rsidP="006F2EFE"/>
    <w:p w:rsidR="006F2EFE" w:rsidRPr="0000674E" w:rsidRDefault="006F2EFE" w:rsidP="006F2EFE">
      <w:pPr>
        <w:pStyle w:val="Heading3"/>
      </w:pPr>
      <w:r w:rsidRPr="0000674E">
        <w:t>REGULATION IMPACT STATEMENT</w:t>
      </w:r>
    </w:p>
    <w:p w:rsidR="006F2EFE" w:rsidRDefault="006F2EFE" w:rsidP="006F2EFE">
      <w:r>
        <w:t xml:space="preserve">The </w:t>
      </w:r>
      <w:r w:rsidR="008D2843" w:rsidRPr="008D2843">
        <w:rPr>
          <w:i/>
        </w:rPr>
        <w:t>Regulatory Impact Statement for the Regulation of Human Cellular and Tissue Therapy Products (</w:t>
      </w:r>
      <w:r w:rsidR="00830A91">
        <w:rPr>
          <w:i/>
        </w:rPr>
        <w:t>B</w:t>
      </w:r>
      <w:r w:rsidR="008D2843" w:rsidRPr="008D2843">
        <w:rPr>
          <w:i/>
        </w:rPr>
        <w:t>iologicals)</w:t>
      </w:r>
      <w:r>
        <w:t xml:space="preserve"> (ORR ID </w:t>
      </w:r>
      <w:r w:rsidRPr="00B66540">
        <w:t>5066</w:t>
      </w:r>
      <w:r w:rsidRPr="00B66540" w:rsidDel="00B66540">
        <w:t xml:space="preserve"> </w:t>
      </w:r>
      <w:r>
        <w:t xml:space="preserve">February 2009) </w:t>
      </w:r>
      <w:r w:rsidR="002B4935">
        <w:t xml:space="preserve">addressed the coverage </w:t>
      </w:r>
      <w:r>
        <w:t xml:space="preserve">of the biologicals framework and </w:t>
      </w:r>
      <w:r w:rsidR="002B4935">
        <w:t xml:space="preserve">how it would be implemented.  </w:t>
      </w:r>
      <w:r w:rsidR="00556BC6">
        <w:t xml:space="preserve">Under the </w:t>
      </w:r>
      <w:r w:rsidR="007E5F59">
        <w:t xml:space="preserve">Determination </w:t>
      </w:r>
      <w:r w:rsidR="00556BC6">
        <w:t xml:space="preserve">there will be </w:t>
      </w:r>
      <w:r>
        <w:t xml:space="preserve">no change in the regulatory status of the products </w:t>
      </w:r>
      <w:r w:rsidR="002B4935">
        <w:t xml:space="preserve">included in </w:t>
      </w:r>
      <w:r>
        <w:t xml:space="preserve">the </w:t>
      </w:r>
      <w:r w:rsidR="007E5F59">
        <w:t>Determination</w:t>
      </w:r>
      <w:r w:rsidR="00556BC6">
        <w:t xml:space="preserve">.  As a result there will be </w:t>
      </w:r>
      <w:r w:rsidRPr="00C901F9">
        <w:t>no increase in compliance costs</w:t>
      </w:r>
      <w:r>
        <w:t xml:space="preserve"> as these products are </w:t>
      </w:r>
      <w:r w:rsidRPr="00C901F9">
        <w:t>already re</w:t>
      </w:r>
      <w:r>
        <w:t>gulated as medicines or medical devices.</w:t>
      </w:r>
    </w:p>
    <w:p w:rsidR="00531AB3" w:rsidRDefault="00531AB3"/>
    <w:sectPr w:rsidR="00531AB3" w:rsidSect="006F2EFE">
      <w:footerReference w:type="default" r:id="rId7"/>
      <w:pgSz w:w="11907" w:h="16840" w:code="9"/>
      <w:pgMar w:top="1440" w:right="1440" w:bottom="1440"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82" w:rsidRDefault="003D1582" w:rsidP="00112669">
      <w:r>
        <w:separator/>
      </w:r>
    </w:p>
  </w:endnote>
  <w:endnote w:type="continuationSeparator" w:id="0">
    <w:p w:rsidR="003D1582" w:rsidRDefault="003D1582" w:rsidP="00112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59" w:rsidRDefault="00297A03">
    <w:pPr>
      <w:pStyle w:val="Footer"/>
      <w:jc w:val="center"/>
      <w:rPr>
        <w:sz w:val="14"/>
      </w:rPr>
    </w:pPr>
    <w:r>
      <w:rPr>
        <w:rStyle w:val="PageNumber"/>
      </w:rPr>
      <w:fldChar w:fldCharType="begin"/>
    </w:r>
    <w:r w:rsidR="007E5F59">
      <w:rPr>
        <w:rStyle w:val="PageNumber"/>
      </w:rPr>
      <w:instrText xml:space="preserve"> PAGE </w:instrText>
    </w:r>
    <w:r>
      <w:rPr>
        <w:rStyle w:val="PageNumber"/>
      </w:rPr>
      <w:fldChar w:fldCharType="separate"/>
    </w:r>
    <w:r w:rsidR="00E73BE2">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82" w:rsidRDefault="003D1582" w:rsidP="00112669">
      <w:r>
        <w:separator/>
      </w:r>
    </w:p>
  </w:footnote>
  <w:footnote w:type="continuationSeparator" w:id="0">
    <w:p w:rsidR="003D1582" w:rsidRDefault="003D1582" w:rsidP="00112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6F2EFE"/>
    <w:rsid w:val="000B0AA9"/>
    <w:rsid w:val="00112669"/>
    <w:rsid w:val="001A037E"/>
    <w:rsid w:val="001E14BA"/>
    <w:rsid w:val="002012D1"/>
    <w:rsid w:val="0029787C"/>
    <w:rsid w:val="00297A03"/>
    <w:rsid w:val="002A3AD0"/>
    <w:rsid w:val="002B4935"/>
    <w:rsid w:val="002F7D50"/>
    <w:rsid w:val="003945B9"/>
    <w:rsid w:val="003D1582"/>
    <w:rsid w:val="004E1B10"/>
    <w:rsid w:val="00503912"/>
    <w:rsid w:val="005217DE"/>
    <w:rsid w:val="00531AB3"/>
    <w:rsid w:val="00556BC6"/>
    <w:rsid w:val="00616F00"/>
    <w:rsid w:val="00673D1C"/>
    <w:rsid w:val="006F2EFE"/>
    <w:rsid w:val="0070085A"/>
    <w:rsid w:val="007E5F59"/>
    <w:rsid w:val="007E7E2D"/>
    <w:rsid w:val="00830A91"/>
    <w:rsid w:val="008D2843"/>
    <w:rsid w:val="009C7D79"/>
    <w:rsid w:val="00A11560"/>
    <w:rsid w:val="00AC26FC"/>
    <w:rsid w:val="00C146DA"/>
    <w:rsid w:val="00CF53B7"/>
    <w:rsid w:val="00D53D6F"/>
    <w:rsid w:val="00E73BE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FE"/>
    <w:rPr>
      <w:rFonts w:eastAsia="Times New Roman" w:cs="Times New Roman"/>
      <w:sz w:val="24"/>
      <w:szCs w:val="20"/>
      <w:lang w:eastAsia="en-AU"/>
    </w:rPr>
  </w:style>
  <w:style w:type="paragraph" w:styleId="Heading3">
    <w:name w:val="heading 3"/>
    <w:basedOn w:val="Normal"/>
    <w:next w:val="Normal"/>
    <w:link w:val="Heading3Char"/>
    <w:qFormat/>
    <w:rsid w:val="006F2EFE"/>
    <w:pPr>
      <w:keepNext/>
      <w:outlineLvl w:val="2"/>
    </w:pPr>
    <w:rPr>
      <w:b/>
    </w:rPr>
  </w:style>
  <w:style w:type="paragraph" w:styleId="Heading5">
    <w:name w:val="heading 5"/>
    <w:basedOn w:val="Normal"/>
    <w:next w:val="Normal"/>
    <w:link w:val="Heading5Char"/>
    <w:qFormat/>
    <w:rsid w:val="006F2E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2EFE"/>
    <w:rPr>
      <w:rFonts w:eastAsia="Times New Roman" w:cs="Times New Roman"/>
      <w:b/>
      <w:sz w:val="24"/>
      <w:szCs w:val="20"/>
      <w:lang w:eastAsia="en-AU"/>
    </w:rPr>
  </w:style>
  <w:style w:type="character" w:customStyle="1" w:styleId="Heading5Char">
    <w:name w:val="Heading 5 Char"/>
    <w:basedOn w:val="DefaultParagraphFont"/>
    <w:link w:val="Heading5"/>
    <w:rsid w:val="006F2EFE"/>
    <w:rPr>
      <w:rFonts w:eastAsia="Times New Roman" w:cs="Times New Roman"/>
      <w:i/>
      <w:sz w:val="24"/>
      <w:szCs w:val="20"/>
      <w:lang w:eastAsia="en-AU"/>
    </w:rPr>
  </w:style>
  <w:style w:type="character" w:styleId="PageNumber">
    <w:name w:val="page number"/>
    <w:basedOn w:val="DefaultParagraphFont"/>
    <w:rsid w:val="006F2EFE"/>
  </w:style>
  <w:style w:type="paragraph" w:styleId="Footer">
    <w:name w:val="footer"/>
    <w:basedOn w:val="Normal"/>
    <w:link w:val="FooterChar"/>
    <w:rsid w:val="006F2EFE"/>
    <w:pPr>
      <w:tabs>
        <w:tab w:val="center" w:pos="4153"/>
        <w:tab w:val="right" w:pos="8306"/>
      </w:tabs>
    </w:pPr>
  </w:style>
  <w:style w:type="character" w:customStyle="1" w:styleId="FooterChar">
    <w:name w:val="Footer Char"/>
    <w:basedOn w:val="DefaultParagraphFont"/>
    <w:link w:val="Footer"/>
    <w:rsid w:val="006F2EFE"/>
    <w:rPr>
      <w:rFonts w:eastAsia="Times New Roman" w:cs="Times New Roman"/>
      <w:sz w:val="24"/>
      <w:szCs w:val="20"/>
      <w:lang w:eastAsia="en-AU"/>
    </w:rPr>
  </w:style>
  <w:style w:type="paragraph" w:styleId="BalloonText">
    <w:name w:val="Balloon Text"/>
    <w:basedOn w:val="Normal"/>
    <w:link w:val="BalloonTextChar"/>
    <w:uiPriority w:val="99"/>
    <w:semiHidden/>
    <w:unhideWhenUsed/>
    <w:rsid w:val="00556BC6"/>
    <w:rPr>
      <w:rFonts w:ascii="Tahoma" w:hAnsi="Tahoma" w:cs="Tahoma"/>
      <w:sz w:val="16"/>
      <w:szCs w:val="16"/>
    </w:rPr>
  </w:style>
  <w:style w:type="character" w:customStyle="1" w:styleId="BalloonTextChar">
    <w:name w:val="Balloon Text Char"/>
    <w:basedOn w:val="DefaultParagraphFont"/>
    <w:link w:val="BalloonText"/>
    <w:uiPriority w:val="99"/>
    <w:semiHidden/>
    <w:rsid w:val="00556BC6"/>
    <w:rPr>
      <w:rFonts w:ascii="Tahoma" w:eastAsia="Times New Roman"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4035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Horner, Philippa</dc:creator>
  <cp:lastModifiedBy>Carter, Bless</cp:lastModifiedBy>
  <cp:revision>8</cp:revision>
  <dcterms:created xsi:type="dcterms:W3CDTF">2011-05-30T09:34:00Z</dcterms:created>
  <dcterms:modified xsi:type="dcterms:W3CDTF">2011-05-31T05:50:00Z</dcterms:modified>
</cp:coreProperties>
</file>