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FF" w:rsidRDefault="005309FF" w:rsidP="005309FF">
      <w:pPr>
        <w:jc w:val="center"/>
      </w:pPr>
    </w:p>
    <w:p w:rsidR="005309FF" w:rsidRDefault="005309FF" w:rsidP="005309F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978025" cy="1160780"/>
            <wp:effectExtent l="19050" t="0" r="3175" b="0"/>
            <wp:docPr id="1" name="Picture 12" descr="DH&amp;A_logo_Stacked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H&amp;A_logo_Stacked_blac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9FF" w:rsidRDefault="005309FF" w:rsidP="005309FF">
      <w:pPr>
        <w:jc w:val="center"/>
        <w:rPr>
          <w:noProof/>
        </w:rPr>
      </w:pPr>
    </w:p>
    <w:p w:rsidR="005309FF" w:rsidRDefault="005309FF" w:rsidP="005309FF">
      <w:pPr>
        <w:jc w:val="center"/>
        <w:rPr>
          <w:noProof/>
        </w:rPr>
      </w:pPr>
    </w:p>
    <w:p w:rsidR="005309FF" w:rsidRDefault="005309FF" w:rsidP="005309FF">
      <w:pPr>
        <w:jc w:val="center"/>
      </w:pPr>
    </w:p>
    <w:p w:rsidR="005309FF" w:rsidRDefault="005309FF" w:rsidP="005309FF">
      <w:pPr>
        <w:jc w:val="center"/>
      </w:pPr>
    </w:p>
    <w:p w:rsidR="005309FF" w:rsidRDefault="005309FF" w:rsidP="005309FF">
      <w:pPr>
        <w:jc w:val="center"/>
      </w:pPr>
    </w:p>
    <w:p w:rsidR="005309FF" w:rsidRPr="00835087" w:rsidRDefault="005309FF" w:rsidP="005309FF">
      <w:pPr>
        <w:pStyle w:val="gazetteheading"/>
        <w:jc w:val="center"/>
        <w:rPr>
          <w:b/>
          <w:i/>
          <w:sz w:val="36"/>
          <w:szCs w:val="36"/>
        </w:rPr>
      </w:pPr>
      <w:r w:rsidRPr="00835087">
        <w:rPr>
          <w:b/>
          <w:i/>
          <w:sz w:val="36"/>
          <w:szCs w:val="36"/>
        </w:rPr>
        <w:t>Therapeutic Goods Act 1989</w:t>
      </w:r>
    </w:p>
    <w:p w:rsidR="005309FF" w:rsidRDefault="005309FF" w:rsidP="005309FF">
      <w:pPr>
        <w:jc w:val="center"/>
        <w:rPr>
          <w:i/>
        </w:rPr>
      </w:pPr>
    </w:p>
    <w:p w:rsidR="005309FF" w:rsidRDefault="005309FF" w:rsidP="005309FF">
      <w:pPr>
        <w:pStyle w:val="Heading2"/>
        <w:rPr>
          <w:sz w:val="32"/>
        </w:rPr>
      </w:pPr>
      <w:r>
        <w:rPr>
          <w:sz w:val="32"/>
        </w:rPr>
        <w:t>Therapeutic Goods (</w:t>
      </w:r>
      <w:r w:rsidR="00A6484F">
        <w:rPr>
          <w:sz w:val="32"/>
        </w:rPr>
        <w:t xml:space="preserve">Things </w:t>
      </w:r>
      <w:r>
        <w:rPr>
          <w:sz w:val="32"/>
        </w:rPr>
        <w:t xml:space="preserve">that are not Biologicals) </w:t>
      </w:r>
    </w:p>
    <w:p w:rsidR="005309FF" w:rsidRDefault="009C677B" w:rsidP="005309FF">
      <w:pPr>
        <w:pStyle w:val="Heading2"/>
        <w:rPr>
          <w:sz w:val="32"/>
        </w:rPr>
      </w:pPr>
      <w:r>
        <w:rPr>
          <w:sz w:val="32"/>
        </w:rPr>
        <w:t xml:space="preserve">Determination </w:t>
      </w:r>
      <w:r w:rsidR="005309FF">
        <w:rPr>
          <w:sz w:val="32"/>
        </w:rPr>
        <w:t>No. 1 of 2011</w:t>
      </w:r>
    </w:p>
    <w:p w:rsidR="005309FF" w:rsidRDefault="005309FF" w:rsidP="005309FF">
      <w:pPr>
        <w:jc w:val="center"/>
        <w:rPr>
          <w:sz w:val="28"/>
        </w:rPr>
      </w:pPr>
    </w:p>
    <w:p w:rsidR="005309FF" w:rsidRDefault="005309FF" w:rsidP="005309FF">
      <w:pPr>
        <w:pStyle w:val="Heading40"/>
        <w:keepNext w:val="0"/>
        <w:outlineLvl w:val="9"/>
        <w:rPr>
          <w:rFonts w:ascii="Times New Roman" w:hAnsi="Times New Roman"/>
          <w:spacing w:val="0"/>
          <w:position w:val="0"/>
        </w:rPr>
      </w:pPr>
    </w:p>
    <w:p w:rsidR="005309FF" w:rsidRDefault="005309FF" w:rsidP="005309FF">
      <w:pPr>
        <w:rPr>
          <w:i/>
        </w:rPr>
      </w:pPr>
      <w:r>
        <w:t xml:space="preserve">I, </w:t>
      </w:r>
      <w:r w:rsidR="00F1271E">
        <w:t>ROHAN HAMMETT</w:t>
      </w:r>
      <w:r>
        <w:t xml:space="preserve">, the delegate of the Secretary of the Department of Health and Ageing for the purposes of subsection 32A(3) of the </w:t>
      </w:r>
      <w:r>
        <w:rPr>
          <w:i/>
        </w:rPr>
        <w:t xml:space="preserve">Therapeutic Goods Act 1989 </w:t>
      </w:r>
      <w:r>
        <w:t>(the Act), de</w:t>
      </w:r>
      <w:r w:rsidR="009C677B">
        <w:t xml:space="preserve">termine </w:t>
      </w:r>
      <w:r>
        <w:t xml:space="preserve">that </w:t>
      </w:r>
      <w:r w:rsidR="00A6484F">
        <w:t xml:space="preserve">the </w:t>
      </w:r>
      <w:r w:rsidR="00105E39">
        <w:t xml:space="preserve">things specified </w:t>
      </w:r>
      <w:r>
        <w:t>below are not, for the purposes of the Act, biologicals</w:t>
      </w:r>
      <w:r>
        <w:rPr>
          <w:i/>
        </w:rPr>
        <w:t>.</w:t>
      </w:r>
    </w:p>
    <w:p w:rsidR="005309FF" w:rsidRPr="00043114" w:rsidRDefault="005309FF" w:rsidP="005309FF"/>
    <w:p w:rsidR="005309FF" w:rsidRDefault="005309FF" w:rsidP="005309FF">
      <w:pPr>
        <w:pStyle w:val="Heading40"/>
        <w:keepNext w:val="0"/>
        <w:ind w:firstLine="567"/>
        <w:outlineLvl w:val="9"/>
        <w:rPr>
          <w:rFonts w:ascii="Times New Roman" w:hAnsi="Times New Roman"/>
          <w:spacing w:val="0"/>
          <w:position w:val="0"/>
        </w:rPr>
      </w:pPr>
    </w:p>
    <w:p w:rsidR="005309FF" w:rsidRPr="00046A19" w:rsidRDefault="005309FF" w:rsidP="005309FF"/>
    <w:p w:rsidR="005309FF" w:rsidRDefault="0036051D" w:rsidP="0036051D">
      <w:pPr>
        <w:pStyle w:val="Heading40"/>
        <w:keepNext w:val="0"/>
        <w:outlineLvl w:val="9"/>
        <w:rPr>
          <w:rFonts w:ascii="Times New Roman" w:hAnsi="Times New Roman"/>
          <w:spacing w:val="0"/>
          <w:position w:val="0"/>
        </w:rPr>
      </w:pPr>
      <w:r>
        <w:rPr>
          <w:rFonts w:ascii="Times New Roman" w:hAnsi="Times New Roman"/>
          <w:spacing w:val="0"/>
          <w:position w:val="0"/>
        </w:rPr>
        <w:t xml:space="preserve">31 </w:t>
      </w:r>
      <w:r w:rsidR="005309FF">
        <w:rPr>
          <w:rFonts w:ascii="Times New Roman" w:hAnsi="Times New Roman"/>
          <w:spacing w:val="0"/>
          <w:position w:val="0"/>
        </w:rPr>
        <w:t xml:space="preserve">May 2011  </w:t>
      </w:r>
    </w:p>
    <w:p w:rsidR="005309FF" w:rsidRDefault="005309FF" w:rsidP="005309FF"/>
    <w:p w:rsidR="005309FF" w:rsidRDefault="005309FF" w:rsidP="005309FF"/>
    <w:p w:rsidR="005309FF" w:rsidRDefault="0036051D" w:rsidP="005309FF">
      <w:r>
        <w:t>(signed by)</w:t>
      </w:r>
    </w:p>
    <w:p w:rsidR="005309FF" w:rsidRDefault="005309FF" w:rsidP="005309FF"/>
    <w:p w:rsidR="005309FF" w:rsidRDefault="005309FF" w:rsidP="005309FF">
      <w:r>
        <w:t>Dr Rohan Hammett</w:t>
      </w:r>
    </w:p>
    <w:p w:rsidR="005309FF" w:rsidRDefault="005309FF" w:rsidP="005309FF">
      <w:r>
        <w:t xml:space="preserve">Delegate of the Secretary of the </w:t>
      </w:r>
    </w:p>
    <w:p w:rsidR="005309FF" w:rsidRDefault="005309FF" w:rsidP="005309FF">
      <w:r>
        <w:t>Department of Health and Ageing</w:t>
      </w:r>
    </w:p>
    <w:p w:rsidR="005309FF" w:rsidRDefault="005309FF" w:rsidP="005309FF">
      <w:pPr>
        <w:pStyle w:val="Heading4"/>
      </w:pPr>
    </w:p>
    <w:p w:rsidR="005309FF" w:rsidRDefault="005309FF" w:rsidP="005309FF">
      <w:pPr>
        <w:pStyle w:val="Heading4"/>
      </w:pPr>
      <w:r>
        <w:t>Citation</w:t>
      </w:r>
    </w:p>
    <w:p w:rsidR="005309FF" w:rsidRDefault="005309FF" w:rsidP="005309FF"/>
    <w:p w:rsidR="005309FF" w:rsidRDefault="005309FF" w:rsidP="005309FF">
      <w:pPr>
        <w:numPr>
          <w:ilvl w:val="0"/>
          <w:numId w:val="1"/>
        </w:numPr>
        <w:jc w:val="both"/>
      </w:pPr>
      <w:r>
        <w:t xml:space="preserve">This </w:t>
      </w:r>
      <w:r w:rsidR="009C677B">
        <w:t xml:space="preserve">Determination </w:t>
      </w:r>
      <w:r>
        <w:t>may be cited as the Therapeutic Goods (</w:t>
      </w:r>
      <w:r w:rsidR="00A6484F">
        <w:t xml:space="preserve">Things </w:t>
      </w:r>
      <w:r>
        <w:t xml:space="preserve">that are not Biologicals) </w:t>
      </w:r>
      <w:r w:rsidR="009C677B">
        <w:t xml:space="preserve">Determination </w:t>
      </w:r>
      <w:r>
        <w:t>No.1 of 2011.</w:t>
      </w:r>
    </w:p>
    <w:p w:rsidR="005309FF" w:rsidRDefault="005309FF" w:rsidP="005309FF"/>
    <w:p w:rsidR="005309FF" w:rsidRDefault="005309FF" w:rsidP="005309FF">
      <w:pPr>
        <w:pStyle w:val="Heading4"/>
      </w:pPr>
      <w:r>
        <w:t>Commencement</w:t>
      </w:r>
    </w:p>
    <w:p w:rsidR="005309FF" w:rsidRDefault="005309FF" w:rsidP="005309FF">
      <w:pPr>
        <w:rPr>
          <w:b/>
        </w:rPr>
      </w:pPr>
    </w:p>
    <w:p w:rsidR="005309FF" w:rsidRDefault="005309FF" w:rsidP="005309FF">
      <w:pPr>
        <w:numPr>
          <w:ilvl w:val="0"/>
          <w:numId w:val="1"/>
        </w:numPr>
      </w:pPr>
      <w:r>
        <w:t xml:space="preserve">This </w:t>
      </w:r>
      <w:r w:rsidR="009C677B">
        <w:t xml:space="preserve">Determination </w:t>
      </w:r>
      <w:r>
        <w:t xml:space="preserve">commences on the day </w:t>
      </w:r>
      <w:r w:rsidR="00E06400">
        <w:t xml:space="preserve">it is </w:t>
      </w:r>
      <w:r>
        <w:t>registered in the Federal Register of Legislative Instruments.</w:t>
      </w:r>
    </w:p>
    <w:p w:rsidR="005309FF" w:rsidRDefault="00105E39" w:rsidP="005309FF">
      <w:r>
        <w:br w:type="column"/>
      </w:r>
    </w:p>
    <w:p w:rsidR="005309FF" w:rsidRDefault="005309FF" w:rsidP="001B7ED8">
      <w:pPr>
        <w:numPr>
          <w:ilvl w:val="0"/>
          <w:numId w:val="1"/>
        </w:numPr>
        <w:spacing w:after="40"/>
      </w:pPr>
      <w:r>
        <w:t xml:space="preserve">For the purposes of subsection 32A(3) of the Act, the following </w:t>
      </w:r>
      <w:r w:rsidR="00105E39">
        <w:t xml:space="preserve">things </w:t>
      </w:r>
      <w:r>
        <w:t>are declared not to be biologicals:</w:t>
      </w:r>
    </w:p>
    <w:p w:rsidR="005309FF" w:rsidRDefault="00105E39" w:rsidP="00105E39">
      <w:pPr>
        <w:numPr>
          <w:ilvl w:val="0"/>
          <w:numId w:val="2"/>
        </w:numPr>
        <w:spacing w:after="40"/>
        <w:ind w:hanging="573"/>
      </w:pPr>
      <w:r>
        <w:t>h</w:t>
      </w:r>
      <w:r w:rsidR="00A6484F">
        <w:t>a</w:t>
      </w:r>
      <w:r w:rsidR="005309FF">
        <w:t>ematopoietic progenitor cells (HPC) used for haematopoietic reconstitution;</w:t>
      </w:r>
    </w:p>
    <w:p w:rsidR="005309FF" w:rsidRDefault="00105E39" w:rsidP="00105E39">
      <w:pPr>
        <w:numPr>
          <w:ilvl w:val="0"/>
          <w:numId w:val="2"/>
        </w:numPr>
        <w:spacing w:after="40"/>
        <w:ind w:hanging="573"/>
      </w:pPr>
      <w:r>
        <w:t>i</w:t>
      </w:r>
      <w:r w:rsidR="005309FF">
        <w:t>n-vitro diagnostic devices (IVDs);</w:t>
      </w:r>
    </w:p>
    <w:p w:rsidR="005309FF" w:rsidRPr="00EE2AF2" w:rsidRDefault="00105E39" w:rsidP="00105E39">
      <w:pPr>
        <w:numPr>
          <w:ilvl w:val="0"/>
          <w:numId w:val="2"/>
        </w:numPr>
        <w:spacing w:after="40"/>
        <w:ind w:hanging="573"/>
      </w:pPr>
      <w:r>
        <w:t>s</w:t>
      </w:r>
      <w:r w:rsidR="005309FF">
        <w:t xml:space="preserve">amples of human cell or tissue that are solely for diagnostic purposes </w:t>
      </w:r>
      <w:r w:rsidR="005309FF" w:rsidRPr="00EE2AF2">
        <w:t>in the same individual</w:t>
      </w:r>
      <w:r w:rsidR="004704EB">
        <w:t>;</w:t>
      </w:r>
    </w:p>
    <w:p w:rsidR="005309FF" w:rsidRDefault="00105E39" w:rsidP="00105E39">
      <w:pPr>
        <w:numPr>
          <w:ilvl w:val="0"/>
          <w:numId w:val="2"/>
        </w:numPr>
        <w:spacing w:after="40"/>
        <w:ind w:hanging="573"/>
      </w:pPr>
      <w:r>
        <w:t>b</w:t>
      </w:r>
      <w:r w:rsidR="005309FF">
        <w:t>lood</w:t>
      </w:r>
      <w:r>
        <w:t xml:space="preserve">, </w:t>
      </w:r>
      <w:r w:rsidR="005309FF">
        <w:t>blood components;</w:t>
      </w:r>
      <w:r>
        <w:t xml:space="preserve"> and</w:t>
      </w:r>
    </w:p>
    <w:p w:rsidR="005309FF" w:rsidRDefault="00105E39" w:rsidP="00105E39">
      <w:pPr>
        <w:numPr>
          <w:ilvl w:val="0"/>
          <w:numId w:val="2"/>
        </w:numPr>
        <w:spacing w:after="40"/>
        <w:ind w:hanging="573"/>
      </w:pPr>
      <w:r>
        <w:t>b</w:t>
      </w:r>
      <w:r w:rsidR="005309FF">
        <w:t xml:space="preserve">iological medicines including: </w:t>
      </w:r>
    </w:p>
    <w:p w:rsidR="005309FF" w:rsidRDefault="005309FF" w:rsidP="001B7ED8">
      <w:pPr>
        <w:numPr>
          <w:ilvl w:val="1"/>
          <w:numId w:val="2"/>
        </w:numPr>
        <w:tabs>
          <w:tab w:val="clear" w:pos="1440"/>
          <w:tab w:val="num" w:pos="1560"/>
        </w:tabs>
        <w:spacing w:after="60"/>
        <w:ind w:left="1560" w:hanging="357"/>
      </w:pPr>
      <w:r>
        <w:t>vaccines (that do not contain viable human cells)</w:t>
      </w:r>
      <w:r w:rsidR="00105E39">
        <w:t>;</w:t>
      </w:r>
    </w:p>
    <w:p w:rsidR="005309FF" w:rsidRDefault="005309FF" w:rsidP="001B7ED8">
      <w:pPr>
        <w:numPr>
          <w:ilvl w:val="1"/>
          <w:numId w:val="2"/>
        </w:numPr>
        <w:tabs>
          <w:tab w:val="clear" w:pos="1440"/>
          <w:tab w:val="num" w:pos="1560"/>
        </w:tabs>
        <w:spacing w:after="60"/>
        <w:ind w:left="1560" w:hanging="357"/>
      </w:pPr>
      <w:r>
        <w:t>recombinant products</w:t>
      </w:r>
      <w:r w:rsidR="00105E39">
        <w:t>; and</w:t>
      </w:r>
    </w:p>
    <w:p w:rsidR="005309FF" w:rsidRDefault="005309FF" w:rsidP="001B7ED8">
      <w:pPr>
        <w:numPr>
          <w:ilvl w:val="1"/>
          <w:numId w:val="2"/>
        </w:numPr>
        <w:tabs>
          <w:tab w:val="clear" w:pos="1440"/>
          <w:tab w:val="left" w:pos="1560"/>
        </w:tabs>
        <w:ind w:left="1560" w:hanging="426"/>
      </w:pPr>
      <w:r>
        <w:t>plasma derived products (or that contain plasma derived products)</w:t>
      </w:r>
      <w:r w:rsidR="001B7ED8">
        <w:t>.</w:t>
      </w:r>
    </w:p>
    <w:p w:rsidR="005309FF" w:rsidRDefault="005309FF" w:rsidP="005309FF"/>
    <w:p w:rsidR="00531AB3" w:rsidRDefault="00531AB3"/>
    <w:sectPr w:rsidR="00531AB3" w:rsidSect="001B7ED8">
      <w:pgSz w:w="11906" w:h="16838" w:code="9"/>
      <w:pgMar w:top="1361" w:right="1440" w:bottom="136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7FF"/>
    <w:multiLevelType w:val="hybridMultilevel"/>
    <w:tmpl w:val="AF68B5FA"/>
    <w:lvl w:ilvl="0" w:tplc="342A95BA">
      <w:start w:val="1"/>
      <w:numFmt w:val="lowerLetter"/>
      <w:lvlText w:val="(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D02CD8DA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1D08B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5309FF"/>
    <w:rsid w:val="0000683A"/>
    <w:rsid w:val="00051A9E"/>
    <w:rsid w:val="000B0AA9"/>
    <w:rsid w:val="00105E39"/>
    <w:rsid w:val="001A037E"/>
    <w:rsid w:val="001B7ED8"/>
    <w:rsid w:val="001E14BA"/>
    <w:rsid w:val="0029787C"/>
    <w:rsid w:val="002A3AD0"/>
    <w:rsid w:val="0036051D"/>
    <w:rsid w:val="003E1105"/>
    <w:rsid w:val="00461D23"/>
    <w:rsid w:val="004704EB"/>
    <w:rsid w:val="005217DE"/>
    <w:rsid w:val="005309FF"/>
    <w:rsid w:val="00531AB3"/>
    <w:rsid w:val="005E364C"/>
    <w:rsid w:val="00616F00"/>
    <w:rsid w:val="00673D1C"/>
    <w:rsid w:val="007E7E2D"/>
    <w:rsid w:val="00961DDA"/>
    <w:rsid w:val="009C677B"/>
    <w:rsid w:val="009C7D79"/>
    <w:rsid w:val="00A11560"/>
    <w:rsid w:val="00A40347"/>
    <w:rsid w:val="00A6484F"/>
    <w:rsid w:val="00AC26FC"/>
    <w:rsid w:val="00AE1840"/>
    <w:rsid w:val="00B36347"/>
    <w:rsid w:val="00C652A1"/>
    <w:rsid w:val="00D53D6F"/>
    <w:rsid w:val="00E06400"/>
    <w:rsid w:val="00F1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9FF"/>
    <w:rPr>
      <w:rFonts w:eastAsia="Times New Roman" w:cs="Times New Roman"/>
      <w:sz w:val="24"/>
      <w:szCs w:val="20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5309FF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9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5309FF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309FF"/>
    <w:rPr>
      <w:rFonts w:eastAsia="Times New Roman" w:cs="Times New Roman"/>
      <w:b/>
      <w:sz w:val="28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rsid w:val="005309FF"/>
    <w:rPr>
      <w:rFonts w:eastAsia="Times New Roman" w:cs="Times New Roman"/>
      <w:b/>
      <w:sz w:val="24"/>
      <w:szCs w:val="20"/>
      <w:lang w:eastAsia="en-AU"/>
    </w:rPr>
  </w:style>
  <w:style w:type="paragraph" w:customStyle="1" w:styleId="Heading40">
    <w:name w:val="Heading4"/>
    <w:basedOn w:val="Heading3"/>
    <w:next w:val="Normal"/>
    <w:rsid w:val="005309FF"/>
    <w:pPr>
      <w:keepLines w:val="0"/>
      <w:spacing w:before="0"/>
    </w:pPr>
    <w:rPr>
      <w:rFonts w:ascii="Arial" w:eastAsia="Times New Roman" w:hAnsi="Arial" w:cs="Times New Roman"/>
      <w:b w:val="0"/>
      <w:bCs w:val="0"/>
      <w:color w:val="auto"/>
      <w:spacing w:val="38"/>
      <w:position w:val="14"/>
    </w:rPr>
  </w:style>
  <w:style w:type="character" w:styleId="CommentReference">
    <w:name w:val="annotation reference"/>
    <w:basedOn w:val="DefaultParagraphFont"/>
    <w:rsid w:val="005309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09F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309FF"/>
    <w:rPr>
      <w:rFonts w:eastAsia="Times New Roman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5309FF"/>
    <w:pPr>
      <w:ind w:left="720"/>
    </w:pPr>
  </w:style>
  <w:style w:type="paragraph" w:customStyle="1" w:styleId="gazetteheading">
    <w:name w:val="gazetteheading"/>
    <w:basedOn w:val="Normal"/>
    <w:rsid w:val="005309FF"/>
    <w:pPr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9FF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9FF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TGA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carteb</dc:creator>
  <cp:lastModifiedBy>Carter, Bless</cp:lastModifiedBy>
  <cp:revision>3</cp:revision>
  <cp:lastPrinted>2011-05-31T05:33:00Z</cp:lastPrinted>
  <dcterms:created xsi:type="dcterms:W3CDTF">2011-05-31T05:36:00Z</dcterms:created>
  <dcterms:modified xsi:type="dcterms:W3CDTF">2011-05-31T05:37:00Z</dcterms:modified>
</cp:coreProperties>
</file>