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BC6" w:rsidRDefault="00A32B49">
      <w:pPr>
        <w:tabs>
          <w:tab w:val="right" w:pos="9072"/>
        </w:tabs>
        <w:ind w:right="91"/>
        <w:jc w:val="center"/>
        <w:rPr>
          <w:b/>
          <w:u w:val="single"/>
        </w:rPr>
      </w:pPr>
      <w:r>
        <w:rPr>
          <w:b/>
          <w:u w:val="single"/>
        </w:rPr>
        <w:t xml:space="preserve">EXPLANATORY </w:t>
      </w:r>
      <w:r w:rsidR="00375087">
        <w:rPr>
          <w:b/>
          <w:u w:val="single"/>
        </w:rPr>
        <w:t>STATEMENT</w:t>
      </w:r>
    </w:p>
    <w:p w:rsidR="00F14BC6" w:rsidRDefault="00F14BC6">
      <w:pPr>
        <w:tabs>
          <w:tab w:val="right" w:pos="9072"/>
        </w:tabs>
        <w:ind w:right="91"/>
        <w:jc w:val="center"/>
        <w:rPr>
          <w:b/>
          <w:u w:val="single"/>
        </w:rPr>
      </w:pPr>
    </w:p>
    <w:p w:rsidR="000527DB" w:rsidRDefault="000527DB" w:rsidP="000527DB">
      <w:pPr>
        <w:spacing w:after="240"/>
        <w:ind w:right="91"/>
        <w:jc w:val="center"/>
        <w:rPr>
          <w:b/>
          <w:u w:val="single"/>
        </w:rPr>
      </w:pPr>
      <w:r>
        <w:rPr>
          <w:b/>
          <w:u w:val="single"/>
        </w:rPr>
        <w:t>Select Legislative Instrument 201</w:t>
      </w:r>
      <w:r w:rsidR="004F5D07">
        <w:rPr>
          <w:b/>
          <w:u w:val="single"/>
        </w:rPr>
        <w:t>1</w:t>
      </w:r>
      <w:r w:rsidRPr="008C3981">
        <w:rPr>
          <w:b/>
          <w:u w:val="single"/>
        </w:rPr>
        <w:t xml:space="preserve"> No</w:t>
      </w:r>
      <w:r w:rsidR="00567DE7">
        <w:rPr>
          <w:b/>
          <w:u w:val="single"/>
        </w:rPr>
        <w:t>. 109</w:t>
      </w:r>
    </w:p>
    <w:p w:rsidR="00F14BC6" w:rsidRDefault="000527DB" w:rsidP="000527DB">
      <w:pPr>
        <w:tabs>
          <w:tab w:val="right" w:pos="9072"/>
        </w:tabs>
        <w:ind w:right="91"/>
        <w:jc w:val="center"/>
        <w:rPr>
          <w:b/>
        </w:rPr>
      </w:pPr>
      <w:r w:rsidRPr="00F055BB">
        <w:rPr>
          <w:b/>
        </w:rPr>
        <w:t xml:space="preserve">Issued by the authority of the </w:t>
      </w:r>
      <w:r w:rsidR="00AE4A7F">
        <w:rPr>
          <w:b/>
        </w:rPr>
        <w:t>Parliamentary Secretary to the Treasurer</w:t>
      </w:r>
    </w:p>
    <w:p w:rsidR="000527DB" w:rsidRPr="00370E92" w:rsidRDefault="000527DB" w:rsidP="000527DB">
      <w:pPr>
        <w:tabs>
          <w:tab w:val="right" w:pos="9072"/>
        </w:tabs>
        <w:ind w:right="91"/>
        <w:jc w:val="center"/>
        <w:rPr>
          <w:sz w:val="20"/>
        </w:rPr>
      </w:pPr>
    </w:p>
    <w:p w:rsidR="00F14BC6" w:rsidRDefault="009E3D78">
      <w:pPr>
        <w:tabs>
          <w:tab w:val="left" w:pos="1701"/>
          <w:tab w:val="right" w:pos="9072"/>
        </w:tabs>
        <w:ind w:right="91"/>
        <w:rPr>
          <w:i/>
        </w:rPr>
      </w:pPr>
      <w:r>
        <w:t>Subject -</w:t>
      </w:r>
      <w:r w:rsidR="00D30FBA">
        <w:tab/>
      </w:r>
      <w:r w:rsidR="00FF5269">
        <w:rPr>
          <w:i/>
        </w:rPr>
        <w:t xml:space="preserve">Corporations </w:t>
      </w:r>
      <w:r w:rsidR="002172BF">
        <w:rPr>
          <w:i/>
        </w:rPr>
        <w:t>(Review Fees) Act 2003</w:t>
      </w:r>
      <w:r w:rsidR="00FF5269">
        <w:rPr>
          <w:i/>
        </w:rPr>
        <w:br/>
      </w:r>
      <w:r w:rsidR="00FF5269">
        <w:rPr>
          <w:i/>
        </w:rPr>
        <w:tab/>
        <w:t xml:space="preserve">Corporations </w:t>
      </w:r>
      <w:r w:rsidR="00D30FBA">
        <w:rPr>
          <w:i/>
        </w:rPr>
        <w:t xml:space="preserve">(Review Fees) </w:t>
      </w:r>
      <w:r w:rsidR="00FF5269">
        <w:rPr>
          <w:i/>
        </w:rPr>
        <w:t>Amendment Regulations 201</w:t>
      </w:r>
      <w:r w:rsidR="004F5D07">
        <w:rPr>
          <w:i/>
        </w:rPr>
        <w:t>1</w:t>
      </w:r>
      <w:r w:rsidR="00FF5269">
        <w:rPr>
          <w:i/>
        </w:rPr>
        <w:t xml:space="preserve"> (No</w:t>
      </w:r>
      <w:r>
        <w:rPr>
          <w:i/>
        </w:rPr>
        <w:t>.</w:t>
      </w:r>
      <w:r w:rsidR="00FF5269">
        <w:rPr>
          <w:i/>
        </w:rPr>
        <w:t xml:space="preserve"> </w:t>
      </w:r>
      <w:r w:rsidR="00567DE7">
        <w:rPr>
          <w:i/>
        </w:rPr>
        <w:t>1</w:t>
      </w:r>
      <w:r w:rsidR="00FF5269">
        <w:rPr>
          <w:i/>
        </w:rPr>
        <w:t>)</w:t>
      </w:r>
    </w:p>
    <w:p w:rsidR="00F14BC6" w:rsidRDefault="00F14BC6">
      <w:pPr>
        <w:tabs>
          <w:tab w:val="left" w:pos="1701"/>
          <w:tab w:val="right" w:pos="9072"/>
        </w:tabs>
        <w:ind w:right="91"/>
      </w:pPr>
    </w:p>
    <w:p w:rsidR="00F14BC6" w:rsidRPr="00370E92" w:rsidRDefault="00F14BC6">
      <w:pPr>
        <w:tabs>
          <w:tab w:val="right" w:pos="9072"/>
        </w:tabs>
        <w:ind w:right="91"/>
        <w:rPr>
          <w:sz w:val="20"/>
        </w:rPr>
      </w:pPr>
    </w:p>
    <w:p w:rsidR="00616275" w:rsidRDefault="002172BF" w:rsidP="00616275">
      <w:pPr>
        <w:tabs>
          <w:tab w:val="right" w:pos="9072"/>
        </w:tabs>
        <w:ind w:right="91"/>
      </w:pPr>
      <w:r>
        <w:t>Section</w:t>
      </w:r>
      <w:r w:rsidR="004F5D07">
        <w:t xml:space="preserve"> 8 of the </w:t>
      </w:r>
      <w:r w:rsidR="004F5D07">
        <w:rPr>
          <w:i/>
        </w:rPr>
        <w:t xml:space="preserve">Corporations (Review Fees) Act 2003 </w:t>
      </w:r>
      <w:r w:rsidR="00567805">
        <w:t>provide</w:t>
      </w:r>
      <w:r w:rsidR="009E3D78">
        <w:t>s</w:t>
      </w:r>
      <w:r w:rsidR="00616275">
        <w:t xml:space="preserve"> that the </w:t>
      </w:r>
      <w:r w:rsidR="003C182F">
        <w:t xml:space="preserve">     </w:t>
      </w:r>
      <w:r w:rsidR="00616275">
        <w:t>Governor-General may make regulations prescribing matters required or permitted by the Act to be prescribed, or necessary or convenient to be prescribed for carrying out or giving effect to the Act.</w:t>
      </w:r>
    </w:p>
    <w:p w:rsidR="00616275" w:rsidRPr="00981076" w:rsidRDefault="00616275" w:rsidP="00616275">
      <w:pPr>
        <w:tabs>
          <w:tab w:val="right" w:pos="9072"/>
        </w:tabs>
        <w:ind w:right="91"/>
        <w:rPr>
          <w:color w:val="000000" w:themeColor="text1"/>
          <w:szCs w:val="24"/>
        </w:rPr>
      </w:pPr>
    </w:p>
    <w:p w:rsidR="00616275" w:rsidRPr="002172BF" w:rsidRDefault="00567805" w:rsidP="00616275">
      <w:pPr>
        <w:tabs>
          <w:tab w:val="left" w:pos="1701"/>
          <w:tab w:val="right" w:pos="9072"/>
        </w:tabs>
        <w:ind w:right="91"/>
        <w:rPr>
          <w:color w:val="000000" w:themeColor="text1"/>
          <w:szCs w:val="24"/>
        </w:rPr>
      </w:pPr>
      <w:r w:rsidRPr="002172BF">
        <w:rPr>
          <w:color w:val="000000" w:themeColor="text1"/>
          <w:szCs w:val="24"/>
        </w:rPr>
        <w:t xml:space="preserve">The </w:t>
      </w:r>
      <w:r w:rsidRPr="002172BF">
        <w:rPr>
          <w:i/>
          <w:color w:val="000000" w:themeColor="text1"/>
          <w:szCs w:val="24"/>
        </w:rPr>
        <w:t>Corporations (Review Fees) Regulations 2003</w:t>
      </w:r>
      <w:r w:rsidR="00616275" w:rsidRPr="002172BF">
        <w:rPr>
          <w:color w:val="000000" w:themeColor="text1"/>
          <w:szCs w:val="24"/>
        </w:rPr>
        <w:t xml:space="preserve"> (the Principal Regulations) </w:t>
      </w:r>
      <w:r w:rsidR="009E3D78">
        <w:rPr>
          <w:color w:val="000000" w:themeColor="text1"/>
          <w:szCs w:val="24"/>
        </w:rPr>
        <w:t>provide</w:t>
      </w:r>
      <w:r w:rsidR="00B44885">
        <w:rPr>
          <w:color w:val="000000" w:themeColor="text1"/>
          <w:szCs w:val="24"/>
        </w:rPr>
        <w:t xml:space="preserve"> for the payment of </w:t>
      </w:r>
      <w:r w:rsidR="002172BF" w:rsidRPr="002172BF">
        <w:rPr>
          <w:color w:val="000000" w:themeColor="text1"/>
          <w:szCs w:val="24"/>
        </w:rPr>
        <w:t xml:space="preserve">annual review fees </w:t>
      </w:r>
      <w:r w:rsidR="00B44885">
        <w:rPr>
          <w:color w:val="000000" w:themeColor="text1"/>
          <w:szCs w:val="24"/>
        </w:rPr>
        <w:t>by</w:t>
      </w:r>
      <w:r w:rsidR="002172BF" w:rsidRPr="002172BF">
        <w:rPr>
          <w:color w:val="000000" w:themeColor="text1"/>
          <w:szCs w:val="24"/>
        </w:rPr>
        <w:t xml:space="preserve"> companies to the Australian Securities and Investments Commission (ASIC).</w:t>
      </w:r>
    </w:p>
    <w:p w:rsidR="002172BF" w:rsidRPr="002172BF" w:rsidRDefault="002172BF" w:rsidP="00616275">
      <w:pPr>
        <w:tabs>
          <w:tab w:val="left" w:pos="1701"/>
          <w:tab w:val="right" w:pos="9072"/>
        </w:tabs>
        <w:ind w:right="91"/>
        <w:rPr>
          <w:color w:val="000000" w:themeColor="text1"/>
          <w:szCs w:val="24"/>
        </w:rPr>
      </w:pPr>
    </w:p>
    <w:p w:rsidR="00616275" w:rsidRPr="002172BF" w:rsidRDefault="00616275" w:rsidP="00616275">
      <w:pPr>
        <w:tabs>
          <w:tab w:val="left" w:pos="1701"/>
          <w:tab w:val="right" w:pos="9072"/>
        </w:tabs>
        <w:ind w:right="91"/>
        <w:rPr>
          <w:color w:val="000000" w:themeColor="text1"/>
          <w:szCs w:val="24"/>
        </w:rPr>
      </w:pPr>
      <w:r w:rsidRPr="002172BF">
        <w:rPr>
          <w:color w:val="000000" w:themeColor="text1"/>
          <w:szCs w:val="24"/>
        </w:rPr>
        <w:t>The Regulations amend the Principal Regulations to</w:t>
      </w:r>
      <w:r w:rsidR="002172BF" w:rsidRPr="002172BF">
        <w:rPr>
          <w:color w:val="000000" w:themeColor="text1"/>
          <w:szCs w:val="24"/>
        </w:rPr>
        <w:t xml:space="preserve"> increase the annual review fees to </w:t>
      </w:r>
      <w:r w:rsidR="00B44885">
        <w:rPr>
          <w:color w:val="000000" w:themeColor="text1"/>
          <w:szCs w:val="24"/>
        </w:rPr>
        <w:t xml:space="preserve">offset increased appropriations in the Commonwealth </w:t>
      </w:r>
      <w:r w:rsidR="00B776DC">
        <w:rPr>
          <w:color w:val="000000" w:themeColor="text1"/>
          <w:szCs w:val="24"/>
        </w:rPr>
        <w:t>B</w:t>
      </w:r>
      <w:r w:rsidR="009E3D78">
        <w:rPr>
          <w:color w:val="000000" w:themeColor="text1"/>
          <w:szCs w:val="24"/>
        </w:rPr>
        <w:t xml:space="preserve">udget </w:t>
      </w:r>
      <w:r w:rsidR="00B44885">
        <w:rPr>
          <w:color w:val="000000" w:themeColor="text1"/>
          <w:szCs w:val="24"/>
        </w:rPr>
        <w:t xml:space="preserve">2011-12 to </w:t>
      </w:r>
      <w:r w:rsidR="002172BF" w:rsidRPr="002172BF">
        <w:rPr>
          <w:color w:val="000000" w:themeColor="text1"/>
          <w:szCs w:val="24"/>
        </w:rPr>
        <w:t>the Australian Accounting Standards Board (AASB) and the Auditing and Assurance Standards Board (AUASB)</w:t>
      </w:r>
      <w:r w:rsidRPr="002172BF">
        <w:rPr>
          <w:color w:val="000000" w:themeColor="text1"/>
          <w:szCs w:val="24"/>
        </w:rPr>
        <w:t>.</w:t>
      </w:r>
    </w:p>
    <w:p w:rsidR="00616275" w:rsidRPr="002172BF" w:rsidRDefault="00616275" w:rsidP="00616275">
      <w:pPr>
        <w:tabs>
          <w:tab w:val="left" w:pos="1701"/>
          <w:tab w:val="right" w:pos="9072"/>
        </w:tabs>
        <w:ind w:right="91"/>
        <w:rPr>
          <w:color w:val="000000" w:themeColor="text1"/>
          <w:szCs w:val="24"/>
        </w:rPr>
      </w:pPr>
    </w:p>
    <w:p w:rsidR="00616275" w:rsidRPr="002172BF" w:rsidRDefault="00616275" w:rsidP="00616275">
      <w:pPr>
        <w:tabs>
          <w:tab w:val="left" w:pos="1701"/>
          <w:tab w:val="right" w:pos="9072"/>
        </w:tabs>
        <w:ind w:right="91"/>
        <w:rPr>
          <w:color w:val="000000" w:themeColor="text1"/>
          <w:szCs w:val="24"/>
        </w:rPr>
      </w:pPr>
      <w:r w:rsidRPr="002172BF">
        <w:rPr>
          <w:color w:val="000000" w:themeColor="text1"/>
          <w:szCs w:val="24"/>
        </w:rPr>
        <w:t>The Regulations prescribe:</w:t>
      </w:r>
    </w:p>
    <w:p w:rsidR="002172BF" w:rsidRPr="002172BF" w:rsidRDefault="00616275" w:rsidP="00616275">
      <w:pPr>
        <w:pStyle w:val="Bullet"/>
      </w:pPr>
      <w:r w:rsidRPr="002172BF">
        <w:t xml:space="preserve">the </w:t>
      </w:r>
      <w:r w:rsidR="002172BF" w:rsidRPr="002172BF">
        <w:t xml:space="preserve">new </w:t>
      </w:r>
      <w:r w:rsidR="00BE3E95">
        <w:t xml:space="preserve">annual review </w:t>
      </w:r>
      <w:r w:rsidR="002172BF" w:rsidRPr="002172BF">
        <w:t>fees</w:t>
      </w:r>
      <w:r w:rsidR="00BE3E95">
        <w:t xml:space="preserve"> for</w:t>
      </w:r>
      <w:r w:rsidR="009E3D78">
        <w:t xml:space="preserve"> proprietary companies, small transferring institutions, registered schemes and public companies; </w:t>
      </w:r>
      <w:r w:rsidR="002172BF" w:rsidRPr="002172BF">
        <w:t>and</w:t>
      </w:r>
    </w:p>
    <w:p w:rsidR="00616275" w:rsidRPr="002172BF" w:rsidRDefault="002172BF" w:rsidP="00616275">
      <w:pPr>
        <w:pStyle w:val="Bullet"/>
      </w:pPr>
      <w:r w:rsidRPr="002172BF">
        <w:t>the timing of the application of the fee indexation system</w:t>
      </w:r>
      <w:r w:rsidR="00BE3E95">
        <w:t xml:space="preserve"> to those fees</w:t>
      </w:r>
      <w:r w:rsidR="00616275" w:rsidRPr="002172BF">
        <w:t>.</w:t>
      </w:r>
    </w:p>
    <w:p w:rsidR="00616275" w:rsidRPr="002172BF" w:rsidRDefault="00616275" w:rsidP="00616275">
      <w:pPr>
        <w:tabs>
          <w:tab w:val="left" w:pos="1701"/>
          <w:tab w:val="right" w:pos="9072"/>
        </w:tabs>
        <w:ind w:right="91"/>
        <w:rPr>
          <w:color w:val="000000" w:themeColor="text1"/>
          <w:szCs w:val="24"/>
        </w:rPr>
      </w:pPr>
    </w:p>
    <w:p w:rsidR="00616275" w:rsidRPr="00AE31C5" w:rsidRDefault="00616275" w:rsidP="00616275">
      <w:pPr>
        <w:tabs>
          <w:tab w:val="left" w:pos="6521"/>
        </w:tabs>
        <w:ind w:right="91"/>
      </w:pPr>
      <w:r w:rsidRPr="00AE31C5">
        <w:t xml:space="preserve">Details of the Regulations are set out in the </w:t>
      </w:r>
      <w:r w:rsidRPr="00AE31C5">
        <w:rPr>
          <w:u w:val="single"/>
        </w:rPr>
        <w:t>Attachment.</w:t>
      </w:r>
    </w:p>
    <w:p w:rsidR="00616275" w:rsidRPr="00AE31C5" w:rsidRDefault="00616275" w:rsidP="00616275">
      <w:pPr>
        <w:tabs>
          <w:tab w:val="left" w:pos="1701"/>
          <w:tab w:val="right" w:pos="9072"/>
        </w:tabs>
        <w:ind w:right="91"/>
      </w:pPr>
    </w:p>
    <w:p w:rsidR="00616275" w:rsidRPr="00AE31C5" w:rsidRDefault="00616275" w:rsidP="00616275">
      <w:pPr>
        <w:ind w:right="91"/>
      </w:pPr>
      <w:r w:rsidRPr="00AE31C5">
        <w:t xml:space="preserve">Under the Corporations Agreement 2002, the Commonwealth must consult with and obtain the approval of the Ministerial Council for Corporations (the Council) before making amendments to certain provisions of </w:t>
      </w:r>
      <w:r w:rsidR="00BE3E95">
        <w:t>‘national law’ as defined in clause 102 of the Corporations Agreement 2001.</w:t>
      </w:r>
      <w:r w:rsidRPr="00AE31C5">
        <w:t xml:space="preserve"> </w:t>
      </w:r>
      <w:r w:rsidR="00BE3E95">
        <w:t xml:space="preserve"> The Corporations Agreement provides that </w:t>
      </w:r>
      <w:r w:rsidR="002172BF" w:rsidRPr="00AE31C5">
        <w:t>approval for the</w:t>
      </w:r>
      <w:r w:rsidR="00BE3E95">
        <w:t xml:space="preserve"> Regulations is not required </w:t>
      </w:r>
      <w:r w:rsidR="002172BF" w:rsidRPr="00AE31C5">
        <w:t xml:space="preserve">as </w:t>
      </w:r>
      <w:r w:rsidR="00BE3E95">
        <w:t xml:space="preserve">it relates to the setting of a </w:t>
      </w:r>
      <w:r w:rsidR="002172BF" w:rsidRPr="00AE31C5">
        <w:t xml:space="preserve">fee </w:t>
      </w:r>
      <w:r w:rsidR="00BE3E95">
        <w:t>under the national law</w:t>
      </w:r>
      <w:r w:rsidRPr="00AE31C5">
        <w:t>.</w:t>
      </w:r>
    </w:p>
    <w:p w:rsidR="00616275" w:rsidRPr="00AE31C5" w:rsidRDefault="00616275" w:rsidP="00616275">
      <w:pPr>
        <w:ind w:right="91"/>
      </w:pPr>
    </w:p>
    <w:p w:rsidR="00616275" w:rsidRPr="00AE31C5" w:rsidRDefault="00616275" w:rsidP="00616275">
      <w:pPr>
        <w:ind w:right="91"/>
      </w:pPr>
      <w:r w:rsidRPr="00AE31C5">
        <w:t>The Act specifies no other conditions that need to be satisfied before the power to make the Regulations may be exercised.</w:t>
      </w:r>
    </w:p>
    <w:p w:rsidR="00616275" w:rsidRPr="00AE31C5" w:rsidRDefault="00616275" w:rsidP="00616275">
      <w:pPr>
        <w:ind w:right="91"/>
      </w:pPr>
    </w:p>
    <w:p w:rsidR="00616275" w:rsidRPr="00AE31C5" w:rsidRDefault="00616275" w:rsidP="00616275">
      <w:pPr>
        <w:ind w:right="91"/>
      </w:pPr>
      <w:r w:rsidRPr="00AE31C5">
        <w:t xml:space="preserve">The Regulations would be a legislative instrument for the purposes of the </w:t>
      </w:r>
      <w:r w:rsidRPr="00AE31C5">
        <w:rPr>
          <w:i/>
        </w:rPr>
        <w:t>Legislative Instruments Act 2003</w:t>
      </w:r>
      <w:r w:rsidRPr="00AE31C5">
        <w:t>.</w:t>
      </w:r>
    </w:p>
    <w:p w:rsidR="00E93603" w:rsidRPr="004B2684" w:rsidRDefault="00A32B49" w:rsidP="00E93603">
      <w:pPr>
        <w:ind w:right="91"/>
        <w:rPr>
          <w:b/>
          <w:u w:val="single"/>
        </w:rPr>
      </w:pPr>
      <w:r w:rsidRPr="002172BF">
        <w:rPr>
          <w:sz w:val="16"/>
          <w:highlight w:val="yellow"/>
        </w:rPr>
        <w:br w:type="page"/>
      </w:r>
      <w:r w:rsidR="00E93603" w:rsidRPr="004B2684">
        <w:rPr>
          <w:b/>
          <w:u w:val="single"/>
        </w:rPr>
        <w:lastRenderedPageBreak/>
        <w:t xml:space="preserve">Details of the </w:t>
      </w:r>
      <w:r w:rsidR="00E93603" w:rsidRPr="004B2684">
        <w:rPr>
          <w:b/>
          <w:i/>
          <w:u w:val="single"/>
        </w:rPr>
        <w:t xml:space="preserve">Corporations </w:t>
      </w:r>
      <w:r w:rsidR="004B2684" w:rsidRPr="004B2684">
        <w:rPr>
          <w:b/>
          <w:i/>
          <w:u w:val="single"/>
        </w:rPr>
        <w:t xml:space="preserve">(Review Fees) </w:t>
      </w:r>
      <w:r w:rsidR="00E93603" w:rsidRPr="004B2684">
        <w:rPr>
          <w:b/>
          <w:i/>
          <w:u w:val="single"/>
        </w:rPr>
        <w:t>Amendment Regulations 20</w:t>
      </w:r>
      <w:r w:rsidR="004B2684" w:rsidRPr="004B2684">
        <w:rPr>
          <w:b/>
          <w:i/>
          <w:u w:val="single"/>
        </w:rPr>
        <w:t>11</w:t>
      </w:r>
      <w:r w:rsidR="00714404" w:rsidRPr="004B2684">
        <w:rPr>
          <w:b/>
          <w:i/>
          <w:u w:val="single"/>
        </w:rPr>
        <w:t xml:space="preserve"> (</w:t>
      </w:r>
      <w:r w:rsidR="00E93603" w:rsidRPr="004B2684">
        <w:rPr>
          <w:b/>
          <w:i/>
          <w:u w:val="single"/>
        </w:rPr>
        <w:t xml:space="preserve">No. </w:t>
      </w:r>
      <w:r w:rsidR="00567DE7">
        <w:rPr>
          <w:b/>
          <w:i/>
          <w:u w:val="single"/>
        </w:rPr>
        <w:t>1</w:t>
      </w:r>
      <w:r w:rsidR="00E93603" w:rsidRPr="004B2684">
        <w:rPr>
          <w:b/>
          <w:i/>
          <w:u w:val="single"/>
        </w:rPr>
        <w:t>)</w:t>
      </w:r>
    </w:p>
    <w:p w:rsidR="00E93603" w:rsidRPr="004B2684" w:rsidRDefault="00E93603" w:rsidP="00E93603">
      <w:pPr>
        <w:ind w:right="91"/>
      </w:pPr>
    </w:p>
    <w:p w:rsidR="00616275" w:rsidRPr="004B2684" w:rsidRDefault="00616275" w:rsidP="00616275">
      <w:pPr>
        <w:ind w:right="91"/>
      </w:pPr>
      <w:r w:rsidRPr="004B2684">
        <w:rPr>
          <w:u w:val="single"/>
        </w:rPr>
        <w:t>Regulation 1 – Name of Regulations</w:t>
      </w:r>
    </w:p>
    <w:p w:rsidR="00616275" w:rsidRPr="004B2684" w:rsidRDefault="00616275" w:rsidP="00616275">
      <w:pPr>
        <w:ind w:right="91"/>
      </w:pPr>
    </w:p>
    <w:p w:rsidR="00616275" w:rsidRPr="004B2684" w:rsidRDefault="00616275" w:rsidP="00616275">
      <w:pPr>
        <w:ind w:right="91"/>
      </w:pPr>
      <w:r w:rsidRPr="004B2684">
        <w:t xml:space="preserve">This regulation provides that the name of the Regulations is the </w:t>
      </w:r>
      <w:r w:rsidRPr="004B2684">
        <w:rPr>
          <w:i/>
        </w:rPr>
        <w:t xml:space="preserve">Corporations </w:t>
      </w:r>
      <w:r w:rsidR="004B2684" w:rsidRPr="004B2684">
        <w:rPr>
          <w:i/>
        </w:rPr>
        <w:t>(Review Fees) Amendment Regulations 2011</w:t>
      </w:r>
      <w:r w:rsidRPr="004B2684">
        <w:rPr>
          <w:i/>
        </w:rPr>
        <w:t xml:space="preserve"> (No. </w:t>
      </w:r>
      <w:r w:rsidR="00567DE7">
        <w:rPr>
          <w:i/>
        </w:rPr>
        <w:t>1</w:t>
      </w:r>
      <w:r w:rsidRPr="004B2684">
        <w:rPr>
          <w:i/>
        </w:rPr>
        <w:t>)</w:t>
      </w:r>
      <w:r w:rsidRPr="004B2684">
        <w:t>.</w:t>
      </w:r>
    </w:p>
    <w:p w:rsidR="00616275" w:rsidRPr="004B2684" w:rsidRDefault="00616275" w:rsidP="00616275">
      <w:pPr>
        <w:ind w:right="91"/>
      </w:pPr>
    </w:p>
    <w:p w:rsidR="00616275" w:rsidRPr="004B2684" w:rsidRDefault="00616275" w:rsidP="00616275">
      <w:pPr>
        <w:ind w:right="91"/>
        <w:rPr>
          <w:u w:val="single"/>
        </w:rPr>
      </w:pPr>
      <w:r w:rsidRPr="004B2684">
        <w:rPr>
          <w:u w:val="single"/>
        </w:rPr>
        <w:t>Regulation 2 – Commencement</w:t>
      </w:r>
    </w:p>
    <w:p w:rsidR="00616275" w:rsidRPr="004B2684" w:rsidRDefault="00616275" w:rsidP="00616275">
      <w:pPr>
        <w:ind w:right="91"/>
      </w:pPr>
    </w:p>
    <w:p w:rsidR="00616275" w:rsidRPr="00BB7899" w:rsidRDefault="00616275" w:rsidP="00616275">
      <w:pPr>
        <w:ind w:right="91"/>
      </w:pPr>
      <w:r w:rsidRPr="00BB7899">
        <w:t xml:space="preserve">This regulation provides for the Regulations to commence on </w:t>
      </w:r>
      <w:r w:rsidR="004B2684" w:rsidRPr="00BB7899">
        <w:t>1 July 2011</w:t>
      </w:r>
      <w:r w:rsidRPr="00BB7899">
        <w:t>.</w:t>
      </w:r>
    </w:p>
    <w:p w:rsidR="00616275" w:rsidRPr="00BB7899" w:rsidRDefault="00616275" w:rsidP="00616275">
      <w:pPr>
        <w:ind w:right="91"/>
      </w:pPr>
    </w:p>
    <w:p w:rsidR="00616275" w:rsidRPr="00BB7899" w:rsidRDefault="00616275" w:rsidP="00616275">
      <w:pPr>
        <w:ind w:right="91"/>
      </w:pPr>
      <w:r w:rsidRPr="00BB7899">
        <w:rPr>
          <w:u w:val="single"/>
        </w:rPr>
        <w:t xml:space="preserve">Regulation 3 – Amendment of the </w:t>
      </w:r>
      <w:r w:rsidRPr="00BB7899">
        <w:rPr>
          <w:i/>
          <w:u w:val="single"/>
        </w:rPr>
        <w:t xml:space="preserve">Corporations </w:t>
      </w:r>
      <w:r w:rsidR="004B2684" w:rsidRPr="00BB7899">
        <w:rPr>
          <w:i/>
          <w:u w:val="single"/>
        </w:rPr>
        <w:t>(Review Fees) Regulations 2003</w:t>
      </w:r>
    </w:p>
    <w:p w:rsidR="00616275" w:rsidRPr="00BB7899" w:rsidRDefault="00616275" w:rsidP="00616275">
      <w:pPr>
        <w:ind w:right="91"/>
      </w:pPr>
    </w:p>
    <w:p w:rsidR="00616275" w:rsidRPr="00BB7899" w:rsidRDefault="00616275" w:rsidP="00616275">
      <w:pPr>
        <w:ind w:right="91"/>
      </w:pPr>
      <w:r w:rsidRPr="00BB7899">
        <w:t xml:space="preserve">This regulation provides that Schedule 1 amends the </w:t>
      </w:r>
      <w:r w:rsidRPr="00BB7899">
        <w:rPr>
          <w:i/>
        </w:rPr>
        <w:t xml:space="preserve">Corporations </w:t>
      </w:r>
      <w:r w:rsidR="004B2684" w:rsidRPr="00BB7899">
        <w:rPr>
          <w:i/>
        </w:rPr>
        <w:t>(Review Fees) Regulations 2003</w:t>
      </w:r>
      <w:r w:rsidRPr="00BB7899">
        <w:t xml:space="preserve"> (the Principal Regulations).</w:t>
      </w:r>
    </w:p>
    <w:p w:rsidR="00616275" w:rsidRPr="00BB7899" w:rsidRDefault="00616275" w:rsidP="00616275">
      <w:pPr>
        <w:ind w:right="91"/>
        <w:rPr>
          <w:u w:val="single"/>
        </w:rPr>
      </w:pPr>
    </w:p>
    <w:p w:rsidR="00616275" w:rsidRPr="00BB7899" w:rsidRDefault="00616275" w:rsidP="00616275">
      <w:pPr>
        <w:ind w:right="91"/>
        <w:rPr>
          <w:u w:val="single"/>
        </w:rPr>
      </w:pPr>
      <w:r w:rsidRPr="00BB7899">
        <w:rPr>
          <w:u w:val="single"/>
        </w:rPr>
        <w:t>Schedule 1– Amendments</w:t>
      </w:r>
    </w:p>
    <w:p w:rsidR="00616275" w:rsidRPr="00BB7899" w:rsidRDefault="00616275" w:rsidP="00616275">
      <w:pPr>
        <w:ind w:right="91"/>
      </w:pPr>
    </w:p>
    <w:p w:rsidR="00616275" w:rsidRPr="0004352D" w:rsidRDefault="00616275" w:rsidP="00616275">
      <w:pPr>
        <w:ind w:right="91"/>
        <w:rPr>
          <w:b/>
        </w:rPr>
      </w:pPr>
      <w:r w:rsidRPr="0004352D">
        <w:rPr>
          <w:b/>
        </w:rPr>
        <w:t>Item [1]</w:t>
      </w:r>
    </w:p>
    <w:p w:rsidR="00616275" w:rsidRPr="0004352D" w:rsidRDefault="00616275" w:rsidP="00616275">
      <w:pPr>
        <w:ind w:right="91"/>
      </w:pPr>
    </w:p>
    <w:p w:rsidR="00616275" w:rsidRPr="0004352D" w:rsidRDefault="00616275" w:rsidP="00616275">
      <w:pPr>
        <w:ind w:right="91"/>
      </w:pPr>
      <w:r w:rsidRPr="0004352D">
        <w:t>Item 1 amend</w:t>
      </w:r>
      <w:r w:rsidR="00BB7899" w:rsidRPr="0004352D">
        <w:t>s</w:t>
      </w:r>
      <w:r w:rsidRPr="0004352D">
        <w:t xml:space="preserve"> the Principal Regulations </w:t>
      </w:r>
      <w:r w:rsidR="00BB7899" w:rsidRPr="0004352D">
        <w:t xml:space="preserve">to update the </w:t>
      </w:r>
      <w:r w:rsidR="0004352D">
        <w:t xml:space="preserve">date of this </w:t>
      </w:r>
      <w:r w:rsidR="00BB7899" w:rsidRPr="0004352D">
        <w:t>fee indexation provision (which provide</w:t>
      </w:r>
      <w:r w:rsidR="0004352D">
        <w:t>s</w:t>
      </w:r>
      <w:r w:rsidR="00BB7899" w:rsidRPr="0004352D">
        <w:t xml:space="preserve"> that ASIC review fees may be increased along with increases in the Consumer Price Index) to </w:t>
      </w:r>
      <w:r w:rsidR="005B5754" w:rsidRPr="0004352D">
        <w:t xml:space="preserve">ensure that </w:t>
      </w:r>
      <w:r w:rsidR="0004352D">
        <w:t>its o</w:t>
      </w:r>
      <w:r w:rsidR="005B5754" w:rsidRPr="0004352D">
        <w:t xml:space="preserve">peration does not disrupt the form of the fee increase. </w:t>
      </w:r>
    </w:p>
    <w:p w:rsidR="005B5754" w:rsidRPr="0004352D" w:rsidRDefault="005B5754" w:rsidP="00616275">
      <w:pPr>
        <w:ind w:right="91"/>
      </w:pPr>
    </w:p>
    <w:p w:rsidR="00616275" w:rsidRPr="0004352D" w:rsidRDefault="00616275" w:rsidP="00616275">
      <w:pPr>
        <w:tabs>
          <w:tab w:val="left" w:pos="6521"/>
        </w:tabs>
        <w:ind w:right="91"/>
        <w:rPr>
          <w:b/>
        </w:rPr>
      </w:pPr>
      <w:r w:rsidRPr="0004352D">
        <w:rPr>
          <w:b/>
        </w:rPr>
        <w:t xml:space="preserve">Item [2] </w:t>
      </w:r>
    </w:p>
    <w:p w:rsidR="00616275" w:rsidRPr="0004352D" w:rsidRDefault="00616275" w:rsidP="00616275">
      <w:pPr>
        <w:tabs>
          <w:tab w:val="left" w:pos="6521"/>
        </w:tabs>
        <w:ind w:right="91"/>
      </w:pPr>
    </w:p>
    <w:p w:rsidR="00616275" w:rsidRPr="0004352D" w:rsidRDefault="0004352D" w:rsidP="0004352D">
      <w:pPr>
        <w:tabs>
          <w:tab w:val="left" w:pos="6521"/>
        </w:tabs>
        <w:ind w:right="91"/>
      </w:pPr>
      <w:r w:rsidRPr="0004352D">
        <w:t>Item 2 updates the date of the provision</w:t>
      </w:r>
      <w:r w:rsidR="00B958EE">
        <w:t xml:space="preserve"> that indexes annual review fees to the Consumer Price Index</w:t>
      </w:r>
      <w:r w:rsidRPr="0004352D">
        <w:t xml:space="preserve"> to ensure its proper operation with the fee increase. </w:t>
      </w:r>
    </w:p>
    <w:p w:rsidR="00616275" w:rsidRPr="0004352D" w:rsidRDefault="00616275" w:rsidP="00616275">
      <w:pPr>
        <w:ind w:right="91"/>
      </w:pPr>
    </w:p>
    <w:p w:rsidR="00616275" w:rsidRPr="0004352D" w:rsidRDefault="00616275" w:rsidP="00616275">
      <w:pPr>
        <w:ind w:right="91"/>
        <w:jc w:val="both"/>
        <w:rPr>
          <w:b/>
        </w:rPr>
      </w:pPr>
      <w:r w:rsidRPr="0004352D">
        <w:rPr>
          <w:b/>
        </w:rPr>
        <w:t xml:space="preserve">Item [3] </w:t>
      </w:r>
    </w:p>
    <w:p w:rsidR="00616275" w:rsidRPr="0004352D" w:rsidRDefault="00616275" w:rsidP="00616275">
      <w:pPr>
        <w:ind w:right="91"/>
      </w:pPr>
    </w:p>
    <w:p w:rsidR="00616275" w:rsidRPr="0004352D" w:rsidRDefault="0004352D" w:rsidP="00616275">
      <w:pPr>
        <w:ind w:right="91"/>
      </w:pPr>
      <w:r w:rsidRPr="0004352D">
        <w:t xml:space="preserve">Item 3 </w:t>
      </w:r>
      <w:r w:rsidR="006F13B3" w:rsidRPr="0004352D">
        <w:t>updates the date of the provision</w:t>
      </w:r>
      <w:r w:rsidR="006F13B3">
        <w:t xml:space="preserve"> that indexes annual review fees to the Consumer Price Index</w:t>
      </w:r>
      <w:r w:rsidR="006F13B3" w:rsidRPr="0004352D">
        <w:t xml:space="preserve"> to ensure its proper operation with the fee increase</w:t>
      </w:r>
      <w:r w:rsidRPr="0004352D">
        <w:t>.</w:t>
      </w:r>
    </w:p>
    <w:p w:rsidR="0004352D" w:rsidRPr="0004352D" w:rsidRDefault="0004352D" w:rsidP="00616275">
      <w:pPr>
        <w:ind w:right="91"/>
      </w:pPr>
    </w:p>
    <w:p w:rsidR="00616275" w:rsidRPr="002521E3" w:rsidRDefault="00616275" w:rsidP="00616275">
      <w:pPr>
        <w:ind w:right="91"/>
      </w:pPr>
      <w:r w:rsidRPr="002521E3">
        <w:rPr>
          <w:b/>
        </w:rPr>
        <w:t>Item [4]</w:t>
      </w:r>
    </w:p>
    <w:p w:rsidR="00616275" w:rsidRPr="002521E3" w:rsidRDefault="00616275" w:rsidP="00616275">
      <w:pPr>
        <w:ind w:right="91"/>
      </w:pPr>
    </w:p>
    <w:p w:rsidR="00616275" w:rsidRDefault="00616275" w:rsidP="00616275">
      <w:pPr>
        <w:ind w:right="91"/>
      </w:pPr>
      <w:r w:rsidRPr="002521E3">
        <w:t xml:space="preserve">Item 4 </w:t>
      </w:r>
      <w:r w:rsidR="0004352D" w:rsidRPr="002521E3">
        <w:t>increases the annual review fee for public companies to reflect the funding levy</w:t>
      </w:r>
      <w:r w:rsidR="00B958EE">
        <w:t>.  T</w:t>
      </w:r>
      <w:r w:rsidR="00AB3DD1">
        <w:t xml:space="preserve">he </w:t>
      </w:r>
      <w:r w:rsidR="00B958EE">
        <w:t xml:space="preserve">new </w:t>
      </w:r>
      <w:r w:rsidR="00AB3DD1">
        <w:t xml:space="preserve">figure </w:t>
      </w:r>
      <w:r w:rsidR="00AB3DD1" w:rsidRPr="002521E3">
        <w:t>also reflects fee indexation.</w:t>
      </w:r>
    </w:p>
    <w:p w:rsidR="00AB3DD1" w:rsidRPr="002521E3" w:rsidRDefault="00AB3DD1" w:rsidP="00616275">
      <w:pPr>
        <w:ind w:right="91"/>
      </w:pPr>
    </w:p>
    <w:p w:rsidR="00616275" w:rsidRPr="002521E3" w:rsidRDefault="00616275" w:rsidP="00616275">
      <w:pPr>
        <w:ind w:right="91"/>
      </w:pPr>
      <w:r w:rsidRPr="002521E3">
        <w:rPr>
          <w:b/>
        </w:rPr>
        <w:t>Item [5]</w:t>
      </w:r>
    </w:p>
    <w:p w:rsidR="00616275" w:rsidRPr="002521E3" w:rsidRDefault="00616275" w:rsidP="00616275">
      <w:pPr>
        <w:ind w:right="91"/>
      </w:pPr>
    </w:p>
    <w:p w:rsidR="00616275" w:rsidRPr="002521E3" w:rsidRDefault="00616275" w:rsidP="00616275">
      <w:pPr>
        <w:ind w:right="91"/>
      </w:pPr>
      <w:r w:rsidRPr="002521E3">
        <w:t xml:space="preserve">Item 5 </w:t>
      </w:r>
      <w:r w:rsidR="0004352D" w:rsidRPr="002521E3">
        <w:t>increases the annual review fee for proprietary companies to reflect the funding levy</w:t>
      </w:r>
      <w:r w:rsidR="00F222F2">
        <w:t xml:space="preserve">. The new figure </w:t>
      </w:r>
      <w:r w:rsidR="00F222F2" w:rsidRPr="002521E3">
        <w:t>also reflects fee indexation.</w:t>
      </w:r>
    </w:p>
    <w:p w:rsidR="00616275" w:rsidRPr="00AB3DD1" w:rsidRDefault="00616275" w:rsidP="00616275">
      <w:pPr>
        <w:ind w:right="91"/>
      </w:pPr>
    </w:p>
    <w:p w:rsidR="00616275" w:rsidRPr="00AB3DD1" w:rsidRDefault="00616275" w:rsidP="00616275">
      <w:pPr>
        <w:ind w:right="91"/>
      </w:pPr>
      <w:r w:rsidRPr="00AB3DD1">
        <w:rPr>
          <w:b/>
        </w:rPr>
        <w:t>Item [6]</w:t>
      </w:r>
    </w:p>
    <w:p w:rsidR="00616275" w:rsidRPr="00AB3DD1" w:rsidRDefault="00616275" w:rsidP="00616275">
      <w:pPr>
        <w:ind w:right="91"/>
      </w:pPr>
    </w:p>
    <w:p w:rsidR="00E93603" w:rsidRPr="00AB3DD1" w:rsidRDefault="00616275" w:rsidP="00616275">
      <w:pPr>
        <w:ind w:right="91"/>
      </w:pPr>
      <w:r w:rsidRPr="00AB3DD1">
        <w:t xml:space="preserve">Item 6 </w:t>
      </w:r>
      <w:r w:rsidR="002521E3" w:rsidRPr="00AB3DD1">
        <w:t xml:space="preserve">amends Schedule 1, Part 1, item 103, column 3, to </w:t>
      </w:r>
      <w:r w:rsidR="00F222F2">
        <w:t xml:space="preserve">specify the fee level to two </w:t>
      </w:r>
      <w:r w:rsidR="002521E3" w:rsidRPr="00AB3DD1">
        <w:t xml:space="preserve">decimal places. </w:t>
      </w:r>
    </w:p>
    <w:p w:rsidR="003F4A98" w:rsidRPr="00AB3DD1" w:rsidRDefault="003F4A98" w:rsidP="003F4A98">
      <w:pPr>
        <w:ind w:right="91"/>
        <w:rPr>
          <w:b/>
        </w:rPr>
      </w:pPr>
    </w:p>
    <w:p w:rsidR="00B776DC" w:rsidRDefault="00B776DC">
      <w:pPr>
        <w:rPr>
          <w:b/>
        </w:rPr>
      </w:pPr>
      <w:r>
        <w:rPr>
          <w:b/>
        </w:rPr>
        <w:br w:type="page"/>
      </w:r>
    </w:p>
    <w:p w:rsidR="003F4A98" w:rsidRPr="00AB3DD1" w:rsidRDefault="003F4A98" w:rsidP="003F4A98">
      <w:pPr>
        <w:ind w:right="91"/>
        <w:rPr>
          <w:b/>
        </w:rPr>
      </w:pPr>
      <w:r w:rsidRPr="00AB3DD1">
        <w:rPr>
          <w:b/>
        </w:rPr>
        <w:lastRenderedPageBreak/>
        <w:t>Item [7]</w:t>
      </w:r>
    </w:p>
    <w:p w:rsidR="003F4A98" w:rsidRPr="00AB3DD1" w:rsidRDefault="003F4A98" w:rsidP="003F4A98">
      <w:pPr>
        <w:ind w:right="91"/>
        <w:rPr>
          <w:b/>
        </w:rPr>
      </w:pPr>
    </w:p>
    <w:p w:rsidR="003F4A98" w:rsidRPr="00AB3DD1" w:rsidRDefault="003F4A98" w:rsidP="003F4A98">
      <w:pPr>
        <w:ind w:right="91"/>
      </w:pPr>
      <w:r w:rsidRPr="00AB3DD1">
        <w:t>Item 7 increases the annual review fee for registered schemes to reflect the funding levy</w:t>
      </w:r>
      <w:r w:rsidR="00F222F2">
        <w:t xml:space="preserve">. The new figure </w:t>
      </w:r>
      <w:r w:rsidR="00F222F2" w:rsidRPr="002521E3">
        <w:t>also reflects fee indexation.</w:t>
      </w:r>
    </w:p>
    <w:p w:rsidR="00AB3DD1" w:rsidRPr="00AB3DD1" w:rsidRDefault="00AB3DD1" w:rsidP="003F4A98">
      <w:pPr>
        <w:ind w:right="91"/>
      </w:pPr>
    </w:p>
    <w:p w:rsidR="00AB3DD1" w:rsidRPr="00AB3DD1" w:rsidRDefault="00AB3DD1" w:rsidP="003F4A98">
      <w:pPr>
        <w:ind w:right="91"/>
        <w:rPr>
          <w:b/>
        </w:rPr>
      </w:pPr>
      <w:r w:rsidRPr="00AB3DD1">
        <w:rPr>
          <w:b/>
        </w:rPr>
        <w:t>Item [8]</w:t>
      </w:r>
    </w:p>
    <w:p w:rsidR="00AB3DD1" w:rsidRPr="00AB3DD1" w:rsidRDefault="00AB3DD1" w:rsidP="003F4A98">
      <w:pPr>
        <w:ind w:right="91"/>
      </w:pPr>
    </w:p>
    <w:p w:rsidR="00AB3DD1" w:rsidRPr="00AB3DD1" w:rsidRDefault="00AB3DD1" w:rsidP="003F4A98">
      <w:pPr>
        <w:ind w:right="91"/>
        <w:rPr>
          <w:b/>
          <w:highlight w:val="yellow"/>
        </w:rPr>
      </w:pPr>
      <w:r w:rsidRPr="00AB3DD1">
        <w:t>Item 8 increases</w:t>
      </w:r>
      <w:r w:rsidRPr="002521E3">
        <w:t xml:space="preserve"> the annual review fee for </w:t>
      </w:r>
      <w:r>
        <w:t xml:space="preserve">small transferring financial institutions, except special purpose companies, </w:t>
      </w:r>
      <w:r w:rsidRPr="002521E3">
        <w:t>to</w:t>
      </w:r>
      <w:r>
        <w:t xml:space="preserve"> reflect the funding levy</w:t>
      </w:r>
      <w:r w:rsidR="00F222F2">
        <w:t xml:space="preserve">. The new figure </w:t>
      </w:r>
      <w:r w:rsidR="00F222F2" w:rsidRPr="002521E3">
        <w:t>also reflects fee indexation.</w:t>
      </w:r>
    </w:p>
    <w:p w:rsidR="003F4A98" w:rsidRDefault="003F4A98" w:rsidP="00616275">
      <w:pPr>
        <w:ind w:right="91"/>
      </w:pPr>
    </w:p>
    <w:sectPr w:rsidR="003F4A98" w:rsidSect="00F14BC6">
      <w:pgSz w:w="11906" w:h="16838" w:code="9"/>
      <w:pgMar w:top="1134" w:right="1797" w:bottom="1134" w:left="1797"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F0FDF"/>
    <w:multiLevelType w:val="multilevel"/>
    <w:tmpl w:val="B43270B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20"/>
  <w:noPunctuationKerning/>
  <w:characterSpacingControl w:val="doNotCompress"/>
  <w:compat/>
  <w:rsids>
    <w:rsidRoot w:val="00FF5269"/>
    <w:rsid w:val="0004352D"/>
    <w:rsid w:val="0004526C"/>
    <w:rsid w:val="000527DB"/>
    <w:rsid w:val="000C08D7"/>
    <w:rsid w:val="000C0C7E"/>
    <w:rsid w:val="00106A1B"/>
    <w:rsid w:val="00153AE4"/>
    <w:rsid w:val="001A0902"/>
    <w:rsid w:val="002172BF"/>
    <w:rsid w:val="00235D64"/>
    <w:rsid w:val="002521E3"/>
    <w:rsid w:val="00252BE5"/>
    <w:rsid w:val="002A2886"/>
    <w:rsid w:val="002E0725"/>
    <w:rsid w:val="00375087"/>
    <w:rsid w:val="003A52B5"/>
    <w:rsid w:val="003C182F"/>
    <w:rsid w:val="003D1BD6"/>
    <w:rsid w:val="003F4A98"/>
    <w:rsid w:val="00483001"/>
    <w:rsid w:val="004B2684"/>
    <w:rsid w:val="004E0A16"/>
    <w:rsid w:val="004E6FF2"/>
    <w:rsid w:val="004F5D07"/>
    <w:rsid w:val="00545640"/>
    <w:rsid w:val="00567805"/>
    <w:rsid w:val="00567DE7"/>
    <w:rsid w:val="005B5754"/>
    <w:rsid w:val="00616275"/>
    <w:rsid w:val="0065333F"/>
    <w:rsid w:val="006F13B3"/>
    <w:rsid w:val="006F340B"/>
    <w:rsid w:val="00714404"/>
    <w:rsid w:val="007B0B76"/>
    <w:rsid w:val="008531C9"/>
    <w:rsid w:val="008C3C62"/>
    <w:rsid w:val="00950B6F"/>
    <w:rsid w:val="00950F20"/>
    <w:rsid w:val="00981076"/>
    <w:rsid w:val="009A24E0"/>
    <w:rsid w:val="009E3D78"/>
    <w:rsid w:val="00A068EA"/>
    <w:rsid w:val="00A32B49"/>
    <w:rsid w:val="00AB3DD1"/>
    <w:rsid w:val="00AE31C5"/>
    <w:rsid w:val="00AE4A7F"/>
    <w:rsid w:val="00B44885"/>
    <w:rsid w:val="00B776DC"/>
    <w:rsid w:val="00B958EE"/>
    <w:rsid w:val="00B95DE7"/>
    <w:rsid w:val="00BB7899"/>
    <w:rsid w:val="00BC2C18"/>
    <w:rsid w:val="00BE3E95"/>
    <w:rsid w:val="00C0723A"/>
    <w:rsid w:val="00D30FBA"/>
    <w:rsid w:val="00E93603"/>
    <w:rsid w:val="00EA1736"/>
    <w:rsid w:val="00EE0160"/>
    <w:rsid w:val="00EF475C"/>
    <w:rsid w:val="00F14BC6"/>
    <w:rsid w:val="00F222F2"/>
    <w:rsid w:val="00F62E3A"/>
    <w:rsid w:val="00FF526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BC6"/>
    <w:rPr>
      <w:sz w:val="24"/>
    </w:rPr>
  </w:style>
  <w:style w:type="paragraph" w:styleId="Heading1">
    <w:name w:val="heading 1"/>
    <w:basedOn w:val="Normal"/>
    <w:next w:val="Normal"/>
    <w:qFormat/>
    <w:rsid w:val="00F14BC6"/>
    <w:pPr>
      <w:keepNext/>
      <w:spacing w:before="240" w:after="360"/>
      <w:outlineLvl w:val="0"/>
    </w:pPr>
    <w:rPr>
      <w:b/>
      <w:caps/>
      <w:sz w:val="28"/>
    </w:rPr>
  </w:style>
  <w:style w:type="paragraph" w:styleId="Heading2">
    <w:name w:val="heading 2"/>
    <w:basedOn w:val="Normal"/>
    <w:next w:val="Normal"/>
    <w:qFormat/>
    <w:rsid w:val="00F14BC6"/>
    <w:pPr>
      <w:keepNext/>
      <w:spacing w:before="120"/>
      <w:outlineLvl w:val="1"/>
    </w:pPr>
    <w:rPr>
      <w:b/>
      <w:caps/>
    </w:rPr>
  </w:style>
  <w:style w:type="paragraph" w:styleId="Heading3">
    <w:name w:val="heading 3"/>
    <w:basedOn w:val="Normal"/>
    <w:next w:val="Normal"/>
    <w:qFormat/>
    <w:rsid w:val="00F14BC6"/>
    <w:pPr>
      <w:keepNext/>
      <w:spacing w:before="60"/>
      <w:outlineLvl w:val="2"/>
    </w:pPr>
    <w:rPr>
      <w:b/>
    </w:rPr>
  </w:style>
  <w:style w:type="paragraph" w:styleId="Heading4">
    <w:name w:val="heading 4"/>
    <w:basedOn w:val="Normal"/>
    <w:next w:val="Normal"/>
    <w:qFormat/>
    <w:rsid w:val="00F14BC6"/>
    <w:pPr>
      <w:keepNext/>
      <w:outlineLvl w:val="3"/>
    </w:pPr>
    <w:rPr>
      <w:i/>
      <w:sz w:val="20"/>
    </w:rPr>
  </w:style>
  <w:style w:type="paragraph" w:styleId="Heading6">
    <w:name w:val="heading 6"/>
    <w:basedOn w:val="Normal"/>
    <w:next w:val="Normal"/>
    <w:qFormat/>
    <w:rsid w:val="00F14BC6"/>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F14BC6"/>
  </w:style>
  <w:style w:type="paragraph" w:customStyle="1" w:styleId="ChartMainHeading">
    <w:name w:val="Chart Main Heading"/>
    <w:basedOn w:val="SingleParagraph"/>
    <w:next w:val="Normal"/>
    <w:rsid w:val="00F14BC6"/>
    <w:pPr>
      <w:jc w:val="center"/>
    </w:pPr>
    <w:rPr>
      <w:b/>
      <w:caps/>
    </w:rPr>
  </w:style>
  <w:style w:type="paragraph" w:customStyle="1" w:styleId="ChartSecondHeading">
    <w:name w:val="Chart Second Heading"/>
    <w:basedOn w:val="SingleParagraph"/>
    <w:next w:val="Normal"/>
    <w:rsid w:val="00F14BC6"/>
    <w:pPr>
      <w:jc w:val="center"/>
    </w:pPr>
    <w:rPr>
      <w:b/>
    </w:rPr>
  </w:style>
  <w:style w:type="paragraph" w:customStyle="1" w:styleId="TableMainHeading">
    <w:name w:val="Table Main Heading"/>
    <w:basedOn w:val="Heading2"/>
    <w:next w:val="Normal"/>
    <w:rsid w:val="00F14BC6"/>
    <w:pPr>
      <w:spacing w:before="240"/>
      <w:outlineLvl w:val="9"/>
    </w:pPr>
    <w:rPr>
      <w:rFonts w:ascii="Helvetica" w:hAnsi="Helvetica"/>
      <w:b w:val="0"/>
      <w:caps w:val="0"/>
      <w:spacing w:val="30"/>
      <w:sz w:val="22"/>
    </w:rPr>
  </w:style>
  <w:style w:type="paragraph" w:customStyle="1" w:styleId="DefaultParagraphFontCharCharCharChar">
    <w:name w:val="Default Paragraph Font Char Char Char Char"/>
    <w:aliases w:val="Char Char Char Char Char Char Char Char Char Char Char,Default Paragraph Font1 Char Char Char,Default Paragraph Font Char1 Char Char Char,Default Paragraph Font Char2,Default Paragraph Font Char Char"/>
    <w:basedOn w:val="Normal"/>
    <w:rsid w:val="00FF5269"/>
    <w:pPr>
      <w:spacing w:after="160" w:line="240" w:lineRule="exact"/>
      <w:jc w:val="both"/>
    </w:pPr>
    <w:rPr>
      <w:rFonts w:ascii="Verdana" w:hAnsi="Verdana" w:cs="Verdana"/>
      <w:color w:val="000000"/>
      <w:sz w:val="20"/>
      <w:lang w:val="en-US" w:eastAsia="en-US"/>
    </w:rPr>
  </w:style>
  <w:style w:type="paragraph" w:customStyle="1" w:styleId="Bullet">
    <w:name w:val="Bullet"/>
    <w:basedOn w:val="Normal"/>
    <w:link w:val="BulletChar"/>
    <w:rsid w:val="00616275"/>
    <w:pPr>
      <w:numPr>
        <w:numId w:val="1"/>
      </w:numPr>
      <w:tabs>
        <w:tab w:val="left" w:pos="1701"/>
        <w:tab w:val="right" w:pos="9072"/>
      </w:tabs>
      <w:ind w:right="91"/>
    </w:pPr>
    <w:rPr>
      <w:color w:val="000000" w:themeColor="text1"/>
      <w:szCs w:val="24"/>
    </w:rPr>
  </w:style>
  <w:style w:type="character" w:customStyle="1" w:styleId="BulletChar">
    <w:name w:val="Bullet Char"/>
    <w:basedOn w:val="DefaultParagraphFont"/>
    <w:link w:val="Bullet"/>
    <w:rsid w:val="00616275"/>
    <w:rPr>
      <w:color w:val="000000" w:themeColor="text1"/>
      <w:sz w:val="24"/>
      <w:szCs w:val="24"/>
    </w:rPr>
  </w:style>
  <w:style w:type="paragraph" w:customStyle="1" w:styleId="Dash">
    <w:name w:val="Dash"/>
    <w:basedOn w:val="Normal"/>
    <w:rsid w:val="00616275"/>
    <w:pPr>
      <w:numPr>
        <w:ilvl w:val="1"/>
        <w:numId w:val="1"/>
      </w:numPr>
      <w:tabs>
        <w:tab w:val="left" w:pos="1701"/>
        <w:tab w:val="right" w:pos="9072"/>
      </w:tabs>
      <w:ind w:right="91"/>
    </w:pPr>
    <w:rPr>
      <w:color w:val="000000" w:themeColor="text1"/>
      <w:szCs w:val="24"/>
    </w:rPr>
  </w:style>
  <w:style w:type="paragraph" w:customStyle="1" w:styleId="DoubleDot">
    <w:name w:val="Double Dot"/>
    <w:basedOn w:val="Normal"/>
    <w:rsid w:val="00616275"/>
    <w:pPr>
      <w:numPr>
        <w:ilvl w:val="2"/>
        <w:numId w:val="1"/>
      </w:numPr>
      <w:tabs>
        <w:tab w:val="right" w:pos="9072"/>
      </w:tabs>
      <w:ind w:right="91"/>
    </w:pPr>
    <w:rPr>
      <w:color w:val="000000" w:themeColor="text1"/>
      <w:szCs w:val="24"/>
    </w:rPr>
  </w:style>
  <w:style w:type="character" w:styleId="CommentReference">
    <w:name w:val="annotation reference"/>
    <w:basedOn w:val="DefaultParagraphFont"/>
    <w:uiPriority w:val="99"/>
    <w:semiHidden/>
    <w:unhideWhenUsed/>
    <w:rsid w:val="00B44885"/>
    <w:rPr>
      <w:sz w:val="16"/>
      <w:szCs w:val="16"/>
    </w:rPr>
  </w:style>
  <w:style w:type="paragraph" w:styleId="CommentText">
    <w:name w:val="annotation text"/>
    <w:basedOn w:val="Normal"/>
    <w:link w:val="CommentTextChar"/>
    <w:uiPriority w:val="99"/>
    <w:semiHidden/>
    <w:unhideWhenUsed/>
    <w:rsid w:val="00B44885"/>
    <w:rPr>
      <w:sz w:val="20"/>
    </w:rPr>
  </w:style>
  <w:style w:type="character" w:customStyle="1" w:styleId="CommentTextChar">
    <w:name w:val="Comment Text Char"/>
    <w:basedOn w:val="DefaultParagraphFont"/>
    <w:link w:val="CommentText"/>
    <w:uiPriority w:val="99"/>
    <w:semiHidden/>
    <w:rsid w:val="00B44885"/>
  </w:style>
  <w:style w:type="paragraph" w:styleId="CommentSubject">
    <w:name w:val="annotation subject"/>
    <w:basedOn w:val="CommentText"/>
    <w:next w:val="CommentText"/>
    <w:link w:val="CommentSubjectChar"/>
    <w:uiPriority w:val="99"/>
    <w:semiHidden/>
    <w:unhideWhenUsed/>
    <w:rsid w:val="00B44885"/>
    <w:rPr>
      <w:b/>
      <w:bCs/>
    </w:rPr>
  </w:style>
  <w:style w:type="character" w:customStyle="1" w:styleId="CommentSubjectChar">
    <w:name w:val="Comment Subject Char"/>
    <w:basedOn w:val="CommentTextChar"/>
    <w:link w:val="CommentSubject"/>
    <w:uiPriority w:val="99"/>
    <w:semiHidden/>
    <w:rsid w:val="00B44885"/>
    <w:rPr>
      <w:b/>
      <w:bCs/>
    </w:rPr>
  </w:style>
  <w:style w:type="paragraph" w:styleId="BalloonText">
    <w:name w:val="Balloon Text"/>
    <w:basedOn w:val="Normal"/>
    <w:link w:val="BalloonTextChar"/>
    <w:uiPriority w:val="99"/>
    <w:semiHidden/>
    <w:unhideWhenUsed/>
    <w:rsid w:val="00B44885"/>
    <w:rPr>
      <w:rFonts w:ascii="Tahoma" w:hAnsi="Tahoma" w:cs="Tahoma"/>
      <w:sz w:val="16"/>
      <w:szCs w:val="16"/>
    </w:rPr>
  </w:style>
  <w:style w:type="character" w:customStyle="1" w:styleId="BalloonTextChar">
    <w:name w:val="Balloon Text Char"/>
    <w:basedOn w:val="DefaultParagraphFont"/>
    <w:link w:val="BalloonText"/>
    <w:uiPriority w:val="99"/>
    <w:semiHidden/>
    <w:rsid w:val="00B448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Memorandum%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XCo Explanatory Memorandum - General</Template>
  <TotalTime>2</TotalTime>
  <Pages>3</Pages>
  <Words>598</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Murray, Erin</dc:creator>
  <cp:lastModifiedBy>gobbid</cp:lastModifiedBy>
  <cp:revision>3</cp:revision>
  <cp:lastPrinted>2011-06-03T07:27:00Z</cp:lastPrinted>
  <dcterms:created xsi:type="dcterms:W3CDTF">2011-06-14T03:37:00Z</dcterms:created>
  <dcterms:modified xsi:type="dcterms:W3CDTF">2011-06-15T23:48:00Z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1350342080</vt:i4>
  </property>
  <property fmtid="{D5CDD505-2E9C-101B-9397-08002B2CF9AE}" pid="3" name="_NewReviewCycle">
    <vt:lpwstr/>
  </property>
  <property fmtid="{D5CDD505-2E9C-101B-9397-08002B2CF9AE}" pid="4" name="_EmailSubject">
    <vt:lpwstr>16 June ExCo Meeting - Corporations (Review Fees) Amendment Regulations 2011 [SEC=UNCLASSIFIED]</vt:lpwstr>
  </property>
  <property fmtid="{D5CDD505-2E9C-101B-9397-08002B2CF9AE}" pid="5" name="_AuthorEmail">
    <vt:lpwstr>Aaron.Jenkinson@TREASURY.GOV.AU</vt:lpwstr>
  </property>
  <property fmtid="{D5CDD505-2E9C-101B-9397-08002B2CF9AE}" pid="6" name="_AuthorEmailDisplayName">
    <vt:lpwstr>Jenkinson, Aaron</vt:lpwstr>
  </property>
  <property fmtid="{D5CDD505-2E9C-101B-9397-08002B2CF9AE}" pid="7" name="_PreviousAdHocReviewCycleID">
    <vt:i4>-1501625553</vt:i4>
  </property>
  <property fmtid="{D5CDD505-2E9C-101B-9397-08002B2CF9AE}" pid="8" name="_ReviewingToolsShownOnce">
    <vt:lpwstr/>
  </property>
</Properties>
</file>